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230BC2" w14:paraId="07F6750D" w14:textId="77777777" w:rsidTr="009C2DE6">
        <w:trPr>
          <w:trHeight w:val="851"/>
        </w:trPr>
        <w:tc>
          <w:tcPr>
            <w:tcW w:w="976" w:type="dxa"/>
            <w:tcBorders>
              <w:bottom w:val="single" w:sz="12" w:space="0" w:color="auto"/>
            </w:tcBorders>
          </w:tcPr>
          <w:p w14:paraId="1DEFF495" w14:textId="3355B5F0" w:rsidR="00C9161D" w:rsidRPr="00230BC2" w:rsidRDefault="00C9161D" w:rsidP="00B00053">
            <w:pPr>
              <w:suppressLineNumbers/>
              <w:suppressAutoHyphens/>
              <w:kinsoku w:val="0"/>
              <w:overflowPunct w:val="0"/>
              <w:autoSpaceDE w:val="0"/>
              <w:autoSpaceDN w:val="0"/>
              <w:adjustRightInd w:val="0"/>
              <w:snapToGrid w:val="0"/>
              <w:rPr>
                <w:snapToGrid w:val="0"/>
                <w:kern w:val="22"/>
              </w:rPr>
            </w:pPr>
            <w:r w:rsidRPr="00230BC2">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230BC2" w:rsidRDefault="00AA6F92" w:rsidP="00B00053">
            <w:pPr>
              <w:suppressLineNumbers/>
              <w:suppressAutoHyphens/>
              <w:kinsoku w:val="0"/>
              <w:overflowPunct w:val="0"/>
              <w:autoSpaceDE w:val="0"/>
              <w:autoSpaceDN w:val="0"/>
              <w:adjustRightInd w:val="0"/>
              <w:snapToGrid w:val="0"/>
              <w:rPr>
                <w:snapToGrid w:val="0"/>
                <w:kern w:val="22"/>
              </w:rPr>
            </w:pPr>
            <w:r w:rsidRPr="00230BC2">
              <w:rPr>
                <w:noProof/>
                <w:snapToGrid w:val="0"/>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6824960D" w:rsidR="00247810" w:rsidRPr="00230BC2" w:rsidRDefault="00C9161D" w:rsidP="00302CD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230BC2">
              <w:rPr>
                <w:rFonts w:ascii="Arial" w:hAnsi="Arial" w:cs="Arial"/>
                <w:b/>
                <w:snapToGrid w:val="0"/>
                <w:kern w:val="22"/>
                <w:sz w:val="32"/>
                <w:szCs w:val="32"/>
              </w:rPr>
              <w:t>CBD</w:t>
            </w:r>
          </w:p>
        </w:tc>
      </w:tr>
      <w:tr w:rsidR="00C9161D" w:rsidRPr="00230BC2"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230BC2" w:rsidRDefault="00C9161D" w:rsidP="00B00053">
            <w:pPr>
              <w:suppressLineNumbers/>
              <w:suppressAutoHyphens/>
              <w:kinsoku w:val="0"/>
              <w:overflowPunct w:val="0"/>
              <w:autoSpaceDE w:val="0"/>
              <w:autoSpaceDN w:val="0"/>
              <w:adjustRightInd w:val="0"/>
              <w:snapToGrid w:val="0"/>
              <w:rPr>
                <w:snapToGrid w:val="0"/>
                <w:kern w:val="22"/>
              </w:rPr>
            </w:pPr>
            <w:r w:rsidRPr="00230BC2">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230BC2" w:rsidRDefault="00C9161D" w:rsidP="003865BA">
            <w:pPr>
              <w:suppressLineNumbers/>
              <w:suppressAutoHyphens/>
              <w:kinsoku w:val="0"/>
              <w:overflowPunct w:val="0"/>
              <w:autoSpaceDE w:val="0"/>
              <w:autoSpaceDN w:val="0"/>
              <w:adjustRightInd w:val="0"/>
              <w:snapToGrid w:val="0"/>
              <w:ind w:left="894"/>
              <w:rPr>
                <w:snapToGrid w:val="0"/>
                <w:kern w:val="22"/>
                <w:szCs w:val="22"/>
              </w:rPr>
            </w:pPr>
            <w:r w:rsidRPr="00230BC2">
              <w:rPr>
                <w:snapToGrid w:val="0"/>
                <w:kern w:val="22"/>
                <w:szCs w:val="22"/>
              </w:rPr>
              <w:t>Distr.</w:t>
            </w:r>
          </w:p>
          <w:p w14:paraId="0C21C438" w14:textId="266AD0C1" w:rsidR="00C9161D" w:rsidRPr="00230BC2" w:rsidRDefault="00C7518F" w:rsidP="003865BA">
            <w:pPr>
              <w:suppressLineNumbers/>
              <w:suppressAutoHyphens/>
              <w:kinsoku w:val="0"/>
              <w:overflowPunct w:val="0"/>
              <w:autoSpaceDE w:val="0"/>
              <w:autoSpaceDN w:val="0"/>
              <w:adjustRightInd w:val="0"/>
              <w:snapToGrid w:val="0"/>
              <w:ind w:left="894"/>
              <w:rPr>
                <w:snapToGrid w:val="0"/>
                <w:kern w:val="22"/>
                <w:szCs w:val="22"/>
              </w:rPr>
            </w:pPr>
            <w:r w:rsidRPr="00230BC2">
              <w:rPr>
                <w:caps/>
                <w:snapToGrid w:val="0"/>
                <w:kern w:val="22"/>
                <w:szCs w:val="22"/>
              </w:rPr>
              <w:t>GENERAL</w:t>
            </w:r>
          </w:p>
          <w:p w14:paraId="06715052" w14:textId="77777777" w:rsidR="00C9161D" w:rsidRPr="00230BC2" w:rsidRDefault="00C9161D" w:rsidP="003865BA">
            <w:pPr>
              <w:suppressLineNumbers/>
              <w:suppressAutoHyphens/>
              <w:kinsoku w:val="0"/>
              <w:overflowPunct w:val="0"/>
              <w:autoSpaceDE w:val="0"/>
              <w:autoSpaceDN w:val="0"/>
              <w:adjustRightInd w:val="0"/>
              <w:snapToGrid w:val="0"/>
              <w:ind w:left="894"/>
              <w:rPr>
                <w:snapToGrid w:val="0"/>
                <w:kern w:val="22"/>
                <w:szCs w:val="22"/>
              </w:rPr>
            </w:pPr>
          </w:p>
          <w:p w14:paraId="44230134" w14:textId="5ED8E80A" w:rsidR="00C9161D" w:rsidRPr="00230BC2" w:rsidRDefault="00C10F84" w:rsidP="003865BA">
            <w:pPr>
              <w:suppressLineNumbers/>
              <w:suppressAutoHyphens/>
              <w:kinsoku w:val="0"/>
              <w:overflowPunct w:val="0"/>
              <w:autoSpaceDE w:val="0"/>
              <w:autoSpaceDN w:val="0"/>
              <w:adjustRightInd w:val="0"/>
              <w:snapToGrid w:val="0"/>
              <w:ind w:left="894"/>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43F0A" w:rsidRPr="00230BC2">
                  <w:rPr>
                    <w:snapToGrid w:val="0"/>
                    <w:kern w:val="22"/>
                  </w:rPr>
                  <w:t>CBD/COP/15/</w:t>
                </w:r>
                <w:r w:rsidR="00C7518F" w:rsidRPr="00230BC2">
                  <w:rPr>
                    <w:snapToGrid w:val="0"/>
                    <w:kern w:val="22"/>
                  </w:rPr>
                  <w:t>17</w:t>
                </w:r>
              </w:sdtContent>
            </w:sdt>
          </w:p>
          <w:p w14:paraId="0DF1F033" w14:textId="7ED41EDE" w:rsidR="00C9161D" w:rsidRPr="00230BC2" w:rsidRDefault="001C2158" w:rsidP="003865BA">
            <w:pPr>
              <w:suppressLineNumbers/>
              <w:suppressAutoHyphens/>
              <w:kinsoku w:val="0"/>
              <w:overflowPunct w:val="0"/>
              <w:autoSpaceDE w:val="0"/>
              <w:autoSpaceDN w:val="0"/>
              <w:adjustRightInd w:val="0"/>
              <w:snapToGrid w:val="0"/>
              <w:ind w:left="894"/>
              <w:rPr>
                <w:snapToGrid w:val="0"/>
                <w:kern w:val="22"/>
                <w:szCs w:val="22"/>
              </w:rPr>
            </w:pPr>
            <w:r w:rsidRPr="00230BC2">
              <w:rPr>
                <w:snapToGrid w:val="0"/>
                <w:kern w:val="22"/>
                <w:szCs w:val="22"/>
              </w:rPr>
              <w:t>20</w:t>
            </w:r>
            <w:r w:rsidR="00E32E9D" w:rsidRPr="00230BC2">
              <w:rPr>
                <w:snapToGrid w:val="0"/>
                <w:kern w:val="22"/>
                <w:szCs w:val="22"/>
              </w:rPr>
              <w:t xml:space="preserve"> </w:t>
            </w:r>
            <w:r w:rsidR="0048482B" w:rsidRPr="00230BC2">
              <w:rPr>
                <w:snapToGrid w:val="0"/>
                <w:kern w:val="22"/>
                <w:szCs w:val="22"/>
              </w:rPr>
              <w:t>October 2023</w:t>
            </w:r>
          </w:p>
          <w:p w14:paraId="159892DF" w14:textId="77777777" w:rsidR="00C9161D" w:rsidRPr="00230BC2" w:rsidRDefault="00C9161D" w:rsidP="003865BA">
            <w:pPr>
              <w:suppressLineNumbers/>
              <w:suppressAutoHyphens/>
              <w:kinsoku w:val="0"/>
              <w:overflowPunct w:val="0"/>
              <w:autoSpaceDE w:val="0"/>
              <w:autoSpaceDN w:val="0"/>
              <w:adjustRightInd w:val="0"/>
              <w:snapToGrid w:val="0"/>
              <w:ind w:left="894"/>
              <w:rPr>
                <w:snapToGrid w:val="0"/>
                <w:kern w:val="22"/>
                <w:szCs w:val="22"/>
              </w:rPr>
            </w:pPr>
          </w:p>
          <w:p w14:paraId="19472D49" w14:textId="77777777" w:rsidR="00C9161D" w:rsidRPr="00230BC2" w:rsidRDefault="006B2290" w:rsidP="003865BA">
            <w:pPr>
              <w:suppressLineNumbers/>
              <w:suppressAutoHyphens/>
              <w:kinsoku w:val="0"/>
              <w:overflowPunct w:val="0"/>
              <w:autoSpaceDE w:val="0"/>
              <w:autoSpaceDN w:val="0"/>
              <w:adjustRightInd w:val="0"/>
              <w:snapToGrid w:val="0"/>
              <w:ind w:left="894"/>
              <w:rPr>
                <w:snapToGrid w:val="0"/>
                <w:kern w:val="22"/>
                <w:szCs w:val="22"/>
              </w:rPr>
            </w:pPr>
            <w:r w:rsidRPr="00230BC2">
              <w:rPr>
                <w:snapToGrid w:val="0"/>
                <w:kern w:val="22"/>
                <w:szCs w:val="22"/>
              </w:rPr>
              <w:t xml:space="preserve">ORIGINAL: </w:t>
            </w:r>
            <w:r w:rsidR="00C9161D" w:rsidRPr="00230BC2">
              <w:rPr>
                <w:snapToGrid w:val="0"/>
                <w:kern w:val="22"/>
                <w:szCs w:val="22"/>
              </w:rPr>
              <w:t>ENGLISH</w:t>
            </w:r>
          </w:p>
          <w:p w14:paraId="5AA10CCE" w14:textId="77777777" w:rsidR="00C9161D" w:rsidRPr="00230BC2" w:rsidRDefault="00C9161D" w:rsidP="00B00053">
            <w:pPr>
              <w:suppressLineNumbers/>
              <w:suppressAutoHyphens/>
              <w:kinsoku w:val="0"/>
              <w:overflowPunct w:val="0"/>
              <w:autoSpaceDE w:val="0"/>
              <w:autoSpaceDN w:val="0"/>
              <w:adjustRightInd w:val="0"/>
              <w:snapToGrid w:val="0"/>
              <w:rPr>
                <w:snapToGrid w:val="0"/>
                <w:kern w:val="22"/>
              </w:rPr>
            </w:pPr>
          </w:p>
        </w:tc>
      </w:tr>
    </w:tbl>
    <w:p w14:paraId="16E481B9" w14:textId="77777777" w:rsidR="003B44F9" w:rsidRPr="00230BC2"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230BC2">
        <w:rPr>
          <w:snapToGrid w:val="0"/>
          <w:kern w:val="22"/>
        </w:rPr>
        <w:t>CONFERENCE OF THE PARTIES TO THE CONVENTION ON BIOLOGICAL DIVERSITY</w:t>
      </w:r>
    </w:p>
    <w:p w14:paraId="5933F3E7" w14:textId="3753AA4F" w:rsidR="00EF50EB" w:rsidRPr="00230BC2" w:rsidRDefault="00EF50EB" w:rsidP="00EF50EB">
      <w:pPr>
        <w:pStyle w:val="Cornernotation"/>
        <w:suppressLineNumbers/>
        <w:suppressAutoHyphens/>
        <w:kinsoku w:val="0"/>
        <w:overflowPunct w:val="0"/>
        <w:autoSpaceDE w:val="0"/>
        <w:autoSpaceDN w:val="0"/>
        <w:adjustRightInd w:val="0"/>
        <w:snapToGrid w:val="0"/>
        <w:rPr>
          <w:snapToGrid w:val="0"/>
          <w:kern w:val="22"/>
        </w:rPr>
      </w:pPr>
      <w:r w:rsidRPr="00230BC2">
        <w:rPr>
          <w:snapToGrid w:val="0"/>
          <w:kern w:val="22"/>
        </w:rPr>
        <w:t xml:space="preserve">Fifteenth meeting </w:t>
      </w:r>
      <w:r w:rsidRPr="00230BC2">
        <w:rPr>
          <w:snapToGrid w:val="0"/>
          <w:kern w:val="22"/>
        </w:rPr>
        <w:sym w:font="Symbol" w:char="F02D"/>
      </w:r>
      <w:r w:rsidRPr="00230BC2">
        <w:rPr>
          <w:snapToGrid w:val="0"/>
          <w:kern w:val="22"/>
        </w:rPr>
        <w:t xml:space="preserve"> Part II and resumed part II</w:t>
      </w:r>
    </w:p>
    <w:p w14:paraId="0ACBA25B" w14:textId="77777777" w:rsidR="00EC458E" w:rsidRPr="00230BC2" w:rsidRDefault="00EC458E" w:rsidP="00EC458E">
      <w:pPr>
        <w:pStyle w:val="Cornernotation"/>
        <w:suppressLineNumbers/>
        <w:suppressAutoHyphens/>
        <w:kinsoku w:val="0"/>
        <w:overflowPunct w:val="0"/>
        <w:autoSpaceDE w:val="0"/>
        <w:autoSpaceDN w:val="0"/>
        <w:adjustRightInd w:val="0"/>
        <w:snapToGrid w:val="0"/>
        <w:ind w:right="4116"/>
        <w:rPr>
          <w:snapToGrid w:val="0"/>
          <w:kern w:val="22"/>
        </w:rPr>
      </w:pPr>
      <w:r w:rsidRPr="00230BC2">
        <w:rPr>
          <w:snapToGrid w:val="0"/>
          <w:kern w:val="22"/>
        </w:rPr>
        <w:t>Montreal, Canada, 7</w:t>
      </w:r>
      <w:r w:rsidRPr="00230BC2">
        <w:rPr>
          <w:snapToGrid w:val="0"/>
          <w:kern w:val="22"/>
        </w:rPr>
        <w:sym w:font="Symbol" w:char="F02D"/>
      </w:r>
      <w:r w:rsidRPr="00230BC2">
        <w:rPr>
          <w:snapToGrid w:val="0"/>
          <w:kern w:val="22"/>
        </w:rPr>
        <w:t xml:space="preserve">19 December 2022 </w:t>
      </w:r>
    </w:p>
    <w:p w14:paraId="039E7421" w14:textId="77777777" w:rsidR="00EF50EB" w:rsidRPr="00230BC2" w:rsidRDefault="00EF50EB" w:rsidP="00EF50EB">
      <w:pPr>
        <w:pStyle w:val="Cornernotation"/>
        <w:suppressLineNumbers/>
        <w:suppressAutoHyphens/>
        <w:kinsoku w:val="0"/>
        <w:overflowPunct w:val="0"/>
        <w:autoSpaceDE w:val="0"/>
        <w:autoSpaceDN w:val="0"/>
        <w:adjustRightInd w:val="0"/>
        <w:snapToGrid w:val="0"/>
        <w:ind w:right="4116"/>
        <w:rPr>
          <w:snapToGrid w:val="0"/>
          <w:kern w:val="22"/>
        </w:rPr>
      </w:pPr>
      <w:r w:rsidRPr="00230BC2">
        <w:rPr>
          <w:snapToGrid w:val="0"/>
          <w:kern w:val="22"/>
        </w:rPr>
        <w:t>Nairobi, 19 and 20 October 2023</w:t>
      </w:r>
    </w:p>
    <w:p w14:paraId="57F6B7A1" w14:textId="5FEA3D24" w:rsidR="00C9161D" w:rsidRPr="00230BC2" w:rsidRDefault="00C10F84" w:rsidP="00B05E90">
      <w:pPr>
        <w:pStyle w:val="BodyText"/>
        <w:ind w:firstLine="0"/>
        <w:jc w:val="center"/>
        <w:rPr>
          <w:b/>
          <w:bCs/>
          <w:snapToGrid w:val="0"/>
        </w:rPr>
      </w:pPr>
      <w:sdt>
        <w:sdtPr>
          <w:rPr>
            <w:b/>
            <w:bCs/>
            <w:snapToGrid w:val="0"/>
          </w:rPr>
          <w:alias w:val="Title"/>
          <w:tag w:val=""/>
          <w:id w:val="1641619548"/>
          <w:placeholder>
            <w:docPart w:val="3BAF50A6B5764CF6B487FA027EC3EC28"/>
          </w:placeholder>
          <w:dataBinding w:prefixMappings="xmlns:ns0='http://purl.org/dc/elements/1.1/' xmlns:ns1='http://schemas.openxmlformats.org/package/2006/metadata/core-properties' " w:xpath="/ns1:coreProperties[1]/ns0:title[1]" w:storeItemID="{6C3C8BC8-F283-45AE-878A-BAB7291924A1}"/>
          <w:text/>
        </w:sdtPr>
        <w:sdtEndPr/>
        <w:sdtContent>
          <w:r w:rsidR="00C1188F" w:rsidRPr="00230BC2">
            <w:rPr>
              <w:b/>
              <w:bCs/>
              <w:snapToGrid w:val="0"/>
            </w:rPr>
            <w:t>REPORT OF THE CONFERENCE OF THE PARTIES TO THE CONVENTION ON BIOLOGICAL DIVERSITY ON THE SECOND PART OF ITS FIFTEENTH MEETING</w:t>
          </w:r>
        </w:sdtContent>
      </w:sdt>
    </w:p>
    <w:tbl>
      <w:tblPr>
        <w:tblStyle w:val="TableGrid"/>
        <w:tblW w:w="0" w:type="auto"/>
        <w:tblLook w:val="04A0" w:firstRow="1" w:lastRow="0" w:firstColumn="1" w:lastColumn="0" w:noHBand="0" w:noVBand="1"/>
      </w:tblPr>
      <w:tblGrid>
        <w:gridCol w:w="9350"/>
      </w:tblGrid>
      <w:tr w:rsidR="002623FE" w:rsidRPr="00230BC2" w14:paraId="5B21B792" w14:textId="77777777" w:rsidTr="002623FE">
        <w:tc>
          <w:tcPr>
            <w:tcW w:w="9350" w:type="dxa"/>
          </w:tcPr>
          <w:p w14:paraId="623E2389" w14:textId="77777777" w:rsidR="00166B37" w:rsidRPr="00230BC2" w:rsidRDefault="00166B37" w:rsidP="00403847">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i/>
                <w:iCs/>
                <w:snapToGrid w:val="0"/>
              </w:rPr>
            </w:pPr>
            <w:r w:rsidRPr="00230BC2">
              <w:rPr>
                <w:rFonts w:asciiTheme="majorBidi" w:hAnsiTheme="majorBidi" w:cstheme="majorBidi"/>
                <w:bCs/>
                <w:i/>
                <w:iCs/>
                <w:snapToGrid w:val="0"/>
              </w:rPr>
              <w:t>Summary</w:t>
            </w:r>
          </w:p>
          <w:p w14:paraId="64F30C0A" w14:textId="669F09E2" w:rsidR="002623FE" w:rsidRPr="00230BC2" w:rsidRDefault="00166B37" w:rsidP="00403847">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snapToGrid w:val="0"/>
              </w:rPr>
            </w:pPr>
            <w:r w:rsidRPr="00230BC2">
              <w:rPr>
                <w:rFonts w:asciiTheme="majorBidi" w:hAnsiTheme="majorBidi" w:cstheme="majorBidi"/>
                <w:bCs/>
                <w:snapToGrid w:val="0"/>
              </w:rPr>
              <w:tab/>
            </w:r>
            <w:r w:rsidR="00E67010" w:rsidRPr="00230BC2">
              <w:rPr>
                <w:rFonts w:asciiTheme="majorBidi" w:hAnsiTheme="majorBidi" w:cstheme="majorBidi"/>
                <w:bCs/>
                <w:snapToGrid w:val="0"/>
              </w:rPr>
              <w:t xml:space="preserve">The Conference of the Parties </w:t>
            </w:r>
            <w:r w:rsidR="002D6280" w:rsidRPr="00230BC2">
              <w:rPr>
                <w:rFonts w:asciiTheme="majorBidi" w:hAnsiTheme="majorBidi" w:cstheme="majorBidi"/>
                <w:bCs/>
                <w:snapToGrid w:val="0"/>
              </w:rPr>
              <w:t xml:space="preserve">to the Convention on Biological Diversity held </w:t>
            </w:r>
            <w:r w:rsidR="00332F15" w:rsidRPr="00230BC2">
              <w:rPr>
                <w:rFonts w:asciiTheme="majorBidi" w:hAnsiTheme="majorBidi" w:cstheme="majorBidi"/>
                <w:bCs/>
                <w:snapToGrid w:val="0"/>
              </w:rPr>
              <w:t xml:space="preserve">the </w:t>
            </w:r>
            <w:r w:rsidR="00845198" w:rsidRPr="00230BC2">
              <w:rPr>
                <w:rFonts w:asciiTheme="majorBidi" w:hAnsiTheme="majorBidi" w:cstheme="majorBidi"/>
                <w:bCs/>
                <w:snapToGrid w:val="0"/>
              </w:rPr>
              <w:t>second part of</w:t>
            </w:r>
            <w:r w:rsidR="000C4DF1" w:rsidRPr="00230BC2">
              <w:rPr>
                <w:rFonts w:asciiTheme="majorBidi" w:hAnsiTheme="majorBidi" w:cstheme="majorBidi"/>
                <w:bCs/>
                <w:snapToGrid w:val="0"/>
              </w:rPr>
              <w:t xml:space="preserve"> its fifteenth meeting in </w:t>
            </w:r>
            <w:r w:rsidR="00332F15" w:rsidRPr="00230BC2">
              <w:rPr>
                <w:rFonts w:asciiTheme="majorBidi" w:hAnsiTheme="majorBidi" w:cstheme="majorBidi"/>
                <w:bCs/>
                <w:snapToGrid w:val="0"/>
              </w:rPr>
              <w:t>Montreal, Canada, from 7 to 19 December 2022</w:t>
            </w:r>
            <w:r w:rsidR="00581CBE" w:rsidRPr="00230BC2">
              <w:rPr>
                <w:rFonts w:asciiTheme="majorBidi" w:hAnsiTheme="majorBidi" w:cstheme="majorBidi"/>
                <w:bCs/>
                <w:snapToGrid w:val="0"/>
              </w:rPr>
              <w:t>,</w:t>
            </w:r>
            <w:r w:rsidR="00332F15" w:rsidRPr="00230BC2">
              <w:rPr>
                <w:rFonts w:asciiTheme="majorBidi" w:hAnsiTheme="majorBidi" w:cstheme="majorBidi"/>
                <w:bCs/>
                <w:snapToGrid w:val="0"/>
              </w:rPr>
              <w:t xml:space="preserve"> and </w:t>
            </w:r>
            <w:r w:rsidR="000C4DF1" w:rsidRPr="00230BC2">
              <w:rPr>
                <w:rFonts w:asciiTheme="majorBidi" w:hAnsiTheme="majorBidi" w:cstheme="majorBidi"/>
                <w:bCs/>
                <w:snapToGrid w:val="0"/>
              </w:rPr>
              <w:t>in Nairobi, on 19 and 20 October 2023.</w:t>
            </w:r>
            <w:r w:rsidR="00332F15" w:rsidRPr="00230BC2">
              <w:rPr>
                <w:rFonts w:asciiTheme="majorBidi" w:hAnsiTheme="majorBidi" w:cstheme="majorBidi"/>
                <w:bCs/>
                <w:snapToGrid w:val="0"/>
              </w:rPr>
              <w:t xml:space="preserve"> </w:t>
            </w:r>
            <w:r w:rsidR="002D6280" w:rsidRPr="00230BC2">
              <w:rPr>
                <w:rFonts w:asciiTheme="majorBidi" w:hAnsiTheme="majorBidi" w:cstheme="majorBidi"/>
                <w:bCs/>
                <w:snapToGrid w:val="0"/>
              </w:rPr>
              <w:t>It adopted 3</w:t>
            </w:r>
            <w:r w:rsidR="003945F9" w:rsidRPr="00230BC2">
              <w:rPr>
                <w:rFonts w:asciiTheme="majorBidi" w:hAnsiTheme="majorBidi" w:cstheme="majorBidi"/>
                <w:bCs/>
                <w:snapToGrid w:val="0"/>
              </w:rPr>
              <w:t>5</w:t>
            </w:r>
            <w:r w:rsidR="002D6280" w:rsidRPr="00230BC2">
              <w:rPr>
                <w:rFonts w:asciiTheme="majorBidi" w:hAnsiTheme="majorBidi" w:cstheme="majorBidi"/>
                <w:bCs/>
                <w:snapToGrid w:val="0"/>
              </w:rPr>
              <w:t xml:space="preserve"> decisions </w:t>
            </w:r>
            <w:r w:rsidR="00334518" w:rsidRPr="00230BC2">
              <w:rPr>
                <w:rFonts w:asciiTheme="majorBidi" w:hAnsiTheme="majorBidi" w:cstheme="majorBidi"/>
                <w:bCs/>
                <w:snapToGrid w:val="0"/>
              </w:rPr>
              <w:t xml:space="preserve">(see </w:t>
            </w:r>
            <w:r w:rsidR="002D6280" w:rsidRPr="00230BC2">
              <w:rPr>
                <w:rFonts w:asciiTheme="majorBidi" w:hAnsiTheme="majorBidi" w:cstheme="majorBidi"/>
                <w:bCs/>
                <w:snapToGrid w:val="0"/>
              </w:rPr>
              <w:t>sect</w:t>
            </w:r>
            <w:r w:rsidR="00334518" w:rsidRPr="00230BC2">
              <w:rPr>
                <w:rFonts w:asciiTheme="majorBidi" w:hAnsiTheme="majorBidi" w:cstheme="majorBidi"/>
                <w:bCs/>
                <w:snapToGrid w:val="0"/>
              </w:rPr>
              <w:t>.</w:t>
            </w:r>
            <w:r w:rsidR="002D6280" w:rsidRPr="00230BC2">
              <w:rPr>
                <w:rFonts w:asciiTheme="majorBidi" w:hAnsiTheme="majorBidi" w:cstheme="majorBidi"/>
                <w:bCs/>
                <w:snapToGrid w:val="0"/>
              </w:rPr>
              <w:t xml:space="preserve"> I</w:t>
            </w:r>
            <w:r w:rsidR="00334518" w:rsidRPr="00230BC2">
              <w:rPr>
                <w:rFonts w:asciiTheme="majorBidi" w:hAnsiTheme="majorBidi" w:cstheme="majorBidi"/>
                <w:bCs/>
                <w:snapToGrid w:val="0"/>
              </w:rPr>
              <w:t>)</w:t>
            </w:r>
            <w:r w:rsidR="005139F9" w:rsidRPr="00230BC2">
              <w:rPr>
                <w:rFonts w:asciiTheme="majorBidi" w:hAnsiTheme="majorBidi" w:cstheme="majorBidi"/>
                <w:bCs/>
                <w:snapToGrid w:val="0"/>
              </w:rPr>
              <w:t>, including</w:t>
            </w:r>
            <w:r w:rsidR="000420A6" w:rsidRPr="00230BC2">
              <w:rPr>
                <w:rFonts w:asciiTheme="majorBidi" w:hAnsiTheme="majorBidi" w:cstheme="majorBidi"/>
                <w:bCs/>
                <w:snapToGrid w:val="0"/>
              </w:rPr>
              <w:t>,</w:t>
            </w:r>
            <w:r w:rsidR="005139F9" w:rsidRPr="00230BC2">
              <w:rPr>
                <w:rFonts w:asciiTheme="majorBidi" w:hAnsiTheme="majorBidi" w:cstheme="majorBidi"/>
                <w:bCs/>
                <w:snapToGrid w:val="0"/>
              </w:rPr>
              <w:t xml:space="preserve"> in particular</w:t>
            </w:r>
            <w:r w:rsidR="000420A6" w:rsidRPr="00230BC2">
              <w:rPr>
                <w:rFonts w:asciiTheme="majorBidi" w:hAnsiTheme="majorBidi" w:cstheme="majorBidi"/>
                <w:bCs/>
                <w:snapToGrid w:val="0"/>
              </w:rPr>
              <w:t>,</w:t>
            </w:r>
            <w:r w:rsidR="005139F9" w:rsidRPr="00230BC2">
              <w:rPr>
                <w:rFonts w:asciiTheme="majorBidi" w:hAnsiTheme="majorBidi" w:cstheme="majorBidi"/>
                <w:bCs/>
                <w:snapToGrid w:val="0"/>
              </w:rPr>
              <w:t xml:space="preserve"> </w:t>
            </w:r>
            <w:r w:rsidR="009A0667" w:rsidRPr="00230BC2">
              <w:rPr>
                <w:rFonts w:asciiTheme="majorBidi" w:hAnsiTheme="majorBidi" w:cstheme="majorBidi"/>
                <w:bCs/>
                <w:snapToGrid w:val="0"/>
              </w:rPr>
              <w:t xml:space="preserve">on </w:t>
            </w:r>
            <w:r w:rsidR="005139F9" w:rsidRPr="00230BC2">
              <w:rPr>
                <w:rFonts w:asciiTheme="majorBidi" w:hAnsiTheme="majorBidi" w:cstheme="majorBidi"/>
                <w:bCs/>
                <w:snapToGrid w:val="0"/>
              </w:rPr>
              <w:t>the Kunming-Montreal Global Biodiversity Framework</w:t>
            </w:r>
            <w:r w:rsidR="00DF2F64" w:rsidRPr="00230BC2">
              <w:rPr>
                <w:rFonts w:asciiTheme="majorBidi" w:hAnsiTheme="majorBidi" w:cstheme="majorBidi"/>
                <w:bCs/>
                <w:snapToGrid w:val="0"/>
              </w:rPr>
              <w:t>.</w:t>
            </w:r>
            <w:r w:rsidR="002D6280" w:rsidRPr="00230BC2">
              <w:rPr>
                <w:rFonts w:asciiTheme="majorBidi" w:hAnsiTheme="majorBidi" w:cstheme="majorBidi"/>
                <w:bCs/>
                <w:snapToGrid w:val="0"/>
              </w:rPr>
              <w:t xml:space="preserve"> The account of the proceedings of the meeting is contained in section II</w:t>
            </w:r>
            <w:r w:rsidR="00882534" w:rsidRPr="00230BC2">
              <w:rPr>
                <w:rFonts w:asciiTheme="majorBidi" w:hAnsiTheme="majorBidi" w:cstheme="majorBidi"/>
                <w:bCs/>
                <w:snapToGrid w:val="0"/>
              </w:rPr>
              <w:t xml:space="preserve">, while the </w:t>
            </w:r>
            <w:r w:rsidR="00BD572D" w:rsidRPr="00230BC2">
              <w:rPr>
                <w:rFonts w:asciiTheme="majorBidi" w:hAnsiTheme="majorBidi" w:cstheme="majorBidi"/>
                <w:bCs/>
                <w:snapToGrid w:val="0"/>
              </w:rPr>
              <w:t>a</w:t>
            </w:r>
            <w:r w:rsidR="002D6280" w:rsidRPr="00230BC2">
              <w:rPr>
                <w:rFonts w:asciiTheme="majorBidi" w:hAnsiTheme="majorBidi" w:cstheme="majorBidi"/>
                <w:bCs/>
                <w:snapToGrid w:val="0"/>
              </w:rPr>
              <w:t>nnex contains the list of the organizations represented at the meeting.</w:t>
            </w:r>
          </w:p>
        </w:tc>
      </w:tr>
    </w:tbl>
    <w:p w14:paraId="14F8900B" w14:textId="77777777" w:rsidR="002623FE" w:rsidRPr="00230BC2" w:rsidRDefault="002623FE" w:rsidP="00942CC3">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snapToGrid w:val="0"/>
        </w:rPr>
      </w:pPr>
    </w:p>
    <w:p w14:paraId="5D9D66CC" w14:textId="77777777" w:rsidR="002623FE" w:rsidRPr="00230BC2" w:rsidRDefault="002623FE" w:rsidP="00942CC3">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i/>
          <w:iCs/>
          <w:snapToGrid w:val="0"/>
        </w:rPr>
        <w:sectPr w:rsidR="002623FE" w:rsidRPr="00230BC2" w:rsidSect="0090075A">
          <w:headerReference w:type="even" r:id="rId15"/>
          <w:headerReference w:type="default" r:id="rId16"/>
          <w:pgSz w:w="12240" w:h="15840"/>
          <w:pgMar w:top="567" w:right="1440" w:bottom="1134" w:left="1440" w:header="709" w:footer="709" w:gutter="0"/>
          <w:cols w:space="708"/>
          <w:titlePg/>
          <w:docGrid w:linePitch="360"/>
        </w:sectPr>
      </w:pPr>
    </w:p>
    <w:p w14:paraId="3C5368D9" w14:textId="311BD999" w:rsidR="00B1325F" w:rsidRDefault="00B1325F" w:rsidP="00B1325F">
      <w:pPr>
        <w:pStyle w:val="Heading1"/>
        <w:jc w:val="left"/>
        <w:rPr>
          <w:b w:val="0"/>
          <w:bCs/>
          <w:caps w:val="0"/>
          <w:snapToGrid w:val="0"/>
          <w:sz w:val="28"/>
          <w:szCs w:val="28"/>
        </w:rPr>
      </w:pPr>
      <w:bookmarkStart w:id="0" w:name="_Toc150438779"/>
      <w:bookmarkStart w:id="1" w:name="_Toc150670280"/>
      <w:bookmarkStart w:id="2" w:name="_Toc150670497"/>
      <w:bookmarkStart w:id="3" w:name="_Toc150670607"/>
      <w:bookmarkStart w:id="4" w:name="_Toc150761109"/>
      <w:r w:rsidRPr="00230BC2">
        <w:rPr>
          <w:b w:val="0"/>
          <w:bCs/>
          <w:caps w:val="0"/>
          <w:snapToGrid w:val="0"/>
          <w:sz w:val="28"/>
          <w:szCs w:val="28"/>
        </w:rPr>
        <w:lastRenderedPageBreak/>
        <w:t>Contents</w:t>
      </w:r>
      <w:bookmarkEnd w:id="0"/>
      <w:bookmarkEnd w:id="1"/>
      <w:bookmarkEnd w:id="2"/>
      <w:bookmarkEnd w:id="3"/>
      <w:bookmarkEnd w:id="4"/>
      <w:r w:rsidR="00B335F3">
        <w:rPr>
          <w:b w:val="0"/>
          <w:bCs/>
          <w:caps w:val="0"/>
          <w:snapToGrid w:val="0"/>
          <w:sz w:val="28"/>
          <w:szCs w:val="28"/>
        </w:rPr>
        <w:t xml:space="preserve"> </w:t>
      </w:r>
    </w:p>
    <w:p w14:paraId="64719241" w14:textId="6F2F00BC" w:rsidR="00A7393D" w:rsidRPr="00033280" w:rsidRDefault="00A7393D" w:rsidP="00346301">
      <w:pPr>
        <w:pStyle w:val="TOC1"/>
        <w:rPr>
          <w:rFonts w:asciiTheme="minorHAnsi" w:eastAsiaTheme="minorEastAsia" w:hAnsiTheme="minorHAnsi" w:cstheme="minorBidi"/>
          <w:i/>
          <w:iCs/>
          <w:kern w:val="2"/>
          <w:lang w:val="en-US" w:eastAsia="zh-CN"/>
          <w14:ligatures w14:val="standardContextual"/>
        </w:rPr>
      </w:pPr>
      <w:r>
        <w:fldChar w:fldCharType="begin"/>
      </w:r>
      <w:r>
        <w:instrText xml:space="preserve"> TOC \h \z \t "Heading 1,1,Heading 1 (long multiline),1,Heading 1 (multiline),1,decision,2" </w:instrText>
      </w:r>
      <w:r>
        <w:fldChar w:fldCharType="separate"/>
      </w:r>
      <w:r w:rsidR="00B6214D" w:rsidRPr="00033280">
        <w:rPr>
          <w:i/>
          <w:iCs/>
        </w:rPr>
        <w:t>Page</w:t>
      </w:r>
    </w:p>
    <w:p w14:paraId="75F6D428" w14:textId="71AC7ECD" w:rsidR="00A7393D" w:rsidRDefault="00C10F84" w:rsidP="00F241DC">
      <w:pPr>
        <w:pStyle w:val="TOC1"/>
        <w:rPr>
          <w:rFonts w:asciiTheme="minorHAnsi" w:eastAsiaTheme="minorEastAsia" w:hAnsiTheme="minorHAnsi" w:cstheme="minorBidi"/>
          <w:kern w:val="2"/>
          <w:lang w:val="en-US" w:eastAsia="zh-CN"/>
          <w14:ligatures w14:val="standardContextual"/>
        </w:rPr>
      </w:pPr>
      <w:hyperlink w:anchor="_Toc150761110" w:history="1">
        <w:r w:rsidR="00A7393D" w:rsidRPr="00033280">
          <w:rPr>
            <w:rStyle w:val="Hyperlink"/>
            <w:sz w:val="22"/>
          </w:rPr>
          <w:t>I.</w:t>
        </w:r>
        <w:r w:rsidR="00A7393D" w:rsidRPr="00033280">
          <w:rPr>
            <w:rFonts w:asciiTheme="minorHAnsi" w:eastAsiaTheme="minorEastAsia" w:hAnsiTheme="minorHAnsi" w:cstheme="minorBidi"/>
            <w:kern w:val="2"/>
            <w:lang w:val="en-US" w:eastAsia="zh-CN"/>
            <w14:ligatures w14:val="standardContextual"/>
          </w:rPr>
          <w:tab/>
        </w:r>
        <w:r w:rsidR="00A7393D" w:rsidRPr="00033280">
          <w:rPr>
            <w:rStyle w:val="Hyperlink"/>
            <w:sz w:val="22"/>
          </w:rPr>
          <w:t>D</w:t>
        </w:r>
        <w:r w:rsidR="00AD4E99" w:rsidRPr="00033280">
          <w:rPr>
            <w:rStyle w:val="Hyperlink"/>
            <w:sz w:val="22"/>
          </w:rPr>
          <w:t xml:space="preserve">ecisions adopted by the Conference of the Parties to the </w:t>
        </w:r>
        <w:r w:rsidR="008521DB" w:rsidRPr="00033280">
          <w:rPr>
            <w:rStyle w:val="Hyperlink"/>
            <w:sz w:val="22"/>
          </w:rPr>
          <w:t>C</w:t>
        </w:r>
        <w:r w:rsidR="00AD4E99" w:rsidRPr="00033280">
          <w:rPr>
            <w:rStyle w:val="Hyperlink"/>
            <w:sz w:val="22"/>
          </w:rPr>
          <w:t>onvention</w:t>
        </w:r>
        <w:r w:rsidR="00F241DC" w:rsidRPr="00AE41A6">
          <w:rPr>
            <w:rStyle w:val="FootnoteReference"/>
          </w:rPr>
          <w:footnoteReference w:customMarkFollows="1" w:id="2"/>
          <w:t>*</w:t>
        </w:r>
        <w:r w:rsidR="00A7393D" w:rsidRPr="00033280">
          <w:rPr>
            <w:webHidden/>
          </w:rPr>
          <w:tab/>
        </w:r>
        <w:r w:rsidR="00A7393D" w:rsidRPr="00033280">
          <w:rPr>
            <w:webHidden/>
          </w:rPr>
          <w:fldChar w:fldCharType="begin"/>
        </w:r>
        <w:r w:rsidR="00A7393D" w:rsidRPr="00033280">
          <w:rPr>
            <w:webHidden/>
          </w:rPr>
          <w:instrText xml:space="preserve"> PAGEREF _Toc150761110 \h </w:instrText>
        </w:r>
        <w:r w:rsidR="00A7393D" w:rsidRPr="00033280">
          <w:rPr>
            <w:webHidden/>
          </w:rPr>
        </w:r>
        <w:r w:rsidR="00A7393D" w:rsidRPr="00033280">
          <w:rPr>
            <w:webHidden/>
          </w:rPr>
          <w:fldChar w:fldCharType="separate"/>
        </w:r>
        <w:r w:rsidR="007459F7">
          <w:rPr>
            <w:webHidden/>
          </w:rPr>
          <w:t>3</w:t>
        </w:r>
        <w:r w:rsidR="00A7393D" w:rsidRPr="00033280">
          <w:rPr>
            <w:webHidden/>
          </w:rPr>
          <w:fldChar w:fldCharType="end"/>
        </w:r>
      </w:hyperlink>
      <w:hyperlink w:anchor="_Toc150761111" w:history="1"/>
    </w:p>
    <w:p w14:paraId="1935F3C0" w14:textId="0189819A"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2" w:history="1">
        <w:r w:rsidR="00A7393D" w:rsidRPr="000D6BED">
          <w:rPr>
            <w:rStyle w:val="Hyperlink"/>
            <w:lang w:val="en-US"/>
          </w:rPr>
          <w:t>15/2.</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lang w:val="en-US"/>
          </w:rPr>
          <w:t>Informing the scientific and technical evidence base for the Kunming-Montreal Global Biodiversity Framework</w:t>
        </w:r>
        <w:r w:rsidR="00A7393D">
          <w:rPr>
            <w:webHidden/>
          </w:rPr>
          <w:tab/>
        </w:r>
        <w:r w:rsidR="00A7393D">
          <w:rPr>
            <w:webHidden/>
          </w:rPr>
          <w:fldChar w:fldCharType="begin"/>
        </w:r>
        <w:r w:rsidR="00A7393D">
          <w:rPr>
            <w:webHidden/>
          </w:rPr>
          <w:instrText xml:space="preserve"> PAGEREF _Toc150761112 \h </w:instrText>
        </w:r>
        <w:r w:rsidR="00A7393D">
          <w:rPr>
            <w:webHidden/>
          </w:rPr>
        </w:r>
        <w:r w:rsidR="00A7393D">
          <w:rPr>
            <w:webHidden/>
          </w:rPr>
          <w:fldChar w:fldCharType="separate"/>
        </w:r>
        <w:r w:rsidR="007459F7">
          <w:rPr>
            <w:webHidden/>
          </w:rPr>
          <w:t>13</w:t>
        </w:r>
        <w:r w:rsidR="00A7393D">
          <w:rPr>
            <w:webHidden/>
          </w:rPr>
          <w:fldChar w:fldCharType="end"/>
        </w:r>
      </w:hyperlink>
    </w:p>
    <w:p w14:paraId="45D4D1E9" w14:textId="3E219D2F"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3" w:history="1">
        <w:r w:rsidR="00A7393D" w:rsidRPr="000D6BED">
          <w:rPr>
            <w:rStyle w:val="Hyperlink"/>
            <w:lang w:val="en-US"/>
          </w:rPr>
          <w:t>15/3.</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lang w:val="en-US"/>
          </w:rPr>
          <w:t>Review of progress in the implementation of the Convention and the Strategic Plan for Biodiversity 2011</w:t>
        </w:r>
        <w:r w:rsidR="00E92A54">
          <w:rPr>
            <w:rStyle w:val="Hyperlink"/>
            <w:lang w:val="en-US"/>
          </w:rPr>
          <w:t>–</w:t>
        </w:r>
        <w:r w:rsidR="00A7393D" w:rsidRPr="000D6BED">
          <w:rPr>
            <w:rStyle w:val="Hyperlink"/>
            <w:lang w:val="en-US"/>
          </w:rPr>
          <w:t>2020 and the achievement of the Aichi Biodiversity Targets</w:t>
        </w:r>
        <w:r w:rsidR="00A7393D">
          <w:rPr>
            <w:webHidden/>
          </w:rPr>
          <w:tab/>
        </w:r>
        <w:r w:rsidR="00A7393D">
          <w:rPr>
            <w:webHidden/>
          </w:rPr>
          <w:fldChar w:fldCharType="begin"/>
        </w:r>
        <w:r w:rsidR="00A7393D">
          <w:rPr>
            <w:webHidden/>
          </w:rPr>
          <w:instrText xml:space="preserve"> PAGEREF _Toc150761113 \h </w:instrText>
        </w:r>
        <w:r w:rsidR="00A7393D">
          <w:rPr>
            <w:webHidden/>
          </w:rPr>
        </w:r>
        <w:r w:rsidR="00A7393D">
          <w:rPr>
            <w:webHidden/>
          </w:rPr>
          <w:fldChar w:fldCharType="separate"/>
        </w:r>
        <w:r w:rsidR="007459F7">
          <w:rPr>
            <w:webHidden/>
          </w:rPr>
          <w:t>14</w:t>
        </w:r>
        <w:r w:rsidR="00A7393D">
          <w:rPr>
            <w:webHidden/>
          </w:rPr>
          <w:fldChar w:fldCharType="end"/>
        </w:r>
      </w:hyperlink>
    </w:p>
    <w:p w14:paraId="1085A439" w14:textId="2A97F42C"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4" w:history="1">
        <w:r w:rsidR="00A7393D" w:rsidRPr="000D6BED">
          <w:rPr>
            <w:rStyle w:val="Hyperlink"/>
          </w:rPr>
          <w:t>15/4.</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Kunming-Montreal Global Biodiversity Framework</w:t>
        </w:r>
        <w:r w:rsidR="00A7393D">
          <w:rPr>
            <w:webHidden/>
          </w:rPr>
          <w:tab/>
        </w:r>
        <w:r w:rsidR="00A7393D">
          <w:rPr>
            <w:webHidden/>
          </w:rPr>
          <w:fldChar w:fldCharType="begin"/>
        </w:r>
        <w:r w:rsidR="00A7393D">
          <w:rPr>
            <w:webHidden/>
          </w:rPr>
          <w:instrText xml:space="preserve"> PAGEREF _Toc150761114 \h </w:instrText>
        </w:r>
        <w:r w:rsidR="00A7393D">
          <w:rPr>
            <w:webHidden/>
          </w:rPr>
        </w:r>
        <w:r w:rsidR="00A7393D">
          <w:rPr>
            <w:webHidden/>
          </w:rPr>
          <w:fldChar w:fldCharType="separate"/>
        </w:r>
        <w:r w:rsidR="007459F7">
          <w:rPr>
            <w:webHidden/>
          </w:rPr>
          <w:t>16</w:t>
        </w:r>
        <w:r w:rsidR="00A7393D">
          <w:rPr>
            <w:webHidden/>
          </w:rPr>
          <w:fldChar w:fldCharType="end"/>
        </w:r>
      </w:hyperlink>
    </w:p>
    <w:p w14:paraId="71F9EA9B" w14:textId="227F00EC"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5" w:history="1">
        <w:r w:rsidR="00A7393D" w:rsidRPr="000D6BED">
          <w:rPr>
            <w:rStyle w:val="Hyperlink"/>
          </w:rPr>
          <w:t>15/5.</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Monitoring framework for the Kunming-Montreal Global Biodiversity Framework</w:t>
        </w:r>
        <w:r w:rsidR="00A7393D">
          <w:rPr>
            <w:webHidden/>
          </w:rPr>
          <w:tab/>
        </w:r>
        <w:r w:rsidR="00A7393D">
          <w:rPr>
            <w:webHidden/>
          </w:rPr>
          <w:fldChar w:fldCharType="begin"/>
        </w:r>
        <w:r w:rsidR="00A7393D">
          <w:rPr>
            <w:webHidden/>
          </w:rPr>
          <w:instrText xml:space="preserve"> PAGEREF _Toc150761115 \h </w:instrText>
        </w:r>
        <w:r w:rsidR="00A7393D">
          <w:rPr>
            <w:webHidden/>
          </w:rPr>
        </w:r>
        <w:r w:rsidR="00A7393D">
          <w:rPr>
            <w:webHidden/>
          </w:rPr>
          <w:fldChar w:fldCharType="separate"/>
        </w:r>
        <w:r w:rsidR="007459F7">
          <w:rPr>
            <w:webHidden/>
          </w:rPr>
          <w:t>29</w:t>
        </w:r>
        <w:r w:rsidR="00A7393D">
          <w:rPr>
            <w:webHidden/>
          </w:rPr>
          <w:fldChar w:fldCharType="end"/>
        </w:r>
      </w:hyperlink>
    </w:p>
    <w:p w14:paraId="1BAA3C97" w14:textId="7D531567"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6" w:history="1">
        <w:r w:rsidR="00A7393D" w:rsidRPr="000D6BED">
          <w:rPr>
            <w:rStyle w:val="Hyperlink"/>
          </w:rPr>
          <w:t>15/6.</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Mechanisms for planning, monitoring, reporting and review</w:t>
        </w:r>
        <w:r w:rsidR="00A7393D">
          <w:rPr>
            <w:webHidden/>
          </w:rPr>
          <w:tab/>
        </w:r>
        <w:r w:rsidR="00A7393D">
          <w:rPr>
            <w:webHidden/>
          </w:rPr>
          <w:fldChar w:fldCharType="begin"/>
        </w:r>
        <w:r w:rsidR="00A7393D">
          <w:rPr>
            <w:webHidden/>
          </w:rPr>
          <w:instrText xml:space="preserve"> PAGEREF _Toc150761116 \h </w:instrText>
        </w:r>
        <w:r w:rsidR="00A7393D">
          <w:rPr>
            <w:webHidden/>
          </w:rPr>
        </w:r>
        <w:r w:rsidR="00A7393D">
          <w:rPr>
            <w:webHidden/>
          </w:rPr>
          <w:fldChar w:fldCharType="separate"/>
        </w:r>
        <w:r w:rsidR="007459F7">
          <w:rPr>
            <w:webHidden/>
          </w:rPr>
          <w:t>55</w:t>
        </w:r>
        <w:r w:rsidR="00A7393D">
          <w:rPr>
            <w:webHidden/>
          </w:rPr>
          <w:fldChar w:fldCharType="end"/>
        </w:r>
      </w:hyperlink>
    </w:p>
    <w:p w14:paraId="6CE31F21" w14:textId="77690F0B"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7" w:history="1">
        <w:r w:rsidR="00A7393D" w:rsidRPr="000D6BED">
          <w:rPr>
            <w:rStyle w:val="Hyperlink"/>
            <w:snapToGrid w:val="0"/>
          </w:rPr>
          <w:t>15/7.</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snapToGrid w:val="0"/>
          </w:rPr>
          <w:t>Resource mobilization</w:t>
        </w:r>
        <w:r w:rsidR="00A7393D">
          <w:rPr>
            <w:webHidden/>
          </w:rPr>
          <w:tab/>
        </w:r>
        <w:r w:rsidR="00A7393D">
          <w:rPr>
            <w:webHidden/>
          </w:rPr>
          <w:fldChar w:fldCharType="begin"/>
        </w:r>
        <w:r w:rsidR="00A7393D">
          <w:rPr>
            <w:webHidden/>
          </w:rPr>
          <w:instrText xml:space="preserve"> PAGEREF _Toc150761117 \h </w:instrText>
        </w:r>
        <w:r w:rsidR="00A7393D">
          <w:rPr>
            <w:webHidden/>
          </w:rPr>
        </w:r>
        <w:r w:rsidR="00A7393D">
          <w:rPr>
            <w:webHidden/>
          </w:rPr>
          <w:fldChar w:fldCharType="separate"/>
        </w:r>
        <w:r w:rsidR="007459F7">
          <w:rPr>
            <w:webHidden/>
          </w:rPr>
          <w:t>71</w:t>
        </w:r>
        <w:r w:rsidR="00A7393D">
          <w:rPr>
            <w:webHidden/>
          </w:rPr>
          <w:fldChar w:fldCharType="end"/>
        </w:r>
      </w:hyperlink>
    </w:p>
    <w:p w14:paraId="602E309E" w14:textId="1473184D"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8" w:history="1">
        <w:r w:rsidR="00A7393D" w:rsidRPr="000D6BED">
          <w:rPr>
            <w:rStyle w:val="Hyperlink"/>
          </w:rPr>
          <w:t>15/8.</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Capacity-building and development and technical and scientific cooperation</w:t>
        </w:r>
        <w:r w:rsidR="00A7393D">
          <w:rPr>
            <w:webHidden/>
          </w:rPr>
          <w:tab/>
        </w:r>
        <w:r w:rsidR="00A7393D">
          <w:rPr>
            <w:webHidden/>
          </w:rPr>
          <w:fldChar w:fldCharType="begin"/>
        </w:r>
        <w:r w:rsidR="00A7393D">
          <w:rPr>
            <w:webHidden/>
          </w:rPr>
          <w:instrText xml:space="preserve"> PAGEREF _Toc150761118 \h </w:instrText>
        </w:r>
        <w:r w:rsidR="00A7393D">
          <w:rPr>
            <w:webHidden/>
          </w:rPr>
        </w:r>
        <w:r w:rsidR="00A7393D">
          <w:rPr>
            <w:webHidden/>
          </w:rPr>
          <w:fldChar w:fldCharType="separate"/>
        </w:r>
        <w:r w:rsidR="007459F7">
          <w:rPr>
            <w:webHidden/>
          </w:rPr>
          <w:t>83</w:t>
        </w:r>
        <w:r w:rsidR="00A7393D">
          <w:rPr>
            <w:webHidden/>
          </w:rPr>
          <w:fldChar w:fldCharType="end"/>
        </w:r>
      </w:hyperlink>
    </w:p>
    <w:p w14:paraId="670C1282" w14:textId="1E780CD4"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19" w:history="1">
        <w:r w:rsidR="00A7393D" w:rsidRPr="000D6BED">
          <w:rPr>
            <w:rStyle w:val="Hyperlink"/>
          </w:rPr>
          <w:t>15/9.</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Digital sequence information on genetic resources</w:t>
        </w:r>
        <w:r w:rsidR="00A7393D">
          <w:rPr>
            <w:webHidden/>
          </w:rPr>
          <w:tab/>
        </w:r>
        <w:r w:rsidR="00A7393D">
          <w:rPr>
            <w:webHidden/>
          </w:rPr>
          <w:fldChar w:fldCharType="begin"/>
        </w:r>
        <w:r w:rsidR="00A7393D">
          <w:rPr>
            <w:webHidden/>
          </w:rPr>
          <w:instrText xml:space="preserve"> PAGEREF _Toc150761119 \h </w:instrText>
        </w:r>
        <w:r w:rsidR="00A7393D">
          <w:rPr>
            <w:webHidden/>
          </w:rPr>
        </w:r>
        <w:r w:rsidR="00A7393D">
          <w:rPr>
            <w:webHidden/>
          </w:rPr>
          <w:fldChar w:fldCharType="separate"/>
        </w:r>
        <w:r w:rsidR="007459F7">
          <w:rPr>
            <w:webHidden/>
          </w:rPr>
          <w:t>103</w:t>
        </w:r>
        <w:r w:rsidR="00A7393D">
          <w:rPr>
            <w:webHidden/>
          </w:rPr>
          <w:fldChar w:fldCharType="end"/>
        </w:r>
      </w:hyperlink>
    </w:p>
    <w:p w14:paraId="552F01C2" w14:textId="7E90E619"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0" w:history="1">
        <w:r w:rsidR="00A7393D" w:rsidRPr="000D6BED">
          <w:rPr>
            <w:rStyle w:val="Hyperlink"/>
          </w:rPr>
          <w:t>15/10.</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Development of a new programme of work and institutional arrangements on Article 8(j) and other provisions of the Convention related to indigenous peoples and local communities</w:t>
        </w:r>
        <w:r w:rsidR="00A7393D">
          <w:rPr>
            <w:webHidden/>
          </w:rPr>
          <w:tab/>
        </w:r>
        <w:r w:rsidR="00A7393D">
          <w:rPr>
            <w:webHidden/>
          </w:rPr>
          <w:fldChar w:fldCharType="begin"/>
        </w:r>
        <w:r w:rsidR="00A7393D">
          <w:rPr>
            <w:webHidden/>
          </w:rPr>
          <w:instrText xml:space="preserve"> PAGEREF _Toc150761120 \h </w:instrText>
        </w:r>
        <w:r w:rsidR="00A7393D">
          <w:rPr>
            <w:webHidden/>
          </w:rPr>
        </w:r>
        <w:r w:rsidR="00A7393D">
          <w:rPr>
            <w:webHidden/>
          </w:rPr>
          <w:fldChar w:fldCharType="separate"/>
        </w:r>
        <w:r w:rsidR="007459F7">
          <w:rPr>
            <w:webHidden/>
          </w:rPr>
          <w:t>108</w:t>
        </w:r>
        <w:r w:rsidR="00A7393D">
          <w:rPr>
            <w:webHidden/>
          </w:rPr>
          <w:fldChar w:fldCharType="end"/>
        </w:r>
      </w:hyperlink>
    </w:p>
    <w:p w14:paraId="076344F9" w14:textId="17D8390E"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1" w:history="1">
        <w:r w:rsidR="00A7393D" w:rsidRPr="000D6BED">
          <w:rPr>
            <w:rStyle w:val="Hyperlink"/>
          </w:rPr>
          <w:t>15/11.</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Gender Plan of Action</w:t>
        </w:r>
        <w:r w:rsidR="00A7393D">
          <w:rPr>
            <w:webHidden/>
          </w:rPr>
          <w:tab/>
        </w:r>
        <w:r w:rsidR="00A7393D">
          <w:rPr>
            <w:webHidden/>
          </w:rPr>
          <w:fldChar w:fldCharType="begin"/>
        </w:r>
        <w:r w:rsidR="00A7393D">
          <w:rPr>
            <w:webHidden/>
          </w:rPr>
          <w:instrText xml:space="preserve"> PAGEREF _Toc150761121 \h </w:instrText>
        </w:r>
        <w:r w:rsidR="00A7393D">
          <w:rPr>
            <w:webHidden/>
          </w:rPr>
        </w:r>
        <w:r w:rsidR="00A7393D">
          <w:rPr>
            <w:webHidden/>
          </w:rPr>
          <w:fldChar w:fldCharType="separate"/>
        </w:r>
        <w:r w:rsidR="007459F7">
          <w:rPr>
            <w:webHidden/>
          </w:rPr>
          <w:t>116</w:t>
        </w:r>
        <w:r w:rsidR="00A7393D">
          <w:rPr>
            <w:webHidden/>
          </w:rPr>
          <w:fldChar w:fldCharType="end"/>
        </w:r>
      </w:hyperlink>
    </w:p>
    <w:p w14:paraId="0659C19A" w14:textId="5D119E2F"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2" w:history="1">
        <w:r w:rsidR="00A7393D" w:rsidRPr="000D6BED">
          <w:rPr>
            <w:rStyle w:val="Hyperlink"/>
          </w:rPr>
          <w:t>15/12.</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Engagement with subnational governments, cities and other local authorities to enhance implementation of the Kunming-Montreal Global Biodiversity Framework</w:t>
        </w:r>
        <w:r w:rsidR="00A7393D">
          <w:rPr>
            <w:webHidden/>
          </w:rPr>
          <w:tab/>
        </w:r>
        <w:r w:rsidR="00A7393D">
          <w:rPr>
            <w:webHidden/>
          </w:rPr>
          <w:fldChar w:fldCharType="begin"/>
        </w:r>
        <w:r w:rsidR="00A7393D">
          <w:rPr>
            <w:webHidden/>
          </w:rPr>
          <w:instrText xml:space="preserve"> PAGEREF _Toc150761122 \h </w:instrText>
        </w:r>
        <w:r w:rsidR="00A7393D">
          <w:rPr>
            <w:webHidden/>
          </w:rPr>
        </w:r>
        <w:r w:rsidR="00A7393D">
          <w:rPr>
            <w:webHidden/>
          </w:rPr>
          <w:fldChar w:fldCharType="separate"/>
        </w:r>
        <w:r w:rsidR="007459F7">
          <w:rPr>
            <w:webHidden/>
          </w:rPr>
          <w:t>127</w:t>
        </w:r>
        <w:r w:rsidR="00A7393D">
          <w:rPr>
            <w:webHidden/>
          </w:rPr>
          <w:fldChar w:fldCharType="end"/>
        </w:r>
      </w:hyperlink>
    </w:p>
    <w:p w14:paraId="3C64ECD0" w14:textId="07EE5196"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3" w:history="1">
        <w:r w:rsidR="00A7393D" w:rsidRPr="000D6BED">
          <w:rPr>
            <w:rStyle w:val="Hyperlink"/>
          </w:rPr>
          <w:t>15/13.</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Cooperation with other conventions and international organizations</w:t>
        </w:r>
        <w:r w:rsidR="00A7393D">
          <w:rPr>
            <w:webHidden/>
          </w:rPr>
          <w:tab/>
        </w:r>
        <w:r w:rsidR="00A7393D">
          <w:rPr>
            <w:webHidden/>
          </w:rPr>
          <w:fldChar w:fldCharType="begin"/>
        </w:r>
        <w:r w:rsidR="00A7393D">
          <w:rPr>
            <w:webHidden/>
          </w:rPr>
          <w:instrText xml:space="preserve"> PAGEREF _Toc150761123 \h </w:instrText>
        </w:r>
        <w:r w:rsidR="00A7393D">
          <w:rPr>
            <w:webHidden/>
          </w:rPr>
        </w:r>
        <w:r w:rsidR="00A7393D">
          <w:rPr>
            <w:webHidden/>
          </w:rPr>
          <w:fldChar w:fldCharType="separate"/>
        </w:r>
        <w:r w:rsidR="007459F7">
          <w:rPr>
            <w:webHidden/>
          </w:rPr>
          <w:t>132</w:t>
        </w:r>
        <w:r w:rsidR="00A7393D">
          <w:rPr>
            <w:webHidden/>
          </w:rPr>
          <w:fldChar w:fldCharType="end"/>
        </w:r>
      </w:hyperlink>
    </w:p>
    <w:p w14:paraId="06DDC66D" w14:textId="5CBC992B"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4" w:history="1">
        <w:r w:rsidR="00A7393D" w:rsidRPr="000D6BED">
          <w:rPr>
            <w:rStyle w:val="Hyperlink"/>
          </w:rPr>
          <w:t>15/14.</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Communication</w:t>
        </w:r>
        <w:r w:rsidR="00A7393D">
          <w:rPr>
            <w:webHidden/>
          </w:rPr>
          <w:tab/>
        </w:r>
        <w:r w:rsidR="00A7393D">
          <w:rPr>
            <w:webHidden/>
          </w:rPr>
          <w:fldChar w:fldCharType="begin"/>
        </w:r>
        <w:r w:rsidR="00A7393D">
          <w:rPr>
            <w:webHidden/>
          </w:rPr>
          <w:instrText xml:space="preserve"> PAGEREF _Toc150761124 \h </w:instrText>
        </w:r>
        <w:r w:rsidR="00A7393D">
          <w:rPr>
            <w:webHidden/>
          </w:rPr>
        </w:r>
        <w:r w:rsidR="00A7393D">
          <w:rPr>
            <w:webHidden/>
          </w:rPr>
          <w:fldChar w:fldCharType="separate"/>
        </w:r>
        <w:r w:rsidR="007459F7">
          <w:rPr>
            <w:webHidden/>
          </w:rPr>
          <w:t>136</w:t>
        </w:r>
        <w:r w:rsidR="00A7393D">
          <w:rPr>
            <w:webHidden/>
          </w:rPr>
          <w:fldChar w:fldCharType="end"/>
        </w:r>
      </w:hyperlink>
    </w:p>
    <w:p w14:paraId="0511F56E" w14:textId="4A4CF0DE"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5" w:history="1">
        <w:r w:rsidR="00A7393D" w:rsidRPr="000D6BED">
          <w:rPr>
            <w:rStyle w:val="Hyperlink"/>
          </w:rPr>
          <w:t>15/15.</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Financial mechanism</w:t>
        </w:r>
        <w:r w:rsidR="00A7393D">
          <w:rPr>
            <w:webHidden/>
          </w:rPr>
          <w:tab/>
        </w:r>
        <w:r w:rsidR="00A7393D">
          <w:rPr>
            <w:webHidden/>
          </w:rPr>
          <w:fldChar w:fldCharType="begin"/>
        </w:r>
        <w:r w:rsidR="00A7393D">
          <w:rPr>
            <w:webHidden/>
          </w:rPr>
          <w:instrText xml:space="preserve"> PAGEREF _Toc150761125 \h </w:instrText>
        </w:r>
        <w:r w:rsidR="00A7393D">
          <w:rPr>
            <w:webHidden/>
          </w:rPr>
        </w:r>
        <w:r w:rsidR="00A7393D">
          <w:rPr>
            <w:webHidden/>
          </w:rPr>
          <w:fldChar w:fldCharType="separate"/>
        </w:r>
        <w:r w:rsidR="007459F7">
          <w:rPr>
            <w:webHidden/>
          </w:rPr>
          <w:t>153</w:t>
        </w:r>
        <w:r w:rsidR="00A7393D">
          <w:rPr>
            <w:webHidden/>
          </w:rPr>
          <w:fldChar w:fldCharType="end"/>
        </w:r>
      </w:hyperlink>
    </w:p>
    <w:p w14:paraId="1D01286C" w14:textId="04C16438"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6" w:history="1">
        <w:r w:rsidR="00A7393D" w:rsidRPr="000D6BED">
          <w:rPr>
            <w:rStyle w:val="Hyperlink"/>
            <w:snapToGrid w:val="0"/>
          </w:rPr>
          <w:t>15/16.</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snapToGrid w:val="0"/>
          </w:rPr>
          <w:t>Knowledge management and the clearing-house mechanism</w:t>
        </w:r>
        <w:r w:rsidR="00A7393D">
          <w:rPr>
            <w:webHidden/>
          </w:rPr>
          <w:tab/>
        </w:r>
        <w:r w:rsidR="00A7393D">
          <w:rPr>
            <w:webHidden/>
          </w:rPr>
          <w:fldChar w:fldCharType="begin"/>
        </w:r>
        <w:r w:rsidR="00A7393D">
          <w:rPr>
            <w:webHidden/>
          </w:rPr>
          <w:instrText xml:space="preserve"> PAGEREF _Toc150761126 \h </w:instrText>
        </w:r>
        <w:r w:rsidR="00A7393D">
          <w:rPr>
            <w:webHidden/>
          </w:rPr>
        </w:r>
        <w:r w:rsidR="00A7393D">
          <w:rPr>
            <w:webHidden/>
          </w:rPr>
          <w:fldChar w:fldCharType="separate"/>
        </w:r>
        <w:r w:rsidR="007459F7">
          <w:rPr>
            <w:webHidden/>
          </w:rPr>
          <w:t>180</w:t>
        </w:r>
        <w:r w:rsidR="00A7393D">
          <w:rPr>
            <w:webHidden/>
          </w:rPr>
          <w:fldChar w:fldCharType="end"/>
        </w:r>
      </w:hyperlink>
    </w:p>
    <w:p w14:paraId="50787832" w14:textId="0A2E7D95"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7" w:history="1">
        <w:r w:rsidR="00A7393D" w:rsidRPr="000D6BED">
          <w:rPr>
            <w:rStyle w:val="Hyperlink"/>
          </w:rPr>
          <w:t>15/17.</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Long-term strategic approach to mainstreaming biodiversity within and across sectors</w:t>
        </w:r>
        <w:r w:rsidR="00A7393D">
          <w:rPr>
            <w:webHidden/>
          </w:rPr>
          <w:tab/>
        </w:r>
        <w:r w:rsidR="00A7393D">
          <w:rPr>
            <w:webHidden/>
          </w:rPr>
          <w:fldChar w:fldCharType="begin"/>
        </w:r>
        <w:r w:rsidR="00A7393D">
          <w:rPr>
            <w:webHidden/>
          </w:rPr>
          <w:instrText xml:space="preserve"> PAGEREF _Toc150761127 \h </w:instrText>
        </w:r>
        <w:r w:rsidR="00A7393D">
          <w:rPr>
            <w:webHidden/>
          </w:rPr>
        </w:r>
        <w:r w:rsidR="00A7393D">
          <w:rPr>
            <w:webHidden/>
          </w:rPr>
          <w:fldChar w:fldCharType="separate"/>
        </w:r>
        <w:r w:rsidR="007459F7">
          <w:rPr>
            <w:webHidden/>
          </w:rPr>
          <w:t>183</w:t>
        </w:r>
        <w:r w:rsidR="00A7393D">
          <w:rPr>
            <w:webHidden/>
          </w:rPr>
          <w:fldChar w:fldCharType="end"/>
        </w:r>
      </w:hyperlink>
    </w:p>
    <w:p w14:paraId="38A80283" w14:textId="34946A50"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8" w:history="1">
        <w:r w:rsidR="00A7393D" w:rsidRPr="000D6BED">
          <w:rPr>
            <w:rStyle w:val="Hyperlink"/>
          </w:rPr>
          <w:t>15/18.</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Review of the effectiveness of processes under the Convention and its Protocols</w:t>
        </w:r>
        <w:r w:rsidR="00A7393D">
          <w:rPr>
            <w:webHidden/>
          </w:rPr>
          <w:tab/>
        </w:r>
        <w:r w:rsidR="00A7393D">
          <w:rPr>
            <w:webHidden/>
          </w:rPr>
          <w:fldChar w:fldCharType="begin"/>
        </w:r>
        <w:r w:rsidR="00A7393D">
          <w:rPr>
            <w:webHidden/>
          </w:rPr>
          <w:instrText xml:space="preserve"> PAGEREF _Toc150761128 \h </w:instrText>
        </w:r>
        <w:r w:rsidR="00A7393D">
          <w:rPr>
            <w:webHidden/>
          </w:rPr>
        </w:r>
        <w:r w:rsidR="00A7393D">
          <w:rPr>
            <w:webHidden/>
          </w:rPr>
          <w:fldChar w:fldCharType="separate"/>
        </w:r>
        <w:r w:rsidR="007459F7">
          <w:rPr>
            <w:webHidden/>
          </w:rPr>
          <w:t>184</w:t>
        </w:r>
        <w:r w:rsidR="00A7393D">
          <w:rPr>
            <w:webHidden/>
          </w:rPr>
          <w:fldChar w:fldCharType="end"/>
        </w:r>
      </w:hyperlink>
    </w:p>
    <w:p w14:paraId="20752818" w14:textId="3CBF46D8"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29" w:history="1">
        <w:r w:rsidR="00A7393D" w:rsidRPr="000D6BED">
          <w:rPr>
            <w:rStyle w:val="Hyperlink"/>
          </w:rPr>
          <w:t>15/19.</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Programme of work of the Intergovernmental Science-Policy Platform on Biodiversity and Ecosystem Services</w:t>
        </w:r>
        <w:r w:rsidR="00A7393D">
          <w:rPr>
            <w:webHidden/>
          </w:rPr>
          <w:tab/>
        </w:r>
        <w:r w:rsidR="00A7393D">
          <w:rPr>
            <w:webHidden/>
          </w:rPr>
          <w:fldChar w:fldCharType="begin"/>
        </w:r>
        <w:r w:rsidR="00A7393D">
          <w:rPr>
            <w:webHidden/>
          </w:rPr>
          <w:instrText xml:space="preserve"> PAGEREF _Toc150761129 \h </w:instrText>
        </w:r>
        <w:r w:rsidR="00A7393D">
          <w:rPr>
            <w:webHidden/>
          </w:rPr>
        </w:r>
        <w:r w:rsidR="00A7393D">
          <w:rPr>
            <w:webHidden/>
          </w:rPr>
          <w:fldChar w:fldCharType="separate"/>
        </w:r>
        <w:r w:rsidR="007459F7">
          <w:rPr>
            <w:webHidden/>
          </w:rPr>
          <w:t>186</w:t>
        </w:r>
        <w:r w:rsidR="00A7393D">
          <w:rPr>
            <w:webHidden/>
          </w:rPr>
          <w:fldChar w:fldCharType="end"/>
        </w:r>
      </w:hyperlink>
    </w:p>
    <w:p w14:paraId="498FE5A7" w14:textId="110DA6C3"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0" w:history="1">
        <w:r w:rsidR="00A7393D" w:rsidRPr="000D6BED">
          <w:rPr>
            <w:rStyle w:val="Hyperlink"/>
          </w:rPr>
          <w:t>15/20.</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In-depth dialogue on the thematic areas and other cross-cutting issues conducted by the Ad Hoc Open-ended Inter-sessional Working Group on Article 8(j) and Related Provisions</w:t>
        </w:r>
        <w:r w:rsidR="00A7393D">
          <w:rPr>
            <w:webHidden/>
          </w:rPr>
          <w:tab/>
        </w:r>
        <w:r w:rsidR="00A7393D">
          <w:rPr>
            <w:webHidden/>
          </w:rPr>
          <w:fldChar w:fldCharType="begin"/>
        </w:r>
        <w:r w:rsidR="00A7393D">
          <w:rPr>
            <w:webHidden/>
          </w:rPr>
          <w:instrText xml:space="preserve"> PAGEREF _Toc150761130 \h </w:instrText>
        </w:r>
        <w:r w:rsidR="00A7393D">
          <w:rPr>
            <w:webHidden/>
          </w:rPr>
        </w:r>
        <w:r w:rsidR="00A7393D">
          <w:rPr>
            <w:webHidden/>
          </w:rPr>
          <w:fldChar w:fldCharType="separate"/>
        </w:r>
        <w:r w:rsidR="007459F7">
          <w:rPr>
            <w:webHidden/>
          </w:rPr>
          <w:t>190</w:t>
        </w:r>
        <w:r w:rsidR="00A7393D">
          <w:rPr>
            <w:webHidden/>
          </w:rPr>
          <w:fldChar w:fldCharType="end"/>
        </w:r>
      </w:hyperlink>
    </w:p>
    <w:p w14:paraId="306A15B4" w14:textId="53C33598"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1" w:history="1">
        <w:r w:rsidR="00A7393D" w:rsidRPr="000D6BED">
          <w:rPr>
            <w:rStyle w:val="Hyperlink"/>
          </w:rPr>
          <w:t>15/21.</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Recommendations from the United Nations Permanent Forum on Indigenous Issues to the Convention on Biological Diversity</w:t>
        </w:r>
        <w:r w:rsidR="00A7393D">
          <w:rPr>
            <w:webHidden/>
          </w:rPr>
          <w:tab/>
        </w:r>
        <w:r w:rsidR="00A7393D">
          <w:rPr>
            <w:webHidden/>
          </w:rPr>
          <w:fldChar w:fldCharType="begin"/>
        </w:r>
        <w:r w:rsidR="00A7393D">
          <w:rPr>
            <w:webHidden/>
          </w:rPr>
          <w:instrText xml:space="preserve"> PAGEREF _Toc150761131 \h </w:instrText>
        </w:r>
        <w:r w:rsidR="00A7393D">
          <w:rPr>
            <w:webHidden/>
          </w:rPr>
        </w:r>
        <w:r w:rsidR="00A7393D">
          <w:rPr>
            <w:webHidden/>
          </w:rPr>
          <w:fldChar w:fldCharType="separate"/>
        </w:r>
        <w:r w:rsidR="007459F7">
          <w:rPr>
            <w:webHidden/>
          </w:rPr>
          <w:t>191</w:t>
        </w:r>
        <w:r w:rsidR="00A7393D">
          <w:rPr>
            <w:webHidden/>
          </w:rPr>
          <w:fldChar w:fldCharType="end"/>
        </w:r>
      </w:hyperlink>
    </w:p>
    <w:p w14:paraId="70CF72A7" w14:textId="02EBEF40"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2" w:history="1">
        <w:r w:rsidR="00A7393D" w:rsidRPr="000D6BED">
          <w:rPr>
            <w:rStyle w:val="Hyperlink"/>
          </w:rPr>
          <w:t>15/22.</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Nature and Culture</w:t>
        </w:r>
        <w:r w:rsidR="00A7393D">
          <w:rPr>
            <w:webHidden/>
          </w:rPr>
          <w:tab/>
        </w:r>
        <w:r w:rsidR="00A7393D">
          <w:rPr>
            <w:webHidden/>
          </w:rPr>
          <w:fldChar w:fldCharType="begin"/>
        </w:r>
        <w:r w:rsidR="00A7393D">
          <w:rPr>
            <w:webHidden/>
          </w:rPr>
          <w:instrText xml:space="preserve"> PAGEREF _Toc150761132 \h </w:instrText>
        </w:r>
        <w:r w:rsidR="00A7393D">
          <w:rPr>
            <w:webHidden/>
          </w:rPr>
        </w:r>
        <w:r w:rsidR="00A7393D">
          <w:rPr>
            <w:webHidden/>
          </w:rPr>
          <w:fldChar w:fldCharType="separate"/>
        </w:r>
        <w:r w:rsidR="007459F7">
          <w:rPr>
            <w:webHidden/>
          </w:rPr>
          <w:t>192</w:t>
        </w:r>
        <w:r w:rsidR="00A7393D">
          <w:rPr>
            <w:webHidden/>
          </w:rPr>
          <w:fldChar w:fldCharType="end"/>
        </w:r>
      </w:hyperlink>
    </w:p>
    <w:p w14:paraId="616E6FD2" w14:textId="3046145C"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3" w:history="1">
        <w:r w:rsidR="00A7393D" w:rsidRPr="000D6BED">
          <w:rPr>
            <w:rStyle w:val="Hyperlink"/>
          </w:rPr>
          <w:t>15/23.</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Sustainable wildlife management</w:t>
        </w:r>
        <w:r w:rsidR="00A7393D">
          <w:rPr>
            <w:webHidden/>
          </w:rPr>
          <w:tab/>
        </w:r>
        <w:r w:rsidR="00A7393D">
          <w:rPr>
            <w:webHidden/>
          </w:rPr>
          <w:fldChar w:fldCharType="begin"/>
        </w:r>
        <w:r w:rsidR="00A7393D">
          <w:rPr>
            <w:webHidden/>
          </w:rPr>
          <w:instrText xml:space="preserve"> PAGEREF _Toc150761133 \h </w:instrText>
        </w:r>
        <w:r w:rsidR="00A7393D">
          <w:rPr>
            <w:webHidden/>
          </w:rPr>
        </w:r>
        <w:r w:rsidR="00A7393D">
          <w:rPr>
            <w:webHidden/>
          </w:rPr>
          <w:fldChar w:fldCharType="separate"/>
        </w:r>
        <w:r w:rsidR="007459F7">
          <w:rPr>
            <w:webHidden/>
          </w:rPr>
          <w:t>196</w:t>
        </w:r>
        <w:r w:rsidR="00A7393D">
          <w:rPr>
            <w:webHidden/>
          </w:rPr>
          <w:fldChar w:fldCharType="end"/>
        </w:r>
      </w:hyperlink>
    </w:p>
    <w:p w14:paraId="64C4AE91" w14:textId="0B87EA6A"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4" w:history="1">
        <w:r w:rsidR="00A7393D" w:rsidRPr="000D6BED">
          <w:rPr>
            <w:rStyle w:val="Hyperlink"/>
          </w:rPr>
          <w:t>15/24.</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Conservation and sustainable use of marine and coastal biodiversity</w:t>
        </w:r>
        <w:r w:rsidR="00A7393D">
          <w:rPr>
            <w:webHidden/>
          </w:rPr>
          <w:tab/>
        </w:r>
        <w:r w:rsidR="00A7393D">
          <w:rPr>
            <w:webHidden/>
          </w:rPr>
          <w:fldChar w:fldCharType="begin"/>
        </w:r>
        <w:r w:rsidR="00A7393D">
          <w:rPr>
            <w:webHidden/>
          </w:rPr>
          <w:instrText xml:space="preserve"> PAGEREF _Toc150761134 \h </w:instrText>
        </w:r>
        <w:r w:rsidR="00A7393D">
          <w:rPr>
            <w:webHidden/>
          </w:rPr>
        </w:r>
        <w:r w:rsidR="00A7393D">
          <w:rPr>
            <w:webHidden/>
          </w:rPr>
          <w:fldChar w:fldCharType="separate"/>
        </w:r>
        <w:r w:rsidR="007459F7">
          <w:rPr>
            <w:webHidden/>
          </w:rPr>
          <w:t>198</w:t>
        </w:r>
        <w:r w:rsidR="00A7393D">
          <w:rPr>
            <w:webHidden/>
          </w:rPr>
          <w:fldChar w:fldCharType="end"/>
        </w:r>
      </w:hyperlink>
    </w:p>
    <w:p w14:paraId="6869E45D" w14:textId="78389894"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5" w:history="1">
        <w:r w:rsidR="00A7393D" w:rsidRPr="000D6BED">
          <w:rPr>
            <w:rStyle w:val="Hyperlink"/>
          </w:rPr>
          <w:t>15/25.</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Ecologically or biologically significant marine areas in the North-East Atlantic Ocean and adjacent areas</w:t>
        </w:r>
        <w:r w:rsidR="00A7393D">
          <w:rPr>
            <w:webHidden/>
          </w:rPr>
          <w:tab/>
        </w:r>
        <w:r w:rsidR="00A7393D">
          <w:rPr>
            <w:webHidden/>
          </w:rPr>
          <w:fldChar w:fldCharType="begin"/>
        </w:r>
        <w:r w:rsidR="00A7393D">
          <w:rPr>
            <w:webHidden/>
          </w:rPr>
          <w:instrText xml:space="preserve"> PAGEREF _Toc150761135 \h </w:instrText>
        </w:r>
        <w:r w:rsidR="00A7393D">
          <w:rPr>
            <w:webHidden/>
          </w:rPr>
        </w:r>
        <w:r w:rsidR="00A7393D">
          <w:rPr>
            <w:webHidden/>
          </w:rPr>
          <w:fldChar w:fldCharType="separate"/>
        </w:r>
        <w:r w:rsidR="007459F7">
          <w:rPr>
            <w:webHidden/>
          </w:rPr>
          <w:t>203</w:t>
        </w:r>
        <w:r w:rsidR="00A7393D">
          <w:rPr>
            <w:webHidden/>
          </w:rPr>
          <w:fldChar w:fldCharType="end"/>
        </w:r>
      </w:hyperlink>
    </w:p>
    <w:p w14:paraId="416AAF02" w14:textId="2E426F2F"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6" w:history="1">
        <w:r w:rsidR="00A7393D" w:rsidRPr="000D6BED">
          <w:rPr>
            <w:rStyle w:val="Hyperlink"/>
          </w:rPr>
          <w:t>15/26.</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Ecologically or biologically significant marine areas: further work</w:t>
        </w:r>
        <w:r w:rsidR="00A7393D">
          <w:rPr>
            <w:webHidden/>
          </w:rPr>
          <w:tab/>
        </w:r>
        <w:r w:rsidR="00A7393D">
          <w:rPr>
            <w:webHidden/>
          </w:rPr>
          <w:fldChar w:fldCharType="begin"/>
        </w:r>
        <w:r w:rsidR="00A7393D">
          <w:rPr>
            <w:webHidden/>
          </w:rPr>
          <w:instrText xml:space="preserve"> PAGEREF _Toc150761136 \h </w:instrText>
        </w:r>
        <w:r w:rsidR="00A7393D">
          <w:rPr>
            <w:webHidden/>
          </w:rPr>
        </w:r>
        <w:r w:rsidR="00A7393D">
          <w:rPr>
            <w:webHidden/>
          </w:rPr>
          <w:fldChar w:fldCharType="separate"/>
        </w:r>
        <w:r w:rsidR="007459F7">
          <w:rPr>
            <w:webHidden/>
          </w:rPr>
          <w:t>212</w:t>
        </w:r>
        <w:r w:rsidR="00A7393D">
          <w:rPr>
            <w:webHidden/>
          </w:rPr>
          <w:fldChar w:fldCharType="end"/>
        </w:r>
      </w:hyperlink>
    </w:p>
    <w:p w14:paraId="34C8B6CB" w14:textId="45B03D02"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7" w:history="1">
        <w:r w:rsidR="00A7393D" w:rsidRPr="000D6BED">
          <w:rPr>
            <w:rStyle w:val="Hyperlink"/>
          </w:rPr>
          <w:t>15/27.</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Invasive alien species</w:t>
        </w:r>
        <w:r w:rsidR="00A7393D">
          <w:rPr>
            <w:webHidden/>
          </w:rPr>
          <w:tab/>
        </w:r>
        <w:r w:rsidR="00A7393D">
          <w:rPr>
            <w:webHidden/>
          </w:rPr>
          <w:fldChar w:fldCharType="begin"/>
        </w:r>
        <w:r w:rsidR="00A7393D">
          <w:rPr>
            <w:webHidden/>
          </w:rPr>
          <w:instrText xml:space="preserve"> PAGEREF _Toc150761137 \h </w:instrText>
        </w:r>
        <w:r w:rsidR="00A7393D">
          <w:rPr>
            <w:webHidden/>
          </w:rPr>
        </w:r>
        <w:r w:rsidR="00A7393D">
          <w:rPr>
            <w:webHidden/>
          </w:rPr>
          <w:fldChar w:fldCharType="separate"/>
        </w:r>
        <w:r w:rsidR="007459F7">
          <w:rPr>
            <w:webHidden/>
          </w:rPr>
          <w:t>215</w:t>
        </w:r>
        <w:r w:rsidR="00A7393D">
          <w:rPr>
            <w:webHidden/>
          </w:rPr>
          <w:fldChar w:fldCharType="end"/>
        </w:r>
      </w:hyperlink>
    </w:p>
    <w:p w14:paraId="13196623" w14:textId="152154E3"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8" w:history="1">
        <w:r w:rsidR="00A7393D" w:rsidRPr="000D6BED">
          <w:rPr>
            <w:rStyle w:val="Hyperlink"/>
          </w:rPr>
          <w:t>15/28.</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Biodiversity and agriculture</w:t>
        </w:r>
        <w:r w:rsidR="00A7393D">
          <w:rPr>
            <w:webHidden/>
          </w:rPr>
          <w:tab/>
        </w:r>
        <w:r w:rsidR="00A7393D">
          <w:rPr>
            <w:webHidden/>
          </w:rPr>
          <w:fldChar w:fldCharType="begin"/>
        </w:r>
        <w:r w:rsidR="00A7393D">
          <w:rPr>
            <w:webHidden/>
          </w:rPr>
          <w:instrText xml:space="preserve"> PAGEREF _Toc150761138 \h </w:instrText>
        </w:r>
        <w:r w:rsidR="00A7393D">
          <w:rPr>
            <w:webHidden/>
          </w:rPr>
        </w:r>
        <w:r w:rsidR="00A7393D">
          <w:rPr>
            <w:webHidden/>
          </w:rPr>
          <w:fldChar w:fldCharType="separate"/>
        </w:r>
        <w:r w:rsidR="007459F7">
          <w:rPr>
            <w:webHidden/>
          </w:rPr>
          <w:t>233</w:t>
        </w:r>
        <w:r w:rsidR="00A7393D">
          <w:rPr>
            <w:webHidden/>
          </w:rPr>
          <w:fldChar w:fldCharType="end"/>
        </w:r>
      </w:hyperlink>
    </w:p>
    <w:p w14:paraId="506FFEC4" w14:textId="3AC2562B"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39" w:history="1">
        <w:r w:rsidR="00A7393D" w:rsidRPr="000D6BED">
          <w:rPr>
            <w:rStyle w:val="Hyperlink"/>
          </w:rPr>
          <w:t>15/29.</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Biodiversity and health</w:t>
        </w:r>
        <w:r w:rsidR="00A7393D">
          <w:rPr>
            <w:webHidden/>
          </w:rPr>
          <w:tab/>
        </w:r>
        <w:r w:rsidR="00A7393D">
          <w:rPr>
            <w:webHidden/>
          </w:rPr>
          <w:fldChar w:fldCharType="begin"/>
        </w:r>
        <w:r w:rsidR="00A7393D">
          <w:rPr>
            <w:webHidden/>
          </w:rPr>
          <w:instrText xml:space="preserve"> PAGEREF _Toc150761139 \h </w:instrText>
        </w:r>
        <w:r w:rsidR="00A7393D">
          <w:rPr>
            <w:webHidden/>
          </w:rPr>
        </w:r>
        <w:r w:rsidR="00A7393D">
          <w:rPr>
            <w:webHidden/>
          </w:rPr>
          <w:fldChar w:fldCharType="separate"/>
        </w:r>
        <w:r w:rsidR="007459F7">
          <w:rPr>
            <w:webHidden/>
          </w:rPr>
          <w:t>245</w:t>
        </w:r>
        <w:r w:rsidR="00A7393D">
          <w:rPr>
            <w:webHidden/>
          </w:rPr>
          <w:fldChar w:fldCharType="end"/>
        </w:r>
      </w:hyperlink>
    </w:p>
    <w:p w14:paraId="738D8BED" w14:textId="4C7070F5"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0" w:history="1">
        <w:r w:rsidR="00A7393D" w:rsidRPr="000D6BED">
          <w:rPr>
            <w:rStyle w:val="Hyperlink"/>
          </w:rPr>
          <w:t>15/30.</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Biodiversity and climate change</w:t>
        </w:r>
        <w:r w:rsidR="00A7393D">
          <w:rPr>
            <w:webHidden/>
          </w:rPr>
          <w:tab/>
        </w:r>
        <w:r w:rsidR="00A7393D">
          <w:rPr>
            <w:webHidden/>
          </w:rPr>
          <w:fldChar w:fldCharType="begin"/>
        </w:r>
        <w:r w:rsidR="00A7393D">
          <w:rPr>
            <w:webHidden/>
          </w:rPr>
          <w:instrText xml:space="preserve"> PAGEREF _Toc150761140 \h </w:instrText>
        </w:r>
        <w:r w:rsidR="00A7393D">
          <w:rPr>
            <w:webHidden/>
          </w:rPr>
        </w:r>
        <w:r w:rsidR="00A7393D">
          <w:rPr>
            <w:webHidden/>
          </w:rPr>
          <w:fldChar w:fldCharType="separate"/>
        </w:r>
        <w:r w:rsidR="007459F7">
          <w:rPr>
            <w:webHidden/>
          </w:rPr>
          <w:t>248</w:t>
        </w:r>
        <w:r w:rsidR="00A7393D">
          <w:rPr>
            <w:webHidden/>
          </w:rPr>
          <w:fldChar w:fldCharType="end"/>
        </w:r>
      </w:hyperlink>
    </w:p>
    <w:p w14:paraId="183E046D" w14:textId="10AA4FD5"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1" w:history="1">
        <w:r w:rsidR="00A7393D" w:rsidRPr="000D6BED">
          <w:rPr>
            <w:rStyle w:val="Hyperlink"/>
          </w:rPr>
          <w:t>15/31.</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Synthetic biology</w:t>
        </w:r>
        <w:r w:rsidR="00A7393D">
          <w:rPr>
            <w:webHidden/>
          </w:rPr>
          <w:tab/>
        </w:r>
        <w:r w:rsidR="00A7393D">
          <w:rPr>
            <w:webHidden/>
          </w:rPr>
          <w:fldChar w:fldCharType="begin"/>
        </w:r>
        <w:r w:rsidR="00A7393D">
          <w:rPr>
            <w:webHidden/>
          </w:rPr>
          <w:instrText xml:space="preserve"> PAGEREF _Toc150761141 \h </w:instrText>
        </w:r>
        <w:r w:rsidR="00A7393D">
          <w:rPr>
            <w:webHidden/>
          </w:rPr>
        </w:r>
        <w:r w:rsidR="00A7393D">
          <w:rPr>
            <w:webHidden/>
          </w:rPr>
          <w:fldChar w:fldCharType="separate"/>
        </w:r>
        <w:r w:rsidR="007459F7">
          <w:rPr>
            <w:webHidden/>
          </w:rPr>
          <w:t>249</w:t>
        </w:r>
        <w:r w:rsidR="00A7393D">
          <w:rPr>
            <w:webHidden/>
          </w:rPr>
          <w:fldChar w:fldCharType="end"/>
        </w:r>
      </w:hyperlink>
    </w:p>
    <w:p w14:paraId="1E3C90DB" w14:textId="70C55646"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2" w:history="1">
        <w:r w:rsidR="00A7393D" w:rsidRPr="000D6BED">
          <w:rPr>
            <w:rStyle w:val="Hyperlink"/>
          </w:rPr>
          <w:t>15/32.</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Date and venue of future meetings of the Conference of the Parties</w:t>
        </w:r>
        <w:r w:rsidR="00A7393D">
          <w:rPr>
            <w:webHidden/>
          </w:rPr>
          <w:tab/>
        </w:r>
        <w:r w:rsidR="00A7393D">
          <w:rPr>
            <w:webHidden/>
          </w:rPr>
          <w:fldChar w:fldCharType="begin"/>
        </w:r>
        <w:r w:rsidR="00A7393D">
          <w:rPr>
            <w:webHidden/>
          </w:rPr>
          <w:instrText xml:space="preserve"> PAGEREF _Toc150761142 \h </w:instrText>
        </w:r>
        <w:r w:rsidR="00A7393D">
          <w:rPr>
            <w:webHidden/>
          </w:rPr>
        </w:r>
        <w:r w:rsidR="00A7393D">
          <w:rPr>
            <w:webHidden/>
          </w:rPr>
          <w:fldChar w:fldCharType="separate"/>
        </w:r>
        <w:r w:rsidR="007459F7">
          <w:rPr>
            <w:webHidden/>
          </w:rPr>
          <w:t>253</w:t>
        </w:r>
        <w:r w:rsidR="00A7393D">
          <w:rPr>
            <w:webHidden/>
          </w:rPr>
          <w:fldChar w:fldCharType="end"/>
        </w:r>
      </w:hyperlink>
    </w:p>
    <w:p w14:paraId="148DF16F" w14:textId="5D8BA899"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3" w:history="1">
        <w:r w:rsidR="00A7393D" w:rsidRPr="000D6BED">
          <w:rPr>
            <w:rStyle w:val="Hyperlink"/>
          </w:rPr>
          <w:t>15/33.</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Multi-year programme of work of the Conference of the Parties</w:t>
        </w:r>
        <w:r w:rsidR="00A7393D">
          <w:rPr>
            <w:webHidden/>
          </w:rPr>
          <w:tab/>
        </w:r>
        <w:r w:rsidR="00A7393D">
          <w:rPr>
            <w:webHidden/>
          </w:rPr>
          <w:fldChar w:fldCharType="begin"/>
        </w:r>
        <w:r w:rsidR="00A7393D">
          <w:rPr>
            <w:webHidden/>
          </w:rPr>
          <w:instrText xml:space="preserve"> PAGEREF _Toc150761143 \h </w:instrText>
        </w:r>
        <w:r w:rsidR="00A7393D">
          <w:rPr>
            <w:webHidden/>
          </w:rPr>
        </w:r>
        <w:r w:rsidR="00A7393D">
          <w:rPr>
            <w:webHidden/>
          </w:rPr>
          <w:fldChar w:fldCharType="separate"/>
        </w:r>
        <w:r w:rsidR="007459F7">
          <w:rPr>
            <w:webHidden/>
          </w:rPr>
          <w:t>254</w:t>
        </w:r>
        <w:r w:rsidR="00A7393D">
          <w:rPr>
            <w:webHidden/>
          </w:rPr>
          <w:fldChar w:fldCharType="end"/>
        </w:r>
      </w:hyperlink>
    </w:p>
    <w:p w14:paraId="2473FAEE" w14:textId="51CFE872"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4" w:history="1">
        <w:r w:rsidR="00A7393D" w:rsidRPr="000D6BED">
          <w:rPr>
            <w:rStyle w:val="Hyperlink"/>
          </w:rPr>
          <w:t>15/34.</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Budget for the integrated programme of work of the Secretariat</w:t>
        </w:r>
        <w:r w:rsidR="00A7393D">
          <w:rPr>
            <w:webHidden/>
          </w:rPr>
          <w:tab/>
        </w:r>
        <w:r w:rsidR="00A7393D">
          <w:rPr>
            <w:webHidden/>
          </w:rPr>
          <w:fldChar w:fldCharType="begin"/>
        </w:r>
        <w:r w:rsidR="00A7393D">
          <w:rPr>
            <w:webHidden/>
          </w:rPr>
          <w:instrText xml:space="preserve"> PAGEREF _Toc150761144 \h </w:instrText>
        </w:r>
        <w:r w:rsidR="00A7393D">
          <w:rPr>
            <w:webHidden/>
          </w:rPr>
        </w:r>
        <w:r w:rsidR="00A7393D">
          <w:rPr>
            <w:webHidden/>
          </w:rPr>
          <w:fldChar w:fldCharType="separate"/>
        </w:r>
        <w:r w:rsidR="007459F7">
          <w:rPr>
            <w:webHidden/>
          </w:rPr>
          <w:t>256</w:t>
        </w:r>
        <w:r w:rsidR="00A7393D">
          <w:rPr>
            <w:webHidden/>
          </w:rPr>
          <w:fldChar w:fldCharType="end"/>
        </w:r>
      </w:hyperlink>
    </w:p>
    <w:p w14:paraId="106E3A81" w14:textId="301548B6" w:rsidR="00A7393D" w:rsidRDefault="00C10F84" w:rsidP="00F241DC">
      <w:pPr>
        <w:pStyle w:val="TOC2"/>
        <w:rPr>
          <w:rFonts w:asciiTheme="minorHAnsi" w:eastAsiaTheme="minorEastAsia" w:hAnsiTheme="minorHAnsi" w:cstheme="minorBidi"/>
          <w:kern w:val="2"/>
          <w:lang w:val="en-US" w:eastAsia="zh-CN"/>
          <w14:ligatures w14:val="standardContextual"/>
        </w:rPr>
      </w:pPr>
      <w:hyperlink w:anchor="_Toc150761145" w:history="1">
        <w:r w:rsidR="00A7393D" w:rsidRPr="000D6BED">
          <w:rPr>
            <w:rStyle w:val="Hyperlink"/>
          </w:rPr>
          <w:t>15/35.</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Pr>
          <w:t>Date and venue of future meetings of the Conference of the Parties</w:t>
        </w:r>
        <w:r w:rsidR="00A7393D">
          <w:rPr>
            <w:webHidden/>
          </w:rPr>
          <w:tab/>
        </w:r>
        <w:r w:rsidR="00A7393D">
          <w:rPr>
            <w:webHidden/>
          </w:rPr>
          <w:fldChar w:fldCharType="begin"/>
        </w:r>
        <w:r w:rsidR="00A7393D">
          <w:rPr>
            <w:webHidden/>
          </w:rPr>
          <w:instrText xml:space="preserve"> PAGEREF _Toc150761145 \h </w:instrText>
        </w:r>
        <w:r w:rsidR="00A7393D">
          <w:rPr>
            <w:webHidden/>
          </w:rPr>
        </w:r>
        <w:r w:rsidR="00A7393D">
          <w:rPr>
            <w:webHidden/>
          </w:rPr>
          <w:fldChar w:fldCharType="separate"/>
        </w:r>
        <w:r w:rsidR="007459F7">
          <w:rPr>
            <w:webHidden/>
          </w:rPr>
          <w:t>272</w:t>
        </w:r>
        <w:r w:rsidR="00A7393D">
          <w:rPr>
            <w:webHidden/>
          </w:rPr>
          <w:fldChar w:fldCharType="end"/>
        </w:r>
      </w:hyperlink>
    </w:p>
    <w:p w14:paraId="6FC7299F" w14:textId="3B934C27" w:rsidR="00A7393D" w:rsidRDefault="00C10F84" w:rsidP="00346301">
      <w:pPr>
        <w:pStyle w:val="TOC1"/>
        <w:rPr>
          <w:rFonts w:asciiTheme="minorHAnsi" w:eastAsiaTheme="minorEastAsia" w:hAnsiTheme="minorHAnsi" w:cstheme="minorBidi"/>
          <w:kern w:val="2"/>
          <w:lang w:val="en-US" w:eastAsia="zh-CN"/>
          <w14:ligatures w14:val="standardContextual"/>
        </w:rPr>
      </w:pPr>
      <w:hyperlink w:anchor="_Toc150761146" w:history="1">
        <w:r w:rsidR="00A7393D" w:rsidRPr="000D6BED">
          <w:rPr>
            <w:rStyle w:val="Hyperlink"/>
            <w:rFonts w:asciiTheme="majorBidi" w:hAnsiTheme="majorBidi" w:cstheme="majorBidi"/>
          </w:rPr>
          <w:t>II.</w:t>
        </w:r>
        <w:r w:rsidR="00A7393D">
          <w:rPr>
            <w:rFonts w:asciiTheme="minorHAnsi" w:eastAsiaTheme="minorEastAsia" w:hAnsiTheme="minorHAnsi" w:cstheme="minorBidi"/>
            <w:kern w:val="2"/>
            <w:lang w:val="en-US" w:eastAsia="zh-CN"/>
            <w14:ligatures w14:val="standardContextual"/>
          </w:rPr>
          <w:tab/>
        </w:r>
        <w:r w:rsidR="00A7393D" w:rsidRPr="000D6BED">
          <w:rPr>
            <w:rStyle w:val="Hyperlink"/>
            <w:rFonts w:asciiTheme="majorBidi" w:hAnsiTheme="majorBidi" w:cstheme="majorBidi"/>
          </w:rPr>
          <w:t>A</w:t>
        </w:r>
        <w:r w:rsidR="00B6214D" w:rsidRPr="000D6BED">
          <w:rPr>
            <w:rStyle w:val="Hyperlink"/>
            <w:rFonts w:asciiTheme="majorBidi" w:hAnsiTheme="majorBidi" w:cstheme="majorBidi"/>
          </w:rPr>
          <w:t>ccount of proceedings</w:t>
        </w:r>
        <w:r w:rsidR="00A7393D">
          <w:rPr>
            <w:webHidden/>
          </w:rPr>
          <w:tab/>
        </w:r>
        <w:r w:rsidR="00A7393D">
          <w:rPr>
            <w:webHidden/>
          </w:rPr>
          <w:fldChar w:fldCharType="begin"/>
        </w:r>
        <w:r w:rsidR="00A7393D">
          <w:rPr>
            <w:webHidden/>
          </w:rPr>
          <w:instrText xml:space="preserve"> PAGEREF _Toc150761146 \h </w:instrText>
        </w:r>
        <w:r w:rsidR="00A7393D">
          <w:rPr>
            <w:webHidden/>
          </w:rPr>
        </w:r>
        <w:r w:rsidR="00A7393D">
          <w:rPr>
            <w:webHidden/>
          </w:rPr>
          <w:fldChar w:fldCharType="separate"/>
        </w:r>
        <w:r w:rsidR="007459F7">
          <w:rPr>
            <w:webHidden/>
          </w:rPr>
          <w:t>273</w:t>
        </w:r>
        <w:r w:rsidR="00A7393D">
          <w:rPr>
            <w:webHidden/>
          </w:rPr>
          <w:fldChar w:fldCharType="end"/>
        </w:r>
      </w:hyperlink>
    </w:p>
    <w:p w14:paraId="014E647C" w14:textId="0A8734D5" w:rsidR="003B53DE" w:rsidRPr="00230BC2" w:rsidRDefault="00A7393D" w:rsidP="00920214">
      <w:r>
        <w:fldChar w:fldCharType="end"/>
      </w:r>
    </w:p>
    <w:p w14:paraId="528A3C50" w14:textId="75FD26DA" w:rsidR="00B1325F" w:rsidRPr="00230BC2" w:rsidRDefault="00B1325F" w:rsidP="00B1325F">
      <w:pPr>
        <w:sectPr w:rsidR="00B1325F" w:rsidRPr="00230BC2" w:rsidSect="00441700">
          <w:pgSz w:w="12240" w:h="15840"/>
          <w:pgMar w:top="567" w:right="1440" w:bottom="1134" w:left="1440" w:header="709" w:footer="709" w:gutter="0"/>
          <w:cols w:space="708"/>
          <w:docGrid w:linePitch="360"/>
        </w:sectPr>
      </w:pPr>
    </w:p>
    <w:p w14:paraId="46612C86" w14:textId="029AC1ED" w:rsidR="00FE1B94" w:rsidRPr="00230BC2" w:rsidRDefault="00D66A46" w:rsidP="00DC3004">
      <w:pPr>
        <w:pStyle w:val="Heading1"/>
        <w:tabs>
          <w:tab w:val="clear" w:pos="720"/>
        </w:tabs>
        <w:spacing w:after="240"/>
        <w:ind w:left="709" w:hanging="708"/>
        <w:jc w:val="left"/>
        <w:rPr>
          <w:snapToGrid w:val="0"/>
          <w:sz w:val="28"/>
          <w:szCs w:val="28"/>
        </w:rPr>
      </w:pPr>
      <w:bookmarkStart w:id="5" w:name="_Toc150438798"/>
      <w:bookmarkStart w:id="6" w:name="_Toc150670498"/>
      <w:bookmarkStart w:id="7" w:name="_Toc150670608"/>
      <w:bookmarkStart w:id="8" w:name="_Toc150761110"/>
      <w:r w:rsidRPr="00230BC2">
        <w:rPr>
          <w:caps w:val="0"/>
          <w:snapToGrid w:val="0"/>
          <w:sz w:val="28"/>
          <w:szCs w:val="28"/>
        </w:rPr>
        <w:lastRenderedPageBreak/>
        <w:t>I.</w:t>
      </w:r>
      <w:r w:rsidRPr="00230BC2">
        <w:rPr>
          <w:caps w:val="0"/>
          <w:snapToGrid w:val="0"/>
          <w:sz w:val="28"/>
          <w:szCs w:val="28"/>
        </w:rPr>
        <w:tab/>
        <w:t>DECISIONS ADOPTED BY THE CONFERENCE OF THE PARTIES</w:t>
      </w:r>
      <w:r w:rsidR="00461E3E" w:rsidRPr="00230BC2">
        <w:rPr>
          <w:caps w:val="0"/>
          <w:snapToGrid w:val="0"/>
          <w:sz w:val="28"/>
          <w:szCs w:val="28"/>
        </w:rPr>
        <w:t xml:space="preserve"> </w:t>
      </w:r>
      <w:r w:rsidR="008C08DF" w:rsidRPr="00230BC2">
        <w:rPr>
          <w:caps w:val="0"/>
          <w:snapToGrid w:val="0"/>
          <w:sz w:val="28"/>
          <w:szCs w:val="28"/>
        </w:rPr>
        <w:t>TO THE CONVENTIO</w:t>
      </w:r>
      <w:r w:rsidR="008C08DF" w:rsidRPr="003A5DD7">
        <w:rPr>
          <w:caps w:val="0"/>
          <w:snapToGrid w:val="0"/>
          <w:sz w:val="28"/>
          <w:szCs w:val="28"/>
        </w:rPr>
        <w:t>N</w:t>
      </w:r>
      <w:bookmarkEnd w:id="5"/>
      <w:bookmarkEnd w:id="6"/>
      <w:bookmarkEnd w:id="7"/>
      <w:bookmarkEnd w:id="8"/>
      <w:r w:rsidR="00D07848" w:rsidRPr="003A5DD7">
        <w:rPr>
          <w:rStyle w:val="FootnoteReference"/>
          <w:caps w:val="0"/>
          <w:snapToGrid w:val="0"/>
          <w:sz w:val="28"/>
          <w:szCs w:val="28"/>
        </w:rPr>
        <w:footnoteReference w:customMarkFollows="1" w:id="3"/>
        <w:t>*</w:t>
      </w:r>
    </w:p>
    <w:p w14:paraId="709B9CB1" w14:textId="03E0D450" w:rsidR="003E49B8" w:rsidRDefault="003E49B8" w:rsidP="00D64EA8">
      <w:pPr>
        <w:pStyle w:val="decision"/>
        <w:ind w:left="1134" w:hanging="709"/>
        <w:jc w:val="left"/>
        <w:rPr>
          <w:rStyle w:val="Heading1Char"/>
          <w:rFonts w:eastAsia="Malgun Gothic"/>
          <w:snapToGrid w:val="0"/>
          <w:szCs w:val="18"/>
        </w:rPr>
      </w:pPr>
      <w:bookmarkStart w:id="9" w:name="_Toc150438800"/>
      <w:bookmarkStart w:id="10" w:name="_Toc150670500"/>
      <w:bookmarkStart w:id="11" w:name="_Toc150670610"/>
      <w:bookmarkStart w:id="12" w:name="_Toc150761112"/>
      <w:r>
        <w:rPr>
          <w:lang w:val="en-US"/>
        </w:rPr>
        <w:t>15/2.</w:t>
      </w:r>
      <w:r>
        <w:rPr>
          <w:lang w:val="en-US"/>
        </w:rPr>
        <w:tab/>
      </w:r>
      <w:r w:rsidRPr="00702CA1">
        <w:rPr>
          <w:lang w:val="en-US"/>
        </w:rPr>
        <w:t xml:space="preserve">Informing the scientific and technical evidence base for the </w:t>
      </w:r>
      <w:r>
        <w:rPr>
          <w:lang w:val="en-US"/>
        </w:rPr>
        <w:t>Kunming-Montreal</w:t>
      </w:r>
      <w:r w:rsidRPr="00702CA1">
        <w:rPr>
          <w:lang w:val="en-US"/>
        </w:rPr>
        <w:t xml:space="preserve"> </w:t>
      </w:r>
      <w:r>
        <w:rPr>
          <w:lang w:val="en-US"/>
        </w:rPr>
        <w:t>G</w:t>
      </w:r>
      <w:r w:rsidRPr="00702CA1">
        <w:rPr>
          <w:lang w:val="en-US"/>
        </w:rPr>
        <w:t xml:space="preserve">lobal </w:t>
      </w:r>
      <w:r>
        <w:rPr>
          <w:lang w:val="en-US"/>
        </w:rPr>
        <w:t>B</w:t>
      </w:r>
      <w:r w:rsidRPr="00702CA1">
        <w:rPr>
          <w:lang w:val="en-US"/>
        </w:rPr>
        <w:t xml:space="preserve">iodiversity </w:t>
      </w:r>
      <w:r>
        <w:rPr>
          <w:lang w:val="en-US"/>
        </w:rPr>
        <w:t>F</w:t>
      </w:r>
      <w:r w:rsidRPr="00702CA1">
        <w:rPr>
          <w:lang w:val="en-US"/>
        </w:rPr>
        <w:t>ramework</w:t>
      </w:r>
      <w:bookmarkEnd w:id="9"/>
      <w:bookmarkEnd w:id="10"/>
      <w:bookmarkEnd w:id="11"/>
      <w:bookmarkEnd w:id="12"/>
    </w:p>
    <w:p w14:paraId="1CD71DE6" w14:textId="77777777" w:rsidR="003E49B8" w:rsidRDefault="003E49B8" w:rsidP="00836DFD">
      <w:pPr>
        <w:pStyle w:val="Para1"/>
        <w:numPr>
          <w:ilvl w:val="0"/>
          <w:numId w:val="0"/>
        </w:numPr>
        <w:suppressLineNumbers/>
        <w:suppressAutoHyphens/>
        <w:ind w:firstLine="720"/>
        <w:rPr>
          <w:i/>
          <w:lang w:eastAsia="ja-JP"/>
        </w:rPr>
      </w:pPr>
      <w:r>
        <w:rPr>
          <w:i/>
          <w:lang w:eastAsia="ja-JP"/>
        </w:rPr>
        <w:t>The Conference of the Parties</w:t>
      </w:r>
    </w:p>
    <w:p w14:paraId="03A2D41B" w14:textId="77777777" w:rsidR="003E49B8" w:rsidRDefault="003E49B8" w:rsidP="00836DFD">
      <w:pPr>
        <w:pStyle w:val="Para1"/>
        <w:numPr>
          <w:ilvl w:val="0"/>
          <w:numId w:val="0"/>
        </w:numPr>
        <w:suppressLineNumbers/>
        <w:suppressAutoHyphens/>
        <w:ind w:firstLine="709"/>
        <w:rPr>
          <w:i/>
        </w:rPr>
      </w:pPr>
      <w:r>
        <w:rPr>
          <w:iCs/>
        </w:rPr>
        <w:t>1.</w:t>
      </w:r>
      <w:r>
        <w:rPr>
          <w:i/>
        </w:rPr>
        <w:tab/>
        <w:t xml:space="preserve">Welcomes </w:t>
      </w:r>
      <w:r>
        <w:t xml:space="preserve">the </w:t>
      </w:r>
      <w:r>
        <w:rPr>
          <w:i/>
        </w:rPr>
        <w:t>Global Assessment Report on Biodiversity and Ecosystem Services</w:t>
      </w:r>
      <w:r>
        <w:t xml:space="preserve"> issued by the Intergovernmental Science-Policy Platform on Biodiversity and Ecosystem Services</w:t>
      </w:r>
      <w:r w:rsidRPr="00610646">
        <w:rPr>
          <w:rStyle w:val="FootnoteReference"/>
          <w:rFonts w:eastAsiaTheme="majorEastAsia"/>
        </w:rPr>
        <w:footnoteReference w:id="4"/>
      </w:r>
      <w:r>
        <w:t xml:space="preserve"> and the related regional and thematic assessments;</w:t>
      </w:r>
    </w:p>
    <w:p w14:paraId="18AFB13B" w14:textId="77777777" w:rsidR="003E49B8" w:rsidRDefault="003E49B8" w:rsidP="00836DFD">
      <w:pPr>
        <w:pStyle w:val="Para1"/>
        <w:numPr>
          <w:ilvl w:val="0"/>
          <w:numId w:val="0"/>
        </w:numPr>
        <w:suppressLineNumbers/>
        <w:suppressAutoHyphens/>
        <w:ind w:firstLine="709"/>
      </w:pPr>
      <w:r>
        <w:rPr>
          <w:iCs/>
        </w:rPr>
        <w:t>2</w:t>
      </w:r>
      <w:r>
        <w:rPr>
          <w:i/>
        </w:rPr>
        <w:t>.</w:t>
      </w:r>
      <w:r>
        <w:rPr>
          <w:i/>
        </w:rPr>
        <w:tab/>
        <w:t xml:space="preserve">Also welcomes </w:t>
      </w:r>
      <w:r>
        <w:t>the special reports of the Intergovernmental Panel on Climate Change on the impacts of global warming of 1.5°C above pre-industrial levels and related global greenhouse gas emission pathways,</w:t>
      </w:r>
      <w:r w:rsidRPr="00610646">
        <w:rPr>
          <w:rStyle w:val="FootnoteReference"/>
        </w:rPr>
        <w:footnoteReference w:id="5"/>
      </w:r>
      <w:r>
        <w:t xml:space="preserve"> and on the ocean and cryosphere in a changing climate and on climate change,</w:t>
      </w:r>
      <w:r w:rsidRPr="00610646">
        <w:rPr>
          <w:rStyle w:val="FootnoteReference"/>
        </w:rPr>
        <w:footnoteReference w:id="6"/>
      </w:r>
      <w:r>
        <w:t xml:space="preserve"> desertification, land degradation, sustainable land management, food security, and greenhouse gas fluxes in terrestrial ecosystems;</w:t>
      </w:r>
      <w:r w:rsidRPr="00610646">
        <w:rPr>
          <w:rStyle w:val="FootnoteReference"/>
        </w:rPr>
        <w:footnoteReference w:id="7"/>
      </w:r>
    </w:p>
    <w:p w14:paraId="272ED85C" w14:textId="77777777" w:rsidR="003E49B8" w:rsidRDefault="003E49B8" w:rsidP="00836DFD">
      <w:pPr>
        <w:pStyle w:val="Para1"/>
        <w:numPr>
          <w:ilvl w:val="0"/>
          <w:numId w:val="0"/>
        </w:numPr>
        <w:suppressLineNumbers/>
        <w:suppressAutoHyphens/>
        <w:kinsoku w:val="0"/>
        <w:ind w:firstLine="720"/>
      </w:pPr>
      <w:bookmarkStart w:id="13" w:name="_Hlk120524174"/>
      <w:bookmarkStart w:id="14" w:name="_Hlk71227805"/>
      <w:r>
        <w:rPr>
          <w:iCs/>
        </w:rPr>
        <w:t>3.</w:t>
      </w:r>
      <w:r>
        <w:rPr>
          <w:i/>
        </w:rPr>
        <w:tab/>
        <w:t xml:space="preserve">Takes note </w:t>
      </w:r>
      <w:r>
        <w:rPr>
          <w:iCs/>
        </w:rPr>
        <w:t>of</w:t>
      </w:r>
      <w:r>
        <w:rPr>
          <w:i/>
        </w:rPr>
        <w:t xml:space="preserve"> </w:t>
      </w:r>
      <w:r>
        <w:t>the</w:t>
      </w:r>
      <w:r>
        <w:rPr>
          <w:i/>
        </w:rPr>
        <w:t xml:space="preserve"> </w:t>
      </w:r>
      <w:r>
        <w:t>fifth edition of the</w:t>
      </w:r>
      <w:r>
        <w:rPr>
          <w:i/>
        </w:rPr>
        <w:t xml:space="preserve"> Global Biodiversity Outlook</w:t>
      </w:r>
      <w:r>
        <w:t>,</w:t>
      </w:r>
      <w:r w:rsidRPr="00610646">
        <w:rPr>
          <w:rStyle w:val="FootnoteReference"/>
          <w:rFonts w:eastAsiaTheme="majorEastAsia"/>
        </w:rPr>
        <w:footnoteReference w:id="8"/>
      </w:r>
      <w:r>
        <w:t xml:space="preserve"> including its summary for policymakers, as well as the</w:t>
      </w:r>
      <w:r>
        <w:rPr>
          <w:i/>
        </w:rPr>
        <w:t xml:space="preserve"> </w:t>
      </w:r>
      <w:r>
        <w:t>second edition of the</w:t>
      </w:r>
      <w:r>
        <w:rPr>
          <w:i/>
        </w:rPr>
        <w:t xml:space="preserve"> Local Biodiversity Outlooks</w:t>
      </w:r>
      <w:r w:rsidRPr="00610646">
        <w:rPr>
          <w:rStyle w:val="FootnoteReference"/>
          <w:rFonts w:eastAsiaTheme="majorEastAsia"/>
        </w:rPr>
        <w:footnoteReference w:id="9"/>
      </w:r>
      <w:r>
        <w:t xml:space="preserve"> and the</w:t>
      </w:r>
      <w:r>
        <w:rPr>
          <w:i/>
          <w:iCs/>
        </w:rPr>
        <w:t xml:space="preserve"> 2020 Plant Conservation Report</w:t>
      </w:r>
      <w:r>
        <w:t>;</w:t>
      </w:r>
      <w:r w:rsidRPr="00610646">
        <w:rPr>
          <w:rStyle w:val="FootnoteReference"/>
          <w:rFonts w:eastAsiaTheme="majorEastAsia"/>
        </w:rPr>
        <w:footnoteReference w:id="10"/>
      </w:r>
    </w:p>
    <w:bookmarkEnd w:id="13"/>
    <w:p w14:paraId="4B2F168A" w14:textId="77777777" w:rsidR="003E49B8" w:rsidRDefault="003E49B8" w:rsidP="00836DFD">
      <w:pPr>
        <w:pStyle w:val="Para1"/>
        <w:numPr>
          <w:ilvl w:val="0"/>
          <w:numId w:val="0"/>
        </w:numPr>
        <w:suppressLineNumbers/>
        <w:suppressAutoHyphens/>
        <w:kinsoku w:val="0"/>
        <w:ind w:firstLine="720"/>
      </w:pPr>
      <w:r>
        <w:rPr>
          <w:iCs/>
        </w:rPr>
        <w:t>4.</w:t>
      </w:r>
      <w:r>
        <w:rPr>
          <w:i/>
        </w:rPr>
        <w:tab/>
        <w:t>Acknowledges with appreciation</w:t>
      </w:r>
      <w:r>
        <w:t xml:space="preserve"> the financial support provided by the Governments of Canada, Japan and the United Kingdom of Great Britain and Northern Ireland, as well as the European Union, for the preparation of the fifth edition of the </w:t>
      </w:r>
      <w:r>
        <w:rPr>
          <w:i/>
        </w:rPr>
        <w:t>Global Biodiversity Outlook</w:t>
      </w:r>
      <w:r>
        <w:t>;</w:t>
      </w:r>
    </w:p>
    <w:p w14:paraId="68809328" w14:textId="77777777" w:rsidR="003E49B8" w:rsidRDefault="003E49B8" w:rsidP="00836DFD">
      <w:pPr>
        <w:pStyle w:val="Para1"/>
        <w:numPr>
          <w:ilvl w:val="0"/>
          <w:numId w:val="0"/>
        </w:numPr>
        <w:suppressLineNumbers/>
        <w:suppressAutoHyphens/>
        <w:kinsoku w:val="0"/>
        <w:ind w:firstLine="720"/>
      </w:pPr>
      <w:r>
        <w:t>5.</w:t>
      </w:r>
      <w:r>
        <w:rPr>
          <w:i/>
          <w:iCs/>
        </w:rPr>
        <w:tab/>
        <w:t xml:space="preserve">Takes note </w:t>
      </w:r>
      <w:r>
        <w:t xml:space="preserve">of the general conclusions from the fifth edition of the </w:t>
      </w:r>
      <w:r>
        <w:rPr>
          <w:i/>
          <w:iCs/>
        </w:rPr>
        <w:t>Global Biodiversity Outlook</w:t>
      </w:r>
      <w:r>
        <w:t>;</w:t>
      </w:r>
    </w:p>
    <w:p w14:paraId="279A5C5F" w14:textId="77777777" w:rsidR="003E49B8" w:rsidRDefault="003E49B8" w:rsidP="00836DFD">
      <w:pPr>
        <w:pStyle w:val="Para1"/>
        <w:numPr>
          <w:ilvl w:val="0"/>
          <w:numId w:val="0"/>
        </w:numPr>
        <w:suppressLineNumbers/>
        <w:suppressAutoHyphens/>
        <w:kinsoku w:val="0"/>
        <w:ind w:firstLine="720"/>
      </w:pPr>
      <w:r>
        <w:rPr>
          <w:iCs/>
        </w:rPr>
        <w:t>6.</w:t>
      </w:r>
      <w:r>
        <w:rPr>
          <w:i/>
        </w:rPr>
        <w:tab/>
        <w:t>Also takes note</w:t>
      </w:r>
      <w:r>
        <w:t xml:space="preserve"> of the lessons learned from the implementation of the Strategic Plan for Biodiversity 2011–2020 identified in the fifth edition of the</w:t>
      </w:r>
      <w:r>
        <w:rPr>
          <w:i/>
        </w:rPr>
        <w:t xml:space="preserve"> Global Biodiversity Outlook;</w:t>
      </w:r>
    </w:p>
    <w:p w14:paraId="67D65F22" w14:textId="77777777" w:rsidR="003E49B8" w:rsidRPr="000E3F19" w:rsidRDefault="003E49B8" w:rsidP="00836DFD">
      <w:pPr>
        <w:pStyle w:val="Para1"/>
        <w:numPr>
          <w:ilvl w:val="0"/>
          <w:numId w:val="0"/>
        </w:numPr>
        <w:suppressLineNumbers/>
        <w:suppressAutoHyphens/>
        <w:kinsoku w:val="0"/>
        <w:ind w:firstLine="720"/>
      </w:pPr>
      <w:r>
        <w:rPr>
          <w:iCs/>
        </w:rPr>
        <w:t>7.</w:t>
      </w:r>
      <w:r>
        <w:rPr>
          <w:i/>
        </w:rPr>
        <w:tab/>
        <w:t>Encourages</w:t>
      </w:r>
      <w:r>
        <w:t xml:space="preserve"> Parties, and invites other Governments and local and subnational governments, as well as relevant organizations, as appropriate, to use the reports and to take steps to widely disseminate their findings, including by translating the reports into local languages and by producing other </w:t>
      </w:r>
      <w:r>
        <w:lastRenderedPageBreak/>
        <w:t xml:space="preserve">appropriate communication products for different stakeholders, and to make use of the reports when implementing the </w:t>
      </w:r>
      <w:r w:rsidRPr="000E3F19">
        <w:t>Kunming-Montreal Global Biodiversity Framework;</w:t>
      </w:r>
      <w:bookmarkEnd w:id="14"/>
    </w:p>
    <w:p w14:paraId="260C8527" w14:textId="77777777" w:rsidR="003E49B8" w:rsidRDefault="003E49B8" w:rsidP="00836DFD">
      <w:pPr>
        <w:pStyle w:val="Para1"/>
        <w:numPr>
          <w:ilvl w:val="0"/>
          <w:numId w:val="0"/>
        </w:numPr>
        <w:suppressLineNumbers/>
        <w:suppressAutoHyphens/>
        <w:ind w:firstLine="709"/>
      </w:pPr>
      <w:bookmarkStart w:id="15" w:name="_Hlk120524346"/>
      <w:bookmarkStart w:id="16" w:name="_Hlk120524398"/>
      <w:r w:rsidRPr="000E3F19">
        <w:t>8.</w:t>
      </w:r>
      <w:r w:rsidRPr="000E3F19">
        <w:tab/>
      </w:r>
      <w:r w:rsidRPr="000E3F19">
        <w:rPr>
          <w:i/>
        </w:rPr>
        <w:t xml:space="preserve">Urges </w:t>
      </w:r>
      <w:r w:rsidRPr="000E3F19">
        <w:t xml:space="preserve">Parties to take urgent action to address the drivers of biodiversity loss as identified in the </w:t>
      </w:r>
      <w:r w:rsidRPr="000E3F19">
        <w:rPr>
          <w:i/>
        </w:rPr>
        <w:t>Global Assessment</w:t>
      </w:r>
      <w:r w:rsidRPr="000E3F19">
        <w:t xml:space="preserve"> of the Intergovernmental</w:t>
      </w:r>
      <w:r>
        <w:t xml:space="preserve"> Science-Policy Platform on Biodiversity and Ecosystem Services, </w:t>
      </w:r>
      <w:r w:rsidRPr="00A532CF">
        <w:t>as well as those of climate change and land degradation, in</w:t>
      </w:r>
      <w:r>
        <w:t xml:space="preserve"> an integrated manner. </w:t>
      </w:r>
      <w:bookmarkEnd w:id="15"/>
    </w:p>
    <w:p w14:paraId="2437CBDA" w14:textId="77777777" w:rsidR="008144B0" w:rsidRDefault="008144B0" w:rsidP="00836DFD">
      <w:pPr>
        <w:pStyle w:val="Para1"/>
        <w:numPr>
          <w:ilvl w:val="0"/>
          <w:numId w:val="0"/>
        </w:numPr>
        <w:suppressLineNumbers/>
        <w:suppressAutoHyphens/>
        <w:ind w:firstLine="709"/>
      </w:pPr>
    </w:p>
    <w:bookmarkEnd w:id="16"/>
    <w:p w14:paraId="5FE799C6" w14:textId="77777777" w:rsidR="00F251F5" w:rsidRDefault="00F251F5" w:rsidP="00142046">
      <w:pPr>
        <w:jc w:val="center"/>
        <w:sectPr w:rsidR="00F251F5" w:rsidSect="00441700">
          <w:footnotePr>
            <w:numRestart w:val="eachSect"/>
          </w:footnotePr>
          <w:pgSz w:w="12240" w:h="15840"/>
          <w:pgMar w:top="567" w:right="1440" w:bottom="1134" w:left="1440" w:header="709" w:footer="709" w:gutter="0"/>
          <w:cols w:space="708"/>
          <w:docGrid w:linePitch="360"/>
        </w:sectPr>
      </w:pPr>
    </w:p>
    <w:p w14:paraId="0CEFBA37" w14:textId="77777777" w:rsidR="00F251F5" w:rsidRPr="00D64EA8" w:rsidRDefault="00F251F5" w:rsidP="00D64EA8">
      <w:pPr>
        <w:pStyle w:val="decision"/>
        <w:ind w:left="1134" w:hanging="709"/>
        <w:jc w:val="left"/>
        <w:rPr>
          <w:lang w:val="en-US"/>
        </w:rPr>
      </w:pPr>
      <w:bookmarkStart w:id="17" w:name="_Toc150438801"/>
      <w:bookmarkStart w:id="18" w:name="_Toc150670501"/>
      <w:bookmarkStart w:id="19" w:name="_Toc150670611"/>
      <w:bookmarkStart w:id="20" w:name="_Toc150761113"/>
      <w:r w:rsidRPr="00D64EA8">
        <w:rPr>
          <w:lang w:val="en-US"/>
        </w:rPr>
        <w:lastRenderedPageBreak/>
        <w:t>15/3.</w:t>
      </w:r>
      <w:r w:rsidRPr="00D64EA8">
        <w:rPr>
          <w:lang w:val="en-US"/>
        </w:rPr>
        <w:tab/>
        <w:t>Review of progress in the implementation of the Convention and the Strategic Plan for Biodiversity 2011-2020 and the achievement of the Aichi Biodiversity Targets</w:t>
      </w:r>
      <w:bookmarkEnd w:id="17"/>
      <w:bookmarkEnd w:id="18"/>
      <w:bookmarkEnd w:id="19"/>
      <w:bookmarkEnd w:id="20"/>
      <w:r w:rsidRPr="00D64EA8">
        <w:rPr>
          <w:lang w:val="en-US"/>
        </w:rPr>
        <w:t xml:space="preserve"> </w:t>
      </w:r>
    </w:p>
    <w:p w14:paraId="63C7937D" w14:textId="77777777" w:rsidR="00F251F5" w:rsidRPr="009A370A" w:rsidRDefault="00F251F5" w:rsidP="00005C4F">
      <w:pPr>
        <w:pStyle w:val="NormalWeb"/>
        <w:suppressLineNumbers/>
        <w:suppressAutoHyphens/>
        <w:kinsoku w:val="0"/>
        <w:overflowPunct w:val="0"/>
        <w:autoSpaceDE w:val="0"/>
        <w:autoSpaceDN w:val="0"/>
        <w:adjustRightInd w:val="0"/>
        <w:snapToGrid w:val="0"/>
        <w:spacing w:before="120" w:after="120"/>
        <w:ind w:firstLine="720"/>
        <w:rPr>
          <w:i/>
          <w:kern w:val="22"/>
          <w:sz w:val="22"/>
          <w:szCs w:val="22"/>
        </w:rPr>
      </w:pPr>
      <w:r w:rsidRPr="00DF443B">
        <w:rPr>
          <w:i/>
          <w:kern w:val="22"/>
          <w:sz w:val="22"/>
          <w:szCs w:val="22"/>
        </w:rPr>
        <w:t>The Conference of the Parties</w:t>
      </w:r>
      <w:r w:rsidRPr="006076FB">
        <w:rPr>
          <w:iCs/>
          <w:kern w:val="22"/>
          <w:sz w:val="22"/>
          <w:szCs w:val="22"/>
        </w:rPr>
        <w:t>,</w:t>
      </w:r>
    </w:p>
    <w:p w14:paraId="7A72157F" w14:textId="77777777" w:rsidR="00F251F5" w:rsidRPr="009A370A" w:rsidRDefault="00F251F5" w:rsidP="00005C4F">
      <w:pPr>
        <w:pStyle w:val="NormalWeb"/>
        <w:suppressLineNumbers/>
        <w:suppressAutoHyphens/>
        <w:kinsoku w:val="0"/>
        <w:overflowPunct w:val="0"/>
        <w:autoSpaceDE w:val="0"/>
        <w:autoSpaceDN w:val="0"/>
        <w:adjustRightInd w:val="0"/>
        <w:snapToGrid w:val="0"/>
        <w:spacing w:before="120" w:after="120"/>
        <w:ind w:firstLine="720"/>
      </w:pPr>
      <w:bookmarkStart w:id="21" w:name="_Hlk120525927"/>
      <w:r w:rsidRPr="009A370A">
        <w:rPr>
          <w:i/>
          <w:kern w:val="22"/>
          <w:sz w:val="22"/>
          <w:szCs w:val="22"/>
        </w:rPr>
        <w:t xml:space="preserve">Recalling </w:t>
      </w:r>
      <w:r w:rsidRPr="006076FB">
        <w:rPr>
          <w:iCs/>
          <w:kern w:val="22"/>
          <w:sz w:val="22"/>
          <w:szCs w:val="22"/>
        </w:rPr>
        <w:t xml:space="preserve">decision X/2 on the </w:t>
      </w:r>
      <w:r w:rsidRPr="009A370A">
        <w:rPr>
          <w:iCs/>
          <w:kern w:val="22"/>
          <w:sz w:val="22"/>
          <w:szCs w:val="22"/>
        </w:rPr>
        <w:t>S</w:t>
      </w:r>
      <w:r w:rsidRPr="006076FB">
        <w:rPr>
          <w:iCs/>
          <w:kern w:val="22"/>
          <w:sz w:val="22"/>
          <w:szCs w:val="22"/>
        </w:rPr>
        <w:t xml:space="preserve">trategic </w:t>
      </w:r>
      <w:r w:rsidRPr="009A370A">
        <w:rPr>
          <w:iCs/>
          <w:kern w:val="22"/>
          <w:sz w:val="22"/>
          <w:szCs w:val="22"/>
        </w:rPr>
        <w:t>P</w:t>
      </w:r>
      <w:r w:rsidRPr="006076FB">
        <w:rPr>
          <w:iCs/>
          <w:kern w:val="22"/>
          <w:sz w:val="22"/>
          <w:szCs w:val="22"/>
        </w:rPr>
        <w:t xml:space="preserve">lan for </w:t>
      </w:r>
      <w:r w:rsidRPr="009A370A">
        <w:rPr>
          <w:iCs/>
          <w:kern w:val="22"/>
          <w:sz w:val="22"/>
          <w:szCs w:val="22"/>
        </w:rPr>
        <w:t>B</w:t>
      </w:r>
      <w:r w:rsidRPr="006076FB">
        <w:rPr>
          <w:iCs/>
          <w:kern w:val="22"/>
          <w:sz w:val="22"/>
          <w:szCs w:val="22"/>
        </w:rPr>
        <w:t>iodiversity 2011</w:t>
      </w:r>
      <w:r>
        <w:rPr>
          <w:szCs w:val="22"/>
        </w:rPr>
        <w:t>–</w:t>
      </w:r>
      <w:r w:rsidRPr="006076FB">
        <w:rPr>
          <w:iCs/>
          <w:kern w:val="22"/>
          <w:sz w:val="22"/>
          <w:szCs w:val="22"/>
        </w:rPr>
        <w:t>2020 and the Aichi Biodiversity Targets</w:t>
      </w:r>
      <w:r w:rsidRPr="009A370A">
        <w:rPr>
          <w:iCs/>
          <w:kern w:val="22"/>
          <w:sz w:val="22"/>
          <w:szCs w:val="22"/>
        </w:rPr>
        <w:t>,</w:t>
      </w:r>
    </w:p>
    <w:bookmarkEnd w:id="21"/>
    <w:p w14:paraId="05AFA958" w14:textId="77777777" w:rsidR="00F251F5" w:rsidRPr="009A370A" w:rsidRDefault="00F251F5" w:rsidP="00005C4F">
      <w:pPr>
        <w:pStyle w:val="Para1"/>
        <w:numPr>
          <w:ilvl w:val="0"/>
          <w:numId w:val="0"/>
        </w:numPr>
        <w:suppressLineNumbers/>
        <w:suppressAutoHyphens/>
        <w:kinsoku w:val="0"/>
        <w:adjustRightInd w:val="0"/>
        <w:ind w:firstLine="720"/>
        <w:rPr>
          <w:i/>
          <w:iCs/>
        </w:rPr>
      </w:pPr>
      <w:r>
        <w:rPr>
          <w:i/>
          <w:iCs/>
          <w:lang w:val="en-US"/>
        </w:rPr>
        <w:t>R</w:t>
      </w:r>
      <w:r w:rsidRPr="009A370A">
        <w:rPr>
          <w:i/>
          <w:iCs/>
        </w:rPr>
        <w:t>ecalling</w:t>
      </w:r>
      <w:r>
        <w:rPr>
          <w:i/>
          <w:iCs/>
        </w:rPr>
        <w:t xml:space="preserve"> also</w:t>
      </w:r>
      <w:r w:rsidRPr="009A370A">
        <w:rPr>
          <w:i/>
          <w:iCs/>
        </w:rPr>
        <w:t xml:space="preserve"> </w:t>
      </w:r>
      <w:r w:rsidRPr="009A370A">
        <w:t>the conclusions</w:t>
      </w:r>
      <w:r w:rsidRPr="009A370A">
        <w:rPr>
          <w:i/>
          <w:iCs/>
        </w:rPr>
        <w:t xml:space="preserve"> </w:t>
      </w:r>
      <w:r w:rsidRPr="009A370A">
        <w:t>of the fifth edition of the</w:t>
      </w:r>
      <w:r w:rsidRPr="009A370A">
        <w:rPr>
          <w:i/>
          <w:iCs/>
        </w:rPr>
        <w:t xml:space="preserve"> Global Biodiversity Outlook</w:t>
      </w:r>
      <w:r w:rsidRPr="009A370A">
        <w:t>,</w:t>
      </w:r>
      <w:r w:rsidRPr="00610646">
        <w:rPr>
          <w:rStyle w:val="FootnoteReference"/>
        </w:rPr>
        <w:footnoteReference w:id="11"/>
      </w:r>
      <w:r w:rsidRPr="009A370A">
        <w:t xml:space="preserve"> the second edition of the </w:t>
      </w:r>
      <w:r w:rsidRPr="009A370A">
        <w:rPr>
          <w:i/>
          <w:iCs/>
        </w:rPr>
        <w:t>Local Biodiversity Outlooks</w:t>
      </w:r>
      <w:r w:rsidRPr="00610646">
        <w:rPr>
          <w:rStyle w:val="FootnoteReference"/>
        </w:rPr>
        <w:footnoteReference w:id="12"/>
      </w:r>
      <w:r w:rsidRPr="009A370A">
        <w:rPr>
          <w:i/>
          <w:iCs/>
        </w:rPr>
        <w:t xml:space="preserve"> </w:t>
      </w:r>
      <w:r w:rsidRPr="009A370A">
        <w:t>and the</w:t>
      </w:r>
      <w:r w:rsidRPr="009A370A">
        <w:rPr>
          <w:i/>
          <w:iCs/>
        </w:rPr>
        <w:t xml:space="preserve"> Global Assessment Report on Biodiversity and Ecosystem Services</w:t>
      </w:r>
      <w:r w:rsidRPr="009A370A">
        <w:t xml:space="preserve"> of the Intergovernmental Science-Policy Platform on Biodiversity and Ecosystem Services</w:t>
      </w:r>
      <w:r w:rsidRPr="009A370A">
        <w:rPr>
          <w:i/>
          <w:iCs/>
        </w:rPr>
        <w:t xml:space="preserve"> </w:t>
      </w:r>
      <w:r w:rsidRPr="009A370A">
        <w:t>that, despite some progress, none of the Aichi Biodiversity Targets has been fully achieved and that this undermines the attainment of the 2050 Vision for Biodiversity and other international goals and objectives,</w:t>
      </w:r>
    </w:p>
    <w:p w14:paraId="3F00405A" w14:textId="77777777" w:rsidR="00F251F5" w:rsidRPr="009A370A" w:rsidRDefault="00F251F5" w:rsidP="00005C4F">
      <w:pPr>
        <w:pStyle w:val="Para1"/>
        <w:numPr>
          <w:ilvl w:val="0"/>
          <w:numId w:val="0"/>
        </w:numPr>
        <w:suppressLineNumbers/>
        <w:suppressAutoHyphens/>
        <w:kinsoku w:val="0"/>
        <w:adjustRightInd w:val="0"/>
        <w:ind w:firstLine="720"/>
        <w:rPr>
          <w:i/>
          <w:iCs/>
        </w:rPr>
      </w:pPr>
      <w:r w:rsidRPr="009A370A">
        <w:rPr>
          <w:iCs/>
        </w:rPr>
        <w:t>1.</w:t>
      </w:r>
      <w:r w:rsidRPr="009A370A">
        <w:rPr>
          <w:iCs/>
        </w:rPr>
        <w:tab/>
      </w:r>
      <w:r w:rsidRPr="009A370A">
        <w:rPr>
          <w:i/>
          <w:iCs/>
        </w:rPr>
        <w:t xml:space="preserve">Welcomes </w:t>
      </w:r>
      <w:r w:rsidRPr="009A370A">
        <w:t>the updated analysis of national biodiversity strategies and action plans</w:t>
      </w:r>
      <w:r w:rsidRPr="00610646">
        <w:rPr>
          <w:rStyle w:val="FootnoteReference"/>
        </w:rPr>
        <w:footnoteReference w:id="13"/>
      </w:r>
      <w:r w:rsidRPr="009A370A">
        <w:t xml:space="preserve"> and of the national reports</w:t>
      </w:r>
      <w:r w:rsidRPr="00610646">
        <w:rPr>
          <w:rStyle w:val="FootnoteReference"/>
        </w:rPr>
        <w:footnoteReference w:id="14"/>
      </w:r>
      <w:r w:rsidRPr="009A370A">
        <w:t xml:space="preserve"> and the review of progress towards the implementation of the Convention and the Strategic Plan for Biodiversity 2011</w:t>
      </w:r>
      <w:r>
        <w:t>–</w:t>
      </w:r>
      <w:r w:rsidRPr="00DF443B">
        <w:t>2020</w:t>
      </w:r>
      <w:r w:rsidRPr="00610646">
        <w:rPr>
          <w:rStyle w:val="FootnoteReference"/>
        </w:rPr>
        <w:footnoteReference w:id="15"/>
      </w:r>
      <w:r w:rsidRPr="009A370A">
        <w:t xml:space="preserve"> provided in these documents;</w:t>
      </w:r>
    </w:p>
    <w:p w14:paraId="07B19D0F" w14:textId="77777777" w:rsidR="00F251F5" w:rsidRPr="009A1CCB" w:rsidRDefault="00F251F5" w:rsidP="00005C4F">
      <w:pPr>
        <w:pStyle w:val="Para1"/>
        <w:numPr>
          <w:ilvl w:val="0"/>
          <w:numId w:val="0"/>
        </w:numPr>
        <w:suppressLineNumbers/>
        <w:suppressAutoHyphens/>
        <w:kinsoku w:val="0"/>
        <w:adjustRightInd w:val="0"/>
        <w:ind w:firstLine="720"/>
        <w:rPr>
          <w:i/>
          <w:iCs/>
        </w:rPr>
      </w:pPr>
      <w:r w:rsidRPr="009A1CCB">
        <w:rPr>
          <w:iCs/>
        </w:rPr>
        <w:t>2.</w:t>
      </w:r>
      <w:r w:rsidRPr="009A1CCB">
        <w:rPr>
          <w:iCs/>
        </w:rPr>
        <w:tab/>
      </w:r>
      <w:r>
        <w:rPr>
          <w:i/>
          <w:iCs/>
        </w:rPr>
        <w:t>Also w</w:t>
      </w:r>
      <w:r w:rsidRPr="009A1CCB">
        <w:rPr>
          <w:i/>
          <w:iCs/>
        </w:rPr>
        <w:t>elcomes</w:t>
      </w:r>
      <w:r>
        <w:rPr>
          <w:i/>
          <w:iCs/>
        </w:rPr>
        <w:t xml:space="preserve"> </w:t>
      </w:r>
      <w:r w:rsidRPr="009A1CCB">
        <w:t>the efforts made by Parties to reflect the Aichi Biodiversity Targets in their national biodiversity strategies and action plans an</w:t>
      </w:r>
      <w:r w:rsidRPr="00084441">
        <w:t xml:space="preserve">d the efforts made to reflect </w:t>
      </w:r>
      <w:r w:rsidRPr="00AC350F">
        <w:t>issues related to</w:t>
      </w:r>
      <w:r>
        <w:t xml:space="preserve"> </w:t>
      </w:r>
      <w:r w:rsidRPr="00C963B2">
        <w:t>indigenous peoples and local communities, traditional knowledge, the customary sustainable use of biodive</w:t>
      </w:r>
      <w:r w:rsidRPr="00084441">
        <w:t>rsity and gender issues therein;</w:t>
      </w:r>
    </w:p>
    <w:p w14:paraId="43E2EC31" w14:textId="77777777" w:rsidR="00F251F5" w:rsidRPr="009A370A" w:rsidRDefault="00F251F5" w:rsidP="00005C4F">
      <w:pPr>
        <w:pStyle w:val="Para1"/>
        <w:numPr>
          <w:ilvl w:val="0"/>
          <w:numId w:val="0"/>
        </w:numPr>
        <w:suppressLineNumbers/>
        <w:suppressAutoHyphens/>
        <w:kinsoku w:val="0"/>
        <w:adjustRightInd w:val="0"/>
        <w:ind w:firstLine="720"/>
      </w:pPr>
      <w:r w:rsidRPr="009A370A">
        <w:t>3.</w:t>
      </w:r>
      <w:r w:rsidRPr="009A370A">
        <w:tab/>
      </w:r>
      <w:r>
        <w:rPr>
          <w:i/>
          <w:iCs/>
        </w:rPr>
        <w:t>Further w</w:t>
      </w:r>
      <w:r w:rsidRPr="00084441">
        <w:rPr>
          <w:i/>
          <w:iCs/>
        </w:rPr>
        <w:t>elcomes</w:t>
      </w:r>
      <w:r w:rsidRPr="00084441">
        <w:t xml:space="preserve"> the efforts </w:t>
      </w:r>
      <w:r w:rsidRPr="009A370A">
        <w:t>made by Parties to implement their national biodiversity strategies and action plans since the adoption of the Strategic Plan for Biodiversity 2011</w:t>
      </w:r>
      <w:r>
        <w:t>–</w:t>
      </w:r>
      <w:r w:rsidRPr="009A370A">
        <w:t xml:space="preserve">2020 and their efforts to better </w:t>
      </w:r>
      <w:r w:rsidRPr="002E4DB6">
        <w:t xml:space="preserve">reflect </w:t>
      </w:r>
      <w:r w:rsidRPr="00D44308">
        <w:t xml:space="preserve">issues related to </w:t>
      </w:r>
      <w:r w:rsidRPr="002E4DB6">
        <w:t>indigenous peoples</w:t>
      </w:r>
      <w:r w:rsidRPr="00F332F4">
        <w:t xml:space="preserve"> and</w:t>
      </w:r>
      <w:r w:rsidRPr="009A370A">
        <w:t xml:space="preserve"> local communities and their traditional knowledge</w:t>
      </w:r>
      <w:r>
        <w:t>,</w:t>
      </w:r>
      <w:r w:rsidRPr="009A370A">
        <w:t xml:space="preserve"> </w:t>
      </w:r>
      <w:r>
        <w:t xml:space="preserve">to </w:t>
      </w:r>
      <w:r w:rsidRPr="009A370A">
        <w:t>the customary sustainable use of biodiversity, and gender issues in the national implementation of the Convention;</w:t>
      </w:r>
    </w:p>
    <w:p w14:paraId="738BDFED" w14:textId="77777777" w:rsidR="00F251F5" w:rsidRDefault="00F251F5" w:rsidP="00980BD5">
      <w:pPr>
        <w:pStyle w:val="Para1"/>
        <w:numPr>
          <w:ilvl w:val="0"/>
          <w:numId w:val="0"/>
        </w:numPr>
        <w:suppressLineNumbers/>
        <w:suppressAutoHyphens/>
        <w:kinsoku w:val="0"/>
        <w:adjustRightInd w:val="0"/>
        <w:ind w:firstLine="720"/>
      </w:pPr>
      <w:r w:rsidRPr="009A370A">
        <w:t>4.</w:t>
      </w:r>
      <w:r w:rsidRPr="009A370A">
        <w:tab/>
      </w:r>
      <w:r>
        <w:rPr>
          <w:i/>
          <w:iCs/>
        </w:rPr>
        <w:t>W</w:t>
      </w:r>
      <w:r w:rsidRPr="009A370A">
        <w:rPr>
          <w:i/>
          <w:iCs/>
        </w:rPr>
        <w:t>elcomes</w:t>
      </w:r>
      <w:r w:rsidRPr="009A370A">
        <w:t xml:space="preserve"> the efforts made by Parties to enhance the participation of indigenous peoples and local communities and stakeholders in the development and implementation of national biodiversity strategies and action plans</w:t>
      </w:r>
      <w:r>
        <w:t>,</w:t>
      </w:r>
      <w:r w:rsidRPr="009A370A">
        <w:t xml:space="preserve"> and the efforts </w:t>
      </w:r>
      <w:r>
        <w:t xml:space="preserve">made by </w:t>
      </w:r>
      <w:r w:rsidRPr="009A370A">
        <w:t>these groups to implement the Strategic Plan for Biodiversity 2011</w:t>
      </w:r>
      <w:r>
        <w:t>–</w:t>
      </w:r>
      <w:r w:rsidRPr="009A370A">
        <w:t>2020;</w:t>
      </w:r>
      <w:bookmarkStart w:id="22" w:name="_Hlk120526693"/>
    </w:p>
    <w:p w14:paraId="581A75EA" w14:textId="77777777" w:rsidR="00F251F5" w:rsidRPr="00957104" w:rsidRDefault="00F251F5" w:rsidP="00005C4F">
      <w:pPr>
        <w:pStyle w:val="Para1"/>
        <w:numPr>
          <w:ilvl w:val="0"/>
          <w:numId w:val="0"/>
        </w:numPr>
        <w:suppressLineNumbers/>
        <w:suppressAutoHyphens/>
        <w:kinsoku w:val="0"/>
        <w:adjustRightInd w:val="0"/>
        <w:ind w:firstLine="720"/>
      </w:pPr>
      <w:r w:rsidRPr="00957104">
        <w:t>5.</w:t>
      </w:r>
      <w:r w:rsidRPr="00957104">
        <w:tab/>
      </w:r>
      <w:r w:rsidRPr="00957104">
        <w:rPr>
          <w:i/>
          <w:iCs/>
        </w:rPr>
        <w:t xml:space="preserve">Notes with deep concern </w:t>
      </w:r>
      <w:r w:rsidRPr="00957104">
        <w:t xml:space="preserve">that, while there has been encouraging </w:t>
      </w:r>
      <w:r w:rsidRPr="000D2163">
        <w:t>progress towards</w:t>
      </w:r>
      <w:r w:rsidRPr="00FD47E2">
        <w:t xml:space="preserve"> achiev</w:t>
      </w:r>
      <w:r w:rsidRPr="005F18CE">
        <w:t>ement of</w:t>
      </w:r>
      <w:r w:rsidRPr="000D2163">
        <w:t xml:space="preserve"> the Aichi Biodiversity Targets, national targets set by Parties through their national biodiversity strategies and action plans were collectively not commensurate with the level of ambition set out in the Aichi Biodiversity Targets and implementation has been limited, and further, that the lack</w:t>
      </w:r>
      <w:r w:rsidRPr="00957104">
        <w:t xml:space="preserve"> </w:t>
      </w:r>
      <w:r>
        <w:t>of</w:t>
      </w:r>
      <w:r w:rsidRPr="00957104">
        <w:t xml:space="preserve"> adequate</w:t>
      </w:r>
      <w:r>
        <w:t xml:space="preserve"> </w:t>
      </w:r>
      <w:r w:rsidRPr="00957104">
        <w:t xml:space="preserve">means of implementation has been a persistent obstacle to the implementation of the Convention and </w:t>
      </w:r>
      <w:r>
        <w:t xml:space="preserve">of </w:t>
      </w:r>
      <w:r w:rsidRPr="00957104">
        <w:t xml:space="preserve">the Strategic Plan </w:t>
      </w:r>
      <w:r>
        <w:t xml:space="preserve">for Biodiversity 2011–2020 </w:t>
      </w:r>
      <w:r w:rsidRPr="00957104">
        <w:t>in developing country Parties</w:t>
      </w:r>
      <w:r>
        <w:t>,</w:t>
      </w:r>
      <w:r w:rsidRPr="00957104">
        <w:t xml:space="preserve"> thus highlighting the need for enhanced international cooperation;</w:t>
      </w:r>
    </w:p>
    <w:bookmarkEnd w:id="22"/>
    <w:p w14:paraId="0A2A84BA" w14:textId="77777777" w:rsidR="00F251F5" w:rsidRPr="009A370A" w:rsidRDefault="00F251F5" w:rsidP="00005C4F">
      <w:pPr>
        <w:pStyle w:val="Para1"/>
        <w:numPr>
          <w:ilvl w:val="0"/>
          <w:numId w:val="0"/>
        </w:numPr>
        <w:suppressLineNumbers/>
        <w:suppressAutoHyphens/>
        <w:kinsoku w:val="0"/>
        <w:adjustRightInd w:val="0"/>
        <w:ind w:firstLine="720"/>
      </w:pPr>
      <w:r w:rsidRPr="009A370A">
        <w:t>6.</w:t>
      </w:r>
      <w:r w:rsidRPr="009A370A">
        <w:tab/>
      </w:r>
      <w:r w:rsidRPr="009A370A">
        <w:rPr>
          <w:i/>
          <w:iCs/>
        </w:rPr>
        <w:t>Also notes with deep concern</w:t>
      </w:r>
      <w:r w:rsidRPr="009A370A">
        <w:t xml:space="preserve"> that the 2015</w:t>
      </w:r>
      <w:r>
        <w:t>–</w:t>
      </w:r>
      <w:r w:rsidRPr="009A370A">
        <w:t>2020 Gender Plan of Action</w:t>
      </w:r>
      <w:r w:rsidRPr="00610646">
        <w:rPr>
          <w:rStyle w:val="FootnoteReference"/>
        </w:rPr>
        <w:footnoteReference w:id="16"/>
      </w:r>
      <w:r w:rsidRPr="009A370A">
        <w:t xml:space="preserve"> has not been fully implemented and that while awareness and understanding of biodiversity and gender issues has increased, gender is not adequately reflected in the implementation of the Convention or in many nat</w:t>
      </w:r>
      <w:r w:rsidRPr="00084441">
        <w:t>ional biodiversity strategies and action plans;</w:t>
      </w:r>
    </w:p>
    <w:p w14:paraId="1C328A92" w14:textId="77777777" w:rsidR="00F251F5" w:rsidRPr="004769DA" w:rsidRDefault="00F251F5" w:rsidP="00005C4F">
      <w:pPr>
        <w:pStyle w:val="Para1"/>
        <w:numPr>
          <w:ilvl w:val="0"/>
          <w:numId w:val="0"/>
        </w:numPr>
        <w:suppressLineNumbers/>
        <w:suppressAutoHyphens/>
        <w:kinsoku w:val="0"/>
        <w:adjustRightInd w:val="0"/>
        <w:ind w:firstLine="720"/>
      </w:pPr>
      <w:r w:rsidRPr="009A370A">
        <w:lastRenderedPageBreak/>
        <w:t>7.</w:t>
      </w:r>
      <w:r w:rsidRPr="009A370A">
        <w:tab/>
      </w:r>
      <w:r w:rsidRPr="009A370A">
        <w:rPr>
          <w:i/>
          <w:iCs/>
        </w:rPr>
        <w:t>Further notes with deep concern</w:t>
      </w:r>
      <w:r w:rsidRPr="009A370A">
        <w:t xml:space="preserve"> that, despite encouraging progress, the full and effective participation of indigenous peoples and local communities and the consideration of traditional knowledge and the customary sustainable use of biodiversity have not been adequately reflected in the implementation </w:t>
      </w:r>
      <w:r w:rsidRPr="004769DA">
        <w:t>of the Convention or in many national biodiversity strategies and action plans;</w:t>
      </w:r>
    </w:p>
    <w:p w14:paraId="59FAC2F4" w14:textId="77777777" w:rsidR="00F251F5" w:rsidRPr="00650813" w:rsidRDefault="00F251F5" w:rsidP="00005C4F">
      <w:pPr>
        <w:pStyle w:val="Para1"/>
        <w:numPr>
          <w:ilvl w:val="0"/>
          <w:numId w:val="0"/>
        </w:numPr>
        <w:suppressLineNumbers/>
        <w:suppressAutoHyphens/>
        <w:kinsoku w:val="0"/>
        <w:adjustRightInd w:val="0"/>
        <w:ind w:firstLine="720"/>
      </w:pPr>
      <w:bookmarkStart w:id="23" w:name="_Hlk120526637"/>
      <w:r w:rsidRPr="004769DA">
        <w:t>8.</w:t>
      </w:r>
      <w:r w:rsidRPr="004769DA">
        <w:tab/>
      </w:r>
      <w:r w:rsidRPr="004769DA">
        <w:rPr>
          <w:i/>
          <w:iCs/>
        </w:rPr>
        <w:t>Takes</w:t>
      </w:r>
      <w:r w:rsidRPr="004769DA">
        <w:t xml:space="preserve"> </w:t>
      </w:r>
      <w:r w:rsidRPr="004769DA">
        <w:rPr>
          <w:i/>
          <w:iCs/>
        </w:rPr>
        <w:t>note</w:t>
      </w:r>
      <w:r w:rsidRPr="004769DA">
        <w:t xml:space="preserve"> of the lessons from the review of progress towards the implementation of the Convention and the Strategic Plan for Biodiversity 2011</w:t>
      </w:r>
      <w:r>
        <w:t>–</w:t>
      </w:r>
      <w:r w:rsidRPr="004769DA">
        <w:t>2020 presented in the note by the Executive Secretary</w:t>
      </w:r>
      <w:r>
        <w:t>,</w:t>
      </w:r>
      <w:r w:rsidRPr="00610646">
        <w:rPr>
          <w:rStyle w:val="FootnoteReference"/>
        </w:rPr>
        <w:footnoteReference w:id="17"/>
      </w:r>
      <w:r w:rsidRPr="004769DA">
        <w:t xml:space="preserve"> and</w:t>
      </w:r>
      <w:r>
        <w:t xml:space="preserve"> </w:t>
      </w:r>
      <w:r w:rsidRPr="004769DA">
        <w:t>will consider these lessons, as appropriate</w:t>
      </w:r>
      <w:r>
        <w:t>;</w:t>
      </w:r>
    </w:p>
    <w:bookmarkEnd w:id="23"/>
    <w:p w14:paraId="0415E229" w14:textId="77777777" w:rsidR="00F251F5" w:rsidRPr="009A370A" w:rsidRDefault="00F251F5" w:rsidP="00005C4F">
      <w:pPr>
        <w:pStyle w:val="Para1"/>
        <w:numPr>
          <w:ilvl w:val="0"/>
          <w:numId w:val="0"/>
        </w:numPr>
        <w:suppressLineNumbers/>
        <w:suppressAutoHyphens/>
        <w:kinsoku w:val="0"/>
        <w:adjustRightInd w:val="0"/>
        <w:ind w:firstLine="720"/>
      </w:pPr>
      <w:r w:rsidRPr="009A370A">
        <w:t>9.</w:t>
      </w:r>
      <w:r w:rsidRPr="009A370A">
        <w:tab/>
      </w:r>
      <w:r w:rsidRPr="00084441">
        <w:rPr>
          <w:i/>
          <w:iCs/>
        </w:rPr>
        <w:t xml:space="preserve">Encourages </w:t>
      </w:r>
      <w:r w:rsidRPr="00084441">
        <w:t xml:space="preserve">Parties, when developing, updating or revising their </w:t>
      </w:r>
      <w:r w:rsidRPr="009A370A">
        <w:t xml:space="preserve">national biodiversity strategies and </w:t>
      </w:r>
      <w:r>
        <w:t>action plans</w:t>
      </w:r>
      <w:r w:rsidRPr="009A370A">
        <w:t>, to take into account the lessons from the review of progress towards the implementation of the Convention and the Strategic Plan for Biodiversity 2011</w:t>
      </w:r>
      <w:r>
        <w:t>–</w:t>
      </w:r>
      <w:r w:rsidRPr="009A370A">
        <w:t xml:space="preserve">2020 </w:t>
      </w:r>
      <w:r>
        <w:t xml:space="preserve">at national and global level, </w:t>
      </w:r>
      <w:r w:rsidRPr="009A370A">
        <w:t xml:space="preserve">as well </w:t>
      </w:r>
      <w:r w:rsidRPr="00B16AFE">
        <w:t>as</w:t>
      </w:r>
      <w:r>
        <w:t xml:space="preserve"> </w:t>
      </w:r>
      <w:r w:rsidRPr="009A370A">
        <w:t xml:space="preserve">information contained in the fifth edition of the </w:t>
      </w:r>
      <w:r w:rsidRPr="009A370A">
        <w:rPr>
          <w:i/>
          <w:iCs/>
        </w:rPr>
        <w:t>Global Biodiversity Outlook</w:t>
      </w:r>
      <w:r w:rsidRPr="009A370A">
        <w:t xml:space="preserve">, the second edition of the </w:t>
      </w:r>
      <w:r w:rsidRPr="009A370A">
        <w:rPr>
          <w:i/>
          <w:iCs/>
        </w:rPr>
        <w:t>Local Biodiversity Outlooks</w:t>
      </w:r>
      <w:r w:rsidRPr="009A370A">
        <w:t xml:space="preserve"> and the review of implementation of the 2015</w:t>
      </w:r>
      <w:r>
        <w:t>–</w:t>
      </w:r>
      <w:r w:rsidRPr="009A370A">
        <w:t xml:space="preserve">2020 Gender Plan of Action, as appropriate and in accordance with national priorities and </w:t>
      </w:r>
      <w:r w:rsidRPr="002E4DB6">
        <w:t>circumstances</w:t>
      </w:r>
      <w:r w:rsidRPr="00F332F4">
        <w:t>;</w:t>
      </w:r>
      <w:r w:rsidRPr="00D44308" w:rsidDel="00C8413E">
        <w:t xml:space="preserve"> </w:t>
      </w:r>
    </w:p>
    <w:p w14:paraId="5691F85D" w14:textId="77777777" w:rsidR="00F251F5" w:rsidRPr="009A370A" w:rsidRDefault="00F251F5" w:rsidP="00005C4F">
      <w:pPr>
        <w:pStyle w:val="Para1"/>
        <w:numPr>
          <w:ilvl w:val="0"/>
          <w:numId w:val="0"/>
        </w:numPr>
        <w:suppressLineNumbers/>
        <w:suppressAutoHyphens/>
        <w:kinsoku w:val="0"/>
        <w:adjustRightInd w:val="0"/>
        <w:ind w:firstLine="720"/>
      </w:pPr>
      <w:r w:rsidRPr="009A370A">
        <w:t>10.</w:t>
      </w:r>
      <w:r w:rsidRPr="009A370A">
        <w:tab/>
      </w:r>
      <w:r w:rsidRPr="00084441">
        <w:rPr>
          <w:i/>
          <w:iCs/>
        </w:rPr>
        <w:t>Encourages</w:t>
      </w:r>
      <w:r w:rsidRPr="00084441">
        <w:t xml:space="preserve"> Parties</w:t>
      </w:r>
      <w:r>
        <w:t>,</w:t>
      </w:r>
      <w:r w:rsidRPr="00084441">
        <w:t xml:space="preserve"> and </w:t>
      </w:r>
      <w:r w:rsidRPr="00D44308">
        <w:t>invites</w:t>
      </w:r>
      <w:r w:rsidRPr="009A370A">
        <w:t xml:space="preserve"> other Governments and organizations to support national dialogues with indigenous peoples and local communities, and relevant stakeholders</w:t>
      </w:r>
      <w:r>
        <w:t>,</w:t>
      </w:r>
      <w:r w:rsidRPr="009A370A">
        <w:t xml:space="preserve"> including women and youth</w:t>
      </w:r>
      <w:r>
        <w:t>,</w:t>
      </w:r>
      <w:r w:rsidRPr="009A370A">
        <w:t xml:space="preserve"> on the implementation of the </w:t>
      </w:r>
      <w:r>
        <w:t>Kunming-Montreal Global Biodiversity Framework</w:t>
      </w:r>
      <w:r w:rsidRPr="009A370A">
        <w:t>;</w:t>
      </w:r>
      <w:r w:rsidRPr="00610646">
        <w:rPr>
          <w:rStyle w:val="FootnoteReference"/>
        </w:rPr>
        <w:footnoteReference w:id="18"/>
      </w:r>
    </w:p>
    <w:p w14:paraId="38F1EDD7" w14:textId="77777777" w:rsidR="00F251F5" w:rsidRDefault="00F251F5" w:rsidP="00005C4F">
      <w:pPr>
        <w:pStyle w:val="Para1"/>
        <w:numPr>
          <w:ilvl w:val="0"/>
          <w:numId w:val="0"/>
        </w:numPr>
        <w:suppressLineNumbers/>
        <w:suppressAutoHyphens/>
        <w:kinsoku w:val="0"/>
        <w:adjustRightInd w:val="0"/>
        <w:ind w:firstLine="720"/>
      </w:pPr>
      <w:r w:rsidRPr="009A370A">
        <w:t>11.</w:t>
      </w:r>
      <w:r w:rsidRPr="009A370A">
        <w:tab/>
      </w:r>
      <w:r w:rsidRPr="009A370A">
        <w:rPr>
          <w:i/>
          <w:iCs/>
        </w:rPr>
        <w:t>Requests</w:t>
      </w:r>
      <w:r w:rsidRPr="009A370A">
        <w:t xml:space="preserve"> the Executive Secretary, subject to the availability of resources, and with the participation of the Parties, to organize international dialogues with indigenous peoples and local communities and relevant stakeholders</w:t>
      </w:r>
      <w:r>
        <w:t>,</w:t>
      </w:r>
      <w:r w:rsidRPr="009A370A">
        <w:t xml:space="preserve"> including women and youth</w:t>
      </w:r>
      <w:r>
        <w:t>,</w:t>
      </w:r>
      <w:r w:rsidRPr="009A370A">
        <w:t xml:space="preserve"> on progress in the implementation of the </w:t>
      </w:r>
      <w:r>
        <w:t>Kunming-Montreal Global Biodiversity Framework</w:t>
      </w:r>
      <w:r w:rsidRPr="009A370A">
        <w:t xml:space="preserve"> and the </w:t>
      </w:r>
      <w:r>
        <w:t>G</w:t>
      </w:r>
      <w:r w:rsidRPr="009A370A">
        <w:t xml:space="preserve">ender </w:t>
      </w:r>
      <w:r>
        <w:t>P</w:t>
      </w:r>
      <w:r w:rsidRPr="009A370A">
        <w:t xml:space="preserve">lan of </w:t>
      </w:r>
      <w:r>
        <w:t>A</w:t>
      </w:r>
      <w:r w:rsidRPr="009A370A">
        <w:t>ction</w:t>
      </w:r>
      <w:r>
        <w:t xml:space="preserve"> (2023–2030)</w:t>
      </w:r>
      <w:r w:rsidRPr="009A370A">
        <w:t>.</w:t>
      </w:r>
      <w:r w:rsidRPr="00610646">
        <w:rPr>
          <w:rStyle w:val="FootnoteReference"/>
        </w:rPr>
        <w:footnoteReference w:id="19"/>
      </w:r>
    </w:p>
    <w:p w14:paraId="058957AC" w14:textId="77777777" w:rsidR="008144B0" w:rsidRDefault="008144B0" w:rsidP="00005C4F">
      <w:pPr>
        <w:pStyle w:val="Para1"/>
        <w:numPr>
          <w:ilvl w:val="0"/>
          <w:numId w:val="0"/>
        </w:numPr>
        <w:suppressLineNumbers/>
        <w:suppressAutoHyphens/>
        <w:kinsoku w:val="0"/>
        <w:adjustRightInd w:val="0"/>
        <w:ind w:firstLine="720"/>
      </w:pPr>
    </w:p>
    <w:p w14:paraId="59AE5E89" w14:textId="77777777" w:rsidR="00E86051" w:rsidRDefault="00E86051" w:rsidP="00650813">
      <w:pPr>
        <w:jc w:val="center"/>
        <w:sectPr w:rsidR="00E86051" w:rsidSect="00441700">
          <w:footnotePr>
            <w:numRestart w:val="eachSect"/>
          </w:footnotePr>
          <w:pgSz w:w="12240" w:h="15840"/>
          <w:pgMar w:top="567" w:right="1440" w:bottom="1134" w:left="1440" w:header="709" w:footer="709" w:gutter="0"/>
          <w:cols w:space="708"/>
          <w:docGrid w:linePitch="360"/>
        </w:sectPr>
      </w:pPr>
    </w:p>
    <w:p w14:paraId="12E9D552" w14:textId="77777777" w:rsidR="00E86051" w:rsidRPr="00CE31DF" w:rsidRDefault="00E86051" w:rsidP="00354B14">
      <w:pPr>
        <w:pStyle w:val="decision"/>
      </w:pPr>
      <w:bookmarkStart w:id="24" w:name="_Toc150438802"/>
      <w:bookmarkStart w:id="25" w:name="_Toc150670502"/>
      <w:bookmarkStart w:id="26" w:name="_Toc150670612"/>
      <w:bookmarkStart w:id="27" w:name="_Toc150761114"/>
      <w:r w:rsidRPr="00CE31DF">
        <w:lastRenderedPageBreak/>
        <w:t>15/4.</w:t>
      </w:r>
      <w:r w:rsidRPr="00CE31DF">
        <w:tab/>
        <w:t>Kunming-Montreal Global Biodiversity Framework</w:t>
      </w:r>
      <w:bookmarkEnd w:id="24"/>
      <w:bookmarkEnd w:id="25"/>
      <w:bookmarkEnd w:id="26"/>
      <w:bookmarkEnd w:id="27"/>
    </w:p>
    <w:p w14:paraId="2FA95BDE" w14:textId="77777777" w:rsidR="00E86051" w:rsidRPr="00CE31DF" w:rsidRDefault="00E86051" w:rsidP="00811AF9">
      <w:pPr>
        <w:pStyle w:val="NoSpacing"/>
        <w:shd w:val="clear" w:color="auto" w:fill="FFFFFF" w:themeFill="background1"/>
        <w:adjustRightInd w:val="0"/>
        <w:snapToGrid w:val="0"/>
        <w:spacing w:before="240" w:after="120"/>
        <w:ind w:firstLine="720"/>
        <w:rPr>
          <w:iCs/>
          <w:kern w:val="22"/>
        </w:rPr>
      </w:pPr>
      <w:r w:rsidRPr="00CE31DF">
        <w:rPr>
          <w:i/>
          <w:kern w:val="22"/>
        </w:rPr>
        <w:t>The Conference of the Parties</w:t>
      </w:r>
      <w:r w:rsidRPr="00CE31DF">
        <w:rPr>
          <w:iCs/>
          <w:kern w:val="22"/>
        </w:rPr>
        <w:t>,</w:t>
      </w:r>
    </w:p>
    <w:p w14:paraId="0F362C84" w14:textId="633DC505"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 xml:space="preserve">Recalling </w:t>
      </w:r>
      <w:r w:rsidRPr="00CE31DF">
        <w:rPr>
          <w:kern w:val="22"/>
          <w:lang w:val="en-GB"/>
        </w:rPr>
        <w:t xml:space="preserve">its decision </w:t>
      </w:r>
      <w:hyperlink r:id="rId17" w:history="1">
        <w:r w:rsidRPr="00CE31DF">
          <w:rPr>
            <w:rStyle w:val="Hyperlink"/>
            <w:kern w:val="22"/>
          </w:rPr>
          <w:t>14/34</w:t>
        </w:r>
      </w:hyperlink>
      <w:r w:rsidRPr="00CE31DF">
        <w:rPr>
          <w:kern w:val="22"/>
          <w:lang w:val="en-GB"/>
        </w:rPr>
        <w:t>, in which it adopted the preparatory process for the development of the post-2020 global biodiversity framework and decided to establish an open</w:t>
      </w:r>
      <w:r w:rsidRPr="00CE31DF">
        <w:rPr>
          <w:kern w:val="22"/>
          <w:lang w:val="en-GB"/>
        </w:rPr>
        <w:noBreakHyphen/>
        <w:t>ended intersessional working group to support its preparation,</w:t>
      </w:r>
    </w:p>
    <w:p w14:paraId="2C5687C4" w14:textId="77777777"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 xml:space="preserve">Noting </w:t>
      </w:r>
      <w:r w:rsidRPr="00CE31DF">
        <w:rPr>
          <w:kern w:val="22"/>
          <w:lang w:val="en-GB"/>
        </w:rPr>
        <w:t>the outcomes of the first, second, third, fourth and fifth meeting of the Open</w:t>
      </w:r>
      <w:r w:rsidRPr="00CE31DF">
        <w:rPr>
          <w:kern w:val="22"/>
          <w:lang w:val="en-GB"/>
        </w:rPr>
        <w:noBreakHyphen/>
        <w:t xml:space="preserve">ended Working Group on the Post-2020 Global Biodiversity Framework, </w:t>
      </w:r>
      <w:r w:rsidRPr="00CE31DF">
        <w:rPr>
          <w:kern w:val="22"/>
        </w:rPr>
        <w:t xml:space="preserve">of the regional and thematic consultations and workshops conducted based on decision 14/34 </w:t>
      </w:r>
      <w:r w:rsidRPr="00CE31DF">
        <w:rPr>
          <w:kern w:val="22"/>
          <w:lang w:val="en-GB"/>
        </w:rPr>
        <w:t>and of the intersessional work conducted on digital sequence information on genetic resources,</w:t>
      </w:r>
      <w:r w:rsidRPr="00610646">
        <w:rPr>
          <w:rStyle w:val="FootnoteReference"/>
        </w:rPr>
        <w:footnoteReference w:id="20"/>
      </w:r>
    </w:p>
    <w:p w14:paraId="0EA32C71" w14:textId="77777777"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Noting</w:t>
      </w:r>
      <w:r w:rsidRPr="00CE31DF">
        <w:rPr>
          <w:kern w:val="22"/>
          <w:lang w:val="en-GB"/>
        </w:rPr>
        <w:t xml:space="preserve"> </w:t>
      </w:r>
      <w:r w:rsidRPr="00CE31DF">
        <w:rPr>
          <w:i/>
          <w:iCs/>
          <w:kern w:val="22"/>
          <w:lang w:val="en-GB"/>
        </w:rPr>
        <w:t>also</w:t>
      </w:r>
      <w:r w:rsidRPr="00CE31DF">
        <w:rPr>
          <w:kern w:val="22"/>
          <w:lang w:val="en-GB"/>
        </w:rPr>
        <w:t xml:space="preserve"> the outcomes of the eleventh meeting of the Ad Hoc Open-ended Working Group on Article 8(j) and Related Provisions, of the twenty-third and twenty-fourth meetings of the Subsidiary Body on Scientific, Technical and Technological Advice and of the third meeting of the Subsidiary Body on Implementation,</w:t>
      </w:r>
      <w:r w:rsidRPr="00610646">
        <w:rPr>
          <w:rStyle w:val="FootnoteReference"/>
        </w:rPr>
        <w:footnoteReference w:id="21"/>
      </w:r>
    </w:p>
    <w:p w14:paraId="24ECB468" w14:textId="77777777" w:rsidR="00E86051" w:rsidRPr="00CE31DF" w:rsidRDefault="00E86051" w:rsidP="00854BF8">
      <w:pPr>
        <w:pStyle w:val="para10"/>
        <w:numPr>
          <w:ilvl w:val="0"/>
          <w:numId w:val="0"/>
        </w:numPr>
        <w:shd w:val="clear" w:color="auto" w:fill="FFFFFF" w:themeFill="background1"/>
        <w:adjustRightInd w:val="0"/>
        <w:spacing w:before="0" w:after="0"/>
        <w:ind w:firstLine="720"/>
        <w:rPr>
          <w:kern w:val="22"/>
          <w:lang w:val="en-GB"/>
        </w:rPr>
      </w:pPr>
      <w:r w:rsidRPr="00CE31DF">
        <w:rPr>
          <w:i/>
          <w:iCs/>
          <w:kern w:val="22"/>
          <w:lang w:val="en-GB"/>
        </w:rPr>
        <w:t>Expressing its gratitude</w:t>
      </w:r>
      <w:r w:rsidRPr="00CE31DF">
        <w:rPr>
          <w:kern w:val="22"/>
          <w:lang w:val="en-GB"/>
        </w:rPr>
        <w:t xml:space="preserve"> to the </w:t>
      </w:r>
      <w:r w:rsidRPr="00CE31DF">
        <w:rPr>
          <w:rFonts w:eastAsia="SimSun" w:hint="eastAsia"/>
          <w:kern w:val="22"/>
          <w:lang w:eastAsia="zh-CN"/>
        </w:rPr>
        <w:t xml:space="preserve">following </w:t>
      </w:r>
      <w:r w:rsidRPr="00CE31DF">
        <w:rPr>
          <w:kern w:val="22"/>
          <w:lang w:val="en-GB"/>
        </w:rPr>
        <w:t>Governments and organizations for hosting these consultations, as well as for their financial contributions: Australia, Austria, Belgium, Brazil, Canada, Czechia, Kenya, European Union, Finland, France, Germany, Ireland, Italy, Japan, Malta, Monaco, Netherlands, New Zealand, Norway, Poland, Republic of Korea, Serbia, Slovakia, South Africa, Sweden, Switzerland, United Kingdom of Great Britain and Northern Ireland, and Uruguay, as well as the African Union, the Food and Agriculture Organization of the United Nations, the United Nations Environment Programme, the United Nations Development Programme and Tourism Montreal</w:t>
      </w:r>
    </w:p>
    <w:p w14:paraId="27D1CCF4" w14:textId="77777777"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Expressing its gratitude</w:t>
      </w:r>
      <w:r w:rsidRPr="00CE31DF">
        <w:rPr>
          <w:kern w:val="22"/>
          <w:lang w:val="en-GB"/>
        </w:rPr>
        <w:t xml:space="preserve"> to the Co-Chairs of the Open-ended Working Group on the Post</w:t>
      </w:r>
      <w:r w:rsidRPr="00CE31DF">
        <w:rPr>
          <w:kern w:val="22"/>
          <w:lang w:val="en-GB"/>
        </w:rPr>
        <w:noBreakHyphen/>
        <w:t xml:space="preserve">2020 Global Biodiversity Framework, Mr. Basile van Havre (Canada) and Mr. Francis Ogwal (Uganda), for supporting the development of the </w:t>
      </w:r>
      <w:r w:rsidRPr="00CE31DF">
        <w:rPr>
          <w:kern w:val="22"/>
        </w:rPr>
        <w:t xml:space="preserve">Kunming-Montreal </w:t>
      </w:r>
      <w:r w:rsidRPr="00CE31DF">
        <w:rPr>
          <w:kern w:val="22"/>
          <w:lang w:val="en-GB"/>
        </w:rPr>
        <w:t>Global Biodiversity Framework,</w:t>
      </w:r>
    </w:p>
    <w:p w14:paraId="36B077F2" w14:textId="77777777"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Welcoming</w:t>
      </w:r>
      <w:r w:rsidRPr="00CE31DF">
        <w:rPr>
          <w:kern w:val="22"/>
          <w:lang w:val="en-GB"/>
        </w:rPr>
        <w:t xml:space="preserve"> the submissions by Parties, other Governments, indigenous peoples and local communities, United Nations organizations and programmes, other multilateral environmental agreements, subnational governments, cities and other local authorities, intergovernmental organizations, non</w:t>
      </w:r>
      <w:r w:rsidRPr="00CE31DF">
        <w:rPr>
          <w:kern w:val="22"/>
          <w:lang w:val="en-GB"/>
        </w:rPr>
        <w:noBreakHyphen/>
        <w:t>governmental organizations, women’s groups, youth groups, the business and finance community, the scientific community, academia, faith-based organizations, representatives of sectors related to or dependent on biodiversity, citizens at large, and other stakeholders and observers providing views on the development of the post-2020 global biodiversity framework,</w:t>
      </w:r>
    </w:p>
    <w:p w14:paraId="2AF64772" w14:textId="77777777" w:rsidR="00E86051" w:rsidRPr="00CE31DF" w:rsidRDefault="00E86051" w:rsidP="00854BF8">
      <w:pPr>
        <w:shd w:val="clear" w:color="auto" w:fill="FFFFFF" w:themeFill="background1"/>
        <w:adjustRightInd w:val="0"/>
        <w:snapToGrid w:val="0"/>
        <w:spacing w:before="120" w:after="120"/>
        <w:ind w:firstLine="720"/>
        <w:rPr>
          <w:iCs/>
          <w:kern w:val="22"/>
          <w:szCs w:val="22"/>
        </w:rPr>
      </w:pPr>
      <w:r w:rsidRPr="00CE31DF">
        <w:rPr>
          <w:i/>
          <w:kern w:val="22"/>
          <w:szCs w:val="22"/>
        </w:rPr>
        <w:t>Alarmed</w:t>
      </w:r>
      <w:r w:rsidRPr="00CE31DF">
        <w:rPr>
          <w:iCs/>
          <w:kern w:val="22"/>
          <w:szCs w:val="22"/>
        </w:rPr>
        <w:t xml:space="preserve"> by the continued loss of biodiversity and the threat that this poses to nature and human well-being,</w:t>
      </w:r>
    </w:p>
    <w:p w14:paraId="451FB3A9" w14:textId="77777777" w:rsidR="00E86051" w:rsidRPr="00CE31DF" w:rsidRDefault="00E86051" w:rsidP="00854BF8">
      <w:pPr>
        <w:pStyle w:val="para10"/>
        <w:numPr>
          <w:ilvl w:val="0"/>
          <w:numId w:val="0"/>
        </w:numPr>
        <w:shd w:val="clear" w:color="auto" w:fill="FFFFFF" w:themeFill="background1"/>
        <w:adjustRightInd w:val="0"/>
        <w:ind w:firstLine="720"/>
        <w:rPr>
          <w:kern w:val="22"/>
          <w:lang w:val="en-GB"/>
        </w:rPr>
      </w:pPr>
      <w:r w:rsidRPr="00CE31DF">
        <w:rPr>
          <w:i/>
          <w:iCs/>
          <w:kern w:val="22"/>
          <w:lang w:val="en-GB"/>
        </w:rPr>
        <w:t>Emphasizing</w:t>
      </w:r>
      <w:r w:rsidRPr="00CE31DF">
        <w:rPr>
          <w:kern w:val="22"/>
          <w:lang w:val="en-GB"/>
        </w:rPr>
        <w:t xml:space="preserve"> therefore the need for a balanced and enhanced implementation of all provisions of the Convention, including its three objectives,</w:t>
      </w:r>
    </w:p>
    <w:p w14:paraId="6C3C2CAA" w14:textId="77777777" w:rsidR="00E86051" w:rsidRPr="00CE31DF" w:rsidRDefault="00E86051" w:rsidP="00950BE4">
      <w:pPr>
        <w:pStyle w:val="ListParagraph"/>
        <w:numPr>
          <w:ilvl w:val="0"/>
          <w:numId w:val="14"/>
        </w:numPr>
        <w:shd w:val="clear" w:color="auto" w:fill="FFFFFF" w:themeFill="background1"/>
        <w:adjustRightInd w:val="0"/>
        <w:snapToGrid w:val="0"/>
        <w:spacing w:before="120" w:after="120"/>
        <w:ind w:left="0" w:firstLine="816"/>
        <w:contextualSpacing w:val="0"/>
        <w:rPr>
          <w:kern w:val="22"/>
          <w:szCs w:val="22"/>
        </w:rPr>
      </w:pPr>
      <w:r w:rsidRPr="00CE31DF">
        <w:rPr>
          <w:i/>
          <w:kern w:val="22"/>
          <w:szCs w:val="22"/>
        </w:rPr>
        <w:t>Adopts</w:t>
      </w:r>
      <w:r w:rsidRPr="00CE31DF">
        <w:rPr>
          <w:kern w:val="22"/>
          <w:szCs w:val="22"/>
        </w:rPr>
        <w:t xml:space="preserve"> the </w:t>
      </w:r>
      <w:r w:rsidRPr="00CE31DF">
        <w:rPr>
          <w:kern w:val="22"/>
        </w:rPr>
        <w:t>Kunming-Montreal</w:t>
      </w:r>
      <w:r w:rsidRPr="00CE31DF">
        <w:rPr>
          <w:kern w:val="22"/>
          <w:szCs w:val="22"/>
        </w:rPr>
        <w:t xml:space="preserve"> Global Biodiversity Framework, as contained in the annex to the present decision;</w:t>
      </w:r>
    </w:p>
    <w:p w14:paraId="5B8A6087" w14:textId="77777777" w:rsidR="00E86051" w:rsidRPr="00CE31DF" w:rsidRDefault="00E86051" w:rsidP="00950BE4">
      <w:pPr>
        <w:pStyle w:val="ListParagraph"/>
        <w:numPr>
          <w:ilvl w:val="0"/>
          <w:numId w:val="14"/>
        </w:numPr>
        <w:shd w:val="clear" w:color="auto" w:fill="FFFFFF" w:themeFill="background1"/>
        <w:adjustRightInd w:val="0"/>
        <w:snapToGrid w:val="0"/>
        <w:spacing w:before="120" w:after="120"/>
        <w:ind w:left="0" w:firstLine="816"/>
        <w:contextualSpacing w:val="0"/>
        <w:rPr>
          <w:kern w:val="22"/>
          <w:szCs w:val="22"/>
        </w:rPr>
      </w:pPr>
      <w:r w:rsidRPr="00CE31DF">
        <w:rPr>
          <w:i/>
          <w:kern w:val="22"/>
          <w:szCs w:val="22"/>
        </w:rPr>
        <w:t xml:space="preserve">Notes </w:t>
      </w:r>
      <w:r w:rsidRPr="00CE31DF">
        <w:rPr>
          <w:kern w:val="22"/>
          <w:szCs w:val="22"/>
        </w:rPr>
        <w:t xml:space="preserve">that the implementation of the </w:t>
      </w:r>
      <w:r w:rsidRPr="00CE31DF">
        <w:rPr>
          <w:kern w:val="22"/>
        </w:rPr>
        <w:t>Kunming-Montreal</w:t>
      </w:r>
      <w:r w:rsidRPr="00CE31DF">
        <w:rPr>
          <w:kern w:val="22"/>
          <w:szCs w:val="22"/>
        </w:rPr>
        <w:t xml:space="preserve"> Global Biodiversity Framework will be supported by the following decisions adopted by the Conference of the Parties at its fifteenth meeting and </w:t>
      </w:r>
      <w:r w:rsidRPr="00CE31DF">
        <w:rPr>
          <w:iCs/>
          <w:kern w:val="22"/>
          <w:szCs w:val="22"/>
        </w:rPr>
        <w:t>affirms</w:t>
      </w:r>
      <w:r w:rsidRPr="00CE31DF">
        <w:rPr>
          <w:kern w:val="22"/>
          <w:szCs w:val="22"/>
        </w:rPr>
        <w:t xml:space="preserve"> that these decisions are of equal standing to the </w:t>
      </w:r>
      <w:r w:rsidRPr="00CE31DF">
        <w:rPr>
          <w:kern w:val="22"/>
        </w:rPr>
        <w:t>Kunming-Montreal</w:t>
      </w:r>
      <w:r w:rsidRPr="00CE31DF">
        <w:rPr>
          <w:kern w:val="22"/>
          <w:szCs w:val="22"/>
        </w:rPr>
        <w:t xml:space="preserve"> Global Biodiversity Framework;</w:t>
      </w:r>
    </w:p>
    <w:p w14:paraId="66A61519" w14:textId="77777777" w:rsidR="00E86051" w:rsidRPr="00CE31DF" w:rsidRDefault="00E86051" w:rsidP="00950BE4">
      <w:pPr>
        <w:pStyle w:val="BodyText"/>
        <w:numPr>
          <w:ilvl w:val="0"/>
          <w:numId w:val="15"/>
        </w:numPr>
        <w:shd w:val="clear" w:color="auto" w:fill="FFFFFF" w:themeFill="background1"/>
        <w:adjustRightInd w:val="0"/>
        <w:snapToGrid w:val="0"/>
        <w:ind w:left="0" w:firstLine="709"/>
        <w:rPr>
          <w:kern w:val="22"/>
          <w:szCs w:val="22"/>
        </w:rPr>
      </w:pPr>
      <w:r w:rsidRPr="00CE31DF">
        <w:rPr>
          <w:iCs w:val="0"/>
          <w:kern w:val="22"/>
          <w:szCs w:val="22"/>
        </w:rPr>
        <w:t xml:space="preserve">Decision 15/5 on the monitoring framework for the </w:t>
      </w:r>
      <w:r w:rsidRPr="00CE31DF">
        <w:rPr>
          <w:kern w:val="22"/>
        </w:rPr>
        <w:t>Kunming-Montreal</w:t>
      </w:r>
      <w:r w:rsidRPr="00CE31DF">
        <w:rPr>
          <w:iCs w:val="0"/>
          <w:kern w:val="22"/>
          <w:szCs w:val="22"/>
        </w:rPr>
        <w:t xml:space="preserve"> Global Biodiversity Framework;</w:t>
      </w:r>
    </w:p>
    <w:p w14:paraId="0C845C2B" w14:textId="77777777" w:rsidR="00E86051" w:rsidRPr="00CE31DF" w:rsidRDefault="00E86051" w:rsidP="00950BE4">
      <w:pPr>
        <w:pStyle w:val="BodyText"/>
        <w:numPr>
          <w:ilvl w:val="0"/>
          <w:numId w:val="15"/>
        </w:numPr>
        <w:shd w:val="clear" w:color="auto" w:fill="FFFFFF" w:themeFill="background1"/>
        <w:adjustRightInd w:val="0"/>
        <w:snapToGrid w:val="0"/>
        <w:ind w:left="0" w:firstLine="709"/>
        <w:rPr>
          <w:kern w:val="22"/>
          <w:szCs w:val="22"/>
        </w:rPr>
      </w:pPr>
      <w:r w:rsidRPr="00CE31DF">
        <w:rPr>
          <w:iCs w:val="0"/>
          <w:kern w:val="22"/>
          <w:szCs w:val="22"/>
        </w:rPr>
        <w:lastRenderedPageBreak/>
        <w:t xml:space="preserve">Decision 15/6 on </w:t>
      </w:r>
      <w:r w:rsidRPr="00CE31DF">
        <w:rPr>
          <w:kern w:val="22"/>
          <w:szCs w:val="22"/>
        </w:rPr>
        <w:t>planning, monitoring, reporting and review;</w:t>
      </w:r>
    </w:p>
    <w:p w14:paraId="4CD0894E" w14:textId="77777777" w:rsidR="00E86051" w:rsidRPr="00CE31DF" w:rsidRDefault="00E86051" w:rsidP="00854BF8">
      <w:pPr>
        <w:pStyle w:val="BodyText"/>
        <w:shd w:val="clear" w:color="auto" w:fill="FFFFFF" w:themeFill="background1"/>
        <w:adjustRightInd w:val="0"/>
        <w:snapToGrid w:val="0"/>
        <w:ind w:firstLine="709"/>
        <w:rPr>
          <w:kern w:val="22"/>
          <w:szCs w:val="22"/>
        </w:rPr>
      </w:pPr>
      <w:r w:rsidRPr="00CE31DF">
        <w:rPr>
          <w:iCs w:val="0"/>
          <w:kern w:val="22"/>
          <w:szCs w:val="22"/>
        </w:rPr>
        <w:t>(c)</w:t>
      </w:r>
      <w:r w:rsidRPr="00CE31DF">
        <w:rPr>
          <w:iCs w:val="0"/>
          <w:kern w:val="22"/>
          <w:szCs w:val="22"/>
        </w:rPr>
        <w:tab/>
        <w:t xml:space="preserve">Decision 15/7 on </w:t>
      </w:r>
      <w:r w:rsidRPr="00CE31DF">
        <w:rPr>
          <w:kern w:val="22"/>
          <w:szCs w:val="22"/>
        </w:rPr>
        <w:t>resource mobilization;</w:t>
      </w:r>
    </w:p>
    <w:p w14:paraId="77304B33" w14:textId="77777777" w:rsidR="00E86051" w:rsidRPr="00CE31DF" w:rsidRDefault="00E86051" w:rsidP="00854BF8">
      <w:pPr>
        <w:pStyle w:val="BodyText"/>
        <w:shd w:val="clear" w:color="auto" w:fill="FFFFFF" w:themeFill="background1"/>
        <w:adjustRightInd w:val="0"/>
        <w:snapToGrid w:val="0"/>
        <w:ind w:firstLine="709"/>
        <w:rPr>
          <w:kern w:val="22"/>
          <w:szCs w:val="22"/>
        </w:rPr>
      </w:pPr>
      <w:r w:rsidRPr="00CE31DF">
        <w:rPr>
          <w:iCs w:val="0"/>
          <w:kern w:val="22"/>
          <w:szCs w:val="22"/>
        </w:rPr>
        <w:t>(d)</w:t>
      </w:r>
      <w:r w:rsidRPr="00CE31DF">
        <w:rPr>
          <w:iCs w:val="0"/>
          <w:kern w:val="22"/>
          <w:szCs w:val="22"/>
        </w:rPr>
        <w:tab/>
        <w:t xml:space="preserve">Decision 15/8 on </w:t>
      </w:r>
      <w:r w:rsidRPr="00CE31DF">
        <w:rPr>
          <w:kern w:val="22"/>
          <w:szCs w:val="22"/>
        </w:rPr>
        <w:t xml:space="preserve">capacity-building and development </w:t>
      </w:r>
      <w:r w:rsidRPr="00CE31DF">
        <w:t>and technical and scientific cooperation</w:t>
      </w:r>
      <w:r w:rsidRPr="00CE31DF">
        <w:rPr>
          <w:kern w:val="22"/>
          <w:szCs w:val="22"/>
        </w:rPr>
        <w:t>;</w:t>
      </w:r>
    </w:p>
    <w:p w14:paraId="12C1E9E0" w14:textId="77777777" w:rsidR="00E86051" w:rsidRPr="00CE31DF" w:rsidRDefault="00E86051" w:rsidP="00950BE4">
      <w:pPr>
        <w:pStyle w:val="BodyText"/>
        <w:numPr>
          <w:ilvl w:val="0"/>
          <w:numId w:val="19"/>
        </w:numPr>
        <w:shd w:val="clear" w:color="auto" w:fill="FFFFFF" w:themeFill="background1"/>
        <w:adjustRightInd w:val="0"/>
        <w:snapToGrid w:val="0"/>
        <w:ind w:left="1418" w:hanging="709"/>
        <w:rPr>
          <w:iCs w:val="0"/>
          <w:kern w:val="22"/>
          <w:szCs w:val="22"/>
        </w:rPr>
      </w:pPr>
      <w:r w:rsidRPr="00CE31DF">
        <w:rPr>
          <w:iCs w:val="0"/>
          <w:kern w:val="22"/>
          <w:szCs w:val="22"/>
        </w:rPr>
        <w:t>Decision 15/9 on digital sequence information on genetic resources;</w:t>
      </w:r>
    </w:p>
    <w:p w14:paraId="34360414" w14:textId="77777777" w:rsidR="00E86051" w:rsidRPr="00CE31DF" w:rsidRDefault="00E86051" w:rsidP="00950BE4">
      <w:pPr>
        <w:pStyle w:val="BodyText"/>
        <w:numPr>
          <w:ilvl w:val="0"/>
          <w:numId w:val="19"/>
        </w:numPr>
        <w:shd w:val="clear" w:color="auto" w:fill="FFFFFF" w:themeFill="background1"/>
        <w:adjustRightInd w:val="0"/>
        <w:snapToGrid w:val="0"/>
        <w:ind w:left="1418" w:hanging="709"/>
        <w:rPr>
          <w:iCs w:val="0"/>
          <w:kern w:val="22"/>
          <w:szCs w:val="22"/>
        </w:rPr>
      </w:pPr>
      <w:r w:rsidRPr="00CE31DF">
        <w:rPr>
          <w:iCs w:val="0"/>
          <w:kern w:val="22"/>
          <w:szCs w:val="22"/>
        </w:rPr>
        <w:t>Decision 15/13 on cooperation with other Conventions and international organizations.</w:t>
      </w:r>
    </w:p>
    <w:p w14:paraId="1747349B" w14:textId="77777777" w:rsidR="00E86051" w:rsidRPr="00CE31DF" w:rsidRDefault="00E86051" w:rsidP="00854BF8">
      <w:pPr>
        <w:pStyle w:val="BodyText"/>
        <w:shd w:val="clear" w:color="auto" w:fill="FFFFFF" w:themeFill="background1"/>
        <w:adjustRightInd w:val="0"/>
        <w:snapToGrid w:val="0"/>
        <w:rPr>
          <w:kern w:val="22"/>
          <w:szCs w:val="22"/>
        </w:rPr>
      </w:pPr>
      <w:r w:rsidRPr="00CE31DF">
        <w:rPr>
          <w:kern w:val="22"/>
          <w:szCs w:val="22"/>
        </w:rPr>
        <w:t>3.</w:t>
      </w:r>
      <w:r w:rsidRPr="00CE31DF">
        <w:rPr>
          <w:kern w:val="22"/>
          <w:szCs w:val="22"/>
        </w:rPr>
        <w:tab/>
      </w:r>
      <w:r w:rsidRPr="00CE31DF">
        <w:rPr>
          <w:i/>
          <w:iCs w:val="0"/>
          <w:kern w:val="22"/>
          <w:szCs w:val="22"/>
        </w:rPr>
        <w:t>Also</w:t>
      </w:r>
      <w:r w:rsidRPr="00CE31DF">
        <w:rPr>
          <w:kern w:val="22"/>
          <w:szCs w:val="22"/>
        </w:rPr>
        <w:t xml:space="preserve"> </w:t>
      </w:r>
      <w:r w:rsidRPr="00CE31DF">
        <w:rPr>
          <w:i/>
          <w:iCs w:val="0"/>
          <w:kern w:val="22"/>
          <w:szCs w:val="22"/>
        </w:rPr>
        <w:t>notes</w:t>
      </w:r>
      <w:r w:rsidRPr="00CE31DF">
        <w:rPr>
          <w:kern w:val="22"/>
          <w:szCs w:val="22"/>
        </w:rPr>
        <w:t xml:space="preserve"> that the implementation of the </w:t>
      </w:r>
      <w:r w:rsidRPr="00CE31DF">
        <w:rPr>
          <w:kern w:val="22"/>
        </w:rPr>
        <w:t>Kunming-Montreal</w:t>
      </w:r>
      <w:r w:rsidRPr="00CE31DF">
        <w:rPr>
          <w:kern w:val="22"/>
          <w:szCs w:val="22"/>
        </w:rPr>
        <w:t xml:space="preserve"> Global Biodiversity Framework will be supported by relevant decisions adopted by the Conference of the Parties serving as the meeting of the Parties to the Protocols, in particular the Implementation Plan for the Cartagena Protocol on Biosafety and the Capacity-building Action Plan for the Cartagena Protocol on Biosafety;</w:t>
      </w:r>
      <w:r w:rsidRPr="00610646">
        <w:rPr>
          <w:rStyle w:val="FootnoteReference"/>
        </w:rPr>
        <w:footnoteReference w:id="22"/>
      </w:r>
      <w:r w:rsidRPr="00CE31DF">
        <w:rPr>
          <w:kern w:val="22"/>
          <w:szCs w:val="22"/>
        </w:rPr>
        <w:t xml:space="preserve"> </w:t>
      </w:r>
    </w:p>
    <w:p w14:paraId="21B9E0C6" w14:textId="77777777" w:rsidR="00E86051" w:rsidRPr="00CE31DF" w:rsidRDefault="00E86051" w:rsidP="00854BF8">
      <w:pPr>
        <w:pStyle w:val="BodyText"/>
        <w:shd w:val="clear" w:color="auto" w:fill="FFFFFF" w:themeFill="background1"/>
        <w:adjustRightInd w:val="0"/>
        <w:snapToGrid w:val="0"/>
        <w:rPr>
          <w:iCs w:val="0"/>
          <w:kern w:val="22"/>
          <w:szCs w:val="22"/>
        </w:rPr>
      </w:pPr>
      <w:r w:rsidRPr="00CE31DF">
        <w:rPr>
          <w:iCs w:val="0"/>
          <w:kern w:val="22"/>
          <w:szCs w:val="22"/>
        </w:rPr>
        <w:t>4.</w:t>
      </w:r>
      <w:r w:rsidRPr="00CE31DF">
        <w:rPr>
          <w:iCs w:val="0"/>
          <w:kern w:val="22"/>
          <w:szCs w:val="22"/>
        </w:rPr>
        <w:tab/>
      </w:r>
      <w:r w:rsidRPr="00CE31DF">
        <w:rPr>
          <w:i/>
          <w:kern w:val="22"/>
          <w:szCs w:val="22"/>
        </w:rPr>
        <w:t xml:space="preserve">Urges </w:t>
      </w:r>
      <w:r w:rsidRPr="00CE31DF">
        <w:rPr>
          <w:iCs w:val="0"/>
          <w:kern w:val="22"/>
          <w:szCs w:val="22"/>
        </w:rPr>
        <w:t xml:space="preserve">Parties and other Governments, with the support of intergovernmental and other organizations, as appropriate, to implement the </w:t>
      </w:r>
      <w:r w:rsidRPr="00CE31DF">
        <w:rPr>
          <w:kern w:val="22"/>
        </w:rPr>
        <w:t>Kunming-Montreal</w:t>
      </w:r>
      <w:r w:rsidRPr="00CE31DF">
        <w:rPr>
          <w:kern w:val="22"/>
          <w:szCs w:val="22"/>
        </w:rPr>
        <w:t xml:space="preserve"> </w:t>
      </w:r>
      <w:r w:rsidRPr="00CE31DF">
        <w:rPr>
          <w:iCs w:val="0"/>
          <w:kern w:val="22"/>
          <w:szCs w:val="22"/>
        </w:rPr>
        <w:t>Global Biodiversity Framework, and</w:t>
      </w:r>
      <w:r w:rsidRPr="00CE31DF">
        <w:rPr>
          <w:kern w:val="22"/>
          <w:szCs w:val="22"/>
        </w:rPr>
        <w:t>,</w:t>
      </w:r>
      <w:r w:rsidRPr="00CE31DF">
        <w:rPr>
          <w:iCs w:val="0"/>
          <w:kern w:val="22"/>
          <w:szCs w:val="22"/>
        </w:rPr>
        <w:t xml:space="preserve"> in particular</w:t>
      </w:r>
      <w:r w:rsidRPr="00CE31DF">
        <w:rPr>
          <w:kern w:val="22"/>
          <w:szCs w:val="22"/>
        </w:rPr>
        <w:t>,</w:t>
      </w:r>
      <w:r w:rsidRPr="00CE31DF">
        <w:rPr>
          <w:iCs w:val="0"/>
          <w:kern w:val="22"/>
          <w:szCs w:val="22"/>
        </w:rPr>
        <w:t xml:space="preserve"> to</w:t>
      </w:r>
      <w:r w:rsidRPr="00CE31DF">
        <w:rPr>
          <w:rFonts w:eastAsia="SimSun" w:hint="eastAsia"/>
          <w:iCs w:val="0"/>
          <w:kern w:val="22"/>
          <w:szCs w:val="22"/>
          <w:lang w:val="en-US" w:eastAsia="zh-CN"/>
        </w:rPr>
        <w:t xml:space="preserve"> </w:t>
      </w:r>
      <w:r w:rsidRPr="00CE31DF">
        <w:rPr>
          <w:iCs w:val="0"/>
          <w:kern w:val="22"/>
          <w:szCs w:val="22"/>
        </w:rPr>
        <w:t>enable participation at all levels of government, with a view to fostering the full and effective contributions of women, youth, indigenous peoples and local communities, civil society organizations, the private and financial sectors, and stakeholders from all other sectors, to that end;</w:t>
      </w:r>
    </w:p>
    <w:p w14:paraId="72F0C3D3" w14:textId="77777777" w:rsidR="00E86051" w:rsidRPr="00CE31DF" w:rsidRDefault="00E86051" w:rsidP="00854BF8">
      <w:pPr>
        <w:pStyle w:val="BodyText"/>
        <w:shd w:val="clear" w:color="auto" w:fill="FFFFFF" w:themeFill="background1"/>
        <w:adjustRightInd w:val="0"/>
        <w:snapToGrid w:val="0"/>
        <w:rPr>
          <w:i/>
          <w:kern w:val="22"/>
          <w:szCs w:val="22"/>
        </w:rPr>
      </w:pPr>
      <w:r w:rsidRPr="00CE31DF">
        <w:rPr>
          <w:iCs w:val="0"/>
          <w:kern w:val="22"/>
          <w:szCs w:val="22"/>
        </w:rPr>
        <w:t>5.</w:t>
      </w:r>
      <w:r w:rsidRPr="00CE31DF">
        <w:rPr>
          <w:iCs w:val="0"/>
          <w:kern w:val="22"/>
          <w:szCs w:val="22"/>
        </w:rPr>
        <w:tab/>
      </w:r>
      <w:r w:rsidRPr="00CE31DF">
        <w:rPr>
          <w:i/>
          <w:kern w:val="22"/>
        </w:rPr>
        <w:t>Invites</w:t>
      </w:r>
      <w:r w:rsidRPr="00CE31DF">
        <w:rPr>
          <w:kern w:val="22"/>
        </w:rPr>
        <w:t xml:space="preserve"> Parties and other Governments to cooperate at the transboundary, regional and international levels in implementing the Kunming-Montreal</w:t>
      </w:r>
      <w:r w:rsidRPr="00CE31DF">
        <w:rPr>
          <w:kern w:val="22"/>
          <w:szCs w:val="22"/>
        </w:rPr>
        <w:t xml:space="preserve"> </w:t>
      </w:r>
      <w:r w:rsidRPr="00CE31DF">
        <w:rPr>
          <w:kern w:val="22"/>
        </w:rPr>
        <w:t>Global Biodiversity Framework;</w:t>
      </w:r>
    </w:p>
    <w:p w14:paraId="199562D3" w14:textId="77777777" w:rsidR="00E86051" w:rsidRPr="00CE31DF" w:rsidRDefault="00E86051" w:rsidP="00854BF8">
      <w:pPr>
        <w:pStyle w:val="BodyText"/>
        <w:shd w:val="clear" w:color="auto" w:fill="FFFFFF" w:themeFill="background1"/>
        <w:adjustRightInd w:val="0"/>
        <w:snapToGrid w:val="0"/>
        <w:rPr>
          <w:kern w:val="22"/>
        </w:rPr>
      </w:pPr>
      <w:r w:rsidRPr="00CE31DF">
        <w:rPr>
          <w:iCs w:val="0"/>
          <w:kern w:val="22"/>
        </w:rPr>
        <w:t>6.</w:t>
      </w:r>
      <w:r w:rsidRPr="00CE31DF">
        <w:rPr>
          <w:iCs w:val="0"/>
          <w:kern w:val="22"/>
        </w:rPr>
        <w:tab/>
      </w:r>
      <w:r w:rsidRPr="00CE31DF">
        <w:rPr>
          <w:i/>
          <w:kern w:val="22"/>
        </w:rPr>
        <w:t xml:space="preserve">Reaffirms </w:t>
      </w:r>
      <w:r w:rsidRPr="00CE31DF">
        <w:rPr>
          <w:iCs w:val="0"/>
          <w:kern w:val="22"/>
        </w:rPr>
        <w:t xml:space="preserve">its expectation that Parties and other Governments will ensure that the rights of indigenous peoples and local communities are respected and given effect to in the implementation of the </w:t>
      </w:r>
      <w:r w:rsidRPr="00CE31DF">
        <w:rPr>
          <w:kern w:val="22"/>
        </w:rPr>
        <w:t>Kunming-Montreal</w:t>
      </w:r>
      <w:r w:rsidRPr="00CE31DF">
        <w:rPr>
          <w:kern w:val="22"/>
          <w:szCs w:val="22"/>
        </w:rPr>
        <w:t xml:space="preserve"> </w:t>
      </w:r>
      <w:r w:rsidRPr="00CE31DF">
        <w:rPr>
          <w:iCs w:val="0"/>
          <w:kern w:val="22"/>
        </w:rPr>
        <w:t>Global Biodiversity Framework;</w:t>
      </w:r>
    </w:p>
    <w:p w14:paraId="12FD0528" w14:textId="77777777" w:rsidR="00E86051" w:rsidRPr="00CE31DF" w:rsidRDefault="00E86051" w:rsidP="00854BF8">
      <w:pPr>
        <w:pStyle w:val="BodyText"/>
        <w:shd w:val="clear" w:color="auto" w:fill="FFFFFF" w:themeFill="background1"/>
        <w:adjustRightInd w:val="0"/>
        <w:snapToGrid w:val="0"/>
        <w:rPr>
          <w:kern w:val="22"/>
          <w:szCs w:val="22"/>
        </w:rPr>
      </w:pPr>
      <w:r w:rsidRPr="00CE31DF">
        <w:rPr>
          <w:iCs w:val="0"/>
          <w:kern w:val="22"/>
          <w:szCs w:val="22"/>
        </w:rPr>
        <w:t>7.</w:t>
      </w:r>
      <w:r w:rsidRPr="00CE31DF">
        <w:rPr>
          <w:iCs w:val="0"/>
          <w:kern w:val="22"/>
          <w:szCs w:val="22"/>
        </w:rPr>
        <w:tab/>
      </w:r>
      <w:r w:rsidRPr="00CE31DF">
        <w:rPr>
          <w:i/>
          <w:iCs w:val="0"/>
          <w:kern w:val="22"/>
          <w:szCs w:val="22"/>
        </w:rPr>
        <w:t>Invites</w:t>
      </w:r>
      <w:r w:rsidRPr="00CE31DF">
        <w:rPr>
          <w:kern w:val="22"/>
          <w:szCs w:val="22"/>
        </w:rPr>
        <w:t xml:space="preserve"> the General Assembly of the United Nations to acknowledge the </w:t>
      </w:r>
      <w:r w:rsidRPr="00CE31DF">
        <w:rPr>
          <w:kern w:val="22"/>
        </w:rPr>
        <w:t>Kunming</w:t>
      </w:r>
      <w:r w:rsidRPr="00CE31DF">
        <w:rPr>
          <w:kern w:val="22"/>
        </w:rPr>
        <w:noBreakHyphen/>
        <w:t>Montreal</w:t>
      </w:r>
      <w:r w:rsidRPr="00CE31DF">
        <w:rPr>
          <w:kern w:val="22"/>
          <w:szCs w:val="22"/>
        </w:rPr>
        <w:t xml:space="preserve"> Global Biodiversity Framework and to take into account the progress in its implementation when monitoring progress towards the Sustainable Development Goals;</w:t>
      </w:r>
    </w:p>
    <w:p w14:paraId="0FBB9478" w14:textId="77777777" w:rsidR="00E86051" w:rsidRPr="00CE31DF" w:rsidRDefault="00E86051" w:rsidP="00854BF8">
      <w:pPr>
        <w:pStyle w:val="BodyText"/>
        <w:shd w:val="clear" w:color="auto" w:fill="FFFFFF" w:themeFill="background1"/>
        <w:adjustRightInd w:val="0"/>
        <w:snapToGrid w:val="0"/>
        <w:rPr>
          <w:kern w:val="22"/>
          <w:szCs w:val="22"/>
        </w:rPr>
      </w:pPr>
      <w:r w:rsidRPr="00CE31DF">
        <w:rPr>
          <w:kern w:val="22"/>
          <w:szCs w:val="22"/>
        </w:rPr>
        <w:t>8.</w:t>
      </w:r>
      <w:r w:rsidRPr="00CE31DF">
        <w:rPr>
          <w:kern w:val="22"/>
          <w:szCs w:val="22"/>
        </w:rPr>
        <w:tab/>
      </w:r>
      <w:r w:rsidRPr="00CE31DF">
        <w:rPr>
          <w:i/>
          <w:iCs w:val="0"/>
          <w:kern w:val="22"/>
          <w:szCs w:val="22"/>
        </w:rPr>
        <w:t>D</w:t>
      </w:r>
      <w:r w:rsidRPr="00CE31DF">
        <w:rPr>
          <w:rFonts w:asciiTheme="majorBidi" w:hAnsiTheme="majorBidi" w:cstheme="majorBidi"/>
          <w:i/>
          <w:kern w:val="22"/>
          <w:lang w:val="en-US"/>
        </w:rPr>
        <w:t>ecides</w:t>
      </w:r>
      <w:r w:rsidRPr="00CE31DF">
        <w:rPr>
          <w:rFonts w:asciiTheme="majorBidi" w:hAnsiTheme="majorBidi" w:cstheme="majorBidi"/>
          <w:kern w:val="22"/>
          <w:lang w:val="en-US"/>
        </w:rPr>
        <w:t xml:space="preserve"> that the </w:t>
      </w:r>
      <w:r w:rsidRPr="00CE31DF">
        <w:rPr>
          <w:kern w:val="22"/>
        </w:rPr>
        <w:t>Kunming-Montreal</w:t>
      </w:r>
      <w:r w:rsidRPr="00CE31DF">
        <w:rPr>
          <w:kern w:val="22"/>
          <w:szCs w:val="22"/>
        </w:rPr>
        <w:t xml:space="preserve"> </w:t>
      </w:r>
      <w:r w:rsidRPr="00CE31DF">
        <w:rPr>
          <w:rFonts w:asciiTheme="majorBidi" w:hAnsiTheme="majorBidi" w:cstheme="majorBidi"/>
          <w:kern w:val="22"/>
          <w:lang w:val="en-US"/>
        </w:rPr>
        <w:t xml:space="preserve">Global Biodiversity Framework should be used as a strategic </w:t>
      </w:r>
      <w:r w:rsidRPr="00CE31DF">
        <w:rPr>
          <w:rFonts w:asciiTheme="majorBidi" w:hAnsiTheme="majorBidi" w:cstheme="majorBidi"/>
          <w:color w:val="000000" w:themeColor="text1"/>
          <w:kern w:val="22"/>
          <w:lang w:val="en-US"/>
        </w:rPr>
        <w:t>plan</w:t>
      </w:r>
      <w:r w:rsidRPr="00CE31DF">
        <w:rPr>
          <w:rFonts w:asciiTheme="majorBidi" w:eastAsia="SimSun" w:hAnsiTheme="majorBidi" w:cstheme="majorBidi" w:hint="eastAsia"/>
          <w:color w:val="000000" w:themeColor="text1"/>
          <w:kern w:val="22"/>
          <w:lang w:val="en-US" w:eastAsia="zh-CN"/>
        </w:rPr>
        <w:t xml:space="preserve"> </w:t>
      </w:r>
      <w:r w:rsidRPr="00CE31DF">
        <w:rPr>
          <w:rFonts w:asciiTheme="majorBidi" w:eastAsia="SimSun" w:hAnsiTheme="majorBidi" w:cstheme="majorBidi"/>
          <w:color w:val="000000" w:themeColor="text1"/>
          <w:kern w:val="22"/>
          <w:lang w:val="en-US" w:eastAsia="zh-CN"/>
        </w:rPr>
        <w:t>for the implementation of</w:t>
      </w:r>
      <w:r w:rsidRPr="00CE31DF">
        <w:rPr>
          <w:rFonts w:asciiTheme="majorBidi" w:hAnsiTheme="majorBidi" w:cstheme="majorBidi"/>
          <w:color w:val="000000" w:themeColor="text1"/>
          <w:kern w:val="22"/>
          <w:lang w:val="en-US"/>
        </w:rPr>
        <w:t xml:space="preserve"> the Convention </w:t>
      </w:r>
      <w:r w:rsidRPr="00CE31DF">
        <w:rPr>
          <w:rFonts w:asciiTheme="majorBidi" w:hAnsiTheme="majorBidi" w:cstheme="majorBidi"/>
          <w:kern w:val="22"/>
          <w:lang w:val="en-US"/>
        </w:rPr>
        <w:t>and its Protocols, its bodies and its Secretariat over the period 2022</w:t>
      </w:r>
      <w:r w:rsidRPr="00CE31DF">
        <w:rPr>
          <w:snapToGrid w:val="0"/>
          <w:kern w:val="22"/>
        </w:rPr>
        <w:t>–</w:t>
      </w:r>
      <w:r w:rsidRPr="00CE31DF">
        <w:rPr>
          <w:rFonts w:asciiTheme="majorBidi" w:hAnsiTheme="majorBidi" w:cstheme="majorBidi"/>
          <w:kern w:val="22"/>
          <w:lang w:val="en-US"/>
        </w:rPr>
        <w:t>2030 and that, in this regard, the Framework should be used to better align and direct the work of the various bodies of the Convention and its Protocols, its Secretariat and its budget according to the goals and targets of the Framework;</w:t>
      </w:r>
    </w:p>
    <w:p w14:paraId="2CA5ECB6" w14:textId="77777777" w:rsidR="00274F3B" w:rsidRPr="00555EDE" w:rsidRDefault="00E86051" w:rsidP="00FB3B90">
      <w:pPr>
        <w:pStyle w:val="BodyText"/>
        <w:shd w:val="clear" w:color="auto" w:fill="FFFFFF" w:themeFill="background1"/>
        <w:adjustRightInd w:val="0"/>
        <w:snapToGrid w:val="0"/>
        <w:rPr>
          <w:szCs w:val="22"/>
        </w:rPr>
      </w:pPr>
      <w:r w:rsidRPr="00CE31DF">
        <w:rPr>
          <w:iCs w:val="0"/>
          <w:kern w:val="22"/>
          <w:szCs w:val="22"/>
        </w:rPr>
        <w:t>9.</w:t>
      </w:r>
      <w:r w:rsidRPr="00CE31DF">
        <w:rPr>
          <w:iCs w:val="0"/>
          <w:kern w:val="22"/>
          <w:szCs w:val="22"/>
        </w:rPr>
        <w:tab/>
      </w:r>
      <w:r w:rsidRPr="00CE31DF">
        <w:rPr>
          <w:i/>
          <w:kern w:val="22"/>
          <w:szCs w:val="22"/>
        </w:rPr>
        <w:t xml:space="preserve">Requests </w:t>
      </w:r>
      <w:r w:rsidRPr="00CE31DF">
        <w:rPr>
          <w:iCs w:val="0"/>
          <w:kern w:val="22"/>
          <w:szCs w:val="22"/>
        </w:rPr>
        <w:t xml:space="preserve">the Executive Secretary to </w:t>
      </w:r>
      <w:r w:rsidRPr="00CE31DF">
        <w:rPr>
          <w:szCs w:val="22"/>
        </w:rPr>
        <w:t xml:space="preserve">conduct a strategic review and analysis of the programmes of work of the Convention in the context of the </w:t>
      </w:r>
      <w:r w:rsidRPr="00CE31DF">
        <w:rPr>
          <w:kern w:val="22"/>
        </w:rPr>
        <w:t>Kunming-Montreal</w:t>
      </w:r>
      <w:r w:rsidRPr="00CE31DF">
        <w:rPr>
          <w:kern w:val="22"/>
          <w:szCs w:val="22"/>
        </w:rPr>
        <w:t xml:space="preserve"> </w:t>
      </w:r>
      <w:r w:rsidRPr="00CE31DF">
        <w:rPr>
          <w:szCs w:val="22"/>
        </w:rPr>
        <w:t xml:space="preserve">Global Biodiversity Framework to facilitate its implementation, and, on the basis of this analysis, to prepare draft updates of these programmes of work for consideration by the Subsidiary Body on Scientific, Technical and Technological Advice and by the Subsidiary Body on Implementation, as appropriate, at meetings during the period between the fifteenth and sixteenth meetings </w:t>
      </w:r>
      <w:r w:rsidRPr="00555EDE">
        <w:rPr>
          <w:szCs w:val="22"/>
        </w:rPr>
        <w:t>of the Conference of the Parties, and to report on this work to the Conference of the Parties at its sixteenth meeting.</w:t>
      </w:r>
    </w:p>
    <w:p w14:paraId="465B43F8" w14:textId="77777777" w:rsidR="00E86051" w:rsidRPr="00CE31DF" w:rsidRDefault="00E86051" w:rsidP="00274F3B">
      <w:pPr>
        <w:tabs>
          <w:tab w:val="left" w:pos="2228"/>
        </w:tabs>
        <w:spacing w:before="240" w:after="120"/>
        <w:jc w:val="center"/>
        <w:rPr>
          <w:i/>
          <w:iCs/>
          <w:color w:val="000000" w:themeColor="text1"/>
          <w:szCs w:val="22"/>
        </w:rPr>
      </w:pPr>
      <w:r w:rsidRPr="00CE31DF">
        <w:rPr>
          <w:i/>
          <w:iCs/>
          <w:color w:val="000000" w:themeColor="text1"/>
          <w:szCs w:val="22"/>
        </w:rPr>
        <w:t>Annex</w:t>
      </w:r>
    </w:p>
    <w:p w14:paraId="364B59E2" w14:textId="77777777" w:rsidR="00E86051" w:rsidRPr="00CE31DF" w:rsidRDefault="00E86051" w:rsidP="00274F3B">
      <w:pPr>
        <w:tabs>
          <w:tab w:val="left" w:pos="2228"/>
        </w:tabs>
        <w:spacing w:before="120" w:after="120"/>
        <w:jc w:val="center"/>
        <w:rPr>
          <w:i/>
          <w:iCs/>
          <w:color w:val="000000" w:themeColor="text1"/>
          <w:szCs w:val="22"/>
        </w:rPr>
      </w:pPr>
      <w:r w:rsidRPr="00CE31DF">
        <w:rPr>
          <w:b/>
          <w:bCs/>
          <w:kern w:val="22"/>
          <w:szCs w:val="22"/>
        </w:rPr>
        <w:t xml:space="preserve">Kunming-Montreal </w:t>
      </w:r>
      <w:r w:rsidRPr="00CE31DF">
        <w:rPr>
          <w:rFonts w:ascii="Times New Roman Bold" w:hAnsi="Times New Roman Bold"/>
          <w:b/>
          <w:bCs/>
          <w:kern w:val="22"/>
          <w:szCs w:val="22"/>
        </w:rPr>
        <w:t>Global Biodiversity Framework</w:t>
      </w:r>
    </w:p>
    <w:p w14:paraId="03C41650" w14:textId="77777777" w:rsidR="00E86051" w:rsidRPr="00CE31DF" w:rsidRDefault="00E86051" w:rsidP="00274F3B">
      <w:pPr>
        <w:keepNext/>
        <w:tabs>
          <w:tab w:val="left" w:pos="2228"/>
        </w:tabs>
        <w:spacing w:before="120" w:after="120"/>
        <w:jc w:val="center"/>
        <w:rPr>
          <w:b/>
          <w:bCs/>
          <w:color w:val="000000" w:themeColor="text1"/>
          <w:szCs w:val="22"/>
        </w:rPr>
      </w:pPr>
      <w:r w:rsidRPr="00CE31DF">
        <w:rPr>
          <w:b/>
          <w:bCs/>
          <w:color w:val="000000" w:themeColor="text1"/>
          <w:szCs w:val="22"/>
        </w:rPr>
        <w:t>Section A.  Background</w:t>
      </w:r>
    </w:p>
    <w:p w14:paraId="14989B0F" w14:textId="77777777" w:rsidR="00E86051" w:rsidRPr="00CE31DF" w:rsidRDefault="00E86051" w:rsidP="00950BE4">
      <w:pPr>
        <w:pStyle w:val="Para1"/>
        <w:numPr>
          <w:ilvl w:val="0"/>
          <w:numId w:val="16"/>
        </w:numPr>
        <w:tabs>
          <w:tab w:val="clear" w:pos="360"/>
        </w:tabs>
        <w:overflowPunct/>
        <w:autoSpaceDE/>
        <w:autoSpaceDN/>
        <w:snapToGrid/>
        <w:spacing w:before="120"/>
        <w:rPr>
          <w:rFonts w:eastAsiaTheme="minorEastAsia"/>
          <w:color w:val="000000" w:themeColor="text1"/>
        </w:rPr>
      </w:pPr>
      <w:r w:rsidRPr="00CE31DF">
        <w:rPr>
          <w:color w:val="000000" w:themeColor="text1"/>
        </w:rPr>
        <w:t xml:space="preserve">Biodiversity is fundamental to human well-being, a healthy planet, and economic prosperity for all people, including for living well in balance and in harmony with Mother Earth. We depend on it for food, medicine, energy, clean air and water, security from natural disasters as well as recreation and cultural inspiration, and it supports all systems of life on Earth. </w:t>
      </w:r>
    </w:p>
    <w:p w14:paraId="3D81576E" w14:textId="77777777" w:rsidR="00E86051" w:rsidRPr="00CE31DF" w:rsidRDefault="00E86051" w:rsidP="00950BE4">
      <w:pPr>
        <w:pStyle w:val="Para1"/>
        <w:numPr>
          <w:ilvl w:val="0"/>
          <w:numId w:val="16"/>
        </w:numPr>
        <w:tabs>
          <w:tab w:val="clear" w:pos="360"/>
        </w:tabs>
        <w:overflowPunct/>
        <w:autoSpaceDE/>
        <w:autoSpaceDN/>
        <w:snapToGrid/>
        <w:spacing w:before="60" w:after="60"/>
        <w:rPr>
          <w:color w:val="000000" w:themeColor="text1"/>
        </w:rPr>
      </w:pPr>
      <w:r w:rsidRPr="00CE31DF">
        <w:lastRenderedPageBreak/>
        <w:t xml:space="preserve">The Kunming-Montreal Global Biodiversity Framework seeks to respond to </w:t>
      </w:r>
      <w:r w:rsidRPr="00CE31DF">
        <w:rPr>
          <w:color w:val="000000" w:themeColor="text1"/>
        </w:rPr>
        <w:t xml:space="preserve">the </w:t>
      </w:r>
      <w:r w:rsidRPr="00CE31DF">
        <w:rPr>
          <w:i/>
          <w:iCs/>
          <w:color w:val="000000" w:themeColor="text1"/>
        </w:rPr>
        <w:t>Global Assessment Report of Biodiversity and Ecosystem Services</w:t>
      </w:r>
      <w:r w:rsidRPr="00CE31DF">
        <w:rPr>
          <w:color w:val="000000" w:themeColor="text1"/>
        </w:rPr>
        <w:t xml:space="preserve"> issued by the Intergovernmental Science-Policy Platform on Biodiversity and Ecosystem Services (IPBES),</w:t>
      </w:r>
      <w:r w:rsidRPr="00610646">
        <w:rPr>
          <w:rStyle w:val="FootnoteReference"/>
        </w:rPr>
        <w:footnoteReference w:id="23"/>
      </w:r>
      <w:r w:rsidRPr="00CE31DF">
        <w:rPr>
          <w:color w:val="000000" w:themeColor="text1"/>
        </w:rPr>
        <w:t xml:space="preserve"> the fifth edition of the </w:t>
      </w:r>
      <w:r w:rsidRPr="00CE31DF">
        <w:rPr>
          <w:i/>
          <w:iCs/>
          <w:color w:val="000000" w:themeColor="text1"/>
        </w:rPr>
        <w:t>Global Biodiversity Outlook</w:t>
      </w:r>
      <w:r w:rsidRPr="00CE31DF">
        <w:rPr>
          <w:color w:val="000000" w:themeColor="text1"/>
        </w:rPr>
        <w:t>,</w:t>
      </w:r>
      <w:r w:rsidRPr="00610646">
        <w:rPr>
          <w:rStyle w:val="FootnoteReference"/>
        </w:rPr>
        <w:footnoteReference w:id="24"/>
      </w:r>
      <w:r w:rsidRPr="00CE31DF">
        <w:rPr>
          <w:color w:val="000000" w:themeColor="text1"/>
        </w:rPr>
        <w:t xml:space="preserve"> and many other scientific documents that provide ample evidence that, despite ongoing efforts, biodiversity is deteriorating worldwide at rates unprecedented in human history. As the IPBES global assessment report states:</w:t>
      </w:r>
      <w:r w:rsidRPr="00610646">
        <w:rPr>
          <w:rStyle w:val="FootnoteReference"/>
        </w:rPr>
        <w:footnoteReference w:id="25"/>
      </w:r>
    </w:p>
    <w:p w14:paraId="2603EDA8" w14:textId="77777777" w:rsidR="00E86051" w:rsidRPr="00CE31DF" w:rsidRDefault="00E86051">
      <w:pPr>
        <w:pStyle w:val="Para1"/>
        <w:numPr>
          <w:ilvl w:val="0"/>
          <w:numId w:val="0"/>
        </w:numPr>
        <w:ind w:left="596"/>
        <w:rPr>
          <w:color w:val="000000" w:themeColor="text1"/>
        </w:rPr>
      </w:pPr>
      <w:r w:rsidRPr="00CE31DF">
        <w:rPr>
          <w:color w:val="000000" w:themeColor="text1"/>
        </w:rPr>
        <w:t>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sidRPr="00CE31DF" w:rsidDel="006C2BFA">
        <w:rPr>
          <w:color w:val="000000" w:themeColor="text1"/>
        </w:rPr>
        <w:t xml:space="preserve"> </w:t>
      </w:r>
    </w:p>
    <w:p w14:paraId="7FC0FF93" w14:textId="77777777" w:rsidR="00E86051" w:rsidRPr="00CE31DF" w:rsidRDefault="00E86051">
      <w:pPr>
        <w:pStyle w:val="Para1"/>
        <w:numPr>
          <w:ilvl w:val="0"/>
          <w:numId w:val="0"/>
        </w:numPr>
        <w:ind w:left="596"/>
        <w:rPr>
          <w:color w:val="000000" w:themeColor="text1"/>
        </w:rPr>
      </w:pPr>
      <w:r w:rsidRPr="00CE31DF">
        <w:rPr>
          <w:color w:val="000000" w:themeColor="text1"/>
        </w:rPr>
        <w:t xml:space="preserve">The biosphere, upon which humanity as a whole depends, is being altered to an unparalleled degree across all spatial scales. Biodiversity – the diversity within species, between species and of ecosystems – is declining faster than at any time in human history. </w:t>
      </w:r>
    </w:p>
    <w:p w14:paraId="2A19976D" w14:textId="77777777" w:rsidR="00E86051" w:rsidRPr="00CE31DF" w:rsidRDefault="00E86051">
      <w:pPr>
        <w:pStyle w:val="Para1"/>
        <w:numPr>
          <w:ilvl w:val="0"/>
          <w:numId w:val="0"/>
        </w:numPr>
        <w:ind w:left="596"/>
        <w:rPr>
          <w:color w:val="000000" w:themeColor="text1"/>
        </w:rPr>
      </w:pPr>
      <w:r w:rsidRPr="00CE31DF">
        <w:rPr>
          <w:color w:val="000000" w:themeColor="text1"/>
        </w:rPr>
        <w:t xml:space="preserve">Nature can be conserved, restored and used sustainably while other global societal goals are simultaneously met through urgent and concerted efforts fostering transformative change. </w:t>
      </w:r>
    </w:p>
    <w:p w14:paraId="32D2EF2A" w14:textId="77777777" w:rsidR="00E86051" w:rsidRPr="00CE31DF" w:rsidRDefault="00E86051" w:rsidP="006C2BFA">
      <w:pPr>
        <w:pStyle w:val="Para1"/>
        <w:numPr>
          <w:ilvl w:val="0"/>
          <w:numId w:val="0"/>
        </w:numPr>
        <w:ind w:left="596"/>
        <w:rPr>
          <w:color w:val="000000" w:themeColor="text1"/>
        </w:rPr>
      </w:pPr>
      <w:r w:rsidRPr="00CE31DF">
        <w:rPr>
          <w:color w:val="000000" w:themeColor="text1"/>
        </w:rPr>
        <w:t>The direct drivers of change in nature with the largest global impact have been (starting with those with the most impact) changes in land and sea use, direct exploitation of organisms, climate change, pollution and invasion of alien species. Those five direct drivers result from an array of underlying causes, the indirect drivers of change, which are, in turn, underpinned by social values and behaviours (…)The rate of change in the direct and indirect drivers differs among regions and countries.</w:t>
      </w:r>
    </w:p>
    <w:p w14:paraId="612DEB6F" w14:textId="77777777" w:rsidR="00E86051" w:rsidRPr="00CE31DF" w:rsidRDefault="00E86051">
      <w:pPr>
        <w:tabs>
          <w:tab w:val="left" w:pos="567"/>
          <w:tab w:val="left" w:pos="2228"/>
        </w:tabs>
        <w:rPr>
          <w:color w:val="000000" w:themeColor="text1"/>
          <w:szCs w:val="22"/>
        </w:rPr>
      </w:pPr>
      <w:r w:rsidRPr="00CE31DF">
        <w:rPr>
          <w:color w:val="000000" w:themeColor="text1"/>
          <w:szCs w:val="22"/>
          <w:lang w:val="en-US"/>
        </w:rPr>
        <w:t xml:space="preserve">3. </w:t>
      </w:r>
      <w:r w:rsidRPr="00CE31DF">
        <w:rPr>
          <w:color w:val="000000" w:themeColor="text1"/>
          <w:szCs w:val="22"/>
          <w:lang w:val="en-US"/>
        </w:rPr>
        <w:tab/>
      </w:r>
      <w:r w:rsidRPr="00CE31DF">
        <w:rPr>
          <w:color w:val="000000" w:themeColor="text1"/>
          <w:szCs w:val="22"/>
        </w:rPr>
        <w:t xml:space="preserve">The </w:t>
      </w:r>
      <w:r w:rsidRPr="00CE31DF">
        <w:rPr>
          <w:kern w:val="22"/>
        </w:rPr>
        <w:t>Kunming-Montreal</w:t>
      </w:r>
      <w:r w:rsidRPr="00CE31DF">
        <w:rPr>
          <w:kern w:val="22"/>
          <w:szCs w:val="22"/>
        </w:rPr>
        <w:t xml:space="preserve"> </w:t>
      </w:r>
      <w:r w:rsidRPr="00CE31DF">
        <w:rPr>
          <w:color w:val="000000" w:themeColor="text1"/>
          <w:szCs w:val="22"/>
        </w:rPr>
        <w:t>Global</w:t>
      </w:r>
      <w:r w:rsidRPr="00CE31DF">
        <w:rPr>
          <w:rFonts w:eastAsia="Arial"/>
          <w:color w:val="000000" w:themeColor="text1"/>
          <w:szCs w:val="22"/>
          <w:lang w:val="en-US"/>
        </w:rPr>
        <w:t xml:space="preserve"> Biodiversity Framework,</w:t>
      </w:r>
      <w:r w:rsidRPr="00CE31DF">
        <w:rPr>
          <w:color w:val="000000" w:themeColor="text1"/>
          <w:szCs w:val="22"/>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w:t>
      </w:r>
      <w:r w:rsidRPr="00CE31DF">
        <w:rPr>
          <w:snapToGrid w:val="0"/>
          <w:color w:val="000000" w:themeColor="text1"/>
          <w:szCs w:val="22"/>
        </w:rPr>
        <w:t>i</w:t>
      </w:r>
      <w:r w:rsidRPr="00CE31DF">
        <w:rPr>
          <w:rFonts w:eastAsia="Calibri"/>
          <w:snapToGrid w:val="0"/>
          <w:color w:val="000000" w:themeColor="text1"/>
          <w:szCs w:val="22"/>
        </w:rPr>
        <w:t xml:space="preserve">n line with the 2030 Agenda for Sustainable Development and its Sustainable Development </w:t>
      </w:r>
      <w:r w:rsidRPr="00CE31DF">
        <w:rPr>
          <w:snapToGrid w:val="0"/>
          <w:color w:val="000000" w:themeColor="text1"/>
          <w:szCs w:val="22"/>
        </w:rPr>
        <w:t>Goals, and ensure that, by 2050, the shared vision of living in harmony with nature is fulfilled</w:t>
      </w:r>
      <w:r w:rsidRPr="00CE31DF">
        <w:rPr>
          <w:color w:val="000000" w:themeColor="text1"/>
          <w:szCs w:val="22"/>
        </w:rPr>
        <w:t>.</w:t>
      </w:r>
    </w:p>
    <w:p w14:paraId="39ADDE9C" w14:textId="77777777" w:rsidR="00E86051" w:rsidRPr="00CE31DF" w:rsidRDefault="00E86051" w:rsidP="00B5016B">
      <w:pPr>
        <w:keepNext/>
        <w:tabs>
          <w:tab w:val="left" w:pos="2228"/>
        </w:tabs>
        <w:spacing w:before="240" w:after="120"/>
        <w:jc w:val="center"/>
        <w:rPr>
          <w:b/>
          <w:bCs/>
          <w:color w:val="000000" w:themeColor="text1"/>
          <w:szCs w:val="22"/>
        </w:rPr>
      </w:pPr>
      <w:r w:rsidRPr="00CE31DF">
        <w:rPr>
          <w:b/>
          <w:bCs/>
          <w:color w:val="000000" w:themeColor="text1"/>
          <w:szCs w:val="22"/>
        </w:rPr>
        <w:t>Section B. Purpose</w:t>
      </w:r>
    </w:p>
    <w:p w14:paraId="5E41E5FB" w14:textId="77777777" w:rsidR="00E86051" w:rsidRPr="00CE31DF" w:rsidRDefault="00E86051" w:rsidP="006662B3">
      <w:pPr>
        <w:pStyle w:val="Para1"/>
        <w:numPr>
          <w:ilvl w:val="0"/>
          <w:numId w:val="0"/>
        </w:numPr>
        <w:rPr>
          <w:color w:val="000000" w:themeColor="text1"/>
          <w:lang w:val="en-US"/>
        </w:rPr>
      </w:pPr>
      <w:r w:rsidRPr="00CE31DF">
        <w:rPr>
          <w:color w:val="000000" w:themeColor="text1"/>
          <w:lang w:val="en-US"/>
        </w:rPr>
        <w:t xml:space="preserve">4. </w:t>
      </w:r>
      <w:r w:rsidRPr="00CE31DF">
        <w:rPr>
          <w:color w:val="000000" w:themeColor="text1"/>
          <w:lang w:val="en-US"/>
        </w:rPr>
        <w:tab/>
        <w:t xml:space="preserve">The </w:t>
      </w:r>
      <w:r w:rsidRPr="00CE31DF">
        <w:t xml:space="preserve">Kunming-Montreal Global Biodiversity </w:t>
      </w:r>
      <w:r w:rsidRPr="00CE31DF">
        <w:rPr>
          <w:color w:val="000000" w:themeColor="text1"/>
          <w:lang w:val="en-US"/>
        </w:rPr>
        <w:t>Framework aims to catalyze, enable and galvanize urgent and transformative action by Governments, and subnational and local authorities, with the involvement of all of society, to halt and reverse biodiversity loss, to achieve the outcomes it sets out in its Vision, Mission, Goals and Targets, and thereby contribute to the three objectives of the Convention on Biological Diversity and to those of its Protocols. Its purpose is the full implementation of the three objectives of the Convention in a balanced manner.</w:t>
      </w:r>
    </w:p>
    <w:p w14:paraId="2120A9D3" w14:textId="77777777" w:rsidR="00E86051" w:rsidRPr="00CE31DF" w:rsidRDefault="00E86051" w:rsidP="00D55A57">
      <w:pPr>
        <w:pStyle w:val="Para1"/>
        <w:numPr>
          <w:ilvl w:val="0"/>
          <w:numId w:val="0"/>
        </w:numPr>
        <w:rPr>
          <w:color w:val="000000" w:themeColor="text1"/>
          <w:lang w:val="en-US"/>
        </w:rPr>
      </w:pPr>
      <w:r w:rsidRPr="00CE31DF">
        <w:rPr>
          <w:color w:val="000000" w:themeColor="text1"/>
          <w:lang w:val="en-US"/>
        </w:rPr>
        <w:t xml:space="preserve">5. </w:t>
      </w:r>
      <w:r w:rsidRPr="00CE31DF">
        <w:rPr>
          <w:color w:val="000000" w:themeColor="text1"/>
          <w:lang w:val="en-US"/>
        </w:rPr>
        <w:tab/>
        <w:t>The Framework is action- and results-oriented and aims to guide and promote, at all levels, the revision, development, updating, and implementation of policies, goals, targets, and national biodiversity strategies and actions plans, and to facilitate the monitoring and review of progress at all levels in a more transparent and responsible manner.</w:t>
      </w:r>
    </w:p>
    <w:p w14:paraId="7D1FBCBF" w14:textId="77777777" w:rsidR="00E86051" w:rsidRPr="00CE31DF" w:rsidRDefault="00E86051">
      <w:pPr>
        <w:tabs>
          <w:tab w:val="left" w:pos="851"/>
        </w:tabs>
        <w:rPr>
          <w:szCs w:val="22"/>
        </w:rPr>
      </w:pPr>
      <w:r w:rsidRPr="00CE31DF">
        <w:rPr>
          <w:szCs w:val="22"/>
        </w:rPr>
        <w:t xml:space="preserve">6. </w:t>
      </w:r>
      <w:r w:rsidRPr="00CE31DF">
        <w:rPr>
          <w:szCs w:val="22"/>
        </w:rPr>
        <w:tab/>
        <w:t xml:space="preserve">The Framework promotes coherence, complementarity and cooperation between the Convention on Biological Diversity and its Protocols, other biodiversity related conventions, and other relevant </w:t>
      </w:r>
      <w:r w:rsidRPr="00CE31DF">
        <w:rPr>
          <w:szCs w:val="22"/>
        </w:rPr>
        <w:lastRenderedPageBreak/>
        <w:t>multilateral agreements and international institutions, respecting their mandates, and creates opportunities for cooperation and partnerships</w:t>
      </w:r>
      <w:r w:rsidRPr="00CE31DF">
        <w:rPr>
          <w:szCs w:val="22"/>
          <w:lang w:val="en-US"/>
        </w:rPr>
        <w:t xml:space="preserve"> among diverse actors </w:t>
      </w:r>
      <w:r w:rsidRPr="00CE31DF">
        <w:rPr>
          <w:szCs w:val="22"/>
        </w:rPr>
        <w:t>to enhance implementation of the Framework.</w:t>
      </w:r>
    </w:p>
    <w:p w14:paraId="4598D4F6" w14:textId="77777777" w:rsidR="00E86051" w:rsidRPr="00CE31DF" w:rsidRDefault="00E86051" w:rsidP="00B5016B">
      <w:pPr>
        <w:keepNext/>
        <w:spacing w:before="240" w:after="120"/>
        <w:ind w:left="1843" w:right="431" w:hanging="1418"/>
        <w:jc w:val="left"/>
        <w:rPr>
          <w:b/>
          <w:bCs/>
          <w:color w:val="000000" w:themeColor="text1"/>
          <w:szCs w:val="22"/>
        </w:rPr>
      </w:pPr>
      <w:r w:rsidRPr="00CE31DF">
        <w:rPr>
          <w:b/>
          <w:bCs/>
          <w:color w:val="000000" w:themeColor="text1"/>
          <w:szCs w:val="22"/>
        </w:rPr>
        <w:t xml:space="preserve">Section C. </w:t>
      </w:r>
      <w:r w:rsidRPr="00CE31DF">
        <w:rPr>
          <w:b/>
          <w:bCs/>
          <w:color w:val="000000" w:themeColor="text1"/>
          <w:szCs w:val="22"/>
        </w:rPr>
        <w:tab/>
        <w:t xml:space="preserve">Considerations for the implementation of the </w:t>
      </w:r>
      <w:r w:rsidRPr="00CE31DF">
        <w:rPr>
          <w:b/>
          <w:bCs/>
          <w:szCs w:val="22"/>
        </w:rPr>
        <w:t>Kunming-Montreal Global Biodiversity</w:t>
      </w:r>
      <w:r w:rsidRPr="00CE31DF">
        <w:rPr>
          <w:szCs w:val="22"/>
        </w:rPr>
        <w:t xml:space="preserve"> </w:t>
      </w:r>
      <w:r w:rsidRPr="00CE31DF">
        <w:rPr>
          <w:b/>
          <w:bCs/>
          <w:color w:val="000000" w:themeColor="text1"/>
          <w:szCs w:val="22"/>
        </w:rPr>
        <w:t>Framework</w:t>
      </w:r>
    </w:p>
    <w:p w14:paraId="132EB8A9" w14:textId="77777777" w:rsidR="00E86051" w:rsidRPr="00CE31DF" w:rsidRDefault="00E86051">
      <w:pPr>
        <w:spacing w:before="60" w:after="60"/>
        <w:rPr>
          <w:color w:val="000000" w:themeColor="text1"/>
          <w:szCs w:val="22"/>
        </w:rPr>
      </w:pPr>
      <w:r w:rsidRPr="00CE31DF">
        <w:rPr>
          <w:color w:val="000000" w:themeColor="text1"/>
          <w:szCs w:val="22"/>
        </w:rPr>
        <w:t>7.</w:t>
      </w:r>
      <w:r w:rsidRPr="00CE31DF">
        <w:rPr>
          <w:color w:val="000000" w:themeColor="text1"/>
          <w:szCs w:val="22"/>
        </w:rPr>
        <w:tab/>
        <w:t xml:space="preserve">The </w:t>
      </w:r>
      <w:r w:rsidRPr="00CE31DF">
        <w:rPr>
          <w:szCs w:val="22"/>
        </w:rPr>
        <w:t xml:space="preserve">Kunming-Montreal Global Biodiversity </w:t>
      </w:r>
      <w:r w:rsidRPr="00CE31DF">
        <w:rPr>
          <w:color w:val="000000" w:themeColor="text1"/>
          <w:szCs w:val="22"/>
        </w:rPr>
        <w:t>Framework, including its Vision, Mission, Goals and Targets, is to be understood, acted upon, implemented, reported and evaluated, consistent with the following:</w:t>
      </w:r>
    </w:p>
    <w:p w14:paraId="026EF654" w14:textId="77777777" w:rsidR="00E86051" w:rsidRPr="00CE31DF" w:rsidRDefault="00E86051">
      <w:pPr>
        <w:pStyle w:val="Para1"/>
        <w:numPr>
          <w:ilvl w:val="0"/>
          <w:numId w:val="0"/>
        </w:numPr>
        <w:rPr>
          <w:i/>
          <w:iCs/>
          <w:color w:val="000000" w:themeColor="text1"/>
        </w:rPr>
      </w:pPr>
      <w:r w:rsidRPr="00CE31DF">
        <w:rPr>
          <w:i/>
          <w:iCs/>
          <w:color w:val="000000" w:themeColor="text1"/>
          <w:lang w:val="en-CA"/>
        </w:rPr>
        <w:t xml:space="preserve">Contribution and rights of </w:t>
      </w:r>
      <w:r w:rsidRPr="00CE31DF">
        <w:rPr>
          <w:i/>
          <w:iCs/>
          <w:color w:val="000000" w:themeColor="text1"/>
        </w:rPr>
        <w:t xml:space="preserve">indigenous peoples and local communities </w:t>
      </w:r>
    </w:p>
    <w:p w14:paraId="75EC9A34" w14:textId="77777777" w:rsidR="00E86051" w:rsidRPr="00CE31DF" w:rsidRDefault="00E86051" w:rsidP="0039740C">
      <w:pPr>
        <w:pStyle w:val="Para1"/>
        <w:numPr>
          <w:ilvl w:val="0"/>
          <w:numId w:val="0"/>
        </w:numPr>
        <w:spacing w:before="60" w:after="60"/>
        <w:ind w:firstLine="720"/>
        <w:rPr>
          <w:color w:val="000000" w:themeColor="text1"/>
        </w:rPr>
      </w:pPr>
      <w:r w:rsidRPr="00CE31DF">
        <w:rPr>
          <w:color w:val="000000" w:themeColor="text1"/>
        </w:rPr>
        <w:t>(a)</w:t>
      </w:r>
      <w:r w:rsidRPr="00CE31DF">
        <w:rPr>
          <w:color w:val="000000" w:themeColor="text1"/>
        </w:rPr>
        <w:tab/>
        <w:t xml:space="preserve">The Framework acknowledges the important roles and contributions of indigenous peoples and local communities </w:t>
      </w:r>
      <w:bookmarkStart w:id="28" w:name="_Hlk120996199"/>
      <w:r w:rsidRPr="00CE31DF">
        <w:rPr>
          <w:color w:val="000000" w:themeColor="text1"/>
        </w:rPr>
        <w:t>as custodians of biodiversity and as partners in its conservation, restoration and sustainable use</w:t>
      </w:r>
      <w:bookmarkEnd w:id="28"/>
      <w:r w:rsidRPr="00CE31DF">
        <w:rPr>
          <w:color w:val="000000" w:themeColor="text1"/>
        </w:rPr>
        <w:t xml:space="preserve">. The Framework’s implementation must ensure </w:t>
      </w:r>
      <w:bookmarkStart w:id="29" w:name="_Hlk120997087"/>
      <w:r w:rsidRPr="00CE31DF">
        <w:rPr>
          <w:color w:val="000000" w:themeColor="text1"/>
        </w:rPr>
        <w:t xml:space="preserve">that the rights, </w:t>
      </w:r>
      <w:bookmarkEnd w:id="29"/>
      <w:r w:rsidRPr="00CE31DF">
        <w:rPr>
          <w:color w:val="000000" w:themeColor="text1"/>
        </w:rPr>
        <w:t>knowledge, including traditional knowledge associated with biodiversity, innovations, worldviews, values and practices of indigenous peoples and local communities are respected, and documented and preserved with their free, prior and informed consent,</w:t>
      </w:r>
      <w:r w:rsidRPr="00610646">
        <w:rPr>
          <w:rStyle w:val="FootnoteReference"/>
        </w:rPr>
        <w:footnoteReference w:id="26"/>
      </w:r>
      <w:r w:rsidRPr="00CE31DF">
        <w:rPr>
          <w:color w:val="000000" w:themeColor="text1"/>
        </w:rPr>
        <w:t xml:space="preserve"> including through their full and effective participation in decision-making, in accordance with relevant national legislation, international instruments, including the United Nations Declaration on the Rights of Indigenous Peoples,</w:t>
      </w:r>
      <w:r w:rsidRPr="00610646">
        <w:rPr>
          <w:rStyle w:val="FootnoteReference"/>
        </w:rPr>
        <w:footnoteReference w:id="27"/>
      </w:r>
      <w:r w:rsidRPr="00CE31DF">
        <w:rPr>
          <w:color w:val="000000" w:themeColor="text1"/>
        </w:rPr>
        <w:t xml:space="preserve"> and human rights law. In this regard, nothing in this framework may be construed as diminishing or extinguishing the rights that indigenous peoples currently have or may acquire in the future;</w:t>
      </w:r>
    </w:p>
    <w:p w14:paraId="10E4A4BF" w14:textId="77777777" w:rsidR="00E86051" w:rsidRPr="00CE31DF" w:rsidRDefault="00E86051">
      <w:pPr>
        <w:pStyle w:val="Para1"/>
        <w:numPr>
          <w:ilvl w:val="0"/>
          <w:numId w:val="0"/>
        </w:numPr>
        <w:rPr>
          <w:bCs/>
          <w:i/>
          <w:iCs/>
        </w:rPr>
      </w:pPr>
      <w:r w:rsidRPr="00CE31DF">
        <w:rPr>
          <w:bCs/>
          <w:i/>
          <w:iCs/>
        </w:rPr>
        <w:t>Different value systems</w:t>
      </w:r>
    </w:p>
    <w:p w14:paraId="2E90F480" w14:textId="77777777" w:rsidR="00E86051" w:rsidRPr="00CE31DF" w:rsidRDefault="00E86051" w:rsidP="0039740C">
      <w:pPr>
        <w:pStyle w:val="Para1"/>
        <w:numPr>
          <w:ilvl w:val="0"/>
          <w:numId w:val="0"/>
        </w:numPr>
        <w:spacing w:before="60" w:after="60"/>
        <w:ind w:firstLine="720"/>
        <w:rPr>
          <w:color w:val="000000" w:themeColor="text1"/>
          <w:lang w:val="en-US"/>
        </w:rPr>
      </w:pPr>
      <w:r w:rsidRPr="00CE31DF">
        <w:rPr>
          <w:color w:val="000000" w:themeColor="text1"/>
          <w:lang w:val="en-US"/>
        </w:rPr>
        <w:t>(b)</w:t>
      </w:r>
      <w:r w:rsidRPr="00CE31DF">
        <w:rPr>
          <w:color w:val="000000" w:themeColor="text1"/>
          <w:lang w:val="en-US"/>
        </w:rPr>
        <w:tab/>
        <w:t>Nature embodies different concepts for different people, including biodiversity, ecosystems, Mother Earth, and systems of life. Nature’s contributions to people also embody different concepts, such as ecosystem goods and services and nature’s gifts. Both nature and nature’s contributions to people are vital for human existence and good quality of life, including human well-being, living in harmony with nature, and living well in balance and harmony with Mother Earth. The Framework recognizes and considers these diverse value systems and concepts, including, for those countries that recognize them, rights of nature and rights of Mother Earth, as being an integral part of its successful implementation;</w:t>
      </w:r>
    </w:p>
    <w:p w14:paraId="0A00A66C" w14:textId="77777777" w:rsidR="00E86051" w:rsidRPr="00CE31DF" w:rsidRDefault="00E86051" w:rsidP="0039740C">
      <w:pPr>
        <w:pStyle w:val="Para1"/>
        <w:keepNext/>
        <w:numPr>
          <w:ilvl w:val="0"/>
          <w:numId w:val="0"/>
        </w:numPr>
        <w:rPr>
          <w:bCs/>
          <w:i/>
          <w:iCs/>
        </w:rPr>
      </w:pPr>
      <w:r w:rsidRPr="00CE31DF">
        <w:rPr>
          <w:bCs/>
          <w:i/>
          <w:iCs/>
        </w:rPr>
        <w:t>Whole-of-government and whole-of-society approach</w:t>
      </w:r>
    </w:p>
    <w:p w14:paraId="55FD417E" w14:textId="77777777" w:rsidR="00E86051" w:rsidRPr="00CE31DF" w:rsidRDefault="00E86051" w:rsidP="0039740C">
      <w:pPr>
        <w:pStyle w:val="Para1"/>
        <w:numPr>
          <w:ilvl w:val="0"/>
          <w:numId w:val="0"/>
        </w:numPr>
        <w:spacing w:before="60" w:after="60"/>
        <w:ind w:firstLine="720"/>
        <w:rPr>
          <w:b/>
          <w:i/>
          <w:iCs/>
        </w:rPr>
      </w:pPr>
      <w:r w:rsidRPr="00CE31DF">
        <w:rPr>
          <w:color w:val="000000" w:themeColor="text1"/>
        </w:rPr>
        <w:t>(c)</w:t>
      </w:r>
      <w:r w:rsidRPr="00CE31DF">
        <w:rPr>
          <w:color w:val="000000" w:themeColor="text1"/>
        </w:rPr>
        <w:tab/>
        <w:t>This is a framework for all - for the whole of government and the whole of society. Its success requires political will and recognition at the highest level of government and relies on action and cooperation by all levels of government and by all actors of society;</w:t>
      </w:r>
    </w:p>
    <w:p w14:paraId="6FC66AD1" w14:textId="77777777" w:rsidR="00E86051" w:rsidRPr="00CE31DF" w:rsidRDefault="00E86051" w:rsidP="0039740C">
      <w:pPr>
        <w:pStyle w:val="Para1"/>
        <w:keepNext/>
        <w:numPr>
          <w:ilvl w:val="0"/>
          <w:numId w:val="0"/>
        </w:numPr>
        <w:rPr>
          <w:bCs/>
          <w:i/>
          <w:iCs/>
          <w:color w:val="000000" w:themeColor="text1"/>
        </w:rPr>
      </w:pPr>
      <w:r w:rsidRPr="00CE31DF">
        <w:rPr>
          <w:bCs/>
          <w:i/>
          <w:iCs/>
        </w:rPr>
        <w:t>National circumstances, priorities and capabilities</w:t>
      </w:r>
    </w:p>
    <w:p w14:paraId="29FCD148" w14:textId="77777777" w:rsidR="00E86051" w:rsidRPr="00CE31DF" w:rsidRDefault="00E86051" w:rsidP="0039740C">
      <w:pPr>
        <w:pStyle w:val="Para1"/>
        <w:numPr>
          <w:ilvl w:val="0"/>
          <w:numId w:val="0"/>
        </w:numPr>
        <w:ind w:firstLine="720"/>
        <w:rPr>
          <w:color w:val="000000" w:themeColor="text1"/>
        </w:rPr>
      </w:pPr>
      <w:r w:rsidRPr="00CE31DF">
        <w:t>(d)</w:t>
      </w:r>
      <w:r w:rsidRPr="00CE31DF">
        <w:tab/>
      </w:r>
      <w:bookmarkStart w:id="31" w:name="_Hlk121072425"/>
      <w:r w:rsidRPr="00CE31DF">
        <w:rPr>
          <w:color w:val="000000" w:themeColor="text1"/>
        </w:rPr>
        <w:t>The goals and targets of the Framework are global in nature. Each Party would contribute to attaining the goals and targets</w:t>
      </w:r>
      <w:bookmarkEnd w:id="31"/>
      <w:r w:rsidRPr="00CE31DF">
        <w:rPr>
          <w:color w:val="000000" w:themeColor="text1"/>
        </w:rPr>
        <w:t xml:space="preserve"> of the Framework in accordance</w:t>
      </w:r>
      <w:r w:rsidRPr="00CE31DF">
        <w:t xml:space="preserve"> with national circumstances, priorities and capabilities;</w:t>
      </w:r>
    </w:p>
    <w:p w14:paraId="62F58CA6" w14:textId="77777777" w:rsidR="00E86051" w:rsidRPr="00CE31DF" w:rsidRDefault="00E86051" w:rsidP="00875B4E">
      <w:pPr>
        <w:pStyle w:val="Para1"/>
        <w:keepNext/>
        <w:numPr>
          <w:ilvl w:val="0"/>
          <w:numId w:val="0"/>
        </w:numPr>
        <w:rPr>
          <w:i/>
          <w:iCs/>
          <w:color w:val="000000" w:themeColor="text1"/>
        </w:rPr>
      </w:pPr>
      <w:r w:rsidRPr="00CE31DF">
        <w:rPr>
          <w:i/>
          <w:iCs/>
          <w:color w:val="000000" w:themeColor="text1"/>
        </w:rPr>
        <w:t>Collective effort towards the targets</w:t>
      </w:r>
    </w:p>
    <w:p w14:paraId="01219FD0" w14:textId="77777777" w:rsidR="00E86051" w:rsidRPr="00CE31DF" w:rsidRDefault="00E86051" w:rsidP="0039740C">
      <w:pPr>
        <w:pStyle w:val="Para1"/>
        <w:numPr>
          <w:ilvl w:val="0"/>
          <w:numId w:val="0"/>
        </w:numPr>
        <w:ind w:firstLine="720"/>
        <w:rPr>
          <w:color w:val="000000" w:themeColor="text1"/>
        </w:rPr>
      </w:pPr>
      <w:r w:rsidRPr="00CE31DF">
        <w:rPr>
          <w:color w:val="000000" w:themeColor="text1"/>
        </w:rPr>
        <w:t>(e)</w:t>
      </w:r>
      <w:r w:rsidRPr="00CE31DF">
        <w:rPr>
          <w:color w:val="000000" w:themeColor="text1"/>
        </w:rPr>
        <w:tab/>
        <w:t>The Parties will catalyse implementation of the Framework through mobilization of broad public support at all levels;</w:t>
      </w:r>
    </w:p>
    <w:p w14:paraId="01FCAA6F" w14:textId="77777777" w:rsidR="00E86051" w:rsidRPr="00CE31DF" w:rsidRDefault="00E86051" w:rsidP="0039740C">
      <w:pPr>
        <w:pStyle w:val="Para1"/>
        <w:keepNext/>
        <w:numPr>
          <w:ilvl w:val="0"/>
          <w:numId w:val="0"/>
        </w:numPr>
        <w:tabs>
          <w:tab w:val="left" w:pos="720"/>
        </w:tabs>
        <w:rPr>
          <w:bCs/>
          <w:i/>
          <w:iCs/>
        </w:rPr>
      </w:pPr>
      <w:r w:rsidRPr="00CE31DF">
        <w:rPr>
          <w:bCs/>
          <w:i/>
          <w:iCs/>
        </w:rPr>
        <w:lastRenderedPageBreak/>
        <w:t>Right to development</w:t>
      </w:r>
    </w:p>
    <w:p w14:paraId="55231CD2" w14:textId="77777777" w:rsidR="00E86051" w:rsidRPr="00CE31DF" w:rsidRDefault="00E86051" w:rsidP="0039740C">
      <w:pPr>
        <w:pStyle w:val="Para1"/>
        <w:numPr>
          <w:ilvl w:val="0"/>
          <w:numId w:val="0"/>
        </w:numPr>
        <w:tabs>
          <w:tab w:val="left" w:pos="720"/>
        </w:tabs>
        <w:ind w:firstLine="709"/>
        <w:rPr>
          <w:color w:val="000000" w:themeColor="text1"/>
        </w:rPr>
      </w:pPr>
      <w:r w:rsidRPr="00CE31DF">
        <w:t>(f)</w:t>
      </w:r>
      <w:r w:rsidRPr="00CE31DF">
        <w:tab/>
        <w:t>Recognizing the 1986 United Nations Declaration on the Right to Development,</w:t>
      </w:r>
      <w:r w:rsidRPr="00610646">
        <w:rPr>
          <w:rStyle w:val="FootnoteReference"/>
        </w:rPr>
        <w:footnoteReference w:id="28"/>
      </w:r>
      <w:r w:rsidRPr="00CE31DF">
        <w:t xml:space="preserve"> the Framework enables responsible and sustainable socioeconomic development that, at the same time, contributes to the conservation and sustainable use of biodiversity;</w:t>
      </w:r>
    </w:p>
    <w:p w14:paraId="3F1587FB" w14:textId="77777777" w:rsidR="00E86051" w:rsidRPr="00CE31DF" w:rsidRDefault="00E86051" w:rsidP="0039740C">
      <w:pPr>
        <w:pStyle w:val="Para1"/>
        <w:keepNext/>
        <w:numPr>
          <w:ilvl w:val="0"/>
          <w:numId w:val="0"/>
        </w:numPr>
        <w:tabs>
          <w:tab w:val="left" w:pos="720"/>
        </w:tabs>
        <w:rPr>
          <w:bCs/>
          <w:i/>
          <w:iCs/>
        </w:rPr>
      </w:pPr>
      <w:r w:rsidRPr="00CE31DF">
        <w:rPr>
          <w:bCs/>
          <w:i/>
          <w:iCs/>
        </w:rPr>
        <w:t>Human rights-based approach</w:t>
      </w:r>
    </w:p>
    <w:p w14:paraId="380E71B0" w14:textId="77777777" w:rsidR="00E86051" w:rsidRPr="00CE31DF" w:rsidRDefault="00E86051" w:rsidP="0039740C">
      <w:pPr>
        <w:ind w:firstLine="720"/>
        <w:rPr>
          <w:snapToGrid w:val="0"/>
          <w:szCs w:val="18"/>
        </w:rPr>
      </w:pPr>
      <w:r w:rsidRPr="00CE31DF">
        <w:rPr>
          <w:snapToGrid w:val="0"/>
          <w:szCs w:val="18"/>
        </w:rPr>
        <w:t>(g)</w:t>
      </w:r>
      <w:r w:rsidRPr="00CE31DF">
        <w:rPr>
          <w:snapToGrid w:val="0"/>
          <w:szCs w:val="18"/>
        </w:rPr>
        <w:tab/>
        <w:t>The implementation of the Framework should follow a human rights-based approach, respecting, protecting, promoting and fulfilling human rights. The Framework acknowledges the human right to a clean, healthy and sustainable environment;</w:t>
      </w:r>
      <w:r w:rsidRPr="00610646">
        <w:rPr>
          <w:rStyle w:val="FootnoteReference"/>
        </w:rPr>
        <w:footnoteReference w:id="29"/>
      </w:r>
      <w:r w:rsidRPr="00CE31DF">
        <w:rPr>
          <w:snapToGrid w:val="0"/>
          <w:szCs w:val="18"/>
        </w:rPr>
        <w:t xml:space="preserve"> </w:t>
      </w:r>
    </w:p>
    <w:p w14:paraId="1D2C4E0C" w14:textId="77777777" w:rsidR="00E86051" w:rsidRPr="00CE31DF" w:rsidRDefault="00E86051" w:rsidP="0039740C">
      <w:pPr>
        <w:pStyle w:val="Para1"/>
        <w:keepNext/>
        <w:numPr>
          <w:ilvl w:val="0"/>
          <w:numId w:val="0"/>
        </w:numPr>
        <w:tabs>
          <w:tab w:val="left" w:pos="720"/>
        </w:tabs>
        <w:rPr>
          <w:bCs/>
          <w:i/>
          <w:iCs/>
        </w:rPr>
      </w:pPr>
      <w:r w:rsidRPr="00CE31DF">
        <w:rPr>
          <w:bCs/>
          <w:i/>
          <w:iCs/>
        </w:rPr>
        <w:t>Gender</w:t>
      </w:r>
    </w:p>
    <w:p w14:paraId="47BAE56C" w14:textId="77777777" w:rsidR="00E86051" w:rsidRPr="00CE31DF" w:rsidRDefault="00E86051" w:rsidP="0039740C">
      <w:pPr>
        <w:pStyle w:val="Para1"/>
        <w:numPr>
          <w:ilvl w:val="0"/>
          <w:numId w:val="0"/>
        </w:numPr>
        <w:tabs>
          <w:tab w:val="left" w:pos="720"/>
        </w:tabs>
        <w:ind w:firstLine="709"/>
        <w:rPr>
          <w:bCs/>
          <w:i/>
          <w:iCs/>
          <w:color w:val="000000" w:themeColor="text1"/>
        </w:rPr>
      </w:pPr>
      <w:r w:rsidRPr="00CE31DF">
        <w:rPr>
          <w:color w:val="000000" w:themeColor="text1"/>
        </w:rPr>
        <w:t>(h)</w:t>
      </w:r>
      <w:r w:rsidRPr="00CE31DF">
        <w:rPr>
          <w:color w:val="000000" w:themeColor="text1"/>
        </w:rPr>
        <w:tab/>
        <w:t>Successful implementation of the Framework will depend on ensuring gender equality and empowerment of women and girls, and on reducing inequalities;</w:t>
      </w:r>
    </w:p>
    <w:p w14:paraId="68002983" w14:textId="77777777" w:rsidR="00E86051" w:rsidRPr="00CE31DF" w:rsidRDefault="00E86051" w:rsidP="0039740C">
      <w:pPr>
        <w:pStyle w:val="Para1"/>
        <w:keepNext/>
        <w:numPr>
          <w:ilvl w:val="0"/>
          <w:numId w:val="0"/>
        </w:numPr>
        <w:tabs>
          <w:tab w:val="left" w:pos="720"/>
        </w:tabs>
        <w:rPr>
          <w:bCs/>
          <w:i/>
          <w:iCs/>
          <w:color w:val="000000" w:themeColor="text1"/>
        </w:rPr>
      </w:pPr>
      <w:r w:rsidRPr="00CE31DF">
        <w:rPr>
          <w:bCs/>
          <w:i/>
          <w:iCs/>
          <w:color w:val="000000" w:themeColor="text1"/>
        </w:rPr>
        <w:t>Fulfilment of the three objectives of the Convention and its Protocols and their balanced implementation</w:t>
      </w:r>
    </w:p>
    <w:p w14:paraId="69457927" w14:textId="77777777" w:rsidR="00E86051" w:rsidRPr="00CE31DF" w:rsidRDefault="00E86051" w:rsidP="0039740C">
      <w:pPr>
        <w:pStyle w:val="Para1"/>
        <w:numPr>
          <w:ilvl w:val="0"/>
          <w:numId w:val="0"/>
        </w:numPr>
        <w:tabs>
          <w:tab w:val="left" w:pos="720"/>
        </w:tabs>
        <w:ind w:firstLine="709"/>
        <w:rPr>
          <w:color w:val="000000" w:themeColor="text1"/>
        </w:rPr>
      </w:pPr>
      <w:r w:rsidRPr="00CE31DF">
        <w:rPr>
          <w:color w:val="000000" w:themeColor="text1"/>
        </w:rPr>
        <w:t>(i)</w:t>
      </w:r>
      <w:r w:rsidRPr="00CE31DF">
        <w:rPr>
          <w:color w:val="000000" w:themeColor="text1"/>
        </w:rPr>
        <w:tab/>
        <w:t>The goals and targets of the Framework are integrated and are intended to contribute in a balanced manner to the three objectives of the Convention on Biological Diversity. The Framework is to be implemented in accordance with these objectives, with the provisions of the Convention on Biological Diversity, and with the Cartagena Protocol on Biosafety and the Nagoya Protocol on Access and Benefit-sharing, as applicable;</w:t>
      </w:r>
    </w:p>
    <w:p w14:paraId="2945C2F5" w14:textId="77777777" w:rsidR="00E86051" w:rsidRPr="00CE31DF" w:rsidRDefault="00E86051">
      <w:pPr>
        <w:pStyle w:val="Para1"/>
        <w:numPr>
          <w:ilvl w:val="0"/>
          <w:numId w:val="0"/>
        </w:numPr>
        <w:tabs>
          <w:tab w:val="left" w:pos="720"/>
        </w:tabs>
        <w:rPr>
          <w:bCs/>
          <w:i/>
          <w:iCs/>
        </w:rPr>
      </w:pPr>
      <w:r w:rsidRPr="00CE31DF">
        <w:rPr>
          <w:bCs/>
          <w:i/>
          <w:iCs/>
        </w:rPr>
        <w:t>Consistency with international agreements or instruments</w:t>
      </w:r>
    </w:p>
    <w:p w14:paraId="7454F928" w14:textId="77777777" w:rsidR="00E86051" w:rsidRPr="00CE31DF" w:rsidRDefault="00E86051" w:rsidP="0039740C">
      <w:pPr>
        <w:pStyle w:val="Para1"/>
        <w:numPr>
          <w:ilvl w:val="0"/>
          <w:numId w:val="0"/>
        </w:numPr>
        <w:tabs>
          <w:tab w:val="left" w:pos="720"/>
        </w:tabs>
        <w:ind w:firstLine="709"/>
        <w:rPr>
          <w:color w:val="000000" w:themeColor="text1"/>
        </w:rPr>
      </w:pPr>
      <w:r w:rsidRPr="00CE31DF">
        <w:rPr>
          <w:color w:val="000000" w:themeColor="text1"/>
        </w:rPr>
        <w:t>(j)</w:t>
      </w:r>
      <w:r w:rsidRPr="00CE31DF">
        <w:rPr>
          <w:color w:val="000000" w:themeColor="text1"/>
        </w:rPr>
        <w:tab/>
        <w:t>The Framework needs to be implemented in accordance with relevant international obligations. Nothing in this Framework should be interpreted as agreement to modify the rights and obligations of a Party under the Convention or any other international agreement;</w:t>
      </w:r>
    </w:p>
    <w:p w14:paraId="7AE770A9" w14:textId="77777777" w:rsidR="00E86051" w:rsidRPr="00CE31DF" w:rsidRDefault="00E86051">
      <w:pPr>
        <w:pStyle w:val="Para1"/>
        <w:numPr>
          <w:ilvl w:val="0"/>
          <w:numId w:val="0"/>
        </w:numPr>
        <w:tabs>
          <w:tab w:val="left" w:pos="720"/>
        </w:tabs>
        <w:rPr>
          <w:bCs/>
          <w:i/>
          <w:iCs/>
          <w:color w:val="000000" w:themeColor="text1"/>
        </w:rPr>
      </w:pPr>
      <w:r w:rsidRPr="00CE31DF">
        <w:rPr>
          <w:bCs/>
          <w:i/>
          <w:iCs/>
          <w:color w:val="000000" w:themeColor="text1"/>
        </w:rPr>
        <w:t>Principles of the Rio Declaration</w:t>
      </w:r>
    </w:p>
    <w:p w14:paraId="1BD9EA6C" w14:textId="77777777" w:rsidR="00E86051" w:rsidRPr="00CE31DF" w:rsidRDefault="00E86051" w:rsidP="0039740C">
      <w:pPr>
        <w:pStyle w:val="Para1"/>
        <w:numPr>
          <w:ilvl w:val="0"/>
          <w:numId w:val="0"/>
        </w:numPr>
        <w:tabs>
          <w:tab w:val="left" w:pos="720"/>
        </w:tabs>
        <w:ind w:firstLine="709"/>
        <w:rPr>
          <w:bCs/>
          <w:i/>
          <w:iCs/>
          <w:color w:val="000000" w:themeColor="text1"/>
        </w:rPr>
      </w:pPr>
      <w:r w:rsidRPr="00CE31DF">
        <w:rPr>
          <w:color w:val="000000" w:themeColor="text1"/>
        </w:rPr>
        <w:t>(k)</w:t>
      </w:r>
      <w:r w:rsidRPr="00CE31DF">
        <w:rPr>
          <w:color w:val="000000" w:themeColor="text1"/>
        </w:rPr>
        <w:tab/>
        <w:t>The Framework recognizes that reversing the loss of biological diversity, for the benefit of all living beings, is a common concern of humankind. Its implementation should be guided by the principles of the Rio Declaration on Environment and Development;</w:t>
      </w:r>
      <w:r w:rsidRPr="00610646">
        <w:rPr>
          <w:rStyle w:val="FootnoteReference"/>
        </w:rPr>
        <w:footnoteReference w:id="30"/>
      </w:r>
    </w:p>
    <w:p w14:paraId="120301C9" w14:textId="77777777" w:rsidR="00E86051" w:rsidRPr="00CE31DF" w:rsidRDefault="00E86051">
      <w:pPr>
        <w:pStyle w:val="Para1"/>
        <w:keepNext/>
        <w:numPr>
          <w:ilvl w:val="0"/>
          <w:numId w:val="0"/>
        </w:numPr>
        <w:tabs>
          <w:tab w:val="left" w:pos="720"/>
        </w:tabs>
        <w:rPr>
          <w:bCs/>
          <w:i/>
          <w:iCs/>
          <w:color w:val="000000" w:themeColor="text1"/>
        </w:rPr>
      </w:pPr>
      <w:r w:rsidRPr="00CE31DF">
        <w:rPr>
          <w:bCs/>
          <w:i/>
          <w:iCs/>
          <w:color w:val="000000" w:themeColor="text1"/>
        </w:rPr>
        <w:t>Science and innovation</w:t>
      </w:r>
    </w:p>
    <w:p w14:paraId="1868399D" w14:textId="77777777" w:rsidR="00E86051" w:rsidRPr="00CE31DF" w:rsidRDefault="00E86051" w:rsidP="0039740C">
      <w:pPr>
        <w:pStyle w:val="Para1"/>
        <w:numPr>
          <w:ilvl w:val="0"/>
          <w:numId w:val="0"/>
        </w:numPr>
        <w:tabs>
          <w:tab w:val="left" w:pos="720"/>
        </w:tabs>
        <w:ind w:firstLine="709"/>
        <w:rPr>
          <w:bCs/>
          <w:i/>
          <w:iCs/>
          <w:color w:val="000000" w:themeColor="text1"/>
        </w:rPr>
      </w:pPr>
      <w:r w:rsidRPr="00CE31DF">
        <w:rPr>
          <w:color w:val="000000" w:themeColor="text1"/>
        </w:rPr>
        <w:t>(l)</w:t>
      </w:r>
      <w:r w:rsidRPr="00CE31DF">
        <w:rPr>
          <w:color w:val="000000" w:themeColor="text1"/>
        </w:rPr>
        <w:tab/>
        <w:t>The implementation of the Framework should be based on scientific evidence and traditional knowledge and practices, recognizing the role of science, technology and innovation;</w:t>
      </w:r>
    </w:p>
    <w:p w14:paraId="7176FB59" w14:textId="77777777" w:rsidR="00E86051" w:rsidRPr="00CE31DF" w:rsidRDefault="00E86051" w:rsidP="0039740C">
      <w:pPr>
        <w:pStyle w:val="Para1"/>
        <w:keepNext/>
        <w:numPr>
          <w:ilvl w:val="0"/>
          <w:numId w:val="0"/>
        </w:numPr>
        <w:tabs>
          <w:tab w:val="left" w:pos="720"/>
        </w:tabs>
        <w:rPr>
          <w:bCs/>
          <w:i/>
          <w:iCs/>
          <w:color w:val="000000" w:themeColor="text1"/>
        </w:rPr>
      </w:pPr>
      <w:r w:rsidRPr="00CE31DF">
        <w:rPr>
          <w:bCs/>
          <w:i/>
          <w:iCs/>
          <w:color w:val="000000" w:themeColor="text1"/>
        </w:rPr>
        <w:t xml:space="preserve">Ecosystem approach </w:t>
      </w:r>
    </w:p>
    <w:p w14:paraId="7C9571D3" w14:textId="77777777" w:rsidR="00E86051" w:rsidRPr="00CE31DF" w:rsidRDefault="00E86051" w:rsidP="0039740C">
      <w:pPr>
        <w:spacing w:before="120" w:after="120"/>
        <w:ind w:firstLine="709"/>
        <w:rPr>
          <w:color w:val="000000" w:themeColor="text1"/>
          <w:szCs w:val="22"/>
        </w:rPr>
      </w:pPr>
      <w:r w:rsidRPr="00CE31DF">
        <w:rPr>
          <w:color w:val="000000" w:themeColor="text1"/>
          <w:szCs w:val="22"/>
        </w:rPr>
        <w:t>(m)</w:t>
      </w:r>
      <w:r w:rsidRPr="00CE31DF">
        <w:rPr>
          <w:color w:val="000000" w:themeColor="text1"/>
          <w:szCs w:val="22"/>
        </w:rPr>
        <w:tab/>
        <w:t>This Framework is to be implemented based on the ecosystem approach of the Convention;</w:t>
      </w:r>
      <w:r w:rsidRPr="00610646">
        <w:rPr>
          <w:rStyle w:val="FootnoteReference"/>
        </w:rPr>
        <w:footnoteReference w:id="31"/>
      </w:r>
    </w:p>
    <w:p w14:paraId="0C3CAC75" w14:textId="77777777" w:rsidR="00E86051" w:rsidRPr="00CE31DF" w:rsidRDefault="00E86051">
      <w:pPr>
        <w:spacing w:before="120" w:after="120"/>
        <w:rPr>
          <w:i/>
        </w:rPr>
      </w:pPr>
      <w:r w:rsidRPr="00CE31DF">
        <w:rPr>
          <w:i/>
        </w:rPr>
        <w:t>Intergenerational equity</w:t>
      </w:r>
    </w:p>
    <w:p w14:paraId="0EB0C146" w14:textId="77777777" w:rsidR="00E86051" w:rsidRPr="00CE31DF" w:rsidRDefault="00E86051" w:rsidP="0039740C">
      <w:pPr>
        <w:pStyle w:val="Para1"/>
        <w:numPr>
          <w:ilvl w:val="0"/>
          <w:numId w:val="0"/>
        </w:numPr>
        <w:ind w:firstLine="709"/>
      </w:pPr>
      <w:r w:rsidRPr="00CE31DF">
        <w:t>(n)</w:t>
      </w:r>
      <w:r w:rsidRPr="00CE31DF">
        <w:tab/>
        <w:t>The implementation of the Framework should be guided by the principle of intergenerational equity which aims to meet the needs of the present without compromising the ability of future generations to meet their own needs and to ensure meaningful participation of younger generations in decision-making processes at all levels;</w:t>
      </w:r>
    </w:p>
    <w:p w14:paraId="2DF359D2" w14:textId="77777777" w:rsidR="00E86051" w:rsidRPr="00CE31DF" w:rsidRDefault="00E86051">
      <w:pPr>
        <w:pStyle w:val="Para1"/>
        <w:numPr>
          <w:ilvl w:val="0"/>
          <w:numId w:val="0"/>
        </w:numPr>
        <w:rPr>
          <w:i/>
        </w:rPr>
      </w:pPr>
      <w:r w:rsidRPr="00CE31DF">
        <w:rPr>
          <w:i/>
        </w:rPr>
        <w:t>Formal and informal education</w:t>
      </w:r>
    </w:p>
    <w:p w14:paraId="6BC99A63" w14:textId="77777777" w:rsidR="00E86051" w:rsidRPr="00CE31DF" w:rsidRDefault="00E86051" w:rsidP="0039740C">
      <w:pPr>
        <w:pStyle w:val="Para1"/>
        <w:numPr>
          <w:ilvl w:val="0"/>
          <w:numId w:val="0"/>
        </w:numPr>
        <w:ind w:firstLine="709"/>
      </w:pPr>
      <w:r w:rsidRPr="00CE31DF">
        <w:lastRenderedPageBreak/>
        <w:t>(o)</w:t>
      </w:r>
      <w:r w:rsidRPr="00CE31DF">
        <w:tab/>
        <w:t>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w:t>
      </w:r>
    </w:p>
    <w:p w14:paraId="3034C4A6" w14:textId="77777777" w:rsidR="00E86051" w:rsidRPr="00CE31DF" w:rsidRDefault="00E86051">
      <w:pPr>
        <w:pStyle w:val="Para1"/>
        <w:numPr>
          <w:ilvl w:val="0"/>
          <w:numId w:val="0"/>
        </w:numPr>
        <w:rPr>
          <w:i/>
        </w:rPr>
      </w:pPr>
      <w:r w:rsidRPr="00CE31DF">
        <w:rPr>
          <w:i/>
        </w:rPr>
        <w:t>Access to financial resources</w:t>
      </w:r>
    </w:p>
    <w:p w14:paraId="7368D15E" w14:textId="77777777" w:rsidR="00E86051" w:rsidRPr="00CE31DF" w:rsidRDefault="00E86051" w:rsidP="0039740C">
      <w:pPr>
        <w:pStyle w:val="Para1"/>
        <w:numPr>
          <w:ilvl w:val="0"/>
          <w:numId w:val="0"/>
        </w:numPr>
        <w:ind w:firstLine="709"/>
      </w:pPr>
      <w:r w:rsidRPr="00CE31DF">
        <w:t>(p)</w:t>
      </w:r>
      <w:r w:rsidRPr="00CE31DF">
        <w:tab/>
        <w:t>The full implementation of the Framework requires adequate, predictable and easily accessible financial resources;</w:t>
      </w:r>
    </w:p>
    <w:p w14:paraId="173504C7" w14:textId="77777777" w:rsidR="00E86051" w:rsidRPr="00CE31DF" w:rsidRDefault="00E86051">
      <w:pPr>
        <w:pStyle w:val="Para1"/>
        <w:numPr>
          <w:ilvl w:val="0"/>
          <w:numId w:val="0"/>
        </w:numPr>
        <w:rPr>
          <w:i/>
        </w:rPr>
      </w:pPr>
      <w:r w:rsidRPr="00CE31DF">
        <w:rPr>
          <w:i/>
        </w:rPr>
        <w:t>Cooperation and synergies</w:t>
      </w:r>
    </w:p>
    <w:p w14:paraId="6805030F" w14:textId="77777777" w:rsidR="00E86051" w:rsidRPr="00CE31DF" w:rsidRDefault="00E86051" w:rsidP="0039740C">
      <w:pPr>
        <w:pStyle w:val="Para1"/>
        <w:numPr>
          <w:ilvl w:val="0"/>
          <w:numId w:val="0"/>
        </w:numPr>
        <w:ind w:firstLine="709"/>
      </w:pPr>
      <w:r w:rsidRPr="00CE31DF">
        <w:t>(q)</w:t>
      </w:r>
      <w:r w:rsidRPr="00CE31DF">
        <w:tab/>
        <w:t>Enhanced collaboration, cooperation and synergies between the Convention on Biological Diversity and its Protocols, other biodiversity-related conventions, other relevant multilateral agreements and international organizations and processes, in line with their respective mandates, including at the global, regional, subregional and national levels, would contribute to and promote the implementation of the Framework in a more efficient and effective manner;</w:t>
      </w:r>
    </w:p>
    <w:p w14:paraId="23533C34" w14:textId="77777777" w:rsidR="00E86051" w:rsidRPr="00CE31DF" w:rsidRDefault="00E86051" w:rsidP="003E5A67">
      <w:pPr>
        <w:spacing w:after="120"/>
        <w:rPr>
          <w:rStyle w:val="normaltextrun"/>
          <w:i/>
          <w:color w:val="000000"/>
        </w:rPr>
      </w:pPr>
      <w:r w:rsidRPr="00CE31DF">
        <w:rPr>
          <w:rStyle w:val="normaltextrun"/>
          <w:i/>
          <w:color w:val="000000"/>
        </w:rPr>
        <w:t xml:space="preserve">Biodiversity and health </w:t>
      </w:r>
    </w:p>
    <w:p w14:paraId="4B3963FE" w14:textId="77777777" w:rsidR="00E86051" w:rsidRPr="00CE31DF" w:rsidRDefault="00E86051" w:rsidP="0039740C">
      <w:pPr>
        <w:pStyle w:val="Para1"/>
        <w:numPr>
          <w:ilvl w:val="0"/>
          <w:numId w:val="0"/>
        </w:numPr>
        <w:ind w:firstLine="709"/>
        <w:rPr>
          <w:b/>
          <w:bCs/>
        </w:rPr>
      </w:pPr>
      <w:r w:rsidRPr="00CE31DF">
        <w:rPr>
          <w:rStyle w:val="normaltextrun"/>
          <w:iCs/>
        </w:rPr>
        <w:t>(r)</w:t>
      </w:r>
      <w:r w:rsidRPr="00CE31DF">
        <w:rPr>
          <w:rStyle w:val="normaltextrun"/>
          <w:iCs/>
        </w:rPr>
        <w:tab/>
        <w:t xml:space="preserve">The </w:t>
      </w:r>
      <w:r w:rsidRPr="00CE31DF">
        <w:t>Framework</w:t>
      </w:r>
      <w:r w:rsidRPr="00CE31DF">
        <w:rPr>
          <w:rStyle w:val="normaltextrun"/>
          <w:iCs/>
        </w:rPr>
        <w:t xml:space="preserve"> acknowledges the interlinkages between biodiversity and health and the three objectives of the Convention. The Framework is to be implemented with consideration of the One Health Approach, among other holistic approaches that are based on science, mobilize multiple sectors, disciplines and communities to work together, and aim to sustainably balance and optimize the health of people, animals, plants and ecosystems, recognizing the need for equitable access to tools and technologies including medicines, vaccines and other health products related to biodiversity, while highlighting the urgent need to reduce pressures on biodiversity and decrease environmental degradation to reduce risks to health, and, as appropriate, develop practical access and benefit-sharing arrangements. </w:t>
      </w:r>
    </w:p>
    <w:p w14:paraId="73BDDD97" w14:textId="77777777" w:rsidR="00E86051" w:rsidRPr="00AF3ED2" w:rsidRDefault="00E86051" w:rsidP="00AF3ED2">
      <w:pPr>
        <w:pStyle w:val="BodyText"/>
        <w:rPr>
          <w:b/>
          <w:bCs/>
        </w:rPr>
      </w:pPr>
      <w:r w:rsidRPr="00AF3ED2">
        <w:rPr>
          <w:b/>
          <w:bCs/>
        </w:rPr>
        <w:t>Section D.</w:t>
      </w:r>
      <w:r w:rsidRPr="00AF3ED2">
        <w:rPr>
          <w:b/>
          <w:bCs/>
        </w:rPr>
        <w:tab/>
      </w:r>
      <w:r w:rsidRPr="00AF3ED2">
        <w:rPr>
          <w:rFonts w:eastAsia="Malgun Gothic"/>
          <w:b/>
          <w:bCs/>
        </w:rPr>
        <w:t>Relationship with the 2030 Agenda for Sustainable Development</w:t>
      </w:r>
    </w:p>
    <w:p w14:paraId="55EACD49" w14:textId="77777777" w:rsidR="00E86051" w:rsidRPr="00CE31DF" w:rsidRDefault="00E86051" w:rsidP="00854BF8">
      <w:pPr>
        <w:pStyle w:val="Para1"/>
        <w:numPr>
          <w:ilvl w:val="0"/>
          <w:numId w:val="0"/>
        </w:numPr>
        <w:rPr>
          <w:lang w:val="en-US"/>
        </w:rPr>
      </w:pPr>
      <w:r w:rsidRPr="00CE31DF">
        <w:rPr>
          <w:lang w:val="en-US"/>
        </w:rPr>
        <w:t>8.</w:t>
      </w:r>
      <w:r w:rsidRPr="00CE31DF">
        <w:rPr>
          <w:lang w:val="en-US"/>
        </w:rPr>
        <w:tab/>
        <w:t xml:space="preserve">The </w:t>
      </w:r>
      <w:r w:rsidRPr="00CE31DF">
        <w:t>Kunming-Montreal Global Biodiversity Framework</w:t>
      </w:r>
      <w:r w:rsidRPr="00CE31DF">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 the goals and targets of the Framework. </w:t>
      </w:r>
      <w:r w:rsidRPr="00CE31DF">
        <w:t>It will place biodiversity, its conservation, the sustainable use of its components and the fair and equitable sharing of the benefits arising out of the utilization of genetic resources, at the heart of the sustainable development agenda, recognizing the important linkages between biological and cultural diversity.</w:t>
      </w:r>
    </w:p>
    <w:p w14:paraId="2BD244DC" w14:textId="77777777" w:rsidR="00E86051" w:rsidRPr="00CE31DF" w:rsidRDefault="00E86051" w:rsidP="00AF3ED2">
      <w:pPr>
        <w:keepNext/>
        <w:tabs>
          <w:tab w:val="left" w:pos="2228"/>
        </w:tabs>
        <w:spacing w:before="240" w:after="120"/>
        <w:jc w:val="center"/>
        <w:rPr>
          <w:b/>
          <w:bCs/>
          <w:szCs w:val="22"/>
          <w:lang w:val="en-US"/>
        </w:rPr>
      </w:pPr>
      <w:r w:rsidRPr="00CE31DF">
        <w:rPr>
          <w:b/>
          <w:bCs/>
          <w:szCs w:val="22"/>
        </w:rPr>
        <w:t xml:space="preserve">Section E. </w:t>
      </w:r>
      <w:r w:rsidRPr="00CE31DF">
        <w:rPr>
          <w:rFonts w:eastAsia="Malgun Gothic"/>
          <w:b/>
          <w:bCs/>
          <w:kern w:val="22"/>
          <w:szCs w:val="22"/>
        </w:rPr>
        <w:t>Theory of change</w:t>
      </w:r>
    </w:p>
    <w:p w14:paraId="3CA86F82" w14:textId="77777777" w:rsidR="00E86051" w:rsidRPr="00CE31DF" w:rsidRDefault="00E86051" w:rsidP="00854BF8">
      <w:pPr>
        <w:pStyle w:val="Para1"/>
        <w:numPr>
          <w:ilvl w:val="0"/>
          <w:numId w:val="0"/>
        </w:numPr>
        <w:spacing w:before="60" w:after="60"/>
        <w:rPr>
          <w:lang w:val="en-US"/>
        </w:rPr>
      </w:pPr>
      <w:r w:rsidRPr="00CE31DF">
        <w:rPr>
          <w:lang w:val="en-US"/>
        </w:rPr>
        <w:t>9.</w:t>
      </w:r>
      <w:r w:rsidRPr="00CE31DF">
        <w:rPr>
          <w:lang w:val="en-US"/>
        </w:rPr>
        <w:tab/>
        <w:t xml:space="preserve">The </w:t>
      </w:r>
      <w:r w:rsidRPr="00CE31DF">
        <w:t xml:space="preserve">Kunming-Montreal Global Biodiversity </w:t>
      </w:r>
      <w:r w:rsidRPr="00CE31DF">
        <w:rPr>
          <w:lang w:val="en-US"/>
        </w:rPr>
        <w:t>Framework is built around a theory of change which recognizes that urgent policy action is required globally, regionally and nationally to achieve sustainable development so that the drivers of undesirable change that have exacerbated biodiversity loss will be reduced and/or reversed to allow for the recovery of all ecosystems and to achieve the Convention’s Vision of living in harmony with nature by 2050.</w:t>
      </w:r>
    </w:p>
    <w:p w14:paraId="24CAA1EC" w14:textId="77777777" w:rsidR="00E86051" w:rsidRPr="00CE31DF" w:rsidRDefault="00E86051" w:rsidP="00AF3ED2">
      <w:pPr>
        <w:keepNext/>
        <w:tabs>
          <w:tab w:val="left" w:pos="2228"/>
        </w:tabs>
        <w:spacing w:before="240" w:after="120"/>
        <w:jc w:val="center"/>
        <w:rPr>
          <w:rFonts w:eastAsia="Malgun Gothic"/>
          <w:b/>
          <w:bCs/>
          <w:color w:val="000000" w:themeColor="text1"/>
          <w:kern w:val="22"/>
          <w:szCs w:val="22"/>
        </w:rPr>
      </w:pPr>
      <w:r w:rsidRPr="00CE31DF">
        <w:rPr>
          <w:rFonts w:eastAsia="Malgun Gothic"/>
          <w:b/>
          <w:bCs/>
          <w:color w:val="000000" w:themeColor="text1"/>
          <w:kern w:val="22"/>
          <w:szCs w:val="22"/>
        </w:rPr>
        <w:t>Section F. 2050 vision and 2030 mission</w:t>
      </w:r>
    </w:p>
    <w:p w14:paraId="0CB2B075" w14:textId="77777777" w:rsidR="00E86051" w:rsidRPr="00CE31DF" w:rsidRDefault="00E86051">
      <w:pPr>
        <w:tabs>
          <w:tab w:val="left" w:pos="709"/>
        </w:tabs>
        <w:spacing w:before="120" w:after="120"/>
        <w:rPr>
          <w:snapToGrid w:val="0"/>
          <w:kern w:val="22"/>
          <w:szCs w:val="22"/>
        </w:rPr>
      </w:pPr>
      <w:r w:rsidRPr="00CE31DF">
        <w:rPr>
          <w:snapToGrid w:val="0"/>
          <w:kern w:val="22"/>
          <w:szCs w:val="22"/>
        </w:rPr>
        <w:t>10.</w:t>
      </w:r>
      <w:r w:rsidRPr="00CE31DF">
        <w:rPr>
          <w:snapToGrid w:val="0"/>
          <w:kern w:val="22"/>
          <w:szCs w:val="22"/>
        </w:rPr>
        <w:tab/>
        <w:t xml:space="preserve">The vision of </w:t>
      </w:r>
      <w:r w:rsidRPr="00CE31DF">
        <w:rPr>
          <w:snapToGrid w:val="0"/>
          <w:szCs w:val="22"/>
        </w:rPr>
        <w:t>the</w:t>
      </w:r>
      <w:r w:rsidRPr="00CE31DF">
        <w:rPr>
          <w:snapToGrid w:val="0"/>
          <w:kern w:val="22"/>
          <w:szCs w:val="22"/>
        </w:rPr>
        <w:t xml:space="preserve"> </w:t>
      </w:r>
      <w:r w:rsidRPr="00CE31DF">
        <w:rPr>
          <w:szCs w:val="22"/>
        </w:rPr>
        <w:t>Kunming-Montreal Global Biodiversity</w:t>
      </w:r>
      <w:r w:rsidRPr="00CE31DF">
        <w:t xml:space="preserve"> </w:t>
      </w:r>
      <w:r w:rsidRPr="00CE31DF">
        <w:rPr>
          <w:snapToGrid w:val="0"/>
          <w:kern w:val="22"/>
          <w:szCs w:val="22"/>
        </w:rPr>
        <w:t xml:space="preserve">Framework is a world of living in harmony with nature where “by 2050, biodiversity is valued, conserved, restored and wisely used, maintaining ecosystem services, sustaining a healthy planet and delivering benefits essential for all people.” </w:t>
      </w:r>
    </w:p>
    <w:p w14:paraId="3E282430" w14:textId="77777777" w:rsidR="00E86051" w:rsidRPr="00CE31DF" w:rsidRDefault="00E86051">
      <w:pPr>
        <w:tabs>
          <w:tab w:val="left" w:pos="709"/>
        </w:tabs>
        <w:spacing w:before="120" w:after="120"/>
        <w:rPr>
          <w:i/>
          <w:iCs/>
          <w:szCs w:val="22"/>
        </w:rPr>
      </w:pPr>
      <w:r w:rsidRPr="00CE31DF">
        <w:rPr>
          <w:snapToGrid w:val="0"/>
          <w:kern w:val="22"/>
          <w:szCs w:val="22"/>
        </w:rPr>
        <w:t>11.</w:t>
      </w:r>
      <w:r w:rsidRPr="00CE31DF">
        <w:rPr>
          <w:snapToGrid w:val="0"/>
          <w:kern w:val="22"/>
          <w:szCs w:val="22"/>
        </w:rPr>
        <w:tab/>
        <w:t xml:space="preserve">The </w:t>
      </w:r>
      <w:r w:rsidRPr="00CE31DF">
        <w:rPr>
          <w:snapToGrid w:val="0"/>
          <w:szCs w:val="22"/>
        </w:rPr>
        <w:t>mission</w:t>
      </w:r>
      <w:r w:rsidRPr="00CE31DF">
        <w:rPr>
          <w:snapToGrid w:val="0"/>
          <w:kern w:val="22"/>
          <w:szCs w:val="22"/>
        </w:rPr>
        <w:t xml:space="preserve"> of the Framework for the period up to 2030, towards the 2050 vision is: </w:t>
      </w:r>
    </w:p>
    <w:p w14:paraId="25011B4F" w14:textId="77777777" w:rsidR="00E86051" w:rsidRPr="00CE31DF" w:rsidRDefault="00E86051">
      <w:pPr>
        <w:tabs>
          <w:tab w:val="left" w:pos="709"/>
        </w:tabs>
        <w:spacing w:before="120" w:after="120"/>
        <w:ind w:left="567"/>
        <w:rPr>
          <w:i/>
          <w:iCs/>
          <w:szCs w:val="22"/>
        </w:rPr>
      </w:pPr>
      <w:r w:rsidRPr="00CE31DF">
        <w:rPr>
          <w:iCs/>
          <w:szCs w:val="22"/>
        </w:rPr>
        <w:t xml:space="preserve">To take urgent action to halt and reverse biodiversity loss to put nature on a path to recovery for the benefit of people and planet </w:t>
      </w:r>
      <w:r w:rsidRPr="00CE31DF">
        <w:rPr>
          <w:szCs w:val="22"/>
        </w:rPr>
        <w:t xml:space="preserve">by conserving and sustainably using biodiversity and by ensuring the </w:t>
      </w:r>
      <w:r w:rsidRPr="00CE31DF">
        <w:rPr>
          <w:szCs w:val="22"/>
        </w:rPr>
        <w:lastRenderedPageBreak/>
        <w:t>fair and equitable sharing of benefits from the use of genetic resources, while providing the necessary means of implementation.</w:t>
      </w:r>
    </w:p>
    <w:p w14:paraId="36815F52" w14:textId="77777777" w:rsidR="00E86051" w:rsidRPr="00CE31DF" w:rsidRDefault="00E86051" w:rsidP="00AF3ED2">
      <w:pPr>
        <w:keepNext/>
        <w:tabs>
          <w:tab w:val="left" w:pos="2228"/>
        </w:tabs>
        <w:spacing w:before="240" w:after="120"/>
        <w:jc w:val="center"/>
        <w:rPr>
          <w:rFonts w:eastAsia="Malgun Gothic"/>
          <w:b/>
          <w:bCs/>
          <w:color w:val="000000" w:themeColor="text1"/>
          <w:kern w:val="22"/>
          <w:szCs w:val="22"/>
        </w:rPr>
      </w:pPr>
      <w:r w:rsidRPr="00CE31DF">
        <w:rPr>
          <w:rFonts w:eastAsia="Malgun Gothic"/>
          <w:b/>
          <w:bCs/>
          <w:color w:val="000000" w:themeColor="text1"/>
          <w:kern w:val="22"/>
          <w:szCs w:val="22"/>
        </w:rPr>
        <w:t>Section G. Global goals for 2050</w:t>
      </w:r>
    </w:p>
    <w:p w14:paraId="1C329A6B" w14:textId="77777777" w:rsidR="00E86051" w:rsidRPr="00CE31DF" w:rsidRDefault="00E86051">
      <w:pPr>
        <w:tabs>
          <w:tab w:val="left" w:pos="709"/>
          <w:tab w:val="left" w:pos="2228"/>
        </w:tabs>
        <w:spacing w:before="240" w:after="120"/>
        <w:rPr>
          <w:b/>
          <w:color w:val="000000" w:themeColor="text1"/>
          <w:kern w:val="22"/>
          <w:szCs w:val="22"/>
        </w:rPr>
      </w:pPr>
      <w:r w:rsidRPr="00CE31DF">
        <w:rPr>
          <w:kern w:val="22"/>
          <w:szCs w:val="22"/>
        </w:rPr>
        <w:t>12.</w:t>
      </w:r>
      <w:r w:rsidRPr="00CE31DF">
        <w:rPr>
          <w:kern w:val="22"/>
          <w:szCs w:val="22"/>
        </w:rPr>
        <w:tab/>
        <w:t xml:space="preserve">The </w:t>
      </w:r>
      <w:r w:rsidRPr="00CE31DF">
        <w:rPr>
          <w:szCs w:val="22"/>
        </w:rPr>
        <w:t>Kunming-Montreal Global Biodiversity</w:t>
      </w:r>
      <w:r w:rsidRPr="00CE31DF">
        <w:t xml:space="preserve"> Framework</w:t>
      </w:r>
      <w:r w:rsidRPr="00CE31DF">
        <w:rPr>
          <w:kern w:val="22"/>
          <w:szCs w:val="22"/>
        </w:rPr>
        <w:t xml:space="preserve"> has four long-term goals for 2050 related to the 2050 Vision for biodiversity.</w:t>
      </w:r>
    </w:p>
    <w:p w14:paraId="5C5AB53D" w14:textId="77777777" w:rsidR="00E86051" w:rsidRPr="00CE31DF" w:rsidRDefault="00E86051" w:rsidP="00AF3ED2">
      <w:pPr>
        <w:keepNext/>
        <w:tabs>
          <w:tab w:val="left" w:pos="2228"/>
        </w:tabs>
        <w:spacing w:before="240" w:after="120"/>
        <w:jc w:val="center"/>
        <w:rPr>
          <w:b/>
          <w:kern w:val="22"/>
          <w:szCs w:val="22"/>
        </w:rPr>
      </w:pPr>
      <w:r w:rsidRPr="00CE31DF">
        <w:rPr>
          <w:b/>
          <w:color w:val="000000" w:themeColor="text1"/>
          <w:kern w:val="22"/>
          <w:szCs w:val="22"/>
        </w:rPr>
        <w:t>GOAL A</w:t>
      </w:r>
    </w:p>
    <w:p w14:paraId="1EE7D21C" w14:textId="77777777" w:rsidR="00E86051" w:rsidRPr="00CE31DF" w:rsidRDefault="00E86051" w:rsidP="00854BF8">
      <w:pPr>
        <w:tabs>
          <w:tab w:val="left" w:pos="709"/>
          <w:tab w:val="left" w:pos="2228"/>
        </w:tabs>
        <w:spacing w:before="120" w:after="120"/>
        <w:rPr>
          <w:kern w:val="22"/>
          <w:szCs w:val="22"/>
        </w:rPr>
      </w:pPr>
      <w:r w:rsidRPr="00CE31DF">
        <w:rPr>
          <w:kern w:val="22"/>
          <w:szCs w:val="22"/>
        </w:rPr>
        <w:t>The integrity, connectivity and resilience of all ecosystems are maintained, enhanced, or restored, substantially increasing the area of natural ecosystems by 2050;</w:t>
      </w:r>
    </w:p>
    <w:p w14:paraId="3E7433B2" w14:textId="77777777" w:rsidR="00E86051" w:rsidRPr="00CE31DF" w:rsidRDefault="00E86051" w:rsidP="00854BF8">
      <w:pPr>
        <w:tabs>
          <w:tab w:val="left" w:pos="709"/>
          <w:tab w:val="left" w:pos="2228"/>
        </w:tabs>
        <w:spacing w:before="120" w:after="120"/>
        <w:rPr>
          <w:kern w:val="22"/>
          <w:szCs w:val="22"/>
        </w:rPr>
      </w:pPr>
      <w:r w:rsidRPr="00CE31DF">
        <w:rPr>
          <w:kern w:val="22"/>
          <w:szCs w:val="22"/>
        </w:rPr>
        <w:t>Human induced extinction of known threatened species is halted, and, by 2050, the extinction rate and risk of all species are reduced tenfold and the abundance of native wild species is increased to healthy and resilient levels;</w:t>
      </w:r>
    </w:p>
    <w:p w14:paraId="0AEFFDFF" w14:textId="77777777" w:rsidR="00E86051" w:rsidRPr="00CE31DF" w:rsidRDefault="00E86051" w:rsidP="00854BF8">
      <w:pPr>
        <w:tabs>
          <w:tab w:val="left" w:pos="709"/>
          <w:tab w:val="left" w:pos="2228"/>
        </w:tabs>
        <w:spacing w:before="120" w:after="120"/>
        <w:rPr>
          <w:kern w:val="22"/>
          <w:szCs w:val="22"/>
        </w:rPr>
      </w:pPr>
      <w:r w:rsidRPr="00CE31DF">
        <w:rPr>
          <w:kern w:val="22"/>
          <w:szCs w:val="22"/>
        </w:rPr>
        <w:t>The genetic diversity within populations of wild and domesticated species, is maintained, safeguarding their adaptive potential.</w:t>
      </w:r>
    </w:p>
    <w:p w14:paraId="33EFDA4E" w14:textId="77777777" w:rsidR="00E86051" w:rsidRPr="00CE31DF" w:rsidRDefault="00E86051" w:rsidP="00443A10">
      <w:pPr>
        <w:keepNext/>
        <w:tabs>
          <w:tab w:val="left" w:pos="2228"/>
        </w:tabs>
        <w:spacing w:before="240" w:after="120"/>
        <w:jc w:val="center"/>
        <w:rPr>
          <w:b/>
          <w:bCs/>
          <w:szCs w:val="22"/>
          <w:lang w:val="en-US"/>
        </w:rPr>
      </w:pPr>
      <w:r w:rsidRPr="00CE31DF">
        <w:rPr>
          <w:b/>
          <w:bCs/>
          <w:szCs w:val="22"/>
          <w:lang w:val="en-US"/>
        </w:rPr>
        <w:t>GOAL B</w:t>
      </w:r>
    </w:p>
    <w:p w14:paraId="1396C4CB" w14:textId="77777777" w:rsidR="00E86051" w:rsidRPr="00CE31DF" w:rsidRDefault="00E86051">
      <w:pPr>
        <w:rPr>
          <w:b/>
          <w:bCs/>
          <w:szCs w:val="22"/>
        </w:rPr>
      </w:pPr>
      <w:r w:rsidRPr="00CE31DF">
        <w:rPr>
          <w:szCs w:val="22"/>
        </w:rPr>
        <w:t>Biodiversity is sustainably used and managed and nature’s contributions to people, including ecosystem functions and services, are valued, maintained and enhanced, with those currently in decline being restored, supporting the achievement of sustainable development</w:t>
      </w:r>
      <w:r w:rsidRPr="00CE31DF">
        <w:rPr>
          <w:rFonts w:asciiTheme="majorBidi" w:hAnsiTheme="majorBidi" w:cstheme="majorBidi"/>
        </w:rPr>
        <w:t xml:space="preserve"> </w:t>
      </w:r>
      <w:r w:rsidRPr="00CE31DF">
        <w:rPr>
          <w:szCs w:val="22"/>
        </w:rPr>
        <w:t>for the benefit of present and future generations by 2050.</w:t>
      </w:r>
    </w:p>
    <w:p w14:paraId="1A086D26" w14:textId="77777777" w:rsidR="00E86051" w:rsidRPr="00CE31DF" w:rsidRDefault="00E86051" w:rsidP="00443A10">
      <w:pPr>
        <w:keepNext/>
        <w:tabs>
          <w:tab w:val="left" w:pos="2228"/>
        </w:tabs>
        <w:spacing w:before="240" w:after="120"/>
        <w:jc w:val="center"/>
        <w:rPr>
          <w:b/>
          <w:bCs/>
          <w:szCs w:val="22"/>
          <w:lang w:val="en-US"/>
        </w:rPr>
      </w:pPr>
      <w:r w:rsidRPr="00CE31DF">
        <w:rPr>
          <w:b/>
          <w:bCs/>
          <w:szCs w:val="22"/>
          <w:lang w:val="en-US"/>
        </w:rPr>
        <w:t>GOAL C</w:t>
      </w:r>
    </w:p>
    <w:p w14:paraId="505016A2" w14:textId="77777777" w:rsidR="00E86051" w:rsidRPr="00CE31DF" w:rsidRDefault="00E86051">
      <w:pPr>
        <w:rPr>
          <w:szCs w:val="22"/>
        </w:rPr>
      </w:pPr>
      <w:r w:rsidRPr="00CE31DF">
        <w:rPr>
          <w:szCs w:val="22"/>
        </w:rPr>
        <w:t>The monetary and non-monetary benefits from the utilization of genetic resources and digital sequence information on genetic resources, and of traditional knowledge associated with genetic resources, as applicable, are shared fairly and equitably, including, as appropriate with indigenous peoples and local communities, and substantially increased by 2050, while ensuring traditional knowledge associated with genetic resources is appropriately protected, thereby contributing to the conservation and sustainable use of biodiversity, in accordance with internationally agreed access and benefit-sharing instruments.</w:t>
      </w:r>
    </w:p>
    <w:p w14:paraId="2B8117CC" w14:textId="77777777" w:rsidR="00E86051" w:rsidRPr="00CE31DF" w:rsidRDefault="00E86051" w:rsidP="00443A10">
      <w:pPr>
        <w:keepNext/>
        <w:tabs>
          <w:tab w:val="left" w:pos="2228"/>
        </w:tabs>
        <w:spacing w:before="240" w:after="120"/>
        <w:jc w:val="center"/>
        <w:rPr>
          <w:b/>
          <w:bCs/>
          <w:szCs w:val="22"/>
          <w:lang w:val="en-US"/>
        </w:rPr>
      </w:pPr>
      <w:r w:rsidRPr="00CE31DF">
        <w:rPr>
          <w:b/>
          <w:bCs/>
          <w:szCs w:val="22"/>
          <w:lang w:val="en-US"/>
        </w:rPr>
        <w:t>GOAL D</w:t>
      </w:r>
    </w:p>
    <w:p w14:paraId="127AC9E0" w14:textId="77777777" w:rsidR="00E86051" w:rsidRPr="00CE31DF" w:rsidRDefault="00E86051">
      <w:pPr>
        <w:shd w:val="clear" w:color="auto" w:fill="FFFFFF" w:themeFill="background1"/>
        <w:spacing w:before="120" w:after="120"/>
        <w:rPr>
          <w:rFonts w:asciiTheme="majorBidi" w:eastAsia="SimSun" w:hAnsiTheme="majorBidi" w:cstheme="majorBidi"/>
          <w:color w:val="000000" w:themeColor="text1"/>
          <w:lang w:val="en-US" w:eastAsia="zh-CN"/>
        </w:rPr>
      </w:pPr>
      <w:r w:rsidRPr="00CE31DF">
        <w:rPr>
          <w:rFonts w:asciiTheme="majorBidi" w:hAnsiTheme="majorBidi" w:cstheme="majorBidi"/>
          <w:color w:val="000000" w:themeColor="text1"/>
        </w:rPr>
        <w:t xml:space="preserve">Adequate means of implementation, including financial resources, capacity-building, technical and scientific cooperation, and access to and transfer of technology to fully implement the </w:t>
      </w:r>
      <w:r w:rsidRPr="00CE31DF">
        <w:rPr>
          <w:kern w:val="22"/>
        </w:rPr>
        <w:t xml:space="preserve">Kunming-Montreal </w:t>
      </w:r>
      <w:r w:rsidRPr="00CE31DF">
        <w:rPr>
          <w:rFonts w:asciiTheme="majorBidi" w:hAnsiTheme="majorBidi" w:cstheme="majorBidi"/>
          <w:color w:val="000000" w:themeColor="text1"/>
        </w:rPr>
        <w:t xml:space="preserve">Global Biodiversity Framework are secured and equitably accessible to all Parties, especially developing country Parties, in particular the least developed countries and small island developing States, as well as countries with economies in transition, progressively closing the biodiversity finance gap of $700 billion per year, </w:t>
      </w:r>
      <w:r w:rsidRPr="00CE31DF">
        <w:rPr>
          <w:rFonts w:asciiTheme="majorBidi" w:eastAsia="SimSun" w:hAnsiTheme="majorBidi" w:cstheme="majorBidi"/>
          <w:color w:val="000000" w:themeColor="text1"/>
          <w:lang w:val="en-US" w:eastAsia="zh-CN"/>
        </w:rPr>
        <w:t xml:space="preserve">and aligning financial flows with the </w:t>
      </w:r>
      <w:r w:rsidRPr="00CE31DF">
        <w:rPr>
          <w:kern w:val="22"/>
        </w:rPr>
        <w:t xml:space="preserve">Kunming-Montreal </w:t>
      </w:r>
      <w:r w:rsidRPr="00CE31DF">
        <w:rPr>
          <w:rFonts w:asciiTheme="majorBidi" w:eastAsia="SimSun" w:hAnsiTheme="majorBidi" w:cstheme="majorBidi"/>
          <w:color w:val="000000" w:themeColor="text1"/>
          <w:lang w:val="en-US" w:eastAsia="zh-CN"/>
        </w:rPr>
        <w:t>Global Biodiversity Framework and the 2050 Vision for biodiversity.</w:t>
      </w:r>
    </w:p>
    <w:p w14:paraId="0B9F44E9" w14:textId="77777777" w:rsidR="00E86051" w:rsidRPr="00CE31DF" w:rsidRDefault="00E86051" w:rsidP="006A1DE4">
      <w:pPr>
        <w:keepNext/>
        <w:tabs>
          <w:tab w:val="left" w:pos="2228"/>
        </w:tabs>
        <w:spacing w:before="240" w:after="120"/>
        <w:jc w:val="center"/>
        <w:rPr>
          <w:b/>
          <w:bCs/>
          <w:iCs/>
          <w:szCs w:val="22"/>
        </w:rPr>
      </w:pPr>
      <w:r w:rsidRPr="00CE31DF">
        <w:rPr>
          <w:b/>
          <w:bCs/>
          <w:iCs/>
          <w:szCs w:val="22"/>
        </w:rPr>
        <w:t>Section H.  Global targets for 2030</w:t>
      </w:r>
    </w:p>
    <w:p w14:paraId="78234A66" w14:textId="77777777" w:rsidR="00E86051" w:rsidRPr="00CE31DF" w:rsidRDefault="00E86051" w:rsidP="00854BF8">
      <w:pPr>
        <w:pStyle w:val="Para1"/>
        <w:numPr>
          <w:ilvl w:val="0"/>
          <w:numId w:val="0"/>
        </w:numPr>
        <w:shd w:val="clear" w:color="auto" w:fill="FFFFFF" w:themeFill="background1"/>
        <w:tabs>
          <w:tab w:val="left" w:pos="630"/>
        </w:tabs>
      </w:pPr>
      <w:r w:rsidRPr="00CE31DF">
        <w:rPr>
          <w:rFonts w:eastAsia="Malgun Gothic"/>
        </w:rPr>
        <w:t>13.</w:t>
      </w:r>
      <w:r w:rsidRPr="00CE31DF">
        <w:rPr>
          <w:rFonts w:eastAsia="Malgun Gothic"/>
        </w:rPr>
        <w:tab/>
        <w:t xml:space="preserve">The </w:t>
      </w:r>
      <w:r w:rsidRPr="00CE31DF">
        <w:t xml:space="preserve">Kunming-Montreal </w:t>
      </w:r>
      <w:r w:rsidRPr="00CE31DF">
        <w:rPr>
          <w:rFonts w:asciiTheme="majorBidi" w:eastAsia="SimSun" w:hAnsiTheme="majorBidi" w:cstheme="majorBidi"/>
          <w:color w:val="000000" w:themeColor="text1"/>
          <w:lang w:val="en-US" w:eastAsia="zh-CN"/>
        </w:rPr>
        <w:t xml:space="preserve">Global Biodiversity </w:t>
      </w:r>
      <w:r w:rsidRPr="00CE31DF">
        <w:t>Framework</w:t>
      </w:r>
      <w:r w:rsidRPr="00CE31DF">
        <w:rPr>
          <w:rFonts w:eastAsia="Malgun Gothic"/>
        </w:rPr>
        <w:t xml:space="preserve"> has 23 action-oriented global targets for urgent action over the decade to 2030. The actions set out in each target need to be initiated immediately and completed by 2030. Together, the results will enable achievement towards the outcome-oriented goals for 2050. </w:t>
      </w:r>
      <w:r w:rsidRPr="00CE31DF">
        <w:t>Actions to reach these targets should be implemented consistently and in harmony with the Convention on Biological Diversity and its Protocols, and other relevant international obligations, taking into account national circumstances, priorities and socioeconomic conditions.</w:t>
      </w:r>
    </w:p>
    <w:p w14:paraId="7CEA2E40" w14:textId="77777777" w:rsidR="00E86051" w:rsidRPr="00CE31DF" w:rsidRDefault="00E86051" w:rsidP="00950BE4">
      <w:pPr>
        <w:pStyle w:val="Para1"/>
        <w:keepNext/>
        <w:numPr>
          <w:ilvl w:val="6"/>
          <w:numId w:val="16"/>
        </w:numPr>
        <w:suppressLineNumbers/>
        <w:tabs>
          <w:tab w:val="clear" w:pos="2520"/>
          <w:tab w:val="left" w:pos="360"/>
          <w:tab w:val="left" w:pos="567"/>
        </w:tabs>
        <w:suppressAutoHyphens/>
        <w:overflowPunct/>
        <w:autoSpaceDE/>
        <w:autoSpaceDN/>
        <w:spacing w:before="240"/>
        <w:ind w:left="0" w:firstLine="0"/>
        <w:jc w:val="center"/>
        <w:rPr>
          <w:rFonts w:eastAsia="Malgun Gothic"/>
          <w:b/>
          <w:bCs/>
          <w:i/>
          <w:iCs/>
          <w:color w:val="000000" w:themeColor="text1"/>
        </w:rPr>
      </w:pPr>
      <w:r w:rsidRPr="00CE31DF">
        <w:rPr>
          <w:bCs/>
          <w:i/>
          <w:iCs/>
          <w:color w:val="000000" w:themeColor="text1"/>
        </w:rPr>
        <w:lastRenderedPageBreak/>
        <w:t>Reducing threats to biodiversity</w:t>
      </w:r>
    </w:p>
    <w:p w14:paraId="3EFD4F8D"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w:t>
      </w:r>
    </w:p>
    <w:p w14:paraId="16E1A945" w14:textId="77777777" w:rsidR="00E86051" w:rsidRPr="00CE31DF" w:rsidRDefault="00E86051" w:rsidP="0039740C">
      <w:pPr>
        <w:pStyle w:val="Para1"/>
        <w:numPr>
          <w:ilvl w:val="0"/>
          <w:numId w:val="0"/>
        </w:numPr>
        <w:suppressLineNumbers/>
        <w:tabs>
          <w:tab w:val="left" w:pos="720"/>
        </w:tabs>
        <w:suppressAutoHyphens/>
        <w:spacing w:before="60"/>
        <w:rPr>
          <w:rFonts w:eastAsia="Malgun Gothic"/>
          <w:color w:val="000000" w:themeColor="text1"/>
        </w:rPr>
      </w:pPr>
      <w:r w:rsidRPr="00CE31DF">
        <w:rPr>
          <w:rFonts w:eastAsia="Malgun Gothic"/>
          <w:color w:val="000000" w:themeColor="text1"/>
        </w:rPr>
        <w:t>Ensure that all areas are under participatory, integrated and biodiversity inclusive spatial planning and/or effective management processes addressing land- and sea</w:t>
      </w:r>
      <w:r w:rsidRPr="00CE31DF">
        <w:rPr>
          <w:rFonts w:eastAsia="Malgun Gothic"/>
          <w:color w:val="000000" w:themeColor="text1"/>
        </w:rPr>
        <w:noBreakHyphen/>
        <w:t>use change, to bring the loss of areas of high biodiversity importance, including ecosystems of high ecological integrity, close to zero by 2030, while respecting the rights of indigenous peoples and local communities.</w:t>
      </w:r>
    </w:p>
    <w:p w14:paraId="6A2775C2"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2</w:t>
      </w:r>
    </w:p>
    <w:p w14:paraId="06DD8E70" w14:textId="77777777" w:rsidR="00E86051" w:rsidRPr="00CE31DF" w:rsidRDefault="00E86051" w:rsidP="0039740C">
      <w:pPr>
        <w:tabs>
          <w:tab w:val="left" w:pos="2228"/>
        </w:tabs>
        <w:spacing w:before="60" w:after="120"/>
        <w:rPr>
          <w:rFonts w:eastAsia="Malgun Gothic"/>
          <w:b/>
          <w:bCs/>
          <w:color w:val="000000" w:themeColor="text1"/>
          <w:kern w:val="22"/>
          <w:szCs w:val="22"/>
        </w:rPr>
      </w:pPr>
      <w:r w:rsidRPr="00CE31DF">
        <w:rPr>
          <w:szCs w:val="22"/>
        </w:rPr>
        <w:t xml:space="preserve">Ensure that by </w:t>
      </w:r>
      <w:r w:rsidRPr="00CE31DF">
        <w:rPr>
          <w:rFonts w:eastAsia="Malgun Gothic"/>
          <w:snapToGrid w:val="0"/>
          <w:color w:val="000000" w:themeColor="text1"/>
          <w:kern w:val="22"/>
          <w:szCs w:val="22"/>
        </w:rPr>
        <w:t>2030</w:t>
      </w:r>
      <w:r w:rsidRPr="00CE31DF">
        <w:rPr>
          <w:szCs w:val="22"/>
        </w:rPr>
        <w:t xml:space="preserve"> at least 30 per cent of areas of degraded terrestrial, inland water, and </w:t>
      </w:r>
      <w:r w:rsidRPr="00CE31DF">
        <w:rPr>
          <w:snapToGrid w:val="0"/>
          <w:szCs w:val="22"/>
        </w:rPr>
        <w:t>marine</w:t>
      </w:r>
      <w:r w:rsidRPr="00CE31DF">
        <w:rPr>
          <w:szCs w:val="22"/>
        </w:rPr>
        <w:t xml:space="preserve"> and </w:t>
      </w:r>
      <w:r w:rsidRPr="00CE31DF">
        <w:rPr>
          <w:snapToGrid w:val="0"/>
          <w:szCs w:val="22"/>
        </w:rPr>
        <w:t xml:space="preserve">coastal </w:t>
      </w:r>
      <w:r w:rsidRPr="00CE31DF">
        <w:rPr>
          <w:szCs w:val="22"/>
        </w:rPr>
        <w:t>ecosystems are under effective restoration, in order to enhance biodiversity and ecosystem functions and services, ecological integrity and connectivity.</w:t>
      </w:r>
    </w:p>
    <w:p w14:paraId="7CAE14EF"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3</w:t>
      </w:r>
    </w:p>
    <w:p w14:paraId="3D660225" w14:textId="77777777" w:rsidR="00E86051" w:rsidRPr="00CE31DF" w:rsidRDefault="00E86051" w:rsidP="00BB104E">
      <w:pPr>
        <w:shd w:val="clear" w:color="auto" w:fill="FFFFFF" w:themeFill="background1"/>
        <w:spacing w:before="120" w:after="120"/>
        <w:rPr>
          <w:color w:val="000000" w:themeColor="text1"/>
          <w:szCs w:val="22"/>
        </w:rPr>
      </w:pPr>
      <w:r w:rsidRPr="00CE31DF">
        <w:rPr>
          <w:color w:val="000000" w:themeColor="text1"/>
          <w:szCs w:val="22"/>
        </w:rPr>
        <w:t xml:space="preserve">Ensure and </w:t>
      </w:r>
      <w:r w:rsidRPr="00CE31DF">
        <w:rPr>
          <w:rFonts w:eastAsia="Malgun Gothic"/>
          <w:snapToGrid w:val="0"/>
          <w:color w:val="000000" w:themeColor="text1"/>
          <w:kern w:val="22"/>
          <w:szCs w:val="22"/>
        </w:rPr>
        <w:t>enable</w:t>
      </w:r>
      <w:r w:rsidRPr="00CE31DF">
        <w:rPr>
          <w:color w:val="000000" w:themeColor="text1"/>
          <w:szCs w:val="22"/>
        </w:rPr>
        <w:t xml:space="preserve"> that by 2030 at least 30 per cent of </w:t>
      </w:r>
      <w:r w:rsidRPr="00CE31DF">
        <w:rPr>
          <w:szCs w:val="22"/>
        </w:rPr>
        <w:t xml:space="preserve">terrestrial and inland water areas, and of marine and coastal </w:t>
      </w:r>
      <w:r w:rsidRPr="00CE31DF">
        <w:rPr>
          <w:color w:val="000000" w:themeColor="text1"/>
          <w:szCs w:val="22"/>
        </w:rPr>
        <w:t xml:space="preserve">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w:t>
      </w:r>
      <w:r w:rsidRPr="00CE31DF">
        <w:rPr>
          <w:rFonts w:eastAsia="SimSun"/>
          <w:color w:val="000000" w:themeColor="text1"/>
          <w:szCs w:val="22"/>
          <w:lang w:val="en-US" w:eastAsia="zh-CN"/>
        </w:rPr>
        <w:t>and traditional territories</w:t>
      </w:r>
      <w:r w:rsidRPr="00CE31DF">
        <w:rPr>
          <w:color w:val="000000" w:themeColor="text1"/>
          <w:szCs w:val="22"/>
        </w:rPr>
        <w:t>,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0D6D1FE2"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4</w:t>
      </w:r>
    </w:p>
    <w:p w14:paraId="2E6CDDCB" w14:textId="77777777" w:rsidR="00E86051" w:rsidRPr="00CE31DF" w:rsidRDefault="00E86051" w:rsidP="0039740C">
      <w:pPr>
        <w:tabs>
          <w:tab w:val="left" w:pos="2228"/>
        </w:tabs>
        <w:spacing w:before="60" w:after="120"/>
        <w:rPr>
          <w:color w:val="000000"/>
          <w:szCs w:val="22"/>
          <w:lang w:val="en-CA"/>
        </w:rPr>
      </w:pPr>
      <w:r w:rsidRPr="00CE31DF">
        <w:rPr>
          <w:color w:val="000000"/>
          <w:szCs w:val="22"/>
          <w:lang w:val="en-CA"/>
        </w:rPr>
        <w:t xml:space="preserve">Ensure urgent management actions to halt </w:t>
      </w:r>
      <w:r w:rsidRPr="00CE31DF">
        <w:rPr>
          <w:kern w:val="22"/>
          <w:szCs w:val="22"/>
        </w:rPr>
        <w:t xml:space="preserve">human induced extinction of known threatened species and </w:t>
      </w:r>
      <w:r w:rsidRPr="00CE31DF">
        <w:rPr>
          <w:color w:val="000000"/>
          <w:szCs w:val="22"/>
          <w:lang w:val="en-CA"/>
        </w:rPr>
        <w:t>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p w14:paraId="21859388"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5</w:t>
      </w:r>
    </w:p>
    <w:p w14:paraId="1C7999A2" w14:textId="77777777" w:rsidR="00E86051" w:rsidRPr="00CE31DF" w:rsidRDefault="00E86051" w:rsidP="0039740C">
      <w:pPr>
        <w:spacing w:before="60"/>
        <w:rPr>
          <w:lang w:val="en-AU"/>
        </w:rPr>
      </w:pPr>
      <w:r w:rsidRPr="00CE31DF">
        <w:t>Ensure that the use, harvesting and trade of wild species is sustainable, safe and legal, preventing overexploitation, minimizing impacts on non-target species and ecosystems, and reducing the risk of pathogen spillover, applying the ecosystem approach, while respecting and protecting customary sustainable use by indigenous peoples and local communities.</w:t>
      </w:r>
    </w:p>
    <w:p w14:paraId="00078B6F"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6</w:t>
      </w:r>
    </w:p>
    <w:p w14:paraId="3C7CE1EA" w14:textId="77777777" w:rsidR="00E86051" w:rsidRPr="00CE31DF" w:rsidRDefault="00E86051" w:rsidP="0039740C">
      <w:pPr>
        <w:shd w:val="clear" w:color="auto" w:fill="FFFFFF" w:themeFill="background1"/>
        <w:spacing w:before="60" w:after="120"/>
        <w:rPr>
          <w:color w:val="000000"/>
          <w:szCs w:val="22"/>
        </w:rPr>
      </w:pPr>
      <w:r w:rsidRPr="00CE31DF">
        <w:rPr>
          <w:color w:val="000000"/>
          <w:szCs w:val="22"/>
        </w:rPr>
        <w:t xml:space="preserve">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 </w:t>
      </w:r>
    </w:p>
    <w:p w14:paraId="1DF39784"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7</w:t>
      </w:r>
    </w:p>
    <w:p w14:paraId="25086B56" w14:textId="77777777" w:rsidR="00E86051" w:rsidRPr="00CE31DF" w:rsidRDefault="00E86051" w:rsidP="0039740C">
      <w:pPr>
        <w:pStyle w:val="Para1"/>
        <w:keepNext/>
        <w:numPr>
          <w:ilvl w:val="0"/>
          <w:numId w:val="0"/>
        </w:numPr>
        <w:suppressLineNumbers/>
        <w:suppressAutoHyphens/>
        <w:spacing w:before="60"/>
        <w:rPr>
          <w:rFonts w:eastAsia="Malgun Gothic"/>
          <w:color w:val="000000" w:themeColor="text1"/>
        </w:rPr>
      </w:pPr>
      <w:r w:rsidRPr="00CE31DF">
        <w:t xml:space="preserve">Reduce pollution risks and the negative impact of pollution from all sources by 2030, to levels that are not harmful to biodiversity and ecosystem functions and services, considering cumulative effects, including: (a) by reducing excess nutrients lost to the environment by at least half, including through more efficient nutrient cycling and use; (b) by reducing the overall </w:t>
      </w:r>
      <w:r w:rsidRPr="00CE31DF">
        <w:rPr>
          <w:rFonts w:eastAsia="Malgun Gothic"/>
          <w:color w:val="000000" w:themeColor="text1"/>
        </w:rPr>
        <w:t>risk from pesticides and highly hazardous chemicals</w:t>
      </w:r>
      <w:r w:rsidRPr="00CE31DF">
        <w:t xml:space="preserve"> by at least half, including through integrated pest management, based on science, taking into account food </w:t>
      </w:r>
      <w:r w:rsidRPr="00CE31DF">
        <w:lastRenderedPageBreak/>
        <w:t xml:space="preserve">security and livelihoods; </w:t>
      </w:r>
      <w:r w:rsidRPr="00CE31DF">
        <w:rPr>
          <w:rFonts w:asciiTheme="majorBidi" w:hAnsiTheme="majorBidi" w:cstheme="majorBidi"/>
        </w:rPr>
        <w:t>and (c) by preventing, reducing, and working towards eliminating plastic pollution.</w:t>
      </w:r>
    </w:p>
    <w:p w14:paraId="4F0A878D"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 xml:space="preserve">TARGET 8 </w:t>
      </w:r>
    </w:p>
    <w:p w14:paraId="61FF06BC" w14:textId="77777777" w:rsidR="00E86051" w:rsidRPr="00CE31DF" w:rsidRDefault="00E86051" w:rsidP="00875B4E">
      <w:pPr>
        <w:rPr>
          <w:szCs w:val="22"/>
        </w:rPr>
      </w:pPr>
      <w:r w:rsidRPr="00CE31DF">
        <w:rPr>
          <w:szCs w:val="22"/>
        </w:rPr>
        <w:t xml:space="preserve">Minimize the impact of climate change and ocean acidification on biodiversity and increase its </w:t>
      </w:r>
      <w:r w:rsidRPr="00320F2C">
        <w:rPr>
          <w:szCs w:val="22"/>
        </w:rPr>
        <w:t>resilience through mitigation, adaptation, and disaster risk reduction actions, including through nature-based solutions and/or ecosystem-based approaches, while minimizing negative and fostering positive impacts of climate</w:t>
      </w:r>
      <w:r w:rsidRPr="00CE31DF">
        <w:rPr>
          <w:szCs w:val="22"/>
        </w:rPr>
        <w:t xml:space="preserve"> action on biodiversity. </w:t>
      </w:r>
    </w:p>
    <w:p w14:paraId="0FB24453" w14:textId="77777777" w:rsidR="00E86051" w:rsidRPr="00CE31DF" w:rsidRDefault="00E86051" w:rsidP="00443A10">
      <w:pPr>
        <w:spacing w:before="240" w:after="120"/>
        <w:jc w:val="center"/>
        <w:rPr>
          <w:rFonts w:eastAsia="Malgun Gothic"/>
        </w:rPr>
      </w:pPr>
      <w:r w:rsidRPr="00CE31DF">
        <w:rPr>
          <w:i/>
          <w:iCs/>
          <w:color w:val="000000" w:themeColor="text1"/>
          <w:szCs w:val="22"/>
        </w:rPr>
        <w:t>2. Meeting people’s needs through sustainable use and benefit-sharing</w:t>
      </w:r>
    </w:p>
    <w:p w14:paraId="44F3D874"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9</w:t>
      </w:r>
    </w:p>
    <w:p w14:paraId="59C3ABBC" w14:textId="77777777" w:rsidR="00E86051" w:rsidRPr="00CE31DF" w:rsidRDefault="00E86051" w:rsidP="0039740C">
      <w:pPr>
        <w:tabs>
          <w:tab w:val="left" w:pos="2228"/>
        </w:tabs>
        <w:spacing w:before="60" w:after="120"/>
        <w:rPr>
          <w:bCs/>
          <w:szCs w:val="22"/>
        </w:rPr>
      </w:pPr>
      <w:r w:rsidRPr="00CE31DF">
        <w:rPr>
          <w:bCs/>
          <w:szCs w:val="22"/>
        </w:rPr>
        <w:t>Ensure that the management and use of wild species are sustainable, thereby providing social, economic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p>
    <w:p w14:paraId="42A04415"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10</w:t>
      </w:r>
    </w:p>
    <w:p w14:paraId="1960ABFA" w14:textId="77777777" w:rsidR="00E86051" w:rsidRPr="00CE31DF" w:rsidRDefault="00E86051" w:rsidP="0039740C">
      <w:pPr>
        <w:spacing w:before="60" w:after="120"/>
        <w:rPr>
          <w:szCs w:val="22"/>
        </w:rPr>
      </w:pPr>
      <w:r w:rsidRPr="00CE31DF">
        <w:rPr>
          <w:szCs w:val="22"/>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functions and services.</w:t>
      </w:r>
    </w:p>
    <w:p w14:paraId="2CB26133"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11</w:t>
      </w:r>
    </w:p>
    <w:p w14:paraId="5247B107" w14:textId="77777777" w:rsidR="00E86051" w:rsidRPr="00CE31DF" w:rsidRDefault="00E86051" w:rsidP="0039740C">
      <w:pPr>
        <w:spacing w:before="60" w:after="120"/>
        <w:rPr>
          <w:rFonts w:eastAsia="Malgun Gothic"/>
          <w:b/>
          <w:bCs/>
          <w:color w:val="000000" w:themeColor="text1"/>
          <w:kern w:val="22"/>
          <w:szCs w:val="22"/>
        </w:rPr>
      </w:pPr>
      <w:r w:rsidRPr="00CE31DF">
        <w:rPr>
          <w:szCs w:val="22"/>
        </w:rPr>
        <w:t>Restore, maintain and enhance nature’s contributions to people, including ecosystem functions and services, such as the regulation of air, water and climate, soil health, pollination and reduction of disease risk, as well as protection from natural hazards and disasters, through nature-based solutions</w:t>
      </w:r>
      <w:r w:rsidRPr="00CE31DF">
        <w:rPr>
          <w:szCs w:val="22"/>
          <w:vertAlign w:val="superscript"/>
        </w:rPr>
        <w:t xml:space="preserve"> </w:t>
      </w:r>
      <w:r w:rsidRPr="00CE31DF">
        <w:rPr>
          <w:szCs w:val="22"/>
        </w:rPr>
        <w:t xml:space="preserve">and/or ecosystem-based approaches for the benefit of all people and nature. </w:t>
      </w:r>
    </w:p>
    <w:p w14:paraId="235F28AB"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12</w:t>
      </w:r>
      <w:r w:rsidRPr="00CE31DF">
        <w:rPr>
          <w:rFonts w:eastAsia="Malgun Gothic"/>
        </w:rPr>
        <w:t xml:space="preserve">  </w:t>
      </w:r>
    </w:p>
    <w:p w14:paraId="14A7FAC5" w14:textId="77777777" w:rsidR="00E86051" w:rsidRPr="00CE31DF" w:rsidRDefault="00E86051" w:rsidP="0039740C">
      <w:pPr>
        <w:shd w:val="clear" w:color="auto" w:fill="FFFFFF" w:themeFill="background1"/>
        <w:spacing w:before="60" w:after="120"/>
        <w:rPr>
          <w:szCs w:val="22"/>
        </w:rPr>
      </w:pPr>
      <w:r w:rsidRPr="00CE31DF">
        <w:rPr>
          <w:rFonts w:asciiTheme="majorBidi" w:hAnsiTheme="majorBidi" w:cstheme="majorBidi"/>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to the provision of ecosystem functions and services.</w:t>
      </w:r>
    </w:p>
    <w:p w14:paraId="0B4C1875"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13</w:t>
      </w:r>
    </w:p>
    <w:p w14:paraId="0152FF86" w14:textId="77777777" w:rsidR="00E86051" w:rsidRPr="00CE31DF" w:rsidRDefault="00E86051" w:rsidP="0039740C">
      <w:pPr>
        <w:spacing w:before="60" w:after="120"/>
        <w:rPr>
          <w:szCs w:val="22"/>
        </w:rPr>
      </w:pPr>
      <w:r w:rsidRPr="00CE31DF">
        <w:rPr>
          <w:szCs w:val="22"/>
        </w:rPr>
        <w:t>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p w14:paraId="682161F0" w14:textId="77777777" w:rsidR="00E86051" w:rsidRPr="00CE31DF" w:rsidRDefault="00E86051" w:rsidP="00443A10">
      <w:pPr>
        <w:keepNext/>
        <w:spacing w:before="240" w:after="120"/>
        <w:jc w:val="center"/>
        <w:rPr>
          <w:b/>
          <w:bCs/>
          <w:szCs w:val="22"/>
        </w:rPr>
      </w:pPr>
      <w:r w:rsidRPr="00CE31DF">
        <w:rPr>
          <w:bCs/>
          <w:i/>
          <w:iCs/>
          <w:color w:val="000000" w:themeColor="text1"/>
          <w:szCs w:val="22"/>
        </w:rPr>
        <w:lastRenderedPageBreak/>
        <w:t>3. Tools and solutions for implementation and mainstreaming</w:t>
      </w:r>
    </w:p>
    <w:p w14:paraId="63B71F1C"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14</w:t>
      </w:r>
    </w:p>
    <w:p w14:paraId="03316232" w14:textId="77777777" w:rsidR="00E86051" w:rsidRPr="00CE31DF" w:rsidRDefault="00E86051" w:rsidP="0039740C">
      <w:pPr>
        <w:keepNext/>
        <w:tabs>
          <w:tab w:val="left" w:pos="720"/>
        </w:tabs>
        <w:spacing w:before="60" w:after="120"/>
        <w:rPr>
          <w:rFonts w:eastAsia="Malgun Gothic"/>
          <w:b/>
          <w:bCs/>
          <w:color w:val="000000" w:themeColor="text1"/>
          <w:kern w:val="22"/>
          <w:szCs w:val="22"/>
        </w:rPr>
      </w:pPr>
      <w:r w:rsidRPr="00CE31DF">
        <w:rPr>
          <w:szCs w:val="22"/>
        </w:rPr>
        <w:t>Ensure the full integration of biodiversity and its multiple values</w:t>
      </w:r>
      <w:r w:rsidRPr="00CE31DF">
        <w:rPr>
          <w:spacing w:val="1"/>
          <w:szCs w:val="22"/>
        </w:rPr>
        <w:t xml:space="preserve"> </w:t>
      </w:r>
      <w:r w:rsidRPr="00CE31DF">
        <w:rPr>
          <w:szCs w:val="22"/>
        </w:rPr>
        <w:t>into policies,</w:t>
      </w:r>
      <w:r w:rsidRPr="00CE31DF">
        <w:rPr>
          <w:spacing w:val="1"/>
          <w:szCs w:val="22"/>
        </w:rPr>
        <w:t xml:space="preserve"> </w:t>
      </w:r>
      <w:r w:rsidRPr="00CE31DF">
        <w:rPr>
          <w:szCs w:val="22"/>
        </w:rPr>
        <w:t>regulations,</w:t>
      </w:r>
      <w:r w:rsidRPr="00CE31DF">
        <w:rPr>
          <w:spacing w:val="1"/>
          <w:szCs w:val="22"/>
        </w:rPr>
        <w:t xml:space="preserve"> </w:t>
      </w:r>
      <w:r w:rsidRPr="00CE31DF">
        <w:rPr>
          <w:szCs w:val="22"/>
        </w:rPr>
        <w:t>planning</w:t>
      </w:r>
      <w:r w:rsidRPr="00CE31DF">
        <w:rPr>
          <w:spacing w:val="1"/>
          <w:szCs w:val="22"/>
        </w:rPr>
        <w:t xml:space="preserve"> </w:t>
      </w:r>
      <w:r w:rsidRPr="00CE31DF">
        <w:rPr>
          <w:szCs w:val="22"/>
        </w:rPr>
        <w:t>and</w:t>
      </w:r>
      <w:r w:rsidRPr="00CE31DF">
        <w:rPr>
          <w:spacing w:val="1"/>
          <w:szCs w:val="22"/>
        </w:rPr>
        <w:t xml:space="preserve"> </w:t>
      </w:r>
      <w:r w:rsidRPr="00CE31DF">
        <w:rPr>
          <w:szCs w:val="22"/>
        </w:rPr>
        <w:t>development</w:t>
      </w:r>
      <w:r w:rsidRPr="00CE31DF">
        <w:rPr>
          <w:spacing w:val="1"/>
          <w:szCs w:val="22"/>
        </w:rPr>
        <w:t xml:space="preserve"> </w:t>
      </w:r>
      <w:r w:rsidRPr="00CE31DF">
        <w:rPr>
          <w:szCs w:val="22"/>
        </w:rPr>
        <w:t>processes,</w:t>
      </w:r>
      <w:r w:rsidRPr="00CE31DF">
        <w:rPr>
          <w:spacing w:val="1"/>
          <w:szCs w:val="22"/>
        </w:rPr>
        <w:t xml:space="preserve"> </w:t>
      </w:r>
      <w:r w:rsidRPr="00CE31DF">
        <w:rPr>
          <w:szCs w:val="22"/>
        </w:rPr>
        <w:t>poverty</w:t>
      </w:r>
      <w:r w:rsidRPr="00CE31DF">
        <w:rPr>
          <w:spacing w:val="1"/>
          <w:szCs w:val="22"/>
        </w:rPr>
        <w:t xml:space="preserve"> eradication </w:t>
      </w:r>
      <w:r w:rsidRPr="00CE31DF">
        <w:rPr>
          <w:szCs w:val="22"/>
        </w:rPr>
        <w:t>strategies,</w:t>
      </w:r>
      <w:r w:rsidRPr="00CE31DF">
        <w:rPr>
          <w:spacing w:val="1"/>
          <w:szCs w:val="22"/>
        </w:rPr>
        <w:t xml:space="preserve"> </w:t>
      </w:r>
      <w:r w:rsidRPr="00CE31DF">
        <w:rPr>
          <w:szCs w:val="22"/>
        </w:rPr>
        <w:t>strategic environmental assessments, environmental</w:t>
      </w:r>
      <w:r w:rsidRPr="00CE31DF">
        <w:rPr>
          <w:spacing w:val="-7"/>
          <w:szCs w:val="22"/>
        </w:rPr>
        <w:t xml:space="preserve"> impact </w:t>
      </w:r>
      <w:r w:rsidRPr="00CE31DF">
        <w:rPr>
          <w:szCs w:val="22"/>
        </w:rPr>
        <w:t>assessments and, as appropriate, national accounting,</w:t>
      </w:r>
      <w:r w:rsidRPr="00CE31DF">
        <w:rPr>
          <w:spacing w:val="-6"/>
          <w:szCs w:val="22"/>
        </w:rPr>
        <w:t xml:space="preserve"> within and </w:t>
      </w:r>
      <w:r w:rsidRPr="00CE31DF">
        <w:rPr>
          <w:szCs w:val="22"/>
        </w:rPr>
        <w:t>across</w:t>
      </w:r>
      <w:r w:rsidRPr="00CE31DF">
        <w:rPr>
          <w:spacing w:val="-6"/>
          <w:szCs w:val="22"/>
        </w:rPr>
        <w:t xml:space="preserve"> </w:t>
      </w:r>
      <w:r w:rsidRPr="00CE31DF">
        <w:rPr>
          <w:szCs w:val="22"/>
        </w:rPr>
        <w:t>all</w:t>
      </w:r>
      <w:r w:rsidRPr="00CE31DF">
        <w:rPr>
          <w:spacing w:val="-9"/>
          <w:szCs w:val="22"/>
        </w:rPr>
        <w:t xml:space="preserve"> </w:t>
      </w:r>
      <w:r w:rsidRPr="00CE31DF">
        <w:rPr>
          <w:szCs w:val="22"/>
        </w:rPr>
        <w:t>levels</w:t>
      </w:r>
      <w:r w:rsidRPr="00CE31DF">
        <w:rPr>
          <w:spacing w:val="-6"/>
          <w:szCs w:val="22"/>
        </w:rPr>
        <w:t xml:space="preserve"> </w:t>
      </w:r>
      <w:r w:rsidRPr="00CE31DF">
        <w:rPr>
          <w:szCs w:val="22"/>
        </w:rPr>
        <w:t>of</w:t>
      </w:r>
      <w:r w:rsidRPr="00CE31DF">
        <w:rPr>
          <w:spacing w:val="-11"/>
          <w:szCs w:val="22"/>
        </w:rPr>
        <w:t xml:space="preserve"> </w:t>
      </w:r>
      <w:r w:rsidRPr="00CE31DF">
        <w:rPr>
          <w:szCs w:val="22"/>
        </w:rPr>
        <w:t>government</w:t>
      </w:r>
      <w:r w:rsidRPr="00CE31DF">
        <w:rPr>
          <w:spacing w:val="-6"/>
          <w:szCs w:val="22"/>
        </w:rPr>
        <w:t xml:space="preserve"> </w:t>
      </w:r>
      <w:r w:rsidRPr="00CE31DF">
        <w:rPr>
          <w:szCs w:val="22"/>
        </w:rPr>
        <w:t>and</w:t>
      </w:r>
      <w:r w:rsidRPr="00CE31DF">
        <w:rPr>
          <w:spacing w:val="-9"/>
          <w:szCs w:val="22"/>
        </w:rPr>
        <w:t xml:space="preserve"> </w:t>
      </w:r>
      <w:r w:rsidRPr="00CE31DF">
        <w:rPr>
          <w:szCs w:val="22"/>
        </w:rPr>
        <w:t>across</w:t>
      </w:r>
      <w:r w:rsidRPr="00CE31DF">
        <w:rPr>
          <w:spacing w:val="-6"/>
          <w:szCs w:val="22"/>
        </w:rPr>
        <w:t xml:space="preserve"> </w:t>
      </w:r>
      <w:r w:rsidRPr="00CE31DF">
        <w:rPr>
          <w:szCs w:val="22"/>
        </w:rPr>
        <w:t>all</w:t>
      </w:r>
      <w:r w:rsidRPr="00CE31DF">
        <w:rPr>
          <w:spacing w:val="-9"/>
          <w:szCs w:val="22"/>
        </w:rPr>
        <w:t xml:space="preserve"> </w:t>
      </w:r>
      <w:r w:rsidRPr="00CE31DF">
        <w:rPr>
          <w:szCs w:val="22"/>
        </w:rPr>
        <w:t>sectors, in particular those with significant impacts on biodiversity,</w:t>
      </w:r>
      <w:r w:rsidRPr="00CE31DF">
        <w:rPr>
          <w:spacing w:val="-53"/>
          <w:szCs w:val="22"/>
        </w:rPr>
        <w:t xml:space="preserve">      </w:t>
      </w:r>
      <w:r w:rsidRPr="00CE31DF">
        <w:rPr>
          <w:szCs w:val="22"/>
        </w:rPr>
        <w:t xml:space="preserve"> progressively aligning all relevant public and private activities, and fiscal and financial flows with the goals and</w:t>
      </w:r>
      <w:r w:rsidRPr="00CE31DF">
        <w:rPr>
          <w:spacing w:val="1"/>
          <w:szCs w:val="22"/>
        </w:rPr>
        <w:t xml:space="preserve"> </w:t>
      </w:r>
      <w:r w:rsidRPr="00CE31DF">
        <w:rPr>
          <w:szCs w:val="22"/>
        </w:rPr>
        <w:t>targets</w:t>
      </w:r>
      <w:r w:rsidRPr="00CE31DF">
        <w:rPr>
          <w:spacing w:val="-1"/>
          <w:szCs w:val="22"/>
        </w:rPr>
        <w:t xml:space="preserve"> </w:t>
      </w:r>
      <w:r w:rsidRPr="00CE31DF">
        <w:rPr>
          <w:szCs w:val="22"/>
        </w:rPr>
        <w:t>of</w:t>
      </w:r>
      <w:r w:rsidRPr="00CE31DF">
        <w:rPr>
          <w:spacing w:val="-2"/>
          <w:szCs w:val="22"/>
        </w:rPr>
        <w:t xml:space="preserve"> </w:t>
      </w:r>
      <w:r w:rsidRPr="00CE31DF">
        <w:rPr>
          <w:szCs w:val="22"/>
        </w:rPr>
        <w:t>this</w:t>
      </w:r>
      <w:r w:rsidRPr="00CE31DF">
        <w:rPr>
          <w:spacing w:val="-2"/>
          <w:szCs w:val="22"/>
        </w:rPr>
        <w:t xml:space="preserve"> </w:t>
      </w:r>
      <w:r w:rsidRPr="00CE31DF">
        <w:rPr>
          <w:szCs w:val="22"/>
        </w:rPr>
        <w:t>framework.</w:t>
      </w:r>
    </w:p>
    <w:p w14:paraId="1890D6A8"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15</w:t>
      </w:r>
    </w:p>
    <w:p w14:paraId="0787B13F" w14:textId="77777777" w:rsidR="00E86051" w:rsidRPr="00CE31DF" w:rsidRDefault="00E86051" w:rsidP="0090209F">
      <w:pPr>
        <w:spacing w:before="60" w:after="60"/>
        <w:rPr>
          <w:rFonts w:eastAsia="MS Mincho"/>
          <w:szCs w:val="22"/>
          <w:lang w:val="en-US" w:eastAsia="zh-CN"/>
        </w:rPr>
      </w:pPr>
      <w:r w:rsidRPr="00CE31DF">
        <w:rPr>
          <w:rFonts w:eastAsia="MS Mincho"/>
          <w:szCs w:val="22"/>
          <w:lang w:val="en-US" w:eastAsia="zh-CN"/>
        </w:rPr>
        <w:t>Take legal, administrative or policy measures to encourage and enable business, and in particular to ensure that large and transnational companies and financial institutions:</w:t>
      </w:r>
    </w:p>
    <w:p w14:paraId="7BA76991" w14:textId="77777777" w:rsidR="00E86051" w:rsidRPr="00CE31DF" w:rsidRDefault="00E86051" w:rsidP="00950BE4">
      <w:pPr>
        <w:numPr>
          <w:ilvl w:val="0"/>
          <w:numId w:val="17"/>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Regularly monitor, assess, and transparently disclose their risks, dependencies and impacts on biodiversity, including with requirements for all large as well as transnational companies and financial institutions along their operations, supply and value chains, and portfolios;</w:t>
      </w:r>
    </w:p>
    <w:p w14:paraId="6089DBE8" w14:textId="77777777" w:rsidR="00E86051" w:rsidRPr="00CE31DF" w:rsidRDefault="00E86051" w:rsidP="00950BE4">
      <w:pPr>
        <w:numPr>
          <w:ilvl w:val="0"/>
          <w:numId w:val="17"/>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Provide information needed to consumers to promote sustainable consumption patterns;</w:t>
      </w:r>
    </w:p>
    <w:p w14:paraId="23C6336B" w14:textId="77777777" w:rsidR="00E86051" w:rsidRPr="00CE31DF" w:rsidRDefault="00E86051" w:rsidP="00950BE4">
      <w:pPr>
        <w:numPr>
          <w:ilvl w:val="0"/>
          <w:numId w:val="17"/>
        </w:numPr>
        <w:tabs>
          <w:tab w:val="clear" w:pos="720"/>
        </w:tabs>
        <w:spacing w:before="60" w:after="60"/>
        <w:ind w:left="0" w:firstLine="704"/>
        <w:rPr>
          <w:rFonts w:eastAsia="MS Mincho"/>
          <w:szCs w:val="22"/>
          <w:lang w:val="en-US" w:eastAsia="zh-CN"/>
        </w:rPr>
      </w:pPr>
      <w:r w:rsidRPr="00CE31DF">
        <w:rPr>
          <w:rFonts w:eastAsia="MS Mincho"/>
          <w:szCs w:val="22"/>
          <w:lang w:val="en-US" w:eastAsia="zh-CN"/>
        </w:rPr>
        <w:t>Report on compliance with access and benefit-sharing regulations and measures, as applicable;</w:t>
      </w:r>
    </w:p>
    <w:p w14:paraId="05AF4513" w14:textId="77777777" w:rsidR="00E86051" w:rsidRPr="00CE31DF" w:rsidRDefault="00E86051">
      <w:pPr>
        <w:spacing w:before="60" w:after="60"/>
        <w:rPr>
          <w:rFonts w:eastAsia="Malgun Gothic"/>
          <w:b/>
          <w:bCs/>
          <w:color w:val="000000" w:themeColor="text1"/>
          <w:kern w:val="22"/>
          <w:szCs w:val="22"/>
        </w:rPr>
      </w:pPr>
      <w:r w:rsidRPr="00CE31DF">
        <w:rPr>
          <w:rFonts w:eastAsia="MS Mincho"/>
          <w:szCs w:val="22"/>
          <w:lang w:val="en-US" w:eastAsia="zh-CN"/>
        </w:rPr>
        <w:t>in order to progressively reduce negative impacts on biodiversity, increase positive impacts, reduce biodiversity-related risks to business and financial institutions, and promote actions to ensure sustainable patterns of production.</w:t>
      </w:r>
    </w:p>
    <w:p w14:paraId="2FF99C08"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16</w:t>
      </w:r>
    </w:p>
    <w:p w14:paraId="15E3A63E" w14:textId="77777777" w:rsidR="00E86051" w:rsidRPr="00CE31DF" w:rsidRDefault="00E86051" w:rsidP="008F6000">
      <w:pPr>
        <w:spacing w:before="60" w:after="120"/>
      </w:pPr>
      <w:r w:rsidRPr="00CE31DF">
        <w:t>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w:t>
      </w:r>
    </w:p>
    <w:p w14:paraId="596D4900"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17</w:t>
      </w:r>
    </w:p>
    <w:p w14:paraId="509672D8" w14:textId="77777777" w:rsidR="00E86051" w:rsidRPr="00CE31DF" w:rsidRDefault="00E86051" w:rsidP="0039740C">
      <w:pPr>
        <w:spacing w:before="60" w:after="120"/>
        <w:ind w:right="4"/>
        <w:rPr>
          <w:iCs/>
          <w:color w:val="000000" w:themeColor="text1"/>
          <w:spacing w:val="-3"/>
          <w:szCs w:val="22"/>
        </w:rPr>
      </w:pPr>
      <w:r w:rsidRPr="00CE31DF">
        <w:rPr>
          <w:iCs/>
          <w:szCs w:val="22"/>
        </w:rPr>
        <w:t>Establish,</w:t>
      </w:r>
      <w:r w:rsidRPr="00CE31DF">
        <w:rPr>
          <w:iCs/>
          <w:spacing w:val="1"/>
          <w:szCs w:val="22"/>
        </w:rPr>
        <w:t xml:space="preserve"> </w:t>
      </w:r>
      <w:r w:rsidRPr="00CE31DF">
        <w:rPr>
          <w:iCs/>
          <w:szCs w:val="22"/>
        </w:rPr>
        <w:t>strengthen</w:t>
      </w:r>
      <w:r w:rsidRPr="00CE31DF">
        <w:rPr>
          <w:iCs/>
          <w:spacing w:val="1"/>
          <w:szCs w:val="22"/>
        </w:rPr>
        <w:t xml:space="preserve"> </w:t>
      </w:r>
      <w:r w:rsidRPr="00CE31DF">
        <w:rPr>
          <w:iCs/>
          <w:szCs w:val="22"/>
        </w:rPr>
        <w:t>capacity</w:t>
      </w:r>
      <w:r w:rsidRPr="00CE31DF">
        <w:rPr>
          <w:iCs/>
          <w:spacing w:val="1"/>
          <w:szCs w:val="22"/>
        </w:rPr>
        <w:t xml:space="preserve"> </w:t>
      </w:r>
      <w:r w:rsidRPr="00CE31DF">
        <w:rPr>
          <w:iCs/>
          <w:szCs w:val="22"/>
        </w:rPr>
        <w:t>for,</w:t>
      </w:r>
      <w:r w:rsidRPr="00CE31DF">
        <w:rPr>
          <w:iCs/>
          <w:spacing w:val="1"/>
          <w:szCs w:val="22"/>
        </w:rPr>
        <w:t xml:space="preserve"> </w:t>
      </w:r>
      <w:r w:rsidRPr="00CE31DF">
        <w:rPr>
          <w:iCs/>
          <w:szCs w:val="22"/>
        </w:rPr>
        <w:t>and</w:t>
      </w:r>
      <w:r w:rsidRPr="00CE31DF">
        <w:rPr>
          <w:iCs/>
          <w:spacing w:val="1"/>
          <w:szCs w:val="22"/>
        </w:rPr>
        <w:t xml:space="preserve"> </w:t>
      </w:r>
      <w:r w:rsidRPr="00CE31DF">
        <w:rPr>
          <w:iCs/>
          <w:szCs w:val="22"/>
        </w:rPr>
        <w:t xml:space="preserve">implement in all countries, biosafety measures as set out in </w:t>
      </w:r>
      <w:r w:rsidRPr="00CE31DF">
        <w:rPr>
          <w:iCs/>
          <w:spacing w:val="-3"/>
          <w:szCs w:val="22"/>
        </w:rPr>
        <w:t xml:space="preserve">Article 8(g) </w:t>
      </w:r>
      <w:r w:rsidRPr="00CE31DF">
        <w:rPr>
          <w:iCs/>
          <w:color w:val="000000" w:themeColor="text1"/>
          <w:spacing w:val="-3"/>
          <w:szCs w:val="22"/>
        </w:rPr>
        <w:t>of the Convention on Biological Diversity a</w:t>
      </w:r>
      <w:r w:rsidRPr="00CE31DF">
        <w:rPr>
          <w:iCs/>
          <w:spacing w:val="-3"/>
          <w:szCs w:val="22"/>
        </w:rPr>
        <w:t>nd measures</w:t>
      </w:r>
      <w:r w:rsidRPr="00CE31DF">
        <w:rPr>
          <w:rFonts w:hint="eastAsia"/>
          <w:iCs/>
          <w:szCs w:val="22"/>
          <w:lang w:val="en-US" w:eastAsia="zh-CN"/>
        </w:rPr>
        <w:t xml:space="preserve"> </w:t>
      </w:r>
      <w:r w:rsidRPr="00CE31DF">
        <w:rPr>
          <w:iCs/>
          <w:spacing w:val="-3"/>
          <w:szCs w:val="22"/>
        </w:rPr>
        <w:t xml:space="preserve">for the </w:t>
      </w:r>
      <w:r w:rsidRPr="00CE31DF">
        <w:rPr>
          <w:iCs/>
          <w:color w:val="000000" w:themeColor="text1"/>
          <w:spacing w:val="-3"/>
          <w:szCs w:val="22"/>
        </w:rPr>
        <w:t>handling of biotechnology and distribution of its benefits as set out in Article 19 of the Convention.</w:t>
      </w:r>
    </w:p>
    <w:p w14:paraId="36C0AD40"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18</w:t>
      </w:r>
    </w:p>
    <w:p w14:paraId="18C32F7E" w14:textId="77777777" w:rsidR="00E86051" w:rsidRPr="00CE31DF" w:rsidRDefault="00E86051">
      <w:pPr>
        <w:shd w:val="clear" w:color="auto" w:fill="FFFFFF" w:themeFill="background1"/>
        <w:spacing w:before="120" w:after="120"/>
      </w:pPr>
      <w:r w:rsidRPr="00CE31DF">
        <w:t>Identify by 2025, and eliminate, phase out or reform incentives, including subsidies, harmful for biodiversity, in a proportionate, just, fair, effective and equitable way, while substantially and progressively reducing them by at least $500 billion per year by 2030, starting with the most harmful incentives, and scale up positive incentives for the conservation and sustainable use of biodiversity.</w:t>
      </w:r>
    </w:p>
    <w:p w14:paraId="1301B3F1"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19</w:t>
      </w:r>
    </w:p>
    <w:p w14:paraId="4360DCBF" w14:textId="77777777" w:rsidR="00E86051" w:rsidRPr="00CE31DF" w:rsidRDefault="00E86051" w:rsidP="00962757">
      <w:pPr>
        <w:spacing w:before="60" w:after="120"/>
      </w:pPr>
      <w:r w:rsidRPr="00CE31DF">
        <w:t xml:space="preserve">Substantially and progressively increase the level of financial resources from all sources, in an effective, timely and easily accessible manner, including domestic, international, public and private resources, in accordance with Article 20 of the Convention, to implement national biodiversity strategies and action plans, mobilizing at least $200 billion per year by 2030, including by: </w:t>
      </w:r>
    </w:p>
    <w:p w14:paraId="76016E10" w14:textId="77777777" w:rsidR="00E86051" w:rsidRPr="00CE31DF" w:rsidRDefault="00E86051" w:rsidP="00F73B55">
      <w:pPr>
        <w:spacing w:before="60" w:after="60"/>
        <w:ind w:firstLine="720"/>
        <w:rPr>
          <w:strike/>
        </w:rPr>
      </w:pPr>
      <w:r w:rsidRPr="00CE31DF">
        <w:t>(a)</w:t>
      </w:r>
      <w:r w:rsidRPr="00CE31DF">
        <w:tab/>
        <w:t xml:space="preserve">Increasing total biodiversity related international financial resources from developed countries, including official development assistance, and from countries that voluntarily assume obligations </w:t>
      </w:r>
      <w:r w:rsidRPr="00CE31DF">
        <w:lastRenderedPageBreak/>
        <w:t xml:space="preserve">of developed country Parties, to developing countries, </w:t>
      </w:r>
      <w:r w:rsidRPr="00CE31DF">
        <w:rPr>
          <w:rFonts w:asciiTheme="majorBidi" w:hAnsiTheme="majorBidi" w:cstheme="majorBidi"/>
          <w:color w:val="000000" w:themeColor="text1"/>
        </w:rPr>
        <w:t>in particular the least developed countries and small island developing States, as well as countries with economies in transition, to at least $20 billion per year by 2025, and to at least $30 billion per year by 2030;</w:t>
      </w:r>
    </w:p>
    <w:p w14:paraId="2FE8647C" w14:textId="77777777" w:rsidR="00E86051" w:rsidRPr="00CE31DF" w:rsidRDefault="00E86051" w:rsidP="00F73B55">
      <w:pPr>
        <w:spacing w:before="60" w:after="60"/>
        <w:ind w:firstLine="720"/>
      </w:pPr>
      <w:r w:rsidRPr="00CE31DF">
        <w:t>(b)</w:t>
      </w:r>
      <w:r w:rsidRPr="00CE31DF">
        <w:tab/>
        <w:t>Significantly increasing domestic resource mobilization, facilitated by the preparation and implementation of national biodiversity finance plans or similar instruments according to national needs, priorities and circumstances;</w:t>
      </w:r>
    </w:p>
    <w:p w14:paraId="0163A884" w14:textId="77777777" w:rsidR="00E86051" w:rsidRPr="00CE31DF" w:rsidRDefault="00E86051" w:rsidP="00F73B55">
      <w:pPr>
        <w:spacing w:before="60" w:after="60"/>
        <w:ind w:firstLine="720"/>
      </w:pPr>
      <w:r w:rsidRPr="00CE31DF">
        <w:t>(c)</w:t>
      </w:r>
      <w:r w:rsidRPr="00CE31DF">
        <w:tab/>
        <w:t>Leveraging private finance, promoting blended finance, implementing strategies for raising new and additional resources, and encouraging the private sector to invest in biodiversity, including through impact funds and other instruments;</w:t>
      </w:r>
    </w:p>
    <w:p w14:paraId="67447DA8" w14:textId="77777777" w:rsidR="00E86051" w:rsidRPr="00CE31DF" w:rsidRDefault="00E86051" w:rsidP="00F73B55">
      <w:pPr>
        <w:spacing w:before="60" w:after="60"/>
        <w:ind w:firstLine="720"/>
      </w:pPr>
      <w:r w:rsidRPr="00CE31DF">
        <w:t>(d)</w:t>
      </w:r>
      <w:r w:rsidRPr="00CE31DF">
        <w:tab/>
        <w:t>Stimulating innovative schemes such as payment for ecosystem services, green bonds, biodiversity offsets and credits, and benefit-sharing mechanisms, with environmental and social safeguards;</w:t>
      </w:r>
    </w:p>
    <w:p w14:paraId="49958E97" w14:textId="77777777" w:rsidR="00E86051" w:rsidRPr="00CE31DF" w:rsidRDefault="00E86051" w:rsidP="00F73B55">
      <w:pPr>
        <w:spacing w:before="60" w:after="60"/>
        <w:ind w:firstLine="720"/>
      </w:pPr>
      <w:r w:rsidRPr="00CE31DF">
        <w:t>(e)</w:t>
      </w:r>
      <w:r w:rsidRPr="00CE31DF">
        <w:tab/>
        <w:t>Optimizing co-benefits and synergies of finance targeting the biodiversity and climate crises;</w:t>
      </w:r>
    </w:p>
    <w:p w14:paraId="098C2621" w14:textId="77777777" w:rsidR="00E86051" w:rsidRPr="00CE31DF" w:rsidRDefault="00E86051" w:rsidP="00F73B55">
      <w:pPr>
        <w:spacing w:before="60" w:after="60"/>
        <w:ind w:firstLine="720"/>
      </w:pPr>
      <w:r w:rsidRPr="00CE31DF">
        <w:t>(f)</w:t>
      </w:r>
      <w:r w:rsidRPr="00CE31DF">
        <w:tab/>
        <w:t>Enhancing the role of collective actions, including by indigenous peoples and local communities, Mother Earth centric actions</w:t>
      </w:r>
      <w:r w:rsidRPr="00610646">
        <w:rPr>
          <w:rStyle w:val="FootnoteReference"/>
        </w:rPr>
        <w:footnoteReference w:id="32"/>
      </w:r>
      <w:r w:rsidRPr="00CE31DF">
        <w:t xml:space="preserve"> and non-market-based approaches including community based natural resource management and civil society cooperation and solidarity aimed at the conservation of biodiversity;</w:t>
      </w:r>
    </w:p>
    <w:p w14:paraId="609F6959" w14:textId="77777777" w:rsidR="00E86051" w:rsidRPr="00CE31DF" w:rsidRDefault="00E86051" w:rsidP="00962757">
      <w:pPr>
        <w:spacing w:before="60" w:after="120"/>
        <w:ind w:firstLine="720"/>
      </w:pPr>
      <w:r w:rsidRPr="00CE31DF">
        <w:t>(g)</w:t>
      </w:r>
      <w:r w:rsidRPr="00CE31DF">
        <w:tab/>
        <w:t>Enhancing the effectiveness, efficiency and transparency of resource provision and use</w:t>
      </w:r>
      <w:r>
        <w:t>.</w:t>
      </w:r>
    </w:p>
    <w:p w14:paraId="5E995F5C"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20</w:t>
      </w:r>
      <w:r w:rsidRPr="00CE31DF">
        <w:rPr>
          <w:rFonts w:eastAsia="Malgun Gothic"/>
        </w:rPr>
        <w:t xml:space="preserve">  </w:t>
      </w:r>
    </w:p>
    <w:p w14:paraId="3CEC3912" w14:textId="77777777" w:rsidR="00E86051" w:rsidRPr="00CE31DF" w:rsidRDefault="00E86051" w:rsidP="00962757">
      <w:pPr>
        <w:pStyle w:val="BodyText"/>
        <w:shd w:val="clear" w:color="auto" w:fill="FFFFFF" w:themeFill="background1"/>
        <w:spacing w:before="60"/>
        <w:ind w:right="6" w:firstLine="0"/>
      </w:pPr>
      <w:r w:rsidRPr="00CE31DF">
        <w:t xml:space="preserve">Strengthen capacity-building and development, access to and transfer of technology, and promote development </w:t>
      </w:r>
      <w:r w:rsidRPr="00CE31DF">
        <w:rPr>
          <w:iCs w:val="0"/>
        </w:rPr>
        <w:t xml:space="preserve">of </w:t>
      </w:r>
      <w:r w:rsidRPr="00CE31DF">
        <w:t>and access to innovation and technical and scientific cooperation, including through South</w:t>
      </w:r>
      <w:r w:rsidRPr="00CE31DF">
        <w:noBreakHyphen/>
        <w:t>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p w14:paraId="4D56298D"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21</w:t>
      </w:r>
    </w:p>
    <w:p w14:paraId="7D84E108" w14:textId="77777777" w:rsidR="00E86051" w:rsidRPr="00CE31DF" w:rsidRDefault="00E86051" w:rsidP="0039740C">
      <w:pPr>
        <w:tabs>
          <w:tab w:val="left" w:pos="2228"/>
        </w:tabs>
        <w:spacing w:before="60" w:after="120"/>
        <w:rPr>
          <w:color w:val="000000" w:themeColor="text1"/>
          <w:szCs w:val="22"/>
        </w:rPr>
      </w:pPr>
      <w:r w:rsidRPr="00CE31DF">
        <w:rPr>
          <w:iCs/>
          <w:szCs w:val="22"/>
        </w:rPr>
        <w:t>Ensure that the best available data, information and knowledge are</w:t>
      </w:r>
      <w:r w:rsidRPr="00CE31DF">
        <w:rPr>
          <w:iCs/>
          <w:spacing w:val="1"/>
          <w:szCs w:val="22"/>
        </w:rPr>
        <w:t xml:space="preserve"> </w:t>
      </w:r>
      <w:r w:rsidRPr="00CE31DF">
        <w:rPr>
          <w:iCs/>
          <w:szCs w:val="22"/>
        </w:rPr>
        <w:t>accessible to decision makers, practitioners and the public to guide effective and equitable governance, integrated and participatory management of biodiversity, and to strengthen communication,</w:t>
      </w:r>
      <w:r w:rsidRPr="00CE31DF">
        <w:rPr>
          <w:iCs/>
          <w:spacing w:val="1"/>
          <w:szCs w:val="22"/>
        </w:rPr>
        <w:t xml:space="preserve"> </w:t>
      </w:r>
      <w:r w:rsidRPr="00CE31DF">
        <w:rPr>
          <w:iCs/>
          <w:szCs w:val="22"/>
        </w:rPr>
        <w:t>awareness-raising,</w:t>
      </w:r>
      <w:r w:rsidRPr="00CE31DF">
        <w:rPr>
          <w:iCs/>
          <w:spacing w:val="-1"/>
          <w:szCs w:val="22"/>
        </w:rPr>
        <w:t xml:space="preserve"> </w:t>
      </w:r>
      <w:r w:rsidRPr="00CE31DF">
        <w:rPr>
          <w:iCs/>
          <w:szCs w:val="22"/>
        </w:rPr>
        <w:t>education, monitoring, research and</w:t>
      </w:r>
      <w:r w:rsidRPr="00CE31DF">
        <w:rPr>
          <w:iCs/>
          <w:spacing w:val="-1"/>
          <w:szCs w:val="22"/>
        </w:rPr>
        <w:t xml:space="preserve"> </w:t>
      </w:r>
      <w:r w:rsidRPr="00CE31DF">
        <w:rPr>
          <w:iCs/>
          <w:szCs w:val="22"/>
        </w:rPr>
        <w:t>knowledge</w:t>
      </w:r>
      <w:r w:rsidRPr="00CE31DF">
        <w:rPr>
          <w:iCs/>
          <w:spacing w:val="-2"/>
          <w:szCs w:val="22"/>
        </w:rPr>
        <w:t xml:space="preserve"> </w:t>
      </w:r>
      <w:r w:rsidRPr="00CE31DF">
        <w:rPr>
          <w:iCs/>
          <w:szCs w:val="22"/>
        </w:rPr>
        <w:t>management and, also in this context, traditional knowledge, innovations, practices and technologies of indigenous peoples and local communities should only be accessed with their free, prior and informed consent,</w:t>
      </w:r>
      <w:r w:rsidRPr="00610646">
        <w:rPr>
          <w:rStyle w:val="FootnoteReference"/>
        </w:rPr>
        <w:footnoteReference w:id="33"/>
      </w:r>
      <w:r w:rsidRPr="00CE31DF">
        <w:rPr>
          <w:iCs/>
          <w:szCs w:val="22"/>
        </w:rPr>
        <w:t xml:space="preserve"> in accordance with national legislation.</w:t>
      </w:r>
    </w:p>
    <w:p w14:paraId="6DB9F5CD"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22</w:t>
      </w:r>
    </w:p>
    <w:p w14:paraId="1217AA18" w14:textId="77777777" w:rsidR="00E86051" w:rsidRPr="00CE31DF" w:rsidRDefault="00E86051" w:rsidP="0039740C">
      <w:pPr>
        <w:spacing w:before="60" w:after="120"/>
        <w:ind w:right="6"/>
        <w:rPr>
          <w:b/>
          <w:bCs/>
          <w:iCs/>
          <w:szCs w:val="22"/>
        </w:rPr>
      </w:pPr>
      <w:r w:rsidRPr="00CE31DF">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CE31DF">
        <w:rPr>
          <w:iCs/>
          <w:spacing w:val="1"/>
          <w:szCs w:val="22"/>
        </w:rPr>
        <w:t xml:space="preserve"> </w:t>
      </w:r>
      <w:r w:rsidRPr="00CE31DF">
        <w:rPr>
          <w:iCs/>
          <w:szCs w:val="22"/>
        </w:rPr>
        <w:t>lands,</w:t>
      </w:r>
      <w:r w:rsidRPr="00CE31DF">
        <w:rPr>
          <w:iCs/>
          <w:spacing w:val="-12"/>
          <w:szCs w:val="22"/>
        </w:rPr>
        <w:t xml:space="preserve"> </w:t>
      </w:r>
      <w:r w:rsidRPr="00CE31DF">
        <w:rPr>
          <w:iCs/>
          <w:szCs w:val="22"/>
        </w:rPr>
        <w:t>territories</w:t>
      </w:r>
      <w:r w:rsidRPr="00CE31DF">
        <w:rPr>
          <w:iCs/>
          <w:spacing w:val="-10"/>
          <w:szCs w:val="22"/>
        </w:rPr>
        <w:t>,</w:t>
      </w:r>
      <w:r w:rsidRPr="00CE31DF">
        <w:rPr>
          <w:iCs/>
          <w:spacing w:val="-12"/>
          <w:szCs w:val="22"/>
        </w:rPr>
        <w:t xml:space="preserve"> </w:t>
      </w:r>
      <w:r w:rsidRPr="00CE31DF">
        <w:rPr>
          <w:iCs/>
          <w:szCs w:val="22"/>
        </w:rPr>
        <w:t>resources, and traditional knowledge,</w:t>
      </w:r>
      <w:r w:rsidRPr="00CE31DF">
        <w:rPr>
          <w:iCs/>
          <w:spacing w:val="-10"/>
          <w:szCs w:val="22"/>
        </w:rPr>
        <w:t xml:space="preserve"> </w:t>
      </w:r>
      <w:r w:rsidRPr="00CE31DF">
        <w:rPr>
          <w:iCs/>
          <w:szCs w:val="22"/>
        </w:rPr>
        <w:t>as well as by women and girls, children and youth, and persons with disabilities and ensure the full protection of environmental human rights defenders.</w:t>
      </w:r>
    </w:p>
    <w:p w14:paraId="30E50E7F" w14:textId="77777777" w:rsidR="00E86051" w:rsidRPr="00CE31DF" w:rsidRDefault="00E86051" w:rsidP="0039740C">
      <w:pPr>
        <w:pStyle w:val="Para1"/>
        <w:keepNext/>
        <w:numPr>
          <w:ilvl w:val="0"/>
          <w:numId w:val="0"/>
        </w:numPr>
        <w:suppressLineNumbers/>
        <w:suppressAutoHyphens/>
        <w:spacing w:before="240" w:after="60"/>
        <w:outlineLvl w:val="2"/>
        <w:rPr>
          <w:rFonts w:eastAsia="Malgun Gothic"/>
          <w:b/>
          <w:bCs/>
          <w:color w:val="000000" w:themeColor="text1"/>
        </w:rPr>
      </w:pPr>
      <w:r w:rsidRPr="00CE31DF">
        <w:rPr>
          <w:rFonts w:eastAsia="Malgun Gothic"/>
          <w:b/>
          <w:bCs/>
          <w:color w:val="000000" w:themeColor="text1"/>
        </w:rPr>
        <w:t>TARGET 23</w:t>
      </w:r>
    </w:p>
    <w:p w14:paraId="5E69E551" w14:textId="77777777" w:rsidR="00E86051" w:rsidRPr="00CE31DF" w:rsidRDefault="00E86051" w:rsidP="0039740C">
      <w:pPr>
        <w:tabs>
          <w:tab w:val="left" w:pos="2228"/>
        </w:tabs>
        <w:spacing w:before="60" w:after="120"/>
        <w:rPr>
          <w:szCs w:val="22"/>
        </w:rPr>
      </w:pPr>
      <w:r w:rsidRPr="00CE31DF">
        <w:rPr>
          <w:szCs w:val="22"/>
        </w:rPr>
        <w:t xml:space="preserve">Ensure gender equality in the implementation of the Framework through a gender-responsive approach, where all women and girls have equal opportunity and capacity to contribute to the three objectives of the </w:t>
      </w:r>
      <w:r w:rsidRPr="00CE31DF">
        <w:rPr>
          <w:szCs w:val="22"/>
        </w:rPr>
        <w:lastRenderedPageBreak/>
        <w:t>Convention, including by recognizing their equal rights and access to land and natural resources and their full, equitable, meaningful and informed participation and leadership at all levels of action, engagement, policy and decision-making related to biodiversity.</w:t>
      </w:r>
    </w:p>
    <w:p w14:paraId="1F8F43B2" w14:textId="77777777" w:rsidR="00E86051" w:rsidRPr="00CE31DF" w:rsidRDefault="00E86051" w:rsidP="00B30138">
      <w:pPr>
        <w:keepNext/>
        <w:tabs>
          <w:tab w:val="left" w:pos="851"/>
        </w:tabs>
        <w:spacing w:before="240" w:after="120"/>
        <w:jc w:val="center"/>
        <w:rPr>
          <w:b/>
          <w:bCs/>
          <w:i/>
          <w:color w:val="000000" w:themeColor="text1"/>
          <w:szCs w:val="22"/>
        </w:rPr>
      </w:pPr>
      <w:r w:rsidRPr="00CE31DF">
        <w:rPr>
          <w:b/>
          <w:bCs/>
          <w:color w:val="000000" w:themeColor="text1"/>
          <w:szCs w:val="22"/>
        </w:rPr>
        <w:t>Section I.</w:t>
      </w:r>
      <w:r w:rsidRPr="00CE31DF">
        <w:rPr>
          <w:b/>
          <w:bCs/>
          <w:color w:val="000000" w:themeColor="text1"/>
          <w:szCs w:val="22"/>
        </w:rPr>
        <w:tab/>
        <w:t>Implementation and support mechanism and enabling conditions</w:t>
      </w:r>
    </w:p>
    <w:p w14:paraId="5624D363" w14:textId="77777777" w:rsidR="00E86051" w:rsidRPr="00CE31DF" w:rsidRDefault="00E86051">
      <w:pPr>
        <w:spacing w:before="120" w:after="120"/>
        <w:rPr>
          <w:iCs/>
          <w:szCs w:val="22"/>
        </w:rPr>
      </w:pPr>
      <w:r w:rsidRPr="00CE31DF">
        <w:rPr>
          <w:iCs/>
          <w:szCs w:val="22"/>
        </w:rPr>
        <w:t>14.</w:t>
      </w:r>
      <w:r w:rsidRPr="00CE31DF">
        <w:rPr>
          <w:iCs/>
          <w:szCs w:val="22"/>
        </w:rPr>
        <w:tab/>
        <w:t xml:space="preserve">Implementation of the </w:t>
      </w:r>
      <w:r w:rsidRPr="00CE31DF">
        <w:rPr>
          <w:szCs w:val="22"/>
        </w:rPr>
        <w:t xml:space="preserve">Kunming-Montreal Global Biodiversity Framework </w:t>
      </w:r>
      <w:r w:rsidRPr="00CE31DF">
        <w:rPr>
          <w:iCs/>
          <w:szCs w:val="22"/>
        </w:rPr>
        <w:t>and the achievement of its goals and targets will be facilitated and enhanced through support mechanisms and strategies under the Convention on Biological Diversity and its Protocols, in accordance with its provisions and the decisions adopted by the Conference of the Parties at its fifteenth meeting.</w:t>
      </w:r>
    </w:p>
    <w:p w14:paraId="5DCE60FE" w14:textId="77777777" w:rsidR="00E86051" w:rsidRPr="00CE31DF" w:rsidRDefault="00E86051" w:rsidP="00F73B55">
      <w:pPr>
        <w:pStyle w:val="Para1"/>
        <w:numPr>
          <w:ilvl w:val="0"/>
          <w:numId w:val="0"/>
        </w:numPr>
        <w:tabs>
          <w:tab w:val="left" w:pos="630"/>
        </w:tabs>
      </w:pPr>
      <w:r w:rsidRPr="00CE31DF">
        <w:t>15.</w:t>
      </w:r>
      <w:r w:rsidRPr="00CE31DF">
        <w:tab/>
        <w:t>The full implementation of the Framework will require the provision of adequate, predictable and easily accessible financial resources from all sources on a needs basis. It further requires cooperation and collaboration in building the necessary capacity and transfer of technologies to allow Parties, especially developing country Parties, to fully implement the Framework.</w:t>
      </w:r>
    </w:p>
    <w:p w14:paraId="516BDCEB" w14:textId="78C29CE3" w:rsidR="00E86051" w:rsidRPr="00B30138" w:rsidRDefault="00E86051" w:rsidP="00B30138">
      <w:pPr>
        <w:keepNext/>
        <w:tabs>
          <w:tab w:val="left" w:pos="1134"/>
        </w:tabs>
        <w:spacing w:before="240" w:after="120"/>
        <w:jc w:val="center"/>
        <w:rPr>
          <w:b/>
          <w:bCs/>
          <w:color w:val="000000" w:themeColor="text1"/>
          <w:szCs w:val="22"/>
        </w:rPr>
      </w:pPr>
      <w:r w:rsidRPr="00B30138">
        <w:rPr>
          <w:b/>
          <w:bCs/>
          <w:color w:val="000000" w:themeColor="text1"/>
          <w:szCs w:val="22"/>
        </w:rPr>
        <w:t>Section J.</w:t>
      </w:r>
      <w:r w:rsidRPr="00B30138">
        <w:rPr>
          <w:b/>
          <w:bCs/>
          <w:color w:val="000000" w:themeColor="text1"/>
          <w:szCs w:val="22"/>
        </w:rPr>
        <w:tab/>
        <w:t>Responsibility and transparency</w:t>
      </w:r>
    </w:p>
    <w:p w14:paraId="32070BBF" w14:textId="77777777" w:rsidR="00E86051" w:rsidRPr="00CE31DF" w:rsidRDefault="00E86051">
      <w:pPr>
        <w:spacing w:before="120" w:after="120"/>
      </w:pPr>
      <w:bookmarkStart w:id="32" w:name="_Hlk106702916"/>
      <w:r w:rsidRPr="00CE31DF">
        <w:t xml:space="preserve">16. </w:t>
      </w:r>
      <w:r w:rsidRPr="00CE31DF">
        <w:tab/>
        <w:t xml:space="preserve">The successful implementation of the </w:t>
      </w:r>
      <w:r w:rsidRPr="00CE31DF">
        <w:rPr>
          <w:szCs w:val="22"/>
        </w:rPr>
        <w:t xml:space="preserve">Kunming-Montreal Global Biodiversity Framework </w:t>
      </w:r>
      <w:r w:rsidRPr="00CE31DF">
        <w:t>requires responsibility and transparency, which will be supported by effective mechanisms for planning, monitoring, reporting and review, forming an agreed, synchronized and cyclical system.</w:t>
      </w:r>
      <w:r w:rsidRPr="00610646">
        <w:rPr>
          <w:rStyle w:val="FootnoteReference"/>
        </w:rPr>
        <w:footnoteReference w:id="34"/>
      </w:r>
      <w:r w:rsidRPr="00CE31DF">
        <w:t xml:space="preserve"> This includes the following elements:</w:t>
      </w:r>
    </w:p>
    <w:p w14:paraId="535A7933"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 xml:space="preserve">National biodiversity strategies and action plans, revised or updated in alignment with the Framework and its goals and targets as the main vehicle for implementation of the Framework, including national targets communicated in a standardized format; </w:t>
      </w:r>
    </w:p>
    <w:p w14:paraId="50E8790F"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National reports, including the headline and, as appropriate, other indicators in the monitoring framework</w:t>
      </w:r>
      <w:r w:rsidRPr="00CE31DF">
        <w:rPr>
          <w:kern w:val="22"/>
        </w:rPr>
        <w:t xml:space="preserve"> of the Kunming-Montreal </w:t>
      </w:r>
      <w:r w:rsidRPr="00CE31DF">
        <w:rPr>
          <w:snapToGrid w:val="0"/>
          <w:lang w:val="en-US"/>
        </w:rPr>
        <w:t>Global Biodiversity Framework;</w:t>
      </w:r>
    </w:p>
    <w:p w14:paraId="017924FF"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Global analysis of information in national biodiversity strategies and action plans, including national targets to assess the contribution towards the Framework;</w:t>
      </w:r>
    </w:p>
    <w:p w14:paraId="1F8CF75F"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 xml:space="preserve">Global review of collective progress in the implementation of the Framework, including the means of implementation, based on national reports and, as appropriate, other sources; </w:t>
      </w:r>
    </w:p>
    <w:p w14:paraId="7DFABBD8"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 xml:space="preserve">Voluntary peer reviews; </w:t>
      </w:r>
    </w:p>
    <w:p w14:paraId="17054BFD"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Further development and testing of an open-ended forum for voluntary country reviews;</w:t>
      </w:r>
    </w:p>
    <w:p w14:paraId="4140E42E" w14:textId="77777777" w:rsidR="00E86051" w:rsidRPr="00CE31DF" w:rsidRDefault="00E86051" w:rsidP="00950BE4">
      <w:pPr>
        <w:pStyle w:val="ListParagraph"/>
        <w:numPr>
          <w:ilvl w:val="0"/>
          <w:numId w:val="18"/>
        </w:numPr>
        <w:overflowPunct w:val="0"/>
        <w:autoSpaceDE w:val="0"/>
        <w:autoSpaceDN w:val="0"/>
        <w:spacing w:before="60" w:after="60"/>
        <w:ind w:left="0" w:firstLine="777"/>
        <w:contextualSpacing w:val="0"/>
        <w:rPr>
          <w:snapToGrid w:val="0"/>
          <w:lang w:val="en-US"/>
        </w:rPr>
      </w:pPr>
      <w:r w:rsidRPr="00CE31DF">
        <w:rPr>
          <w:snapToGrid w:val="0"/>
          <w:lang w:val="en-US"/>
        </w:rPr>
        <w:t>Information on non-state actor commitments towards the Framework, as applicable.</w:t>
      </w:r>
    </w:p>
    <w:p w14:paraId="717E862F" w14:textId="77777777" w:rsidR="00E86051" w:rsidRPr="00CE31DF" w:rsidRDefault="00E86051">
      <w:pPr>
        <w:overflowPunct w:val="0"/>
        <w:autoSpaceDE w:val="0"/>
        <w:autoSpaceDN w:val="0"/>
        <w:spacing w:before="120" w:after="120"/>
      </w:pPr>
      <w:r w:rsidRPr="00CE31DF">
        <w:rPr>
          <w:rFonts w:eastAsia="SimSun"/>
          <w:lang w:val="en-US" w:eastAsia="zh-CN"/>
        </w:rPr>
        <w:t>17.</w:t>
      </w:r>
      <w:r w:rsidRPr="00CE31DF">
        <w:rPr>
          <w:rFonts w:eastAsia="SimSun"/>
          <w:lang w:val="en-US" w:eastAsia="zh-CN"/>
        </w:rPr>
        <w:tab/>
      </w:r>
      <w:r w:rsidRPr="00CE31DF">
        <w:t xml:space="preserve">Parties may take the outcome of the global reviews into account in the future revisions and implementation of their </w:t>
      </w:r>
      <w:r w:rsidRPr="00CE31DF">
        <w:rPr>
          <w:snapToGrid w:val="0"/>
          <w:lang w:val="en-US"/>
        </w:rPr>
        <w:t>national biodiversity strategies and action plans</w:t>
      </w:r>
      <w:r w:rsidRPr="00CE31DF">
        <w:t>, including the provision of means of implementation to developing country Parties, with a view to improving actions and efforts, as appropriate.</w:t>
      </w:r>
    </w:p>
    <w:p w14:paraId="1DEEB23C" w14:textId="77777777" w:rsidR="00E86051" w:rsidRPr="00CE31DF" w:rsidRDefault="00E86051">
      <w:pPr>
        <w:overflowPunct w:val="0"/>
        <w:autoSpaceDE w:val="0"/>
        <w:autoSpaceDN w:val="0"/>
        <w:spacing w:before="120" w:after="120"/>
      </w:pPr>
      <w:r w:rsidRPr="00CE31DF">
        <w:t>18.</w:t>
      </w:r>
      <w:r w:rsidRPr="00CE31DF">
        <w:tab/>
        <w:t>The mechanisms recognize the specific challenges faced by developing countries and the need for international cooperation to support them accordingly. Means of implementation, including capacity</w:t>
      </w:r>
      <w:r w:rsidRPr="00CE31DF">
        <w:noBreakHyphen/>
        <w:t>building and development, and technical and financial support will be provided to Parties, especially to developing country Parties, to enable the implementation of these mechanisms for responsibility and transparency, including information on transparency of the support provided and received, and provide a full overview of aggregate support provided.</w:t>
      </w:r>
    </w:p>
    <w:p w14:paraId="693876B2" w14:textId="77777777" w:rsidR="00E86051" w:rsidRPr="00CE31DF" w:rsidRDefault="00E86051">
      <w:pPr>
        <w:overflowPunct w:val="0"/>
        <w:autoSpaceDE w:val="0"/>
        <w:autoSpaceDN w:val="0"/>
        <w:spacing w:before="120" w:after="120"/>
        <w:rPr>
          <w:snapToGrid w:val="0"/>
          <w:lang w:val="en-US"/>
        </w:rPr>
      </w:pPr>
      <w:r w:rsidRPr="00CE31DF">
        <w:t>19.</w:t>
      </w:r>
      <w:r w:rsidRPr="00CE31DF">
        <w:tab/>
        <w:t xml:space="preserve">The mechanisms will be undertaken in a facilitative, non-intrusive, non-punitive manner, respecting national sovereignty, and avoiding placing undue burden on Parties. </w:t>
      </w:r>
    </w:p>
    <w:p w14:paraId="362E6EC5" w14:textId="77777777" w:rsidR="00E86051" w:rsidRPr="00CE31DF" w:rsidRDefault="00E86051">
      <w:pPr>
        <w:overflowPunct w:val="0"/>
        <w:autoSpaceDE w:val="0"/>
        <w:autoSpaceDN w:val="0"/>
        <w:spacing w:before="120" w:after="120"/>
        <w:rPr>
          <w:snapToGrid w:val="0"/>
          <w:lang w:val="en-US"/>
        </w:rPr>
      </w:pPr>
      <w:r w:rsidRPr="00CE31DF">
        <w:rPr>
          <w:snapToGrid w:val="0"/>
          <w:lang w:val="en-US"/>
        </w:rPr>
        <w:lastRenderedPageBreak/>
        <w:t>20.</w:t>
      </w:r>
      <w:r w:rsidRPr="00CE31DF">
        <w:rPr>
          <w:snapToGrid w:val="0"/>
          <w:lang w:val="en-US"/>
        </w:rPr>
        <w:tab/>
        <w:t>Further recommendations on the transparency and responsibility mechanisms will be provided by the Conference of the Parties as necessary with a view to achieving the goals and targets of the Framework.</w:t>
      </w:r>
    </w:p>
    <w:p w14:paraId="2E5C48D2" w14:textId="77777777" w:rsidR="00E86051" w:rsidRPr="00CE31DF" w:rsidRDefault="00E86051">
      <w:pPr>
        <w:overflowPunct w:val="0"/>
        <w:autoSpaceDE w:val="0"/>
        <w:autoSpaceDN w:val="0"/>
        <w:spacing w:before="120" w:after="120"/>
        <w:rPr>
          <w:snapToGrid w:val="0"/>
          <w:lang w:val="en-US"/>
        </w:rPr>
      </w:pPr>
      <w:r w:rsidRPr="00CE31DF">
        <w:rPr>
          <w:snapToGrid w:val="0"/>
          <w:lang w:val="en-US"/>
        </w:rPr>
        <w:t>21.</w:t>
      </w:r>
      <w:r w:rsidRPr="00CE31DF">
        <w:rPr>
          <w:snapToGrid w:val="0"/>
          <w:lang w:val="en-US"/>
        </w:rPr>
        <w:tab/>
        <w:t xml:space="preserve">Future meetings of the Conference of the Parties will consider and provide any additional recommendation, as necessary, including on the basis of the outcomes from the reviews, with a view to achieving the goals and targets of the Framework. </w:t>
      </w:r>
    </w:p>
    <w:bookmarkEnd w:id="32"/>
    <w:p w14:paraId="25625E2F" w14:textId="77777777" w:rsidR="00E86051" w:rsidRPr="00CE31DF" w:rsidRDefault="00E86051" w:rsidP="00B30138">
      <w:pPr>
        <w:keepNext/>
        <w:tabs>
          <w:tab w:val="left" w:pos="2228"/>
        </w:tabs>
        <w:spacing w:before="240" w:after="120"/>
        <w:jc w:val="center"/>
        <w:rPr>
          <w:b/>
          <w:bCs/>
          <w:color w:val="000000" w:themeColor="text1"/>
          <w:szCs w:val="22"/>
        </w:rPr>
      </w:pPr>
      <w:r w:rsidRPr="00CE31DF">
        <w:rPr>
          <w:b/>
          <w:bCs/>
          <w:color w:val="000000" w:themeColor="text1"/>
          <w:szCs w:val="22"/>
        </w:rPr>
        <w:t>Section K. Communication, education, awareness and uptake</w:t>
      </w:r>
    </w:p>
    <w:p w14:paraId="49C3E5E6" w14:textId="77777777" w:rsidR="00E86051" w:rsidRPr="00CE31DF" w:rsidRDefault="00E86051" w:rsidP="00113F6C">
      <w:pPr>
        <w:pStyle w:val="Para1"/>
        <w:numPr>
          <w:ilvl w:val="0"/>
          <w:numId w:val="0"/>
        </w:numPr>
        <w:rPr>
          <w:color w:val="000000" w:themeColor="text1"/>
        </w:rPr>
      </w:pPr>
      <w:r w:rsidRPr="00CE31DF">
        <w:rPr>
          <w:color w:val="000000" w:themeColor="text1"/>
        </w:rPr>
        <w:t>22.</w:t>
      </w:r>
      <w:r w:rsidRPr="00CE31DF">
        <w:rPr>
          <w:color w:val="000000" w:themeColor="text1"/>
        </w:rPr>
        <w:tab/>
        <w:t xml:space="preserve">Enhancing communication, education, and awareness on biodiversity and the uptake of the </w:t>
      </w:r>
      <w:r w:rsidRPr="00CE31DF">
        <w:t>Kunming-Montreal Global Biodiversity</w:t>
      </w:r>
      <w:r w:rsidRPr="00CE31DF">
        <w:rPr>
          <w:color w:val="000000" w:themeColor="text1"/>
        </w:rPr>
        <w:t xml:space="preserve"> Framework by all actors is essential to achieve its effective implementation and behavioural change, and to promote sustainable lifestyles and biodiversity values, including by:</w:t>
      </w:r>
    </w:p>
    <w:p w14:paraId="7B578490"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(a)</w:t>
      </w:r>
      <w:r w:rsidRPr="00CE31DF">
        <w:rPr>
          <w:color w:val="000000" w:themeColor="text1"/>
        </w:rPr>
        <w:tab/>
        <w:t>Increasing awareness, understanding and appreciation of the knowledge systems, diverse values of biodiversity and nature’s contributions to people, including ecosystems functions and services and traditional knowledge and worldviews of indigenous peoples and local communities as well as of biodiversity’s contribution to sustainable development;</w:t>
      </w:r>
    </w:p>
    <w:p w14:paraId="67858A9C" w14:textId="77777777" w:rsidR="00E86051" w:rsidRPr="00CE31DF" w:rsidRDefault="00E86051" w:rsidP="00113F6C">
      <w:pPr>
        <w:pStyle w:val="Para1"/>
        <w:numPr>
          <w:ilvl w:val="0"/>
          <w:numId w:val="0"/>
        </w:numPr>
        <w:suppressLineNumbers/>
        <w:suppressAutoHyphens/>
        <w:ind w:firstLine="709"/>
        <w:rPr>
          <w:color w:val="000000" w:themeColor="text1"/>
          <w:lang w:val="en-US"/>
        </w:rPr>
      </w:pPr>
      <w:r w:rsidRPr="00CE31DF">
        <w:rPr>
          <w:color w:val="000000" w:themeColor="text1"/>
        </w:rPr>
        <w:t>(b)</w:t>
      </w:r>
      <w:r w:rsidRPr="00CE31DF">
        <w:rPr>
          <w:i/>
          <w:iCs/>
          <w:color w:val="000000" w:themeColor="text1"/>
        </w:rPr>
        <w:tab/>
      </w:r>
      <w:r w:rsidRPr="00CE31DF">
        <w:rPr>
          <w:color w:val="000000" w:themeColor="text1"/>
        </w:rPr>
        <w:t>Increasing awareness on the importance of conservation and sustainable use of biodiversity and of the fair and equitable sharing of the benefits arising from the utilization of genetic resources for sustainable development, including improving sustainable livelihoods and poverty eradication efforts and its overall contribution to global and/or national sustainable development strategies;</w:t>
      </w:r>
    </w:p>
    <w:p w14:paraId="09237E15"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(c)</w:t>
      </w:r>
      <w:r w:rsidRPr="00CE31DF">
        <w:rPr>
          <w:color w:val="000000" w:themeColor="text1"/>
        </w:rPr>
        <w:tab/>
        <w:t>Raising awareness among all sectors and actors of the need for urgent action to implement the Framework, while enabling their active engagement in the implementation and monitoring of progress towards the achievement of its goals and targets;</w:t>
      </w:r>
    </w:p>
    <w:p w14:paraId="31A8A553"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(d)</w:t>
      </w:r>
      <w:r w:rsidRPr="00CE31DF">
        <w:rPr>
          <w:color w:val="000000" w:themeColor="text1"/>
        </w:rPr>
        <w:tab/>
        <w:t>Facilitating understanding of the Framework, including by targeted communication, adapting the language used, level of complexity and thematic content to relevant groups of actors, considering their socioeconomic and cultural context, including by developing material that can be translated into indigenous and local languages;</w:t>
      </w:r>
    </w:p>
    <w:p w14:paraId="2DDB35BF"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(e)</w:t>
      </w:r>
      <w:r w:rsidRPr="00CE31DF">
        <w:rPr>
          <w:color w:val="000000" w:themeColor="text1"/>
        </w:rPr>
        <w:tab/>
        <w:t>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biodiversity;</w:t>
      </w:r>
    </w:p>
    <w:p w14:paraId="4DA9BCFF"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(f)</w:t>
      </w:r>
      <w:r w:rsidRPr="00CE31DF">
        <w:rPr>
          <w:color w:val="000000" w:themeColor="text1"/>
        </w:rPr>
        <w:tab/>
        <w:t>Integrating transformative education on biodiversity into formal, non-formal and informal educational programmes, promoting curriculum on biodiversity conservation and sustainable use in educational institutions, and promoting knowledge, attitudes, values, behaviours and lifestyles that are consistent with living in harmony with nature;</w:t>
      </w:r>
    </w:p>
    <w:p w14:paraId="03C46FF6" w14:textId="77777777" w:rsidR="00E86051" w:rsidRPr="00CE31DF" w:rsidRDefault="00E86051" w:rsidP="00113F6C">
      <w:pPr>
        <w:pStyle w:val="Para1"/>
        <w:numPr>
          <w:ilvl w:val="0"/>
          <w:numId w:val="0"/>
        </w:numPr>
        <w:suppressLineNumbers/>
        <w:suppressAutoHyphens/>
        <w:ind w:firstLine="720"/>
        <w:rPr>
          <w:color w:val="000000" w:themeColor="text1"/>
        </w:rPr>
      </w:pPr>
      <w:r w:rsidRPr="00CE31DF">
        <w:rPr>
          <w:color w:val="000000" w:themeColor="text1"/>
        </w:rPr>
        <w:t>(g)</w:t>
      </w:r>
      <w:r w:rsidRPr="00CE31DF">
        <w:rPr>
          <w:color w:val="000000" w:themeColor="text1"/>
        </w:rPr>
        <w:tab/>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14:paraId="57FF9401" w14:textId="77777777" w:rsidR="00005A3C" w:rsidRDefault="00005A3C">
      <w:pPr>
        <w:jc w:val="center"/>
        <w:rPr>
          <w:b/>
          <w:bCs/>
        </w:rPr>
        <w:sectPr w:rsidR="00005A3C" w:rsidSect="00441700">
          <w:footnotePr>
            <w:numRestart w:val="eachSect"/>
          </w:footnotePr>
          <w:pgSz w:w="12240" w:h="15840"/>
          <w:pgMar w:top="567" w:right="1440" w:bottom="1134" w:left="1440" w:header="709" w:footer="709" w:gutter="0"/>
          <w:cols w:space="708"/>
          <w:docGrid w:linePitch="360"/>
        </w:sectPr>
      </w:pPr>
    </w:p>
    <w:p w14:paraId="463B71DA" w14:textId="77777777" w:rsidR="00005A3C" w:rsidRPr="006A0C48" w:rsidRDefault="00005A3C" w:rsidP="00513596">
      <w:pPr>
        <w:pStyle w:val="decision"/>
        <w:rPr>
          <w:rStyle w:val="BodyTextChar"/>
          <w:rFonts w:eastAsia="Malgun Gothic"/>
          <w:b w:val="0"/>
          <w:bCs/>
        </w:rPr>
      </w:pPr>
      <w:bookmarkStart w:id="33" w:name="_Toc150438803"/>
      <w:bookmarkStart w:id="34" w:name="_Toc150670503"/>
      <w:bookmarkStart w:id="35" w:name="_Toc150670613"/>
      <w:bookmarkStart w:id="36" w:name="_Toc150761115"/>
      <w:r w:rsidRPr="006A0C48">
        <w:lastRenderedPageBreak/>
        <w:t>15/5.</w:t>
      </w:r>
      <w:r w:rsidRPr="006A0C48">
        <w:tab/>
        <w:t>Monitoring framework for the Kunming-Montreal Global Biodiversity Framework</w:t>
      </w:r>
      <w:bookmarkEnd w:id="33"/>
      <w:bookmarkEnd w:id="34"/>
      <w:bookmarkEnd w:id="35"/>
      <w:bookmarkEnd w:id="36"/>
    </w:p>
    <w:p w14:paraId="718B9E8B" w14:textId="77777777" w:rsidR="00005A3C" w:rsidRPr="006A0C48" w:rsidRDefault="00005A3C" w:rsidP="00BC5121">
      <w:pPr>
        <w:pStyle w:val="Para1"/>
        <w:numPr>
          <w:ilvl w:val="0"/>
          <w:numId w:val="0"/>
        </w:numPr>
        <w:suppressLineNumbers/>
        <w:suppressAutoHyphens/>
        <w:kinsoku w:val="0"/>
        <w:adjustRightInd w:val="0"/>
        <w:ind w:firstLine="720"/>
        <w:rPr>
          <w:iCs/>
        </w:rPr>
      </w:pPr>
      <w:r w:rsidRPr="006A0C48">
        <w:rPr>
          <w:i/>
        </w:rPr>
        <w:t>The Conference of the Parties</w:t>
      </w:r>
    </w:p>
    <w:p w14:paraId="144E3F59" w14:textId="77777777" w:rsidR="00005A3C" w:rsidRPr="006A0C48" w:rsidRDefault="00005A3C" w:rsidP="00BC5121">
      <w:pPr>
        <w:pStyle w:val="Para1"/>
        <w:numPr>
          <w:ilvl w:val="0"/>
          <w:numId w:val="0"/>
        </w:numPr>
        <w:suppressLineNumbers/>
        <w:suppressAutoHyphens/>
        <w:kinsoku w:val="0"/>
        <w:adjustRightInd w:val="0"/>
        <w:ind w:firstLine="720"/>
        <w:rPr>
          <w:iCs/>
        </w:rPr>
      </w:pPr>
      <w:r w:rsidRPr="006A0C48">
        <w:rPr>
          <w:iCs/>
        </w:rPr>
        <w:t>1.</w:t>
      </w:r>
      <w:r w:rsidRPr="006A0C48">
        <w:rPr>
          <w:i/>
        </w:rPr>
        <w:tab/>
        <w:t>Adopts</w:t>
      </w:r>
      <w:r w:rsidRPr="006A0C48">
        <w:rPr>
          <w:iCs/>
        </w:rPr>
        <w:t xml:space="preserve"> the monitoring framework for the </w:t>
      </w:r>
      <w:r w:rsidRPr="006A0C48">
        <w:t xml:space="preserve">Kunming-Montreal </w:t>
      </w:r>
      <w:r w:rsidRPr="006A0C48">
        <w:rPr>
          <w:iCs/>
        </w:rPr>
        <w:t>Global Biodiversity Framework contained in annex I of the present decision;</w:t>
      </w:r>
    </w:p>
    <w:p w14:paraId="18E0EEC2" w14:textId="77777777" w:rsidR="00005A3C" w:rsidRPr="006A0C48" w:rsidRDefault="00005A3C" w:rsidP="00BC5121">
      <w:pPr>
        <w:pStyle w:val="Para1"/>
        <w:numPr>
          <w:ilvl w:val="0"/>
          <w:numId w:val="0"/>
        </w:numPr>
        <w:suppressLineNumbers/>
        <w:suppressAutoHyphens/>
        <w:kinsoku w:val="0"/>
        <w:adjustRightInd w:val="0"/>
        <w:ind w:firstLine="720"/>
        <w:rPr>
          <w:iCs/>
        </w:rPr>
      </w:pPr>
      <w:r w:rsidRPr="006A0C48">
        <w:rPr>
          <w:iCs/>
        </w:rPr>
        <w:t>2.</w:t>
      </w:r>
      <w:r w:rsidRPr="006A0C48">
        <w:rPr>
          <w:i/>
        </w:rPr>
        <w:tab/>
        <w:t xml:space="preserve">Decides </w:t>
      </w:r>
      <w:r w:rsidRPr="006A0C48">
        <w:rPr>
          <w:iCs/>
        </w:rPr>
        <w:t xml:space="preserve">to use the period from 2011–2020, where data is available, as the reference period, unless otherwise indicated, for reporting and monitoring progress in the implementation of the </w:t>
      </w:r>
      <w:r w:rsidRPr="006A0C48">
        <w:t>Kunming</w:t>
      </w:r>
      <w:r w:rsidRPr="006A0C48">
        <w:noBreakHyphen/>
        <w:t xml:space="preserve">Montreal </w:t>
      </w:r>
      <w:r w:rsidRPr="006A0C48">
        <w:rPr>
          <w:iCs/>
        </w:rPr>
        <w:t>Global Biodiversity Framework, while noting that baselines, conditions and periods used to express desirable states or levels of ambition in goals and targets should, where relevant, take into account historical trends, current status, future scenarios of biodiversity and available information on the natural state;</w:t>
      </w:r>
    </w:p>
    <w:p w14:paraId="08344F83" w14:textId="77777777" w:rsidR="00005A3C" w:rsidRPr="006A0C48" w:rsidRDefault="00005A3C" w:rsidP="00BC5121">
      <w:pPr>
        <w:pStyle w:val="Para1"/>
        <w:numPr>
          <w:ilvl w:val="0"/>
          <w:numId w:val="0"/>
        </w:numPr>
        <w:suppressLineNumbers/>
        <w:suppressAutoHyphens/>
        <w:kinsoku w:val="0"/>
        <w:adjustRightInd w:val="0"/>
        <w:ind w:firstLine="720"/>
        <w:rPr>
          <w:shd w:val="clear" w:color="auto" w:fill="FFFFFF"/>
        </w:rPr>
      </w:pPr>
      <w:r w:rsidRPr="006A0C48">
        <w:t>3.</w:t>
      </w:r>
      <w:r w:rsidRPr="006A0C48">
        <w:rPr>
          <w:i/>
          <w:iCs/>
        </w:rPr>
        <w:tab/>
      </w:r>
      <w:r w:rsidRPr="006A0C48">
        <w:rPr>
          <w:i/>
          <w:iCs/>
          <w:shd w:val="clear" w:color="auto" w:fill="FFFFFF"/>
        </w:rPr>
        <w:t xml:space="preserve">Also decides </w:t>
      </w:r>
      <w:r w:rsidRPr="006A0C48">
        <w:rPr>
          <w:shd w:val="clear" w:color="auto" w:fill="FFFFFF"/>
        </w:rPr>
        <w:t>to consider a review of the monitoring framework in order to finish its development at its sixteenth meeting, and thereafter keep the monitoring framework under review, as appropriate;</w:t>
      </w:r>
    </w:p>
    <w:p w14:paraId="59DB0F8F" w14:textId="77777777" w:rsidR="00005A3C" w:rsidRPr="006A0C48" w:rsidRDefault="00005A3C" w:rsidP="00BC5121">
      <w:pPr>
        <w:pStyle w:val="Para1"/>
        <w:numPr>
          <w:ilvl w:val="0"/>
          <w:numId w:val="0"/>
        </w:numPr>
        <w:suppressLineNumbers/>
        <w:suppressAutoHyphens/>
        <w:kinsoku w:val="0"/>
        <w:adjustRightInd w:val="0"/>
        <w:ind w:firstLine="720"/>
        <w:rPr>
          <w:iCs/>
        </w:rPr>
      </w:pPr>
      <w:r w:rsidRPr="006A0C48">
        <w:rPr>
          <w:iCs/>
        </w:rPr>
        <w:t>4.</w:t>
      </w:r>
      <w:r w:rsidRPr="006A0C48">
        <w:rPr>
          <w:i/>
        </w:rPr>
        <w:tab/>
        <w:t xml:space="preserve">Notes </w:t>
      </w:r>
      <w:r w:rsidRPr="006A0C48">
        <w:rPr>
          <w:iCs/>
        </w:rPr>
        <w:t xml:space="preserve">the value of aligning national monitoring with the System of Environmental-Economic Accounting statistical standard in order to mainstream biodiversity in national statistical systems and to strengthen national monitoring systems and reporting </w:t>
      </w:r>
      <w:r w:rsidRPr="006A0C48">
        <w:rPr>
          <w:iCs/>
          <w:color w:val="000000" w:themeColor="text1"/>
        </w:rPr>
        <w:t>as appropriate and according to their national priorities and circumstances</w:t>
      </w:r>
      <w:r w:rsidRPr="006A0C48">
        <w:rPr>
          <w:iCs/>
        </w:rPr>
        <w:t>;</w:t>
      </w:r>
    </w:p>
    <w:p w14:paraId="43F0B8EA" w14:textId="77777777" w:rsidR="00005A3C" w:rsidRPr="006A0C48" w:rsidRDefault="00005A3C" w:rsidP="00BC5121">
      <w:pPr>
        <w:pStyle w:val="Para1"/>
        <w:numPr>
          <w:ilvl w:val="0"/>
          <w:numId w:val="0"/>
        </w:numPr>
        <w:suppressLineNumbers/>
        <w:suppressAutoHyphens/>
        <w:kinsoku w:val="0"/>
        <w:adjustRightInd w:val="0"/>
        <w:ind w:firstLine="720"/>
      </w:pPr>
      <w:r w:rsidRPr="006A0C48">
        <w:t>5</w:t>
      </w:r>
      <w:r w:rsidRPr="006A0C48">
        <w:rPr>
          <w:i/>
          <w:iCs/>
        </w:rPr>
        <w:t>.</w:t>
      </w:r>
      <w:r w:rsidRPr="006A0C48">
        <w:rPr>
          <w:i/>
          <w:iCs/>
        </w:rPr>
        <w:tab/>
        <w:t>Encourages</w:t>
      </w:r>
      <w:r w:rsidRPr="006A0C48">
        <w:t xml:space="preserve"> Parties and invites</w:t>
      </w:r>
      <w:r w:rsidRPr="006A0C48">
        <w:rPr>
          <w:i/>
          <w:iCs/>
        </w:rPr>
        <w:t xml:space="preserve"> </w:t>
      </w:r>
      <w:r w:rsidRPr="006A0C48">
        <w:t>other Governments, the Global Environment Facility, the Biodiversity Indicator Partnership, the Intergovernmental Science-Policy Platform on Biodiversity and Ecosystem Services and other relevant organizations to support national, regional and global biodiversity monitoring systems, recognizing the need for enhanced international cooperation and capacity-building especially for developing countries;</w:t>
      </w:r>
    </w:p>
    <w:p w14:paraId="04F2CC4B" w14:textId="77777777" w:rsidR="00005A3C" w:rsidRPr="006A0C48" w:rsidRDefault="00005A3C" w:rsidP="00BC5121">
      <w:pPr>
        <w:pStyle w:val="Para1"/>
        <w:numPr>
          <w:ilvl w:val="0"/>
          <w:numId w:val="0"/>
        </w:numPr>
        <w:suppressLineNumbers/>
        <w:suppressAutoHyphens/>
        <w:kinsoku w:val="0"/>
        <w:adjustRightInd w:val="0"/>
        <w:ind w:firstLine="720"/>
      </w:pPr>
      <w:r w:rsidRPr="006A0C48">
        <w:t>6.</w:t>
      </w:r>
      <w:r w:rsidRPr="006A0C48">
        <w:rPr>
          <w:i/>
          <w:iCs/>
        </w:rPr>
        <w:t xml:space="preserve"> </w:t>
      </w:r>
      <w:r w:rsidRPr="006A0C48">
        <w:rPr>
          <w:i/>
          <w:iCs/>
        </w:rPr>
        <w:tab/>
        <w:t xml:space="preserve">Invites </w:t>
      </w:r>
      <w:r w:rsidRPr="006A0C48">
        <w:t>Parties and relevant organizations to support community-based monitoring and information systems and citizen science and their contributions to the implementation of the monitoring framework for the Kunming-Montreal Global Biodiversity Framework;</w:t>
      </w:r>
    </w:p>
    <w:p w14:paraId="71940035" w14:textId="77777777" w:rsidR="00005A3C" w:rsidRPr="006A0C48" w:rsidRDefault="00005A3C" w:rsidP="00BC5121">
      <w:pPr>
        <w:pStyle w:val="Para1"/>
        <w:numPr>
          <w:ilvl w:val="0"/>
          <w:numId w:val="0"/>
        </w:numPr>
        <w:suppressLineNumbers/>
        <w:suppressAutoHyphens/>
        <w:kinsoku w:val="0"/>
        <w:adjustRightInd w:val="0"/>
        <w:ind w:firstLine="720"/>
      </w:pPr>
      <w:r w:rsidRPr="006A0C48">
        <w:t>7</w:t>
      </w:r>
      <w:r w:rsidRPr="006A0C48">
        <w:rPr>
          <w:i/>
        </w:rPr>
        <w:t>.</w:t>
      </w:r>
      <w:r w:rsidRPr="006A0C48">
        <w:rPr>
          <w:i/>
        </w:rPr>
        <w:tab/>
        <w:t xml:space="preserve">Invites </w:t>
      </w:r>
      <w:r w:rsidRPr="006A0C48">
        <w:t>the Statistical Commission, the Group on Earth Observations Biodiversity Observation Network, the Intergovernmental Science-Policy Platform on Biodiversity and Ecosystem Services, the Biodiversity Indicators Partnership and other relevant organizations to support the operationalization of the monitoring framework for the Kunming-Montreal Global Biodiversity Framework;</w:t>
      </w:r>
    </w:p>
    <w:p w14:paraId="55D8DC7A" w14:textId="77777777" w:rsidR="00005A3C" w:rsidRPr="006A0C48" w:rsidRDefault="00005A3C" w:rsidP="00BC5121">
      <w:pPr>
        <w:pStyle w:val="Para1"/>
        <w:numPr>
          <w:ilvl w:val="0"/>
          <w:numId w:val="0"/>
        </w:numPr>
        <w:suppressLineNumbers/>
        <w:suppressAutoHyphens/>
        <w:kinsoku w:val="0"/>
        <w:adjustRightInd w:val="0"/>
        <w:ind w:firstLine="720"/>
      </w:pPr>
      <w:r w:rsidRPr="006A0C48">
        <w:t>8.</w:t>
      </w:r>
      <w:r w:rsidRPr="006A0C48">
        <w:tab/>
      </w:r>
      <w:r w:rsidRPr="006A0C48">
        <w:rPr>
          <w:i/>
        </w:rPr>
        <w:t>Decides</w:t>
      </w:r>
      <w:r w:rsidRPr="006A0C48">
        <w:t xml:space="preserve"> to establish an ad</w:t>
      </w:r>
      <w:r w:rsidRPr="006A0C48">
        <w:rPr>
          <w:iCs/>
        </w:rPr>
        <w:t> </w:t>
      </w:r>
      <w:r w:rsidRPr="006A0C48">
        <w:t>hoc technical expert group, with a time</w:t>
      </w:r>
      <w:r w:rsidRPr="006A0C48">
        <w:rPr>
          <w:iCs/>
        </w:rPr>
        <w:t>-</w:t>
      </w:r>
      <w:r w:rsidRPr="006A0C48">
        <w:t xml:space="preserve">bound mandate until the sixteenth meeting of the Conference of the Parties, to advise on the further operationalization of the monitoring framework for the Kunming-Montreal Global Biodiversity Framework </w:t>
      </w:r>
      <w:r w:rsidRPr="006A0C48">
        <w:rPr>
          <w:iCs/>
        </w:rPr>
        <w:t xml:space="preserve">in accordance </w:t>
      </w:r>
      <w:r w:rsidRPr="006A0C48">
        <w:t>with the terms of reference contained in annex II to the present decision;</w:t>
      </w:r>
    </w:p>
    <w:p w14:paraId="7B8F0B75" w14:textId="77777777" w:rsidR="00005A3C" w:rsidRPr="006A0C48" w:rsidRDefault="00005A3C" w:rsidP="00BC5121">
      <w:pPr>
        <w:pStyle w:val="Para1"/>
        <w:numPr>
          <w:ilvl w:val="0"/>
          <w:numId w:val="0"/>
        </w:numPr>
        <w:suppressLineNumbers/>
        <w:suppressAutoHyphens/>
        <w:kinsoku w:val="0"/>
        <w:adjustRightInd w:val="0"/>
        <w:ind w:firstLine="720"/>
      </w:pPr>
      <w:r w:rsidRPr="006A0C48">
        <w:t>9.</w:t>
      </w:r>
      <w:r w:rsidRPr="006A0C48">
        <w:tab/>
      </w:r>
      <w:r w:rsidRPr="006A0C48">
        <w:rPr>
          <w:i/>
          <w:iCs/>
        </w:rPr>
        <w:t>Requests</w:t>
      </w:r>
      <w:r w:rsidRPr="006A0C48">
        <w:t xml:space="preserve"> the Subsidiary Body on Scientific, Technical and Technological Advice to review the outcomes of the Ad Hoc Technical Expert Group on Indicators established pursuant to paragraph 8 above, to complete the scientific and technical review of the monitoring framework and to report its findings for subsequent consideration by the Subsidiary Body on Implementation and by the Conference of the Parties at its sixteenth meeting;</w:t>
      </w:r>
    </w:p>
    <w:p w14:paraId="39B79139" w14:textId="77777777" w:rsidR="00005A3C" w:rsidRPr="006A0C48" w:rsidRDefault="00005A3C" w:rsidP="00BC5121">
      <w:pPr>
        <w:pStyle w:val="Para1"/>
        <w:numPr>
          <w:ilvl w:val="0"/>
          <w:numId w:val="0"/>
        </w:numPr>
        <w:suppressLineNumbers/>
        <w:suppressAutoHyphens/>
        <w:kinsoku w:val="0"/>
        <w:adjustRightInd w:val="0"/>
        <w:ind w:firstLine="720"/>
      </w:pPr>
      <w:r w:rsidRPr="006A0C48">
        <w:t>10.</w:t>
      </w:r>
      <w:r w:rsidRPr="006A0C48">
        <w:tab/>
      </w:r>
      <w:r w:rsidRPr="006A0C48">
        <w:rPr>
          <w:i/>
        </w:rPr>
        <w:t>Decides</w:t>
      </w:r>
      <w:r w:rsidRPr="006A0C48">
        <w:t xml:space="preserve"> to consider the requirements for further work to fully implement and review the effectiveness of the monitoring framework for the Kunming-Montreal Global Biodiversity Framework at its sixteenth meeting;</w:t>
      </w:r>
    </w:p>
    <w:p w14:paraId="524B0C27" w14:textId="77777777" w:rsidR="00005A3C" w:rsidRPr="006A0C48" w:rsidRDefault="00005A3C" w:rsidP="00BC5121">
      <w:pPr>
        <w:pStyle w:val="Para1"/>
        <w:numPr>
          <w:ilvl w:val="0"/>
          <w:numId w:val="0"/>
        </w:numPr>
        <w:suppressLineNumbers/>
        <w:suppressAutoHyphens/>
        <w:kinsoku w:val="0"/>
        <w:adjustRightInd w:val="0"/>
        <w:ind w:firstLine="720"/>
      </w:pPr>
      <w:r w:rsidRPr="006A0C48">
        <w:t>11.</w:t>
      </w:r>
      <w:r w:rsidRPr="006A0C48">
        <w:tab/>
      </w:r>
      <w:r w:rsidRPr="006A0C48">
        <w:rPr>
          <w:i/>
        </w:rPr>
        <w:t>Requests</w:t>
      </w:r>
      <w:r w:rsidRPr="006A0C48">
        <w:t xml:space="preserve"> the Executive Secretary, in collaboration with the Ad Hoc Technical Expert Group on Indicators, and subject to the availability of resources, to convene moderated online discussions on the monitoring framework;</w:t>
      </w:r>
    </w:p>
    <w:p w14:paraId="241E02D8" w14:textId="77777777" w:rsidR="00005A3C" w:rsidRPr="006A0C48" w:rsidRDefault="00005A3C" w:rsidP="00BC5121">
      <w:pPr>
        <w:pStyle w:val="Para1"/>
        <w:numPr>
          <w:ilvl w:val="0"/>
          <w:numId w:val="0"/>
        </w:numPr>
        <w:suppressLineNumbers/>
        <w:suppressAutoHyphens/>
        <w:kinsoku w:val="0"/>
        <w:adjustRightInd w:val="0"/>
        <w:ind w:firstLine="720"/>
      </w:pPr>
      <w:r w:rsidRPr="006A0C48">
        <w:lastRenderedPageBreak/>
        <w:t>12.</w:t>
      </w:r>
      <w:r w:rsidRPr="006A0C48">
        <w:tab/>
      </w:r>
      <w:r w:rsidRPr="006A0C48">
        <w:rPr>
          <w:i/>
          <w:iCs/>
        </w:rPr>
        <w:t>Invites</w:t>
      </w:r>
      <w:r w:rsidRPr="006A0C48">
        <w:t xml:space="preserve"> the Ad Hoc Open-ended Working Group on Article 8(j) and Related Provisions to continue the development and operationalization of indicators related to traditional knowledge and indigenous peoples and local communities, and to report on this work to the Conference of the Parties; </w:t>
      </w:r>
    </w:p>
    <w:p w14:paraId="2E5FE7AB" w14:textId="77777777" w:rsidR="00005A3C" w:rsidRPr="006A0C48" w:rsidRDefault="00005A3C" w:rsidP="00BC5121">
      <w:pPr>
        <w:pStyle w:val="Para1"/>
        <w:numPr>
          <w:ilvl w:val="0"/>
          <w:numId w:val="0"/>
        </w:numPr>
        <w:suppressLineNumbers/>
        <w:suppressAutoHyphens/>
        <w:kinsoku w:val="0"/>
        <w:adjustRightInd w:val="0"/>
        <w:ind w:firstLine="720"/>
      </w:pPr>
      <w:r w:rsidRPr="006A0C48">
        <w:t>13.</w:t>
      </w:r>
      <w:r w:rsidRPr="006A0C48">
        <w:tab/>
      </w:r>
      <w:r w:rsidRPr="006A0C48">
        <w:rPr>
          <w:i/>
          <w:iCs/>
        </w:rPr>
        <w:t>Request</w:t>
      </w:r>
      <w:r w:rsidRPr="006A0C48">
        <w:t xml:space="preserve"> the Secretariat to make information available on the progress and outcomes of this work to the Ad Hoc Technical Expert Group on Indicators;</w:t>
      </w:r>
    </w:p>
    <w:p w14:paraId="304764BD" w14:textId="77777777" w:rsidR="00005A3C" w:rsidRPr="006A0C48" w:rsidRDefault="00005A3C" w:rsidP="00BC5121">
      <w:pPr>
        <w:pStyle w:val="Para1"/>
        <w:numPr>
          <w:ilvl w:val="0"/>
          <w:numId w:val="0"/>
        </w:numPr>
        <w:suppressLineNumbers/>
        <w:suppressAutoHyphens/>
        <w:kinsoku w:val="0"/>
        <w:adjustRightInd w:val="0"/>
        <w:ind w:firstLine="720"/>
      </w:pPr>
      <w:r w:rsidRPr="006A0C48">
        <w:t>14.</w:t>
      </w:r>
      <w:r w:rsidRPr="006A0C48">
        <w:rPr>
          <w:i/>
          <w:iCs/>
        </w:rPr>
        <w:tab/>
        <w:t xml:space="preserve">Requests </w:t>
      </w:r>
      <w:r w:rsidRPr="006A0C48">
        <w:t>the Executive Secretary, subject to the availability of resources and in collaboration with relevant partners:</w:t>
      </w:r>
    </w:p>
    <w:p w14:paraId="3DF0636D" w14:textId="77777777" w:rsidR="00005A3C" w:rsidRPr="006A0C48" w:rsidRDefault="00005A3C" w:rsidP="00950BE4">
      <w:pPr>
        <w:pStyle w:val="ListParagraph"/>
        <w:numPr>
          <w:ilvl w:val="1"/>
          <w:numId w:val="26"/>
        </w:numPr>
        <w:suppressLineNumbers/>
        <w:suppressAutoHyphens/>
        <w:kinsoku w:val="0"/>
        <w:overflowPunct w:val="0"/>
        <w:autoSpaceDE w:val="0"/>
        <w:autoSpaceDN w:val="0"/>
        <w:adjustRightInd w:val="0"/>
        <w:snapToGrid w:val="0"/>
        <w:spacing w:before="120" w:after="120"/>
        <w:ind w:left="0" w:firstLine="752"/>
        <w:contextualSpacing w:val="0"/>
        <w:rPr>
          <w:kern w:val="22"/>
          <w:szCs w:val="22"/>
        </w:rPr>
      </w:pPr>
      <w:r w:rsidRPr="006A0C48">
        <w:rPr>
          <w:snapToGrid w:val="0"/>
          <w:kern w:val="22"/>
          <w:szCs w:val="22"/>
        </w:rPr>
        <w:t>To facilitate the development of guidance on the development of regional and national monitoring systems and on the implementation of the monitoring framework, including on capacity-building and development to support its implementation, taking into account the special needs, circumstances and priorities of developing countries, including the least developed countries, small island developing States, and countries with economies in transition, also taking into consideration the special situation of developing countries, including those that are most environmentally vulnerable, such as those with arid and semi-arid zones, coastal and mountainous area, in compiling and using the headline indicators, and component and complementary indicators when relevant, including in their national reports, national biodiversity strategies and action plans and other national planning processes;</w:t>
      </w:r>
    </w:p>
    <w:p w14:paraId="4A23325A" w14:textId="77777777" w:rsidR="00005A3C" w:rsidRPr="006A0C48" w:rsidRDefault="00005A3C" w:rsidP="00950BE4">
      <w:pPr>
        <w:pStyle w:val="ListParagraph"/>
        <w:numPr>
          <w:ilvl w:val="1"/>
          <w:numId w:val="26"/>
        </w:numPr>
        <w:suppressLineNumbers/>
        <w:suppressAutoHyphens/>
        <w:kinsoku w:val="0"/>
        <w:overflowPunct w:val="0"/>
        <w:autoSpaceDE w:val="0"/>
        <w:autoSpaceDN w:val="0"/>
        <w:adjustRightInd w:val="0"/>
        <w:snapToGrid w:val="0"/>
        <w:spacing w:before="120" w:after="120"/>
        <w:ind w:left="0" w:firstLine="752"/>
        <w:contextualSpacing w:val="0"/>
        <w:rPr>
          <w:snapToGrid w:val="0"/>
          <w:kern w:val="22"/>
          <w:szCs w:val="22"/>
        </w:rPr>
      </w:pPr>
      <w:r w:rsidRPr="006A0C48">
        <w:rPr>
          <w:snapToGrid w:val="0"/>
          <w:kern w:val="22"/>
          <w:szCs w:val="22"/>
        </w:rPr>
        <w:t>To facilitate the use of relevant tools, including the Data Reporting Tool (DaRT), to facilitate national reporting and the sharing of information between multilateral environment agreements;</w:t>
      </w:r>
    </w:p>
    <w:p w14:paraId="5ADFF5F4" w14:textId="77777777" w:rsidR="00142075" w:rsidRDefault="00005A3C" w:rsidP="00AD7744">
      <w:pPr>
        <w:pStyle w:val="Para1"/>
        <w:numPr>
          <w:ilvl w:val="0"/>
          <w:numId w:val="0"/>
        </w:numPr>
        <w:suppressLineNumbers/>
        <w:suppressAutoHyphens/>
        <w:kinsoku w:val="0"/>
        <w:adjustRightInd w:val="0"/>
        <w:ind w:firstLine="720"/>
      </w:pPr>
      <w:r w:rsidRPr="006A0C48">
        <w:t xml:space="preserve">15. </w:t>
      </w:r>
      <w:r w:rsidRPr="006A0C48">
        <w:tab/>
      </w:r>
      <w:r w:rsidRPr="006A0C48">
        <w:rPr>
          <w:i/>
          <w:iCs/>
        </w:rPr>
        <w:t>Invites</w:t>
      </w:r>
      <w:r w:rsidRPr="006A0C48">
        <w:t xml:space="preserve"> the Global Partnership on Plant Conservation, with the support of the Secretariat and subject to the availability of resources, to prepare a set of complementary actions related to plant conservation to support the implementation of the </w:t>
      </w:r>
      <w:r w:rsidRPr="006A0C48">
        <w:rPr>
          <w:rFonts w:eastAsiaTheme="minorEastAsia"/>
          <w:lang w:val="en-US" w:eastAsia="zh-CN"/>
        </w:rPr>
        <w:t>Kunming-Montreal Global Biodiversity Framework</w:t>
      </w:r>
      <w:r w:rsidRPr="006A0C48">
        <w:t xml:space="preserve"> and</w:t>
      </w:r>
      <w:r w:rsidRPr="006A0C48">
        <w:rPr>
          <w:rFonts w:eastAsiaTheme="minorEastAsia"/>
          <w:lang w:val="en-US" w:eastAsia="zh-CN"/>
        </w:rPr>
        <w:t xml:space="preserve"> other relevant decisions adopted at the fifteenth meeting</w:t>
      </w:r>
      <w:r w:rsidRPr="006A0C48">
        <w:t xml:space="preserve"> of the Conference of the Parties, </w:t>
      </w:r>
      <w:r w:rsidRPr="006A0C48">
        <w:rPr>
          <w:rFonts w:eastAsiaTheme="minorEastAsia"/>
          <w:lang w:val="en-US" w:eastAsia="zh-CN"/>
        </w:rPr>
        <w:t xml:space="preserve">aligned with the </w:t>
      </w:r>
      <w:r w:rsidRPr="006A0C48">
        <w:rPr>
          <w:rFonts w:eastAsiaTheme="minorEastAsia"/>
          <w:szCs w:val="21"/>
          <w:lang w:val="en-US" w:eastAsia="zh-CN"/>
        </w:rPr>
        <w:t xml:space="preserve">Kunming-Montreal </w:t>
      </w:r>
      <w:r w:rsidRPr="006A0C48">
        <w:rPr>
          <w:rFonts w:eastAsiaTheme="minorEastAsia"/>
          <w:lang w:val="en-US" w:eastAsia="zh-CN"/>
        </w:rPr>
        <w:t>Global Biodiversity Framework</w:t>
      </w:r>
      <w:r w:rsidRPr="006A0C48">
        <w:t xml:space="preserve"> and also based on previous experiences with the implementation of the Global Strategy for Plant Conservation as described in the fifth edition of the </w:t>
      </w:r>
      <w:r w:rsidRPr="006A0C48">
        <w:rPr>
          <w:i/>
          <w:iCs/>
        </w:rPr>
        <w:t>Global Biodiversity Outlook</w:t>
      </w:r>
      <w:r w:rsidRPr="00610646">
        <w:rPr>
          <w:rStyle w:val="FootnoteReference"/>
        </w:rPr>
        <w:footnoteReference w:id="35"/>
      </w:r>
      <w:r w:rsidRPr="006A0C48">
        <w:t xml:space="preserve"> and the 2020 Plant Conservation Report,</w:t>
      </w:r>
      <w:r w:rsidRPr="00610646">
        <w:rPr>
          <w:rStyle w:val="FootnoteReference"/>
        </w:rPr>
        <w:footnoteReference w:id="36"/>
      </w:r>
      <w:r w:rsidRPr="006A0C48">
        <w:t xml:space="preserve"> for consideration by the Subsidiary Body on Scientific, Technical and Technological Advice. </w:t>
      </w:r>
    </w:p>
    <w:p w14:paraId="5A1A2F6D" w14:textId="77777777" w:rsidR="00005A3C" w:rsidRPr="006A0C48" w:rsidRDefault="00005A3C" w:rsidP="00BC374B">
      <w:pPr>
        <w:pStyle w:val="PlainText"/>
        <w:keepNext/>
        <w:ind w:left="3600" w:firstLine="720"/>
        <w:rPr>
          <w:rFonts w:asciiTheme="majorBidi" w:hAnsiTheme="majorBidi" w:cstheme="majorBidi"/>
          <w:i/>
          <w:iCs/>
          <w:szCs w:val="22"/>
        </w:rPr>
      </w:pPr>
      <w:r w:rsidRPr="006A0C48">
        <w:rPr>
          <w:rFonts w:asciiTheme="majorBidi" w:hAnsiTheme="majorBidi" w:cstheme="majorBidi"/>
          <w:i/>
          <w:szCs w:val="22"/>
        </w:rPr>
        <w:t>Annex I</w:t>
      </w:r>
    </w:p>
    <w:p w14:paraId="399A4C07" w14:textId="77777777" w:rsidR="00005A3C" w:rsidRPr="006A0C48" w:rsidRDefault="00005A3C" w:rsidP="00BC374B">
      <w:pPr>
        <w:pStyle w:val="HEADINGNOTFORTOC"/>
        <w:outlineLvl w:val="9"/>
        <w:rPr>
          <w:szCs w:val="22"/>
        </w:rPr>
      </w:pPr>
      <w:bookmarkStart w:id="37" w:name="_Toc118354967"/>
      <w:r w:rsidRPr="006A0C48">
        <w:rPr>
          <w:szCs w:val="22"/>
        </w:rPr>
        <w:t xml:space="preserve">MONITORING FRAMEWORK FOR THE </w:t>
      </w:r>
      <w:r w:rsidRPr="006A0C48">
        <w:rPr>
          <w:kern w:val="22"/>
        </w:rPr>
        <w:t xml:space="preserve">Kunming-Montreal </w:t>
      </w:r>
      <w:r w:rsidRPr="006A0C48">
        <w:rPr>
          <w:szCs w:val="22"/>
        </w:rPr>
        <w:t>GLOBAL BIODIVERSITY FRAMEWORK</w:t>
      </w:r>
      <w:bookmarkEnd w:id="37"/>
      <w:r w:rsidRPr="006A0C48">
        <w:rPr>
          <w:szCs w:val="22"/>
        </w:rPr>
        <w:t xml:space="preserve"> </w:t>
      </w:r>
    </w:p>
    <w:p w14:paraId="6F6383CE" w14:textId="77777777" w:rsidR="00005A3C" w:rsidRPr="006A0C48" w:rsidRDefault="00005A3C" w:rsidP="00950BE4">
      <w:pPr>
        <w:numPr>
          <w:ilvl w:val="0"/>
          <w:numId w:val="27"/>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monitoring framework is composed of the following groups of indicators for monitoring the implementation of the </w:t>
      </w:r>
      <w:r w:rsidRPr="006A0C48">
        <w:rPr>
          <w:kern w:val="22"/>
        </w:rPr>
        <w:t xml:space="preserve">Kunming-Montreal </w:t>
      </w:r>
      <w:r w:rsidRPr="006A0C48">
        <w:rPr>
          <w:rFonts w:asciiTheme="majorBidi" w:eastAsia="Malgun Gothic" w:hAnsiTheme="majorBidi" w:cstheme="majorBidi"/>
          <w:snapToGrid w:val="0"/>
          <w:kern w:val="22"/>
          <w:szCs w:val="22"/>
          <w:lang w:eastAsia="x-none"/>
        </w:rPr>
        <w:t>Global Biodiversity Framework:</w:t>
      </w:r>
    </w:p>
    <w:p w14:paraId="57C458D1" w14:textId="77777777" w:rsidR="00005A3C" w:rsidRPr="006A0C48" w:rsidRDefault="00005A3C" w:rsidP="00950BE4">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 xml:space="preserve">Headline indicators (contained in table 1): a minimum set of high-level indicators, which capture the overall scope of the goals and targets of the </w:t>
      </w:r>
      <w:r w:rsidRPr="006A0C48">
        <w:rPr>
          <w:kern w:val="22"/>
        </w:rPr>
        <w:t xml:space="preserve">Kunming-Montreal </w:t>
      </w:r>
      <w:r w:rsidRPr="006A0C48">
        <w:rPr>
          <w:rFonts w:asciiTheme="majorBidi" w:hAnsiTheme="majorBidi" w:cstheme="majorBidi"/>
          <w:bCs/>
          <w:kern w:val="22"/>
          <w:szCs w:val="22"/>
        </w:rPr>
        <w:t xml:space="preserve">Global Biodiversity Framework to be used for planning and tracking progress as set out in decision 15/6. </w:t>
      </w:r>
      <w:r w:rsidRPr="006A0C48">
        <w:rPr>
          <w:rFonts w:asciiTheme="majorBidi" w:hAnsiTheme="majorBidi" w:cstheme="majorBidi"/>
          <w:spacing w:val="-1"/>
          <w:kern w:val="22"/>
          <w:szCs w:val="22"/>
        </w:rPr>
        <w:t xml:space="preserve">They are nationally, regionally and globally relevant indicators validated by Parties. </w:t>
      </w:r>
      <w:r w:rsidRPr="006A0C48">
        <w:rPr>
          <w:rFonts w:asciiTheme="majorBidi" w:hAnsiTheme="majorBidi" w:cstheme="majorBidi"/>
          <w:bCs/>
          <w:kern w:val="22"/>
          <w:szCs w:val="22"/>
        </w:rPr>
        <w:t>These indicators can also be used for communication purposes;</w:t>
      </w:r>
    </w:p>
    <w:p w14:paraId="229021D2" w14:textId="77777777" w:rsidR="00005A3C" w:rsidRPr="006A0C48" w:rsidRDefault="00005A3C" w:rsidP="00950BE4">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ab/>
        <w:t>Global level indicators collated from binary yes/no responses in national reports. They are global indicators based on responses to yes/no questions to be included in the national reporting template. They will provide a count of the number of countries having undertaken specified activities;</w:t>
      </w:r>
      <w:r w:rsidRPr="00610646">
        <w:rPr>
          <w:rStyle w:val="FootnoteReference"/>
        </w:rPr>
        <w:footnoteReference w:id="37"/>
      </w:r>
    </w:p>
    <w:p w14:paraId="0E6E2B3E" w14:textId="77777777" w:rsidR="00005A3C" w:rsidRPr="006A0C48" w:rsidRDefault="00005A3C" w:rsidP="00950BE4">
      <w:pPr>
        <w:numPr>
          <w:ilvl w:val="1"/>
          <w:numId w:val="8"/>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kern w:val="22"/>
        </w:rPr>
      </w:pPr>
      <w:r w:rsidRPr="006A0C48">
        <w:rPr>
          <w:rFonts w:asciiTheme="majorBidi" w:hAnsiTheme="majorBidi" w:cstheme="majorBidi"/>
          <w:kern w:val="22"/>
        </w:rPr>
        <w:lastRenderedPageBreak/>
        <w:t xml:space="preserve">Component indicators (contained in table 2): a list of optional indicators that, together with the headline indicators, cover components of the goals and targets of the </w:t>
      </w:r>
      <w:r w:rsidRPr="006A0C48">
        <w:rPr>
          <w:kern w:val="22"/>
        </w:rPr>
        <w:t xml:space="preserve">Kunming-Montreal </w:t>
      </w:r>
      <w:r w:rsidRPr="006A0C48">
        <w:rPr>
          <w:rFonts w:asciiTheme="majorBidi" w:hAnsiTheme="majorBidi" w:cstheme="majorBidi"/>
          <w:kern w:val="22"/>
        </w:rPr>
        <w:t>Global Biodiversity Framework which may apply at the global, regional, national and subnational levels;</w:t>
      </w:r>
    </w:p>
    <w:p w14:paraId="337D949C" w14:textId="77777777" w:rsidR="00005A3C" w:rsidRPr="006A0C48" w:rsidRDefault="00005A3C" w:rsidP="00950BE4">
      <w:pPr>
        <w:numPr>
          <w:ilvl w:val="1"/>
          <w:numId w:val="8"/>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 xml:space="preserve">Complementary indicators (contained in table 2): a list of optional indicators for thematic or in-depth analysis of each goal and target which may be applicable at global, regional, national, and subnational levels; </w:t>
      </w:r>
    </w:p>
    <w:p w14:paraId="73BAE927" w14:textId="77777777" w:rsidR="00005A3C" w:rsidRPr="006A0C48" w:rsidRDefault="00005A3C" w:rsidP="00950BE4">
      <w:pPr>
        <w:numPr>
          <w:ilvl w:val="1"/>
          <w:numId w:val="8"/>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The monitoring framework may be supplemented by additional national and subnational indicators.</w:t>
      </w:r>
    </w:p>
    <w:p w14:paraId="648F7E1E" w14:textId="77777777" w:rsidR="00005A3C" w:rsidRPr="006A0C48" w:rsidRDefault="00005A3C" w:rsidP="00950BE4">
      <w:pPr>
        <w:numPr>
          <w:ilvl w:val="0"/>
          <w:numId w:val="8"/>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indicators in the monitoring framework for the </w:t>
      </w:r>
      <w:r w:rsidRPr="006A0C48">
        <w:rPr>
          <w:kern w:val="22"/>
        </w:rPr>
        <w:t xml:space="preserve">Kunming-Montreal </w:t>
      </w:r>
      <w:r w:rsidRPr="006A0C48">
        <w:rPr>
          <w:rFonts w:asciiTheme="majorBidi" w:eastAsia="Malgun Gothic" w:hAnsiTheme="majorBidi" w:cstheme="majorBidi"/>
          <w:snapToGrid w:val="0"/>
          <w:kern w:val="22"/>
          <w:szCs w:val="22"/>
          <w:lang w:eastAsia="x-none"/>
        </w:rPr>
        <w:t>Global Biodiversity Framework meet, or will be able to meet by 2025, the following criteria:</w:t>
      </w:r>
    </w:p>
    <w:p w14:paraId="6FE635F6"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data </w:t>
      </w:r>
      <w:r w:rsidRPr="006A0C48">
        <w:rPr>
          <w:rFonts w:asciiTheme="majorBidi" w:hAnsiTheme="majorBidi" w:cstheme="majorBidi"/>
          <w:bCs/>
          <w:snapToGrid w:val="0"/>
          <w:kern w:val="22"/>
          <w:szCs w:val="22"/>
        </w:rPr>
        <w:t>and metadata related to the indicator are publicly available;</w:t>
      </w:r>
    </w:p>
    <w:p w14:paraId="6DB1223D"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The methodology underpinning the indicator is either published in a peer-reviewed academic journal or has gone through a scientific peer-review process and has been validated for national use;</w:t>
      </w:r>
    </w:p>
    <w:p w14:paraId="3F7B7260"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The data sources and indicators are compiled and regularly updated with a time lag of less than five years between updates, if possible;</w:t>
      </w:r>
    </w:p>
    <w:p w14:paraId="7DDF9C38"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There is an existing mechanism for maintaining the indicator methodology and/or data generation, including, for example, by a member of the Biodiversity Indicators Partnership, an intergovernmental organization or a well-established scientific or research institution, providing nationally applicable guidance on the use of the indicator;</w:t>
      </w:r>
    </w:p>
    <w:p w14:paraId="06791E43"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Indicators are able to detect trends relevant to the components of the goals and targets of the </w:t>
      </w:r>
      <w:r w:rsidRPr="006A0C48">
        <w:rPr>
          <w:kern w:val="22"/>
        </w:rPr>
        <w:t xml:space="preserve">Kunming-Montreal </w:t>
      </w:r>
      <w:r w:rsidRPr="006A0C48">
        <w:rPr>
          <w:rFonts w:asciiTheme="majorBidi" w:eastAsia="Malgun Gothic" w:hAnsiTheme="majorBidi" w:cstheme="majorBidi"/>
          <w:snapToGrid w:val="0"/>
          <w:kern w:val="22"/>
          <w:szCs w:val="22"/>
          <w:lang w:eastAsia="x-none"/>
        </w:rPr>
        <w:t xml:space="preserve">Global Biodiversity Framework; </w:t>
      </w:r>
    </w:p>
    <w:p w14:paraId="6F8AA503" w14:textId="77777777" w:rsidR="00005A3C" w:rsidRPr="006A0C48" w:rsidRDefault="00005A3C" w:rsidP="00950BE4">
      <w:pPr>
        <w:numPr>
          <w:ilvl w:val="1"/>
          <w:numId w:val="8"/>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When possible, </w:t>
      </w:r>
      <w:r w:rsidRPr="006A0C48">
        <w:rPr>
          <w:rFonts w:asciiTheme="majorBidi" w:eastAsia="Malgun Gothic" w:hAnsiTheme="majorBidi" w:cstheme="majorBidi"/>
          <w:snapToGrid w:val="0"/>
          <w:szCs w:val="22"/>
        </w:rPr>
        <w:t xml:space="preserve">indicators are aligned with existing intergovernmental processes under the Statistical Commission, such as the Sustainable Development Goals, the Framework for the Development of Environment Statistics or the System of Environmental-Economic Accounting or utilize the existing work on essential biodiversity variables under the Group on Earth Observations Biodiversity Observation Network. </w:t>
      </w:r>
    </w:p>
    <w:p w14:paraId="34E95888" w14:textId="77777777" w:rsidR="00005A3C" w:rsidRPr="006A0C48" w:rsidRDefault="00005A3C" w:rsidP="00950BE4">
      <w:pPr>
        <w:numPr>
          <w:ilvl w:val="0"/>
          <w:numId w:val="8"/>
        </w:numPr>
        <w:tabs>
          <w:tab w:val="clear" w:pos="360"/>
          <w:tab w:val="num" w:pos="644"/>
        </w:tabs>
        <w:spacing w:before="120" w:after="120"/>
        <w:rPr>
          <w:rFonts w:asciiTheme="majorBidi" w:eastAsia="Malgun Gothic" w:hAnsiTheme="majorBidi" w:cstheme="majorBidi"/>
          <w:snapToGrid w:val="0"/>
          <w:szCs w:val="22"/>
          <w:lang w:eastAsia="x-none"/>
        </w:rPr>
      </w:pPr>
      <w:r w:rsidRPr="006A0C48">
        <w:rPr>
          <w:rFonts w:asciiTheme="majorBidi" w:hAnsiTheme="majorBidi" w:cstheme="majorBidi"/>
          <w:snapToGrid w:val="0"/>
          <w:szCs w:val="22"/>
        </w:rPr>
        <w:t xml:space="preserve">Headline indicators use methodologies agreed by Parties and are calculated at a national level based on national data from national monitoring networks and national sources, recognizing that in some cases headline indicators may need to draw on global datasets. If national indicators are not available, then the use of global indicators at a national level must be validated through appropriate national mechanisms. </w:t>
      </w:r>
      <w:r w:rsidRPr="006A0C48">
        <w:rPr>
          <w:rFonts w:asciiTheme="majorBidi" w:hAnsiTheme="majorBidi" w:cstheme="majorBidi"/>
          <w:snapToGrid w:val="0"/>
          <w:spacing w:val="-1"/>
          <w:kern w:val="22"/>
          <w:szCs w:val="22"/>
        </w:rPr>
        <w:t xml:space="preserve">Headline indicators allow for consistent, standardized and scalable tracking of global goals and targets. </w:t>
      </w:r>
    </w:p>
    <w:p w14:paraId="76F6175E" w14:textId="77777777" w:rsidR="00005A3C" w:rsidRPr="006A0C48" w:rsidRDefault="00005A3C" w:rsidP="00950BE4">
      <w:pPr>
        <w:pStyle w:val="Para1"/>
        <w:numPr>
          <w:ilvl w:val="0"/>
          <w:numId w:val="8"/>
        </w:numPr>
        <w:suppressLineNumbers/>
        <w:tabs>
          <w:tab w:val="clear" w:pos="360"/>
          <w:tab w:val="num" w:pos="644"/>
        </w:tabs>
        <w:suppressAutoHyphens/>
        <w:kinsoku w:val="0"/>
        <w:adjustRightInd w:val="0"/>
        <w:spacing w:before="120" w:line="235" w:lineRule="auto"/>
        <w:rPr>
          <w:rFonts w:asciiTheme="majorBidi" w:eastAsia="Malgun Gothic" w:hAnsiTheme="majorBidi" w:cstheme="majorBidi"/>
          <w:spacing w:val="-1"/>
          <w:lang w:eastAsia="x-none"/>
        </w:rPr>
      </w:pPr>
      <w:r w:rsidRPr="006A0C48">
        <w:rPr>
          <w:rFonts w:asciiTheme="majorBidi" w:hAnsiTheme="majorBidi" w:cstheme="majorBidi"/>
        </w:rPr>
        <w:t>To</w:t>
      </w:r>
      <w:r w:rsidRPr="006A0C48">
        <w:rPr>
          <w:rFonts w:asciiTheme="majorBidi" w:eastAsia="Malgun Gothic" w:hAnsiTheme="majorBidi" w:cstheme="majorBidi"/>
        </w:rPr>
        <w:t xml:space="preserve"> facilitate the compilation and use of these headline, component and complementary indicators at the national level, enabled by effective national biodiversity monitoring systems and other information systems, capacity</w:t>
      </w:r>
      <w:r w:rsidRPr="006A0C48">
        <w:rPr>
          <w:rFonts w:asciiTheme="majorBidi" w:eastAsia="Malgun Gothic" w:hAnsiTheme="majorBidi" w:cstheme="majorBidi"/>
        </w:rPr>
        <w:noBreakHyphen/>
        <w:t>building and development activities, technology and other support will be required. The Secretariat, together with organizations identified in the indicator metadata sheets as data providers, are invited to provide guidelines and information for the design or improvement and implementation of national monitoring systems to support the collection of data and the calculation of headline indicators. In this way, Parties will be able to effectively use the headline indicators, as well as component and complementary indicators, supported by adequate means of implementation, including capacity-building and development and technical and scientific cooperation to fill monitoring gaps, especially for developing countries.</w:t>
      </w:r>
    </w:p>
    <w:p w14:paraId="59EB79AB" w14:textId="77777777" w:rsidR="00005A3C" w:rsidRPr="006A0C48" w:rsidRDefault="00005A3C" w:rsidP="00950BE4">
      <w:pPr>
        <w:numPr>
          <w:ilvl w:val="0"/>
          <w:numId w:val="8"/>
        </w:numPr>
        <w:tabs>
          <w:tab w:val="clear" w:pos="360"/>
          <w:tab w:val="num" w:pos="644"/>
        </w:tabs>
        <w:spacing w:before="120" w:after="120"/>
        <w:rPr>
          <w:rFonts w:asciiTheme="majorBidi" w:eastAsia="Malgun Gothic" w:hAnsiTheme="majorBidi" w:cstheme="majorBidi"/>
          <w:snapToGrid w:val="0"/>
          <w:szCs w:val="22"/>
        </w:rPr>
      </w:pPr>
      <w:r w:rsidRPr="006A0C48">
        <w:rPr>
          <w:rFonts w:asciiTheme="majorBidi" w:eastAsia="Malgun Gothic" w:hAnsiTheme="majorBidi" w:cstheme="majorBidi"/>
          <w:snapToGrid w:val="0"/>
          <w:szCs w:val="22"/>
        </w:rPr>
        <w:t xml:space="preserve">In </w:t>
      </w:r>
      <w:r w:rsidRPr="006A0C48">
        <w:rPr>
          <w:rFonts w:asciiTheme="majorBidi" w:hAnsiTheme="majorBidi" w:cstheme="majorBidi"/>
          <w:snapToGrid w:val="0"/>
          <w:kern w:val="22"/>
          <w:szCs w:val="22"/>
        </w:rPr>
        <w:t xml:space="preserve">order to maximize uptake and minimize the reporting burden, the list of headline indicators comprises a small number of indicators which are intended to capture the overall scope of a goal or target in the </w:t>
      </w:r>
      <w:r w:rsidRPr="006A0C48">
        <w:rPr>
          <w:kern w:val="22"/>
        </w:rPr>
        <w:t xml:space="preserve">Kunming-Montreal </w:t>
      </w:r>
      <w:r w:rsidRPr="006A0C48">
        <w:rPr>
          <w:rFonts w:asciiTheme="majorBidi" w:hAnsiTheme="majorBidi" w:cstheme="majorBidi"/>
          <w:snapToGrid w:val="0"/>
          <w:kern w:val="22"/>
          <w:szCs w:val="22"/>
        </w:rPr>
        <w:t xml:space="preserve">Global Biodiversity Framework. The headline indicators may not capture all components of a goal or a target but for analytical purposes can be complemented, as appropriate, with the component and complementary indicators. </w:t>
      </w:r>
    </w:p>
    <w:p w14:paraId="39A76D2A" w14:textId="77777777" w:rsidR="00005A3C" w:rsidRPr="006A0C48" w:rsidRDefault="00005A3C" w:rsidP="00BC374B">
      <w:pPr>
        <w:pStyle w:val="ListParagraph"/>
        <w:keepNext/>
        <w:tabs>
          <w:tab w:val="left" w:pos="720"/>
        </w:tabs>
        <w:spacing w:before="240" w:after="120"/>
        <w:ind w:left="0"/>
        <w:contextualSpacing w:val="0"/>
        <w:jc w:val="left"/>
        <w:rPr>
          <w:b/>
          <w:caps/>
          <w:szCs w:val="22"/>
        </w:rPr>
      </w:pPr>
      <w:bookmarkStart w:id="38" w:name="_Toc118354968"/>
      <w:r w:rsidRPr="006A0C48">
        <w:rPr>
          <w:b/>
          <w:caps/>
          <w:szCs w:val="22"/>
        </w:rPr>
        <w:lastRenderedPageBreak/>
        <w:t>T</w:t>
      </w:r>
      <w:r w:rsidRPr="006A0C48">
        <w:rPr>
          <w:b/>
          <w:szCs w:val="22"/>
        </w:rPr>
        <w:t>able</w:t>
      </w:r>
      <w:r w:rsidRPr="006A0C48">
        <w:rPr>
          <w:b/>
          <w:caps/>
          <w:szCs w:val="22"/>
        </w:rPr>
        <w:t xml:space="preserve"> 1. </w:t>
      </w:r>
      <w:r w:rsidRPr="006A0C48">
        <w:rPr>
          <w:b/>
          <w:szCs w:val="22"/>
        </w:rPr>
        <w:t>Headline indicators for the Kunming-Montreal</w:t>
      </w:r>
      <w:r w:rsidRPr="006A0C48">
        <w:rPr>
          <w:kern w:val="22"/>
          <w:szCs w:val="22"/>
        </w:rPr>
        <w:t xml:space="preserve"> </w:t>
      </w:r>
      <w:r w:rsidRPr="006A0C48">
        <w:rPr>
          <w:b/>
          <w:szCs w:val="22"/>
        </w:rPr>
        <w:t>Global Biodiversity Framework</w:t>
      </w:r>
      <w:bookmarkEnd w:id="38"/>
    </w:p>
    <w:tbl>
      <w:tblPr>
        <w:tblStyle w:val="TableGrid"/>
        <w:tblW w:w="9634" w:type="dxa"/>
        <w:jc w:val="center"/>
        <w:tblLayout w:type="fixed"/>
        <w:tblLook w:val="04A0" w:firstRow="1" w:lastRow="0" w:firstColumn="1" w:lastColumn="0" w:noHBand="0" w:noVBand="1"/>
      </w:tblPr>
      <w:tblGrid>
        <w:gridCol w:w="1184"/>
        <w:gridCol w:w="8450"/>
      </w:tblGrid>
      <w:tr w:rsidR="00005A3C" w:rsidRPr="006A0C48" w14:paraId="72BD1189" w14:textId="77777777" w:rsidTr="00EC38A7">
        <w:trPr>
          <w:trHeight w:val="300"/>
          <w:tblHeader/>
          <w:jc w:val="center"/>
        </w:trPr>
        <w:tc>
          <w:tcPr>
            <w:tcW w:w="1184" w:type="dxa"/>
            <w:shd w:val="clear" w:color="auto" w:fill="FFFFFF" w:themeFill="background1"/>
          </w:tcPr>
          <w:p w14:paraId="6713A824" w14:textId="77777777" w:rsidR="00005A3C" w:rsidRPr="006A0C48" w:rsidRDefault="00005A3C" w:rsidP="006726E6">
            <w:pPr>
              <w:spacing w:before="40" w:after="40"/>
              <w:jc w:val="left"/>
              <w:rPr>
                <w:b/>
                <w:bCs/>
                <w:szCs w:val="22"/>
              </w:rPr>
            </w:pPr>
            <w:r w:rsidRPr="006A0C48">
              <w:rPr>
                <w:b/>
                <w:bCs/>
                <w:szCs w:val="22"/>
              </w:rPr>
              <w:t>A. Goal/ Target</w:t>
            </w:r>
            <w:r w:rsidRPr="00610646">
              <w:rPr>
                <w:rStyle w:val="FootnoteReference"/>
              </w:rPr>
              <w:footnoteReference w:id="38"/>
            </w:r>
          </w:p>
        </w:tc>
        <w:tc>
          <w:tcPr>
            <w:tcW w:w="8450" w:type="dxa"/>
            <w:shd w:val="clear" w:color="auto" w:fill="FFFFFF" w:themeFill="background1"/>
          </w:tcPr>
          <w:p w14:paraId="78265CA5" w14:textId="77777777" w:rsidR="00005A3C" w:rsidRPr="006A0C48" w:rsidRDefault="00005A3C" w:rsidP="00BC5121">
            <w:pPr>
              <w:spacing w:before="40" w:after="40"/>
              <w:jc w:val="left"/>
              <w:rPr>
                <w:b/>
                <w:bCs/>
                <w:szCs w:val="22"/>
                <w:vertAlign w:val="superscript"/>
              </w:rPr>
            </w:pPr>
            <w:r w:rsidRPr="006A0C48">
              <w:rPr>
                <w:b/>
                <w:bCs/>
                <w:szCs w:val="22"/>
              </w:rPr>
              <w:t>Headline indicators</w:t>
            </w:r>
            <w:r w:rsidRPr="00610646">
              <w:rPr>
                <w:rStyle w:val="FootnoteReference"/>
              </w:rPr>
              <w:footnoteReference w:id="39"/>
            </w:r>
          </w:p>
        </w:tc>
      </w:tr>
      <w:tr w:rsidR="00005A3C" w:rsidRPr="006A0C48" w14:paraId="368FA463" w14:textId="77777777" w:rsidTr="00EC38A7">
        <w:trPr>
          <w:trHeight w:val="1088"/>
          <w:jc w:val="center"/>
        </w:trPr>
        <w:tc>
          <w:tcPr>
            <w:tcW w:w="1184" w:type="dxa"/>
            <w:shd w:val="clear" w:color="auto" w:fill="FFFFFF" w:themeFill="background1"/>
          </w:tcPr>
          <w:p w14:paraId="5A56AEAD" w14:textId="77777777" w:rsidR="00005A3C" w:rsidRPr="006A0C48" w:rsidRDefault="00005A3C" w:rsidP="00BC5121">
            <w:pPr>
              <w:spacing w:before="40" w:after="40"/>
              <w:rPr>
                <w:szCs w:val="22"/>
              </w:rPr>
            </w:pPr>
            <w:r w:rsidRPr="006A0C48">
              <w:rPr>
                <w:szCs w:val="22"/>
              </w:rPr>
              <w:t>A</w:t>
            </w:r>
          </w:p>
          <w:p w14:paraId="4A781111" w14:textId="77777777" w:rsidR="00005A3C" w:rsidRPr="006A0C48" w:rsidRDefault="00005A3C" w:rsidP="00BC5121">
            <w:pPr>
              <w:spacing w:before="40" w:after="40"/>
              <w:rPr>
                <w:szCs w:val="22"/>
              </w:rPr>
            </w:pPr>
          </w:p>
        </w:tc>
        <w:tc>
          <w:tcPr>
            <w:tcW w:w="8450" w:type="dxa"/>
            <w:shd w:val="clear" w:color="auto" w:fill="FFFFFF" w:themeFill="background1"/>
          </w:tcPr>
          <w:p w14:paraId="7B339A6E" w14:textId="77777777" w:rsidR="00005A3C" w:rsidRPr="006A0C48" w:rsidRDefault="00005A3C" w:rsidP="006726E6">
            <w:pPr>
              <w:spacing w:before="40" w:after="40"/>
              <w:jc w:val="left"/>
              <w:rPr>
                <w:szCs w:val="22"/>
              </w:rPr>
            </w:pPr>
            <w:r w:rsidRPr="006A0C48">
              <w:rPr>
                <w:szCs w:val="22"/>
              </w:rPr>
              <w:t xml:space="preserve">A.1 Red List of Ecosystems </w:t>
            </w:r>
          </w:p>
          <w:p w14:paraId="05B86553" w14:textId="77777777" w:rsidR="00005A3C" w:rsidRPr="006A0C48" w:rsidRDefault="00005A3C" w:rsidP="006726E6">
            <w:pPr>
              <w:tabs>
                <w:tab w:val="left" w:pos="4813"/>
              </w:tabs>
              <w:spacing w:before="40" w:after="40"/>
              <w:jc w:val="left"/>
              <w:rPr>
                <w:szCs w:val="22"/>
              </w:rPr>
            </w:pPr>
            <w:r w:rsidRPr="006A0C48">
              <w:rPr>
                <w:szCs w:val="22"/>
              </w:rPr>
              <w:t xml:space="preserve">A.2 Extent of natural ecosystems </w:t>
            </w:r>
          </w:p>
          <w:p w14:paraId="0E13E245" w14:textId="77777777" w:rsidR="00005A3C" w:rsidRPr="006A0C48" w:rsidRDefault="00005A3C" w:rsidP="006726E6">
            <w:pPr>
              <w:spacing w:before="40" w:after="40"/>
              <w:jc w:val="left"/>
              <w:rPr>
                <w:szCs w:val="22"/>
              </w:rPr>
            </w:pPr>
            <w:r w:rsidRPr="006A0C48">
              <w:rPr>
                <w:szCs w:val="22"/>
              </w:rPr>
              <w:t>A.3 Red List Index</w:t>
            </w:r>
          </w:p>
          <w:p w14:paraId="2BDC1EA0" w14:textId="77777777" w:rsidR="00005A3C" w:rsidRPr="006A0C48" w:rsidRDefault="00005A3C" w:rsidP="006726E6">
            <w:pPr>
              <w:spacing w:before="40" w:after="40"/>
              <w:jc w:val="left"/>
              <w:rPr>
                <w:szCs w:val="22"/>
              </w:rPr>
            </w:pPr>
            <w:r w:rsidRPr="006A0C48">
              <w:rPr>
                <w:szCs w:val="22"/>
              </w:rPr>
              <w:t>A.4 The proportion of populations within species with an effective population size &gt; 500</w:t>
            </w:r>
          </w:p>
        </w:tc>
      </w:tr>
      <w:tr w:rsidR="00005A3C" w:rsidRPr="006A0C48" w14:paraId="54FF9B07" w14:textId="77777777" w:rsidTr="00EC38A7">
        <w:trPr>
          <w:trHeight w:val="630"/>
          <w:jc w:val="center"/>
        </w:trPr>
        <w:tc>
          <w:tcPr>
            <w:tcW w:w="1184" w:type="dxa"/>
            <w:shd w:val="clear" w:color="auto" w:fill="auto"/>
          </w:tcPr>
          <w:p w14:paraId="3FA22FA6" w14:textId="77777777" w:rsidR="00005A3C" w:rsidRPr="006A0C48" w:rsidRDefault="00005A3C" w:rsidP="00BC5121">
            <w:pPr>
              <w:spacing w:before="40" w:after="40"/>
              <w:rPr>
                <w:szCs w:val="22"/>
              </w:rPr>
            </w:pPr>
            <w:r w:rsidRPr="006A0C48">
              <w:rPr>
                <w:szCs w:val="22"/>
              </w:rPr>
              <w:t>B</w:t>
            </w:r>
            <w:r w:rsidRPr="006A0C48">
              <w:rPr>
                <w:b/>
                <w:bCs/>
                <w:szCs w:val="22"/>
                <w:vertAlign w:val="superscript"/>
              </w:rPr>
              <w:t>b</w:t>
            </w:r>
          </w:p>
        </w:tc>
        <w:tc>
          <w:tcPr>
            <w:tcW w:w="8450" w:type="dxa"/>
            <w:shd w:val="clear" w:color="auto" w:fill="auto"/>
          </w:tcPr>
          <w:p w14:paraId="4C0ACA4C" w14:textId="77777777" w:rsidR="00005A3C" w:rsidRPr="006A0C48" w:rsidRDefault="00005A3C" w:rsidP="006726E6">
            <w:pPr>
              <w:spacing w:before="40" w:after="40"/>
              <w:jc w:val="left"/>
              <w:rPr>
                <w:szCs w:val="22"/>
              </w:rPr>
            </w:pPr>
            <w:r w:rsidRPr="006A0C48">
              <w:rPr>
                <w:szCs w:val="22"/>
              </w:rPr>
              <w:t>B.1 Services provided by ecosystems*</w:t>
            </w:r>
          </w:p>
        </w:tc>
      </w:tr>
      <w:tr w:rsidR="00005A3C" w:rsidRPr="006A0C48" w14:paraId="4700DD8E" w14:textId="77777777" w:rsidTr="00EC38A7">
        <w:trPr>
          <w:trHeight w:val="630"/>
          <w:jc w:val="center"/>
        </w:trPr>
        <w:tc>
          <w:tcPr>
            <w:tcW w:w="1184" w:type="dxa"/>
            <w:shd w:val="clear" w:color="auto" w:fill="auto"/>
          </w:tcPr>
          <w:p w14:paraId="6CEB3814" w14:textId="77777777" w:rsidR="00005A3C" w:rsidRPr="006A0C48" w:rsidRDefault="00005A3C" w:rsidP="00BC5121">
            <w:pPr>
              <w:spacing w:before="40" w:after="40"/>
              <w:rPr>
                <w:szCs w:val="22"/>
              </w:rPr>
            </w:pPr>
            <w:r w:rsidRPr="006A0C48">
              <w:rPr>
                <w:szCs w:val="22"/>
              </w:rPr>
              <w:t>C</w:t>
            </w:r>
            <w:r w:rsidRPr="006A0C48">
              <w:rPr>
                <w:b/>
                <w:bCs/>
                <w:szCs w:val="22"/>
                <w:vertAlign w:val="superscript"/>
              </w:rPr>
              <w:t>b</w:t>
            </w:r>
          </w:p>
        </w:tc>
        <w:tc>
          <w:tcPr>
            <w:tcW w:w="8450" w:type="dxa"/>
            <w:shd w:val="clear" w:color="auto" w:fill="auto"/>
          </w:tcPr>
          <w:p w14:paraId="16D33D9F" w14:textId="77777777" w:rsidR="00005A3C" w:rsidRPr="006A0C48" w:rsidRDefault="00005A3C" w:rsidP="006726E6">
            <w:pPr>
              <w:spacing w:before="40" w:after="40"/>
              <w:jc w:val="left"/>
              <w:rPr>
                <w:szCs w:val="22"/>
              </w:rPr>
            </w:pPr>
            <w:r w:rsidRPr="006A0C48">
              <w:rPr>
                <w:szCs w:val="22"/>
              </w:rPr>
              <w:t>C.1 Indicator on monetary benefits received*</w:t>
            </w:r>
          </w:p>
          <w:p w14:paraId="40EFB508" w14:textId="77777777" w:rsidR="00005A3C" w:rsidRPr="006A0C48" w:rsidRDefault="00005A3C" w:rsidP="006726E6">
            <w:pPr>
              <w:spacing w:before="40" w:after="40"/>
              <w:jc w:val="left"/>
              <w:rPr>
                <w:szCs w:val="22"/>
              </w:rPr>
            </w:pPr>
            <w:r w:rsidRPr="006A0C48">
              <w:rPr>
                <w:szCs w:val="22"/>
              </w:rPr>
              <w:t>C.2 Indicator on non-monetary benefits*</w:t>
            </w:r>
          </w:p>
        </w:tc>
      </w:tr>
      <w:tr w:rsidR="00005A3C" w:rsidRPr="006A0C48" w14:paraId="334DD817" w14:textId="77777777" w:rsidTr="00EC38A7">
        <w:trPr>
          <w:trHeight w:val="630"/>
          <w:jc w:val="center"/>
        </w:trPr>
        <w:tc>
          <w:tcPr>
            <w:tcW w:w="1184" w:type="dxa"/>
            <w:shd w:val="clear" w:color="auto" w:fill="auto"/>
          </w:tcPr>
          <w:p w14:paraId="07406EC6" w14:textId="77777777" w:rsidR="00005A3C" w:rsidRPr="006A0C48" w:rsidRDefault="00005A3C" w:rsidP="00BC5121">
            <w:pPr>
              <w:spacing w:before="40" w:after="40"/>
              <w:rPr>
                <w:szCs w:val="22"/>
              </w:rPr>
            </w:pPr>
            <w:r w:rsidRPr="006A0C48">
              <w:rPr>
                <w:szCs w:val="22"/>
              </w:rPr>
              <w:t>D</w:t>
            </w:r>
          </w:p>
        </w:tc>
        <w:tc>
          <w:tcPr>
            <w:tcW w:w="8450" w:type="dxa"/>
            <w:shd w:val="clear" w:color="auto" w:fill="auto"/>
          </w:tcPr>
          <w:p w14:paraId="4DE661C5" w14:textId="77777777" w:rsidR="00005A3C" w:rsidRPr="006A0C48" w:rsidRDefault="00005A3C"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1A41931E" w14:textId="77777777" w:rsidR="00005A3C" w:rsidRPr="006A0C48" w:rsidRDefault="00005A3C"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60B5A37D" w14:textId="77777777" w:rsidR="00005A3C" w:rsidRPr="006A0C48" w:rsidRDefault="00005A3C"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005A3C" w:rsidRPr="006A0C48" w14:paraId="40FE5779" w14:textId="77777777" w:rsidTr="00EC38A7">
        <w:trPr>
          <w:jc w:val="center"/>
        </w:trPr>
        <w:tc>
          <w:tcPr>
            <w:tcW w:w="1184" w:type="dxa"/>
            <w:shd w:val="clear" w:color="auto" w:fill="auto"/>
          </w:tcPr>
          <w:p w14:paraId="4C67B07D" w14:textId="77777777" w:rsidR="00005A3C" w:rsidRPr="006A0C48" w:rsidRDefault="00005A3C" w:rsidP="00BC5121">
            <w:pPr>
              <w:spacing w:before="40" w:after="40"/>
              <w:rPr>
                <w:szCs w:val="22"/>
              </w:rPr>
            </w:pPr>
            <w:r w:rsidRPr="006A0C48">
              <w:rPr>
                <w:szCs w:val="22"/>
              </w:rPr>
              <w:t>1</w:t>
            </w:r>
            <w:r w:rsidRPr="006A0C48">
              <w:rPr>
                <w:b/>
                <w:bCs/>
                <w:szCs w:val="22"/>
                <w:vertAlign w:val="superscript"/>
              </w:rPr>
              <w:t>b</w:t>
            </w:r>
          </w:p>
        </w:tc>
        <w:tc>
          <w:tcPr>
            <w:tcW w:w="8450" w:type="dxa"/>
            <w:shd w:val="clear" w:color="auto" w:fill="auto"/>
          </w:tcPr>
          <w:p w14:paraId="40EA85D9" w14:textId="77777777" w:rsidR="00005A3C" w:rsidRPr="006A0C48" w:rsidRDefault="00005A3C" w:rsidP="00BC5121">
            <w:pPr>
              <w:spacing w:before="40" w:after="40"/>
              <w:rPr>
                <w:szCs w:val="22"/>
              </w:rPr>
            </w:pPr>
            <w:r w:rsidRPr="006A0C48">
              <w:rPr>
                <w:szCs w:val="22"/>
              </w:rPr>
              <w:t>A.1 Red List of Ecosystems</w:t>
            </w:r>
          </w:p>
          <w:p w14:paraId="001DB8E4" w14:textId="77777777" w:rsidR="00005A3C" w:rsidRPr="006A0C48" w:rsidRDefault="00005A3C" w:rsidP="00BC5121">
            <w:pPr>
              <w:spacing w:before="40" w:after="40"/>
              <w:rPr>
                <w:szCs w:val="22"/>
              </w:rPr>
            </w:pPr>
            <w:r w:rsidRPr="006A0C48">
              <w:rPr>
                <w:szCs w:val="22"/>
              </w:rPr>
              <w:t>A.2 Extent of natural ecosystems</w:t>
            </w:r>
          </w:p>
          <w:p w14:paraId="0F4ABB41" w14:textId="77777777" w:rsidR="00005A3C" w:rsidRPr="006A0C48" w:rsidRDefault="00005A3C" w:rsidP="00BC5121">
            <w:pPr>
              <w:spacing w:before="40" w:after="40"/>
              <w:rPr>
                <w:szCs w:val="22"/>
              </w:rPr>
            </w:pPr>
            <w:r w:rsidRPr="006A0C48">
              <w:rPr>
                <w:szCs w:val="22"/>
              </w:rPr>
              <w:t>1.1 Percentage of land and sea area covered by biodiversity-inclusive spatial plans*</w:t>
            </w:r>
          </w:p>
        </w:tc>
      </w:tr>
      <w:tr w:rsidR="00005A3C" w:rsidRPr="006A0C48" w14:paraId="3B22954F" w14:textId="77777777" w:rsidTr="00EC38A7">
        <w:trPr>
          <w:jc w:val="center"/>
        </w:trPr>
        <w:tc>
          <w:tcPr>
            <w:tcW w:w="1184" w:type="dxa"/>
            <w:shd w:val="clear" w:color="auto" w:fill="auto"/>
          </w:tcPr>
          <w:p w14:paraId="786EA144" w14:textId="77777777" w:rsidR="00005A3C" w:rsidRPr="006A0C48" w:rsidRDefault="00005A3C" w:rsidP="00BC5121">
            <w:pPr>
              <w:spacing w:before="40" w:after="40"/>
              <w:rPr>
                <w:szCs w:val="22"/>
              </w:rPr>
            </w:pPr>
            <w:r w:rsidRPr="006A0C48">
              <w:rPr>
                <w:szCs w:val="22"/>
              </w:rPr>
              <w:t>2</w:t>
            </w:r>
          </w:p>
        </w:tc>
        <w:tc>
          <w:tcPr>
            <w:tcW w:w="8450" w:type="dxa"/>
            <w:shd w:val="clear" w:color="auto" w:fill="auto"/>
          </w:tcPr>
          <w:p w14:paraId="472D97BA" w14:textId="77777777" w:rsidR="00005A3C" w:rsidRPr="006A0C48" w:rsidRDefault="00005A3C" w:rsidP="00BC5121">
            <w:pPr>
              <w:spacing w:before="40" w:after="40"/>
              <w:rPr>
                <w:szCs w:val="22"/>
              </w:rPr>
            </w:pPr>
            <w:r w:rsidRPr="006A0C48">
              <w:rPr>
                <w:szCs w:val="22"/>
              </w:rPr>
              <w:t xml:space="preserve">2.2 Area under restoration* </w:t>
            </w:r>
          </w:p>
        </w:tc>
      </w:tr>
      <w:tr w:rsidR="00005A3C" w:rsidRPr="006A0C48" w14:paraId="67EAEC15" w14:textId="77777777" w:rsidTr="00EC38A7">
        <w:trPr>
          <w:jc w:val="center"/>
        </w:trPr>
        <w:tc>
          <w:tcPr>
            <w:tcW w:w="1184" w:type="dxa"/>
            <w:shd w:val="clear" w:color="auto" w:fill="auto"/>
          </w:tcPr>
          <w:p w14:paraId="38C6D044" w14:textId="77777777" w:rsidR="00005A3C" w:rsidRPr="006A0C48" w:rsidRDefault="00005A3C" w:rsidP="00BC5121">
            <w:pPr>
              <w:spacing w:before="40" w:after="40"/>
              <w:rPr>
                <w:szCs w:val="22"/>
              </w:rPr>
            </w:pPr>
            <w:r w:rsidRPr="006A0C48">
              <w:rPr>
                <w:szCs w:val="22"/>
              </w:rPr>
              <w:t>3</w:t>
            </w:r>
          </w:p>
        </w:tc>
        <w:tc>
          <w:tcPr>
            <w:tcW w:w="8450" w:type="dxa"/>
            <w:shd w:val="clear" w:color="auto" w:fill="auto"/>
          </w:tcPr>
          <w:p w14:paraId="3E308F01" w14:textId="77777777" w:rsidR="00005A3C" w:rsidRPr="006A0C48" w:rsidRDefault="00005A3C" w:rsidP="00BC5121">
            <w:pPr>
              <w:spacing w:before="40" w:after="40"/>
              <w:rPr>
                <w:szCs w:val="22"/>
              </w:rPr>
            </w:pPr>
            <w:r w:rsidRPr="006A0C48">
              <w:rPr>
                <w:szCs w:val="22"/>
              </w:rPr>
              <w:t xml:space="preserve">3.1 Coverage of protected areas and other effective area-based conservation measures </w:t>
            </w:r>
          </w:p>
        </w:tc>
      </w:tr>
      <w:tr w:rsidR="00005A3C" w:rsidRPr="006A0C48" w14:paraId="69CEDC2B" w14:textId="77777777" w:rsidTr="00EC38A7">
        <w:trPr>
          <w:jc w:val="center"/>
        </w:trPr>
        <w:tc>
          <w:tcPr>
            <w:tcW w:w="1184" w:type="dxa"/>
            <w:shd w:val="clear" w:color="auto" w:fill="auto"/>
          </w:tcPr>
          <w:p w14:paraId="3A6FCFD9" w14:textId="77777777" w:rsidR="00005A3C" w:rsidRPr="006A0C48" w:rsidRDefault="00005A3C" w:rsidP="00BC5121">
            <w:pPr>
              <w:spacing w:before="40" w:after="40"/>
              <w:rPr>
                <w:szCs w:val="22"/>
              </w:rPr>
            </w:pPr>
            <w:r w:rsidRPr="006A0C48">
              <w:rPr>
                <w:szCs w:val="22"/>
              </w:rPr>
              <w:t>4</w:t>
            </w:r>
          </w:p>
        </w:tc>
        <w:tc>
          <w:tcPr>
            <w:tcW w:w="8450" w:type="dxa"/>
            <w:shd w:val="clear" w:color="auto" w:fill="auto"/>
          </w:tcPr>
          <w:p w14:paraId="6E859916" w14:textId="77777777" w:rsidR="00005A3C" w:rsidRPr="006A0C48" w:rsidRDefault="00005A3C" w:rsidP="00BC5121">
            <w:pPr>
              <w:spacing w:before="40" w:after="40"/>
              <w:rPr>
                <w:szCs w:val="22"/>
              </w:rPr>
            </w:pPr>
            <w:r w:rsidRPr="006A0C48">
              <w:rPr>
                <w:szCs w:val="22"/>
              </w:rPr>
              <w:t>A.3 Red list Index</w:t>
            </w:r>
          </w:p>
          <w:p w14:paraId="164ED85B" w14:textId="77777777" w:rsidR="00005A3C" w:rsidRPr="006A0C48" w:rsidRDefault="00005A3C" w:rsidP="00BC5121">
            <w:pPr>
              <w:spacing w:before="40" w:after="40"/>
              <w:rPr>
                <w:szCs w:val="22"/>
              </w:rPr>
            </w:pPr>
            <w:r w:rsidRPr="006A0C48">
              <w:rPr>
                <w:szCs w:val="22"/>
              </w:rPr>
              <w:t>A.4 The proportion of populations within species with an effective population size &gt; 500</w:t>
            </w:r>
          </w:p>
        </w:tc>
      </w:tr>
      <w:tr w:rsidR="00005A3C" w:rsidRPr="006A0C48" w14:paraId="77BE512D" w14:textId="77777777" w:rsidTr="00EC38A7">
        <w:trPr>
          <w:trHeight w:val="341"/>
          <w:jc w:val="center"/>
        </w:trPr>
        <w:tc>
          <w:tcPr>
            <w:tcW w:w="1184" w:type="dxa"/>
            <w:shd w:val="clear" w:color="auto" w:fill="auto"/>
          </w:tcPr>
          <w:p w14:paraId="3FE157E8" w14:textId="77777777" w:rsidR="00005A3C" w:rsidRPr="006A0C48" w:rsidRDefault="00005A3C" w:rsidP="00BC5121">
            <w:pPr>
              <w:spacing w:before="40" w:after="40"/>
              <w:rPr>
                <w:szCs w:val="22"/>
              </w:rPr>
            </w:pPr>
            <w:r w:rsidRPr="006A0C48">
              <w:rPr>
                <w:szCs w:val="22"/>
              </w:rPr>
              <w:t>5</w:t>
            </w:r>
          </w:p>
        </w:tc>
        <w:tc>
          <w:tcPr>
            <w:tcW w:w="8450" w:type="dxa"/>
            <w:shd w:val="clear" w:color="auto" w:fill="auto"/>
          </w:tcPr>
          <w:p w14:paraId="42F6238B" w14:textId="77777777" w:rsidR="00005A3C" w:rsidRPr="006A0C48" w:rsidRDefault="00005A3C" w:rsidP="00BC5121">
            <w:pPr>
              <w:spacing w:before="40" w:after="40"/>
              <w:jc w:val="left"/>
              <w:rPr>
                <w:szCs w:val="22"/>
              </w:rPr>
            </w:pPr>
            <w:r w:rsidRPr="006A0C48">
              <w:rPr>
                <w:szCs w:val="22"/>
              </w:rPr>
              <w:t>5.1 Proportion of fish stocks within biologically sustainable levels</w:t>
            </w:r>
          </w:p>
        </w:tc>
      </w:tr>
      <w:tr w:rsidR="00005A3C" w:rsidRPr="006A0C48" w14:paraId="02C4FF9C" w14:textId="77777777" w:rsidTr="00EC38A7">
        <w:trPr>
          <w:trHeight w:val="341"/>
          <w:jc w:val="center"/>
        </w:trPr>
        <w:tc>
          <w:tcPr>
            <w:tcW w:w="1184" w:type="dxa"/>
            <w:shd w:val="clear" w:color="auto" w:fill="auto"/>
          </w:tcPr>
          <w:p w14:paraId="5B3D28B4" w14:textId="77777777" w:rsidR="00005A3C" w:rsidRPr="006A0C48" w:rsidRDefault="00005A3C" w:rsidP="00BC5121">
            <w:pPr>
              <w:spacing w:before="40" w:after="40"/>
              <w:rPr>
                <w:szCs w:val="22"/>
                <w:vertAlign w:val="superscript"/>
              </w:rPr>
            </w:pPr>
            <w:r w:rsidRPr="006A0C48">
              <w:rPr>
                <w:szCs w:val="22"/>
              </w:rPr>
              <w:t>6</w:t>
            </w:r>
            <w:r w:rsidRPr="006A0C48">
              <w:rPr>
                <w:b/>
                <w:bCs/>
                <w:szCs w:val="22"/>
                <w:vertAlign w:val="superscript"/>
              </w:rPr>
              <w:t>b</w:t>
            </w:r>
          </w:p>
        </w:tc>
        <w:tc>
          <w:tcPr>
            <w:tcW w:w="8450" w:type="dxa"/>
            <w:shd w:val="clear" w:color="auto" w:fill="auto"/>
          </w:tcPr>
          <w:p w14:paraId="544F56E2" w14:textId="77777777" w:rsidR="00005A3C" w:rsidRPr="006A0C48" w:rsidRDefault="00005A3C" w:rsidP="00BC5121">
            <w:pPr>
              <w:spacing w:before="40" w:after="40"/>
              <w:jc w:val="left"/>
              <w:rPr>
                <w:szCs w:val="22"/>
              </w:rPr>
            </w:pPr>
            <w:r w:rsidRPr="006A0C48">
              <w:rPr>
                <w:szCs w:val="22"/>
              </w:rPr>
              <w:t>6.1 Rate of invasive alien species establishment</w:t>
            </w:r>
          </w:p>
        </w:tc>
      </w:tr>
      <w:tr w:rsidR="00005A3C" w:rsidRPr="006A0C48" w14:paraId="4B340E59" w14:textId="77777777" w:rsidTr="00EC38A7">
        <w:trPr>
          <w:trHeight w:val="530"/>
          <w:jc w:val="center"/>
        </w:trPr>
        <w:tc>
          <w:tcPr>
            <w:tcW w:w="1184" w:type="dxa"/>
            <w:shd w:val="clear" w:color="auto" w:fill="auto"/>
          </w:tcPr>
          <w:p w14:paraId="5A8EBF8A" w14:textId="77777777" w:rsidR="00005A3C" w:rsidRPr="006A0C48" w:rsidRDefault="00005A3C" w:rsidP="00BC5121">
            <w:pPr>
              <w:spacing w:before="40" w:after="40"/>
              <w:rPr>
                <w:szCs w:val="22"/>
              </w:rPr>
            </w:pPr>
            <w:r w:rsidRPr="006A0C48">
              <w:rPr>
                <w:szCs w:val="22"/>
              </w:rPr>
              <w:t>7</w:t>
            </w:r>
          </w:p>
        </w:tc>
        <w:tc>
          <w:tcPr>
            <w:tcW w:w="8450" w:type="dxa"/>
            <w:shd w:val="clear" w:color="auto" w:fill="auto"/>
          </w:tcPr>
          <w:p w14:paraId="3156EFFF" w14:textId="77777777" w:rsidR="00005A3C" w:rsidRPr="006A0C48" w:rsidRDefault="00005A3C" w:rsidP="00BC5121">
            <w:pPr>
              <w:spacing w:before="40" w:after="40"/>
              <w:jc w:val="left"/>
              <w:rPr>
                <w:szCs w:val="22"/>
              </w:rPr>
            </w:pPr>
            <w:r w:rsidRPr="006A0C48">
              <w:rPr>
                <w:szCs w:val="22"/>
              </w:rPr>
              <w:t>7.1 Index of coastal eutrophication potential</w:t>
            </w:r>
          </w:p>
          <w:p w14:paraId="6F41D277" w14:textId="77777777" w:rsidR="00005A3C" w:rsidRPr="006A0C48" w:rsidRDefault="00005A3C" w:rsidP="00BC5121">
            <w:pPr>
              <w:spacing w:before="40" w:after="40"/>
              <w:jc w:val="left"/>
              <w:rPr>
                <w:szCs w:val="22"/>
                <w:vertAlign w:val="superscript"/>
              </w:rPr>
            </w:pPr>
            <w:r w:rsidRPr="006A0C48">
              <w:rPr>
                <w:szCs w:val="22"/>
              </w:rPr>
              <w:t>7.2 Pesticide environment concentration*</w:t>
            </w:r>
          </w:p>
        </w:tc>
      </w:tr>
      <w:tr w:rsidR="00005A3C" w:rsidRPr="006A0C48" w14:paraId="218C8C6E" w14:textId="77777777" w:rsidTr="00EC38A7">
        <w:trPr>
          <w:trHeight w:val="377"/>
          <w:jc w:val="center"/>
        </w:trPr>
        <w:tc>
          <w:tcPr>
            <w:tcW w:w="1184" w:type="dxa"/>
            <w:shd w:val="clear" w:color="auto" w:fill="auto"/>
          </w:tcPr>
          <w:p w14:paraId="2717548F" w14:textId="77777777" w:rsidR="00005A3C" w:rsidRPr="006A0C48" w:rsidRDefault="00005A3C" w:rsidP="00BC5121">
            <w:pPr>
              <w:spacing w:before="40" w:after="40"/>
              <w:rPr>
                <w:szCs w:val="22"/>
              </w:rPr>
            </w:pPr>
            <w:r w:rsidRPr="006A0C48">
              <w:rPr>
                <w:szCs w:val="22"/>
              </w:rPr>
              <w:t>8</w:t>
            </w:r>
            <w:r w:rsidRPr="006A0C48">
              <w:rPr>
                <w:b/>
                <w:bCs/>
                <w:szCs w:val="22"/>
                <w:vertAlign w:val="superscript"/>
              </w:rPr>
              <w:t>b</w:t>
            </w:r>
          </w:p>
        </w:tc>
        <w:tc>
          <w:tcPr>
            <w:tcW w:w="8450" w:type="dxa"/>
            <w:shd w:val="clear" w:color="auto" w:fill="auto"/>
          </w:tcPr>
          <w:p w14:paraId="4513BED3" w14:textId="77777777" w:rsidR="00005A3C" w:rsidRPr="006A0C48" w:rsidRDefault="00005A3C" w:rsidP="00BC5121">
            <w:pPr>
              <w:spacing w:before="40" w:after="40"/>
              <w:rPr>
                <w:szCs w:val="22"/>
              </w:rPr>
            </w:pPr>
            <w:r w:rsidRPr="006A0C48">
              <w:rPr>
                <w:szCs w:val="22"/>
              </w:rPr>
              <w:t>-</w:t>
            </w:r>
          </w:p>
        </w:tc>
      </w:tr>
      <w:tr w:rsidR="00005A3C" w:rsidRPr="006A0C48" w14:paraId="3A88C033" w14:textId="77777777" w:rsidTr="00EC38A7">
        <w:trPr>
          <w:trHeight w:val="377"/>
          <w:jc w:val="center"/>
        </w:trPr>
        <w:tc>
          <w:tcPr>
            <w:tcW w:w="1184" w:type="dxa"/>
            <w:shd w:val="clear" w:color="auto" w:fill="auto"/>
          </w:tcPr>
          <w:p w14:paraId="27F42164" w14:textId="77777777" w:rsidR="00005A3C" w:rsidRPr="006A0C48" w:rsidRDefault="00005A3C" w:rsidP="00BC5121">
            <w:pPr>
              <w:spacing w:before="40" w:after="40"/>
              <w:rPr>
                <w:szCs w:val="22"/>
              </w:rPr>
            </w:pPr>
            <w:r w:rsidRPr="006A0C48">
              <w:rPr>
                <w:szCs w:val="22"/>
              </w:rPr>
              <w:t>9</w:t>
            </w:r>
            <w:r w:rsidRPr="006A0C48">
              <w:rPr>
                <w:b/>
                <w:bCs/>
                <w:szCs w:val="22"/>
                <w:vertAlign w:val="superscript"/>
              </w:rPr>
              <w:t>b</w:t>
            </w:r>
          </w:p>
        </w:tc>
        <w:tc>
          <w:tcPr>
            <w:tcW w:w="8450" w:type="dxa"/>
            <w:shd w:val="clear" w:color="auto" w:fill="auto"/>
          </w:tcPr>
          <w:p w14:paraId="5BB1D377" w14:textId="77777777" w:rsidR="00005A3C" w:rsidRPr="006A0C48" w:rsidRDefault="00005A3C" w:rsidP="00BC5121">
            <w:pPr>
              <w:spacing w:before="40" w:after="40"/>
              <w:rPr>
                <w:szCs w:val="22"/>
              </w:rPr>
            </w:pPr>
            <w:r w:rsidRPr="006A0C48">
              <w:rPr>
                <w:szCs w:val="22"/>
              </w:rPr>
              <w:t>9.1 Benefits from the sustainable use of wild species*</w:t>
            </w:r>
          </w:p>
          <w:p w14:paraId="500A69C6" w14:textId="77777777" w:rsidR="00005A3C" w:rsidRPr="006A0C48" w:rsidRDefault="00005A3C" w:rsidP="00BC5121">
            <w:pPr>
              <w:spacing w:before="40" w:after="40"/>
              <w:rPr>
                <w:szCs w:val="22"/>
              </w:rPr>
            </w:pPr>
            <w:r w:rsidRPr="006A0C48">
              <w:rPr>
                <w:szCs w:val="22"/>
              </w:rPr>
              <w:t>9.2 Percentage of the population in traditional occupations*</w:t>
            </w:r>
          </w:p>
        </w:tc>
      </w:tr>
      <w:tr w:rsidR="00005A3C" w:rsidRPr="006A0C48" w14:paraId="016D9811" w14:textId="77777777" w:rsidTr="00EC38A7">
        <w:trPr>
          <w:jc w:val="center"/>
        </w:trPr>
        <w:tc>
          <w:tcPr>
            <w:tcW w:w="1184" w:type="dxa"/>
            <w:shd w:val="clear" w:color="auto" w:fill="auto"/>
          </w:tcPr>
          <w:p w14:paraId="2B423441" w14:textId="77777777" w:rsidR="00005A3C" w:rsidRPr="006A0C48" w:rsidRDefault="00005A3C" w:rsidP="00BC5121">
            <w:pPr>
              <w:spacing w:before="40" w:after="40"/>
              <w:rPr>
                <w:szCs w:val="22"/>
              </w:rPr>
            </w:pPr>
            <w:r w:rsidRPr="006A0C48">
              <w:rPr>
                <w:szCs w:val="22"/>
              </w:rPr>
              <w:t>10</w:t>
            </w:r>
          </w:p>
        </w:tc>
        <w:tc>
          <w:tcPr>
            <w:tcW w:w="8450" w:type="dxa"/>
            <w:shd w:val="clear" w:color="auto" w:fill="auto"/>
          </w:tcPr>
          <w:p w14:paraId="25DB5F48" w14:textId="77777777" w:rsidR="00005A3C" w:rsidRPr="006A0C48" w:rsidRDefault="00005A3C" w:rsidP="008C27A5">
            <w:pPr>
              <w:spacing w:before="40" w:after="40"/>
              <w:rPr>
                <w:szCs w:val="22"/>
              </w:rPr>
            </w:pPr>
            <w:r w:rsidRPr="006A0C48">
              <w:rPr>
                <w:szCs w:val="22"/>
              </w:rPr>
              <w:t>10.1 Proportion of agricultural area under productive and sustainable agriculture</w:t>
            </w:r>
          </w:p>
          <w:p w14:paraId="6BE31370" w14:textId="77777777" w:rsidR="00005A3C" w:rsidRPr="006A0C48" w:rsidRDefault="00005A3C" w:rsidP="008C27A5">
            <w:pPr>
              <w:spacing w:before="40" w:after="40"/>
              <w:rPr>
                <w:szCs w:val="22"/>
              </w:rPr>
            </w:pPr>
            <w:r w:rsidRPr="006A0C48">
              <w:rPr>
                <w:szCs w:val="22"/>
              </w:rPr>
              <w:t xml:space="preserve">10.2 Progress towards sustainable forest management </w:t>
            </w:r>
          </w:p>
        </w:tc>
      </w:tr>
      <w:tr w:rsidR="00005A3C" w:rsidRPr="006A0C48" w14:paraId="045E38EB" w14:textId="77777777" w:rsidTr="00EC38A7">
        <w:trPr>
          <w:jc w:val="center"/>
        </w:trPr>
        <w:tc>
          <w:tcPr>
            <w:tcW w:w="1184" w:type="dxa"/>
            <w:shd w:val="clear" w:color="auto" w:fill="auto"/>
          </w:tcPr>
          <w:p w14:paraId="646F78B3" w14:textId="77777777" w:rsidR="00005A3C" w:rsidRPr="006A0C48" w:rsidRDefault="00005A3C" w:rsidP="00BC5121">
            <w:pPr>
              <w:spacing w:before="40" w:after="40"/>
              <w:rPr>
                <w:szCs w:val="22"/>
              </w:rPr>
            </w:pPr>
            <w:r w:rsidRPr="006A0C48">
              <w:rPr>
                <w:szCs w:val="22"/>
              </w:rPr>
              <w:t>11</w:t>
            </w:r>
          </w:p>
          <w:p w14:paraId="23765188" w14:textId="77777777" w:rsidR="00005A3C" w:rsidRPr="006A0C48" w:rsidRDefault="00005A3C" w:rsidP="00BC5121">
            <w:pPr>
              <w:spacing w:before="40" w:after="40"/>
              <w:rPr>
                <w:szCs w:val="22"/>
              </w:rPr>
            </w:pPr>
          </w:p>
        </w:tc>
        <w:tc>
          <w:tcPr>
            <w:tcW w:w="8450" w:type="dxa"/>
            <w:shd w:val="clear" w:color="auto" w:fill="auto"/>
          </w:tcPr>
          <w:p w14:paraId="0D229FEF" w14:textId="77777777" w:rsidR="00005A3C" w:rsidRPr="006A0C48" w:rsidRDefault="00005A3C" w:rsidP="00BC5121">
            <w:pPr>
              <w:spacing w:before="40" w:after="40"/>
              <w:rPr>
                <w:szCs w:val="22"/>
              </w:rPr>
            </w:pPr>
            <w:r w:rsidRPr="006A0C48">
              <w:rPr>
                <w:szCs w:val="22"/>
              </w:rPr>
              <w:t xml:space="preserve">B.1 Services provided by ecosystems*  </w:t>
            </w:r>
          </w:p>
        </w:tc>
      </w:tr>
      <w:tr w:rsidR="00005A3C" w:rsidRPr="006A0C48" w14:paraId="7AF3A12B" w14:textId="77777777" w:rsidTr="00EC38A7">
        <w:trPr>
          <w:jc w:val="center"/>
        </w:trPr>
        <w:tc>
          <w:tcPr>
            <w:tcW w:w="1184" w:type="dxa"/>
            <w:shd w:val="clear" w:color="auto" w:fill="auto"/>
          </w:tcPr>
          <w:p w14:paraId="2DBA3F7A" w14:textId="77777777" w:rsidR="00005A3C" w:rsidRPr="006A0C48" w:rsidRDefault="00005A3C" w:rsidP="00BC5121">
            <w:pPr>
              <w:spacing w:before="40" w:after="40"/>
              <w:rPr>
                <w:szCs w:val="22"/>
              </w:rPr>
            </w:pPr>
            <w:r w:rsidRPr="006A0C48">
              <w:rPr>
                <w:szCs w:val="22"/>
              </w:rPr>
              <w:t>12</w:t>
            </w:r>
            <w:r w:rsidRPr="006A0C48">
              <w:rPr>
                <w:b/>
                <w:bCs/>
                <w:szCs w:val="22"/>
                <w:vertAlign w:val="superscript"/>
              </w:rPr>
              <w:t>b</w:t>
            </w:r>
          </w:p>
        </w:tc>
        <w:tc>
          <w:tcPr>
            <w:tcW w:w="8450" w:type="dxa"/>
            <w:shd w:val="clear" w:color="auto" w:fill="auto"/>
          </w:tcPr>
          <w:p w14:paraId="5D21F652" w14:textId="77777777" w:rsidR="00005A3C" w:rsidRPr="006A0C48" w:rsidRDefault="00005A3C" w:rsidP="006726E6">
            <w:pPr>
              <w:spacing w:before="40" w:after="40"/>
              <w:jc w:val="left"/>
              <w:rPr>
                <w:i/>
                <w:iCs/>
                <w:szCs w:val="22"/>
              </w:rPr>
            </w:pPr>
            <w:r w:rsidRPr="006A0C48">
              <w:rPr>
                <w:szCs w:val="22"/>
              </w:rPr>
              <w:t>12.1 Average share of the built-up area of cities that is green/blue space for public use for all</w:t>
            </w:r>
          </w:p>
        </w:tc>
      </w:tr>
      <w:tr w:rsidR="00005A3C" w:rsidRPr="006A0C48" w14:paraId="6BB4623F" w14:textId="77777777" w:rsidTr="00EC38A7">
        <w:trPr>
          <w:trHeight w:val="404"/>
          <w:jc w:val="center"/>
        </w:trPr>
        <w:tc>
          <w:tcPr>
            <w:tcW w:w="1184" w:type="dxa"/>
            <w:shd w:val="clear" w:color="auto" w:fill="auto"/>
          </w:tcPr>
          <w:p w14:paraId="6F7AF8B6" w14:textId="77777777" w:rsidR="00005A3C" w:rsidRPr="006A0C48" w:rsidRDefault="00005A3C" w:rsidP="00BC5121">
            <w:pPr>
              <w:spacing w:before="40" w:after="40"/>
              <w:rPr>
                <w:szCs w:val="22"/>
              </w:rPr>
            </w:pPr>
            <w:r w:rsidRPr="006A0C48">
              <w:rPr>
                <w:szCs w:val="22"/>
              </w:rPr>
              <w:t>13</w:t>
            </w:r>
            <w:r w:rsidRPr="006A0C48">
              <w:rPr>
                <w:b/>
                <w:bCs/>
                <w:szCs w:val="22"/>
                <w:vertAlign w:val="superscript"/>
              </w:rPr>
              <w:t>b</w:t>
            </w:r>
          </w:p>
        </w:tc>
        <w:tc>
          <w:tcPr>
            <w:tcW w:w="8450" w:type="dxa"/>
            <w:shd w:val="clear" w:color="auto" w:fill="auto"/>
          </w:tcPr>
          <w:p w14:paraId="5BA45554" w14:textId="77777777" w:rsidR="00005A3C" w:rsidRPr="006A0C48" w:rsidRDefault="00005A3C" w:rsidP="00BC5121">
            <w:pPr>
              <w:spacing w:before="40" w:after="40"/>
              <w:rPr>
                <w:szCs w:val="22"/>
              </w:rPr>
            </w:pPr>
            <w:r w:rsidRPr="006A0C48">
              <w:rPr>
                <w:szCs w:val="22"/>
              </w:rPr>
              <w:t>C.1 Indicator on monetary benefits received*</w:t>
            </w:r>
          </w:p>
          <w:p w14:paraId="4A6A510E" w14:textId="77777777" w:rsidR="00005A3C" w:rsidRPr="006A0C48" w:rsidRDefault="00005A3C" w:rsidP="00BC5121">
            <w:pPr>
              <w:spacing w:before="40" w:after="40"/>
              <w:rPr>
                <w:szCs w:val="22"/>
              </w:rPr>
            </w:pPr>
            <w:r w:rsidRPr="006A0C48">
              <w:rPr>
                <w:szCs w:val="22"/>
              </w:rPr>
              <w:t>C.2 Indicator on non-monetary benefits*</w:t>
            </w:r>
          </w:p>
        </w:tc>
      </w:tr>
      <w:tr w:rsidR="00005A3C" w:rsidRPr="006A0C48" w14:paraId="6E3BD963" w14:textId="77777777" w:rsidTr="00EC38A7">
        <w:trPr>
          <w:trHeight w:val="386"/>
          <w:jc w:val="center"/>
        </w:trPr>
        <w:tc>
          <w:tcPr>
            <w:tcW w:w="1184" w:type="dxa"/>
            <w:shd w:val="clear" w:color="auto" w:fill="auto"/>
          </w:tcPr>
          <w:p w14:paraId="0229F4C4" w14:textId="77777777" w:rsidR="00005A3C" w:rsidRPr="006A0C48" w:rsidRDefault="00005A3C" w:rsidP="00BC5121">
            <w:pPr>
              <w:spacing w:before="40" w:after="40"/>
              <w:rPr>
                <w:szCs w:val="22"/>
              </w:rPr>
            </w:pPr>
            <w:r w:rsidRPr="006A0C48">
              <w:rPr>
                <w:szCs w:val="22"/>
              </w:rPr>
              <w:lastRenderedPageBreak/>
              <w:t>14</w:t>
            </w:r>
            <w:r w:rsidRPr="006A0C48">
              <w:rPr>
                <w:b/>
                <w:bCs/>
                <w:szCs w:val="22"/>
                <w:vertAlign w:val="superscript"/>
              </w:rPr>
              <w:t>b</w:t>
            </w:r>
          </w:p>
        </w:tc>
        <w:tc>
          <w:tcPr>
            <w:tcW w:w="8450" w:type="dxa"/>
            <w:shd w:val="clear" w:color="auto" w:fill="auto"/>
          </w:tcPr>
          <w:p w14:paraId="1E9FA9A5" w14:textId="77777777" w:rsidR="00005A3C" w:rsidRPr="006A0C48" w:rsidRDefault="00005A3C" w:rsidP="00BC5121">
            <w:pPr>
              <w:spacing w:before="40" w:after="40"/>
              <w:rPr>
                <w:i/>
                <w:iCs/>
                <w:szCs w:val="22"/>
              </w:rPr>
            </w:pPr>
            <w:r w:rsidRPr="006A0C48">
              <w:rPr>
                <w:i/>
                <w:iCs/>
                <w:szCs w:val="22"/>
              </w:rPr>
              <w:t>-</w:t>
            </w:r>
          </w:p>
        </w:tc>
      </w:tr>
      <w:tr w:rsidR="00005A3C" w:rsidRPr="006A0C48" w14:paraId="1D1CCEBA" w14:textId="77777777" w:rsidTr="00EC38A7">
        <w:trPr>
          <w:trHeight w:val="332"/>
          <w:jc w:val="center"/>
        </w:trPr>
        <w:tc>
          <w:tcPr>
            <w:tcW w:w="1184" w:type="dxa"/>
            <w:shd w:val="clear" w:color="auto" w:fill="auto"/>
          </w:tcPr>
          <w:p w14:paraId="090F8F86" w14:textId="77777777" w:rsidR="00005A3C" w:rsidRPr="006A0C48" w:rsidRDefault="00005A3C" w:rsidP="00BC5121">
            <w:pPr>
              <w:spacing w:before="40" w:after="40"/>
              <w:rPr>
                <w:szCs w:val="22"/>
              </w:rPr>
            </w:pPr>
            <w:r w:rsidRPr="006A0C48">
              <w:rPr>
                <w:szCs w:val="22"/>
              </w:rPr>
              <w:t>15</w:t>
            </w:r>
            <w:r w:rsidRPr="006A0C48">
              <w:rPr>
                <w:b/>
                <w:bCs/>
                <w:szCs w:val="22"/>
                <w:vertAlign w:val="superscript"/>
              </w:rPr>
              <w:t>b</w:t>
            </w:r>
          </w:p>
        </w:tc>
        <w:tc>
          <w:tcPr>
            <w:tcW w:w="8450" w:type="dxa"/>
            <w:shd w:val="clear" w:color="auto" w:fill="auto"/>
          </w:tcPr>
          <w:p w14:paraId="3501B22A" w14:textId="77777777" w:rsidR="00005A3C" w:rsidRPr="006A0C48" w:rsidRDefault="00005A3C" w:rsidP="006726E6">
            <w:pPr>
              <w:spacing w:before="40" w:after="40"/>
              <w:jc w:val="left"/>
              <w:rPr>
                <w:szCs w:val="22"/>
                <w:vertAlign w:val="superscript"/>
              </w:rPr>
            </w:pPr>
            <w:r w:rsidRPr="006A0C48">
              <w:rPr>
                <w:szCs w:val="22"/>
              </w:rPr>
              <w:t xml:space="preserve">15.1 Number of companies reporting on disclosures of risks, dependencies and impacts </w:t>
            </w:r>
            <w:r>
              <w:rPr>
                <w:szCs w:val="22"/>
              </w:rPr>
              <w:t xml:space="preserve">on </w:t>
            </w:r>
            <w:r w:rsidRPr="006A0C48">
              <w:rPr>
                <w:szCs w:val="22"/>
              </w:rPr>
              <w:t>biodiversity*</w:t>
            </w:r>
          </w:p>
        </w:tc>
      </w:tr>
      <w:tr w:rsidR="00005A3C" w:rsidRPr="006A0C48" w14:paraId="36A63E13" w14:textId="77777777" w:rsidTr="00EC38A7">
        <w:trPr>
          <w:trHeight w:val="332"/>
          <w:jc w:val="center"/>
        </w:trPr>
        <w:tc>
          <w:tcPr>
            <w:tcW w:w="1184" w:type="dxa"/>
            <w:shd w:val="clear" w:color="auto" w:fill="auto"/>
          </w:tcPr>
          <w:p w14:paraId="75336466" w14:textId="77777777" w:rsidR="00005A3C" w:rsidRPr="006A0C48" w:rsidRDefault="00005A3C" w:rsidP="00BC5121">
            <w:pPr>
              <w:spacing w:before="40" w:after="40"/>
              <w:rPr>
                <w:szCs w:val="22"/>
              </w:rPr>
            </w:pPr>
            <w:r w:rsidRPr="006A0C48">
              <w:rPr>
                <w:szCs w:val="22"/>
              </w:rPr>
              <w:t>16</w:t>
            </w:r>
            <w:r w:rsidRPr="006A0C48">
              <w:rPr>
                <w:b/>
                <w:bCs/>
                <w:szCs w:val="22"/>
                <w:vertAlign w:val="superscript"/>
              </w:rPr>
              <w:t>b</w:t>
            </w:r>
          </w:p>
        </w:tc>
        <w:tc>
          <w:tcPr>
            <w:tcW w:w="8450" w:type="dxa"/>
            <w:shd w:val="clear" w:color="auto" w:fill="auto"/>
          </w:tcPr>
          <w:p w14:paraId="4F9F8B0C" w14:textId="77777777" w:rsidR="00005A3C" w:rsidRPr="006A0C48" w:rsidRDefault="00005A3C" w:rsidP="00BC5121">
            <w:pPr>
              <w:spacing w:before="40" w:after="40"/>
              <w:rPr>
                <w:i/>
                <w:iCs/>
                <w:color w:val="000000"/>
                <w:szCs w:val="22"/>
              </w:rPr>
            </w:pPr>
            <w:r w:rsidRPr="006A0C48">
              <w:rPr>
                <w:szCs w:val="22"/>
              </w:rPr>
              <w:t>-</w:t>
            </w:r>
          </w:p>
        </w:tc>
      </w:tr>
      <w:tr w:rsidR="00005A3C" w:rsidRPr="006A0C48" w14:paraId="087CD0EB" w14:textId="77777777" w:rsidTr="00EC38A7">
        <w:trPr>
          <w:trHeight w:val="332"/>
          <w:jc w:val="center"/>
        </w:trPr>
        <w:tc>
          <w:tcPr>
            <w:tcW w:w="1184" w:type="dxa"/>
            <w:shd w:val="clear" w:color="auto" w:fill="auto"/>
          </w:tcPr>
          <w:p w14:paraId="22A83C44" w14:textId="77777777" w:rsidR="00005A3C" w:rsidRPr="006A0C48" w:rsidRDefault="00005A3C" w:rsidP="00BC5121">
            <w:pPr>
              <w:spacing w:before="40" w:after="40"/>
              <w:rPr>
                <w:szCs w:val="22"/>
              </w:rPr>
            </w:pPr>
            <w:r w:rsidRPr="006A0C48">
              <w:rPr>
                <w:szCs w:val="22"/>
              </w:rPr>
              <w:t>17</w:t>
            </w:r>
            <w:r w:rsidRPr="006A0C48">
              <w:rPr>
                <w:b/>
                <w:bCs/>
                <w:szCs w:val="22"/>
                <w:vertAlign w:val="superscript"/>
              </w:rPr>
              <w:t>b</w:t>
            </w:r>
          </w:p>
        </w:tc>
        <w:tc>
          <w:tcPr>
            <w:tcW w:w="8450" w:type="dxa"/>
            <w:shd w:val="clear" w:color="auto" w:fill="auto"/>
          </w:tcPr>
          <w:p w14:paraId="2B1CBC9E" w14:textId="77777777" w:rsidR="00005A3C" w:rsidRPr="006A0C48" w:rsidRDefault="00005A3C" w:rsidP="00BC5121">
            <w:pPr>
              <w:spacing w:before="40" w:after="40"/>
              <w:rPr>
                <w:i/>
                <w:iCs/>
                <w:color w:val="000000"/>
                <w:szCs w:val="22"/>
              </w:rPr>
            </w:pPr>
            <w:r w:rsidRPr="006A0C48">
              <w:rPr>
                <w:i/>
                <w:iCs/>
                <w:color w:val="000000"/>
                <w:szCs w:val="22"/>
              </w:rPr>
              <w:t>-</w:t>
            </w:r>
          </w:p>
        </w:tc>
      </w:tr>
      <w:tr w:rsidR="00005A3C" w:rsidRPr="006A0C48" w14:paraId="30203661" w14:textId="77777777" w:rsidTr="00EC38A7">
        <w:trPr>
          <w:trHeight w:val="656"/>
          <w:jc w:val="center"/>
        </w:trPr>
        <w:tc>
          <w:tcPr>
            <w:tcW w:w="1184" w:type="dxa"/>
            <w:shd w:val="clear" w:color="auto" w:fill="auto"/>
          </w:tcPr>
          <w:p w14:paraId="376780D8" w14:textId="77777777" w:rsidR="00005A3C" w:rsidRPr="006A0C48" w:rsidRDefault="00005A3C" w:rsidP="00BC5121">
            <w:pPr>
              <w:spacing w:before="40" w:after="40"/>
              <w:rPr>
                <w:szCs w:val="22"/>
              </w:rPr>
            </w:pPr>
            <w:r w:rsidRPr="006A0C48">
              <w:rPr>
                <w:szCs w:val="22"/>
              </w:rPr>
              <w:t>18</w:t>
            </w:r>
          </w:p>
          <w:p w14:paraId="18C69E29" w14:textId="77777777" w:rsidR="00005A3C" w:rsidRPr="006A0C48" w:rsidRDefault="00005A3C" w:rsidP="00BC5121">
            <w:pPr>
              <w:spacing w:before="40" w:after="40"/>
              <w:rPr>
                <w:szCs w:val="22"/>
              </w:rPr>
            </w:pPr>
          </w:p>
        </w:tc>
        <w:tc>
          <w:tcPr>
            <w:tcW w:w="8450" w:type="dxa"/>
            <w:shd w:val="clear" w:color="auto" w:fill="auto"/>
          </w:tcPr>
          <w:p w14:paraId="16AE4D82" w14:textId="77777777" w:rsidR="00005A3C" w:rsidRPr="006A0C48" w:rsidRDefault="00005A3C" w:rsidP="006726E6">
            <w:pPr>
              <w:spacing w:before="40" w:after="40"/>
              <w:jc w:val="left"/>
              <w:rPr>
                <w:color w:val="000000"/>
                <w:szCs w:val="22"/>
              </w:rPr>
            </w:pPr>
            <w:r w:rsidRPr="006A0C48">
              <w:rPr>
                <w:color w:val="000000"/>
                <w:szCs w:val="22"/>
              </w:rPr>
              <w:t>18.1 Positive incentives in place to promote biodiversity conservation and sustainable use</w:t>
            </w:r>
          </w:p>
          <w:p w14:paraId="37E03A10" w14:textId="77777777" w:rsidR="00005A3C" w:rsidRPr="006A0C48" w:rsidRDefault="00005A3C" w:rsidP="006726E6">
            <w:pPr>
              <w:spacing w:before="40" w:after="40"/>
              <w:jc w:val="left"/>
              <w:rPr>
                <w:szCs w:val="22"/>
              </w:rPr>
            </w:pPr>
            <w:r w:rsidRPr="006A0C48">
              <w:rPr>
                <w:szCs w:val="22"/>
              </w:rPr>
              <w:t>18.2 Value of subsidies and other incentives harmful to biodiversity that have been eliminated, phased out or reformed</w:t>
            </w:r>
          </w:p>
        </w:tc>
      </w:tr>
      <w:tr w:rsidR="00005A3C" w:rsidRPr="006A0C48" w14:paraId="1C590EBE" w14:textId="77777777" w:rsidTr="00EC38A7">
        <w:trPr>
          <w:jc w:val="center"/>
        </w:trPr>
        <w:tc>
          <w:tcPr>
            <w:tcW w:w="1184" w:type="dxa"/>
            <w:shd w:val="clear" w:color="auto" w:fill="auto"/>
          </w:tcPr>
          <w:p w14:paraId="5ED2F46A" w14:textId="77777777" w:rsidR="00005A3C" w:rsidRPr="006A0C48" w:rsidRDefault="00005A3C" w:rsidP="00BC5121">
            <w:pPr>
              <w:spacing w:before="40" w:after="40"/>
              <w:rPr>
                <w:szCs w:val="22"/>
              </w:rPr>
            </w:pPr>
            <w:r w:rsidRPr="006A0C48">
              <w:rPr>
                <w:szCs w:val="22"/>
              </w:rPr>
              <w:t>19</w:t>
            </w:r>
          </w:p>
        </w:tc>
        <w:tc>
          <w:tcPr>
            <w:tcW w:w="8450" w:type="dxa"/>
            <w:shd w:val="clear" w:color="auto" w:fill="auto"/>
          </w:tcPr>
          <w:p w14:paraId="5DF763CB" w14:textId="77777777" w:rsidR="00005A3C" w:rsidRPr="006A0C48" w:rsidRDefault="00005A3C"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76BC420D" w14:textId="77777777" w:rsidR="00005A3C" w:rsidRPr="006A0C48" w:rsidRDefault="00005A3C"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2F3EEEB9" w14:textId="77777777" w:rsidR="00005A3C" w:rsidRPr="006A0C48" w:rsidRDefault="00005A3C"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005A3C" w:rsidRPr="006A0C48" w14:paraId="7287983E" w14:textId="77777777" w:rsidTr="00EC38A7">
        <w:trPr>
          <w:jc w:val="center"/>
        </w:trPr>
        <w:tc>
          <w:tcPr>
            <w:tcW w:w="1184" w:type="dxa"/>
            <w:shd w:val="clear" w:color="auto" w:fill="auto"/>
          </w:tcPr>
          <w:p w14:paraId="1F975934" w14:textId="77777777" w:rsidR="00005A3C" w:rsidRPr="006A0C48" w:rsidRDefault="00005A3C" w:rsidP="00BC5121">
            <w:pPr>
              <w:spacing w:before="40" w:after="40"/>
              <w:rPr>
                <w:szCs w:val="22"/>
              </w:rPr>
            </w:pPr>
            <w:r w:rsidRPr="006A0C48">
              <w:rPr>
                <w:szCs w:val="22"/>
              </w:rPr>
              <w:t>20</w:t>
            </w:r>
          </w:p>
        </w:tc>
        <w:tc>
          <w:tcPr>
            <w:tcW w:w="8450" w:type="dxa"/>
            <w:shd w:val="clear" w:color="auto" w:fill="auto"/>
          </w:tcPr>
          <w:p w14:paraId="0C45F2FD" w14:textId="77777777" w:rsidR="00005A3C" w:rsidRPr="006A0C48" w:rsidRDefault="00005A3C" w:rsidP="00BC5121">
            <w:pPr>
              <w:spacing w:before="40" w:after="40"/>
              <w:rPr>
                <w:szCs w:val="22"/>
              </w:rPr>
            </w:pPr>
            <w:r w:rsidRPr="006A0C48">
              <w:rPr>
                <w:szCs w:val="22"/>
              </w:rPr>
              <w:t>-</w:t>
            </w:r>
          </w:p>
        </w:tc>
      </w:tr>
      <w:tr w:rsidR="00005A3C" w:rsidRPr="006A0C48" w14:paraId="15469608" w14:textId="77777777" w:rsidTr="00EC38A7">
        <w:trPr>
          <w:jc w:val="center"/>
        </w:trPr>
        <w:tc>
          <w:tcPr>
            <w:tcW w:w="1184" w:type="dxa"/>
            <w:shd w:val="clear" w:color="auto" w:fill="auto"/>
          </w:tcPr>
          <w:p w14:paraId="56E8758A" w14:textId="77777777" w:rsidR="00005A3C" w:rsidRPr="006A0C48" w:rsidRDefault="00005A3C" w:rsidP="00BC5121">
            <w:pPr>
              <w:spacing w:before="40" w:after="40"/>
              <w:rPr>
                <w:szCs w:val="22"/>
              </w:rPr>
            </w:pPr>
            <w:r w:rsidRPr="006A0C48">
              <w:rPr>
                <w:szCs w:val="22"/>
              </w:rPr>
              <w:t>21</w:t>
            </w:r>
          </w:p>
        </w:tc>
        <w:tc>
          <w:tcPr>
            <w:tcW w:w="8450" w:type="dxa"/>
            <w:shd w:val="clear" w:color="auto" w:fill="auto"/>
          </w:tcPr>
          <w:p w14:paraId="2EF20214" w14:textId="77777777" w:rsidR="00005A3C" w:rsidRPr="006A0C48" w:rsidRDefault="00005A3C" w:rsidP="006726E6">
            <w:pPr>
              <w:spacing w:before="40" w:after="40"/>
              <w:jc w:val="left"/>
              <w:rPr>
                <w:i/>
                <w:iCs/>
                <w:szCs w:val="22"/>
              </w:rPr>
            </w:pPr>
            <w:r w:rsidRPr="006A0C48">
              <w:rPr>
                <w:szCs w:val="22"/>
              </w:rPr>
              <w:t xml:space="preserve">21.1 Indicator on biodiversity information for monitoring the Kunming-Montreal Global Biodiversity Framework </w:t>
            </w:r>
          </w:p>
        </w:tc>
      </w:tr>
      <w:tr w:rsidR="00005A3C" w:rsidRPr="006A0C48" w14:paraId="675C6B09" w14:textId="77777777" w:rsidTr="00EC38A7">
        <w:trPr>
          <w:jc w:val="center"/>
        </w:trPr>
        <w:tc>
          <w:tcPr>
            <w:tcW w:w="1184" w:type="dxa"/>
            <w:shd w:val="clear" w:color="auto" w:fill="auto"/>
          </w:tcPr>
          <w:p w14:paraId="4FF65F70" w14:textId="77777777" w:rsidR="00005A3C" w:rsidRPr="006A0C48" w:rsidRDefault="00005A3C" w:rsidP="00BC5121">
            <w:pPr>
              <w:spacing w:before="40" w:after="40"/>
              <w:rPr>
                <w:szCs w:val="22"/>
              </w:rPr>
            </w:pPr>
            <w:r w:rsidRPr="006A0C48">
              <w:rPr>
                <w:szCs w:val="22"/>
              </w:rPr>
              <w:t>22</w:t>
            </w:r>
            <w:r w:rsidRPr="006A0C48">
              <w:rPr>
                <w:szCs w:val="22"/>
                <w:vertAlign w:val="superscript"/>
              </w:rPr>
              <w:t>b</w:t>
            </w:r>
          </w:p>
        </w:tc>
        <w:tc>
          <w:tcPr>
            <w:tcW w:w="8450" w:type="dxa"/>
            <w:shd w:val="clear" w:color="auto" w:fill="auto"/>
          </w:tcPr>
          <w:p w14:paraId="39B81DCF" w14:textId="77777777" w:rsidR="00005A3C" w:rsidRPr="006A0C48" w:rsidRDefault="00005A3C" w:rsidP="00BC5121">
            <w:pPr>
              <w:spacing w:before="40" w:after="40"/>
              <w:rPr>
                <w:szCs w:val="22"/>
              </w:rPr>
            </w:pPr>
            <w:r w:rsidRPr="006A0C48">
              <w:rPr>
                <w:szCs w:val="22"/>
              </w:rPr>
              <w:t>-</w:t>
            </w:r>
          </w:p>
        </w:tc>
      </w:tr>
      <w:tr w:rsidR="00005A3C" w:rsidRPr="006A0C48" w14:paraId="486D9BE8" w14:textId="77777777" w:rsidTr="00EC38A7">
        <w:trPr>
          <w:jc w:val="center"/>
        </w:trPr>
        <w:tc>
          <w:tcPr>
            <w:tcW w:w="1184" w:type="dxa"/>
            <w:shd w:val="clear" w:color="auto" w:fill="auto"/>
          </w:tcPr>
          <w:p w14:paraId="5F831421" w14:textId="77777777" w:rsidR="00005A3C" w:rsidRPr="006A0C48" w:rsidRDefault="00005A3C" w:rsidP="00BC5121">
            <w:pPr>
              <w:spacing w:before="40" w:after="40"/>
              <w:rPr>
                <w:szCs w:val="22"/>
              </w:rPr>
            </w:pPr>
            <w:r w:rsidRPr="006A0C48">
              <w:rPr>
                <w:szCs w:val="22"/>
              </w:rPr>
              <w:t>23</w:t>
            </w:r>
            <w:r w:rsidRPr="006A0C48">
              <w:rPr>
                <w:szCs w:val="22"/>
                <w:vertAlign w:val="superscript"/>
              </w:rPr>
              <w:t>b</w:t>
            </w:r>
          </w:p>
        </w:tc>
        <w:tc>
          <w:tcPr>
            <w:tcW w:w="8450" w:type="dxa"/>
            <w:shd w:val="clear" w:color="auto" w:fill="auto"/>
          </w:tcPr>
          <w:p w14:paraId="42A82A5A" w14:textId="77777777" w:rsidR="00005A3C" w:rsidRPr="006A0C48" w:rsidRDefault="00005A3C" w:rsidP="00BC5121">
            <w:pPr>
              <w:spacing w:before="40" w:after="40"/>
              <w:rPr>
                <w:szCs w:val="22"/>
              </w:rPr>
            </w:pPr>
            <w:r w:rsidRPr="006A0C48">
              <w:rPr>
                <w:szCs w:val="22"/>
              </w:rPr>
              <w:t>-</w:t>
            </w:r>
          </w:p>
        </w:tc>
      </w:tr>
    </w:tbl>
    <w:p w14:paraId="3002EB9F" w14:textId="77777777" w:rsidR="00005A3C" w:rsidRPr="006A0C48" w:rsidRDefault="00005A3C" w:rsidP="00BC5121">
      <w:pPr>
        <w:pStyle w:val="ListParagraph"/>
        <w:ind w:left="0"/>
        <w:rPr>
          <w:sz w:val="20"/>
          <w:szCs w:val="20"/>
        </w:rPr>
      </w:pPr>
    </w:p>
    <w:p w14:paraId="7B161284" w14:textId="77777777" w:rsidR="00005A3C" w:rsidRPr="006A0C48" w:rsidRDefault="00005A3C" w:rsidP="00BC5121">
      <w:pPr>
        <w:pStyle w:val="ListParagraph"/>
        <w:ind w:left="0"/>
        <w:jc w:val="center"/>
        <w:rPr>
          <w:b/>
          <w:bCs/>
        </w:rPr>
      </w:pPr>
    </w:p>
    <w:p w14:paraId="18D15767" w14:textId="77777777" w:rsidR="00005A3C" w:rsidRPr="006A0C48" w:rsidRDefault="00005A3C" w:rsidP="00BC5121">
      <w:pPr>
        <w:spacing w:after="120"/>
        <w:jc w:val="center"/>
        <w:rPr>
          <w:rFonts w:asciiTheme="majorBidi" w:hAnsiTheme="majorBidi" w:cstheme="majorBidi"/>
          <w:b/>
          <w:bCs/>
          <w:snapToGrid w:val="0"/>
        </w:rPr>
        <w:sectPr w:rsidR="00005A3C" w:rsidRPr="006A0C48" w:rsidSect="00FF09AC">
          <w:headerReference w:type="even" r:id="rId18"/>
          <w:headerReference w:type="default" r:id="rId19"/>
          <w:headerReference w:type="first" r:id="rId20"/>
          <w:footnotePr>
            <w:numRestart w:val="eachSect"/>
          </w:footnotePr>
          <w:pgSz w:w="12240" w:h="15840"/>
          <w:pgMar w:top="567" w:right="1440" w:bottom="1134" w:left="1440" w:header="709" w:footer="709" w:gutter="0"/>
          <w:cols w:space="708"/>
          <w:docGrid w:linePitch="360"/>
        </w:sectPr>
      </w:pPr>
    </w:p>
    <w:p w14:paraId="3212D13A" w14:textId="77777777" w:rsidR="00005A3C" w:rsidRPr="006A0C48" w:rsidRDefault="00005A3C" w:rsidP="00BC374B">
      <w:pPr>
        <w:spacing w:after="120"/>
        <w:jc w:val="left"/>
        <w:rPr>
          <w:rFonts w:asciiTheme="majorBidi" w:hAnsiTheme="majorBidi" w:cstheme="majorBidi"/>
          <w:b/>
          <w:bCs/>
        </w:rPr>
      </w:pPr>
      <w:r w:rsidRPr="006A0C48">
        <w:rPr>
          <w:rFonts w:asciiTheme="majorBidi" w:hAnsiTheme="majorBidi" w:cstheme="majorBidi"/>
          <w:b/>
          <w:bCs/>
          <w:snapToGrid w:val="0"/>
        </w:rPr>
        <w:lastRenderedPageBreak/>
        <w:t>Table 2. Proposed indicators for the Kunming-Montreal</w:t>
      </w:r>
      <w:r w:rsidRPr="006A0C48">
        <w:rPr>
          <w:kern w:val="22"/>
        </w:rPr>
        <w:t xml:space="preserve"> </w:t>
      </w:r>
      <w:r w:rsidRPr="006A0C48">
        <w:rPr>
          <w:rFonts w:asciiTheme="majorBidi" w:hAnsiTheme="majorBidi" w:cstheme="majorBidi"/>
          <w:b/>
          <w:bCs/>
          <w:snapToGrid w:val="0"/>
        </w:rPr>
        <w:t xml:space="preserve">Global Biodiversity Framework </w:t>
      </w:r>
    </w:p>
    <w:tbl>
      <w:tblPr>
        <w:tblStyle w:val="TableGrid"/>
        <w:tblW w:w="13036" w:type="dxa"/>
        <w:shd w:val="clear" w:color="auto" w:fill="FFFFFF" w:themeFill="background1"/>
        <w:tblLayout w:type="fixed"/>
        <w:tblLook w:val="04A0" w:firstRow="1" w:lastRow="0" w:firstColumn="1" w:lastColumn="0" w:noHBand="0" w:noVBand="1"/>
      </w:tblPr>
      <w:tblGrid>
        <w:gridCol w:w="846"/>
        <w:gridCol w:w="3260"/>
        <w:gridCol w:w="3567"/>
        <w:gridCol w:w="5363"/>
      </w:tblGrid>
      <w:tr w:rsidR="00005A3C" w:rsidRPr="006A0C48" w14:paraId="29DF5BDF" w14:textId="77777777" w:rsidTr="00967EE7">
        <w:trPr>
          <w:trHeight w:val="300"/>
          <w:tblHeader/>
        </w:trPr>
        <w:tc>
          <w:tcPr>
            <w:tcW w:w="846" w:type="dxa"/>
            <w:shd w:val="clear" w:color="auto" w:fill="FFFFFF" w:themeFill="background1"/>
            <w:tcMar>
              <w:left w:w="57" w:type="dxa"/>
              <w:right w:w="57" w:type="dxa"/>
            </w:tcMar>
          </w:tcPr>
          <w:p w14:paraId="16F16A80" w14:textId="77777777" w:rsidR="00005A3C" w:rsidRPr="006A0C48" w:rsidRDefault="00005A3C" w:rsidP="00BC5121">
            <w:pPr>
              <w:spacing w:before="60" w:after="80"/>
              <w:rPr>
                <w:szCs w:val="22"/>
              </w:rPr>
            </w:pPr>
            <w:r w:rsidRPr="006A0C48">
              <w:rPr>
                <w:b/>
                <w:bCs/>
                <w:szCs w:val="22"/>
              </w:rPr>
              <w:t>Goal/ Target</w:t>
            </w:r>
          </w:p>
        </w:tc>
        <w:tc>
          <w:tcPr>
            <w:tcW w:w="3260" w:type="dxa"/>
            <w:shd w:val="clear" w:color="auto" w:fill="FFFFFF" w:themeFill="background1"/>
          </w:tcPr>
          <w:p w14:paraId="468F6E77" w14:textId="77777777" w:rsidR="00005A3C" w:rsidRPr="006A0C48" w:rsidRDefault="00005A3C" w:rsidP="006726E6">
            <w:pPr>
              <w:spacing w:before="60"/>
              <w:jc w:val="center"/>
              <w:rPr>
                <w:szCs w:val="22"/>
              </w:rPr>
            </w:pPr>
            <w:r w:rsidRPr="006A0C48">
              <w:rPr>
                <w:b/>
                <w:bCs/>
                <w:szCs w:val="22"/>
              </w:rPr>
              <w:t>Headline indicator</w:t>
            </w:r>
          </w:p>
        </w:tc>
        <w:tc>
          <w:tcPr>
            <w:tcW w:w="3567" w:type="dxa"/>
            <w:shd w:val="clear" w:color="auto" w:fill="FFFFFF" w:themeFill="background1"/>
          </w:tcPr>
          <w:p w14:paraId="078DAD64" w14:textId="77777777" w:rsidR="00005A3C" w:rsidRPr="006A0C48" w:rsidRDefault="00005A3C" w:rsidP="006726E6">
            <w:pPr>
              <w:spacing w:before="60" w:after="80"/>
              <w:jc w:val="center"/>
              <w:rPr>
                <w:szCs w:val="22"/>
              </w:rPr>
            </w:pPr>
            <w:r w:rsidRPr="006A0C48">
              <w:rPr>
                <w:b/>
                <w:bCs/>
                <w:szCs w:val="22"/>
              </w:rPr>
              <w:t>Component indicator</w:t>
            </w:r>
          </w:p>
        </w:tc>
        <w:tc>
          <w:tcPr>
            <w:tcW w:w="5363" w:type="dxa"/>
            <w:shd w:val="clear" w:color="auto" w:fill="FFFFFF" w:themeFill="background1"/>
          </w:tcPr>
          <w:p w14:paraId="614186DB" w14:textId="77777777" w:rsidR="00005A3C" w:rsidRPr="006A0C48" w:rsidRDefault="00005A3C" w:rsidP="006726E6">
            <w:pPr>
              <w:spacing w:before="60" w:after="80"/>
              <w:jc w:val="center"/>
              <w:rPr>
                <w:szCs w:val="22"/>
              </w:rPr>
            </w:pPr>
            <w:r w:rsidRPr="006A0C48">
              <w:rPr>
                <w:b/>
                <w:bCs/>
                <w:szCs w:val="22"/>
              </w:rPr>
              <w:t>Complementary indicator</w:t>
            </w:r>
          </w:p>
        </w:tc>
      </w:tr>
      <w:tr w:rsidR="00005A3C" w:rsidRPr="006A0C48" w14:paraId="03016765" w14:textId="77777777" w:rsidTr="00967EE7">
        <w:trPr>
          <w:trHeight w:val="300"/>
        </w:trPr>
        <w:tc>
          <w:tcPr>
            <w:tcW w:w="846" w:type="dxa"/>
            <w:shd w:val="clear" w:color="auto" w:fill="FFFFFF" w:themeFill="background1"/>
          </w:tcPr>
          <w:p w14:paraId="78D44B75" w14:textId="77777777" w:rsidR="00005A3C" w:rsidRPr="006A0C48" w:rsidRDefault="00005A3C" w:rsidP="00BC5121">
            <w:pPr>
              <w:spacing w:before="80" w:after="80"/>
              <w:rPr>
                <w:szCs w:val="22"/>
              </w:rPr>
            </w:pPr>
            <w:r w:rsidRPr="006A0C48">
              <w:rPr>
                <w:szCs w:val="22"/>
              </w:rPr>
              <w:t>A</w:t>
            </w:r>
          </w:p>
        </w:tc>
        <w:tc>
          <w:tcPr>
            <w:tcW w:w="3260" w:type="dxa"/>
            <w:shd w:val="clear" w:color="auto" w:fill="FFFFFF" w:themeFill="background1"/>
          </w:tcPr>
          <w:p w14:paraId="035FB25B" w14:textId="77777777" w:rsidR="00005A3C" w:rsidRPr="006A0C48" w:rsidRDefault="00005A3C" w:rsidP="00BC5121">
            <w:pPr>
              <w:spacing w:before="40" w:after="40"/>
              <w:rPr>
                <w:szCs w:val="22"/>
              </w:rPr>
            </w:pPr>
            <w:r w:rsidRPr="006A0C48">
              <w:rPr>
                <w:szCs w:val="22"/>
              </w:rPr>
              <w:t xml:space="preserve">A.1 Red List of Ecosystems </w:t>
            </w:r>
          </w:p>
          <w:p w14:paraId="094A0170" w14:textId="77777777" w:rsidR="00005A3C" w:rsidRPr="006A0C48" w:rsidRDefault="00005A3C" w:rsidP="00BC5121">
            <w:pPr>
              <w:tabs>
                <w:tab w:val="left" w:pos="4813"/>
              </w:tabs>
              <w:spacing w:before="40" w:after="40"/>
              <w:rPr>
                <w:szCs w:val="22"/>
              </w:rPr>
            </w:pPr>
            <w:r w:rsidRPr="006A0C48">
              <w:rPr>
                <w:szCs w:val="22"/>
              </w:rPr>
              <w:t xml:space="preserve">A.2 Extent of natural ecosystems </w:t>
            </w:r>
          </w:p>
          <w:p w14:paraId="7725D7E3" w14:textId="77777777" w:rsidR="00005A3C" w:rsidRPr="006A0C48" w:rsidRDefault="00005A3C" w:rsidP="00BC5121">
            <w:pPr>
              <w:spacing w:before="40" w:after="40"/>
              <w:rPr>
                <w:szCs w:val="22"/>
              </w:rPr>
            </w:pPr>
            <w:r w:rsidRPr="006A0C48">
              <w:rPr>
                <w:szCs w:val="22"/>
              </w:rPr>
              <w:t>A.3 Red List Index</w:t>
            </w:r>
          </w:p>
          <w:p w14:paraId="01D81422" w14:textId="77777777" w:rsidR="00005A3C" w:rsidRPr="006A0C48" w:rsidRDefault="00005A3C" w:rsidP="006726E6">
            <w:pPr>
              <w:spacing w:before="80" w:after="80"/>
              <w:jc w:val="left"/>
              <w:rPr>
                <w:szCs w:val="22"/>
              </w:rPr>
            </w:pPr>
            <w:r w:rsidRPr="006A0C48">
              <w:rPr>
                <w:szCs w:val="22"/>
              </w:rPr>
              <w:t>A.4 The proportion of populations within species with an effective population size &gt; 500</w:t>
            </w:r>
          </w:p>
        </w:tc>
        <w:tc>
          <w:tcPr>
            <w:tcW w:w="3567" w:type="dxa"/>
            <w:shd w:val="clear" w:color="auto" w:fill="FFFFFF" w:themeFill="background1"/>
          </w:tcPr>
          <w:p w14:paraId="598908C8" w14:textId="77777777" w:rsidR="00005A3C" w:rsidRPr="006A0C48" w:rsidRDefault="00005A3C" w:rsidP="00BC5121">
            <w:pPr>
              <w:spacing w:before="80" w:after="80"/>
              <w:rPr>
                <w:szCs w:val="22"/>
              </w:rPr>
            </w:pPr>
            <w:r w:rsidRPr="006A0C48">
              <w:rPr>
                <w:szCs w:val="22"/>
              </w:rPr>
              <w:t xml:space="preserve">Ecosystem Intactness Index </w:t>
            </w:r>
          </w:p>
          <w:p w14:paraId="7922D5D8" w14:textId="77777777" w:rsidR="00005A3C" w:rsidRPr="006A0C48" w:rsidRDefault="00005A3C" w:rsidP="00BC5121">
            <w:pPr>
              <w:spacing w:before="80" w:after="80"/>
              <w:rPr>
                <w:szCs w:val="22"/>
              </w:rPr>
            </w:pPr>
            <w:r w:rsidRPr="006A0C48">
              <w:rPr>
                <w:szCs w:val="22"/>
              </w:rPr>
              <w:t>Ecosystem Integrity Index</w:t>
            </w:r>
          </w:p>
          <w:p w14:paraId="4872B39C" w14:textId="77777777" w:rsidR="00005A3C" w:rsidRPr="006A0C48" w:rsidRDefault="00005A3C" w:rsidP="00BC5121">
            <w:pPr>
              <w:spacing w:before="80" w:after="80"/>
              <w:rPr>
                <w:szCs w:val="22"/>
              </w:rPr>
            </w:pPr>
            <w:r w:rsidRPr="006A0C48">
              <w:rPr>
                <w:szCs w:val="22"/>
              </w:rPr>
              <w:t>Species Habitat Index</w:t>
            </w:r>
          </w:p>
          <w:p w14:paraId="73613020" w14:textId="77777777" w:rsidR="00005A3C" w:rsidRPr="006A0C48" w:rsidRDefault="00005A3C" w:rsidP="00BC5121">
            <w:pPr>
              <w:spacing w:before="80" w:after="80"/>
              <w:rPr>
                <w:szCs w:val="22"/>
              </w:rPr>
            </w:pPr>
            <w:r w:rsidRPr="006A0C48">
              <w:rPr>
                <w:szCs w:val="22"/>
              </w:rPr>
              <w:t xml:space="preserve">Biodiversity Habitat Index </w:t>
            </w:r>
          </w:p>
          <w:p w14:paraId="72802E43" w14:textId="77777777" w:rsidR="00005A3C" w:rsidRPr="006A0C48" w:rsidRDefault="00005A3C" w:rsidP="00BC5121">
            <w:pPr>
              <w:spacing w:before="80" w:after="80"/>
              <w:rPr>
                <w:szCs w:val="22"/>
              </w:rPr>
            </w:pPr>
            <w:r w:rsidRPr="006A0C48">
              <w:rPr>
                <w:szCs w:val="22"/>
              </w:rPr>
              <w:t>Protected Connected (Protconn) index</w:t>
            </w:r>
          </w:p>
          <w:p w14:paraId="3A7BBD3F" w14:textId="77777777" w:rsidR="00005A3C" w:rsidRPr="006A0C48" w:rsidRDefault="00005A3C" w:rsidP="00BC5121">
            <w:pPr>
              <w:spacing w:before="80" w:after="80"/>
              <w:rPr>
                <w:szCs w:val="22"/>
              </w:rPr>
            </w:pPr>
            <w:r w:rsidRPr="006A0C48">
              <w:rPr>
                <w:szCs w:val="22"/>
              </w:rPr>
              <w:t>Parc connectedness</w:t>
            </w:r>
          </w:p>
          <w:p w14:paraId="3817EBEF" w14:textId="77777777" w:rsidR="00005A3C" w:rsidRPr="006A0C48" w:rsidRDefault="00005A3C" w:rsidP="00BC5121">
            <w:pPr>
              <w:spacing w:before="80" w:after="80"/>
              <w:rPr>
                <w:szCs w:val="22"/>
              </w:rPr>
            </w:pPr>
            <w:r w:rsidRPr="006A0C48">
              <w:rPr>
                <w:szCs w:val="22"/>
              </w:rPr>
              <w:t>EDGE</w:t>
            </w:r>
          </w:p>
          <w:p w14:paraId="08C305B2" w14:textId="77777777" w:rsidR="00005A3C" w:rsidRPr="006A0C48" w:rsidRDefault="00005A3C" w:rsidP="00BC5121">
            <w:pPr>
              <w:spacing w:before="80" w:after="80"/>
              <w:rPr>
                <w:szCs w:val="22"/>
              </w:rPr>
            </w:pPr>
            <w:r w:rsidRPr="006A0C48">
              <w:rPr>
                <w:szCs w:val="22"/>
              </w:rPr>
              <w:t>Living Planet Index</w:t>
            </w:r>
          </w:p>
          <w:p w14:paraId="3CBE3749" w14:textId="77777777" w:rsidR="00005A3C" w:rsidRPr="006A0C48" w:rsidRDefault="00005A3C" w:rsidP="006726E6">
            <w:pPr>
              <w:spacing w:before="80" w:after="80"/>
              <w:jc w:val="left"/>
              <w:rPr>
                <w:szCs w:val="22"/>
              </w:rPr>
            </w:pPr>
            <w:r w:rsidRPr="006A0C48">
              <w:rPr>
                <w:szCs w:val="22"/>
              </w:rPr>
              <w:t>Change in the extent of water-related ecosystems over time</w:t>
            </w:r>
          </w:p>
          <w:p w14:paraId="685BB925" w14:textId="77777777" w:rsidR="00005A3C" w:rsidRPr="006A0C48" w:rsidRDefault="00005A3C" w:rsidP="00BC5121">
            <w:pPr>
              <w:spacing w:before="80" w:after="80"/>
              <w:rPr>
                <w:szCs w:val="22"/>
              </w:rPr>
            </w:pPr>
          </w:p>
        </w:tc>
        <w:tc>
          <w:tcPr>
            <w:tcW w:w="5363" w:type="dxa"/>
            <w:shd w:val="clear" w:color="auto" w:fill="FFFFFF" w:themeFill="background1"/>
          </w:tcPr>
          <w:p w14:paraId="21DAA12D" w14:textId="77777777" w:rsidR="00005A3C" w:rsidRPr="006A0C48" w:rsidRDefault="00005A3C" w:rsidP="006726E6">
            <w:pPr>
              <w:spacing w:before="80" w:after="80"/>
              <w:jc w:val="left"/>
              <w:rPr>
                <w:szCs w:val="22"/>
              </w:rPr>
            </w:pPr>
            <w:r w:rsidRPr="006A0C48">
              <w:rPr>
                <w:szCs w:val="22"/>
              </w:rPr>
              <w:t xml:space="preserve">Forest area as a proportion of total land area  </w:t>
            </w:r>
          </w:p>
          <w:p w14:paraId="5B6601EE" w14:textId="77777777" w:rsidR="00005A3C" w:rsidRPr="006A0C48" w:rsidRDefault="00005A3C" w:rsidP="006726E6">
            <w:pPr>
              <w:spacing w:before="80" w:after="80"/>
              <w:jc w:val="left"/>
              <w:rPr>
                <w:szCs w:val="22"/>
              </w:rPr>
            </w:pPr>
            <w:r w:rsidRPr="006A0C48">
              <w:rPr>
                <w:szCs w:val="22"/>
              </w:rPr>
              <w:t>Forest distribution</w:t>
            </w:r>
          </w:p>
          <w:p w14:paraId="7364E558" w14:textId="77777777" w:rsidR="00005A3C" w:rsidRPr="006A0C48" w:rsidRDefault="00005A3C" w:rsidP="006726E6">
            <w:pPr>
              <w:spacing w:before="80" w:after="80"/>
              <w:jc w:val="left"/>
              <w:rPr>
                <w:szCs w:val="22"/>
              </w:rPr>
            </w:pPr>
            <w:r w:rsidRPr="006A0C48">
              <w:rPr>
                <w:szCs w:val="22"/>
              </w:rPr>
              <w:t>Tree cover loss</w:t>
            </w:r>
          </w:p>
          <w:p w14:paraId="00BF51AA" w14:textId="77777777" w:rsidR="00005A3C" w:rsidRPr="006A0C48" w:rsidRDefault="00005A3C" w:rsidP="006726E6">
            <w:pPr>
              <w:spacing w:before="80" w:after="80"/>
              <w:jc w:val="left"/>
              <w:rPr>
                <w:szCs w:val="22"/>
              </w:rPr>
            </w:pPr>
            <w:r w:rsidRPr="006A0C48">
              <w:rPr>
                <w:szCs w:val="22"/>
              </w:rPr>
              <w:t>Grassland and savannah extent</w:t>
            </w:r>
          </w:p>
          <w:p w14:paraId="46ACA16D" w14:textId="77777777" w:rsidR="00005A3C" w:rsidRPr="006A0C48" w:rsidRDefault="00005A3C" w:rsidP="006726E6">
            <w:pPr>
              <w:spacing w:before="80" w:after="80"/>
              <w:jc w:val="left"/>
              <w:rPr>
                <w:szCs w:val="22"/>
              </w:rPr>
            </w:pPr>
            <w:r w:rsidRPr="006A0C48">
              <w:rPr>
                <w:szCs w:val="22"/>
              </w:rPr>
              <w:t>Mountain Green Cover Index</w:t>
            </w:r>
          </w:p>
          <w:p w14:paraId="67B9B50D" w14:textId="77777777" w:rsidR="00005A3C" w:rsidRPr="006A0C48" w:rsidRDefault="00005A3C" w:rsidP="006726E6">
            <w:pPr>
              <w:spacing w:before="80" w:after="80"/>
              <w:jc w:val="left"/>
              <w:rPr>
                <w:szCs w:val="22"/>
              </w:rPr>
            </w:pPr>
            <w:r w:rsidRPr="006A0C48">
              <w:rPr>
                <w:szCs w:val="22"/>
              </w:rPr>
              <w:t>Peatland extent and condition</w:t>
            </w:r>
          </w:p>
          <w:p w14:paraId="5A63B2F3" w14:textId="77777777" w:rsidR="00005A3C" w:rsidRPr="006A0C48" w:rsidRDefault="00005A3C" w:rsidP="006726E6">
            <w:pPr>
              <w:spacing w:before="80" w:after="80"/>
              <w:jc w:val="left"/>
              <w:rPr>
                <w:szCs w:val="22"/>
              </w:rPr>
            </w:pPr>
            <w:r w:rsidRPr="006A0C48">
              <w:rPr>
                <w:szCs w:val="22"/>
              </w:rPr>
              <w:t>Permafrost thickness, depth and extent</w:t>
            </w:r>
          </w:p>
          <w:p w14:paraId="3DD4FE74" w14:textId="77777777" w:rsidR="00005A3C" w:rsidRPr="006A0C48" w:rsidRDefault="00005A3C" w:rsidP="006726E6">
            <w:pPr>
              <w:spacing w:before="80" w:after="80"/>
              <w:jc w:val="left"/>
              <w:rPr>
                <w:szCs w:val="22"/>
              </w:rPr>
            </w:pPr>
            <w:r w:rsidRPr="006A0C48">
              <w:rPr>
                <w:szCs w:val="22"/>
              </w:rPr>
              <w:t>Continuous global mangrove forest cover</w:t>
            </w:r>
          </w:p>
          <w:p w14:paraId="2F326A61" w14:textId="77777777" w:rsidR="00005A3C" w:rsidRPr="006A0C48" w:rsidRDefault="00005A3C" w:rsidP="006726E6">
            <w:pPr>
              <w:spacing w:before="80" w:after="80"/>
              <w:jc w:val="left"/>
              <w:rPr>
                <w:szCs w:val="22"/>
              </w:rPr>
            </w:pPr>
            <w:r w:rsidRPr="006A0C48">
              <w:rPr>
                <w:szCs w:val="22"/>
              </w:rPr>
              <w:t>Trends in mangrove forest fragmentation</w:t>
            </w:r>
          </w:p>
          <w:p w14:paraId="3C27D498" w14:textId="77777777" w:rsidR="00005A3C" w:rsidRPr="006A0C48" w:rsidRDefault="00005A3C" w:rsidP="006726E6">
            <w:pPr>
              <w:spacing w:before="80" w:after="80"/>
              <w:jc w:val="left"/>
              <w:rPr>
                <w:szCs w:val="22"/>
              </w:rPr>
            </w:pPr>
            <w:r w:rsidRPr="006A0C48">
              <w:rPr>
                <w:szCs w:val="22"/>
              </w:rPr>
              <w:t>Trends in mangrove extent</w:t>
            </w:r>
          </w:p>
          <w:p w14:paraId="5F139E63" w14:textId="77777777" w:rsidR="00005A3C" w:rsidRPr="006A0C48" w:rsidRDefault="00005A3C" w:rsidP="006726E6">
            <w:pPr>
              <w:spacing w:before="80" w:after="80"/>
              <w:jc w:val="left"/>
              <w:rPr>
                <w:szCs w:val="22"/>
              </w:rPr>
            </w:pPr>
            <w:r w:rsidRPr="006A0C48">
              <w:rPr>
                <w:szCs w:val="22"/>
              </w:rPr>
              <w:t xml:space="preserve">Live coral cover </w:t>
            </w:r>
          </w:p>
          <w:p w14:paraId="0EB02DA2" w14:textId="77777777" w:rsidR="00005A3C" w:rsidRPr="006A0C48" w:rsidRDefault="00005A3C" w:rsidP="006726E6">
            <w:pPr>
              <w:spacing w:before="80" w:after="80"/>
              <w:jc w:val="left"/>
              <w:rPr>
                <w:szCs w:val="22"/>
              </w:rPr>
            </w:pPr>
            <w:r w:rsidRPr="006A0C48">
              <w:rPr>
                <w:szCs w:val="22"/>
              </w:rPr>
              <w:t xml:space="preserve">Hard coral cover and composition </w:t>
            </w:r>
          </w:p>
          <w:p w14:paraId="17D36863" w14:textId="77777777" w:rsidR="00005A3C" w:rsidRPr="006A0C48" w:rsidRDefault="00005A3C" w:rsidP="006726E6">
            <w:pPr>
              <w:spacing w:before="80" w:after="80"/>
              <w:jc w:val="left"/>
              <w:rPr>
                <w:szCs w:val="22"/>
              </w:rPr>
            </w:pPr>
            <w:r w:rsidRPr="006A0C48">
              <w:rPr>
                <w:szCs w:val="22"/>
              </w:rPr>
              <w:t xml:space="preserve">Global coral reef extent </w:t>
            </w:r>
          </w:p>
          <w:p w14:paraId="24584AD9" w14:textId="77777777" w:rsidR="00005A3C" w:rsidRPr="006A0C48" w:rsidRDefault="00005A3C" w:rsidP="006726E6">
            <w:pPr>
              <w:spacing w:before="80" w:after="80"/>
              <w:jc w:val="left"/>
              <w:rPr>
                <w:szCs w:val="22"/>
              </w:rPr>
            </w:pPr>
            <w:r w:rsidRPr="006A0C48">
              <w:rPr>
                <w:szCs w:val="22"/>
              </w:rPr>
              <w:t xml:space="preserve">Global seagrass extent (Seagrass Cover and composition) </w:t>
            </w:r>
          </w:p>
          <w:p w14:paraId="6A3C391A" w14:textId="77777777" w:rsidR="00005A3C" w:rsidRPr="006A0C48" w:rsidRDefault="00005A3C" w:rsidP="006726E6">
            <w:pPr>
              <w:spacing w:before="80" w:after="80"/>
              <w:jc w:val="left"/>
              <w:rPr>
                <w:szCs w:val="22"/>
              </w:rPr>
            </w:pPr>
            <w:r w:rsidRPr="006A0C48">
              <w:rPr>
                <w:szCs w:val="22"/>
              </w:rPr>
              <w:t>Global saltmarsh extent</w:t>
            </w:r>
          </w:p>
          <w:p w14:paraId="23678538" w14:textId="77777777" w:rsidR="00005A3C" w:rsidRPr="006A0C48" w:rsidRDefault="00005A3C" w:rsidP="006726E6">
            <w:pPr>
              <w:spacing w:before="80" w:after="80"/>
              <w:jc w:val="left"/>
              <w:rPr>
                <w:szCs w:val="22"/>
              </w:rPr>
            </w:pPr>
            <w:r w:rsidRPr="006A0C48">
              <w:rPr>
                <w:szCs w:val="22"/>
              </w:rPr>
              <w:t>Kelp canopy extent</w:t>
            </w:r>
          </w:p>
          <w:p w14:paraId="556E88F6" w14:textId="77777777" w:rsidR="00005A3C" w:rsidRPr="006A0C48" w:rsidRDefault="00005A3C" w:rsidP="006726E6">
            <w:pPr>
              <w:spacing w:before="80" w:after="80"/>
              <w:jc w:val="left"/>
              <w:rPr>
                <w:szCs w:val="22"/>
              </w:rPr>
            </w:pPr>
            <w:r w:rsidRPr="006A0C48">
              <w:rPr>
                <w:szCs w:val="22"/>
              </w:rPr>
              <w:t>Macroalgal canopy cover and composition</w:t>
            </w:r>
          </w:p>
          <w:p w14:paraId="0C893A7C" w14:textId="77777777" w:rsidR="00005A3C" w:rsidRPr="006A0C48" w:rsidRDefault="00005A3C" w:rsidP="006726E6">
            <w:pPr>
              <w:spacing w:before="80" w:after="80"/>
              <w:jc w:val="left"/>
              <w:rPr>
                <w:szCs w:val="22"/>
              </w:rPr>
            </w:pPr>
            <w:r w:rsidRPr="006A0C48">
              <w:rPr>
                <w:szCs w:val="22"/>
              </w:rPr>
              <w:t>Cover of key benthic groups</w:t>
            </w:r>
          </w:p>
          <w:p w14:paraId="079556DB" w14:textId="77777777" w:rsidR="00005A3C" w:rsidRPr="006A0C48" w:rsidRDefault="00005A3C" w:rsidP="006726E6">
            <w:pPr>
              <w:spacing w:before="80" w:after="80"/>
              <w:jc w:val="left"/>
              <w:rPr>
                <w:szCs w:val="22"/>
              </w:rPr>
            </w:pPr>
            <w:r w:rsidRPr="006A0C48">
              <w:rPr>
                <w:szCs w:val="22"/>
              </w:rPr>
              <w:t>Fleshy algae cover</w:t>
            </w:r>
          </w:p>
          <w:p w14:paraId="0731BEB1" w14:textId="77777777" w:rsidR="00005A3C" w:rsidRPr="006A0C48" w:rsidRDefault="00005A3C" w:rsidP="006726E6">
            <w:pPr>
              <w:spacing w:before="80" w:after="80"/>
              <w:jc w:val="left"/>
              <w:rPr>
                <w:szCs w:val="22"/>
              </w:rPr>
            </w:pPr>
            <w:r w:rsidRPr="006A0C48">
              <w:rPr>
                <w:szCs w:val="22"/>
              </w:rPr>
              <w:t>Wetland Extent Trends Index</w:t>
            </w:r>
          </w:p>
          <w:p w14:paraId="1A6D4972" w14:textId="77777777" w:rsidR="00005A3C" w:rsidRPr="006A0C48" w:rsidRDefault="00005A3C" w:rsidP="006726E6">
            <w:pPr>
              <w:spacing w:before="80" w:after="80"/>
              <w:jc w:val="left"/>
              <w:rPr>
                <w:szCs w:val="22"/>
              </w:rPr>
            </w:pPr>
            <w:r w:rsidRPr="006A0C48">
              <w:rPr>
                <w:szCs w:val="22"/>
              </w:rPr>
              <w:t>Change in the extent of inland water ecosystems over time</w:t>
            </w:r>
          </w:p>
          <w:p w14:paraId="6DA75648" w14:textId="77777777" w:rsidR="00005A3C" w:rsidRPr="006A0C48" w:rsidRDefault="00005A3C" w:rsidP="006726E6">
            <w:pPr>
              <w:spacing w:before="80" w:after="80"/>
              <w:jc w:val="left"/>
              <w:rPr>
                <w:szCs w:val="22"/>
              </w:rPr>
            </w:pPr>
            <w:r w:rsidRPr="006A0C48">
              <w:rPr>
                <w:szCs w:val="22"/>
              </w:rPr>
              <w:t>Forest Fragmentation Index</w:t>
            </w:r>
          </w:p>
          <w:p w14:paraId="47A5E704" w14:textId="77777777" w:rsidR="00005A3C" w:rsidRPr="006A0C48" w:rsidRDefault="00005A3C" w:rsidP="006726E6">
            <w:pPr>
              <w:spacing w:before="80" w:after="80"/>
              <w:jc w:val="left"/>
              <w:rPr>
                <w:szCs w:val="22"/>
              </w:rPr>
            </w:pPr>
            <w:r w:rsidRPr="006A0C48">
              <w:rPr>
                <w:szCs w:val="22"/>
              </w:rPr>
              <w:t>Forest Landscape Integrity Index</w:t>
            </w:r>
          </w:p>
          <w:p w14:paraId="429C5CCB" w14:textId="77777777" w:rsidR="00005A3C" w:rsidRPr="006A0C48" w:rsidRDefault="00005A3C" w:rsidP="006726E6">
            <w:pPr>
              <w:spacing w:before="80" w:after="80"/>
              <w:jc w:val="left"/>
              <w:rPr>
                <w:szCs w:val="22"/>
              </w:rPr>
            </w:pPr>
            <w:r w:rsidRPr="006A0C48">
              <w:rPr>
                <w:szCs w:val="22"/>
              </w:rPr>
              <w:t xml:space="preserve">Biomass of selected natural ecosystems </w:t>
            </w:r>
          </w:p>
          <w:p w14:paraId="03A0B782" w14:textId="77777777" w:rsidR="00005A3C" w:rsidRPr="006A0C48" w:rsidRDefault="00005A3C" w:rsidP="006726E6">
            <w:pPr>
              <w:spacing w:before="80" w:after="80"/>
              <w:jc w:val="left"/>
              <w:rPr>
                <w:szCs w:val="22"/>
              </w:rPr>
            </w:pPr>
            <w:r w:rsidRPr="006A0C48">
              <w:rPr>
                <w:szCs w:val="22"/>
              </w:rPr>
              <w:lastRenderedPageBreak/>
              <w:t xml:space="preserve">Biodiversity Habitat Index </w:t>
            </w:r>
          </w:p>
          <w:p w14:paraId="47ACAEF2" w14:textId="77777777" w:rsidR="00005A3C" w:rsidRPr="006A0C48" w:rsidRDefault="00005A3C" w:rsidP="006726E6">
            <w:pPr>
              <w:spacing w:before="80" w:after="80"/>
              <w:jc w:val="left"/>
              <w:rPr>
                <w:szCs w:val="22"/>
              </w:rPr>
            </w:pPr>
            <w:r w:rsidRPr="006A0C48">
              <w:rPr>
                <w:szCs w:val="22"/>
              </w:rPr>
              <w:t>Global Vegetation Health Products</w:t>
            </w:r>
          </w:p>
          <w:p w14:paraId="46C06702" w14:textId="77777777" w:rsidR="00005A3C" w:rsidRPr="006A0C48" w:rsidRDefault="00005A3C" w:rsidP="006726E6">
            <w:pPr>
              <w:spacing w:before="80" w:after="80"/>
              <w:jc w:val="left"/>
              <w:rPr>
                <w:szCs w:val="22"/>
              </w:rPr>
            </w:pPr>
            <w:r w:rsidRPr="006A0C48">
              <w:rPr>
                <w:szCs w:val="22"/>
              </w:rPr>
              <w:t xml:space="preserve">Bioclimatic Ecosystem Resilience Index (BERI) </w:t>
            </w:r>
          </w:p>
          <w:p w14:paraId="5E3CA38C" w14:textId="77777777" w:rsidR="00005A3C" w:rsidRPr="006A0C48" w:rsidRDefault="00005A3C" w:rsidP="006726E6">
            <w:pPr>
              <w:spacing w:before="80" w:after="80"/>
              <w:jc w:val="left"/>
              <w:rPr>
                <w:szCs w:val="22"/>
              </w:rPr>
            </w:pPr>
            <w:r w:rsidRPr="006A0C48">
              <w:rPr>
                <w:szCs w:val="22"/>
              </w:rPr>
              <w:t xml:space="preserve">Relative magnitude of fragmentation (RMF) </w:t>
            </w:r>
          </w:p>
          <w:p w14:paraId="575B1A4F" w14:textId="77777777" w:rsidR="00005A3C" w:rsidRPr="006A0C48" w:rsidRDefault="00005A3C" w:rsidP="006726E6">
            <w:pPr>
              <w:spacing w:before="80" w:after="80"/>
              <w:jc w:val="left"/>
              <w:rPr>
                <w:szCs w:val="22"/>
              </w:rPr>
            </w:pPr>
            <w:r w:rsidRPr="006A0C48">
              <w:rPr>
                <w:szCs w:val="22"/>
              </w:rPr>
              <w:t>Ecosystem Intactness Index</w:t>
            </w:r>
          </w:p>
          <w:p w14:paraId="5D0D2A7B" w14:textId="77777777" w:rsidR="00005A3C" w:rsidRPr="006A0C48" w:rsidRDefault="00005A3C" w:rsidP="006726E6">
            <w:pPr>
              <w:spacing w:before="80" w:after="80"/>
              <w:jc w:val="left"/>
              <w:rPr>
                <w:szCs w:val="22"/>
              </w:rPr>
            </w:pPr>
            <w:r w:rsidRPr="006A0C48">
              <w:rPr>
                <w:szCs w:val="22"/>
              </w:rPr>
              <w:t xml:space="preserve">Biodiversity Intactness Index </w:t>
            </w:r>
          </w:p>
          <w:p w14:paraId="5D238C18" w14:textId="77777777" w:rsidR="00005A3C" w:rsidRPr="006A0C48" w:rsidRDefault="00005A3C" w:rsidP="006726E6">
            <w:pPr>
              <w:spacing w:before="80" w:after="80"/>
              <w:jc w:val="left"/>
              <w:rPr>
                <w:szCs w:val="22"/>
              </w:rPr>
            </w:pPr>
            <w:r w:rsidRPr="006A0C48">
              <w:rPr>
                <w:szCs w:val="22"/>
              </w:rPr>
              <w:t xml:space="preserve">Ocean Health Index </w:t>
            </w:r>
          </w:p>
          <w:p w14:paraId="37C265A3" w14:textId="77777777" w:rsidR="00005A3C" w:rsidRPr="006A0C48" w:rsidRDefault="00005A3C" w:rsidP="006726E6">
            <w:pPr>
              <w:spacing w:before="80" w:after="80"/>
              <w:jc w:val="left"/>
              <w:rPr>
                <w:szCs w:val="22"/>
              </w:rPr>
            </w:pPr>
            <w:r w:rsidRPr="006A0C48">
              <w:rPr>
                <w:szCs w:val="22"/>
              </w:rPr>
              <w:t xml:space="preserve">Extent of physical damage indicator to predominant seafloor habitats physical damage </w:t>
            </w:r>
          </w:p>
          <w:p w14:paraId="37C1EDCA" w14:textId="77777777" w:rsidR="00005A3C" w:rsidRPr="006A0C48" w:rsidRDefault="00005A3C" w:rsidP="006726E6">
            <w:pPr>
              <w:spacing w:before="80" w:after="80"/>
              <w:jc w:val="left"/>
              <w:rPr>
                <w:szCs w:val="22"/>
              </w:rPr>
            </w:pPr>
            <w:r w:rsidRPr="006A0C48">
              <w:rPr>
                <w:szCs w:val="22"/>
              </w:rPr>
              <w:t>Wetland Extent Trends Index</w:t>
            </w:r>
          </w:p>
          <w:p w14:paraId="25CC347A" w14:textId="77777777" w:rsidR="00005A3C" w:rsidRPr="006A0C48" w:rsidRDefault="00005A3C" w:rsidP="006726E6">
            <w:pPr>
              <w:spacing w:before="80" w:after="80"/>
              <w:jc w:val="left"/>
              <w:rPr>
                <w:szCs w:val="22"/>
              </w:rPr>
            </w:pPr>
            <w:r w:rsidRPr="006A0C48">
              <w:rPr>
                <w:szCs w:val="22"/>
              </w:rPr>
              <w:t>River Fragmentation Index</w:t>
            </w:r>
          </w:p>
          <w:p w14:paraId="2605FAD9" w14:textId="77777777" w:rsidR="00005A3C" w:rsidRPr="006A0C48" w:rsidRDefault="00005A3C" w:rsidP="006726E6">
            <w:pPr>
              <w:spacing w:before="80" w:after="80"/>
              <w:jc w:val="left"/>
              <w:rPr>
                <w:szCs w:val="22"/>
              </w:rPr>
            </w:pPr>
            <w:r w:rsidRPr="006A0C48">
              <w:rPr>
                <w:szCs w:val="22"/>
              </w:rPr>
              <w:t xml:space="preserve">Dendritic Connectivity Index </w:t>
            </w:r>
          </w:p>
          <w:p w14:paraId="4E751818" w14:textId="77777777" w:rsidR="00005A3C" w:rsidRPr="006A0C48" w:rsidRDefault="00005A3C" w:rsidP="006726E6">
            <w:pPr>
              <w:spacing w:before="80" w:after="80"/>
              <w:jc w:val="left"/>
              <w:rPr>
                <w:szCs w:val="22"/>
              </w:rPr>
            </w:pPr>
            <w:r w:rsidRPr="006A0C48">
              <w:rPr>
                <w:szCs w:val="22"/>
              </w:rPr>
              <w:t xml:space="preserve">Percentage of threatened species that are improving in status according to the Red List </w:t>
            </w:r>
          </w:p>
          <w:p w14:paraId="7D2A3292" w14:textId="77777777" w:rsidR="00005A3C" w:rsidRPr="006A0C48" w:rsidRDefault="00005A3C" w:rsidP="006726E6">
            <w:pPr>
              <w:spacing w:before="80" w:after="80"/>
              <w:jc w:val="left"/>
              <w:rPr>
                <w:szCs w:val="22"/>
              </w:rPr>
            </w:pPr>
            <w:r w:rsidRPr="006A0C48">
              <w:rPr>
                <w:szCs w:val="22"/>
              </w:rPr>
              <w:t xml:space="preserve">Number of threatened species by species group </w:t>
            </w:r>
          </w:p>
          <w:p w14:paraId="56E313C8" w14:textId="77777777" w:rsidR="00005A3C" w:rsidRPr="006A0C48" w:rsidRDefault="00005A3C" w:rsidP="006726E6">
            <w:pPr>
              <w:spacing w:before="80" w:after="80"/>
              <w:jc w:val="left"/>
              <w:rPr>
                <w:szCs w:val="22"/>
              </w:rPr>
            </w:pPr>
            <w:r w:rsidRPr="006A0C48">
              <w:rPr>
                <w:szCs w:val="22"/>
              </w:rPr>
              <w:t xml:space="preserve">Wild bird index </w:t>
            </w:r>
          </w:p>
          <w:p w14:paraId="607ACC87" w14:textId="77777777" w:rsidR="00005A3C" w:rsidRPr="006A0C48" w:rsidRDefault="00005A3C" w:rsidP="006726E6">
            <w:pPr>
              <w:spacing w:before="80" w:after="80"/>
              <w:jc w:val="left"/>
              <w:rPr>
                <w:szCs w:val="22"/>
              </w:rPr>
            </w:pPr>
            <w:r w:rsidRPr="006A0C48">
              <w:rPr>
                <w:szCs w:val="22"/>
              </w:rPr>
              <w:t xml:space="preserve">Mean Species Abundance (MSA) </w:t>
            </w:r>
          </w:p>
          <w:p w14:paraId="62052DF5" w14:textId="77777777" w:rsidR="00005A3C" w:rsidRPr="006A0C48" w:rsidRDefault="00005A3C" w:rsidP="006726E6">
            <w:pPr>
              <w:spacing w:before="80" w:after="80"/>
              <w:jc w:val="left"/>
              <w:rPr>
                <w:szCs w:val="22"/>
              </w:rPr>
            </w:pPr>
            <w:r w:rsidRPr="006A0C48">
              <w:rPr>
                <w:szCs w:val="22"/>
              </w:rPr>
              <w:t xml:space="preserve">Species Protection Index </w:t>
            </w:r>
          </w:p>
          <w:p w14:paraId="7BC104D0" w14:textId="77777777" w:rsidR="00005A3C" w:rsidRPr="006A0C48" w:rsidRDefault="00005A3C" w:rsidP="006726E6">
            <w:pPr>
              <w:spacing w:before="80" w:after="80"/>
              <w:jc w:val="left"/>
              <w:rPr>
                <w:szCs w:val="22"/>
              </w:rPr>
            </w:pPr>
            <w:r w:rsidRPr="006A0C48">
              <w:rPr>
                <w:szCs w:val="22"/>
              </w:rPr>
              <w:t xml:space="preserve">Changes in plankton biomass and abundance </w:t>
            </w:r>
          </w:p>
          <w:p w14:paraId="36E2A696" w14:textId="77777777" w:rsidR="00005A3C" w:rsidRPr="006A0C48" w:rsidRDefault="00005A3C" w:rsidP="006726E6">
            <w:pPr>
              <w:spacing w:before="80" w:after="80"/>
              <w:jc w:val="left"/>
              <w:rPr>
                <w:szCs w:val="22"/>
              </w:rPr>
            </w:pPr>
            <w:r w:rsidRPr="006A0C48">
              <w:rPr>
                <w:szCs w:val="22"/>
              </w:rPr>
              <w:t xml:space="preserve">Fish abundance and biomass </w:t>
            </w:r>
          </w:p>
          <w:p w14:paraId="301D8842" w14:textId="77777777" w:rsidR="00005A3C" w:rsidRPr="006A0C48" w:rsidRDefault="00005A3C" w:rsidP="006726E6">
            <w:pPr>
              <w:spacing w:before="80" w:after="80"/>
              <w:jc w:val="left"/>
              <w:rPr>
                <w:szCs w:val="22"/>
              </w:rPr>
            </w:pPr>
            <w:r w:rsidRPr="006A0C48">
              <w:rPr>
                <w:szCs w:val="22"/>
              </w:rPr>
              <w:t xml:space="preserve">Genetic scorecard for wild species </w:t>
            </w:r>
          </w:p>
          <w:p w14:paraId="7801158E" w14:textId="77777777" w:rsidR="00005A3C" w:rsidRPr="006A0C48" w:rsidRDefault="00005A3C" w:rsidP="006726E6">
            <w:pPr>
              <w:spacing w:before="80" w:after="80"/>
              <w:jc w:val="left"/>
              <w:rPr>
                <w:szCs w:val="22"/>
              </w:rPr>
            </w:pPr>
            <w:r w:rsidRPr="006A0C48">
              <w:rPr>
                <w:szCs w:val="22"/>
              </w:rPr>
              <w:t xml:space="preserve">Species richness/Changes in local terrestrial diversity (PREDICTS) </w:t>
            </w:r>
          </w:p>
          <w:p w14:paraId="5CA4D0A9" w14:textId="77777777" w:rsidR="00005A3C" w:rsidRPr="006A0C48" w:rsidRDefault="00005A3C" w:rsidP="006726E6">
            <w:pPr>
              <w:spacing w:before="80" w:after="80"/>
              <w:jc w:val="left"/>
              <w:rPr>
                <w:szCs w:val="22"/>
              </w:rPr>
            </w:pPr>
            <w:r w:rsidRPr="006A0C48">
              <w:rPr>
                <w:szCs w:val="22"/>
              </w:rPr>
              <w:t xml:space="preserve">Marine species richness </w:t>
            </w:r>
          </w:p>
          <w:p w14:paraId="39E5C8C6" w14:textId="77777777" w:rsidR="00005A3C" w:rsidRPr="006A0C48" w:rsidRDefault="00005A3C" w:rsidP="00941CFB">
            <w:pPr>
              <w:spacing w:before="80" w:after="80"/>
              <w:jc w:val="left"/>
              <w:rPr>
                <w:szCs w:val="22"/>
              </w:rPr>
            </w:pPr>
            <w:r w:rsidRPr="006A0C48">
              <w:rPr>
                <w:szCs w:val="22"/>
              </w:rPr>
              <w:t xml:space="preserve">Comprehensiveness of conservation of socioeconomically as well as culturally valuable species </w:t>
            </w:r>
          </w:p>
          <w:p w14:paraId="3F54248E" w14:textId="77777777" w:rsidR="00005A3C" w:rsidRPr="006A0C48" w:rsidRDefault="00005A3C" w:rsidP="006726E6">
            <w:pPr>
              <w:spacing w:before="80" w:after="80"/>
              <w:jc w:val="left"/>
              <w:rPr>
                <w:szCs w:val="22"/>
              </w:rPr>
            </w:pPr>
            <w:r w:rsidRPr="006A0C48">
              <w:rPr>
                <w:szCs w:val="22"/>
              </w:rPr>
              <w:lastRenderedPageBreak/>
              <w:t xml:space="preserve">Number of plant and animal genetic resources for food and agriculture secured in either medium- or long-term conservation facilities </w:t>
            </w:r>
          </w:p>
          <w:p w14:paraId="1A0B2026" w14:textId="77777777" w:rsidR="00005A3C" w:rsidRPr="006A0C48" w:rsidRDefault="00005A3C" w:rsidP="006726E6">
            <w:pPr>
              <w:spacing w:before="80" w:after="80"/>
              <w:jc w:val="left"/>
              <w:rPr>
                <w:szCs w:val="22"/>
              </w:rPr>
            </w:pPr>
            <w:r w:rsidRPr="006A0C48">
              <w:rPr>
                <w:szCs w:val="22"/>
              </w:rPr>
              <w:t xml:space="preserve">Proportion of local breeds classified as being at risk of extinction </w:t>
            </w:r>
          </w:p>
          <w:p w14:paraId="37DD0D00" w14:textId="77777777" w:rsidR="00005A3C" w:rsidRPr="006A0C48" w:rsidRDefault="00005A3C" w:rsidP="006726E6">
            <w:pPr>
              <w:spacing w:before="80" w:after="80"/>
              <w:jc w:val="left"/>
              <w:rPr>
                <w:szCs w:val="22"/>
              </w:rPr>
            </w:pPr>
            <w:r w:rsidRPr="006A0C48">
              <w:rPr>
                <w:szCs w:val="22"/>
              </w:rPr>
              <w:t>Red List Index (wild relatives of domesticated animals)</w:t>
            </w:r>
          </w:p>
          <w:p w14:paraId="36487F82" w14:textId="77777777" w:rsidR="00005A3C" w:rsidRPr="006A0C48" w:rsidRDefault="00005A3C" w:rsidP="006726E6">
            <w:pPr>
              <w:spacing w:before="80" w:after="80"/>
              <w:jc w:val="left"/>
              <w:rPr>
                <w:szCs w:val="22"/>
              </w:rPr>
            </w:pPr>
            <w:r w:rsidRPr="006A0C48">
              <w:rPr>
                <w:szCs w:val="22"/>
              </w:rPr>
              <w:t>CMS Connectivity Indicator</w:t>
            </w:r>
          </w:p>
          <w:p w14:paraId="16507525" w14:textId="77777777" w:rsidR="00005A3C" w:rsidRPr="006A0C48" w:rsidRDefault="00005A3C" w:rsidP="006726E6">
            <w:pPr>
              <w:spacing w:before="80" w:after="80"/>
              <w:jc w:val="left"/>
              <w:rPr>
                <w:szCs w:val="22"/>
              </w:rPr>
            </w:pPr>
            <w:r w:rsidRPr="006A0C48">
              <w:rPr>
                <w:szCs w:val="22"/>
              </w:rPr>
              <w:t>Species Status Index</w:t>
            </w:r>
          </w:p>
          <w:p w14:paraId="27AADAE5" w14:textId="77777777" w:rsidR="00005A3C" w:rsidRPr="006A0C48" w:rsidRDefault="00005A3C" w:rsidP="006726E6">
            <w:pPr>
              <w:spacing w:before="80" w:after="80"/>
              <w:jc w:val="left"/>
              <w:rPr>
                <w:szCs w:val="22"/>
              </w:rPr>
            </w:pPr>
            <w:r w:rsidRPr="006A0C48">
              <w:rPr>
                <w:szCs w:val="22"/>
              </w:rPr>
              <w:t xml:space="preserve">Intact Wilderness </w:t>
            </w:r>
          </w:p>
          <w:p w14:paraId="609C3D7C" w14:textId="77777777" w:rsidR="00005A3C" w:rsidRPr="006A0C48" w:rsidRDefault="00005A3C" w:rsidP="006726E6">
            <w:pPr>
              <w:spacing w:before="80" w:after="80"/>
              <w:jc w:val="left"/>
              <w:rPr>
                <w:szCs w:val="22"/>
              </w:rPr>
            </w:pPr>
            <w:r w:rsidRPr="006A0C48">
              <w:rPr>
                <w:szCs w:val="22"/>
              </w:rPr>
              <w:t xml:space="preserve">Expected Loss of Phylogenetic diversity </w:t>
            </w:r>
          </w:p>
          <w:p w14:paraId="64EFA406" w14:textId="77777777" w:rsidR="00005A3C" w:rsidRPr="006A0C48" w:rsidRDefault="00005A3C" w:rsidP="006726E6">
            <w:pPr>
              <w:spacing w:before="80" w:after="80"/>
              <w:jc w:val="left"/>
              <w:rPr>
                <w:szCs w:val="22"/>
              </w:rPr>
            </w:pPr>
            <w:r w:rsidRPr="006A0C48">
              <w:rPr>
                <w:szCs w:val="22"/>
              </w:rPr>
              <w:t>Proportion of populations maintained within species</w:t>
            </w:r>
          </w:p>
          <w:p w14:paraId="58745C2F" w14:textId="77777777" w:rsidR="00005A3C" w:rsidRPr="006A0C48" w:rsidRDefault="00005A3C" w:rsidP="006726E6">
            <w:pPr>
              <w:spacing w:before="80" w:after="80"/>
              <w:jc w:val="left"/>
              <w:rPr>
                <w:szCs w:val="22"/>
              </w:rPr>
            </w:pPr>
            <w:r w:rsidRPr="006A0C48">
              <w:rPr>
                <w:szCs w:val="22"/>
              </w:rPr>
              <w:t>Free flowing rivers</w:t>
            </w:r>
          </w:p>
        </w:tc>
      </w:tr>
      <w:tr w:rsidR="00005A3C" w:rsidRPr="006A0C48" w14:paraId="36F19947" w14:textId="77777777" w:rsidTr="00967EE7">
        <w:trPr>
          <w:trHeight w:val="300"/>
        </w:trPr>
        <w:tc>
          <w:tcPr>
            <w:tcW w:w="846" w:type="dxa"/>
            <w:shd w:val="clear" w:color="auto" w:fill="FFFFFF" w:themeFill="background1"/>
          </w:tcPr>
          <w:p w14:paraId="67E84BE1" w14:textId="77777777" w:rsidR="00005A3C" w:rsidRPr="006A0C48" w:rsidRDefault="00005A3C" w:rsidP="00BC5121">
            <w:pPr>
              <w:spacing w:before="80" w:after="80"/>
              <w:rPr>
                <w:szCs w:val="22"/>
              </w:rPr>
            </w:pPr>
            <w:r w:rsidRPr="006A0C48">
              <w:rPr>
                <w:szCs w:val="22"/>
              </w:rPr>
              <w:lastRenderedPageBreak/>
              <w:t>B</w:t>
            </w:r>
            <w:r w:rsidRPr="006A0C48">
              <w:rPr>
                <w:b/>
                <w:bCs/>
                <w:szCs w:val="22"/>
                <w:vertAlign w:val="superscript"/>
              </w:rPr>
              <w:t>b</w:t>
            </w:r>
          </w:p>
        </w:tc>
        <w:tc>
          <w:tcPr>
            <w:tcW w:w="3260" w:type="dxa"/>
            <w:shd w:val="clear" w:color="auto" w:fill="FFFFFF" w:themeFill="background1"/>
          </w:tcPr>
          <w:p w14:paraId="55B3EDCD" w14:textId="77777777" w:rsidR="00005A3C" w:rsidRPr="006A0C48" w:rsidRDefault="00005A3C" w:rsidP="006726E6">
            <w:pPr>
              <w:spacing w:before="40" w:after="40"/>
              <w:jc w:val="left"/>
              <w:rPr>
                <w:szCs w:val="22"/>
              </w:rPr>
            </w:pPr>
            <w:r w:rsidRPr="006A0C48">
              <w:rPr>
                <w:szCs w:val="22"/>
              </w:rPr>
              <w:t xml:space="preserve">B.1 Services provided by ecosystems* </w:t>
            </w:r>
          </w:p>
          <w:p w14:paraId="72B6B400" w14:textId="77777777" w:rsidR="00005A3C" w:rsidRPr="006A0C48" w:rsidRDefault="00005A3C" w:rsidP="00BC5121">
            <w:pPr>
              <w:spacing w:before="80" w:after="80"/>
              <w:rPr>
                <w:szCs w:val="22"/>
              </w:rPr>
            </w:pPr>
          </w:p>
        </w:tc>
        <w:tc>
          <w:tcPr>
            <w:tcW w:w="3567" w:type="dxa"/>
            <w:shd w:val="clear" w:color="auto" w:fill="FFFFFF" w:themeFill="background1"/>
          </w:tcPr>
          <w:p w14:paraId="66245EBB" w14:textId="77777777" w:rsidR="00005A3C" w:rsidRPr="006A0C48" w:rsidRDefault="00005A3C" w:rsidP="006726E6">
            <w:pPr>
              <w:spacing w:before="80" w:after="80"/>
              <w:jc w:val="left"/>
              <w:rPr>
                <w:color w:val="000000" w:themeColor="text1"/>
                <w:szCs w:val="22"/>
              </w:rPr>
            </w:pPr>
            <w:r w:rsidRPr="006A0C48">
              <w:rPr>
                <w:color w:val="000000" w:themeColor="text1"/>
                <w:szCs w:val="22"/>
              </w:rPr>
              <w:t>Red List Index (for utilized species)</w:t>
            </w:r>
          </w:p>
          <w:p w14:paraId="1C531A28" w14:textId="77777777" w:rsidR="00005A3C" w:rsidRPr="006A0C48" w:rsidRDefault="00005A3C" w:rsidP="006726E6">
            <w:pPr>
              <w:spacing w:before="80" w:after="80"/>
              <w:jc w:val="left"/>
              <w:rPr>
                <w:color w:val="000000" w:themeColor="text1"/>
                <w:szCs w:val="22"/>
              </w:rPr>
            </w:pPr>
            <w:r w:rsidRPr="006A0C48">
              <w:rPr>
                <w:color w:val="000000" w:themeColor="text1"/>
                <w:szCs w:val="22"/>
              </w:rPr>
              <w:t>Living Planet Index (for used species)</w:t>
            </w:r>
          </w:p>
          <w:p w14:paraId="3B1F2B6D" w14:textId="77777777" w:rsidR="00005A3C" w:rsidRPr="006A0C48" w:rsidRDefault="00005A3C" w:rsidP="00BC5121">
            <w:pPr>
              <w:spacing w:before="80" w:after="80"/>
              <w:rPr>
                <w:szCs w:val="22"/>
              </w:rPr>
            </w:pPr>
          </w:p>
          <w:p w14:paraId="35D1C599" w14:textId="77777777" w:rsidR="00005A3C" w:rsidRPr="006A0C48" w:rsidRDefault="00005A3C" w:rsidP="00BC5121">
            <w:pPr>
              <w:spacing w:before="80" w:after="80"/>
              <w:rPr>
                <w:szCs w:val="22"/>
              </w:rPr>
            </w:pPr>
          </w:p>
        </w:tc>
        <w:tc>
          <w:tcPr>
            <w:tcW w:w="5363" w:type="dxa"/>
            <w:shd w:val="clear" w:color="auto" w:fill="FFFFFF" w:themeFill="background1"/>
          </w:tcPr>
          <w:p w14:paraId="4B963F9F" w14:textId="77777777" w:rsidR="00005A3C" w:rsidRPr="006A0C48" w:rsidRDefault="00005A3C" w:rsidP="00A72C99">
            <w:pPr>
              <w:spacing w:after="120"/>
              <w:jc w:val="left"/>
              <w:rPr>
                <w:rFonts w:asciiTheme="majorBidi" w:hAnsiTheme="majorBidi" w:cstheme="majorBidi"/>
                <w:szCs w:val="22"/>
              </w:rPr>
            </w:pPr>
            <w:r w:rsidRPr="006A0C48">
              <w:rPr>
                <w:rFonts w:asciiTheme="majorBidi" w:hAnsiTheme="majorBidi" w:cstheme="majorBidi"/>
                <w:szCs w:val="22"/>
              </w:rPr>
              <w:t>Levels of poverty in biodiversity dependent communities</w:t>
            </w:r>
          </w:p>
          <w:p w14:paraId="5E1383B6" w14:textId="77777777" w:rsidR="00005A3C" w:rsidRPr="006A0C48" w:rsidRDefault="00005A3C" w:rsidP="006726E6">
            <w:pPr>
              <w:spacing w:before="80" w:after="80"/>
              <w:jc w:val="left"/>
              <w:rPr>
                <w:szCs w:val="22"/>
              </w:rPr>
            </w:pPr>
            <w:r w:rsidRPr="006A0C48">
              <w:rPr>
                <w:szCs w:val="22"/>
              </w:rPr>
              <w:t>Ecological footprint</w:t>
            </w:r>
          </w:p>
          <w:p w14:paraId="2DB0CBDD" w14:textId="77777777" w:rsidR="00005A3C" w:rsidRPr="006A0C48" w:rsidRDefault="00005A3C" w:rsidP="006726E6">
            <w:pPr>
              <w:spacing w:before="80" w:after="80"/>
              <w:jc w:val="left"/>
              <w:rPr>
                <w:szCs w:val="22"/>
              </w:rPr>
            </w:pPr>
            <w:r w:rsidRPr="006A0C48">
              <w:rPr>
                <w:szCs w:val="22"/>
              </w:rPr>
              <w:t>Number of certified forest areas under sustainable management with verified impacts on biodiversity conservation</w:t>
            </w:r>
          </w:p>
          <w:p w14:paraId="7289A297" w14:textId="77777777" w:rsidR="00005A3C" w:rsidRPr="006A0C48" w:rsidRDefault="00005A3C" w:rsidP="006726E6">
            <w:pPr>
              <w:spacing w:before="80" w:after="80"/>
              <w:jc w:val="left"/>
              <w:rPr>
                <w:szCs w:val="22"/>
              </w:rPr>
            </w:pPr>
            <w:r w:rsidRPr="006A0C48">
              <w:rPr>
                <w:szCs w:val="22"/>
              </w:rPr>
              <w:t xml:space="preserve">Expected loss of phylogenetic diversity </w:t>
            </w:r>
          </w:p>
          <w:p w14:paraId="252F7BBC" w14:textId="77777777" w:rsidR="00005A3C" w:rsidRPr="006A0C48" w:rsidRDefault="00005A3C" w:rsidP="006726E6">
            <w:pPr>
              <w:spacing w:before="80" w:after="80"/>
              <w:jc w:val="left"/>
              <w:rPr>
                <w:szCs w:val="22"/>
              </w:rPr>
            </w:pPr>
            <w:r w:rsidRPr="006A0C48">
              <w:rPr>
                <w:szCs w:val="22"/>
              </w:rPr>
              <w:t xml:space="preserve">Red List Index (pollinating species) </w:t>
            </w:r>
          </w:p>
          <w:p w14:paraId="29AA9EF5" w14:textId="77777777" w:rsidR="00005A3C" w:rsidRPr="006A0C48" w:rsidRDefault="00005A3C" w:rsidP="006726E6">
            <w:pPr>
              <w:spacing w:before="80" w:after="80"/>
              <w:jc w:val="left"/>
              <w:rPr>
                <w:szCs w:val="22"/>
              </w:rPr>
            </w:pPr>
            <w:r w:rsidRPr="006A0C48">
              <w:rPr>
                <w:szCs w:val="22"/>
              </w:rPr>
              <w:t xml:space="preserve">Green status index (pollinators) </w:t>
            </w:r>
          </w:p>
          <w:p w14:paraId="11A0F7AC" w14:textId="77777777" w:rsidR="00005A3C" w:rsidRPr="006A0C48" w:rsidRDefault="00005A3C" w:rsidP="006726E6">
            <w:pPr>
              <w:spacing w:before="80" w:after="80"/>
              <w:jc w:val="left"/>
              <w:rPr>
                <w:szCs w:val="22"/>
              </w:rPr>
            </w:pPr>
            <w:r w:rsidRPr="006A0C48">
              <w:rPr>
                <w:szCs w:val="22"/>
              </w:rPr>
              <w:t xml:space="preserve">Air quality index </w:t>
            </w:r>
          </w:p>
          <w:p w14:paraId="674A2CB7" w14:textId="77777777" w:rsidR="00005A3C" w:rsidRPr="006A0C48" w:rsidRDefault="00005A3C" w:rsidP="006726E6">
            <w:pPr>
              <w:spacing w:before="80" w:after="80"/>
              <w:jc w:val="left"/>
              <w:rPr>
                <w:szCs w:val="22"/>
              </w:rPr>
            </w:pPr>
            <w:r w:rsidRPr="006A0C48">
              <w:rPr>
                <w:szCs w:val="22"/>
              </w:rPr>
              <w:t xml:space="preserve">Air pollution emissions account </w:t>
            </w:r>
          </w:p>
          <w:p w14:paraId="23A26144" w14:textId="77777777" w:rsidR="00005A3C" w:rsidRPr="006A0C48" w:rsidRDefault="00005A3C" w:rsidP="006726E6">
            <w:pPr>
              <w:spacing w:before="80" w:after="80"/>
              <w:jc w:val="left"/>
              <w:rPr>
                <w:szCs w:val="22"/>
              </w:rPr>
            </w:pPr>
            <w:r w:rsidRPr="006A0C48">
              <w:rPr>
                <w:szCs w:val="22"/>
              </w:rPr>
              <w:t xml:space="preserve">Zoonotic disease in wildlife </w:t>
            </w:r>
          </w:p>
          <w:p w14:paraId="277A400D" w14:textId="77777777" w:rsidR="00005A3C" w:rsidRPr="006A0C48" w:rsidRDefault="00005A3C" w:rsidP="006726E6">
            <w:pPr>
              <w:spacing w:before="80" w:after="80"/>
              <w:jc w:val="left"/>
              <w:rPr>
                <w:szCs w:val="22"/>
              </w:rPr>
            </w:pPr>
            <w:r w:rsidRPr="006A0C48">
              <w:rPr>
                <w:szCs w:val="22"/>
              </w:rPr>
              <w:t xml:space="preserve">Climatic impact index </w:t>
            </w:r>
          </w:p>
          <w:p w14:paraId="17F7FE1A" w14:textId="77777777" w:rsidR="00005A3C" w:rsidRPr="006A0C48" w:rsidRDefault="00005A3C" w:rsidP="006726E6">
            <w:pPr>
              <w:spacing w:before="80" w:after="80"/>
              <w:jc w:val="left"/>
              <w:rPr>
                <w:szCs w:val="22"/>
              </w:rPr>
            </w:pPr>
            <w:r w:rsidRPr="006A0C48">
              <w:rPr>
                <w:szCs w:val="22"/>
              </w:rPr>
              <w:t xml:space="preserve">Ocean acidification </w:t>
            </w:r>
          </w:p>
          <w:p w14:paraId="1FDBFAF2" w14:textId="77777777" w:rsidR="00005A3C" w:rsidRPr="006A0C48" w:rsidRDefault="00005A3C" w:rsidP="006726E6">
            <w:pPr>
              <w:spacing w:before="80" w:after="80"/>
              <w:jc w:val="left"/>
              <w:rPr>
                <w:szCs w:val="22"/>
              </w:rPr>
            </w:pPr>
            <w:r w:rsidRPr="006A0C48">
              <w:rPr>
                <w:szCs w:val="22"/>
              </w:rPr>
              <w:t xml:space="preserve">Level of water stress: freshwater withdrawal as a proportion of available freshwater resources </w:t>
            </w:r>
          </w:p>
          <w:p w14:paraId="5536E50A" w14:textId="77777777" w:rsidR="00005A3C" w:rsidRPr="006A0C48" w:rsidRDefault="00005A3C" w:rsidP="006726E6">
            <w:pPr>
              <w:spacing w:before="80" w:after="80"/>
              <w:jc w:val="left"/>
              <w:rPr>
                <w:szCs w:val="22"/>
              </w:rPr>
            </w:pPr>
            <w:r w:rsidRPr="006A0C48">
              <w:rPr>
                <w:szCs w:val="22"/>
              </w:rPr>
              <w:lastRenderedPageBreak/>
              <w:t>Proportion of bodies of water with good ambient water quality</w:t>
            </w:r>
          </w:p>
          <w:p w14:paraId="35FD8348" w14:textId="77777777" w:rsidR="00005A3C" w:rsidRPr="006A0C48" w:rsidRDefault="00005A3C" w:rsidP="006726E6">
            <w:pPr>
              <w:spacing w:before="80" w:after="80"/>
              <w:jc w:val="left"/>
              <w:rPr>
                <w:szCs w:val="22"/>
              </w:rPr>
            </w:pPr>
            <w:r w:rsidRPr="006A0C48">
              <w:rPr>
                <w:szCs w:val="22"/>
              </w:rPr>
              <w:t xml:space="preserve">Eflow index </w:t>
            </w:r>
          </w:p>
          <w:p w14:paraId="59A2220B" w14:textId="77777777" w:rsidR="00005A3C" w:rsidRPr="006A0C48" w:rsidRDefault="00005A3C" w:rsidP="006726E6">
            <w:pPr>
              <w:spacing w:before="80" w:after="80"/>
              <w:jc w:val="left"/>
              <w:rPr>
                <w:szCs w:val="22"/>
              </w:rPr>
            </w:pPr>
            <w:r w:rsidRPr="006A0C48">
              <w:rPr>
                <w:szCs w:val="22"/>
              </w:rPr>
              <w:t xml:space="preserve">Change in the quality of inland water ecosystems over time </w:t>
            </w:r>
          </w:p>
          <w:p w14:paraId="3C00E560" w14:textId="77777777" w:rsidR="00005A3C" w:rsidRPr="006A0C48" w:rsidRDefault="00005A3C" w:rsidP="006726E6">
            <w:pPr>
              <w:spacing w:before="80" w:after="80"/>
              <w:jc w:val="left"/>
              <w:rPr>
                <w:szCs w:val="22"/>
              </w:rPr>
            </w:pPr>
            <w:r w:rsidRPr="006A0C48">
              <w:rPr>
                <w:szCs w:val="22"/>
              </w:rPr>
              <w:t xml:space="preserve">Change in the quality of coastal water ecosystems over time </w:t>
            </w:r>
          </w:p>
          <w:p w14:paraId="096C6480" w14:textId="77777777" w:rsidR="00005A3C" w:rsidRPr="006A0C48" w:rsidRDefault="00005A3C" w:rsidP="006726E6">
            <w:pPr>
              <w:spacing w:before="80" w:after="80"/>
              <w:jc w:val="left"/>
              <w:rPr>
                <w:szCs w:val="22"/>
              </w:rPr>
            </w:pPr>
            <w:r w:rsidRPr="006A0C48">
              <w:rPr>
                <w:szCs w:val="22"/>
              </w:rPr>
              <w:t>Level of erosion</w:t>
            </w:r>
          </w:p>
          <w:p w14:paraId="1E584710" w14:textId="77777777" w:rsidR="00005A3C" w:rsidRPr="006A0C48" w:rsidRDefault="00005A3C" w:rsidP="006726E6">
            <w:pPr>
              <w:spacing w:before="80" w:after="80"/>
              <w:jc w:val="left"/>
              <w:rPr>
                <w:szCs w:val="22"/>
              </w:rPr>
            </w:pPr>
            <w:r w:rsidRPr="006A0C48">
              <w:rPr>
                <w:szCs w:val="22"/>
              </w:rPr>
              <w:t xml:space="preserve">Number of deaths, missing persons and directly affected persons attributed to disasters per 100,000 population </w:t>
            </w:r>
          </w:p>
          <w:p w14:paraId="3BAAEC02" w14:textId="77777777" w:rsidR="00005A3C" w:rsidRPr="006A0C48" w:rsidRDefault="00005A3C" w:rsidP="006726E6">
            <w:pPr>
              <w:spacing w:before="80" w:after="80"/>
              <w:jc w:val="left"/>
              <w:rPr>
                <w:szCs w:val="22"/>
              </w:rPr>
            </w:pPr>
            <w:r w:rsidRPr="006A0C48">
              <w:rPr>
                <w:szCs w:val="22"/>
              </w:rPr>
              <w:t>Intact wilderness</w:t>
            </w:r>
          </w:p>
          <w:p w14:paraId="272CCF3C" w14:textId="77777777" w:rsidR="00005A3C" w:rsidRPr="006A0C48" w:rsidRDefault="00005A3C" w:rsidP="006726E6">
            <w:pPr>
              <w:spacing w:before="80" w:after="80"/>
              <w:jc w:val="left"/>
              <w:rPr>
                <w:szCs w:val="22"/>
              </w:rPr>
            </w:pPr>
            <w:r w:rsidRPr="006A0C48">
              <w:rPr>
                <w:szCs w:val="22"/>
              </w:rPr>
              <w:t>Biofuel production</w:t>
            </w:r>
          </w:p>
          <w:p w14:paraId="7D1707B6" w14:textId="77777777" w:rsidR="00005A3C" w:rsidRPr="006A0C48" w:rsidRDefault="00005A3C" w:rsidP="006726E6">
            <w:pPr>
              <w:spacing w:before="80" w:after="80"/>
              <w:jc w:val="left"/>
              <w:rPr>
                <w:szCs w:val="22"/>
              </w:rPr>
            </w:pPr>
            <w:r w:rsidRPr="006A0C48">
              <w:rPr>
                <w:szCs w:val="22"/>
              </w:rPr>
              <w:t>Maximum fish catch potential</w:t>
            </w:r>
          </w:p>
          <w:p w14:paraId="778FC5ED" w14:textId="77777777" w:rsidR="00005A3C" w:rsidRPr="006A0C48" w:rsidRDefault="00005A3C" w:rsidP="006726E6">
            <w:pPr>
              <w:spacing w:before="80" w:after="80"/>
              <w:jc w:val="left"/>
              <w:rPr>
                <w:szCs w:val="22"/>
              </w:rPr>
            </w:pPr>
            <w:r w:rsidRPr="006A0C48">
              <w:rPr>
                <w:szCs w:val="22"/>
              </w:rPr>
              <w:t>Population involved in hunting and gathering</w:t>
            </w:r>
          </w:p>
          <w:p w14:paraId="61A91C31" w14:textId="77777777" w:rsidR="00005A3C" w:rsidRPr="006A0C48" w:rsidRDefault="00005A3C" w:rsidP="006726E6">
            <w:pPr>
              <w:spacing w:before="80" w:after="80"/>
              <w:jc w:val="left"/>
              <w:rPr>
                <w:szCs w:val="22"/>
              </w:rPr>
            </w:pPr>
            <w:r w:rsidRPr="006A0C48">
              <w:rPr>
                <w:szCs w:val="22"/>
              </w:rPr>
              <w:t>Prevalence of moderate or severe food insecurity in the population, based on the Food Insecurity Experience Scale</w:t>
            </w:r>
          </w:p>
          <w:p w14:paraId="2FAB70D3" w14:textId="77777777" w:rsidR="00005A3C" w:rsidRPr="006A0C48" w:rsidRDefault="00005A3C" w:rsidP="006726E6">
            <w:pPr>
              <w:spacing w:before="80" w:after="80"/>
              <w:jc w:val="left"/>
              <w:rPr>
                <w:szCs w:val="22"/>
              </w:rPr>
            </w:pPr>
            <w:r w:rsidRPr="006A0C48">
              <w:rPr>
                <w:szCs w:val="22"/>
              </w:rPr>
              <w:t>Forestry Production &amp; Trade (Wood Fuel)</w:t>
            </w:r>
          </w:p>
          <w:p w14:paraId="5F140D24" w14:textId="77777777" w:rsidR="00005A3C" w:rsidRPr="006A0C48" w:rsidRDefault="00005A3C" w:rsidP="006726E6">
            <w:pPr>
              <w:spacing w:before="80" w:after="80"/>
              <w:jc w:val="left"/>
              <w:rPr>
                <w:szCs w:val="22"/>
              </w:rPr>
            </w:pPr>
            <w:r w:rsidRPr="006A0C48">
              <w:rPr>
                <w:szCs w:val="22"/>
              </w:rPr>
              <w:t>Trends in the legal trade of medicinal plants</w:t>
            </w:r>
          </w:p>
          <w:p w14:paraId="1F490AA7" w14:textId="77777777" w:rsidR="00005A3C" w:rsidRPr="006A0C48" w:rsidRDefault="00005A3C" w:rsidP="006726E6">
            <w:pPr>
              <w:spacing w:before="80" w:after="80"/>
              <w:jc w:val="left"/>
              <w:rPr>
                <w:szCs w:val="22"/>
              </w:rPr>
            </w:pPr>
            <w:r w:rsidRPr="006A0C48">
              <w:rPr>
                <w:szCs w:val="22"/>
              </w:rPr>
              <w:t>Visitor management assessment</w:t>
            </w:r>
          </w:p>
          <w:p w14:paraId="502A63B6" w14:textId="77777777" w:rsidR="00005A3C" w:rsidRPr="006A0C48" w:rsidRDefault="00005A3C" w:rsidP="006726E6">
            <w:pPr>
              <w:spacing w:before="80" w:after="80"/>
              <w:jc w:val="left"/>
              <w:rPr>
                <w:szCs w:val="22"/>
              </w:rPr>
            </w:pPr>
            <w:r w:rsidRPr="006A0C48">
              <w:rPr>
                <w:szCs w:val="22"/>
              </w:rPr>
              <w:t>Number of formal and nonformal education programmes transmitting spiritual and cultural values in the UNESCO World Network of Biosphere Reserves</w:t>
            </w:r>
          </w:p>
          <w:p w14:paraId="05401C0E" w14:textId="77777777" w:rsidR="00005A3C" w:rsidRPr="006A0C48" w:rsidRDefault="00005A3C" w:rsidP="006726E6">
            <w:pPr>
              <w:spacing w:before="80" w:after="80"/>
              <w:jc w:val="left"/>
              <w:rPr>
                <w:szCs w:val="22"/>
              </w:rPr>
            </w:pPr>
            <w:r w:rsidRPr="006A0C48">
              <w:rPr>
                <w:szCs w:val="22"/>
              </w:rPr>
              <w:t xml:space="preserve">Number of mixed sites (having both natural and cultural Outstanding Universal Values), cultural landscapes (recognized as combined works of nature and people) and natural sites with cultural values including those supporting local and indigenous knowledge and practices </w:t>
            </w:r>
            <w:r w:rsidRPr="006A0C48">
              <w:rPr>
                <w:szCs w:val="22"/>
              </w:rPr>
              <w:lastRenderedPageBreak/>
              <w:t>inscribed on the UNESCO World Heritage List and UNESCO World Network of Biosphere Reserves</w:t>
            </w:r>
          </w:p>
          <w:p w14:paraId="0780FDE3" w14:textId="77777777" w:rsidR="00005A3C" w:rsidRPr="006A0C48" w:rsidRDefault="00005A3C" w:rsidP="00A72C99">
            <w:pPr>
              <w:spacing w:before="80" w:after="80"/>
              <w:jc w:val="left"/>
              <w:rPr>
                <w:szCs w:val="22"/>
              </w:rPr>
            </w:pPr>
            <w:r w:rsidRPr="006A0C48">
              <w:rPr>
                <w:szCs w:val="22"/>
              </w:rPr>
              <w:t>Index of Linguistic Diversity - Trends of Bilinguistic diversity and numbers of speakers of indigenous languages</w:t>
            </w:r>
          </w:p>
          <w:p w14:paraId="7A9894CD" w14:textId="77777777" w:rsidR="00005A3C" w:rsidRPr="006A0C48" w:rsidRDefault="00005A3C" w:rsidP="006726E6">
            <w:pPr>
              <w:spacing w:before="80" w:after="80"/>
              <w:jc w:val="left"/>
              <w:rPr>
                <w:szCs w:val="22"/>
              </w:rPr>
            </w:pPr>
            <w:r w:rsidRPr="006A0C48">
              <w:rPr>
                <w:szCs w:val="22"/>
              </w:rPr>
              <w:t>Index of development of the standard-setting framework for the protection and promotion of culture, cultural rights and cultural diversity</w:t>
            </w:r>
          </w:p>
          <w:p w14:paraId="4A91642C" w14:textId="77777777" w:rsidR="00005A3C" w:rsidRPr="006A0C48" w:rsidRDefault="00005A3C" w:rsidP="006726E6">
            <w:pPr>
              <w:spacing w:before="80" w:after="80"/>
              <w:jc w:val="left"/>
              <w:rPr>
                <w:szCs w:val="22"/>
              </w:rPr>
            </w:pPr>
            <w:r w:rsidRPr="006A0C48">
              <w:rPr>
                <w:szCs w:val="22"/>
              </w:rPr>
              <w:t>Cultural vitality index</w:t>
            </w:r>
          </w:p>
          <w:p w14:paraId="46BCD4CF" w14:textId="77777777" w:rsidR="00005A3C" w:rsidRPr="006A0C48" w:rsidRDefault="00005A3C" w:rsidP="006726E6">
            <w:pPr>
              <w:spacing w:before="80" w:after="80"/>
              <w:jc w:val="left"/>
              <w:rPr>
                <w:szCs w:val="22"/>
              </w:rPr>
            </w:pPr>
            <w:r w:rsidRPr="006A0C48">
              <w:rPr>
                <w:szCs w:val="22"/>
              </w:rPr>
              <w:t>UNESCO Culture 2030 (multiple indicators)</w:t>
            </w:r>
          </w:p>
          <w:p w14:paraId="553CE775" w14:textId="77777777" w:rsidR="00005A3C" w:rsidRPr="006A0C48" w:rsidRDefault="00005A3C" w:rsidP="00A72C99">
            <w:pPr>
              <w:spacing w:before="80" w:after="80"/>
              <w:jc w:val="left"/>
              <w:rPr>
                <w:szCs w:val="22"/>
              </w:rPr>
            </w:pPr>
            <w:r w:rsidRPr="006A0C48">
              <w:rPr>
                <w:szCs w:val="22"/>
              </w:rPr>
              <w:t>Processes and tools to monitor the implementation of a right to a healthy environment (e.g. included in NBSAPs and reported in national reports</w:t>
            </w:r>
          </w:p>
          <w:p w14:paraId="1C8860AD" w14:textId="77777777" w:rsidR="00005A3C" w:rsidRPr="006A0C48" w:rsidRDefault="00005A3C" w:rsidP="006726E6">
            <w:pPr>
              <w:spacing w:before="80" w:after="80"/>
              <w:jc w:val="left"/>
              <w:rPr>
                <w:szCs w:val="22"/>
              </w:rPr>
            </w:pPr>
            <w:r w:rsidRPr="006A0C48">
              <w:rPr>
                <w:szCs w:val="22"/>
              </w:rPr>
              <w:t>Red List Index (for internationally traded species)</w:t>
            </w:r>
          </w:p>
        </w:tc>
      </w:tr>
      <w:tr w:rsidR="00005A3C" w:rsidRPr="006A0C48" w14:paraId="3CB1D6C5" w14:textId="77777777" w:rsidTr="00967EE7">
        <w:trPr>
          <w:trHeight w:val="300"/>
        </w:trPr>
        <w:tc>
          <w:tcPr>
            <w:tcW w:w="846" w:type="dxa"/>
            <w:shd w:val="clear" w:color="auto" w:fill="FFFFFF" w:themeFill="background1"/>
          </w:tcPr>
          <w:p w14:paraId="6D91F6C2" w14:textId="77777777" w:rsidR="00005A3C" w:rsidRPr="006A0C48" w:rsidRDefault="00005A3C" w:rsidP="00BC5121">
            <w:pPr>
              <w:spacing w:before="80" w:after="80"/>
              <w:rPr>
                <w:szCs w:val="22"/>
              </w:rPr>
            </w:pPr>
            <w:r w:rsidRPr="006A0C48">
              <w:rPr>
                <w:szCs w:val="22"/>
              </w:rPr>
              <w:lastRenderedPageBreak/>
              <w:t>C</w:t>
            </w:r>
            <w:r w:rsidRPr="006A0C48">
              <w:rPr>
                <w:b/>
                <w:bCs/>
                <w:szCs w:val="22"/>
                <w:vertAlign w:val="superscript"/>
              </w:rPr>
              <w:t>b</w:t>
            </w:r>
          </w:p>
        </w:tc>
        <w:tc>
          <w:tcPr>
            <w:tcW w:w="3260" w:type="dxa"/>
            <w:shd w:val="clear" w:color="auto" w:fill="FFFFFF" w:themeFill="background1"/>
          </w:tcPr>
          <w:p w14:paraId="13B452A3" w14:textId="77777777" w:rsidR="00005A3C" w:rsidRPr="006A0C48" w:rsidRDefault="00005A3C" w:rsidP="006726E6">
            <w:pPr>
              <w:spacing w:before="40" w:after="40"/>
              <w:jc w:val="left"/>
              <w:rPr>
                <w:szCs w:val="22"/>
              </w:rPr>
            </w:pPr>
            <w:r w:rsidRPr="006A0C48">
              <w:rPr>
                <w:szCs w:val="22"/>
              </w:rPr>
              <w:t>C.1 Indicator on monetary benefits received*</w:t>
            </w:r>
          </w:p>
          <w:p w14:paraId="07D2E8E5" w14:textId="77777777" w:rsidR="00005A3C" w:rsidRPr="006A0C48" w:rsidRDefault="00005A3C" w:rsidP="006726E6">
            <w:pPr>
              <w:spacing w:before="80" w:after="80"/>
              <w:jc w:val="left"/>
              <w:rPr>
                <w:color w:val="000000" w:themeColor="text1"/>
                <w:szCs w:val="22"/>
              </w:rPr>
            </w:pPr>
            <w:r w:rsidRPr="006A0C48">
              <w:rPr>
                <w:szCs w:val="22"/>
              </w:rPr>
              <w:t>C.2 Indicator on non-monetary benefits*</w:t>
            </w:r>
          </w:p>
        </w:tc>
        <w:tc>
          <w:tcPr>
            <w:tcW w:w="3567" w:type="dxa"/>
            <w:shd w:val="clear" w:color="auto" w:fill="FFFFFF" w:themeFill="background1"/>
          </w:tcPr>
          <w:p w14:paraId="413D5D14" w14:textId="77777777" w:rsidR="00005A3C" w:rsidRPr="006A0C48" w:rsidRDefault="00005A3C" w:rsidP="00BC5121">
            <w:pPr>
              <w:spacing w:before="80" w:after="80"/>
              <w:rPr>
                <w:szCs w:val="22"/>
              </w:rPr>
            </w:pPr>
          </w:p>
        </w:tc>
        <w:tc>
          <w:tcPr>
            <w:tcW w:w="5363" w:type="dxa"/>
            <w:shd w:val="clear" w:color="auto" w:fill="FFFFFF" w:themeFill="background1"/>
          </w:tcPr>
          <w:p w14:paraId="6A289178" w14:textId="77777777" w:rsidR="00005A3C" w:rsidRPr="006A0C48" w:rsidRDefault="00005A3C" w:rsidP="006726E6">
            <w:pPr>
              <w:spacing w:before="80" w:after="80"/>
              <w:jc w:val="left"/>
              <w:rPr>
                <w:szCs w:val="22"/>
              </w:rPr>
            </w:pPr>
            <w:r w:rsidRPr="006A0C48">
              <w:rPr>
                <w:szCs w:val="22"/>
              </w:rPr>
              <w:t>Number of users that have provided information relevant to the utilization of genetic resources to designated checkpoints</w:t>
            </w:r>
          </w:p>
          <w:p w14:paraId="31619431" w14:textId="77777777" w:rsidR="00005A3C" w:rsidRPr="006A0C48" w:rsidRDefault="00005A3C" w:rsidP="006726E6">
            <w:pPr>
              <w:spacing w:before="80" w:after="80"/>
              <w:jc w:val="left"/>
              <w:rPr>
                <w:szCs w:val="22"/>
              </w:rPr>
            </w:pPr>
            <w:r w:rsidRPr="006A0C48">
              <w:rPr>
                <w:szCs w:val="22"/>
              </w:rPr>
              <w:t>Total number of internationally recognized certificates published in the ABS Clearing-House</w:t>
            </w:r>
          </w:p>
          <w:p w14:paraId="077EEF59" w14:textId="77777777" w:rsidR="00005A3C" w:rsidRPr="006A0C48" w:rsidRDefault="00005A3C" w:rsidP="006726E6">
            <w:pPr>
              <w:spacing w:before="80" w:after="80"/>
              <w:jc w:val="left"/>
              <w:rPr>
                <w:szCs w:val="22"/>
              </w:rPr>
            </w:pPr>
            <w:r w:rsidRPr="006A0C48">
              <w:rPr>
                <w:szCs w:val="22"/>
              </w:rPr>
              <w:t>Number of checkpoint communiqués published in the ABS Clearing-House</w:t>
            </w:r>
          </w:p>
          <w:p w14:paraId="2BB0F11D" w14:textId="77777777" w:rsidR="00005A3C" w:rsidRPr="006A0C48" w:rsidRDefault="00005A3C" w:rsidP="006726E6">
            <w:pPr>
              <w:spacing w:before="80" w:after="80"/>
              <w:jc w:val="left"/>
              <w:rPr>
                <w:szCs w:val="22"/>
              </w:rPr>
            </w:pPr>
            <w:r w:rsidRPr="006A0C48">
              <w:rPr>
                <w:szCs w:val="22"/>
              </w:rPr>
              <w:t>Number of internationally recognized certificates of compliance for non-commercial purposes</w:t>
            </w:r>
          </w:p>
          <w:p w14:paraId="3E1EBFD3" w14:textId="77777777" w:rsidR="00005A3C" w:rsidRPr="006A0C48" w:rsidRDefault="00005A3C" w:rsidP="006A0C48">
            <w:pPr>
              <w:spacing w:before="40" w:after="40"/>
              <w:jc w:val="left"/>
              <w:rPr>
                <w:szCs w:val="22"/>
                <w:shd w:val="clear" w:color="auto" w:fill="FFFFFF" w:themeFill="background1"/>
              </w:rPr>
            </w:pPr>
            <w:r w:rsidRPr="006A0C48">
              <w:rPr>
                <w:szCs w:val="22"/>
                <w:shd w:val="clear" w:color="auto" w:fill="FFFFFF" w:themeFill="background1"/>
              </w:rPr>
              <w:t>Integration of biodiversity into national accounting and reporting systems, defined as implementation of the System of Environmental-Economic Accounting</w:t>
            </w:r>
          </w:p>
        </w:tc>
      </w:tr>
      <w:tr w:rsidR="00005A3C" w:rsidRPr="006A0C48" w14:paraId="0E92CD98" w14:textId="77777777" w:rsidTr="00967EE7">
        <w:trPr>
          <w:trHeight w:val="300"/>
        </w:trPr>
        <w:tc>
          <w:tcPr>
            <w:tcW w:w="846" w:type="dxa"/>
            <w:shd w:val="clear" w:color="auto" w:fill="FFFFFF" w:themeFill="background1"/>
          </w:tcPr>
          <w:p w14:paraId="0D892A99" w14:textId="77777777" w:rsidR="00005A3C" w:rsidRPr="006A0C48" w:rsidRDefault="00005A3C" w:rsidP="00BC5121">
            <w:pPr>
              <w:spacing w:before="80" w:after="80"/>
              <w:rPr>
                <w:szCs w:val="22"/>
              </w:rPr>
            </w:pPr>
            <w:r w:rsidRPr="006A0C48">
              <w:rPr>
                <w:szCs w:val="22"/>
              </w:rPr>
              <w:t>D</w:t>
            </w:r>
          </w:p>
        </w:tc>
        <w:tc>
          <w:tcPr>
            <w:tcW w:w="3260" w:type="dxa"/>
            <w:shd w:val="clear" w:color="auto" w:fill="FFFFFF" w:themeFill="background1"/>
          </w:tcPr>
          <w:p w14:paraId="6233D9B1" w14:textId="77777777" w:rsidR="00005A3C" w:rsidRPr="006A0C48" w:rsidRDefault="00005A3C" w:rsidP="006726E6">
            <w:pPr>
              <w:spacing w:before="120" w:after="60"/>
              <w:jc w:val="left"/>
              <w:rPr>
                <w:rFonts w:eastAsia="DengXian"/>
                <w:szCs w:val="22"/>
              </w:rPr>
            </w:pPr>
            <w:r w:rsidRPr="006A0C48">
              <w:rPr>
                <w:rFonts w:eastAsia="DengXian"/>
                <w:szCs w:val="22"/>
              </w:rPr>
              <w:t xml:space="preserve">D.1 International public funding, including official development assistance (ODA) for </w:t>
            </w:r>
            <w:r w:rsidRPr="006A0C48">
              <w:rPr>
                <w:rFonts w:eastAsia="DengXian"/>
                <w:szCs w:val="22"/>
              </w:rPr>
              <w:lastRenderedPageBreak/>
              <w:t xml:space="preserve">conservation and sustainable use of biodiversity and ecosystems </w:t>
            </w:r>
          </w:p>
          <w:p w14:paraId="7A333849" w14:textId="77777777" w:rsidR="00005A3C" w:rsidRPr="006A0C48" w:rsidRDefault="00005A3C" w:rsidP="006726E6">
            <w:pPr>
              <w:spacing w:before="120" w:after="60"/>
              <w:jc w:val="left"/>
              <w:rPr>
                <w:rFonts w:eastAsia="DengXian"/>
                <w:szCs w:val="22"/>
              </w:rPr>
            </w:pPr>
            <w:r w:rsidRPr="006A0C48">
              <w:rPr>
                <w:rFonts w:eastAsia="DengXian"/>
                <w:szCs w:val="22"/>
              </w:rPr>
              <w:t xml:space="preserve">D.2 Domestic public funding on conservation and sustainable use of biodiversity and ecosystems </w:t>
            </w:r>
          </w:p>
          <w:p w14:paraId="1A033252" w14:textId="77777777" w:rsidR="00005A3C" w:rsidRPr="006A0C48" w:rsidRDefault="00005A3C" w:rsidP="006726E6">
            <w:pPr>
              <w:spacing w:before="120" w:after="6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07AE398D" w14:textId="77777777" w:rsidR="00005A3C" w:rsidRPr="006A0C48" w:rsidRDefault="00005A3C" w:rsidP="00BC5121">
            <w:pPr>
              <w:spacing w:before="80" w:after="80"/>
              <w:rPr>
                <w:szCs w:val="22"/>
              </w:rPr>
            </w:pPr>
          </w:p>
        </w:tc>
        <w:tc>
          <w:tcPr>
            <w:tcW w:w="5363" w:type="dxa"/>
            <w:shd w:val="clear" w:color="auto" w:fill="FFFFFF" w:themeFill="background1"/>
          </w:tcPr>
          <w:p w14:paraId="41E28DD2" w14:textId="77777777" w:rsidR="00005A3C" w:rsidRPr="006A0C48" w:rsidRDefault="00005A3C" w:rsidP="006726E6">
            <w:pPr>
              <w:spacing w:before="80" w:after="80"/>
              <w:jc w:val="left"/>
              <w:rPr>
                <w:szCs w:val="22"/>
              </w:rPr>
            </w:pPr>
            <w:r w:rsidRPr="006A0C48">
              <w:rPr>
                <w:szCs w:val="22"/>
              </w:rPr>
              <w:t>Finance mobilized for capacity-building</w:t>
            </w:r>
          </w:p>
          <w:p w14:paraId="2B678296" w14:textId="77777777" w:rsidR="00005A3C" w:rsidRPr="006A0C48" w:rsidRDefault="00005A3C" w:rsidP="006726E6">
            <w:pPr>
              <w:spacing w:before="80" w:after="80"/>
              <w:jc w:val="left"/>
              <w:rPr>
                <w:szCs w:val="22"/>
              </w:rPr>
            </w:pPr>
            <w:r w:rsidRPr="006A0C48">
              <w:rPr>
                <w:szCs w:val="22"/>
              </w:rPr>
              <w:lastRenderedPageBreak/>
              <w:t>Financial and technical assistance provided in dollars (including through South-South, North-South and triangular cooperation)</w:t>
            </w:r>
          </w:p>
          <w:p w14:paraId="3D099167" w14:textId="77777777" w:rsidR="00005A3C" w:rsidRPr="006A0C48" w:rsidRDefault="00005A3C" w:rsidP="006726E6">
            <w:pPr>
              <w:spacing w:before="80" w:after="80"/>
              <w:jc w:val="left"/>
              <w:rPr>
                <w:szCs w:val="22"/>
              </w:rPr>
            </w:pPr>
            <w:r w:rsidRPr="006A0C48">
              <w:rPr>
                <w:szCs w:val="22"/>
              </w:rPr>
              <w:t>Finance mobilized for promoting the development, transfer, dissemination and diffusion of technology</w:t>
            </w:r>
          </w:p>
          <w:p w14:paraId="331BFF40" w14:textId="77777777" w:rsidR="00005A3C" w:rsidRPr="006A0C48" w:rsidRDefault="00005A3C" w:rsidP="006726E6">
            <w:pPr>
              <w:spacing w:before="80" w:after="80"/>
              <w:jc w:val="left"/>
              <w:rPr>
                <w:szCs w:val="22"/>
              </w:rPr>
            </w:pPr>
            <w:r w:rsidRPr="006A0C48">
              <w:rPr>
                <w:szCs w:val="22"/>
              </w:rPr>
              <w:t>Number of scientists per population</w:t>
            </w:r>
          </w:p>
          <w:p w14:paraId="541C0421" w14:textId="77777777" w:rsidR="00005A3C" w:rsidRPr="006A0C48" w:rsidRDefault="00005A3C" w:rsidP="006726E6">
            <w:pPr>
              <w:spacing w:before="80" w:after="80"/>
              <w:jc w:val="left"/>
              <w:rPr>
                <w:szCs w:val="22"/>
              </w:rPr>
            </w:pPr>
            <w:r w:rsidRPr="006A0C48">
              <w:rPr>
                <w:szCs w:val="22"/>
              </w:rPr>
              <w:t>Joint scientific papers published (in Ocean Biodiversity Information System (OBIS)) by sector</w:t>
            </w:r>
          </w:p>
          <w:p w14:paraId="51D74393" w14:textId="77777777" w:rsidR="00005A3C" w:rsidRPr="006A0C48" w:rsidRDefault="00005A3C" w:rsidP="006726E6">
            <w:pPr>
              <w:spacing w:before="80" w:after="80"/>
              <w:jc w:val="left"/>
              <w:rPr>
                <w:szCs w:val="22"/>
              </w:rPr>
            </w:pPr>
            <w:r w:rsidRPr="006A0C48">
              <w:rPr>
                <w:szCs w:val="22"/>
              </w:rPr>
              <w:t>Nationally maintained research vessels</w:t>
            </w:r>
          </w:p>
          <w:p w14:paraId="4A483339" w14:textId="77777777" w:rsidR="00005A3C" w:rsidRPr="006A0C48" w:rsidRDefault="00005A3C" w:rsidP="006726E6">
            <w:pPr>
              <w:spacing w:before="80" w:after="80"/>
              <w:jc w:val="left"/>
              <w:rPr>
                <w:szCs w:val="22"/>
              </w:rPr>
            </w:pPr>
            <w:r w:rsidRPr="006A0C48">
              <w:rPr>
                <w:szCs w:val="22"/>
              </w:rPr>
              <w:t>Proportion of total research budget allocated to research in the field of marine technology</w:t>
            </w:r>
          </w:p>
          <w:p w14:paraId="4EE1DCDC" w14:textId="77777777" w:rsidR="00005A3C" w:rsidRPr="006A0C48" w:rsidRDefault="00005A3C" w:rsidP="006726E6">
            <w:pPr>
              <w:spacing w:before="80" w:after="80"/>
              <w:jc w:val="left"/>
              <w:rPr>
                <w:szCs w:val="22"/>
              </w:rPr>
            </w:pPr>
            <w:r w:rsidRPr="006A0C48">
              <w:rPr>
                <w:szCs w:val="22"/>
              </w:rPr>
              <w:t>Volume of official development assistance flows for scholarships by sector and type of study</w:t>
            </w:r>
          </w:p>
          <w:p w14:paraId="49E2C4E1" w14:textId="77777777" w:rsidR="00005A3C" w:rsidRPr="006A0C48" w:rsidRDefault="00005A3C" w:rsidP="006726E6">
            <w:pPr>
              <w:spacing w:before="80" w:after="80"/>
              <w:jc w:val="left"/>
              <w:rPr>
                <w:szCs w:val="22"/>
              </w:rPr>
            </w:pPr>
            <w:r w:rsidRPr="006A0C48">
              <w:rPr>
                <w:szCs w:val="22"/>
              </w:rPr>
              <w:t>Global imports of information and communication technology (ICT) goods as presented by bilateral trade flows by ICT goods categories</w:t>
            </w:r>
          </w:p>
          <w:p w14:paraId="1BA7C73A" w14:textId="77777777" w:rsidR="00005A3C" w:rsidRPr="006A0C48" w:rsidRDefault="00005A3C" w:rsidP="006726E6">
            <w:pPr>
              <w:spacing w:before="80" w:after="80"/>
              <w:jc w:val="left"/>
              <w:rPr>
                <w:szCs w:val="22"/>
              </w:rPr>
            </w:pPr>
            <w:r w:rsidRPr="006A0C48">
              <w:rPr>
                <w:szCs w:val="22"/>
              </w:rPr>
              <w:t>Total amount of funding for developing countries to promote the development, transfer, dissemination and diffusion of environmentally sound technologies</w:t>
            </w:r>
          </w:p>
        </w:tc>
      </w:tr>
      <w:tr w:rsidR="00005A3C" w:rsidRPr="006A0C48" w14:paraId="44E7C0DB" w14:textId="77777777" w:rsidTr="00967EE7">
        <w:trPr>
          <w:trHeight w:val="300"/>
        </w:trPr>
        <w:tc>
          <w:tcPr>
            <w:tcW w:w="846" w:type="dxa"/>
            <w:shd w:val="clear" w:color="auto" w:fill="FFFFFF" w:themeFill="background1"/>
          </w:tcPr>
          <w:p w14:paraId="30E60BAC" w14:textId="77777777" w:rsidR="00005A3C" w:rsidRPr="006A0C48" w:rsidRDefault="00005A3C" w:rsidP="00BC5121">
            <w:pPr>
              <w:spacing w:before="80" w:after="80"/>
              <w:rPr>
                <w:szCs w:val="22"/>
              </w:rPr>
            </w:pPr>
            <w:r w:rsidRPr="006A0C48">
              <w:rPr>
                <w:szCs w:val="22"/>
              </w:rPr>
              <w:lastRenderedPageBreak/>
              <w:t>1</w:t>
            </w:r>
            <w:r w:rsidRPr="006A0C48">
              <w:rPr>
                <w:b/>
                <w:bCs/>
                <w:szCs w:val="22"/>
                <w:vertAlign w:val="superscript"/>
              </w:rPr>
              <w:t>b</w:t>
            </w:r>
          </w:p>
        </w:tc>
        <w:tc>
          <w:tcPr>
            <w:tcW w:w="3260" w:type="dxa"/>
            <w:shd w:val="clear" w:color="auto" w:fill="FFFFFF" w:themeFill="background1"/>
          </w:tcPr>
          <w:p w14:paraId="045A9BF5" w14:textId="77777777" w:rsidR="00005A3C" w:rsidRPr="006A0C48" w:rsidRDefault="00005A3C" w:rsidP="006726E6">
            <w:pPr>
              <w:spacing w:before="40" w:after="40"/>
              <w:jc w:val="left"/>
              <w:rPr>
                <w:szCs w:val="22"/>
              </w:rPr>
            </w:pPr>
            <w:r w:rsidRPr="006A0C48">
              <w:rPr>
                <w:szCs w:val="22"/>
              </w:rPr>
              <w:t>A.1 Red List of Ecosystems</w:t>
            </w:r>
          </w:p>
          <w:p w14:paraId="231DAAA5" w14:textId="77777777" w:rsidR="00005A3C" w:rsidRPr="006A0C48" w:rsidRDefault="00005A3C" w:rsidP="006726E6">
            <w:pPr>
              <w:spacing w:before="40" w:after="40"/>
              <w:jc w:val="left"/>
              <w:rPr>
                <w:szCs w:val="22"/>
              </w:rPr>
            </w:pPr>
            <w:r w:rsidRPr="006A0C48">
              <w:rPr>
                <w:szCs w:val="22"/>
              </w:rPr>
              <w:t>A.2 Extent of natural ecosystems</w:t>
            </w:r>
          </w:p>
          <w:p w14:paraId="44284EF6" w14:textId="77777777" w:rsidR="00005A3C" w:rsidRPr="006A0C48" w:rsidRDefault="00005A3C" w:rsidP="006726E6">
            <w:pPr>
              <w:spacing w:before="80" w:after="80"/>
              <w:jc w:val="left"/>
              <w:rPr>
                <w:szCs w:val="22"/>
              </w:rPr>
            </w:pPr>
            <w:r w:rsidRPr="006A0C48">
              <w:rPr>
                <w:szCs w:val="22"/>
              </w:rPr>
              <w:t>1.1 Percent of land and sea area covered by biodiversity-inclusive spatial plans*</w:t>
            </w:r>
          </w:p>
        </w:tc>
        <w:tc>
          <w:tcPr>
            <w:tcW w:w="3567" w:type="dxa"/>
            <w:shd w:val="clear" w:color="auto" w:fill="FFFFFF" w:themeFill="background1"/>
          </w:tcPr>
          <w:p w14:paraId="596A1718" w14:textId="77777777" w:rsidR="00005A3C" w:rsidRPr="006A0C48" w:rsidRDefault="00005A3C" w:rsidP="006726E6">
            <w:pPr>
              <w:spacing w:before="80" w:after="80"/>
              <w:jc w:val="left"/>
              <w:rPr>
                <w:szCs w:val="22"/>
              </w:rPr>
            </w:pPr>
            <w:r w:rsidRPr="006A0C48">
              <w:rPr>
                <w:szCs w:val="22"/>
              </w:rPr>
              <w:t>Priority retention of intact / wilderness areas</w:t>
            </w:r>
          </w:p>
          <w:p w14:paraId="5604EADB" w14:textId="77777777" w:rsidR="00005A3C" w:rsidRPr="006A0C48" w:rsidRDefault="00005A3C" w:rsidP="006726E6">
            <w:pPr>
              <w:spacing w:before="80" w:after="80"/>
              <w:jc w:val="left"/>
              <w:rPr>
                <w:szCs w:val="22"/>
              </w:rPr>
            </w:pPr>
          </w:p>
        </w:tc>
        <w:tc>
          <w:tcPr>
            <w:tcW w:w="5363" w:type="dxa"/>
            <w:shd w:val="clear" w:color="auto" w:fill="FFFFFF" w:themeFill="background1"/>
          </w:tcPr>
          <w:p w14:paraId="15B2A60F" w14:textId="77777777" w:rsidR="00005A3C" w:rsidRPr="006A0C48" w:rsidRDefault="00005A3C" w:rsidP="006726E6">
            <w:pPr>
              <w:spacing w:before="80" w:after="80"/>
              <w:jc w:val="left"/>
              <w:rPr>
                <w:szCs w:val="22"/>
              </w:rPr>
            </w:pPr>
            <w:r w:rsidRPr="006A0C48">
              <w:rPr>
                <w:szCs w:val="22"/>
              </w:rPr>
              <w:t>Number of countries using natural capital accounts in planning processes</w:t>
            </w:r>
          </w:p>
          <w:p w14:paraId="01994068" w14:textId="77777777" w:rsidR="00005A3C" w:rsidRPr="006A0C48" w:rsidRDefault="00005A3C" w:rsidP="006726E6">
            <w:pPr>
              <w:spacing w:before="80" w:after="80"/>
              <w:jc w:val="left"/>
              <w:rPr>
                <w:szCs w:val="22"/>
              </w:rPr>
            </w:pPr>
            <w:r w:rsidRPr="006A0C48">
              <w:rPr>
                <w:szCs w:val="22"/>
              </w:rPr>
              <w:t>Percentage of spatial plans utilizing information on key biodiversity areas</w:t>
            </w:r>
          </w:p>
          <w:p w14:paraId="6F4876AC" w14:textId="77777777" w:rsidR="00005A3C" w:rsidRPr="006A0C48" w:rsidRDefault="00005A3C" w:rsidP="006726E6">
            <w:pPr>
              <w:spacing w:before="80" w:after="80"/>
              <w:jc w:val="left"/>
              <w:rPr>
                <w:szCs w:val="22"/>
              </w:rPr>
            </w:pPr>
            <w:r w:rsidRPr="006A0C48">
              <w:rPr>
                <w:szCs w:val="22"/>
              </w:rPr>
              <w:t>Habitat patches located within marine protected areas or integrated coastal zone management (ICZM)</w:t>
            </w:r>
          </w:p>
          <w:p w14:paraId="49FD9AB9" w14:textId="77777777" w:rsidR="00005A3C" w:rsidRPr="006A0C48" w:rsidRDefault="00005A3C" w:rsidP="006726E6">
            <w:pPr>
              <w:spacing w:before="80" w:after="80"/>
              <w:jc w:val="left"/>
              <w:rPr>
                <w:szCs w:val="22"/>
              </w:rPr>
            </w:pPr>
            <w:r w:rsidRPr="006A0C48">
              <w:rPr>
                <w:szCs w:val="22"/>
              </w:rPr>
              <w:t>Other spatial management plans (not captured as ICZM or marine spatial planning)</w:t>
            </w:r>
          </w:p>
          <w:p w14:paraId="2125825A" w14:textId="77777777" w:rsidR="00005A3C" w:rsidRPr="006A0C48" w:rsidRDefault="00005A3C" w:rsidP="006726E6">
            <w:pPr>
              <w:spacing w:before="80" w:after="80"/>
              <w:jc w:val="left"/>
              <w:rPr>
                <w:szCs w:val="22"/>
              </w:rPr>
            </w:pPr>
            <w:r w:rsidRPr="006A0C48">
              <w:rPr>
                <w:szCs w:val="22"/>
              </w:rPr>
              <w:t>Number of countries using ocean accounts in planning processes</w:t>
            </w:r>
          </w:p>
          <w:p w14:paraId="370673B0" w14:textId="77777777" w:rsidR="00005A3C" w:rsidRPr="006A0C48" w:rsidRDefault="00005A3C" w:rsidP="006726E6">
            <w:pPr>
              <w:spacing w:before="80" w:after="80"/>
              <w:jc w:val="left"/>
              <w:rPr>
                <w:szCs w:val="22"/>
              </w:rPr>
            </w:pPr>
            <w:r w:rsidRPr="006A0C48">
              <w:rPr>
                <w:szCs w:val="22"/>
              </w:rPr>
              <w:lastRenderedPageBreak/>
              <w:t xml:space="preserve">Proportion of transboundary basin area with an operational arrangement for water cooperation </w:t>
            </w:r>
          </w:p>
          <w:p w14:paraId="0D90FB3C" w14:textId="77777777" w:rsidR="00005A3C" w:rsidRPr="006A0C48" w:rsidRDefault="00005A3C" w:rsidP="006726E6">
            <w:pPr>
              <w:spacing w:before="80" w:after="80"/>
              <w:jc w:val="left"/>
              <w:rPr>
                <w:szCs w:val="22"/>
              </w:rPr>
            </w:pPr>
            <w:r w:rsidRPr="006A0C48">
              <w:rPr>
                <w:szCs w:val="22"/>
              </w:rPr>
              <w:t>Percent of total land area that is under cultivation</w:t>
            </w:r>
          </w:p>
          <w:p w14:paraId="0E02ED8A" w14:textId="77777777" w:rsidR="00005A3C" w:rsidRPr="006A0C48" w:rsidRDefault="00005A3C" w:rsidP="006726E6">
            <w:pPr>
              <w:spacing w:before="80" w:after="80"/>
              <w:jc w:val="left"/>
              <w:rPr>
                <w:szCs w:val="22"/>
              </w:rPr>
            </w:pPr>
            <w:r w:rsidRPr="006A0C48">
              <w:rPr>
                <w:szCs w:val="22"/>
              </w:rPr>
              <w:t>Extent of natural ecosystems by type</w:t>
            </w:r>
          </w:p>
          <w:p w14:paraId="215F7837" w14:textId="77777777" w:rsidR="00005A3C" w:rsidRPr="006A0C48" w:rsidRDefault="00005A3C" w:rsidP="006726E6">
            <w:pPr>
              <w:spacing w:before="80" w:after="80"/>
              <w:jc w:val="left"/>
              <w:rPr>
                <w:szCs w:val="22"/>
              </w:rPr>
            </w:pPr>
            <w:r w:rsidRPr="006A0C48">
              <w:rPr>
                <w:szCs w:val="22"/>
              </w:rPr>
              <w:t xml:space="preserve">Number of countries implementing national legislation, policies or other measures regarding FPIC related to conservation </w:t>
            </w:r>
          </w:p>
          <w:p w14:paraId="6693887B" w14:textId="77777777" w:rsidR="00005A3C" w:rsidRPr="006A0C48" w:rsidRDefault="00005A3C" w:rsidP="006726E6">
            <w:pPr>
              <w:spacing w:before="80" w:after="80"/>
              <w:jc w:val="left"/>
              <w:rPr>
                <w:szCs w:val="22"/>
              </w:rPr>
            </w:pPr>
            <w:r w:rsidRPr="006A0C48">
              <w:rPr>
                <w:szCs w:val="22"/>
              </w:rPr>
              <w:t>Ecosystem Integrity Index</w:t>
            </w:r>
          </w:p>
        </w:tc>
      </w:tr>
      <w:tr w:rsidR="00005A3C" w:rsidRPr="006A0C48" w14:paraId="7DE4D817" w14:textId="77777777" w:rsidTr="00967EE7">
        <w:trPr>
          <w:trHeight w:val="300"/>
        </w:trPr>
        <w:tc>
          <w:tcPr>
            <w:tcW w:w="846" w:type="dxa"/>
            <w:shd w:val="clear" w:color="auto" w:fill="FFFFFF" w:themeFill="background1"/>
          </w:tcPr>
          <w:p w14:paraId="09DE7A2A" w14:textId="77777777" w:rsidR="00005A3C" w:rsidRPr="006A0C48" w:rsidRDefault="00005A3C" w:rsidP="00BC5121">
            <w:pPr>
              <w:spacing w:before="80" w:after="80"/>
              <w:rPr>
                <w:szCs w:val="22"/>
              </w:rPr>
            </w:pPr>
            <w:r w:rsidRPr="006A0C48">
              <w:rPr>
                <w:szCs w:val="22"/>
              </w:rPr>
              <w:lastRenderedPageBreak/>
              <w:t>2</w:t>
            </w:r>
          </w:p>
        </w:tc>
        <w:tc>
          <w:tcPr>
            <w:tcW w:w="3260" w:type="dxa"/>
            <w:shd w:val="clear" w:color="auto" w:fill="FFFFFF" w:themeFill="background1"/>
          </w:tcPr>
          <w:p w14:paraId="37014040" w14:textId="77777777" w:rsidR="00005A3C" w:rsidRPr="006A0C48" w:rsidRDefault="00005A3C" w:rsidP="00BC5121">
            <w:pPr>
              <w:spacing w:before="80" w:after="80"/>
              <w:rPr>
                <w:szCs w:val="22"/>
              </w:rPr>
            </w:pPr>
            <w:r w:rsidRPr="006A0C48">
              <w:rPr>
                <w:szCs w:val="22"/>
              </w:rPr>
              <w:t xml:space="preserve">2.2 Area under restoration </w:t>
            </w:r>
          </w:p>
        </w:tc>
        <w:tc>
          <w:tcPr>
            <w:tcW w:w="3567" w:type="dxa"/>
            <w:shd w:val="clear" w:color="auto" w:fill="FFFFFF" w:themeFill="background1"/>
          </w:tcPr>
          <w:p w14:paraId="460AAA6C" w14:textId="77777777" w:rsidR="00005A3C" w:rsidRPr="006A0C48" w:rsidRDefault="00005A3C" w:rsidP="006726E6">
            <w:pPr>
              <w:spacing w:before="80" w:after="80"/>
              <w:jc w:val="left"/>
              <w:rPr>
                <w:szCs w:val="22"/>
              </w:rPr>
            </w:pPr>
            <w:r w:rsidRPr="006A0C48">
              <w:rPr>
                <w:szCs w:val="22"/>
              </w:rPr>
              <w:t>Extent of natural ecosystems by type</w:t>
            </w:r>
          </w:p>
          <w:p w14:paraId="2238BC8A" w14:textId="77777777" w:rsidR="00005A3C" w:rsidRPr="006A0C48" w:rsidRDefault="00005A3C" w:rsidP="006726E6">
            <w:pPr>
              <w:spacing w:before="80" w:after="80"/>
              <w:jc w:val="left"/>
              <w:rPr>
                <w:szCs w:val="22"/>
              </w:rPr>
            </w:pPr>
          </w:p>
          <w:p w14:paraId="75A5C2A9" w14:textId="77777777" w:rsidR="00005A3C" w:rsidRPr="006A0C48" w:rsidRDefault="00005A3C" w:rsidP="006726E6">
            <w:pPr>
              <w:jc w:val="left"/>
              <w:rPr>
                <w:szCs w:val="22"/>
              </w:rPr>
            </w:pPr>
            <w:r w:rsidRPr="006A0C48">
              <w:rPr>
                <w:szCs w:val="22"/>
              </w:rPr>
              <w:t>Maintenance and restoration of connectivity of natural ecosystems</w:t>
            </w:r>
          </w:p>
          <w:p w14:paraId="7329C700" w14:textId="77777777" w:rsidR="00005A3C" w:rsidRPr="006A0C48" w:rsidRDefault="00005A3C" w:rsidP="006726E6">
            <w:pPr>
              <w:spacing w:before="80" w:after="80"/>
              <w:jc w:val="left"/>
              <w:rPr>
                <w:szCs w:val="22"/>
              </w:rPr>
            </w:pPr>
          </w:p>
          <w:p w14:paraId="24C443B6" w14:textId="77777777" w:rsidR="00005A3C" w:rsidRPr="006A0C48" w:rsidRDefault="00005A3C" w:rsidP="006726E6">
            <w:pPr>
              <w:spacing w:before="80" w:after="80"/>
              <w:jc w:val="left"/>
              <w:rPr>
                <w:szCs w:val="22"/>
              </w:rPr>
            </w:pPr>
          </w:p>
        </w:tc>
        <w:tc>
          <w:tcPr>
            <w:tcW w:w="5363" w:type="dxa"/>
            <w:shd w:val="clear" w:color="auto" w:fill="FFFFFF" w:themeFill="background1"/>
          </w:tcPr>
          <w:p w14:paraId="18666893" w14:textId="77777777" w:rsidR="00005A3C" w:rsidRPr="006A0C48" w:rsidRDefault="00005A3C" w:rsidP="006726E6">
            <w:pPr>
              <w:spacing w:before="80" w:after="80"/>
              <w:jc w:val="left"/>
              <w:rPr>
                <w:szCs w:val="22"/>
              </w:rPr>
            </w:pPr>
            <w:r w:rsidRPr="006A0C48">
              <w:rPr>
                <w:szCs w:val="22"/>
              </w:rPr>
              <w:t>Habitat distributional range</w:t>
            </w:r>
          </w:p>
          <w:p w14:paraId="2BC67F82" w14:textId="77777777" w:rsidR="00005A3C" w:rsidRPr="006A0C48" w:rsidRDefault="00005A3C" w:rsidP="006726E6">
            <w:pPr>
              <w:spacing w:before="80" w:after="80"/>
              <w:jc w:val="left"/>
              <w:rPr>
                <w:szCs w:val="22"/>
              </w:rPr>
            </w:pPr>
            <w:r w:rsidRPr="006A0C48">
              <w:rPr>
                <w:szCs w:val="22"/>
              </w:rPr>
              <w:t>Index of Species Rarity Sites, High Biodiversity Areas, Large Mammal Landscapes, Intact Wilderness and Climate Stabilization Areas</w:t>
            </w:r>
          </w:p>
          <w:p w14:paraId="7916693A" w14:textId="77777777" w:rsidR="00005A3C" w:rsidRPr="006A0C48" w:rsidRDefault="00005A3C" w:rsidP="006726E6">
            <w:pPr>
              <w:spacing w:before="80" w:after="80"/>
              <w:jc w:val="left"/>
              <w:rPr>
                <w:szCs w:val="22"/>
              </w:rPr>
            </w:pPr>
            <w:r w:rsidRPr="006A0C48">
              <w:rPr>
                <w:szCs w:val="22"/>
              </w:rPr>
              <w:t>Increase in secondary natural forest cover</w:t>
            </w:r>
          </w:p>
          <w:p w14:paraId="6BCFCF74" w14:textId="77777777" w:rsidR="00005A3C" w:rsidRPr="006A0C48" w:rsidRDefault="00005A3C" w:rsidP="006726E6">
            <w:pPr>
              <w:spacing w:before="80" w:after="80"/>
              <w:jc w:val="left"/>
              <w:rPr>
                <w:szCs w:val="22"/>
              </w:rPr>
            </w:pPr>
            <w:r w:rsidRPr="006A0C48">
              <w:rPr>
                <w:szCs w:val="22"/>
              </w:rPr>
              <w:t>Annual tropical primary tree cover loss</w:t>
            </w:r>
          </w:p>
          <w:p w14:paraId="1E5678DF" w14:textId="77777777" w:rsidR="00005A3C" w:rsidRPr="006A0C48" w:rsidRDefault="00005A3C" w:rsidP="006726E6">
            <w:pPr>
              <w:spacing w:before="80" w:after="80"/>
              <w:jc w:val="left"/>
              <w:rPr>
                <w:szCs w:val="22"/>
              </w:rPr>
            </w:pPr>
            <w:r w:rsidRPr="006A0C48">
              <w:rPr>
                <w:szCs w:val="22"/>
              </w:rPr>
              <w:t>Forest Landscape Integrity Index</w:t>
            </w:r>
          </w:p>
          <w:p w14:paraId="7667D3DB" w14:textId="77777777" w:rsidR="00005A3C" w:rsidRPr="006A0C48" w:rsidRDefault="00005A3C" w:rsidP="006726E6">
            <w:pPr>
              <w:spacing w:before="80" w:after="80"/>
              <w:jc w:val="left"/>
              <w:rPr>
                <w:szCs w:val="22"/>
              </w:rPr>
            </w:pPr>
            <w:r w:rsidRPr="006A0C48">
              <w:rPr>
                <w:szCs w:val="22"/>
              </w:rPr>
              <w:t>Global Ecosystem Restoration Index</w:t>
            </w:r>
          </w:p>
          <w:p w14:paraId="08377864" w14:textId="77777777" w:rsidR="00005A3C" w:rsidRPr="006A0C48" w:rsidRDefault="00005A3C" w:rsidP="006726E6">
            <w:pPr>
              <w:spacing w:before="80" w:after="80"/>
              <w:jc w:val="left"/>
              <w:rPr>
                <w:szCs w:val="22"/>
              </w:rPr>
            </w:pPr>
            <w:r w:rsidRPr="006A0C48">
              <w:rPr>
                <w:szCs w:val="22"/>
              </w:rPr>
              <w:t>Free flowing rivers</w:t>
            </w:r>
          </w:p>
          <w:p w14:paraId="5312434F" w14:textId="77777777" w:rsidR="00005A3C" w:rsidRPr="006A0C48" w:rsidRDefault="00005A3C" w:rsidP="006726E6">
            <w:pPr>
              <w:spacing w:before="80" w:after="80"/>
              <w:jc w:val="left"/>
              <w:rPr>
                <w:szCs w:val="22"/>
              </w:rPr>
            </w:pPr>
            <w:r w:rsidRPr="006A0C48">
              <w:rPr>
                <w:szCs w:val="22"/>
              </w:rPr>
              <w:t>Percentage of cropped landscapes with at least 10 per cent of natural land</w:t>
            </w:r>
          </w:p>
          <w:p w14:paraId="7EAD0344" w14:textId="77777777" w:rsidR="00005A3C" w:rsidRPr="006A0C48" w:rsidRDefault="00005A3C" w:rsidP="006726E6">
            <w:pPr>
              <w:spacing w:before="80" w:after="80"/>
              <w:jc w:val="left"/>
              <w:rPr>
                <w:szCs w:val="22"/>
              </w:rPr>
            </w:pPr>
            <w:r w:rsidRPr="006A0C48">
              <w:rPr>
                <w:szCs w:val="22"/>
              </w:rPr>
              <w:t>Bioclimatic Ecosystem Resilience Index (BERI)</w:t>
            </w:r>
          </w:p>
          <w:p w14:paraId="4E63322D" w14:textId="77777777" w:rsidR="00005A3C" w:rsidRPr="006A0C48" w:rsidRDefault="00005A3C" w:rsidP="006726E6">
            <w:pPr>
              <w:spacing w:before="80" w:after="80"/>
              <w:jc w:val="left"/>
              <w:rPr>
                <w:szCs w:val="22"/>
              </w:rPr>
            </w:pPr>
            <w:r w:rsidRPr="006A0C48">
              <w:rPr>
                <w:szCs w:val="22"/>
              </w:rPr>
              <w:t>Priority retention of intact / wilderness areas</w:t>
            </w:r>
          </w:p>
          <w:p w14:paraId="4E88C688" w14:textId="77777777" w:rsidR="00005A3C" w:rsidRPr="006A0C48" w:rsidRDefault="00005A3C" w:rsidP="006726E6">
            <w:pPr>
              <w:spacing w:before="80" w:after="80"/>
              <w:jc w:val="left"/>
              <w:rPr>
                <w:szCs w:val="22"/>
              </w:rPr>
            </w:pPr>
            <w:r w:rsidRPr="006A0C48">
              <w:rPr>
                <w:szCs w:val="22"/>
              </w:rPr>
              <w:t>Status of key biodiversity areas</w:t>
            </w:r>
          </w:p>
          <w:p w14:paraId="7035359B" w14:textId="77777777" w:rsidR="00005A3C" w:rsidRPr="006A0C48" w:rsidRDefault="00005A3C" w:rsidP="006726E6">
            <w:pPr>
              <w:spacing w:before="80" w:after="80"/>
              <w:jc w:val="left"/>
              <w:rPr>
                <w:szCs w:val="22"/>
              </w:rPr>
            </w:pPr>
            <w:r w:rsidRPr="006A0C48">
              <w:rPr>
                <w:szCs w:val="22"/>
              </w:rPr>
              <w:t>Biodiversity Habitat Index</w:t>
            </w:r>
          </w:p>
          <w:p w14:paraId="44567238" w14:textId="77777777" w:rsidR="00005A3C" w:rsidRPr="006A0C48" w:rsidRDefault="00005A3C" w:rsidP="006726E6">
            <w:pPr>
              <w:spacing w:before="80" w:after="80"/>
              <w:jc w:val="left"/>
              <w:rPr>
                <w:szCs w:val="22"/>
              </w:rPr>
            </w:pPr>
            <w:r w:rsidRPr="006A0C48">
              <w:rPr>
                <w:szCs w:val="22"/>
              </w:rPr>
              <w:t>Red List Index</w:t>
            </w:r>
          </w:p>
          <w:p w14:paraId="4368B260" w14:textId="77777777" w:rsidR="00005A3C" w:rsidRPr="006A0C48" w:rsidRDefault="00005A3C" w:rsidP="006726E6">
            <w:pPr>
              <w:spacing w:before="80" w:after="80"/>
              <w:jc w:val="left"/>
              <w:rPr>
                <w:szCs w:val="22"/>
              </w:rPr>
            </w:pPr>
            <w:r w:rsidRPr="006A0C48">
              <w:rPr>
                <w:szCs w:val="22"/>
              </w:rPr>
              <w:t>Red List of Ecosystems</w:t>
            </w:r>
          </w:p>
          <w:p w14:paraId="228FD329" w14:textId="77777777" w:rsidR="00005A3C" w:rsidRPr="006A0C48" w:rsidRDefault="00005A3C" w:rsidP="006726E6">
            <w:pPr>
              <w:spacing w:before="80" w:after="80"/>
              <w:jc w:val="left"/>
              <w:rPr>
                <w:szCs w:val="22"/>
              </w:rPr>
            </w:pPr>
            <w:r w:rsidRPr="006A0C48">
              <w:rPr>
                <w:szCs w:val="22"/>
              </w:rPr>
              <w:t>Living Planet Index</w:t>
            </w:r>
          </w:p>
          <w:p w14:paraId="02A48DE9" w14:textId="77777777" w:rsidR="00005A3C" w:rsidRPr="006A0C48" w:rsidRDefault="00005A3C" w:rsidP="006726E6">
            <w:pPr>
              <w:spacing w:before="80" w:after="80"/>
              <w:jc w:val="left"/>
              <w:rPr>
                <w:szCs w:val="22"/>
              </w:rPr>
            </w:pPr>
            <w:r w:rsidRPr="006A0C48">
              <w:rPr>
                <w:szCs w:val="22"/>
              </w:rPr>
              <w:t>Species habitat Index</w:t>
            </w:r>
          </w:p>
        </w:tc>
      </w:tr>
      <w:tr w:rsidR="00005A3C" w:rsidRPr="006A0C48" w14:paraId="2BCF7CEF" w14:textId="77777777" w:rsidTr="00967EE7">
        <w:trPr>
          <w:trHeight w:val="300"/>
        </w:trPr>
        <w:tc>
          <w:tcPr>
            <w:tcW w:w="846" w:type="dxa"/>
            <w:shd w:val="clear" w:color="auto" w:fill="FFFFFF" w:themeFill="background1"/>
          </w:tcPr>
          <w:p w14:paraId="4F42F041" w14:textId="77777777" w:rsidR="00005A3C" w:rsidRPr="006A0C48" w:rsidRDefault="00005A3C" w:rsidP="00BC5121">
            <w:pPr>
              <w:spacing w:before="80" w:after="80"/>
              <w:rPr>
                <w:szCs w:val="22"/>
              </w:rPr>
            </w:pPr>
            <w:r w:rsidRPr="006A0C48">
              <w:rPr>
                <w:szCs w:val="22"/>
              </w:rPr>
              <w:lastRenderedPageBreak/>
              <w:t>3</w:t>
            </w:r>
          </w:p>
        </w:tc>
        <w:tc>
          <w:tcPr>
            <w:tcW w:w="3260" w:type="dxa"/>
            <w:shd w:val="clear" w:color="auto" w:fill="FFFFFF" w:themeFill="background1"/>
          </w:tcPr>
          <w:p w14:paraId="5607CECB" w14:textId="77777777" w:rsidR="00005A3C" w:rsidRPr="006A0C48" w:rsidRDefault="00005A3C" w:rsidP="006726E6">
            <w:pPr>
              <w:spacing w:before="80" w:after="80"/>
              <w:jc w:val="left"/>
              <w:rPr>
                <w:szCs w:val="22"/>
              </w:rPr>
            </w:pPr>
            <w:r w:rsidRPr="006A0C48">
              <w:rPr>
                <w:szCs w:val="22"/>
              </w:rPr>
              <w:t xml:space="preserve">3.1 Coverage of protected areas and other effective area-based conservation measures </w:t>
            </w:r>
          </w:p>
        </w:tc>
        <w:tc>
          <w:tcPr>
            <w:tcW w:w="3567" w:type="dxa"/>
            <w:shd w:val="clear" w:color="auto" w:fill="FFFFFF" w:themeFill="background1"/>
          </w:tcPr>
          <w:p w14:paraId="04953224" w14:textId="77777777" w:rsidR="00005A3C" w:rsidRPr="006A0C48" w:rsidRDefault="00005A3C" w:rsidP="006726E6">
            <w:pPr>
              <w:spacing w:before="80" w:after="80"/>
              <w:jc w:val="left"/>
              <w:rPr>
                <w:szCs w:val="22"/>
              </w:rPr>
            </w:pPr>
            <w:r w:rsidRPr="006A0C48">
              <w:rPr>
                <w:szCs w:val="22"/>
              </w:rPr>
              <w:t xml:space="preserve">Protected area coverage of key biodiversity areas </w:t>
            </w:r>
          </w:p>
          <w:p w14:paraId="6AB1543C" w14:textId="77777777" w:rsidR="00005A3C" w:rsidRPr="006A0C48" w:rsidRDefault="00005A3C" w:rsidP="00E42CE7">
            <w:pPr>
              <w:spacing w:before="80" w:after="80"/>
              <w:jc w:val="left"/>
              <w:rPr>
                <w:szCs w:val="22"/>
              </w:rPr>
            </w:pPr>
            <w:r w:rsidRPr="006A0C48">
              <w:rPr>
                <w:szCs w:val="22"/>
              </w:rPr>
              <w:t xml:space="preserve">Protected Area Management Effectiveness (PAME) </w:t>
            </w:r>
          </w:p>
          <w:p w14:paraId="2FF974BD" w14:textId="77777777" w:rsidR="00005A3C" w:rsidRPr="006A0C48" w:rsidRDefault="00005A3C" w:rsidP="006726E6">
            <w:pPr>
              <w:spacing w:before="80" w:after="80"/>
              <w:jc w:val="left"/>
              <w:rPr>
                <w:szCs w:val="22"/>
              </w:rPr>
            </w:pPr>
            <w:r w:rsidRPr="006A0C48">
              <w:rPr>
                <w:szCs w:val="22"/>
              </w:rPr>
              <w:t>ProtConn</w:t>
            </w:r>
          </w:p>
          <w:p w14:paraId="10004291" w14:textId="77777777" w:rsidR="00005A3C" w:rsidRPr="006A0C48" w:rsidRDefault="00005A3C" w:rsidP="006726E6">
            <w:pPr>
              <w:spacing w:before="80" w:after="80"/>
              <w:jc w:val="left"/>
              <w:rPr>
                <w:szCs w:val="22"/>
              </w:rPr>
            </w:pPr>
            <w:r w:rsidRPr="006A0C48">
              <w:rPr>
                <w:szCs w:val="22"/>
              </w:rPr>
              <w:t>Protected Area Connectedness Index (PARC-Connectedness)</w:t>
            </w:r>
          </w:p>
          <w:p w14:paraId="75066839" w14:textId="77777777" w:rsidR="00005A3C" w:rsidRPr="006A0C48" w:rsidRDefault="00005A3C" w:rsidP="006726E6">
            <w:pPr>
              <w:spacing w:before="80" w:after="80"/>
              <w:jc w:val="left"/>
              <w:rPr>
                <w:szCs w:val="22"/>
              </w:rPr>
            </w:pPr>
            <w:r w:rsidRPr="006A0C48">
              <w:rPr>
                <w:szCs w:val="22"/>
              </w:rPr>
              <w:t>Red List of Ecosystems</w:t>
            </w:r>
          </w:p>
          <w:p w14:paraId="11D951B7" w14:textId="77777777" w:rsidR="00005A3C" w:rsidRPr="006A0C48" w:rsidRDefault="00005A3C" w:rsidP="006726E6">
            <w:pPr>
              <w:spacing w:before="80" w:after="80"/>
              <w:jc w:val="left"/>
              <w:rPr>
                <w:szCs w:val="22"/>
              </w:rPr>
            </w:pPr>
            <w:r w:rsidRPr="006A0C48">
              <w:rPr>
                <w:szCs w:val="22"/>
              </w:rPr>
              <w:t xml:space="preserve">Connectivity Indicator </w:t>
            </w:r>
          </w:p>
          <w:p w14:paraId="59208876" w14:textId="77777777" w:rsidR="00005A3C" w:rsidRPr="006A0C48" w:rsidRDefault="00005A3C" w:rsidP="006726E6">
            <w:pPr>
              <w:spacing w:before="80" w:after="80"/>
              <w:jc w:val="left"/>
              <w:rPr>
                <w:szCs w:val="22"/>
              </w:rPr>
            </w:pPr>
            <w:r w:rsidRPr="006A0C48">
              <w:rPr>
                <w:szCs w:val="22"/>
              </w:rPr>
              <w:t>The number of protected areas that have completed a site-level assessment of governance and equity (SAGE)</w:t>
            </w:r>
          </w:p>
          <w:p w14:paraId="501FEC6F" w14:textId="77777777" w:rsidR="00005A3C" w:rsidRPr="006A0C48" w:rsidRDefault="00005A3C" w:rsidP="006726E6">
            <w:pPr>
              <w:spacing w:before="80" w:after="80"/>
              <w:jc w:val="left"/>
              <w:rPr>
                <w:szCs w:val="22"/>
              </w:rPr>
            </w:pPr>
            <w:r w:rsidRPr="006A0C48">
              <w:rPr>
                <w:szCs w:val="22"/>
              </w:rPr>
              <w:t>Species Protection Index</w:t>
            </w:r>
          </w:p>
          <w:p w14:paraId="73BE48CB" w14:textId="77777777" w:rsidR="00005A3C" w:rsidRPr="006A0C48" w:rsidRDefault="00005A3C" w:rsidP="006726E6">
            <w:pPr>
              <w:spacing w:before="80" w:after="80"/>
              <w:jc w:val="left"/>
              <w:rPr>
                <w:szCs w:val="22"/>
              </w:rPr>
            </w:pPr>
          </w:p>
        </w:tc>
        <w:tc>
          <w:tcPr>
            <w:tcW w:w="5363" w:type="dxa"/>
            <w:shd w:val="clear" w:color="auto" w:fill="FFFFFF" w:themeFill="background1"/>
          </w:tcPr>
          <w:p w14:paraId="65FB9838" w14:textId="77777777" w:rsidR="00005A3C" w:rsidRPr="006A0C48" w:rsidRDefault="00005A3C" w:rsidP="006726E6">
            <w:pPr>
              <w:spacing w:before="80" w:after="80"/>
              <w:jc w:val="left"/>
              <w:rPr>
                <w:szCs w:val="22"/>
              </w:rPr>
            </w:pPr>
            <w:r w:rsidRPr="006A0C48">
              <w:rPr>
                <w:szCs w:val="22"/>
              </w:rPr>
              <w:t>Protected area downgrading, downsizing and degazettement (PD)</w:t>
            </w:r>
          </w:p>
          <w:p w14:paraId="000B7B95" w14:textId="77777777" w:rsidR="00005A3C" w:rsidRPr="006A0C48" w:rsidRDefault="00005A3C" w:rsidP="006726E6">
            <w:pPr>
              <w:spacing w:before="80" w:after="80"/>
              <w:jc w:val="left"/>
              <w:rPr>
                <w:szCs w:val="22"/>
              </w:rPr>
            </w:pPr>
            <w:r w:rsidRPr="006A0C48">
              <w:rPr>
                <w:szCs w:val="22"/>
              </w:rPr>
              <w:t>Status of key biodiversity areas</w:t>
            </w:r>
          </w:p>
          <w:p w14:paraId="5390B16F" w14:textId="77777777" w:rsidR="00005A3C" w:rsidRPr="006A0C48" w:rsidRDefault="00005A3C" w:rsidP="006726E6">
            <w:pPr>
              <w:spacing w:before="80" w:after="80"/>
              <w:jc w:val="left"/>
              <w:rPr>
                <w:szCs w:val="22"/>
              </w:rPr>
            </w:pPr>
            <w:r w:rsidRPr="006A0C48">
              <w:rPr>
                <w:szCs w:val="22"/>
              </w:rPr>
              <w:t>IUCN Green List of Protected and Conserved Areas</w:t>
            </w:r>
          </w:p>
          <w:p w14:paraId="70F3D2E7" w14:textId="77777777" w:rsidR="00005A3C" w:rsidRPr="006A0C48" w:rsidRDefault="00005A3C" w:rsidP="006726E6">
            <w:pPr>
              <w:spacing w:before="80" w:after="80"/>
              <w:jc w:val="left"/>
              <w:rPr>
                <w:szCs w:val="22"/>
              </w:rPr>
            </w:pPr>
            <w:r w:rsidRPr="006A0C48">
              <w:rPr>
                <w:szCs w:val="22"/>
              </w:rPr>
              <w:t>Number of hectares of UNESCO designated sites (natural and mixed World Heritage sites and Biosphere Reserves)</w:t>
            </w:r>
          </w:p>
          <w:p w14:paraId="54EEDEC1" w14:textId="77777777" w:rsidR="00005A3C" w:rsidRPr="006A0C48" w:rsidRDefault="00005A3C" w:rsidP="006726E6">
            <w:pPr>
              <w:spacing w:before="80" w:after="80"/>
              <w:jc w:val="left"/>
              <w:rPr>
                <w:szCs w:val="22"/>
              </w:rPr>
            </w:pPr>
            <w:r w:rsidRPr="006A0C48">
              <w:rPr>
                <w:szCs w:val="22"/>
              </w:rPr>
              <w:t>Protected area and other effective area-based conservation measures management effectiveness (MEPCA) indicator</w:t>
            </w:r>
          </w:p>
          <w:p w14:paraId="6AE46F3F" w14:textId="77777777" w:rsidR="00005A3C" w:rsidRPr="006A0C48" w:rsidRDefault="00005A3C" w:rsidP="006726E6">
            <w:pPr>
              <w:spacing w:before="80" w:after="80"/>
              <w:jc w:val="left"/>
              <w:rPr>
                <w:szCs w:val="22"/>
              </w:rPr>
            </w:pPr>
            <w:r w:rsidRPr="006A0C48">
              <w:rPr>
                <w:szCs w:val="22"/>
              </w:rPr>
              <w:t>Protected Area Isolation Index (PAI)</w:t>
            </w:r>
          </w:p>
          <w:p w14:paraId="588CBB9F" w14:textId="77777777" w:rsidR="00005A3C" w:rsidRPr="006A0C48" w:rsidRDefault="00005A3C" w:rsidP="006726E6">
            <w:pPr>
              <w:spacing w:before="80" w:after="80"/>
              <w:jc w:val="left"/>
              <w:rPr>
                <w:szCs w:val="22"/>
              </w:rPr>
            </w:pPr>
            <w:r w:rsidRPr="006A0C48">
              <w:rPr>
                <w:szCs w:val="22"/>
              </w:rPr>
              <w:t>Protected Areas Network metric (ProNet)</w:t>
            </w:r>
          </w:p>
          <w:p w14:paraId="2A06A6CB" w14:textId="77777777" w:rsidR="00005A3C" w:rsidRPr="006A0C48" w:rsidRDefault="00005A3C" w:rsidP="006726E6">
            <w:pPr>
              <w:spacing w:before="80" w:after="80"/>
              <w:jc w:val="left"/>
              <w:rPr>
                <w:szCs w:val="22"/>
              </w:rPr>
            </w:pPr>
            <w:r w:rsidRPr="006A0C48">
              <w:rPr>
                <w:szCs w:val="22"/>
              </w:rPr>
              <w:t>Extent to which protected areas and other effective area-based conservation measures cover key biodiversity areas that are important for migratory species</w:t>
            </w:r>
          </w:p>
          <w:p w14:paraId="5C398007" w14:textId="77777777" w:rsidR="00005A3C" w:rsidRPr="006A0C48" w:rsidRDefault="00005A3C" w:rsidP="006726E6">
            <w:pPr>
              <w:spacing w:before="80" w:after="80"/>
              <w:jc w:val="left"/>
              <w:rPr>
                <w:szCs w:val="22"/>
              </w:rPr>
            </w:pPr>
            <w:r w:rsidRPr="006A0C48">
              <w:rPr>
                <w:szCs w:val="22"/>
              </w:rPr>
              <w:t>Coverage of protected areas and other effective area-based conservation measures and traditional territories (by governance type)</w:t>
            </w:r>
          </w:p>
          <w:p w14:paraId="24F174EC" w14:textId="77777777" w:rsidR="00005A3C" w:rsidRPr="006A0C48" w:rsidRDefault="00005A3C" w:rsidP="006726E6">
            <w:pPr>
              <w:spacing w:before="80" w:after="80"/>
              <w:jc w:val="left"/>
              <w:rPr>
                <w:szCs w:val="22"/>
              </w:rPr>
            </w:pPr>
            <w:r w:rsidRPr="006A0C48">
              <w:rPr>
                <w:szCs w:val="22"/>
              </w:rPr>
              <w:t>Ramsar Management Effectiveness Tracking Tool (R-METT)</w:t>
            </w:r>
          </w:p>
          <w:p w14:paraId="5E1F362F" w14:textId="77777777" w:rsidR="00005A3C" w:rsidRPr="006A0C48" w:rsidRDefault="00005A3C" w:rsidP="006726E6">
            <w:pPr>
              <w:spacing w:before="80" w:after="80"/>
              <w:jc w:val="left"/>
              <w:rPr>
                <w:szCs w:val="22"/>
              </w:rPr>
            </w:pPr>
            <w:r w:rsidRPr="006A0C48">
              <w:rPr>
                <w:szCs w:val="22"/>
              </w:rPr>
              <w:t>Percentage of biosphere reserves that have a positive conservation outcome and effective management</w:t>
            </w:r>
          </w:p>
          <w:p w14:paraId="6E6E889B" w14:textId="77777777" w:rsidR="00005A3C" w:rsidRPr="006A0C48" w:rsidRDefault="00005A3C" w:rsidP="006726E6">
            <w:pPr>
              <w:spacing w:before="80" w:after="80"/>
              <w:jc w:val="left"/>
              <w:rPr>
                <w:szCs w:val="22"/>
              </w:rPr>
            </w:pPr>
            <w:r w:rsidRPr="006A0C48">
              <w:rPr>
                <w:szCs w:val="22"/>
              </w:rPr>
              <w:t>Extent of indigenous peoples and local communities’ lands that have some form of recognition</w:t>
            </w:r>
          </w:p>
          <w:p w14:paraId="217B92DA" w14:textId="77777777" w:rsidR="00005A3C" w:rsidRPr="006A0C48" w:rsidRDefault="00005A3C" w:rsidP="006726E6">
            <w:pPr>
              <w:spacing w:before="80" w:after="80"/>
              <w:jc w:val="left"/>
              <w:rPr>
                <w:szCs w:val="22"/>
              </w:rPr>
            </w:pPr>
            <w:r w:rsidRPr="006A0C48">
              <w:rPr>
                <w:szCs w:val="22"/>
              </w:rPr>
              <w:t>Species Protection Index</w:t>
            </w:r>
          </w:p>
          <w:p w14:paraId="1CBD8871" w14:textId="77777777" w:rsidR="00005A3C" w:rsidRPr="006A0C48" w:rsidRDefault="00005A3C" w:rsidP="006726E6">
            <w:pPr>
              <w:spacing w:before="80" w:after="80"/>
              <w:jc w:val="left"/>
              <w:rPr>
                <w:szCs w:val="22"/>
              </w:rPr>
            </w:pPr>
            <w:r w:rsidRPr="006A0C48">
              <w:rPr>
                <w:szCs w:val="22"/>
              </w:rPr>
              <w:t>Number of countries implementing national legislation, policies or other measures regarding free, prior and informed consent related to conservation</w:t>
            </w:r>
          </w:p>
          <w:p w14:paraId="2E282953" w14:textId="77777777" w:rsidR="00005A3C" w:rsidRPr="006A0C48" w:rsidRDefault="00005A3C" w:rsidP="006726E6">
            <w:pPr>
              <w:spacing w:before="80" w:after="80"/>
              <w:jc w:val="left"/>
              <w:rPr>
                <w:szCs w:val="22"/>
              </w:rPr>
            </w:pPr>
            <w:r w:rsidRPr="006A0C48">
              <w:rPr>
                <w:szCs w:val="22"/>
              </w:rPr>
              <w:t>Red List of Ecosystems</w:t>
            </w:r>
          </w:p>
          <w:p w14:paraId="55C61990" w14:textId="77777777" w:rsidR="00005A3C" w:rsidRPr="006A0C48" w:rsidRDefault="00005A3C" w:rsidP="006726E6">
            <w:pPr>
              <w:spacing w:before="80" w:after="80"/>
              <w:jc w:val="left"/>
              <w:rPr>
                <w:szCs w:val="22"/>
              </w:rPr>
            </w:pPr>
            <w:r w:rsidRPr="006A0C48">
              <w:rPr>
                <w:szCs w:val="22"/>
              </w:rPr>
              <w:lastRenderedPageBreak/>
              <w:t>Proportion of terrestrial, freshwater and marine ecological regions which are conserved by protected areas or other effective area-based conservation measures</w:t>
            </w:r>
          </w:p>
        </w:tc>
      </w:tr>
      <w:tr w:rsidR="00005A3C" w:rsidRPr="006A0C48" w14:paraId="083D9E3A" w14:textId="77777777" w:rsidTr="00967EE7">
        <w:trPr>
          <w:trHeight w:val="300"/>
        </w:trPr>
        <w:tc>
          <w:tcPr>
            <w:tcW w:w="846" w:type="dxa"/>
            <w:shd w:val="clear" w:color="auto" w:fill="FFFFFF" w:themeFill="background1"/>
          </w:tcPr>
          <w:p w14:paraId="51F8AB93" w14:textId="77777777" w:rsidR="00005A3C" w:rsidRPr="006A0C48" w:rsidRDefault="00005A3C" w:rsidP="00BC5121">
            <w:pPr>
              <w:spacing w:before="80" w:after="80"/>
              <w:rPr>
                <w:szCs w:val="22"/>
              </w:rPr>
            </w:pPr>
            <w:r w:rsidRPr="006A0C48">
              <w:rPr>
                <w:szCs w:val="22"/>
              </w:rPr>
              <w:lastRenderedPageBreak/>
              <w:t>4</w:t>
            </w:r>
          </w:p>
        </w:tc>
        <w:tc>
          <w:tcPr>
            <w:tcW w:w="3260" w:type="dxa"/>
            <w:shd w:val="clear" w:color="auto" w:fill="FFFFFF" w:themeFill="background1"/>
          </w:tcPr>
          <w:p w14:paraId="4BDAFC92" w14:textId="77777777" w:rsidR="00005A3C" w:rsidRPr="006A0C48" w:rsidRDefault="00005A3C" w:rsidP="006726E6">
            <w:pPr>
              <w:spacing w:before="40" w:after="40"/>
              <w:jc w:val="left"/>
              <w:rPr>
                <w:szCs w:val="22"/>
              </w:rPr>
            </w:pPr>
            <w:r w:rsidRPr="006A0C48">
              <w:rPr>
                <w:szCs w:val="22"/>
              </w:rPr>
              <w:t>A.3 Red list Index</w:t>
            </w:r>
          </w:p>
          <w:p w14:paraId="2B184289" w14:textId="77777777" w:rsidR="00005A3C" w:rsidRPr="006A0C48" w:rsidRDefault="00005A3C" w:rsidP="006726E6">
            <w:pPr>
              <w:spacing w:before="80" w:after="80"/>
              <w:jc w:val="left"/>
              <w:rPr>
                <w:szCs w:val="22"/>
              </w:rPr>
            </w:pPr>
            <w:r w:rsidRPr="006A0C48">
              <w:rPr>
                <w:szCs w:val="22"/>
              </w:rPr>
              <w:t>A.4 The proportion of populations within species with an effective population size &gt; 500</w:t>
            </w:r>
          </w:p>
        </w:tc>
        <w:tc>
          <w:tcPr>
            <w:tcW w:w="3567" w:type="dxa"/>
            <w:shd w:val="clear" w:color="auto" w:fill="FFFFFF" w:themeFill="background1"/>
          </w:tcPr>
          <w:p w14:paraId="5CBD3EE9" w14:textId="77777777" w:rsidR="00005A3C" w:rsidRPr="006A0C48" w:rsidRDefault="00005A3C" w:rsidP="006726E6">
            <w:pPr>
              <w:spacing w:before="80" w:after="80"/>
              <w:jc w:val="left"/>
              <w:rPr>
                <w:szCs w:val="22"/>
              </w:rPr>
            </w:pPr>
            <w:r w:rsidRPr="006A0C48">
              <w:rPr>
                <w:szCs w:val="22"/>
              </w:rPr>
              <w:t>Living Planet Index</w:t>
            </w:r>
          </w:p>
          <w:p w14:paraId="632352E0" w14:textId="77777777" w:rsidR="00005A3C" w:rsidRPr="006A0C48" w:rsidRDefault="00005A3C" w:rsidP="006726E6">
            <w:pPr>
              <w:spacing w:before="80" w:after="80"/>
              <w:jc w:val="left"/>
              <w:rPr>
                <w:szCs w:val="22"/>
              </w:rPr>
            </w:pPr>
            <w:r w:rsidRPr="006A0C48">
              <w:rPr>
                <w:szCs w:val="22"/>
              </w:rPr>
              <w:t>Number of plant and animal genetic resources secured in medium or long-term conservation facilities</w:t>
            </w:r>
          </w:p>
          <w:p w14:paraId="5D2F3A3C" w14:textId="77777777" w:rsidR="00005A3C" w:rsidRPr="006A0C48" w:rsidRDefault="00005A3C" w:rsidP="006726E6">
            <w:pPr>
              <w:spacing w:before="80" w:after="80"/>
              <w:jc w:val="left"/>
              <w:rPr>
                <w:szCs w:val="22"/>
              </w:rPr>
            </w:pPr>
            <w:r w:rsidRPr="006A0C48">
              <w:rPr>
                <w:szCs w:val="22"/>
              </w:rPr>
              <w:t>Trends in effective and sustainable management of human-wildlife conflict and coexistence</w:t>
            </w:r>
          </w:p>
          <w:p w14:paraId="77D9E7FC" w14:textId="77777777" w:rsidR="00005A3C" w:rsidRPr="006A0C48" w:rsidRDefault="00005A3C" w:rsidP="006726E6">
            <w:pPr>
              <w:spacing w:before="80" w:after="80"/>
              <w:jc w:val="left"/>
              <w:rPr>
                <w:szCs w:val="22"/>
              </w:rPr>
            </w:pPr>
            <w:r w:rsidRPr="006A0C48">
              <w:rPr>
                <w:szCs w:val="22"/>
              </w:rPr>
              <w:t>Green Status of Species Index</w:t>
            </w:r>
          </w:p>
          <w:p w14:paraId="7DA5A6BA" w14:textId="77777777" w:rsidR="00005A3C" w:rsidRPr="006A0C48" w:rsidRDefault="00005A3C" w:rsidP="006726E6">
            <w:pPr>
              <w:spacing w:before="80" w:after="80"/>
              <w:jc w:val="left"/>
              <w:rPr>
                <w:szCs w:val="22"/>
              </w:rPr>
            </w:pPr>
            <w:r w:rsidRPr="006A0C48">
              <w:rPr>
                <w:szCs w:val="22"/>
              </w:rPr>
              <w:t>Conservation status of species listed in the CITES Appendices has stabilized or improved</w:t>
            </w:r>
          </w:p>
          <w:p w14:paraId="56FA3B42" w14:textId="77777777" w:rsidR="00005A3C" w:rsidRPr="006A0C48" w:rsidRDefault="00005A3C" w:rsidP="006726E6">
            <w:pPr>
              <w:tabs>
                <w:tab w:val="center" w:pos="1675"/>
              </w:tabs>
              <w:spacing w:before="80" w:after="80"/>
              <w:jc w:val="left"/>
              <w:rPr>
                <w:szCs w:val="22"/>
              </w:rPr>
            </w:pPr>
          </w:p>
        </w:tc>
        <w:tc>
          <w:tcPr>
            <w:tcW w:w="5363" w:type="dxa"/>
            <w:shd w:val="clear" w:color="auto" w:fill="FFFFFF" w:themeFill="background1"/>
          </w:tcPr>
          <w:p w14:paraId="58C03F66" w14:textId="77777777" w:rsidR="00005A3C" w:rsidRPr="006A0C48" w:rsidRDefault="00005A3C" w:rsidP="006726E6">
            <w:pPr>
              <w:spacing w:before="80" w:after="80"/>
              <w:jc w:val="left"/>
              <w:rPr>
                <w:szCs w:val="22"/>
              </w:rPr>
            </w:pPr>
            <w:r w:rsidRPr="006A0C48">
              <w:rPr>
                <w:szCs w:val="22"/>
              </w:rPr>
              <w:t>Species threat abatement and restoration metric</w:t>
            </w:r>
          </w:p>
          <w:p w14:paraId="624CFF86" w14:textId="77777777" w:rsidR="00005A3C" w:rsidRPr="006A0C48" w:rsidRDefault="00005A3C" w:rsidP="006726E6">
            <w:pPr>
              <w:spacing w:before="80" w:after="80"/>
              <w:jc w:val="left"/>
              <w:rPr>
                <w:szCs w:val="22"/>
              </w:rPr>
            </w:pPr>
            <w:r w:rsidRPr="006A0C48">
              <w:rPr>
                <w:szCs w:val="22"/>
              </w:rPr>
              <w:t>Changing status of evolutionary distinct and globally endangered species (EDGE Index)</w:t>
            </w:r>
          </w:p>
          <w:p w14:paraId="3EF39EDB" w14:textId="77777777" w:rsidR="00005A3C" w:rsidRPr="006A0C48" w:rsidRDefault="00005A3C" w:rsidP="006726E6">
            <w:pPr>
              <w:spacing w:before="80" w:after="80"/>
              <w:jc w:val="left"/>
              <w:rPr>
                <w:szCs w:val="22"/>
              </w:rPr>
            </w:pPr>
            <w:r w:rsidRPr="006A0C48">
              <w:rPr>
                <w:szCs w:val="22"/>
              </w:rPr>
              <w:t>Percentage of threatened species that are improving in status</w:t>
            </w:r>
          </w:p>
          <w:p w14:paraId="232215F8" w14:textId="77777777" w:rsidR="00005A3C" w:rsidRPr="006A0C48" w:rsidRDefault="00005A3C" w:rsidP="006726E6">
            <w:pPr>
              <w:spacing w:before="80" w:after="80"/>
              <w:jc w:val="left"/>
              <w:rPr>
                <w:szCs w:val="22"/>
              </w:rPr>
            </w:pPr>
            <w:r w:rsidRPr="006A0C48">
              <w:rPr>
                <w:szCs w:val="22"/>
              </w:rPr>
              <w:t>Number of CMS daughter agreements</w:t>
            </w:r>
          </w:p>
          <w:p w14:paraId="6DB19FD6" w14:textId="77777777" w:rsidR="00005A3C" w:rsidRPr="006A0C48" w:rsidRDefault="00005A3C" w:rsidP="006726E6">
            <w:pPr>
              <w:spacing w:before="80" w:after="80"/>
              <w:jc w:val="left"/>
              <w:rPr>
                <w:szCs w:val="22"/>
              </w:rPr>
            </w:pPr>
            <w:r w:rsidRPr="006A0C48">
              <w:rPr>
                <w:szCs w:val="22"/>
              </w:rPr>
              <w:t>Proportion of local breeds classified as being at risk of extinction</w:t>
            </w:r>
          </w:p>
          <w:p w14:paraId="524DBF4A" w14:textId="77777777" w:rsidR="00005A3C" w:rsidRPr="006A0C48" w:rsidRDefault="00005A3C" w:rsidP="006726E6">
            <w:pPr>
              <w:spacing w:before="80" w:after="80"/>
              <w:jc w:val="left"/>
              <w:rPr>
                <w:szCs w:val="22"/>
              </w:rPr>
            </w:pPr>
            <w:r w:rsidRPr="006A0C48">
              <w:rPr>
                <w:szCs w:val="22"/>
              </w:rPr>
              <w:t>Red List Index (wild relatives of domesticated animals)</w:t>
            </w:r>
          </w:p>
          <w:p w14:paraId="0BB05F1D" w14:textId="77777777" w:rsidR="00005A3C" w:rsidRPr="006A0C48" w:rsidRDefault="00005A3C" w:rsidP="006726E6">
            <w:pPr>
              <w:spacing w:before="80" w:after="80"/>
              <w:jc w:val="left"/>
              <w:rPr>
                <w:szCs w:val="22"/>
              </w:rPr>
            </w:pPr>
            <w:r w:rsidRPr="006A0C48">
              <w:rPr>
                <w:szCs w:val="22"/>
              </w:rPr>
              <w:t xml:space="preserve">Rate of invasive alien species establishment </w:t>
            </w:r>
          </w:p>
        </w:tc>
      </w:tr>
      <w:tr w:rsidR="00005A3C" w:rsidRPr="006A0C48" w14:paraId="549BB89F" w14:textId="77777777" w:rsidTr="00967EE7">
        <w:trPr>
          <w:trHeight w:val="300"/>
        </w:trPr>
        <w:tc>
          <w:tcPr>
            <w:tcW w:w="846" w:type="dxa"/>
            <w:shd w:val="clear" w:color="auto" w:fill="FFFFFF" w:themeFill="background1"/>
          </w:tcPr>
          <w:p w14:paraId="3EEBBD82" w14:textId="77777777" w:rsidR="00005A3C" w:rsidRPr="006A0C48" w:rsidRDefault="00005A3C" w:rsidP="00BC5121">
            <w:pPr>
              <w:spacing w:before="80" w:after="80"/>
              <w:rPr>
                <w:szCs w:val="22"/>
              </w:rPr>
            </w:pPr>
            <w:r w:rsidRPr="006A0C48">
              <w:rPr>
                <w:szCs w:val="22"/>
              </w:rPr>
              <w:t>5</w:t>
            </w:r>
          </w:p>
        </w:tc>
        <w:tc>
          <w:tcPr>
            <w:tcW w:w="3260" w:type="dxa"/>
            <w:shd w:val="clear" w:color="auto" w:fill="FFFFFF" w:themeFill="background1"/>
          </w:tcPr>
          <w:p w14:paraId="74D20508" w14:textId="77777777" w:rsidR="00005A3C" w:rsidRPr="006A0C48" w:rsidRDefault="00005A3C" w:rsidP="006726E6">
            <w:pPr>
              <w:spacing w:before="80" w:after="80"/>
              <w:jc w:val="left"/>
              <w:rPr>
                <w:szCs w:val="22"/>
              </w:rPr>
            </w:pPr>
            <w:r w:rsidRPr="006A0C48">
              <w:rPr>
                <w:szCs w:val="22"/>
              </w:rPr>
              <w:t>5.1 Proportion of fish stocks within biologically sustainable levels</w:t>
            </w:r>
          </w:p>
        </w:tc>
        <w:tc>
          <w:tcPr>
            <w:tcW w:w="3567" w:type="dxa"/>
            <w:shd w:val="clear" w:color="auto" w:fill="FFFFFF" w:themeFill="background1"/>
          </w:tcPr>
          <w:p w14:paraId="3817F7D2" w14:textId="77777777" w:rsidR="00005A3C" w:rsidRPr="006A0C48" w:rsidRDefault="00005A3C" w:rsidP="006726E6">
            <w:pPr>
              <w:spacing w:before="80" w:after="80"/>
              <w:jc w:val="left"/>
              <w:rPr>
                <w:szCs w:val="22"/>
              </w:rPr>
            </w:pPr>
            <w:r w:rsidRPr="006A0C48">
              <w:rPr>
                <w:szCs w:val="22"/>
              </w:rPr>
              <w:t>Red List Index for used species</w:t>
            </w:r>
          </w:p>
          <w:p w14:paraId="0A8B0D22" w14:textId="77777777" w:rsidR="00005A3C" w:rsidRPr="006A0C48" w:rsidRDefault="00005A3C" w:rsidP="006726E6">
            <w:pPr>
              <w:spacing w:before="80" w:after="80"/>
              <w:jc w:val="left"/>
              <w:rPr>
                <w:szCs w:val="22"/>
              </w:rPr>
            </w:pPr>
            <w:r w:rsidRPr="006A0C48">
              <w:rPr>
                <w:szCs w:val="22"/>
              </w:rPr>
              <w:t>Living Planet Index for used species</w:t>
            </w:r>
          </w:p>
          <w:p w14:paraId="13837CAA" w14:textId="77777777" w:rsidR="00005A3C" w:rsidRPr="006A0C48" w:rsidRDefault="00005A3C" w:rsidP="006726E6">
            <w:pPr>
              <w:spacing w:before="80" w:after="80"/>
              <w:jc w:val="left"/>
              <w:rPr>
                <w:szCs w:val="22"/>
              </w:rPr>
            </w:pPr>
            <w:r w:rsidRPr="006A0C48">
              <w:rPr>
                <w:szCs w:val="22"/>
              </w:rPr>
              <w:t>Sustainable use of wild species</w:t>
            </w:r>
          </w:p>
        </w:tc>
        <w:tc>
          <w:tcPr>
            <w:tcW w:w="5363" w:type="dxa"/>
            <w:shd w:val="clear" w:color="auto" w:fill="FFFFFF" w:themeFill="background1"/>
          </w:tcPr>
          <w:p w14:paraId="365238C9" w14:textId="77777777" w:rsidR="00005A3C" w:rsidRPr="006A0C48" w:rsidRDefault="00005A3C" w:rsidP="006726E6">
            <w:pPr>
              <w:spacing w:before="80" w:after="80"/>
              <w:jc w:val="left"/>
              <w:rPr>
                <w:szCs w:val="22"/>
              </w:rPr>
            </w:pPr>
            <w:r w:rsidRPr="006A0C48">
              <w:rPr>
                <w:szCs w:val="22"/>
              </w:rPr>
              <w:t xml:space="preserve">Sustainable watershed and inland fisheries index </w:t>
            </w:r>
          </w:p>
          <w:p w14:paraId="0B594540" w14:textId="77777777" w:rsidR="00005A3C" w:rsidRPr="006A0C48" w:rsidRDefault="00005A3C" w:rsidP="006726E6">
            <w:pPr>
              <w:spacing w:before="80" w:after="80"/>
              <w:jc w:val="left"/>
              <w:rPr>
                <w:szCs w:val="22"/>
              </w:rPr>
            </w:pPr>
            <w:r w:rsidRPr="006A0C48">
              <w:rPr>
                <w:szCs w:val="22"/>
              </w:rPr>
              <w:t>Red List Index (for internationally traded species and for migratory species)</w:t>
            </w:r>
          </w:p>
          <w:p w14:paraId="7AC24DA3" w14:textId="77777777" w:rsidR="00005A3C" w:rsidRPr="006A0C48" w:rsidRDefault="00005A3C" w:rsidP="006726E6">
            <w:pPr>
              <w:spacing w:before="80" w:after="80"/>
              <w:jc w:val="left"/>
              <w:rPr>
                <w:szCs w:val="22"/>
              </w:rPr>
            </w:pPr>
            <w:r w:rsidRPr="006A0C48">
              <w:rPr>
                <w:szCs w:val="22"/>
              </w:rPr>
              <w:t>Marine Stewardship Council Fish catch</w:t>
            </w:r>
          </w:p>
          <w:p w14:paraId="0B29588F" w14:textId="77777777" w:rsidR="00005A3C" w:rsidRPr="006A0C48" w:rsidRDefault="00005A3C" w:rsidP="006726E6">
            <w:pPr>
              <w:spacing w:before="80" w:after="80"/>
              <w:jc w:val="left"/>
              <w:rPr>
                <w:szCs w:val="22"/>
              </w:rPr>
            </w:pPr>
            <w:r w:rsidRPr="006A0C48">
              <w:rPr>
                <w:szCs w:val="22"/>
              </w:rPr>
              <w:t>Total catch of cetaceans under the International Convention for the Regulation of Whaling</w:t>
            </w:r>
          </w:p>
          <w:p w14:paraId="4C37209E" w14:textId="77777777" w:rsidR="00005A3C" w:rsidRPr="006A0C48" w:rsidRDefault="00005A3C" w:rsidP="006726E6">
            <w:pPr>
              <w:spacing w:before="80" w:after="80"/>
              <w:jc w:val="left"/>
              <w:rPr>
                <w:szCs w:val="22"/>
              </w:rPr>
            </w:pPr>
            <w:r w:rsidRPr="006A0C48">
              <w:rPr>
                <w:szCs w:val="22"/>
              </w:rPr>
              <w:t>By-catch of vulnerable and non-target species</w:t>
            </w:r>
          </w:p>
          <w:p w14:paraId="79EB2FDA" w14:textId="77777777" w:rsidR="00005A3C" w:rsidRPr="006A0C48" w:rsidRDefault="00005A3C" w:rsidP="006726E6">
            <w:pPr>
              <w:spacing w:before="80" w:after="80"/>
              <w:jc w:val="left"/>
              <w:rPr>
                <w:szCs w:val="22"/>
              </w:rPr>
            </w:pPr>
            <w:r w:rsidRPr="006A0C48">
              <w:rPr>
                <w:szCs w:val="22"/>
              </w:rPr>
              <w:t xml:space="preserve">Degree of implementation of international instruments aiming to combat illegal, unreported and unregulated fishing </w:t>
            </w:r>
          </w:p>
          <w:p w14:paraId="4E97B1F5" w14:textId="77777777" w:rsidR="00005A3C" w:rsidRPr="006A0C48" w:rsidRDefault="00005A3C" w:rsidP="006726E6">
            <w:pPr>
              <w:spacing w:before="80" w:after="80"/>
              <w:jc w:val="left"/>
              <w:rPr>
                <w:szCs w:val="22"/>
              </w:rPr>
            </w:pPr>
            <w:r w:rsidRPr="006A0C48">
              <w:rPr>
                <w:szCs w:val="22"/>
              </w:rPr>
              <w:t xml:space="preserve">Proportion of legal and illegal wildlife trade consisting of species threatened with extinction </w:t>
            </w:r>
          </w:p>
          <w:p w14:paraId="2C92F645" w14:textId="77777777" w:rsidR="00005A3C" w:rsidRPr="006A0C48" w:rsidRDefault="00005A3C" w:rsidP="006726E6">
            <w:pPr>
              <w:spacing w:before="80" w:after="80"/>
              <w:jc w:val="left"/>
              <w:rPr>
                <w:szCs w:val="22"/>
              </w:rPr>
            </w:pPr>
            <w:r w:rsidRPr="006A0C48">
              <w:rPr>
                <w:szCs w:val="22"/>
              </w:rPr>
              <w:t>Illegal trade by CITES species classification</w:t>
            </w:r>
          </w:p>
          <w:p w14:paraId="1CFE8EFC" w14:textId="77777777" w:rsidR="00005A3C" w:rsidRPr="006A0C48" w:rsidRDefault="00005A3C" w:rsidP="006726E6">
            <w:pPr>
              <w:spacing w:before="80" w:after="80"/>
              <w:jc w:val="left"/>
              <w:rPr>
                <w:szCs w:val="22"/>
              </w:rPr>
            </w:pPr>
            <w:r w:rsidRPr="006A0C48">
              <w:rPr>
                <w:szCs w:val="22"/>
              </w:rPr>
              <w:lastRenderedPageBreak/>
              <w:t xml:space="preserve">Number of countries incorporating trade in their national biodiversity policy </w:t>
            </w:r>
          </w:p>
          <w:p w14:paraId="6CC00BD2" w14:textId="77777777" w:rsidR="00005A3C" w:rsidRPr="006A0C48" w:rsidRDefault="00005A3C" w:rsidP="006726E6">
            <w:pPr>
              <w:spacing w:before="80" w:after="80"/>
              <w:jc w:val="left"/>
              <w:rPr>
                <w:szCs w:val="22"/>
              </w:rPr>
            </w:pPr>
            <w:r w:rsidRPr="006A0C48">
              <w:rPr>
                <w:szCs w:val="22"/>
              </w:rPr>
              <w:t xml:space="preserve">Proportion of terrestrial, freshwater and marine ecological regions which are conserved by protected areas or other effective area-based conservation measures </w:t>
            </w:r>
          </w:p>
          <w:p w14:paraId="1E9272EC" w14:textId="77777777" w:rsidR="00005A3C" w:rsidRPr="006A0C48" w:rsidRDefault="00005A3C" w:rsidP="006726E6">
            <w:pPr>
              <w:spacing w:before="80" w:after="80"/>
              <w:jc w:val="left"/>
              <w:rPr>
                <w:szCs w:val="22"/>
              </w:rPr>
            </w:pPr>
            <w:r w:rsidRPr="006A0C48">
              <w:rPr>
                <w:szCs w:val="22"/>
              </w:rPr>
              <w:t>Implementation of measures designed to minimize the impacts of fisheries and hunting on migratory species and their habitats</w:t>
            </w:r>
          </w:p>
          <w:p w14:paraId="734F967B" w14:textId="77777777" w:rsidR="00005A3C" w:rsidRPr="006A0C48" w:rsidRDefault="00005A3C" w:rsidP="006726E6">
            <w:pPr>
              <w:spacing w:before="80" w:after="80"/>
              <w:jc w:val="left"/>
              <w:rPr>
                <w:szCs w:val="22"/>
              </w:rPr>
            </w:pPr>
            <w:r w:rsidRPr="006A0C48">
              <w:rPr>
                <w:szCs w:val="22"/>
              </w:rPr>
              <w:t>Number of MSC Chain of Custody Certification holders by distribution country</w:t>
            </w:r>
          </w:p>
          <w:p w14:paraId="4F4CE937" w14:textId="77777777" w:rsidR="00005A3C" w:rsidRPr="006A0C48" w:rsidRDefault="00005A3C" w:rsidP="006726E6">
            <w:pPr>
              <w:spacing w:before="80" w:after="80"/>
              <w:jc w:val="left"/>
              <w:rPr>
                <w:szCs w:val="22"/>
              </w:rPr>
            </w:pPr>
            <w:r w:rsidRPr="006A0C48">
              <w:rPr>
                <w:szCs w:val="22"/>
              </w:rPr>
              <w:t>Trends of trade and commercialization in biodiversity-based products that is sustainable and legal (in line with BioTrade Principles and/or CITES requirements)</w:t>
            </w:r>
          </w:p>
        </w:tc>
      </w:tr>
      <w:tr w:rsidR="00005A3C" w:rsidRPr="006A0C48" w14:paraId="596AB5FD" w14:textId="77777777" w:rsidTr="00967EE7">
        <w:trPr>
          <w:trHeight w:val="300"/>
        </w:trPr>
        <w:tc>
          <w:tcPr>
            <w:tcW w:w="846" w:type="dxa"/>
            <w:shd w:val="clear" w:color="auto" w:fill="FFFFFF" w:themeFill="background1"/>
          </w:tcPr>
          <w:p w14:paraId="75069D33" w14:textId="77777777" w:rsidR="00005A3C" w:rsidRPr="006A0C48" w:rsidRDefault="00005A3C" w:rsidP="00BC5121">
            <w:pPr>
              <w:spacing w:before="80" w:after="80"/>
              <w:rPr>
                <w:szCs w:val="22"/>
              </w:rPr>
            </w:pPr>
            <w:r w:rsidRPr="006A0C48">
              <w:rPr>
                <w:szCs w:val="22"/>
              </w:rPr>
              <w:lastRenderedPageBreak/>
              <w:t>6</w:t>
            </w:r>
            <w:r w:rsidRPr="006A0C48">
              <w:rPr>
                <w:b/>
                <w:bCs/>
                <w:szCs w:val="22"/>
                <w:vertAlign w:val="superscript"/>
              </w:rPr>
              <w:t>b</w:t>
            </w:r>
          </w:p>
        </w:tc>
        <w:tc>
          <w:tcPr>
            <w:tcW w:w="3260" w:type="dxa"/>
            <w:shd w:val="clear" w:color="auto" w:fill="FFFFFF" w:themeFill="background1"/>
          </w:tcPr>
          <w:p w14:paraId="19C9ADE2" w14:textId="77777777" w:rsidR="00005A3C" w:rsidRPr="006A0C48" w:rsidRDefault="00005A3C" w:rsidP="006726E6">
            <w:pPr>
              <w:spacing w:before="80" w:after="80"/>
              <w:jc w:val="left"/>
              <w:rPr>
                <w:szCs w:val="22"/>
              </w:rPr>
            </w:pPr>
            <w:r w:rsidRPr="006A0C48">
              <w:rPr>
                <w:szCs w:val="22"/>
              </w:rPr>
              <w:t>6.1 Rate of invasive alien species establishment</w:t>
            </w:r>
          </w:p>
        </w:tc>
        <w:tc>
          <w:tcPr>
            <w:tcW w:w="3567" w:type="dxa"/>
            <w:shd w:val="clear" w:color="auto" w:fill="FFFFFF" w:themeFill="background1"/>
          </w:tcPr>
          <w:p w14:paraId="6920706B" w14:textId="77777777" w:rsidR="00005A3C" w:rsidRPr="006A0C48" w:rsidRDefault="00005A3C" w:rsidP="006726E6">
            <w:pPr>
              <w:spacing w:before="80" w:after="80"/>
              <w:jc w:val="left"/>
              <w:rPr>
                <w:szCs w:val="22"/>
              </w:rPr>
            </w:pPr>
            <w:r w:rsidRPr="006A0C48">
              <w:rPr>
                <w:szCs w:val="22"/>
              </w:rPr>
              <w:t>Rate of invasive species impact and rate of impact</w:t>
            </w:r>
          </w:p>
          <w:p w14:paraId="1C85B75A" w14:textId="77777777" w:rsidR="00005A3C" w:rsidRPr="006A0C48" w:rsidRDefault="00005A3C" w:rsidP="006726E6">
            <w:pPr>
              <w:spacing w:before="80" w:after="80"/>
              <w:jc w:val="left"/>
              <w:rPr>
                <w:szCs w:val="22"/>
              </w:rPr>
            </w:pPr>
            <w:r w:rsidRPr="006A0C48">
              <w:rPr>
                <w:szCs w:val="22"/>
              </w:rPr>
              <w:t>Rate of invasive alien species spread</w:t>
            </w:r>
          </w:p>
          <w:p w14:paraId="50D7C28C" w14:textId="77777777" w:rsidR="00005A3C" w:rsidRPr="006A0C48" w:rsidRDefault="00005A3C" w:rsidP="006726E6">
            <w:pPr>
              <w:spacing w:before="80" w:after="80"/>
              <w:jc w:val="left"/>
              <w:rPr>
                <w:szCs w:val="22"/>
              </w:rPr>
            </w:pPr>
            <w:r w:rsidRPr="006A0C48">
              <w:rPr>
                <w:szCs w:val="22"/>
              </w:rPr>
              <w:t>Number of invasive alien species introduction events</w:t>
            </w:r>
          </w:p>
          <w:p w14:paraId="004F6050" w14:textId="77777777" w:rsidR="00005A3C" w:rsidRPr="006A0C48" w:rsidRDefault="00005A3C" w:rsidP="006726E6">
            <w:pPr>
              <w:spacing w:before="80" w:after="80"/>
              <w:jc w:val="left"/>
              <w:rPr>
                <w:szCs w:val="22"/>
              </w:rPr>
            </w:pPr>
          </w:p>
        </w:tc>
        <w:tc>
          <w:tcPr>
            <w:tcW w:w="5363" w:type="dxa"/>
            <w:shd w:val="clear" w:color="auto" w:fill="FFFFFF" w:themeFill="background1"/>
          </w:tcPr>
          <w:p w14:paraId="002E7C50" w14:textId="77777777" w:rsidR="00005A3C" w:rsidRPr="006A0C48" w:rsidRDefault="00005A3C" w:rsidP="006726E6">
            <w:pPr>
              <w:spacing w:before="80" w:after="80"/>
              <w:jc w:val="left"/>
              <w:rPr>
                <w:szCs w:val="22"/>
              </w:rPr>
            </w:pPr>
            <w:r w:rsidRPr="006A0C48">
              <w:rPr>
                <w:szCs w:val="22"/>
              </w:rPr>
              <w:t>Number of invasive alien species in national lists as per the Global Register of Introduced and Invasive Species</w:t>
            </w:r>
          </w:p>
          <w:p w14:paraId="1263B2BA" w14:textId="77777777" w:rsidR="00005A3C" w:rsidRPr="006A0C48" w:rsidRDefault="00005A3C" w:rsidP="006726E6">
            <w:pPr>
              <w:spacing w:before="80" w:after="80"/>
              <w:jc w:val="left"/>
              <w:rPr>
                <w:szCs w:val="22"/>
              </w:rPr>
            </w:pPr>
            <w:r w:rsidRPr="006A0C48">
              <w:rPr>
                <w:szCs w:val="22"/>
              </w:rPr>
              <w:t>Trends in abundance, temporal occurrence, and spatial distribution of non-indigenous species, particularly invasive, non-indigenous species, notably in risk areas (in relation to the main vectors and pathways of spreading of such species)</w:t>
            </w:r>
          </w:p>
          <w:p w14:paraId="15CC4B20" w14:textId="77777777" w:rsidR="00005A3C" w:rsidRPr="006A0C48" w:rsidRDefault="00005A3C" w:rsidP="006726E6">
            <w:pPr>
              <w:spacing w:before="80" w:after="80"/>
              <w:jc w:val="left"/>
              <w:rPr>
                <w:szCs w:val="22"/>
              </w:rPr>
            </w:pPr>
            <w:r w:rsidRPr="006A0C48">
              <w:rPr>
                <w:szCs w:val="22"/>
              </w:rPr>
              <w:t>Red List Index (impacts of invasive alien species)</w:t>
            </w:r>
          </w:p>
        </w:tc>
      </w:tr>
      <w:tr w:rsidR="00005A3C" w:rsidRPr="006A0C48" w14:paraId="1A27623D" w14:textId="77777777" w:rsidTr="00967EE7">
        <w:trPr>
          <w:trHeight w:val="300"/>
        </w:trPr>
        <w:tc>
          <w:tcPr>
            <w:tcW w:w="846" w:type="dxa"/>
            <w:shd w:val="clear" w:color="auto" w:fill="FFFFFF" w:themeFill="background1"/>
          </w:tcPr>
          <w:p w14:paraId="6DD4931D" w14:textId="77777777" w:rsidR="00005A3C" w:rsidRPr="006A0C48" w:rsidRDefault="00005A3C" w:rsidP="00BC5121">
            <w:pPr>
              <w:spacing w:before="80" w:after="80"/>
              <w:rPr>
                <w:szCs w:val="22"/>
              </w:rPr>
            </w:pPr>
            <w:r w:rsidRPr="006A0C48">
              <w:rPr>
                <w:szCs w:val="22"/>
              </w:rPr>
              <w:t>7</w:t>
            </w:r>
          </w:p>
        </w:tc>
        <w:tc>
          <w:tcPr>
            <w:tcW w:w="3260" w:type="dxa"/>
            <w:shd w:val="clear" w:color="auto" w:fill="FFFFFF" w:themeFill="background1"/>
          </w:tcPr>
          <w:p w14:paraId="0F1CBAA5" w14:textId="77777777" w:rsidR="00005A3C" w:rsidRPr="006A0C48" w:rsidRDefault="00005A3C" w:rsidP="0073224E">
            <w:pPr>
              <w:spacing w:before="40" w:after="40"/>
              <w:jc w:val="left"/>
              <w:rPr>
                <w:szCs w:val="22"/>
              </w:rPr>
            </w:pPr>
            <w:r w:rsidRPr="006A0C48">
              <w:rPr>
                <w:szCs w:val="22"/>
              </w:rPr>
              <w:t>7.1 Index of coastal eutrophication potential</w:t>
            </w:r>
          </w:p>
          <w:p w14:paraId="5C311033" w14:textId="77777777" w:rsidR="00005A3C" w:rsidRPr="006A0C48" w:rsidRDefault="00005A3C" w:rsidP="006726E6">
            <w:pPr>
              <w:spacing w:before="80" w:after="80"/>
              <w:jc w:val="left"/>
              <w:rPr>
                <w:szCs w:val="22"/>
              </w:rPr>
            </w:pPr>
            <w:r w:rsidRPr="006A0C48">
              <w:rPr>
                <w:szCs w:val="22"/>
              </w:rPr>
              <w:t>7.2 Pesticide environment concentration*</w:t>
            </w:r>
          </w:p>
        </w:tc>
        <w:tc>
          <w:tcPr>
            <w:tcW w:w="3567" w:type="dxa"/>
            <w:shd w:val="clear" w:color="auto" w:fill="FFFFFF" w:themeFill="background1"/>
          </w:tcPr>
          <w:p w14:paraId="61476092" w14:textId="77777777" w:rsidR="00005A3C" w:rsidRPr="006A0C48" w:rsidRDefault="00005A3C" w:rsidP="006726E6">
            <w:pPr>
              <w:spacing w:before="80" w:after="80"/>
              <w:jc w:val="left"/>
              <w:rPr>
                <w:szCs w:val="22"/>
              </w:rPr>
            </w:pPr>
            <w:r w:rsidRPr="006A0C48">
              <w:rPr>
                <w:szCs w:val="22"/>
              </w:rPr>
              <w:t xml:space="preserve">Fertilizer use </w:t>
            </w:r>
          </w:p>
          <w:p w14:paraId="0A50BE66" w14:textId="77777777" w:rsidR="00005A3C" w:rsidRPr="006A0C48" w:rsidRDefault="00005A3C" w:rsidP="006726E6">
            <w:pPr>
              <w:spacing w:before="80" w:after="80"/>
              <w:jc w:val="left"/>
              <w:rPr>
                <w:szCs w:val="22"/>
              </w:rPr>
            </w:pPr>
            <w:r w:rsidRPr="006A0C48">
              <w:rPr>
                <w:szCs w:val="22"/>
              </w:rPr>
              <w:t>Proportion of domestic and industrial wastewater flow safely treated</w:t>
            </w:r>
          </w:p>
          <w:p w14:paraId="56A4FE1C" w14:textId="77777777" w:rsidR="00005A3C" w:rsidRPr="006A0C48" w:rsidRDefault="00005A3C" w:rsidP="006726E6">
            <w:pPr>
              <w:spacing w:before="80" w:after="80"/>
              <w:jc w:val="left"/>
              <w:rPr>
                <w:szCs w:val="22"/>
              </w:rPr>
            </w:pPr>
            <w:r w:rsidRPr="006A0C48">
              <w:rPr>
                <w:szCs w:val="22"/>
              </w:rPr>
              <w:t xml:space="preserve">Floating plastic debris density (by micro and macro plastics) </w:t>
            </w:r>
          </w:p>
          <w:p w14:paraId="12B554B6" w14:textId="77777777" w:rsidR="00005A3C" w:rsidRPr="006A0C48" w:rsidRDefault="00005A3C" w:rsidP="006726E6">
            <w:pPr>
              <w:spacing w:before="80" w:after="80"/>
              <w:jc w:val="left"/>
              <w:rPr>
                <w:szCs w:val="22"/>
              </w:rPr>
            </w:pPr>
            <w:r w:rsidRPr="006A0C48">
              <w:rPr>
                <w:szCs w:val="22"/>
              </w:rPr>
              <w:t>Red List Index (impact of pollution)</w:t>
            </w:r>
          </w:p>
        </w:tc>
        <w:tc>
          <w:tcPr>
            <w:tcW w:w="5363" w:type="dxa"/>
            <w:shd w:val="clear" w:color="auto" w:fill="FFFFFF" w:themeFill="background1"/>
          </w:tcPr>
          <w:p w14:paraId="517F8A1B" w14:textId="77777777" w:rsidR="00005A3C" w:rsidRPr="006A0C48" w:rsidRDefault="00005A3C" w:rsidP="006726E6">
            <w:pPr>
              <w:spacing w:before="80" w:after="80"/>
              <w:jc w:val="left"/>
              <w:rPr>
                <w:szCs w:val="22"/>
              </w:rPr>
            </w:pPr>
            <w:r w:rsidRPr="006A0C48">
              <w:rPr>
                <w:szCs w:val="22"/>
              </w:rPr>
              <w:t>Trends in loss of reactive nitrogen to the environment.</w:t>
            </w:r>
          </w:p>
          <w:p w14:paraId="24E20C4C" w14:textId="77777777" w:rsidR="00005A3C" w:rsidRPr="006A0C48" w:rsidRDefault="00005A3C" w:rsidP="006726E6">
            <w:pPr>
              <w:spacing w:before="80" w:after="80"/>
              <w:jc w:val="left"/>
              <w:rPr>
                <w:szCs w:val="22"/>
              </w:rPr>
            </w:pPr>
            <w:r w:rsidRPr="006A0C48">
              <w:rPr>
                <w:szCs w:val="22"/>
              </w:rPr>
              <w:t>Trends in nitrogen deposition</w:t>
            </w:r>
          </w:p>
          <w:p w14:paraId="0EFE74F6" w14:textId="77777777" w:rsidR="00005A3C" w:rsidRPr="006A0C48" w:rsidRDefault="00005A3C" w:rsidP="006726E6">
            <w:pPr>
              <w:spacing w:before="80" w:after="80"/>
              <w:jc w:val="left"/>
              <w:rPr>
                <w:szCs w:val="22"/>
              </w:rPr>
            </w:pPr>
            <w:r w:rsidRPr="006A0C48">
              <w:rPr>
                <w:szCs w:val="22"/>
              </w:rPr>
              <w:t xml:space="preserve">Municipal solid waste collected and managed </w:t>
            </w:r>
          </w:p>
          <w:p w14:paraId="52D9C16E" w14:textId="77777777" w:rsidR="00005A3C" w:rsidRPr="006A0C48" w:rsidRDefault="00005A3C" w:rsidP="006726E6">
            <w:pPr>
              <w:spacing w:before="80" w:after="80"/>
              <w:jc w:val="left"/>
              <w:rPr>
                <w:szCs w:val="22"/>
              </w:rPr>
            </w:pPr>
            <w:r w:rsidRPr="006A0C48">
              <w:rPr>
                <w:szCs w:val="22"/>
              </w:rPr>
              <w:t xml:space="preserve">Hazardous waste generation </w:t>
            </w:r>
          </w:p>
          <w:p w14:paraId="06DE7E6B" w14:textId="77777777" w:rsidR="00005A3C" w:rsidRPr="006A0C48" w:rsidRDefault="00005A3C" w:rsidP="006726E6">
            <w:pPr>
              <w:spacing w:before="80" w:after="80"/>
              <w:jc w:val="left"/>
              <w:rPr>
                <w:szCs w:val="22"/>
              </w:rPr>
            </w:pPr>
            <w:r w:rsidRPr="006A0C48">
              <w:rPr>
                <w:szCs w:val="22"/>
              </w:rPr>
              <w:t>Trends in the amount of litter, including microplastics, in the water column and on the seafloor</w:t>
            </w:r>
          </w:p>
          <w:p w14:paraId="20A4801A" w14:textId="77777777" w:rsidR="00005A3C" w:rsidRPr="006A0C48" w:rsidRDefault="00005A3C">
            <w:pPr>
              <w:spacing w:before="80" w:after="80"/>
              <w:jc w:val="left"/>
              <w:rPr>
                <w:szCs w:val="22"/>
              </w:rPr>
            </w:pPr>
            <w:r w:rsidRPr="006A0C48">
              <w:rPr>
                <w:szCs w:val="22"/>
              </w:rPr>
              <w:t xml:space="preserve">Index of coastal eutrophication; </w:t>
            </w:r>
          </w:p>
          <w:p w14:paraId="61D325E2" w14:textId="77777777" w:rsidR="00005A3C" w:rsidRPr="006A0C48" w:rsidRDefault="00005A3C" w:rsidP="006726E6">
            <w:pPr>
              <w:spacing w:before="80" w:after="80"/>
              <w:jc w:val="left"/>
              <w:rPr>
                <w:szCs w:val="22"/>
              </w:rPr>
            </w:pPr>
            <w:r w:rsidRPr="006A0C48">
              <w:rPr>
                <w:szCs w:val="22"/>
              </w:rPr>
              <w:t>Plastic debris density</w:t>
            </w:r>
          </w:p>
          <w:p w14:paraId="7C613108" w14:textId="77777777" w:rsidR="00005A3C" w:rsidRPr="006A0C48" w:rsidRDefault="00005A3C" w:rsidP="006726E6">
            <w:pPr>
              <w:spacing w:before="80" w:after="80"/>
              <w:jc w:val="left"/>
              <w:rPr>
                <w:szCs w:val="22"/>
              </w:rPr>
            </w:pPr>
            <w:r w:rsidRPr="006A0C48">
              <w:rPr>
                <w:szCs w:val="22"/>
              </w:rPr>
              <w:lastRenderedPageBreak/>
              <w:t>Red List of Ecosystems</w:t>
            </w:r>
          </w:p>
          <w:p w14:paraId="37A2E942" w14:textId="77777777" w:rsidR="00005A3C" w:rsidRPr="006A0C48" w:rsidRDefault="00005A3C" w:rsidP="006726E6">
            <w:pPr>
              <w:spacing w:before="80" w:after="80"/>
              <w:jc w:val="left"/>
              <w:rPr>
                <w:szCs w:val="22"/>
              </w:rPr>
            </w:pPr>
            <w:r w:rsidRPr="006A0C48">
              <w:rPr>
                <w:szCs w:val="22"/>
              </w:rPr>
              <w:t>Underwater noise pollution</w:t>
            </w:r>
          </w:p>
          <w:p w14:paraId="7FDB4B6F" w14:textId="77777777" w:rsidR="00005A3C" w:rsidRPr="006A0C48" w:rsidRDefault="00005A3C" w:rsidP="006726E6">
            <w:pPr>
              <w:spacing w:before="80" w:after="80"/>
              <w:jc w:val="left"/>
              <w:rPr>
                <w:szCs w:val="22"/>
              </w:rPr>
            </w:pPr>
            <w:r w:rsidRPr="006A0C48">
              <w:rPr>
                <w:szCs w:val="22"/>
              </w:rPr>
              <w:t>Name, amount/ volume/ concentration of highly hazardous pesticides by type (per land/marine area)</w:t>
            </w:r>
          </w:p>
          <w:p w14:paraId="1AE9E5F3" w14:textId="77777777" w:rsidR="00005A3C" w:rsidRPr="006A0C48" w:rsidRDefault="00005A3C" w:rsidP="006726E6">
            <w:pPr>
              <w:spacing w:before="80" w:after="80"/>
              <w:jc w:val="left"/>
              <w:rPr>
                <w:szCs w:val="22"/>
              </w:rPr>
            </w:pPr>
            <w:r w:rsidRPr="006A0C48">
              <w:rPr>
                <w:szCs w:val="22"/>
              </w:rPr>
              <w:t>Pesticide use per area of cropland</w:t>
            </w:r>
          </w:p>
        </w:tc>
      </w:tr>
      <w:tr w:rsidR="00005A3C" w:rsidRPr="006A0C48" w14:paraId="21880B5C" w14:textId="77777777" w:rsidTr="00967EE7">
        <w:trPr>
          <w:trHeight w:val="300"/>
        </w:trPr>
        <w:tc>
          <w:tcPr>
            <w:tcW w:w="846" w:type="dxa"/>
            <w:shd w:val="clear" w:color="auto" w:fill="FFFFFF" w:themeFill="background1"/>
          </w:tcPr>
          <w:p w14:paraId="73F07228" w14:textId="77777777" w:rsidR="00005A3C" w:rsidRPr="006A0C48" w:rsidRDefault="00005A3C" w:rsidP="00BC5121">
            <w:pPr>
              <w:spacing w:before="80" w:after="80"/>
              <w:rPr>
                <w:szCs w:val="22"/>
              </w:rPr>
            </w:pPr>
            <w:r w:rsidRPr="006A0C48">
              <w:rPr>
                <w:szCs w:val="22"/>
              </w:rPr>
              <w:lastRenderedPageBreak/>
              <w:t>8</w:t>
            </w:r>
            <w:r w:rsidRPr="006A0C48">
              <w:rPr>
                <w:szCs w:val="22"/>
                <w:vertAlign w:val="superscript"/>
              </w:rPr>
              <w:t>b</w:t>
            </w:r>
          </w:p>
        </w:tc>
        <w:tc>
          <w:tcPr>
            <w:tcW w:w="3260" w:type="dxa"/>
            <w:shd w:val="clear" w:color="auto" w:fill="FFFFFF" w:themeFill="background1"/>
          </w:tcPr>
          <w:p w14:paraId="6A586AFB" w14:textId="77777777" w:rsidR="00005A3C" w:rsidRPr="006A0C48" w:rsidRDefault="00005A3C" w:rsidP="00BC5121">
            <w:pPr>
              <w:spacing w:before="80" w:after="80"/>
              <w:rPr>
                <w:szCs w:val="22"/>
              </w:rPr>
            </w:pPr>
            <w:r w:rsidRPr="006A0C48">
              <w:rPr>
                <w:szCs w:val="22"/>
              </w:rPr>
              <w:t>-</w:t>
            </w:r>
          </w:p>
        </w:tc>
        <w:tc>
          <w:tcPr>
            <w:tcW w:w="3567" w:type="dxa"/>
            <w:shd w:val="clear" w:color="auto" w:fill="FFFFFF" w:themeFill="background1"/>
          </w:tcPr>
          <w:p w14:paraId="5D0D022A" w14:textId="77777777" w:rsidR="00005A3C" w:rsidRPr="006A0C48" w:rsidRDefault="00005A3C" w:rsidP="006726E6">
            <w:pPr>
              <w:spacing w:before="80" w:after="80"/>
              <w:jc w:val="left"/>
              <w:rPr>
                <w:szCs w:val="22"/>
              </w:rPr>
            </w:pPr>
            <w:r w:rsidRPr="006A0C48">
              <w:rPr>
                <w:szCs w:val="22"/>
              </w:rPr>
              <w:t>Total climate regulation services provided by ecosystems and by ecosystem type (System of Environmental Economic Accounts)</w:t>
            </w:r>
          </w:p>
          <w:p w14:paraId="5718DD13" w14:textId="77777777" w:rsidR="00005A3C" w:rsidRPr="006A0C48" w:rsidRDefault="00005A3C" w:rsidP="006726E6">
            <w:pPr>
              <w:spacing w:before="80" w:after="80"/>
              <w:jc w:val="left"/>
              <w:rPr>
                <w:szCs w:val="22"/>
              </w:rPr>
            </w:pPr>
            <w:r w:rsidRPr="006A0C48">
              <w:rPr>
                <w:szCs w:val="22"/>
              </w:rPr>
              <w:t xml:space="preserve">Number of countries that adopt and implement national disaster risk reduction strategies in line with the Sendai Framework for Disaster Risk Reduction 2015–2030 which include biodiversity </w:t>
            </w:r>
          </w:p>
          <w:p w14:paraId="6FE5F73E" w14:textId="77777777" w:rsidR="00005A3C" w:rsidRPr="006A0C48" w:rsidRDefault="00005A3C" w:rsidP="006726E6">
            <w:pPr>
              <w:spacing w:before="80" w:after="80"/>
              <w:jc w:val="left"/>
              <w:rPr>
                <w:szCs w:val="22"/>
              </w:rPr>
            </w:pPr>
            <w:r w:rsidRPr="006A0C48">
              <w:rPr>
                <w:szCs w:val="22"/>
              </w:rPr>
              <w:t>National greenhouse inventories from land use and land-use change</w:t>
            </w:r>
          </w:p>
          <w:p w14:paraId="644B0174" w14:textId="77777777" w:rsidR="00005A3C" w:rsidRPr="006A0C48" w:rsidRDefault="00005A3C" w:rsidP="006726E6">
            <w:pPr>
              <w:spacing w:before="80" w:after="80"/>
              <w:jc w:val="left"/>
              <w:rPr>
                <w:szCs w:val="22"/>
              </w:rPr>
            </w:pPr>
            <w:r w:rsidRPr="006A0C48">
              <w:rPr>
                <w:szCs w:val="22"/>
              </w:rPr>
              <w:t>BERI</w:t>
            </w:r>
          </w:p>
        </w:tc>
        <w:tc>
          <w:tcPr>
            <w:tcW w:w="5363" w:type="dxa"/>
            <w:shd w:val="clear" w:color="auto" w:fill="FFFFFF" w:themeFill="background1"/>
          </w:tcPr>
          <w:p w14:paraId="2C83A9C4" w14:textId="77777777" w:rsidR="00005A3C" w:rsidRPr="006A0C48" w:rsidRDefault="00005A3C" w:rsidP="006726E6">
            <w:pPr>
              <w:spacing w:before="80" w:after="80"/>
              <w:jc w:val="left"/>
              <w:rPr>
                <w:szCs w:val="22"/>
              </w:rPr>
            </w:pPr>
            <w:r w:rsidRPr="006A0C48">
              <w:rPr>
                <w:szCs w:val="22"/>
              </w:rPr>
              <w:t>Above-ground biomass stock in forest (tonnes/ha)</w:t>
            </w:r>
          </w:p>
          <w:p w14:paraId="521489E3" w14:textId="77777777" w:rsidR="00005A3C" w:rsidRPr="006A0C48" w:rsidRDefault="00005A3C" w:rsidP="006726E6">
            <w:pPr>
              <w:spacing w:before="80" w:after="80"/>
              <w:jc w:val="left"/>
              <w:rPr>
                <w:szCs w:val="22"/>
              </w:rPr>
            </w:pPr>
            <w:r w:rsidRPr="006A0C48">
              <w:rPr>
                <w:szCs w:val="22"/>
              </w:rPr>
              <w:t>National greenhouse inventories from land use and land-use change</w:t>
            </w:r>
          </w:p>
          <w:p w14:paraId="78FAA074" w14:textId="77777777" w:rsidR="00005A3C" w:rsidRPr="006A0C48" w:rsidRDefault="00005A3C" w:rsidP="006726E6">
            <w:pPr>
              <w:spacing w:before="80" w:after="80"/>
              <w:jc w:val="left"/>
              <w:rPr>
                <w:szCs w:val="22"/>
              </w:rPr>
            </w:pPr>
            <w:r w:rsidRPr="006A0C48">
              <w:rPr>
                <w:szCs w:val="22"/>
              </w:rPr>
              <w:t xml:space="preserve">Proportion of local governments that adopt and implement local disaster risk reduction strategies in line with national disaster risk reduction strategies </w:t>
            </w:r>
          </w:p>
          <w:p w14:paraId="41EA7DEC" w14:textId="77777777" w:rsidR="00005A3C" w:rsidRPr="006A0C48" w:rsidRDefault="00005A3C" w:rsidP="006726E6">
            <w:pPr>
              <w:spacing w:before="80" w:after="80"/>
              <w:jc w:val="left"/>
              <w:rPr>
                <w:szCs w:val="22"/>
              </w:rPr>
            </w:pPr>
            <w:r w:rsidRPr="006A0C48">
              <w:rPr>
                <w:szCs w:val="22"/>
              </w:rPr>
              <w:t xml:space="preserve">Number of least developed countries and small island developing States with nationally determined contributions, long-term strategies, national adaptation plans, strategies as reported in adaptation communications and national communications </w:t>
            </w:r>
          </w:p>
          <w:p w14:paraId="5BEDA345" w14:textId="77777777" w:rsidR="00005A3C" w:rsidRPr="006A0C48" w:rsidRDefault="00005A3C" w:rsidP="006726E6">
            <w:pPr>
              <w:spacing w:before="80" w:after="80"/>
              <w:jc w:val="left"/>
              <w:rPr>
                <w:szCs w:val="22"/>
              </w:rPr>
            </w:pPr>
            <w:r w:rsidRPr="006A0C48">
              <w:rPr>
                <w:szCs w:val="22"/>
              </w:rPr>
              <w:t xml:space="preserve">Index of coastal eutrophication </w:t>
            </w:r>
          </w:p>
          <w:p w14:paraId="469D746B" w14:textId="77777777" w:rsidR="00005A3C" w:rsidRPr="006A0C48" w:rsidRDefault="00005A3C" w:rsidP="006726E6">
            <w:pPr>
              <w:spacing w:before="80" w:after="80"/>
              <w:jc w:val="left"/>
              <w:rPr>
                <w:szCs w:val="22"/>
              </w:rPr>
            </w:pPr>
            <w:r w:rsidRPr="006A0C48">
              <w:rPr>
                <w:szCs w:val="22"/>
              </w:rPr>
              <w:t>Carbon stocks and annual net greenhouse gas emissions, by land-use category, split by natural and non-natural land cover</w:t>
            </w:r>
          </w:p>
        </w:tc>
      </w:tr>
      <w:tr w:rsidR="00005A3C" w:rsidRPr="006A0C48" w14:paraId="77662208" w14:textId="77777777" w:rsidTr="00967EE7">
        <w:trPr>
          <w:trHeight w:val="300"/>
        </w:trPr>
        <w:tc>
          <w:tcPr>
            <w:tcW w:w="846" w:type="dxa"/>
            <w:shd w:val="clear" w:color="auto" w:fill="FFFFFF" w:themeFill="background1"/>
          </w:tcPr>
          <w:p w14:paraId="7B287DC4" w14:textId="77777777" w:rsidR="00005A3C" w:rsidRPr="006A0C48" w:rsidRDefault="00005A3C" w:rsidP="00BC5121">
            <w:pPr>
              <w:spacing w:before="80" w:after="80"/>
              <w:rPr>
                <w:szCs w:val="22"/>
              </w:rPr>
            </w:pPr>
            <w:r w:rsidRPr="006A0C48">
              <w:rPr>
                <w:szCs w:val="22"/>
              </w:rPr>
              <w:t>9</w:t>
            </w:r>
            <w:r w:rsidRPr="006A0C48">
              <w:rPr>
                <w:b/>
                <w:bCs/>
                <w:szCs w:val="22"/>
                <w:vertAlign w:val="superscript"/>
              </w:rPr>
              <w:t>b</w:t>
            </w:r>
          </w:p>
        </w:tc>
        <w:tc>
          <w:tcPr>
            <w:tcW w:w="3260" w:type="dxa"/>
            <w:shd w:val="clear" w:color="auto" w:fill="FFFFFF" w:themeFill="background1"/>
          </w:tcPr>
          <w:p w14:paraId="5B6DD4FE" w14:textId="77777777" w:rsidR="00005A3C" w:rsidRPr="006A0C48" w:rsidRDefault="00005A3C" w:rsidP="006726E6">
            <w:pPr>
              <w:spacing w:before="40" w:after="40"/>
              <w:jc w:val="left"/>
              <w:rPr>
                <w:szCs w:val="22"/>
              </w:rPr>
            </w:pPr>
            <w:r w:rsidRPr="006A0C48">
              <w:rPr>
                <w:szCs w:val="22"/>
              </w:rPr>
              <w:t>9.1 Benefits from the sustainable use of wild species</w:t>
            </w:r>
          </w:p>
          <w:p w14:paraId="1F90F9CE" w14:textId="77777777" w:rsidR="00005A3C" w:rsidRPr="006A0C48" w:rsidRDefault="00005A3C" w:rsidP="006726E6">
            <w:pPr>
              <w:spacing w:before="80" w:after="80"/>
              <w:jc w:val="left"/>
              <w:rPr>
                <w:szCs w:val="22"/>
              </w:rPr>
            </w:pPr>
            <w:r w:rsidRPr="006A0C48">
              <w:rPr>
                <w:szCs w:val="22"/>
              </w:rPr>
              <w:t>9.2 Percentage of the population in traditional occupations</w:t>
            </w:r>
          </w:p>
        </w:tc>
        <w:tc>
          <w:tcPr>
            <w:tcW w:w="3567" w:type="dxa"/>
            <w:shd w:val="clear" w:color="auto" w:fill="FFFFFF" w:themeFill="background1"/>
          </w:tcPr>
          <w:p w14:paraId="17CC0C09" w14:textId="77777777" w:rsidR="00005A3C" w:rsidRPr="006A0C48" w:rsidRDefault="00005A3C" w:rsidP="006726E6">
            <w:pPr>
              <w:spacing w:before="80" w:after="80"/>
              <w:jc w:val="left"/>
              <w:rPr>
                <w:szCs w:val="22"/>
              </w:rPr>
            </w:pPr>
            <w:r w:rsidRPr="006A0C48">
              <w:rPr>
                <w:szCs w:val="22"/>
              </w:rPr>
              <w:t>Number of people using wild resources for energy, food or culture (including firewood collection, hunting and fishing, gathering, medicinal use, craft making, etc.)</w:t>
            </w:r>
          </w:p>
          <w:p w14:paraId="09F67197" w14:textId="77777777" w:rsidR="00005A3C" w:rsidRPr="006A0C48" w:rsidRDefault="00005A3C" w:rsidP="006726E6">
            <w:pPr>
              <w:spacing w:before="80" w:after="80"/>
              <w:jc w:val="left"/>
              <w:rPr>
                <w:szCs w:val="22"/>
              </w:rPr>
            </w:pPr>
            <w:r w:rsidRPr="006A0C48">
              <w:rPr>
                <w:szCs w:val="22"/>
              </w:rPr>
              <w:t>Red List Index (species used for food and medicine)</w:t>
            </w:r>
          </w:p>
          <w:p w14:paraId="4E7069CC" w14:textId="77777777" w:rsidR="00005A3C" w:rsidRPr="006A0C48" w:rsidRDefault="00005A3C" w:rsidP="006726E6">
            <w:pPr>
              <w:spacing w:before="80" w:after="80"/>
              <w:jc w:val="left"/>
              <w:rPr>
                <w:szCs w:val="22"/>
              </w:rPr>
            </w:pPr>
            <w:r w:rsidRPr="006A0C48">
              <w:rPr>
                <w:szCs w:val="22"/>
              </w:rPr>
              <w:t>Living Planet Index for used species</w:t>
            </w:r>
          </w:p>
          <w:p w14:paraId="49979CF0" w14:textId="77777777" w:rsidR="00005A3C" w:rsidRPr="006A0C48" w:rsidRDefault="00005A3C" w:rsidP="006726E6">
            <w:pPr>
              <w:spacing w:before="80" w:after="80"/>
              <w:jc w:val="left"/>
              <w:rPr>
                <w:szCs w:val="22"/>
              </w:rPr>
            </w:pPr>
          </w:p>
        </w:tc>
        <w:tc>
          <w:tcPr>
            <w:tcW w:w="5363" w:type="dxa"/>
            <w:shd w:val="clear" w:color="auto" w:fill="FFFFFF" w:themeFill="background1"/>
          </w:tcPr>
          <w:p w14:paraId="586C7742" w14:textId="77777777" w:rsidR="00005A3C" w:rsidRPr="006A0C48" w:rsidRDefault="00005A3C" w:rsidP="006726E6">
            <w:pPr>
              <w:spacing w:before="80" w:after="80"/>
              <w:jc w:val="left"/>
              <w:rPr>
                <w:szCs w:val="22"/>
              </w:rPr>
            </w:pPr>
            <w:r w:rsidRPr="006A0C48">
              <w:rPr>
                <w:szCs w:val="22"/>
              </w:rPr>
              <w:t xml:space="preserve">Proportion of fish stocks within biologically sustainable levels </w:t>
            </w:r>
          </w:p>
          <w:p w14:paraId="5427F12C" w14:textId="77777777" w:rsidR="00005A3C" w:rsidRPr="006A0C48" w:rsidRDefault="00005A3C" w:rsidP="006726E6">
            <w:pPr>
              <w:spacing w:before="80" w:after="80"/>
              <w:jc w:val="left"/>
              <w:rPr>
                <w:szCs w:val="22"/>
              </w:rPr>
            </w:pPr>
            <w:r w:rsidRPr="006A0C48">
              <w:rPr>
                <w:szCs w:val="22"/>
              </w:rPr>
              <w:t xml:space="preserve">Degree of implementation of international instruments aiming to combat illegal, unreported and unregulated fishing </w:t>
            </w:r>
          </w:p>
          <w:p w14:paraId="1B5C08CB" w14:textId="77777777" w:rsidR="00005A3C" w:rsidRPr="006A0C48" w:rsidRDefault="00005A3C" w:rsidP="006726E6">
            <w:pPr>
              <w:spacing w:before="80" w:after="80"/>
              <w:jc w:val="left"/>
              <w:rPr>
                <w:szCs w:val="22"/>
              </w:rPr>
            </w:pPr>
            <w:r w:rsidRPr="006A0C48">
              <w:rPr>
                <w:szCs w:val="22"/>
              </w:rPr>
              <w:t>Number of MSC Chain of Custody Certification holders by distribution country</w:t>
            </w:r>
          </w:p>
          <w:p w14:paraId="34CA0520" w14:textId="77777777" w:rsidR="00005A3C" w:rsidRPr="006A0C48" w:rsidRDefault="00005A3C" w:rsidP="006726E6">
            <w:pPr>
              <w:spacing w:before="80" w:after="80"/>
              <w:jc w:val="left"/>
              <w:rPr>
                <w:szCs w:val="22"/>
              </w:rPr>
            </w:pPr>
            <w:r w:rsidRPr="006A0C48">
              <w:rPr>
                <w:szCs w:val="22"/>
              </w:rPr>
              <w:t>Spawning stock biomass (related to commercially exploited species)</w:t>
            </w:r>
          </w:p>
          <w:p w14:paraId="45336B00" w14:textId="77777777" w:rsidR="00005A3C" w:rsidRPr="006A0C48" w:rsidRDefault="00005A3C" w:rsidP="006726E6">
            <w:pPr>
              <w:spacing w:before="80" w:after="80"/>
              <w:jc w:val="left"/>
              <w:rPr>
                <w:szCs w:val="22"/>
              </w:rPr>
            </w:pPr>
            <w:r w:rsidRPr="006A0C48">
              <w:rPr>
                <w:szCs w:val="22"/>
              </w:rPr>
              <w:lastRenderedPageBreak/>
              <w:t xml:space="preserve">Number of plant and animal genetic resources for food and agriculture secured in medium- or long-term conservation facilities </w:t>
            </w:r>
          </w:p>
          <w:p w14:paraId="609CB8B0" w14:textId="77777777" w:rsidR="00005A3C" w:rsidRPr="006A0C48" w:rsidRDefault="00005A3C" w:rsidP="006726E6">
            <w:pPr>
              <w:spacing w:before="80" w:after="80"/>
              <w:jc w:val="left"/>
              <w:rPr>
                <w:szCs w:val="22"/>
              </w:rPr>
            </w:pPr>
            <w:r w:rsidRPr="006A0C48">
              <w:rPr>
                <w:szCs w:val="22"/>
              </w:rPr>
              <w:t xml:space="preserve">Volume of production per labour unit by classes of farming/pastoral/ forestry enterprise size </w:t>
            </w:r>
          </w:p>
        </w:tc>
      </w:tr>
      <w:tr w:rsidR="00005A3C" w:rsidRPr="006A0C48" w14:paraId="0CAA9D24" w14:textId="77777777" w:rsidTr="00967EE7">
        <w:trPr>
          <w:trHeight w:val="300"/>
        </w:trPr>
        <w:tc>
          <w:tcPr>
            <w:tcW w:w="846" w:type="dxa"/>
            <w:shd w:val="clear" w:color="auto" w:fill="FFFFFF" w:themeFill="background1"/>
          </w:tcPr>
          <w:p w14:paraId="243494E7" w14:textId="77777777" w:rsidR="00005A3C" w:rsidRPr="006A0C48" w:rsidRDefault="00005A3C" w:rsidP="00BC5121">
            <w:pPr>
              <w:spacing w:before="80" w:after="80"/>
              <w:rPr>
                <w:szCs w:val="22"/>
              </w:rPr>
            </w:pPr>
            <w:r w:rsidRPr="006A0C48">
              <w:rPr>
                <w:szCs w:val="22"/>
              </w:rPr>
              <w:lastRenderedPageBreak/>
              <w:t>10</w:t>
            </w:r>
          </w:p>
        </w:tc>
        <w:tc>
          <w:tcPr>
            <w:tcW w:w="3260" w:type="dxa"/>
            <w:shd w:val="clear" w:color="auto" w:fill="FFFFFF" w:themeFill="background1"/>
          </w:tcPr>
          <w:p w14:paraId="10412F79" w14:textId="77777777" w:rsidR="00005A3C" w:rsidRPr="006A0C48" w:rsidRDefault="00005A3C" w:rsidP="006726E6">
            <w:pPr>
              <w:spacing w:before="40" w:after="40"/>
              <w:jc w:val="left"/>
              <w:rPr>
                <w:szCs w:val="22"/>
              </w:rPr>
            </w:pPr>
            <w:r w:rsidRPr="006A0C48">
              <w:rPr>
                <w:szCs w:val="22"/>
              </w:rPr>
              <w:t>10.1 Proportion of agricultural area under productive and sustainable agriculture</w:t>
            </w:r>
          </w:p>
          <w:p w14:paraId="2FC6E85C" w14:textId="77777777" w:rsidR="00005A3C" w:rsidRPr="006A0C48" w:rsidRDefault="00005A3C" w:rsidP="006726E6">
            <w:pPr>
              <w:spacing w:before="80" w:after="80"/>
              <w:jc w:val="left"/>
              <w:rPr>
                <w:szCs w:val="22"/>
              </w:rPr>
            </w:pPr>
            <w:r w:rsidRPr="006A0C48">
              <w:rPr>
                <w:szCs w:val="22"/>
              </w:rPr>
              <w:t xml:space="preserve">10.2 Progress towards sustainable forest management </w:t>
            </w:r>
          </w:p>
        </w:tc>
        <w:tc>
          <w:tcPr>
            <w:tcW w:w="3567" w:type="dxa"/>
            <w:shd w:val="clear" w:color="auto" w:fill="FFFFFF" w:themeFill="background1"/>
          </w:tcPr>
          <w:p w14:paraId="7CCCDC1F" w14:textId="77777777" w:rsidR="00005A3C" w:rsidRPr="006A0C48" w:rsidRDefault="00005A3C" w:rsidP="006726E6">
            <w:pPr>
              <w:spacing w:before="80" w:after="80"/>
              <w:jc w:val="left"/>
              <w:rPr>
                <w:szCs w:val="22"/>
              </w:rPr>
            </w:pPr>
            <w:r w:rsidRPr="006A0C48">
              <w:rPr>
                <w:szCs w:val="22"/>
              </w:rPr>
              <w:t>Area of forest under sustainable management: total forest management certification by the Forest Stewardship Council and the Programme for the Endorsement of Forest Certification</w:t>
            </w:r>
          </w:p>
          <w:p w14:paraId="5A259522" w14:textId="77777777" w:rsidR="00005A3C" w:rsidRPr="006A0C48" w:rsidRDefault="00005A3C" w:rsidP="006726E6">
            <w:pPr>
              <w:spacing w:before="80" w:after="80"/>
              <w:jc w:val="left"/>
              <w:rPr>
                <w:szCs w:val="22"/>
              </w:rPr>
            </w:pPr>
            <w:r w:rsidRPr="006A0C48">
              <w:rPr>
                <w:szCs w:val="22"/>
              </w:rPr>
              <w:t>Average income of small-scale food producers, by sex and indigenous status</w:t>
            </w:r>
          </w:p>
        </w:tc>
        <w:tc>
          <w:tcPr>
            <w:tcW w:w="5363" w:type="dxa"/>
            <w:shd w:val="clear" w:color="auto" w:fill="FFFFFF" w:themeFill="background1"/>
          </w:tcPr>
          <w:p w14:paraId="6ED72D90" w14:textId="77777777" w:rsidR="00005A3C" w:rsidRPr="006A0C48" w:rsidRDefault="00005A3C" w:rsidP="006726E6">
            <w:pPr>
              <w:spacing w:before="80" w:after="80"/>
              <w:jc w:val="left"/>
              <w:rPr>
                <w:szCs w:val="22"/>
              </w:rPr>
            </w:pPr>
            <w:r w:rsidRPr="006A0C48">
              <w:rPr>
                <w:szCs w:val="22"/>
              </w:rPr>
              <w:t>Agrobiodiversity Index</w:t>
            </w:r>
          </w:p>
          <w:p w14:paraId="4FFBE2F3" w14:textId="77777777" w:rsidR="00005A3C" w:rsidRPr="006A0C48" w:rsidRDefault="00005A3C" w:rsidP="006726E6">
            <w:pPr>
              <w:spacing w:before="80" w:after="80"/>
              <w:jc w:val="left"/>
              <w:rPr>
                <w:szCs w:val="22"/>
              </w:rPr>
            </w:pPr>
            <w:r w:rsidRPr="006A0C48">
              <w:rPr>
                <w:szCs w:val="22"/>
              </w:rPr>
              <w:t>Changes in soil organic carbon stocks</w:t>
            </w:r>
          </w:p>
          <w:p w14:paraId="0D3E6503" w14:textId="77777777" w:rsidR="00005A3C" w:rsidRPr="006A0C48" w:rsidRDefault="00005A3C" w:rsidP="006726E6">
            <w:pPr>
              <w:spacing w:before="80" w:after="80"/>
              <w:jc w:val="left"/>
              <w:rPr>
                <w:szCs w:val="22"/>
              </w:rPr>
            </w:pPr>
            <w:r w:rsidRPr="006A0C48">
              <w:rPr>
                <w:szCs w:val="22"/>
              </w:rPr>
              <w:t xml:space="preserve">Red List Index (wild relatives of domesticated animals) </w:t>
            </w:r>
          </w:p>
          <w:p w14:paraId="2DB5EAAC" w14:textId="77777777" w:rsidR="00005A3C" w:rsidRPr="006A0C48" w:rsidRDefault="00005A3C" w:rsidP="006726E6">
            <w:pPr>
              <w:spacing w:before="80" w:after="80"/>
              <w:jc w:val="left"/>
              <w:rPr>
                <w:szCs w:val="22"/>
              </w:rPr>
            </w:pPr>
            <w:r w:rsidRPr="006A0C48">
              <w:rPr>
                <w:szCs w:val="22"/>
              </w:rPr>
              <w:t>Red List Index (pollinating species)</w:t>
            </w:r>
          </w:p>
          <w:p w14:paraId="36F8A65F" w14:textId="77777777" w:rsidR="00005A3C" w:rsidRPr="006A0C48" w:rsidRDefault="00005A3C" w:rsidP="006726E6">
            <w:pPr>
              <w:spacing w:before="80" w:after="80"/>
              <w:jc w:val="left"/>
              <w:rPr>
                <w:szCs w:val="22"/>
              </w:rPr>
            </w:pPr>
            <w:r w:rsidRPr="006A0C48">
              <w:rPr>
                <w:szCs w:val="22"/>
              </w:rPr>
              <w:t>Proportion of local breeds classified as being at risk of extinction</w:t>
            </w:r>
          </w:p>
          <w:p w14:paraId="7C1354D6" w14:textId="77777777" w:rsidR="00005A3C" w:rsidRPr="006A0C48" w:rsidRDefault="00005A3C" w:rsidP="006726E6">
            <w:pPr>
              <w:spacing w:before="80" w:after="80"/>
              <w:jc w:val="left"/>
              <w:rPr>
                <w:szCs w:val="22"/>
              </w:rPr>
            </w:pPr>
            <w:r w:rsidRPr="006A0C48">
              <w:rPr>
                <w:szCs w:val="22"/>
              </w:rPr>
              <w:t>Proportion of land that is degraded over total land area</w:t>
            </w:r>
          </w:p>
        </w:tc>
      </w:tr>
      <w:tr w:rsidR="00005A3C" w:rsidRPr="006A0C48" w14:paraId="46F1BFC8" w14:textId="77777777" w:rsidTr="00967EE7">
        <w:trPr>
          <w:trHeight w:val="300"/>
        </w:trPr>
        <w:tc>
          <w:tcPr>
            <w:tcW w:w="846" w:type="dxa"/>
            <w:shd w:val="clear" w:color="auto" w:fill="FFFFFF" w:themeFill="background1"/>
          </w:tcPr>
          <w:p w14:paraId="085B2A40" w14:textId="77777777" w:rsidR="00005A3C" w:rsidRPr="006A0C48" w:rsidRDefault="00005A3C" w:rsidP="00BC5121">
            <w:pPr>
              <w:spacing w:before="80" w:after="80"/>
              <w:rPr>
                <w:szCs w:val="22"/>
              </w:rPr>
            </w:pPr>
            <w:r w:rsidRPr="006A0C48">
              <w:rPr>
                <w:szCs w:val="22"/>
              </w:rPr>
              <w:t>11</w:t>
            </w:r>
          </w:p>
        </w:tc>
        <w:tc>
          <w:tcPr>
            <w:tcW w:w="3260" w:type="dxa"/>
            <w:shd w:val="clear" w:color="auto" w:fill="FFFFFF" w:themeFill="background1"/>
          </w:tcPr>
          <w:p w14:paraId="2C708742" w14:textId="77777777" w:rsidR="00005A3C" w:rsidRPr="006A0C48" w:rsidRDefault="00005A3C" w:rsidP="006726E6">
            <w:pPr>
              <w:spacing w:before="80" w:after="80"/>
              <w:jc w:val="left"/>
              <w:rPr>
                <w:szCs w:val="22"/>
              </w:rPr>
            </w:pPr>
            <w:r w:rsidRPr="006A0C48">
              <w:rPr>
                <w:szCs w:val="22"/>
              </w:rPr>
              <w:t xml:space="preserve">B.1 Services provided by ecosystems* </w:t>
            </w:r>
          </w:p>
        </w:tc>
        <w:tc>
          <w:tcPr>
            <w:tcW w:w="3567" w:type="dxa"/>
            <w:shd w:val="clear" w:color="auto" w:fill="FFFFFF" w:themeFill="background1"/>
          </w:tcPr>
          <w:p w14:paraId="7401B6AE" w14:textId="77777777" w:rsidR="00005A3C" w:rsidRPr="006A0C48" w:rsidRDefault="00005A3C" w:rsidP="006726E6">
            <w:pPr>
              <w:spacing w:before="80" w:after="80"/>
              <w:jc w:val="left"/>
              <w:rPr>
                <w:szCs w:val="22"/>
              </w:rPr>
            </w:pPr>
            <w:r w:rsidRPr="006A0C48">
              <w:rPr>
                <w:szCs w:val="22"/>
              </w:rPr>
              <w:t xml:space="preserve">Number of deaths, missing persons and directly affected persons, attributed to disasters per 100,000 population </w:t>
            </w:r>
          </w:p>
          <w:p w14:paraId="00CA2AE6" w14:textId="77777777" w:rsidR="00005A3C" w:rsidRPr="006A0C48" w:rsidRDefault="00005A3C" w:rsidP="006726E6">
            <w:pPr>
              <w:spacing w:before="80" w:after="80"/>
              <w:jc w:val="left"/>
              <w:rPr>
                <w:szCs w:val="22"/>
              </w:rPr>
            </w:pPr>
            <w:r w:rsidRPr="006A0C48">
              <w:rPr>
                <w:szCs w:val="22"/>
              </w:rPr>
              <w:t>Mortality rate attributed to unsafe water, unsafe sanitation and lack of hygiene (exposure to unsafe Water, Sanitation and Hygiene for All (WASH) services</w:t>
            </w:r>
          </w:p>
          <w:p w14:paraId="66DC6C6E" w14:textId="77777777" w:rsidR="00005A3C" w:rsidRPr="006A0C48" w:rsidRDefault="00005A3C" w:rsidP="006726E6">
            <w:pPr>
              <w:spacing w:before="80" w:after="80"/>
              <w:jc w:val="left"/>
              <w:rPr>
                <w:szCs w:val="22"/>
              </w:rPr>
            </w:pPr>
            <w:r w:rsidRPr="006A0C48">
              <w:rPr>
                <w:szCs w:val="22"/>
              </w:rPr>
              <w:t xml:space="preserve">Annual mean levels of fine particulate matter (e.g., PM2.5 and PM10) in cities </w:t>
            </w:r>
          </w:p>
          <w:p w14:paraId="31389E9D" w14:textId="77777777" w:rsidR="00005A3C" w:rsidRPr="006A0C48" w:rsidRDefault="00005A3C" w:rsidP="006726E6">
            <w:pPr>
              <w:spacing w:before="80" w:after="80"/>
              <w:jc w:val="left"/>
              <w:rPr>
                <w:szCs w:val="22"/>
              </w:rPr>
            </w:pPr>
            <w:r w:rsidRPr="006A0C48">
              <w:rPr>
                <w:szCs w:val="22"/>
              </w:rPr>
              <w:t xml:space="preserve">Proportion of bodies of water with good ambient water quality </w:t>
            </w:r>
          </w:p>
          <w:p w14:paraId="6429CC7E" w14:textId="77777777" w:rsidR="00005A3C" w:rsidRPr="006A0C48" w:rsidRDefault="00005A3C" w:rsidP="006726E6">
            <w:pPr>
              <w:spacing w:before="80" w:after="80"/>
              <w:jc w:val="left"/>
              <w:rPr>
                <w:szCs w:val="22"/>
              </w:rPr>
            </w:pPr>
            <w:r w:rsidRPr="006A0C48">
              <w:rPr>
                <w:szCs w:val="22"/>
              </w:rPr>
              <w:t xml:space="preserve">Level of water stress </w:t>
            </w:r>
          </w:p>
        </w:tc>
        <w:tc>
          <w:tcPr>
            <w:tcW w:w="5363" w:type="dxa"/>
            <w:shd w:val="clear" w:color="auto" w:fill="FFFFFF" w:themeFill="background1"/>
          </w:tcPr>
          <w:p w14:paraId="3296E759" w14:textId="77777777" w:rsidR="00005A3C" w:rsidRPr="006A0C48" w:rsidRDefault="00005A3C" w:rsidP="006726E6">
            <w:pPr>
              <w:spacing w:before="80" w:after="80"/>
              <w:jc w:val="left"/>
              <w:rPr>
                <w:szCs w:val="22"/>
              </w:rPr>
            </w:pPr>
            <w:r w:rsidRPr="006A0C48">
              <w:rPr>
                <w:szCs w:val="22"/>
              </w:rPr>
              <w:t>Air emission accounts</w:t>
            </w:r>
          </w:p>
          <w:p w14:paraId="6236188C" w14:textId="77777777" w:rsidR="00005A3C" w:rsidRPr="006A0C48" w:rsidRDefault="00005A3C" w:rsidP="006726E6">
            <w:pPr>
              <w:spacing w:before="80" w:after="80"/>
              <w:jc w:val="left"/>
              <w:rPr>
                <w:szCs w:val="22"/>
              </w:rPr>
            </w:pPr>
            <w:r w:rsidRPr="006A0C48">
              <w:rPr>
                <w:szCs w:val="22"/>
              </w:rPr>
              <w:t xml:space="preserve">Proportion of local administrative units with established and operational policies and procedures for participation of local communities in water and sanitation management </w:t>
            </w:r>
          </w:p>
          <w:p w14:paraId="50589D2F" w14:textId="77777777" w:rsidR="00005A3C" w:rsidRPr="006A0C48" w:rsidRDefault="00005A3C" w:rsidP="006726E6">
            <w:pPr>
              <w:spacing w:before="80" w:after="80"/>
              <w:jc w:val="left"/>
              <w:rPr>
                <w:szCs w:val="22"/>
              </w:rPr>
            </w:pPr>
            <w:r w:rsidRPr="006A0C48">
              <w:rPr>
                <w:szCs w:val="22"/>
              </w:rPr>
              <w:t xml:space="preserve">Proportion of population using safely managed drinking water services </w:t>
            </w:r>
          </w:p>
          <w:p w14:paraId="7292E43F" w14:textId="77777777" w:rsidR="00005A3C" w:rsidRPr="006A0C48" w:rsidRDefault="00005A3C" w:rsidP="006726E6">
            <w:pPr>
              <w:spacing w:before="80" w:after="80"/>
              <w:jc w:val="left"/>
              <w:rPr>
                <w:szCs w:val="22"/>
              </w:rPr>
            </w:pPr>
            <w:r w:rsidRPr="006A0C48">
              <w:rPr>
                <w:szCs w:val="22"/>
              </w:rPr>
              <w:t>Mortality rate attributed to household and ambient air pollution (SDG indicator 3.9.1)</w:t>
            </w:r>
          </w:p>
          <w:p w14:paraId="084B2C5E" w14:textId="77777777" w:rsidR="00005A3C" w:rsidRPr="006A0C48" w:rsidRDefault="00005A3C" w:rsidP="006726E6">
            <w:pPr>
              <w:spacing w:before="80" w:after="80"/>
              <w:jc w:val="left"/>
              <w:rPr>
                <w:szCs w:val="22"/>
              </w:rPr>
            </w:pPr>
          </w:p>
        </w:tc>
      </w:tr>
      <w:tr w:rsidR="00005A3C" w:rsidRPr="006A0C48" w14:paraId="378C54C7" w14:textId="77777777" w:rsidTr="00967EE7">
        <w:trPr>
          <w:trHeight w:val="300"/>
        </w:trPr>
        <w:tc>
          <w:tcPr>
            <w:tcW w:w="846" w:type="dxa"/>
            <w:shd w:val="clear" w:color="auto" w:fill="FFFFFF" w:themeFill="background1"/>
          </w:tcPr>
          <w:p w14:paraId="435726E2" w14:textId="77777777" w:rsidR="00005A3C" w:rsidRPr="006A0C48" w:rsidRDefault="00005A3C" w:rsidP="00BC5121">
            <w:pPr>
              <w:spacing w:before="80" w:after="80"/>
              <w:rPr>
                <w:szCs w:val="22"/>
              </w:rPr>
            </w:pPr>
            <w:r w:rsidRPr="006A0C48">
              <w:rPr>
                <w:szCs w:val="22"/>
              </w:rPr>
              <w:lastRenderedPageBreak/>
              <w:t>12</w:t>
            </w:r>
            <w:r w:rsidRPr="006A0C48">
              <w:rPr>
                <w:b/>
                <w:bCs/>
                <w:szCs w:val="22"/>
                <w:vertAlign w:val="superscript"/>
              </w:rPr>
              <w:t>b</w:t>
            </w:r>
          </w:p>
        </w:tc>
        <w:tc>
          <w:tcPr>
            <w:tcW w:w="3260" w:type="dxa"/>
            <w:shd w:val="clear" w:color="auto" w:fill="FFFFFF" w:themeFill="background1"/>
          </w:tcPr>
          <w:p w14:paraId="017B9408" w14:textId="77777777" w:rsidR="00005A3C" w:rsidRPr="006A0C48" w:rsidRDefault="00005A3C" w:rsidP="006726E6">
            <w:pPr>
              <w:spacing w:before="80" w:after="80"/>
              <w:jc w:val="left"/>
              <w:rPr>
                <w:szCs w:val="22"/>
              </w:rPr>
            </w:pPr>
            <w:r w:rsidRPr="006A0C48">
              <w:rPr>
                <w:szCs w:val="22"/>
              </w:rPr>
              <w:t>12.1 Average share of the built-up area of cities that is green/blue space for public use for all</w:t>
            </w:r>
          </w:p>
        </w:tc>
        <w:tc>
          <w:tcPr>
            <w:tcW w:w="3567" w:type="dxa"/>
            <w:shd w:val="clear" w:color="auto" w:fill="FFFFFF" w:themeFill="background1"/>
          </w:tcPr>
          <w:p w14:paraId="7CEAA7E8" w14:textId="77777777" w:rsidR="00005A3C" w:rsidRPr="006A0C48" w:rsidRDefault="00005A3C" w:rsidP="00BC5121">
            <w:pPr>
              <w:spacing w:before="80" w:after="80"/>
              <w:rPr>
                <w:color w:val="000000" w:themeColor="text1"/>
                <w:szCs w:val="22"/>
              </w:rPr>
            </w:pPr>
            <w:r w:rsidRPr="006A0C48">
              <w:rPr>
                <w:color w:val="000000" w:themeColor="text1"/>
                <w:szCs w:val="22"/>
              </w:rPr>
              <w:t>Recreation and cultural ecosystem services provided</w:t>
            </w:r>
          </w:p>
          <w:p w14:paraId="5138678B" w14:textId="77777777" w:rsidR="00005A3C" w:rsidRPr="006A0C48" w:rsidRDefault="00005A3C" w:rsidP="00BC5121">
            <w:pPr>
              <w:spacing w:before="80" w:after="80"/>
              <w:rPr>
                <w:szCs w:val="22"/>
              </w:rPr>
            </w:pPr>
          </w:p>
        </w:tc>
        <w:tc>
          <w:tcPr>
            <w:tcW w:w="5363" w:type="dxa"/>
            <w:shd w:val="clear" w:color="auto" w:fill="FFFFFF" w:themeFill="background1"/>
          </w:tcPr>
          <w:p w14:paraId="7BE9130A" w14:textId="77777777" w:rsidR="00005A3C" w:rsidRPr="006A0C48" w:rsidRDefault="00005A3C" w:rsidP="00BC5121">
            <w:pPr>
              <w:spacing w:before="80" w:after="80"/>
              <w:rPr>
                <w:szCs w:val="22"/>
              </w:rPr>
            </w:pPr>
          </w:p>
        </w:tc>
      </w:tr>
      <w:tr w:rsidR="00005A3C" w:rsidRPr="006A0C48" w14:paraId="0953B8CE" w14:textId="77777777" w:rsidTr="00967EE7">
        <w:trPr>
          <w:trHeight w:val="300"/>
        </w:trPr>
        <w:tc>
          <w:tcPr>
            <w:tcW w:w="846" w:type="dxa"/>
            <w:shd w:val="clear" w:color="auto" w:fill="FFFFFF" w:themeFill="background1"/>
          </w:tcPr>
          <w:p w14:paraId="1D9D30BC" w14:textId="77777777" w:rsidR="00005A3C" w:rsidRPr="006A0C48" w:rsidRDefault="00005A3C" w:rsidP="00BC5121">
            <w:pPr>
              <w:spacing w:before="80" w:after="80"/>
              <w:rPr>
                <w:szCs w:val="22"/>
              </w:rPr>
            </w:pPr>
            <w:r w:rsidRPr="006A0C48">
              <w:rPr>
                <w:szCs w:val="22"/>
              </w:rPr>
              <w:t>13</w:t>
            </w:r>
            <w:r w:rsidRPr="006A0C48">
              <w:rPr>
                <w:b/>
                <w:bCs/>
                <w:szCs w:val="22"/>
                <w:vertAlign w:val="superscript"/>
              </w:rPr>
              <w:t>b</w:t>
            </w:r>
          </w:p>
        </w:tc>
        <w:tc>
          <w:tcPr>
            <w:tcW w:w="3260" w:type="dxa"/>
            <w:shd w:val="clear" w:color="auto" w:fill="FFFFFF" w:themeFill="background1"/>
          </w:tcPr>
          <w:p w14:paraId="326358FD" w14:textId="77777777" w:rsidR="00005A3C" w:rsidRPr="006A0C48" w:rsidRDefault="00005A3C" w:rsidP="006726E6">
            <w:pPr>
              <w:spacing w:before="40" w:after="40"/>
              <w:jc w:val="left"/>
              <w:rPr>
                <w:szCs w:val="22"/>
              </w:rPr>
            </w:pPr>
            <w:r w:rsidRPr="006A0C48">
              <w:rPr>
                <w:szCs w:val="22"/>
              </w:rPr>
              <w:t xml:space="preserve">C.1 Indicator on monetary benefits received </w:t>
            </w:r>
          </w:p>
          <w:p w14:paraId="2859C0B2" w14:textId="77777777" w:rsidR="00005A3C" w:rsidRPr="006A0C48" w:rsidRDefault="00005A3C" w:rsidP="006726E6">
            <w:pPr>
              <w:spacing w:before="80" w:after="80"/>
              <w:jc w:val="left"/>
              <w:rPr>
                <w:color w:val="000000" w:themeColor="text1"/>
                <w:szCs w:val="22"/>
              </w:rPr>
            </w:pPr>
            <w:r w:rsidRPr="006A0C48">
              <w:rPr>
                <w:szCs w:val="22"/>
              </w:rPr>
              <w:t xml:space="preserve">C.2 Indicator on non-monetary benefits </w:t>
            </w:r>
          </w:p>
        </w:tc>
        <w:tc>
          <w:tcPr>
            <w:tcW w:w="3567" w:type="dxa"/>
            <w:shd w:val="clear" w:color="auto" w:fill="FFFFFF" w:themeFill="background1"/>
          </w:tcPr>
          <w:p w14:paraId="16423DE4" w14:textId="77777777" w:rsidR="00005A3C" w:rsidRPr="006A0C48" w:rsidRDefault="00005A3C" w:rsidP="006726E6">
            <w:pPr>
              <w:spacing w:before="80" w:after="80"/>
              <w:jc w:val="left"/>
              <w:rPr>
                <w:szCs w:val="22"/>
              </w:rPr>
            </w:pPr>
            <w:r w:rsidRPr="006A0C48">
              <w:rPr>
                <w:szCs w:val="22"/>
              </w:rPr>
              <w:t>Number of permits or their equivalents for genetic resources (including those related to traditional knowledge) by type of permit</w:t>
            </w:r>
          </w:p>
        </w:tc>
        <w:tc>
          <w:tcPr>
            <w:tcW w:w="5363" w:type="dxa"/>
            <w:shd w:val="clear" w:color="auto" w:fill="FFFFFF" w:themeFill="background1"/>
          </w:tcPr>
          <w:p w14:paraId="064D0369" w14:textId="77777777" w:rsidR="00005A3C" w:rsidRPr="006A0C48" w:rsidRDefault="00005A3C" w:rsidP="006726E6">
            <w:pPr>
              <w:spacing w:before="80" w:after="80"/>
              <w:jc w:val="left"/>
              <w:rPr>
                <w:szCs w:val="22"/>
              </w:rPr>
            </w:pPr>
            <w:r w:rsidRPr="006A0C48">
              <w:rPr>
                <w:szCs w:val="22"/>
              </w:rPr>
              <w:t>Total number of transfers of crop material from the Multilateral System of the International Treaty on Plant Genetic Resources for Food and Agriculture (ITPGRFA) received in a country</w:t>
            </w:r>
          </w:p>
          <w:p w14:paraId="538893BB" w14:textId="77777777" w:rsidR="00005A3C" w:rsidRPr="006A0C48" w:rsidRDefault="00005A3C" w:rsidP="006726E6">
            <w:pPr>
              <w:spacing w:before="80" w:after="80"/>
              <w:jc w:val="left"/>
              <w:rPr>
                <w:szCs w:val="22"/>
              </w:rPr>
            </w:pPr>
            <w:r w:rsidRPr="006A0C48">
              <w:rPr>
                <w:szCs w:val="22"/>
              </w:rPr>
              <w:t>Total number of permits, or their equivalent, granted for access to genetic resources</w:t>
            </w:r>
          </w:p>
          <w:p w14:paraId="39985CCD" w14:textId="77777777" w:rsidR="00005A3C" w:rsidRPr="006A0C48" w:rsidRDefault="00005A3C" w:rsidP="006726E6">
            <w:pPr>
              <w:spacing w:before="80" w:after="80"/>
              <w:jc w:val="left"/>
              <w:rPr>
                <w:szCs w:val="22"/>
              </w:rPr>
            </w:pPr>
            <w:r w:rsidRPr="006A0C48">
              <w:rPr>
                <w:szCs w:val="22"/>
              </w:rPr>
              <w:t>Total number of internationally recognized certificates of compliance published in the ABS Clearing-House</w:t>
            </w:r>
          </w:p>
          <w:p w14:paraId="252D0595" w14:textId="77777777" w:rsidR="00005A3C" w:rsidRPr="006A0C48" w:rsidRDefault="00005A3C" w:rsidP="006726E6">
            <w:pPr>
              <w:spacing w:before="80" w:after="80"/>
              <w:jc w:val="left"/>
              <w:rPr>
                <w:szCs w:val="22"/>
              </w:rPr>
            </w:pPr>
            <w:r w:rsidRPr="006A0C48">
              <w:rPr>
                <w:szCs w:val="22"/>
              </w:rPr>
              <w:t>Number of countries that require prior informed consent that have published legislative, administrative or policy measures on access and benefit-sharing in the ABS Clearing-House</w:t>
            </w:r>
          </w:p>
          <w:p w14:paraId="4B3BE830" w14:textId="77777777" w:rsidR="00005A3C" w:rsidRPr="006A0C48" w:rsidRDefault="00005A3C" w:rsidP="006726E6">
            <w:pPr>
              <w:spacing w:before="80" w:after="80"/>
              <w:jc w:val="left"/>
              <w:rPr>
                <w:szCs w:val="22"/>
              </w:rPr>
            </w:pPr>
            <w:r w:rsidRPr="006A0C48">
              <w:rPr>
                <w:szCs w:val="22"/>
              </w:rPr>
              <w:t>Number of countries that require prior informed consent that have published information on access and benefit-sharing procedures in the ABS Clearing-House</w:t>
            </w:r>
          </w:p>
          <w:p w14:paraId="54476914" w14:textId="77777777" w:rsidR="00005A3C" w:rsidRPr="006A0C48" w:rsidRDefault="00005A3C" w:rsidP="006726E6">
            <w:pPr>
              <w:spacing w:before="80" w:after="80"/>
              <w:jc w:val="left"/>
              <w:rPr>
                <w:szCs w:val="22"/>
              </w:rPr>
            </w:pPr>
            <w:r w:rsidRPr="006A0C48">
              <w:rPr>
                <w:szCs w:val="22"/>
              </w:rPr>
              <w:t xml:space="preserve">Number of countries that have adopted legislative, administrative and policy frameworks to ensure fair and equitable sharing of benefits </w:t>
            </w:r>
          </w:p>
          <w:p w14:paraId="529716D5" w14:textId="77777777" w:rsidR="00005A3C" w:rsidRPr="006A0C48" w:rsidRDefault="00005A3C" w:rsidP="006726E6">
            <w:pPr>
              <w:spacing w:before="80" w:after="80"/>
              <w:jc w:val="left"/>
              <w:rPr>
                <w:szCs w:val="22"/>
              </w:rPr>
            </w:pPr>
            <w:r w:rsidRPr="006A0C48">
              <w:rPr>
                <w:szCs w:val="22"/>
              </w:rPr>
              <w:t>Estimated percentage of monetary and non-monetary benefits directed towards conservation and sustainable use of biodiversity</w:t>
            </w:r>
          </w:p>
        </w:tc>
      </w:tr>
      <w:tr w:rsidR="00005A3C" w:rsidRPr="006A0C48" w14:paraId="56CC436D" w14:textId="77777777" w:rsidTr="00967EE7">
        <w:trPr>
          <w:trHeight w:val="300"/>
        </w:trPr>
        <w:tc>
          <w:tcPr>
            <w:tcW w:w="846" w:type="dxa"/>
            <w:shd w:val="clear" w:color="auto" w:fill="FFFFFF" w:themeFill="background1"/>
          </w:tcPr>
          <w:p w14:paraId="6BE57EFD" w14:textId="77777777" w:rsidR="00005A3C" w:rsidRPr="006A0C48" w:rsidRDefault="00005A3C" w:rsidP="00BC5121">
            <w:pPr>
              <w:spacing w:before="80" w:after="80"/>
              <w:rPr>
                <w:szCs w:val="22"/>
              </w:rPr>
            </w:pPr>
            <w:r w:rsidRPr="006A0C48">
              <w:rPr>
                <w:szCs w:val="22"/>
              </w:rPr>
              <w:t>14</w:t>
            </w:r>
            <w:r w:rsidRPr="006A0C48">
              <w:rPr>
                <w:b/>
                <w:bCs/>
                <w:szCs w:val="22"/>
                <w:vertAlign w:val="superscript"/>
              </w:rPr>
              <w:t>b</w:t>
            </w:r>
          </w:p>
        </w:tc>
        <w:tc>
          <w:tcPr>
            <w:tcW w:w="3260" w:type="dxa"/>
            <w:shd w:val="clear" w:color="auto" w:fill="FFFFFF" w:themeFill="background1"/>
          </w:tcPr>
          <w:p w14:paraId="5E45AD0A" w14:textId="77777777" w:rsidR="00005A3C" w:rsidRPr="006A0C48" w:rsidRDefault="00005A3C" w:rsidP="00BC5121">
            <w:pPr>
              <w:spacing w:before="80" w:after="80"/>
              <w:rPr>
                <w:color w:val="000000" w:themeColor="text1"/>
                <w:szCs w:val="22"/>
              </w:rPr>
            </w:pPr>
            <w:r w:rsidRPr="006A0C48">
              <w:rPr>
                <w:i/>
                <w:iCs/>
                <w:szCs w:val="22"/>
              </w:rPr>
              <w:t>-</w:t>
            </w:r>
          </w:p>
        </w:tc>
        <w:tc>
          <w:tcPr>
            <w:tcW w:w="3567" w:type="dxa"/>
            <w:shd w:val="clear" w:color="auto" w:fill="FFFFFF" w:themeFill="background1"/>
          </w:tcPr>
          <w:p w14:paraId="320C3FA9" w14:textId="77777777" w:rsidR="00005A3C" w:rsidRPr="006A0C48" w:rsidRDefault="00005A3C" w:rsidP="006726E6">
            <w:pPr>
              <w:spacing w:before="80" w:after="80"/>
              <w:jc w:val="left"/>
              <w:rPr>
                <w:szCs w:val="22"/>
              </w:rPr>
            </w:pPr>
            <w:r w:rsidRPr="006A0C48">
              <w:rPr>
                <w:szCs w:val="22"/>
              </w:rPr>
              <w:t>Number of countries with Implementation of the System of Environmental-Economic Accounting</w:t>
            </w:r>
          </w:p>
        </w:tc>
        <w:tc>
          <w:tcPr>
            <w:tcW w:w="5363" w:type="dxa"/>
            <w:shd w:val="clear" w:color="auto" w:fill="FFFFFF" w:themeFill="background1"/>
          </w:tcPr>
          <w:p w14:paraId="1AF306DF" w14:textId="77777777" w:rsidR="00005A3C" w:rsidRPr="006A0C48" w:rsidRDefault="00005A3C" w:rsidP="00BC5121">
            <w:pPr>
              <w:spacing w:before="80" w:after="80"/>
              <w:rPr>
                <w:szCs w:val="22"/>
              </w:rPr>
            </w:pPr>
            <w:r w:rsidRPr="006A0C48">
              <w:rPr>
                <w:szCs w:val="22"/>
              </w:rPr>
              <w:t>Human Appropriation of Net Primary Production (HANPP)</w:t>
            </w:r>
          </w:p>
          <w:p w14:paraId="785B4FA2" w14:textId="77777777" w:rsidR="00005A3C" w:rsidRPr="006A0C48" w:rsidRDefault="00005A3C" w:rsidP="00BC5121">
            <w:pPr>
              <w:spacing w:before="80" w:after="80"/>
              <w:rPr>
                <w:szCs w:val="22"/>
              </w:rPr>
            </w:pPr>
            <w:r w:rsidRPr="006A0C48">
              <w:rPr>
                <w:szCs w:val="22"/>
              </w:rPr>
              <w:t xml:space="preserve">CO2 emission per unit of value added </w:t>
            </w:r>
          </w:p>
          <w:p w14:paraId="620AE3A6" w14:textId="77777777" w:rsidR="00005A3C" w:rsidRPr="006A0C48" w:rsidRDefault="00005A3C" w:rsidP="00BC5121">
            <w:pPr>
              <w:spacing w:before="80" w:after="80"/>
              <w:rPr>
                <w:szCs w:val="22"/>
              </w:rPr>
            </w:pPr>
            <w:r w:rsidRPr="006A0C48">
              <w:rPr>
                <w:szCs w:val="22"/>
              </w:rPr>
              <w:t xml:space="preserve">Change in water-use efficiency over time </w:t>
            </w:r>
          </w:p>
        </w:tc>
      </w:tr>
      <w:tr w:rsidR="00005A3C" w:rsidRPr="006A0C48" w14:paraId="0CEC490D" w14:textId="77777777" w:rsidTr="00967EE7">
        <w:trPr>
          <w:trHeight w:val="300"/>
        </w:trPr>
        <w:tc>
          <w:tcPr>
            <w:tcW w:w="846" w:type="dxa"/>
            <w:shd w:val="clear" w:color="auto" w:fill="FFFFFF" w:themeFill="background1"/>
          </w:tcPr>
          <w:p w14:paraId="75438A8E" w14:textId="77777777" w:rsidR="00005A3C" w:rsidRPr="006A0C48" w:rsidRDefault="00005A3C" w:rsidP="00BC5121">
            <w:pPr>
              <w:spacing w:before="80" w:after="80"/>
              <w:rPr>
                <w:szCs w:val="22"/>
              </w:rPr>
            </w:pPr>
            <w:r w:rsidRPr="006A0C48">
              <w:rPr>
                <w:szCs w:val="22"/>
              </w:rPr>
              <w:lastRenderedPageBreak/>
              <w:t>15</w:t>
            </w:r>
            <w:r w:rsidRPr="006A0C48">
              <w:rPr>
                <w:b/>
                <w:bCs/>
                <w:szCs w:val="22"/>
                <w:vertAlign w:val="superscript"/>
              </w:rPr>
              <w:t>b</w:t>
            </w:r>
          </w:p>
        </w:tc>
        <w:tc>
          <w:tcPr>
            <w:tcW w:w="3260" w:type="dxa"/>
            <w:shd w:val="clear" w:color="auto" w:fill="FFFFFF" w:themeFill="background1"/>
          </w:tcPr>
          <w:p w14:paraId="3B27613F" w14:textId="77777777" w:rsidR="00005A3C" w:rsidRPr="006A0C48" w:rsidRDefault="00005A3C" w:rsidP="006726E6">
            <w:pPr>
              <w:spacing w:before="80" w:after="80"/>
              <w:jc w:val="left"/>
              <w:rPr>
                <w:color w:val="000000" w:themeColor="text1"/>
                <w:szCs w:val="22"/>
              </w:rPr>
            </w:pPr>
            <w:r w:rsidRPr="006A0C48">
              <w:rPr>
                <w:szCs w:val="22"/>
              </w:rPr>
              <w:t>15.1 Number of companies reporting on disclosures of risks, dependencies and impacts on biodiversity*</w:t>
            </w:r>
          </w:p>
        </w:tc>
        <w:tc>
          <w:tcPr>
            <w:tcW w:w="3567" w:type="dxa"/>
            <w:shd w:val="clear" w:color="auto" w:fill="FFFFFF" w:themeFill="background1"/>
          </w:tcPr>
          <w:p w14:paraId="70CA8ADF" w14:textId="77777777" w:rsidR="00005A3C" w:rsidRPr="006A0C48" w:rsidRDefault="00005A3C" w:rsidP="006726E6">
            <w:pPr>
              <w:spacing w:before="80" w:after="80"/>
              <w:jc w:val="left"/>
              <w:rPr>
                <w:szCs w:val="22"/>
              </w:rPr>
            </w:pPr>
            <w:r w:rsidRPr="006A0C48">
              <w:rPr>
                <w:szCs w:val="22"/>
              </w:rPr>
              <w:t>Indicator based on the Task Force for Nature-related Financial Disclosures</w:t>
            </w:r>
          </w:p>
          <w:p w14:paraId="253E76D0" w14:textId="77777777" w:rsidR="00005A3C" w:rsidRPr="006A0C48" w:rsidRDefault="00005A3C" w:rsidP="006726E6">
            <w:pPr>
              <w:spacing w:before="80" w:after="80"/>
              <w:jc w:val="left"/>
              <w:rPr>
                <w:szCs w:val="22"/>
              </w:rPr>
            </w:pPr>
          </w:p>
        </w:tc>
        <w:tc>
          <w:tcPr>
            <w:tcW w:w="5363" w:type="dxa"/>
            <w:shd w:val="clear" w:color="auto" w:fill="FFFFFF" w:themeFill="background1"/>
          </w:tcPr>
          <w:p w14:paraId="6860CF52" w14:textId="77777777" w:rsidR="00005A3C" w:rsidRPr="006A0C48" w:rsidRDefault="00005A3C" w:rsidP="006726E6">
            <w:pPr>
              <w:spacing w:before="80" w:after="80"/>
              <w:jc w:val="left"/>
              <w:rPr>
                <w:szCs w:val="22"/>
              </w:rPr>
            </w:pPr>
            <w:r w:rsidRPr="006A0C48">
              <w:rPr>
                <w:szCs w:val="22"/>
              </w:rPr>
              <w:t>Species threat abatement and restoration metric</w:t>
            </w:r>
          </w:p>
          <w:p w14:paraId="64FE5ABF" w14:textId="77777777" w:rsidR="00005A3C" w:rsidRPr="006A0C48" w:rsidRDefault="00005A3C" w:rsidP="006726E6">
            <w:pPr>
              <w:spacing w:before="80" w:after="80"/>
              <w:jc w:val="left"/>
              <w:rPr>
                <w:szCs w:val="22"/>
              </w:rPr>
            </w:pPr>
            <w:r w:rsidRPr="006A0C48">
              <w:rPr>
                <w:szCs w:val="22"/>
              </w:rPr>
              <w:t>Number of companies publishing sustainability reports</w:t>
            </w:r>
          </w:p>
        </w:tc>
      </w:tr>
      <w:tr w:rsidR="00005A3C" w:rsidRPr="006A0C48" w14:paraId="338B8460" w14:textId="77777777" w:rsidTr="00967EE7">
        <w:trPr>
          <w:trHeight w:val="300"/>
        </w:trPr>
        <w:tc>
          <w:tcPr>
            <w:tcW w:w="846" w:type="dxa"/>
            <w:shd w:val="clear" w:color="auto" w:fill="FFFFFF" w:themeFill="background1"/>
          </w:tcPr>
          <w:p w14:paraId="5FBB2E45" w14:textId="77777777" w:rsidR="00005A3C" w:rsidRPr="006A0C48" w:rsidRDefault="00005A3C" w:rsidP="00BC5121">
            <w:pPr>
              <w:spacing w:before="80" w:after="80"/>
              <w:rPr>
                <w:szCs w:val="22"/>
              </w:rPr>
            </w:pPr>
            <w:r w:rsidRPr="006A0C48">
              <w:rPr>
                <w:szCs w:val="22"/>
              </w:rPr>
              <w:t>16</w:t>
            </w:r>
            <w:r w:rsidRPr="006A0C48">
              <w:rPr>
                <w:b/>
                <w:bCs/>
                <w:szCs w:val="22"/>
                <w:vertAlign w:val="superscript"/>
              </w:rPr>
              <w:t>b</w:t>
            </w:r>
          </w:p>
        </w:tc>
        <w:tc>
          <w:tcPr>
            <w:tcW w:w="3260" w:type="dxa"/>
            <w:shd w:val="clear" w:color="auto" w:fill="FFFFFF" w:themeFill="background1"/>
          </w:tcPr>
          <w:p w14:paraId="2AEAEFE6" w14:textId="77777777" w:rsidR="00005A3C" w:rsidRPr="006A0C48" w:rsidRDefault="00005A3C" w:rsidP="00BC5121">
            <w:pPr>
              <w:spacing w:before="80" w:after="80"/>
              <w:rPr>
                <w:szCs w:val="22"/>
              </w:rPr>
            </w:pPr>
            <w:r w:rsidRPr="006A0C48">
              <w:rPr>
                <w:szCs w:val="22"/>
              </w:rPr>
              <w:t>-</w:t>
            </w:r>
          </w:p>
        </w:tc>
        <w:tc>
          <w:tcPr>
            <w:tcW w:w="3567" w:type="dxa"/>
            <w:shd w:val="clear" w:color="auto" w:fill="FFFFFF" w:themeFill="background1"/>
          </w:tcPr>
          <w:p w14:paraId="12021470" w14:textId="77777777" w:rsidR="00005A3C" w:rsidRPr="006A0C48" w:rsidRDefault="00005A3C" w:rsidP="006726E6">
            <w:pPr>
              <w:spacing w:before="80" w:after="80"/>
              <w:jc w:val="left"/>
              <w:rPr>
                <w:color w:val="000000" w:themeColor="text1"/>
                <w:szCs w:val="22"/>
              </w:rPr>
            </w:pPr>
            <w:r w:rsidRPr="006A0C48">
              <w:rPr>
                <w:color w:val="000000" w:themeColor="text1"/>
                <w:szCs w:val="22"/>
              </w:rPr>
              <w:t>Food waste Index</w:t>
            </w:r>
          </w:p>
          <w:p w14:paraId="74D6C3E8" w14:textId="77777777" w:rsidR="00005A3C" w:rsidRPr="006A0C48" w:rsidRDefault="00005A3C" w:rsidP="006726E6">
            <w:pPr>
              <w:spacing w:before="80" w:after="80"/>
              <w:jc w:val="left"/>
              <w:rPr>
                <w:color w:val="000000" w:themeColor="text1"/>
                <w:szCs w:val="22"/>
              </w:rPr>
            </w:pPr>
            <w:r w:rsidRPr="006A0C48">
              <w:rPr>
                <w:color w:val="000000" w:themeColor="text1"/>
                <w:szCs w:val="22"/>
              </w:rPr>
              <w:t xml:space="preserve">Material footprint per capita </w:t>
            </w:r>
          </w:p>
          <w:p w14:paraId="6E269676" w14:textId="77777777" w:rsidR="00005A3C" w:rsidRPr="006A0C48" w:rsidRDefault="00005A3C" w:rsidP="006726E6">
            <w:pPr>
              <w:spacing w:before="80" w:after="80"/>
              <w:jc w:val="left"/>
              <w:rPr>
                <w:color w:val="000000" w:themeColor="text1"/>
                <w:szCs w:val="22"/>
              </w:rPr>
            </w:pPr>
            <w:r w:rsidRPr="006A0C48">
              <w:rPr>
                <w:color w:val="000000" w:themeColor="text1"/>
                <w:szCs w:val="22"/>
              </w:rPr>
              <w:t>Global environmental impacts of consumption</w:t>
            </w:r>
          </w:p>
          <w:p w14:paraId="59671E62" w14:textId="77777777" w:rsidR="00005A3C" w:rsidRPr="006A0C48" w:rsidRDefault="00005A3C" w:rsidP="006726E6">
            <w:pPr>
              <w:spacing w:before="80" w:after="80"/>
              <w:jc w:val="left"/>
              <w:rPr>
                <w:color w:val="000000" w:themeColor="text1"/>
                <w:szCs w:val="22"/>
              </w:rPr>
            </w:pPr>
            <w:r w:rsidRPr="006A0C48">
              <w:rPr>
                <w:color w:val="000000" w:themeColor="text1"/>
                <w:szCs w:val="22"/>
              </w:rPr>
              <w:t>Ecological footprint</w:t>
            </w:r>
          </w:p>
        </w:tc>
        <w:tc>
          <w:tcPr>
            <w:tcW w:w="5363" w:type="dxa"/>
            <w:shd w:val="clear" w:color="auto" w:fill="FFFFFF" w:themeFill="background1"/>
          </w:tcPr>
          <w:p w14:paraId="640576A2" w14:textId="77777777" w:rsidR="00005A3C" w:rsidRPr="006A0C48" w:rsidRDefault="00005A3C" w:rsidP="006726E6">
            <w:pPr>
              <w:spacing w:before="80" w:after="80"/>
              <w:jc w:val="left"/>
              <w:rPr>
                <w:szCs w:val="22"/>
              </w:rPr>
            </w:pPr>
            <w:r w:rsidRPr="006A0C48">
              <w:rPr>
                <w:szCs w:val="22"/>
              </w:rPr>
              <w:t xml:space="preserve">Extent to which (a) global citizenship education and (b) education for sustainable development, including gender equality and human rights, are mainstreamed at all levels in: (i) national education policies; (ii) curricula; (iii) teacher education; and (iv) student assessments </w:t>
            </w:r>
          </w:p>
          <w:p w14:paraId="40A5074F" w14:textId="77777777" w:rsidR="00005A3C" w:rsidRPr="006A0C48" w:rsidRDefault="00005A3C" w:rsidP="00BC5121">
            <w:pPr>
              <w:spacing w:before="80" w:after="80"/>
              <w:rPr>
                <w:szCs w:val="22"/>
              </w:rPr>
            </w:pPr>
            <w:r w:rsidRPr="006A0C48">
              <w:rPr>
                <w:szCs w:val="22"/>
              </w:rPr>
              <w:t>Recycling rate</w:t>
            </w:r>
          </w:p>
          <w:p w14:paraId="16162F1A" w14:textId="77777777" w:rsidR="00005A3C" w:rsidRPr="006A0C48" w:rsidRDefault="00005A3C" w:rsidP="006726E6">
            <w:pPr>
              <w:jc w:val="left"/>
              <w:rPr>
                <w:szCs w:val="22"/>
              </w:rPr>
            </w:pPr>
            <w:r w:rsidRPr="006A0C48">
              <w:rPr>
                <w:szCs w:val="22"/>
                <w:lang w:val="en-US"/>
              </w:rPr>
              <w:t>Life cycle Impact assessment (LCIA) e.g.  LIME; Life-cycle impact assessment method based on endpoint modelling</w:t>
            </w:r>
          </w:p>
          <w:p w14:paraId="6C19C445" w14:textId="77777777" w:rsidR="00005A3C" w:rsidRPr="006A0C48" w:rsidRDefault="00005A3C" w:rsidP="006726E6">
            <w:pPr>
              <w:spacing w:before="80" w:after="80"/>
              <w:jc w:val="left"/>
              <w:rPr>
                <w:szCs w:val="22"/>
              </w:rPr>
            </w:pPr>
            <w:r w:rsidRPr="006A0C48">
              <w:rPr>
                <w:szCs w:val="22"/>
              </w:rPr>
              <w:t>Levels of poverty in developing communities</w:t>
            </w:r>
          </w:p>
        </w:tc>
      </w:tr>
      <w:tr w:rsidR="00005A3C" w:rsidRPr="006A0C48" w14:paraId="38FBC476" w14:textId="77777777" w:rsidTr="00967EE7">
        <w:trPr>
          <w:trHeight w:val="300"/>
        </w:trPr>
        <w:tc>
          <w:tcPr>
            <w:tcW w:w="846" w:type="dxa"/>
            <w:shd w:val="clear" w:color="auto" w:fill="FFFFFF" w:themeFill="background1"/>
          </w:tcPr>
          <w:p w14:paraId="0A6233B7" w14:textId="77777777" w:rsidR="00005A3C" w:rsidRPr="006A0C48" w:rsidRDefault="00005A3C" w:rsidP="00BC5121">
            <w:pPr>
              <w:spacing w:before="80" w:after="80"/>
              <w:rPr>
                <w:szCs w:val="22"/>
              </w:rPr>
            </w:pPr>
            <w:r w:rsidRPr="006A0C48">
              <w:rPr>
                <w:szCs w:val="22"/>
              </w:rPr>
              <w:t>17</w:t>
            </w:r>
            <w:r w:rsidRPr="006A0C48">
              <w:rPr>
                <w:b/>
                <w:bCs/>
                <w:szCs w:val="22"/>
                <w:vertAlign w:val="superscript"/>
              </w:rPr>
              <w:t>b</w:t>
            </w:r>
          </w:p>
        </w:tc>
        <w:tc>
          <w:tcPr>
            <w:tcW w:w="3260" w:type="dxa"/>
            <w:shd w:val="clear" w:color="auto" w:fill="FFFFFF" w:themeFill="background1"/>
          </w:tcPr>
          <w:p w14:paraId="7466A8FA" w14:textId="77777777" w:rsidR="00005A3C" w:rsidRPr="006A0C48" w:rsidRDefault="00005A3C" w:rsidP="00BC5121">
            <w:pPr>
              <w:spacing w:before="80" w:after="80"/>
              <w:rPr>
                <w:color w:val="000000" w:themeColor="text1"/>
                <w:szCs w:val="22"/>
              </w:rPr>
            </w:pPr>
            <w:r w:rsidRPr="006A0C48">
              <w:rPr>
                <w:i/>
                <w:iCs/>
                <w:color w:val="000000"/>
                <w:szCs w:val="22"/>
              </w:rPr>
              <w:t>-</w:t>
            </w:r>
          </w:p>
        </w:tc>
        <w:tc>
          <w:tcPr>
            <w:tcW w:w="3567" w:type="dxa"/>
            <w:shd w:val="clear" w:color="auto" w:fill="FFFFFF" w:themeFill="background1"/>
          </w:tcPr>
          <w:p w14:paraId="216D7330" w14:textId="77777777" w:rsidR="00005A3C" w:rsidRPr="006A0C48" w:rsidRDefault="00005A3C" w:rsidP="00BC5121">
            <w:pPr>
              <w:spacing w:before="80" w:after="80"/>
              <w:rPr>
                <w:szCs w:val="22"/>
              </w:rPr>
            </w:pPr>
          </w:p>
        </w:tc>
        <w:tc>
          <w:tcPr>
            <w:tcW w:w="5363" w:type="dxa"/>
            <w:shd w:val="clear" w:color="auto" w:fill="FFFFFF" w:themeFill="background1"/>
          </w:tcPr>
          <w:p w14:paraId="7EE8AF5B" w14:textId="77777777" w:rsidR="00005A3C" w:rsidRPr="006A0C48" w:rsidRDefault="00005A3C" w:rsidP="006726E6">
            <w:pPr>
              <w:spacing w:before="80" w:after="80"/>
              <w:jc w:val="left"/>
              <w:rPr>
                <w:szCs w:val="22"/>
              </w:rPr>
            </w:pPr>
            <w:r w:rsidRPr="006A0C48">
              <w:rPr>
                <w:szCs w:val="22"/>
              </w:rPr>
              <w:t>Number of countries that have the necessary biosafety legal and administrative measures in place</w:t>
            </w:r>
          </w:p>
          <w:p w14:paraId="3F9C3BBB" w14:textId="77777777" w:rsidR="00005A3C" w:rsidRPr="006A0C48" w:rsidRDefault="00005A3C" w:rsidP="006726E6">
            <w:pPr>
              <w:spacing w:before="80" w:after="80"/>
              <w:jc w:val="left"/>
              <w:rPr>
                <w:szCs w:val="22"/>
              </w:rPr>
            </w:pPr>
            <w:r w:rsidRPr="006A0C48">
              <w:rPr>
                <w:szCs w:val="22"/>
              </w:rPr>
              <w:t>Number of countries that implement their biosafety measures</w:t>
            </w:r>
          </w:p>
          <w:p w14:paraId="67AC5092" w14:textId="77777777" w:rsidR="00005A3C" w:rsidRPr="006A0C48" w:rsidRDefault="00005A3C" w:rsidP="006726E6">
            <w:pPr>
              <w:spacing w:before="80" w:after="80"/>
              <w:jc w:val="left"/>
              <w:rPr>
                <w:szCs w:val="22"/>
              </w:rPr>
            </w:pPr>
            <w:r w:rsidRPr="006A0C48">
              <w:rPr>
                <w:szCs w:val="22"/>
              </w:rPr>
              <w:t>Number of countries that have the necessary measures and means for detection and identification of products of biotechnology</w:t>
            </w:r>
          </w:p>
          <w:p w14:paraId="589BD07F" w14:textId="77777777" w:rsidR="00005A3C" w:rsidRPr="006A0C48" w:rsidRDefault="00005A3C" w:rsidP="006726E6">
            <w:pPr>
              <w:spacing w:before="80" w:after="80"/>
              <w:jc w:val="left"/>
              <w:rPr>
                <w:szCs w:val="22"/>
              </w:rPr>
            </w:pPr>
            <w:r w:rsidRPr="006A0C48">
              <w:rPr>
                <w:szCs w:val="22"/>
              </w:rPr>
              <w:t>Number of countries that carry out scientifically sound risk assessments to support biosafety decision-making</w:t>
            </w:r>
          </w:p>
          <w:p w14:paraId="6C9A81B5" w14:textId="77777777" w:rsidR="00005A3C" w:rsidRPr="006A0C48" w:rsidRDefault="00005A3C" w:rsidP="006726E6">
            <w:pPr>
              <w:spacing w:before="80" w:after="80"/>
              <w:jc w:val="left"/>
              <w:rPr>
                <w:szCs w:val="22"/>
              </w:rPr>
            </w:pPr>
            <w:r w:rsidRPr="006A0C48">
              <w:rPr>
                <w:szCs w:val="22"/>
              </w:rPr>
              <w:t>Number of countries that establish and implement risk management measures</w:t>
            </w:r>
          </w:p>
          <w:p w14:paraId="7E6EFA55" w14:textId="77777777" w:rsidR="00005A3C" w:rsidRPr="006A0C48" w:rsidRDefault="00005A3C" w:rsidP="006726E6">
            <w:pPr>
              <w:spacing w:before="80" w:after="80"/>
              <w:jc w:val="left"/>
              <w:rPr>
                <w:szCs w:val="22"/>
              </w:rPr>
            </w:pPr>
            <w:r w:rsidRPr="006A0C48">
              <w:rPr>
                <w:szCs w:val="22"/>
              </w:rPr>
              <w:t>Percentage of Parties to the Cartagena Protocol on Biosafety implementing the relevant provisions of the Protocol</w:t>
            </w:r>
          </w:p>
          <w:p w14:paraId="02867935" w14:textId="77777777" w:rsidR="00005A3C" w:rsidRPr="006A0C48" w:rsidRDefault="00005A3C" w:rsidP="006726E6">
            <w:pPr>
              <w:spacing w:before="80" w:after="80"/>
              <w:jc w:val="left"/>
              <w:rPr>
                <w:szCs w:val="22"/>
              </w:rPr>
            </w:pPr>
            <w:r w:rsidRPr="006A0C48">
              <w:rPr>
                <w:szCs w:val="22"/>
              </w:rPr>
              <w:lastRenderedPageBreak/>
              <w:t>Number of countries with legal and technical measures for restoration and compensation</w:t>
            </w:r>
          </w:p>
          <w:p w14:paraId="7BE49023" w14:textId="77777777" w:rsidR="00005A3C" w:rsidRPr="006A0C48" w:rsidRDefault="00005A3C" w:rsidP="006726E6">
            <w:pPr>
              <w:spacing w:before="80" w:after="80"/>
              <w:jc w:val="left"/>
              <w:rPr>
                <w:szCs w:val="22"/>
              </w:rPr>
            </w:pPr>
            <w:r w:rsidRPr="006A0C48">
              <w:rPr>
                <w:szCs w:val="22"/>
              </w:rPr>
              <w:t>Percentage of Parties to the Nagoya – Kuala Lumpur Supplementary Protocol on Liability and Redress</w:t>
            </w:r>
          </w:p>
          <w:p w14:paraId="0A7A7D2A" w14:textId="77777777" w:rsidR="00005A3C" w:rsidRPr="006A0C48" w:rsidRDefault="00005A3C" w:rsidP="006726E6">
            <w:pPr>
              <w:spacing w:before="80" w:after="80"/>
              <w:jc w:val="left"/>
              <w:rPr>
                <w:szCs w:val="22"/>
              </w:rPr>
            </w:pPr>
            <w:r w:rsidRPr="006A0C48">
              <w:rPr>
                <w:szCs w:val="22"/>
              </w:rPr>
              <w:t>Percentage of countries with systems in place for restoration and compensation of damage to conservation and sustainable use of biological diversity</w:t>
            </w:r>
          </w:p>
          <w:p w14:paraId="182074C6" w14:textId="77777777" w:rsidR="00005A3C" w:rsidRPr="006A0C48" w:rsidRDefault="00005A3C" w:rsidP="006726E6">
            <w:pPr>
              <w:spacing w:before="80" w:after="80"/>
              <w:jc w:val="left"/>
              <w:rPr>
                <w:szCs w:val="22"/>
              </w:rPr>
            </w:pPr>
            <w:r w:rsidRPr="006A0C48">
              <w:rPr>
                <w:szCs w:val="22"/>
              </w:rPr>
              <w:t>Number of countries that establish and implement risk management measures</w:t>
            </w:r>
          </w:p>
          <w:p w14:paraId="302C9278" w14:textId="77777777" w:rsidR="00005A3C" w:rsidRPr="006A0C48" w:rsidRDefault="00005A3C" w:rsidP="006726E6">
            <w:pPr>
              <w:spacing w:before="80" w:after="80"/>
              <w:jc w:val="left"/>
              <w:rPr>
                <w:szCs w:val="22"/>
              </w:rPr>
            </w:pPr>
            <w:r w:rsidRPr="006A0C48">
              <w:rPr>
                <w:szCs w:val="22"/>
              </w:rPr>
              <w:t>Number of countries with mechanisms to facilitate the sharing of and access to information on potential adverse impacts of biotechnology on biodiversity and human health</w:t>
            </w:r>
          </w:p>
        </w:tc>
      </w:tr>
      <w:tr w:rsidR="00005A3C" w:rsidRPr="006A0C48" w14:paraId="282ED155" w14:textId="77777777" w:rsidTr="00967EE7">
        <w:trPr>
          <w:trHeight w:val="300"/>
        </w:trPr>
        <w:tc>
          <w:tcPr>
            <w:tcW w:w="846" w:type="dxa"/>
            <w:shd w:val="clear" w:color="auto" w:fill="FFFFFF" w:themeFill="background1"/>
          </w:tcPr>
          <w:p w14:paraId="2DACA58E" w14:textId="77777777" w:rsidR="00005A3C" w:rsidRPr="006A0C48" w:rsidRDefault="00005A3C" w:rsidP="00BC5121">
            <w:pPr>
              <w:spacing w:before="80" w:after="80"/>
              <w:rPr>
                <w:szCs w:val="22"/>
              </w:rPr>
            </w:pPr>
            <w:r w:rsidRPr="006A0C48">
              <w:rPr>
                <w:szCs w:val="22"/>
              </w:rPr>
              <w:lastRenderedPageBreak/>
              <w:t>18</w:t>
            </w:r>
          </w:p>
        </w:tc>
        <w:tc>
          <w:tcPr>
            <w:tcW w:w="3260" w:type="dxa"/>
            <w:shd w:val="clear" w:color="auto" w:fill="FFFFFF" w:themeFill="background1"/>
          </w:tcPr>
          <w:p w14:paraId="53580563" w14:textId="77777777" w:rsidR="00005A3C" w:rsidRPr="006A0C48" w:rsidRDefault="00005A3C" w:rsidP="006726E6">
            <w:pPr>
              <w:spacing w:before="40" w:after="40"/>
              <w:jc w:val="left"/>
              <w:rPr>
                <w:color w:val="000000"/>
                <w:szCs w:val="22"/>
              </w:rPr>
            </w:pPr>
            <w:r w:rsidRPr="006A0C48">
              <w:rPr>
                <w:color w:val="000000"/>
                <w:szCs w:val="22"/>
              </w:rPr>
              <w:t>18.1 Positive incentives in place to promote biodiversity conservation and sustainable use</w:t>
            </w:r>
          </w:p>
          <w:p w14:paraId="72D387C5" w14:textId="77777777" w:rsidR="00005A3C" w:rsidRPr="006A0C48" w:rsidRDefault="00005A3C" w:rsidP="006726E6">
            <w:pPr>
              <w:spacing w:before="80" w:after="80"/>
              <w:jc w:val="left"/>
              <w:rPr>
                <w:szCs w:val="22"/>
              </w:rPr>
            </w:pPr>
            <w:r w:rsidRPr="006A0C48">
              <w:rPr>
                <w:szCs w:val="22"/>
              </w:rPr>
              <w:t>18.2 Value of subsidies and other incentives harmful to biodiversity that have been eliminated, phased our or reformed</w:t>
            </w:r>
          </w:p>
        </w:tc>
        <w:tc>
          <w:tcPr>
            <w:tcW w:w="3567" w:type="dxa"/>
            <w:shd w:val="clear" w:color="auto" w:fill="FFFFFF" w:themeFill="background1"/>
          </w:tcPr>
          <w:p w14:paraId="380C847B" w14:textId="77777777" w:rsidR="00005A3C" w:rsidRPr="006A0C48" w:rsidRDefault="00005A3C" w:rsidP="006726E6">
            <w:pPr>
              <w:spacing w:before="80" w:after="80"/>
              <w:jc w:val="left"/>
              <w:rPr>
                <w:szCs w:val="22"/>
              </w:rPr>
            </w:pPr>
            <w:r w:rsidRPr="006A0C48">
              <w:rPr>
                <w:szCs w:val="22"/>
              </w:rPr>
              <w:t>Value of subsidies and other incentives harmful to biodiversity, that are redirected, repurposed or eliminated</w:t>
            </w:r>
          </w:p>
        </w:tc>
        <w:tc>
          <w:tcPr>
            <w:tcW w:w="5363" w:type="dxa"/>
            <w:shd w:val="clear" w:color="auto" w:fill="FFFFFF" w:themeFill="background1"/>
          </w:tcPr>
          <w:p w14:paraId="53433C86" w14:textId="77777777" w:rsidR="00005A3C" w:rsidRPr="006A0C48" w:rsidRDefault="00005A3C" w:rsidP="006726E6">
            <w:pPr>
              <w:spacing w:before="80" w:after="80"/>
              <w:jc w:val="left"/>
              <w:rPr>
                <w:szCs w:val="22"/>
              </w:rPr>
            </w:pPr>
            <w:r w:rsidRPr="006A0C48">
              <w:rPr>
                <w:szCs w:val="22"/>
              </w:rPr>
              <w:t>Number of countries with biodiversity-relevant taxes</w:t>
            </w:r>
          </w:p>
          <w:p w14:paraId="5575B25A" w14:textId="77777777" w:rsidR="00005A3C" w:rsidRPr="006A0C48" w:rsidRDefault="00005A3C" w:rsidP="006726E6">
            <w:pPr>
              <w:spacing w:before="80" w:after="80"/>
              <w:jc w:val="left"/>
              <w:rPr>
                <w:szCs w:val="22"/>
              </w:rPr>
            </w:pPr>
            <w:r w:rsidRPr="006A0C48">
              <w:rPr>
                <w:szCs w:val="22"/>
              </w:rPr>
              <w:t>Number of countries with biodiversity-relevant charges and fees</w:t>
            </w:r>
          </w:p>
          <w:p w14:paraId="1F480016" w14:textId="77777777" w:rsidR="00005A3C" w:rsidRPr="006A0C48" w:rsidRDefault="00005A3C" w:rsidP="006726E6">
            <w:pPr>
              <w:spacing w:before="80" w:after="80"/>
              <w:jc w:val="left"/>
              <w:rPr>
                <w:szCs w:val="22"/>
              </w:rPr>
            </w:pPr>
            <w:r w:rsidRPr="006A0C48">
              <w:rPr>
                <w:szCs w:val="22"/>
              </w:rPr>
              <w:t>Number of countries with biodiversity-relevant tradable permit schemes</w:t>
            </w:r>
          </w:p>
          <w:p w14:paraId="28381A38" w14:textId="77777777" w:rsidR="00005A3C" w:rsidRPr="006A0C48" w:rsidRDefault="00005A3C" w:rsidP="006726E6">
            <w:pPr>
              <w:spacing w:before="80" w:after="80"/>
              <w:jc w:val="left"/>
              <w:rPr>
                <w:szCs w:val="22"/>
              </w:rPr>
            </w:pPr>
            <w:r w:rsidRPr="006A0C48">
              <w:rPr>
                <w:szCs w:val="22"/>
              </w:rPr>
              <w:t>Trends in potentially environmentally harmful elements of government support to agriculture (producer support estimate)</w:t>
            </w:r>
          </w:p>
          <w:p w14:paraId="0B52A21A" w14:textId="77777777" w:rsidR="00005A3C" w:rsidRPr="006A0C48" w:rsidRDefault="00005A3C" w:rsidP="006726E6">
            <w:pPr>
              <w:spacing w:before="80" w:after="80"/>
              <w:jc w:val="left"/>
              <w:rPr>
                <w:szCs w:val="22"/>
              </w:rPr>
            </w:pPr>
            <w:r w:rsidRPr="006A0C48">
              <w:rPr>
                <w:szCs w:val="22"/>
              </w:rPr>
              <w:t>Trends in the number and value of government fossil fuel support measures</w:t>
            </w:r>
          </w:p>
          <w:p w14:paraId="7C21650E" w14:textId="77777777" w:rsidR="00005A3C" w:rsidRPr="006A0C48" w:rsidRDefault="00005A3C" w:rsidP="006726E6">
            <w:pPr>
              <w:spacing w:before="80" w:after="80"/>
              <w:jc w:val="left"/>
              <w:rPr>
                <w:szCs w:val="22"/>
              </w:rPr>
            </w:pPr>
            <w:r w:rsidRPr="006A0C48">
              <w:rPr>
                <w:szCs w:val="22"/>
              </w:rPr>
              <w:t xml:space="preserve">Amount of fossil-fuel subsidies per unit of gross domestic product (production and consumption) </w:t>
            </w:r>
          </w:p>
        </w:tc>
      </w:tr>
      <w:tr w:rsidR="00005A3C" w:rsidRPr="006A0C48" w14:paraId="31057BF2" w14:textId="77777777" w:rsidTr="00967EE7">
        <w:trPr>
          <w:trHeight w:val="300"/>
        </w:trPr>
        <w:tc>
          <w:tcPr>
            <w:tcW w:w="846" w:type="dxa"/>
            <w:shd w:val="clear" w:color="auto" w:fill="FFFFFF" w:themeFill="background1"/>
          </w:tcPr>
          <w:p w14:paraId="27217E7A" w14:textId="77777777" w:rsidR="00005A3C" w:rsidRPr="006A0C48" w:rsidRDefault="00005A3C" w:rsidP="00BC5121">
            <w:pPr>
              <w:spacing w:before="80" w:after="80"/>
              <w:rPr>
                <w:szCs w:val="22"/>
              </w:rPr>
            </w:pPr>
            <w:r w:rsidRPr="006A0C48">
              <w:rPr>
                <w:szCs w:val="22"/>
              </w:rPr>
              <w:t>19</w:t>
            </w:r>
          </w:p>
        </w:tc>
        <w:tc>
          <w:tcPr>
            <w:tcW w:w="3260" w:type="dxa"/>
            <w:shd w:val="clear" w:color="auto" w:fill="FFFFFF" w:themeFill="background1"/>
          </w:tcPr>
          <w:p w14:paraId="4AFDC491" w14:textId="77777777" w:rsidR="00005A3C" w:rsidRPr="006A0C48" w:rsidRDefault="00005A3C"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046ADC00" w14:textId="77777777" w:rsidR="00005A3C" w:rsidRPr="006A0C48" w:rsidRDefault="00005A3C" w:rsidP="006726E6">
            <w:pPr>
              <w:spacing w:before="40" w:after="40"/>
              <w:jc w:val="left"/>
              <w:rPr>
                <w:rFonts w:eastAsia="DengXian"/>
                <w:szCs w:val="22"/>
              </w:rPr>
            </w:pPr>
            <w:r w:rsidRPr="006A0C48">
              <w:rPr>
                <w:rFonts w:eastAsia="DengXian"/>
                <w:szCs w:val="22"/>
              </w:rPr>
              <w:lastRenderedPageBreak/>
              <w:t xml:space="preserve">D.2 Domestic public funding on conservation and sustainable use of biodiversity and ecosystems </w:t>
            </w:r>
          </w:p>
          <w:p w14:paraId="1286A001" w14:textId="77777777" w:rsidR="00005A3C" w:rsidRPr="006A0C48" w:rsidRDefault="00005A3C" w:rsidP="006726E6">
            <w:pPr>
              <w:spacing w:before="80" w:after="8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51B4FC16" w14:textId="77777777" w:rsidR="00005A3C" w:rsidRPr="006A0C48" w:rsidRDefault="00005A3C" w:rsidP="00BC5121">
            <w:pPr>
              <w:spacing w:before="80" w:after="80"/>
              <w:rPr>
                <w:szCs w:val="22"/>
              </w:rPr>
            </w:pPr>
          </w:p>
        </w:tc>
        <w:tc>
          <w:tcPr>
            <w:tcW w:w="5363" w:type="dxa"/>
            <w:shd w:val="clear" w:color="auto" w:fill="FFFFFF" w:themeFill="background1"/>
          </w:tcPr>
          <w:p w14:paraId="2737BAE6" w14:textId="77777777" w:rsidR="00005A3C" w:rsidRPr="006A0C48" w:rsidRDefault="00005A3C" w:rsidP="006726E6">
            <w:pPr>
              <w:spacing w:before="80" w:after="80"/>
              <w:jc w:val="left"/>
              <w:rPr>
                <w:szCs w:val="22"/>
              </w:rPr>
            </w:pPr>
            <w:r w:rsidRPr="006A0C48">
              <w:rPr>
                <w:szCs w:val="22"/>
              </w:rPr>
              <w:t xml:space="preserve">Amount of funding provided through the Global Environment Facility and allocated to the biodiversity focal area </w:t>
            </w:r>
          </w:p>
          <w:p w14:paraId="2009DA68" w14:textId="77777777" w:rsidR="00005A3C" w:rsidRPr="006A0C48" w:rsidRDefault="00005A3C" w:rsidP="006726E6">
            <w:pPr>
              <w:spacing w:before="80" w:after="80"/>
              <w:jc w:val="left"/>
              <w:rPr>
                <w:szCs w:val="22"/>
              </w:rPr>
            </w:pPr>
            <w:r w:rsidRPr="006A0C48">
              <w:rPr>
                <w:szCs w:val="22"/>
              </w:rPr>
              <w:lastRenderedPageBreak/>
              <w:t xml:space="preserve">Foreign direct investment, official development assistance and South-South cooperation </w:t>
            </w:r>
          </w:p>
          <w:p w14:paraId="350C7AE2" w14:textId="77777777" w:rsidR="00005A3C" w:rsidRPr="006A0C48" w:rsidRDefault="00005A3C" w:rsidP="006726E6">
            <w:pPr>
              <w:spacing w:before="80" w:after="80"/>
              <w:jc w:val="left"/>
              <w:rPr>
                <w:szCs w:val="22"/>
              </w:rPr>
            </w:pPr>
            <w:r w:rsidRPr="006A0C48">
              <w:rPr>
                <w:szCs w:val="22"/>
              </w:rPr>
              <w:t>Amount and composition of biodiversity-related finance reported to the OECD Creditor reporting system</w:t>
            </w:r>
          </w:p>
          <w:p w14:paraId="3AD3054C" w14:textId="77777777" w:rsidR="00005A3C" w:rsidRPr="006A0C48" w:rsidRDefault="00005A3C" w:rsidP="006726E6">
            <w:pPr>
              <w:spacing w:before="80" w:after="80"/>
              <w:jc w:val="left"/>
              <w:rPr>
                <w:szCs w:val="22"/>
              </w:rPr>
            </w:pPr>
            <w:r w:rsidRPr="006A0C48">
              <w:rPr>
                <w:szCs w:val="22"/>
              </w:rPr>
              <w:t xml:space="preserve">Dollar value of financial and technical assistance (including through North-South, South-South and triangular cooperation) committed to developing countries </w:t>
            </w:r>
          </w:p>
          <w:p w14:paraId="4C7EFC3E" w14:textId="77777777" w:rsidR="00005A3C" w:rsidRPr="006A0C48" w:rsidRDefault="00005A3C" w:rsidP="006726E6">
            <w:pPr>
              <w:spacing w:before="80" w:after="80"/>
              <w:jc w:val="left"/>
              <w:rPr>
                <w:szCs w:val="22"/>
              </w:rPr>
            </w:pPr>
            <w:r w:rsidRPr="006A0C48">
              <w:rPr>
                <w:szCs w:val="22"/>
              </w:rPr>
              <w:t xml:space="preserve">Dollar value of all resources made available to strengthen statistical capacity in developing countries </w:t>
            </w:r>
          </w:p>
          <w:p w14:paraId="3E9FA2E0" w14:textId="77777777" w:rsidR="00005A3C" w:rsidRPr="006A0C48" w:rsidRDefault="00005A3C" w:rsidP="006726E6">
            <w:pPr>
              <w:spacing w:before="80" w:after="80"/>
              <w:jc w:val="left"/>
              <w:rPr>
                <w:szCs w:val="22"/>
              </w:rPr>
            </w:pPr>
            <w:r w:rsidRPr="006A0C48">
              <w:rPr>
                <w:szCs w:val="22"/>
              </w:rPr>
              <w:t>Amount of biodiversity-related philanthropic funding</w:t>
            </w:r>
          </w:p>
          <w:p w14:paraId="0D3848BD" w14:textId="77777777" w:rsidR="00005A3C" w:rsidRPr="006A0C48" w:rsidRDefault="00005A3C" w:rsidP="006726E6">
            <w:pPr>
              <w:spacing w:before="80" w:after="80"/>
              <w:jc w:val="left"/>
              <w:rPr>
                <w:szCs w:val="22"/>
              </w:rPr>
            </w:pPr>
            <w:r w:rsidRPr="006A0C48">
              <w:rPr>
                <w:szCs w:val="22"/>
              </w:rPr>
              <w:t>Proportion of total research budget allocated to research in the field of marine technology</w:t>
            </w:r>
          </w:p>
          <w:p w14:paraId="434B3A93" w14:textId="77777777" w:rsidR="00005A3C" w:rsidRPr="006A0C48" w:rsidRDefault="00005A3C" w:rsidP="006726E6">
            <w:pPr>
              <w:spacing w:before="80" w:after="80"/>
              <w:jc w:val="left"/>
              <w:rPr>
                <w:szCs w:val="22"/>
              </w:rPr>
            </w:pPr>
            <w:r w:rsidRPr="006A0C48">
              <w:rPr>
                <w:szCs w:val="22"/>
              </w:rPr>
              <w:t xml:space="preserve">Total amount of approved funding for developing countries to promote the development, transfer, dissemination and diffusion of environmentally sound technologies </w:t>
            </w:r>
          </w:p>
          <w:p w14:paraId="3812F0EB" w14:textId="77777777" w:rsidR="00005A3C" w:rsidRPr="006A0C48" w:rsidRDefault="00005A3C" w:rsidP="006726E6">
            <w:pPr>
              <w:spacing w:before="80" w:after="80"/>
              <w:jc w:val="left"/>
              <w:rPr>
                <w:szCs w:val="22"/>
              </w:rPr>
            </w:pPr>
            <w:r w:rsidRPr="006A0C48">
              <w:rPr>
                <w:szCs w:val="22"/>
              </w:rPr>
              <w:t>Number of countries (and number of instruments) with payments for ecosystem services (PES) programmes</w:t>
            </w:r>
          </w:p>
          <w:p w14:paraId="49B14734" w14:textId="77777777" w:rsidR="00005A3C" w:rsidRPr="006A0C48" w:rsidRDefault="00005A3C" w:rsidP="006726E6">
            <w:pPr>
              <w:spacing w:before="80" w:after="80"/>
              <w:jc w:val="left"/>
              <w:rPr>
                <w:szCs w:val="22"/>
              </w:rPr>
            </w:pPr>
            <w:r w:rsidRPr="006A0C48">
              <w:rPr>
                <w:szCs w:val="22"/>
              </w:rPr>
              <w:t>Number of countries that have (a) assessed values of biodiversity in accordance with the Convention, (b) identified and reported funding needs, gaps and priorities, (c) developed national financial plans for biodiversity, (d) been provided with the necessary funding and capacity</w:t>
            </w:r>
            <w:r w:rsidRPr="006A0C48">
              <w:rPr>
                <w:szCs w:val="22"/>
              </w:rPr>
              <w:noBreakHyphen/>
              <w:t>building to undertake the above activities</w:t>
            </w:r>
          </w:p>
        </w:tc>
      </w:tr>
      <w:tr w:rsidR="00005A3C" w:rsidRPr="006A0C48" w14:paraId="42A85307" w14:textId="77777777" w:rsidTr="00967EE7">
        <w:trPr>
          <w:trHeight w:val="300"/>
        </w:trPr>
        <w:tc>
          <w:tcPr>
            <w:tcW w:w="846" w:type="dxa"/>
            <w:shd w:val="clear" w:color="auto" w:fill="FFFFFF" w:themeFill="background1"/>
          </w:tcPr>
          <w:p w14:paraId="3A70B587" w14:textId="77777777" w:rsidR="00005A3C" w:rsidRPr="006A0C48" w:rsidRDefault="00005A3C" w:rsidP="00BC5121">
            <w:pPr>
              <w:spacing w:before="80" w:after="80"/>
              <w:rPr>
                <w:szCs w:val="22"/>
              </w:rPr>
            </w:pPr>
            <w:r w:rsidRPr="006A0C48">
              <w:rPr>
                <w:szCs w:val="22"/>
              </w:rPr>
              <w:lastRenderedPageBreak/>
              <w:t>20</w:t>
            </w:r>
          </w:p>
        </w:tc>
        <w:tc>
          <w:tcPr>
            <w:tcW w:w="3260" w:type="dxa"/>
            <w:shd w:val="clear" w:color="auto" w:fill="FFFFFF" w:themeFill="background1"/>
          </w:tcPr>
          <w:p w14:paraId="10F0C1E1" w14:textId="77777777" w:rsidR="00005A3C" w:rsidRPr="006A0C48" w:rsidRDefault="00005A3C" w:rsidP="00BC5121">
            <w:pPr>
              <w:spacing w:before="80" w:after="80"/>
              <w:rPr>
                <w:szCs w:val="22"/>
              </w:rPr>
            </w:pPr>
            <w:r w:rsidRPr="006A0C48">
              <w:rPr>
                <w:szCs w:val="22"/>
              </w:rPr>
              <w:t>-</w:t>
            </w:r>
          </w:p>
        </w:tc>
        <w:tc>
          <w:tcPr>
            <w:tcW w:w="3567" w:type="dxa"/>
            <w:shd w:val="clear" w:color="auto" w:fill="FFFFFF" w:themeFill="background1"/>
          </w:tcPr>
          <w:p w14:paraId="7F4A934D" w14:textId="77777777" w:rsidR="00005A3C" w:rsidRPr="006A0C48" w:rsidRDefault="00005A3C" w:rsidP="00BC5121">
            <w:pPr>
              <w:spacing w:before="80" w:after="80"/>
              <w:rPr>
                <w:szCs w:val="22"/>
              </w:rPr>
            </w:pPr>
          </w:p>
        </w:tc>
        <w:tc>
          <w:tcPr>
            <w:tcW w:w="5363" w:type="dxa"/>
            <w:shd w:val="clear" w:color="auto" w:fill="FFFFFF" w:themeFill="background1"/>
          </w:tcPr>
          <w:p w14:paraId="6B01E483" w14:textId="77777777" w:rsidR="00005A3C" w:rsidRPr="006A0C48" w:rsidRDefault="00005A3C" w:rsidP="00BC5121">
            <w:pPr>
              <w:spacing w:before="80" w:after="80"/>
              <w:rPr>
                <w:szCs w:val="22"/>
              </w:rPr>
            </w:pPr>
          </w:p>
        </w:tc>
      </w:tr>
      <w:tr w:rsidR="00005A3C" w:rsidRPr="006A0C48" w14:paraId="2A6F76F7" w14:textId="77777777" w:rsidTr="00967EE7">
        <w:trPr>
          <w:trHeight w:val="300"/>
        </w:trPr>
        <w:tc>
          <w:tcPr>
            <w:tcW w:w="846" w:type="dxa"/>
            <w:shd w:val="clear" w:color="auto" w:fill="FFFFFF" w:themeFill="background1"/>
          </w:tcPr>
          <w:p w14:paraId="4E85FA80" w14:textId="77777777" w:rsidR="00005A3C" w:rsidRPr="006A0C48" w:rsidRDefault="00005A3C" w:rsidP="00BC5121">
            <w:pPr>
              <w:spacing w:before="80" w:after="80"/>
              <w:rPr>
                <w:szCs w:val="22"/>
              </w:rPr>
            </w:pPr>
            <w:r w:rsidRPr="006A0C48">
              <w:rPr>
                <w:szCs w:val="22"/>
              </w:rPr>
              <w:t>21</w:t>
            </w:r>
          </w:p>
        </w:tc>
        <w:tc>
          <w:tcPr>
            <w:tcW w:w="3260" w:type="dxa"/>
            <w:shd w:val="clear" w:color="auto" w:fill="FFFFFF" w:themeFill="background1"/>
          </w:tcPr>
          <w:p w14:paraId="04E7DADE" w14:textId="77777777" w:rsidR="00005A3C" w:rsidRPr="006A0C48" w:rsidRDefault="00005A3C" w:rsidP="006726E6">
            <w:pPr>
              <w:spacing w:before="80" w:after="80"/>
              <w:jc w:val="left"/>
              <w:rPr>
                <w:szCs w:val="22"/>
              </w:rPr>
            </w:pPr>
            <w:r w:rsidRPr="006A0C48">
              <w:rPr>
                <w:szCs w:val="22"/>
              </w:rPr>
              <w:t xml:space="preserve">21.1 Indicator on biodiversity information for the monitoring the Kunming-Montreal Global Biodiversity Framework </w:t>
            </w:r>
          </w:p>
        </w:tc>
        <w:tc>
          <w:tcPr>
            <w:tcW w:w="3567" w:type="dxa"/>
            <w:shd w:val="clear" w:color="auto" w:fill="FFFFFF" w:themeFill="background1"/>
          </w:tcPr>
          <w:p w14:paraId="4DC42C5F" w14:textId="77777777" w:rsidR="00005A3C" w:rsidRPr="006A0C48" w:rsidRDefault="00005A3C" w:rsidP="006726E6">
            <w:pPr>
              <w:spacing w:before="80" w:after="80"/>
              <w:jc w:val="left"/>
              <w:rPr>
                <w:szCs w:val="22"/>
              </w:rPr>
            </w:pPr>
            <w:r w:rsidRPr="006A0C48">
              <w:rPr>
                <w:szCs w:val="22"/>
              </w:rPr>
              <w:t>Species Status Index</w:t>
            </w:r>
          </w:p>
          <w:p w14:paraId="79E71B6A" w14:textId="77777777" w:rsidR="00005A3C" w:rsidRPr="006A0C48" w:rsidRDefault="00005A3C" w:rsidP="006726E6">
            <w:pPr>
              <w:spacing w:before="80" w:after="80"/>
              <w:jc w:val="left"/>
              <w:rPr>
                <w:szCs w:val="22"/>
              </w:rPr>
            </w:pPr>
            <w:r w:rsidRPr="006A0C48">
              <w:rPr>
                <w:szCs w:val="22"/>
              </w:rPr>
              <w:t xml:space="preserve">Extent to which (a) global citizenship education and (b) education for sustainable development, including gender equality and human rights, are </w:t>
            </w:r>
            <w:r w:rsidRPr="006A0C48">
              <w:rPr>
                <w:szCs w:val="22"/>
              </w:rPr>
              <w:lastRenderedPageBreak/>
              <w:t xml:space="preserve">mainstreamed at all levels in: (i) national education policies, (ii) curricula, (iii) teacher education and (iv) student assessments </w:t>
            </w:r>
          </w:p>
          <w:p w14:paraId="3213A8B8" w14:textId="77777777" w:rsidR="00005A3C" w:rsidRPr="006A0C48" w:rsidRDefault="00005A3C" w:rsidP="006726E6">
            <w:pPr>
              <w:spacing w:before="80" w:after="80"/>
              <w:jc w:val="left"/>
              <w:rPr>
                <w:szCs w:val="22"/>
              </w:rPr>
            </w:pPr>
          </w:p>
        </w:tc>
        <w:tc>
          <w:tcPr>
            <w:tcW w:w="5363" w:type="dxa"/>
            <w:shd w:val="clear" w:color="auto" w:fill="FFFFFF" w:themeFill="background1"/>
          </w:tcPr>
          <w:p w14:paraId="373C7462" w14:textId="77777777" w:rsidR="00005A3C" w:rsidRPr="006A0C48" w:rsidRDefault="00005A3C" w:rsidP="006726E6">
            <w:pPr>
              <w:spacing w:before="80" w:after="80"/>
              <w:jc w:val="left"/>
              <w:rPr>
                <w:szCs w:val="22"/>
              </w:rPr>
            </w:pPr>
            <w:r w:rsidRPr="006A0C48">
              <w:rPr>
                <w:szCs w:val="22"/>
              </w:rPr>
              <w:lastRenderedPageBreak/>
              <w:t>Growth in number of records and species in the Living Planet Index database</w:t>
            </w:r>
          </w:p>
          <w:p w14:paraId="2549AFC4" w14:textId="77777777" w:rsidR="00005A3C" w:rsidRPr="006A0C48" w:rsidRDefault="00005A3C" w:rsidP="006726E6">
            <w:pPr>
              <w:spacing w:before="80" w:after="80"/>
              <w:jc w:val="left"/>
              <w:rPr>
                <w:szCs w:val="22"/>
              </w:rPr>
            </w:pPr>
            <w:r w:rsidRPr="006A0C48">
              <w:rPr>
                <w:szCs w:val="22"/>
              </w:rPr>
              <w:t>Growth in species occurrence records accessible through the Global Biodiversity Information Facility</w:t>
            </w:r>
          </w:p>
          <w:p w14:paraId="16E8B5B7" w14:textId="77777777" w:rsidR="00005A3C" w:rsidRPr="006A0C48" w:rsidRDefault="00005A3C" w:rsidP="006726E6">
            <w:pPr>
              <w:spacing w:before="80" w:after="80"/>
              <w:jc w:val="left"/>
              <w:rPr>
                <w:szCs w:val="22"/>
              </w:rPr>
            </w:pPr>
            <w:r w:rsidRPr="006A0C48">
              <w:rPr>
                <w:szCs w:val="22"/>
              </w:rPr>
              <w:lastRenderedPageBreak/>
              <w:t>Growth in marine species occurrence records accessible through the Ocean Biodiversity Information System (OBIS)</w:t>
            </w:r>
          </w:p>
          <w:p w14:paraId="788FFA34" w14:textId="77777777" w:rsidR="00005A3C" w:rsidRPr="006A0C48" w:rsidRDefault="00005A3C" w:rsidP="006726E6">
            <w:pPr>
              <w:spacing w:before="80" w:after="80"/>
              <w:jc w:val="left"/>
              <w:rPr>
                <w:szCs w:val="22"/>
              </w:rPr>
            </w:pPr>
            <w:r w:rsidRPr="006A0C48">
              <w:rPr>
                <w:szCs w:val="22"/>
              </w:rPr>
              <w:t>Proportion of known species assessed through The IUCN Red List of Threatened Species™</w:t>
            </w:r>
          </w:p>
          <w:p w14:paraId="467E9D18" w14:textId="77777777" w:rsidR="00005A3C" w:rsidRPr="006A0C48" w:rsidRDefault="00005A3C" w:rsidP="006726E6">
            <w:pPr>
              <w:spacing w:before="80" w:after="80"/>
              <w:jc w:val="left"/>
              <w:rPr>
                <w:szCs w:val="22"/>
              </w:rPr>
            </w:pPr>
            <w:r w:rsidRPr="006A0C48">
              <w:rPr>
                <w:szCs w:val="22"/>
              </w:rPr>
              <w:t>Number of assessments on the IUCN Red List of Threatened Species™</w:t>
            </w:r>
          </w:p>
          <w:p w14:paraId="025D7378" w14:textId="77777777" w:rsidR="00005A3C" w:rsidRPr="006A0C48" w:rsidRDefault="00005A3C" w:rsidP="006726E6">
            <w:pPr>
              <w:spacing w:before="80" w:after="80"/>
              <w:jc w:val="left"/>
              <w:rPr>
                <w:szCs w:val="22"/>
              </w:rPr>
            </w:pPr>
            <w:r w:rsidRPr="006A0C48">
              <w:rPr>
                <w:szCs w:val="22"/>
              </w:rPr>
              <w:t>World Association of Zoos and Aquariums (WAZA) bio-literacy survey (Biodiversity literacy in global zoo and aquarium visitors)</w:t>
            </w:r>
          </w:p>
          <w:p w14:paraId="56237C96" w14:textId="77777777" w:rsidR="00005A3C" w:rsidRPr="006A0C48" w:rsidRDefault="00005A3C" w:rsidP="006726E6">
            <w:pPr>
              <w:spacing w:before="80" w:after="80"/>
              <w:jc w:val="left"/>
              <w:rPr>
                <w:szCs w:val="22"/>
              </w:rPr>
            </w:pPr>
            <w:r w:rsidRPr="006A0C48">
              <w:rPr>
                <w:szCs w:val="22"/>
              </w:rPr>
              <w:t>Species Status Information Index</w:t>
            </w:r>
          </w:p>
        </w:tc>
      </w:tr>
      <w:tr w:rsidR="00005A3C" w:rsidRPr="006A0C48" w14:paraId="6EDB6659" w14:textId="77777777" w:rsidTr="00967EE7">
        <w:trPr>
          <w:trHeight w:val="300"/>
        </w:trPr>
        <w:tc>
          <w:tcPr>
            <w:tcW w:w="846" w:type="dxa"/>
            <w:shd w:val="clear" w:color="auto" w:fill="FFFFFF" w:themeFill="background1"/>
          </w:tcPr>
          <w:p w14:paraId="11339E80" w14:textId="77777777" w:rsidR="00005A3C" w:rsidRPr="006A0C48" w:rsidRDefault="00005A3C" w:rsidP="00BC5121">
            <w:pPr>
              <w:spacing w:before="80" w:after="80"/>
              <w:rPr>
                <w:szCs w:val="22"/>
              </w:rPr>
            </w:pPr>
            <w:r w:rsidRPr="006A0C48">
              <w:rPr>
                <w:szCs w:val="22"/>
              </w:rPr>
              <w:lastRenderedPageBreak/>
              <w:t>22</w:t>
            </w:r>
            <w:r w:rsidRPr="006A0C48">
              <w:rPr>
                <w:b/>
                <w:bCs/>
                <w:szCs w:val="22"/>
                <w:vertAlign w:val="superscript"/>
              </w:rPr>
              <w:t>b</w:t>
            </w:r>
          </w:p>
        </w:tc>
        <w:tc>
          <w:tcPr>
            <w:tcW w:w="3260" w:type="dxa"/>
            <w:shd w:val="clear" w:color="auto" w:fill="FFFFFF" w:themeFill="background1"/>
          </w:tcPr>
          <w:p w14:paraId="045453E5" w14:textId="77777777" w:rsidR="00005A3C" w:rsidRPr="006A0C48" w:rsidRDefault="00005A3C" w:rsidP="00BC5121">
            <w:pPr>
              <w:spacing w:before="80" w:after="80"/>
              <w:rPr>
                <w:szCs w:val="22"/>
              </w:rPr>
            </w:pPr>
            <w:r w:rsidRPr="006A0C48">
              <w:rPr>
                <w:szCs w:val="22"/>
              </w:rPr>
              <w:t>-</w:t>
            </w:r>
          </w:p>
        </w:tc>
        <w:tc>
          <w:tcPr>
            <w:tcW w:w="3567" w:type="dxa"/>
            <w:shd w:val="clear" w:color="auto" w:fill="FFFFFF" w:themeFill="background1"/>
          </w:tcPr>
          <w:p w14:paraId="32231EEE" w14:textId="77777777" w:rsidR="00005A3C" w:rsidRPr="006A0C48" w:rsidRDefault="00005A3C" w:rsidP="006726E6">
            <w:pPr>
              <w:spacing w:before="80" w:after="80"/>
              <w:jc w:val="left"/>
              <w:rPr>
                <w:szCs w:val="22"/>
              </w:rPr>
            </w:pPr>
            <w:r w:rsidRPr="006A0C48">
              <w:rPr>
                <w:szCs w:val="22"/>
              </w:rPr>
              <w:t xml:space="preserve">Proportion of total adult population with secure tenure rights to land, (a) with legally recognized documentation, and (b) who perceive their rights to land as secure, by sex and type of tenure </w:t>
            </w:r>
          </w:p>
        </w:tc>
        <w:tc>
          <w:tcPr>
            <w:tcW w:w="5363" w:type="dxa"/>
            <w:shd w:val="clear" w:color="auto" w:fill="FFFFFF" w:themeFill="background1"/>
          </w:tcPr>
          <w:p w14:paraId="086666C8" w14:textId="77777777" w:rsidR="00005A3C" w:rsidRPr="006A0C48" w:rsidRDefault="00005A3C" w:rsidP="006726E6">
            <w:pPr>
              <w:spacing w:before="80" w:after="80"/>
              <w:jc w:val="left"/>
              <w:rPr>
                <w:szCs w:val="22"/>
              </w:rPr>
            </w:pPr>
            <w:r w:rsidRPr="006A0C48">
              <w:rPr>
                <w:szCs w:val="22"/>
              </w:rPr>
              <w:t>Percentage of positions in national and local institutions, including: (a) the legislatures; (b) the public service; and (c) the judiciary, compared to national distributions, by sex, age, persons with disabilities and population groups</w:t>
            </w:r>
          </w:p>
          <w:p w14:paraId="5B81C3B9" w14:textId="77777777" w:rsidR="00005A3C" w:rsidRPr="006A0C48" w:rsidRDefault="00005A3C" w:rsidP="006726E6">
            <w:pPr>
              <w:spacing w:before="80" w:after="80"/>
              <w:jc w:val="left"/>
              <w:rPr>
                <w:szCs w:val="22"/>
              </w:rPr>
            </w:pPr>
            <w:r w:rsidRPr="006A0C48">
              <w:rPr>
                <w:szCs w:val="22"/>
              </w:rPr>
              <w:t xml:space="preserve">Number of countries with systems to track and make public allocations for gender equality and women’s empowerment </w:t>
            </w:r>
          </w:p>
          <w:p w14:paraId="1C3E6B79" w14:textId="77777777" w:rsidR="00005A3C" w:rsidRPr="006A0C48" w:rsidRDefault="00005A3C" w:rsidP="006726E6">
            <w:pPr>
              <w:spacing w:before="80" w:after="80"/>
              <w:jc w:val="left"/>
              <w:rPr>
                <w:szCs w:val="22"/>
              </w:rPr>
            </w:pPr>
            <w:r w:rsidRPr="006A0C48">
              <w:rPr>
                <w:szCs w:val="22"/>
              </w:rPr>
              <w:t>Proportion of total agricultural population with ownership or secure tenure rights over agricultural land, by sex; and share of women among owners or rights-bearers of agricultural land, by type of tenure</w:t>
            </w:r>
          </w:p>
          <w:p w14:paraId="21ADBD94" w14:textId="77777777" w:rsidR="00005A3C" w:rsidRPr="006A0C48" w:rsidRDefault="00005A3C" w:rsidP="006726E6">
            <w:pPr>
              <w:spacing w:before="80" w:after="80"/>
              <w:jc w:val="left"/>
              <w:rPr>
                <w:szCs w:val="22"/>
              </w:rPr>
            </w:pPr>
            <w:r w:rsidRPr="006A0C48">
              <w:rPr>
                <w:szCs w:val="22"/>
              </w:rPr>
              <w:t>Number of countries where the legal framework (including customary law) guarantees women’s equal rights to land ownership and/or control</w:t>
            </w:r>
          </w:p>
          <w:p w14:paraId="214E8838" w14:textId="77777777" w:rsidR="00005A3C" w:rsidRPr="006A0C48" w:rsidRDefault="00005A3C" w:rsidP="006726E6">
            <w:pPr>
              <w:spacing w:before="80" w:after="80"/>
              <w:jc w:val="left"/>
              <w:rPr>
                <w:szCs w:val="22"/>
              </w:rPr>
            </w:pPr>
            <w:r w:rsidRPr="006A0C48">
              <w:rPr>
                <w:szCs w:val="22"/>
              </w:rPr>
              <w:t>Number of protected areas that have completed a site-level assessment of governance and equity (SAGE)</w:t>
            </w:r>
          </w:p>
          <w:p w14:paraId="5CCCA1B0" w14:textId="77777777" w:rsidR="00005A3C" w:rsidRPr="006A0C48" w:rsidRDefault="00005A3C" w:rsidP="006726E6">
            <w:pPr>
              <w:spacing w:before="80" w:after="80"/>
              <w:jc w:val="left"/>
              <w:rPr>
                <w:szCs w:val="22"/>
              </w:rPr>
            </w:pPr>
            <w:r w:rsidRPr="006A0C48">
              <w:rPr>
                <w:szCs w:val="22"/>
              </w:rPr>
              <w:t xml:space="preserve">Trends in number of environmental human rights defenders killed annually, disaggregated by country and </w:t>
            </w:r>
            <w:r w:rsidRPr="006A0C48">
              <w:rPr>
                <w:szCs w:val="22"/>
              </w:rPr>
              <w:lastRenderedPageBreak/>
              <w:t>gender; and number of indigenous environmental human rights defenders killed</w:t>
            </w:r>
          </w:p>
          <w:p w14:paraId="3163B282" w14:textId="77777777" w:rsidR="00005A3C" w:rsidRPr="006A0C48" w:rsidRDefault="00005A3C" w:rsidP="006726E6">
            <w:pPr>
              <w:spacing w:before="80" w:after="80"/>
              <w:jc w:val="left"/>
              <w:rPr>
                <w:rFonts w:asciiTheme="majorBidi" w:hAnsiTheme="majorBidi" w:cstheme="majorBidi"/>
                <w:bCs/>
                <w:szCs w:val="22"/>
              </w:rPr>
            </w:pPr>
            <w:r w:rsidRPr="006A0C48">
              <w:rPr>
                <w:rFonts w:asciiTheme="majorBidi" w:hAnsiTheme="majorBidi" w:cstheme="majorBidi"/>
                <w:bCs/>
                <w:szCs w:val="22"/>
              </w:rPr>
              <w:t>Land tenure of indigenous peoples and local communities by sex and type of tenure</w:t>
            </w:r>
          </w:p>
          <w:p w14:paraId="58C3E956" w14:textId="77777777" w:rsidR="00005A3C" w:rsidRPr="006A0C48" w:rsidRDefault="00005A3C" w:rsidP="006726E6">
            <w:pPr>
              <w:spacing w:before="80" w:after="80"/>
              <w:jc w:val="left"/>
              <w:rPr>
                <w:szCs w:val="22"/>
              </w:rPr>
            </w:pPr>
            <w:r w:rsidRPr="006A0C48">
              <w:rPr>
                <w:szCs w:val="22"/>
              </w:rPr>
              <w:t>Proportion of population who believe decision-making is inclusive and responsive, by sex, age, disability and population group</w:t>
            </w:r>
          </w:p>
        </w:tc>
      </w:tr>
      <w:tr w:rsidR="00005A3C" w:rsidRPr="006A0C48" w14:paraId="18BF8D33" w14:textId="77777777" w:rsidTr="00967EE7">
        <w:trPr>
          <w:trHeight w:val="300"/>
        </w:trPr>
        <w:tc>
          <w:tcPr>
            <w:tcW w:w="846" w:type="dxa"/>
            <w:shd w:val="clear" w:color="auto" w:fill="FFFFFF" w:themeFill="background1"/>
          </w:tcPr>
          <w:p w14:paraId="71F269ED" w14:textId="77777777" w:rsidR="00005A3C" w:rsidRPr="006A0C48" w:rsidRDefault="00005A3C" w:rsidP="00BC5121">
            <w:pPr>
              <w:spacing w:before="80" w:after="80"/>
              <w:rPr>
                <w:szCs w:val="22"/>
              </w:rPr>
            </w:pPr>
            <w:r w:rsidRPr="006A0C48">
              <w:rPr>
                <w:szCs w:val="22"/>
              </w:rPr>
              <w:lastRenderedPageBreak/>
              <w:t>23</w:t>
            </w:r>
            <w:r w:rsidRPr="006A0C48">
              <w:rPr>
                <w:b/>
                <w:bCs/>
                <w:szCs w:val="22"/>
                <w:vertAlign w:val="superscript"/>
              </w:rPr>
              <w:t>b</w:t>
            </w:r>
          </w:p>
        </w:tc>
        <w:tc>
          <w:tcPr>
            <w:tcW w:w="3260" w:type="dxa"/>
            <w:shd w:val="clear" w:color="auto" w:fill="FFFFFF" w:themeFill="background1"/>
          </w:tcPr>
          <w:p w14:paraId="7BD6A434" w14:textId="77777777" w:rsidR="00005A3C" w:rsidRPr="006A0C48" w:rsidRDefault="00005A3C" w:rsidP="00BC5121">
            <w:pPr>
              <w:spacing w:before="80" w:after="80"/>
              <w:rPr>
                <w:szCs w:val="22"/>
              </w:rPr>
            </w:pPr>
            <w:r w:rsidRPr="006A0C48">
              <w:rPr>
                <w:szCs w:val="22"/>
              </w:rPr>
              <w:t>-</w:t>
            </w:r>
          </w:p>
        </w:tc>
        <w:tc>
          <w:tcPr>
            <w:tcW w:w="3567" w:type="dxa"/>
            <w:shd w:val="clear" w:color="auto" w:fill="FFFFFF" w:themeFill="background1"/>
          </w:tcPr>
          <w:p w14:paraId="74664983" w14:textId="77777777" w:rsidR="00005A3C" w:rsidRPr="006A0C48" w:rsidRDefault="00005A3C" w:rsidP="006726E6">
            <w:pPr>
              <w:spacing w:before="80" w:after="80"/>
              <w:jc w:val="left"/>
              <w:rPr>
                <w:szCs w:val="22"/>
              </w:rPr>
            </w:pPr>
            <w:r w:rsidRPr="006A0C48">
              <w:rPr>
                <w:szCs w:val="22"/>
              </w:rPr>
              <w:t xml:space="preserve">Proportion of seats held by women in (a) national parliaments and (b) local governments </w:t>
            </w:r>
          </w:p>
          <w:p w14:paraId="131F12B7" w14:textId="77777777" w:rsidR="00005A3C" w:rsidRPr="006A0C48" w:rsidRDefault="00005A3C" w:rsidP="006726E6">
            <w:pPr>
              <w:spacing w:before="80" w:after="80"/>
              <w:jc w:val="left"/>
              <w:rPr>
                <w:szCs w:val="22"/>
              </w:rPr>
            </w:pPr>
            <w:r w:rsidRPr="006A0C48">
              <w:rPr>
                <w:szCs w:val="22"/>
              </w:rPr>
              <w:t>Indicator on national implementation of the Gender Plan of Action</w:t>
            </w:r>
          </w:p>
          <w:p w14:paraId="2A1DAE27" w14:textId="77777777" w:rsidR="00005A3C" w:rsidRPr="006A0C48" w:rsidRDefault="00005A3C" w:rsidP="006726E6">
            <w:pPr>
              <w:spacing w:before="80" w:after="80"/>
              <w:jc w:val="left"/>
              <w:rPr>
                <w:szCs w:val="22"/>
              </w:rPr>
            </w:pPr>
            <w:r w:rsidRPr="006A0C48">
              <w:rPr>
                <w:szCs w:val="22"/>
              </w:rPr>
              <w:t>Proportion of total adult population with secure tenure rights to land, (a) with legally recognized documentation; and (b) who perceive their rights to land as secure, by sex and type of tenure</w:t>
            </w:r>
          </w:p>
        </w:tc>
        <w:tc>
          <w:tcPr>
            <w:tcW w:w="5363" w:type="dxa"/>
            <w:shd w:val="clear" w:color="auto" w:fill="FFFFFF" w:themeFill="background1"/>
          </w:tcPr>
          <w:p w14:paraId="4FAEE66F" w14:textId="77777777" w:rsidR="00005A3C" w:rsidRPr="006A0C48" w:rsidRDefault="00005A3C" w:rsidP="006726E6">
            <w:pPr>
              <w:spacing w:before="80" w:after="80"/>
              <w:jc w:val="left"/>
              <w:rPr>
                <w:szCs w:val="22"/>
              </w:rPr>
            </w:pPr>
            <w:r w:rsidRPr="006A0C48">
              <w:rPr>
                <w:szCs w:val="22"/>
              </w:rPr>
              <w:t>Percentage of positions in national and local institutions, including: (a) the legislatures; (b) the public service; and (c) the judiciary, compared to national distributions, by sex, age, persons with disabilities and population groups</w:t>
            </w:r>
          </w:p>
          <w:p w14:paraId="03CB091E" w14:textId="77777777" w:rsidR="00005A3C" w:rsidRPr="006A0C48" w:rsidRDefault="00005A3C" w:rsidP="006726E6">
            <w:pPr>
              <w:spacing w:before="80" w:after="80"/>
              <w:jc w:val="left"/>
              <w:rPr>
                <w:szCs w:val="22"/>
              </w:rPr>
            </w:pPr>
            <w:r w:rsidRPr="006A0C48">
              <w:rPr>
                <w:szCs w:val="22"/>
              </w:rPr>
              <w:t xml:space="preserve">Proportion of total agricultural population with ownership or secure rights over agricultural land, by sex; and share of women among owners or rights-bearers of agricultural land, by type of tenure </w:t>
            </w:r>
          </w:p>
          <w:p w14:paraId="1F2980BE" w14:textId="77777777" w:rsidR="00005A3C" w:rsidRPr="006A0C48" w:rsidRDefault="00005A3C" w:rsidP="006726E6">
            <w:pPr>
              <w:spacing w:before="80" w:after="80"/>
              <w:jc w:val="left"/>
              <w:rPr>
                <w:szCs w:val="22"/>
              </w:rPr>
            </w:pPr>
            <w:r w:rsidRPr="006A0C48">
              <w:rPr>
                <w:szCs w:val="22"/>
              </w:rPr>
              <w:t xml:space="preserve">Number of countries with systems to track and make public allocations for gender equality and women’s empowerment </w:t>
            </w:r>
          </w:p>
          <w:p w14:paraId="163CBF62" w14:textId="77777777" w:rsidR="00005A3C" w:rsidRPr="006A0C48" w:rsidRDefault="00005A3C" w:rsidP="006726E6">
            <w:pPr>
              <w:spacing w:before="80" w:after="80"/>
              <w:jc w:val="left"/>
              <w:rPr>
                <w:szCs w:val="22"/>
              </w:rPr>
            </w:pPr>
            <w:r w:rsidRPr="006A0C48">
              <w:rPr>
                <w:szCs w:val="22"/>
              </w:rPr>
              <w:t>Number of protected areas that have completed a site-level assessment of governance and equity (SAGE)</w:t>
            </w:r>
          </w:p>
          <w:p w14:paraId="3386DB95" w14:textId="77777777" w:rsidR="00005A3C" w:rsidRPr="006A0C48" w:rsidRDefault="00005A3C" w:rsidP="006726E6">
            <w:pPr>
              <w:spacing w:before="80" w:after="80"/>
              <w:jc w:val="left"/>
              <w:rPr>
                <w:szCs w:val="22"/>
              </w:rPr>
            </w:pPr>
            <w:r w:rsidRPr="006A0C48">
              <w:rPr>
                <w:szCs w:val="22"/>
              </w:rPr>
              <w:t>Percentage of population who believe decision</w:t>
            </w:r>
            <w:r w:rsidRPr="006A0C48">
              <w:rPr>
                <w:szCs w:val="22"/>
              </w:rPr>
              <w:noBreakHyphen/>
              <w:t>making is inclusive and responsive, by sex, age, disability and population group</w:t>
            </w:r>
          </w:p>
          <w:p w14:paraId="57A2B9D2" w14:textId="77777777" w:rsidR="00005A3C" w:rsidRPr="006A0C48" w:rsidRDefault="00005A3C" w:rsidP="006726E6">
            <w:pPr>
              <w:spacing w:before="80" w:after="80"/>
              <w:jc w:val="left"/>
              <w:rPr>
                <w:szCs w:val="22"/>
              </w:rPr>
            </w:pPr>
            <w:r w:rsidRPr="006A0C48">
              <w:rPr>
                <w:szCs w:val="22"/>
              </w:rPr>
              <w:t xml:space="preserve">Proportion of countries where the legal framework (including customary law) guarantees women’s equal rights to land ownership and/or control </w:t>
            </w:r>
          </w:p>
        </w:tc>
      </w:tr>
    </w:tbl>
    <w:p w14:paraId="0798A430" w14:textId="77777777" w:rsidR="00005A3C" w:rsidRPr="006A0C48" w:rsidRDefault="00005A3C" w:rsidP="00BC5121">
      <w:pPr>
        <w:spacing w:after="120"/>
        <w:rPr>
          <w:rFonts w:eastAsia="DengXian"/>
          <w:sz w:val="20"/>
          <w:szCs w:val="20"/>
        </w:rPr>
        <w:sectPr w:rsidR="00005A3C" w:rsidRPr="006A0C48" w:rsidSect="00877CF8">
          <w:pgSz w:w="15840" w:h="12240" w:orient="landscape"/>
          <w:pgMar w:top="1440" w:right="1440" w:bottom="1327" w:left="1440" w:header="720" w:footer="720" w:gutter="0"/>
          <w:cols w:space="720"/>
          <w:docGrid w:linePitch="360"/>
        </w:sectPr>
      </w:pPr>
    </w:p>
    <w:p w14:paraId="05DF83EE" w14:textId="77777777" w:rsidR="00005A3C" w:rsidRPr="006A0C48" w:rsidRDefault="00005A3C" w:rsidP="00A718E7">
      <w:pPr>
        <w:spacing w:after="120"/>
        <w:jc w:val="center"/>
        <w:rPr>
          <w:rFonts w:asciiTheme="majorBidi" w:hAnsiTheme="majorBidi" w:cstheme="majorBidi"/>
          <w:i/>
          <w:iCs/>
          <w:snapToGrid w:val="0"/>
          <w:szCs w:val="22"/>
        </w:rPr>
      </w:pPr>
      <w:r w:rsidRPr="006A0C48">
        <w:rPr>
          <w:rFonts w:asciiTheme="majorBidi" w:hAnsiTheme="majorBidi" w:cstheme="majorBidi"/>
          <w:i/>
          <w:iCs/>
          <w:snapToGrid w:val="0"/>
          <w:szCs w:val="22"/>
        </w:rPr>
        <w:lastRenderedPageBreak/>
        <w:t>Annex II</w:t>
      </w:r>
    </w:p>
    <w:p w14:paraId="6AD507AB" w14:textId="77777777" w:rsidR="00005A3C" w:rsidRPr="006A0C48" w:rsidRDefault="00005A3C" w:rsidP="00A718E7">
      <w:pPr>
        <w:pStyle w:val="HEADINGNOTFORTOC"/>
        <w:outlineLvl w:val="9"/>
        <w:rPr>
          <w:szCs w:val="22"/>
        </w:rPr>
      </w:pPr>
      <w:bookmarkStart w:id="39" w:name="_Toc118354971"/>
      <w:r w:rsidRPr="006A0C48">
        <w:rPr>
          <w:szCs w:val="22"/>
        </w:rPr>
        <w:t xml:space="preserve">TERMS OF REFERENCE FOR THE AD HOC TECHNICAL EXPERT GROUP ON INDICATORS FOR THE </w:t>
      </w:r>
      <w:r w:rsidRPr="006A0C48">
        <w:rPr>
          <w:kern w:val="22"/>
        </w:rPr>
        <w:t xml:space="preserve">Kunming-Montreal </w:t>
      </w:r>
      <w:r w:rsidRPr="006A0C48">
        <w:rPr>
          <w:szCs w:val="22"/>
        </w:rPr>
        <w:t>GLOBAL BIODIVERSITY FRAMEWORK</w:t>
      </w:r>
      <w:bookmarkEnd w:id="39"/>
    </w:p>
    <w:p w14:paraId="09940C88"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1.</w:t>
      </w:r>
      <w:r w:rsidRPr="006A0C48">
        <w:rPr>
          <w:snapToGrid w:val="0"/>
          <w:kern w:val="22"/>
          <w:szCs w:val="22"/>
        </w:rPr>
        <w:tab/>
        <w:t>The Ad Hoc Technical Expert Group on Indicators will work:</w:t>
      </w:r>
    </w:p>
    <w:p w14:paraId="0FB175FB" w14:textId="77777777" w:rsidR="00005A3C" w:rsidRPr="006A0C48" w:rsidRDefault="00005A3C" w:rsidP="00950BE4">
      <w:pPr>
        <w:pStyle w:val="ListParagraph"/>
        <w:numPr>
          <w:ilvl w:val="0"/>
          <w:numId w:val="28"/>
        </w:numPr>
        <w:spacing w:before="120" w:after="120"/>
        <w:ind w:left="0" w:firstLine="839"/>
        <w:contextualSpacing w:val="0"/>
        <w:rPr>
          <w:rFonts w:eastAsia="Open Sans"/>
          <w:szCs w:val="22"/>
        </w:rPr>
      </w:pPr>
      <w:r w:rsidRPr="006A0C48">
        <w:rPr>
          <w:rFonts w:eastAsia="Arial"/>
          <w:szCs w:val="22"/>
        </w:rPr>
        <w:t>To provide technical advice on remaining and unresolved issues relating to the monitoring framework for the Kunming-Montreal Global Biodiversity Framework, as outlined by the Conference of the Parties at its fifteenth meeting, and to prioritize work on the following elements leading up to the sixteenth meeting of the Conference of the Parties:</w:t>
      </w:r>
    </w:p>
    <w:p w14:paraId="2607D6FB" w14:textId="77777777" w:rsidR="00005A3C" w:rsidRPr="006A0C48" w:rsidRDefault="00005A3C" w:rsidP="00950BE4">
      <w:pPr>
        <w:pStyle w:val="ListParagraph"/>
        <w:numPr>
          <w:ilvl w:val="0"/>
          <w:numId w:val="29"/>
        </w:numPr>
        <w:spacing w:before="120" w:after="120"/>
        <w:ind w:left="1434" w:hanging="357"/>
        <w:contextualSpacing w:val="0"/>
        <w:rPr>
          <w:rFonts w:eastAsia="Open Sans"/>
          <w:szCs w:val="22"/>
        </w:rPr>
      </w:pPr>
      <w:r w:rsidRPr="006A0C48">
        <w:rPr>
          <w:rFonts w:eastAsia="Calibri"/>
          <w:szCs w:val="22"/>
        </w:rPr>
        <w:t>Support the work to address critical gaps to improve the monitoring framework, in particular on headline indicators that do not have an existing methodology, and advise on their implementation at the national level. Attention should be paid to fill gaps under Goals B, C and D and Targets 2, 13 and 14 to 22, given the imbalance in available headline indicators and their interlinkages across the goals and targets of the Kunming-Montreal Global Biodiversity Framework;</w:t>
      </w:r>
    </w:p>
    <w:p w14:paraId="15CF28E3" w14:textId="77777777" w:rsidR="00005A3C" w:rsidRPr="006A0C48" w:rsidRDefault="00005A3C" w:rsidP="00950BE4">
      <w:pPr>
        <w:pStyle w:val="ListParagraph"/>
        <w:numPr>
          <w:ilvl w:val="0"/>
          <w:numId w:val="29"/>
        </w:numPr>
        <w:spacing w:before="120" w:after="120"/>
        <w:ind w:left="1434" w:hanging="357"/>
        <w:contextualSpacing w:val="0"/>
        <w:rPr>
          <w:rFonts w:eastAsia="Calibri"/>
          <w:szCs w:val="22"/>
        </w:rPr>
      </w:pPr>
      <w:r w:rsidRPr="006A0C48">
        <w:rPr>
          <w:rFonts w:eastAsia="Calibri"/>
          <w:szCs w:val="22"/>
        </w:rPr>
        <w:t xml:space="preserve">Support the identification of important aspects related to the disaggregation and aggregation for each headline indicator, as applicable, including any methodological improvements as appropriate; </w:t>
      </w:r>
    </w:p>
    <w:p w14:paraId="47604DCD" w14:textId="77777777" w:rsidR="00005A3C" w:rsidRPr="006A0C48" w:rsidRDefault="00005A3C" w:rsidP="00950BE4">
      <w:pPr>
        <w:pStyle w:val="ListParagraph"/>
        <w:numPr>
          <w:ilvl w:val="0"/>
          <w:numId w:val="29"/>
        </w:numPr>
        <w:spacing w:before="120" w:after="120"/>
        <w:ind w:left="1434" w:hanging="357"/>
        <w:contextualSpacing w:val="0"/>
        <w:rPr>
          <w:rFonts w:eastAsia="Calibri"/>
          <w:szCs w:val="22"/>
        </w:rPr>
      </w:pPr>
      <w:r w:rsidRPr="006A0C48">
        <w:rPr>
          <w:rFonts w:eastAsia="Calibri"/>
          <w:szCs w:val="22"/>
        </w:rPr>
        <w:t xml:space="preserve">Identify gaps in terms of the operationalization of each headline indicator, the management of data flows and advise on implementation at the national level; </w:t>
      </w:r>
    </w:p>
    <w:p w14:paraId="54959A4C" w14:textId="77777777" w:rsidR="00005A3C" w:rsidRPr="006A0C48" w:rsidRDefault="00005A3C" w:rsidP="00950BE4">
      <w:pPr>
        <w:pStyle w:val="ListParagraph"/>
        <w:numPr>
          <w:ilvl w:val="0"/>
          <w:numId w:val="29"/>
        </w:numPr>
        <w:spacing w:before="120" w:after="120"/>
        <w:ind w:left="1434" w:hanging="357"/>
        <w:contextualSpacing w:val="0"/>
        <w:rPr>
          <w:rFonts w:eastAsia="Calibri"/>
          <w:szCs w:val="22"/>
        </w:rPr>
      </w:pPr>
      <w:r w:rsidRPr="006A0C48">
        <w:rPr>
          <w:rFonts w:eastAsia="Calibri"/>
          <w:szCs w:val="22"/>
        </w:rPr>
        <w:t xml:space="preserve">Keep the list of binary, component and complementary indicators under review;   </w:t>
      </w:r>
    </w:p>
    <w:p w14:paraId="0A4D33DF" w14:textId="77777777" w:rsidR="00005A3C" w:rsidRPr="006A0C48" w:rsidRDefault="00005A3C" w:rsidP="00950BE4">
      <w:pPr>
        <w:pStyle w:val="ListParagraph"/>
        <w:numPr>
          <w:ilvl w:val="0"/>
          <w:numId w:val="29"/>
        </w:numPr>
        <w:spacing w:before="120" w:after="120"/>
        <w:ind w:left="1434" w:hanging="357"/>
        <w:contextualSpacing w:val="0"/>
        <w:rPr>
          <w:snapToGrid w:val="0"/>
          <w:kern w:val="22"/>
          <w:szCs w:val="22"/>
        </w:rPr>
      </w:pPr>
      <w:r w:rsidRPr="006A0C48">
        <w:rPr>
          <w:rFonts w:eastAsia="Open Sans"/>
          <w:szCs w:val="22"/>
        </w:rPr>
        <w:t>Advise on the wording of questions to construct binary indicators to be used in national reports</w:t>
      </w:r>
      <w:r w:rsidRPr="006A0C48">
        <w:rPr>
          <w:rFonts w:eastAsia="Open Sans"/>
          <w:color w:val="000000"/>
          <w:szCs w:val="22"/>
        </w:rPr>
        <w:t xml:space="preserve"> building upon table 1 below;</w:t>
      </w:r>
    </w:p>
    <w:p w14:paraId="4ECBB8D2" w14:textId="77777777" w:rsidR="00005A3C" w:rsidRPr="006A0C48" w:rsidRDefault="00005A3C" w:rsidP="00950BE4">
      <w:pPr>
        <w:pStyle w:val="ListParagraph"/>
        <w:numPr>
          <w:ilvl w:val="0"/>
          <w:numId w:val="28"/>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 xml:space="preserve">To provide </w:t>
      </w:r>
      <w:r w:rsidRPr="006A0C48">
        <w:rPr>
          <w:rFonts w:eastAsia="Arial"/>
          <w:szCs w:val="22"/>
        </w:rPr>
        <w:t>guidance</w:t>
      </w:r>
      <w:r w:rsidRPr="006A0C48">
        <w:rPr>
          <w:snapToGrid w:val="0"/>
          <w:color w:val="000000" w:themeColor="text1"/>
          <w:kern w:val="22"/>
          <w:szCs w:val="22"/>
        </w:rPr>
        <w:t xml:space="preserve"> to Parties on the use of indicators in national planning and reporting, including by reviewing how indicators are proposed for capture in the Online Reporting Tool for national reporting;</w:t>
      </w:r>
    </w:p>
    <w:p w14:paraId="787E1CB6" w14:textId="77777777" w:rsidR="00005A3C" w:rsidRPr="006A0C48" w:rsidRDefault="00005A3C" w:rsidP="00950BE4">
      <w:pPr>
        <w:pStyle w:val="ListParagraph"/>
        <w:numPr>
          <w:ilvl w:val="0"/>
          <w:numId w:val="28"/>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 xml:space="preserve">To provide </w:t>
      </w:r>
      <w:r w:rsidRPr="006A0C48">
        <w:rPr>
          <w:rFonts w:eastAsia="Arial"/>
          <w:szCs w:val="22"/>
        </w:rPr>
        <w:t>guidance</w:t>
      </w:r>
      <w:r w:rsidRPr="006A0C48">
        <w:rPr>
          <w:snapToGrid w:val="0"/>
          <w:color w:val="000000" w:themeColor="text1"/>
          <w:kern w:val="22"/>
          <w:szCs w:val="22"/>
        </w:rPr>
        <w:t xml:space="preserve"> to Parties on ways to fill temporal and spatial data gaps, including through the use of big data, citizen science, community-based monitoring and information systems, remote sensing, modelling and statistical analysis, and other forms of data and other knowledge systems, recognizing the specific challenges faced by developing country Parties to develop and access information tools;</w:t>
      </w:r>
    </w:p>
    <w:p w14:paraId="19207CD0" w14:textId="77777777" w:rsidR="00005A3C" w:rsidRPr="006A0C48" w:rsidRDefault="00005A3C" w:rsidP="00950BE4">
      <w:pPr>
        <w:pStyle w:val="ListParagraph"/>
        <w:numPr>
          <w:ilvl w:val="0"/>
          <w:numId w:val="28"/>
        </w:numPr>
        <w:spacing w:before="120" w:after="120"/>
        <w:ind w:left="0" w:firstLine="839"/>
        <w:contextualSpacing w:val="0"/>
        <w:rPr>
          <w:snapToGrid w:val="0"/>
          <w:color w:val="000000" w:themeColor="text1"/>
          <w:kern w:val="22"/>
          <w:szCs w:val="22"/>
        </w:rPr>
      </w:pPr>
      <w:r w:rsidRPr="006A0C48">
        <w:rPr>
          <w:snapToGrid w:val="0"/>
          <w:kern w:val="22"/>
          <w:szCs w:val="22"/>
        </w:rPr>
        <w:t xml:space="preserve">To provide </w:t>
      </w:r>
      <w:r w:rsidRPr="006A0C48">
        <w:rPr>
          <w:rFonts w:eastAsia="Arial"/>
          <w:szCs w:val="22"/>
        </w:rPr>
        <w:t>advice</w:t>
      </w:r>
      <w:r w:rsidRPr="006A0C48">
        <w:rPr>
          <w:snapToGrid w:val="0"/>
          <w:kern w:val="22"/>
          <w:szCs w:val="22"/>
        </w:rPr>
        <w:t xml:space="preserve"> on the existing capacity, gaps and needs in terms of capacity development, technology transfer and financing needs related to the monitoring of the Kunming-Montreal Global Biodiversity Framework</w:t>
      </w:r>
      <w:r w:rsidRPr="006A0C48">
        <w:rPr>
          <w:szCs w:val="22"/>
        </w:rPr>
        <w:t>.</w:t>
      </w:r>
    </w:p>
    <w:p w14:paraId="0E60F36F"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2.</w:t>
      </w:r>
      <w:r w:rsidRPr="006A0C48">
        <w:rPr>
          <w:snapToGrid w:val="0"/>
          <w:kern w:val="22"/>
          <w:szCs w:val="22"/>
        </w:rPr>
        <w:tab/>
        <w:t>The Ad Hoc Technical Expert Group will take into account:</w:t>
      </w:r>
    </w:p>
    <w:p w14:paraId="3867A1D2" w14:textId="77777777" w:rsidR="00005A3C" w:rsidRPr="006A0C48" w:rsidRDefault="00005A3C"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(a)</w:t>
      </w:r>
      <w:r w:rsidRPr="006A0C48">
        <w:rPr>
          <w:snapToGrid w:val="0"/>
          <w:kern w:val="22"/>
          <w:szCs w:val="22"/>
        </w:rPr>
        <w:tab/>
        <w:t>Previous work and experience under the Convention and other relevant programmes of work concerning indicators and monitoring;</w:t>
      </w:r>
    </w:p>
    <w:p w14:paraId="7AB7CD7A" w14:textId="77777777" w:rsidR="00005A3C" w:rsidRPr="006A0C48" w:rsidRDefault="00005A3C"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(b)</w:t>
      </w:r>
      <w:r w:rsidRPr="006A0C48">
        <w:rPr>
          <w:snapToGrid w:val="0"/>
          <w:color w:val="000000" w:themeColor="text1"/>
          <w:kern w:val="22"/>
          <w:szCs w:val="22"/>
        </w:rPr>
        <w:tab/>
        <w:t>Statistical standards and development under the Statistical Commission or other statistical offices;</w:t>
      </w:r>
    </w:p>
    <w:p w14:paraId="7852B981" w14:textId="77777777" w:rsidR="00005A3C" w:rsidRPr="006A0C48" w:rsidRDefault="00005A3C"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(c)</w:t>
      </w:r>
      <w:r w:rsidRPr="006A0C48">
        <w:rPr>
          <w:snapToGrid w:val="0"/>
          <w:color w:val="000000" w:themeColor="text1"/>
          <w:kern w:val="22"/>
          <w:szCs w:val="22"/>
        </w:rPr>
        <w:tab/>
        <w:t>Previous work and experience with other relevant global, regional, national and subnational monitoring frameworks, multilateral environment agreements, and knowledge systems;</w:t>
      </w:r>
    </w:p>
    <w:p w14:paraId="18A37131" w14:textId="77777777" w:rsidR="00005A3C" w:rsidRPr="006A0C48" w:rsidRDefault="00005A3C"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(d)</w:t>
      </w:r>
      <w:r w:rsidRPr="006A0C48">
        <w:rPr>
          <w:snapToGrid w:val="0"/>
          <w:kern w:val="22"/>
          <w:szCs w:val="22"/>
        </w:rPr>
        <w:tab/>
        <w:t>Recent developments and information on issues related to the indicators, their metadata and baselines.</w:t>
      </w:r>
    </w:p>
    <w:p w14:paraId="513A2ADC"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lastRenderedPageBreak/>
        <w:t>3.</w:t>
      </w:r>
      <w:r w:rsidRPr="006A0C48">
        <w:rPr>
          <w:snapToGrid w:val="0"/>
          <w:kern w:val="22"/>
          <w:szCs w:val="22"/>
        </w:rPr>
        <w:tab/>
        <w:t>The Ad Hoc Technical Expert Group will be composed of 30 technical experts nominated by Parties, including experts on statistics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and ensuring balance in expertise on all aspects of the goals and targets of the Kunming-Montreal Global Biodiversity Framework, also taking into account geographical representation, and the representation of indigenous peoples and local communities, women’s and youth groups, and major stakeholders, gender balance and the special conditions of developing countries, in particular the least developed countries and small island developing States, and countries with economies in transition, also taking into consideration the special situation of developing countries that are most environmentally vulnerable, such as those with arid and semi-arid zones, coastal and mountainous area.</w:t>
      </w:r>
    </w:p>
    <w:p w14:paraId="3F8B0D64"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4.</w:t>
      </w:r>
      <w:r w:rsidRPr="006A0C48">
        <w:rPr>
          <w:snapToGrid w:val="0"/>
          <w:kern w:val="22"/>
          <w:szCs w:val="22"/>
        </w:rPr>
        <w:tab/>
        <w:t>The Ad Hoc Technical Expert Group will nominate two co-chairs from among the selected experts.</w:t>
      </w:r>
    </w:p>
    <w:p w14:paraId="548D9C81"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5.</w:t>
      </w:r>
      <w:r w:rsidRPr="006A0C48">
        <w:rPr>
          <w:snapToGrid w:val="0"/>
          <w:kern w:val="22"/>
          <w:szCs w:val="22"/>
        </w:rPr>
        <w:tab/>
        <w:t>The Chair of the Subsidiary Body on Scientific, Technical and Technological Advice will be invited to participate, ex officio, in the Ad Hoc Technical Expert Group.</w:t>
      </w:r>
    </w:p>
    <w:p w14:paraId="57B9DF46"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6.</w:t>
      </w:r>
      <w:r w:rsidRPr="006A0C48">
        <w:rPr>
          <w:snapToGrid w:val="0"/>
          <w:kern w:val="22"/>
          <w:szCs w:val="22"/>
        </w:rPr>
        <w:tab/>
        <w:t>The Ad Hoc Technical Expert Group may also invite other experts, as appropriate, to contribute their expertise and experiences on specific issues related to the terms of reference of the Ad Hoc Technical Expert Group.</w:t>
      </w:r>
    </w:p>
    <w:p w14:paraId="10B7552D"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7.</w:t>
      </w:r>
      <w:r w:rsidRPr="006A0C48">
        <w:rPr>
          <w:snapToGrid w:val="0"/>
          <w:kern w:val="22"/>
          <w:szCs w:val="22"/>
        </w:rPr>
        <w:tab/>
        <w:t>The Ad Hoc Technical Expert Group will primarily conduct its work electronically and, subject to the availability of resources, will also meet physically, if possible, at least twice during the intersessional period.</w:t>
      </w:r>
    </w:p>
    <w:p w14:paraId="644B6388" w14:textId="77777777" w:rsidR="00005A3C" w:rsidRPr="006A0C48"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color w:val="000000" w:themeColor="text1"/>
          <w:kern w:val="22"/>
          <w:szCs w:val="22"/>
        </w:rPr>
      </w:pPr>
      <w:r w:rsidRPr="006A0C48">
        <w:rPr>
          <w:snapToGrid w:val="0"/>
          <w:color w:val="000000" w:themeColor="text1"/>
          <w:kern w:val="22"/>
          <w:szCs w:val="22"/>
        </w:rPr>
        <w:t>8.</w:t>
      </w:r>
      <w:r w:rsidRPr="006A0C48">
        <w:rPr>
          <w:snapToGrid w:val="0"/>
          <w:color w:val="000000" w:themeColor="text1"/>
          <w:kern w:val="22"/>
          <w:szCs w:val="22"/>
        </w:rPr>
        <w:tab/>
        <w:t>The Ad Hoc Technical Expert Group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3B363D7C" w14:textId="77777777" w:rsidR="00005A3C" w:rsidRPr="006A0C48" w:rsidRDefault="00005A3C" w:rsidP="00BC5121">
      <w:pPr>
        <w:jc w:val="center"/>
        <w:rPr>
          <w:rFonts w:asciiTheme="majorBidi" w:hAnsiTheme="majorBidi" w:cstheme="majorBidi"/>
          <w:i/>
          <w:iCs/>
          <w:sz w:val="20"/>
          <w:szCs w:val="20"/>
        </w:rPr>
      </w:pPr>
    </w:p>
    <w:p w14:paraId="2AE19929" w14:textId="77777777" w:rsidR="00005A3C" w:rsidRPr="006A0C48" w:rsidRDefault="00005A3C" w:rsidP="00A718E7">
      <w:pPr>
        <w:spacing w:after="120"/>
        <w:jc w:val="left"/>
        <w:rPr>
          <w:bCs/>
          <w:szCs w:val="22"/>
        </w:rPr>
      </w:pPr>
      <w:r w:rsidRPr="006A0C48">
        <w:rPr>
          <w:rFonts w:asciiTheme="majorBidi" w:hAnsiTheme="majorBidi" w:cstheme="majorBidi"/>
          <w:b/>
          <w:bCs/>
          <w:szCs w:val="22"/>
        </w:rPr>
        <w:t xml:space="preserve">Table 1. </w:t>
      </w:r>
      <w:bookmarkStart w:id="40" w:name="_Toc118354969"/>
      <w:r w:rsidRPr="006A0C48">
        <w:rPr>
          <w:b/>
          <w:bCs/>
          <w:szCs w:val="22"/>
        </w:rPr>
        <w:t>Global scale indicators to be considered for further development by the Ad Hoc Technical Expert Group and collated from binary (yes/no) reporting from countries through national reports</w:t>
      </w:r>
      <w:bookmarkEnd w:id="40"/>
    </w:p>
    <w:p w14:paraId="2BBD8EF1" w14:textId="77777777" w:rsidR="00005A3C" w:rsidRPr="006A0C48" w:rsidRDefault="00005A3C" w:rsidP="00BC5121">
      <w:pPr>
        <w:rPr>
          <w:rFonts w:asciiTheme="majorBidi" w:hAnsiTheme="majorBidi" w:cstheme="majorBidi"/>
          <w:i/>
          <w:iCs/>
          <w:color w:val="000000"/>
          <w:kern w:val="22"/>
          <w:sz w:val="20"/>
          <w:szCs w:val="20"/>
        </w:rPr>
      </w:pPr>
      <w:r w:rsidRPr="006A0C48">
        <w:rPr>
          <w:rFonts w:asciiTheme="majorBidi" w:hAnsiTheme="majorBidi" w:cstheme="majorBidi"/>
          <w:i/>
          <w:iCs/>
          <w:color w:val="000000"/>
          <w:kern w:val="22"/>
          <w:sz w:val="20"/>
          <w:szCs w:val="20"/>
        </w:rPr>
        <w:t xml:space="preserve">Note: This table is being shared with the Ad Hoc Technical Expert Group as an indication of the types of binary indicators that might be considered. This text has not been agreed or negotiated. It is being shared for information only. </w:t>
      </w:r>
    </w:p>
    <w:p w14:paraId="22216D3F" w14:textId="77777777" w:rsidR="00005A3C" w:rsidRPr="006A0C48" w:rsidRDefault="00005A3C" w:rsidP="00BC5121">
      <w:pPr>
        <w:rPr>
          <w:rFonts w:asciiTheme="majorBidi" w:hAnsiTheme="majorBidi" w:cstheme="majorBidi"/>
          <w:color w:val="000000"/>
          <w:kern w:val="22"/>
          <w:sz w:val="20"/>
          <w:szCs w:val="20"/>
        </w:rPr>
      </w:pPr>
    </w:p>
    <w:tbl>
      <w:tblPr>
        <w:tblStyle w:val="TableGrid"/>
        <w:tblW w:w="9579" w:type="dxa"/>
        <w:tblLook w:val="04A0" w:firstRow="1" w:lastRow="0" w:firstColumn="1" w:lastColumn="0" w:noHBand="0" w:noVBand="1"/>
      </w:tblPr>
      <w:tblGrid>
        <w:gridCol w:w="1075"/>
        <w:gridCol w:w="8504"/>
      </w:tblGrid>
      <w:tr w:rsidR="00005A3C" w:rsidRPr="006A0C48" w14:paraId="69D4B790" w14:textId="77777777" w:rsidTr="00B00692">
        <w:trPr>
          <w:trHeight w:val="300"/>
          <w:tblHeader/>
        </w:trPr>
        <w:tc>
          <w:tcPr>
            <w:tcW w:w="1075" w:type="dxa"/>
            <w:shd w:val="clear" w:color="auto" w:fill="auto"/>
          </w:tcPr>
          <w:p w14:paraId="7768DE7A" w14:textId="77777777" w:rsidR="00005A3C" w:rsidRPr="006A0C48" w:rsidRDefault="00005A3C" w:rsidP="006726E6">
            <w:pPr>
              <w:spacing w:before="40" w:after="40"/>
              <w:jc w:val="left"/>
              <w:rPr>
                <w:b/>
                <w:bCs/>
                <w:szCs w:val="22"/>
              </w:rPr>
            </w:pPr>
            <w:r w:rsidRPr="006A0C48">
              <w:rPr>
                <w:b/>
                <w:bCs/>
                <w:szCs w:val="22"/>
              </w:rPr>
              <w:t>1. Goal/ Target</w:t>
            </w:r>
          </w:p>
        </w:tc>
        <w:tc>
          <w:tcPr>
            <w:tcW w:w="8504" w:type="dxa"/>
            <w:shd w:val="clear" w:color="auto" w:fill="auto"/>
          </w:tcPr>
          <w:p w14:paraId="0D2BF14C" w14:textId="77777777" w:rsidR="00005A3C" w:rsidRPr="006A0C48" w:rsidRDefault="00005A3C" w:rsidP="00BC5121">
            <w:pPr>
              <w:spacing w:before="40" w:after="40"/>
              <w:rPr>
                <w:b/>
                <w:bCs/>
                <w:szCs w:val="22"/>
              </w:rPr>
            </w:pPr>
            <w:r w:rsidRPr="006A0C48">
              <w:rPr>
                <w:b/>
                <w:bCs/>
                <w:szCs w:val="22"/>
              </w:rPr>
              <w:t>2. Global indicator derived from binary reporting</w:t>
            </w:r>
          </w:p>
        </w:tc>
      </w:tr>
      <w:tr w:rsidR="00005A3C" w:rsidRPr="006A0C48" w14:paraId="272914C0" w14:textId="77777777" w:rsidTr="00B00692">
        <w:tc>
          <w:tcPr>
            <w:tcW w:w="1075" w:type="dxa"/>
            <w:shd w:val="clear" w:color="auto" w:fill="auto"/>
          </w:tcPr>
          <w:p w14:paraId="2093100B" w14:textId="77777777" w:rsidR="00005A3C" w:rsidRPr="006A0C48" w:rsidRDefault="00005A3C" w:rsidP="00BC5121">
            <w:pPr>
              <w:spacing w:before="40" w:after="40"/>
              <w:rPr>
                <w:szCs w:val="22"/>
              </w:rPr>
            </w:pPr>
            <w:r w:rsidRPr="006A0C48">
              <w:rPr>
                <w:szCs w:val="22"/>
              </w:rPr>
              <w:t>B</w:t>
            </w:r>
          </w:p>
        </w:tc>
        <w:tc>
          <w:tcPr>
            <w:tcW w:w="8504" w:type="dxa"/>
            <w:shd w:val="clear" w:color="auto" w:fill="auto"/>
          </w:tcPr>
          <w:p w14:paraId="44DB2BB8" w14:textId="77777777" w:rsidR="00005A3C" w:rsidRPr="006A0C48" w:rsidRDefault="00005A3C" w:rsidP="006726E6">
            <w:pPr>
              <w:spacing w:before="40" w:after="40"/>
              <w:jc w:val="left"/>
              <w:rPr>
                <w:color w:val="000000"/>
                <w:szCs w:val="22"/>
              </w:rPr>
            </w:pPr>
            <w:r w:rsidRPr="006A0C48">
              <w:rPr>
                <w:szCs w:val="22"/>
              </w:rPr>
              <w:t>Number of countries with national constitution or legislation recognizing and implementing and monitoring a right to a healthy environment</w:t>
            </w:r>
          </w:p>
        </w:tc>
      </w:tr>
      <w:tr w:rsidR="00005A3C" w:rsidRPr="006A0C48" w14:paraId="0F6A16B5" w14:textId="77777777" w:rsidTr="00B00692">
        <w:tc>
          <w:tcPr>
            <w:tcW w:w="1075" w:type="dxa"/>
            <w:shd w:val="clear" w:color="auto" w:fill="auto"/>
          </w:tcPr>
          <w:p w14:paraId="6E0DDA98" w14:textId="77777777" w:rsidR="00005A3C" w:rsidRPr="006A0C48" w:rsidRDefault="00005A3C" w:rsidP="00BC5121">
            <w:pPr>
              <w:spacing w:before="40" w:after="40"/>
              <w:rPr>
                <w:szCs w:val="22"/>
              </w:rPr>
            </w:pPr>
            <w:r w:rsidRPr="006A0C48">
              <w:rPr>
                <w:szCs w:val="22"/>
              </w:rPr>
              <w:t>1</w:t>
            </w:r>
          </w:p>
        </w:tc>
        <w:tc>
          <w:tcPr>
            <w:tcW w:w="8504" w:type="dxa"/>
            <w:shd w:val="clear" w:color="auto" w:fill="auto"/>
          </w:tcPr>
          <w:p w14:paraId="2487F90C" w14:textId="77777777" w:rsidR="00005A3C" w:rsidRPr="006A0C48" w:rsidRDefault="00005A3C" w:rsidP="006726E6">
            <w:pPr>
              <w:spacing w:before="40" w:after="40"/>
              <w:jc w:val="left"/>
              <w:rPr>
                <w:szCs w:val="22"/>
              </w:rPr>
            </w:pPr>
            <w:r w:rsidRPr="006A0C48">
              <w:rPr>
                <w:szCs w:val="22"/>
              </w:rPr>
              <w:t>Number of countries using terrestrial and marine spatial planning to identify areas of high biodiversity importance in national development planning</w:t>
            </w:r>
          </w:p>
        </w:tc>
      </w:tr>
      <w:tr w:rsidR="00005A3C" w:rsidRPr="006A0C48" w14:paraId="11A5CF82" w14:textId="77777777" w:rsidTr="00B00692">
        <w:tc>
          <w:tcPr>
            <w:tcW w:w="1075" w:type="dxa"/>
            <w:shd w:val="clear" w:color="auto" w:fill="auto"/>
          </w:tcPr>
          <w:p w14:paraId="73F5CCF5" w14:textId="77777777" w:rsidR="00005A3C" w:rsidRPr="006A0C48" w:rsidRDefault="00005A3C" w:rsidP="00BC5121">
            <w:pPr>
              <w:spacing w:before="40" w:after="40"/>
              <w:rPr>
                <w:szCs w:val="22"/>
              </w:rPr>
            </w:pPr>
            <w:r w:rsidRPr="006A0C48">
              <w:rPr>
                <w:szCs w:val="22"/>
              </w:rPr>
              <w:t>6</w:t>
            </w:r>
          </w:p>
        </w:tc>
        <w:tc>
          <w:tcPr>
            <w:tcW w:w="8504" w:type="dxa"/>
            <w:shd w:val="clear" w:color="auto" w:fill="auto"/>
          </w:tcPr>
          <w:p w14:paraId="37C4BD7A" w14:textId="77777777" w:rsidR="00005A3C" w:rsidRPr="006A0C48" w:rsidRDefault="00005A3C" w:rsidP="006726E6">
            <w:pPr>
              <w:spacing w:before="40" w:after="40"/>
              <w:jc w:val="left"/>
              <w:rPr>
                <w:szCs w:val="22"/>
              </w:rPr>
            </w:pPr>
            <w:r w:rsidRPr="006A0C48">
              <w:rPr>
                <w:szCs w:val="22"/>
              </w:rPr>
              <w:t>Number of countries adopting relevant national legislation and adequately resourcing the prevention or control of invasive alien species</w:t>
            </w:r>
          </w:p>
        </w:tc>
      </w:tr>
      <w:tr w:rsidR="00005A3C" w:rsidRPr="006A0C48" w14:paraId="53376729" w14:textId="77777777" w:rsidTr="00B00692">
        <w:tc>
          <w:tcPr>
            <w:tcW w:w="1075" w:type="dxa"/>
            <w:shd w:val="clear" w:color="auto" w:fill="auto"/>
          </w:tcPr>
          <w:p w14:paraId="21166E11" w14:textId="77777777" w:rsidR="00005A3C" w:rsidRPr="006A0C48" w:rsidRDefault="00005A3C" w:rsidP="00BC5121">
            <w:pPr>
              <w:spacing w:before="40" w:after="40"/>
              <w:rPr>
                <w:szCs w:val="22"/>
              </w:rPr>
            </w:pPr>
            <w:r w:rsidRPr="006A0C48">
              <w:rPr>
                <w:szCs w:val="22"/>
              </w:rPr>
              <w:t>8</w:t>
            </w:r>
          </w:p>
        </w:tc>
        <w:tc>
          <w:tcPr>
            <w:tcW w:w="8504" w:type="dxa"/>
            <w:shd w:val="clear" w:color="auto" w:fill="auto"/>
          </w:tcPr>
          <w:p w14:paraId="748952B9" w14:textId="77777777" w:rsidR="00005A3C" w:rsidRPr="006A0C48" w:rsidRDefault="00005A3C" w:rsidP="006726E6">
            <w:pPr>
              <w:spacing w:before="40" w:after="40"/>
              <w:jc w:val="left"/>
              <w:rPr>
                <w:szCs w:val="22"/>
              </w:rPr>
            </w:pPr>
            <w:r w:rsidRPr="006A0C48">
              <w:rPr>
                <w:szCs w:val="22"/>
              </w:rPr>
              <w:t>Number of countries with nationally determined contributions, long-term strategies, national adaptation plans and adaptation communications that reflect biodiversity</w:t>
            </w:r>
          </w:p>
        </w:tc>
      </w:tr>
      <w:tr w:rsidR="00005A3C" w:rsidRPr="006A0C48" w14:paraId="11A28BFE" w14:textId="77777777" w:rsidTr="00B00692">
        <w:tc>
          <w:tcPr>
            <w:tcW w:w="1075" w:type="dxa"/>
            <w:shd w:val="clear" w:color="auto" w:fill="auto"/>
          </w:tcPr>
          <w:p w14:paraId="0F7D75BA" w14:textId="77777777" w:rsidR="00005A3C" w:rsidRPr="006A0C48" w:rsidRDefault="00005A3C" w:rsidP="00BC5121">
            <w:pPr>
              <w:spacing w:before="40" w:after="40"/>
              <w:rPr>
                <w:szCs w:val="22"/>
              </w:rPr>
            </w:pPr>
            <w:r w:rsidRPr="006A0C48">
              <w:rPr>
                <w:szCs w:val="22"/>
              </w:rPr>
              <w:t>9</w:t>
            </w:r>
          </w:p>
        </w:tc>
        <w:tc>
          <w:tcPr>
            <w:tcW w:w="8504" w:type="dxa"/>
            <w:shd w:val="clear" w:color="auto" w:fill="auto"/>
          </w:tcPr>
          <w:p w14:paraId="5B1A0E46" w14:textId="77777777" w:rsidR="00005A3C" w:rsidRPr="006A0C48" w:rsidRDefault="00005A3C" w:rsidP="006726E6">
            <w:pPr>
              <w:spacing w:before="40" w:after="40"/>
              <w:jc w:val="left"/>
              <w:rPr>
                <w:szCs w:val="22"/>
              </w:rPr>
            </w:pPr>
            <w:r w:rsidRPr="006A0C48">
              <w:rPr>
                <w:szCs w:val="22"/>
              </w:rPr>
              <w:t>Number of countries with legal instruments to regulate the use and trade of wild species, and respecting customary sustainable use by indigenous peoples and local communities</w:t>
            </w:r>
          </w:p>
        </w:tc>
      </w:tr>
      <w:tr w:rsidR="00005A3C" w:rsidRPr="006A0C48" w14:paraId="27CEB915" w14:textId="77777777" w:rsidTr="00B00692">
        <w:tc>
          <w:tcPr>
            <w:tcW w:w="1075" w:type="dxa"/>
            <w:shd w:val="clear" w:color="auto" w:fill="auto"/>
          </w:tcPr>
          <w:p w14:paraId="23E14CB7" w14:textId="77777777" w:rsidR="00005A3C" w:rsidRPr="006A0C48" w:rsidRDefault="00005A3C" w:rsidP="00BC5121">
            <w:pPr>
              <w:spacing w:before="40" w:after="40"/>
              <w:rPr>
                <w:szCs w:val="22"/>
              </w:rPr>
            </w:pPr>
            <w:r w:rsidRPr="006A0C48">
              <w:rPr>
                <w:szCs w:val="22"/>
              </w:rPr>
              <w:lastRenderedPageBreak/>
              <w:t>12</w:t>
            </w:r>
          </w:p>
        </w:tc>
        <w:tc>
          <w:tcPr>
            <w:tcW w:w="8504" w:type="dxa"/>
            <w:shd w:val="clear" w:color="auto" w:fill="auto"/>
          </w:tcPr>
          <w:p w14:paraId="1548E039" w14:textId="77777777" w:rsidR="00005A3C" w:rsidRPr="006A0C48" w:rsidRDefault="00005A3C" w:rsidP="006726E6">
            <w:pPr>
              <w:spacing w:before="40" w:after="40"/>
              <w:jc w:val="left"/>
              <w:rPr>
                <w:rFonts w:eastAsia="DengXian"/>
                <w:bCs/>
                <w:snapToGrid w:val="0"/>
                <w:color w:val="000000"/>
                <w:kern w:val="22"/>
                <w:szCs w:val="22"/>
                <w:lang w:eastAsia="en-CA"/>
              </w:rPr>
            </w:pPr>
            <w:r w:rsidRPr="006A0C48">
              <w:rPr>
                <w:rFonts w:eastAsia="DengXian"/>
                <w:bCs/>
                <w:snapToGrid w:val="0"/>
                <w:color w:val="000000"/>
                <w:kern w:val="22"/>
                <w:szCs w:val="22"/>
                <w:lang w:eastAsia="en-CA"/>
              </w:rPr>
              <w:t>Number of countries with urban sustainability plans referring to green and/or blue spatial management</w:t>
            </w:r>
          </w:p>
        </w:tc>
      </w:tr>
      <w:tr w:rsidR="00005A3C" w:rsidRPr="006A0C48" w14:paraId="3D8C8350" w14:textId="77777777" w:rsidTr="00B00692">
        <w:tc>
          <w:tcPr>
            <w:tcW w:w="1075" w:type="dxa"/>
            <w:shd w:val="clear" w:color="auto" w:fill="auto"/>
          </w:tcPr>
          <w:p w14:paraId="409F3452" w14:textId="77777777" w:rsidR="00005A3C" w:rsidRPr="006A0C48" w:rsidRDefault="00005A3C" w:rsidP="00BC5121">
            <w:pPr>
              <w:spacing w:before="40" w:after="40"/>
              <w:rPr>
                <w:szCs w:val="22"/>
              </w:rPr>
            </w:pPr>
            <w:r w:rsidRPr="006A0C48">
              <w:rPr>
                <w:szCs w:val="22"/>
              </w:rPr>
              <w:t>13 / C</w:t>
            </w:r>
          </w:p>
        </w:tc>
        <w:tc>
          <w:tcPr>
            <w:tcW w:w="8504" w:type="dxa"/>
            <w:shd w:val="clear" w:color="auto" w:fill="auto"/>
          </w:tcPr>
          <w:p w14:paraId="36A6F186" w14:textId="77777777" w:rsidR="00005A3C" w:rsidRPr="006A0C48" w:rsidRDefault="00005A3C" w:rsidP="00BC5121">
            <w:pPr>
              <w:spacing w:before="40" w:after="40"/>
              <w:rPr>
                <w:szCs w:val="22"/>
              </w:rPr>
            </w:pPr>
            <w:r w:rsidRPr="006A0C48">
              <w:rPr>
                <w:rFonts w:eastAsia="DengXian"/>
                <w:bCs/>
                <w:snapToGrid w:val="0"/>
                <w:color w:val="000000"/>
                <w:kern w:val="22"/>
                <w:szCs w:val="22"/>
                <w:lang w:eastAsia="en-CA"/>
              </w:rPr>
              <w:t>Number of countries that have operational legislative, administrative or policy frameworks which relate to Target 13</w:t>
            </w:r>
          </w:p>
        </w:tc>
      </w:tr>
      <w:tr w:rsidR="00005A3C" w:rsidRPr="006A0C48" w14:paraId="2C0B2249" w14:textId="77777777" w:rsidTr="00B00692">
        <w:tc>
          <w:tcPr>
            <w:tcW w:w="1075" w:type="dxa"/>
            <w:shd w:val="clear" w:color="auto" w:fill="auto"/>
          </w:tcPr>
          <w:p w14:paraId="5296618A" w14:textId="77777777" w:rsidR="00005A3C" w:rsidRPr="006A0C48" w:rsidRDefault="00005A3C" w:rsidP="00BC5121">
            <w:pPr>
              <w:spacing w:before="40" w:after="40"/>
              <w:rPr>
                <w:szCs w:val="22"/>
              </w:rPr>
            </w:pPr>
            <w:r w:rsidRPr="006A0C48">
              <w:rPr>
                <w:szCs w:val="22"/>
              </w:rPr>
              <w:t>14</w:t>
            </w:r>
          </w:p>
        </w:tc>
        <w:tc>
          <w:tcPr>
            <w:tcW w:w="8504" w:type="dxa"/>
            <w:shd w:val="clear" w:color="auto" w:fill="auto"/>
          </w:tcPr>
          <w:p w14:paraId="6E28BDED" w14:textId="77777777" w:rsidR="00005A3C" w:rsidRPr="006A0C48" w:rsidRDefault="00005A3C" w:rsidP="00BC5121">
            <w:pPr>
              <w:spacing w:before="40" w:after="40"/>
              <w:rPr>
                <w:szCs w:val="22"/>
              </w:rPr>
            </w:pPr>
            <w:r w:rsidRPr="006A0C48">
              <w:rPr>
                <w:rFonts w:eastAsia="DengXian"/>
                <w:bCs/>
                <w:snapToGrid w:val="0"/>
                <w:color w:val="000000"/>
                <w:kern w:val="22"/>
                <w:szCs w:val="22"/>
                <w:lang w:eastAsia="en-CA"/>
              </w:rPr>
              <w:t>Number of countries with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r>
      <w:tr w:rsidR="00005A3C" w:rsidRPr="006A0C48" w14:paraId="7B6E384B" w14:textId="77777777" w:rsidTr="00B00692">
        <w:tc>
          <w:tcPr>
            <w:tcW w:w="1075" w:type="dxa"/>
            <w:shd w:val="clear" w:color="auto" w:fill="auto"/>
          </w:tcPr>
          <w:p w14:paraId="422F27A8" w14:textId="77777777" w:rsidR="00005A3C" w:rsidRPr="006A0C48" w:rsidRDefault="00005A3C" w:rsidP="00BC5121">
            <w:pPr>
              <w:spacing w:before="40" w:after="40"/>
              <w:rPr>
                <w:szCs w:val="22"/>
              </w:rPr>
            </w:pPr>
            <w:r w:rsidRPr="006A0C48">
              <w:rPr>
                <w:szCs w:val="22"/>
              </w:rPr>
              <w:t>15</w:t>
            </w:r>
          </w:p>
        </w:tc>
        <w:tc>
          <w:tcPr>
            <w:tcW w:w="8504" w:type="dxa"/>
            <w:shd w:val="clear" w:color="auto" w:fill="auto"/>
          </w:tcPr>
          <w:p w14:paraId="26112968" w14:textId="77777777" w:rsidR="00005A3C" w:rsidRPr="006A0C48" w:rsidRDefault="00005A3C" w:rsidP="00BC5121">
            <w:pPr>
              <w:keepNext/>
              <w:keepLines/>
              <w:spacing w:before="40" w:after="40"/>
              <w:rPr>
                <w:szCs w:val="22"/>
              </w:rPr>
            </w:pPr>
            <w:r w:rsidRPr="006A0C48">
              <w:rPr>
                <w:rFonts w:eastAsia="DengXian"/>
                <w:bCs/>
                <w:snapToGrid w:val="0"/>
                <w:color w:val="000000"/>
                <w:kern w:val="22"/>
                <w:szCs w:val="22"/>
                <w:lang w:eastAsia="en-CA"/>
              </w:rPr>
              <w:t>Number of countries taking legal, administrative or policy measures to ensure that Target 15 is achieved</w:t>
            </w:r>
          </w:p>
        </w:tc>
      </w:tr>
      <w:tr w:rsidR="00005A3C" w:rsidRPr="006A0C48" w14:paraId="45CFAE0F" w14:textId="77777777" w:rsidTr="00B00692">
        <w:tc>
          <w:tcPr>
            <w:tcW w:w="1075" w:type="dxa"/>
            <w:shd w:val="clear" w:color="auto" w:fill="auto"/>
          </w:tcPr>
          <w:p w14:paraId="4E729A51" w14:textId="77777777" w:rsidR="00005A3C" w:rsidRPr="006A0C48" w:rsidRDefault="00005A3C" w:rsidP="00BC5121">
            <w:pPr>
              <w:spacing w:before="40" w:after="40"/>
              <w:rPr>
                <w:szCs w:val="22"/>
              </w:rPr>
            </w:pPr>
            <w:r w:rsidRPr="006A0C48">
              <w:rPr>
                <w:szCs w:val="22"/>
              </w:rPr>
              <w:t>16</w:t>
            </w:r>
          </w:p>
        </w:tc>
        <w:tc>
          <w:tcPr>
            <w:tcW w:w="8504" w:type="dxa"/>
            <w:shd w:val="clear" w:color="auto" w:fill="auto"/>
          </w:tcPr>
          <w:p w14:paraId="1D97060C" w14:textId="77777777" w:rsidR="00005A3C" w:rsidRPr="006A0C48" w:rsidRDefault="00005A3C" w:rsidP="00BC5121">
            <w:pPr>
              <w:spacing w:before="40" w:after="40"/>
              <w:rPr>
                <w:szCs w:val="22"/>
              </w:rPr>
            </w:pPr>
            <w:r w:rsidRPr="006A0C48">
              <w:rPr>
                <w:color w:val="000000"/>
                <w:szCs w:val="22"/>
                <w:lang w:eastAsia="en-GB"/>
              </w:rPr>
              <w:t>Number of countries developing, adopting or implementing policy instruments aimed at supporting the shift to sustainable consumption and production (SDG Indicator 12.1.1)</w:t>
            </w:r>
          </w:p>
        </w:tc>
      </w:tr>
      <w:tr w:rsidR="00005A3C" w:rsidRPr="006A0C48" w14:paraId="4C51C163" w14:textId="77777777" w:rsidTr="00B00692">
        <w:tc>
          <w:tcPr>
            <w:tcW w:w="1075" w:type="dxa"/>
            <w:shd w:val="clear" w:color="auto" w:fill="auto"/>
          </w:tcPr>
          <w:p w14:paraId="4B555C07" w14:textId="77777777" w:rsidR="00005A3C" w:rsidRPr="006A0C48" w:rsidRDefault="00005A3C" w:rsidP="00BC5121">
            <w:pPr>
              <w:spacing w:before="40" w:after="40"/>
              <w:rPr>
                <w:szCs w:val="22"/>
              </w:rPr>
            </w:pPr>
            <w:r w:rsidRPr="006A0C48">
              <w:rPr>
                <w:szCs w:val="22"/>
              </w:rPr>
              <w:t xml:space="preserve">17 </w:t>
            </w:r>
          </w:p>
        </w:tc>
        <w:tc>
          <w:tcPr>
            <w:tcW w:w="8504" w:type="dxa"/>
            <w:shd w:val="clear" w:color="auto" w:fill="auto"/>
          </w:tcPr>
          <w:p w14:paraId="24B84592" w14:textId="77777777" w:rsidR="00005A3C" w:rsidRPr="006A0C48" w:rsidRDefault="00005A3C" w:rsidP="00BC5121">
            <w:pPr>
              <w:spacing w:before="40" w:after="40"/>
              <w:rPr>
                <w:szCs w:val="22"/>
              </w:rPr>
            </w:pPr>
            <w:r w:rsidRPr="006A0C48">
              <w:rPr>
                <w:rFonts w:eastAsia="DengXian"/>
                <w:bCs/>
                <w:snapToGrid w:val="0"/>
                <w:color w:val="000000"/>
                <w:kern w:val="22"/>
                <w:szCs w:val="22"/>
                <w:lang w:eastAsia="en-CA"/>
              </w:rPr>
              <w:t>Number of countries with capacity and measures in place related to Target 17</w:t>
            </w:r>
          </w:p>
        </w:tc>
      </w:tr>
      <w:tr w:rsidR="00005A3C" w:rsidRPr="006A0C48" w14:paraId="03C522B0" w14:textId="77777777" w:rsidTr="00B00692">
        <w:tc>
          <w:tcPr>
            <w:tcW w:w="1075" w:type="dxa"/>
            <w:shd w:val="clear" w:color="auto" w:fill="auto"/>
          </w:tcPr>
          <w:p w14:paraId="7774DA83" w14:textId="77777777" w:rsidR="00005A3C" w:rsidRPr="006A0C48" w:rsidRDefault="00005A3C" w:rsidP="00BC5121">
            <w:pPr>
              <w:spacing w:before="40" w:after="40"/>
              <w:rPr>
                <w:szCs w:val="22"/>
              </w:rPr>
            </w:pPr>
            <w:r w:rsidRPr="006A0C48">
              <w:rPr>
                <w:szCs w:val="22"/>
              </w:rPr>
              <w:t>22</w:t>
            </w:r>
          </w:p>
        </w:tc>
        <w:tc>
          <w:tcPr>
            <w:tcW w:w="8504" w:type="dxa"/>
            <w:shd w:val="clear" w:color="auto" w:fill="auto"/>
          </w:tcPr>
          <w:p w14:paraId="58EFD4D7" w14:textId="77777777" w:rsidR="00005A3C" w:rsidRPr="006A0C48" w:rsidRDefault="00005A3C" w:rsidP="006726E6">
            <w:pPr>
              <w:spacing w:before="40" w:after="40"/>
              <w:jc w:val="left"/>
              <w:rPr>
                <w:rFonts w:eastAsia="DengXian"/>
                <w:bCs/>
                <w:szCs w:val="22"/>
              </w:rPr>
            </w:pPr>
            <w:r w:rsidRPr="006A0C48">
              <w:rPr>
                <w:rFonts w:eastAsia="DengXian"/>
                <w:bCs/>
                <w:szCs w:val="22"/>
              </w:rPr>
              <w:t>Number of countries recognizing the legal rights of indigenous peoples and local communities, environmental human rights defenders, women, youth and persons with disabilities with respect to their traditional territories, cultures and practices</w:t>
            </w:r>
          </w:p>
        </w:tc>
      </w:tr>
      <w:tr w:rsidR="00005A3C" w:rsidRPr="006A0C48" w14:paraId="014EFBCD" w14:textId="77777777" w:rsidTr="00B00692">
        <w:tc>
          <w:tcPr>
            <w:tcW w:w="1075" w:type="dxa"/>
            <w:shd w:val="clear" w:color="auto" w:fill="auto"/>
          </w:tcPr>
          <w:p w14:paraId="3CD0609A" w14:textId="77777777" w:rsidR="00005A3C" w:rsidRPr="006A0C48" w:rsidRDefault="00005A3C" w:rsidP="00BC5121">
            <w:pPr>
              <w:spacing w:before="40" w:after="40"/>
              <w:rPr>
                <w:szCs w:val="22"/>
              </w:rPr>
            </w:pPr>
            <w:r w:rsidRPr="006A0C48">
              <w:rPr>
                <w:szCs w:val="22"/>
              </w:rPr>
              <w:t>23</w:t>
            </w:r>
          </w:p>
        </w:tc>
        <w:tc>
          <w:tcPr>
            <w:tcW w:w="8504" w:type="dxa"/>
            <w:shd w:val="clear" w:color="auto" w:fill="auto"/>
          </w:tcPr>
          <w:p w14:paraId="2116C34C" w14:textId="77777777" w:rsidR="00005A3C" w:rsidRPr="006A0C48" w:rsidRDefault="00005A3C" w:rsidP="00BC5121">
            <w:pPr>
              <w:spacing w:before="40" w:after="40"/>
              <w:rPr>
                <w:szCs w:val="22"/>
              </w:rPr>
            </w:pPr>
            <w:r w:rsidRPr="006A0C48">
              <w:rPr>
                <w:rFonts w:eastAsia="DengXian"/>
                <w:bCs/>
                <w:szCs w:val="22"/>
              </w:rPr>
              <w:t xml:space="preserve">Number of countries where the legal framework (including customary law) guarantees women’s equal rights to land ownership and/or control    </w:t>
            </w:r>
          </w:p>
        </w:tc>
      </w:tr>
    </w:tbl>
    <w:p w14:paraId="3A16948C" w14:textId="77777777" w:rsidR="00005A3C" w:rsidRDefault="00005A3C" w:rsidP="00BC5121">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rPr>
        <w:sectPr w:rsidR="00005A3C" w:rsidSect="00441700">
          <w:pgSz w:w="12240" w:h="15840"/>
          <w:pgMar w:top="567" w:right="1440" w:bottom="1134" w:left="1440" w:header="709" w:footer="709" w:gutter="0"/>
          <w:cols w:space="708"/>
          <w:docGrid w:linePitch="360"/>
        </w:sectPr>
      </w:pPr>
    </w:p>
    <w:p w14:paraId="7969E194" w14:textId="77777777" w:rsidR="00005A3C" w:rsidRPr="00D236EB" w:rsidRDefault="00005A3C" w:rsidP="0040414C">
      <w:pPr>
        <w:pStyle w:val="decision"/>
        <w:rPr>
          <w:rStyle w:val="BodyTextChar"/>
          <w:rFonts w:eastAsia="Malgun Gothic"/>
          <w:b w:val="0"/>
          <w:bCs/>
        </w:rPr>
      </w:pPr>
      <w:bookmarkStart w:id="41" w:name="_Toc150438804"/>
      <w:bookmarkStart w:id="42" w:name="_Toc150670504"/>
      <w:bookmarkStart w:id="43" w:name="_Toc150670614"/>
      <w:bookmarkStart w:id="44" w:name="_Toc150761116"/>
      <w:r>
        <w:lastRenderedPageBreak/>
        <w:t>15/6.</w:t>
      </w:r>
      <w:r>
        <w:tab/>
        <w:t>Mechanisms for planning, monitoring, reporting and review</w:t>
      </w:r>
      <w:bookmarkEnd w:id="41"/>
      <w:bookmarkEnd w:id="42"/>
      <w:bookmarkEnd w:id="43"/>
      <w:bookmarkEnd w:id="44"/>
    </w:p>
    <w:p w14:paraId="6DFFD384" w14:textId="77777777" w:rsidR="00005A3C" w:rsidRDefault="00005A3C" w:rsidP="00D236EB">
      <w:pPr>
        <w:suppressLineNumbers/>
        <w:suppressAutoHyphens/>
        <w:adjustRightInd w:val="0"/>
        <w:spacing w:before="240" w:after="120"/>
        <w:ind w:firstLine="851"/>
        <w:jc w:val="left"/>
        <w:rPr>
          <w:rFonts w:asciiTheme="majorBidi" w:hAnsiTheme="majorBidi" w:cstheme="majorBidi"/>
          <w:bCs/>
          <w:i/>
          <w:snapToGrid w:val="0"/>
          <w:kern w:val="22"/>
        </w:rPr>
      </w:pPr>
      <w:r>
        <w:rPr>
          <w:rFonts w:asciiTheme="majorBidi" w:hAnsiTheme="majorBidi" w:cstheme="majorBidi"/>
          <w:bCs/>
          <w:i/>
          <w:snapToGrid w:val="0"/>
          <w:kern w:val="22"/>
        </w:rPr>
        <w:t>The Conference of the Parties,</w:t>
      </w:r>
    </w:p>
    <w:p w14:paraId="0A6251CA" w14:textId="77777777" w:rsidR="00005A3C" w:rsidRPr="003D43AF"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3D43AF">
        <w:rPr>
          <w:rFonts w:asciiTheme="majorBidi" w:hAnsiTheme="majorBidi" w:cstheme="majorBidi"/>
          <w:bCs/>
          <w:i/>
          <w:snapToGrid w:val="0"/>
          <w:kern w:val="22"/>
        </w:rPr>
        <w:t xml:space="preserve">Recalling </w:t>
      </w:r>
      <w:r w:rsidRPr="003D43AF">
        <w:rPr>
          <w:rFonts w:asciiTheme="majorBidi" w:hAnsiTheme="majorBidi" w:cstheme="majorBidi"/>
          <w:bCs/>
          <w:snapToGrid w:val="0"/>
          <w:kern w:val="22"/>
        </w:rPr>
        <w:t>Articles 6, 23, and 26 of the Convention,</w:t>
      </w:r>
    </w:p>
    <w:p w14:paraId="78E855F8" w14:textId="77777777" w:rsidR="00005A3C" w:rsidRPr="003D43AF"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cstheme="majorBidi"/>
          <w:bCs/>
          <w:i/>
          <w:snapToGrid w:val="0"/>
          <w:kern w:val="22"/>
        </w:rPr>
        <w:t>R</w:t>
      </w:r>
      <w:r w:rsidRPr="003D43AF">
        <w:rPr>
          <w:rFonts w:asciiTheme="majorBidi" w:hAnsiTheme="majorBidi" w:cstheme="majorBidi"/>
          <w:bCs/>
          <w:i/>
          <w:snapToGrid w:val="0"/>
          <w:kern w:val="22"/>
        </w:rPr>
        <w:t>ecalling</w:t>
      </w:r>
      <w:r>
        <w:rPr>
          <w:rFonts w:asciiTheme="majorBidi" w:hAnsiTheme="majorBidi" w:cstheme="majorBidi"/>
          <w:bCs/>
          <w:i/>
          <w:snapToGrid w:val="0"/>
          <w:kern w:val="22"/>
        </w:rPr>
        <w:t xml:space="preserve"> also</w:t>
      </w:r>
      <w:r w:rsidRPr="003D43AF">
        <w:rPr>
          <w:rFonts w:asciiTheme="majorBidi" w:hAnsiTheme="majorBidi" w:cstheme="majorBidi"/>
          <w:bCs/>
          <w:snapToGrid w:val="0"/>
          <w:kern w:val="22"/>
        </w:rPr>
        <w:t xml:space="preserve"> decisions IX/8, X/2, X/10, </w:t>
      </w:r>
      <w:r w:rsidRPr="003D43AF">
        <w:rPr>
          <w:rFonts w:asciiTheme="majorBidi" w:hAnsiTheme="majorBidi" w:cstheme="majorBidi"/>
          <w:bCs/>
          <w:snapToGrid w:val="0"/>
          <w:kern w:val="22"/>
          <w:szCs w:val="18"/>
        </w:rPr>
        <w:t xml:space="preserve">XI/10, </w:t>
      </w:r>
      <w:r w:rsidRPr="003D43AF">
        <w:rPr>
          <w:rFonts w:asciiTheme="majorBidi" w:hAnsiTheme="majorBidi" w:cstheme="majorBidi"/>
          <w:bCs/>
          <w:snapToGrid w:val="0"/>
          <w:kern w:val="22"/>
        </w:rPr>
        <w:t>XIII/27, 14/27 and 14/34,</w:t>
      </w:r>
    </w:p>
    <w:p w14:paraId="04371604" w14:textId="77777777"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iCs/>
          <w:snapToGrid w:val="0"/>
          <w:kern w:val="22"/>
        </w:rPr>
      </w:pPr>
      <w:r>
        <w:rPr>
          <w:rFonts w:asciiTheme="majorBidi" w:hAnsiTheme="majorBidi" w:cstheme="majorBidi"/>
          <w:bCs/>
          <w:i/>
          <w:snapToGrid w:val="0"/>
          <w:kern w:val="22"/>
        </w:rPr>
        <w:t>R</w:t>
      </w:r>
      <w:r w:rsidRPr="003D43AF">
        <w:rPr>
          <w:rFonts w:asciiTheme="majorBidi" w:hAnsiTheme="majorBidi" w:cstheme="majorBidi"/>
          <w:bCs/>
          <w:i/>
          <w:snapToGrid w:val="0"/>
          <w:kern w:val="22"/>
        </w:rPr>
        <w:t>ecalling</w:t>
      </w:r>
      <w:r>
        <w:rPr>
          <w:rFonts w:asciiTheme="majorBidi" w:hAnsiTheme="majorBidi" w:cstheme="majorBidi"/>
          <w:bCs/>
          <w:i/>
          <w:snapToGrid w:val="0"/>
          <w:kern w:val="22"/>
        </w:rPr>
        <w:t xml:space="preserve"> further</w:t>
      </w:r>
      <w:r w:rsidRPr="003D43AF">
        <w:rPr>
          <w:rFonts w:asciiTheme="majorBidi" w:hAnsiTheme="majorBidi" w:cstheme="majorBidi"/>
          <w:bCs/>
          <w:i/>
          <w:snapToGrid w:val="0"/>
          <w:kern w:val="22"/>
        </w:rPr>
        <w:t xml:space="preserve"> </w:t>
      </w:r>
      <w:r w:rsidRPr="003D43AF">
        <w:rPr>
          <w:rFonts w:asciiTheme="majorBidi" w:hAnsiTheme="majorBidi" w:cstheme="majorBidi"/>
          <w:bCs/>
          <w:iCs/>
          <w:snapToGrid w:val="0"/>
          <w:kern w:val="22"/>
        </w:rPr>
        <w:t xml:space="preserve">decision 14/29, in which it recognized that implementation by Parties and underlying commitments needed to be strengthened to bring the global community on a path towards achieving the 2050 </w:t>
      </w:r>
      <w:r w:rsidRPr="004F65AE">
        <w:rPr>
          <w:rFonts w:asciiTheme="majorBidi" w:hAnsiTheme="majorBidi" w:cstheme="majorBidi"/>
          <w:bCs/>
          <w:iCs/>
          <w:snapToGrid w:val="0"/>
          <w:kern w:val="22"/>
        </w:rPr>
        <w:t>Vision laid out in the Strategic Plan for Biodiversity 2011</w:t>
      </w:r>
      <w:r>
        <w:rPr>
          <w:rFonts w:asciiTheme="majorBidi" w:hAnsiTheme="majorBidi" w:cstheme="majorBidi"/>
          <w:bCs/>
          <w:iCs/>
          <w:snapToGrid w:val="0"/>
          <w:kern w:val="22"/>
        </w:rPr>
        <w:t>–</w:t>
      </w:r>
      <w:r w:rsidRPr="004F65AE">
        <w:rPr>
          <w:rFonts w:asciiTheme="majorBidi" w:hAnsiTheme="majorBidi" w:cstheme="majorBidi"/>
          <w:bCs/>
          <w:iCs/>
          <w:snapToGrid w:val="0"/>
          <w:kern w:val="22"/>
        </w:rPr>
        <w:t>2020,</w:t>
      </w:r>
      <w:r w:rsidRPr="00610646">
        <w:rPr>
          <w:rStyle w:val="FootnoteReference"/>
        </w:rPr>
        <w:footnoteReference w:id="40"/>
      </w:r>
      <w:r w:rsidRPr="004F65AE">
        <w:rPr>
          <w:rFonts w:asciiTheme="majorBidi" w:hAnsiTheme="majorBidi" w:cstheme="majorBidi"/>
          <w:bCs/>
          <w:iCs/>
          <w:snapToGrid w:val="0"/>
          <w:kern w:val="22"/>
        </w:rPr>
        <w:t xml:space="preserve"> emphasizing that national reports, provided for in Article 26 of the Convention, continue to be a core element for reviewing progress in implementation as part of the multidimensional review approach, and recognizing that elements of the multidimensional review approach under the Convention should be technically sound, objective, transparent, collaborative and constructive</w:t>
      </w:r>
      <w:r>
        <w:rPr>
          <w:rFonts w:asciiTheme="majorBidi" w:hAnsiTheme="majorBidi" w:cstheme="majorBidi"/>
          <w:bCs/>
          <w:iCs/>
          <w:snapToGrid w:val="0"/>
          <w:kern w:val="22"/>
        </w:rPr>
        <w:t>,</w:t>
      </w:r>
      <w:r w:rsidRPr="004F65AE">
        <w:rPr>
          <w:rFonts w:asciiTheme="majorBidi" w:hAnsiTheme="majorBidi" w:cstheme="majorBidi"/>
          <w:bCs/>
          <w:iCs/>
          <w:snapToGrid w:val="0"/>
          <w:kern w:val="22"/>
        </w:rPr>
        <w:t xml:space="preserve"> and aim to facilitate enhanced efforts by Parties,</w:t>
      </w:r>
    </w:p>
    <w:p w14:paraId="505441F0" w14:textId="77777777"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18"/>
          <w:lang w:val="en-US"/>
        </w:rPr>
      </w:pPr>
      <w:r w:rsidRPr="004F65AE">
        <w:rPr>
          <w:rFonts w:asciiTheme="majorBidi" w:hAnsiTheme="majorBidi" w:cstheme="majorBidi"/>
          <w:bCs/>
          <w:i/>
          <w:iCs/>
          <w:snapToGrid w:val="0"/>
          <w:kern w:val="22"/>
          <w:szCs w:val="22"/>
        </w:rPr>
        <w:t xml:space="preserve">Recalling </w:t>
      </w:r>
      <w:r w:rsidRPr="004F65AE">
        <w:rPr>
          <w:rFonts w:asciiTheme="majorBidi" w:hAnsiTheme="majorBidi" w:cstheme="majorBidi"/>
          <w:bCs/>
          <w:snapToGrid w:val="0"/>
          <w:kern w:val="22"/>
          <w:szCs w:val="22"/>
        </w:rPr>
        <w:t xml:space="preserve">that national biodiversity strategies and action plans are the main instrument for implementing the Convention at the national level </w:t>
      </w:r>
      <w:r w:rsidRPr="004F65AE">
        <w:rPr>
          <w:rFonts w:asciiTheme="majorBidi" w:hAnsiTheme="majorBidi" w:cstheme="majorBidi"/>
          <w:bCs/>
          <w:snapToGrid w:val="0"/>
          <w:kern w:val="22"/>
          <w:szCs w:val="18"/>
        </w:rPr>
        <w:t>and</w:t>
      </w:r>
      <w:r w:rsidRPr="004F65AE">
        <w:rPr>
          <w:rFonts w:asciiTheme="majorBidi" w:hAnsiTheme="majorBidi" w:cstheme="majorBidi"/>
          <w:bCs/>
          <w:i/>
          <w:iCs/>
          <w:snapToGrid w:val="0"/>
          <w:kern w:val="22"/>
          <w:szCs w:val="18"/>
        </w:rPr>
        <w:t xml:space="preserve"> </w:t>
      </w:r>
      <w:r w:rsidRPr="004F65AE">
        <w:rPr>
          <w:rFonts w:asciiTheme="majorBidi" w:hAnsiTheme="majorBidi" w:cstheme="majorBidi"/>
          <w:bCs/>
          <w:snapToGrid w:val="0"/>
          <w:kern w:val="22"/>
          <w:szCs w:val="18"/>
        </w:rPr>
        <w:t xml:space="preserve">that national reports are the main instrument for monitoring and </w:t>
      </w:r>
      <w:r w:rsidRPr="004F65AE">
        <w:rPr>
          <w:rFonts w:asciiTheme="majorBidi" w:hAnsiTheme="majorBidi" w:cstheme="majorBidi"/>
          <w:bCs/>
          <w:snapToGrid w:val="0"/>
          <w:kern w:val="22"/>
          <w:szCs w:val="18"/>
          <w:lang w:val="en-US"/>
        </w:rPr>
        <w:t xml:space="preserve">reviewing the implementation of the Convention and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18"/>
          <w:lang w:val="en-US"/>
        </w:rPr>
        <w:t>G</w:t>
      </w:r>
      <w:r w:rsidRPr="004F65AE">
        <w:rPr>
          <w:rFonts w:asciiTheme="majorBidi" w:hAnsiTheme="majorBidi" w:cstheme="majorBidi"/>
          <w:bCs/>
          <w:snapToGrid w:val="0"/>
          <w:kern w:val="22"/>
          <w:szCs w:val="18"/>
          <w:lang w:val="en-US"/>
        </w:rPr>
        <w:t xml:space="preserve">lobal </w:t>
      </w:r>
      <w:r>
        <w:rPr>
          <w:rFonts w:asciiTheme="majorBidi" w:hAnsiTheme="majorBidi" w:cstheme="majorBidi"/>
          <w:bCs/>
          <w:snapToGrid w:val="0"/>
          <w:kern w:val="22"/>
          <w:szCs w:val="18"/>
          <w:lang w:val="en-US"/>
        </w:rPr>
        <w:t>B</w:t>
      </w:r>
      <w:r w:rsidRPr="004F65AE">
        <w:rPr>
          <w:rFonts w:asciiTheme="majorBidi" w:hAnsiTheme="majorBidi" w:cstheme="majorBidi"/>
          <w:bCs/>
          <w:snapToGrid w:val="0"/>
          <w:kern w:val="22"/>
          <w:szCs w:val="18"/>
          <w:lang w:val="en-US"/>
        </w:rPr>
        <w:t xml:space="preserve">iodiversity </w:t>
      </w:r>
      <w:r>
        <w:rPr>
          <w:rFonts w:asciiTheme="majorBidi" w:hAnsiTheme="majorBidi" w:cstheme="majorBidi"/>
          <w:bCs/>
          <w:snapToGrid w:val="0"/>
          <w:kern w:val="22"/>
          <w:szCs w:val="18"/>
          <w:lang w:val="en-US"/>
        </w:rPr>
        <w:t>F</w:t>
      </w:r>
      <w:r w:rsidRPr="004F65AE">
        <w:rPr>
          <w:rFonts w:asciiTheme="majorBidi" w:hAnsiTheme="majorBidi" w:cstheme="majorBidi"/>
          <w:bCs/>
          <w:snapToGrid w:val="0"/>
          <w:kern w:val="22"/>
          <w:szCs w:val="18"/>
          <w:lang w:val="en-US"/>
        </w:rPr>
        <w:t>ramework,</w:t>
      </w:r>
    </w:p>
    <w:p w14:paraId="4B726DA7" w14:textId="77777777"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sidRPr="004F65AE">
        <w:rPr>
          <w:rFonts w:asciiTheme="majorBidi" w:hAnsiTheme="majorBidi" w:cstheme="majorBidi"/>
          <w:bCs/>
          <w:snapToGrid w:val="0"/>
          <w:kern w:val="22"/>
          <w:szCs w:val="22"/>
          <w:lang w:val="en-US"/>
        </w:rPr>
        <w:t>1.</w:t>
      </w:r>
      <w:r w:rsidRPr="004F65AE">
        <w:rPr>
          <w:rFonts w:asciiTheme="majorBidi" w:hAnsiTheme="majorBidi" w:cstheme="majorBidi"/>
          <w:bCs/>
          <w:snapToGrid w:val="0"/>
          <w:kern w:val="22"/>
          <w:szCs w:val="22"/>
          <w:lang w:val="en-US"/>
        </w:rPr>
        <w:tab/>
      </w:r>
      <w:r w:rsidRPr="004F65AE">
        <w:rPr>
          <w:rFonts w:asciiTheme="majorBidi" w:hAnsiTheme="majorBidi" w:cstheme="majorBidi"/>
          <w:bCs/>
          <w:i/>
          <w:iCs/>
          <w:snapToGrid w:val="0"/>
          <w:kern w:val="22"/>
          <w:szCs w:val="22"/>
          <w:lang w:val="en-US"/>
        </w:rPr>
        <w:t>Adopts</w:t>
      </w:r>
      <w:r w:rsidRPr="004F65AE">
        <w:rPr>
          <w:rFonts w:asciiTheme="majorBidi" w:hAnsiTheme="majorBidi" w:cstheme="majorBidi"/>
          <w:bCs/>
          <w:snapToGrid w:val="0"/>
          <w:kern w:val="22"/>
          <w:szCs w:val="22"/>
          <w:lang w:val="en-US"/>
        </w:rPr>
        <w:t xml:space="preserve"> an enhanced multidimensional approach to planning, monitoring, reporting and review with a view to enhancing implementation of the Convention on Biological Diversity and </w:t>
      </w:r>
      <w:r>
        <w:rPr>
          <w:rFonts w:asciiTheme="majorBidi" w:hAnsiTheme="majorBidi" w:cstheme="majorBidi"/>
          <w:bCs/>
          <w:snapToGrid w:val="0"/>
          <w:kern w:val="22"/>
          <w:szCs w:val="22"/>
          <w:lang w:val="en-US"/>
        </w:rPr>
        <w:t xml:space="preserve">of </w:t>
      </w:r>
      <w:r w:rsidRPr="004F65AE">
        <w:rPr>
          <w:rFonts w:asciiTheme="majorBidi" w:hAnsiTheme="majorBidi" w:cstheme="majorBidi"/>
          <w:bCs/>
          <w:snapToGrid w:val="0"/>
          <w:kern w:val="22"/>
          <w:szCs w:val="22"/>
          <w:lang w:val="en-US"/>
        </w:rPr>
        <w:t xml:space="preserve">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lang w:val="en-US"/>
        </w:rPr>
        <w:t>Global Biodiversity Framework, comprising:</w:t>
      </w:r>
    </w:p>
    <w:p w14:paraId="7FE574DC" w14:textId="77777777" w:rsidR="00005A3C"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a</w:t>
      </w:r>
      <w:r w:rsidRPr="00A142CA">
        <w:rPr>
          <w:rFonts w:asciiTheme="majorBidi" w:hAnsiTheme="majorBidi" w:cstheme="majorBidi"/>
          <w:bCs/>
          <w:snapToGrid w:val="0"/>
          <w:kern w:val="22"/>
          <w:szCs w:val="22"/>
          <w:lang w:val="en-US"/>
        </w:rPr>
        <w:t>)</w:t>
      </w:r>
      <w:r>
        <w:rPr>
          <w:rFonts w:asciiTheme="majorBidi" w:hAnsiTheme="majorBidi" w:cstheme="majorBidi"/>
          <w:bCs/>
          <w:snapToGrid w:val="0"/>
          <w:kern w:val="22"/>
          <w:szCs w:val="22"/>
          <w:lang w:val="en-US"/>
        </w:rPr>
        <w:tab/>
      </w:r>
      <w:r w:rsidRPr="00A142CA">
        <w:rPr>
          <w:rFonts w:asciiTheme="majorBidi" w:hAnsiTheme="majorBidi" w:cstheme="majorBidi"/>
          <w:bCs/>
          <w:snapToGrid w:val="0"/>
          <w:kern w:val="22"/>
          <w:szCs w:val="22"/>
          <w:lang w:val="en-US"/>
        </w:rPr>
        <w:t xml:space="preserve">National biodiversity strategies and action plans, revised or updated in alignment with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lang w:val="en-US"/>
        </w:rPr>
        <w:t>G</w:t>
      </w:r>
      <w:r w:rsidRPr="00A142CA">
        <w:rPr>
          <w:rFonts w:asciiTheme="majorBidi" w:hAnsiTheme="majorBidi" w:cstheme="majorBidi"/>
          <w:bCs/>
          <w:snapToGrid w:val="0"/>
          <w:kern w:val="22"/>
          <w:szCs w:val="22"/>
          <w:lang w:val="en-US"/>
        </w:rPr>
        <w:t xml:space="preserve">lobal </w:t>
      </w:r>
      <w:r>
        <w:rPr>
          <w:rFonts w:asciiTheme="majorBidi" w:hAnsiTheme="majorBidi" w:cstheme="majorBidi"/>
          <w:bCs/>
          <w:snapToGrid w:val="0"/>
          <w:kern w:val="22"/>
          <w:szCs w:val="22"/>
          <w:lang w:val="en-US"/>
        </w:rPr>
        <w:t>B</w:t>
      </w:r>
      <w:r w:rsidRPr="00A142CA">
        <w:rPr>
          <w:rFonts w:asciiTheme="majorBidi" w:hAnsiTheme="majorBidi" w:cstheme="majorBidi"/>
          <w:bCs/>
          <w:snapToGrid w:val="0"/>
          <w:kern w:val="22"/>
          <w:szCs w:val="22"/>
          <w:lang w:val="en-US"/>
        </w:rPr>
        <w:t xml:space="preserve">iodiversity </w:t>
      </w:r>
      <w:r>
        <w:rPr>
          <w:rFonts w:asciiTheme="majorBidi" w:hAnsiTheme="majorBidi" w:cstheme="majorBidi"/>
          <w:bCs/>
          <w:snapToGrid w:val="0"/>
          <w:kern w:val="22"/>
          <w:szCs w:val="22"/>
          <w:lang w:val="en-US"/>
        </w:rPr>
        <w:t>F</w:t>
      </w:r>
      <w:r w:rsidRPr="00A142CA">
        <w:rPr>
          <w:rFonts w:asciiTheme="majorBidi" w:hAnsiTheme="majorBidi" w:cstheme="majorBidi"/>
          <w:bCs/>
          <w:snapToGrid w:val="0"/>
          <w:kern w:val="22"/>
          <w:szCs w:val="22"/>
          <w:lang w:val="en-US"/>
        </w:rPr>
        <w:t xml:space="preserve">ramework and its goals and targets as the main vehicle for implementation of the </w:t>
      </w:r>
      <w:r>
        <w:rPr>
          <w:rFonts w:asciiTheme="majorBidi" w:hAnsiTheme="majorBidi" w:cstheme="majorBidi"/>
          <w:bCs/>
          <w:snapToGrid w:val="0"/>
          <w:kern w:val="22"/>
          <w:szCs w:val="22"/>
          <w:lang w:val="en-US"/>
        </w:rPr>
        <w:t>Framework</w:t>
      </w:r>
      <w:r w:rsidRPr="00A142CA">
        <w:rPr>
          <w:rFonts w:asciiTheme="majorBidi" w:hAnsiTheme="majorBidi" w:cstheme="majorBidi"/>
          <w:bCs/>
          <w:snapToGrid w:val="0"/>
          <w:kern w:val="22"/>
          <w:szCs w:val="22"/>
          <w:lang w:val="en-US"/>
        </w:rPr>
        <w:t>, including national targets communicated in a standardized format</w:t>
      </w:r>
      <w:r>
        <w:rPr>
          <w:rFonts w:asciiTheme="majorBidi" w:hAnsiTheme="majorBidi" w:cstheme="majorBidi"/>
          <w:bCs/>
          <w:snapToGrid w:val="0"/>
          <w:kern w:val="22"/>
          <w:szCs w:val="22"/>
          <w:lang w:val="en-US"/>
        </w:rPr>
        <w:t xml:space="preserve"> </w:t>
      </w:r>
      <w:r w:rsidRPr="00A142CA">
        <w:rPr>
          <w:rFonts w:asciiTheme="majorBidi" w:hAnsiTheme="majorBidi" w:cstheme="majorBidi"/>
          <w:bCs/>
          <w:snapToGrid w:val="0"/>
          <w:kern w:val="22"/>
          <w:szCs w:val="22"/>
          <w:lang w:val="en-US"/>
        </w:rPr>
        <w:t xml:space="preserve">by </w:t>
      </w:r>
      <w:r>
        <w:rPr>
          <w:rFonts w:asciiTheme="majorBidi" w:hAnsiTheme="majorBidi" w:cstheme="majorBidi"/>
          <w:bCs/>
          <w:snapToGrid w:val="0"/>
          <w:kern w:val="22"/>
          <w:szCs w:val="22"/>
          <w:lang w:val="en-US"/>
        </w:rPr>
        <w:t>the Conference of the Parties at its sixteenth meeting</w:t>
      </w:r>
      <w:r w:rsidRPr="00A142CA">
        <w:rPr>
          <w:rFonts w:asciiTheme="majorBidi" w:hAnsiTheme="majorBidi" w:cstheme="majorBidi"/>
          <w:bCs/>
          <w:snapToGrid w:val="0"/>
          <w:kern w:val="22"/>
          <w:szCs w:val="22"/>
          <w:lang w:val="en-US"/>
        </w:rPr>
        <w:t>;</w:t>
      </w:r>
    </w:p>
    <w:p w14:paraId="20C109EB" w14:textId="77777777" w:rsidR="00005A3C" w:rsidRPr="004F65AE" w:rsidRDefault="00005A3C"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b)</w:t>
      </w:r>
      <w:r>
        <w:rPr>
          <w:rFonts w:asciiTheme="majorBidi" w:hAnsiTheme="majorBidi" w:cstheme="majorBidi"/>
          <w:bCs/>
          <w:snapToGrid w:val="0"/>
          <w:kern w:val="22"/>
          <w:szCs w:val="22"/>
          <w:lang w:val="en-US"/>
        </w:rPr>
        <w:tab/>
      </w:r>
      <w:r w:rsidRPr="004F65AE">
        <w:rPr>
          <w:rFonts w:asciiTheme="majorBidi" w:hAnsiTheme="majorBidi" w:cstheme="majorBidi"/>
          <w:bCs/>
          <w:snapToGrid w:val="0"/>
          <w:kern w:val="22"/>
          <w:szCs w:val="22"/>
          <w:lang w:val="en-US"/>
        </w:rPr>
        <w:t>National reports submitted in 2026 and 2029, including the headline and</w:t>
      </w: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 xml:space="preserve">as appropriate, </w:t>
      </w:r>
      <w:r w:rsidRPr="004F65AE">
        <w:rPr>
          <w:rFonts w:asciiTheme="majorBidi" w:hAnsiTheme="majorBidi" w:cstheme="majorBidi"/>
          <w:bCs/>
          <w:snapToGrid w:val="0"/>
          <w:kern w:val="22"/>
          <w:szCs w:val="22"/>
          <w:lang w:val="en-US"/>
        </w:rPr>
        <w:t xml:space="preserve">other indicators adopted in decision </w:t>
      </w:r>
      <w:r w:rsidRPr="003158B8">
        <w:rPr>
          <w:rFonts w:asciiTheme="majorBidi" w:hAnsiTheme="majorBidi" w:cstheme="majorBidi"/>
          <w:bCs/>
          <w:snapToGrid w:val="0"/>
          <w:kern w:val="22"/>
          <w:szCs w:val="22"/>
          <w:lang w:val="en-US"/>
        </w:rPr>
        <w:t>15/5;</w:t>
      </w:r>
    </w:p>
    <w:p w14:paraId="28A648BA" w14:textId="77777777"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c)</w:t>
      </w:r>
      <w:r>
        <w:rPr>
          <w:rFonts w:asciiTheme="majorBidi" w:hAnsiTheme="majorBidi" w:cstheme="majorBidi"/>
          <w:bCs/>
          <w:snapToGrid w:val="0"/>
          <w:kern w:val="22"/>
          <w:szCs w:val="22"/>
          <w:lang w:val="en-US"/>
        </w:rPr>
        <w:tab/>
      </w:r>
      <w:r w:rsidRPr="004F65AE">
        <w:rPr>
          <w:rFonts w:asciiTheme="majorBidi" w:hAnsiTheme="majorBidi" w:cstheme="majorBidi"/>
          <w:bCs/>
          <w:snapToGrid w:val="0"/>
          <w:kern w:val="22"/>
          <w:szCs w:val="22"/>
          <w:lang w:val="en-US"/>
        </w:rPr>
        <w:t xml:space="preserve">Global analysis of information in </w:t>
      </w:r>
      <w:r>
        <w:rPr>
          <w:rFonts w:asciiTheme="majorBidi" w:hAnsiTheme="majorBidi" w:cstheme="majorBidi"/>
          <w:bCs/>
          <w:snapToGrid w:val="0"/>
          <w:kern w:val="22"/>
          <w:szCs w:val="22"/>
          <w:lang w:val="en-US"/>
        </w:rPr>
        <w:t>n</w:t>
      </w:r>
      <w:r w:rsidRPr="008D5D25">
        <w:rPr>
          <w:rFonts w:asciiTheme="majorBidi" w:hAnsiTheme="majorBidi" w:cstheme="majorBidi"/>
          <w:bCs/>
          <w:snapToGrid w:val="0"/>
          <w:kern w:val="22"/>
          <w:szCs w:val="22"/>
          <w:lang w:val="en-US"/>
        </w:rPr>
        <w:t>ational biodiversity strategies and action plans</w:t>
      </w:r>
      <w:r>
        <w:rPr>
          <w:rFonts w:asciiTheme="majorBidi" w:hAnsiTheme="majorBidi" w:cstheme="majorBidi"/>
          <w:bCs/>
          <w:snapToGrid w:val="0"/>
          <w:kern w:val="22"/>
          <w:szCs w:val="22"/>
          <w:lang w:val="en-US"/>
        </w:rPr>
        <w:t>,</w:t>
      </w:r>
      <w:r w:rsidRPr="008D5D25" w:rsidDel="008D5D25">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 xml:space="preserve">including national targets </w:t>
      </w:r>
      <w:r w:rsidRPr="004F65AE">
        <w:rPr>
          <w:rFonts w:asciiTheme="majorBidi" w:hAnsiTheme="majorBidi" w:cstheme="majorBidi"/>
          <w:bCs/>
          <w:snapToGrid w:val="0"/>
          <w:kern w:val="22"/>
          <w:szCs w:val="22"/>
          <w:lang w:val="en-US"/>
        </w:rPr>
        <w:t xml:space="preserve">to assess the contribution towards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lang w:val="en-US"/>
        </w:rPr>
        <w:t>Global Biodiversity Framework</w:t>
      </w:r>
      <w:r w:rsidRPr="004F65AE">
        <w:rPr>
          <w:rFonts w:asciiTheme="majorBidi" w:hAnsiTheme="majorBidi" w:cstheme="majorBidi"/>
          <w:bCs/>
          <w:snapToGrid w:val="0"/>
          <w:kern w:val="22"/>
          <w:szCs w:val="22"/>
          <w:lang w:val="en-US"/>
        </w:rPr>
        <w:t xml:space="preserve"> considered </w:t>
      </w:r>
      <w:r>
        <w:rPr>
          <w:rFonts w:asciiTheme="majorBidi" w:hAnsiTheme="majorBidi" w:cstheme="majorBidi"/>
          <w:bCs/>
          <w:snapToGrid w:val="0"/>
          <w:kern w:val="22"/>
          <w:szCs w:val="22"/>
          <w:lang w:val="en-US"/>
        </w:rPr>
        <w:t>by</w:t>
      </w:r>
      <w:r w:rsidRPr="004F65AE">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the Conference of the Parties</w:t>
      </w:r>
      <w:r w:rsidRPr="004F65AE" w:rsidDel="001212F5">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 xml:space="preserve">at its sixteenth meeting </w:t>
      </w:r>
      <w:r w:rsidRPr="004F65AE">
        <w:rPr>
          <w:rFonts w:asciiTheme="majorBidi" w:hAnsiTheme="majorBidi" w:cstheme="majorBidi"/>
          <w:bCs/>
          <w:snapToGrid w:val="0"/>
          <w:kern w:val="22"/>
          <w:szCs w:val="22"/>
          <w:lang w:val="en-US"/>
        </w:rPr>
        <w:t xml:space="preserve">and at each subsequent </w:t>
      </w:r>
      <w:r>
        <w:rPr>
          <w:rFonts w:asciiTheme="majorBidi" w:hAnsiTheme="majorBidi" w:cstheme="majorBidi"/>
          <w:bCs/>
          <w:snapToGrid w:val="0"/>
          <w:kern w:val="22"/>
          <w:szCs w:val="22"/>
          <w:lang w:val="en-US"/>
        </w:rPr>
        <w:t>meeting of the Conference of the Parties</w:t>
      </w:r>
      <w:r w:rsidRPr="004F65AE">
        <w:rPr>
          <w:rFonts w:asciiTheme="majorBidi" w:hAnsiTheme="majorBidi" w:cstheme="majorBidi"/>
          <w:bCs/>
          <w:snapToGrid w:val="0"/>
          <w:kern w:val="22"/>
          <w:szCs w:val="22"/>
          <w:lang w:val="en-US"/>
        </w:rPr>
        <w:t>;</w:t>
      </w:r>
    </w:p>
    <w:p w14:paraId="0E40BE92" w14:textId="77777777"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d)</w:t>
      </w:r>
      <w:r>
        <w:rPr>
          <w:rFonts w:asciiTheme="majorBidi" w:hAnsiTheme="majorBidi" w:cstheme="majorBidi"/>
          <w:bCs/>
          <w:snapToGrid w:val="0"/>
          <w:kern w:val="22"/>
          <w:szCs w:val="22"/>
          <w:lang w:val="en-US"/>
        </w:rPr>
        <w:tab/>
      </w:r>
      <w:r w:rsidRPr="004F65AE">
        <w:rPr>
          <w:rFonts w:asciiTheme="majorBidi" w:hAnsiTheme="majorBidi" w:cstheme="majorBidi"/>
          <w:bCs/>
          <w:snapToGrid w:val="0"/>
          <w:kern w:val="22"/>
          <w:szCs w:val="22"/>
          <w:lang w:val="en-US"/>
        </w:rPr>
        <w:t xml:space="preserve">Global review of collective progress in the implementation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lang w:val="en-US"/>
        </w:rPr>
        <w:t>Global Biodiversity Framework,</w:t>
      </w:r>
      <w:r w:rsidRPr="004F65AE">
        <w:rPr>
          <w:rFonts w:asciiTheme="majorBidi" w:hAnsiTheme="majorBidi" w:cstheme="majorBidi"/>
          <w:bCs/>
          <w:snapToGrid w:val="0"/>
          <w:kern w:val="22"/>
          <w:szCs w:val="22"/>
          <w:lang w:val="en-US"/>
        </w:rPr>
        <w:t xml:space="preserve"> including the means of implementation</w:t>
      </w:r>
      <w:r>
        <w:rPr>
          <w:rFonts w:asciiTheme="majorBidi" w:hAnsiTheme="majorBidi" w:cstheme="majorBidi"/>
          <w:bCs/>
          <w:snapToGrid w:val="0"/>
          <w:kern w:val="22"/>
          <w:szCs w:val="22"/>
          <w:lang w:val="en-US"/>
        </w:rPr>
        <w:t>, based on national reports and, as appropriate, other sources, to be considered</w:t>
      </w:r>
      <w:r w:rsidRPr="004F65AE">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by the Conference of the Parties</w:t>
      </w:r>
      <w:r w:rsidRPr="007C7DCC">
        <w:rPr>
          <w:rFonts w:asciiTheme="majorBidi" w:hAnsiTheme="majorBidi" w:cstheme="majorBidi"/>
          <w:bCs/>
          <w:snapToGrid w:val="0"/>
          <w:kern w:val="22"/>
          <w:szCs w:val="22"/>
          <w:lang w:val="en-US"/>
        </w:rPr>
        <w:t xml:space="preserve"> </w:t>
      </w:r>
      <w:r w:rsidRPr="004F65AE">
        <w:rPr>
          <w:rFonts w:asciiTheme="majorBidi" w:hAnsiTheme="majorBidi" w:cstheme="majorBidi"/>
          <w:bCs/>
          <w:snapToGrid w:val="0"/>
          <w:kern w:val="22"/>
          <w:szCs w:val="22"/>
          <w:lang w:val="en-US"/>
        </w:rPr>
        <w:t xml:space="preserve">at </w:t>
      </w:r>
      <w:r>
        <w:rPr>
          <w:rFonts w:asciiTheme="majorBidi" w:hAnsiTheme="majorBidi" w:cstheme="majorBidi"/>
          <w:bCs/>
          <w:snapToGrid w:val="0"/>
          <w:kern w:val="22"/>
          <w:szCs w:val="22"/>
          <w:lang w:val="en-US"/>
        </w:rPr>
        <w:t>its seventeenth and nineteenth meetings</w:t>
      </w:r>
      <w:r w:rsidRPr="004F65AE">
        <w:rPr>
          <w:rFonts w:asciiTheme="majorBidi" w:hAnsiTheme="majorBidi" w:cstheme="majorBidi"/>
          <w:bCs/>
          <w:snapToGrid w:val="0"/>
          <w:kern w:val="22"/>
          <w:szCs w:val="22"/>
          <w:lang w:val="en-US"/>
        </w:rPr>
        <w:t>;</w:t>
      </w:r>
      <w:r>
        <w:rPr>
          <w:rFonts w:asciiTheme="majorBidi" w:hAnsiTheme="majorBidi" w:cstheme="majorBidi"/>
          <w:bCs/>
          <w:snapToGrid w:val="0"/>
          <w:kern w:val="22"/>
          <w:szCs w:val="22"/>
          <w:lang w:val="en-US"/>
        </w:rPr>
        <w:t xml:space="preserve"> </w:t>
      </w:r>
    </w:p>
    <w:p w14:paraId="64DBA6F3" w14:textId="77777777" w:rsidR="00005A3C"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e)</w:t>
      </w:r>
      <w:r>
        <w:rPr>
          <w:rFonts w:asciiTheme="majorBidi" w:hAnsiTheme="majorBidi" w:cstheme="majorBidi"/>
          <w:bCs/>
          <w:snapToGrid w:val="0"/>
          <w:kern w:val="22"/>
          <w:szCs w:val="22"/>
          <w:lang w:val="en-US"/>
        </w:rPr>
        <w:tab/>
      </w:r>
      <w:r w:rsidRPr="004F65AE">
        <w:rPr>
          <w:rFonts w:asciiTheme="majorBidi" w:hAnsiTheme="majorBidi" w:cstheme="majorBidi"/>
          <w:bCs/>
          <w:snapToGrid w:val="0"/>
          <w:kern w:val="22"/>
          <w:szCs w:val="22"/>
          <w:lang w:val="en-US"/>
        </w:rPr>
        <w:t>Voluntary peer reviews</w:t>
      </w:r>
      <w:r>
        <w:rPr>
          <w:rFonts w:asciiTheme="majorBidi" w:hAnsiTheme="majorBidi" w:cstheme="majorBidi"/>
          <w:bCs/>
          <w:snapToGrid w:val="0"/>
          <w:kern w:val="22"/>
          <w:szCs w:val="22"/>
          <w:lang w:val="en-US"/>
        </w:rPr>
        <w:t>;</w:t>
      </w:r>
      <w:r w:rsidRPr="004F65AE">
        <w:rPr>
          <w:rFonts w:asciiTheme="majorBidi" w:hAnsiTheme="majorBidi" w:cstheme="majorBidi"/>
          <w:bCs/>
          <w:snapToGrid w:val="0"/>
          <w:kern w:val="22"/>
          <w:szCs w:val="22"/>
          <w:lang w:val="en-US"/>
        </w:rPr>
        <w:t xml:space="preserve"> </w:t>
      </w:r>
    </w:p>
    <w:p w14:paraId="59A0B628" w14:textId="571E7AE5" w:rsidR="00005A3C" w:rsidRPr="004F65AE"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(f)</w:t>
      </w:r>
      <w:r>
        <w:rPr>
          <w:rFonts w:asciiTheme="majorBidi" w:hAnsiTheme="majorBidi" w:cstheme="majorBidi"/>
          <w:bCs/>
          <w:snapToGrid w:val="0"/>
          <w:kern w:val="22"/>
          <w:szCs w:val="22"/>
          <w:lang w:val="en-US"/>
        </w:rPr>
        <w:tab/>
        <w:t>F</w:t>
      </w:r>
      <w:r w:rsidRPr="004F65AE">
        <w:rPr>
          <w:rFonts w:asciiTheme="majorBidi" w:hAnsiTheme="majorBidi" w:cstheme="majorBidi"/>
          <w:bCs/>
          <w:snapToGrid w:val="0"/>
          <w:kern w:val="22"/>
          <w:szCs w:val="22"/>
          <w:lang w:val="en-US"/>
        </w:rPr>
        <w:t>urther development and testing of an open-ended forum for voluntary count</w:t>
      </w:r>
      <w:r w:rsidR="009256B5">
        <w:rPr>
          <w:rFonts w:asciiTheme="majorBidi" w:hAnsiTheme="majorBidi" w:cstheme="majorBidi"/>
          <w:bCs/>
          <w:snapToGrid w:val="0"/>
          <w:kern w:val="22"/>
          <w:szCs w:val="22"/>
          <w:lang w:val="en-US"/>
        </w:rPr>
        <w:t>r</w:t>
      </w:r>
      <w:r w:rsidRPr="004F65AE">
        <w:rPr>
          <w:rFonts w:asciiTheme="majorBidi" w:hAnsiTheme="majorBidi" w:cstheme="majorBidi"/>
          <w:bCs/>
          <w:snapToGrid w:val="0"/>
          <w:kern w:val="22"/>
          <w:szCs w:val="22"/>
          <w:lang w:val="en-US"/>
        </w:rPr>
        <w:t>y reviews</w:t>
      </w:r>
      <w:r>
        <w:rPr>
          <w:rFonts w:asciiTheme="majorBidi" w:hAnsiTheme="majorBidi" w:cstheme="majorBidi"/>
          <w:bCs/>
          <w:snapToGrid w:val="0"/>
          <w:kern w:val="22"/>
          <w:szCs w:val="22"/>
          <w:lang w:val="en-US"/>
        </w:rPr>
        <w:t>;</w:t>
      </w:r>
    </w:p>
    <w:p w14:paraId="0578FC5E" w14:textId="77777777" w:rsidR="00005A3C" w:rsidRDefault="00005A3C"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(g</w:t>
      </w:r>
      <w:r w:rsidRPr="004F65AE">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ab/>
        <w:t>I</w:t>
      </w:r>
      <w:r w:rsidRPr="004F65AE">
        <w:rPr>
          <w:rFonts w:asciiTheme="majorBidi" w:hAnsiTheme="majorBidi" w:cstheme="majorBidi"/>
          <w:bCs/>
          <w:snapToGrid w:val="0"/>
          <w:kern w:val="22"/>
          <w:szCs w:val="22"/>
          <w:lang w:val="en-US"/>
        </w:rPr>
        <w:t>nformation on non-</w:t>
      </w:r>
      <w:r>
        <w:rPr>
          <w:rFonts w:asciiTheme="majorBidi" w:hAnsiTheme="majorBidi" w:cstheme="majorBidi"/>
          <w:bCs/>
          <w:snapToGrid w:val="0"/>
          <w:kern w:val="22"/>
          <w:szCs w:val="22"/>
          <w:lang w:val="en-US"/>
        </w:rPr>
        <w:t>S</w:t>
      </w:r>
      <w:r w:rsidRPr="004F65AE">
        <w:rPr>
          <w:rFonts w:asciiTheme="majorBidi" w:hAnsiTheme="majorBidi" w:cstheme="majorBidi"/>
          <w:bCs/>
          <w:snapToGrid w:val="0"/>
          <w:kern w:val="22"/>
          <w:szCs w:val="22"/>
          <w:lang w:val="en-US"/>
        </w:rPr>
        <w:t xml:space="preserve">tate actor commitments towards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lang w:val="en-US"/>
        </w:rPr>
        <w:t>Global Biodiversity Framework;</w:t>
      </w:r>
    </w:p>
    <w:p w14:paraId="0D7661D7" w14:textId="77777777" w:rsidR="00005A3C" w:rsidRDefault="00005A3C"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2.</w:t>
      </w:r>
      <w:r>
        <w:rPr>
          <w:rFonts w:asciiTheme="majorBidi" w:hAnsiTheme="majorBidi" w:cstheme="majorBidi"/>
          <w:bCs/>
          <w:snapToGrid w:val="0"/>
          <w:kern w:val="22"/>
          <w:szCs w:val="22"/>
          <w:lang w:val="en-US"/>
        </w:rPr>
        <w:tab/>
      </w:r>
      <w:r>
        <w:rPr>
          <w:rFonts w:asciiTheme="majorBidi" w:hAnsiTheme="majorBidi" w:cstheme="majorBidi"/>
          <w:bCs/>
          <w:i/>
          <w:iCs/>
          <w:snapToGrid w:val="0"/>
          <w:kern w:val="22"/>
          <w:szCs w:val="22"/>
          <w:lang w:val="en-US"/>
        </w:rPr>
        <w:t>Decides</w:t>
      </w:r>
      <w:r w:rsidRPr="00A142CA">
        <w:rPr>
          <w:rFonts w:asciiTheme="majorBidi" w:hAnsiTheme="majorBidi" w:cstheme="majorBidi"/>
          <w:bCs/>
          <w:snapToGrid w:val="0"/>
          <w:kern w:val="22"/>
          <w:szCs w:val="22"/>
          <w:lang w:val="en-US"/>
        </w:rPr>
        <w:t xml:space="preserve"> that</w:t>
      </w:r>
      <w:r>
        <w:rPr>
          <w:rFonts w:asciiTheme="majorBidi" w:hAnsiTheme="majorBidi" w:cstheme="majorBidi"/>
          <w:bCs/>
          <w:i/>
          <w:iCs/>
          <w:snapToGrid w:val="0"/>
          <w:kern w:val="22"/>
          <w:szCs w:val="22"/>
          <w:lang w:val="en-US"/>
        </w:rPr>
        <w:t xml:space="preserve"> </w:t>
      </w:r>
      <w:r>
        <w:rPr>
          <w:rFonts w:asciiTheme="majorBidi" w:hAnsiTheme="majorBidi" w:cstheme="majorBidi"/>
          <w:bCs/>
          <w:snapToGrid w:val="0"/>
          <w:kern w:val="22"/>
          <w:szCs w:val="22"/>
          <w:lang w:val="en-US"/>
        </w:rPr>
        <w:t xml:space="preserve">future meetings of the Conference of the Parties will consider and provide any recommendations, as necessary, with a view to achieving the goals and targets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lang w:val="en-US"/>
        </w:rPr>
        <w:t>Global Biodiversity Framework;</w:t>
      </w:r>
    </w:p>
    <w:p w14:paraId="119437B8" w14:textId="77777777" w:rsidR="00005A3C" w:rsidRPr="004F65AE" w:rsidRDefault="00005A3C"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3.</w:t>
      </w:r>
      <w:r w:rsidRPr="00B90392">
        <w:rPr>
          <w:rFonts w:asciiTheme="majorBidi" w:hAnsiTheme="majorBidi" w:cstheme="majorBidi"/>
          <w:bCs/>
          <w:i/>
          <w:iCs/>
          <w:snapToGrid w:val="0"/>
          <w:kern w:val="22"/>
          <w:szCs w:val="22"/>
          <w:lang w:val="en-US"/>
        </w:rPr>
        <w:t xml:space="preserve"> </w:t>
      </w:r>
      <w:r>
        <w:rPr>
          <w:rFonts w:asciiTheme="majorBidi" w:hAnsiTheme="majorBidi" w:cstheme="majorBidi"/>
          <w:bCs/>
          <w:i/>
          <w:iCs/>
          <w:snapToGrid w:val="0"/>
          <w:kern w:val="22"/>
          <w:szCs w:val="22"/>
          <w:lang w:val="en-US"/>
        </w:rPr>
        <w:tab/>
        <w:t>Also d</w:t>
      </w:r>
      <w:r w:rsidRPr="00B90392">
        <w:rPr>
          <w:rFonts w:asciiTheme="majorBidi" w:hAnsiTheme="majorBidi" w:cstheme="majorBidi"/>
          <w:bCs/>
          <w:i/>
          <w:iCs/>
          <w:snapToGrid w:val="0"/>
          <w:kern w:val="22"/>
          <w:szCs w:val="22"/>
          <w:lang w:val="en-US"/>
        </w:rPr>
        <w:t>ecides</w:t>
      </w:r>
      <w:r w:rsidRPr="00B90392">
        <w:rPr>
          <w:rFonts w:asciiTheme="majorBidi" w:hAnsiTheme="majorBidi" w:cstheme="majorBidi"/>
          <w:bCs/>
          <w:snapToGrid w:val="0"/>
          <w:kern w:val="22"/>
          <w:szCs w:val="22"/>
          <w:lang w:val="en-US"/>
        </w:rPr>
        <w:t xml:space="preserve"> that the enhanced multidimensional approach to planning, monitoring, reporting and review will be undertaken in a facilitative, non-intrusive</w:t>
      </w:r>
      <w:r>
        <w:rPr>
          <w:rFonts w:asciiTheme="majorBidi" w:hAnsiTheme="majorBidi" w:cstheme="majorBidi"/>
          <w:bCs/>
          <w:snapToGrid w:val="0"/>
          <w:kern w:val="22"/>
          <w:szCs w:val="22"/>
          <w:lang w:val="en-US"/>
        </w:rPr>
        <w:t xml:space="preserve"> and</w:t>
      </w:r>
      <w:r w:rsidRPr="00B90392">
        <w:rPr>
          <w:rFonts w:asciiTheme="majorBidi" w:hAnsiTheme="majorBidi" w:cstheme="majorBidi"/>
          <w:bCs/>
          <w:snapToGrid w:val="0"/>
          <w:kern w:val="22"/>
          <w:szCs w:val="22"/>
          <w:lang w:val="en-US"/>
        </w:rPr>
        <w:t xml:space="preserve"> non</w:t>
      </w:r>
      <w:r>
        <w:rPr>
          <w:rFonts w:asciiTheme="majorBidi" w:hAnsiTheme="majorBidi" w:cstheme="majorBidi"/>
          <w:bCs/>
          <w:snapToGrid w:val="0"/>
          <w:kern w:val="22"/>
          <w:szCs w:val="22"/>
          <w:lang w:val="en-US"/>
        </w:rPr>
        <w:t>-</w:t>
      </w:r>
      <w:r w:rsidRPr="00B90392">
        <w:rPr>
          <w:rFonts w:asciiTheme="majorBidi" w:hAnsiTheme="majorBidi" w:cstheme="majorBidi"/>
          <w:bCs/>
          <w:snapToGrid w:val="0"/>
          <w:kern w:val="22"/>
          <w:szCs w:val="22"/>
          <w:lang w:val="en-US"/>
        </w:rPr>
        <w:t>punitive manner, respecting national sovereignty and avoiding placing undue burden on Parties, in particular developing countries</w:t>
      </w:r>
      <w:r>
        <w:rPr>
          <w:rFonts w:asciiTheme="majorBidi" w:hAnsiTheme="majorBidi" w:cstheme="majorBidi"/>
          <w:bCs/>
          <w:snapToGrid w:val="0"/>
          <w:kern w:val="22"/>
          <w:szCs w:val="22"/>
          <w:lang w:val="en-US"/>
        </w:rPr>
        <w:t>;</w:t>
      </w:r>
      <w:r w:rsidRPr="00B90392" w:rsidDel="00B36BFB">
        <w:rPr>
          <w:rFonts w:asciiTheme="majorBidi" w:hAnsiTheme="majorBidi" w:cstheme="majorBidi"/>
          <w:bCs/>
          <w:snapToGrid w:val="0"/>
          <w:kern w:val="22"/>
          <w:szCs w:val="22"/>
          <w:lang w:val="en-US"/>
        </w:rPr>
        <w:t xml:space="preserve"> </w:t>
      </w:r>
    </w:p>
    <w:p w14:paraId="7E2A53AC" w14:textId="77777777" w:rsidR="00005A3C" w:rsidRDefault="00005A3C"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lastRenderedPageBreak/>
        <w:t>4</w:t>
      </w:r>
      <w:r w:rsidRPr="004F65AE">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ab/>
      </w:r>
      <w:r w:rsidRPr="004F65AE">
        <w:rPr>
          <w:rFonts w:asciiTheme="majorBidi" w:hAnsiTheme="majorBidi" w:cstheme="majorBidi"/>
          <w:bCs/>
          <w:i/>
          <w:iCs/>
          <w:snapToGrid w:val="0"/>
          <w:kern w:val="22"/>
          <w:szCs w:val="22"/>
        </w:rPr>
        <w:t>Encourages</w:t>
      </w:r>
      <w:r w:rsidRPr="004F65AE">
        <w:rPr>
          <w:rFonts w:asciiTheme="majorBidi" w:hAnsiTheme="majorBidi" w:cstheme="majorBidi"/>
          <w:bCs/>
          <w:snapToGrid w:val="0"/>
          <w:kern w:val="22"/>
          <w:szCs w:val="22"/>
        </w:rPr>
        <w:t xml:space="preserve"> Parties to apply the </w:t>
      </w:r>
      <w:r>
        <w:rPr>
          <w:rFonts w:asciiTheme="majorBidi" w:hAnsiTheme="majorBidi" w:cstheme="majorBidi"/>
          <w:bCs/>
          <w:snapToGrid w:val="0"/>
          <w:kern w:val="22"/>
          <w:szCs w:val="22"/>
        </w:rPr>
        <w:t>G</w:t>
      </w:r>
      <w:r w:rsidRPr="004F65AE">
        <w:rPr>
          <w:rFonts w:asciiTheme="majorBidi" w:hAnsiTheme="majorBidi" w:cstheme="majorBidi"/>
          <w:bCs/>
          <w:snapToGrid w:val="0"/>
          <w:kern w:val="22"/>
          <w:szCs w:val="22"/>
        </w:rPr>
        <w:t xml:space="preserve">ender </w:t>
      </w:r>
      <w:r>
        <w:rPr>
          <w:rFonts w:asciiTheme="majorBidi" w:hAnsiTheme="majorBidi" w:cstheme="majorBidi"/>
          <w:bCs/>
          <w:snapToGrid w:val="0"/>
          <w:kern w:val="22"/>
          <w:szCs w:val="22"/>
        </w:rPr>
        <w:t>P</w:t>
      </w:r>
      <w:r w:rsidRPr="004F65AE">
        <w:rPr>
          <w:rFonts w:asciiTheme="majorBidi" w:hAnsiTheme="majorBidi" w:cstheme="majorBidi"/>
          <w:bCs/>
          <w:snapToGrid w:val="0"/>
          <w:kern w:val="22"/>
          <w:szCs w:val="22"/>
        </w:rPr>
        <w:t xml:space="preserve">lan of </w:t>
      </w:r>
      <w:r>
        <w:rPr>
          <w:rFonts w:asciiTheme="majorBidi" w:hAnsiTheme="majorBidi" w:cstheme="majorBidi"/>
          <w:bCs/>
          <w:snapToGrid w:val="0"/>
          <w:kern w:val="22"/>
          <w:szCs w:val="22"/>
        </w:rPr>
        <w:t>A</w:t>
      </w:r>
      <w:r w:rsidRPr="004F65AE">
        <w:rPr>
          <w:rFonts w:asciiTheme="majorBidi" w:hAnsiTheme="majorBidi" w:cstheme="majorBidi"/>
          <w:bCs/>
          <w:snapToGrid w:val="0"/>
          <w:kern w:val="22"/>
          <w:szCs w:val="22"/>
        </w:rPr>
        <w:t>ction</w:t>
      </w:r>
      <w:r w:rsidRPr="00610646">
        <w:rPr>
          <w:rStyle w:val="FootnoteReference"/>
        </w:rPr>
        <w:footnoteReference w:id="41"/>
      </w:r>
      <w:r w:rsidRPr="004F65AE">
        <w:rPr>
          <w:rFonts w:asciiTheme="majorBidi" w:hAnsiTheme="majorBidi" w:cstheme="majorBidi"/>
          <w:bCs/>
          <w:snapToGrid w:val="0"/>
          <w:kern w:val="22"/>
          <w:szCs w:val="22"/>
        </w:rPr>
        <w:t xml:space="preserve"> in all aspects and at all scales of planning, implementation, reporting and review related to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rPr>
        <w:t xml:space="preserve">Global Biodiversity Framework; </w:t>
      </w:r>
    </w:p>
    <w:p w14:paraId="38D8F8C7" w14:textId="77777777" w:rsidR="00005A3C" w:rsidRPr="004F65AE" w:rsidRDefault="00005A3C" w:rsidP="009D6BD6">
      <w:pPr>
        <w:keepNext/>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
          <w:snapToGrid w:val="0"/>
          <w:kern w:val="22"/>
          <w:szCs w:val="22"/>
        </w:rPr>
      </w:pPr>
      <w:r w:rsidRPr="004F65AE">
        <w:rPr>
          <w:rFonts w:asciiTheme="majorBidi" w:hAnsiTheme="majorBidi" w:cstheme="majorBidi"/>
          <w:b/>
          <w:snapToGrid w:val="0"/>
          <w:kern w:val="22"/>
          <w:szCs w:val="22"/>
        </w:rPr>
        <w:t xml:space="preserve">Planning </w:t>
      </w:r>
    </w:p>
    <w:p w14:paraId="76CCB78B" w14:textId="77777777" w:rsidR="00005A3C" w:rsidRPr="004F65AE" w:rsidRDefault="00005A3C"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5</w:t>
      </w:r>
      <w:r w:rsidRPr="004F65AE">
        <w:rPr>
          <w:rFonts w:asciiTheme="majorBidi" w:hAnsiTheme="majorBidi" w:cstheme="majorBidi"/>
          <w:bCs/>
          <w:snapToGrid w:val="0"/>
          <w:kern w:val="22"/>
          <w:szCs w:val="22"/>
        </w:rPr>
        <w:t>.</w:t>
      </w:r>
      <w:r w:rsidRPr="004F65AE">
        <w:rPr>
          <w:rFonts w:asciiTheme="majorBidi" w:hAnsiTheme="majorBidi" w:cstheme="majorBidi"/>
          <w:bCs/>
          <w:i/>
          <w:iCs/>
          <w:snapToGrid w:val="0"/>
          <w:kern w:val="22"/>
          <w:szCs w:val="22"/>
        </w:rPr>
        <w:tab/>
        <w:t xml:space="preserve">Adopts </w:t>
      </w:r>
      <w:r w:rsidRPr="004F65AE">
        <w:rPr>
          <w:rFonts w:asciiTheme="majorBidi" w:hAnsiTheme="majorBidi" w:cstheme="majorBidi"/>
          <w:bCs/>
          <w:snapToGrid w:val="0"/>
          <w:kern w:val="22"/>
          <w:szCs w:val="22"/>
        </w:rPr>
        <w:t>the guidance for revising and updating national biodiversity strategies and action plans</w:t>
      </w:r>
      <w:r>
        <w:rPr>
          <w:rFonts w:asciiTheme="majorBidi" w:hAnsiTheme="majorBidi" w:cstheme="majorBidi"/>
          <w:bCs/>
          <w:snapToGrid w:val="0"/>
          <w:kern w:val="22"/>
          <w:szCs w:val="22"/>
        </w:rPr>
        <w:t xml:space="preserve"> contained</w:t>
      </w:r>
      <w:r w:rsidRPr="004F65AE">
        <w:rPr>
          <w:rFonts w:asciiTheme="majorBidi" w:hAnsiTheme="majorBidi" w:cstheme="majorBidi"/>
          <w:bCs/>
          <w:snapToGrid w:val="0"/>
          <w:kern w:val="22"/>
          <w:szCs w:val="22"/>
        </w:rPr>
        <w:t xml:space="preserve"> in annex I</w:t>
      </w:r>
      <w:r>
        <w:rPr>
          <w:rFonts w:asciiTheme="majorBidi" w:hAnsiTheme="majorBidi" w:cstheme="majorBidi"/>
          <w:bCs/>
          <w:snapToGrid w:val="0"/>
          <w:kern w:val="22"/>
          <w:szCs w:val="22"/>
        </w:rPr>
        <w:t xml:space="preserve"> to the present decision</w:t>
      </w:r>
      <w:r w:rsidRPr="004F65AE">
        <w:rPr>
          <w:rFonts w:asciiTheme="majorBidi" w:hAnsiTheme="majorBidi" w:cstheme="majorBidi"/>
          <w:bCs/>
          <w:snapToGrid w:val="0"/>
          <w:kern w:val="22"/>
          <w:szCs w:val="22"/>
        </w:rPr>
        <w:t>;</w:t>
      </w:r>
    </w:p>
    <w:p w14:paraId="26AA33C1" w14:textId="77777777" w:rsidR="00005A3C" w:rsidRPr="004F65AE" w:rsidRDefault="00005A3C"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szCs w:val="22"/>
        </w:rPr>
        <w:t>6</w:t>
      </w:r>
      <w:r w:rsidRPr="004F65AE">
        <w:rPr>
          <w:rFonts w:asciiTheme="majorBidi" w:hAnsiTheme="majorBidi" w:cstheme="majorBidi"/>
          <w:bCs/>
          <w:snapToGrid w:val="0"/>
          <w:szCs w:val="22"/>
        </w:rPr>
        <w:t>.</w:t>
      </w:r>
      <w:r w:rsidRPr="004F65AE">
        <w:rPr>
          <w:rFonts w:asciiTheme="majorBidi" w:hAnsiTheme="majorBidi" w:cstheme="majorBidi"/>
          <w:bCs/>
          <w:i/>
          <w:iCs/>
          <w:snapToGrid w:val="0"/>
          <w:kern w:val="22"/>
          <w:szCs w:val="22"/>
        </w:rPr>
        <w:tab/>
        <w:t>Request</w:t>
      </w:r>
      <w:r>
        <w:rPr>
          <w:rFonts w:asciiTheme="majorBidi" w:hAnsiTheme="majorBidi" w:cstheme="majorBidi"/>
          <w:bCs/>
          <w:i/>
          <w:iCs/>
          <w:snapToGrid w:val="0"/>
          <w:kern w:val="22"/>
          <w:szCs w:val="22"/>
        </w:rPr>
        <w:t>s</w:t>
      </w:r>
      <w:r w:rsidRPr="004F65AE">
        <w:rPr>
          <w:rFonts w:asciiTheme="majorBidi" w:hAnsiTheme="majorBidi" w:cstheme="majorBidi"/>
          <w:bCs/>
          <w:i/>
          <w:iCs/>
          <w:snapToGrid w:val="0"/>
          <w:kern w:val="22"/>
          <w:szCs w:val="22"/>
        </w:rPr>
        <w:t xml:space="preserve"> </w:t>
      </w:r>
      <w:r w:rsidRPr="004F65AE">
        <w:rPr>
          <w:rFonts w:asciiTheme="majorBidi" w:hAnsiTheme="majorBidi" w:cstheme="majorBidi"/>
          <w:bCs/>
          <w:snapToGrid w:val="0"/>
          <w:kern w:val="22"/>
          <w:szCs w:val="22"/>
        </w:rPr>
        <w:t xml:space="preserve">Parties to revise and update their national biodiversity strategies and action plans </w:t>
      </w:r>
      <w:r w:rsidRPr="00200B77">
        <w:rPr>
          <w:rFonts w:asciiTheme="majorBidi" w:hAnsiTheme="majorBidi" w:cstheme="majorBidi"/>
          <w:bCs/>
          <w:snapToGrid w:val="0"/>
          <w:kern w:val="22"/>
          <w:szCs w:val="22"/>
        </w:rPr>
        <w:t>in accordance with Article 6 of the Convention, following the guidance provided in annex I to the present decision, aligned with the</w:t>
      </w:r>
      <w:r w:rsidRPr="004F65AE">
        <w:rPr>
          <w:rFonts w:asciiTheme="majorBidi" w:hAnsiTheme="majorBidi" w:cstheme="majorBidi"/>
          <w:bCs/>
          <w:snapToGrid w:val="0"/>
          <w:kern w:val="22"/>
          <w:szCs w:val="22"/>
        </w:rPr>
        <w:t xml:space="preserv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rPr>
        <w:t>Global Biodiversity Framework</w:t>
      </w:r>
      <w:r>
        <w:rPr>
          <w:rFonts w:asciiTheme="majorBidi" w:hAnsiTheme="majorBidi" w:cstheme="majorBidi"/>
          <w:bCs/>
          <w:snapToGrid w:val="0"/>
          <w:kern w:val="22"/>
          <w:szCs w:val="22"/>
        </w:rPr>
        <w:t xml:space="preserve"> and its goals and targets, including those related to means of implementation,</w:t>
      </w:r>
      <w:r w:rsidRPr="004F65AE">
        <w:rPr>
          <w:rFonts w:asciiTheme="majorBidi" w:hAnsiTheme="majorBidi" w:cstheme="majorBidi"/>
          <w:bCs/>
          <w:snapToGrid w:val="0"/>
          <w:kern w:val="22"/>
          <w:szCs w:val="22"/>
        </w:rPr>
        <w:t xml:space="preserve"> and to submit them through the clearing</w:t>
      </w:r>
      <w:r w:rsidRPr="004F65AE">
        <w:rPr>
          <w:rFonts w:asciiTheme="majorBidi" w:hAnsiTheme="majorBidi" w:cstheme="majorBidi"/>
          <w:bCs/>
          <w:snapToGrid w:val="0"/>
          <w:kern w:val="22"/>
          <w:szCs w:val="22"/>
        </w:rPr>
        <w:noBreakHyphen/>
        <w:t xml:space="preserve">house mechanism </w:t>
      </w:r>
      <w:r w:rsidRPr="00767A38">
        <w:rPr>
          <w:rFonts w:asciiTheme="majorBidi" w:hAnsiTheme="majorBidi" w:cstheme="majorBidi"/>
          <w:bCs/>
          <w:snapToGrid w:val="0"/>
          <w:kern w:val="22"/>
          <w:szCs w:val="22"/>
        </w:rPr>
        <w:t xml:space="preserve">by </w:t>
      </w:r>
      <w:r>
        <w:rPr>
          <w:rFonts w:asciiTheme="majorBidi" w:hAnsiTheme="majorBidi" w:cstheme="majorBidi"/>
          <w:bCs/>
          <w:snapToGrid w:val="0"/>
          <w:kern w:val="22"/>
          <w:szCs w:val="22"/>
          <w:lang w:val="en-US"/>
        </w:rPr>
        <w:t>the sixteenth meeting of the Conference of the Parties</w:t>
      </w:r>
      <w:r w:rsidRPr="00767A38">
        <w:rPr>
          <w:rFonts w:asciiTheme="majorBidi" w:hAnsiTheme="majorBidi" w:cstheme="majorBidi"/>
          <w:bCs/>
          <w:snapToGrid w:val="0"/>
          <w:kern w:val="22"/>
          <w:szCs w:val="22"/>
        </w:rPr>
        <w:t>;</w:t>
      </w:r>
    </w:p>
    <w:p w14:paraId="6A902816" w14:textId="77777777" w:rsidR="00005A3C" w:rsidRPr="004C50B1" w:rsidRDefault="00005A3C" w:rsidP="009D6BD6">
      <w:pPr>
        <w:suppressLineNumbers/>
        <w:suppressAutoHyphens/>
        <w:adjustRightIn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7</w:t>
      </w:r>
      <w:r w:rsidRPr="004C50B1">
        <w:rPr>
          <w:rFonts w:asciiTheme="majorBidi" w:hAnsiTheme="majorBidi" w:cstheme="majorBidi"/>
          <w:bCs/>
          <w:snapToGrid w:val="0"/>
          <w:kern w:val="22"/>
          <w:szCs w:val="22"/>
        </w:rPr>
        <w:t>.</w:t>
      </w:r>
      <w:r w:rsidRPr="004C50B1">
        <w:rPr>
          <w:rFonts w:asciiTheme="majorBidi" w:hAnsiTheme="majorBidi" w:cstheme="majorBidi"/>
          <w:bCs/>
          <w:snapToGrid w:val="0"/>
          <w:kern w:val="22"/>
          <w:szCs w:val="22"/>
        </w:rPr>
        <w:tab/>
      </w:r>
      <w:r w:rsidRPr="004C50B1">
        <w:rPr>
          <w:rFonts w:asciiTheme="majorBidi" w:hAnsiTheme="majorBidi" w:cstheme="majorBidi"/>
          <w:bCs/>
          <w:i/>
          <w:iCs/>
          <w:snapToGrid w:val="0"/>
          <w:kern w:val="22"/>
          <w:szCs w:val="22"/>
        </w:rPr>
        <w:t>Requests</w:t>
      </w:r>
      <w:r w:rsidRPr="004C50B1">
        <w:rPr>
          <w:rFonts w:asciiTheme="majorBidi" w:hAnsiTheme="majorBidi" w:cstheme="majorBidi"/>
          <w:bCs/>
          <w:snapToGrid w:val="0"/>
          <w:kern w:val="22"/>
          <w:szCs w:val="22"/>
        </w:rPr>
        <w:t xml:space="preserve"> Parties not in a position to submit their revised </w:t>
      </w:r>
      <w:r w:rsidRPr="004F65AE">
        <w:rPr>
          <w:rFonts w:asciiTheme="majorBidi" w:hAnsiTheme="majorBidi" w:cstheme="majorBidi"/>
          <w:bCs/>
          <w:snapToGrid w:val="0"/>
          <w:kern w:val="22"/>
          <w:szCs w:val="22"/>
        </w:rPr>
        <w:t>national biodiversity strategies and action plans</w:t>
      </w:r>
      <w:r w:rsidRPr="004C50B1">
        <w:rPr>
          <w:rFonts w:asciiTheme="majorBidi" w:hAnsiTheme="majorBidi" w:cstheme="majorBidi"/>
          <w:bCs/>
          <w:snapToGrid w:val="0"/>
          <w:kern w:val="22"/>
          <w:szCs w:val="22"/>
        </w:rPr>
        <w:t xml:space="preserve"> by </w:t>
      </w:r>
      <w:r>
        <w:rPr>
          <w:rFonts w:asciiTheme="majorBidi" w:hAnsiTheme="majorBidi" w:cstheme="majorBidi"/>
          <w:bCs/>
          <w:snapToGrid w:val="0"/>
          <w:kern w:val="22"/>
          <w:szCs w:val="22"/>
          <w:lang w:val="en-US"/>
        </w:rPr>
        <w:t>the sixteenth meeting of the Conference of the Parties</w:t>
      </w:r>
      <w:r w:rsidRPr="004C50B1">
        <w:rPr>
          <w:rFonts w:asciiTheme="majorBidi" w:hAnsiTheme="majorBidi" w:cstheme="majorBidi"/>
          <w:bCs/>
          <w:snapToGrid w:val="0"/>
          <w:kern w:val="22"/>
          <w:szCs w:val="22"/>
          <w:lang w:val="en-US"/>
        </w:rPr>
        <w:t xml:space="preserve"> </w:t>
      </w:r>
      <w:r w:rsidRPr="004C50B1">
        <w:rPr>
          <w:rFonts w:asciiTheme="majorBidi" w:hAnsiTheme="majorBidi" w:cstheme="majorBidi"/>
          <w:bCs/>
          <w:snapToGrid w:val="0"/>
          <w:kern w:val="22"/>
          <w:szCs w:val="22"/>
        </w:rPr>
        <w:t xml:space="preserve">to communicate national targets reflecting, as applicable, all the goals and targets of the </w:t>
      </w:r>
      <w:r>
        <w:rPr>
          <w:rFonts w:asciiTheme="majorBidi" w:hAnsiTheme="majorBidi" w:cstheme="majorBidi"/>
          <w:bCs/>
          <w:snapToGrid w:val="0"/>
          <w:kern w:val="22"/>
          <w:szCs w:val="18"/>
          <w:lang w:val="en-US"/>
        </w:rPr>
        <w:t>Kunming-Montreal</w:t>
      </w:r>
      <w:r w:rsidRPr="004C50B1">
        <w:rPr>
          <w:rFonts w:asciiTheme="majorBidi" w:hAnsiTheme="majorBidi" w:cstheme="majorBidi"/>
          <w:bCs/>
          <w:snapToGrid w:val="0"/>
          <w:kern w:val="22"/>
          <w:szCs w:val="22"/>
        </w:rPr>
        <w:t xml:space="preserve"> Global Biodiversity Framework, including those related to all means of implementation</w:t>
      </w:r>
      <w:r>
        <w:rPr>
          <w:rFonts w:asciiTheme="majorBidi" w:hAnsiTheme="majorBidi" w:cstheme="majorBidi"/>
          <w:bCs/>
          <w:snapToGrid w:val="0"/>
          <w:kern w:val="22"/>
          <w:szCs w:val="22"/>
        </w:rPr>
        <w:t>,</w:t>
      </w:r>
      <w:r w:rsidRPr="004C50B1">
        <w:rPr>
          <w:rFonts w:asciiTheme="majorBidi" w:hAnsiTheme="majorBidi" w:cstheme="majorBidi"/>
          <w:bCs/>
          <w:snapToGrid w:val="0"/>
          <w:kern w:val="22"/>
          <w:szCs w:val="22"/>
        </w:rPr>
        <w:t xml:space="preserve"> in accordance with the reporting template provided in annex I</w:t>
      </w:r>
      <w:r>
        <w:rPr>
          <w:rFonts w:asciiTheme="majorBidi" w:hAnsiTheme="majorBidi" w:cstheme="majorBidi"/>
          <w:bCs/>
          <w:snapToGrid w:val="0"/>
          <w:kern w:val="22"/>
          <w:szCs w:val="22"/>
        </w:rPr>
        <w:t>,</w:t>
      </w:r>
      <w:r w:rsidRPr="004C50B1">
        <w:rPr>
          <w:rFonts w:asciiTheme="majorBidi" w:hAnsiTheme="majorBidi" w:cstheme="majorBidi"/>
          <w:bCs/>
          <w:snapToGrid w:val="0"/>
          <w:kern w:val="22"/>
          <w:szCs w:val="22"/>
        </w:rPr>
        <w:t xml:space="preserve"> as a standalone submission</w:t>
      </w:r>
      <w:r>
        <w:rPr>
          <w:rFonts w:asciiTheme="majorBidi" w:hAnsiTheme="majorBidi" w:cstheme="majorBidi"/>
          <w:bCs/>
          <w:snapToGrid w:val="0"/>
          <w:kern w:val="22"/>
          <w:szCs w:val="22"/>
        </w:rPr>
        <w:t>,</w:t>
      </w:r>
      <w:r w:rsidRPr="004C50B1">
        <w:rPr>
          <w:rFonts w:asciiTheme="majorBidi" w:hAnsiTheme="majorBidi" w:cstheme="majorBidi"/>
          <w:bCs/>
          <w:snapToGrid w:val="0"/>
          <w:kern w:val="22"/>
          <w:szCs w:val="22"/>
        </w:rPr>
        <w:t xml:space="preserve"> by </w:t>
      </w:r>
      <w:r>
        <w:rPr>
          <w:rFonts w:asciiTheme="majorBidi" w:hAnsiTheme="majorBidi" w:cstheme="majorBidi"/>
          <w:bCs/>
          <w:snapToGrid w:val="0"/>
          <w:kern w:val="22"/>
          <w:szCs w:val="22"/>
          <w:lang w:val="en-US"/>
        </w:rPr>
        <w:t>the sixteenth meeting of the Conference of the Parties,</w:t>
      </w:r>
      <w:r w:rsidRPr="004C50B1" w:rsidDel="003C70DC">
        <w:rPr>
          <w:rFonts w:asciiTheme="majorBidi" w:hAnsiTheme="majorBidi" w:cstheme="majorBidi"/>
          <w:bCs/>
          <w:snapToGrid w:val="0"/>
          <w:kern w:val="22"/>
          <w:szCs w:val="22"/>
        </w:rPr>
        <w:t xml:space="preserve"> </w:t>
      </w:r>
      <w:r w:rsidRPr="004C50B1">
        <w:rPr>
          <w:rFonts w:asciiTheme="majorBidi" w:hAnsiTheme="majorBidi" w:cstheme="majorBidi"/>
          <w:bCs/>
          <w:snapToGrid w:val="0"/>
          <w:kern w:val="22"/>
          <w:szCs w:val="22"/>
        </w:rPr>
        <w:t xml:space="preserve">in advance of the full submission of the </w:t>
      </w:r>
      <w:r w:rsidRPr="004F65AE">
        <w:rPr>
          <w:rFonts w:asciiTheme="majorBidi" w:hAnsiTheme="majorBidi" w:cstheme="majorBidi"/>
          <w:bCs/>
          <w:snapToGrid w:val="0"/>
          <w:kern w:val="22"/>
          <w:szCs w:val="22"/>
        </w:rPr>
        <w:t>national biodiversity strateg</w:t>
      </w:r>
      <w:r>
        <w:rPr>
          <w:rFonts w:asciiTheme="majorBidi" w:hAnsiTheme="majorBidi" w:cstheme="majorBidi"/>
          <w:bCs/>
          <w:snapToGrid w:val="0"/>
          <w:kern w:val="22"/>
          <w:szCs w:val="22"/>
        </w:rPr>
        <w:t>y</w:t>
      </w:r>
      <w:r w:rsidRPr="004F65AE">
        <w:rPr>
          <w:rFonts w:asciiTheme="majorBidi" w:hAnsiTheme="majorBidi" w:cstheme="majorBidi"/>
          <w:bCs/>
          <w:snapToGrid w:val="0"/>
          <w:kern w:val="22"/>
          <w:szCs w:val="22"/>
        </w:rPr>
        <w:t xml:space="preserve"> and action plan</w:t>
      </w:r>
      <w:r w:rsidRPr="004C50B1">
        <w:rPr>
          <w:rFonts w:asciiTheme="majorBidi" w:hAnsiTheme="majorBidi" w:cstheme="majorBidi"/>
          <w:bCs/>
          <w:snapToGrid w:val="0"/>
          <w:kern w:val="22"/>
          <w:szCs w:val="22"/>
        </w:rPr>
        <w:t>;</w:t>
      </w:r>
    </w:p>
    <w:p w14:paraId="375EBDF1" w14:textId="77777777" w:rsidR="00005A3C" w:rsidRPr="004F65AE" w:rsidRDefault="00005A3C" w:rsidP="009D6BD6">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22"/>
        </w:rPr>
      </w:pPr>
      <w:r>
        <w:rPr>
          <w:rFonts w:asciiTheme="majorBidi" w:hAnsiTheme="majorBidi" w:cstheme="majorBidi"/>
          <w:bCs/>
          <w:iCs/>
          <w:snapToGrid w:val="0"/>
          <w:color w:val="000000" w:themeColor="text1"/>
          <w:kern w:val="22"/>
          <w:szCs w:val="22"/>
        </w:rPr>
        <w:t>8</w:t>
      </w:r>
      <w:r w:rsidRPr="004F65AE">
        <w:rPr>
          <w:rFonts w:asciiTheme="majorBidi" w:hAnsiTheme="majorBidi" w:cstheme="majorBidi"/>
          <w:bCs/>
          <w:iCs/>
          <w:snapToGrid w:val="0"/>
          <w:color w:val="000000" w:themeColor="text1"/>
          <w:kern w:val="22"/>
          <w:szCs w:val="22"/>
        </w:rPr>
        <w:t>.</w:t>
      </w:r>
      <w:r w:rsidRPr="004F65AE">
        <w:rPr>
          <w:rFonts w:asciiTheme="majorBidi" w:hAnsiTheme="majorBidi" w:cstheme="majorBidi"/>
          <w:bCs/>
          <w:i/>
          <w:snapToGrid w:val="0"/>
          <w:color w:val="000000" w:themeColor="text1"/>
          <w:kern w:val="22"/>
          <w:szCs w:val="22"/>
        </w:rPr>
        <w:tab/>
      </w:r>
      <w:r>
        <w:rPr>
          <w:rFonts w:asciiTheme="majorBidi" w:hAnsiTheme="majorBidi" w:cstheme="majorBidi"/>
          <w:bCs/>
          <w:i/>
          <w:snapToGrid w:val="0"/>
          <w:color w:val="000000" w:themeColor="text1"/>
          <w:kern w:val="22"/>
          <w:szCs w:val="22"/>
        </w:rPr>
        <w:t>Urges</w:t>
      </w:r>
      <w:r w:rsidRPr="004F65AE">
        <w:rPr>
          <w:rFonts w:asciiTheme="majorBidi" w:hAnsiTheme="majorBidi" w:cstheme="majorBidi"/>
          <w:bCs/>
          <w:iCs/>
          <w:snapToGrid w:val="0"/>
          <w:color w:val="000000" w:themeColor="text1"/>
          <w:kern w:val="22"/>
          <w:szCs w:val="22"/>
        </w:rPr>
        <w:t xml:space="preserve"> all Parties to use the headline indicators, supplemented by component and complementary indicators and other national indicators</w:t>
      </w:r>
      <w:r>
        <w:rPr>
          <w:rFonts w:asciiTheme="majorBidi" w:hAnsiTheme="majorBidi" w:cstheme="majorBidi"/>
          <w:bCs/>
          <w:iCs/>
          <w:snapToGrid w:val="0"/>
          <w:color w:val="000000" w:themeColor="text1"/>
          <w:kern w:val="22"/>
          <w:szCs w:val="22"/>
        </w:rPr>
        <w:t>,</w:t>
      </w:r>
      <w:r w:rsidRPr="004F65AE">
        <w:rPr>
          <w:rFonts w:asciiTheme="majorBidi" w:hAnsiTheme="majorBidi" w:cstheme="majorBidi"/>
          <w:bCs/>
          <w:iCs/>
          <w:snapToGrid w:val="0"/>
          <w:color w:val="000000" w:themeColor="text1"/>
          <w:kern w:val="22"/>
          <w:szCs w:val="22"/>
        </w:rPr>
        <w:t xml:space="preserve"> in relevant national planning processes, including national biodiversity strategies and action plans, according to their national circumstances;</w:t>
      </w:r>
    </w:p>
    <w:p w14:paraId="48A99A3F" w14:textId="77777777" w:rsidR="00005A3C" w:rsidRPr="004F65AE" w:rsidRDefault="00005A3C" w:rsidP="008174C8">
      <w:pPr>
        <w:pStyle w:val="Para1"/>
        <w:numPr>
          <w:ilvl w:val="0"/>
          <w:numId w:val="0"/>
        </w:numPr>
        <w:shd w:val="clear" w:color="auto" w:fill="FFFFFF" w:themeFill="background1"/>
        <w:tabs>
          <w:tab w:val="left" w:pos="720"/>
        </w:tabs>
        <w:ind w:firstLine="851"/>
        <w:rPr>
          <w:rFonts w:asciiTheme="majorBidi" w:hAnsiTheme="majorBidi" w:cstheme="majorBidi"/>
          <w:bCs/>
          <w:iCs/>
          <w:color w:val="000000" w:themeColor="text1"/>
        </w:rPr>
      </w:pPr>
      <w:r w:rsidRPr="008174C8">
        <w:rPr>
          <w:rFonts w:asciiTheme="majorBidi" w:hAnsiTheme="majorBidi" w:cstheme="majorBidi"/>
          <w:bCs/>
          <w:iCs/>
          <w:color w:val="000000" w:themeColor="text1"/>
        </w:rPr>
        <w:t>9.</w:t>
      </w:r>
      <w:r w:rsidRPr="004F65AE">
        <w:rPr>
          <w:rFonts w:asciiTheme="majorBidi" w:hAnsiTheme="majorBidi" w:cstheme="majorBidi"/>
          <w:bCs/>
          <w:iCs/>
          <w:color w:val="000000" w:themeColor="text1"/>
        </w:rPr>
        <w:tab/>
      </w:r>
      <w:r w:rsidRPr="004F65AE">
        <w:rPr>
          <w:rFonts w:asciiTheme="majorBidi" w:hAnsiTheme="majorBidi" w:cstheme="majorBidi"/>
          <w:bCs/>
          <w:i/>
          <w:color w:val="000000" w:themeColor="text1"/>
        </w:rPr>
        <w:t>Encourages</w:t>
      </w:r>
      <w:r w:rsidRPr="004F65AE">
        <w:rPr>
          <w:rFonts w:asciiTheme="majorBidi" w:hAnsiTheme="majorBidi" w:cstheme="majorBidi"/>
          <w:bCs/>
          <w:iCs/>
          <w:color w:val="000000" w:themeColor="text1"/>
        </w:rPr>
        <w:t xml:space="preserve"> Parties to adopt the revised or updated </w:t>
      </w:r>
      <w:r w:rsidRPr="004F65AE">
        <w:rPr>
          <w:rFonts w:asciiTheme="majorBidi" w:hAnsiTheme="majorBidi" w:cstheme="majorBidi"/>
          <w:bCs/>
        </w:rPr>
        <w:t>national biodiversity strategies and action plans</w:t>
      </w:r>
      <w:r w:rsidRPr="004F65AE">
        <w:rPr>
          <w:rFonts w:asciiTheme="majorBidi" w:hAnsiTheme="majorBidi" w:cstheme="majorBidi"/>
          <w:bCs/>
          <w:iCs/>
          <w:color w:val="000000" w:themeColor="text1"/>
        </w:rPr>
        <w:t xml:space="preserve"> as policy and/or legal instruments and to mainstream them (or elements thereof) with broader strategies and plans, such as national sustainable development plans, national development plans, poverty reduction strategies and other relevant national sectoral and cross-sectoral plans, in line with national circumstances and priorities.</w:t>
      </w:r>
    </w:p>
    <w:p w14:paraId="2D8F389B" w14:textId="77777777" w:rsidR="00005A3C" w:rsidRPr="004F65AE" w:rsidRDefault="00005A3C" w:rsidP="00CA676A">
      <w:pPr>
        <w:keepNext/>
        <w:spacing w:before="120" w:after="120"/>
        <w:ind w:firstLine="851"/>
        <w:rPr>
          <w:rFonts w:asciiTheme="majorBidi" w:hAnsiTheme="majorBidi" w:cstheme="majorBidi"/>
          <w:b/>
          <w:szCs w:val="22"/>
        </w:rPr>
      </w:pPr>
      <w:r w:rsidRPr="004F65AE">
        <w:rPr>
          <w:rFonts w:asciiTheme="majorBidi" w:hAnsiTheme="majorBidi" w:cstheme="majorBidi"/>
          <w:b/>
          <w:szCs w:val="22"/>
        </w:rPr>
        <w:t>Reporting</w:t>
      </w:r>
    </w:p>
    <w:p w14:paraId="6A7B645A" w14:textId="77777777" w:rsidR="00005A3C" w:rsidRPr="004F65AE" w:rsidRDefault="00005A3C"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10</w:t>
      </w:r>
      <w:r w:rsidRPr="004F65AE">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ab/>
      </w:r>
      <w:r w:rsidRPr="004F65AE">
        <w:rPr>
          <w:rFonts w:asciiTheme="majorBidi" w:hAnsiTheme="majorBidi" w:cstheme="majorBidi"/>
          <w:bCs/>
          <w:i/>
          <w:iCs/>
          <w:snapToGrid w:val="0"/>
          <w:kern w:val="22"/>
          <w:szCs w:val="22"/>
        </w:rPr>
        <w:t xml:space="preserve">Adopts </w:t>
      </w:r>
      <w:r w:rsidRPr="004F65AE">
        <w:rPr>
          <w:rFonts w:asciiTheme="majorBidi" w:hAnsiTheme="majorBidi" w:cstheme="majorBidi"/>
          <w:bCs/>
          <w:snapToGrid w:val="0"/>
          <w:kern w:val="22"/>
          <w:szCs w:val="22"/>
        </w:rPr>
        <w:t>the guidelines for the seventh and eighth national reports contained in annex II, including the draft reporting template;</w:t>
      </w:r>
    </w:p>
    <w:p w14:paraId="1AC5CCEE" w14:textId="77777777" w:rsidR="00005A3C" w:rsidRDefault="00005A3C" w:rsidP="009D6BD6">
      <w:pPr>
        <w:suppressLineNumbers/>
        <w:suppressAutoHyphens/>
        <w:spacing w:before="120" w:after="120"/>
        <w:ind w:firstLine="851"/>
        <w:rPr>
          <w:rFonts w:asciiTheme="majorBidi" w:hAnsiTheme="majorBidi" w:cstheme="majorBidi"/>
          <w:bCs/>
          <w:iCs/>
          <w:snapToGrid w:val="0"/>
          <w:kern w:val="22"/>
          <w:szCs w:val="22"/>
        </w:rPr>
      </w:pPr>
      <w:r>
        <w:rPr>
          <w:rFonts w:asciiTheme="majorBidi" w:hAnsiTheme="majorBidi" w:cstheme="majorBidi"/>
          <w:bCs/>
          <w:iCs/>
          <w:snapToGrid w:val="0"/>
          <w:kern w:val="22"/>
          <w:szCs w:val="22"/>
        </w:rPr>
        <w:t>11</w:t>
      </w:r>
      <w:r w:rsidRPr="004F65AE">
        <w:rPr>
          <w:rFonts w:asciiTheme="majorBidi" w:hAnsiTheme="majorBidi" w:cstheme="majorBidi"/>
          <w:bCs/>
          <w:iCs/>
          <w:snapToGrid w:val="0"/>
          <w:kern w:val="22"/>
          <w:szCs w:val="22"/>
        </w:rPr>
        <w:t>.</w:t>
      </w:r>
      <w:r w:rsidRPr="004F65AE">
        <w:rPr>
          <w:rFonts w:asciiTheme="majorBidi" w:hAnsiTheme="majorBidi" w:cstheme="majorBidi"/>
          <w:bCs/>
          <w:i/>
          <w:snapToGrid w:val="0"/>
          <w:kern w:val="22"/>
          <w:szCs w:val="22"/>
        </w:rPr>
        <w:tab/>
        <w:t>Requests</w:t>
      </w:r>
      <w:r w:rsidRPr="004F65AE">
        <w:rPr>
          <w:rFonts w:asciiTheme="majorBidi" w:hAnsiTheme="majorBidi" w:cstheme="majorBidi"/>
          <w:bCs/>
          <w:snapToGrid w:val="0"/>
          <w:kern w:val="22"/>
          <w:szCs w:val="22"/>
        </w:rPr>
        <w:t xml:space="preserve"> Parties to submit their seventh national report by 28 Feb</w:t>
      </w:r>
      <w:r>
        <w:rPr>
          <w:rFonts w:asciiTheme="majorBidi" w:hAnsiTheme="majorBidi" w:cstheme="majorBidi"/>
          <w:bCs/>
          <w:snapToGrid w:val="0"/>
          <w:kern w:val="22"/>
          <w:szCs w:val="22"/>
        </w:rPr>
        <w:t>ruary</w:t>
      </w:r>
      <w:r w:rsidRPr="004F65AE">
        <w:rPr>
          <w:rFonts w:asciiTheme="majorBidi" w:hAnsiTheme="majorBidi" w:cstheme="majorBidi"/>
          <w:bCs/>
          <w:snapToGrid w:val="0"/>
          <w:kern w:val="22"/>
          <w:szCs w:val="22"/>
        </w:rPr>
        <w:t xml:space="preserve"> 2026 and their eighth national report by 30 June 2029</w:t>
      </w:r>
      <w:r>
        <w:rPr>
          <w:rFonts w:asciiTheme="majorBidi" w:hAnsiTheme="majorBidi" w:cstheme="majorBidi"/>
          <w:bCs/>
          <w:snapToGrid w:val="0"/>
          <w:kern w:val="22"/>
          <w:szCs w:val="22"/>
        </w:rPr>
        <w:t>, to enable the preparation of the global reviews</w:t>
      </w:r>
      <w:r w:rsidRPr="004F65AE">
        <w:rPr>
          <w:rFonts w:asciiTheme="majorBidi" w:hAnsiTheme="majorBidi" w:cstheme="majorBidi"/>
          <w:bCs/>
          <w:snapToGrid w:val="0"/>
          <w:kern w:val="22"/>
          <w:szCs w:val="22"/>
        </w:rPr>
        <w:t>, as per Article 26 of the Convention, using the template provided in annex II</w:t>
      </w:r>
      <w:r>
        <w:rPr>
          <w:rFonts w:asciiTheme="majorBidi" w:hAnsiTheme="majorBidi" w:cstheme="majorBidi"/>
          <w:bCs/>
          <w:snapToGrid w:val="0"/>
          <w:kern w:val="22"/>
          <w:szCs w:val="22"/>
        </w:rPr>
        <w:t>,</w:t>
      </w:r>
      <w:r w:rsidRPr="004F65AE">
        <w:rPr>
          <w:rFonts w:asciiTheme="majorBidi" w:hAnsiTheme="majorBidi" w:cstheme="majorBidi"/>
          <w:bCs/>
          <w:snapToGrid w:val="0"/>
          <w:kern w:val="22"/>
          <w:szCs w:val="22"/>
          <w:vertAlign w:val="superscript"/>
        </w:rPr>
        <w:t xml:space="preserve"> </w:t>
      </w:r>
      <w:r>
        <w:rPr>
          <w:rFonts w:asciiTheme="majorBidi" w:hAnsiTheme="majorBidi" w:cstheme="majorBidi"/>
          <w:bCs/>
          <w:snapToGrid w:val="0"/>
          <w:kern w:val="22"/>
          <w:szCs w:val="22"/>
        </w:rPr>
        <w:t xml:space="preserve">recognizing the specific challenges faced by developing country Parties in preparing and submitting their national reports in a timely manner, and the need for enhanced international cooperation to support them accordingly; </w:t>
      </w:r>
    </w:p>
    <w:p w14:paraId="31538015" w14:textId="71D14E8A" w:rsidR="00005A3C" w:rsidRPr="004F65AE" w:rsidRDefault="00005A3C" w:rsidP="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cstheme="majorBidi"/>
          <w:bCs/>
          <w:iCs/>
          <w:snapToGrid w:val="0"/>
          <w:kern w:val="22"/>
          <w:szCs w:val="22"/>
        </w:rPr>
        <w:t>12</w:t>
      </w:r>
      <w:r w:rsidRPr="004F65AE">
        <w:rPr>
          <w:rFonts w:asciiTheme="majorBidi" w:hAnsiTheme="majorBidi" w:cstheme="majorBidi"/>
          <w:bCs/>
          <w:iCs/>
          <w:snapToGrid w:val="0"/>
          <w:kern w:val="22"/>
          <w:szCs w:val="22"/>
        </w:rPr>
        <w:t>.</w:t>
      </w:r>
      <w:r w:rsidRPr="004F65AE">
        <w:rPr>
          <w:rFonts w:asciiTheme="majorBidi" w:hAnsiTheme="majorBidi" w:cstheme="majorBidi"/>
          <w:bCs/>
          <w:i/>
          <w:snapToGrid w:val="0"/>
          <w:kern w:val="22"/>
          <w:szCs w:val="22"/>
        </w:rPr>
        <w:tab/>
        <w:t xml:space="preserve">Encourages </w:t>
      </w:r>
      <w:r w:rsidRPr="004F65AE">
        <w:rPr>
          <w:rFonts w:asciiTheme="majorBidi" w:hAnsiTheme="majorBidi" w:cstheme="majorBidi"/>
          <w:bCs/>
          <w:iCs/>
          <w:snapToGrid w:val="0"/>
          <w:kern w:val="22"/>
          <w:szCs w:val="22"/>
        </w:rPr>
        <w:t>Parties to collaborate</w:t>
      </w:r>
      <w:r w:rsidRPr="004F65AE">
        <w:rPr>
          <w:rFonts w:asciiTheme="majorBidi" w:hAnsiTheme="majorBidi" w:cstheme="majorBidi"/>
          <w:bCs/>
          <w:snapToGrid w:val="0"/>
          <w:kern w:val="22"/>
          <w:szCs w:val="22"/>
        </w:rPr>
        <w:t xml:space="preserve">, where appropriate, with other reporting processes, including the Sustainable Development Goals and relevant multilateral environment </w:t>
      </w:r>
      <w:r w:rsidRPr="000D3BDE">
        <w:rPr>
          <w:rFonts w:asciiTheme="majorBidi" w:hAnsiTheme="majorBidi" w:cstheme="majorBidi"/>
          <w:bCs/>
          <w:snapToGrid w:val="0"/>
          <w:kern w:val="22"/>
          <w:szCs w:val="22"/>
        </w:rPr>
        <w:t>agreement reporting,</w:t>
      </w:r>
      <w:r w:rsidRPr="004F65AE">
        <w:rPr>
          <w:rFonts w:asciiTheme="majorBidi" w:hAnsiTheme="majorBidi" w:cstheme="majorBidi"/>
          <w:bCs/>
          <w:snapToGrid w:val="0"/>
          <w:kern w:val="22"/>
          <w:szCs w:val="22"/>
        </w:rPr>
        <w:t xml:space="preserve"> including by using a modular data reporting tool</w:t>
      </w:r>
      <w:r>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 xml:space="preserve"> such as DART</w:t>
      </w:r>
      <w:r>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 xml:space="preserve"> on a voluntary basis;</w:t>
      </w:r>
    </w:p>
    <w:p w14:paraId="6B657341" w14:textId="05BEF02F" w:rsidR="00005A3C" w:rsidRDefault="00005A3C" w:rsidP="009D6BD6">
      <w:pPr>
        <w:ind w:firstLine="851"/>
        <w:rPr>
          <w:rFonts w:asciiTheme="majorBidi" w:hAnsiTheme="majorBidi" w:cstheme="majorBidi"/>
          <w:bCs/>
          <w:szCs w:val="22"/>
          <w:lang w:val="en-US"/>
        </w:rPr>
      </w:pPr>
      <w:r w:rsidRPr="004F65AE">
        <w:rPr>
          <w:rFonts w:asciiTheme="majorBidi" w:hAnsiTheme="majorBidi" w:cstheme="majorBidi"/>
          <w:bCs/>
          <w:iCs/>
          <w:color w:val="000000" w:themeColor="text1"/>
          <w:kern w:val="22"/>
          <w:szCs w:val="22"/>
          <w:lang w:val="en-US"/>
        </w:rPr>
        <w:t>1</w:t>
      </w:r>
      <w:r>
        <w:rPr>
          <w:rFonts w:asciiTheme="majorBidi" w:hAnsiTheme="majorBidi" w:cstheme="majorBidi"/>
          <w:bCs/>
          <w:iCs/>
          <w:color w:val="000000" w:themeColor="text1"/>
          <w:kern w:val="22"/>
          <w:szCs w:val="22"/>
          <w:lang w:val="en-US"/>
        </w:rPr>
        <w:t>3</w:t>
      </w:r>
      <w:r w:rsidRPr="004F65AE">
        <w:rPr>
          <w:rFonts w:asciiTheme="majorBidi" w:hAnsiTheme="majorBidi" w:cstheme="majorBidi"/>
          <w:bCs/>
          <w:iCs/>
          <w:color w:val="000000" w:themeColor="text1"/>
          <w:kern w:val="22"/>
          <w:szCs w:val="22"/>
          <w:lang w:val="en-US"/>
        </w:rPr>
        <w:t>.</w:t>
      </w:r>
      <w:r w:rsidRPr="004F65AE">
        <w:rPr>
          <w:rFonts w:asciiTheme="majorBidi" w:hAnsiTheme="majorBidi" w:cstheme="majorBidi"/>
          <w:bCs/>
          <w:iCs/>
          <w:color w:val="000000" w:themeColor="text1"/>
          <w:kern w:val="22"/>
          <w:szCs w:val="22"/>
          <w:lang w:val="en-US"/>
        </w:rPr>
        <w:tab/>
      </w:r>
      <w:r w:rsidRPr="004F65AE">
        <w:rPr>
          <w:rFonts w:asciiTheme="majorBidi" w:hAnsiTheme="majorBidi" w:cstheme="majorBidi"/>
          <w:bCs/>
          <w:i/>
          <w:color w:val="000000" w:themeColor="text1"/>
          <w:kern w:val="22"/>
          <w:szCs w:val="22"/>
          <w:lang w:val="en-US"/>
        </w:rPr>
        <w:t>Requests</w:t>
      </w:r>
      <w:r w:rsidRPr="004F65AE">
        <w:rPr>
          <w:rFonts w:asciiTheme="majorBidi" w:hAnsiTheme="majorBidi" w:cstheme="majorBidi"/>
          <w:bCs/>
          <w:iCs/>
          <w:color w:val="000000" w:themeColor="text1"/>
          <w:kern w:val="22"/>
          <w:szCs w:val="22"/>
          <w:lang w:val="en-US"/>
        </w:rPr>
        <w:t xml:space="preserve"> all Parties </w:t>
      </w:r>
      <w:r>
        <w:rPr>
          <w:rFonts w:asciiTheme="majorBidi" w:hAnsiTheme="majorBidi" w:cstheme="majorBidi"/>
          <w:bCs/>
          <w:iCs/>
          <w:color w:val="000000" w:themeColor="text1"/>
          <w:kern w:val="22"/>
          <w:szCs w:val="22"/>
          <w:lang w:val="en-US"/>
        </w:rPr>
        <w:t xml:space="preserve">to </w:t>
      </w:r>
      <w:r w:rsidRPr="004F65AE">
        <w:rPr>
          <w:rFonts w:asciiTheme="majorBidi" w:hAnsiTheme="majorBidi" w:cstheme="majorBidi"/>
          <w:bCs/>
          <w:iCs/>
          <w:color w:val="000000" w:themeColor="text1"/>
          <w:kern w:val="22"/>
          <w:szCs w:val="22"/>
          <w:lang w:val="en-US"/>
        </w:rPr>
        <w:t xml:space="preserve">use headline indicators </w:t>
      </w:r>
      <w:r>
        <w:rPr>
          <w:rFonts w:asciiTheme="majorBidi" w:hAnsiTheme="majorBidi" w:cstheme="majorBidi"/>
          <w:bCs/>
          <w:iCs/>
          <w:color w:val="000000" w:themeColor="text1"/>
          <w:kern w:val="22"/>
          <w:szCs w:val="22"/>
          <w:lang w:val="en-US"/>
        </w:rPr>
        <w:t xml:space="preserve">and to provide responses on binary yes/no questions, </w:t>
      </w:r>
      <w:r w:rsidRPr="004F65AE">
        <w:rPr>
          <w:rFonts w:asciiTheme="majorBidi" w:hAnsiTheme="majorBidi" w:cstheme="majorBidi"/>
          <w:bCs/>
          <w:szCs w:val="22"/>
          <w:lang w:val="en-US"/>
        </w:rPr>
        <w:t xml:space="preserve">as set out in the monitoring framework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zCs w:val="22"/>
          <w:lang w:val="en-US"/>
        </w:rPr>
        <w:t>Global Biodiversity Framework adopted in decision 15/</w:t>
      </w:r>
      <w:r>
        <w:rPr>
          <w:rFonts w:asciiTheme="majorBidi" w:hAnsiTheme="majorBidi" w:cstheme="majorBidi"/>
          <w:bCs/>
          <w:szCs w:val="22"/>
          <w:lang w:val="en-US"/>
        </w:rPr>
        <w:t>5</w:t>
      </w:r>
      <w:r w:rsidRPr="004F65AE">
        <w:rPr>
          <w:rFonts w:asciiTheme="majorBidi" w:hAnsiTheme="majorBidi" w:cstheme="majorBidi"/>
          <w:bCs/>
          <w:szCs w:val="22"/>
          <w:lang w:val="en-US"/>
        </w:rPr>
        <w:t xml:space="preserve">, </w:t>
      </w:r>
      <w:r w:rsidRPr="004E339F">
        <w:rPr>
          <w:rFonts w:asciiTheme="majorBidi" w:hAnsiTheme="majorBidi" w:cstheme="majorBidi"/>
          <w:bCs/>
          <w:szCs w:val="22"/>
          <w:lang w:val="en-US"/>
        </w:rPr>
        <w:t>in their national reports,</w:t>
      </w:r>
      <w:r w:rsidRPr="004F65AE">
        <w:rPr>
          <w:rFonts w:asciiTheme="majorBidi" w:hAnsiTheme="majorBidi" w:cstheme="majorBidi"/>
          <w:bCs/>
          <w:szCs w:val="22"/>
          <w:lang w:val="en-US"/>
        </w:rPr>
        <w:t xml:space="preserve"> and supplemented, as appropriate, by optional component and complementary indicators also included therein and other national indicators</w:t>
      </w:r>
      <w:r>
        <w:rPr>
          <w:rFonts w:asciiTheme="majorBidi" w:hAnsiTheme="majorBidi" w:cstheme="majorBidi"/>
          <w:bCs/>
          <w:szCs w:val="22"/>
          <w:lang w:val="en-US"/>
        </w:rPr>
        <w:t xml:space="preserve"> </w:t>
      </w:r>
      <w:r w:rsidRPr="004F65AE">
        <w:rPr>
          <w:rFonts w:asciiTheme="majorBidi" w:hAnsiTheme="majorBidi" w:cstheme="majorBidi"/>
          <w:bCs/>
          <w:szCs w:val="22"/>
          <w:lang w:val="en-US"/>
        </w:rPr>
        <w:t>providing flexibility in the progressive implementation of this paragraph to countries, particularly developing countries, in</w:t>
      </w:r>
      <w:r>
        <w:rPr>
          <w:rFonts w:asciiTheme="majorBidi" w:hAnsiTheme="majorBidi" w:cstheme="majorBidi"/>
          <w:bCs/>
          <w:szCs w:val="22"/>
          <w:lang w:val="en-US"/>
        </w:rPr>
        <w:t xml:space="preserve"> the</w:t>
      </w:r>
      <w:r w:rsidRPr="004F65AE">
        <w:rPr>
          <w:rFonts w:asciiTheme="majorBidi" w:hAnsiTheme="majorBidi" w:cstheme="majorBidi"/>
          <w:bCs/>
          <w:szCs w:val="22"/>
          <w:lang w:val="en-US"/>
        </w:rPr>
        <w:t xml:space="preserve"> light of the fact that not all indicators are currently ready and </w:t>
      </w:r>
      <w:r>
        <w:rPr>
          <w:rFonts w:asciiTheme="majorBidi" w:hAnsiTheme="majorBidi" w:cstheme="majorBidi"/>
          <w:bCs/>
          <w:szCs w:val="22"/>
          <w:lang w:val="en-US"/>
        </w:rPr>
        <w:t xml:space="preserve">of </w:t>
      </w:r>
      <w:r w:rsidRPr="004F65AE">
        <w:rPr>
          <w:rFonts w:asciiTheme="majorBidi" w:hAnsiTheme="majorBidi" w:cstheme="majorBidi"/>
          <w:bCs/>
          <w:szCs w:val="22"/>
          <w:lang w:val="en-US"/>
        </w:rPr>
        <w:t>the need for capacity</w:t>
      </w:r>
      <w:r>
        <w:rPr>
          <w:rFonts w:asciiTheme="majorBidi" w:hAnsiTheme="majorBidi" w:cstheme="majorBidi"/>
          <w:bCs/>
          <w:szCs w:val="22"/>
          <w:lang w:val="en-US"/>
        </w:rPr>
        <w:t>-</w:t>
      </w:r>
      <w:r w:rsidRPr="004F65AE">
        <w:rPr>
          <w:rFonts w:asciiTheme="majorBidi" w:hAnsiTheme="majorBidi" w:cstheme="majorBidi"/>
          <w:bCs/>
          <w:szCs w:val="22"/>
          <w:lang w:val="en-US"/>
        </w:rPr>
        <w:t>building and development on the headline indicators;</w:t>
      </w:r>
    </w:p>
    <w:p w14:paraId="2E036559" w14:textId="77777777" w:rsidR="00005A3C" w:rsidRDefault="00005A3C" w:rsidP="009D6BD6">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FD73B8">
        <w:rPr>
          <w:rFonts w:asciiTheme="majorBidi" w:hAnsiTheme="majorBidi" w:cstheme="majorBidi"/>
          <w:bCs/>
          <w:snapToGrid w:val="0"/>
          <w:kern w:val="22"/>
          <w:szCs w:val="22"/>
          <w:lang w:val="en-US"/>
        </w:rPr>
        <w:lastRenderedPageBreak/>
        <w:t>1</w:t>
      </w:r>
      <w:r>
        <w:rPr>
          <w:rFonts w:asciiTheme="majorBidi" w:hAnsiTheme="majorBidi" w:cstheme="majorBidi"/>
          <w:bCs/>
          <w:snapToGrid w:val="0"/>
          <w:kern w:val="22"/>
          <w:szCs w:val="22"/>
          <w:lang w:val="en-US"/>
        </w:rPr>
        <w:t>4</w:t>
      </w:r>
      <w:r w:rsidRPr="00FD73B8">
        <w:rPr>
          <w:rFonts w:asciiTheme="majorBidi" w:hAnsiTheme="majorBidi" w:cstheme="majorBidi"/>
          <w:bCs/>
          <w:snapToGrid w:val="0"/>
          <w:kern w:val="22"/>
          <w:szCs w:val="22"/>
          <w:lang w:val="en-US"/>
        </w:rPr>
        <w:t>.</w:t>
      </w:r>
      <w:r w:rsidRPr="00FD73B8">
        <w:rPr>
          <w:rFonts w:asciiTheme="majorBidi" w:hAnsiTheme="majorBidi" w:cstheme="majorBidi"/>
          <w:bCs/>
          <w:snapToGrid w:val="0"/>
          <w:kern w:val="22"/>
          <w:szCs w:val="22"/>
          <w:lang w:val="en-US"/>
        </w:rPr>
        <w:tab/>
      </w:r>
      <w:r w:rsidRPr="00FD73B8">
        <w:rPr>
          <w:rFonts w:asciiTheme="majorBidi" w:hAnsiTheme="majorBidi" w:cstheme="majorBidi"/>
          <w:bCs/>
          <w:i/>
          <w:iCs/>
          <w:snapToGrid w:val="0"/>
          <w:kern w:val="22"/>
          <w:szCs w:val="22"/>
          <w:lang w:val="en-US"/>
        </w:rPr>
        <w:t>Requests</w:t>
      </w:r>
      <w:r w:rsidRPr="00FD73B8">
        <w:rPr>
          <w:rFonts w:asciiTheme="majorBidi" w:hAnsiTheme="majorBidi" w:cstheme="majorBidi"/>
          <w:bCs/>
          <w:snapToGrid w:val="0"/>
          <w:kern w:val="22"/>
          <w:szCs w:val="22"/>
          <w:lang w:val="en-US"/>
        </w:rPr>
        <w:t xml:space="preserve"> Parties </w:t>
      </w:r>
      <w:r>
        <w:rPr>
          <w:rFonts w:asciiTheme="majorBidi" w:hAnsiTheme="majorBidi" w:cstheme="majorBidi"/>
          <w:bCs/>
          <w:snapToGrid w:val="0"/>
          <w:kern w:val="22"/>
          <w:szCs w:val="22"/>
          <w:lang w:val="en-US"/>
        </w:rPr>
        <w:t xml:space="preserve">to </w:t>
      </w:r>
      <w:r w:rsidRPr="00FD73B8">
        <w:rPr>
          <w:rFonts w:asciiTheme="majorBidi" w:hAnsiTheme="majorBidi" w:cstheme="majorBidi"/>
          <w:bCs/>
          <w:snapToGrid w:val="0"/>
          <w:kern w:val="22"/>
          <w:szCs w:val="22"/>
          <w:lang w:val="en-US"/>
        </w:rPr>
        <w:t>include qualitative</w:t>
      </w:r>
      <w:r>
        <w:rPr>
          <w:rFonts w:asciiTheme="majorBidi" w:hAnsiTheme="majorBidi" w:cstheme="majorBidi"/>
          <w:bCs/>
          <w:snapToGrid w:val="0"/>
          <w:kern w:val="22"/>
          <w:szCs w:val="22"/>
          <w:lang w:val="en-US"/>
        </w:rPr>
        <w:t xml:space="preserve"> information</w:t>
      </w:r>
      <w:r w:rsidRPr="00FD73B8">
        <w:rPr>
          <w:rFonts w:asciiTheme="majorBidi" w:hAnsiTheme="majorBidi" w:cstheme="majorBidi"/>
          <w:bCs/>
          <w:snapToGrid w:val="0"/>
          <w:kern w:val="22"/>
          <w:szCs w:val="22"/>
          <w:lang w:val="en-US"/>
        </w:rPr>
        <w:t xml:space="preserve"> in addition to the quantitative information on Goal D</w:t>
      </w:r>
      <w:r>
        <w:rPr>
          <w:rFonts w:asciiTheme="majorBidi" w:hAnsiTheme="majorBidi" w:cstheme="majorBidi"/>
          <w:bCs/>
          <w:snapToGrid w:val="0"/>
          <w:kern w:val="22"/>
          <w:szCs w:val="22"/>
          <w:lang w:val="en-US"/>
        </w:rPr>
        <w:t xml:space="preserve"> and Target 19</w:t>
      </w:r>
      <w:r w:rsidRPr="00FD73B8">
        <w:rPr>
          <w:rFonts w:asciiTheme="majorBidi" w:hAnsiTheme="majorBidi" w:cstheme="majorBidi"/>
          <w:bCs/>
          <w:snapToGrid w:val="0"/>
          <w:kern w:val="22"/>
          <w:szCs w:val="22"/>
          <w:lang w:val="en-US"/>
        </w:rPr>
        <w:t xml:space="preserve">, particularly in terms of the </w:t>
      </w:r>
      <w:r w:rsidRPr="00AB584C">
        <w:rPr>
          <w:rFonts w:asciiTheme="majorBidi" w:hAnsiTheme="majorBidi" w:cstheme="majorBidi"/>
          <w:bCs/>
          <w:snapToGrid w:val="0"/>
          <w:kern w:val="22"/>
          <w:szCs w:val="22"/>
          <w:lang w:val="en-US"/>
        </w:rPr>
        <w:t>provisioning of</w:t>
      </w:r>
      <w:r w:rsidRPr="00FD73B8">
        <w:rPr>
          <w:rFonts w:asciiTheme="majorBidi" w:hAnsiTheme="majorBidi" w:cstheme="majorBidi"/>
          <w:bCs/>
          <w:snapToGrid w:val="0"/>
          <w:kern w:val="22"/>
          <w:szCs w:val="22"/>
          <w:lang w:val="en-US"/>
        </w:rPr>
        <w:t xml:space="preserve"> means of implementation;</w:t>
      </w:r>
    </w:p>
    <w:p w14:paraId="5353CDFD" w14:textId="77777777" w:rsidR="00005A3C" w:rsidRPr="004F65AE" w:rsidRDefault="00005A3C" w:rsidP="008174C8">
      <w:pPr>
        <w:keepNext/>
        <w:spacing w:before="120" w:after="120"/>
        <w:ind w:firstLine="851"/>
        <w:rPr>
          <w:rFonts w:asciiTheme="majorBidi" w:hAnsiTheme="majorBidi" w:cstheme="majorBidi"/>
          <w:b/>
          <w:szCs w:val="22"/>
        </w:rPr>
      </w:pPr>
      <w:r w:rsidRPr="004F65AE">
        <w:rPr>
          <w:rFonts w:asciiTheme="majorBidi" w:hAnsiTheme="majorBidi" w:cstheme="majorBidi"/>
          <w:b/>
          <w:szCs w:val="22"/>
        </w:rPr>
        <w:t>Review</w:t>
      </w:r>
    </w:p>
    <w:p w14:paraId="511247C3" w14:textId="77777777" w:rsidR="00005A3C" w:rsidRPr="004F65AE" w:rsidRDefault="00005A3C" w:rsidP="00964609">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n-US"/>
        </w:rPr>
      </w:pPr>
      <w:r w:rsidRPr="004F65AE">
        <w:rPr>
          <w:rFonts w:asciiTheme="majorBidi" w:hAnsiTheme="majorBidi" w:cstheme="majorBidi"/>
          <w:bCs/>
          <w:iCs/>
          <w:snapToGrid w:val="0"/>
          <w:color w:val="000000" w:themeColor="text1"/>
          <w:kern w:val="22"/>
          <w:szCs w:val="18"/>
          <w:lang w:val="en-US"/>
        </w:rPr>
        <w:t>1</w:t>
      </w:r>
      <w:r>
        <w:rPr>
          <w:rFonts w:asciiTheme="majorBidi" w:hAnsiTheme="majorBidi" w:cstheme="majorBidi"/>
          <w:bCs/>
          <w:iCs/>
          <w:snapToGrid w:val="0"/>
          <w:color w:val="000000" w:themeColor="text1"/>
          <w:kern w:val="22"/>
          <w:szCs w:val="18"/>
          <w:lang w:val="en-US"/>
        </w:rPr>
        <w:t>5</w:t>
      </w:r>
      <w:r w:rsidRPr="004F65AE">
        <w:rPr>
          <w:rFonts w:asciiTheme="majorBidi" w:hAnsiTheme="majorBidi" w:cstheme="majorBidi"/>
          <w:bCs/>
          <w:iCs/>
          <w:snapToGrid w:val="0"/>
          <w:color w:val="000000" w:themeColor="text1"/>
          <w:kern w:val="22"/>
          <w:szCs w:val="18"/>
          <w:lang w:val="en-US"/>
        </w:rPr>
        <w:t xml:space="preserve">. </w:t>
      </w:r>
      <w:r>
        <w:rPr>
          <w:rFonts w:asciiTheme="majorBidi" w:hAnsiTheme="majorBidi" w:cstheme="majorBidi"/>
          <w:bCs/>
          <w:iCs/>
          <w:snapToGrid w:val="0"/>
          <w:color w:val="000000" w:themeColor="text1"/>
          <w:kern w:val="22"/>
          <w:szCs w:val="18"/>
          <w:lang w:val="en-US"/>
        </w:rPr>
        <w:tab/>
      </w:r>
      <w:r w:rsidRPr="00A142CA">
        <w:rPr>
          <w:rFonts w:asciiTheme="majorBidi" w:hAnsiTheme="majorBidi" w:cstheme="majorBidi"/>
          <w:bCs/>
          <w:i/>
          <w:snapToGrid w:val="0"/>
          <w:color w:val="000000" w:themeColor="text1"/>
          <w:kern w:val="22"/>
          <w:szCs w:val="18"/>
          <w:lang w:val="en-US"/>
        </w:rPr>
        <w:t>Decides</w:t>
      </w:r>
      <w:r w:rsidRPr="004F65AE">
        <w:rPr>
          <w:rFonts w:asciiTheme="majorBidi" w:hAnsiTheme="majorBidi" w:cstheme="majorBidi"/>
          <w:bCs/>
          <w:iCs/>
          <w:snapToGrid w:val="0"/>
          <w:color w:val="000000" w:themeColor="text1"/>
          <w:kern w:val="22"/>
          <w:szCs w:val="18"/>
          <w:lang w:val="en-US"/>
        </w:rPr>
        <w:t xml:space="preserve"> to consider</w:t>
      </w:r>
      <w:r>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iCs/>
          <w:snapToGrid w:val="0"/>
          <w:color w:val="000000" w:themeColor="text1"/>
          <w:kern w:val="22"/>
          <w:szCs w:val="18"/>
          <w:lang w:val="en-US"/>
        </w:rPr>
        <w:t xml:space="preserve"> at </w:t>
      </w:r>
      <w:r>
        <w:rPr>
          <w:rFonts w:asciiTheme="majorBidi" w:hAnsiTheme="majorBidi" w:cstheme="majorBidi"/>
          <w:bCs/>
          <w:snapToGrid w:val="0"/>
          <w:kern w:val="22"/>
          <w:szCs w:val="22"/>
          <w:lang w:val="en-US"/>
        </w:rPr>
        <w:t>its sixteenth meeting</w:t>
      </w:r>
      <w:r w:rsidRPr="004F65AE">
        <w:rPr>
          <w:rFonts w:asciiTheme="majorBidi" w:hAnsiTheme="majorBidi" w:cstheme="majorBidi"/>
          <w:bCs/>
          <w:iCs/>
          <w:snapToGrid w:val="0"/>
          <w:color w:val="000000" w:themeColor="text1"/>
          <w:kern w:val="22"/>
          <w:szCs w:val="18"/>
          <w:lang w:val="en-US"/>
        </w:rPr>
        <w:t xml:space="preserve"> and at each subsequent </w:t>
      </w:r>
      <w:r>
        <w:rPr>
          <w:rFonts w:asciiTheme="majorBidi" w:hAnsiTheme="majorBidi" w:cstheme="majorBidi"/>
          <w:bCs/>
          <w:iCs/>
          <w:snapToGrid w:val="0"/>
          <w:color w:val="000000" w:themeColor="text1"/>
          <w:kern w:val="22"/>
          <w:szCs w:val="18"/>
          <w:lang w:val="en-US"/>
        </w:rPr>
        <w:t xml:space="preserve">meeting of the </w:t>
      </w:r>
      <w:r>
        <w:rPr>
          <w:rFonts w:asciiTheme="majorBidi" w:hAnsiTheme="majorBidi" w:cstheme="majorBidi"/>
          <w:bCs/>
          <w:snapToGrid w:val="0"/>
          <w:kern w:val="22"/>
          <w:szCs w:val="22"/>
          <w:lang w:val="en-US"/>
        </w:rPr>
        <w:t>Conference of the Parties</w:t>
      </w:r>
      <w:r>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iCs/>
          <w:snapToGrid w:val="0"/>
          <w:color w:val="000000" w:themeColor="text1"/>
          <w:kern w:val="22"/>
          <w:szCs w:val="18"/>
          <w:lang w:val="en-US"/>
        </w:rPr>
        <w:t xml:space="preserve"> a global analysis of the information provided </w:t>
      </w:r>
      <w:r>
        <w:rPr>
          <w:rFonts w:asciiTheme="majorBidi" w:hAnsiTheme="majorBidi" w:cstheme="majorBidi"/>
          <w:bCs/>
          <w:iCs/>
          <w:snapToGrid w:val="0"/>
          <w:color w:val="000000" w:themeColor="text1"/>
          <w:kern w:val="22"/>
          <w:szCs w:val="18"/>
          <w:lang w:val="en-US"/>
        </w:rPr>
        <w:t xml:space="preserve">pursuant to </w:t>
      </w:r>
      <w:r w:rsidRPr="004F65AE">
        <w:rPr>
          <w:rFonts w:asciiTheme="majorBidi" w:hAnsiTheme="majorBidi" w:cstheme="majorBidi"/>
          <w:bCs/>
          <w:iCs/>
          <w:snapToGrid w:val="0"/>
          <w:color w:val="000000" w:themeColor="text1"/>
          <w:kern w:val="22"/>
          <w:szCs w:val="18"/>
          <w:lang w:val="en-US"/>
        </w:rPr>
        <w:t>para</w:t>
      </w:r>
      <w:r>
        <w:rPr>
          <w:rFonts w:asciiTheme="majorBidi" w:hAnsiTheme="majorBidi" w:cstheme="majorBidi"/>
          <w:bCs/>
          <w:iCs/>
          <w:snapToGrid w:val="0"/>
          <w:color w:val="000000" w:themeColor="text1"/>
          <w:kern w:val="22"/>
          <w:szCs w:val="18"/>
          <w:lang w:val="en-US"/>
        </w:rPr>
        <w:t>graphs</w:t>
      </w:r>
      <w:r w:rsidRPr="004F65AE">
        <w:rPr>
          <w:rFonts w:asciiTheme="majorBidi" w:hAnsiTheme="majorBidi" w:cstheme="majorBidi"/>
          <w:bCs/>
          <w:iCs/>
          <w:snapToGrid w:val="0"/>
          <w:color w:val="000000" w:themeColor="text1"/>
          <w:kern w:val="22"/>
          <w:szCs w:val="18"/>
          <w:lang w:val="en-US"/>
        </w:rPr>
        <w:t xml:space="preserve"> </w:t>
      </w:r>
      <w:r>
        <w:rPr>
          <w:rFonts w:asciiTheme="majorBidi" w:hAnsiTheme="majorBidi" w:cstheme="majorBidi"/>
          <w:bCs/>
          <w:iCs/>
          <w:snapToGrid w:val="0"/>
          <w:color w:val="000000" w:themeColor="text1"/>
          <w:kern w:val="22"/>
          <w:szCs w:val="18"/>
          <w:lang w:val="en-US"/>
        </w:rPr>
        <w:t>6</w:t>
      </w:r>
      <w:r w:rsidRPr="004F65AE">
        <w:rPr>
          <w:rFonts w:asciiTheme="majorBidi" w:hAnsiTheme="majorBidi" w:cstheme="majorBidi"/>
          <w:bCs/>
          <w:iCs/>
          <w:snapToGrid w:val="0"/>
          <w:color w:val="000000" w:themeColor="text1"/>
          <w:kern w:val="22"/>
          <w:szCs w:val="18"/>
          <w:lang w:val="en-US"/>
        </w:rPr>
        <w:t xml:space="preserve"> and </w:t>
      </w:r>
      <w:r>
        <w:rPr>
          <w:rFonts w:asciiTheme="majorBidi" w:hAnsiTheme="majorBidi" w:cstheme="majorBidi"/>
          <w:bCs/>
          <w:iCs/>
          <w:snapToGrid w:val="0"/>
          <w:color w:val="000000" w:themeColor="text1"/>
          <w:kern w:val="22"/>
          <w:szCs w:val="18"/>
          <w:lang w:val="en-US"/>
        </w:rPr>
        <w:t>7</w:t>
      </w:r>
      <w:r w:rsidRPr="004F65AE">
        <w:rPr>
          <w:rFonts w:asciiTheme="majorBidi" w:hAnsiTheme="majorBidi" w:cstheme="majorBidi"/>
          <w:bCs/>
          <w:iCs/>
          <w:snapToGrid w:val="0"/>
          <w:color w:val="000000" w:themeColor="text1"/>
          <w:kern w:val="22"/>
          <w:szCs w:val="18"/>
          <w:lang w:val="en-US"/>
        </w:rPr>
        <w:t xml:space="preserve"> </w:t>
      </w:r>
      <w:r>
        <w:rPr>
          <w:rFonts w:asciiTheme="majorBidi" w:hAnsiTheme="majorBidi" w:cstheme="majorBidi"/>
          <w:bCs/>
          <w:iCs/>
          <w:snapToGrid w:val="0"/>
          <w:color w:val="000000" w:themeColor="text1"/>
          <w:kern w:val="22"/>
          <w:szCs w:val="18"/>
          <w:lang w:val="en-US"/>
        </w:rPr>
        <w:t xml:space="preserve">of the present decision, </w:t>
      </w:r>
      <w:r w:rsidRPr="004F65AE">
        <w:rPr>
          <w:rFonts w:asciiTheme="majorBidi" w:hAnsiTheme="majorBidi" w:cstheme="majorBidi"/>
          <w:bCs/>
          <w:iCs/>
          <w:snapToGrid w:val="0"/>
          <w:color w:val="000000" w:themeColor="text1"/>
          <w:kern w:val="22"/>
          <w:szCs w:val="18"/>
          <w:lang w:val="en-US"/>
        </w:rPr>
        <w:t xml:space="preserve">to assess the contribution towards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18"/>
        </w:rPr>
        <w:t>Global Biodiversity Framework</w:t>
      </w:r>
      <w:r>
        <w:rPr>
          <w:rFonts w:asciiTheme="majorBidi" w:hAnsiTheme="majorBidi" w:cstheme="majorBidi"/>
          <w:bCs/>
          <w:iCs/>
          <w:snapToGrid w:val="0"/>
          <w:color w:val="000000" w:themeColor="text1"/>
          <w:kern w:val="22"/>
          <w:szCs w:val="18"/>
          <w:lang w:val="en-US"/>
        </w:rPr>
        <w:t>;</w:t>
      </w:r>
    </w:p>
    <w:p w14:paraId="4557F069" w14:textId="77777777" w:rsidR="00005A3C" w:rsidRPr="004F65AE" w:rsidRDefault="00005A3C">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n-US"/>
        </w:rPr>
      </w:pPr>
      <w:r w:rsidRPr="00AD2BAA">
        <w:rPr>
          <w:rFonts w:asciiTheme="majorBidi" w:hAnsiTheme="majorBidi" w:cstheme="majorBidi"/>
          <w:bCs/>
          <w:iCs/>
          <w:snapToGrid w:val="0"/>
          <w:color w:val="000000" w:themeColor="text1"/>
          <w:kern w:val="22"/>
          <w:szCs w:val="18"/>
          <w:lang w:val="en-US"/>
        </w:rPr>
        <w:t xml:space="preserve">16. </w:t>
      </w:r>
      <w:r w:rsidRPr="00AD2BAA">
        <w:rPr>
          <w:rFonts w:asciiTheme="majorBidi" w:hAnsiTheme="majorBidi" w:cstheme="majorBidi"/>
          <w:bCs/>
          <w:iCs/>
          <w:snapToGrid w:val="0"/>
          <w:color w:val="000000" w:themeColor="text1"/>
          <w:kern w:val="22"/>
          <w:szCs w:val="18"/>
          <w:lang w:val="en-US"/>
        </w:rPr>
        <w:tab/>
      </w:r>
      <w:r w:rsidRPr="00AD2BAA">
        <w:rPr>
          <w:rFonts w:asciiTheme="majorBidi" w:hAnsiTheme="majorBidi" w:cstheme="majorBidi"/>
          <w:bCs/>
          <w:i/>
          <w:snapToGrid w:val="0"/>
          <w:color w:val="000000" w:themeColor="text1"/>
          <w:kern w:val="22"/>
          <w:szCs w:val="18"/>
          <w:lang w:val="en-US"/>
        </w:rPr>
        <w:t>Also decides</w:t>
      </w:r>
      <w:r w:rsidRPr="00AD2BAA">
        <w:rPr>
          <w:rFonts w:asciiTheme="majorBidi" w:hAnsiTheme="majorBidi" w:cstheme="majorBidi"/>
          <w:bCs/>
          <w:iCs/>
          <w:snapToGrid w:val="0"/>
          <w:color w:val="000000" w:themeColor="text1"/>
          <w:kern w:val="22"/>
          <w:szCs w:val="18"/>
          <w:lang w:val="en-US"/>
        </w:rPr>
        <w:t xml:space="preserve"> to conduct a global review of the collective progress in the implementation of the </w:t>
      </w:r>
      <w:r w:rsidRPr="00AD2BAA">
        <w:rPr>
          <w:rFonts w:asciiTheme="majorBidi" w:hAnsiTheme="majorBidi" w:cstheme="majorBidi"/>
          <w:bCs/>
          <w:snapToGrid w:val="0"/>
          <w:kern w:val="22"/>
          <w:szCs w:val="22"/>
          <w:lang w:val="en-US"/>
        </w:rPr>
        <w:t xml:space="preserve">Kunming-Montreal </w:t>
      </w:r>
      <w:r w:rsidRPr="00AD2BAA">
        <w:rPr>
          <w:rFonts w:asciiTheme="majorBidi" w:hAnsiTheme="majorBidi" w:cstheme="majorBidi"/>
          <w:bCs/>
          <w:iCs/>
          <w:snapToGrid w:val="0"/>
          <w:color w:val="000000" w:themeColor="text1"/>
          <w:kern w:val="22"/>
          <w:szCs w:val="22"/>
          <w:lang w:val="en-US"/>
        </w:rPr>
        <w:t>Global</w:t>
      </w:r>
      <w:r w:rsidRPr="00AD2BAA">
        <w:rPr>
          <w:rFonts w:asciiTheme="majorBidi" w:hAnsiTheme="majorBidi" w:cstheme="majorBidi"/>
          <w:bCs/>
          <w:iCs/>
          <w:snapToGrid w:val="0"/>
          <w:color w:val="000000" w:themeColor="text1"/>
          <w:kern w:val="22"/>
          <w:szCs w:val="18"/>
          <w:lang w:val="en-US"/>
        </w:rPr>
        <w:t xml:space="preserve"> Biodiversity Framework, including the means of implementation, at </w:t>
      </w:r>
      <w:r w:rsidRPr="00CA676A">
        <w:rPr>
          <w:rFonts w:asciiTheme="majorBidi" w:hAnsiTheme="majorBidi" w:cstheme="majorBidi"/>
          <w:bCs/>
          <w:iCs/>
          <w:snapToGrid w:val="0"/>
          <w:color w:val="000000" w:themeColor="text1"/>
          <w:kern w:val="22"/>
          <w:szCs w:val="18"/>
          <w:lang w:val="en-US"/>
        </w:rPr>
        <w:t>its</w:t>
      </w:r>
      <w:r w:rsidRPr="00AD2BAA">
        <w:rPr>
          <w:rFonts w:asciiTheme="majorBidi" w:hAnsiTheme="majorBidi" w:cstheme="majorBidi"/>
          <w:bCs/>
          <w:iCs/>
          <w:snapToGrid w:val="0"/>
          <w:color w:val="000000" w:themeColor="text1"/>
          <w:kern w:val="22"/>
          <w:szCs w:val="18"/>
          <w:lang w:val="en-US"/>
        </w:rPr>
        <w:t xml:space="preserve"> seventeenth and nineteenth meetings, based on national reports and, as appropriate, other sources of information;</w:t>
      </w:r>
    </w:p>
    <w:p w14:paraId="59AECD8D" w14:textId="77777777" w:rsidR="00005A3C" w:rsidRDefault="00005A3C">
      <w:pPr>
        <w:suppressLineNumbers/>
        <w:suppressAutoHyphens/>
        <w:spacing w:before="120" w:after="120"/>
        <w:ind w:firstLine="851"/>
        <w:rPr>
          <w:rFonts w:asciiTheme="majorBidi" w:hAnsiTheme="majorBidi" w:cstheme="majorBidi"/>
          <w:bCs/>
          <w:snapToGrid w:val="0"/>
          <w:kern w:val="22"/>
          <w:szCs w:val="22"/>
        </w:rPr>
      </w:pPr>
      <w:r w:rsidRPr="004F65AE">
        <w:rPr>
          <w:rFonts w:asciiTheme="majorBidi" w:hAnsiTheme="majorBidi" w:cstheme="majorBidi"/>
          <w:bCs/>
          <w:snapToGrid w:val="0"/>
          <w:kern w:val="22"/>
          <w:szCs w:val="22"/>
        </w:rPr>
        <w:t>1</w:t>
      </w:r>
      <w:r>
        <w:rPr>
          <w:rFonts w:asciiTheme="majorBidi" w:hAnsiTheme="majorBidi" w:cstheme="majorBidi"/>
          <w:bCs/>
          <w:snapToGrid w:val="0"/>
          <w:kern w:val="22"/>
          <w:szCs w:val="22"/>
        </w:rPr>
        <w:t>7.</w:t>
      </w:r>
      <w:r>
        <w:rPr>
          <w:rFonts w:asciiTheme="majorBidi" w:hAnsiTheme="majorBidi" w:cstheme="majorBidi"/>
          <w:bCs/>
          <w:i/>
          <w:iCs/>
          <w:snapToGrid w:val="0"/>
          <w:kern w:val="22"/>
          <w:szCs w:val="22"/>
        </w:rPr>
        <w:tab/>
        <w:t>Further d</w:t>
      </w:r>
      <w:r w:rsidRPr="004F65AE">
        <w:rPr>
          <w:rFonts w:asciiTheme="majorBidi" w:hAnsiTheme="majorBidi" w:cstheme="majorBidi"/>
          <w:bCs/>
          <w:i/>
          <w:iCs/>
          <w:snapToGrid w:val="0"/>
          <w:kern w:val="22"/>
          <w:szCs w:val="22"/>
        </w:rPr>
        <w:t xml:space="preserve">ecides </w:t>
      </w:r>
      <w:r w:rsidRPr="004F65AE">
        <w:rPr>
          <w:rFonts w:asciiTheme="majorBidi" w:hAnsiTheme="majorBidi" w:cstheme="majorBidi"/>
          <w:bCs/>
          <w:snapToGrid w:val="0"/>
          <w:kern w:val="22"/>
          <w:szCs w:val="22"/>
        </w:rPr>
        <w:t xml:space="preserve">to mandate the Subsidiary Body on Implementation to develop the concrete procedures for the global review </w:t>
      </w:r>
      <w:r w:rsidRPr="004F65AE">
        <w:rPr>
          <w:rFonts w:asciiTheme="majorBidi" w:hAnsiTheme="majorBidi" w:cstheme="majorBidi"/>
          <w:bCs/>
          <w:iCs/>
          <w:snapToGrid w:val="0"/>
          <w:color w:val="000000" w:themeColor="text1"/>
          <w:kern w:val="22"/>
          <w:szCs w:val="18"/>
          <w:lang w:val="en-US"/>
        </w:rPr>
        <w:t>mentioned in paragraph 1</w:t>
      </w:r>
      <w:r>
        <w:rPr>
          <w:rFonts w:asciiTheme="majorBidi" w:hAnsiTheme="majorBidi" w:cstheme="majorBidi"/>
          <w:bCs/>
          <w:iCs/>
          <w:snapToGrid w:val="0"/>
          <w:color w:val="000000" w:themeColor="text1"/>
          <w:kern w:val="22"/>
          <w:szCs w:val="18"/>
          <w:lang w:val="en-US"/>
        </w:rPr>
        <w:t>6 above</w:t>
      </w:r>
      <w:r w:rsidRPr="004F65AE">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snapToGrid w:val="0"/>
          <w:kern w:val="22"/>
          <w:szCs w:val="22"/>
        </w:rPr>
        <w:t xml:space="preserve"> including on the use of indicators, and to prepare the review for </w:t>
      </w:r>
      <w:r w:rsidRPr="00CA676A">
        <w:rPr>
          <w:rFonts w:asciiTheme="majorBidi" w:hAnsiTheme="majorBidi" w:cstheme="majorBidi"/>
          <w:bCs/>
          <w:snapToGrid w:val="0"/>
          <w:kern w:val="22"/>
          <w:szCs w:val="22"/>
        </w:rPr>
        <w:t>consideration</w:t>
      </w:r>
      <w:r w:rsidRPr="005A12B2">
        <w:rPr>
          <w:rFonts w:asciiTheme="majorBidi" w:hAnsiTheme="majorBidi" w:cstheme="majorBidi"/>
          <w:bCs/>
          <w:snapToGrid w:val="0"/>
          <w:kern w:val="22"/>
          <w:szCs w:val="22"/>
        </w:rPr>
        <w:t xml:space="preserve"> </w:t>
      </w:r>
      <w:r w:rsidRPr="00CA676A">
        <w:rPr>
          <w:rFonts w:asciiTheme="majorBidi" w:hAnsiTheme="majorBidi" w:cstheme="majorBidi"/>
          <w:bCs/>
          <w:snapToGrid w:val="0"/>
          <w:kern w:val="22"/>
          <w:szCs w:val="22"/>
        </w:rPr>
        <w:t>by the Conference of the Parties at its</w:t>
      </w:r>
      <w:r w:rsidRPr="005A12B2">
        <w:rPr>
          <w:rFonts w:asciiTheme="majorBidi" w:hAnsiTheme="majorBidi" w:cstheme="majorBidi"/>
          <w:bCs/>
          <w:snapToGrid w:val="0"/>
          <w:kern w:val="22"/>
          <w:szCs w:val="22"/>
        </w:rPr>
        <w:t xml:space="preserve"> </w:t>
      </w:r>
      <w:r w:rsidRPr="005A12B2">
        <w:rPr>
          <w:rFonts w:asciiTheme="majorBidi" w:hAnsiTheme="majorBidi" w:cstheme="majorBidi"/>
          <w:bCs/>
          <w:snapToGrid w:val="0"/>
          <w:kern w:val="22"/>
          <w:szCs w:val="22"/>
          <w:lang w:val="en-US"/>
        </w:rPr>
        <w:t>sixteenth meeting</w:t>
      </w:r>
      <w:r w:rsidRPr="005A12B2">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 xml:space="preserve"> </w:t>
      </w:r>
    </w:p>
    <w:p w14:paraId="22107929" w14:textId="77777777" w:rsidR="00005A3C" w:rsidRDefault="00005A3C">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18.</w:t>
      </w:r>
      <w:r>
        <w:rPr>
          <w:rFonts w:asciiTheme="majorBidi" w:hAnsiTheme="majorBidi" w:cstheme="majorBidi"/>
          <w:bCs/>
          <w:snapToGrid w:val="0"/>
          <w:kern w:val="22"/>
          <w:szCs w:val="22"/>
        </w:rPr>
        <w:tab/>
      </w:r>
      <w:r w:rsidRPr="00A142CA">
        <w:rPr>
          <w:rFonts w:asciiTheme="majorBidi" w:hAnsiTheme="majorBidi" w:cstheme="majorBidi"/>
          <w:bCs/>
          <w:i/>
          <w:iCs/>
          <w:snapToGrid w:val="0"/>
          <w:kern w:val="22"/>
          <w:szCs w:val="22"/>
        </w:rPr>
        <w:t>Requests</w:t>
      </w:r>
      <w:r>
        <w:rPr>
          <w:rFonts w:asciiTheme="majorBidi" w:hAnsiTheme="majorBidi" w:cstheme="majorBidi"/>
          <w:bCs/>
          <w:snapToGrid w:val="0"/>
          <w:kern w:val="22"/>
          <w:szCs w:val="22"/>
        </w:rPr>
        <w:t xml:space="preserve"> the Subsidiary Body on Scientific, Technical and Technological Advice, at its twenty-fifth meeting, to pro</w:t>
      </w:r>
      <w:r w:rsidRPr="00AD2BAA">
        <w:rPr>
          <w:rFonts w:asciiTheme="majorBidi" w:hAnsiTheme="majorBidi" w:cstheme="majorBidi"/>
          <w:bCs/>
          <w:snapToGrid w:val="0"/>
          <w:kern w:val="22"/>
          <w:szCs w:val="22"/>
        </w:rPr>
        <w:t>vide advice on relevant scientific, technical and technological inputs that should inform the global review mentioned</w:t>
      </w:r>
      <w:r>
        <w:rPr>
          <w:rFonts w:asciiTheme="majorBidi" w:hAnsiTheme="majorBidi" w:cstheme="majorBidi"/>
          <w:bCs/>
          <w:snapToGrid w:val="0"/>
          <w:kern w:val="22"/>
          <w:szCs w:val="22"/>
        </w:rPr>
        <w:t xml:space="preserve"> in paragraph 16, for consideration by the Subsidiary Body on Implementation;</w:t>
      </w:r>
    </w:p>
    <w:p w14:paraId="6D04D2B0" w14:textId="77777777" w:rsidR="00005A3C" w:rsidRPr="004F65AE" w:rsidRDefault="00005A3C" w:rsidP="00DF1593">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DF1593">
        <w:rPr>
          <w:rFonts w:asciiTheme="majorBidi" w:hAnsiTheme="majorBidi" w:cstheme="majorBidi"/>
          <w:bCs/>
          <w:snapToGrid w:val="0"/>
          <w:kern w:val="22"/>
          <w:szCs w:val="22"/>
          <w:lang w:val="en-US"/>
        </w:rPr>
        <w:t>1</w:t>
      </w:r>
      <w:r>
        <w:rPr>
          <w:rFonts w:asciiTheme="majorBidi" w:hAnsiTheme="majorBidi" w:cstheme="majorBidi"/>
          <w:bCs/>
          <w:snapToGrid w:val="0"/>
          <w:kern w:val="22"/>
          <w:szCs w:val="22"/>
          <w:lang w:val="en-US"/>
        </w:rPr>
        <w:t>9</w:t>
      </w:r>
      <w:r w:rsidRPr="00DF1593">
        <w:rPr>
          <w:rFonts w:asciiTheme="majorBidi" w:hAnsiTheme="majorBidi" w:cstheme="majorBidi"/>
          <w:bCs/>
          <w:snapToGrid w:val="0"/>
          <w:kern w:val="22"/>
          <w:szCs w:val="22"/>
          <w:lang w:val="en-US"/>
        </w:rPr>
        <w:t>.</w:t>
      </w:r>
      <w:r w:rsidRPr="004F65AE">
        <w:rPr>
          <w:rFonts w:asciiTheme="majorBidi" w:hAnsiTheme="majorBidi" w:cstheme="majorBidi"/>
          <w:bCs/>
          <w:i/>
          <w:iCs/>
          <w:snapToGrid w:val="0"/>
          <w:kern w:val="22"/>
          <w:szCs w:val="22"/>
          <w:lang w:val="en-US"/>
        </w:rPr>
        <w:t xml:space="preserve"> </w:t>
      </w:r>
      <w:r>
        <w:rPr>
          <w:rFonts w:asciiTheme="majorBidi" w:hAnsiTheme="majorBidi" w:cstheme="majorBidi"/>
          <w:bCs/>
          <w:i/>
          <w:iCs/>
          <w:snapToGrid w:val="0"/>
          <w:kern w:val="22"/>
          <w:szCs w:val="22"/>
          <w:lang w:val="en-US"/>
        </w:rPr>
        <w:tab/>
      </w:r>
      <w:r w:rsidRPr="004F65AE">
        <w:rPr>
          <w:rFonts w:asciiTheme="majorBidi" w:hAnsiTheme="majorBidi" w:cstheme="majorBidi"/>
          <w:bCs/>
          <w:i/>
          <w:iCs/>
          <w:snapToGrid w:val="0"/>
          <w:kern w:val="22"/>
          <w:szCs w:val="22"/>
          <w:lang w:val="en-US"/>
        </w:rPr>
        <w:t>Decides</w:t>
      </w:r>
      <w:r w:rsidRPr="004F65AE">
        <w:rPr>
          <w:rFonts w:asciiTheme="majorBidi" w:hAnsiTheme="majorBidi" w:cstheme="majorBidi"/>
          <w:bCs/>
          <w:snapToGrid w:val="0"/>
          <w:kern w:val="22"/>
          <w:szCs w:val="22"/>
          <w:lang w:val="en-US"/>
        </w:rPr>
        <w:t xml:space="preserve"> that </w:t>
      </w:r>
      <w:r>
        <w:rPr>
          <w:rFonts w:asciiTheme="majorBidi" w:hAnsiTheme="majorBidi" w:cstheme="majorBidi"/>
          <w:bCs/>
          <w:snapToGrid w:val="0"/>
          <w:kern w:val="22"/>
          <w:szCs w:val="22"/>
          <w:lang w:val="en-US"/>
        </w:rPr>
        <w:t>the Conference of the Parties</w:t>
      </w:r>
      <w:r w:rsidRPr="004F65AE">
        <w:rPr>
          <w:rFonts w:asciiTheme="majorBidi" w:hAnsiTheme="majorBidi" w:cstheme="majorBidi"/>
          <w:bCs/>
          <w:snapToGrid w:val="0"/>
          <w:kern w:val="22"/>
          <w:szCs w:val="22"/>
          <w:lang w:val="en-US"/>
        </w:rPr>
        <w:t xml:space="preserve"> will consider and provide any additional </w:t>
      </w:r>
      <w:r w:rsidRPr="0033715A">
        <w:rPr>
          <w:rFonts w:asciiTheme="majorBidi" w:hAnsiTheme="majorBidi" w:cstheme="majorBidi"/>
          <w:bCs/>
          <w:snapToGrid w:val="0"/>
          <w:kern w:val="22"/>
          <w:szCs w:val="22"/>
          <w:lang w:val="en-US"/>
        </w:rPr>
        <w:t>recommendations, as necessary, at future meetings of the Conference of the Parties, on the basis of the inputs received pursuant to</w:t>
      </w:r>
      <w:r>
        <w:rPr>
          <w:rFonts w:asciiTheme="majorBidi" w:hAnsiTheme="majorBidi" w:cstheme="majorBidi"/>
          <w:bCs/>
          <w:snapToGrid w:val="0"/>
          <w:kern w:val="22"/>
          <w:szCs w:val="22"/>
          <w:lang w:val="en-US"/>
        </w:rPr>
        <w:t xml:space="preserve"> </w:t>
      </w:r>
      <w:r w:rsidRPr="004F65AE">
        <w:rPr>
          <w:rFonts w:asciiTheme="majorBidi" w:hAnsiTheme="majorBidi" w:cstheme="majorBidi"/>
          <w:bCs/>
          <w:snapToGrid w:val="0"/>
          <w:kern w:val="22"/>
          <w:szCs w:val="22"/>
          <w:lang w:val="en-US"/>
        </w:rPr>
        <w:t>para</w:t>
      </w:r>
      <w:r>
        <w:rPr>
          <w:rFonts w:asciiTheme="majorBidi" w:hAnsiTheme="majorBidi" w:cstheme="majorBidi"/>
          <w:bCs/>
          <w:snapToGrid w:val="0"/>
          <w:kern w:val="22"/>
          <w:szCs w:val="22"/>
          <w:lang w:val="en-US"/>
        </w:rPr>
        <w:t>graphs</w:t>
      </w:r>
      <w:r w:rsidRPr="004F65AE">
        <w:rPr>
          <w:rFonts w:asciiTheme="majorBidi" w:hAnsiTheme="majorBidi" w:cstheme="majorBidi"/>
          <w:bCs/>
          <w:snapToGrid w:val="0"/>
          <w:kern w:val="22"/>
          <w:szCs w:val="22"/>
          <w:lang w:val="en-US"/>
        </w:rPr>
        <w:t xml:space="preserve"> 1</w:t>
      </w:r>
      <w:r>
        <w:rPr>
          <w:rFonts w:asciiTheme="majorBidi" w:hAnsiTheme="majorBidi" w:cstheme="majorBidi"/>
          <w:bCs/>
          <w:snapToGrid w:val="0"/>
          <w:kern w:val="22"/>
          <w:szCs w:val="22"/>
          <w:lang w:val="en-US"/>
        </w:rPr>
        <w:t>5</w:t>
      </w:r>
      <w:r w:rsidRPr="004F65AE">
        <w:rPr>
          <w:rFonts w:asciiTheme="majorBidi" w:hAnsiTheme="majorBidi" w:cstheme="majorBidi"/>
          <w:bCs/>
          <w:snapToGrid w:val="0"/>
          <w:kern w:val="22"/>
          <w:szCs w:val="22"/>
          <w:lang w:val="en-US"/>
        </w:rPr>
        <w:t xml:space="preserve"> and 1</w:t>
      </w:r>
      <w:r>
        <w:rPr>
          <w:rFonts w:asciiTheme="majorBidi" w:hAnsiTheme="majorBidi" w:cstheme="majorBidi"/>
          <w:bCs/>
          <w:snapToGrid w:val="0"/>
          <w:kern w:val="22"/>
          <w:szCs w:val="22"/>
          <w:lang w:val="en-US"/>
        </w:rPr>
        <w:t>6,</w:t>
      </w:r>
      <w:r w:rsidRPr="004F65AE">
        <w:rPr>
          <w:rFonts w:asciiTheme="majorBidi" w:hAnsiTheme="majorBidi" w:cstheme="majorBidi"/>
          <w:bCs/>
          <w:snapToGrid w:val="0"/>
          <w:kern w:val="22"/>
          <w:szCs w:val="22"/>
          <w:lang w:val="en-US"/>
        </w:rPr>
        <w:t xml:space="preserve"> with a view to achieving the goals and targets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lang w:val="en-US"/>
        </w:rPr>
        <w:t>Global Biodiversity Framework</w:t>
      </w:r>
      <w:r>
        <w:rPr>
          <w:rFonts w:asciiTheme="majorBidi" w:hAnsiTheme="majorBidi" w:cstheme="majorBidi"/>
          <w:bCs/>
          <w:snapToGrid w:val="0"/>
          <w:kern w:val="22"/>
          <w:szCs w:val="22"/>
          <w:lang w:val="en-US"/>
        </w:rPr>
        <w:t>;</w:t>
      </w:r>
    </w:p>
    <w:p w14:paraId="6D139E00" w14:textId="77777777" w:rsidR="00005A3C" w:rsidRDefault="00005A3C" w:rsidP="0096460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lang w:val="en-CA"/>
        </w:rPr>
      </w:pPr>
      <w:r>
        <w:rPr>
          <w:rFonts w:asciiTheme="majorBidi" w:hAnsiTheme="majorBidi" w:cstheme="majorBidi"/>
          <w:bCs/>
          <w:snapToGrid w:val="0"/>
          <w:kern w:val="22"/>
          <w:szCs w:val="22"/>
          <w:lang w:val="en-CA"/>
        </w:rPr>
        <w:t>20</w:t>
      </w:r>
      <w:r w:rsidRPr="006668AE">
        <w:rPr>
          <w:rFonts w:asciiTheme="majorBidi" w:hAnsiTheme="majorBidi" w:cstheme="majorBidi"/>
          <w:bCs/>
          <w:snapToGrid w:val="0"/>
          <w:kern w:val="22"/>
          <w:szCs w:val="22"/>
          <w:lang w:val="en-CA"/>
        </w:rPr>
        <w:t xml:space="preserve">. </w:t>
      </w:r>
      <w:r>
        <w:rPr>
          <w:rFonts w:asciiTheme="majorBidi" w:hAnsiTheme="majorBidi" w:cstheme="majorBidi"/>
          <w:bCs/>
          <w:snapToGrid w:val="0"/>
          <w:kern w:val="22"/>
          <w:szCs w:val="22"/>
          <w:lang w:val="en-CA"/>
        </w:rPr>
        <w:tab/>
      </w:r>
      <w:r>
        <w:rPr>
          <w:rFonts w:asciiTheme="majorBidi" w:hAnsiTheme="majorBidi" w:cstheme="majorBidi"/>
          <w:bCs/>
          <w:i/>
          <w:iCs/>
          <w:snapToGrid w:val="0"/>
          <w:kern w:val="22"/>
          <w:szCs w:val="22"/>
          <w:lang w:val="en-CA"/>
        </w:rPr>
        <w:t xml:space="preserve">Recognizes </w:t>
      </w:r>
      <w:r w:rsidRPr="008174C8">
        <w:rPr>
          <w:rFonts w:asciiTheme="majorBidi" w:hAnsiTheme="majorBidi" w:cstheme="majorBidi"/>
          <w:bCs/>
          <w:snapToGrid w:val="0"/>
          <w:kern w:val="22"/>
          <w:szCs w:val="22"/>
          <w:lang w:val="en-CA"/>
        </w:rPr>
        <w:t>that</w:t>
      </w:r>
      <w:r w:rsidRPr="006668AE">
        <w:rPr>
          <w:rFonts w:asciiTheme="majorBidi" w:hAnsiTheme="majorBidi" w:cstheme="majorBidi"/>
          <w:bCs/>
          <w:snapToGrid w:val="0"/>
          <w:kern w:val="22"/>
          <w:szCs w:val="22"/>
          <w:lang w:val="en-CA"/>
        </w:rPr>
        <w:t xml:space="preserve"> Parties </w:t>
      </w:r>
      <w:r>
        <w:rPr>
          <w:rFonts w:asciiTheme="majorBidi" w:hAnsiTheme="majorBidi" w:cstheme="majorBidi"/>
          <w:bCs/>
          <w:snapToGrid w:val="0"/>
          <w:kern w:val="22"/>
          <w:szCs w:val="22"/>
          <w:lang w:val="en-CA"/>
        </w:rPr>
        <w:t xml:space="preserve">may </w:t>
      </w:r>
      <w:r w:rsidRPr="006668AE">
        <w:rPr>
          <w:rFonts w:asciiTheme="majorBidi" w:hAnsiTheme="majorBidi" w:cstheme="majorBidi"/>
          <w:bCs/>
          <w:snapToGrid w:val="0"/>
          <w:kern w:val="22"/>
          <w:szCs w:val="22"/>
          <w:lang w:val="en-CA"/>
        </w:rPr>
        <w:t xml:space="preserve">take the outcome of the </w:t>
      </w:r>
      <w:r>
        <w:rPr>
          <w:rFonts w:asciiTheme="majorBidi" w:hAnsiTheme="majorBidi" w:cstheme="majorBidi"/>
          <w:bCs/>
          <w:snapToGrid w:val="0"/>
          <w:kern w:val="22"/>
          <w:szCs w:val="22"/>
          <w:lang w:val="en-CA"/>
        </w:rPr>
        <w:t xml:space="preserve">global </w:t>
      </w:r>
      <w:r w:rsidRPr="006668AE">
        <w:rPr>
          <w:rFonts w:asciiTheme="majorBidi" w:hAnsiTheme="majorBidi" w:cstheme="majorBidi"/>
          <w:bCs/>
          <w:snapToGrid w:val="0"/>
          <w:kern w:val="22"/>
          <w:szCs w:val="22"/>
          <w:lang w:val="en-CA"/>
        </w:rPr>
        <w:t>review</w:t>
      </w:r>
      <w:r w:rsidRPr="00DD48AB">
        <w:rPr>
          <w:rFonts w:asciiTheme="majorBidi" w:hAnsiTheme="majorBidi" w:cstheme="majorBidi"/>
          <w:bCs/>
          <w:snapToGrid w:val="0"/>
          <w:kern w:val="22"/>
          <w:szCs w:val="22"/>
          <w:lang w:val="en-CA"/>
        </w:rPr>
        <w:t xml:space="preserve"> into</w:t>
      </w:r>
      <w:r w:rsidRPr="006668AE">
        <w:rPr>
          <w:rFonts w:asciiTheme="majorBidi" w:hAnsiTheme="majorBidi" w:cstheme="majorBidi"/>
          <w:bCs/>
          <w:snapToGrid w:val="0"/>
          <w:kern w:val="22"/>
          <w:szCs w:val="22"/>
          <w:lang w:val="en-CA"/>
        </w:rPr>
        <w:t xml:space="preserve"> account in future revisions </w:t>
      </w:r>
      <w:r>
        <w:rPr>
          <w:rFonts w:asciiTheme="majorBidi" w:hAnsiTheme="majorBidi" w:cstheme="majorBidi"/>
          <w:bCs/>
          <w:snapToGrid w:val="0"/>
          <w:kern w:val="22"/>
          <w:szCs w:val="22"/>
          <w:lang w:val="en-CA"/>
        </w:rPr>
        <w:t xml:space="preserve">and implementation </w:t>
      </w:r>
      <w:r w:rsidRPr="006668AE">
        <w:rPr>
          <w:rFonts w:asciiTheme="majorBidi" w:hAnsiTheme="majorBidi" w:cstheme="majorBidi"/>
          <w:bCs/>
          <w:snapToGrid w:val="0"/>
          <w:kern w:val="22"/>
          <w:szCs w:val="22"/>
          <w:lang w:val="en-CA"/>
        </w:rPr>
        <w:t xml:space="preserve">of their </w:t>
      </w:r>
      <w:r>
        <w:rPr>
          <w:rFonts w:asciiTheme="majorBidi" w:hAnsiTheme="majorBidi" w:cstheme="majorBidi"/>
          <w:bCs/>
          <w:snapToGrid w:val="0"/>
          <w:kern w:val="22"/>
          <w:szCs w:val="22"/>
          <w:lang w:val="en-CA"/>
        </w:rPr>
        <w:t xml:space="preserve">national biodiversity </w:t>
      </w:r>
      <w:r w:rsidRPr="00090832">
        <w:rPr>
          <w:rFonts w:asciiTheme="majorBidi" w:hAnsiTheme="majorBidi" w:cstheme="majorBidi"/>
          <w:bCs/>
          <w:snapToGrid w:val="0"/>
          <w:kern w:val="22"/>
          <w:szCs w:val="22"/>
          <w:lang w:val="en-CA"/>
        </w:rPr>
        <w:t>strategies and action plans,</w:t>
      </w:r>
      <w:r w:rsidRPr="006668AE">
        <w:rPr>
          <w:rFonts w:asciiTheme="majorBidi" w:hAnsiTheme="majorBidi" w:cstheme="majorBidi"/>
          <w:bCs/>
          <w:snapToGrid w:val="0"/>
          <w:kern w:val="22"/>
          <w:szCs w:val="22"/>
          <w:lang w:val="en-CA"/>
        </w:rPr>
        <w:t xml:space="preserve"> including the provision of means of implementation to developing country Parties, with a view to improv</w:t>
      </w:r>
      <w:r>
        <w:rPr>
          <w:rFonts w:asciiTheme="majorBidi" w:hAnsiTheme="majorBidi" w:cstheme="majorBidi"/>
          <w:bCs/>
          <w:snapToGrid w:val="0"/>
          <w:kern w:val="22"/>
          <w:szCs w:val="22"/>
          <w:lang w:val="en-CA"/>
        </w:rPr>
        <w:t>ing</w:t>
      </w:r>
      <w:r w:rsidRPr="006668AE">
        <w:rPr>
          <w:rFonts w:asciiTheme="majorBidi" w:hAnsiTheme="majorBidi" w:cstheme="majorBidi"/>
          <w:bCs/>
          <w:snapToGrid w:val="0"/>
          <w:kern w:val="22"/>
          <w:szCs w:val="22"/>
          <w:lang w:val="en-CA"/>
        </w:rPr>
        <w:t xml:space="preserve"> actions and efforts, as appropriate</w:t>
      </w:r>
      <w:r>
        <w:rPr>
          <w:rFonts w:asciiTheme="majorBidi" w:hAnsiTheme="majorBidi" w:cstheme="majorBidi"/>
          <w:bCs/>
          <w:snapToGrid w:val="0"/>
          <w:kern w:val="22"/>
          <w:szCs w:val="22"/>
          <w:lang w:val="en-CA"/>
        </w:rPr>
        <w:t>;</w:t>
      </w:r>
    </w:p>
    <w:p w14:paraId="24A14DC7" w14:textId="77777777" w:rsidR="00005A3C" w:rsidRPr="004F65AE" w:rsidRDefault="00005A3C">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rPr>
      </w:pPr>
      <w:r>
        <w:rPr>
          <w:rFonts w:asciiTheme="majorBidi" w:hAnsiTheme="majorBidi" w:cstheme="majorBidi"/>
          <w:bCs/>
          <w:snapToGrid w:val="0"/>
          <w:kern w:val="22"/>
        </w:rPr>
        <w:t>21</w:t>
      </w:r>
      <w:r w:rsidRPr="004F65AE">
        <w:rPr>
          <w:rFonts w:asciiTheme="majorBidi" w:hAnsiTheme="majorBidi" w:cstheme="majorBidi"/>
          <w:bCs/>
          <w:snapToGrid w:val="0"/>
          <w:kern w:val="22"/>
        </w:rPr>
        <w:t>.</w:t>
      </w:r>
      <w:r w:rsidRPr="004F65AE">
        <w:rPr>
          <w:rFonts w:asciiTheme="majorBidi" w:hAnsiTheme="majorBidi" w:cstheme="majorBidi"/>
          <w:bCs/>
          <w:i/>
          <w:iCs/>
          <w:snapToGrid w:val="0"/>
          <w:kern w:val="22"/>
        </w:rPr>
        <w:tab/>
      </w:r>
      <w:r w:rsidRPr="004F65AE">
        <w:rPr>
          <w:i/>
          <w:iCs/>
          <w:snapToGrid w:val="0"/>
          <w:kern w:val="22"/>
        </w:rPr>
        <w:t>Invites</w:t>
      </w:r>
      <w:r w:rsidRPr="004F65AE">
        <w:rPr>
          <w:snapToGrid w:val="0"/>
          <w:kern w:val="22"/>
        </w:rPr>
        <w:t xml:space="preserve"> Parties </w:t>
      </w:r>
      <w:r w:rsidRPr="006D5BA2">
        <w:rPr>
          <w:snapToGrid w:val="0"/>
          <w:kern w:val="22"/>
        </w:rPr>
        <w:t>hosting the</w:t>
      </w:r>
      <w:r>
        <w:rPr>
          <w:snapToGrid w:val="0"/>
          <w:kern w:val="22"/>
        </w:rPr>
        <w:t xml:space="preserve"> seventeenth and nineteenth</w:t>
      </w:r>
      <w:r w:rsidRPr="004F65AE">
        <w:rPr>
          <w:snapToGrid w:val="0"/>
          <w:kern w:val="22"/>
        </w:rPr>
        <w:t xml:space="preserve"> meetings of the Conference of the Parties to consider organizing a high-level discussion on the review of progress towards the implementation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snapToGrid w:val="0"/>
          <w:kern w:val="22"/>
        </w:rPr>
        <w:t>Global Biodiversity Framework;</w:t>
      </w:r>
    </w:p>
    <w:p w14:paraId="5B3194CC" w14:textId="77777777" w:rsidR="00005A3C" w:rsidRPr="004F65AE" w:rsidDel="001A4C1C" w:rsidRDefault="00005A3C" w:rsidP="009D6BD6">
      <w:pPr>
        <w:keepNext/>
        <w:suppressLineNumbers/>
        <w:suppressAutoHyphens/>
        <w:adjustRightInd w:val="0"/>
        <w:snapToGrid w:val="0"/>
        <w:spacing w:before="120" w:after="120"/>
        <w:ind w:firstLine="720"/>
        <w:rPr>
          <w:rFonts w:asciiTheme="majorBidi" w:hAnsiTheme="majorBidi" w:cstheme="majorBidi"/>
          <w:b/>
          <w:snapToGrid w:val="0"/>
          <w:kern w:val="22"/>
          <w:szCs w:val="22"/>
          <w:lang w:val="en-US"/>
        </w:rPr>
      </w:pPr>
      <w:r>
        <w:rPr>
          <w:rFonts w:asciiTheme="majorBidi" w:hAnsiTheme="majorBidi" w:cstheme="majorBidi"/>
          <w:b/>
          <w:snapToGrid w:val="0"/>
          <w:kern w:val="22"/>
          <w:szCs w:val="22"/>
          <w:lang w:val="en-US"/>
        </w:rPr>
        <w:t>Cooperation, synergies and s</w:t>
      </w:r>
      <w:r w:rsidRPr="004F65AE" w:rsidDel="001A4C1C">
        <w:rPr>
          <w:rFonts w:asciiTheme="majorBidi" w:hAnsiTheme="majorBidi" w:cstheme="majorBidi"/>
          <w:b/>
          <w:snapToGrid w:val="0"/>
          <w:kern w:val="22"/>
          <w:szCs w:val="22"/>
          <w:lang w:val="en-US"/>
        </w:rPr>
        <w:t>takeholder engagement</w:t>
      </w:r>
    </w:p>
    <w:p w14:paraId="18263738" w14:textId="77777777" w:rsidR="00005A3C" w:rsidRPr="004F65AE" w:rsidRDefault="00005A3C" w:rsidP="00D8126D">
      <w:pPr>
        <w:suppressLineNumbers/>
        <w:suppressAutoHyphens/>
        <w:adjustRightInd w:val="0"/>
        <w:snapToGrid w:val="0"/>
        <w:spacing w:before="120" w:after="120"/>
        <w:ind w:firstLine="851"/>
        <w:rPr>
          <w:rFonts w:asciiTheme="majorBidi" w:hAnsiTheme="majorBidi" w:cstheme="majorBidi"/>
          <w:bCs/>
          <w:snapToGrid w:val="0"/>
          <w:kern w:val="22"/>
          <w:szCs w:val="22"/>
        </w:rPr>
      </w:pPr>
      <w:bookmarkStart w:id="45" w:name="_Hlk72849767"/>
      <w:r w:rsidRPr="004F65AE">
        <w:rPr>
          <w:rFonts w:asciiTheme="majorBidi" w:hAnsiTheme="majorBidi" w:cstheme="majorBidi"/>
          <w:bCs/>
          <w:snapToGrid w:val="0"/>
          <w:kern w:val="22"/>
          <w:szCs w:val="22"/>
        </w:rPr>
        <w:t>2</w:t>
      </w:r>
      <w:r>
        <w:rPr>
          <w:rFonts w:asciiTheme="majorBidi" w:hAnsiTheme="majorBidi" w:cstheme="majorBidi"/>
          <w:bCs/>
          <w:snapToGrid w:val="0"/>
          <w:kern w:val="22"/>
          <w:szCs w:val="22"/>
        </w:rPr>
        <w:t>2</w:t>
      </w:r>
      <w:r w:rsidRPr="004F65AE">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ab/>
      </w:r>
      <w:r w:rsidRPr="004F65AE">
        <w:rPr>
          <w:rFonts w:asciiTheme="majorBidi" w:hAnsiTheme="majorBidi" w:cstheme="majorBidi"/>
          <w:bCs/>
          <w:i/>
          <w:iCs/>
          <w:snapToGrid w:val="0"/>
          <w:kern w:val="22"/>
          <w:szCs w:val="22"/>
        </w:rPr>
        <w:t xml:space="preserve">Recognizes </w:t>
      </w:r>
      <w:r w:rsidRPr="004F65AE">
        <w:rPr>
          <w:rFonts w:asciiTheme="majorBidi" w:hAnsiTheme="majorBidi" w:cstheme="majorBidi"/>
          <w:bCs/>
          <w:snapToGrid w:val="0"/>
          <w:kern w:val="22"/>
          <w:szCs w:val="22"/>
        </w:rPr>
        <w:t xml:space="preserve">that other biodiversity-related multilateral environmental agreements will contribute to the implementation with respect to relevant or corresponding elements of the </w:t>
      </w:r>
      <w:r>
        <w:rPr>
          <w:rFonts w:asciiTheme="majorBidi" w:hAnsiTheme="majorBidi" w:cstheme="majorBidi"/>
          <w:bCs/>
          <w:snapToGrid w:val="0"/>
          <w:kern w:val="22"/>
          <w:szCs w:val="18"/>
          <w:lang w:val="en-US"/>
        </w:rPr>
        <w:t>Kunming</w:t>
      </w:r>
      <w:r>
        <w:rPr>
          <w:rFonts w:asciiTheme="majorBidi" w:hAnsiTheme="majorBidi" w:cstheme="majorBidi"/>
          <w:bCs/>
          <w:snapToGrid w:val="0"/>
          <w:kern w:val="22"/>
          <w:szCs w:val="18"/>
          <w:lang w:val="en-US"/>
        </w:rPr>
        <w:noBreakHyphen/>
        <w:t>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rPr>
        <w:t>Global Biodiversity Framework consistent with their mandates and priorities;</w:t>
      </w:r>
    </w:p>
    <w:p w14:paraId="0D212268"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cstheme="majorBidi"/>
          <w:bCs/>
          <w:iCs/>
          <w:snapToGrid w:val="0"/>
          <w:kern w:val="22"/>
        </w:rPr>
        <w:t>23</w:t>
      </w:r>
      <w:r w:rsidRPr="004F65AE">
        <w:rPr>
          <w:rFonts w:asciiTheme="majorBidi" w:hAnsiTheme="majorBidi" w:cstheme="majorBidi"/>
          <w:bCs/>
          <w:iCs/>
          <w:snapToGrid w:val="0"/>
          <w:kern w:val="22"/>
        </w:rPr>
        <w:t>.</w:t>
      </w:r>
      <w:r w:rsidRPr="004F65AE">
        <w:rPr>
          <w:rFonts w:asciiTheme="majorBidi" w:hAnsiTheme="majorBidi" w:cstheme="majorBidi"/>
          <w:bCs/>
          <w:i/>
          <w:snapToGrid w:val="0"/>
          <w:kern w:val="22"/>
        </w:rPr>
        <w:tab/>
        <w:t>Encourages</w:t>
      </w:r>
      <w:r w:rsidRPr="004F65AE">
        <w:rPr>
          <w:rFonts w:asciiTheme="majorBidi" w:hAnsiTheme="majorBidi" w:cstheme="majorBidi"/>
          <w:bCs/>
          <w:iCs/>
          <w:snapToGrid w:val="0"/>
          <w:kern w:val="22"/>
        </w:rPr>
        <w:t xml:space="preserve"> Parties:</w:t>
      </w:r>
    </w:p>
    <w:p w14:paraId="4B31B910"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4F65AE">
        <w:rPr>
          <w:rFonts w:asciiTheme="majorBidi" w:hAnsiTheme="majorBidi" w:cstheme="majorBidi"/>
          <w:bCs/>
          <w:snapToGrid w:val="0"/>
          <w:kern w:val="22"/>
          <w:szCs w:val="18"/>
        </w:rPr>
        <w:t xml:space="preserve">(a) </w:t>
      </w:r>
      <w:r w:rsidRPr="004F65AE">
        <w:rPr>
          <w:rFonts w:asciiTheme="majorBidi" w:hAnsiTheme="majorBidi" w:cstheme="majorBidi"/>
          <w:bCs/>
          <w:snapToGrid w:val="0"/>
          <w:kern w:val="22"/>
          <w:szCs w:val="18"/>
        </w:rPr>
        <w:tab/>
        <w:t xml:space="preserve">To include in their national biodiversity strategies and action plans and national reports, relevant actions to implement commitments and recommendations under each of the biodiversity-related multilateral environmental agreements to which they are a </w:t>
      </w:r>
      <w:r>
        <w:rPr>
          <w:rFonts w:asciiTheme="majorBidi" w:hAnsiTheme="majorBidi" w:cstheme="majorBidi"/>
          <w:bCs/>
          <w:snapToGrid w:val="0"/>
          <w:kern w:val="22"/>
          <w:szCs w:val="18"/>
        </w:rPr>
        <w:t>p</w:t>
      </w:r>
      <w:r w:rsidRPr="004F65AE">
        <w:rPr>
          <w:rFonts w:asciiTheme="majorBidi" w:hAnsiTheme="majorBidi" w:cstheme="majorBidi"/>
          <w:bCs/>
          <w:snapToGrid w:val="0"/>
          <w:kern w:val="22"/>
          <w:szCs w:val="18"/>
        </w:rPr>
        <w:t xml:space="preserve">arty; </w:t>
      </w:r>
    </w:p>
    <w:p w14:paraId="4D956704"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rPr>
      </w:pPr>
      <w:r w:rsidRPr="004F65AE">
        <w:rPr>
          <w:rFonts w:asciiTheme="majorBidi" w:hAnsiTheme="majorBidi" w:cstheme="majorBidi"/>
          <w:bCs/>
          <w:snapToGrid w:val="0"/>
          <w:kern w:val="22"/>
          <w:szCs w:val="18"/>
        </w:rPr>
        <w:t xml:space="preserve">(b) </w:t>
      </w:r>
      <w:r w:rsidRPr="004F65AE">
        <w:rPr>
          <w:rFonts w:asciiTheme="majorBidi" w:hAnsiTheme="majorBidi" w:cstheme="majorBidi"/>
          <w:bCs/>
          <w:snapToGrid w:val="0"/>
          <w:kern w:val="22"/>
          <w:szCs w:val="18"/>
        </w:rPr>
        <w:tab/>
        <w:t>To facilitate, as appropriate, engagement with and coordination among focal points for other relevant multilateral environment agreements and the Rio conventions</w:t>
      </w:r>
      <w:r w:rsidRPr="004F65AE">
        <w:rPr>
          <w:rFonts w:asciiTheme="majorBidi" w:hAnsiTheme="majorBidi" w:cstheme="majorBidi"/>
          <w:bCs/>
          <w:iCs/>
          <w:snapToGrid w:val="0"/>
          <w:kern w:val="22"/>
        </w:rPr>
        <w:t>;</w:t>
      </w:r>
    </w:p>
    <w:p w14:paraId="779DD3E0" w14:textId="77777777" w:rsidR="00005A3C" w:rsidRPr="000223EA"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lang w:val="en-US"/>
        </w:rPr>
      </w:pPr>
      <w:r w:rsidRPr="004F65AE">
        <w:rPr>
          <w:rFonts w:asciiTheme="majorBidi" w:hAnsiTheme="majorBidi" w:cstheme="majorBidi"/>
          <w:bCs/>
          <w:iCs/>
          <w:snapToGrid w:val="0"/>
          <w:kern w:val="22"/>
        </w:rPr>
        <w:t>(c)</w:t>
      </w:r>
      <w:r w:rsidRPr="004F65AE">
        <w:rPr>
          <w:rFonts w:asciiTheme="majorBidi" w:hAnsiTheme="majorBidi" w:cstheme="majorBidi"/>
          <w:bCs/>
          <w:iCs/>
          <w:snapToGrid w:val="0"/>
          <w:kern w:val="22"/>
        </w:rPr>
        <w:tab/>
      </w:r>
      <w:r w:rsidRPr="004F65AE">
        <w:rPr>
          <w:rFonts w:asciiTheme="majorBidi" w:hAnsiTheme="majorBidi" w:cstheme="majorBidi"/>
          <w:bCs/>
          <w:snapToGrid w:val="0"/>
          <w:kern w:val="22"/>
          <w:szCs w:val="22"/>
          <w:lang w:val="en-US"/>
        </w:rPr>
        <w:t xml:space="preserve">To enable the full and effective participation and engagement of women, indigenous peoples and local communities, youth, civil society organizations, academia, the private sector, all levels of government and stakeholders from all other relevant sectors, </w:t>
      </w:r>
      <w:r w:rsidRPr="000223EA">
        <w:rPr>
          <w:rFonts w:asciiTheme="majorBidi" w:hAnsiTheme="majorBidi" w:cstheme="majorBidi"/>
          <w:bCs/>
          <w:snapToGrid w:val="0"/>
          <w:kern w:val="22"/>
          <w:szCs w:val="22"/>
          <w:lang w:val="en-US"/>
        </w:rPr>
        <w:t>in all levels of development and implementatio</w:t>
      </w:r>
      <w:r w:rsidRPr="000223EA">
        <w:rPr>
          <w:rFonts w:asciiTheme="majorBidi" w:hAnsiTheme="majorBidi" w:cstheme="majorBidi"/>
          <w:bCs/>
          <w:snapToGrid w:val="0"/>
          <w:kern w:val="22"/>
          <w:szCs w:val="18"/>
        </w:rPr>
        <w:t>n</w:t>
      </w:r>
      <w:r w:rsidRPr="000223EA">
        <w:rPr>
          <w:rFonts w:asciiTheme="majorBidi" w:hAnsiTheme="majorBidi" w:cstheme="majorBidi"/>
          <w:bCs/>
          <w:snapToGrid w:val="0"/>
          <w:kern w:val="22"/>
          <w:szCs w:val="22"/>
          <w:lang w:val="en-US"/>
        </w:rPr>
        <w:t xml:space="preserve"> of the national biodiversity strategies and action plans</w:t>
      </w:r>
      <w:r w:rsidRPr="000223EA">
        <w:rPr>
          <w:rFonts w:asciiTheme="majorBidi" w:hAnsiTheme="majorBidi" w:cstheme="majorBidi"/>
          <w:bCs/>
          <w:snapToGrid w:val="0"/>
          <w:kern w:val="22"/>
          <w:szCs w:val="18"/>
        </w:rPr>
        <w:t>, as well as in the preparation of the seventh and eighth national reports;</w:t>
      </w:r>
    </w:p>
    <w:p w14:paraId="7CD626E4" w14:textId="77777777" w:rsidR="00005A3C" w:rsidRPr="004F65AE" w:rsidRDefault="00005A3C" w:rsidP="009D6BD6">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0223EA">
        <w:rPr>
          <w:rFonts w:asciiTheme="majorBidi" w:hAnsiTheme="majorBidi" w:cstheme="majorBidi"/>
          <w:bCs/>
          <w:snapToGrid w:val="0"/>
          <w:kern w:val="22"/>
          <w:szCs w:val="22"/>
        </w:rPr>
        <w:lastRenderedPageBreak/>
        <w:t>(d)</w:t>
      </w:r>
      <w:r w:rsidRPr="000223EA">
        <w:rPr>
          <w:rFonts w:asciiTheme="majorBidi" w:hAnsiTheme="majorBidi" w:cstheme="majorBidi"/>
          <w:bCs/>
          <w:snapToGrid w:val="0"/>
          <w:kern w:val="22"/>
          <w:szCs w:val="22"/>
        </w:rPr>
        <w:tab/>
      </w:r>
      <w:r w:rsidRPr="000223EA">
        <w:rPr>
          <w:rFonts w:asciiTheme="majorBidi" w:hAnsiTheme="majorBidi" w:cstheme="majorBidi"/>
          <w:bCs/>
          <w:snapToGrid w:val="0"/>
          <w:kern w:val="22"/>
          <w:szCs w:val="22"/>
          <w:lang w:val="en-US"/>
        </w:rPr>
        <w:t>To ensure consultations in order to obtain the free, prior and informed consent</w:t>
      </w:r>
      <w:r w:rsidRPr="00610646">
        <w:rPr>
          <w:rStyle w:val="FootnoteReference"/>
        </w:rPr>
        <w:footnoteReference w:id="42"/>
      </w:r>
      <w:r w:rsidRPr="000223EA">
        <w:rPr>
          <w:rFonts w:asciiTheme="majorBidi" w:hAnsiTheme="majorBidi" w:cstheme="majorBidi"/>
          <w:bCs/>
          <w:snapToGrid w:val="0"/>
          <w:kern w:val="22"/>
          <w:szCs w:val="22"/>
          <w:lang w:val="en-US"/>
        </w:rPr>
        <w:t xml:space="preserve"> of indigenous peoples and local communities</w:t>
      </w:r>
      <w:r w:rsidRPr="000223EA">
        <w:rPr>
          <w:rFonts w:asciiTheme="majorBidi" w:hAnsiTheme="majorBidi" w:cstheme="majorBidi"/>
          <w:bCs/>
          <w:snapToGrid w:val="0"/>
          <w:kern w:val="22"/>
          <w:szCs w:val="18"/>
        </w:rPr>
        <w:t xml:space="preserve">, as appropriate, </w:t>
      </w:r>
      <w:r w:rsidRPr="000223EA">
        <w:rPr>
          <w:rFonts w:asciiTheme="majorBidi" w:hAnsiTheme="majorBidi" w:cstheme="majorBidi"/>
          <w:bCs/>
          <w:snapToGrid w:val="0"/>
          <w:kern w:val="22"/>
          <w:szCs w:val="22"/>
        </w:rPr>
        <w:t>in</w:t>
      </w:r>
      <w:r w:rsidRPr="000223EA">
        <w:rPr>
          <w:rFonts w:asciiTheme="majorBidi" w:hAnsiTheme="majorBidi" w:cstheme="majorBidi"/>
          <w:bCs/>
          <w:snapToGrid w:val="0"/>
          <w:kern w:val="22"/>
          <w:szCs w:val="22"/>
          <w:lang w:val="en-US"/>
        </w:rPr>
        <w:t xml:space="preserve"> their engagement and participation in the updating and revision of national biodiversity strategies and action plans </w:t>
      </w:r>
      <w:r w:rsidRPr="000223EA">
        <w:rPr>
          <w:rFonts w:asciiTheme="majorBidi" w:hAnsiTheme="majorBidi" w:cstheme="majorBidi"/>
          <w:bCs/>
          <w:snapToGrid w:val="0"/>
          <w:kern w:val="22"/>
          <w:szCs w:val="18"/>
        </w:rPr>
        <w:t>and national targets,</w:t>
      </w:r>
      <w:r w:rsidRPr="000223EA">
        <w:rPr>
          <w:rFonts w:asciiTheme="majorBidi" w:hAnsiTheme="majorBidi" w:cstheme="majorBidi"/>
          <w:bCs/>
          <w:snapToGrid w:val="0"/>
          <w:kern w:val="22"/>
          <w:szCs w:val="22"/>
          <w:lang w:val="en-US"/>
        </w:rPr>
        <w:t xml:space="preserve"> with</w:t>
      </w:r>
      <w:r>
        <w:rPr>
          <w:rFonts w:asciiTheme="majorBidi" w:hAnsiTheme="majorBidi" w:cstheme="majorBidi"/>
          <w:bCs/>
          <w:snapToGrid w:val="0"/>
          <w:kern w:val="22"/>
          <w:szCs w:val="22"/>
          <w:lang w:val="en-US"/>
        </w:rPr>
        <w:t xml:space="preserve"> respect</w:t>
      </w:r>
      <w:r w:rsidRPr="00D81670">
        <w:rPr>
          <w:rFonts w:asciiTheme="majorBidi" w:hAnsiTheme="majorBidi" w:cstheme="majorBidi"/>
          <w:bCs/>
          <w:snapToGrid w:val="0"/>
          <w:kern w:val="22"/>
          <w:szCs w:val="22"/>
          <w:lang w:val="en-US"/>
        </w:rPr>
        <w:t xml:space="preserve"> to measures that may affect them.</w:t>
      </w:r>
    </w:p>
    <w:p w14:paraId="3E9EF609"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24</w:t>
      </w:r>
      <w:r w:rsidRPr="004F65AE">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ab/>
      </w:r>
      <w:r w:rsidRPr="004F65AE">
        <w:rPr>
          <w:rFonts w:asciiTheme="majorBidi" w:hAnsiTheme="majorBidi" w:cstheme="majorBidi"/>
          <w:bCs/>
          <w:i/>
          <w:iCs/>
          <w:snapToGrid w:val="0"/>
          <w:kern w:val="22"/>
          <w:szCs w:val="22"/>
        </w:rPr>
        <w:t xml:space="preserve">Invites </w:t>
      </w:r>
      <w:r w:rsidRPr="004F65AE">
        <w:rPr>
          <w:rFonts w:asciiTheme="majorBidi" w:hAnsiTheme="majorBidi" w:cstheme="majorBidi"/>
          <w:bCs/>
          <w:snapToGrid w:val="0"/>
          <w:kern w:val="22"/>
          <w:szCs w:val="22"/>
        </w:rPr>
        <w:t xml:space="preserve">Parties and other Governments to cooperate at the regional and international levels in implementing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22"/>
        </w:rPr>
        <w:t>Global Biodiversity Framework;</w:t>
      </w:r>
    </w:p>
    <w:bookmarkEnd w:id="45"/>
    <w:p w14:paraId="73517ED3" w14:textId="77777777" w:rsidR="00005A3C" w:rsidRPr="004F65AE" w:rsidRDefault="00005A3C"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sidRPr="000D76BE">
        <w:rPr>
          <w:rFonts w:asciiTheme="majorBidi" w:hAnsiTheme="majorBidi" w:cstheme="majorBidi"/>
          <w:bCs/>
          <w:snapToGrid w:val="0"/>
          <w:kern w:val="22"/>
          <w:szCs w:val="22"/>
        </w:rPr>
        <w:t>2</w:t>
      </w:r>
      <w:r>
        <w:rPr>
          <w:rFonts w:asciiTheme="majorBidi" w:hAnsiTheme="majorBidi" w:cstheme="majorBidi"/>
          <w:bCs/>
          <w:snapToGrid w:val="0"/>
          <w:kern w:val="22"/>
          <w:szCs w:val="22"/>
        </w:rPr>
        <w:t>5</w:t>
      </w:r>
      <w:r w:rsidRPr="000D76BE">
        <w:rPr>
          <w:rFonts w:asciiTheme="majorBidi" w:hAnsiTheme="majorBidi" w:cstheme="majorBidi"/>
          <w:bCs/>
          <w:snapToGrid w:val="0"/>
          <w:kern w:val="22"/>
          <w:szCs w:val="22"/>
        </w:rPr>
        <w:t>.</w:t>
      </w:r>
      <w:r w:rsidRPr="000D76BE">
        <w:rPr>
          <w:rFonts w:asciiTheme="majorBidi" w:hAnsiTheme="majorBidi" w:cstheme="majorBidi"/>
          <w:bCs/>
          <w:i/>
          <w:iCs/>
          <w:snapToGrid w:val="0"/>
          <w:kern w:val="22"/>
          <w:szCs w:val="22"/>
        </w:rPr>
        <w:tab/>
        <w:t xml:space="preserve">Takes note </w:t>
      </w:r>
      <w:r w:rsidRPr="008174C8">
        <w:rPr>
          <w:rFonts w:asciiTheme="majorBidi" w:hAnsiTheme="majorBidi" w:cstheme="majorBidi"/>
          <w:bCs/>
          <w:snapToGrid w:val="0"/>
          <w:kern w:val="22"/>
          <w:szCs w:val="22"/>
        </w:rPr>
        <w:t xml:space="preserve">of </w:t>
      </w:r>
      <w:r w:rsidRPr="000D76BE">
        <w:rPr>
          <w:rFonts w:asciiTheme="majorBidi" w:hAnsiTheme="majorBidi" w:cstheme="majorBidi"/>
          <w:bCs/>
          <w:snapToGrid w:val="0"/>
          <w:kern w:val="22"/>
          <w:szCs w:val="22"/>
        </w:rPr>
        <w:t>the core reporting elements for sharing voluntary non-</w:t>
      </w:r>
      <w:r>
        <w:rPr>
          <w:rFonts w:asciiTheme="majorBidi" w:hAnsiTheme="majorBidi" w:cstheme="majorBidi"/>
          <w:bCs/>
          <w:snapToGrid w:val="0"/>
          <w:kern w:val="22"/>
          <w:szCs w:val="22"/>
        </w:rPr>
        <w:t>S</w:t>
      </w:r>
      <w:r w:rsidRPr="000D76BE">
        <w:rPr>
          <w:rFonts w:asciiTheme="majorBidi" w:hAnsiTheme="majorBidi" w:cstheme="majorBidi"/>
          <w:bCs/>
          <w:snapToGrid w:val="0"/>
          <w:kern w:val="22"/>
          <w:szCs w:val="22"/>
        </w:rPr>
        <w:t xml:space="preserve">tate actor commitments that contribute to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Pr>
          <w:rFonts w:asciiTheme="majorBidi" w:hAnsiTheme="majorBidi" w:cstheme="majorBidi"/>
          <w:bCs/>
          <w:snapToGrid w:val="0"/>
          <w:kern w:val="22"/>
          <w:szCs w:val="22"/>
        </w:rPr>
        <w:t>G</w:t>
      </w:r>
      <w:r w:rsidRPr="000D76BE">
        <w:rPr>
          <w:rFonts w:asciiTheme="majorBidi" w:hAnsiTheme="majorBidi" w:cstheme="majorBidi"/>
          <w:bCs/>
          <w:snapToGrid w:val="0"/>
          <w:kern w:val="22"/>
          <w:szCs w:val="22"/>
        </w:rPr>
        <w:t xml:space="preserve">lobal </w:t>
      </w:r>
      <w:r>
        <w:rPr>
          <w:rFonts w:asciiTheme="majorBidi" w:hAnsiTheme="majorBidi" w:cstheme="majorBidi"/>
          <w:bCs/>
          <w:snapToGrid w:val="0"/>
          <w:kern w:val="22"/>
          <w:szCs w:val="22"/>
        </w:rPr>
        <w:t>B</w:t>
      </w:r>
      <w:r w:rsidRPr="000D76BE">
        <w:rPr>
          <w:rFonts w:asciiTheme="majorBidi" w:hAnsiTheme="majorBidi" w:cstheme="majorBidi"/>
          <w:bCs/>
          <w:snapToGrid w:val="0"/>
          <w:kern w:val="22"/>
          <w:szCs w:val="22"/>
        </w:rPr>
        <w:t xml:space="preserve">iodiversity </w:t>
      </w:r>
      <w:r>
        <w:rPr>
          <w:rFonts w:asciiTheme="majorBidi" w:hAnsiTheme="majorBidi" w:cstheme="majorBidi"/>
          <w:bCs/>
          <w:snapToGrid w:val="0"/>
          <w:kern w:val="22"/>
          <w:szCs w:val="22"/>
        </w:rPr>
        <w:t>F</w:t>
      </w:r>
      <w:r w:rsidRPr="000D76BE">
        <w:rPr>
          <w:rFonts w:asciiTheme="majorBidi" w:hAnsiTheme="majorBidi" w:cstheme="majorBidi"/>
          <w:bCs/>
          <w:snapToGrid w:val="0"/>
          <w:kern w:val="22"/>
          <w:szCs w:val="22"/>
        </w:rPr>
        <w:t xml:space="preserve">ramework to be included in the online </w:t>
      </w:r>
      <w:r w:rsidRPr="007A4EB3">
        <w:rPr>
          <w:rFonts w:asciiTheme="majorBidi" w:hAnsiTheme="majorBidi" w:cstheme="majorBidi"/>
          <w:bCs/>
          <w:snapToGrid w:val="0"/>
          <w:kern w:val="22"/>
          <w:szCs w:val="22"/>
        </w:rPr>
        <w:t>platform for the Sharm El-Sheikh to Kunming and Montreal Action Agenda for Nature and People;</w:t>
      </w:r>
    </w:p>
    <w:p w14:paraId="187B5067"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3035D2">
        <w:rPr>
          <w:rFonts w:asciiTheme="majorBidi" w:hAnsiTheme="majorBidi" w:cstheme="majorBidi"/>
          <w:bCs/>
          <w:snapToGrid w:val="0"/>
          <w:kern w:val="22"/>
          <w:szCs w:val="18"/>
        </w:rPr>
        <w:t>26</w:t>
      </w:r>
      <w:r w:rsidRPr="003035D2">
        <w:rPr>
          <w:rFonts w:asciiTheme="majorBidi" w:hAnsiTheme="majorBidi" w:cstheme="majorBidi"/>
          <w:bCs/>
          <w:i/>
          <w:iCs/>
          <w:snapToGrid w:val="0"/>
          <w:kern w:val="22"/>
          <w:szCs w:val="18"/>
        </w:rPr>
        <w:t>.</w:t>
      </w:r>
      <w:r w:rsidRPr="003035D2">
        <w:rPr>
          <w:rFonts w:asciiTheme="majorBidi" w:hAnsiTheme="majorBidi" w:cstheme="majorBidi"/>
          <w:bCs/>
          <w:i/>
          <w:iCs/>
          <w:snapToGrid w:val="0"/>
          <w:kern w:val="22"/>
          <w:szCs w:val="18"/>
        </w:rPr>
        <w:tab/>
        <w:t>Invites</w:t>
      </w:r>
      <w:r w:rsidRPr="003035D2">
        <w:rPr>
          <w:rFonts w:asciiTheme="majorBidi" w:hAnsiTheme="majorBidi" w:cstheme="majorBidi"/>
          <w:bCs/>
          <w:snapToGrid w:val="0"/>
          <w:kern w:val="22"/>
          <w:szCs w:val="18"/>
        </w:rPr>
        <w:t xml:space="preserve"> indigenous peoples and local communities, subnational governments, cities and other local authorities, intergovernmental organizations, other multilateral environmental agreements, non</w:t>
      </w:r>
      <w:r w:rsidRPr="00CA676A">
        <w:rPr>
          <w:rFonts w:asciiTheme="majorBidi" w:hAnsiTheme="majorBidi" w:cstheme="majorBidi"/>
          <w:bCs/>
          <w:snapToGrid w:val="0"/>
          <w:kern w:val="22"/>
          <w:szCs w:val="18"/>
        </w:rPr>
        <w:noBreakHyphen/>
      </w:r>
      <w:r w:rsidRPr="003035D2">
        <w:rPr>
          <w:rFonts w:asciiTheme="majorBidi" w:hAnsiTheme="majorBidi" w:cstheme="majorBidi"/>
          <w:bCs/>
          <w:snapToGrid w:val="0"/>
          <w:kern w:val="22"/>
          <w:szCs w:val="18"/>
        </w:rPr>
        <w:t>governmental organizations, women, youth, research organizations, the business and finance community and representatives of sectors related to or dependent on biodiversity, to develop</w:t>
      </w:r>
      <w:r w:rsidRPr="00CA676A">
        <w:rPr>
          <w:rFonts w:asciiTheme="majorBidi" w:hAnsiTheme="majorBidi" w:cstheme="majorBidi"/>
          <w:bCs/>
          <w:snapToGrid w:val="0"/>
          <w:kern w:val="22"/>
          <w:szCs w:val="18"/>
        </w:rPr>
        <w:t>,</w:t>
      </w:r>
      <w:r w:rsidRPr="003035D2">
        <w:rPr>
          <w:rFonts w:asciiTheme="majorBidi" w:hAnsiTheme="majorBidi" w:cstheme="majorBidi"/>
          <w:bCs/>
          <w:snapToGrid w:val="0"/>
          <w:kern w:val="22"/>
          <w:szCs w:val="18"/>
        </w:rPr>
        <w:t xml:space="preserve"> </w:t>
      </w:r>
      <w:r w:rsidRPr="00CA676A">
        <w:rPr>
          <w:rFonts w:asciiTheme="majorBidi" w:hAnsiTheme="majorBidi" w:cstheme="majorBidi"/>
          <w:bCs/>
          <w:snapToGrid w:val="0"/>
          <w:kern w:val="22"/>
          <w:szCs w:val="18"/>
        </w:rPr>
        <w:t xml:space="preserve">on a voluntary basis, </w:t>
      </w:r>
      <w:r w:rsidRPr="003035D2">
        <w:rPr>
          <w:rFonts w:asciiTheme="majorBidi" w:hAnsiTheme="majorBidi" w:cstheme="majorBidi"/>
          <w:bCs/>
          <w:snapToGrid w:val="0"/>
          <w:kern w:val="22"/>
          <w:szCs w:val="18"/>
        </w:rPr>
        <w:t xml:space="preserve">commitments contributing to national biodiversity strategies and action plans and </w:t>
      </w:r>
      <w:r w:rsidRPr="00CA676A">
        <w:rPr>
          <w:rFonts w:asciiTheme="majorBidi" w:hAnsiTheme="majorBidi" w:cstheme="majorBidi"/>
          <w:bCs/>
          <w:snapToGrid w:val="0"/>
          <w:kern w:val="22"/>
          <w:szCs w:val="18"/>
        </w:rPr>
        <w:t xml:space="preserve">to </w:t>
      </w:r>
      <w:r w:rsidRPr="003035D2">
        <w:rPr>
          <w:rFonts w:asciiTheme="majorBidi" w:hAnsiTheme="majorBidi" w:cstheme="majorBidi"/>
          <w:bCs/>
          <w:snapToGrid w:val="0"/>
          <w:kern w:val="22"/>
          <w:szCs w:val="18"/>
        </w:rPr>
        <w:t xml:space="preserve">the </w:t>
      </w:r>
      <w:r w:rsidRPr="003035D2">
        <w:rPr>
          <w:rFonts w:asciiTheme="majorBidi" w:hAnsiTheme="majorBidi" w:cstheme="majorBidi"/>
          <w:bCs/>
          <w:snapToGrid w:val="0"/>
          <w:kern w:val="22"/>
          <w:szCs w:val="18"/>
          <w:lang w:val="en-US"/>
        </w:rPr>
        <w:t xml:space="preserve">Kunming-Montreal </w:t>
      </w:r>
      <w:r w:rsidRPr="003035D2">
        <w:rPr>
          <w:rFonts w:asciiTheme="majorBidi" w:hAnsiTheme="majorBidi" w:cstheme="majorBidi"/>
          <w:bCs/>
          <w:snapToGrid w:val="0"/>
          <w:kern w:val="22"/>
          <w:szCs w:val="18"/>
        </w:rPr>
        <w:t>Global Biodiversity Framework, and to share them through the online platform for the Sharm El</w:t>
      </w:r>
      <w:r w:rsidRPr="00CA676A">
        <w:rPr>
          <w:rFonts w:asciiTheme="majorBidi" w:hAnsiTheme="majorBidi" w:cstheme="majorBidi"/>
          <w:bCs/>
          <w:snapToGrid w:val="0"/>
          <w:kern w:val="22"/>
          <w:szCs w:val="18"/>
        </w:rPr>
        <w:noBreakHyphen/>
      </w:r>
      <w:r w:rsidRPr="003035D2">
        <w:rPr>
          <w:rFonts w:asciiTheme="majorBidi" w:hAnsiTheme="majorBidi" w:cstheme="majorBidi"/>
          <w:bCs/>
          <w:snapToGrid w:val="0"/>
          <w:kern w:val="22"/>
          <w:szCs w:val="18"/>
        </w:rPr>
        <w:t>Sheikh to Kunming and Montreal Action Agenda for Nature and People;</w:t>
      </w:r>
    </w:p>
    <w:p w14:paraId="4DC83AB0" w14:textId="77777777" w:rsidR="00005A3C" w:rsidRPr="004F65AE" w:rsidRDefault="00005A3C" w:rsidP="009D6BD6">
      <w:pPr>
        <w:spacing w:before="120" w:after="120"/>
        <w:ind w:firstLine="851"/>
        <w:rPr>
          <w:rFonts w:asciiTheme="majorBidi" w:hAnsiTheme="majorBidi" w:cstheme="majorBidi"/>
          <w:b/>
          <w:lang w:val="en-US"/>
        </w:rPr>
      </w:pPr>
      <w:r w:rsidRPr="004F65AE">
        <w:rPr>
          <w:rFonts w:asciiTheme="majorBidi" w:hAnsiTheme="majorBidi" w:cstheme="majorBidi"/>
          <w:b/>
          <w:lang w:val="en-US"/>
        </w:rPr>
        <w:t xml:space="preserve">Means of implementation </w:t>
      </w:r>
    </w:p>
    <w:p w14:paraId="15803F6B" w14:textId="77777777" w:rsidR="00005A3C" w:rsidRPr="001254DC"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lang w:val="en-US"/>
        </w:rPr>
      </w:pPr>
      <w:r w:rsidRPr="00A3771C">
        <w:rPr>
          <w:rFonts w:asciiTheme="majorBidi" w:hAnsiTheme="majorBidi" w:cstheme="majorBidi"/>
          <w:bCs/>
          <w:iCs/>
          <w:snapToGrid w:val="0"/>
          <w:kern w:val="22"/>
          <w:lang w:val="en-US"/>
        </w:rPr>
        <w:t>2</w:t>
      </w:r>
      <w:r>
        <w:rPr>
          <w:rFonts w:asciiTheme="majorBidi" w:hAnsiTheme="majorBidi" w:cstheme="majorBidi"/>
          <w:bCs/>
          <w:iCs/>
          <w:snapToGrid w:val="0"/>
          <w:kern w:val="22"/>
          <w:lang w:val="en-US"/>
        </w:rPr>
        <w:t>7.</w:t>
      </w:r>
      <w:r>
        <w:rPr>
          <w:rFonts w:asciiTheme="majorBidi" w:hAnsiTheme="majorBidi" w:cstheme="majorBidi"/>
          <w:bCs/>
          <w:iCs/>
          <w:snapToGrid w:val="0"/>
          <w:kern w:val="22"/>
          <w:lang w:val="en-US"/>
        </w:rPr>
        <w:tab/>
      </w:r>
      <w:r w:rsidRPr="002A52C1">
        <w:rPr>
          <w:rFonts w:asciiTheme="majorBidi" w:hAnsiTheme="majorBidi" w:cstheme="majorBidi"/>
          <w:bCs/>
          <w:i/>
          <w:snapToGrid w:val="0"/>
          <w:kern w:val="22"/>
          <w:lang w:val="en-US"/>
        </w:rPr>
        <w:t>Requests</w:t>
      </w:r>
      <w:r w:rsidRPr="002A52C1">
        <w:rPr>
          <w:rFonts w:asciiTheme="majorBidi" w:hAnsiTheme="majorBidi" w:cstheme="majorBidi"/>
          <w:bCs/>
          <w:iCs/>
          <w:snapToGrid w:val="0"/>
          <w:kern w:val="22"/>
          <w:lang w:val="en-US"/>
        </w:rPr>
        <w:t xml:space="preserve"> Parties, in accordance with Article</w:t>
      </w:r>
      <w:r>
        <w:rPr>
          <w:rFonts w:asciiTheme="majorBidi" w:hAnsiTheme="majorBidi" w:cstheme="majorBidi"/>
          <w:bCs/>
          <w:iCs/>
          <w:snapToGrid w:val="0"/>
          <w:kern w:val="22"/>
          <w:lang w:val="en-US"/>
        </w:rPr>
        <w:t>s</w:t>
      </w:r>
      <w:r w:rsidRPr="002A52C1">
        <w:rPr>
          <w:rFonts w:asciiTheme="majorBidi" w:hAnsiTheme="majorBidi" w:cstheme="majorBidi"/>
          <w:bCs/>
          <w:iCs/>
          <w:snapToGrid w:val="0"/>
          <w:kern w:val="22"/>
          <w:lang w:val="en-US"/>
        </w:rPr>
        <w:t xml:space="preserve"> 20 and 21 of the Convention, and invites other Governments and </w:t>
      </w:r>
      <w:r w:rsidRPr="000223EA">
        <w:rPr>
          <w:rFonts w:asciiTheme="majorBidi" w:hAnsiTheme="majorBidi" w:cstheme="majorBidi"/>
          <w:bCs/>
          <w:iCs/>
          <w:snapToGrid w:val="0"/>
          <w:kern w:val="22"/>
          <w:lang w:val="en-US"/>
        </w:rPr>
        <w:t>relevant</w:t>
      </w:r>
      <w:r w:rsidRPr="002A52C1">
        <w:rPr>
          <w:rFonts w:asciiTheme="majorBidi" w:hAnsiTheme="majorBidi" w:cstheme="majorBidi"/>
          <w:bCs/>
          <w:iCs/>
          <w:snapToGrid w:val="0"/>
          <w:kern w:val="22"/>
          <w:lang w:val="en-US"/>
        </w:rPr>
        <w:t xml:space="preserve"> organizations</w:t>
      </w:r>
      <w:r>
        <w:rPr>
          <w:rFonts w:asciiTheme="majorBidi" w:hAnsiTheme="majorBidi" w:cstheme="majorBidi"/>
          <w:bCs/>
          <w:iCs/>
          <w:snapToGrid w:val="0"/>
          <w:kern w:val="22"/>
          <w:lang w:val="en-US"/>
        </w:rPr>
        <w:t>,</w:t>
      </w:r>
      <w:r w:rsidRPr="002A52C1">
        <w:rPr>
          <w:rFonts w:asciiTheme="majorBidi" w:hAnsiTheme="majorBidi" w:cstheme="majorBidi"/>
          <w:bCs/>
          <w:iCs/>
          <w:snapToGrid w:val="0"/>
          <w:kern w:val="22"/>
          <w:lang w:val="en-US"/>
        </w:rPr>
        <w:t xml:space="preserve"> to provide financial and technical support for enabling the implementation of the enhanced multidimensional approach to planning, monitoring, reporting and review of the </w:t>
      </w:r>
      <w:r w:rsidRPr="001254DC">
        <w:rPr>
          <w:rFonts w:asciiTheme="majorBidi" w:hAnsiTheme="majorBidi" w:cstheme="majorBidi"/>
          <w:bCs/>
          <w:snapToGrid w:val="0"/>
          <w:kern w:val="22"/>
          <w:szCs w:val="18"/>
          <w:lang w:val="en-US"/>
        </w:rPr>
        <w:t xml:space="preserve">Kunming-Montreal </w:t>
      </w:r>
      <w:r w:rsidRPr="001254DC">
        <w:rPr>
          <w:rFonts w:asciiTheme="majorBidi" w:hAnsiTheme="majorBidi" w:cstheme="majorBidi"/>
          <w:bCs/>
          <w:iCs/>
          <w:snapToGrid w:val="0"/>
          <w:kern w:val="22"/>
          <w:lang w:val="en-US"/>
        </w:rPr>
        <w:t xml:space="preserve">Global Biodiversity Framework </w:t>
      </w:r>
      <w:r w:rsidRPr="00CA676A">
        <w:rPr>
          <w:rFonts w:asciiTheme="majorBidi" w:hAnsiTheme="majorBidi" w:cstheme="majorBidi"/>
          <w:bCs/>
          <w:iCs/>
          <w:snapToGrid w:val="0"/>
          <w:kern w:val="22"/>
          <w:lang w:val="en-US"/>
        </w:rPr>
        <w:t>described</w:t>
      </w:r>
      <w:r w:rsidRPr="001254DC">
        <w:rPr>
          <w:rFonts w:asciiTheme="majorBidi" w:hAnsiTheme="majorBidi" w:cstheme="majorBidi"/>
          <w:bCs/>
          <w:iCs/>
          <w:snapToGrid w:val="0"/>
          <w:kern w:val="22"/>
          <w:lang w:val="en-US"/>
        </w:rPr>
        <w:t xml:space="preserve"> in the present decision, especially for developing country Parties, in particular the least developed countries and small island developing States;</w:t>
      </w:r>
    </w:p>
    <w:p w14:paraId="740D984D"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1254DC">
        <w:rPr>
          <w:rFonts w:asciiTheme="majorBidi" w:hAnsiTheme="majorBidi" w:cstheme="majorBidi"/>
          <w:bCs/>
          <w:iCs/>
          <w:snapToGrid w:val="0"/>
          <w:kern w:val="22"/>
          <w:lang w:val="en-US"/>
        </w:rPr>
        <w:t>28.</w:t>
      </w:r>
      <w:r w:rsidRPr="001254DC">
        <w:rPr>
          <w:rFonts w:asciiTheme="majorBidi" w:hAnsiTheme="majorBidi" w:cstheme="majorBidi"/>
          <w:bCs/>
          <w:i/>
          <w:snapToGrid w:val="0"/>
          <w:kern w:val="22"/>
        </w:rPr>
        <w:tab/>
        <w:t>Invites</w:t>
      </w:r>
      <w:r w:rsidRPr="001254DC">
        <w:rPr>
          <w:rFonts w:asciiTheme="majorBidi" w:hAnsiTheme="majorBidi" w:cstheme="majorBidi"/>
          <w:bCs/>
          <w:snapToGrid w:val="0"/>
          <w:kern w:val="22"/>
        </w:rPr>
        <w:t xml:space="preserve"> relevant international, regional, subregional or national organizations to support Parties in updating and revising national biodiversity strategies and action plans and in the preparation of national</w:t>
      </w:r>
      <w:r w:rsidRPr="004F65AE">
        <w:rPr>
          <w:rFonts w:asciiTheme="majorBidi" w:hAnsiTheme="majorBidi" w:cstheme="majorBidi"/>
          <w:bCs/>
          <w:snapToGrid w:val="0"/>
          <w:kern w:val="22"/>
        </w:rPr>
        <w:t xml:space="preserve"> reports, including through the provision of relevant data, support for implementation of the monitoring framework and information and capacity</w:t>
      </w:r>
      <w:r>
        <w:rPr>
          <w:rFonts w:asciiTheme="majorBidi" w:hAnsiTheme="majorBidi" w:cstheme="majorBidi"/>
          <w:bCs/>
          <w:snapToGrid w:val="0"/>
          <w:kern w:val="22"/>
        </w:rPr>
        <w:t>-</w:t>
      </w:r>
      <w:r w:rsidRPr="004F65AE">
        <w:rPr>
          <w:rFonts w:asciiTheme="majorBidi" w:hAnsiTheme="majorBidi" w:cstheme="majorBidi"/>
          <w:bCs/>
          <w:snapToGrid w:val="0"/>
          <w:kern w:val="22"/>
        </w:rPr>
        <w:t>development activities;</w:t>
      </w:r>
    </w:p>
    <w:p w14:paraId="4898B729" w14:textId="77777777" w:rsidR="00005A3C" w:rsidRPr="004F65AE" w:rsidRDefault="00005A3C"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bookmarkStart w:id="46" w:name="_Hlk99051573"/>
      <w:r w:rsidRPr="004F65AE">
        <w:rPr>
          <w:rFonts w:asciiTheme="majorBidi" w:hAnsiTheme="majorBidi" w:cstheme="majorBidi"/>
          <w:bCs/>
          <w:iCs/>
          <w:snapToGrid w:val="0"/>
          <w:kern w:val="22"/>
        </w:rPr>
        <w:t>2</w:t>
      </w:r>
      <w:r>
        <w:rPr>
          <w:rFonts w:asciiTheme="majorBidi" w:hAnsiTheme="majorBidi" w:cstheme="majorBidi"/>
          <w:bCs/>
          <w:iCs/>
          <w:snapToGrid w:val="0"/>
          <w:kern w:val="22"/>
        </w:rPr>
        <w:t>9</w:t>
      </w:r>
      <w:r w:rsidRPr="004F65AE">
        <w:rPr>
          <w:rFonts w:asciiTheme="majorBidi" w:hAnsiTheme="majorBidi" w:cstheme="majorBidi"/>
          <w:bCs/>
          <w:iCs/>
          <w:snapToGrid w:val="0"/>
          <w:kern w:val="22"/>
        </w:rPr>
        <w:t>.</w:t>
      </w:r>
      <w:r w:rsidRPr="004F65AE">
        <w:rPr>
          <w:rFonts w:asciiTheme="majorBidi" w:hAnsiTheme="majorBidi" w:cstheme="majorBidi"/>
          <w:bCs/>
          <w:iCs/>
          <w:snapToGrid w:val="0"/>
          <w:kern w:val="22"/>
        </w:rPr>
        <w:tab/>
      </w:r>
      <w:r w:rsidRPr="004F65AE">
        <w:rPr>
          <w:rFonts w:asciiTheme="majorBidi" w:hAnsiTheme="majorBidi" w:cstheme="majorBidi"/>
          <w:bCs/>
          <w:i/>
          <w:snapToGrid w:val="0"/>
          <w:kern w:val="22"/>
        </w:rPr>
        <w:t>Requests</w:t>
      </w:r>
      <w:r w:rsidRPr="004F65AE">
        <w:rPr>
          <w:rFonts w:asciiTheme="majorBidi" w:hAnsiTheme="majorBidi" w:cstheme="majorBidi"/>
          <w:bCs/>
          <w:snapToGrid w:val="0"/>
          <w:kern w:val="22"/>
        </w:rPr>
        <w:t xml:space="preserve"> the Executive Secretary to support the operationalization of the </w:t>
      </w:r>
      <w:r w:rsidRPr="004F65AE">
        <w:rPr>
          <w:rFonts w:asciiTheme="majorBidi" w:hAnsiTheme="majorBidi" w:cstheme="majorBidi"/>
          <w:bCs/>
          <w:snapToGrid w:val="0"/>
          <w:kern w:val="22"/>
          <w:szCs w:val="22"/>
        </w:rPr>
        <w:t xml:space="preserve">enhanced multidimensional approach to planning, monitoring, reporting and review </w:t>
      </w:r>
      <w:r w:rsidRPr="004F65AE">
        <w:rPr>
          <w:rFonts w:asciiTheme="majorBidi" w:hAnsiTheme="majorBidi" w:cstheme="majorBidi"/>
          <w:bCs/>
          <w:snapToGrid w:val="0"/>
          <w:kern w:val="22"/>
        </w:rPr>
        <w:t>set out in paragraph 1</w:t>
      </w:r>
      <w:r>
        <w:rPr>
          <w:rFonts w:asciiTheme="majorBidi" w:hAnsiTheme="majorBidi" w:cstheme="majorBidi"/>
          <w:bCs/>
          <w:snapToGrid w:val="0"/>
          <w:kern w:val="22"/>
        </w:rPr>
        <w:t xml:space="preserve"> of the present decision</w:t>
      </w:r>
      <w:r w:rsidRPr="004F65AE">
        <w:rPr>
          <w:rFonts w:asciiTheme="majorBidi" w:hAnsiTheme="majorBidi" w:cstheme="majorBidi"/>
          <w:bCs/>
          <w:snapToGrid w:val="0"/>
          <w:kern w:val="22"/>
        </w:rPr>
        <w:t>, including, as appropriate, by:</w:t>
      </w:r>
    </w:p>
    <w:p w14:paraId="25B77D08" w14:textId="77777777" w:rsidR="00005A3C" w:rsidRPr="00B3720D"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highlight w:val="yellow"/>
        </w:rPr>
      </w:pPr>
      <w:r w:rsidRPr="004F65AE">
        <w:rPr>
          <w:rFonts w:asciiTheme="majorBidi" w:hAnsiTheme="majorBidi" w:cstheme="majorBidi"/>
          <w:bCs/>
          <w:snapToGrid w:val="0"/>
          <w:kern w:val="22"/>
        </w:rPr>
        <w:t xml:space="preserve">(a) </w:t>
      </w:r>
      <w:r w:rsidRPr="004F65AE">
        <w:rPr>
          <w:rFonts w:asciiTheme="majorBidi" w:hAnsiTheme="majorBidi" w:cstheme="majorBidi"/>
          <w:bCs/>
          <w:snapToGrid w:val="0"/>
          <w:kern w:val="22"/>
        </w:rPr>
        <w:tab/>
        <w:t xml:space="preserve">Supporting the implementation of the guidelines </w:t>
      </w:r>
      <w:r>
        <w:rPr>
          <w:rFonts w:asciiTheme="majorBidi" w:hAnsiTheme="majorBidi" w:cstheme="majorBidi"/>
          <w:bCs/>
          <w:snapToGrid w:val="0"/>
          <w:kern w:val="22"/>
        </w:rPr>
        <w:t xml:space="preserve">set out </w:t>
      </w:r>
      <w:r w:rsidRPr="004F65AE">
        <w:rPr>
          <w:rFonts w:asciiTheme="majorBidi" w:hAnsiTheme="majorBidi" w:cstheme="majorBidi"/>
          <w:bCs/>
          <w:snapToGrid w:val="0"/>
          <w:kern w:val="22"/>
        </w:rPr>
        <w:t xml:space="preserve">in </w:t>
      </w:r>
      <w:r w:rsidRPr="00767A38">
        <w:rPr>
          <w:rFonts w:asciiTheme="majorBidi" w:hAnsiTheme="majorBidi" w:cstheme="majorBidi"/>
          <w:bCs/>
          <w:snapToGrid w:val="0"/>
          <w:kern w:val="22"/>
        </w:rPr>
        <w:t>annexes I and II</w:t>
      </w:r>
      <w:r>
        <w:rPr>
          <w:rFonts w:asciiTheme="majorBidi" w:hAnsiTheme="majorBidi" w:cstheme="majorBidi"/>
          <w:bCs/>
          <w:snapToGrid w:val="0"/>
          <w:kern w:val="22"/>
        </w:rPr>
        <w:t xml:space="preserve"> to the present decision</w:t>
      </w:r>
      <w:r w:rsidRPr="00767A38">
        <w:rPr>
          <w:rFonts w:asciiTheme="majorBidi" w:hAnsiTheme="majorBidi" w:cstheme="majorBidi"/>
          <w:bCs/>
          <w:snapToGrid w:val="0"/>
          <w:kern w:val="22"/>
        </w:rPr>
        <w:t>;</w:t>
      </w:r>
    </w:p>
    <w:p w14:paraId="0B446D48"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3C4F93">
        <w:rPr>
          <w:rFonts w:asciiTheme="majorBidi" w:hAnsiTheme="majorBidi" w:cstheme="majorBidi"/>
          <w:bCs/>
          <w:snapToGrid w:val="0"/>
          <w:kern w:val="22"/>
        </w:rPr>
        <w:t xml:space="preserve">(b) </w:t>
      </w:r>
      <w:r w:rsidRPr="003C4F93">
        <w:rPr>
          <w:rFonts w:asciiTheme="majorBidi" w:hAnsiTheme="majorBidi" w:cstheme="majorBidi"/>
          <w:bCs/>
          <w:snapToGrid w:val="0"/>
          <w:kern w:val="22"/>
        </w:rPr>
        <w:tab/>
        <w:t xml:space="preserve">Supporting the Subsidiary Body on Implementation in the further development and\or piloting of the template </w:t>
      </w:r>
      <w:r>
        <w:rPr>
          <w:rFonts w:asciiTheme="majorBidi" w:hAnsiTheme="majorBidi" w:cstheme="majorBidi"/>
          <w:bCs/>
          <w:snapToGrid w:val="0"/>
          <w:kern w:val="22"/>
        </w:rPr>
        <w:t xml:space="preserve">contained </w:t>
      </w:r>
      <w:r w:rsidRPr="003C4F93">
        <w:rPr>
          <w:rFonts w:asciiTheme="majorBidi" w:hAnsiTheme="majorBidi" w:cstheme="majorBidi"/>
          <w:bCs/>
          <w:snapToGrid w:val="0"/>
          <w:kern w:val="22"/>
        </w:rPr>
        <w:t>in annex II</w:t>
      </w:r>
      <w:r>
        <w:rPr>
          <w:rFonts w:asciiTheme="majorBidi" w:hAnsiTheme="majorBidi" w:cstheme="majorBidi"/>
          <w:bCs/>
          <w:snapToGrid w:val="0"/>
          <w:kern w:val="22"/>
        </w:rPr>
        <w:t xml:space="preserve"> to the present decision,</w:t>
      </w:r>
      <w:r w:rsidRPr="003C4F93">
        <w:rPr>
          <w:rFonts w:asciiTheme="majorBidi" w:hAnsiTheme="majorBidi" w:cstheme="majorBidi"/>
          <w:bCs/>
          <w:snapToGrid w:val="0"/>
          <w:kern w:val="22"/>
        </w:rPr>
        <w:t xml:space="preserve"> and </w:t>
      </w:r>
      <w:r w:rsidRPr="000223EA">
        <w:rPr>
          <w:rFonts w:asciiTheme="majorBidi" w:hAnsiTheme="majorBidi" w:cstheme="majorBidi"/>
          <w:bCs/>
          <w:snapToGrid w:val="0"/>
          <w:kern w:val="22"/>
        </w:rPr>
        <w:t>of core</w:t>
      </w:r>
      <w:r w:rsidRPr="003C4F93">
        <w:rPr>
          <w:rFonts w:asciiTheme="majorBidi" w:hAnsiTheme="majorBidi" w:cstheme="majorBidi"/>
          <w:bCs/>
          <w:snapToGrid w:val="0"/>
          <w:kern w:val="22"/>
        </w:rPr>
        <w:t xml:space="preserve"> elements for reporting of non-</w:t>
      </w:r>
      <w:r>
        <w:rPr>
          <w:rFonts w:asciiTheme="majorBidi" w:hAnsiTheme="majorBidi" w:cstheme="majorBidi"/>
          <w:bCs/>
          <w:snapToGrid w:val="0"/>
          <w:kern w:val="22"/>
        </w:rPr>
        <w:t>S</w:t>
      </w:r>
      <w:r w:rsidRPr="003C4F93">
        <w:rPr>
          <w:rFonts w:asciiTheme="majorBidi" w:hAnsiTheme="majorBidi" w:cstheme="majorBidi"/>
          <w:bCs/>
          <w:snapToGrid w:val="0"/>
          <w:kern w:val="22"/>
        </w:rPr>
        <w:t>tate actors, where needed</w:t>
      </w:r>
      <w:r>
        <w:rPr>
          <w:rFonts w:asciiTheme="majorBidi" w:hAnsiTheme="majorBidi" w:cstheme="majorBidi"/>
          <w:bCs/>
          <w:snapToGrid w:val="0"/>
          <w:kern w:val="22"/>
        </w:rPr>
        <w:t>,</w:t>
      </w:r>
      <w:r w:rsidRPr="003C4F93">
        <w:rPr>
          <w:rFonts w:asciiTheme="majorBidi" w:hAnsiTheme="majorBidi" w:cstheme="majorBidi"/>
          <w:bCs/>
          <w:snapToGrid w:val="0"/>
          <w:kern w:val="22"/>
        </w:rPr>
        <w:t xml:space="preserve"> </w:t>
      </w:r>
      <w:r w:rsidRPr="009676A3">
        <w:rPr>
          <w:rFonts w:asciiTheme="majorBidi" w:hAnsiTheme="majorBidi" w:cstheme="majorBidi"/>
          <w:bCs/>
          <w:snapToGrid w:val="0"/>
          <w:kern w:val="22"/>
        </w:rPr>
        <w:t>and</w:t>
      </w:r>
      <w:r w:rsidRPr="003C4F93">
        <w:rPr>
          <w:rFonts w:asciiTheme="majorBidi" w:hAnsiTheme="majorBidi" w:cstheme="majorBidi"/>
          <w:bCs/>
          <w:snapToGrid w:val="0"/>
          <w:kern w:val="22"/>
        </w:rPr>
        <w:t xml:space="preserve"> in an inclusive and transparent manner;</w:t>
      </w:r>
    </w:p>
    <w:p w14:paraId="5B2120AC" w14:textId="37C03575"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c</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Supporting the Subsidiary Body on Implementation in the further development and piloting </w:t>
      </w:r>
      <w:r w:rsidRPr="00626FD6">
        <w:rPr>
          <w:rFonts w:asciiTheme="majorBidi" w:hAnsiTheme="majorBidi" w:cstheme="majorBidi"/>
          <w:bCs/>
          <w:snapToGrid w:val="0"/>
          <w:kern w:val="22"/>
        </w:rPr>
        <w:t>of</w:t>
      </w:r>
      <w:r>
        <w:rPr>
          <w:rFonts w:asciiTheme="majorBidi" w:hAnsiTheme="majorBidi" w:cstheme="majorBidi"/>
          <w:bCs/>
          <w:snapToGrid w:val="0"/>
          <w:kern w:val="22"/>
        </w:rPr>
        <w:t xml:space="preserve"> </w:t>
      </w:r>
      <w:r w:rsidRPr="004F65AE">
        <w:rPr>
          <w:rFonts w:asciiTheme="majorBidi" w:hAnsiTheme="majorBidi" w:cstheme="majorBidi"/>
          <w:bCs/>
          <w:snapToGrid w:val="0"/>
          <w:kern w:val="22"/>
        </w:rPr>
        <w:t xml:space="preserve">a modus operandi of an open-ended forum for </w:t>
      </w:r>
      <w:r w:rsidR="00674816">
        <w:rPr>
          <w:rFonts w:asciiTheme="majorBidi" w:hAnsiTheme="majorBidi" w:cstheme="majorBidi"/>
          <w:bCs/>
          <w:snapToGrid w:val="0"/>
          <w:kern w:val="22"/>
        </w:rPr>
        <w:t xml:space="preserve">the </w:t>
      </w:r>
      <w:r w:rsidRPr="004F65AE">
        <w:rPr>
          <w:rFonts w:asciiTheme="majorBidi" w:hAnsiTheme="majorBidi" w:cstheme="majorBidi"/>
          <w:bCs/>
          <w:snapToGrid w:val="0"/>
          <w:kern w:val="22"/>
        </w:rPr>
        <w:t xml:space="preserve">voluntary country review, which may include possible expert assisted reviews; </w:t>
      </w:r>
    </w:p>
    <w:p w14:paraId="20EF4532"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d</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Further developing the online reporting tool for national reports on the clearing</w:t>
      </w:r>
      <w:r w:rsidRPr="004F65AE">
        <w:rPr>
          <w:rFonts w:asciiTheme="majorBidi" w:hAnsiTheme="majorBidi" w:cstheme="majorBidi"/>
          <w:bCs/>
          <w:snapToGrid w:val="0"/>
          <w:kern w:val="22"/>
        </w:rPr>
        <w:noBreakHyphen/>
        <w:t>house mechanism of the Convention;</w:t>
      </w:r>
    </w:p>
    <w:p w14:paraId="163E596C"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e</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Further developing the online decision-tracking tool; </w:t>
      </w:r>
    </w:p>
    <w:p w14:paraId="70F937EF"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lastRenderedPageBreak/>
        <w:t>(</w:t>
      </w:r>
      <w:r>
        <w:rPr>
          <w:rFonts w:asciiTheme="majorBidi" w:hAnsiTheme="majorBidi" w:cstheme="majorBidi"/>
          <w:bCs/>
          <w:snapToGrid w:val="0"/>
          <w:kern w:val="22"/>
        </w:rPr>
        <w:t>f</w:t>
      </w:r>
      <w:r w:rsidRPr="004F65AE">
        <w:rPr>
          <w:rFonts w:asciiTheme="majorBidi" w:hAnsiTheme="majorBidi" w:cstheme="majorBidi"/>
          <w:bCs/>
          <w:snapToGrid w:val="0"/>
          <w:kern w:val="22"/>
        </w:rPr>
        <w:t xml:space="preserve">) </w:t>
      </w:r>
      <w:r w:rsidRPr="004F65AE">
        <w:rPr>
          <w:rFonts w:asciiTheme="majorBidi" w:hAnsiTheme="majorBidi" w:cstheme="majorBidi"/>
          <w:bCs/>
          <w:snapToGrid w:val="0"/>
          <w:kern w:val="22"/>
        </w:rPr>
        <w:tab/>
        <w:t>Further developing a mechanism for tracking commitments of non-State actors, including voluntary online reporting</w:t>
      </w:r>
      <w:r>
        <w:rPr>
          <w:rFonts w:asciiTheme="majorBidi" w:hAnsiTheme="majorBidi" w:cstheme="majorBidi"/>
          <w:bCs/>
          <w:snapToGrid w:val="0"/>
          <w:kern w:val="22"/>
        </w:rPr>
        <w:t>,</w:t>
      </w:r>
      <w:r w:rsidRPr="004F65AE">
        <w:rPr>
          <w:rFonts w:asciiTheme="majorBidi" w:hAnsiTheme="majorBidi" w:cstheme="majorBidi"/>
          <w:bCs/>
          <w:snapToGrid w:val="0"/>
          <w:kern w:val="22"/>
        </w:rPr>
        <w:t xml:space="preserve"> in accordance with the Sharm El-Sheikh to Kunming</w:t>
      </w:r>
      <w:r>
        <w:rPr>
          <w:rFonts w:asciiTheme="majorBidi" w:hAnsiTheme="majorBidi" w:cstheme="majorBidi"/>
          <w:bCs/>
          <w:snapToGrid w:val="0"/>
          <w:kern w:val="22"/>
        </w:rPr>
        <w:t xml:space="preserve"> and Montreal</w:t>
      </w:r>
      <w:r w:rsidRPr="004F65AE">
        <w:rPr>
          <w:rFonts w:asciiTheme="majorBidi" w:hAnsiTheme="majorBidi" w:cstheme="majorBidi"/>
          <w:bCs/>
          <w:snapToGrid w:val="0"/>
          <w:kern w:val="22"/>
        </w:rPr>
        <w:t xml:space="preserve"> Action Agenda for Nature and People; </w:t>
      </w:r>
    </w:p>
    <w:p w14:paraId="23E3B267"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g</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Facilitating of the voluntary use of modular tools for data reporting, such as the Data Reporting Tool (DaRT);</w:t>
      </w:r>
    </w:p>
    <w:p w14:paraId="713FE684"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h</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Compiling views from Parties on the concrete procedures for </w:t>
      </w:r>
      <w:r>
        <w:rPr>
          <w:rFonts w:asciiTheme="majorBidi" w:hAnsiTheme="majorBidi" w:cstheme="majorBidi"/>
          <w:bCs/>
          <w:snapToGrid w:val="0"/>
          <w:kern w:val="22"/>
        </w:rPr>
        <w:t xml:space="preserve">the </w:t>
      </w:r>
      <w:r w:rsidRPr="004F65AE">
        <w:rPr>
          <w:rFonts w:asciiTheme="majorBidi" w:hAnsiTheme="majorBidi" w:cstheme="majorBidi"/>
          <w:bCs/>
          <w:snapToGrid w:val="0"/>
          <w:kern w:val="22"/>
        </w:rPr>
        <w:t>global review mentioned in para</w:t>
      </w:r>
      <w:r>
        <w:rPr>
          <w:rFonts w:asciiTheme="majorBidi" w:hAnsiTheme="majorBidi" w:cstheme="majorBidi"/>
          <w:bCs/>
          <w:snapToGrid w:val="0"/>
          <w:kern w:val="22"/>
        </w:rPr>
        <w:t>graph</w:t>
      </w:r>
      <w:r w:rsidRPr="004F65AE">
        <w:rPr>
          <w:rFonts w:asciiTheme="majorBidi" w:hAnsiTheme="majorBidi" w:cstheme="majorBidi"/>
          <w:bCs/>
          <w:snapToGrid w:val="0"/>
          <w:kern w:val="22"/>
        </w:rPr>
        <w:t xml:space="preserve"> 1</w:t>
      </w:r>
      <w:r>
        <w:rPr>
          <w:rFonts w:asciiTheme="majorBidi" w:hAnsiTheme="majorBidi" w:cstheme="majorBidi"/>
          <w:bCs/>
          <w:snapToGrid w:val="0"/>
          <w:kern w:val="22"/>
        </w:rPr>
        <w:t>6 of the present decision</w:t>
      </w:r>
      <w:r w:rsidRPr="00272BC4">
        <w:rPr>
          <w:rFonts w:asciiTheme="majorBidi" w:hAnsiTheme="majorBidi" w:cstheme="majorBidi"/>
          <w:bCs/>
          <w:snapToGrid w:val="0"/>
          <w:kern w:val="22"/>
        </w:rPr>
        <w:t>, to</w:t>
      </w:r>
      <w:r w:rsidRPr="004F65AE">
        <w:rPr>
          <w:rFonts w:asciiTheme="majorBidi" w:hAnsiTheme="majorBidi" w:cstheme="majorBidi"/>
          <w:bCs/>
          <w:snapToGrid w:val="0"/>
          <w:kern w:val="22"/>
        </w:rPr>
        <w:t xml:space="preserve"> support the </w:t>
      </w:r>
      <w:r>
        <w:rPr>
          <w:rFonts w:asciiTheme="majorBidi" w:hAnsiTheme="majorBidi" w:cstheme="majorBidi"/>
          <w:bCs/>
          <w:snapToGrid w:val="0"/>
          <w:kern w:val="22"/>
        </w:rPr>
        <w:t>Subsidiary Body on Implementation</w:t>
      </w:r>
      <w:r w:rsidRPr="004F65AE">
        <w:rPr>
          <w:rFonts w:asciiTheme="majorBidi" w:hAnsiTheme="majorBidi" w:cstheme="majorBidi"/>
          <w:bCs/>
          <w:snapToGrid w:val="0"/>
          <w:kern w:val="22"/>
        </w:rPr>
        <w:t xml:space="preserve"> in the development of these procedures</w:t>
      </w:r>
      <w:r>
        <w:rPr>
          <w:rFonts w:asciiTheme="majorBidi" w:hAnsiTheme="majorBidi" w:cstheme="majorBidi"/>
          <w:bCs/>
          <w:snapToGrid w:val="0"/>
          <w:kern w:val="22"/>
        </w:rPr>
        <w:t>;</w:t>
      </w:r>
      <w:r w:rsidRPr="004F65AE">
        <w:rPr>
          <w:rFonts w:asciiTheme="majorBidi" w:hAnsiTheme="majorBidi" w:cstheme="majorBidi"/>
          <w:bCs/>
          <w:snapToGrid w:val="0"/>
          <w:kern w:val="22"/>
        </w:rPr>
        <w:t xml:space="preserve"> </w:t>
      </w:r>
    </w:p>
    <w:p w14:paraId="3B7B52A2"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i</w:t>
      </w:r>
      <w:r w:rsidRPr="004F65AE">
        <w:rPr>
          <w:rFonts w:asciiTheme="majorBidi" w:hAnsiTheme="majorBidi" w:cstheme="majorBidi"/>
          <w:bCs/>
          <w:snapToGrid w:val="0"/>
          <w:kern w:val="22"/>
        </w:rPr>
        <w:t>)</w:t>
      </w:r>
      <w:r>
        <w:rPr>
          <w:rFonts w:asciiTheme="majorBidi" w:hAnsiTheme="majorBidi" w:cstheme="majorBidi"/>
          <w:bCs/>
          <w:snapToGrid w:val="0"/>
          <w:kern w:val="22"/>
        </w:rPr>
        <w:tab/>
      </w:r>
      <w:r w:rsidRPr="004F65AE">
        <w:rPr>
          <w:rFonts w:asciiTheme="majorBidi" w:hAnsiTheme="majorBidi" w:cstheme="majorBidi"/>
          <w:bCs/>
          <w:snapToGrid w:val="0"/>
          <w:kern w:val="22"/>
        </w:rPr>
        <w:t>Coordinating the preparation of the inputs referred to in para</w:t>
      </w:r>
      <w:r>
        <w:rPr>
          <w:rFonts w:asciiTheme="majorBidi" w:hAnsiTheme="majorBidi" w:cstheme="majorBidi"/>
          <w:bCs/>
          <w:snapToGrid w:val="0"/>
          <w:kern w:val="22"/>
        </w:rPr>
        <w:t>graphs</w:t>
      </w:r>
      <w:r w:rsidRPr="004F65AE">
        <w:rPr>
          <w:rFonts w:asciiTheme="majorBidi" w:hAnsiTheme="majorBidi" w:cstheme="majorBidi"/>
          <w:bCs/>
          <w:snapToGrid w:val="0"/>
          <w:kern w:val="22"/>
        </w:rPr>
        <w:t xml:space="preserve"> 1</w:t>
      </w:r>
      <w:r>
        <w:rPr>
          <w:rFonts w:asciiTheme="majorBidi" w:hAnsiTheme="majorBidi" w:cstheme="majorBidi"/>
          <w:bCs/>
          <w:snapToGrid w:val="0"/>
          <w:kern w:val="22"/>
        </w:rPr>
        <w:t>5</w:t>
      </w:r>
      <w:r w:rsidRPr="004F65AE">
        <w:rPr>
          <w:rFonts w:asciiTheme="majorBidi" w:hAnsiTheme="majorBidi" w:cstheme="majorBidi"/>
          <w:bCs/>
          <w:snapToGrid w:val="0"/>
          <w:kern w:val="22"/>
        </w:rPr>
        <w:t xml:space="preserve"> and 1</w:t>
      </w:r>
      <w:r>
        <w:rPr>
          <w:rFonts w:asciiTheme="majorBidi" w:hAnsiTheme="majorBidi" w:cstheme="majorBidi"/>
          <w:bCs/>
          <w:snapToGrid w:val="0"/>
          <w:kern w:val="22"/>
        </w:rPr>
        <w:t>6 of the present decision</w:t>
      </w:r>
      <w:r w:rsidRPr="004F65AE">
        <w:rPr>
          <w:rFonts w:asciiTheme="majorBidi" w:hAnsiTheme="majorBidi" w:cstheme="majorBidi"/>
          <w:bCs/>
          <w:snapToGrid w:val="0"/>
          <w:kern w:val="22"/>
        </w:rPr>
        <w:t xml:space="preserve"> in a transparent manner;</w:t>
      </w:r>
    </w:p>
    <w:p w14:paraId="051DF449"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Pr>
          <w:rFonts w:asciiTheme="majorBidi" w:hAnsiTheme="majorBidi" w:cstheme="majorBidi"/>
          <w:bCs/>
          <w:snapToGrid w:val="0"/>
          <w:kern w:val="22"/>
        </w:rPr>
        <w:t>j</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Coordinating and collaborating with relevant partners to provide necessary capacity</w:t>
      </w:r>
      <w:r>
        <w:rPr>
          <w:rFonts w:asciiTheme="majorBidi" w:hAnsiTheme="majorBidi" w:cstheme="majorBidi"/>
          <w:bCs/>
          <w:snapToGrid w:val="0"/>
          <w:kern w:val="22"/>
        </w:rPr>
        <w:noBreakHyphen/>
      </w:r>
      <w:r w:rsidRPr="004F65AE">
        <w:rPr>
          <w:rFonts w:asciiTheme="majorBidi" w:hAnsiTheme="majorBidi" w:cstheme="majorBidi"/>
          <w:bCs/>
          <w:snapToGrid w:val="0"/>
          <w:kern w:val="22"/>
        </w:rPr>
        <w:t>building and development and other support, in particular to developing countries, to improve planning, monitoring, reporting and</w:t>
      </w:r>
      <w:r w:rsidRPr="00FB1CAF">
        <w:rPr>
          <w:rFonts w:asciiTheme="majorBidi" w:hAnsiTheme="majorBidi" w:cstheme="majorBidi"/>
          <w:bCs/>
          <w:snapToGrid w:val="0"/>
          <w:kern w:val="22"/>
        </w:rPr>
        <w:t xml:space="preserve"> </w:t>
      </w:r>
      <w:r w:rsidRPr="004F65AE">
        <w:rPr>
          <w:rFonts w:asciiTheme="majorBidi" w:hAnsiTheme="majorBidi" w:cstheme="majorBidi"/>
          <w:bCs/>
          <w:snapToGrid w:val="0"/>
          <w:kern w:val="22"/>
        </w:rPr>
        <w:t>review</w:t>
      </w:r>
      <w:r>
        <w:rPr>
          <w:rFonts w:asciiTheme="majorBidi" w:hAnsiTheme="majorBidi" w:cstheme="majorBidi"/>
          <w:bCs/>
          <w:snapToGrid w:val="0"/>
          <w:kern w:val="22"/>
        </w:rPr>
        <w:t>;</w:t>
      </w:r>
      <w:bookmarkEnd w:id="46"/>
    </w:p>
    <w:p w14:paraId="6931496B" w14:textId="77777777" w:rsidR="00005A3C" w:rsidRPr="004F65AE" w:rsidRDefault="00005A3C"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i/>
          <w:iCs/>
          <w:snapToGrid w:val="0"/>
          <w:kern w:val="22"/>
          <w:szCs w:val="18"/>
        </w:rPr>
      </w:pPr>
      <w:r w:rsidRPr="004F65AE">
        <w:rPr>
          <w:rFonts w:asciiTheme="majorBidi" w:hAnsiTheme="majorBidi" w:cstheme="majorBidi"/>
          <w:bCs/>
          <w:snapToGrid w:val="0"/>
          <w:kern w:val="22"/>
          <w:szCs w:val="18"/>
        </w:rPr>
        <w:t>3</w:t>
      </w:r>
      <w:r>
        <w:rPr>
          <w:rFonts w:asciiTheme="majorBidi" w:hAnsiTheme="majorBidi" w:cstheme="majorBidi"/>
          <w:bCs/>
          <w:snapToGrid w:val="0"/>
          <w:kern w:val="22"/>
          <w:szCs w:val="18"/>
        </w:rPr>
        <w:t>0</w:t>
      </w:r>
      <w:r w:rsidRPr="004F65AE">
        <w:rPr>
          <w:rFonts w:asciiTheme="majorBidi" w:hAnsiTheme="majorBidi" w:cstheme="majorBidi"/>
          <w:bCs/>
          <w:snapToGrid w:val="0"/>
          <w:kern w:val="22"/>
          <w:szCs w:val="18"/>
        </w:rPr>
        <w:t>.</w:t>
      </w:r>
      <w:r w:rsidRPr="004F65AE">
        <w:rPr>
          <w:rFonts w:asciiTheme="majorBidi" w:hAnsiTheme="majorBidi" w:cstheme="majorBidi"/>
          <w:bCs/>
          <w:snapToGrid w:val="0"/>
          <w:kern w:val="22"/>
          <w:szCs w:val="18"/>
        </w:rPr>
        <w:tab/>
      </w:r>
      <w:r w:rsidRPr="004F65AE">
        <w:rPr>
          <w:rFonts w:asciiTheme="majorBidi" w:hAnsiTheme="majorBidi" w:cstheme="majorBidi"/>
          <w:bCs/>
          <w:i/>
          <w:iCs/>
          <w:snapToGrid w:val="0"/>
          <w:kern w:val="22"/>
          <w:szCs w:val="18"/>
        </w:rPr>
        <w:t xml:space="preserve">Welcomes </w:t>
      </w:r>
      <w:r w:rsidRPr="004F65AE">
        <w:rPr>
          <w:rFonts w:asciiTheme="majorBidi" w:hAnsiTheme="majorBidi" w:cstheme="majorBidi"/>
          <w:bCs/>
          <w:snapToGrid w:val="0"/>
          <w:kern w:val="22"/>
          <w:szCs w:val="18"/>
        </w:rPr>
        <w:t xml:space="preserve">the financial and in-kind contributions, including from the Japan Biodiversity Fund, to initiatives intended to contribute to the support of the updating or revision of </w:t>
      </w:r>
      <w:r>
        <w:rPr>
          <w:rFonts w:asciiTheme="majorBidi" w:hAnsiTheme="majorBidi" w:cstheme="majorBidi"/>
          <w:bCs/>
          <w:snapToGrid w:val="0"/>
          <w:kern w:val="22"/>
          <w:szCs w:val="18"/>
        </w:rPr>
        <w:t>national biodiversity strategies and action plans,</w:t>
      </w:r>
      <w:r w:rsidRPr="004F65AE">
        <w:rPr>
          <w:rFonts w:asciiTheme="majorBidi" w:hAnsiTheme="majorBidi" w:cstheme="majorBidi"/>
          <w:bCs/>
          <w:snapToGrid w:val="0"/>
          <w:kern w:val="22"/>
          <w:szCs w:val="18"/>
        </w:rPr>
        <w:t xml:space="preserve"> and invites</w:t>
      </w:r>
      <w:r w:rsidRPr="004F65AE">
        <w:rPr>
          <w:rFonts w:asciiTheme="majorBidi" w:hAnsiTheme="majorBidi" w:cstheme="majorBidi"/>
          <w:bCs/>
          <w:i/>
          <w:iCs/>
          <w:snapToGrid w:val="0"/>
          <w:kern w:val="22"/>
          <w:szCs w:val="18"/>
        </w:rPr>
        <w:t xml:space="preserve"> </w:t>
      </w:r>
      <w:r w:rsidRPr="004F65AE">
        <w:rPr>
          <w:rFonts w:asciiTheme="majorBidi" w:hAnsiTheme="majorBidi" w:cstheme="majorBidi"/>
          <w:bCs/>
          <w:snapToGrid w:val="0"/>
          <w:kern w:val="22"/>
          <w:szCs w:val="18"/>
        </w:rPr>
        <w:t xml:space="preserve">donors, Governments and multilateral and bilateral agencies to make funds </w:t>
      </w:r>
      <w:r>
        <w:rPr>
          <w:rFonts w:asciiTheme="majorBidi" w:hAnsiTheme="majorBidi" w:cstheme="majorBidi"/>
          <w:bCs/>
          <w:snapToGrid w:val="0"/>
          <w:kern w:val="22"/>
          <w:szCs w:val="18"/>
        </w:rPr>
        <w:t xml:space="preserve">available </w:t>
      </w:r>
      <w:r w:rsidRPr="00037328">
        <w:rPr>
          <w:rFonts w:asciiTheme="majorBidi" w:hAnsiTheme="majorBidi" w:cstheme="majorBidi"/>
          <w:bCs/>
          <w:snapToGrid w:val="0"/>
          <w:kern w:val="22"/>
          <w:szCs w:val="18"/>
        </w:rPr>
        <w:t>to support</w:t>
      </w:r>
      <w:r w:rsidRPr="004F65AE">
        <w:rPr>
          <w:rFonts w:asciiTheme="majorBidi" w:hAnsiTheme="majorBidi" w:cstheme="majorBidi"/>
          <w:bCs/>
          <w:snapToGrid w:val="0"/>
          <w:kern w:val="22"/>
          <w:szCs w:val="18"/>
        </w:rPr>
        <w:t xml:space="preserve"> planning, monitoring, reporting and review</w:t>
      </w:r>
      <w:r>
        <w:rPr>
          <w:rFonts w:asciiTheme="majorBidi" w:hAnsiTheme="majorBidi" w:cstheme="majorBidi"/>
          <w:bCs/>
          <w:snapToGrid w:val="0"/>
          <w:kern w:val="22"/>
          <w:szCs w:val="18"/>
        </w:rPr>
        <w:t>,</w:t>
      </w:r>
      <w:r w:rsidRPr="004F65AE">
        <w:rPr>
          <w:rFonts w:asciiTheme="majorBidi" w:hAnsiTheme="majorBidi" w:cstheme="majorBidi"/>
          <w:bCs/>
          <w:snapToGrid w:val="0"/>
          <w:kern w:val="22"/>
          <w:szCs w:val="18"/>
        </w:rPr>
        <w:t xml:space="preserve"> </w:t>
      </w:r>
      <w:r>
        <w:rPr>
          <w:rFonts w:asciiTheme="majorBidi" w:hAnsiTheme="majorBidi" w:cstheme="majorBidi"/>
          <w:bCs/>
          <w:snapToGrid w:val="0"/>
          <w:kern w:val="22"/>
          <w:szCs w:val="18"/>
        </w:rPr>
        <w:t>in support of</w:t>
      </w:r>
      <w:r w:rsidRPr="004F65AE">
        <w:rPr>
          <w:rFonts w:asciiTheme="majorBidi" w:hAnsiTheme="majorBidi" w:cstheme="majorBidi"/>
          <w:bCs/>
          <w:snapToGrid w:val="0"/>
          <w:kern w:val="22"/>
          <w:szCs w:val="18"/>
        </w:rPr>
        <w:t xml:space="preserve"> the implementation of the </w:t>
      </w:r>
      <w:r>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Pr="004F65AE">
        <w:rPr>
          <w:rFonts w:asciiTheme="majorBidi" w:hAnsiTheme="majorBidi" w:cstheme="majorBidi"/>
          <w:bCs/>
          <w:snapToGrid w:val="0"/>
          <w:kern w:val="22"/>
          <w:szCs w:val="18"/>
        </w:rPr>
        <w:t xml:space="preserve">Global Biodiversity Framework, including for the development and strengthening of national monitoring and information </w:t>
      </w:r>
      <w:r w:rsidRPr="004F65AE">
        <w:rPr>
          <w:rFonts w:asciiTheme="majorBidi" w:hAnsiTheme="majorBidi" w:cstheme="majorBidi"/>
          <w:bCs/>
          <w:snapToGrid w:val="0"/>
          <w:kern w:val="22"/>
        </w:rPr>
        <w:t>management systems.</w:t>
      </w:r>
    </w:p>
    <w:p w14:paraId="31283303" w14:textId="77777777" w:rsidR="00005A3C" w:rsidRPr="00CA676A" w:rsidRDefault="00005A3C" w:rsidP="0040414C">
      <w:pPr>
        <w:keepNext/>
        <w:shd w:val="clear" w:color="auto" w:fill="FFFFFF" w:themeFill="background1"/>
        <w:spacing w:before="120" w:after="240"/>
        <w:jc w:val="center"/>
        <w:rPr>
          <w:rFonts w:asciiTheme="majorBidi" w:hAnsiTheme="majorBidi" w:cstheme="majorBidi"/>
          <w:bCs/>
          <w:i/>
          <w:iCs/>
          <w:szCs w:val="22"/>
        </w:rPr>
      </w:pPr>
      <w:bookmarkStart w:id="47" w:name="_Toc118355017"/>
      <w:r w:rsidRPr="00CA676A">
        <w:rPr>
          <w:rFonts w:asciiTheme="majorBidi" w:hAnsiTheme="majorBidi" w:cstheme="majorBidi"/>
          <w:bCs/>
          <w:i/>
          <w:iCs/>
          <w:szCs w:val="22"/>
        </w:rPr>
        <w:t xml:space="preserve">Annex I </w:t>
      </w:r>
      <w:bookmarkEnd w:id="47"/>
    </w:p>
    <w:p w14:paraId="6E39CF6E" w14:textId="77777777" w:rsidR="00005A3C" w:rsidRPr="00CA676A" w:rsidRDefault="00005A3C" w:rsidP="0040414C">
      <w:pPr>
        <w:keepNext/>
        <w:shd w:val="clear" w:color="auto" w:fill="FFFFFF" w:themeFill="background1"/>
        <w:spacing w:before="120" w:after="240"/>
        <w:jc w:val="center"/>
        <w:rPr>
          <w:rFonts w:asciiTheme="majorBidi" w:hAnsiTheme="majorBidi" w:cstheme="majorBidi"/>
          <w:bCs/>
          <w:i/>
          <w:iCs/>
          <w:caps/>
          <w:szCs w:val="22"/>
        </w:rPr>
      </w:pPr>
      <w:bookmarkStart w:id="48" w:name="_Toc118355018"/>
      <w:r w:rsidRPr="00CA676A">
        <w:rPr>
          <w:rFonts w:asciiTheme="majorBidi" w:hAnsiTheme="majorBidi" w:cstheme="majorBidi"/>
          <w:b/>
          <w:bCs/>
          <w:caps/>
          <w:szCs w:val="22"/>
        </w:rPr>
        <w:t xml:space="preserve">guidance for revising or updating national biodiversity strategies and action plans to Align with the </w:t>
      </w:r>
      <w:r w:rsidRPr="00E3500C">
        <w:rPr>
          <w:rFonts w:asciiTheme="majorBidi" w:hAnsiTheme="majorBidi" w:cstheme="majorBidi"/>
          <w:b/>
          <w:snapToGrid w:val="0"/>
          <w:kern w:val="22"/>
          <w:szCs w:val="22"/>
          <w:lang w:val="en-US"/>
        </w:rPr>
        <w:t>KUNMING-MONTREAL</w:t>
      </w:r>
      <w:r w:rsidRPr="00E3500C">
        <w:rPr>
          <w:rFonts w:asciiTheme="majorBidi" w:hAnsiTheme="majorBidi" w:cstheme="majorBidi"/>
          <w:bCs/>
          <w:snapToGrid w:val="0"/>
          <w:kern w:val="22"/>
          <w:szCs w:val="22"/>
          <w:lang w:val="en-US"/>
        </w:rPr>
        <w:t xml:space="preserve"> </w:t>
      </w:r>
      <w:r w:rsidRPr="00CA676A">
        <w:rPr>
          <w:rFonts w:asciiTheme="majorBidi" w:hAnsiTheme="majorBidi" w:cstheme="majorBidi"/>
          <w:b/>
          <w:bCs/>
          <w:caps/>
          <w:szCs w:val="22"/>
        </w:rPr>
        <w:t>global biodiversity framework</w:t>
      </w:r>
      <w:bookmarkEnd w:id="48"/>
    </w:p>
    <w:p w14:paraId="3AD7AAE5"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t>1.</w:t>
      </w:r>
      <w:r w:rsidRPr="00CA676A">
        <w:rPr>
          <w:rFonts w:asciiTheme="majorBidi" w:hAnsiTheme="majorBidi" w:cstheme="majorBidi"/>
        </w:rPr>
        <w:tab/>
        <w:t xml:space="preserve">National biodiversity strategies and action plans (NBSAPs) are the main vehicle for implementation of the Convention on Biological Diversity at the national level. They are expected to be a key component of the enhanced planning, monitoring, reporting and review mechanism of the Convention for the </w:t>
      </w:r>
      <w:r w:rsidRPr="00CA676A">
        <w:rPr>
          <w:rFonts w:asciiTheme="majorBidi" w:hAnsiTheme="majorBidi" w:cstheme="majorBidi"/>
          <w:bCs/>
          <w:lang w:val="en-US"/>
        </w:rPr>
        <w:t>Kunming-Montreal</w:t>
      </w:r>
      <w:r w:rsidRPr="00E3500C">
        <w:rPr>
          <w:rFonts w:asciiTheme="majorBidi" w:hAnsiTheme="majorBidi" w:cstheme="majorBidi"/>
          <w:bCs/>
          <w:lang w:val="en-US"/>
        </w:rPr>
        <w:t xml:space="preserve"> </w:t>
      </w:r>
      <w:r>
        <w:rPr>
          <w:rFonts w:asciiTheme="majorBidi" w:hAnsiTheme="majorBidi" w:cstheme="majorBidi"/>
        </w:rPr>
        <w:t>G</w:t>
      </w:r>
      <w:r w:rsidRPr="00CA676A">
        <w:rPr>
          <w:rFonts w:asciiTheme="majorBidi" w:hAnsiTheme="majorBidi" w:cstheme="majorBidi"/>
        </w:rPr>
        <w:t xml:space="preserve">lobal </w:t>
      </w:r>
      <w:r>
        <w:rPr>
          <w:rFonts w:asciiTheme="majorBidi" w:hAnsiTheme="majorBidi" w:cstheme="majorBidi"/>
        </w:rPr>
        <w:t>B</w:t>
      </w:r>
      <w:r w:rsidRPr="00CA676A">
        <w:rPr>
          <w:rFonts w:asciiTheme="majorBidi" w:hAnsiTheme="majorBidi" w:cstheme="majorBidi"/>
        </w:rPr>
        <w:t xml:space="preserve">iodiversity </w:t>
      </w:r>
      <w:r>
        <w:rPr>
          <w:rFonts w:asciiTheme="majorBidi" w:hAnsiTheme="majorBidi" w:cstheme="majorBidi"/>
        </w:rPr>
        <w:t>F</w:t>
      </w:r>
      <w:r w:rsidRPr="00CA676A">
        <w:rPr>
          <w:rFonts w:asciiTheme="majorBidi" w:hAnsiTheme="majorBidi" w:cstheme="majorBidi"/>
        </w:rPr>
        <w:t xml:space="preserve">ramework. The present document provides guidance on revising or updating NBSAPs in the light of the </w:t>
      </w:r>
      <w:r w:rsidRPr="00CA676A">
        <w:rPr>
          <w:rFonts w:asciiTheme="majorBidi" w:hAnsiTheme="majorBidi" w:cstheme="majorBidi"/>
          <w:bCs/>
          <w:lang w:val="en-US"/>
        </w:rPr>
        <w:t>Kunming-Montreal</w:t>
      </w:r>
      <w:r w:rsidRPr="00E3500C">
        <w:rPr>
          <w:rFonts w:asciiTheme="majorBidi" w:hAnsiTheme="majorBidi" w:cstheme="majorBidi"/>
          <w:bCs/>
          <w:lang w:val="en-US"/>
        </w:rPr>
        <w:t xml:space="preserve"> </w:t>
      </w:r>
      <w:r>
        <w:rPr>
          <w:rFonts w:asciiTheme="majorBidi" w:hAnsiTheme="majorBidi" w:cstheme="majorBidi"/>
        </w:rPr>
        <w:t>G</w:t>
      </w:r>
      <w:r w:rsidRPr="00CA676A">
        <w:rPr>
          <w:rFonts w:asciiTheme="majorBidi" w:hAnsiTheme="majorBidi" w:cstheme="majorBidi"/>
        </w:rPr>
        <w:t xml:space="preserve">lobal </w:t>
      </w:r>
      <w:r>
        <w:rPr>
          <w:rFonts w:asciiTheme="majorBidi" w:hAnsiTheme="majorBidi" w:cstheme="majorBidi"/>
        </w:rPr>
        <w:t>B</w:t>
      </w:r>
      <w:r w:rsidRPr="00CA676A">
        <w:rPr>
          <w:rFonts w:asciiTheme="majorBidi" w:hAnsiTheme="majorBidi" w:cstheme="majorBidi"/>
        </w:rPr>
        <w:t xml:space="preserve">iodiversity </w:t>
      </w:r>
      <w:r>
        <w:rPr>
          <w:rFonts w:asciiTheme="majorBidi" w:hAnsiTheme="majorBidi" w:cstheme="majorBidi"/>
        </w:rPr>
        <w:t>F</w:t>
      </w:r>
      <w:r w:rsidRPr="00CA676A">
        <w:rPr>
          <w:rFonts w:asciiTheme="majorBidi" w:hAnsiTheme="majorBidi" w:cstheme="majorBidi"/>
        </w:rPr>
        <w:t>ramework. This guidance is in line with Article 6 of the Convention and complements previous decisions of the Conference of the Parties on various aspects of NBSAPs (in particular decision IX/8, para. 8, and decision X/2, para. 3). This guidance also takes into account calls to integrate and mainstream biosafety and access and benefit-sharing in NBSAPs pursuant to relevant decisions of the Conference of the Parties to the Convention and of the Conference of the Parties serving as the meetings of the Parties to the Cartagena Protocol on Biosafety and the Nagoya Protocol on Access and Benefit-sharing, as appropriate.</w:t>
      </w:r>
      <w:r w:rsidRPr="00610646">
        <w:rPr>
          <w:rStyle w:val="FootnoteReference"/>
        </w:rPr>
        <w:footnoteReference w:id="43"/>
      </w:r>
    </w:p>
    <w:p w14:paraId="7EC3D773"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rPr>
      </w:pPr>
      <w:r w:rsidRPr="00CA676A">
        <w:rPr>
          <w:rFonts w:asciiTheme="majorBidi" w:hAnsiTheme="majorBidi" w:cstheme="majorBidi"/>
          <w:color w:val="000000" w:themeColor="text1"/>
        </w:rPr>
        <w:t>2.</w:t>
      </w:r>
      <w:r w:rsidRPr="00CA676A">
        <w:rPr>
          <w:rFonts w:asciiTheme="majorBidi" w:hAnsiTheme="majorBidi" w:cstheme="majorBidi"/>
          <w:color w:val="000000" w:themeColor="text1"/>
        </w:rPr>
        <w:tab/>
      </w:r>
      <w:r w:rsidRPr="00F37D69">
        <w:rPr>
          <w:rFonts w:asciiTheme="majorBidi" w:hAnsiTheme="majorBidi" w:cstheme="majorBidi"/>
        </w:rPr>
        <w:t>National biodiversity strategies and action plans</w:t>
      </w:r>
      <w:r w:rsidRPr="00CA676A">
        <w:rPr>
          <w:rFonts w:asciiTheme="majorBidi" w:hAnsiTheme="majorBidi" w:cstheme="majorBidi"/>
          <w:color w:val="000000" w:themeColor="text1"/>
        </w:rPr>
        <w:t xml:space="preserve"> should be seen as an umbrella process under which all national targets and actions relevant to the </w:t>
      </w:r>
      <w:r w:rsidRPr="00CA676A">
        <w:rPr>
          <w:rFonts w:asciiTheme="majorBidi" w:hAnsiTheme="majorBidi" w:cstheme="majorBidi"/>
          <w:bCs/>
          <w:lang w:val="en-US"/>
        </w:rPr>
        <w:t>Kunming-Montreal</w:t>
      </w:r>
      <w:r w:rsidRPr="00E3500C">
        <w:rPr>
          <w:rFonts w:asciiTheme="majorBidi" w:hAnsiTheme="majorBidi" w:cstheme="majorBidi"/>
          <w:bCs/>
          <w:lang w:val="en-US"/>
        </w:rPr>
        <w:t xml:space="preserve"> </w:t>
      </w:r>
      <w:r>
        <w:rPr>
          <w:rFonts w:asciiTheme="majorBidi" w:hAnsiTheme="majorBidi" w:cstheme="majorBidi"/>
          <w:color w:val="000000" w:themeColor="text1"/>
        </w:rPr>
        <w:t>G</w:t>
      </w:r>
      <w:r w:rsidRPr="00CA676A">
        <w:rPr>
          <w:rFonts w:asciiTheme="majorBidi" w:hAnsiTheme="majorBidi" w:cstheme="majorBidi"/>
          <w:color w:val="000000" w:themeColor="text1"/>
        </w:rPr>
        <w:t xml:space="preserve">lobal </w:t>
      </w:r>
      <w:r>
        <w:rPr>
          <w:rFonts w:asciiTheme="majorBidi" w:hAnsiTheme="majorBidi" w:cstheme="majorBidi"/>
          <w:color w:val="000000" w:themeColor="text1"/>
        </w:rPr>
        <w:t>B</w:t>
      </w:r>
      <w:r w:rsidRPr="00CA676A">
        <w:rPr>
          <w:rFonts w:asciiTheme="majorBidi" w:hAnsiTheme="majorBidi" w:cstheme="majorBidi"/>
          <w:color w:val="000000" w:themeColor="text1"/>
        </w:rPr>
        <w:t xml:space="preserve">iodiversity </w:t>
      </w:r>
      <w:r>
        <w:rPr>
          <w:rFonts w:asciiTheme="majorBidi" w:hAnsiTheme="majorBidi" w:cstheme="majorBidi"/>
          <w:color w:val="000000" w:themeColor="text1"/>
        </w:rPr>
        <w:t>F</w:t>
      </w:r>
      <w:r w:rsidRPr="00CA676A">
        <w:rPr>
          <w:rFonts w:asciiTheme="majorBidi" w:hAnsiTheme="majorBidi" w:cstheme="majorBidi"/>
          <w:color w:val="000000" w:themeColor="text1"/>
        </w:rPr>
        <w:t xml:space="preserve">ramework can be planned, implemented, monitored, reviewed and enhanced. </w:t>
      </w:r>
      <w:r>
        <w:rPr>
          <w:rFonts w:asciiTheme="majorBidi" w:hAnsiTheme="majorBidi" w:cstheme="majorBidi"/>
          <w:color w:val="000000" w:themeColor="text1"/>
          <w:lang w:val="en-US"/>
        </w:rPr>
        <w:t>They</w:t>
      </w:r>
      <w:r w:rsidRPr="00CA676A">
        <w:rPr>
          <w:rFonts w:asciiTheme="majorBidi" w:hAnsiTheme="majorBidi" w:cstheme="majorBidi"/>
          <w:color w:val="000000" w:themeColor="text1"/>
          <w:lang w:val="en-US"/>
        </w:rPr>
        <w:t xml:space="preserve"> are the main instrument through which Parties establish and communicate their national contribution towards the </w:t>
      </w:r>
      <w:r>
        <w:rPr>
          <w:rFonts w:asciiTheme="majorBidi" w:hAnsiTheme="majorBidi" w:cstheme="majorBidi"/>
          <w:color w:val="000000" w:themeColor="text1"/>
          <w:lang w:val="en-US"/>
        </w:rPr>
        <w:t>F</w:t>
      </w:r>
      <w:r w:rsidRPr="00CA676A">
        <w:rPr>
          <w:rFonts w:asciiTheme="majorBidi" w:hAnsiTheme="majorBidi" w:cstheme="majorBidi"/>
          <w:color w:val="000000" w:themeColor="text1"/>
          <w:lang w:val="en-US"/>
        </w:rPr>
        <w:t xml:space="preserve">ramework and its goals and targets. </w:t>
      </w:r>
      <w:r w:rsidRPr="00CA676A">
        <w:rPr>
          <w:rFonts w:asciiTheme="majorBidi" w:hAnsiTheme="majorBidi" w:cstheme="majorBidi"/>
          <w:color w:val="000000" w:themeColor="text1"/>
        </w:rPr>
        <w:t>They should involve and facilitate the engagement of all government sectors at all levels of government, and all stakeholders, indigenous peoples and local communities, women and youth across society</w:t>
      </w:r>
      <w:r>
        <w:rPr>
          <w:rFonts w:asciiTheme="majorBidi" w:hAnsiTheme="majorBidi" w:cstheme="majorBidi"/>
          <w:color w:val="000000" w:themeColor="text1"/>
        </w:rPr>
        <w:t>,</w:t>
      </w:r>
      <w:r w:rsidRPr="00CA676A">
        <w:rPr>
          <w:rFonts w:asciiTheme="majorBidi" w:hAnsiTheme="majorBidi" w:cstheme="majorBidi"/>
          <w:color w:val="000000" w:themeColor="text1"/>
        </w:rPr>
        <w:t xml:space="preserve"> to ensure that targets, actions and expected outcomes are coordinated, that the concerns of different actors are addressed, and that their ownership and commitment towards implementation are attained. The NBSAPs should promote synergies and planning across other biodiversity-related conventions and </w:t>
      </w:r>
      <w:r w:rsidRPr="00CA676A">
        <w:rPr>
          <w:rFonts w:asciiTheme="majorBidi" w:hAnsiTheme="majorBidi" w:cstheme="majorBidi"/>
          <w:color w:val="000000" w:themeColor="text1"/>
        </w:rPr>
        <w:lastRenderedPageBreak/>
        <w:t>multilateral environmental agreements (MEAs).</w:t>
      </w:r>
      <w:r w:rsidRPr="00610646">
        <w:rPr>
          <w:rStyle w:val="FootnoteReference"/>
        </w:rPr>
        <w:footnoteReference w:id="44"/>
      </w:r>
      <w:r w:rsidRPr="00CA676A">
        <w:rPr>
          <w:rFonts w:asciiTheme="majorBidi" w:hAnsiTheme="majorBidi" w:cstheme="majorBidi"/>
          <w:color w:val="000000" w:themeColor="text1"/>
        </w:rPr>
        <w:t xml:space="preserve"> Additionally, the NBSAP process should garner high-level political support, ensure </w:t>
      </w:r>
      <w:r w:rsidRPr="00CA676A">
        <w:rPr>
          <w:rFonts w:asciiTheme="majorBidi" w:hAnsiTheme="majorBidi" w:cstheme="majorBidi"/>
          <w:noProof/>
          <w:color w:val="000000" w:themeColor="text1"/>
        </w:rPr>
        <w:t>interministerial</w:t>
      </w:r>
      <w:r w:rsidRPr="00CA676A">
        <w:rPr>
          <w:rFonts w:asciiTheme="majorBidi" w:hAnsiTheme="majorBidi" w:cstheme="majorBidi"/>
          <w:color w:val="000000" w:themeColor="text1"/>
        </w:rPr>
        <w:t xml:space="preserve"> coordination and vertical integration, and facilitate implementation. </w:t>
      </w:r>
    </w:p>
    <w:p w14:paraId="3A2D42D3"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rPr>
      </w:pPr>
      <w:r w:rsidRPr="00CA676A">
        <w:rPr>
          <w:rFonts w:asciiTheme="majorBidi" w:hAnsiTheme="majorBidi" w:cstheme="majorBidi"/>
          <w:color w:val="000000" w:themeColor="text1"/>
        </w:rPr>
        <w:t>3.</w:t>
      </w:r>
      <w:r w:rsidRPr="00CA676A">
        <w:rPr>
          <w:rFonts w:asciiTheme="majorBidi" w:hAnsiTheme="majorBidi" w:cstheme="majorBidi"/>
          <w:color w:val="000000" w:themeColor="text1"/>
        </w:rPr>
        <w:tab/>
      </w:r>
      <w:r w:rsidRPr="00F37D69">
        <w:rPr>
          <w:rFonts w:asciiTheme="majorBidi" w:hAnsiTheme="majorBidi" w:cstheme="majorBidi"/>
        </w:rPr>
        <w:t>National biodiversity strategies and action plans</w:t>
      </w:r>
      <w:r w:rsidRPr="00F37D69">
        <w:rPr>
          <w:rFonts w:asciiTheme="majorBidi" w:hAnsiTheme="majorBidi" w:cstheme="majorBidi"/>
          <w:color w:val="000000" w:themeColor="text1"/>
        </w:rPr>
        <w:t xml:space="preserve"> </w:t>
      </w:r>
      <w:r w:rsidRPr="00CA676A">
        <w:rPr>
          <w:rFonts w:asciiTheme="majorBidi" w:hAnsiTheme="majorBidi" w:cstheme="majorBidi"/>
          <w:color w:val="000000" w:themeColor="text1"/>
        </w:rPr>
        <w:t>should be revised or updated as needed</w:t>
      </w:r>
      <w:r>
        <w:rPr>
          <w:rFonts w:asciiTheme="majorBidi" w:hAnsiTheme="majorBidi" w:cstheme="majorBidi"/>
          <w:color w:val="000000" w:themeColor="text1"/>
        </w:rPr>
        <w:t>,</w:t>
      </w:r>
      <w:r w:rsidRPr="00CA676A">
        <w:rPr>
          <w:rFonts w:asciiTheme="majorBidi" w:hAnsiTheme="majorBidi" w:cstheme="majorBidi"/>
          <w:color w:val="000000" w:themeColor="text1"/>
        </w:rPr>
        <w:t xml:space="preserve"> without interrupting implementation. </w:t>
      </w:r>
    </w:p>
    <w:p w14:paraId="75696FCA"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t>4.</w:t>
      </w:r>
      <w:r w:rsidRPr="00CA676A">
        <w:rPr>
          <w:rFonts w:asciiTheme="majorBidi" w:hAnsiTheme="majorBidi" w:cstheme="majorBidi"/>
        </w:rPr>
        <w:tab/>
        <w:t xml:space="preserve">In accordance with Articles 3, 6, 20 and 21 of the Convention, the revision or updating of NBSAPs to align with the </w:t>
      </w:r>
      <w:r w:rsidRPr="00CA676A">
        <w:rPr>
          <w:rFonts w:asciiTheme="majorBidi" w:hAnsiTheme="majorBidi" w:cstheme="majorBidi"/>
          <w:bCs/>
          <w:lang w:val="en-US"/>
        </w:rPr>
        <w:t>Kunming-Montreal</w:t>
      </w:r>
      <w:r w:rsidRPr="00E3500C">
        <w:rPr>
          <w:rFonts w:asciiTheme="majorBidi" w:hAnsiTheme="majorBidi" w:cstheme="majorBidi"/>
          <w:bCs/>
          <w:lang w:val="en-US"/>
        </w:rPr>
        <w:t xml:space="preserve"> </w:t>
      </w:r>
      <w:r w:rsidRPr="00CA676A">
        <w:rPr>
          <w:rFonts w:asciiTheme="majorBidi" w:hAnsiTheme="majorBidi" w:cstheme="majorBidi"/>
        </w:rPr>
        <w:t xml:space="preserve">Global Biodiversity Framework, including the corresponding national targets, should be self-determined by each Party in accordance with their particular conditions and capabilities. </w:t>
      </w:r>
    </w:p>
    <w:p w14:paraId="68F2A219" w14:textId="77777777" w:rsidR="00005A3C" w:rsidRPr="00CA676A" w:rsidRDefault="00005A3C" w:rsidP="00B3720D">
      <w:pPr>
        <w:shd w:val="clear" w:color="auto" w:fill="FFFFFF" w:themeFill="background1"/>
        <w:spacing w:before="120" w:after="120"/>
        <w:rPr>
          <w:rFonts w:asciiTheme="majorBidi" w:hAnsiTheme="majorBidi" w:cstheme="majorBidi"/>
          <w:color w:val="000000" w:themeColor="text1"/>
          <w:szCs w:val="22"/>
        </w:rPr>
      </w:pPr>
      <w:r w:rsidRPr="00CA676A">
        <w:rPr>
          <w:rFonts w:asciiTheme="majorBidi" w:hAnsiTheme="majorBidi" w:cstheme="majorBidi"/>
          <w:color w:val="000000" w:themeColor="text1"/>
          <w:szCs w:val="22"/>
        </w:rPr>
        <w:t xml:space="preserve">5. </w:t>
      </w:r>
      <w:r w:rsidRPr="00CA676A">
        <w:rPr>
          <w:rFonts w:asciiTheme="majorBidi" w:hAnsiTheme="majorBidi" w:cstheme="majorBidi"/>
          <w:color w:val="000000" w:themeColor="text1"/>
          <w:szCs w:val="22"/>
        </w:rPr>
        <w:tab/>
      </w:r>
      <w:r w:rsidRPr="00F37D69">
        <w:rPr>
          <w:rFonts w:asciiTheme="majorBidi" w:hAnsiTheme="majorBidi" w:cstheme="majorBidi"/>
          <w:szCs w:val="22"/>
        </w:rPr>
        <w:t>National biodiversity strategies and action plans</w:t>
      </w:r>
      <w:r w:rsidRPr="00CA676A">
        <w:rPr>
          <w:rFonts w:asciiTheme="majorBidi" w:hAnsiTheme="majorBidi" w:cstheme="majorBidi"/>
          <w:color w:val="000000" w:themeColor="text1"/>
          <w:szCs w:val="22"/>
        </w:rPr>
        <w:t xml:space="preserve"> should promote and support increased efforts and actions, </w:t>
      </w:r>
      <w:r>
        <w:rPr>
          <w:rFonts w:asciiTheme="majorBidi" w:hAnsiTheme="majorBidi" w:cstheme="majorBidi"/>
          <w:color w:val="000000" w:themeColor="text1"/>
          <w:szCs w:val="22"/>
        </w:rPr>
        <w:t xml:space="preserve">and </w:t>
      </w:r>
      <w:r w:rsidRPr="00CA676A">
        <w:rPr>
          <w:rFonts w:asciiTheme="majorBidi" w:hAnsiTheme="majorBidi" w:cstheme="majorBidi"/>
          <w:color w:val="000000" w:themeColor="text1"/>
          <w:szCs w:val="22"/>
        </w:rPr>
        <w:t>improved implementation and consistency over time, in a cooperative and flexible manner, ensuring responsibility and transparency of information on national targets reflecting</w:t>
      </w:r>
      <w:r>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as applicable</w:t>
      </w:r>
      <w:r>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all the goals and targets of the </w:t>
      </w:r>
      <w:r w:rsidRPr="00E3500C">
        <w:rPr>
          <w:rFonts w:asciiTheme="majorBidi" w:hAnsiTheme="majorBidi" w:cstheme="majorBidi"/>
          <w:bCs/>
          <w:snapToGrid w:val="0"/>
          <w:kern w:val="22"/>
          <w:szCs w:val="22"/>
          <w:lang w:val="en-US"/>
        </w:rPr>
        <w:t xml:space="preserve">Kunming-Montreal </w:t>
      </w:r>
      <w:r w:rsidRPr="00CA676A">
        <w:rPr>
          <w:rFonts w:asciiTheme="majorBidi" w:hAnsiTheme="majorBidi" w:cstheme="majorBidi"/>
          <w:bCs/>
          <w:snapToGrid w:val="0"/>
          <w:kern w:val="22"/>
          <w:szCs w:val="22"/>
        </w:rPr>
        <w:t>Global Biodiversity Framework</w:t>
      </w:r>
      <w:r w:rsidRPr="00CA676A" w:rsidDel="00D8126D">
        <w:rPr>
          <w:rFonts w:asciiTheme="majorBidi" w:hAnsiTheme="majorBidi" w:cstheme="majorBidi"/>
          <w:color w:val="000000" w:themeColor="text1"/>
          <w:szCs w:val="22"/>
        </w:rPr>
        <w:t xml:space="preserve"> </w:t>
      </w:r>
      <w:r w:rsidRPr="00CA676A">
        <w:rPr>
          <w:rFonts w:asciiTheme="majorBidi" w:hAnsiTheme="majorBidi" w:cstheme="majorBidi"/>
          <w:color w:val="000000" w:themeColor="text1"/>
          <w:szCs w:val="22"/>
        </w:rPr>
        <w:t xml:space="preserve">and including information regarding means of implementation for developing countries, in particular </w:t>
      </w:r>
      <w:r w:rsidRPr="00E3500C">
        <w:rPr>
          <w:rFonts w:asciiTheme="majorBidi" w:hAnsiTheme="majorBidi" w:cstheme="majorBidi"/>
          <w:bCs/>
          <w:iCs/>
          <w:snapToGrid w:val="0"/>
          <w:kern w:val="22"/>
          <w:szCs w:val="22"/>
          <w:lang w:val="en-US"/>
        </w:rPr>
        <w:t xml:space="preserve">the least developed countries and small island developing </w:t>
      </w:r>
      <w:r w:rsidRPr="00CA676A">
        <w:rPr>
          <w:rFonts w:asciiTheme="majorBidi" w:hAnsiTheme="majorBidi" w:cstheme="majorBidi"/>
          <w:bCs/>
          <w:iCs/>
          <w:snapToGrid w:val="0"/>
          <w:kern w:val="22"/>
          <w:szCs w:val="22"/>
          <w:lang w:val="en-US"/>
        </w:rPr>
        <w:t>S</w:t>
      </w:r>
      <w:r w:rsidRPr="00E3500C">
        <w:rPr>
          <w:rFonts w:asciiTheme="majorBidi" w:hAnsiTheme="majorBidi" w:cstheme="majorBidi"/>
          <w:bCs/>
          <w:iCs/>
          <w:snapToGrid w:val="0"/>
          <w:kern w:val="22"/>
          <w:szCs w:val="22"/>
          <w:lang w:val="en-US"/>
        </w:rPr>
        <w:t>tates</w:t>
      </w:r>
      <w:r w:rsidRPr="00CA676A" w:rsidDel="00D8126D">
        <w:rPr>
          <w:rFonts w:asciiTheme="majorBidi" w:hAnsiTheme="majorBidi" w:cstheme="majorBidi"/>
          <w:color w:val="000000" w:themeColor="text1"/>
          <w:szCs w:val="22"/>
        </w:rPr>
        <w:t xml:space="preserve"> </w:t>
      </w:r>
      <w:r w:rsidRPr="00CA676A">
        <w:rPr>
          <w:rFonts w:asciiTheme="majorBidi" w:hAnsiTheme="majorBidi" w:cstheme="majorBidi"/>
          <w:color w:val="000000" w:themeColor="text1"/>
          <w:szCs w:val="22"/>
        </w:rPr>
        <w:t>in line with the relevant Articles</w:t>
      </w:r>
      <w:r w:rsidRPr="00CA676A" w:rsidDel="00125CED">
        <w:rPr>
          <w:rFonts w:asciiTheme="majorBidi" w:hAnsiTheme="majorBidi" w:cstheme="majorBidi"/>
          <w:color w:val="000000" w:themeColor="text1"/>
          <w:szCs w:val="22"/>
        </w:rPr>
        <w:t xml:space="preserve"> </w:t>
      </w:r>
      <w:r w:rsidRPr="00CA676A">
        <w:rPr>
          <w:rFonts w:asciiTheme="majorBidi" w:hAnsiTheme="majorBidi" w:cstheme="majorBidi"/>
          <w:color w:val="000000" w:themeColor="text1"/>
          <w:szCs w:val="22"/>
        </w:rPr>
        <w:t xml:space="preserve">of the Convention. </w:t>
      </w:r>
    </w:p>
    <w:p w14:paraId="3F4193E4"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t>6.</w:t>
      </w:r>
      <w:r w:rsidRPr="00CA676A">
        <w:rPr>
          <w:rFonts w:asciiTheme="majorBidi" w:hAnsiTheme="majorBidi" w:cstheme="majorBidi"/>
        </w:rPr>
        <w:tab/>
        <w:t xml:space="preserve">Revised or updated NBSAPs following the adoption of the </w:t>
      </w:r>
      <w:r w:rsidRPr="00CA676A">
        <w:rPr>
          <w:rFonts w:asciiTheme="majorBidi" w:hAnsiTheme="majorBidi" w:cstheme="majorBidi"/>
          <w:bCs/>
          <w:lang w:val="en-US"/>
        </w:rPr>
        <w:t>Kunming-Montreal</w:t>
      </w:r>
      <w:r w:rsidRPr="00E3500C">
        <w:rPr>
          <w:rFonts w:asciiTheme="majorBidi" w:hAnsiTheme="majorBidi" w:cstheme="majorBidi"/>
          <w:bCs/>
          <w:lang w:val="en-US"/>
        </w:rPr>
        <w:t xml:space="preserve"> </w:t>
      </w:r>
      <w:r w:rsidRPr="00CA676A">
        <w:rPr>
          <w:rFonts w:asciiTheme="majorBidi" w:hAnsiTheme="majorBidi" w:cstheme="majorBidi"/>
        </w:rPr>
        <w:t>Global Biodiversity Framework should contain the following common elements in order to ensure the utility of NBSAPs in the enhanced implementation, monitoring, reporting and review mechanism, while retaining their flexibility and their principal role as national implementation vehicles:</w:t>
      </w:r>
    </w:p>
    <w:p w14:paraId="51D36081" w14:textId="77777777" w:rsidR="00005A3C" w:rsidRPr="00CA676A" w:rsidRDefault="00005A3C" w:rsidP="009D6BD6">
      <w:pPr>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 xml:space="preserve">(a) </w:t>
      </w:r>
      <w:r w:rsidRPr="00CA676A">
        <w:rPr>
          <w:rFonts w:asciiTheme="majorBidi" w:hAnsiTheme="majorBidi" w:cstheme="majorBidi"/>
          <w:szCs w:val="22"/>
        </w:rPr>
        <w:tab/>
        <w:t xml:space="preserve">National targets addressing or contributing towards each of the goals and targets of the </w:t>
      </w:r>
      <w:r w:rsidRPr="00CA676A">
        <w:rPr>
          <w:rFonts w:asciiTheme="majorBidi" w:hAnsiTheme="majorBidi" w:cstheme="majorBidi"/>
          <w:bCs/>
          <w:snapToGrid w:val="0"/>
          <w:kern w:val="22"/>
          <w:szCs w:val="22"/>
          <w:lang w:val="en-US"/>
        </w:rPr>
        <w:t xml:space="preserve">Kunming-Montreal </w:t>
      </w:r>
      <w:r w:rsidRPr="00CA676A">
        <w:rPr>
          <w:rFonts w:asciiTheme="majorBidi" w:hAnsiTheme="majorBidi" w:cstheme="majorBidi"/>
          <w:szCs w:val="22"/>
        </w:rPr>
        <w:t>Global Biodiversity Framework and ensuring close alignment where possible, taking into account</w:t>
      </w:r>
      <w:r w:rsidRPr="00CA676A" w:rsidDel="00962A5D">
        <w:rPr>
          <w:rFonts w:asciiTheme="majorBidi" w:hAnsiTheme="majorBidi" w:cstheme="majorBidi"/>
          <w:szCs w:val="22"/>
        </w:rPr>
        <w:t xml:space="preserve"> </w:t>
      </w:r>
      <w:r w:rsidRPr="00CA676A">
        <w:rPr>
          <w:rFonts w:asciiTheme="majorBidi" w:hAnsiTheme="majorBidi" w:cstheme="majorBidi"/>
          <w:szCs w:val="22"/>
        </w:rPr>
        <w:t>the availability of resources and means of implementation. Some Parties may wish to distinguish those targets and actions that will be implemented with already identified resources from those which they will only be able to achieve or implement if additional resources become available.</w:t>
      </w:r>
      <w:r w:rsidRPr="00CA676A" w:rsidDel="00422DDF">
        <w:rPr>
          <w:rFonts w:asciiTheme="majorBidi" w:hAnsiTheme="majorBidi" w:cstheme="majorBidi"/>
          <w:szCs w:val="22"/>
        </w:rPr>
        <w:t xml:space="preserve"> </w:t>
      </w:r>
      <w:r w:rsidRPr="00CA676A">
        <w:rPr>
          <w:rFonts w:asciiTheme="majorBidi" w:hAnsiTheme="majorBidi" w:cstheme="majorBidi"/>
          <w:szCs w:val="22"/>
        </w:rPr>
        <w:t>National targets may leverage commitments made under other intergovernmental processes</w:t>
      </w:r>
      <w:r>
        <w:rPr>
          <w:rFonts w:asciiTheme="majorBidi" w:hAnsiTheme="majorBidi" w:cstheme="majorBidi"/>
          <w:szCs w:val="22"/>
        </w:rPr>
        <w:t xml:space="preserve"> and</w:t>
      </w:r>
      <w:r w:rsidRPr="00CA676A">
        <w:rPr>
          <w:rFonts w:asciiTheme="majorBidi" w:hAnsiTheme="majorBidi" w:cstheme="majorBidi"/>
          <w:szCs w:val="22"/>
        </w:rPr>
        <w:t xml:space="preserve"> relevant multilateral environmental agreements, including the Rio conventions</w:t>
      </w:r>
      <w:r>
        <w:rPr>
          <w:rFonts w:asciiTheme="majorBidi" w:hAnsiTheme="majorBidi" w:cstheme="majorBidi"/>
          <w:szCs w:val="22"/>
        </w:rPr>
        <w:t>;</w:t>
      </w:r>
      <w:r w:rsidRPr="00CA676A">
        <w:rPr>
          <w:rFonts w:asciiTheme="majorBidi" w:hAnsiTheme="majorBidi" w:cstheme="majorBidi"/>
          <w:szCs w:val="22"/>
        </w:rPr>
        <w:t xml:space="preserve"> </w:t>
      </w:r>
    </w:p>
    <w:p w14:paraId="352A0410" w14:textId="77777777" w:rsidR="00005A3C" w:rsidRPr="00CA676A" w:rsidRDefault="00005A3C" w:rsidP="00CA676A">
      <w:pPr>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(b)</w:t>
      </w:r>
      <w:r w:rsidRPr="00CA676A">
        <w:rPr>
          <w:rFonts w:asciiTheme="majorBidi" w:hAnsiTheme="majorBidi" w:cstheme="majorBidi"/>
          <w:szCs w:val="22"/>
        </w:rPr>
        <w:tab/>
        <w:t>Concrete actions, policies and programmes</w:t>
      </w:r>
      <w:r w:rsidRPr="00CA676A">
        <w:rPr>
          <w:rFonts w:asciiTheme="majorBidi" w:hAnsiTheme="majorBidi" w:cstheme="majorBidi"/>
          <w:i/>
          <w:iCs/>
          <w:szCs w:val="22"/>
        </w:rPr>
        <w:t xml:space="preserve"> </w:t>
      </w:r>
      <w:r w:rsidRPr="00CA676A">
        <w:rPr>
          <w:rFonts w:asciiTheme="majorBidi" w:hAnsiTheme="majorBidi" w:cstheme="majorBidi"/>
          <w:szCs w:val="22"/>
        </w:rPr>
        <w:t xml:space="preserve">designed to meet the national targets and contribute to the global goals and targets, including spatial, temporal and financial aspects, as appropriate. The development of these actions should go hand in hand with the identification of financing and capacity gaps and the development of national finance plans, or similar instruments, </w:t>
      </w:r>
      <w:r w:rsidRPr="00CA676A">
        <w:rPr>
          <w:rFonts w:asciiTheme="majorBidi" w:hAnsiTheme="majorBidi" w:cstheme="majorBidi"/>
          <w:iCs/>
          <w:szCs w:val="22"/>
        </w:rPr>
        <w:t>as well as capacity-building and development plans</w:t>
      </w:r>
      <w:r w:rsidRPr="00CA676A">
        <w:rPr>
          <w:rFonts w:asciiTheme="majorBidi" w:hAnsiTheme="majorBidi" w:cstheme="majorBidi"/>
          <w:szCs w:val="22"/>
        </w:rPr>
        <w:t>. This should also include the provision of finance and other means of implementation;</w:t>
      </w:r>
    </w:p>
    <w:p w14:paraId="27EAB36E" w14:textId="77777777" w:rsidR="00005A3C" w:rsidRPr="00CA676A" w:rsidRDefault="00005A3C" w:rsidP="009D6BD6">
      <w:pPr>
        <w:keepNext/>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 xml:space="preserve">(c) </w:t>
      </w:r>
      <w:r w:rsidRPr="00CA676A">
        <w:rPr>
          <w:rFonts w:asciiTheme="majorBidi" w:hAnsiTheme="majorBidi" w:cstheme="majorBidi"/>
          <w:szCs w:val="22"/>
        </w:rPr>
        <w:tab/>
        <w:t xml:space="preserve">National monitoring, reviewing and assessment. </w:t>
      </w:r>
      <w:r w:rsidRPr="00CA676A">
        <w:rPr>
          <w:rStyle w:val="normaltextrun"/>
          <w:rFonts w:asciiTheme="majorBidi" w:eastAsiaTheme="majorEastAsia" w:hAnsiTheme="majorBidi" w:cstheme="majorBidi"/>
          <w:color w:val="000000" w:themeColor="text1"/>
          <w:szCs w:val="22"/>
        </w:rPr>
        <w:t xml:space="preserve">While revising or updating NBSAPs, headline indicators as well as </w:t>
      </w:r>
      <w:r w:rsidRPr="00CA676A">
        <w:rPr>
          <w:rFonts w:asciiTheme="majorBidi" w:hAnsiTheme="majorBidi" w:cstheme="majorBidi"/>
          <w:color w:val="000000" w:themeColor="text1"/>
          <w:szCs w:val="22"/>
        </w:rPr>
        <w:t>component, complementary and other national indicators</w:t>
      </w:r>
      <w:r>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where relevant</w:t>
      </w:r>
      <w:r>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w:t>
      </w:r>
      <w:r w:rsidRPr="00CA676A">
        <w:rPr>
          <w:rStyle w:val="normaltextrun"/>
          <w:rFonts w:asciiTheme="majorBidi" w:eastAsiaTheme="majorEastAsia" w:hAnsiTheme="majorBidi" w:cstheme="majorBidi"/>
          <w:color w:val="000000" w:themeColor="text1"/>
          <w:szCs w:val="22"/>
        </w:rPr>
        <w:t xml:space="preserve">should be used, including to track contributions towards the goals and targets of the </w:t>
      </w:r>
      <w:r w:rsidRPr="00CA676A">
        <w:rPr>
          <w:rFonts w:asciiTheme="majorBidi" w:hAnsiTheme="majorBidi" w:cstheme="majorBidi"/>
          <w:bCs/>
          <w:snapToGrid w:val="0"/>
          <w:kern w:val="22"/>
          <w:szCs w:val="22"/>
          <w:lang w:val="en-US"/>
        </w:rPr>
        <w:t xml:space="preserve">Kunming-Montreal </w:t>
      </w:r>
      <w:r w:rsidRPr="00CA676A">
        <w:rPr>
          <w:rStyle w:val="normaltextrun"/>
          <w:rFonts w:asciiTheme="majorBidi" w:eastAsiaTheme="majorEastAsia" w:hAnsiTheme="majorBidi" w:cstheme="majorBidi"/>
          <w:color w:val="000000" w:themeColor="text1"/>
          <w:szCs w:val="22"/>
        </w:rPr>
        <w:t xml:space="preserve">Global Biodiversity Framework, taking into account national circumstances. </w:t>
      </w:r>
      <w:r w:rsidRPr="00CA676A">
        <w:rPr>
          <w:rFonts w:asciiTheme="majorBidi" w:hAnsiTheme="majorBidi" w:cstheme="majorBidi"/>
          <w:szCs w:val="22"/>
        </w:rPr>
        <w:t>NBSAPs may identify the relevant agencies responsible for collecting the data and compiling these indicators, any need for further development of such indicators, and any capacity</w:t>
      </w:r>
      <w:r>
        <w:rPr>
          <w:rFonts w:asciiTheme="majorBidi" w:hAnsiTheme="majorBidi" w:cstheme="majorBidi"/>
          <w:szCs w:val="22"/>
        </w:rPr>
        <w:t xml:space="preserve"> </w:t>
      </w:r>
      <w:r w:rsidRPr="00CA676A">
        <w:rPr>
          <w:rFonts w:asciiTheme="majorBidi" w:hAnsiTheme="majorBidi" w:cstheme="majorBidi"/>
          <w:szCs w:val="22"/>
        </w:rPr>
        <w:t xml:space="preserve">development needs. </w:t>
      </w:r>
    </w:p>
    <w:p w14:paraId="71F23FBA" w14:textId="77777777" w:rsidR="00005A3C" w:rsidRPr="00CA676A" w:rsidRDefault="00005A3C" w:rsidP="009D6BD6">
      <w:pPr>
        <w:pStyle w:val="Para1"/>
        <w:numPr>
          <w:ilvl w:val="0"/>
          <w:numId w:val="0"/>
        </w:numPr>
        <w:shd w:val="clear" w:color="auto" w:fill="FFFFFF" w:themeFill="background1"/>
        <w:tabs>
          <w:tab w:val="left" w:pos="720"/>
        </w:tabs>
        <w:rPr>
          <w:rFonts w:asciiTheme="majorBidi" w:eastAsia="Calibri" w:hAnsiTheme="majorBidi" w:cstheme="majorBidi"/>
        </w:rPr>
      </w:pPr>
      <w:r w:rsidRPr="00CA676A">
        <w:rPr>
          <w:rFonts w:asciiTheme="majorBidi" w:eastAsia="Calibri" w:hAnsiTheme="majorBidi" w:cstheme="majorBidi"/>
        </w:rPr>
        <w:t>7.</w:t>
      </w:r>
      <w:r w:rsidRPr="00CA676A">
        <w:rPr>
          <w:rFonts w:asciiTheme="majorBidi" w:eastAsia="Calibri" w:hAnsiTheme="majorBidi" w:cstheme="majorBidi"/>
        </w:rPr>
        <w:tab/>
      </w:r>
      <w:r w:rsidRPr="00CA676A">
        <w:rPr>
          <w:rFonts w:asciiTheme="majorBidi" w:hAnsiTheme="majorBidi" w:cstheme="majorBidi"/>
          <w:color w:val="000000" w:themeColor="text1"/>
        </w:rPr>
        <w:t xml:space="preserve">In order to minimize the time and resources required to revise or update NBSAPs, the alignment of existing NBSAPs and their targets with the new framework could be assessed. This assessment should consider, according to national circumstances, elements such as implementation gaps, existing goals, targets and indicators, the effectiveness of past actions, monitoring systems (including any data and/or knowledge systems and gaps), sectoral and cross-sectoral policies, finance and other means of implementation, and an assessment of how stakeholders, indigenous peoples and local communities, women and youth were involved in </w:t>
      </w:r>
      <w:r>
        <w:rPr>
          <w:rFonts w:asciiTheme="majorBidi" w:hAnsiTheme="majorBidi" w:cstheme="majorBidi"/>
          <w:color w:val="000000" w:themeColor="text1"/>
        </w:rPr>
        <w:t xml:space="preserve">the </w:t>
      </w:r>
      <w:r w:rsidRPr="00CA676A">
        <w:rPr>
          <w:rFonts w:asciiTheme="majorBidi" w:hAnsiTheme="majorBidi" w:cstheme="majorBidi"/>
          <w:color w:val="000000" w:themeColor="text1"/>
        </w:rPr>
        <w:t>revision and implementation. This exercise will allow</w:t>
      </w:r>
      <w:r>
        <w:rPr>
          <w:rFonts w:asciiTheme="majorBidi" w:hAnsiTheme="majorBidi" w:cstheme="majorBidi"/>
          <w:color w:val="000000" w:themeColor="text1"/>
        </w:rPr>
        <w:t xml:space="preserve"> the</w:t>
      </w:r>
      <w:r w:rsidRPr="00CA676A">
        <w:rPr>
          <w:rFonts w:asciiTheme="majorBidi" w:hAnsiTheme="majorBidi" w:cstheme="majorBidi"/>
          <w:color w:val="000000" w:themeColor="text1"/>
        </w:rPr>
        <w:t xml:space="preserve"> identification of those aspects or components of their NBSAPs that need to be revised or updated in the light of the new framework.</w:t>
      </w:r>
    </w:p>
    <w:p w14:paraId="7583A852"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lastRenderedPageBreak/>
        <w:t>8.</w:t>
      </w:r>
      <w:r w:rsidRPr="00CA676A">
        <w:rPr>
          <w:rFonts w:asciiTheme="majorBidi" w:hAnsiTheme="majorBidi" w:cstheme="majorBidi"/>
        </w:rPr>
        <w:tab/>
        <w:t xml:space="preserve">Parties may take into account different value systems, to revise or update, implement and review their NBSAPs. This may involve a national coordination mechanism, including representatives of key government ministries and other authorities at all levels, national gender and biodiversity focal points, traditional knowledge focal points, national focal points for the Cartagena and Nagoya Protocols, national focal points of the biodiversity-related conventions and </w:t>
      </w:r>
      <w:r>
        <w:rPr>
          <w:rFonts w:asciiTheme="majorBidi" w:hAnsiTheme="majorBidi" w:cstheme="majorBidi"/>
        </w:rPr>
        <w:t xml:space="preserve">the </w:t>
      </w:r>
      <w:r w:rsidRPr="00CA676A">
        <w:rPr>
          <w:rFonts w:asciiTheme="majorBidi" w:hAnsiTheme="majorBidi" w:cstheme="majorBidi"/>
        </w:rPr>
        <w:t>Rio conventions and for the Sustainable Development Goals, representatives of national statistical institutes and other data holders, indigenous peoples and local communities, non-governmental organizations, women’s groups, youth groups, the business and finance community, the scientific community, academia, faith-based organizations, representatives of sectors related to or dependent on biodiversity, citizens at large, and stakeholders.</w:t>
      </w:r>
    </w:p>
    <w:p w14:paraId="56DD4567"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t>9.</w:t>
      </w:r>
      <w:r w:rsidRPr="00CA676A">
        <w:rPr>
          <w:rFonts w:asciiTheme="majorBidi" w:hAnsiTheme="majorBidi" w:cstheme="majorBidi"/>
        </w:rPr>
        <w:tab/>
        <w:t>Synergies among NBSAPs and the planning and implementation mechanisms of the other biodiversity-related conventions, Rio conventions and other relevant multilateral environmental agreements, and the Sustainable Development Goals should be identified and utilized to maximize efficiency and coherence.</w:t>
      </w:r>
    </w:p>
    <w:p w14:paraId="01BC64C0" w14:textId="77777777" w:rsidR="00005A3C" w:rsidRPr="00CA676A" w:rsidRDefault="00005A3C" w:rsidP="009D6BD6">
      <w:pPr>
        <w:pStyle w:val="Para1"/>
        <w:numPr>
          <w:ilvl w:val="0"/>
          <w:numId w:val="0"/>
        </w:numPr>
        <w:shd w:val="clear" w:color="auto" w:fill="FFFFFF" w:themeFill="background1"/>
        <w:tabs>
          <w:tab w:val="left" w:pos="720"/>
        </w:tabs>
        <w:rPr>
          <w:rFonts w:asciiTheme="majorBidi" w:hAnsiTheme="majorBidi" w:cstheme="majorBidi"/>
        </w:rPr>
      </w:pPr>
      <w:r w:rsidRPr="00CA676A">
        <w:rPr>
          <w:rFonts w:asciiTheme="majorBidi" w:hAnsiTheme="majorBidi" w:cstheme="majorBidi"/>
        </w:rPr>
        <w:t>10.</w:t>
      </w:r>
      <w:r w:rsidRPr="00CA676A">
        <w:rPr>
          <w:rFonts w:asciiTheme="majorBidi" w:hAnsiTheme="majorBidi" w:cstheme="majorBidi"/>
        </w:rPr>
        <w:tab/>
        <w:t>Information on commitments from non-</w:t>
      </w:r>
      <w:r>
        <w:rPr>
          <w:rFonts w:asciiTheme="majorBidi" w:hAnsiTheme="majorBidi" w:cstheme="majorBidi"/>
        </w:rPr>
        <w:t>S</w:t>
      </w:r>
      <w:r w:rsidRPr="00CA676A">
        <w:rPr>
          <w:rFonts w:asciiTheme="majorBidi" w:hAnsiTheme="majorBidi" w:cstheme="majorBidi"/>
        </w:rPr>
        <w:t>tate actors may be a useful source of information for revising or updating NBSAPs. Additionally, Parties may include these commitments in their national targets, or they could be maintained as separate commitments from actors beyond the national Government, as appropriate to national circumstances. Double counting of commitments from non-</w:t>
      </w:r>
      <w:r>
        <w:rPr>
          <w:rFonts w:asciiTheme="majorBidi" w:hAnsiTheme="majorBidi" w:cstheme="majorBidi"/>
        </w:rPr>
        <w:t>S</w:t>
      </w:r>
      <w:r w:rsidRPr="00CA676A">
        <w:rPr>
          <w:rFonts w:asciiTheme="majorBidi" w:hAnsiTheme="majorBidi" w:cstheme="majorBidi"/>
        </w:rPr>
        <w:t>tate actors should be avoided.</w:t>
      </w:r>
    </w:p>
    <w:p w14:paraId="4F808247" w14:textId="77777777" w:rsidR="00005A3C" w:rsidRPr="00CA676A" w:rsidRDefault="00005A3C" w:rsidP="009D6BD6">
      <w:pPr>
        <w:keepNext/>
        <w:shd w:val="clear" w:color="auto" w:fill="FFFFFF" w:themeFill="background1"/>
        <w:spacing w:before="240" w:after="120"/>
        <w:jc w:val="center"/>
        <w:rPr>
          <w:rFonts w:ascii="Calibri" w:eastAsia="DengXian" w:hAnsi="Calibri"/>
          <w:b/>
          <w:kern w:val="22"/>
          <w:szCs w:val="22"/>
          <w:lang w:val="en-US"/>
        </w:rPr>
      </w:pPr>
      <w:r w:rsidRPr="00CA676A">
        <w:rPr>
          <w:rFonts w:ascii="Times New Roman Bold" w:hAnsi="Times New Roman Bold"/>
          <w:b/>
          <w:bCs/>
          <w:caps/>
          <w:szCs w:val="22"/>
        </w:rPr>
        <w:t xml:space="preserve">template for submission of national targets as part of </w:t>
      </w:r>
      <w:r w:rsidRPr="00F44A8E">
        <w:rPr>
          <w:rFonts w:ascii="Times New Roman Bold" w:hAnsi="Times New Roman Bold"/>
          <w:b/>
          <w:bCs/>
          <w:caps/>
          <w:szCs w:val="22"/>
        </w:rPr>
        <w:t>National biodiversity strategies and action plans</w:t>
      </w:r>
      <w:r w:rsidRPr="00610646">
        <w:rPr>
          <w:rStyle w:val="FootnoteReference"/>
        </w:rPr>
        <w:footnoteReference w:id="45"/>
      </w:r>
      <w:r w:rsidRPr="00CA676A">
        <w:rPr>
          <w:rFonts w:ascii="Times New Roman Bold" w:hAnsi="Times New Roman Bold"/>
          <w:b/>
          <w:bCs/>
          <w:caps/>
          <w:szCs w:val="22"/>
        </w:rPr>
        <w:t xml:space="preserve"> toward</w:t>
      </w:r>
      <w:r>
        <w:rPr>
          <w:rFonts w:ascii="Times New Roman Bold" w:hAnsi="Times New Roman Bold"/>
          <w:b/>
          <w:bCs/>
          <w:caps/>
          <w:szCs w:val="22"/>
        </w:rPr>
        <w:t>S</w:t>
      </w:r>
      <w:r w:rsidRPr="00CA676A">
        <w:rPr>
          <w:rFonts w:ascii="Times New Roman Bold" w:hAnsi="Times New Roman Bold"/>
          <w:b/>
          <w:bCs/>
          <w:caps/>
          <w:szCs w:val="22"/>
        </w:rPr>
        <w:t xml:space="preserve"> the implementation of the </w:t>
      </w:r>
      <w:r w:rsidRPr="00E3500C">
        <w:rPr>
          <w:rFonts w:asciiTheme="majorBidi" w:hAnsiTheme="majorBidi" w:cstheme="majorBidi"/>
          <w:b/>
          <w:snapToGrid w:val="0"/>
          <w:kern w:val="22"/>
          <w:szCs w:val="22"/>
          <w:lang w:val="en-US"/>
        </w:rPr>
        <w:t>KUNMING-MONTREAL</w:t>
      </w:r>
      <w:r w:rsidRPr="00E3500C">
        <w:rPr>
          <w:rFonts w:asciiTheme="majorBidi" w:hAnsiTheme="majorBidi" w:cstheme="majorBidi"/>
          <w:bCs/>
          <w:snapToGrid w:val="0"/>
          <w:kern w:val="22"/>
          <w:szCs w:val="22"/>
          <w:lang w:val="en-US"/>
        </w:rPr>
        <w:t xml:space="preserve"> </w:t>
      </w:r>
      <w:r w:rsidRPr="00CA676A">
        <w:rPr>
          <w:rFonts w:ascii="Times New Roman Bold" w:hAnsi="Times New Roman Bold"/>
          <w:b/>
          <w:bCs/>
          <w:caps/>
          <w:szCs w:val="22"/>
        </w:rPr>
        <w:t>global biodiversity framework</w:t>
      </w:r>
    </w:p>
    <w:tbl>
      <w:tblPr>
        <w:tblStyle w:val="TableGrid1"/>
        <w:tblW w:w="9445" w:type="dxa"/>
        <w:shd w:val="clear" w:color="auto" w:fill="FFFFFF" w:themeFill="background1"/>
        <w:tblLayout w:type="fixed"/>
        <w:tblLook w:val="04A0" w:firstRow="1" w:lastRow="0" w:firstColumn="1" w:lastColumn="0" w:noHBand="0" w:noVBand="1"/>
      </w:tblPr>
      <w:tblGrid>
        <w:gridCol w:w="4957"/>
        <w:gridCol w:w="1701"/>
        <w:gridCol w:w="1559"/>
        <w:gridCol w:w="1228"/>
      </w:tblGrid>
      <w:tr w:rsidR="00005A3C" w:rsidRPr="004F65AE" w14:paraId="3C3D8F71" w14:textId="77777777" w:rsidTr="00F36208">
        <w:trPr>
          <w:trHeight w:val="526"/>
        </w:trPr>
        <w:tc>
          <w:tcPr>
            <w:tcW w:w="9445" w:type="dxa"/>
            <w:gridSpan w:val="4"/>
            <w:shd w:val="clear" w:color="auto" w:fill="FFFFFF" w:themeFill="background1"/>
            <w:vAlign w:val="center"/>
          </w:tcPr>
          <w:p w14:paraId="1012CC8A"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center"/>
              <w:rPr>
                <w:rFonts w:asciiTheme="majorBidi" w:eastAsia="DengXian" w:hAnsiTheme="majorBidi" w:cstheme="majorBidi"/>
                <w:b/>
                <w:caps/>
                <w:kern w:val="22"/>
                <w:sz w:val="20"/>
                <w:szCs w:val="20"/>
                <w:lang w:val="fr-CA"/>
              </w:rPr>
            </w:pPr>
            <w:r w:rsidRPr="004F65AE">
              <w:rPr>
                <w:rFonts w:asciiTheme="majorBidi" w:hAnsiTheme="majorBidi" w:cstheme="majorBidi"/>
                <w:b/>
                <w:bCs/>
                <w:caps/>
                <w:color w:val="000000"/>
                <w:kern w:val="22"/>
                <w:sz w:val="20"/>
                <w:szCs w:val="20"/>
              </w:rPr>
              <w:t>National targets</w:t>
            </w:r>
          </w:p>
        </w:tc>
      </w:tr>
      <w:tr w:rsidR="00005A3C" w:rsidRPr="004F65AE" w14:paraId="700CBB8C" w14:textId="77777777" w:rsidTr="00CA676A">
        <w:tc>
          <w:tcPr>
            <w:tcW w:w="4957" w:type="dxa"/>
            <w:shd w:val="clear" w:color="auto" w:fill="FFFFFF" w:themeFill="background1"/>
          </w:tcPr>
          <w:p w14:paraId="20B4BC91" w14:textId="77777777" w:rsidR="00005A3C" w:rsidRPr="008874D9" w:rsidRDefault="00005A3C"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sidRPr="008874D9">
              <w:rPr>
                <w:rFonts w:asciiTheme="majorBidi" w:hAnsiTheme="majorBidi" w:cstheme="majorBidi"/>
                <w:b/>
                <w:bCs/>
                <w:color w:val="000000"/>
                <w:kern w:val="22"/>
                <w:sz w:val="20"/>
                <w:szCs w:val="20"/>
              </w:rPr>
              <w:t>National target 1</w:t>
            </w:r>
          </w:p>
          <w:p w14:paraId="50B2CA56" w14:textId="77777777" w:rsidR="00005A3C" w:rsidRPr="008874D9" w:rsidRDefault="00005A3C"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sidRPr="008874D9">
              <w:rPr>
                <w:rFonts w:asciiTheme="majorBidi" w:hAnsiTheme="majorBidi" w:cstheme="majorBidi"/>
                <w:b/>
                <w:bCs/>
                <w:color w:val="000000"/>
                <w:kern w:val="22"/>
                <w:sz w:val="20"/>
                <w:szCs w:val="20"/>
              </w:rPr>
              <w:t>Full name/title of national target</w:t>
            </w:r>
          </w:p>
          <w:p w14:paraId="76091FE7" w14:textId="77777777" w:rsidR="00005A3C" w:rsidRPr="008874D9" w:rsidRDefault="00005A3C" w:rsidP="00F36208">
            <w:pPr>
              <w:suppressLineNumbers/>
              <w:pBdr>
                <w:top w:val="single" w:sz="6" w:space="1" w:color="auto"/>
                <w:bottom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5719D8E1" w14:textId="77777777" w:rsidR="00005A3C" w:rsidRPr="008874D9" w:rsidRDefault="00005A3C" w:rsidP="00F3620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15A2023D" w14:textId="77777777" w:rsidR="00005A3C" w:rsidRPr="008874D9" w:rsidRDefault="00005A3C" w:rsidP="00A259B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033C911E" w14:textId="77777777" w:rsidR="00005A3C" w:rsidRPr="008874D9" w:rsidRDefault="00005A3C" w:rsidP="00F36208">
            <w:pPr>
              <w:shd w:val="clear" w:color="auto" w:fill="FFFFFF" w:themeFill="background1"/>
              <w:jc w:val="left"/>
              <w:rPr>
                <w:rFonts w:asciiTheme="majorBidi" w:eastAsia="DengXian" w:hAnsiTheme="majorBidi" w:cstheme="majorBidi"/>
                <w:b/>
                <w:kern w:val="22"/>
                <w:sz w:val="20"/>
                <w:szCs w:val="20"/>
              </w:rPr>
            </w:pPr>
          </w:p>
        </w:tc>
        <w:tc>
          <w:tcPr>
            <w:tcW w:w="1701" w:type="dxa"/>
            <w:shd w:val="clear" w:color="auto" w:fill="FFFFFF" w:themeFill="background1"/>
          </w:tcPr>
          <w:p w14:paraId="4597CCCB" w14:textId="77777777" w:rsidR="00005A3C" w:rsidRPr="008874D9"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sidRPr="008874D9">
              <w:rPr>
                <w:rFonts w:asciiTheme="majorBidi" w:eastAsia="MS Gothic" w:hAnsiTheme="majorBidi" w:cstheme="majorBidi"/>
                <w:b/>
                <w:bCs/>
                <w:color w:val="000000"/>
                <w:kern w:val="22"/>
                <w:sz w:val="20"/>
                <w:szCs w:val="20"/>
              </w:rPr>
              <w:t>Alignment with global goals and targets</w:t>
            </w:r>
          </w:p>
          <w:p w14:paraId="6B98579F"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848843236"/>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Goal A</w:t>
            </w:r>
          </w:p>
          <w:p w14:paraId="4E66515E"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35404146"/>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Goal B</w:t>
            </w:r>
          </w:p>
          <w:p w14:paraId="464C5E7C"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0395694"/>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Goal C</w:t>
            </w:r>
          </w:p>
          <w:p w14:paraId="7AD1A4FE"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12127054"/>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Goal D </w:t>
            </w:r>
          </w:p>
          <w:p w14:paraId="57B39E55" w14:textId="77777777" w:rsidR="00005A3C" w:rsidRPr="008874D9" w:rsidRDefault="00005A3C"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20CDF8AD"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333957790"/>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Global target 1</w:t>
            </w:r>
          </w:p>
          <w:p w14:paraId="18C9B780"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1304957"/>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Global target 2</w:t>
            </w:r>
          </w:p>
          <w:p w14:paraId="0D917B40" w14:textId="77777777" w:rsidR="00005A3C" w:rsidRPr="008874D9" w:rsidRDefault="00005A3C"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sidRPr="008874D9">
              <w:rPr>
                <w:rFonts w:asciiTheme="majorBidi" w:eastAsia="MS Gothic" w:hAnsiTheme="majorBidi" w:cstheme="majorBidi"/>
                <w:color w:val="000000"/>
                <w:kern w:val="22"/>
                <w:sz w:val="20"/>
                <w:szCs w:val="20"/>
              </w:rPr>
              <w:t xml:space="preserve"> …</w:t>
            </w:r>
          </w:p>
          <w:p w14:paraId="2132003F" w14:textId="77777777" w:rsidR="00005A3C" w:rsidRPr="008874D9" w:rsidRDefault="00C10F84" w:rsidP="00F36208">
            <w:pPr>
              <w:suppressLineNumbers/>
              <w:shd w:val="clear" w:color="auto" w:fill="FFFFFF" w:themeFill="background1"/>
              <w:tabs>
                <w:tab w:val="left" w:pos="1710"/>
              </w:tab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105528607"/>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w:t>
            </w:r>
          </w:p>
          <w:p w14:paraId="16403AFE" w14:textId="77777777" w:rsidR="00005A3C" w:rsidRPr="008874D9" w:rsidRDefault="00C10F84" w:rsidP="00F36208">
            <w:pPr>
              <w:suppressLineNumbers/>
              <w:shd w:val="clear" w:color="auto" w:fill="FFFFFF" w:themeFill="background1"/>
              <w:suppressAutoHyphens/>
              <w:kinsoku w:val="0"/>
              <w:overflowPunct w:val="0"/>
              <w:autoSpaceDE w:val="0"/>
              <w:autoSpaceDN w:val="0"/>
              <w:adjustRightInd w:val="0"/>
              <w:snapToGrid w:val="0"/>
              <w:jc w:val="left"/>
              <w:rPr>
                <w:rFonts w:asciiTheme="majorBidi" w:hAnsiTheme="majorBidi" w:cstheme="majorBidi"/>
                <w:color w:val="000000"/>
                <w:kern w:val="22"/>
                <w:sz w:val="20"/>
                <w:szCs w:val="20"/>
              </w:rPr>
            </w:pPr>
            <w:sdt>
              <w:sdtPr>
                <w:rPr>
                  <w:rFonts w:asciiTheme="majorBidi" w:eastAsia="MS Gothic" w:hAnsiTheme="majorBidi" w:cstheme="majorBidi"/>
                  <w:color w:val="000000"/>
                  <w:kern w:val="22"/>
                  <w:sz w:val="20"/>
                  <w:szCs w:val="20"/>
                </w:rPr>
                <w:id w:val="878211699"/>
                <w14:checkbox>
                  <w14:checked w14:val="0"/>
                  <w14:checkedState w14:val="2612" w14:font="MS Gothic"/>
                  <w14:uncheckedState w14:val="2610" w14:font="MS Gothic"/>
                </w14:checkbox>
              </w:sdtPr>
              <w:sdtEndPr/>
              <w:sdtContent>
                <w:r w:rsidR="00005A3C" w:rsidRPr="008874D9">
                  <w:rPr>
                    <w:rFonts w:ascii="Segoe UI Symbol" w:eastAsia="MS Gothic" w:hAnsi="Segoe UI Symbol" w:cs="Segoe UI Symbol"/>
                    <w:color w:val="000000"/>
                    <w:kern w:val="22"/>
                    <w:sz w:val="20"/>
                    <w:szCs w:val="20"/>
                  </w:rPr>
                  <w:t>☐</w:t>
                </w:r>
              </w:sdtContent>
            </w:sdt>
            <w:r w:rsidR="00005A3C" w:rsidRPr="008874D9">
              <w:rPr>
                <w:rFonts w:asciiTheme="majorBidi" w:eastAsia="MS Gothic" w:hAnsiTheme="majorBidi" w:cstheme="majorBidi"/>
                <w:color w:val="000000"/>
                <w:kern w:val="22"/>
                <w:sz w:val="20"/>
                <w:szCs w:val="20"/>
              </w:rPr>
              <w:t xml:space="preserve"> </w:t>
            </w:r>
            <w:r w:rsidR="00005A3C" w:rsidRPr="008874D9">
              <w:rPr>
                <w:rFonts w:asciiTheme="majorBidi" w:hAnsiTheme="majorBidi" w:cstheme="majorBidi"/>
                <w:color w:val="000000"/>
                <w:kern w:val="22"/>
                <w:sz w:val="20"/>
                <w:szCs w:val="20"/>
              </w:rPr>
              <w:t xml:space="preserve">Enabling conditions and/or other non-target elements of the </w:t>
            </w:r>
            <w:r w:rsidR="00005A3C" w:rsidRPr="008874D9">
              <w:rPr>
                <w:rFonts w:asciiTheme="majorBidi" w:hAnsiTheme="majorBidi" w:cstheme="majorBidi"/>
                <w:bCs/>
                <w:snapToGrid w:val="0"/>
                <w:kern w:val="22"/>
                <w:sz w:val="20"/>
                <w:szCs w:val="20"/>
                <w:lang w:val="en-US"/>
              </w:rPr>
              <w:t xml:space="preserve">Kunming-Montreal </w:t>
            </w:r>
            <w:r w:rsidR="00005A3C" w:rsidRPr="008874D9">
              <w:rPr>
                <w:rFonts w:asciiTheme="majorBidi" w:hAnsiTheme="majorBidi" w:cstheme="majorBidi"/>
                <w:color w:val="000000"/>
                <w:kern w:val="22"/>
                <w:sz w:val="20"/>
                <w:szCs w:val="20"/>
              </w:rPr>
              <w:t xml:space="preserve">Global Biodiversity Framework </w:t>
            </w:r>
            <w:r w:rsidR="00005A3C" w:rsidRPr="008874D9">
              <w:rPr>
                <w:rFonts w:asciiTheme="majorBidi" w:hAnsiTheme="majorBidi" w:cstheme="majorBidi"/>
                <w:i/>
                <w:iCs/>
                <w:color w:val="000000"/>
                <w:kern w:val="22"/>
                <w:sz w:val="20"/>
                <w:szCs w:val="20"/>
              </w:rPr>
              <w:t xml:space="preserve">(Please specify) </w:t>
            </w:r>
          </w:p>
          <w:p w14:paraId="3923EE67" w14:textId="77777777" w:rsidR="00005A3C" w:rsidRPr="008874D9"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327DADE0" w14:textId="77777777" w:rsidR="00005A3C" w:rsidRPr="008874D9" w:rsidRDefault="00005A3C"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1A8436A8" w14:textId="77777777" w:rsidR="00005A3C" w:rsidRPr="008874D9" w:rsidRDefault="00005A3C"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5D317B0F" w14:textId="77777777" w:rsidR="00005A3C" w:rsidRPr="008874D9" w:rsidRDefault="00005A3C"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559" w:type="dxa"/>
            <w:shd w:val="clear" w:color="auto" w:fill="FFFFFF" w:themeFill="background1"/>
          </w:tcPr>
          <w:p w14:paraId="4E4AD8D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lastRenderedPageBreak/>
              <w:t>Degree of alignment</w:t>
            </w:r>
          </w:p>
          <w:p w14:paraId="286DD3FA" w14:textId="77777777" w:rsidR="00005A3C" w:rsidRPr="004F65AE" w:rsidRDefault="00C10F84"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64700946"/>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High  </w:t>
            </w:r>
            <w:sdt>
              <w:sdtPr>
                <w:rPr>
                  <w:rFonts w:asciiTheme="majorBidi" w:eastAsia="MS Gothic" w:hAnsiTheme="majorBidi" w:cstheme="majorBidi"/>
                  <w:color w:val="000000"/>
                  <w:kern w:val="22"/>
                  <w:sz w:val="20"/>
                  <w:szCs w:val="20"/>
                </w:rPr>
                <w:id w:val="-136513636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Medium  </w:t>
            </w:r>
            <w:sdt>
              <w:sdtPr>
                <w:rPr>
                  <w:rFonts w:asciiTheme="majorBidi" w:eastAsia="MS Gothic" w:hAnsiTheme="majorBidi" w:cstheme="majorBidi"/>
                  <w:color w:val="000000"/>
                  <w:kern w:val="22"/>
                  <w:sz w:val="20"/>
                  <w:szCs w:val="20"/>
                </w:rPr>
                <w:id w:val="98073241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Low</w:t>
            </w:r>
          </w:p>
          <w:p w14:paraId="1869DAD1" w14:textId="77777777" w:rsidR="00005A3C" w:rsidRPr="004F65AE" w:rsidRDefault="00C10F84"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6852803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High  </w:t>
            </w:r>
            <w:sdt>
              <w:sdtPr>
                <w:rPr>
                  <w:rFonts w:asciiTheme="majorBidi" w:eastAsia="MS Gothic" w:hAnsiTheme="majorBidi" w:cstheme="majorBidi"/>
                  <w:color w:val="000000"/>
                  <w:kern w:val="22"/>
                  <w:sz w:val="20"/>
                  <w:szCs w:val="20"/>
                </w:rPr>
                <w:id w:val="-1355256976"/>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Medium  </w:t>
            </w:r>
            <w:sdt>
              <w:sdtPr>
                <w:rPr>
                  <w:rFonts w:asciiTheme="majorBidi" w:eastAsia="MS Gothic" w:hAnsiTheme="majorBidi" w:cstheme="majorBidi"/>
                  <w:color w:val="000000"/>
                  <w:kern w:val="22"/>
                  <w:sz w:val="20"/>
                  <w:szCs w:val="20"/>
                </w:rPr>
                <w:id w:val="165599867"/>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Low</w:t>
            </w:r>
          </w:p>
          <w:p w14:paraId="2FFC31DC"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89287371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791185A8" w14:textId="77777777" w:rsidR="00005A3C" w:rsidRDefault="00005A3C"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30417BD6"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5B3899AE" w14:textId="77777777" w:rsidR="00005A3C" w:rsidRPr="004F65AE" w:rsidRDefault="00005A3C" w:rsidP="00F36208">
            <w:pPr>
              <w:shd w:val="clear" w:color="auto" w:fill="FFFFFF" w:themeFill="background1"/>
              <w:jc w:val="left"/>
              <w:rPr>
                <w:rFonts w:asciiTheme="majorBidi" w:eastAsia="DengXian" w:hAnsiTheme="majorBidi" w:cstheme="majorBidi"/>
                <w:b/>
                <w:snapToGrid w:val="0"/>
                <w:kern w:val="22"/>
                <w:sz w:val="20"/>
                <w:szCs w:val="20"/>
                <w:lang w:val="en-US"/>
              </w:rPr>
            </w:pPr>
            <w:r w:rsidRPr="004F65AE">
              <w:rPr>
                <w:rFonts w:asciiTheme="majorBidi" w:eastAsia="MS Gothic" w:hAnsiTheme="majorBidi" w:cstheme="majorBidi"/>
                <w:color w:val="000000"/>
                <w:kern w:val="22"/>
                <w:sz w:val="20"/>
                <w:szCs w:val="20"/>
              </w:rPr>
              <w:t xml:space="preserve">Explanation, including which aspects of the goal or target are covered </w:t>
            </w:r>
            <w:r w:rsidRPr="004F65AE">
              <w:rPr>
                <w:rFonts w:asciiTheme="majorBidi" w:eastAsia="MS Gothic" w:hAnsiTheme="majorBidi" w:cstheme="majorBidi"/>
                <w:i/>
                <w:iCs/>
                <w:color w:val="000000"/>
                <w:kern w:val="22"/>
                <w:sz w:val="20"/>
                <w:szCs w:val="20"/>
              </w:rPr>
              <w:t>(optional)</w:t>
            </w:r>
            <w:r w:rsidRPr="004F65AE">
              <w:rPr>
                <w:rFonts w:asciiTheme="majorBidi" w:eastAsia="MS Gothic" w:hAnsiTheme="majorBidi" w:cstheme="majorBidi"/>
                <w:color w:val="000000"/>
                <w:kern w:val="22"/>
                <w:sz w:val="20"/>
                <w:szCs w:val="20"/>
              </w:rPr>
              <w:t xml:space="preserve"> ________________________________________________</w:t>
            </w:r>
            <w:r>
              <w:rPr>
                <w:rFonts w:asciiTheme="majorBidi" w:eastAsia="MS Gothic" w:hAnsiTheme="majorBidi" w:cstheme="majorBidi"/>
                <w:color w:val="000000"/>
                <w:kern w:val="22"/>
                <w:sz w:val="20"/>
                <w:szCs w:val="20"/>
              </w:rPr>
              <w:t>____</w:t>
            </w:r>
          </w:p>
        </w:tc>
        <w:tc>
          <w:tcPr>
            <w:tcW w:w="1228" w:type="dxa"/>
            <w:shd w:val="clear" w:color="auto" w:fill="FFFFFF" w:themeFill="background1"/>
          </w:tcPr>
          <w:p w14:paraId="256C995B"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Notes</w:t>
            </w:r>
          </w:p>
          <w:p w14:paraId="5243F62C"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sidRPr="004F65AE">
              <w:rPr>
                <w:rFonts w:asciiTheme="majorBidi" w:hAnsiTheme="majorBidi" w:cstheme="majorBidi"/>
                <w:i/>
                <w:color w:val="000000"/>
                <w:kern w:val="22"/>
                <w:sz w:val="20"/>
                <w:szCs w:val="20"/>
              </w:rPr>
              <w:t xml:space="preserve">This table is to be repeated for each of the national targets. </w:t>
            </w:r>
          </w:p>
          <w:p w14:paraId="1447E61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sidRPr="004F65AE">
              <w:rPr>
                <w:rFonts w:asciiTheme="majorBidi" w:hAnsiTheme="majorBidi" w:cstheme="majorBidi"/>
                <w:i/>
                <w:color w:val="000000"/>
                <w:kern w:val="22"/>
                <w:sz w:val="20"/>
                <w:szCs w:val="20"/>
              </w:rPr>
              <w:t>Please check all relevant national targets and indicate their degree of alignment with the global targets.</w:t>
            </w:r>
          </w:p>
          <w:p w14:paraId="25525CEB"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n-US"/>
              </w:rPr>
            </w:pPr>
            <w:r w:rsidRPr="004F65AE">
              <w:rPr>
                <w:rFonts w:asciiTheme="majorBidi" w:hAnsiTheme="majorBidi" w:cstheme="majorBidi"/>
                <w:color w:val="000000"/>
                <w:sz w:val="20"/>
                <w:szCs w:val="20"/>
                <w:lang w:val="en-US"/>
              </w:rPr>
              <w:t xml:space="preserve">High = covers all elements of the global target; </w:t>
            </w:r>
          </w:p>
          <w:p w14:paraId="63C35A11"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n-US"/>
              </w:rPr>
            </w:pPr>
            <w:r w:rsidRPr="004F65AE">
              <w:rPr>
                <w:rFonts w:asciiTheme="majorBidi" w:hAnsiTheme="majorBidi" w:cstheme="majorBidi"/>
                <w:color w:val="000000"/>
                <w:sz w:val="20"/>
                <w:szCs w:val="20"/>
                <w:lang w:val="en-US"/>
              </w:rPr>
              <w:lastRenderedPageBreak/>
              <w:t xml:space="preserve">Medium = covers most elements of the global target; </w:t>
            </w:r>
          </w:p>
          <w:p w14:paraId="58632EF1"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eastAsia="DengXian" w:hAnsiTheme="majorBidi" w:cstheme="majorBidi"/>
                <w:b/>
                <w:kern w:val="22"/>
                <w:sz w:val="20"/>
                <w:szCs w:val="20"/>
              </w:rPr>
            </w:pPr>
            <w:r w:rsidRPr="004F65AE">
              <w:rPr>
                <w:rFonts w:asciiTheme="majorBidi" w:hAnsiTheme="majorBidi" w:cstheme="majorBidi"/>
                <w:color w:val="000000"/>
                <w:sz w:val="20"/>
                <w:szCs w:val="20"/>
                <w:lang w:val="en-US"/>
              </w:rPr>
              <w:t>Low = covers at least one element of the global target</w:t>
            </w:r>
          </w:p>
        </w:tc>
      </w:tr>
      <w:tr w:rsidR="00005A3C" w:rsidRPr="004F65AE" w14:paraId="4BBB99DF" w14:textId="77777777" w:rsidTr="00CA676A">
        <w:tc>
          <w:tcPr>
            <w:tcW w:w="4957" w:type="dxa"/>
            <w:shd w:val="clear" w:color="auto" w:fill="FFFFFF" w:themeFill="background1"/>
          </w:tcPr>
          <w:p w14:paraId="3383EE8F" w14:textId="77777777" w:rsidR="00005A3C" w:rsidRPr="004F65AE"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6763B1CC"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spacing w:line="259" w:lineRule="auto"/>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sz w:val="20"/>
                <w:szCs w:val="20"/>
              </w:rPr>
              <w:t xml:space="preserve">Please </w:t>
            </w:r>
            <w:r w:rsidRPr="004F65AE">
              <w:rPr>
                <w:rFonts w:asciiTheme="majorBidi" w:eastAsia="MS Gothic" w:hAnsiTheme="majorBidi" w:cstheme="majorBidi"/>
                <w:iCs/>
                <w:color w:val="000000"/>
                <w:sz w:val="20"/>
                <w:szCs w:val="20"/>
                <w:lang w:eastAsia="zh-CN"/>
              </w:rPr>
              <w:t>outline</w:t>
            </w:r>
            <w:r w:rsidRPr="004F65AE">
              <w:rPr>
                <w:rFonts w:asciiTheme="majorBidi" w:eastAsia="MS Gothic" w:hAnsiTheme="majorBidi" w:cstheme="majorBidi"/>
                <w:color w:val="000000"/>
                <w:sz w:val="20"/>
                <w:szCs w:val="20"/>
              </w:rPr>
              <w:t xml:space="preserve"> </w:t>
            </w:r>
            <w:r w:rsidRPr="004F65AE">
              <w:rPr>
                <w:rFonts w:asciiTheme="majorBidi" w:eastAsia="MS Gothic" w:hAnsiTheme="majorBidi" w:cstheme="majorBidi"/>
                <w:color w:val="000000"/>
                <w:sz w:val="20"/>
                <w:szCs w:val="20"/>
                <w:lang w:val="en-US"/>
              </w:rPr>
              <w:t>the main</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policy</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measures</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or</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actions</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that</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will</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be</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taken</w:t>
            </w:r>
            <w:r w:rsidRPr="004F65AE">
              <w:rPr>
                <w:rFonts w:asciiTheme="majorBidi" w:eastAsia="DengXian" w:hAnsiTheme="majorBidi" w:cstheme="majorBidi"/>
                <w:color w:val="000000"/>
                <w:spacing w:val="-4"/>
                <w:sz w:val="20"/>
                <w:szCs w:val="20"/>
                <w:lang w:val="en-US"/>
              </w:rPr>
              <w:t xml:space="preserve"> </w:t>
            </w:r>
            <w:r w:rsidRPr="004F65AE">
              <w:rPr>
                <w:rFonts w:asciiTheme="majorBidi" w:eastAsia="DengXian" w:hAnsiTheme="majorBidi" w:cstheme="majorBidi"/>
                <w:color w:val="000000"/>
                <w:sz w:val="20"/>
                <w:szCs w:val="20"/>
                <w:lang w:val="en-US"/>
              </w:rPr>
              <w:t>to</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achieve</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this</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iCs/>
                <w:color w:val="000000"/>
                <w:spacing w:val="-2"/>
                <w:sz w:val="20"/>
                <w:szCs w:val="20"/>
                <w:lang w:val="en-US" w:eastAsia="zh-CN"/>
              </w:rPr>
              <w:t xml:space="preserve">national target. </w:t>
            </w:r>
            <w:r w:rsidRPr="004F65AE">
              <w:rPr>
                <w:rFonts w:asciiTheme="majorBidi" w:hAnsiTheme="majorBidi" w:cstheme="majorBidi"/>
                <w:i/>
                <w:kern w:val="22"/>
                <w:sz w:val="20"/>
                <w:szCs w:val="20"/>
              </w:rPr>
              <w:t>(optional)</w:t>
            </w:r>
          </w:p>
          <w:p w14:paraId="76A8D4BE" w14:textId="77777777" w:rsidR="00005A3C" w:rsidRPr="004F65AE"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45F683F8" w14:textId="77777777" w:rsidR="00005A3C" w:rsidRPr="004F65AE" w:rsidRDefault="00005A3C"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1D31A02E" w14:textId="77777777" w:rsidR="00005A3C" w:rsidRPr="004F65AE" w:rsidRDefault="00005A3C" w:rsidP="00F36208">
            <w:pPr>
              <w:suppressLineNumbers/>
              <w:shd w:val="clear" w:color="auto" w:fill="FFFFFF" w:themeFill="background1"/>
              <w:suppressAutoHyphens/>
              <w:adjustRightInd w:val="0"/>
              <w:snapToGrid w:val="0"/>
              <w:spacing w:after="120"/>
              <w:rPr>
                <w:rFonts w:asciiTheme="majorBidi" w:hAnsiTheme="majorBidi" w:cstheme="majorBidi"/>
                <w:color w:val="000000"/>
                <w:kern w:val="22"/>
                <w:sz w:val="20"/>
                <w:szCs w:val="20"/>
              </w:rPr>
            </w:pPr>
          </w:p>
        </w:tc>
        <w:tc>
          <w:tcPr>
            <w:tcW w:w="1228" w:type="dxa"/>
            <w:shd w:val="clear" w:color="auto" w:fill="FFFFFF" w:themeFill="background1"/>
          </w:tcPr>
          <w:p w14:paraId="13DACB72" w14:textId="77777777" w:rsidR="00005A3C" w:rsidRPr="004F65AE" w:rsidRDefault="00005A3C" w:rsidP="00F36208">
            <w:pPr>
              <w:shd w:val="clear" w:color="auto" w:fill="FFFFFF" w:themeFill="background1"/>
              <w:jc w:val="left"/>
              <w:rPr>
                <w:rFonts w:asciiTheme="majorBidi" w:eastAsia="DengXian" w:hAnsiTheme="majorBidi" w:cstheme="majorBidi"/>
                <w:b/>
                <w:kern w:val="22"/>
                <w:sz w:val="20"/>
                <w:szCs w:val="20"/>
                <w:lang w:val="en-US"/>
              </w:rPr>
            </w:pPr>
          </w:p>
        </w:tc>
      </w:tr>
      <w:tr w:rsidR="00005A3C" w:rsidRPr="004F65AE" w14:paraId="65DA1AD6" w14:textId="77777777" w:rsidTr="00CA676A">
        <w:tc>
          <w:tcPr>
            <w:tcW w:w="4957" w:type="dxa"/>
            <w:shd w:val="clear" w:color="auto" w:fill="FFFFFF" w:themeFill="background1"/>
          </w:tcPr>
          <w:p w14:paraId="770AE875" w14:textId="77777777" w:rsidR="00005A3C" w:rsidRPr="004F65AE"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7884D8A5"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 xml:space="preserve">Indicators to be used to monitor this </w:t>
            </w:r>
            <w:r w:rsidRPr="004F65AE">
              <w:rPr>
                <w:rFonts w:asciiTheme="majorBidi" w:eastAsia="MS Gothic" w:hAnsiTheme="majorBidi" w:cstheme="majorBidi"/>
                <w:b/>
                <w:color w:val="000000"/>
                <w:kern w:val="22"/>
                <w:sz w:val="20"/>
                <w:szCs w:val="20"/>
              </w:rPr>
              <w:t>national target</w:t>
            </w:r>
          </w:p>
          <w:p w14:paraId="1B7833CB"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 xml:space="preserve">Headline indicators </w:t>
            </w:r>
          </w:p>
          <w:p w14:paraId="6D67C457"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sidRPr="004F65AE">
              <w:rPr>
                <w:rFonts w:asciiTheme="majorBidi" w:eastAsia="MS Gothic" w:hAnsiTheme="majorBidi" w:cstheme="majorBidi"/>
                <w:i/>
                <w:iCs/>
                <w:color w:val="000000"/>
                <w:kern w:val="22"/>
                <w:sz w:val="20"/>
                <w:szCs w:val="20"/>
              </w:rPr>
              <w:t>(drop-down menu</w:t>
            </w:r>
            <w:r w:rsidRPr="004F65AE">
              <w:rPr>
                <w:rFonts w:asciiTheme="majorBidi" w:eastAsia="MS Gothic" w:hAnsiTheme="majorBidi" w:cstheme="majorBidi"/>
                <w:i/>
                <w:color w:val="000000"/>
                <w:kern w:val="22"/>
                <w:sz w:val="20"/>
                <w:szCs w:val="20"/>
              </w:rPr>
              <w:t xml:space="preserve"> of </w:t>
            </w:r>
            <w:r w:rsidRPr="004F65AE">
              <w:rPr>
                <w:rFonts w:asciiTheme="majorBidi" w:eastAsia="MS Gothic" w:hAnsiTheme="majorBidi" w:cstheme="majorBidi"/>
                <w:i/>
                <w:iCs/>
                <w:color w:val="000000"/>
                <w:kern w:val="22"/>
                <w:sz w:val="20"/>
                <w:szCs w:val="20"/>
              </w:rPr>
              <w:t xml:space="preserve">headline indicators for the </w:t>
            </w:r>
            <w:r w:rsidRPr="004F65AE">
              <w:rPr>
                <w:rFonts w:asciiTheme="majorBidi" w:eastAsia="MS Gothic" w:hAnsiTheme="majorBidi" w:cstheme="majorBidi"/>
                <w:i/>
                <w:color w:val="000000"/>
                <w:kern w:val="22"/>
                <w:sz w:val="20"/>
                <w:szCs w:val="20"/>
              </w:rPr>
              <w:t xml:space="preserve">global </w:t>
            </w:r>
            <w:r w:rsidRPr="004F65AE">
              <w:rPr>
                <w:rFonts w:asciiTheme="majorBidi" w:eastAsia="MS Gothic" w:hAnsiTheme="majorBidi" w:cstheme="majorBidi"/>
                <w:i/>
                <w:iCs/>
                <w:color w:val="000000"/>
                <w:kern w:val="22"/>
                <w:sz w:val="20"/>
                <w:szCs w:val="20"/>
              </w:rPr>
              <w:t>targets indicated above)</w:t>
            </w:r>
          </w:p>
          <w:p w14:paraId="40E43664"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9335502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0E076CAD"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61906876"/>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4DE0F43A"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2721080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p>
          <w:p w14:paraId="4A062492"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Component indicators</w:t>
            </w:r>
          </w:p>
          <w:p w14:paraId="68B5C429"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sidRPr="004F65AE">
              <w:rPr>
                <w:rFonts w:asciiTheme="majorBidi" w:eastAsia="MS Gothic" w:hAnsiTheme="majorBidi" w:cstheme="majorBidi"/>
                <w:i/>
                <w:iCs/>
                <w:color w:val="000000"/>
                <w:kern w:val="22"/>
                <w:sz w:val="20"/>
                <w:szCs w:val="20"/>
              </w:rPr>
              <w:t>(drop-down menu of component indicators</w:t>
            </w:r>
            <w:r w:rsidRPr="004F65AE">
              <w:rPr>
                <w:rFonts w:asciiTheme="majorBidi" w:eastAsia="MS Gothic" w:hAnsiTheme="majorBidi" w:cstheme="majorBidi"/>
                <w:i/>
                <w:color w:val="000000"/>
                <w:kern w:val="22"/>
                <w:sz w:val="20"/>
                <w:szCs w:val="20"/>
              </w:rPr>
              <w:t xml:space="preserve"> for </w:t>
            </w:r>
            <w:r w:rsidRPr="004F65AE">
              <w:rPr>
                <w:rFonts w:asciiTheme="majorBidi" w:eastAsia="MS Gothic" w:hAnsiTheme="majorBidi" w:cstheme="majorBidi"/>
                <w:i/>
                <w:iCs/>
                <w:color w:val="000000"/>
                <w:kern w:val="22"/>
                <w:sz w:val="20"/>
                <w:szCs w:val="20"/>
              </w:rPr>
              <w:t>the</w:t>
            </w:r>
            <w:r w:rsidRPr="004F65AE">
              <w:rPr>
                <w:rFonts w:asciiTheme="majorBidi" w:eastAsia="MS Gothic" w:hAnsiTheme="majorBidi" w:cstheme="majorBidi"/>
                <w:i/>
                <w:color w:val="000000"/>
                <w:kern w:val="22"/>
                <w:sz w:val="20"/>
                <w:szCs w:val="20"/>
              </w:rPr>
              <w:t xml:space="preserve"> global </w:t>
            </w:r>
            <w:r w:rsidRPr="004F65AE">
              <w:rPr>
                <w:rFonts w:asciiTheme="majorBidi" w:eastAsia="MS Gothic" w:hAnsiTheme="majorBidi" w:cstheme="majorBidi"/>
                <w:i/>
                <w:iCs/>
                <w:color w:val="000000"/>
                <w:kern w:val="22"/>
                <w:sz w:val="20"/>
                <w:szCs w:val="20"/>
              </w:rPr>
              <w:t>targets indicated above)</w:t>
            </w:r>
          </w:p>
          <w:p w14:paraId="203351E8"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5553160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6BD9F22B"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20446487"/>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232C4100"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85131462"/>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p>
          <w:p w14:paraId="73C66DB2"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Complementary indicators</w:t>
            </w:r>
          </w:p>
          <w:p w14:paraId="1E6B378F"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iCs/>
                <w:color w:val="000000"/>
                <w:kern w:val="22"/>
                <w:sz w:val="20"/>
                <w:szCs w:val="20"/>
              </w:rPr>
            </w:pPr>
            <w:r w:rsidRPr="004F65AE">
              <w:rPr>
                <w:rFonts w:asciiTheme="majorBidi" w:eastAsia="MS Gothic" w:hAnsiTheme="majorBidi" w:cstheme="majorBidi"/>
                <w:i/>
                <w:iCs/>
                <w:color w:val="000000"/>
                <w:kern w:val="22"/>
                <w:sz w:val="20"/>
                <w:szCs w:val="20"/>
              </w:rPr>
              <w:t>(drop-down menu of complementary indicators for the global targets indicated above)</w:t>
            </w:r>
          </w:p>
          <w:p w14:paraId="123F2006"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22622689"/>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1ABC4D11"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71931534"/>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p>
          <w:p w14:paraId="44E53235"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3130622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p>
          <w:p w14:paraId="27C3FB77"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2492C066"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Other national indicators</w:t>
            </w:r>
          </w:p>
          <w:p w14:paraId="2CEBDD6D"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74338912"/>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__________________________</w:t>
            </w:r>
          </w:p>
          <w:p w14:paraId="6F9A664D"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558817664"/>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__________________________</w:t>
            </w:r>
          </w:p>
          <w:p w14:paraId="115391A9"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9745618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__________________________</w:t>
            </w:r>
          </w:p>
          <w:p w14:paraId="4E07B345" w14:textId="77777777" w:rsidR="00005A3C" w:rsidRPr="004F65AE" w:rsidRDefault="00005A3C" w:rsidP="00CA676A">
            <w:pPr>
              <w:suppressLineNumbers/>
              <w:shd w:val="clear" w:color="auto" w:fill="FFFFFF" w:themeFill="background1"/>
              <w:suppressAutoHyphens/>
              <w:adjustRightInd w:val="0"/>
              <w:snapToGrid w:val="0"/>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w:t>
            </w:r>
          </w:p>
        </w:tc>
        <w:tc>
          <w:tcPr>
            <w:tcW w:w="1228" w:type="dxa"/>
            <w:shd w:val="clear" w:color="auto" w:fill="FFFFFF" w:themeFill="background1"/>
          </w:tcPr>
          <w:p w14:paraId="187544B9" w14:textId="77777777" w:rsidR="00005A3C" w:rsidRPr="004F65AE" w:rsidRDefault="00005A3C" w:rsidP="00F36208">
            <w:pPr>
              <w:shd w:val="clear" w:color="auto" w:fill="FFFFFF" w:themeFill="background1"/>
              <w:jc w:val="left"/>
              <w:rPr>
                <w:rFonts w:asciiTheme="majorBidi" w:eastAsia="DengXian" w:hAnsiTheme="majorBidi" w:cstheme="majorBidi"/>
                <w:b/>
                <w:kern w:val="22"/>
                <w:sz w:val="20"/>
                <w:szCs w:val="20"/>
                <w:lang w:val="en-US"/>
              </w:rPr>
            </w:pPr>
          </w:p>
        </w:tc>
      </w:tr>
      <w:tr w:rsidR="00005A3C" w:rsidRPr="004F65AE" w14:paraId="7559C9CC" w14:textId="77777777" w:rsidTr="00CA676A">
        <w:tc>
          <w:tcPr>
            <w:tcW w:w="4957" w:type="dxa"/>
            <w:shd w:val="clear" w:color="auto" w:fill="FFFFFF" w:themeFill="background1"/>
          </w:tcPr>
          <w:p w14:paraId="7B447555" w14:textId="77777777" w:rsidR="00005A3C" w:rsidRPr="004F65AE"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0C5625CF"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b/>
                <w:bCs/>
                <w:color w:val="000000"/>
                <w:kern w:val="22"/>
                <w:sz w:val="20"/>
                <w:szCs w:val="20"/>
              </w:rPr>
              <w:t xml:space="preserve">Non-State actor commitments </w:t>
            </w:r>
            <w:r w:rsidRPr="004F65AE">
              <w:rPr>
                <w:rFonts w:asciiTheme="majorBidi" w:hAnsiTheme="majorBidi" w:cstheme="majorBidi"/>
                <w:b/>
                <w:bCs/>
                <w:i/>
                <w:iCs/>
                <w:color w:val="000000"/>
                <w:kern w:val="22"/>
                <w:sz w:val="20"/>
                <w:szCs w:val="20"/>
              </w:rPr>
              <w:t>(optional)</w:t>
            </w:r>
            <w:r w:rsidRPr="004F65AE">
              <w:rPr>
                <w:rFonts w:asciiTheme="majorBidi" w:hAnsiTheme="majorBidi" w:cstheme="majorBidi"/>
                <w:color w:val="000000"/>
                <w:kern w:val="22"/>
                <w:sz w:val="20"/>
                <w:szCs w:val="20"/>
              </w:rPr>
              <w:t xml:space="preserve">List the non-state </w:t>
            </w:r>
            <w:r w:rsidRPr="004F65AE">
              <w:rPr>
                <w:rFonts w:asciiTheme="majorBidi" w:hAnsiTheme="majorBidi" w:cstheme="majorBidi"/>
                <w:color w:val="000000"/>
                <w:kern w:val="22"/>
                <w:sz w:val="20"/>
                <w:szCs w:val="20"/>
              </w:rPr>
              <w:lastRenderedPageBreak/>
              <w:t>commitments toward</w:t>
            </w:r>
            <w:r>
              <w:rPr>
                <w:rFonts w:asciiTheme="majorBidi" w:hAnsiTheme="majorBidi" w:cstheme="majorBidi"/>
                <w:color w:val="000000"/>
                <w:kern w:val="22"/>
                <w:sz w:val="20"/>
                <w:szCs w:val="20"/>
              </w:rPr>
              <w:t>s</w:t>
            </w:r>
            <w:r w:rsidRPr="004F65AE">
              <w:rPr>
                <w:rFonts w:asciiTheme="majorBidi" w:hAnsiTheme="majorBidi" w:cstheme="majorBidi"/>
                <w:color w:val="000000"/>
                <w:kern w:val="22"/>
                <w:sz w:val="20"/>
                <w:szCs w:val="20"/>
              </w:rPr>
              <w:t xml:space="preserve"> this national Target:</w:t>
            </w:r>
          </w:p>
          <w:p w14:paraId="5FF52747" w14:textId="77777777" w:rsidR="00005A3C" w:rsidRPr="004F65AE" w:rsidRDefault="00005A3C"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5AF0A7A8" w14:textId="77777777" w:rsidR="00005A3C" w:rsidRPr="004F65AE" w:rsidRDefault="00005A3C"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5D5CC234" w14:textId="77777777" w:rsidR="00005A3C" w:rsidRPr="004F65AE" w:rsidRDefault="00005A3C"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4A932D7D" w14:textId="77777777" w:rsidR="00005A3C" w:rsidRPr="004F65AE" w:rsidRDefault="00005A3C"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color w:val="000000"/>
                <w:kern w:val="22"/>
                <w:sz w:val="20"/>
                <w:szCs w:val="20"/>
              </w:rPr>
              <w:t>Are there any overlaps or links between this national target and targets or commitments submitted as non-</w:t>
            </w:r>
            <w:r>
              <w:rPr>
                <w:rFonts w:asciiTheme="majorBidi" w:hAnsiTheme="majorBidi" w:cstheme="majorBidi"/>
                <w:color w:val="000000"/>
                <w:kern w:val="22"/>
                <w:sz w:val="20"/>
                <w:szCs w:val="20"/>
              </w:rPr>
              <w:t>S</w:t>
            </w:r>
            <w:r w:rsidRPr="004F65AE">
              <w:rPr>
                <w:rFonts w:asciiTheme="majorBidi" w:hAnsiTheme="majorBidi" w:cstheme="majorBidi"/>
                <w:color w:val="000000"/>
                <w:kern w:val="22"/>
                <w:sz w:val="20"/>
                <w:szCs w:val="20"/>
              </w:rPr>
              <w:t xml:space="preserve">tate actor commitments to the </w:t>
            </w:r>
            <w:r w:rsidRPr="00E43B5C">
              <w:rPr>
                <w:rFonts w:asciiTheme="majorBidi" w:hAnsiTheme="majorBidi" w:cstheme="majorBidi"/>
                <w:bCs/>
                <w:snapToGrid w:val="0"/>
                <w:kern w:val="22"/>
                <w:sz w:val="20"/>
                <w:szCs w:val="20"/>
                <w:lang w:val="en-US"/>
              </w:rPr>
              <w:t xml:space="preserve">Kunming-Montreal </w:t>
            </w:r>
            <w:r w:rsidRPr="004F65AE">
              <w:rPr>
                <w:rFonts w:asciiTheme="majorBidi" w:hAnsiTheme="majorBidi" w:cstheme="majorBidi"/>
                <w:color w:val="000000"/>
                <w:kern w:val="22"/>
                <w:sz w:val="20"/>
                <w:szCs w:val="20"/>
              </w:rPr>
              <w:t>Global Biodiversity Framework?</w:t>
            </w:r>
          </w:p>
          <w:p w14:paraId="0B450422" w14:textId="77777777" w:rsidR="00005A3C" w:rsidRPr="004F65AE" w:rsidRDefault="00005A3C"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color w:val="000000"/>
                <w:kern w:val="22"/>
                <w:sz w:val="20"/>
                <w:szCs w:val="20"/>
              </w:rPr>
              <w:t>If “Yes”, please indicate which commitment(s) and which actor(s).</w:t>
            </w:r>
          </w:p>
          <w:p w14:paraId="71BC3928" w14:textId="77777777" w:rsidR="00005A3C" w:rsidRPr="004F65AE" w:rsidRDefault="00005A3C"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5CE9A532" w14:textId="77777777" w:rsidR="00005A3C" w:rsidRPr="004F65AE" w:rsidRDefault="00005A3C"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0A735E23" w14:textId="77777777" w:rsidR="00005A3C" w:rsidRPr="004F65AE" w:rsidRDefault="00005A3C"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06EF1892"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228" w:type="dxa"/>
            <w:shd w:val="clear" w:color="auto" w:fill="FFFFFF" w:themeFill="background1"/>
          </w:tcPr>
          <w:p w14:paraId="1D8E40D4" w14:textId="77777777" w:rsidR="00005A3C" w:rsidRPr="004F65AE" w:rsidRDefault="00005A3C" w:rsidP="00F36208">
            <w:pPr>
              <w:shd w:val="clear" w:color="auto" w:fill="FFFFFF" w:themeFill="background1"/>
              <w:jc w:val="left"/>
              <w:rPr>
                <w:rFonts w:asciiTheme="majorBidi" w:eastAsia="DengXian" w:hAnsiTheme="majorBidi" w:cstheme="majorBidi"/>
                <w:b/>
                <w:kern w:val="22"/>
                <w:sz w:val="20"/>
                <w:szCs w:val="20"/>
                <w:lang w:val="en-US"/>
              </w:rPr>
            </w:pPr>
            <w:r w:rsidRPr="004F65AE">
              <w:rPr>
                <w:rFonts w:asciiTheme="majorBidi" w:eastAsia="DengXian" w:hAnsiTheme="majorBidi" w:cstheme="majorBidi"/>
                <w:i/>
                <w:color w:val="000000"/>
                <w:kern w:val="22"/>
                <w:sz w:val="20"/>
                <w:szCs w:val="20"/>
                <w:lang w:val="en-US"/>
              </w:rPr>
              <w:lastRenderedPageBreak/>
              <w:t xml:space="preserve">It is important to describe in this entry </w:t>
            </w:r>
            <w:r w:rsidRPr="004F65AE">
              <w:rPr>
                <w:rFonts w:asciiTheme="majorBidi" w:eastAsia="DengXian" w:hAnsiTheme="majorBidi" w:cstheme="majorBidi"/>
                <w:i/>
                <w:color w:val="000000"/>
                <w:kern w:val="22"/>
                <w:sz w:val="20"/>
                <w:szCs w:val="20"/>
                <w:lang w:val="en-US"/>
              </w:rPr>
              <w:lastRenderedPageBreak/>
              <w:t xml:space="preserve">how the initiative involves the national Government </w:t>
            </w:r>
            <w:r w:rsidRPr="004F65AE">
              <w:rPr>
                <w:rFonts w:asciiTheme="majorBidi" w:eastAsia="DengXian" w:hAnsiTheme="majorBidi" w:cstheme="majorBidi"/>
                <w:i/>
                <w:color w:val="000000"/>
                <w:kern w:val="22"/>
                <w:sz w:val="20"/>
                <w:szCs w:val="20"/>
                <w:u w:val="single"/>
                <w:lang w:val="en-US"/>
              </w:rPr>
              <w:t>and</w:t>
            </w:r>
            <w:r w:rsidRPr="004F65AE">
              <w:rPr>
                <w:rFonts w:asciiTheme="majorBidi" w:eastAsia="DengXian" w:hAnsiTheme="majorBidi" w:cstheme="majorBidi"/>
                <w:i/>
                <w:color w:val="000000"/>
                <w:kern w:val="22"/>
                <w:sz w:val="20"/>
                <w:szCs w:val="20"/>
                <w:lang w:val="en-US"/>
              </w:rPr>
              <w:t xml:space="preserve"> </w:t>
            </w:r>
            <w:r w:rsidRPr="004F65AE">
              <w:rPr>
                <w:rFonts w:asciiTheme="majorBidi" w:eastAsia="DengXian" w:hAnsiTheme="majorBidi" w:cstheme="majorBidi"/>
                <w:i/>
                <w:color w:val="000000"/>
                <w:kern w:val="22"/>
                <w:sz w:val="20"/>
                <w:szCs w:val="20"/>
              </w:rPr>
              <w:t>others. This box would be used to reduce double counting.</w:t>
            </w:r>
          </w:p>
        </w:tc>
      </w:tr>
      <w:tr w:rsidR="00005A3C" w:rsidRPr="004F65AE" w14:paraId="6E01E453" w14:textId="77777777" w:rsidTr="00CA676A">
        <w:tc>
          <w:tcPr>
            <w:tcW w:w="4957" w:type="dxa"/>
            <w:shd w:val="clear" w:color="auto" w:fill="FFFFFF" w:themeFill="background1"/>
          </w:tcPr>
          <w:p w14:paraId="109F8D93" w14:textId="77777777" w:rsidR="00005A3C" w:rsidRPr="004F65AE" w:rsidRDefault="00005A3C"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5406FA9F"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Means of implementation</w:t>
            </w:r>
            <w:r>
              <w:rPr>
                <w:rFonts w:asciiTheme="majorBidi" w:eastAsia="MS Gothic" w:hAnsiTheme="majorBidi" w:cstheme="majorBidi"/>
                <w:b/>
                <w:bCs/>
                <w:color w:val="000000"/>
                <w:kern w:val="22"/>
                <w:sz w:val="20"/>
                <w:szCs w:val="20"/>
              </w:rPr>
              <w:t xml:space="preserve"> and barriers to implementation (optional)</w:t>
            </w:r>
          </w:p>
          <w:p w14:paraId="2AC984C6" w14:textId="77777777" w:rsidR="00005A3C" w:rsidRPr="004F65AE" w:rsidRDefault="00005A3C" w:rsidP="00F36208">
            <w:pPr>
              <w:suppressLineNumbers/>
              <w:shd w:val="clear" w:color="auto" w:fill="FFFFFF" w:themeFill="background1"/>
              <w:suppressAutoHyphens/>
              <w:adjustRightInd w:val="0"/>
              <w:snapToGrid w:val="0"/>
              <w:spacing w:after="120"/>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 xml:space="preserve">Please indicate if </w:t>
            </w:r>
            <w:r>
              <w:rPr>
                <w:rFonts w:asciiTheme="majorBidi" w:eastAsia="MS Gothic" w:hAnsiTheme="majorBidi" w:cstheme="majorBidi"/>
                <w:color w:val="000000"/>
                <w:kern w:val="22"/>
                <w:sz w:val="20"/>
                <w:szCs w:val="20"/>
              </w:rPr>
              <w:t>additional means of implementation are needed for the attainment of this national target</w:t>
            </w:r>
            <w:r w:rsidRPr="004F65AE">
              <w:rPr>
                <w:rFonts w:asciiTheme="majorBidi" w:eastAsia="MS Gothic" w:hAnsiTheme="majorBidi" w:cstheme="majorBidi"/>
                <w:color w:val="000000"/>
                <w:kern w:val="22"/>
                <w:sz w:val="20"/>
                <w:szCs w:val="20"/>
              </w:rPr>
              <w:t>.</w:t>
            </w:r>
          </w:p>
          <w:p w14:paraId="0FF75FB2" w14:textId="77777777" w:rsidR="00005A3C" w:rsidRDefault="00C10F84"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5301355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r w:rsidR="00005A3C">
              <w:rPr>
                <w:rFonts w:asciiTheme="majorBidi" w:eastAsia="MS Gothic" w:hAnsiTheme="majorBidi" w:cstheme="majorBidi"/>
                <w:color w:val="000000"/>
                <w:kern w:val="22"/>
                <w:sz w:val="20"/>
                <w:szCs w:val="20"/>
              </w:rPr>
              <w:t>A</w:t>
            </w:r>
            <w:r w:rsidR="00005A3C" w:rsidRPr="004F65AE">
              <w:rPr>
                <w:rFonts w:asciiTheme="majorBidi" w:eastAsia="MS Gothic" w:hAnsiTheme="majorBidi" w:cstheme="majorBidi"/>
                <w:color w:val="000000"/>
                <w:kern w:val="22"/>
                <w:sz w:val="20"/>
                <w:szCs w:val="20"/>
              </w:rPr>
              <w:t>dditional means of implementation</w:t>
            </w:r>
            <w:r w:rsidR="00005A3C">
              <w:rPr>
                <w:rFonts w:asciiTheme="majorBidi" w:eastAsia="MS Gothic" w:hAnsiTheme="majorBidi" w:cstheme="majorBidi"/>
                <w:color w:val="000000"/>
                <w:kern w:val="22"/>
                <w:sz w:val="20"/>
                <w:szCs w:val="20"/>
              </w:rPr>
              <w:t xml:space="preserve"> are needed</w:t>
            </w:r>
          </w:p>
          <w:p w14:paraId="201EF93F" w14:textId="77777777" w:rsidR="00005A3C" w:rsidRDefault="00005A3C" w:rsidP="00A142C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r>
              <w:rPr>
                <w:rFonts w:asciiTheme="majorBidi" w:eastAsia="MS Gothic" w:hAnsiTheme="majorBidi" w:cstheme="majorBidi"/>
                <w:color w:val="000000"/>
                <w:kern w:val="22"/>
                <w:sz w:val="20"/>
                <w:szCs w:val="20"/>
              </w:rPr>
              <w:t>Explain: ______________________________________________________________________________________________________________________________________________________</w:t>
            </w:r>
          </w:p>
          <w:p w14:paraId="5F4CA79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Pr>
                <w:rFonts w:asciiTheme="majorBidi" w:eastAsia="MS Gothic" w:hAnsiTheme="majorBidi" w:cstheme="majorBidi"/>
                <w:color w:val="000000"/>
                <w:kern w:val="22"/>
                <w:sz w:val="20"/>
                <w:szCs w:val="20"/>
              </w:rPr>
              <w:t>____________________________________________________________</w:t>
            </w:r>
          </w:p>
          <w:p w14:paraId="1AC67DE3" w14:textId="77777777" w:rsidR="00005A3C" w:rsidRDefault="00C10F84"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37568223"/>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Means of implementation available</w:t>
            </w:r>
          </w:p>
          <w:p w14:paraId="4BD8371E" w14:textId="77777777" w:rsidR="00005A3C" w:rsidRDefault="00C10F84"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41302429"/>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asciiTheme="majorBidi" w:eastAsia="MS Gothic" w:hAnsiTheme="majorBidi" w:cstheme="majorBidi"/>
                <w:color w:val="000000"/>
                <w:kern w:val="22"/>
                <w:sz w:val="20"/>
                <w:szCs w:val="20"/>
              </w:rPr>
              <w:t xml:space="preserve"> </w:t>
            </w:r>
            <w:r w:rsidR="00005A3C">
              <w:rPr>
                <w:rFonts w:asciiTheme="majorBidi" w:eastAsia="MS Gothic" w:hAnsiTheme="majorBidi" w:cstheme="majorBidi"/>
                <w:color w:val="000000"/>
                <w:kern w:val="22"/>
                <w:sz w:val="20"/>
                <w:szCs w:val="20"/>
              </w:rPr>
              <w:t>Other ____________________________________________________________</w:t>
            </w:r>
          </w:p>
          <w:p w14:paraId="40C768F1" w14:textId="77777777" w:rsidR="00005A3C" w:rsidRPr="004F65AE" w:rsidRDefault="00005A3C" w:rsidP="00363926">
            <w:pPr>
              <w:keepNext/>
              <w:suppressLineNumbers/>
              <w:shd w:val="clear" w:color="auto" w:fill="FFFFFF" w:themeFill="background1"/>
              <w:suppressAutoHyphens/>
              <w:adjustRightInd w:val="0"/>
              <w:snapToGrid w:val="0"/>
              <w:spacing w:before="120" w:after="120"/>
              <w:jc w:val="left"/>
              <w:rPr>
                <w:rFonts w:asciiTheme="majorBidi" w:hAnsiTheme="majorBidi" w:cstheme="majorBidi"/>
                <w:b/>
                <w:bCs/>
                <w:color w:val="000000"/>
                <w:kern w:val="22"/>
                <w:sz w:val="20"/>
                <w:szCs w:val="20"/>
              </w:rPr>
            </w:pPr>
            <w:r>
              <w:rPr>
                <w:rFonts w:asciiTheme="majorBidi" w:eastAsia="MS Gothic" w:hAnsiTheme="majorBidi" w:cstheme="majorBidi"/>
                <w:color w:val="000000"/>
                <w:kern w:val="22"/>
                <w:sz w:val="20"/>
                <w:szCs w:val="20"/>
              </w:rPr>
              <w:t>Additional explanation: (optional)________________________________________________________________________________________________________________</w:t>
            </w:r>
          </w:p>
        </w:tc>
        <w:tc>
          <w:tcPr>
            <w:tcW w:w="1228" w:type="dxa"/>
            <w:shd w:val="clear" w:color="auto" w:fill="FFFFFF" w:themeFill="background1"/>
          </w:tcPr>
          <w:p w14:paraId="3D11C6BC" w14:textId="77777777" w:rsidR="00005A3C" w:rsidRPr="004F65AE" w:rsidRDefault="00005A3C" w:rsidP="00F36208">
            <w:pPr>
              <w:shd w:val="clear" w:color="auto" w:fill="FFFFFF" w:themeFill="background1"/>
              <w:jc w:val="left"/>
              <w:rPr>
                <w:rFonts w:asciiTheme="majorBidi" w:eastAsia="DengXian" w:hAnsiTheme="majorBidi" w:cstheme="majorBidi"/>
                <w:i/>
                <w:color w:val="000000"/>
                <w:kern w:val="22"/>
                <w:sz w:val="20"/>
                <w:szCs w:val="20"/>
                <w:lang w:val="en-US"/>
              </w:rPr>
            </w:pPr>
          </w:p>
        </w:tc>
      </w:tr>
    </w:tbl>
    <w:p w14:paraId="59A12FAC" w14:textId="77777777" w:rsidR="00005A3C" w:rsidRPr="004F65AE" w:rsidRDefault="00005A3C" w:rsidP="00CA676A">
      <w:pPr>
        <w:shd w:val="clear" w:color="auto" w:fill="FFFFFF" w:themeFill="background1"/>
        <w:spacing w:before="120"/>
        <w:jc w:val="left"/>
        <w:rPr>
          <w:rFonts w:eastAsia="DengXian"/>
          <w:b/>
          <w:snapToGrid w:val="0"/>
          <w:kern w:val="22"/>
          <w:sz w:val="20"/>
          <w:szCs w:val="20"/>
          <w:lang w:val="en-US" w:eastAsia="zh-CN"/>
        </w:rPr>
      </w:pPr>
    </w:p>
    <w:tbl>
      <w:tblPr>
        <w:tblStyle w:val="TableGrid1"/>
        <w:tblW w:w="4998" w:type="pct"/>
        <w:tblInd w:w="-5" w:type="dxa"/>
        <w:shd w:val="clear" w:color="auto" w:fill="FFFFFF" w:themeFill="background1"/>
        <w:tblLook w:val="04A0" w:firstRow="1" w:lastRow="0" w:firstColumn="1" w:lastColumn="0" w:noHBand="0" w:noVBand="1"/>
      </w:tblPr>
      <w:tblGrid>
        <w:gridCol w:w="2021"/>
        <w:gridCol w:w="2581"/>
        <w:gridCol w:w="2738"/>
        <w:gridCol w:w="2006"/>
      </w:tblGrid>
      <w:tr w:rsidR="00005A3C" w:rsidRPr="004F65AE" w14:paraId="27E81D5F" w14:textId="77777777" w:rsidTr="00CA676A">
        <w:trPr>
          <w:trHeight w:val="719"/>
          <w:tblHeader/>
        </w:trPr>
        <w:tc>
          <w:tcPr>
            <w:tcW w:w="5000" w:type="pct"/>
            <w:gridSpan w:val="4"/>
            <w:shd w:val="clear" w:color="auto" w:fill="FFFFFF" w:themeFill="background1"/>
            <w:vAlign w:val="center"/>
          </w:tcPr>
          <w:p w14:paraId="17AECC81" w14:textId="77777777" w:rsidR="00005A3C" w:rsidRPr="004F65AE" w:rsidRDefault="00005A3C" w:rsidP="00CA676A">
            <w:pPr>
              <w:keepNext/>
              <w:suppressLineNumbers/>
              <w:shd w:val="clear" w:color="auto" w:fill="FFFFFF" w:themeFill="background1"/>
              <w:suppressAutoHyphens/>
              <w:kinsoku w:val="0"/>
              <w:overflowPunct w:val="0"/>
              <w:autoSpaceDE w:val="0"/>
              <w:autoSpaceDN w:val="0"/>
              <w:adjustRightInd w:val="0"/>
              <w:snapToGrid w:val="0"/>
              <w:jc w:val="center"/>
              <w:rPr>
                <w:rFonts w:ascii="Times New Roman Bold" w:hAnsi="Times New Roman Bold"/>
                <w:b/>
                <w:caps/>
                <w:snapToGrid w:val="0"/>
                <w:kern w:val="22"/>
                <w:sz w:val="20"/>
                <w:szCs w:val="20"/>
                <w:lang w:val="en-US"/>
              </w:rPr>
            </w:pPr>
            <w:r w:rsidRPr="004F65AE">
              <w:rPr>
                <w:rFonts w:ascii="Times New Roman Bold" w:hAnsi="Times New Roman Bold"/>
                <w:b/>
                <w:caps/>
                <w:snapToGrid w:val="0"/>
                <w:kern w:val="22"/>
                <w:sz w:val="20"/>
                <w:szCs w:val="20"/>
                <w:lang w:val="en-US"/>
              </w:rPr>
              <w:lastRenderedPageBreak/>
              <w:t>Global goals/targets</w:t>
            </w:r>
          </w:p>
        </w:tc>
      </w:tr>
      <w:tr w:rsidR="00005A3C" w:rsidRPr="004F65AE" w14:paraId="46F12F40" w14:textId="77777777" w:rsidTr="00CA676A">
        <w:trPr>
          <w:trHeight w:val="805"/>
        </w:trPr>
        <w:tc>
          <w:tcPr>
            <w:tcW w:w="1081" w:type="pct"/>
            <w:shd w:val="clear" w:color="auto" w:fill="FFFFFF" w:themeFill="background1"/>
          </w:tcPr>
          <w:p w14:paraId="0EBB9B4F" w14:textId="77777777" w:rsidR="00005A3C" w:rsidRPr="004F65AE" w:rsidRDefault="00005A3C" w:rsidP="00F36208">
            <w:pPr>
              <w:keepNext/>
              <w:shd w:val="clear" w:color="auto" w:fill="FFFFFF" w:themeFill="background1"/>
              <w:jc w:val="center"/>
              <w:rPr>
                <w:rFonts w:asciiTheme="majorBidi" w:eastAsia="DengXian" w:hAnsiTheme="majorBidi" w:cstheme="majorBidi"/>
                <w:b/>
                <w:snapToGrid w:val="0"/>
                <w:kern w:val="22"/>
                <w:sz w:val="20"/>
                <w:szCs w:val="20"/>
                <w:lang w:val="fr-CA"/>
              </w:rPr>
            </w:pPr>
            <w:r w:rsidRPr="004F65AE">
              <w:rPr>
                <w:rFonts w:asciiTheme="majorBidi" w:eastAsia="DengXian" w:hAnsiTheme="majorBidi" w:cstheme="majorBidi"/>
                <w:b/>
                <w:snapToGrid w:val="0"/>
                <w:kern w:val="22"/>
                <w:sz w:val="20"/>
                <w:szCs w:val="20"/>
                <w:lang w:val="fr-CA"/>
              </w:rPr>
              <w:t>Global goals and targets</w:t>
            </w:r>
          </w:p>
        </w:tc>
        <w:tc>
          <w:tcPr>
            <w:tcW w:w="1381" w:type="pct"/>
            <w:shd w:val="clear" w:color="auto" w:fill="FFFFFF" w:themeFill="background1"/>
          </w:tcPr>
          <w:p w14:paraId="4E41D85A" w14:textId="77777777" w:rsidR="00005A3C" w:rsidRPr="004F65AE" w:rsidRDefault="00005A3C" w:rsidP="00F36208">
            <w:pPr>
              <w:keepNext/>
              <w:shd w:val="clear" w:color="auto" w:fill="FFFFFF" w:themeFill="background1"/>
              <w:jc w:val="center"/>
              <w:rPr>
                <w:rFonts w:asciiTheme="majorBidi" w:eastAsia="DengXian" w:hAnsiTheme="majorBidi" w:cstheme="majorBidi"/>
                <w:b/>
                <w:snapToGrid w:val="0"/>
                <w:kern w:val="22"/>
                <w:sz w:val="20"/>
                <w:szCs w:val="20"/>
                <w:lang w:val="en-US"/>
              </w:rPr>
            </w:pPr>
            <w:r w:rsidRPr="004F65AE">
              <w:rPr>
                <w:rFonts w:asciiTheme="majorBidi" w:eastAsia="DengXian" w:hAnsiTheme="majorBidi" w:cstheme="majorBidi"/>
                <w:b/>
                <w:snapToGrid w:val="0"/>
                <w:kern w:val="22"/>
                <w:sz w:val="20"/>
                <w:szCs w:val="20"/>
                <w:lang w:val="en-US"/>
              </w:rPr>
              <w:t>National target(s) contributing to this global target</w:t>
            </w:r>
          </w:p>
        </w:tc>
        <w:tc>
          <w:tcPr>
            <w:tcW w:w="1465" w:type="pct"/>
            <w:shd w:val="clear" w:color="auto" w:fill="FFFFFF" w:themeFill="background1"/>
          </w:tcPr>
          <w:p w14:paraId="4F15C671" w14:textId="77777777" w:rsidR="00005A3C" w:rsidRPr="004F65AE" w:rsidRDefault="00005A3C" w:rsidP="00DA7B6A">
            <w:pPr>
              <w:keepNext/>
              <w:shd w:val="clear" w:color="auto" w:fill="FFFFFF" w:themeFill="background1"/>
              <w:jc w:val="center"/>
              <w:rPr>
                <w:rFonts w:asciiTheme="majorBidi" w:eastAsia="DengXian" w:hAnsiTheme="majorBidi" w:cstheme="majorBidi"/>
                <w:b/>
                <w:snapToGrid w:val="0"/>
                <w:kern w:val="22"/>
                <w:sz w:val="20"/>
                <w:szCs w:val="20"/>
                <w:lang w:val="en-US"/>
              </w:rPr>
            </w:pPr>
            <w:r w:rsidRPr="004F65AE">
              <w:rPr>
                <w:rFonts w:asciiTheme="majorBidi" w:eastAsia="DengXian" w:hAnsiTheme="majorBidi" w:cstheme="majorBidi"/>
                <w:b/>
                <w:snapToGrid w:val="0"/>
                <w:kern w:val="22"/>
                <w:sz w:val="20"/>
                <w:szCs w:val="20"/>
                <w:lang w:val="en-US"/>
              </w:rPr>
              <w:t>Elements of the global targets addressed by national targets</w:t>
            </w:r>
          </w:p>
        </w:tc>
        <w:tc>
          <w:tcPr>
            <w:tcW w:w="1074" w:type="pct"/>
            <w:shd w:val="clear" w:color="auto" w:fill="FFFFFF" w:themeFill="background1"/>
          </w:tcPr>
          <w:p w14:paraId="116ABD69"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en-US"/>
              </w:rPr>
            </w:pPr>
            <w:r w:rsidRPr="004F65AE">
              <w:rPr>
                <w:rFonts w:asciiTheme="majorBidi" w:hAnsiTheme="majorBidi" w:cstheme="majorBidi"/>
                <w:b/>
                <w:snapToGrid w:val="0"/>
                <w:kern w:val="22"/>
                <w:sz w:val="20"/>
                <w:szCs w:val="20"/>
                <w:lang w:val="en-US"/>
              </w:rPr>
              <w:t>Notes</w:t>
            </w:r>
          </w:p>
        </w:tc>
      </w:tr>
      <w:tr w:rsidR="00005A3C" w:rsidRPr="004F65AE" w14:paraId="064F7F5E" w14:textId="77777777" w:rsidTr="00CA676A">
        <w:tc>
          <w:tcPr>
            <w:tcW w:w="1081" w:type="pct"/>
            <w:shd w:val="clear" w:color="auto" w:fill="FFFFFF" w:themeFill="background1"/>
          </w:tcPr>
          <w:p w14:paraId="2DAE7661" w14:textId="77777777" w:rsidR="00005A3C" w:rsidRPr="004F65AE" w:rsidRDefault="00005A3C" w:rsidP="00F36208">
            <w:pPr>
              <w:shd w:val="clear" w:color="auto" w:fill="FFFFFF" w:themeFill="background1"/>
              <w:spacing w:before="120" w:after="120"/>
              <w:jc w:val="left"/>
              <w:rPr>
                <w:rFonts w:eastAsia="DengXian"/>
                <w:b/>
                <w:snapToGrid w:val="0"/>
                <w:kern w:val="22"/>
                <w:sz w:val="20"/>
                <w:szCs w:val="20"/>
                <w:lang w:val="en-US"/>
              </w:rPr>
            </w:pPr>
            <w:r w:rsidRPr="004F65AE">
              <w:rPr>
                <w:rFonts w:eastAsia="DengXian"/>
                <w:b/>
                <w:snapToGrid w:val="0"/>
                <w:kern w:val="22"/>
                <w:sz w:val="20"/>
                <w:szCs w:val="20"/>
                <w:lang w:val="en-US"/>
              </w:rPr>
              <w:t>Global goal or target (full name/title)</w:t>
            </w:r>
          </w:p>
          <w:p w14:paraId="19002FB2" w14:textId="77777777" w:rsidR="00005A3C" w:rsidRPr="004F65AE" w:rsidRDefault="00005A3C" w:rsidP="00F36208">
            <w:pPr>
              <w:shd w:val="clear" w:color="auto" w:fill="FFFFFF" w:themeFill="background1"/>
              <w:spacing w:before="120" w:after="120"/>
              <w:jc w:val="left"/>
              <w:rPr>
                <w:rFonts w:ascii="Calibri" w:eastAsia="DengXian" w:hAnsi="Calibri" w:cs="Arial"/>
                <w:b/>
                <w:snapToGrid w:val="0"/>
                <w:kern w:val="22"/>
                <w:sz w:val="20"/>
                <w:szCs w:val="20"/>
                <w:lang w:val="en-US"/>
              </w:rPr>
            </w:pPr>
          </w:p>
        </w:tc>
        <w:tc>
          <w:tcPr>
            <w:tcW w:w="1381" w:type="pct"/>
            <w:shd w:val="clear" w:color="auto" w:fill="FFFFFF" w:themeFill="background1"/>
          </w:tcPr>
          <w:p w14:paraId="37328BF1" w14:textId="77777777" w:rsidR="00005A3C" w:rsidRPr="004F65AE" w:rsidRDefault="00005A3C" w:rsidP="00F36208">
            <w:pPr>
              <w:shd w:val="clear" w:color="auto" w:fill="FFFFFF" w:themeFill="background1"/>
              <w:spacing w:before="120" w:after="120"/>
              <w:jc w:val="left"/>
              <w:rPr>
                <w:rFonts w:eastAsia="DengXian"/>
                <w:bCs/>
                <w:i/>
                <w:iCs/>
                <w:snapToGrid w:val="0"/>
                <w:kern w:val="22"/>
                <w:sz w:val="20"/>
                <w:szCs w:val="20"/>
                <w:lang w:val="en-US"/>
              </w:rPr>
            </w:pPr>
            <w:r w:rsidRPr="004F65AE">
              <w:rPr>
                <w:rFonts w:eastAsia="DengXian"/>
                <w:bCs/>
                <w:i/>
                <w:iCs/>
                <w:snapToGrid w:val="0"/>
                <w:kern w:val="22"/>
                <w:sz w:val="20"/>
                <w:szCs w:val="20"/>
                <w:lang w:val="en-US"/>
              </w:rPr>
              <w:t>(Automatically generated list from Party’s input in the national targets table)</w:t>
            </w:r>
          </w:p>
        </w:tc>
        <w:tc>
          <w:tcPr>
            <w:tcW w:w="1465" w:type="pct"/>
            <w:shd w:val="clear" w:color="auto" w:fill="FFFFFF" w:themeFill="background1"/>
          </w:tcPr>
          <w:p w14:paraId="292F72F2"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eastAsia="MS Gothic"/>
                <w:i/>
                <w:iCs/>
                <w:color w:val="000000"/>
                <w:kern w:val="22"/>
                <w:sz w:val="20"/>
                <w:szCs w:val="20"/>
              </w:rPr>
            </w:pPr>
            <w:r w:rsidRPr="004F65AE">
              <w:rPr>
                <w:rFonts w:eastAsia="MS Gothic"/>
                <w:i/>
                <w:iCs/>
                <w:color w:val="000000"/>
                <w:kern w:val="22"/>
                <w:sz w:val="20"/>
                <w:szCs w:val="20"/>
              </w:rPr>
              <w:t>(</w:t>
            </w:r>
            <w:r>
              <w:rPr>
                <w:rFonts w:eastAsia="MS Gothic"/>
                <w:i/>
                <w:iCs/>
                <w:color w:val="000000"/>
                <w:kern w:val="22"/>
                <w:sz w:val="20"/>
                <w:szCs w:val="20"/>
              </w:rPr>
              <w:t>Free text</w:t>
            </w:r>
            <w:r w:rsidRPr="004F65AE">
              <w:rPr>
                <w:rFonts w:eastAsia="MS Gothic"/>
                <w:i/>
                <w:iCs/>
                <w:color w:val="000000"/>
                <w:kern w:val="22"/>
                <w:sz w:val="20"/>
                <w:szCs w:val="20"/>
              </w:rPr>
              <w:t>)</w:t>
            </w:r>
          </w:p>
          <w:p w14:paraId="1C5971F4" w14:textId="77777777" w:rsidR="00005A3C" w:rsidRPr="004F65AE" w:rsidRDefault="00005A3C" w:rsidP="00F36208">
            <w:pPr>
              <w:shd w:val="clear" w:color="auto" w:fill="FFFFFF" w:themeFill="background1"/>
              <w:jc w:val="left"/>
              <w:rPr>
                <w:rFonts w:ascii="Calibri" w:eastAsia="DengXian" w:hAnsi="Calibri" w:cs="Arial"/>
                <w:b/>
                <w:snapToGrid w:val="0"/>
                <w:kern w:val="22"/>
                <w:sz w:val="20"/>
                <w:szCs w:val="20"/>
                <w:lang w:val="en-US"/>
              </w:rPr>
            </w:pPr>
          </w:p>
        </w:tc>
        <w:tc>
          <w:tcPr>
            <w:tcW w:w="1074" w:type="pct"/>
            <w:shd w:val="clear" w:color="auto" w:fill="FFFFFF" w:themeFill="background1"/>
          </w:tcPr>
          <w:p w14:paraId="2E754E6C"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i/>
                <w:color w:val="000000"/>
                <w:kern w:val="22"/>
                <w:sz w:val="20"/>
                <w:szCs w:val="20"/>
              </w:rPr>
            </w:pPr>
            <w:r w:rsidRPr="004F65AE">
              <w:rPr>
                <w:i/>
                <w:color w:val="000000"/>
                <w:kern w:val="22"/>
                <w:sz w:val="20"/>
                <w:szCs w:val="20"/>
              </w:rPr>
              <w:t>This table is to be repeated for each global goal and target</w:t>
            </w:r>
          </w:p>
          <w:p w14:paraId="654E423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lang w:val="en-US"/>
              </w:rPr>
            </w:pPr>
            <w:r w:rsidRPr="004F65AE">
              <w:rPr>
                <w:i/>
                <w:color w:val="000000"/>
                <w:kern w:val="22"/>
                <w:sz w:val="20"/>
                <w:szCs w:val="20"/>
              </w:rPr>
              <w:t>Response is required for each of the global targets</w:t>
            </w:r>
          </w:p>
        </w:tc>
      </w:tr>
      <w:tr w:rsidR="00005A3C" w:rsidRPr="004F65AE" w14:paraId="7B71FF35" w14:textId="77777777" w:rsidTr="00CA676A">
        <w:trPr>
          <w:trHeight w:val="2285"/>
        </w:trPr>
        <w:tc>
          <w:tcPr>
            <w:tcW w:w="1081" w:type="pct"/>
            <w:shd w:val="clear" w:color="auto" w:fill="FFFFFF" w:themeFill="background1"/>
          </w:tcPr>
          <w:p w14:paraId="32D5F9E3" w14:textId="77777777" w:rsidR="00005A3C" w:rsidRPr="004F65AE" w:rsidRDefault="00005A3C" w:rsidP="00F36208">
            <w:pPr>
              <w:shd w:val="clear" w:color="auto" w:fill="FFFFFF" w:themeFill="background1"/>
              <w:jc w:val="left"/>
              <w:rPr>
                <w:rFonts w:ascii="Calibri" w:eastAsia="DengXian" w:hAnsi="Calibri" w:cs="Arial"/>
                <w:b/>
                <w:snapToGrid w:val="0"/>
                <w:kern w:val="22"/>
                <w:sz w:val="20"/>
                <w:szCs w:val="20"/>
                <w:lang w:val="en-US"/>
              </w:rPr>
            </w:pPr>
          </w:p>
        </w:tc>
        <w:tc>
          <w:tcPr>
            <w:tcW w:w="2845" w:type="pct"/>
            <w:gridSpan w:val="2"/>
            <w:shd w:val="clear" w:color="auto" w:fill="FFFFFF" w:themeFill="background1"/>
          </w:tcPr>
          <w:p w14:paraId="55E050E8"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asciiTheme="majorBidi" w:eastAsia="MS Gothic" w:hAnsiTheme="majorBidi" w:cstheme="majorBidi"/>
                <w:b/>
                <w:bCs/>
                <w:color w:val="000000"/>
                <w:kern w:val="22"/>
                <w:sz w:val="20"/>
                <w:szCs w:val="20"/>
                <w:lang w:val="en-US"/>
              </w:rPr>
              <w:t xml:space="preserve">Indicators used to assess the global goal or target </w:t>
            </w:r>
          </w:p>
          <w:p w14:paraId="198CAD26"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eastAsia="MS Gothic"/>
                <w:i/>
                <w:iCs/>
                <w:color w:val="000000"/>
                <w:kern w:val="22"/>
                <w:sz w:val="20"/>
                <w:szCs w:val="20"/>
              </w:rPr>
              <w:t>(Pre-populated from the indicators listed in the Party’s input in the national targets table)</w:t>
            </w:r>
          </w:p>
          <w:p w14:paraId="44DB4E9D"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asciiTheme="majorBidi" w:eastAsia="MS Gothic" w:hAnsiTheme="majorBidi" w:cstheme="majorBidi"/>
                <w:b/>
                <w:bCs/>
                <w:color w:val="000000"/>
                <w:kern w:val="22"/>
                <w:sz w:val="20"/>
                <w:szCs w:val="20"/>
                <w:lang w:val="en-US"/>
              </w:rPr>
              <w:t xml:space="preserve">Is there a reference period and national target which relates to the headline indicator? If yes, </w:t>
            </w:r>
          </w:p>
          <w:p w14:paraId="2C63C5A3" w14:textId="77777777" w:rsidR="00005A3C" w:rsidRPr="004F65AE" w:rsidRDefault="00005A3C" w:rsidP="00F36208">
            <w:pPr>
              <w:keepNext/>
              <w:suppressLineNumbers/>
              <w:shd w:val="clear" w:color="auto" w:fill="FFFFFF" w:themeFill="background1"/>
              <w:suppressAutoHyphens/>
              <w:adjustRightInd w:val="0"/>
              <w:snapToGrid w:val="0"/>
              <w:spacing w:before="120" w:after="120"/>
              <w:jc w:val="left"/>
              <w:rPr>
                <w:rFonts w:asciiTheme="majorBidi" w:eastAsia="DengXian" w:hAnsiTheme="majorBidi" w:cstheme="majorBidi"/>
                <w:b/>
                <w:i/>
                <w:iCs/>
                <w:snapToGrid w:val="0"/>
                <w:kern w:val="22"/>
                <w:sz w:val="20"/>
                <w:szCs w:val="20"/>
                <w:lang w:val="en-US"/>
              </w:rPr>
            </w:pPr>
            <w:r w:rsidRPr="004F65AE">
              <w:rPr>
                <w:rFonts w:asciiTheme="majorBidi" w:eastAsia="DengXian" w:hAnsiTheme="majorBidi" w:cstheme="majorBidi"/>
                <w:b/>
                <w:snapToGrid w:val="0"/>
                <w:kern w:val="22"/>
                <w:sz w:val="20"/>
                <w:szCs w:val="20"/>
                <w:lang w:val="en-US"/>
              </w:rPr>
              <w:t xml:space="preserve">Explanation </w:t>
            </w:r>
            <w:r w:rsidRPr="004F65AE">
              <w:rPr>
                <w:rFonts w:asciiTheme="majorBidi" w:eastAsia="DengXian" w:hAnsiTheme="majorBidi" w:cstheme="majorBidi"/>
                <w:b/>
                <w:i/>
                <w:iCs/>
                <w:snapToGrid w:val="0"/>
                <w:kern w:val="22"/>
                <w:sz w:val="20"/>
                <w:szCs w:val="20"/>
                <w:lang w:val="en-US"/>
              </w:rPr>
              <w:t xml:space="preserve">(optional) </w:t>
            </w:r>
            <w:r w:rsidRPr="00CA676A">
              <w:rPr>
                <w:rFonts w:asciiTheme="majorBidi" w:eastAsia="DengXian" w:hAnsiTheme="majorBidi" w:cstheme="majorBidi"/>
                <w:bCs/>
                <w:snapToGrid w:val="0"/>
                <w:kern w:val="22"/>
                <w:sz w:val="20"/>
                <w:szCs w:val="20"/>
                <w:lang w:val="en-US"/>
              </w:rPr>
              <w:t>________________________________</w:t>
            </w:r>
          </w:p>
        </w:tc>
        <w:tc>
          <w:tcPr>
            <w:tcW w:w="1074" w:type="pct"/>
            <w:shd w:val="clear" w:color="auto" w:fill="FFFFFF" w:themeFill="background1"/>
          </w:tcPr>
          <w:p w14:paraId="0AA1C793" w14:textId="77777777" w:rsidR="00005A3C" w:rsidRPr="004F65AE" w:rsidRDefault="00005A3C" w:rsidP="00F36208">
            <w:pPr>
              <w:shd w:val="clear" w:color="auto" w:fill="FFFFFF" w:themeFill="background1"/>
              <w:jc w:val="left"/>
              <w:rPr>
                <w:rFonts w:ascii="Calibri" w:eastAsia="DengXian" w:hAnsi="Calibri" w:cs="Arial"/>
                <w:b/>
                <w:snapToGrid w:val="0"/>
                <w:kern w:val="22"/>
                <w:sz w:val="20"/>
                <w:szCs w:val="20"/>
                <w:lang w:val="en-US"/>
              </w:rPr>
            </w:pPr>
            <w:r w:rsidRPr="004F65AE">
              <w:rPr>
                <w:i/>
                <w:color w:val="000000"/>
                <w:kern w:val="22"/>
                <w:sz w:val="20"/>
                <w:szCs w:val="20"/>
              </w:rPr>
              <w:t xml:space="preserve">Note that the headline indicator for each </w:t>
            </w:r>
            <w:r>
              <w:rPr>
                <w:i/>
                <w:color w:val="000000"/>
                <w:kern w:val="22"/>
                <w:sz w:val="20"/>
                <w:szCs w:val="20"/>
              </w:rPr>
              <w:t>g</w:t>
            </w:r>
            <w:r w:rsidRPr="004F65AE">
              <w:rPr>
                <w:i/>
                <w:color w:val="000000"/>
                <w:kern w:val="22"/>
                <w:sz w:val="20"/>
                <w:szCs w:val="20"/>
              </w:rPr>
              <w:t xml:space="preserve">oal or </w:t>
            </w:r>
            <w:r>
              <w:rPr>
                <w:i/>
                <w:color w:val="000000"/>
                <w:kern w:val="22"/>
                <w:sz w:val="20"/>
                <w:szCs w:val="20"/>
              </w:rPr>
              <w:t>t</w:t>
            </w:r>
            <w:r w:rsidRPr="004F65AE">
              <w:rPr>
                <w:i/>
                <w:color w:val="000000"/>
                <w:kern w:val="22"/>
                <w:sz w:val="20"/>
                <w:szCs w:val="20"/>
              </w:rPr>
              <w:t>arget should be included in the list of indicators and associated with a relevant national target.</w:t>
            </w:r>
          </w:p>
        </w:tc>
      </w:tr>
    </w:tbl>
    <w:p w14:paraId="05B674BE" w14:textId="77777777" w:rsidR="0050251E" w:rsidRDefault="0050251E">
      <w:pPr>
        <w:jc w:val="left"/>
        <w:rPr>
          <w:i/>
          <w:iCs/>
          <w:sz w:val="20"/>
          <w:szCs w:val="20"/>
        </w:rPr>
      </w:pPr>
      <w:bookmarkStart w:id="49" w:name="_Toc118355019"/>
    </w:p>
    <w:p w14:paraId="62167757" w14:textId="77777777" w:rsidR="00005A3C" w:rsidRPr="00CA676A" w:rsidRDefault="00005A3C" w:rsidP="0050251E">
      <w:pPr>
        <w:shd w:val="clear" w:color="auto" w:fill="FFFFFF" w:themeFill="background1"/>
        <w:spacing w:before="120" w:after="120"/>
        <w:jc w:val="center"/>
        <w:rPr>
          <w:b/>
          <w:bCs/>
          <w:kern w:val="22"/>
          <w:szCs w:val="22"/>
        </w:rPr>
      </w:pPr>
      <w:r w:rsidRPr="00CA676A">
        <w:rPr>
          <w:i/>
          <w:iCs/>
          <w:szCs w:val="22"/>
        </w:rPr>
        <w:t xml:space="preserve">Annex II </w:t>
      </w:r>
      <w:bookmarkEnd w:id="49"/>
    </w:p>
    <w:p w14:paraId="12ED1ED2" w14:textId="77777777" w:rsidR="00005A3C" w:rsidRPr="00CA676A" w:rsidRDefault="00005A3C" w:rsidP="0050251E">
      <w:pPr>
        <w:shd w:val="clear" w:color="auto" w:fill="FFFFFF" w:themeFill="background1"/>
        <w:spacing w:before="120" w:after="120"/>
        <w:jc w:val="center"/>
        <w:rPr>
          <w:b/>
          <w:caps/>
          <w:szCs w:val="22"/>
        </w:rPr>
      </w:pPr>
      <w:bookmarkStart w:id="50" w:name="_Toc118355020"/>
      <w:r w:rsidRPr="00CA676A">
        <w:rPr>
          <w:b/>
          <w:caps/>
          <w:szCs w:val="22"/>
        </w:rPr>
        <w:t>guidance and DRAFT template for the seventh and eighth national report</w:t>
      </w:r>
      <w:bookmarkEnd w:id="50"/>
      <w:r w:rsidRPr="00610646">
        <w:rPr>
          <w:rStyle w:val="FootnoteReference"/>
        </w:rPr>
        <w:footnoteReference w:id="46"/>
      </w:r>
    </w:p>
    <w:p w14:paraId="2DC42C71"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1.</w:t>
      </w:r>
      <w:r w:rsidRPr="00CA676A">
        <w:rPr>
          <w:snapToGrid w:val="0"/>
          <w:kern w:val="22"/>
          <w:szCs w:val="22"/>
        </w:rPr>
        <w:tab/>
        <w:t xml:space="preserve">Parties are required by Article 26 of the Convention to submit national reports to the Conference of the Parties on measures taken for the implementation of the Convention and their effectiveness in meeting the objectives of the Convention. The seventh and eighth national reports are due by 28 February 2026 and 30 June 2029, respectively. Given the time required to prepare, approve and submit a national report, Parties are encouraged to start preparing their national reports well before the deadline. </w:t>
      </w:r>
    </w:p>
    <w:p w14:paraId="59E9AFD5"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2.</w:t>
      </w:r>
      <w:r w:rsidRPr="00CA676A">
        <w:rPr>
          <w:snapToGrid w:val="0"/>
          <w:kern w:val="22"/>
          <w:szCs w:val="22"/>
        </w:rPr>
        <w:tab/>
        <w:t xml:space="preserve">The seventh and eighth national reports should provide an assessment of progress in the implementation of the </w:t>
      </w:r>
      <w:r w:rsidRPr="00CA676A">
        <w:rPr>
          <w:rFonts w:asciiTheme="majorBidi" w:hAnsiTheme="majorBidi" w:cstheme="majorBidi"/>
          <w:bCs/>
          <w:snapToGrid w:val="0"/>
          <w:kern w:val="22"/>
          <w:szCs w:val="22"/>
          <w:lang w:val="en-US"/>
        </w:rPr>
        <w:t xml:space="preserve">Kunming-Montreal </w:t>
      </w:r>
      <w:r w:rsidRPr="00632B80">
        <w:rPr>
          <w:snapToGrid w:val="0"/>
          <w:kern w:val="22"/>
          <w:szCs w:val="22"/>
        </w:rPr>
        <w:t>Global Biodiversity Framework</w:t>
      </w:r>
      <w:r w:rsidRPr="00CA676A">
        <w:rPr>
          <w:snapToGrid w:val="0"/>
          <w:kern w:val="22"/>
          <w:szCs w:val="22"/>
        </w:rPr>
        <w:t xml:space="preserve">, including progress towards national targets in the </w:t>
      </w:r>
      <w:r>
        <w:rPr>
          <w:rFonts w:asciiTheme="majorBidi" w:hAnsiTheme="majorBidi" w:cstheme="majorBidi"/>
          <w:szCs w:val="22"/>
        </w:rPr>
        <w:t>n</w:t>
      </w:r>
      <w:r w:rsidRPr="00995F42">
        <w:rPr>
          <w:rFonts w:asciiTheme="majorBidi" w:hAnsiTheme="majorBidi" w:cstheme="majorBidi"/>
          <w:szCs w:val="22"/>
        </w:rPr>
        <w:t>ational biodiversity strateg</w:t>
      </w:r>
      <w:r>
        <w:rPr>
          <w:rFonts w:asciiTheme="majorBidi" w:hAnsiTheme="majorBidi" w:cstheme="majorBidi"/>
          <w:szCs w:val="22"/>
        </w:rPr>
        <w:t>y</w:t>
      </w:r>
      <w:r w:rsidRPr="00995F42">
        <w:rPr>
          <w:rFonts w:asciiTheme="majorBidi" w:hAnsiTheme="majorBidi" w:cstheme="majorBidi"/>
          <w:szCs w:val="22"/>
        </w:rPr>
        <w:t xml:space="preserve"> and action plan</w:t>
      </w:r>
      <w:r w:rsidRPr="00CA676A">
        <w:rPr>
          <w:snapToGrid w:val="0"/>
          <w:kern w:val="22"/>
          <w:szCs w:val="22"/>
        </w:rPr>
        <w:t xml:space="preserve"> </w:t>
      </w:r>
      <w:r>
        <w:rPr>
          <w:snapToGrid w:val="0"/>
          <w:kern w:val="22"/>
          <w:szCs w:val="22"/>
        </w:rPr>
        <w:t xml:space="preserve">(NBSAP) </w:t>
      </w:r>
      <w:r w:rsidRPr="00CA676A">
        <w:rPr>
          <w:snapToGrid w:val="0"/>
          <w:kern w:val="22"/>
          <w:szCs w:val="22"/>
        </w:rPr>
        <w:t xml:space="preserve">as revised or updated in the light of the Framework, and Parties’ progress in the implementation of the </w:t>
      </w:r>
      <w:r w:rsidRPr="00CA676A">
        <w:rPr>
          <w:snapToGrid w:val="0"/>
          <w:kern w:val="22"/>
          <w:szCs w:val="22"/>
          <w:shd w:val="clear" w:color="auto" w:fill="FFFFFF" w:themeFill="background1"/>
        </w:rPr>
        <w:t xml:space="preserve">Framework, </w:t>
      </w:r>
      <w:r w:rsidRPr="00CA676A">
        <w:rPr>
          <w:rStyle w:val="normaltextrun"/>
          <w:rFonts w:eastAsiaTheme="majorEastAsia"/>
          <w:szCs w:val="22"/>
          <w:shd w:val="clear" w:color="auto" w:fill="FFFFFF" w:themeFill="background1"/>
        </w:rPr>
        <w:t>using the most up</w:t>
      </w:r>
      <w:r>
        <w:rPr>
          <w:rStyle w:val="normaltextrun"/>
          <w:rFonts w:eastAsiaTheme="majorEastAsia"/>
          <w:szCs w:val="22"/>
          <w:shd w:val="clear" w:color="auto" w:fill="FFFFFF" w:themeFill="background1"/>
        </w:rPr>
        <w:noBreakHyphen/>
      </w:r>
      <w:r w:rsidRPr="00CA676A">
        <w:rPr>
          <w:rStyle w:val="normaltextrun"/>
          <w:rFonts w:eastAsiaTheme="majorEastAsia"/>
          <w:szCs w:val="22"/>
          <w:shd w:val="clear" w:color="auto" w:fill="FFFFFF" w:themeFill="background1"/>
        </w:rPr>
        <w:t>to</w:t>
      </w:r>
      <w:r>
        <w:rPr>
          <w:rStyle w:val="normaltextrun"/>
          <w:rFonts w:eastAsiaTheme="majorEastAsia"/>
          <w:szCs w:val="22"/>
          <w:shd w:val="clear" w:color="auto" w:fill="FFFFFF" w:themeFill="background1"/>
        </w:rPr>
        <w:noBreakHyphen/>
      </w:r>
      <w:r w:rsidRPr="00CA676A">
        <w:rPr>
          <w:rStyle w:val="normaltextrun"/>
          <w:rFonts w:eastAsiaTheme="majorEastAsia"/>
          <w:szCs w:val="22"/>
          <w:shd w:val="clear" w:color="auto" w:fill="FFFFFF" w:themeFill="background1"/>
        </w:rPr>
        <w:t>date data and information from appropriate sources, including headline indicators as well as component and complementary indicators, and other national indicators, where relevant. Other sources may include any recent reviews of national implementation or other national assessments, in particular any review of the implementation of NBSAPs, that provide a basis for developing national ambition or targets and/or revising or updating NBSAPs to implement the Framework. Parties could use information from earlier national reports as appropriate.</w:t>
      </w:r>
      <w:r w:rsidRPr="00E3500C">
        <w:rPr>
          <w:snapToGrid w:val="0"/>
          <w:kern w:val="22"/>
          <w:szCs w:val="22"/>
        </w:rPr>
        <w:t xml:space="preserve"> </w:t>
      </w:r>
      <w:r w:rsidRPr="00CA676A">
        <w:rPr>
          <w:snapToGrid w:val="0"/>
          <w:kern w:val="22"/>
          <w:szCs w:val="22"/>
        </w:rPr>
        <w:t xml:space="preserve">National reports, reviews or communications submitted under relevant conventions and in connection with the Sustainable Development Goals could also be used as important information for assessing progress in the implementation of the </w:t>
      </w:r>
      <w:r>
        <w:rPr>
          <w:snapToGrid w:val="0"/>
          <w:kern w:val="22"/>
          <w:szCs w:val="22"/>
        </w:rPr>
        <w:t>F</w:t>
      </w:r>
      <w:r w:rsidRPr="00CA676A">
        <w:rPr>
          <w:snapToGrid w:val="0"/>
          <w:kern w:val="22"/>
          <w:szCs w:val="22"/>
        </w:rPr>
        <w:t>ramework.</w:t>
      </w:r>
    </w:p>
    <w:p w14:paraId="750B74D6"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3.</w:t>
      </w:r>
      <w:r w:rsidRPr="00CA676A">
        <w:rPr>
          <w:snapToGrid w:val="0"/>
          <w:kern w:val="22"/>
          <w:szCs w:val="22"/>
        </w:rPr>
        <w:tab/>
        <w:t xml:space="preserve">Further to decision 14/27, in which the Conference of the Parties decided that the submission of the next reports under the Convention and its Protocols would be synchronized, Parties should involve the respective national focal points for the Cartagena and Nagoya Protocols (if different from the primary </w:t>
      </w:r>
      <w:r w:rsidRPr="00CA676A">
        <w:rPr>
          <w:snapToGrid w:val="0"/>
          <w:kern w:val="22"/>
          <w:szCs w:val="22"/>
        </w:rPr>
        <w:lastRenderedPageBreak/>
        <w:t xml:space="preserve">national focal point for the Convention) in the preparation of the national report. National focal points of the biodiversity-related conventions and Rio conventions, as well as the national focal points for the Sustainable Development Goals and other relevant international and regional conventions should also be involved in the preparation of the national report. </w:t>
      </w:r>
    </w:p>
    <w:p w14:paraId="538E3C9D"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4.</w:t>
      </w:r>
      <w:r w:rsidRPr="00CA676A">
        <w:rPr>
          <w:snapToGrid w:val="0"/>
          <w:kern w:val="22"/>
          <w:szCs w:val="22"/>
        </w:rPr>
        <w:tab/>
        <w:t xml:space="preserve">Relevant stakeholders should be involved in the preparation of the national report and may include </w:t>
      </w:r>
      <w:r>
        <w:rPr>
          <w:snapToGrid w:val="0"/>
          <w:kern w:val="22"/>
          <w:szCs w:val="22"/>
        </w:rPr>
        <w:t xml:space="preserve">in it </w:t>
      </w:r>
      <w:r w:rsidRPr="00CA676A">
        <w:rPr>
          <w:snapToGrid w:val="0"/>
          <w:kern w:val="22"/>
          <w:szCs w:val="22"/>
        </w:rPr>
        <w:t>their contributions to the implementation</w:t>
      </w:r>
      <w:r w:rsidRPr="00CA676A" w:rsidDel="00762116">
        <w:rPr>
          <w:snapToGrid w:val="0"/>
          <w:kern w:val="22"/>
          <w:szCs w:val="22"/>
        </w:rPr>
        <w:t xml:space="preserve"> </w:t>
      </w:r>
      <w:r w:rsidRPr="00CA676A">
        <w:rPr>
          <w:snapToGrid w:val="0"/>
          <w:kern w:val="22"/>
          <w:szCs w:val="22"/>
        </w:rPr>
        <w:t xml:space="preserve">of national targets, NBSAPs and the </w:t>
      </w:r>
      <w:r w:rsidRPr="00CA676A">
        <w:rPr>
          <w:rFonts w:asciiTheme="majorBidi" w:hAnsiTheme="majorBidi" w:cstheme="majorBidi"/>
          <w:bCs/>
          <w:snapToGrid w:val="0"/>
          <w:kern w:val="22"/>
          <w:szCs w:val="22"/>
          <w:lang w:val="en-US"/>
        </w:rPr>
        <w:t xml:space="preserve">Kunming-Montreal </w:t>
      </w:r>
      <w:r w:rsidRPr="00CA676A">
        <w:rPr>
          <w:snapToGrid w:val="0"/>
          <w:kern w:val="22"/>
          <w:szCs w:val="22"/>
        </w:rPr>
        <w:t>Global Biodiversity Framework. Contributions from non-</w:t>
      </w:r>
      <w:r>
        <w:rPr>
          <w:snapToGrid w:val="0"/>
          <w:kern w:val="22"/>
          <w:szCs w:val="22"/>
        </w:rPr>
        <w:t>S</w:t>
      </w:r>
      <w:r w:rsidRPr="00CA676A">
        <w:rPr>
          <w:snapToGrid w:val="0"/>
          <w:kern w:val="22"/>
          <w:szCs w:val="22"/>
        </w:rPr>
        <w:t xml:space="preserve">tate actors should, where possible, be clearly identified. </w:t>
      </w:r>
    </w:p>
    <w:p w14:paraId="12B82B14" w14:textId="77777777" w:rsidR="00005A3C" w:rsidRPr="00CA676A" w:rsidRDefault="00005A3C"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sidRPr="00CA676A">
        <w:rPr>
          <w:i/>
          <w:snapToGrid w:val="0"/>
          <w:kern w:val="22"/>
          <w:szCs w:val="22"/>
        </w:rPr>
        <w:t>Structure and format of the seventh and eighth national report and use of the reports</w:t>
      </w:r>
    </w:p>
    <w:p w14:paraId="3E596227"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5.</w:t>
      </w:r>
      <w:r w:rsidRPr="00CA676A">
        <w:rPr>
          <w:snapToGrid w:val="0"/>
          <w:kern w:val="22"/>
          <w:szCs w:val="22"/>
        </w:rPr>
        <w:tab/>
        <w:t>To facilitate the preparation of the seventh and eighth national report</w:t>
      </w:r>
      <w:r>
        <w:rPr>
          <w:snapToGrid w:val="0"/>
          <w:kern w:val="22"/>
          <w:szCs w:val="22"/>
        </w:rPr>
        <w:t>s</w:t>
      </w:r>
      <w:r w:rsidRPr="00CA676A">
        <w:rPr>
          <w:snapToGrid w:val="0"/>
          <w:kern w:val="22"/>
          <w:szCs w:val="22"/>
        </w:rPr>
        <w:t>, each section of the report uses a standardized template that contains specific questions with a choice of possible answers or specific requests for substantive information. There is also space to provide narrative information to further substantiate the answers given in a focused and succinct manner. Links to relevant websites and publications where additional information, including metadata for indicators, may be found, should be provided, reducing the need to include this information directly in the national report.</w:t>
      </w:r>
    </w:p>
    <w:p w14:paraId="06173B60"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ind w:hanging="5"/>
        <w:rPr>
          <w:snapToGrid w:val="0"/>
          <w:kern w:val="22"/>
          <w:szCs w:val="22"/>
        </w:rPr>
      </w:pPr>
      <w:r w:rsidRPr="00CA676A">
        <w:rPr>
          <w:snapToGrid w:val="0"/>
          <w:kern w:val="22"/>
          <w:szCs w:val="22"/>
        </w:rPr>
        <w:t>6.</w:t>
      </w:r>
      <w:r w:rsidRPr="00CA676A">
        <w:rPr>
          <w:snapToGrid w:val="0"/>
          <w:kern w:val="22"/>
          <w:szCs w:val="22"/>
        </w:rPr>
        <w:tab/>
        <w:t>The seventh and eighth national report format contains five sections:</w:t>
      </w:r>
    </w:p>
    <w:p w14:paraId="444D971C"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w:t>
      </w:r>
      <w:r w:rsidRPr="00CA676A">
        <w:rPr>
          <w:snapToGrid w:val="0"/>
          <w:kern w:val="22"/>
          <w:szCs w:val="22"/>
        </w:rPr>
        <w:tab/>
        <w:t>Brief overview of the process of preparation of the report;</w:t>
      </w:r>
    </w:p>
    <w:p w14:paraId="6FAAE0B7"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II</w:t>
      </w:r>
      <w:r w:rsidRPr="00CA676A">
        <w:rPr>
          <w:snapToGrid w:val="0"/>
          <w:kern w:val="22"/>
          <w:szCs w:val="22"/>
        </w:rPr>
        <w:tab/>
        <w:t xml:space="preserve">Status of the revised or updated </w:t>
      </w:r>
      <w:bookmarkStart w:id="51" w:name="_Hlk117160494"/>
      <w:r w:rsidRPr="00CA676A">
        <w:rPr>
          <w:snapToGrid w:val="0"/>
          <w:kern w:val="22"/>
          <w:szCs w:val="22"/>
        </w:rPr>
        <w:t>national biodiversity strategy and action plan (</w:t>
      </w:r>
      <w:bookmarkEnd w:id="51"/>
      <w:r w:rsidRPr="00CA676A">
        <w:rPr>
          <w:snapToGrid w:val="0"/>
          <w:kern w:val="22"/>
          <w:szCs w:val="22"/>
        </w:rPr>
        <w:t xml:space="preserve">NBSAP) in the light of the </w:t>
      </w:r>
      <w:r w:rsidRPr="00CA676A">
        <w:rPr>
          <w:rFonts w:asciiTheme="majorBidi" w:hAnsiTheme="majorBidi" w:cstheme="majorBidi"/>
          <w:bCs/>
          <w:snapToGrid w:val="0"/>
          <w:kern w:val="22"/>
          <w:szCs w:val="22"/>
          <w:lang w:val="en-US"/>
        </w:rPr>
        <w:t xml:space="preserve">Kunming-Montreal </w:t>
      </w:r>
      <w:r w:rsidRPr="00CA676A">
        <w:rPr>
          <w:snapToGrid w:val="0"/>
          <w:kern w:val="22"/>
          <w:szCs w:val="22"/>
        </w:rPr>
        <w:t>Global Biodiversity Framework;</w:t>
      </w:r>
    </w:p>
    <w:p w14:paraId="097BBAA1"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III</w:t>
      </w:r>
      <w:r w:rsidRPr="00CA676A">
        <w:rPr>
          <w:snapToGrid w:val="0"/>
          <w:kern w:val="22"/>
          <w:szCs w:val="22"/>
        </w:rPr>
        <w:tab/>
        <w:t xml:space="preserve"> Assessment of progress towards national targets</w:t>
      </w:r>
      <w:r>
        <w:rPr>
          <w:snapToGrid w:val="0"/>
          <w:kern w:val="22"/>
          <w:szCs w:val="22"/>
        </w:rPr>
        <w:t>;</w:t>
      </w:r>
      <w:r w:rsidRPr="00610646">
        <w:rPr>
          <w:rStyle w:val="FootnoteReference"/>
        </w:rPr>
        <w:footnoteReference w:id="47"/>
      </w:r>
    </w:p>
    <w:p w14:paraId="6AB36690"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IV</w:t>
      </w:r>
      <w:r w:rsidRPr="00CA676A">
        <w:rPr>
          <w:snapToGrid w:val="0"/>
          <w:kern w:val="22"/>
          <w:szCs w:val="22"/>
        </w:rPr>
        <w:tab/>
        <w:t xml:space="preserve">Assessment of progress related to the goals </w:t>
      </w:r>
      <w:r>
        <w:rPr>
          <w:snapToGrid w:val="0"/>
          <w:kern w:val="22"/>
          <w:szCs w:val="22"/>
        </w:rPr>
        <w:t xml:space="preserve">and targets </w:t>
      </w:r>
      <w:r w:rsidRPr="00CA676A">
        <w:rPr>
          <w:snapToGrid w:val="0"/>
          <w:kern w:val="22"/>
          <w:szCs w:val="22"/>
        </w:rPr>
        <w:t xml:space="preserve">of the </w:t>
      </w:r>
      <w:r w:rsidRPr="00CA676A">
        <w:rPr>
          <w:rFonts w:asciiTheme="majorBidi" w:hAnsiTheme="majorBidi" w:cstheme="majorBidi"/>
          <w:bCs/>
          <w:snapToGrid w:val="0"/>
          <w:kern w:val="22"/>
          <w:szCs w:val="22"/>
          <w:lang w:val="en-US"/>
        </w:rPr>
        <w:t xml:space="preserve">Kunming-Montreal </w:t>
      </w:r>
      <w:r w:rsidRPr="00CA676A">
        <w:rPr>
          <w:snapToGrid w:val="0"/>
          <w:kern w:val="22"/>
          <w:szCs w:val="22"/>
        </w:rPr>
        <w:t>Global Biodiversity Framework;</w:t>
      </w:r>
    </w:p>
    <w:p w14:paraId="7F72855D"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V</w:t>
      </w:r>
      <w:r w:rsidRPr="00CA676A">
        <w:rPr>
          <w:snapToGrid w:val="0"/>
          <w:kern w:val="22"/>
          <w:szCs w:val="22"/>
        </w:rPr>
        <w:tab/>
        <w:t xml:space="preserve">Conclusions on the implementation of the Convention and the </w:t>
      </w:r>
      <w:r w:rsidRPr="00CA676A">
        <w:rPr>
          <w:rFonts w:asciiTheme="majorBidi" w:hAnsiTheme="majorBidi" w:cstheme="majorBidi"/>
          <w:bCs/>
          <w:snapToGrid w:val="0"/>
          <w:kern w:val="22"/>
          <w:szCs w:val="22"/>
          <w:lang w:val="en-US"/>
        </w:rPr>
        <w:t xml:space="preserve">Kunming-Montreal </w:t>
      </w:r>
      <w:r w:rsidRPr="00CA676A">
        <w:rPr>
          <w:snapToGrid w:val="0"/>
          <w:kern w:val="22"/>
          <w:szCs w:val="22"/>
        </w:rPr>
        <w:t>Global Biodiversity Framework;</w:t>
      </w:r>
    </w:p>
    <w:p w14:paraId="677345EE" w14:textId="77777777" w:rsidR="00005A3C" w:rsidRPr="00CA676A" w:rsidRDefault="00005A3C"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Annex</w:t>
      </w:r>
      <w:r w:rsidRPr="00CA676A">
        <w:rPr>
          <w:snapToGrid w:val="0"/>
          <w:kern w:val="22"/>
          <w:szCs w:val="22"/>
        </w:rPr>
        <w:tab/>
        <w:t>Information as requested in related decisions adopted by the Conference of the Parties at its fifteenth meeting.</w:t>
      </w:r>
    </w:p>
    <w:p w14:paraId="4C4EB31F"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7.</w:t>
      </w:r>
      <w:r w:rsidRPr="00CA676A">
        <w:rPr>
          <w:snapToGrid w:val="0"/>
          <w:kern w:val="22"/>
          <w:szCs w:val="22"/>
        </w:rPr>
        <w:tab/>
        <w:t>A resource manual will be available before the sixteenth meeting of the Conference of the Parties to provide further guidance and explanations on the use of the template and links to potential sources of information for the preparation of the seventh and eighth national reports. Other supporting materials and tools will be developed or enhanced as needed before the sixteenth meeting of the Conference of the Parties to support the preparation of the report.</w:t>
      </w:r>
    </w:p>
    <w:p w14:paraId="023A892D" w14:textId="77777777" w:rsidR="00005A3C" w:rsidRPr="00CA676A" w:rsidRDefault="00005A3C"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sidRPr="00CA676A">
        <w:rPr>
          <w:i/>
          <w:snapToGrid w:val="0"/>
          <w:kern w:val="22"/>
          <w:szCs w:val="22"/>
        </w:rPr>
        <w:t>Use of indicators for monitoring and reporting</w:t>
      </w:r>
    </w:p>
    <w:p w14:paraId="1AAD3FD1"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sidRPr="00CA676A">
        <w:rPr>
          <w:color w:val="000000" w:themeColor="text1"/>
          <w:kern w:val="22"/>
          <w:szCs w:val="22"/>
        </w:rPr>
        <w:t>8.</w:t>
      </w:r>
      <w:r w:rsidRPr="00CA676A">
        <w:rPr>
          <w:color w:val="000000" w:themeColor="text1"/>
          <w:kern w:val="22"/>
          <w:szCs w:val="22"/>
        </w:rPr>
        <w:tab/>
      </w:r>
      <w:r w:rsidRPr="00CA676A">
        <w:rPr>
          <w:color w:val="000000" w:themeColor="text1"/>
          <w:szCs w:val="22"/>
        </w:rPr>
        <w:t xml:space="preserve">The template allows for information to be provided on all headline indicators and questions related to the binary indicators as set out in the monitoring framework of the </w:t>
      </w:r>
      <w:r w:rsidRPr="00CA676A">
        <w:rPr>
          <w:rFonts w:asciiTheme="majorBidi" w:hAnsiTheme="majorBidi" w:cstheme="majorBidi"/>
          <w:bCs/>
          <w:snapToGrid w:val="0"/>
          <w:kern w:val="22"/>
          <w:szCs w:val="22"/>
          <w:lang w:val="en-US"/>
        </w:rPr>
        <w:t xml:space="preserve">Kunming-Montreal </w:t>
      </w:r>
      <w:r w:rsidRPr="00CA676A">
        <w:rPr>
          <w:color w:val="000000" w:themeColor="text1"/>
          <w:szCs w:val="22"/>
        </w:rPr>
        <w:t>Global Biodiversity Framework.</w:t>
      </w:r>
      <w:r w:rsidRPr="00610646">
        <w:rPr>
          <w:rStyle w:val="FootnoteReference"/>
        </w:rPr>
        <w:footnoteReference w:id="48"/>
      </w:r>
      <w:r w:rsidRPr="00CA676A">
        <w:rPr>
          <w:color w:val="000000" w:themeColor="text1"/>
          <w:szCs w:val="22"/>
        </w:rPr>
        <w:t xml:space="preserve"> It also includes the option to include information on component and complementary indicators</w:t>
      </w:r>
      <w:r>
        <w:rPr>
          <w:color w:val="000000" w:themeColor="text1"/>
          <w:szCs w:val="22"/>
        </w:rPr>
        <w:t>,</w:t>
      </w:r>
      <w:r w:rsidRPr="00CA676A">
        <w:rPr>
          <w:color w:val="000000" w:themeColor="text1"/>
          <w:szCs w:val="22"/>
        </w:rPr>
        <w:t xml:space="preserve"> as well as national indicators as referenced in the monitoring framework of the </w:t>
      </w:r>
      <w:r w:rsidRPr="00CA676A">
        <w:rPr>
          <w:rFonts w:asciiTheme="majorBidi" w:hAnsiTheme="majorBidi" w:cstheme="majorBidi"/>
          <w:bCs/>
          <w:snapToGrid w:val="0"/>
          <w:kern w:val="22"/>
          <w:szCs w:val="22"/>
          <w:lang w:val="en-US"/>
        </w:rPr>
        <w:t>Kunming</w:t>
      </w:r>
      <w:r>
        <w:rPr>
          <w:rFonts w:asciiTheme="majorBidi" w:hAnsiTheme="majorBidi" w:cstheme="majorBidi"/>
          <w:bCs/>
          <w:snapToGrid w:val="0"/>
          <w:kern w:val="22"/>
          <w:szCs w:val="22"/>
          <w:lang w:val="en-US"/>
        </w:rPr>
        <w:noBreakHyphen/>
      </w:r>
      <w:r w:rsidRPr="00CA676A">
        <w:rPr>
          <w:rFonts w:asciiTheme="majorBidi" w:hAnsiTheme="majorBidi" w:cstheme="majorBidi"/>
          <w:bCs/>
          <w:snapToGrid w:val="0"/>
          <w:kern w:val="22"/>
          <w:szCs w:val="22"/>
          <w:lang w:val="en-US"/>
        </w:rPr>
        <w:t xml:space="preserve">Montreal </w:t>
      </w:r>
      <w:r w:rsidRPr="00CA676A">
        <w:rPr>
          <w:color w:val="000000" w:themeColor="text1"/>
          <w:szCs w:val="22"/>
        </w:rPr>
        <w:t xml:space="preserve">Global Biodiversity Framework. </w:t>
      </w:r>
    </w:p>
    <w:p w14:paraId="0375FED0" w14:textId="77777777" w:rsidR="00005A3C" w:rsidRPr="00CA676A" w:rsidRDefault="00005A3C" w:rsidP="009D6BD6">
      <w:pPr>
        <w:pStyle w:val="Para1"/>
        <w:keepNext/>
        <w:numPr>
          <w:ilvl w:val="0"/>
          <w:numId w:val="0"/>
        </w:numPr>
        <w:suppressLineNumbers/>
        <w:shd w:val="clear" w:color="auto" w:fill="FFFFFF" w:themeFill="background1"/>
        <w:suppressAutoHyphens/>
        <w:kinsoku w:val="0"/>
        <w:adjustRightInd w:val="0"/>
        <w:jc w:val="left"/>
        <w:rPr>
          <w:i/>
          <w:color w:val="000000" w:themeColor="text1"/>
        </w:rPr>
      </w:pPr>
      <w:r w:rsidRPr="00CA676A">
        <w:rPr>
          <w:i/>
          <w:color w:val="000000" w:themeColor="text1"/>
        </w:rPr>
        <w:lastRenderedPageBreak/>
        <w:t>Enhancing synergies in reporting under the biodiversity-related conventions and the Rio conventions and in relation to the Sustainable Development Goals</w:t>
      </w:r>
    </w:p>
    <w:p w14:paraId="60BD196C" w14:textId="77777777" w:rsidR="00005A3C" w:rsidRPr="00CA676A"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sidRPr="00CA676A">
        <w:rPr>
          <w:color w:val="000000" w:themeColor="text1"/>
          <w:kern w:val="22"/>
          <w:szCs w:val="22"/>
        </w:rPr>
        <w:t>9.</w:t>
      </w:r>
      <w:r w:rsidRPr="00CA676A">
        <w:rPr>
          <w:color w:val="000000" w:themeColor="text1"/>
          <w:kern w:val="22"/>
          <w:szCs w:val="22"/>
        </w:rPr>
        <w:tab/>
        <w:t xml:space="preserve">Parties are also encouraged to use the clearing-house mechanism/Bioland tool. The voluntary Data Reporting Tool for Multilateral Environmental Agreements (DaRT) developed by the United Nations Environment Programme is also available to Parties. </w:t>
      </w:r>
    </w:p>
    <w:p w14:paraId="51853659" w14:textId="77777777" w:rsidR="00005A3C" w:rsidRPr="00CA676A" w:rsidRDefault="00005A3C" w:rsidP="009D6BD6">
      <w:pPr>
        <w:pStyle w:val="Para1"/>
        <w:keepNext/>
        <w:numPr>
          <w:ilvl w:val="0"/>
          <w:numId w:val="0"/>
        </w:numPr>
        <w:suppressLineNumbers/>
        <w:shd w:val="clear" w:color="auto" w:fill="FFFFFF" w:themeFill="background1"/>
        <w:suppressAutoHyphens/>
        <w:kinsoku w:val="0"/>
        <w:adjustRightInd w:val="0"/>
        <w:rPr>
          <w:i/>
          <w:color w:val="000000" w:themeColor="text1"/>
        </w:rPr>
      </w:pPr>
      <w:r w:rsidRPr="00CA676A">
        <w:rPr>
          <w:i/>
          <w:color w:val="000000" w:themeColor="text1"/>
        </w:rPr>
        <w:t>Submission of the report</w:t>
      </w:r>
    </w:p>
    <w:p w14:paraId="7E82E6AB" w14:textId="3AAC5023" w:rsidR="00005A3C" w:rsidRPr="00CA676A" w:rsidRDefault="00005A3C" w:rsidP="009D6BD6">
      <w:pPr>
        <w:pStyle w:val="Para1"/>
        <w:numPr>
          <w:ilvl w:val="0"/>
          <w:numId w:val="0"/>
        </w:numPr>
        <w:shd w:val="clear" w:color="auto" w:fill="FFFFFF" w:themeFill="background1"/>
        <w:rPr>
          <w:color w:val="000000" w:themeColor="text1"/>
        </w:rPr>
      </w:pPr>
      <w:r w:rsidRPr="00CA676A">
        <w:rPr>
          <w:color w:val="000000" w:themeColor="text1"/>
        </w:rPr>
        <w:t>10.</w:t>
      </w:r>
      <w:r w:rsidRPr="00CA676A">
        <w:rPr>
          <w:color w:val="000000" w:themeColor="text1"/>
        </w:rPr>
        <w:tab/>
        <w:t>To facilitate the preparation and submission of the seventh and eighth national report</w:t>
      </w:r>
      <w:r>
        <w:rPr>
          <w:color w:val="000000" w:themeColor="text1"/>
        </w:rPr>
        <w:t>,</w:t>
      </w:r>
      <w:r w:rsidRPr="00CA676A">
        <w:rPr>
          <w:color w:val="000000" w:themeColor="text1"/>
        </w:rPr>
        <w:t xml:space="preserve"> an online reporting tool is available.</w:t>
      </w:r>
      <w:r w:rsidRPr="00610646">
        <w:rPr>
          <w:rStyle w:val="FootnoteReference"/>
        </w:rPr>
        <w:footnoteReference w:id="49"/>
      </w:r>
      <w:r w:rsidRPr="00CA676A">
        <w:rPr>
          <w:color w:val="000000" w:themeColor="text1"/>
        </w:rPr>
        <w:t xml:space="preserve"> The online tool will allow multiple national authorized users to draft elements of the national report and submit them for review and internal approval before formal submission by a national publishing authority. The tool will allow Parties to submit parts of the national report as they are finalized or </w:t>
      </w:r>
      <w:r>
        <w:rPr>
          <w:color w:val="000000" w:themeColor="text1"/>
        </w:rPr>
        <w:t xml:space="preserve">to </w:t>
      </w:r>
      <w:r w:rsidRPr="00CA676A">
        <w:rPr>
          <w:color w:val="000000" w:themeColor="text1"/>
        </w:rPr>
        <w:t xml:space="preserve">submit the entire report once all the sections are completed. The tool will also allow Parties to accept and verify data on relevant headline indicators from relevant regional/global data sets. For those Parties with limited Internet access or </w:t>
      </w:r>
      <w:r>
        <w:rPr>
          <w:color w:val="000000" w:themeColor="text1"/>
        </w:rPr>
        <w:t xml:space="preserve">those </w:t>
      </w:r>
      <w:r w:rsidRPr="00CA676A">
        <w:rPr>
          <w:color w:val="000000" w:themeColor="text1"/>
        </w:rPr>
        <w:t>wh</w:t>
      </w:r>
      <w:r>
        <w:rPr>
          <w:color w:val="000000" w:themeColor="text1"/>
        </w:rPr>
        <w:t>o</w:t>
      </w:r>
      <w:r w:rsidRPr="00CA676A">
        <w:rPr>
          <w:color w:val="000000" w:themeColor="text1"/>
        </w:rPr>
        <w:t xml:space="preserve"> prefer to submit their national reports in document form, an offline version of the reporting templates will be made available. If the national report is submitted in document form, it should be accompanied by an official letter or an email message from the national focal point for the Convention or a senior Government official responsible for the implementation of the Convention. Parties not using the online reporting tool may send their seventh and eighth national report to the main email address of the Secretariat (</w:t>
      </w:r>
      <w:hyperlink r:id="rId21" w:history="1">
        <w:r w:rsidRPr="00CA676A">
          <w:rPr>
            <w:rStyle w:val="Hyperlink"/>
            <w:kern w:val="18"/>
            <w:sz w:val="22"/>
          </w:rPr>
          <w:t>secretariat@cbd.int</w:t>
        </w:r>
      </w:hyperlink>
      <w:r w:rsidRPr="00CA676A">
        <w:rPr>
          <w:color w:val="000000" w:themeColor="text1"/>
        </w:rPr>
        <w:t>).</w:t>
      </w:r>
    </w:p>
    <w:p w14:paraId="7ED8355D" w14:textId="77777777" w:rsidR="00005A3C" w:rsidRPr="004F65AE" w:rsidRDefault="00005A3C" w:rsidP="0050251E">
      <w:pPr>
        <w:keepNext/>
        <w:shd w:val="clear" w:color="auto" w:fill="FFFFFF" w:themeFill="background1"/>
        <w:spacing w:before="360" w:after="120"/>
        <w:jc w:val="center"/>
        <w:rPr>
          <w:snapToGrid w:val="0"/>
          <w:kern w:val="22"/>
          <w:sz w:val="20"/>
          <w:szCs w:val="20"/>
        </w:rPr>
      </w:pPr>
      <w:r w:rsidRPr="004F65AE">
        <w:rPr>
          <w:rFonts w:ascii="Times New Roman Bold" w:hAnsi="Times New Roman Bold"/>
          <w:b/>
          <w:bCs/>
          <w:caps/>
          <w:sz w:val="20"/>
          <w:szCs w:val="20"/>
        </w:rPr>
        <w:t>Draft template for the seventh national report</w:t>
      </w:r>
    </w:p>
    <w:p w14:paraId="47842BBE" w14:textId="77777777" w:rsidR="00005A3C" w:rsidRPr="004F65AE" w:rsidRDefault="00005A3C" w:rsidP="009D6BD6">
      <w:pPr>
        <w:keepNext/>
        <w:shd w:val="clear" w:color="auto" w:fill="FFFFFF" w:themeFill="background1"/>
        <w:spacing w:before="240" w:after="120"/>
        <w:rPr>
          <w:b/>
          <w:bCs/>
          <w:snapToGrid w:val="0"/>
          <w:kern w:val="22"/>
          <w:sz w:val="20"/>
          <w:szCs w:val="20"/>
        </w:rPr>
      </w:pPr>
      <w:r w:rsidRPr="004F65AE">
        <w:rPr>
          <w:b/>
          <w:bCs/>
          <w:snapToGrid w:val="0"/>
          <w:kern w:val="22"/>
          <w:sz w:val="20"/>
          <w:szCs w:val="20"/>
        </w:rPr>
        <w:t>Section I. Brief overview of the process of preparation of the report</w:t>
      </w:r>
    </w:p>
    <w:tbl>
      <w:tblPr>
        <w:tblStyle w:val="TableGrid"/>
        <w:tblW w:w="0" w:type="auto"/>
        <w:jc w:val="center"/>
        <w:tblLook w:val="04A0" w:firstRow="1" w:lastRow="0" w:firstColumn="1" w:lastColumn="0" w:noHBand="0" w:noVBand="1"/>
      </w:tblPr>
      <w:tblGrid>
        <w:gridCol w:w="9350"/>
      </w:tblGrid>
      <w:tr w:rsidR="00005A3C" w:rsidRPr="004F65AE" w14:paraId="3C6784B2" w14:textId="77777777" w:rsidTr="00F36208">
        <w:trPr>
          <w:jc w:val="center"/>
        </w:trPr>
        <w:tc>
          <w:tcPr>
            <w:tcW w:w="9445" w:type="dxa"/>
            <w:shd w:val="clear" w:color="auto" w:fill="auto"/>
          </w:tcPr>
          <w:p w14:paraId="348EF4B6" w14:textId="77777777" w:rsidR="00005A3C" w:rsidRPr="004F65AE" w:rsidRDefault="00005A3C" w:rsidP="00F36208">
            <w:pPr>
              <w:keepNext/>
              <w:shd w:val="clear" w:color="auto" w:fill="FFFFFF" w:themeFill="background1"/>
              <w:spacing w:before="240" w:after="120"/>
              <w:jc w:val="left"/>
              <w:rPr>
                <w:b/>
                <w:snapToGrid w:val="0"/>
                <w:kern w:val="22"/>
                <w:sz w:val="20"/>
                <w:szCs w:val="20"/>
              </w:rPr>
            </w:pPr>
            <w:r w:rsidRPr="004F65AE">
              <w:rPr>
                <w:b/>
                <w:snapToGrid w:val="0"/>
                <w:kern w:val="22"/>
                <w:sz w:val="20"/>
                <w:szCs w:val="20"/>
              </w:rPr>
              <w:t>Please briefly describe the process undertaken for the preparation of this report (responses may include the following):</w:t>
            </w:r>
          </w:p>
          <w:p w14:paraId="6B4EB80A"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sidRPr="004F65AE">
              <w:rPr>
                <w:rFonts w:ascii="Courier New" w:hAnsi="Courier New"/>
                <w:snapToGrid w:val="0"/>
                <w:kern w:val="22"/>
                <w:sz w:val="20"/>
                <w:szCs w:val="20"/>
              </w:rPr>
              <w:t>o</w:t>
            </w:r>
            <w:r w:rsidRPr="004F65AE">
              <w:rPr>
                <w:rFonts w:ascii="Courier New" w:hAnsi="Courier New"/>
                <w:snapToGrid w:val="0"/>
                <w:kern w:val="22"/>
                <w:sz w:val="20"/>
                <w:szCs w:val="20"/>
              </w:rPr>
              <w:tab/>
            </w:r>
            <w:r w:rsidRPr="004F65AE">
              <w:rPr>
                <w:snapToGrid w:val="0"/>
                <w:kern w:val="22"/>
                <w:sz w:val="20"/>
                <w:szCs w:val="20"/>
              </w:rPr>
              <w:t>Coordination mechanisms and methodology for data collection and validation employed (if applicable) as well as key challenges encountered;</w:t>
            </w:r>
          </w:p>
          <w:p w14:paraId="45F7543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sidRPr="004F65AE">
              <w:rPr>
                <w:rFonts w:ascii="Courier New" w:hAnsi="Courier New"/>
                <w:snapToGrid w:val="0"/>
                <w:kern w:val="22"/>
                <w:sz w:val="20"/>
                <w:szCs w:val="20"/>
              </w:rPr>
              <w:t>o</w:t>
            </w:r>
            <w:r w:rsidRPr="004F65AE">
              <w:rPr>
                <w:rFonts w:ascii="Courier New" w:hAnsi="Courier New"/>
                <w:snapToGrid w:val="0"/>
                <w:kern w:val="22"/>
                <w:sz w:val="20"/>
                <w:szCs w:val="20"/>
              </w:rPr>
              <w:tab/>
            </w:r>
            <w:r w:rsidRPr="004F65AE">
              <w:rPr>
                <w:snapToGrid w:val="0"/>
                <w:kern w:val="22"/>
                <w:sz w:val="20"/>
                <w:szCs w:val="20"/>
              </w:rPr>
              <w:t>Consultations undertaken at various levels for preparing this report, involving and engaging various stakeholders</w:t>
            </w:r>
            <w:r>
              <w:rPr>
                <w:snapToGrid w:val="0"/>
                <w:kern w:val="22"/>
                <w:sz w:val="20"/>
                <w:szCs w:val="20"/>
              </w:rPr>
              <w:t>,</w:t>
            </w:r>
            <w:r w:rsidRPr="004F65AE">
              <w:rPr>
                <w:snapToGrid w:val="0"/>
                <w:kern w:val="22"/>
                <w:sz w:val="20"/>
                <w:szCs w:val="20"/>
              </w:rPr>
              <w:t xml:space="preserve"> taking into account national circumstances.</w:t>
            </w:r>
          </w:p>
        </w:tc>
      </w:tr>
      <w:tr w:rsidR="00005A3C" w:rsidRPr="004F65AE" w14:paraId="7E7E0CE5" w14:textId="77777777" w:rsidTr="00F36208">
        <w:trPr>
          <w:jc w:val="center"/>
        </w:trPr>
        <w:tc>
          <w:tcPr>
            <w:tcW w:w="9445" w:type="dxa"/>
            <w:shd w:val="clear" w:color="auto" w:fill="FFFFFF" w:themeFill="background1"/>
          </w:tcPr>
          <w:p w14:paraId="6A5A8704" w14:textId="77777777" w:rsidR="00005A3C" w:rsidRPr="004F65AE" w:rsidRDefault="00005A3C" w:rsidP="00F36208">
            <w:pPr>
              <w:keepNext/>
              <w:shd w:val="clear" w:color="auto" w:fill="FFFFFF" w:themeFill="background1"/>
              <w:spacing w:before="240" w:after="120"/>
              <w:jc w:val="left"/>
              <w:rPr>
                <w:b/>
                <w:bCs/>
                <w:snapToGrid w:val="0"/>
                <w:kern w:val="22"/>
                <w:sz w:val="20"/>
                <w:szCs w:val="20"/>
              </w:rPr>
            </w:pPr>
          </w:p>
          <w:p w14:paraId="2DFA82F0" w14:textId="77777777" w:rsidR="00005A3C" w:rsidRPr="004F65AE" w:rsidRDefault="00005A3C" w:rsidP="00F36208">
            <w:pPr>
              <w:keepNext/>
              <w:shd w:val="clear" w:color="auto" w:fill="FFFFFF" w:themeFill="background1"/>
              <w:spacing w:before="240" w:after="120"/>
              <w:jc w:val="left"/>
              <w:rPr>
                <w:b/>
                <w:bCs/>
                <w:snapToGrid w:val="0"/>
                <w:kern w:val="22"/>
                <w:sz w:val="20"/>
                <w:szCs w:val="20"/>
              </w:rPr>
            </w:pPr>
          </w:p>
        </w:tc>
      </w:tr>
    </w:tbl>
    <w:p w14:paraId="44C1B9FB" w14:textId="77777777" w:rsidR="00005A3C" w:rsidRPr="004F65AE" w:rsidRDefault="00005A3C" w:rsidP="009D6BD6">
      <w:pPr>
        <w:keepNext/>
        <w:shd w:val="clear" w:color="auto" w:fill="FFFFFF" w:themeFill="background1"/>
        <w:spacing w:before="240" w:after="120"/>
        <w:jc w:val="left"/>
        <w:rPr>
          <w:b/>
          <w:bCs/>
          <w:snapToGrid w:val="0"/>
          <w:kern w:val="22"/>
          <w:sz w:val="20"/>
          <w:szCs w:val="20"/>
        </w:rPr>
      </w:pPr>
      <w:r w:rsidRPr="004F65AE">
        <w:rPr>
          <w:b/>
          <w:bCs/>
          <w:snapToGrid w:val="0"/>
          <w:kern w:val="22"/>
          <w:sz w:val="20"/>
          <w:szCs w:val="20"/>
        </w:rPr>
        <w:t xml:space="preserve">Section II. Status of the revised or updated national biodiversity strategies and action plans (NBSAPs) in the light of the </w:t>
      </w:r>
      <w:r w:rsidRPr="00E43B5C">
        <w:rPr>
          <w:rFonts w:asciiTheme="majorBidi" w:hAnsiTheme="majorBidi" w:cstheme="majorBidi"/>
          <w:b/>
          <w:snapToGrid w:val="0"/>
          <w:kern w:val="22"/>
          <w:sz w:val="20"/>
          <w:szCs w:val="20"/>
          <w:lang w:val="en-US"/>
        </w:rPr>
        <w:t xml:space="preserve">Kunming-Montreal </w:t>
      </w:r>
      <w:r>
        <w:rPr>
          <w:b/>
          <w:snapToGrid w:val="0"/>
          <w:kern w:val="22"/>
          <w:sz w:val="20"/>
          <w:szCs w:val="20"/>
        </w:rPr>
        <w:t>G</w:t>
      </w:r>
      <w:r w:rsidRPr="00E43B5C">
        <w:rPr>
          <w:b/>
          <w:snapToGrid w:val="0"/>
          <w:kern w:val="22"/>
          <w:sz w:val="20"/>
          <w:szCs w:val="20"/>
        </w:rPr>
        <w:t>lobal</w:t>
      </w:r>
      <w:r w:rsidRPr="004F65AE">
        <w:rPr>
          <w:b/>
          <w:bCs/>
          <w:snapToGrid w:val="0"/>
          <w:kern w:val="22"/>
          <w:sz w:val="20"/>
          <w:szCs w:val="20"/>
        </w:rPr>
        <w:t xml:space="preserve"> </w:t>
      </w:r>
      <w:r>
        <w:rPr>
          <w:b/>
          <w:bCs/>
          <w:snapToGrid w:val="0"/>
          <w:kern w:val="22"/>
          <w:sz w:val="20"/>
          <w:szCs w:val="20"/>
        </w:rPr>
        <w:t>B</w:t>
      </w:r>
      <w:r w:rsidRPr="004F65AE">
        <w:rPr>
          <w:b/>
          <w:bCs/>
          <w:snapToGrid w:val="0"/>
          <w:kern w:val="22"/>
          <w:sz w:val="20"/>
          <w:szCs w:val="20"/>
        </w:rPr>
        <w:t xml:space="preserve">iodiversity </w:t>
      </w:r>
      <w:r>
        <w:rPr>
          <w:b/>
          <w:bCs/>
          <w:snapToGrid w:val="0"/>
          <w:kern w:val="22"/>
          <w:sz w:val="20"/>
          <w:szCs w:val="20"/>
        </w:rPr>
        <w:t>F</w:t>
      </w:r>
      <w:r w:rsidRPr="004F65AE">
        <w:rPr>
          <w:b/>
          <w:bCs/>
          <w:snapToGrid w:val="0"/>
          <w:kern w:val="22"/>
          <w:sz w:val="20"/>
          <w:szCs w:val="20"/>
        </w:rPr>
        <w:t xml:space="preserve">ramework </w:t>
      </w:r>
    </w:p>
    <w:tbl>
      <w:tblPr>
        <w:tblStyle w:val="TableGrid"/>
        <w:tblW w:w="0" w:type="auto"/>
        <w:shd w:val="clear" w:color="auto" w:fill="FFFFFF" w:themeFill="background1"/>
        <w:tblLook w:val="04A0" w:firstRow="1" w:lastRow="0" w:firstColumn="1" w:lastColumn="0" w:noHBand="0" w:noVBand="1"/>
      </w:tblPr>
      <w:tblGrid>
        <w:gridCol w:w="4252"/>
        <w:gridCol w:w="5098"/>
      </w:tblGrid>
      <w:tr w:rsidR="00005A3C" w:rsidRPr="004F65AE" w14:paraId="5F1C63F6" w14:textId="77777777" w:rsidTr="00F36208">
        <w:tc>
          <w:tcPr>
            <w:tcW w:w="4283" w:type="dxa"/>
            <w:shd w:val="clear" w:color="auto" w:fill="FFFFFF" w:themeFill="background1"/>
          </w:tcPr>
          <w:p w14:paraId="5708B7B6"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Has your country revised or updated NBSAP</w:t>
            </w:r>
            <w:r>
              <w:rPr>
                <w:b/>
                <w:bCs/>
                <w:snapToGrid w:val="0"/>
                <w:kern w:val="22"/>
                <w:sz w:val="20"/>
                <w:szCs w:val="20"/>
              </w:rPr>
              <w:t>s</w:t>
            </w:r>
            <w:r w:rsidRPr="004F65AE">
              <w:rPr>
                <w:b/>
                <w:bCs/>
                <w:snapToGrid w:val="0"/>
                <w:kern w:val="22"/>
                <w:sz w:val="20"/>
                <w:szCs w:val="20"/>
              </w:rPr>
              <w:t xml:space="preserve"> in </w:t>
            </w:r>
            <w:r>
              <w:rPr>
                <w:b/>
                <w:bCs/>
                <w:snapToGrid w:val="0"/>
                <w:kern w:val="22"/>
                <w:sz w:val="20"/>
                <w:szCs w:val="20"/>
              </w:rPr>
              <w:t xml:space="preserve">the </w:t>
            </w:r>
            <w:r w:rsidRPr="004F65AE">
              <w:rPr>
                <w:b/>
                <w:bCs/>
                <w:snapToGrid w:val="0"/>
                <w:kern w:val="22"/>
                <w:sz w:val="20"/>
                <w:szCs w:val="20"/>
              </w:rPr>
              <w:t xml:space="preserve">light of the </w:t>
            </w:r>
            <w:r w:rsidRPr="00E43B5C">
              <w:rPr>
                <w:rFonts w:asciiTheme="majorBidi" w:hAnsiTheme="majorBidi" w:cstheme="majorBidi"/>
                <w:b/>
                <w:snapToGrid w:val="0"/>
                <w:kern w:val="22"/>
                <w:sz w:val="20"/>
                <w:szCs w:val="20"/>
                <w:lang w:val="en-US"/>
              </w:rPr>
              <w:t>Kunming-Montreal</w:t>
            </w:r>
            <w:r w:rsidRPr="00E43B5C">
              <w:rPr>
                <w:rFonts w:asciiTheme="majorBidi" w:hAnsiTheme="majorBidi" w:cstheme="majorBidi"/>
                <w:bCs/>
                <w:snapToGrid w:val="0"/>
                <w:kern w:val="22"/>
                <w:sz w:val="20"/>
                <w:szCs w:val="20"/>
                <w:lang w:val="en-US"/>
              </w:rPr>
              <w:t xml:space="preserve"> </w:t>
            </w:r>
            <w:r>
              <w:rPr>
                <w:b/>
                <w:bCs/>
                <w:snapToGrid w:val="0"/>
                <w:kern w:val="22"/>
                <w:sz w:val="20"/>
                <w:szCs w:val="20"/>
              </w:rPr>
              <w:t>G</w:t>
            </w:r>
            <w:r w:rsidRPr="004F65AE">
              <w:rPr>
                <w:b/>
                <w:bCs/>
                <w:snapToGrid w:val="0"/>
                <w:kern w:val="22"/>
                <w:sz w:val="20"/>
                <w:szCs w:val="20"/>
              </w:rPr>
              <w:t xml:space="preserve">lobal </w:t>
            </w:r>
            <w:r>
              <w:rPr>
                <w:b/>
                <w:bCs/>
                <w:snapToGrid w:val="0"/>
                <w:kern w:val="22"/>
                <w:sz w:val="20"/>
                <w:szCs w:val="20"/>
              </w:rPr>
              <w:t>B</w:t>
            </w:r>
            <w:r w:rsidRPr="004F65AE">
              <w:rPr>
                <w:b/>
                <w:bCs/>
                <w:snapToGrid w:val="0"/>
                <w:kern w:val="22"/>
                <w:sz w:val="20"/>
                <w:szCs w:val="20"/>
              </w:rPr>
              <w:t xml:space="preserve">iodiversity </w:t>
            </w:r>
            <w:r>
              <w:rPr>
                <w:b/>
                <w:bCs/>
                <w:snapToGrid w:val="0"/>
                <w:kern w:val="22"/>
                <w:sz w:val="20"/>
                <w:szCs w:val="20"/>
              </w:rPr>
              <w:t>F</w:t>
            </w:r>
            <w:r w:rsidRPr="004F65AE">
              <w:rPr>
                <w:b/>
                <w:bCs/>
                <w:snapToGrid w:val="0"/>
                <w:kern w:val="22"/>
                <w:sz w:val="20"/>
                <w:szCs w:val="20"/>
              </w:rPr>
              <w:t>ramework?</w:t>
            </w:r>
          </w:p>
        </w:tc>
        <w:tc>
          <w:tcPr>
            <w:tcW w:w="5169" w:type="dxa"/>
            <w:tcBorders>
              <w:bottom w:val="nil"/>
            </w:tcBorders>
            <w:shd w:val="clear" w:color="auto" w:fill="FFFFFF" w:themeFill="background1"/>
          </w:tcPr>
          <w:p w14:paraId="047C9FAE"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Yes</w:t>
            </w:r>
          </w:p>
          <w:p w14:paraId="3C069287"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No</w:t>
            </w:r>
          </w:p>
          <w:p w14:paraId="63302759"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In process</w:t>
            </w:r>
          </w:p>
          <w:p w14:paraId="49626729" w14:textId="77777777" w:rsidR="00005A3C" w:rsidRPr="004F65AE" w:rsidRDefault="00005A3C" w:rsidP="00CA676A">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rPr>
            </w:pPr>
            <w:r w:rsidRPr="004F65AE">
              <w:rPr>
                <w:rFonts w:eastAsia="MS Gothic"/>
                <w:color w:val="000000"/>
                <w:kern w:val="22"/>
                <w:sz w:val="20"/>
                <w:szCs w:val="20"/>
              </w:rPr>
              <w:t>If you answer “no” or “in process” please indicate the anticipated</w:t>
            </w:r>
            <w:r>
              <w:rPr>
                <w:rFonts w:eastAsia="MS Gothic"/>
                <w:color w:val="000000"/>
                <w:kern w:val="22"/>
                <w:sz w:val="20"/>
                <w:szCs w:val="20"/>
              </w:rPr>
              <w:t xml:space="preserve"> </w:t>
            </w:r>
            <w:r w:rsidRPr="004F65AE">
              <w:rPr>
                <w:rFonts w:eastAsia="MS Gothic"/>
                <w:color w:val="000000"/>
                <w:kern w:val="22"/>
                <w:sz w:val="20"/>
                <w:szCs w:val="20"/>
              </w:rPr>
              <w:t xml:space="preserve">date </w:t>
            </w:r>
            <w:r>
              <w:rPr>
                <w:rFonts w:eastAsia="MS Gothic"/>
                <w:color w:val="000000"/>
                <w:kern w:val="22"/>
                <w:sz w:val="20"/>
                <w:szCs w:val="20"/>
              </w:rPr>
              <w:t xml:space="preserve">of </w:t>
            </w:r>
            <w:r w:rsidRPr="00A451B4">
              <w:rPr>
                <w:rFonts w:eastAsia="MS Gothic"/>
                <w:color w:val="000000"/>
                <w:kern w:val="22"/>
                <w:sz w:val="20"/>
                <w:szCs w:val="20"/>
              </w:rPr>
              <w:t>completion of the</w:t>
            </w:r>
            <w:r w:rsidRPr="004F65AE">
              <w:rPr>
                <w:rFonts w:eastAsia="MS Gothic"/>
                <w:color w:val="000000"/>
                <w:kern w:val="22"/>
                <w:sz w:val="20"/>
                <w:szCs w:val="20"/>
              </w:rPr>
              <w:t xml:space="preserve"> revision or updating of </w:t>
            </w:r>
            <w:r>
              <w:rPr>
                <w:rFonts w:eastAsia="MS Gothic"/>
                <w:color w:val="000000"/>
                <w:kern w:val="22"/>
                <w:sz w:val="20"/>
                <w:szCs w:val="20"/>
              </w:rPr>
              <w:t xml:space="preserve">the </w:t>
            </w:r>
            <w:r w:rsidRPr="004F65AE">
              <w:rPr>
                <w:rFonts w:eastAsia="MS Gothic"/>
                <w:color w:val="000000"/>
                <w:kern w:val="22"/>
                <w:sz w:val="20"/>
                <w:szCs w:val="20"/>
              </w:rPr>
              <w:t>NBSAP:___________________</w:t>
            </w:r>
            <w:r>
              <w:rPr>
                <w:rFonts w:eastAsia="MS Gothic"/>
                <w:color w:val="000000"/>
                <w:kern w:val="22"/>
                <w:sz w:val="20"/>
                <w:szCs w:val="20"/>
              </w:rPr>
              <w:t>___________________</w:t>
            </w:r>
          </w:p>
        </w:tc>
      </w:tr>
      <w:tr w:rsidR="00005A3C" w:rsidRPr="004F65AE" w14:paraId="5231BA9E" w14:textId="77777777" w:rsidTr="00F36208">
        <w:tc>
          <w:tcPr>
            <w:tcW w:w="4283" w:type="dxa"/>
            <w:shd w:val="clear" w:color="auto" w:fill="FFFFFF" w:themeFill="background1"/>
          </w:tcPr>
          <w:p w14:paraId="5F33CCED" w14:textId="77777777" w:rsidR="00005A3C" w:rsidRDefault="00005A3C" w:rsidP="0084740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 xml:space="preserve">Did your country involve and engage stakeholders in revising or updating NBSAPs? </w:t>
            </w:r>
          </w:p>
          <w:p w14:paraId="614983E7"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5169" w:type="dxa"/>
            <w:tcBorders>
              <w:bottom w:val="nil"/>
            </w:tcBorders>
            <w:shd w:val="clear" w:color="auto" w:fill="FFFFFF" w:themeFill="background1"/>
          </w:tcPr>
          <w:p w14:paraId="5C560CA8" w14:textId="77777777" w:rsidR="00005A3C" w:rsidRPr="004F65AE" w:rsidRDefault="00C10F84"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EndPr/>
              <w:sdtContent>
                <w:r w:rsidR="00005A3C">
                  <w:rPr>
                    <w:rFonts w:ascii="MS Gothic" w:eastAsia="MS Gothic" w:hAnsi="MS Gothic" w:hint="eastAsia"/>
                    <w:color w:val="000000"/>
                    <w:kern w:val="22"/>
                    <w:sz w:val="20"/>
                    <w:szCs w:val="20"/>
                  </w:rPr>
                  <w:t>☐</w:t>
                </w:r>
              </w:sdtContent>
            </w:sdt>
            <w:r w:rsidR="00005A3C" w:rsidRPr="004F65AE">
              <w:rPr>
                <w:rFonts w:eastAsia="MS Gothic"/>
                <w:color w:val="000000"/>
                <w:kern w:val="22"/>
                <w:sz w:val="20"/>
                <w:szCs w:val="20"/>
              </w:rPr>
              <w:t xml:space="preserve"> Yes</w:t>
            </w:r>
          </w:p>
          <w:p w14:paraId="6C307DC4" w14:textId="77777777" w:rsidR="00005A3C" w:rsidRDefault="00C10F84"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No</w:t>
            </w:r>
          </w:p>
          <w:p w14:paraId="44F04FC9" w14:textId="3739A6D8" w:rsidR="00005A3C" w:rsidRDefault="00C10F84" w:rsidP="006B202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Pr>
                <w:rFonts w:eastAsia="MS Gothic"/>
                <w:color w:val="000000"/>
                <w:kern w:val="22"/>
                <w:sz w:val="20"/>
                <w:szCs w:val="20"/>
              </w:rPr>
              <w:t xml:space="preserve">If yes, please indicate: (drop down menu) </w:t>
            </w:r>
            <w:r w:rsidR="00005A3C">
              <w:rPr>
                <w:b/>
                <w:bCs/>
                <w:snapToGrid w:val="0"/>
                <w:kern w:val="22"/>
                <w:sz w:val="20"/>
                <w:szCs w:val="20"/>
              </w:rPr>
              <w:t>Women IPLC, Youth, Other</w:t>
            </w:r>
          </w:p>
        </w:tc>
      </w:tr>
      <w:tr w:rsidR="00005A3C" w:rsidRPr="004F65AE" w14:paraId="2D5CDA70" w14:textId="77777777" w:rsidTr="00F36208">
        <w:tc>
          <w:tcPr>
            <w:tcW w:w="4283" w:type="dxa"/>
            <w:shd w:val="clear" w:color="auto" w:fill="FFFFFF" w:themeFill="background1"/>
          </w:tcPr>
          <w:p w14:paraId="58D12F1E" w14:textId="77777777" w:rsidR="00005A3C"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lastRenderedPageBreak/>
              <w:t>Has your country’s revised or updated NBSAP</w:t>
            </w:r>
            <w:r>
              <w:rPr>
                <w:b/>
                <w:bCs/>
                <w:snapToGrid w:val="0"/>
                <w:kern w:val="22"/>
                <w:sz w:val="20"/>
                <w:szCs w:val="20"/>
              </w:rPr>
              <w:t>s</w:t>
            </w:r>
            <w:r w:rsidRPr="004F65AE">
              <w:rPr>
                <w:b/>
                <w:bCs/>
                <w:snapToGrid w:val="0"/>
                <w:kern w:val="22"/>
                <w:sz w:val="20"/>
                <w:szCs w:val="20"/>
              </w:rPr>
              <w:t xml:space="preserve"> been adopted as policy or legal instruments?</w:t>
            </w:r>
          </w:p>
          <w:p w14:paraId="6C096511" w14:textId="77777777" w:rsidR="00005A3C"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p w14:paraId="3F772ED8"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________________________________________</w:t>
            </w:r>
          </w:p>
        </w:tc>
        <w:tc>
          <w:tcPr>
            <w:tcW w:w="5169" w:type="dxa"/>
            <w:tcBorders>
              <w:bottom w:val="nil"/>
            </w:tcBorders>
            <w:shd w:val="clear" w:color="auto" w:fill="FFFFFF" w:themeFill="background1"/>
          </w:tcPr>
          <w:p w14:paraId="5A4CDD13"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14:checkbox>
                  <w14:checked w14:val="1"/>
                  <w14:checkedState w14:val="2612" w14:font="MS Gothic"/>
                  <w14:uncheckedState w14:val="2610" w14:font="MS Gothic"/>
                </w14:checkbox>
              </w:sdtPr>
              <w:sdtEndPr/>
              <w:sdtContent>
                <w:r w:rsidR="00005A3C">
                  <w:rPr>
                    <w:rFonts w:ascii="MS Gothic" w:eastAsia="MS Gothic" w:hAnsi="MS Gothic" w:cs="Segoe UI Symbol" w:hint="eastAsia"/>
                    <w:color w:val="000000"/>
                    <w:kern w:val="22"/>
                    <w:sz w:val="20"/>
                    <w:szCs w:val="20"/>
                  </w:rPr>
                  <w:t>☒</w:t>
                </w:r>
              </w:sdtContent>
            </w:sdt>
            <w:r w:rsidR="00005A3C" w:rsidRPr="004F65AE">
              <w:rPr>
                <w:rFonts w:eastAsia="MS Gothic"/>
                <w:color w:val="000000"/>
                <w:kern w:val="22"/>
                <w:sz w:val="20"/>
                <w:szCs w:val="20"/>
              </w:rPr>
              <w:t xml:space="preserve"> Yes</w:t>
            </w:r>
          </w:p>
          <w:p w14:paraId="51C9FC1E"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No</w:t>
            </w:r>
          </w:p>
          <w:p w14:paraId="4CD9D90C"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14:checkbox>
                  <w14:checked w14:val="0"/>
                  <w14:checkedState w14:val="2612" w14:font="MS Gothic"/>
                  <w14:uncheckedState w14:val="2610" w14:font="MS Gothic"/>
                </w14:checkbox>
              </w:sdtPr>
              <w:sdtEndPr/>
              <w:sdtContent>
                <w:r w:rsidR="00005A3C" w:rsidRPr="004F65AE">
                  <w:rPr>
                    <w:rFonts w:ascii="Segoe UI Symbol" w:eastAsia="MS Gothic" w:hAnsi="Segoe UI Symbol" w:cs="Segoe UI Symbol"/>
                    <w:color w:val="000000"/>
                    <w:kern w:val="22"/>
                    <w:sz w:val="20"/>
                    <w:szCs w:val="20"/>
                  </w:rPr>
                  <w:t>☐</w:t>
                </w:r>
              </w:sdtContent>
            </w:sdt>
            <w:r w:rsidR="00005A3C" w:rsidRPr="004F65AE">
              <w:rPr>
                <w:rFonts w:eastAsia="MS Gothic"/>
                <w:color w:val="000000"/>
                <w:kern w:val="22"/>
                <w:sz w:val="20"/>
                <w:szCs w:val="20"/>
              </w:rPr>
              <w:t xml:space="preserve"> In process</w:t>
            </w:r>
          </w:p>
          <w:p w14:paraId="5C688C81"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Other</w:t>
            </w:r>
          </w:p>
          <w:p w14:paraId="31E32753"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4F65AE">
              <w:rPr>
                <w:snapToGrid w:val="0"/>
                <w:kern w:val="22"/>
                <w:sz w:val="20"/>
                <w:szCs w:val="20"/>
              </w:rPr>
              <w:t xml:space="preserve">If you answered “No”, </w:t>
            </w:r>
            <w:r w:rsidRPr="004F65AE">
              <w:rPr>
                <w:kern w:val="22"/>
                <w:sz w:val="20"/>
                <w:szCs w:val="20"/>
              </w:rPr>
              <w:t xml:space="preserve">please indicate the anticipated date of </w:t>
            </w:r>
            <w:r w:rsidRPr="004F65AE">
              <w:rPr>
                <w:snapToGrid w:val="0"/>
                <w:kern w:val="22"/>
                <w:sz w:val="20"/>
                <w:szCs w:val="20"/>
              </w:rPr>
              <w:t>adoption:</w:t>
            </w:r>
          </w:p>
          <w:p w14:paraId="72687BA8"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4F65AE">
              <w:rPr>
                <w:snapToGrid w:val="0"/>
                <w:kern w:val="22"/>
                <w:sz w:val="20"/>
                <w:szCs w:val="20"/>
              </w:rPr>
              <w:t>________________</w:t>
            </w:r>
            <w:r>
              <w:rPr>
                <w:snapToGrid w:val="0"/>
                <w:kern w:val="22"/>
                <w:sz w:val="20"/>
                <w:szCs w:val="20"/>
              </w:rPr>
              <w:t>________________________________</w:t>
            </w:r>
          </w:p>
        </w:tc>
      </w:tr>
      <w:tr w:rsidR="00005A3C" w:rsidRPr="004F65AE" w14:paraId="267A07F0" w14:textId="77777777" w:rsidTr="00F36208">
        <w:tc>
          <w:tcPr>
            <w:tcW w:w="4283" w:type="dxa"/>
            <w:shd w:val="clear" w:color="auto" w:fill="FFFFFF" w:themeFill="background1"/>
          </w:tcPr>
          <w:p w14:paraId="5E34BEA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If you answered “Yes” above, please indicate the type of policy instrument your country’s revised or updated NBSAP</w:t>
            </w:r>
            <w:r>
              <w:rPr>
                <w:b/>
                <w:bCs/>
                <w:snapToGrid w:val="0"/>
                <w:kern w:val="22"/>
                <w:sz w:val="20"/>
                <w:szCs w:val="20"/>
              </w:rPr>
              <w:t>s</w:t>
            </w:r>
            <w:r w:rsidRPr="004F65AE">
              <w:rPr>
                <w:b/>
                <w:bCs/>
                <w:snapToGrid w:val="0"/>
                <w:kern w:val="22"/>
                <w:sz w:val="20"/>
                <w:szCs w:val="20"/>
              </w:rPr>
              <w:t xml:space="preserve"> has been adopted as</w:t>
            </w:r>
          </w:p>
        </w:tc>
        <w:tc>
          <w:tcPr>
            <w:tcW w:w="5169" w:type="dxa"/>
            <w:tcBorders>
              <w:top w:val="nil"/>
            </w:tcBorders>
            <w:shd w:val="clear" w:color="auto" w:fill="FFFFFF" w:themeFill="background1"/>
          </w:tcPr>
          <w:p w14:paraId="2882B67B"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Adopted through legislation or otherwise by parliament</w:t>
            </w:r>
          </w:p>
          <w:p w14:paraId="399F4DCC"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546104209"/>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Adopted by Council of Ministers, Office of the President/Prime Minister or equivalent whole-of-government body</w:t>
            </w:r>
          </w:p>
          <w:p w14:paraId="2F785F08"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870454939"/>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 xml:space="preserve">Adopted by Ministry of Environment </w:t>
            </w:r>
            <w:r w:rsidR="00005A3C" w:rsidRPr="005433D0">
              <w:rPr>
                <w:kern w:val="22"/>
                <w:sz w:val="20"/>
                <w:szCs w:val="20"/>
              </w:rPr>
              <w:t>or other sectoral</w:t>
            </w:r>
            <w:r w:rsidR="00005A3C" w:rsidRPr="004F65AE">
              <w:rPr>
                <w:kern w:val="22"/>
                <w:sz w:val="20"/>
                <w:szCs w:val="20"/>
              </w:rPr>
              <w:t xml:space="preserve"> ministry</w:t>
            </w:r>
          </w:p>
          <w:p w14:paraId="37E27A2B"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46152409"/>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Integrated into the poverty reduction strategy, sustainable development strategy, national development plan, and other related strategies or plans</w:t>
            </w:r>
          </w:p>
          <w:p w14:paraId="0675894F"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Other (please specify)</w:t>
            </w:r>
          </w:p>
          <w:p w14:paraId="66214C53"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4F65AE">
              <w:rPr>
                <w:snapToGrid w:val="0"/>
                <w:kern w:val="22"/>
                <w:sz w:val="20"/>
                <w:szCs w:val="20"/>
              </w:rPr>
              <w:t>________________________</w:t>
            </w:r>
            <w:r>
              <w:rPr>
                <w:snapToGrid w:val="0"/>
                <w:kern w:val="22"/>
                <w:sz w:val="20"/>
                <w:szCs w:val="20"/>
              </w:rPr>
              <w:t>_______________________</w:t>
            </w:r>
          </w:p>
        </w:tc>
      </w:tr>
    </w:tbl>
    <w:p w14:paraId="328F385D" w14:textId="77777777" w:rsidR="00005A3C" w:rsidRPr="004F65AE" w:rsidRDefault="00005A3C" w:rsidP="009D6BD6">
      <w:pPr>
        <w:keepNext/>
        <w:shd w:val="clear" w:color="auto" w:fill="FFFFFF" w:themeFill="background1"/>
        <w:spacing w:before="240" w:after="120"/>
        <w:jc w:val="left"/>
        <w:rPr>
          <w:b/>
          <w:bCs/>
          <w:snapToGrid w:val="0"/>
          <w:kern w:val="22"/>
          <w:sz w:val="20"/>
          <w:szCs w:val="20"/>
        </w:rPr>
      </w:pPr>
      <w:r w:rsidRPr="004F65AE">
        <w:rPr>
          <w:b/>
          <w:bCs/>
          <w:snapToGrid w:val="0"/>
          <w:kern w:val="22"/>
          <w:sz w:val="20"/>
          <w:szCs w:val="20"/>
        </w:rPr>
        <w:t xml:space="preserve">Section III. Assessment of progress towards national targets </w:t>
      </w:r>
    </w:p>
    <w:p w14:paraId="3B7207C6" w14:textId="77777777" w:rsidR="00005A3C" w:rsidRPr="004F65AE" w:rsidRDefault="00005A3C" w:rsidP="009D6BD6">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4F65AE">
        <w:rPr>
          <w:snapToGrid w:val="0"/>
          <w:kern w:val="22"/>
          <w:sz w:val="20"/>
          <w:szCs w:val="20"/>
        </w:rPr>
        <w:t xml:space="preserve">Please use the following templates to report on progress in the implementation of your national targets and revised or updated NBSAPs in the light of the </w:t>
      </w:r>
      <w:r w:rsidRPr="00E43B5C">
        <w:rPr>
          <w:rFonts w:asciiTheme="majorBidi" w:hAnsiTheme="majorBidi" w:cstheme="majorBidi"/>
          <w:bCs/>
          <w:snapToGrid w:val="0"/>
          <w:kern w:val="22"/>
          <w:sz w:val="20"/>
          <w:szCs w:val="20"/>
          <w:lang w:val="en-US"/>
        </w:rPr>
        <w:t xml:space="preserve">Kunming-Montreal </w:t>
      </w:r>
      <w:r>
        <w:rPr>
          <w:snapToGrid w:val="0"/>
          <w:kern w:val="22"/>
          <w:sz w:val="20"/>
          <w:szCs w:val="20"/>
        </w:rPr>
        <w:t>G</w:t>
      </w:r>
      <w:r w:rsidRPr="004F65AE">
        <w:rPr>
          <w:snapToGrid w:val="0"/>
          <w:kern w:val="22"/>
          <w:sz w:val="20"/>
          <w:szCs w:val="20"/>
        </w:rPr>
        <w:t xml:space="preserve">lobal </w:t>
      </w:r>
      <w:r>
        <w:rPr>
          <w:snapToGrid w:val="0"/>
          <w:kern w:val="22"/>
          <w:sz w:val="20"/>
          <w:szCs w:val="20"/>
        </w:rPr>
        <w:t>B</w:t>
      </w:r>
      <w:r w:rsidRPr="004F65AE">
        <w:rPr>
          <w:snapToGrid w:val="0"/>
          <w:kern w:val="22"/>
          <w:sz w:val="20"/>
          <w:szCs w:val="20"/>
        </w:rPr>
        <w:t xml:space="preserve">iodiversity </w:t>
      </w:r>
      <w:r>
        <w:rPr>
          <w:snapToGrid w:val="0"/>
          <w:kern w:val="22"/>
          <w:sz w:val="20"/>
          <w:szCs w:val="20"/>
        </w:rPr>
        <w:t>F</w:t>
      </w:r>
      <w:r w:rsidRPr="004F65AE">
        <w:rPr>
          <w:snapToGrid w:val="0"/>
          <w:kern w:val="22"/>
          <w:sz w:val="20"/>
          <w:szCs w:val="20"/>
        </w:rPr>
        <w:t>ramework</w:t>
      </w:r>
    </w:p>
    <w:tbl>
      <w:tblPr>
        <w:tblStyle w:val="TableGrid"/>
        <w:tblW w:w="0" w:type="auto"/>
        <w:shd w:val="clear" w:color="auto" w:fill="FFFFFF" w:themeFill="background1"/>
        <w:tblLook w:val="04A0" w:firstRow="1" w:lastRow="0" w:firstColumn="1" w:lastColumn="0" w:noHBand="0" w:noVBand="1"/>
      </w:tblPr>
      <w:tblGrid>
        <w:gridCol w:w="4287"/>
        <w:gridCol w:w="5063"/>
      </w:tblGrid>
      <w:tr w:rsidR="00005A3C" w:rsidRPr="004F65AE" w14:paraId="5EBF5F38" w14:textId="77777777" w:rsidTr="00F36208">
        <w:trPr>
          <w:trHeight w:val="287"/>
        </w:trPr>
        <w:tc>
          <w:tcPr>
            <w:tcW w:w="9355" w:type="dxa"/>
            <w:gridSpan w:val="2"/>
            <w:shd w:val="clear" w:color="auto" w:fill="FFFFFF" w:themeFill="background1"/>
          </w:tcPr>
          <w:p w14:paraId="20A1156B" w14:textId="77777777" w:rsidR="00005A3C" w:rsidRPr="004F65AE" w:rsidDel="006853CD"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National target </w:t>
            </w:r>
            <w:r w:rsidRPr="004F65AE">
              <w:rPr>
                <w:i/>
                <w:iCs/>
                <w:snapToGrid w:val="0"/>
                <w:kern w:val="22"/>
                <w:sz w:val="20"/>
                <w:szCs w:val="20"/>
              </w:rPr>
              <w:t>(pre-populated from the submission of national targets)</w:t>
            </w:r>
          </w:p>
        </w:tc>
      </w:tr>
      <w:tr w:rsidR="00005A3C" w:rsidRPr="004F65AE" w14:paraId="1FA66B8F" w14:textId="77777777" w:rsidTr="00F36208">
        <w:trPr>
          <w:trHeight w:val="286"/>
        </w:trPr>
        <w:tc>
          <w:tcPr>
            <w:tcW w:w="4289" w:type="dxa"/>
            <w:shd w:val="clear" w:color="auto" w:fill="FFFFFF" w:themeFill="background1"/>
          </w:tcPr>
          <w:p w14:paraId="6EB4CDC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Please briefly describe the main actions taken to implement this national target</w:t>
            </w:r>
          </w:p>
        </w:tc>
        <w:tc>
          <w:tcPr>
            <w:tcW w:w="5066" w:type="dxa"/>
            <w:shd w:val="clear" w:color="auto" w:fill="FFFFFF" w:themeFill="background1"/>
          </w:tcPr>
          <w:p w14:paraId="2946E40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005A3C" w:rsidRPr="004F65AE" w14:paraId="54BCDA15" w14:textId="77777777" w:rsidTr="00F36208">
        <w:tc>
          <w:tcPr>
            <w:tcW w:w="4289" w:type="dxa"/>
            <w:shd w:val="clear" w:color="auto" w:fill="FFFFFF" w:themeFill="background1"/>
          </w:tcPr>
          <w:p w14:paraId="4E791B53"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iCs/>
                <w:sz w:val="20"/>
                <w:szCs w:val="20"/>
              </w:rPr>
              <w:t>Please indicate the current level of progress towards this national target</w:t>
            </w:r>
          </w:p>
        </w:tc>
        <w:tc>
          <w:tcPr>
            <w:tcW w:w="5066" w:type="dxa"/>
            <w:shd w:val="clear" w:color="auto" w:fill="FFFFFF" w:themeFill="background1"/>
          </w:tcPr>
          <w:p w14:paraId="171A18D8"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On track to achieve target</w:t>
            </w:r>
          </w:p>
          <w:p w14:paraId="5F37DA34"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Progress towards target but at an insufficient rate</w:t>
            </w:r>
          </w:p>
          <w:p w14:paraId="7CBADE85"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No significant progress </w:t>
            </w:r>
          </w:p>
          <w:p w14:paraId="27F78828"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Moving away from target</w:t>
            </w:r>
          </w:p>
          <w:p w14:paraId="5E2F397A"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Unknown</w:t>
            </w:r>
          </w:p>
        </w:tc>
      </w:tr>
      <w:tr w:rsidR="00005A3C" w:rsidRPr="004F65AE" w14:paraId="4960AF4F" w14:textId="77777777" w:rsidTr="00F36208">
        <w:tc>
          <w:tcPr>
            <w:tcW w:w="4289" w:type="dxa"/>
            <w:shd w:val="clear" w:color="auto" w:fill="FFFFFF" w:themeFill="background1"/>
          </w:tcPr>
          <w:p w14:paraId="6C072C8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bCs/>
                <w:snapToGrid w:val="0"/>
                <w:kern w:val="22"/>
                <w:sz w:val="20"/>
                <w:szCs w:val="20"/>
              </w:rPr>
              <w:t>Please provide a summary of progress towards this national target, including the main outcomes achieved, key challenges encountered, and different approaches that may be taken for further implementation</w:t>
            </w:r>
          </w:p>
        </w:tc>
        <w:tc>
          <w:tcPr>
            <w:tcW w:w="5066" w:type="dxa"/>
            <w:shd w:val="clear" w:color="auto" w:fill="FFFFFF" w:themeFill="background1"/>
          </w:tcPr>
          <w:p w14:paraId="6A43E2C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005A3C" w:rsidRPr="004F65AE" w14:paraId="0B8E8AA7" w14:textId="77777777" w:rsidTr="00F36208">
        <w:tc>
          <w:tcPr>
            <w:tcW w:w="4289" w:type="dxa"/>
            <w:shd w:val="clear" w:color="auto" w:fill="FFFFFF" w:themeFill="background1"/>
          </w:tcPr>
          <w:p w14:paraId="1D32459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iCs/>
                <w:sz w:val="20"/>
                <w:szCs w:val="20"/>
              </w:rPr>
              <w:t xml:space="preserve">Please provide data on indicators (headline, component, complementary or other national indicator) used for assessing progress towards this national target </w:t>
            </w:r>
            <w:r w:rsidRPr="004F65AE">
              <w:rPr>
                <w:bCs/>
                <w:i/>
                <w:sz w:val="20"/>
                <w:szCs w:val="20"/>
              </w:rPr>
              <w:t>(pre-populated from the submission of national targets)</w:t>
            </w:r>
          </w:p>
        </w:tc>
        <w:tc>
          <w:tcPr>
            <w:tcW w:w="5066" w:type="dxa"/>
            <w:shd w:val="clear" w:color="auto" w:fill="FFFFFF" w:themeFill="background1"/>
          </w:tcPr>
          <w:p w14:paraId="2CA37350" w14:textId="77777777" w:rsidR="00005A3C" w:rsidRPr="004F65AE" w:rsidRDefault="00005A3C" w:rsidP="00F36208">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4F65AE">
              <w:rPr>
                <w:i/>
                <w:iCs/>
                <w:snapToGrid w:val="0"/>
                <w:kern w:val="22"/>
                <w:sz w:val="20"/>
                <w:szCs w:val="20"/>
              </w:rPr>
              <w:t>Provide tabular or graphic data or a hyperlink</w:t>
            </w:r>
          </w:p>
          <w:p w14:paraId="158BA147"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4F65AE">
              <w:rPr>
                <w:bCs/>
                <w:snapToGrid w:val="0"/>
                <w:kern w:val="22"/>
                <w:sz w:val="20"/>
                <w:szCs w:val="20"/>
              </w:rPr>
              <w:t>(For the headline indicators and other indicators available to the CBD, the following options will be presented to facilitate the reporting. As per the national target template, each headline indicator would be associated with at least one national target)</w:t>
            </w:r>
          </w:p>
          <w:p w14:paraId="28B6D2C6"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11530445"/>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snapToGrid w:val="0"/>
                <w:kern w:val="22"/>
                <w:sz w:val="20"/>
                <w:szCs w:val="20"/>
              </w:rPr>
              <w:t xml:space="preserve">Use national data set </w:t>
            </w:r>
          </w:p>
          <w:p w14:paraId="08C0AF54"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23453272"/>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Use the available data (pre-populated data)</w:t>
            </w:r>
          </w:p>
          <w:p w14:paraId="6312E23C"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8376902"/>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No data available</w:t>
            </w:r>
          </w:p>
          <w:p w14:paraId="667E04E4" w14:textId="77777777" w:rsidR="00005A3C" w:rsidRPr="004F65AE" w:rsidRDefault="00C10F84" w:rsidP="00CA676A">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sdt>
              <w:sdtPr>
                <w:rPr>
                  <w:rFonts w:eastAsia="MS Gothic"/>
                  <w:color w:val="000000"/>
                  <w:kern w:val="22"/>
                  <w:sz w:val="20"/>
                  <w:szCs w:val="20"/>
                </w:rPr>
                <w:id w:val="-347012734"/>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Not relevant</w:t>
            </w:r>
          </w:p>
        </w:tc>
      </w:tr>
      <w:tr w:rsidR="00005A3C" w:rsidRPr="004F65AE" w14:paraId="6EB75FAD" w14:textId="77777777" w:rsidTr="00F36208">
        <w:tc>
          <w:tcPr>
            <w:tcW w:w="4289" w:type="dxa"/>
            <w:shd w:val="clear" w:color="auto" w:fill="FFFFFF" w:themeFill="background1"/>
          </w:tcPr>
          <w:p w14:paraId="7669EAC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iCs/>
                <w:sz w:val="20"/>
                <w:szCs w:val="20"/>
              </w:rPr>
              <w:lastRenderedPageBreak/>
              <w:t>Please provide examples or cases to illustrate the effectiveness of the actions taken to implement this national target. If needed, provide relevant web links or attach related materials or publications</w:t>
            </w:r>
          </w:p>
        </w:tc>
        <w:tc>
          <w:tcPr>
            <w:tcW w:w="5066" w:type="dxa"/>
            <w:shd w:val="clear" w:color="auto" w:fill="FFFFFF" w:themeFill="background1"/>
          </w:tcPr>
          <w:p w14:paraId="585FCFE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005A3C" w:rsidRPr="004F65AE" w14:paraId="6A5F3637" w14:textId="77777777" w:rsidTr="00F36208">
        <w:tc>
          <w:tcPr>
            <w:tcW w:w="4289" w:type="dxa"/>
            <w:shd w:val="clear" w:color="auto" w:fill="FFFFFF" w:themeFill="background1"/>
          </w:tcPr>
          <w:p w14:paraId="0BDE67B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Please briefly describe how the implementation of this national target relates to progress in achieving related Sustainable Development Goals and associated targets and implementation of other related agreements </w:t>
            </w:r>
            <w:r w:rsidRPr="004F65AE">
              <w:rPr>
                <w:i/>
                <w:iCs/>
                <w:snapToGrid w:val="0"/>
                <w:kern w:val="22"/>
                <w:sz w:val="20"/>
                <w:szCs w:val="20"/>
              </w:rPr>
              <w:t>(optional)</w:t>
            </w:r>
          </w:p>
        </w:tc>
        <w:tc>
          <w:tcPr>
            <w:tcW w:w="5066" w:type="dxa"/>
            <w:shd w:val="clear" w:color="auto" w:fill="FFFFFF" w:themeFill="background1"/>
          </w:tcPr>
          <w:p w14:paraId="6E3E62BF"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306B6218" w14:textId="77777777" w:rsidR="00005A3C" w:rsidRPr="004F65AE" w:rsidRDefault="00005A3C" w:rsidP="009D6BD6">
      <w:pPr>
        <w:keepNext/>
        <w:shd w:val="clear" w:color="auto" w:fill="FFFFFF" w:themeFill="background1"/>
        <w:spacing w:before="240" w:after="120"/>
        <w:rPr>
          <w:b/>
          <w:bCs/>
          <w:snapToGrid w:val="0"/>
          <w:kern w:val="22"/>
          <w:sz w:val="20"/>
          <w:szCs w:val="20"/>
        </w:rPr>
      </w:pPr>
      <w:r w:rsidRPr="004F65AE">
        <w:rPr>
          <w:b/>
          <w:bCs/>
          <w:snapToGrid w:val="0"/>
          <w:kern w:val="22"/>
          <w:sz w:val="20"/>
          <w:szCs w:val="20"/>
        </w:rPr>
        <w:t>Section IV. Assessment of national progress towards the goals</w:t>
      </w:r>
      <w:r>
        <w:rPr>
          <w:b/>
          <w:bCs/>
          <w:snapToGrid w:val="0"/>
          <w:kern w:val="22"/>
          <w:sz w:val="20"/>
          <w:szCs w:val="20"/>
        </w:rPr>
        <w:t xml:space="preserve"> and targets</w:t>
      </w:r>
      <w:r w:rsidRPr="004F65AE">
        <w:rPr>
          <w:b/>
          <w:bCs/>
          <w:snapToGrid w:val="0"/>
          <w:kern w:val="22"/>
          <w:sz w:val="20"/>
          <w:szCs w:val="20"/>
        </w:rPr>
        <w:t xml:space="preserve"> of </w:t>
      </w:r>
      <w:r w:rsidRPr="00E43B5C">
        <w:rPr>
          <w:b/>
          <w:bCs/>
          <w:snapToGrid w:val="0"/>
          <w:kern w:val="22"/>
          <w:sz w:val="20"/>
          <w:szCs w:val="20"/>
        </w:rPr>
        <w:t xml:space="preserve">the </w:t>
      </w:r>
      <w:r w:rsidRPr="00E43B5C">
        <w:rPr>
          <w:rFonts w:asciiTheme="majorBidi" w:hAnsiTheme="majorBidi" w:cstheme="majorBidi"/>
          <w:b/>
          <w:bCs/>
          <w:snapToGrid w:val="0"/>
          <w:kern w:val="22"/>
          <w:sz w:val="20"/>
          <w:szCs w:val="20"/>
          <w:lang w:val="en-US"/>
        </w:rPr>
        <w:t xml:space="preserve">Kunming-Montreal </w:t>
      </w:r>
      <w:r w:rsidRPr="00E43B5C">
        <w:rPr>
          <w:b/>
          <w:bCs/>
          <w:snapToGrid w:val="0"/>
          <w:kern w:val="22"/>
          <w:sz w:val="20"/>
          <w:szCs w:val="20"/>
        </w:rPr>
        <w:t>Global</w:t>
      </w:r>
      <w:r w:rsidRPr="004F65AE">
        <w:rPr>
          <w:b/>
          <w:bCs/>
          <w:snapToGrid w:val="0"/>
          <w:kern w:val="22"/>
          <w:sz w:val="20"/>
          <w:szCs w:val="20"/>
        </w:rPr>
        <w:t xml:space="preserve"> Biodiversity Framework</w:t>
      </w:r>
    </w:p>
    <w:p w14:paraId="229F0E35" w14:textId="77777777" w:rsidR="00005A3C" w:rsidRPr="004F65AE" w:rsidRDefault="00005A3C"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 xml:space="preserve">Please provide an assessment or progress and trends related to the goals of the </w:t>
      </w:r>
      <w:r w:rsidRPr="00E43B5C">
        <w:rPr>
          <w:rFonts w:asciiTheme="majorBidi" w:hAnsiTheme="majorBidi" w:cstheme="majorBidi"/>
          <w:bCs/>
          <w:snapToGrid w:val="0"/>
          <w:kern w:val="22"/>
          <w:sz w:val="20"/>
          <w:szCs w:val="20"/>
          <w:lang w:val="en-US"/>
        </w:rPr>
        <w:t xml:space="preserve">Kunming-Montreal </w:t>
      </w:r>
      <w:r w:rsidRPr="004F65AE">
        <w:rPr>
          <w:bCs/>
          <w:snapToGrid w:val="0"/>
          <w:kern w:val="22"/>
          <w:sz w:val="20"/>
          <w:szCs w:val="20"/>
        </w:rPr>
        <w:t xml:space="preserve">Global Biodiversity Framework. </w:t>
      </w:r>
      <w:r>
        <w:rPr>
          <w:bCs/>
          <w:snapToGrid w:val="0"/>
          <w:kern w:val="22"/>
          <w:sz w:val="20"/>
          <w:szCs w:val="20"/>
        </w:rPr>
        <w:t>The target information will be prepopulated from section III, based on the mapping of national and global targets.</w:t>
      </w:r>
      <w:r w:rsidRPr="00610646">
        <w:rPr>
          <w:rStyle w:val="FootnoteReference"/>
        </w:rPr>
        <w:footnoteReference w:id="50"/>
      </w:r>
    </w:p>
    <w:tbl>
      <w:tblPr>
        <w:tblStyle w:val="TableGrid"/>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005A3C" w:rsidRPr="004F65AE" w14:paraId="6684F0F5" w14:textId="77777777" w:rsidTr="00F36208">
        <w:tc>
          <w:tcPr>
            <w:tcW w:w="1695" w:type="dxa"/>
            <w:shd w:val="clear" w:color="auto" w:fill="FFFFFF" w:themeFill="background1"/>
          </w:tcPr>
          <w:p w14:paraId="4AF0D8C7"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2050 goals </w:t>
            </w:r>
          </w:p>
        </w:tc>
        <w:tc>
          <w:tcPr>
            <w:tcW w:w="1532" w:type="dxa"/>
            <w:shd w:val="clear" w:color="auto" w:fill="FFFFFF" w:themeFill="background1"/>
          </w:tcPr>
          <w:p w14:paraId="14B915C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Summary of national progress contributing to the global goals </w:t>
            </w:r>
          </w:p>
        </w:tc>
        <w:tc>
          <w:tcPr>
            <w:tcW w:w="2268" w:type="dxa"/>
            <w:shd w:val="clear" w:color="auto" w:fill="FFFFFF" w:themeFill="background1"/>
          </w:tcPr>
          <w:p w14:paraId="1B8416DB"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Headline indicators </w:t>
            </w:r>
          </w:p>
          <w:p w14:paraId="356D9A9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48CF595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4F65AE">
              <w:rPr>
                <w:b/>
                <w:snapToGrid w:val="0"/>
                <w:color w:val="000000"/>
                <w:kern w:val="22"/>
                <w:sz w:val="20"/>
                <w:szCs w:val="20"/>
              </w:rPr>
              <w:t>Component, complementary or other relevant indicators, including national indicators</w:t>
            </w:r>
          </w:p>
          <w:p w14:paraId="55A2F59C"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4F65AE">
              <w:rPr>
                <w:snapToGrid w:val="0"/>
                <w:kern w:val="22"/>
                <w:sz w:val="20"/>
                <w:szCs w:val="20"/>
              </w:rPr>
              <w:t>(pre-populated from the submission of national targets)</w:t>
            </w:r>
          </w:p>
        </w:tc>
        <w:tc>
          <w:tcPr>
            <w:tcW w:w="1843" w:type="dxa"/>
            <w:shd w:val="clear" w:color="auto" w:fill="FFFFFF" w:themeFill="background1"/>
          </w:tcPr>
          <w:p w14:paraId="67B53271"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4F65AE">
              <w:rPr>
                <w:b/>
                <w:snapToGrid w:val="0"/>
                <w:color w:val="000000"/>
                <w:kern w:val="22"/>
                <w:sz w:val="20"/>
                <w:szCs w:val="20"/>
              </w:rPr>
              <w:t>Source of data for indicator(s)</w:t>
            </w:r>
            <w:r>
              <w:rPr>
                <w:b/>
                <w:snapToGrid w:val="0"/>
                <w:color w:val="000000"/>
                <w:kern w:val="22"/>
                <w:sz w:val="20"/>
                <w:szCs w:val="20"/>
              </w:rPr>
              <w:t>,</w:t>
            </w:r>
            <w:r w:rsidRPr="004F65AE">
              <w:rPr>
                <w:b/>
                <w:snapToGrid w:val="0"/>
                <w:color w:val="000000"/>
                <w:kern w:val="22"/>
                <w:sz w:val="20"/>
                <w:szCs w:val="20"/>
              </w:rPr>
              <w:t xml:space="preserve"> where needed</w:t>
            </w:r>
          </w:p>
          <w:p w14:paraId="2D5D11E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005A3C" w:rsidRPr="004F65AE" w14:paraId="0D9B9BA8" w14:textId="77777777" w:rsidTr="00F36208">
        <w:tc>
          <w:tcPr>
            <w:tcW w:w="1695" w:type="dxa"/>
            <w:shd w:val="clear" w:color="auto" w:fill="FFFFFF" w:themeFill="background1"/>
          </w:tcPr>
          <w:p w14:paraId="151CD4A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Goal </w:t>
            </w:r>
          </w:p>
        </w:tc>
        <w:tc>
          <w:tcPr>
            <w:tcW w:w="1532" w:type="dxa"/>
            <w:shd w:val="clear" w:color="auto" w:fill="FFFFFF" w:themeFill="background1"/>
          </w:tcPr>
          <w:p w14:paraId="0E15CE0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758CA19A"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4F65AE">
              <w:rPr>
                <w:bCs/>
                <w:snapToGrid w:val="0"/>
                <w:kern w:val="22"/>
                <w:sz w:val="20"/>
                <w:szCs w:val="20"/>
              </w:rPr>
              <w:t>(Each headline indicator will be listed once agreed)</w:t>
            </w:r>
          </w:p>
          <w:p w14:paraId="2F20755A"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180348613"/>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snapToGrid w:val="0"/>
                <w:kern w:val="22"/>
                <w:sz w:val="20"/>
                <w:szCs w:val="20"/>
              </w:rPr>
              <w:t xml:space="preserve">Use national data set </w:t>
            </w:r>
          </w:p>
          <w:p w14:paraId="0B42C076"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573971939"/>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Use the available global data (clicking will retrieve and display pre-populated data)</w:t>
            </w:r>
          </w:p>
          <w:p w14:paraId="1ADE1C47"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5052455"/>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Not able to report on this headline indicator </w:t>
            </w:r>
            <w:r w:rsidR="00005A3C" w:rsidRPr="004F65AE">
              <w:rPr>
                <w:kern w:val="22"/>
                <w:sz w:val="20"/>
                <w:szCs w:val="20"/>
              </w:rPr>
              <w:t xml:space="preserve">(no national data set and either do not wish to use global data or global data not available)   </w:t>
            </w:r>
          </w:p>
          <w:p w14:paraId="55EF861D" w14:textId="77777777" w:rsidR="00005A3C" w:rsidRPr="004F65AE" w:rsidRDefault="00C10F84" w:rsidP="00F36208">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sdt>
              <w:sdtPr>
                <w:rPr>
                  <w:rFonts w:eastAsia="MS Gothic"/>
                  <w:color w:val="000000"/>
                  <w:kern w:val="22"/>
                  <w:sz w:val="20"/>
                  <w:szCs w:val="20"/>
                </w:rPr>
                <w:id w:val="-1766997430"/>
                <w14:checkbox>
                  <w14:checked w14:val="0"/>
                  <w14:checkedState w14:val="2612" w14:font="MS Gothic"/>
                  <w14:uncheckedState w14:val="2610" w14:font="MS Gothic"/>
                </w14:checkbox>
              </w:sdtPr>
              <w:sdtEndPr/>
              <w:sdtContent>
                <w:r w:rsidR="00005A3C" w:rsidRPr="004F65AE">
                  <w:rPr>
                    <w:rFonts w:eastAsia="MS Gothic" w:hint="eastAsia"/>
                    <w:color w:val="000000"/>
                    <w:kern w:val="22"/>
                    <w:sz w:val="20"/>
                    <w:szCs w:val="20"/>
                  </w:rPr>
                  <w:t>☐</w:t>
                </w:r>
              </w:sdtContent>
            </w:sdt>
            <w:r w:rsidR="00005A3C" w:rsidRPr="004F65AE">
              <w:rPr>
                <w:rFonts w:eastAsia="MS Gothic"/>
                <w:color w:val="000000"/>
                <w:kern w:val="22"/>
                <w:sz w:val="20"/>
                <w:szCs w:val="20"/>
              </w:rPr>
              <w:t xml:space="preserve"> </w:t>
            </w:r>
            <w:r w:rsidR="00005A3C" w:rsidRPr="004F65AE">
              <w:rPr>
                <w:kern w:val="22"/>
                <w:sz w:val="20"/>
                <w:szCs w:val="20"/>
              </w:rPr>
              <w:t>Not relevant</w:t>
            </w:r>
          </w:p>
        </w:tc>
        <w:tc>
          <w:tcPr>
            <w:tcW w:w="1984" w:type="dxa"/>
            <w:shd w:val="clear" w:color="auto" w:fill="FFFFFF" w:themeFill="background1"/>
          </w:tcPr>
          <w:p w14:paraId="60F8FAD2"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1843" w:type="dxa"/>
            <w:shd w:val="clear" w:color="auto" w:fill="FFFFFF" w:themeFill="background1"/>
          </w:tcPr>
          <w:p w14:paraId="4ABB46E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005A3C" w:rsidRPr="004F65AE" w14:paraId="4F64F2AA" w14:textId="77777777" w:rsidTr="00F36208">
        <w:tc>
          <w:tcPr>
            <w:tcW w:w="1695" w:type="dxa"/>
            <w:tcBorders>
              <w:bottom w:val="nil"/>
            </w:tcBorders>
            <w:shd w:val="clear" w:color="auto" w:fill="FFFFFF" w:themeFill="background1"/>
          </w:tcPr>
          <w:p w14:paraId="25AF350E"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bottom w:val="nil"/>
            </w:tcBorders>
            <w:shd w:val="clear" w:color="auto" w:fill="FFFFFF" w:themeFill="background1"/>
          </w:tcPr>
          <w:p w14:paraId="4D931654"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095" w:type="dxa"/>
            <w:gridSpan w:val="3"/>
            <w:tcBorders>
              <w:bottom w:val="nil"/>
            </w:tcBorders>
            <w:shd w:val="clear" w:color="auto" w:fill="FFFFFF" w:themeFill="background1"/>
          </w:tcPr>
          <w:p w14:paraId="1ECC6FDB"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4F65AE">
              <w:rPr>
                <w:b/>
                <w:snapToGrid w:val="0"/>
                <w:kern w:val="22"/>
                <w:sz w:val="20"/>
                <w:szCs w:val="20"/>
              </w:rPr>
              <w:t xml:space="preserve">Example: Headline indicator A.1: Indicator name (unit of measure)  </w:t>
            </w:r>
          </w:p>
          <w:p w14:paraId="23EBE825"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sidRPr="004F65AE">
              <w:rPr>
                <w:bCs/>
                <w:snapToGrid w:val="0"/>
                <w:kern w:val="22"/>
                <w:sz w:val="20"/>
                <w:szCs w:val="20"/>
              </w:rPr>
              <w:t xml:space="preserve">Provide data or an application programming interface (API). The data table will be available in Excel. </w:t>
            </w:r>
            <w:r>
              <w:rPr>
                <w:bCs/>
                <w:snapToGrid w:val="0"/>
                <w:kern w:val="22"/>
                <w:sz w:val="20"/>
                <w:szCs w:val="20"/>
              </w:rPr>
              <w:t>If box 2 has been ticked, then t</w:t>
            </w:r>
            <w:r w:rsidRPr="004F65AE">
              <w:rPr>
                <w:bCs/>
                <w:snapToGrid w:val="0"/>
                <w:kern w:val="22"/>
                <w:sz w:val="20"/>
                <w:szCs w:val="20"/>
              </w:rPr>
              <w:t xml:space="preserve">his table will be prepopulated with existing </w:t>
            </w:r>
            <w:r>
              <w:rPr>
                <w:bCs/>
                <w:snapToGrid w:val="0"/>
                <w:kern w:val="22"/>
                <w:sz w:val="20"/>
                <w:szCs w:val="20"/>
              </w:rPr>
              <w:t xml:space="preserve">global </w:t>
            </w:r>
            <w:r w:rsidRPr="004F65AE">
              <w:rPr>
                <w:bCs/>
                <w:snapToGrid w:val="0"/>
                <w:kern w:val="22"/>
                <w:sz w:val="20"/>
                <w:szCs w:val="20"/>
              </w:rPr>
              <w:t xml:space="preserve">data. This section will be </w:t>
            </w:r>
            <w:r w:rsidRPr="004F65AE">
              <w:rPr>
                <w:bCs/>
                <w:snapToGrid w:val="0"/>
                <w:kern w:val="22"/>
                <w:sz w:val="20"/>
                <w:szCs w:val="20"/>
              </w:rPr>
              <w:lastRenderedPageBreak/>
              <w:t>replicated for all indicators throughout the document</w:t>
            </w:r>
            <w:r>
              <w:rPr>
                <w:bCs/>
                <w:snapToGrid w:val="0"/>
                <w:kern w:val="22"/>
                <w:sz w:val="20"/>
                <w:szCs w:val="20"/>
              </w:rPr>
              <w:t>.</w:t>
            </w:r>
            <w:r w:rsidRPr="00610646">
              <w:rPr>
                <w:rStyle w:val="FootnoteReference"/>
              </w:rPr>
              <w:footnoteReference w:id="51"/>
            </w:r>
            <w:r w:rsidRPr="004F65AE">
              <w:rPr>
                <w:bCs/>
                <w:snapToGrid w:val="0"/>
                <w:kern w:val="22"/>
                <w:sz w:val="20"/>
                <w:szCs w:val="20"/>
              </w:rPr>
              <w:t xml:space="preserve"> (Note that this section is dependent on the indicators and may include binary questions or quantitative indicators.)</w:t>
            </w:r>
          </w:p>
          <w:p w14:paraId="2C35A723"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005A3C" w:rsidRPr="004F65AE" w14:paraId="2BCB389F" w14:textId="77777777" w:rsidTr="00F36208">
              <w:trPr>
                <w:trHeight w:val="245"/>
              </w:trPr>
              <w:tc>
                <w:tcPr>
                  <w:tcW w:w="746" w:type="dxa"/>
                </w:tcPr>
                <w:p w14:paraId="2159BF6F"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0B11D760"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 xml:space="preserve">Year </w:t>
                  </w:r>
                </w:p>
              </w:tc>
              <w:tc>
                <w:tcPr>
                  <w:tcW w:w="656" w:type="dxa"/>
                </w:tcPr>
                <w:p w14:paraId="46802D61"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w:t>
                  </w:r>
                </w:p>
              </w:tc>
              <w:tc>
                <w:tcPr>
                  <w:tcW w:w="436" w:type="dxa"/>
                </w:tcPr>
                <w:p w14:paraId="3E59C23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w:t>
                  </w:r>
                </w:p>
              </w:tc>
              <w:tc>
                <w:tcPr>
                  <w:tcW w:w="546" w:type="dxa"/>
                </w:tcPr>
                <w:p w14:paraId="147CD256"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139DE79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2022</w:t>
                  </w:r>
                </w:p>
              </w:tc>
            </w:tr>
            <w:tr w:rsidR="00005A3C" w:rsidRPr="004F65AE" w14:paraId="234DCD7E" w14:textId="77777777" w:rsidTr="00F36208">
              <w:trPr>
                <w:trHeight w:val="245"/>
              </w:trPr>
              <w:tc>
                <w:tcPr>
                  <w:tcW w:w="746" w:type="dxa"/>
                </w:tcPr>
                <w:p w14:paraId="2E47E34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r w:rsidRPr="004F65AE">
                    <w:rPr>
                      <w:b/>
                      <w:snapToGrid w:val="0"/>
                      <w:kern w:val="22"/>
                      <w:sz w:val="20"/>
                      <w:szCs w:val="20"/>
                    </w:rPr>
                    <w:t>Value</w:t>
                  </w:r>
                </w:p>
              </w:tc>
              <w:tc>
                <w:tcPr>
                  <w:tcW w:w="656" w:type="dxa"/>
                </w:tcPr>
                <w:p w14:paraId="16E731DA"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3E7032D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36" w:type="dxa"/>
                </w:tcPr>
                <w:p w14:paraId="715C2ABD"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546" w:type="dxa"/>
                </w:tcPr>
                <w:p w14:paraId="77E0886C"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7BDE897F"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7AD11417"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41FCB4D6"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16B24099"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Footnotes:</w:t>
            </w:r>
          </w:p>
        </w:tc>
      </w:tr>
      <w:tr w:rsidR="00005A3C" w:rsidRPr="004F65AE" w14:paraId="2F42C8A9" w14:textId="77777777" w:rsidTr="00F36208">
        <w:tc>
          <w:tcPr>
            <w:tcW w:w="1695" w:type="dxa"/>
            <w:tcBorders>
              <w:top w:val="nil"/>
              <w:left w:val="single" w:sz="4" w:space="0" w:color="auto"/>
              <w:bottom w:val="single" w:sz="4" w:space="0" w:color="auto"/>
              <w:right w:val="single" w:sz="4" w:space="0" w:color="auto"/>
            </w:tcBorders>
            <w:shd w:val="clear" w:color="auto" w:fill="FFFFFF" w:themeFill="background1"/>
          </w:tcPr>
          <w:p w14:paraId="6EBE4FBA"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160588F6"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6D63F88A" w14:textId="77777777" w:rsidR="00005A3C" w:rsidRPr="004F65AE" w:rsidRDefault="00005A3C" w:rsidP="00F36208">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r w:rsidRPr="004F65AE">
              <w:rPr>
                <w:i/>
                <w:kern w:val="22"/>
                <w:sz w:val="20"/>
                <w:szCs w:val="20"/>
              </w:rPr>
              <w:t>This is just an example of how data might look.</w:t>
            </w:r>
          </w:p>
        </w:tc>
      </w:tr>
    </w:tbl>
    <w:p w14:paraId="3018BF0E" w14:textId="77777777" w:rsidR="00005A3C" w:rsidRPr="004F65AE" w:rsidRDefault="00005A3C" w:rsidP="00D01723">
      <w:pPr>
        <w:keepNext/>
        <w:shd w:val="clear" w:color="auto" w:fill="FFFFFF" w:themeFill="background1"/>
        <w:spacing w:before="120" w:after="120"/>
        <w:rPr>
          <w:b/>
          <w:snapToGrid w:val="0"/>
          <w:kern w:val="22"/>
          <w:sz w:val="20"/>
          <w:szCs w:val="20"/>
        </w:rPr>
      </w:pPr>
      <w:r w:rsidRPr="004F65AE">
        <w:rPr>
          <w:b/>
          <w:snapToGrid w:val="0"/>
          <w:kern w:val="22"/>
          <w:sz w:val="20"/>
          <w:szCs w:val="20"/>
        </w:rPr>
        <w:t xml:space="preserve">Section V. Conclusions on the national implementation of the Convention and the </w:t>
      </w:r>
      <w:r w:rsidRPr="00E43B5C">
        <w:rPr>
          <w:rFonts w:asciiTheme="majorBidi" w:hAnsiTheme="majorBidi" w:cstheme="majorBidi"/>
          <w:b/>
          <w:snapToGrid w:val="0"/>
          <w:kern w:val="22"/>
          <w:sz w:val="20"/>
          <w:szCs w:val="20"/>
          <w:lang w:val="en-US"/>
        </w:rPr>
        <w:t>Kunming-Montreal</w:t>
      </w:r>
      <w:r w:rsidRPr="00E43B5C">
        <w:rPr>
          <w:rFonts w:asciiTheme="majorBidi" w:hAnsiTheme="majorBidi" w:cstheme="majorBidi"/>
          <w:bCs/>
          <w:snapToGrid w:val="0"/>
          <w:kern w:val="22"/>
          <w:sz w:val="20"/>
          <w:szCs w:val="20"/>
          <w:lang w:val="en-US"/>
        </w:rPr>
        <w:t xml:space="preserve"> </w:t>
      </w:r>
      <w:r w:rsidRPr="004F65AE">
        <w:rPr>
          <w:b/>
          <w:snapToGrid w:val="0"/>
          <w:kern w:val="22"/>
          <w:sz w:val="20"/>
          <w:szCs w:val="20"/>
        </w:rPr>
        <w:t>Global Biodiversity Framework</w:t>
      </w:r>
    </w:p>
    <w:p w14:paraId="406656C0" w14:textId="77777777" w:rsidR="00005A3C" w:rsidRPr="004F65AE" w:rsidRDefault="00005A3C" w:rsidP="009D6BD6">
      <w:pPr>
        <w:shd w:val="clear" w:color="auto" w:fill="FFFFFF" w:themeFill="background1"/>
        <w:spacing w:before="120" w:after="120"/>
        <w:rPr>
          <w:snapToGrid w:val="0"/>
          <w:kern w:val="22"/>
          <w:sz w:val="20"/>
          <w:szCs w:val="20"/>
        </w:rPr>
      </w:pPr>
      <w:r w:rsidRPr="004F65AE">
        <w:rPr>
          <w:snapToGrid w:val="0"/>
          <w:kern w:val="22"/>
          <w:sz w:val="20"/>
          <w:szCs w:val="20"/>
        </w:rPr>
        <w:t xml:space="preserve">In this section, countries are encouraged to provide a summary of the national implementation of the Convention and the </w:t>
      </w:r>
      <w:r w:rsidRPr="00E43B5C">
        <w:rPr>
          <w:rFonts w:asciiTheme="majorBidi" w:hAnsiTheme="majorBidi" w:cstheme="majorBidi"/>
          <w:bCs/>
          <w:snapToGrid w:val="0"/>
          <w:kern w:val="22"/>
          <w:sz w:val="20"/>
          <w:szCs w:val="20"/>
          <w:lang w:val="en-US"/>
        </w:rPr>
        <w:t xml:space="preserve">Kunming-Montreal </w:t>
      </w:r>
      <w:r w:rsidRPr="004F65AE">
        <w:rPr>
          <w:snapToGrid w:val="0"/>
          <w:kern w:val="22"/>
          <w:sz w:val="20"/>
          <w:szCs w:val="20"/>
        </w:rPr>
        <w:t xml:space="preserve">Global Biodiversity Framework, including the main outcomes achieved and major challenges encountered, particularly those related to capacity, technical, technological, institutional and financial gaps and constraints and support provided for implementation. Countries could refer to cross-cutting challenges affecting the implementation of the Convention and the </w:t>
      </w:r>
      <w:r w:rsidRPr="00E43B5C">
        <w:rPr>
          <w:rFonts w:asciiTheme="majorBidi" w:hAnsiTheme="majorBidi" w:cstheme="majorBidi"/>
          <w:bCs/>
          <w:snapToGrid w:val="0"/>
          <w:kern w:val="22"/>
          <w:sz w:val="20"/>
          <w:szCs w:val="20"/>
          <w:lang w:val="en-US"/>
        </w:rPr>
        <w:t xml:space="preserve">Kunming-Montreal </w:t>
      </w:r>
      <w:r w:rsidRPr="004F65AE">
        <w:rPr>
          <w:snapToGrid w:val="0"/>
          <w:kern w:val="22"/>
          <w:sz w:val="20"/>
          <w:szCs w:val="20"/>
        </w:rPr>
        <w:t xml:space="preserve">Global Biodiversity Framework, or specific obstacles that have hindered progress. These challenges may include lack of adequate financial, human and technical resources, difficulties regarding interministerial/inter-agency cooperation and coordination, lack of timely and reliable access to knowledge, information and data, lack of scientific expertise to support project development and management, and lack of access to relevant technologies for implementation. Countries should try to avoid duplication if relevant information is covered in the above sections. </w:t>
      </w:r>
    </w:p>
    <w:tbl>
      <w:tblPr>
        <w:tblStyle w:val="TableGrid"/>
        <w:tblW w:w="0" w:type="auto"/>
        <w:jc w:val="center"/>
        <w:shd w:val="clear" w:color="auto" w:fill="FFFFFF" w:themeFill="background1"/>
        <w:tblLook w:val="04A0" w:firstRow="1" w:lastRow="0" w:firstColumn="1" w:lastColumn="0" w:noHBand="0" w:noVBand="1"/>
      </w:tblPr>
      <w:tblGrid>
        <w:gridCol w:w="9350"/>
      </w:tblGrid>
      <w:tr w:rsidR="00005A3C" w:rsidRPr="004F65AE" w14:paraId="6D7789C0" w14:textId="77777777" w:rsidTr="00F36208">
        <w:trPr>
          <w:trHeight w:val="1165"/>
          <w:jc w:val="center"/>
        </w:trPr>
        <w:tc>
          <w:tcPr>
            <w:tcW w:w="9678" w:type="dxa"/>
            <w:shd w:val="clear" w:color="auto" w:fill="FFFFFF" w:themeFill="background1"/>
            <w:vAlign w:val="center"/>
          </w:tcPr>
          <w:p w14:paraId="311AD559" w14:textId="77777777" w:rsidR="00005A3C" w:rsidRPr="004F65AE" w:rsidRDefault="00005A3C" w:rsidP="002C1327">
            <w:pPr>
              <w:shd w:val="clear" w:color="auto" w:fill="FFFFFF" w:themeFill="background1"/>
              <w:jc w:val="left"/>
              <w:rPr>
                <w:b/>
                <w:snapToGrid w:val="0"/>
                <w:kern w:val="22"/>
                <w:sz w:val="20"/>
                <w:szCs w:val="20"/>
              </w:rPr>
            </w:pPr>
            <w:r w:rsidRPr="004F65AE">
              <w:rPr>
                <w:b/>
                <w:snapToGrid w:val="0"/>
                <w:kern w:val="22"/>
                <w:sz w:val="20"/>
                <w:szCs w:val="20"/>
              </w:rPr>
              <w:t xml:space="preserve">In this section, please provide a summary assessment of the implementation of the Convention and the </w:t>
            </w:r>
            <w:r w:rsidRPr="00E43B5C">
              <w:rPr>
                <w:rFonts w:asciiTheme="majorBidi" w:hAnsiTheme="majorBidi" w:cstheme="majorBidi"/>
                <w:b/>
                <w:snapToGrid w:val="0"/>
                <w:kern w:val="22"/>
                <w:sz w:val="20"/>
                <w:szCs w:val="20"/>
                <w:lang w:val="en-US"/>
              </w:rPr>
              <w:t>Kunming-Montreal</w:t>
            </w:r>
            <w:r w:rsidRPr="004F65AE">
              <w:rPr>
                <w:b/>
                <w:snapToGrid w:val="0"/>
                <w:kern w:val="22"/>
                <w:sz w:val="20"/>
                <w:szCs w:val="20"/>
              </w:rPr>
              <w:t xml:space="preserve"> Global Biodiversity Framework</w:t>
            </w:r>
            <w:r>
              <w:rPr>
                <w:b/>
                <w:snapToGrid w:val="0"/>
                <w:kern w:val="22"/>
                <w:sz w:val="20"/>
                <w:szCs w:val="20"/>
              </w:rPr>
              <w:t>,</w:t>
            </w:r>
            <w:r w:rsidRPr="004F65AE">
              <w:rPr>
                <w:b/>
                <w:snapToGrid w:val="0"/>
                <w:kern w:val="22"/>
                <w:sz w:val="20"/>
                <w:szCs w:val="20"/>
              </w:rPr>
              <w:t xml:space="preserve"> including </w:t>
            </w:r>
            <w:r>
              <w:rPr>
                <w:b/>
                <w:snapToGrid w:val="0"/>
                <w:kern w:val="22"/>
                <w:sz w:val="20"/>
                <w:szCs w:val="20"/>
              </w:rPr>
              <w:t xml:space="preserve">all the sections, and the </w:t>
            </w:r>
            <w:r w:rsidRPr="004F65AE">
              <w:rPr>
                <w:b/>
                <w:snapToGrid w:val="0"/>
                <w:kern w:val="22"/>
                <w:sz w:val="20"/>
                <w:szCs w:val="20"/>
              </w:rPr>
              <w:t xml:space="preserve">main outcomes achieved and major challenges encountered, particularly those related to capacity, technical, technological, institutional, and financial gaps and constraints and support provided for implementation. </w:t>
            </w:r>
          </w:p>
        </w:tc>
      </w:tr>
      <w:tr w:rsidR="00005A3C" w:rsidRPr="004F65AE" w14:paraId="157C1153" w14:textId="77777777" w:rsidTr="00F36208">
        <w:trPr>
          <w:trHeight w:val="1771"/>
          <w:jc w:val="center"/>
        </w:trPr>
        <w:tc>
          <w:tcPr>
            <w:tcW w:w="9678" w:type="dxa"/>
            <w:shd w:val="clear" w:color="auto" w:fill="FFFFFF" w:themeFill="background1"/>
          </w:tcPr>
          <w:p w14:paraId="1DEC8376" w14:textId="77777777" w:rsidR="00005A3C" w:rsidRPr="004F65AE" w:rsidRDefault="00005A3C" w:rsidP="00F36208">
            <w:pPr>
              <w:shd w:val="clear" w:color="auto" w:fill="FFFFFF" w:themeFill="background1"/>
              <w:jc w:val="left"/>
              <w:rPr>
                <w:b/>
                <w:snapToGrid w:val="0"/>
                <w:kern w:val="22"/>
                <w:sz w:val="20"/>
                <w:szCs w:val="20"/>
              </w:rPr>
            </w:pPr>
          </w:p>
        </w:tc>
      </w:tr>
    </w:tbl>
    <w:p w14:paraId="53EDA7FB" w14:textId="77777777" w:rsidR="00005A3C" w:rsidRPr="00CA676A" w:rsidRDefault="00005A3C" w:rsidP="00D011F6">
      <w:pPr>
        <w:keepNext/>
        <w:suppressLineNumbers/>
        <w:shd w:val="clear" w:color="auto" w:fill="FFFFFF" w:themeFill="background1"/>
        <w:suppressAutoHyphens/>
        <w:kinsoku w:val="0"/>
        <w:overflowPunct w:val="0"/>
        <w:autoSpaceDE w:val="0"/>
        <w:autoSpaceDN w:val="0"/>
        <w:spacing w:before="240" w:after="120"/>
        <w:jc w:val="center"/>
        <w:rPr>
          <w:bCs/>
          <w:i/>
          <w:iCs/>
          <w:snapToGrid w:val="0"/>
          <w:kern w:val="22"/>
          <w:szCs w:val="22"/>
        </w:rPr>
      </w:pPr>
      <w:r w:rsidRPr="00CA676A">
        <w:rPr>
          <w:bCs/>
          <w:i/>
          <w:iCs/>
          <w:snapToGrid w:val="0"/>
          <w:kern w:val="22"/>
          <w:szCs w:val="22"/>
        </w:rPr>
        <w:t>Annex</w:t>
      </w:r>
    </w:p>
    <w:p w14:paraId="5F521B34" w14:textId="77777777" w:rsidR="00005A3C" w:rsidRPr="00CA676A" w:rsidRDefault="00005A3C" w:rsidP="001B01F0">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rPr>
      </w:pPr>
      <w:r w:rsidRPr="00CA676A">
        <w:rPr>
          <w:b/>
          <w:snapToGrid w:val="0"/>
          <w:kern w:val="22"/>
          <w:szCs w:val="22"/>
        </w:rPr>
        <w:t>Information as requested in related decisions adopted by the Conference of the Parties at its fifteenth meeting</w:t>
      </w:r>
    </w:p>
    <w:p w14:paraId="6BEA7D9E" w14:textId="77777777" w:rsidR="00005A3C" w:rsidRPr="00CA676A" w:rsidRDefault="00005A3C" w:rsidP="00CA676A">
      <w:pPr>
        <w:suppressLineNumbers/>
        <w:shd w:val="clear" w:color="auto" w:fill="FFFFFF" w:themeFill="background1"/>
        <w:suppressAutoHyphens/>
        <w:kinsoku w:val="0"/>
        <w:overflowPunct w:val="0"/>
        <w:autoSpaceDE w:val="0"/>
        <w:autoSpaceDN w:val="0"/>
        <w:spacing w:before="120" w:after="120"/>
        <w:rPr>
          <w:snapToGrid w:val="0"/>
          <w:kern w:val="22"/>
          <w:szCs w:val="22"/>
        </w:rPr>
      </w:pPr>
      <w:r w:rsidRPr="00CA676A">
        <w:rPr>
          <w:snapToGrid w:val="0"/>
          <w:kern w:val="22"/>
          <w:szCs w:val="22"/>
        </w:rPr>
        <w:t>It is suggested that Parties annex information on the implementation of the following decisions adopted by the Conference of the Parties at its fifteenth meeting:</w:t>
      </w:r>
      <w:r w:rsidRPr="00610646">
        <w:rPr>
          <w:rStyle w:val="FootnoteReference"/>
        </w:rPr>
        <w:footnoteReference w:id="52"/>
      </w:r>
    </w:p>
    <w:p w14:paraId="1DE20D89" w14:textId="77777777" w:rsidR="00005A3C" w:rsidRPr="00CA676A" w:rsidRDefault="00005A3C"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(a)</w:t>
      </w:r>
      <w:r w:rsidRPr="00CA676A">
        <w:rPr>
          <w:snapToGrid w:val="0"/>
          <w:kern w:val="22"/>
          <w:szCs w:val="22"/>
        </w:rPr>
        <w:tab/>
        <w:t>Long-term strategic framework for capacity-building and development (decision 15/8, annex I);</w:t>
      </w:r>
    </w:p>
    <w:p w14:paraId="042E136B" w14:textId="77777777" w:rsidR="00005A3C" w:rsidRPr="00CA676A" w:rsidRDefault="00005A3C"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(b)</w:t>
      </w:r>
      <w:r w:rsidRPr="00CA676A">
        <w:rPr>
          <w:snapToGrid w:val="0"/>
          <w:kern w:val="22"/>
          <w:szCs w:val="22"/>
        </w:rPr>
        <w:tab/>
        <w:t>Strategy for resource mobilization (decision 15/7, annex I);</w:t>
      </w:r>
    </w:p>
    <w:p w14:paraId="76ABB0C2" w14:textId="77777777" w:rsidR="00005A3C" w:rsidRPr="00CA676A" w:rsidRDefault="00005A3C"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(c)</w:t>
      </w:r>
      <w:r w:rsidRPr="00CA676A">
        <w:rPr>
          <w:snapToGrid w:val="0"/>
          <w:kern w:val="22"/>
          <w:szCs w:val="22"/>
        </w:rPr>
        <w:tab/>
        <w:t>Gender Plan of Action (2023</w:t>
      </w:r>
      <w:r w:rsidRPr="00EA40AB">
        <w:rPr>
          <w:rFonts w:asciiTheme="majorBidi" w:hAnsiTheme="majorBidi" w:cstheme="majorBidi"/>
          <w:bCs/>
          <w:iCs/>
          <w:snapToGrid w:val="0"/>
          <w:kern w:val="22"/>
          <w:szCs w:val="22"/>
        </w:rPr>
        <w:t>–</w:t>
      </w:r>
      <w:r w:rsidRPr="00CA676A">
        <w:rPr>
          <w:snapToGrid w:val="0"/>
          <w:kern w:val="22"/>
          <w:szCs w:val="22"/>
        </w:rPr>
        <w:t xml:space="preserve">2030) (decision 15/11, annex); </w:t>
      </w:r>
    </w:p>
    <w:p w14:paraId="33A8E7DB" w14:textId="77777777" w:rsidR="00005A3C" w:rsidRPr="00CA676A" w:rsidRDefault="00005A3C" w:rsidP="00A9736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lastRenderedPageBreak/>
        <w:t>(d)</w:t>
      </w:r>
      <w:r w:rsidRPr="00CA676A">
        <w:rPr>
          <w:snapToGrid w:val="0"/>
          <w:kern w:val="22"/>
          <w:szCs w:val="22"/>
        </w:rPr>
        <w:tab/>
        <w:t>Long-term strategic approach to mainstreaming biodiversity;</w:t>
      </w:r>
      <w:r w:rsidRPr="00CA676A">
        <w:rPr>
          <w:snapToGrid w:val="0"/>
          <w:kern w:val="22"/>
          <w:szCs w:val="22"/>
        </w:rPr>
        <w:footnoteReference w:customMarkFollows="1" w:id="53"/>
        <w:t>*</w:t>
      </w:r>
      <w:r w:rsidRPr="00CA676A" w:rsidDel="00A35221">
        <w:rPr>
          <w:snapToGrid w:val="0"/>
          <w:kern w:val="22"/>
          <w:szCs w:val="22"/>
        </w:rPr>
        <w:t xml:space="preserve"> </w:t>
      </w:r>
    </w:p>
    <w:p w14:paraId="71D38D41" w14:textId="77777777" w:rsidR="00005A3C" w:rsidRDefault="00005A3C" w:rsidP="00D236E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vertAlign w:val="superscript"/>
        </w:rPr>
      </w:pPr>
      <w:r w:rsidRPr="00CA676A">
        <w:rPr>
          <w:snapToGrid w:val="0"/>
          <w:kern w:val="22"/>
          <w:szCs w:val="22"/>
        </w:rPr>
        <w:t>(e)</w:t>
      </w:r>
      <w:r w:rsidRPr="00CA676A">
        <w:rPr>
          <w:snapToGrid w:val="0"/>
          <w:kern w:val="22"/>
          <w:szCs w:val="22"/>
        </w:rPr>
        <w:tab/>
        <w:t>Global plant conservation strategy.</w:t>
      </w:r>
      <w:r w:rsidRPr="00CA676A">
        <w:rPr>
          <w:snapToGrid w:val="0"/>
          <w:kern w:val="22"/>
          <w:szCs w:val="22"/>
          <w:vertAlign w:val="superscript"/>
        </w:rPr>
        <w:t>*</w:t>
      </w:r>
    </w:p>
    <w:p w14:paraId="21384B25" w14:textId="77777777" w:rsidR="0018728E" w:rsidRDefault="0018728E" w:rsidP="00CA676A">
      <w:pPr>
        <w:suppressLineNumbers/>
        <w:shd w:val="clear" w:color="auto" w:fill="FFFFFF" w:themeFill="background1"/>
        <w:suppressAutoHyphens/>
        <w:kinsoku w:val="0"/>
        <w:overflowPunct w:val="0"/>
        <w:autoSpaceDE w:val="0"/>
        <w:autoSpaceDN w:val="0"/>
        <w:spacing w:before="120" w:after="120"/>
        <w:ind w:firstLine="720"/>
        <w:jc w:val="center"/>
        <w:rPr>
          <w:szCs w:val="22"/>
        </w:rPr>
        <w:sectPr w:rsidR="0018728E" w:rsidSect="00441700">
          <w:footnotePr>
            <w:numRestart w:val="eachSect"/>
          </w:footnotePr>
          <w:pgSz w:w="12240" w:h="15840"/>
          <w:pgMar w:top="567" w:right="1440" w:bottom="1134" w:left="1440" w:header="709" w:footer="709" w:gutter="0"/>
          <w:cols w:space="708"/>
          <w:docGrid w:linePitch="360"/>
        </w:sectPr>
      </w:pPr>
    </w:p>
    <w:p w14:paraId="693D03B2" w14:textId="77777777" w:rsidR="0018728E" w:rsidRDefault="0018728E" w:rsidP="0050251E">
      <w:pPr>
        <w:pStyle w:val="decision"/>
      </w:pPr>
      <w:bookmarkStart w:id="52" w:name="_Toc150438805"/>
      <w:bookmarkStart w:id="53" w:name="_Toc150670505"/>
      <w:bookmarkStart w:id="54" w:name="_Toc150670615"/>
      <w:bookmarkStart w:id="55" w:name="_Toc150761117"/>
      <w:r w:rsidRPr="0086057A">
        <w:rPr>
          <w:snapToGrid w:val="0"/>
        </w:rPr>
        <w:lastRenderedPageBreak/>
        <w:t>15/7.</w:t>
      </w:r>
      <w:r w:rsidRPr="0086057A">
        <w:rPr>
          <w:snapToGrid w:val="0"/>
        </w:rPr>
        <w:tab/>
        <w:t>Resource mobilization</w:t>
      </w:r>
      <w:bookmarkEnd w:id="52"/>
      <w:bookmarkEnd w:id="53"/>
      <w:bookmarkEnd w:id="54"/>
      <w:bookmarkEnd w:id="55"/>
    </w:p>
    <w:p w14:paraId="64C3AD50" w14:textId="77777777" w:rsidR="0018728E" w:rsidRDefault="0018728E" w:rsidP="00A3490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en-US"/>
        </w:rPr>
      </w:pPr>
      <w:r w:rsidRPr="00A54C34">
        <w:rPr>
          <w:bCs/>
          <w:i/>
          <w:iCs/>
          <w:snapToGrid w:val="0"/>
          <w:szCs w:val="22"/>
          <w:lang w:val="en-US"/>
        </w:rPr>
        <w:t xml:space="preserve">The Conference of the Parties, </w:t>
      </w:r>
    </w:p>
    <w:p w14:paraId="41DCB43F" w14:textId="77777777" w:rsidR="0018728E" w:rsidRPr="00190DCB" w:rsidRDefault="0018728E" w:rsidP="00563AC1">
      <w:pPr>
        <w:keepNext/>
        <w:suppressLineNumbers/>
        <w:suppressAutoHyphens/>
        <w:kinsoku w:val="0"/>
        <w:overflowPunct w:val="0"/>
        <w:autoSpaceDE w:val="0"/>
        <w:autoSpaceDN w:val="0"/>
        <w:adjustRightInd w:val="0"/>
        <w:snapToGrid w:val="0"/>
        <w:spacing w:before="120" w:after="120"/>
        <w:ind w:firstLine="720"/>
        <w:rPr>
          <w:szCs w:val="22"/>
          <w:lang w:val="en-US" w:eastAsia="zh-CN"/>
        </w:rPr>
      </w:pPr>
      <w:r w:rsidRPr="00EB49DC">
        <w:rPr>
          <w:i/>
          <w:snapToGrid w:val="0"/>
          <w:kern w:val="22"/>
          <w:szCs w:val="22"/>
          <w:lang w:eastAsia="zh-CN"/>
        </w:rPr>
        <w:t xml:space="preserve">Recalling </w:t>
      </w:r>
      <w:r w:rsidRPr="00EB49DC">
        <w:rPr>
          <w:snapToGrid w:val="0"/>
          <w:kern w:val="22"/>
          <w:szCs w:val="22"/>
          <w:lang w:eastAsia="zh-CN"/>
        </w:rPr>
        <w:t>Article 20 of the Convention as the basis for providing and mobilizing resources from all sources and the relevance of Article</w:t>
      </w:r>
      <w:r>
        <w:rPr>
          <w:snapToGrid w:val="0"/>
          <w:kern w:val="22"/>
          <w:szCs w:val="22"/>
          <w:lang w:eastAsia="zh-CN"/>
        </w:rPr>
        <w:t>s</w:t>
      </w:r>
      <w:r w:rsidRPr="00EB49DC">
        <w:rPr>
          <w:snapToGrid w:val="0"/>
          <w:kern w:val="22"/>
          <w:szCs w:val="22"/>
          <w:lang w:eastAsia="zh-CN"/>
        </w:rPr>
        <w:t xml:space="preserve"> 11</w:t>
      </w:r>
      <w:r>
        <w:rPr>
          <w:snapToGrid w:val="0"/>
          <w:kern w:val="22"/>
          <w:szCs w:val="22"/>
          <w:lang w:eastAsia="zh-CN"/>
        </w:rPr>
        <w:t xml:space="preserve"> and 21 </w:t>
      </w:r>
      <w:r w:rsidRPr="00EB49DC">
        <w:rPr>
          <w:snapToGrid w:val="0"/>
          <w:kern w:val="22"/>
          <w:szCs w:val="22"/>
          <w:lang w:eastAsia="zh-CN"/>
        </w:rPr>
        <w:t>in this regard,</w:t>
      </w:r>
    </w:p>
    <w:p w14:paraId="4AFBBB17" w14:textId="77777777" w:rsidR="0018728E" w:rsidRDefault="0018728E" w:rsidP="00A3490B">
      <w:pPr>
        <w:suppressLineNumbers/>
        <w:suppressAutoHyphens/>
        <w:spacing w:before="120" w:after="120"/>
        <w:ind w:firstLine="720"/>
        <w:rPr>
          <w:bCs/>
          <w:i/>
          <w:iCs/>
          <w:snapToGrid w:val="0"/>
          <w:szCs w:val="22"/>
          <w:lang w:val="en-US"/>
        </w:rPr>
      </w:pPr>
      <w:r>
        <w:rPr>
          <w:bCs/>
          <w:i/>
          <w:iCs/>
          <w:snapToGrid w:val="0"/>
          <w:szCs w:val="22"/>
          <w:lang w:val="en-US"/>
        </w:rPr>
        <w:t xml:space="preserve">Recalling also </w:t>
      </w:r>
      <w:r w:rsidRPr="00E6297B">
        <w:rPr>
          <w:bCs/>
          <w:snapToGrid w:val="0"/>
          <w:szCs w:val="22"/>
          <w:lang w:val="en-US"/>
        </w:rPr>
        <w:t xml:space="preserve">Goal D and Target 19 of the </w:t>
      </w:r>
      <w:r>
        <w:rPr>
          <w:snapToGrid w:val="0"/>
          <w:kern w:val="22"/>
          <w:szCs w:val="22"/>
          <w:lang w:val="en-CA"/>
        </w:rPr>
        <w:t>Kunming-Montreal</w:t>
      </w:r>
      <w:r w:rsidRPr="004357C7">
        <w:rPr>
          <w:snapToGrid w:val="0"/>
          <w:kern w:val="22"/>
          <w:szCs w:val="22"/>
          <w:lang w:val="en-CA"/>
        </w:rPr>
        <w:t xml:space="preserve"> </w:t>
      </w:r>
      <w:r>
        <w:rPr>
          <w:bCs/>
          <w:snapToGrid w:val="0"/>
          <w:szCs w:val="22"/>
          <w:lang w:val="en-US"/>
        </w:rPr>
        <w:t>Global Biodiversity Framework</w:t>
      </w:r>
      <w:r>
        <w:rPr>
          <w:bCs/>
          <w:i/>
          <w:iCs/>
          <w:snapToGrid w:val="0"/>
          <w:szCs w:val="22"/>
          <w:lang w:val="en-US"/>
        </w:rPr>
        <w:t xml:space="preserve">, </w:t>
      </w:r>
    </w:p>
    <w:p w14:paraId="364531E8" w14:textId="77777777" w:rsidR="0018728E" w:rsidRDefault="0018728E" w:rsidP="00563AC1">
      <w:pPr>
        <w:suppressLineNumbers/>
        <w:suppressAutoHyphens/>
        <w:spacing w:before="120" w:after="120"/>
        <w:ind w:firstLine="720"/>
        <w:rPr>
          <w:bCs/>
          <w:snapToGrid w:val="0"/>
          <w:szCs w:val="22"/>
          <w:lang w:val="en-US"/>
        </w:rPr>
      </w:pPr>
      <w:r w:rsidRPr="00BB3204">
        <w:rPr>
          <w:bCs/>
          <w:i/>
          <w:iCs/>
          <w:snapToGrid w:val="0"/>
          <w:szCs w:val="22"/>
          <w:lang w:val="en-US"/>
        </w:rPr>
        <w:t>Emphasizing</w:t>
      </w:r>
      <w:r w:rsidRPr="00BB3204">
        <w:rPr>
          <w:bCs/>
          <w:snapToGrid w:val="0"/>
          <w:szCs w:val="22"/>
          <w:lang w:val="en-US"/>
        </w:rPr>
        <w:t xml:space="preserve"> the importance of </w:t>
      </w:r>
      <w:r>
        <w:rPr>
          <w:bCs/>
          <w:snapToGrid w:val="0"/>
          <w:szCs w:val="22"/>
          <w:lang w:val="en-US"/>
        </w:rPr>
        <w:t xml:space="preserve">urgently </w:t>
      </w:r>
      <w:r w:rsidRPr="00BB3204">
        <w:rPr>
          <w:bCs/>
          <w:snapToGrid w:val="0"/>
          <w:szCs w:val="22"/>
          <w:lang w:val="en-US"/>
        </w:rPr>
        <w:t>increasing the mobilization of financial resources from all sources</w:t>
      </w:r>
      <w:r>
        <w:rPr>
          <w:bCs/>
          <w:snapToGrid w:val="0"/>
          <w:szCs w:val="22"/>
          <w:lang w:val="en-US"/>
        </w:rPr>
        <w:t xml:space="preserve">, domestic and international, public and private, with a view to closing the biodiversity financing gap </w:t>
      </w:r>
      <w:r w:rsidRPr="00BB3204">
        <w:rPr>
          <w:bCs/>
          <w:snapToGrid w:val="0"/>
          <w:szCs w:val="22"/>
          <w:lang w:val="en-US"/>
        </w:rPr>
        <w:t>and making</w:t>
      </w:r>
      <w:r>
        <w:rPr>
          <w:bCs/>
          <w:snapToGrid w:val="0"/>
          <w:szCs w:val="22"/>
          <w:lang w:val="en-US"/>
        </w:rPr>
        <w:t xml:space="preserve"> adequate</w:t>
      </w:r>
      <w:r w:rsidRPr="00BB3204">
        <w:rPr>
          <w:bCs/>
          <w:snapToGrid w:val="0"/>
          <w:szCs w:val="22"/>
          <w:lang w:val="en-US"/>
        </w:rPr>
        <w:t xml:space="preserve"> </w:t>
      </w:r>
      <w:r>
        <w:rPr>
          <w:bCs/>
          <w:snapToGrid w:val="0"/>
          <w:szCs w:val="22"/>
          <w:lang w:val="en-US"/>
        </w:rPr>
        <w:t>and predictable</w:t>
      </w:r>
      <w:r w:rsidRPr="00BB3204">
        <w:rPr>
          <w:bCs/>
          <w:snapToGrid w:val="0"/>
          <w:szCs w:val="22"/>
          <w:lang w:val="en-US"/>
        </w:rPr>
        <w:t xml:space="preserve"> resources available in a timely manner for the effective implementation of the </w:t>
      </w:r>
      <w:r>
        <w:rPr>
          <w:bCs/>
          <w:snapToGrid w:val="0"/>
          <w:szCs w:val="22"/>
          <w:lang w:val="en-US"/>
        </w:rPr>
        <w:t>Kunming-Montreal Global Biodiversity Framework,</w:t>
      </w:r>
    </w:p>
    <w:p w14:paraId="17984EE0" w14:textId="77777777" w:rsidR="0018728E" w:rsidRPr="00BB3204" w:rsidRDefault="0018728E" w:rsidP="00563AC1">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lang w:eastAsia="zh-CN"/>
        </w:rPr>
      </w:pPr>
      <w:r>
        <w:rPr>
          <w:bCs/>
          <w:i/>
          <w:iCs/>
          <w:snapToGrid w:val="0"/>
          <w:kern w:val="22"/>
          <w:szCs w:val="22"/>
          <w:lang w:eastAsia="zh-CN"/>
        </w:rPr>
        <w:t>Noting</w:t>
      </w:r>
      <w:r w:rsidRPr="00F213E0">
        <w:rPr>
          <w:bCs/>
          <w:snapToGrid w:val="0"/>
          <w:szCs w:val="22"/>
          <w:lang w:val="en-US"/>
        </w:rPr>
        <w:t xml:space="preserve"> </w:t>
      </w:r>
      <w:r>
        <w:rPr>
          <w:bCs/>
          <w:snapToGrid w:val="0"/>
          <w:szCs w:val="22"/>
          <w:lang w:val="en-US"/>
        </w:rPr>
        <w:t xml:space="preserve">Targets 14, 15, 16, and 18 </w:t>
      </w:r>
      <w:r w:rsidRPr="00E6297B">
        <w:rPr>
          <w:bCs/>
          <w:snapToGrid w:val="0"/>
          <w:szCs w:val="22"/>
          <w:lang w:val="en-US"/>
        </w:rPr>
        <w:t xml:space="preserve">of the </w:t>
      </w:r>
      <w:r>
        <w:rPr>
          <w:snapToGrid w:val="0"/>
          <w:kern w:val="22"/>
          <w:szCs w:val="22"/>
          <w:lang w:val="en-CA"/>
        </w:rPr>
        <w:t>Kunming-Montreal</w:t>
      </w:r>
      <w:r w:rsidRPr="004357C7">
        <w:rPr>
          <w:snapToGrid w:val="0"/>
          <w:kern w:val="22"/>
          <w:szCs w:val="22"/>
          <w:lang w:val="en-CA"/>
        </w:rPr>
        <w:t xml:space="preserve"> </w:t>
      </w:r>
      <w:r>
        <w:rPr>
          <w:bCs/>
          <w:snapToGrid w:val="0"/>
          <w:szCs w:val="22"/>
          <w:lang w:val="en-US"/>
        </w:rPr>
        <w:t>Global Biodiversity Framework</w:t>
      </w:r>
      <w:r>
        <w:rPr>
          <w:bCs/>
          <w:i/>
          <w:iCs/>
          <w:snapToGrid w:val="0"/>
          <w:szCs w:val="22"/>
          <w:lang w:val="en-US"/>
        </w:rPr>
        <w:t xml:space="preserve">, </w:t>
      </w:r>
      <w:r>
        <w:rPr>
          <w:bCs/>
          <w:snapToGrid w:val="0"/>
          <w:szCs w:val="22"/>
          <w:lang w:val="en-US"/>
        </w:rPr>
        <w:t xml:space="preserve">and emphasizing </w:t>
      </w:r>
      <w:r w:rsidRPr="00BB3204">
        <w:rPr>
          <w:snapToGrid w:val="0"/>
          <w:kern w:val="22"/>
          <w:szCs w:val="22"/>
          <w:lang w:eastAsia="zh-CN"/>
        </w:rPr>
        <w:t>the importance of biodiversity mainstreaming for strengthening resource mobilization and the effective and efficient use of resources, in order to support the conservation and sustainable use of biodiversity</w:t>
      </w:r>
      <w:r>
        <w:rPr>
          <w:snapToGrid w:val="0"/>
          <w:kern w:val="22"/>
          <w:szCs w:val="22"/>
          <w:lang w:eastAsia="zh-CN"/>
        </w:rPr>
        <w:t>,</w:t>
      </w:r>
    </w:p>
    <w:p w14:paraId="4916A6B0" w14:textId="77777777" w:rsidR="0018728E" w:rsidRPr="00E953D6" w:rsidRDefault="0018728E" w:rsidP="00A3490B">
      <w:pPr>
        <w:keepNext/>
        <w:suppressLineNumbers/>
        <w:suppressAutoHyphens/>
        <w:kinsoku w:val="0"/>
        <w:overflowPunct w:val="0"/>
        <w:autoSpaceDE w:val="0"/>
        <w:autoSpaceDN w:val="0"/>
        <w:adjustRightInd w:val="0"/>
        <w:snapToGrid w:val="0"/>
        <w:spacing w:before="120" w:after="120"/>
        <w:ind w:firstLine="720"/>
        <w:rPr>
          <w:bCs/>
          <w:snapToGrid w:val="0"/>
          <w:szCs w:val="22"/>
          <w:lang w:val="en-US"/>
        </w:rPr>
      </w:pPr>
      <w:r w:rsidRPr="00A54C34">
        <w:rPr>
          <w:bCs/>
          <w:i/>
          <w:iCs/>
          <w:snapToGrid w:val="0"/>
          <w:szCs w:val="22"/>
          <w:lang w:val="en-US"/>
        </w:rPr>
        <w:t>Affirming</w:t>
      </w:r>
      <w:r w:rsidRPr="000C6543">
        <w:rPr>
          <w:bCs/>
          <w:snapToGrid w:val="0"/>
          <w:szCs w:val="22"/>
          <w:lang w:val="en-US"/>
        </w:rPr>
        <w:t xml:space="preserve"> the need to quick-start immediate mobilization of resources from all sources while taking appropriate</w:t>
      </w:r>
      <w:r>
        <w:rPr>
          <w:bCs/>
          <w:snapToGrid w:val="0"/>
          <w:szCs w:val="22"/>
          <w:lang w:val="en-US"/>
        </w:rPr>
        <w:t xml:space="preserve"> </w:t>
      </w:r>
      <w:r w:rsidRPr="000C6543">
        <w:rPr>
          <w:bCs/>
          <w:snapToGrid w:val="0"/>
          <w:szCs w:val="22"/>
          <w:lang w:val="en-US"/>
        </w:rPr>
        <w:t xml:space="preserve">action to </w:t>
      </w:r>
      <w:r w:rsidRPr="000C6543">
        <w:rPr>
          <w:bCs/>
          <w:szCs w:val="22"/>
        </w:rPr>
        <w:t xml:space="preserve">ensure sustained resource mobilization to achieve </w:t>
      </w:r>
      <w:r w:rsidRPr="00D525FA">
        <w:rPr>
          <w:bCs/>
          <w:szCs w:val="22"/>
        </w:rPr>
        <w:t>the 2030 targets</w:t>
      </w:r>
      <w:r>
        <w:rPr>
          <w:bCs/>
          <w:szCs w:val="22"/>
        </w:rPr>
        <w:t xml:space="preserve"> of the </w:t>
      </w:r>
      <w:r>
        <w:rPr>
          <w:snapToGrid w:val="0"/>
          <w:kern w:val="22"/>
          <w:szCs w:val="22"/>
          <w:lang w:val="en-CA"/>
        </w:rPr>
        <w:t>Kunming-Montreal</w:t>
      </w:r>
      <w:r w:rsidRPr="004357C7">
        <w:rPr>
          <w:snapToGrid w:val="0"/>
          <w:kern w:val="22"/>
          <w:szCs w:val="22"/>
          <w:lang w:val="en-CA"/>
        </w:rPr>
        <w:t xml:space="preserve"> </w:t>
      </w:r>
      <w:r>
        <w:rPr>
          <w:bCs/>
          <w:snapToGrid w:val="0"/>
          <w:szCs w:val="22"/>
          <w:lang w:val="en-US"/>
        </w:rPr>
        <w:t xml:space="preserve">Global Biodiversity Framework </w:t>
      </w:r>
      <w:r>
        <w:rPr>
          <w:bCs/>
          <w:szCs w:val="22"/>
        </w:rPr>
        <w:t>and the</w:t>
      </w:r>
      <w:r w:rsidRPr="000C6543">
        <w:rPr>
          <w:bCs/>
          <w:szCs w:val="22"/>
        </w:rPr>
        <w:t xml:space="preserve"> 2050 vision</w:t>
      </w:r>
      <w:r>
        <w:rPr>
          <w:bCs/>
          <w:szCs w:val="22"/>
        </w:rPr>
        <w:t>,</w:t>
      </w:r>
      <w:r w:rsidRPr="000C6543">
        <w:rPr>
          <w:bCs/>
          <w:snapToGrid w:val="0"/>
          <w:szCs w:val="22"/>
          <w:lang w:val="en-US"/>
        </w:rPr>
        <w:t xml:space="preserve"> and </w:t>
      </w:r>
      <w:r>
        <w:rPr>
          <w:bCs/>
          <w:snapToGrid w:val="0"/>
          <w:szCs w:val="22"/>
          <w:lang w:val="en-US"/>
        </w:rPr>
        <w:t xml:space="preserve">to </w:t>
      </w:r>
      <w:r w:rsidRPr="000C6543">
        <w:rPr>
          <w:bCs/>
          <w:snapToGrid w:val="0"/>
          <w:szCs w:val="22"/>
          <w:lang w:val="en-US"/>
        </w:rPr>
        <w:t xml:space="preserve">mobilize resources in a manner commensurate with the ambition of the </w:t>
      </w:r>
      <w:r>
        <w:rPr>
          <w:snapToGrid w:val="0"/>
          <w:kern w:val="22"/>
          <w:szCs w:val="22"/>
          <w:lang w:val="en-US"/>
        </w:rPr>
        <w:t>Framework</w:t>
      </w:r>
      <w:r>
        <w:rPr>
          <w:bCs/>
          <w:snapToGrid w:val="0"/>
          <w:szCs w:val="22"/>
          <w:lang w:val="en-US"/>
        </w:rPr>
        <w:t xml:space="preserve">, </w:t>
      </w:r>
    </w:p>
    <w:p w14:paraId="05059A70" w14:textId="77777777" w:rsidR="0018728E" w:rsidRPr="00F14647"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Acknowledging </w:t>
      </w:r>
      <w:r w:rsidRPr="00F14647">
        <w:rPr>
          <w:snapToGrid w:val="0"/>
          <w:kern w:val="22"/>
          <w:szCs w:val="22"/>
        </w:rPr>
        <w:t xml:space="preserve">that Aichi </w:t>
      </w:r>
      <w:r>
        <w:rPr>
          <w:snapToGrid w:val="0"/>
          <w:kern w:val="22"/>
          <w:szCs w:val="22"/>
        </w:rPr>
        <w:t xml:space="preserve">Biodiversity </w:t>
      </w:r>
      <w:r w:rsidRPr="00F14647">
        <w:rPr>
          <w:snapToGrid w:val="0"/>
          <w:kern w:val="22"/>
          <w:szCs w:val="22"/>
        </w:rPr>
        <w:t>Target 20 calling for a substantial increase in resources for implementing the Strategic Plan for Biodiversity 2011-2020 was</w:t>
      </w:r>
      <w:r>
        <w:rPr>
          <w:snapToGrid w:val="0"/>
          <w:kern w:val="22"/>
          <w:szCs w:val="22"/>
        </w:rPr>
        <w:t xml:space="preserve"> partially</w:t>
      </w:r>
      <w:r w:rsidRPr="00F14647">
        <w:rPr>
          <w:snapToGrid w:val="0"/>
          <w:kern w:val="22"/>
          <w:szCs w:val="22"/>
        </w:rPr>
        <w:t xml:space="preserve"> met</w:t>
      </w:r>
      <w:r w:rsidRPr="00610646">
        <w:rPr>
          <w:rStyle w:val="FootnoteReference"/>
        </w:rPr>
        <w:footnoteReference w:id="54"/>
      </w:r>
      <w:r w:rsidRPr="00F14647">
        <w:rPr>
          <w:snapToGrid w:val="0"/>
          <w:kern w:val="22"/>
          <w:szCs w:val="22"/>
        </w:rPr>
        <w:t xml:space="preserve"> and welcom</w:t>
      </w:r>
      <w:r>
        <w:rPr>
          <w:snapToGrid w:val="0"/>
          <w:kern w:val="22"/>
          <w:szCs w:val="22"/>
        </w:rPr>
        <w:t>ing</w:t>
      </w:r>
      <w:r w:rsidRPr="00F14647">
        <w:rPr>
          <w:snapToGrid w:val="0"/>
          <w:kern w:val="22"/>
          <w:szCs w:val="22"/>
        </w:rPr>
        <w:t xml:space="preserve"> the efforts made in this regard, whil</w:t>
      </w:r>
      <w:r>
        <w:rPr>
          <w:snapToGrid w:val="0"/>
          <w:kern w:val="22"/>
          <w:szCs w:val="22"/>
        </w:rPr>
        <w:t>e</w:t>
      </w:r>
      <w:r w:rsidRPr="00F14647">
        <w:rPr>
          <w:snapToGrid w:val="0"/>
          <w:kern w:val="22"/>
          <w:szCs w:val="22"/>
        </w:rPr>
        <w:t xml:space="preserve"> recognizing that </w:t>
      </w:r>
      <w:r>
        <w:rPr>
          <w:snapToGrid w:val="0"/>
          <w:kern w:val="22"/>
          <w:szCs w:val="22"/>
        </w:rPr>
        <w:t xml:space="preserve">resources were not </w:t>
      </w:r>
      <w:r w:rsidRPr="00F14647">
        <w:rPr>
          <w:snapToGrid w:val="0"/>
          <w:kern w:val="22"/>
          <w:szCs w:val="22"/>
        </w:rPr>
        <w:t>sufficient to enable full and effective implementation of the Aichi Biodiversity Targets</w:t>
      </w:r>
      <w:r>
        <w:rPr>
          <w:snapToGrid w:val="0"/>
          <w:kern w:val="22"/>
          <w:szCs w:val="22"/>
        </w:rPr>
        <w:t>,</w:t>
      </w:r>
    </w:p>
    <w:p w14:paraId="43026EC3"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Welcoming </w:t>
      </w:r>
      <w:r w:rsidRPr="00F14647">
        <w:rPr>
          <w:snapToGrid w:val="0"/>
          <w:kern w:val="22"/>
          <w:szCs w:val="22"/>
        </w:rPr>
        <w:t xml:space="preserve">the pledges made by donor countries as part of the </w:t>
      </w:r>
      <w:r w:rsidRPr="00D71BEC">
        <w:rPr>
          <w:snapToGrid w:val="0"/>
          <w:kern w:val="22"/>
          <w:szCs w:val="22"/>
        </w:rPr>
        <w:t>eighth</w:t>
      </w:r>
      <w:r w:rsidRPr="00F14647">
        <w:rPr>
          <w:snapToGrid w:val="0"/>
          <w:kern w:val="22"/>
          <w:szCs w:val="22"/>
        </w:rPr>
        <w:t xml:space="preserve"> replenishment of the </w:t>
      </w:r>
      <w:r>
        <w:rPr>
          <w:snapToGrid w:val="0"/>
          <w:kern w:val="22"/>
          <w:szCs w:val="22"/>
        </w:rPr>
        <w:t>Global Environment Facility,</w:t>
      </w:r>
    </w:p>
    <w:p w14:paraId="4F6011E5" w14:textId="77777777" w:rsidR="0018728E" w:rsidRPr="007A1F68" w:rsidRDefault="0018728E" w:rsidP="00A3490B">
      <w:pPr>
        <w:suppressLineNumbers/>
        <w:suppressAutoHyphens/>
        <w:spacing w:before="120" w:after="120"/>
        <w:ind w:firstLine="709"/>
        <w:rPr>
          <w:snapToGrid w:val="0"/>
          <w:kern w:val="22"/>
          <w:szCs w:val="22"/>
          <w:lang w:eastAsia="zh-CN"/>
        </w:rPr>
      </w:pPr>
      <w:r w:rsidRPr="007A1F68">
        <w:rPr>
          <w:i/>
          <w:snapToGrid w:val="0"/>
          <w:kern w:val="22"/>
          <w:szCs w:val="22"/>
          <w:lang w:eastAsia="zh-CN"/>
        </w:rPr>
        <w:t xml:space="preserve">Reiterating </w:t>
      </w:r>
      <w:r w:rsidRPr="007A1F68">
        <w:rPr>
          <w:snapToGrid w:val="0"/>
          <w:kern w:val="22"/>
          <w:szCs w:val="22"/>
          <w:lang w:eastAsia="zh-CN"/>
        </w:rPr>
        <w:t xml:space="preserve">the important role of national biodiversity strategies and action plans as a basis for identifying national funding needs and priorities, and for the effective and efficient mobilization of resources from all sources in accordance with national circumstances and priorities, including, as applicable, for the implementation of the </w:t>
      </w:r>
      <w:r>
        <w:rPr>
          <w:snapToGrid w:val="0"/>
          <w:kern w:val="22"/>
          <w:szCs w:val="22"/>
          <w:lang w:eastAsia="zh-CN"/>
        </w:rPr>
        <w:t>P</w:t>
      </w:r>
      <w:r w:rsidRPr="007A1F68">
        <w:rPr>
          <w:snapToGrid w:val="0"/>
          <w:kern w:val="22"/>
          <w:szCs w:val="22"/>
          <w:lang w:eastAsia="zh-CN"/>
        </w:rPr>
        <w:t>rotocols under the Convention, and for the synergistic implementation of other biodiversity-related conventions</w:t>
      </w:r>
      <w:r>
        <w:rPr>
          <w:snapToGrid w:val="0"/>
          <w:kern w:val="22"/>
          <w:szCs w:val="22"/>
          <w:lang w:eastAsia="zh-CN"/>
        </w:rPr>
        <w:t>,</w:t>
      </w:r>
    </w:p>
    <w:p w14:paraId="339B5CFA" w14:textId="77777777" w:rsidR="0018728E" w:rsidRPr="007A1F68" w:rsidRDefault="0018728E" w:rsidP="00A3490B">
      <w:pPr>
        <w:suppressLineNumbers/>
        <w:suppressAutoHyphens/>
        <w:spacing w:before="120" w:after="120"/>
        <w:ind w:firstLine="709"/>
        <w:rPr>
          <w:iCs/>
          <w:snapToGrid w:val="0"/>
          <w:kern w:val="22"/>
          <w:szCs w:val="22"/>
          <w:lang w:eastAsia="zh-CN"/>
        </w:rPr>
      </w:pPr>
      <w:r w:rsidRPr="007A1F68">
        <w:rPr>
          <w:i/>
          <w:snapToGrid w:val="0"/>
          <w:kern w:val="22"/>
          <w:szCs w:val="22"/>
          <w:lang w:eastAsia="zh-CN"/>
        </w:rPr>
        <w:t xml:space="preserve">Recalling </w:t>
      </w:r>
      <w:r w:rsidRPr="007A1F68">
        <w:rPr>
          <w:iCs/>
          <w:snapToGrid w:val="0"/>
          <w:kern w:val="22"/>
          <w:szCs w:val="22"/>
          <w:lang w:eastAsia="zh-CN"/>
        </w:rPr>
        <w:t xml:space="preserve">that Parties are invited to prepare national finance plans or other similar planning instruments, in the context of national biodiversity strategies and action plans, in line with sub-goal 2.2 of the strategy for resource mobilization adopted </w:t>
      </w:r>
      <w:r>
        <w:rPr>
          <w:iCs/>
          <w:snapToGrid w:val="0"/>
          <w:kern w:val="22"/>
          <w:szCs w:val="22"/>
          <w:lang w:eastAsia="zh-CN"/>
        </w:rPr>
        <w:t>in</w:t>
      </w:r>
      <w:r w:rsidRPr="007A1F68">
        <w:rPr>
          <w:iCs/>
          <w:snapToGrid w:val="0"/>
          <w:kern w:val="22"/>
          <w:szCs w:val="22"/>
          <w:lang w:eastAsia="zh-CN"/>
        </w:rPr>
        <w:t xml:space="preserve"> decision IX/11</w:t>
      </w:r>
      <w:r>
        <w:rPr>
          <w:iCs/>
          <w:snapToGrid w:val="0"/>
          <w:kern w:val="22"/>
          <w:szCs w:val="22"/>
          <w:lang w:eastAsia="zh-CN"/>
        </w:rPr>
        <w:t>,</w:t>
      </w:r>
    </w:p>
    <w:p w14:paraId="6A4AB40A" w14:textId="77777777" w:rsidR="0018728E" w:rsidRPr="007A1F68"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t>Recognizing</w:t>
      </w:r>
      <w:r w:rsidRPr="007A1F68">
        <w:rPr>
          <w:snapToGrid w:val="0"/>
          <w:kern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w:t>
      </w:r>
      <w:r>
        <w:rPr>
          <w:snapToGrid w:val="0"/>
          <w:kern w:val="22"/>
          <w:szCs w:val="22"/>
        </w:rPr>
        <w:t>Kunming-Montreal Global Biodiversity Framework,</w:t>
      </w:r>
    </w:p>
    <w:p w14:paraId="4EE9DFF0"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t xml:space="preserve">Cognizant </w:t>
      </w:r>
      <w:r w:rsidRPr="007A1F68">
        <w:rPr>
          <w:snapToGrid w:val="0"/>
          <w:kern w:val="22"/>
          <w:szCs w:val="22"/>
        </w:rPr>
        <w:t>of the opportunities for harnessing synergies among the Rio conventions, including synergies related to the mobilization and use of resources for biodiversity conservation and sustainable use</w:t>
      </w:r>
      <w:r>
        <w:rPr>
          <w:snapToGrid w:val="0"/>
          <w:kern w:val="22"/>
          <w:szCs w:val="22"/>
        </w:rPr>
        <w:t>,</w:t>
      </w:r>
    </w:p>
    <w:p w14:paraId="7D40E123" w14:textId="77777777" w:rsidR="0018728E" w:rsidRPr="001C3F2D"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1.</w:t>
      </w:r>
      <w:r w:rsidRPr="001C3F2D">
        <w:rPr>
          <w:snapToGrid w:val="0"/>
          <w:kern w:val="22"/>
          <w:szCs w:val="22"/>
        </w:rPr>
        <w:tab/>
      </w:r>
      <w:r w:rsidRPr="0025326D">
        <w:rPr>
          <w:i/>
          <w:iCs/>
          <w:snapToGrid w:val="0"/>
          <w:kern w:val="22"/>
          <w:szCs w:val="22"/>
        </w:rPr>
        <w:t>Expresses its appreciation</w:t>
      </w:r>
      <w:r w:rsidRPr="001C3F2D">
        <w:rPr>
          <w:snapToGrid w:val="0"/>
          <w:kern w:val="22"/>
          <w:szCs w:val="22"/>
        </w:rPr>
        <w:t xml:space="preserve"> to the Government of Germany for providing financial support to the work of the Panel of Experts on resource mobilization, and for hosting the Thematic Workshop on Resource Mobilization for the Post-2020 Global Biodiversity Framework, which was held in Berlin</w:t>
      </w:r>
      <w:r>
        <w:rPr>
          <w:snapToGrid w:val="0"/>
          <w:kern w:val="22"/>
          <w:szCs w:val="22"/>
        </w:rPr>
        <w:t>,</w:t>
      </w:r>
      <w:r w:rsidRPr="001C3F2D">
        <w:rPr>
          <w:snapToGrid w:val="0"/>
          <w:kern w:val="22"/>
          <w:szCs w:val="22"/>
        </w:rPr>
        <w:t xml:space="preserve"> from 14 to 16 January 2020;</w:t>
      </w:r>
      <w:r>
        <w:rPr>
          <w:snapToGrid w:val="0"/>
          <w:kern w:val="22"/>
          <w:szCs w:val="22"/>
        </w:rPr>
        <w:t xml:space="preserve"> </w:t>
      </w:r>
    </w:p>
    <w:p w14:paraId="3D09EB95" w14:textId="77777777" w:rsidR="0018728E" w:rsidRPr="001C3F2D"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2.</w:t>
      </w:r>
      <w:r w:rsidRPr="001C3F2D">
        <w:rPr>
          <w:snapToGrid w:val="0"/>
          <w:kern w:val="22"/>
          <w:szCs w:val="22"/>
        </w:rPr>
        <w:tab/>
      </w:r>
      <w:r>
        <w:rPr>
          <w:i/>
          <w:iCs/>
          <w:snapToGrid w:val="0"/>
          <w:kern w:val="22"/>
          <w:szCs w:val="22"/>
        </w:rPr>
        <w:t>Welcomes</w:t>
      </w:r>
      <w:r w:rsidRPr="00B457A6">
        <w:rPr>
          <w:snapToGrid w:val="0"/>
          <w:kern w:val="22"/>
          <w:szCs w:val="22"/>
        </w:rPr>
        <w:t xml:space="preserve"> </w:t>
      </w:r>
      <w:r w:rsidRPr="00065CF8">
        <w:rPr>
          <w:snapToGrid w:val="0"/>
          <w:kern w:val="22"/>
          <w:szCs w:val="22"/>
        </w:rPr>
        <w:t>the final report of the Panel of Experts, which</w:t>
      </w:r>
      <w:r w:rsidRPr="00B457A6">
        <w:rPr>
          <w:snapToGrid w:val="0"/>
          <w:kern w:val="22"/>
          <w:szCs w:val="22"/>
        </w:rPr>
        <w:t xml:space="preserve"> provides an assessment of the resources from all sources needed for the implementation of the post-2020 global biodiversity framework,</w:t>
      </w:r>
      <w:r>
        <w:rPr>
          <w:snapToGrid w:val="0"/>
          <w:kern w:val="22"/>
          <w:szCs w:val="22"/>
        </w:rPr>
        <w:t xml:space="preserve"> </w:t>
      </w:r>
      <w:r>
        <w:rPr>
          <w:snapToGrid w:val="0"/>
          <w:kern w:val="22"/>
          <w:szCs w:val="22"/>
        </w:rPr>
        <w:lastRenderedPageBreak/>
        <w:t>and takes note of</w:t>
      </w:r>
      <w:r w:rsidRPr="00B457A6">
        <w:rPr>
          <w:snapToGrid w:val="0"/>
          <w:kern w:val="22"/>
          <w:szCs w:val="22"/>
        </w:rPr>
        <w:t xml:space="preserve"> the other reports of the Panel of Experts, considered by the Subsidiary Body on Implementation at its third meeting;</w:t>
      </w:r>
      <w:r w:rsidRPr="00610646">
        <w:rPr>
          <w:rStyle w:val="FootnoteReference"/>
        </w:rPr>
        <w:footnoteReference w:id="55"/>
      </w:r>
      <w:r>
        <w:rPr>
          <w:snapToGrid w:val="0"/>
          <w:kern w:val="22"/>
          <w:szCs w:val="22"/>
        </w:rPr>
        <w:t xml:space="preserve"> </w:t>
      </w:r>
    </w:p>
    <w:p w14:paraId="409F9450" w14:textId="77777777" w:rsidR="0018728E" w:rsidRPr="001C3F2D"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3.</w:t>
      </w:r>
      <w:r w:rsidRPr="001C3F2D">
        <w:rPr>
          <w:snapToGrid w:val="0"/>
          <w:kern w:val="22"/>
          <w:szCs w:val="22"/>
        </w:rPr>
        <w:tab/>
      </w:r>
      <w:r>
        <w:rPr>
          <w:i/>
          <w:iCs/>
          <w:snapToGrid w:val="0"/>
          <w:kern w:val="22"/>
          <w:szCs w:val="22"/>
        </w:rPr>
        <w:t>N</w:t>
      </w:r>
      <w:r w:rsidRPr="00F14647">
        <w:rPr>
          <w:i/>
          <w:iCs/>
          <w:snapToGrid w:val="0"/>
          <w:kern w:val="22"/>
          <w:szCs w:val="22"/>
        </w:rPr>
        <w:t>ote</w:t>
      </w:r>
      <w:r w:rsidRPr="00F14647">
        <w:rPr>
          <w:snapToGrid w:val="0"/>
          <w:kern w:val="22"/>
          <w:szCs w:val="22"/>
        </w:rPr>
        <w:t>s</w:t>
      </w:r>
      <w:r>
        <w:rPr>
          <w:snapToGrid w:val="0"/>
          <w:kern w:val="22"/>
          <w:szCs w:val="22"/>
        </w:rPr>
        <w:t xml:space="preserve"> </w:t>
      </w:r>
      <w:r w:rsidRPr="001C3F2D">
        <w:rPr>
          <w:snapToGrid w:val="0"/>
          <w:kern w:val="22"/>
          <w:szCs w:val="22"/>
        </w:rPr>
        <w:t xml:space="preserve">the final analysis of financial reporting frameworks received by Parties, prepared by the Executive Secretary; </w:t>
      </w:r>
    </w:p>
    <w:p w14:paraId="45098B17"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4.</w:t>
      </w:r>
      <w:r w:rsidRPr="001C3F2D">
        <w:rPr>
          <w:snapToGrid w:val="0"/>
          <w:kern w:val="22"/>
          <w:szCs w:val="22"/>
        </w:rPr>
        <w:tab/>
      </w:r>
      <w:r>
        <w:rPr>
          <w:i/>
          <w:iCs/>
          <w:snapToGrid w:val="0"/>
          <w:kern w:val="22"/>
          <w:szCs w:val="22"/>
        </w:rPr>
        <w:t>Also n</w:t>
      </w:r>
      <w:r w:rsidRPr="001820FF">
        <w:rPr>
          <w:i/>
          <w:iCs/>
          <w:snapToGrid w:val="0"/>
          <w:kern w:val="22"/>
          <w:szCs w:val="22"/>
        </w:rPr>
        <w:t xml:space="preserve">otes </w:t>
      </w:r>
      <w:r w:rsidRPr="00F14647">
        <w:rPr>
          <w:snapToGrid w:val="0"/>
          <w:kern w:val="22"/>
          <w:szCs w:val="22"/>
        </w:rPr>
        <w:t>the progress made</w:t>
      </w:r>
      <w:r>
        <w:rPr>
          <w:snapToGrid w:val="0"/>
          <w:kern w:val="22"/>
          <w:szCs w:val="22"/>
        </w:rPr>
        <w:t xml:space="preserve"> by Parties, </w:t>
      </w:r>
      <w:r w:rsidRPr="001C3F2D">
        <w:rPr>
          <w:snapToGrid w:val="0"/>
          <w:kern w:val="22"/>
          <w:szCs w:val="22"/>
        </w:rPr>
        <w:t>in implementing the strategy for resource mobilization and the targets for resource mobilization adopted under Aichi Biodiversity Target 20;</w:t>
      </w:r>
      <w:r>
        <w:rPr>
          <w:snapToGrid w:val="0"/>
          <w:kern w:val="22"/>
          <w:szCs w:val="22"/>
        </w:rPr>
        <w:t xml:space="preserve"> </w:t>
      </w:r>
    </w:p>
    <w:p w14:paraId="1A29DCE1"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Pr>
          <w:snapToGrid w:val="0"/>
          <w:kern w:val="22"/>
          <w:szCs w:val="22"/>
        </w:rPr>
        <w:tab/>
      </w:r>
      <w:r w:rsidRPr="00451F41">
        <w:rPr>
          <w:i/>
          <w:iCs/>
          <w:snapToGrid w:val="0"/>
          <w:kern w:val="22"/>
          <w:szCs w:val="22"/>
        </w:rPr>
        <w:t>Welcomes</w:t>
      </w:r>
      <w:r>
        <w:rPr>
          <w:snapToGrid w:val="0"/>
          <w:kern w:val="22"/>
          <w:szCs w:val="22"/>
        </w:rPr>
        <w:t xml:space="preserve"> the fact that the commitment of doubling total biodiversity-related international financial resource flows to developing countries by 2015 was achieved;</w:t>
      </w:r>
      <w:r w:rsidRPr="00610646">
        <w:rPr>
          <w:rStyle w:val="FootnoteReference"/>
        </w:rPr>
        <w:footnoteReference w:id="56"/>
      </w:r>
    </w:p>
    <w:p w14:paraId="530B7050"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Pr="00D35CC6">
        <w:rPr>
          <w:snapToGrid w:val="0"/>
          <w:kern w:val="22"/>
          <w:szCs w:val="22"/>
        </w:rPr>
        <w:t>.</w:t>
      </w:r>
      <w:r>
        <w:rPr>
          <w:i/>
          <w:iCs/>
          <w:snapToGrid w:val="0"/>
          <w:kern w:val="22"/>
          <w:szCs w:val="22"/>
        </w:rPr>
        <w:tab/>
      </w:r>
      <w:r w:rsidRPr="00D9362A">
        <w:rPr>
          <w:i/>
          <w:iCs/>
          <w:snapToGrid w:val="0"/>
          <w:kern w:val="22"/>
          <w:szCs w:val="22"/>
        </w:rPr>
        <w:t>Acknowledge</w:t>
      </w:r>
      <w:r>
        <w:rPr>
          <w:i/>
          <w:iCs/>
          <w:snapToGrid w:val="0"/>
          <w:kern w:val="22"/>
          <w:szCs w:val="22"/>
        </w:rPr>
        <w:t>s</w:t>
      </w:r>
      <w:r w:rsidRPr="00D9362A">
        <w:rPr>
          <w:i/>
          <w:iCs/>
          <w:snapToGrid w:val="0"/>
          <w:kern w:val="22"/>
          <w:szCs w:val="22"/>
        </w:rPr>
        <w:t xml:space="preserve"> </w:t>
      </w:r>
      <w:r w:rsidRPr="00E23C93">
        <w:rPr>
          <w:snapToGrid w:val="0"/>
          <w:kern w:val="22"/>
          <w:szCs w:val="22"/>
        </w:rPr>
        <w:t xml:space="preserve">the </w:t>
      </w:r>
      <w:r w:rsidRPr="00136B5A">
        <w:rPr>
          <w:snapToGrid w:val="0"/>
          <w:kern w:val="22"/>
          <w:szCs w:val="22"/>
        </w:rPr>
        <w:t xml:space="preserve">pledges made to finance the implementation of </w:t>
      </w:r>
      <w:r w:rsidRPr="00D517E2">
        <w:rPr>
          <w:snapToGrid w:val="0"/>
          <w:kern w:val="22"/>
          <w:szCs w:val="22"/>
        </w:rPr>
        <w:t>the Kunming-Montreal Global Biodiversity Framework, recognizes that further efforts are needed, and encourages developed</w:t>
      </w:r>
      <w:r>
        <w:rPr>
          <w:snapToGrid w:val="0"/>
          <w:kern w:val="22"/>
          <w:szCs w:val="22"/>
        </w:rPr>
        <w:t xml:space="preserve"> country Parties, other donors, and financial institutions to facilitate efficient access to these resources through multilateral and bilateral channels;</w:t>
      </w:r>
    </w:p>
    <w:p w14:paraId="78E09F53" w14:textId="77777777" w:rsidR="0018728E" w:rsidRPr="00451F41"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Pr>
          <w:snapToGrid w:val="0"/>
          <w:kern w:val="22"/>
          <w:szCs w:val="22"/>
        </w:rPr>
        <w:tab/>
      </w:r>
      <w:r w:rsidRPr="00451F41">
        <w:rPr>
          <w:i/>
          <w:iCs/>
          <w:snapToGrid w:val="0"/>
          <w:kern w:val="22"/>
          <w:szCs w:val="22"/>
        </w:rPr>
        <w:t>Welcomes</w:t>
      </w:r>
      <w:r w:rsidRPr="00136B5A">
        <w:rPr>
          <w:snapToGrid w:val="0"/>
          <w:kern w:val="22"/>
          <w:szCs w:val="22"/>
        </w:rPr>
        <w:t xml:space="preserve"> new initiatives including, but not limited to, the NBSAP Accelerator Partnership, the High-Ambition Coalition for Nature and People 2.0, the Legacy Landscapes Fund,</w:t>
      </w:r>
      <w:r>
        <w:rPr>
          <w:snapToGrid w:val="0"/>
          <w:kern w:val="22"/>
          <w:szCs w:val="22"/>
        </w:rPr>
        <w:t xml:space="preserve"> the Kunming Biodiversity Fund, the Japan Biodiversity Fund,</w:t>
      </w:r>
      <w:r w:rsidRPr="00136B5A">
        <w:rPr>
          <w:snapToGrid w:val="0"/>
          <w:kern w:val="22"/>
          <w:szCs w:val="22"/>
        </w:rPr>
        <w:t xml:space="preserve"> and other instruments, and encourages public and private donors </w:t>
      </w:r>
      <w:r w:rsidRPr="00C833A2">
        <w:rPr>
          <w:snapToGrid w:val="0"/>
          <w:kern w:val="22"/>
          <w:szCs w:val="22"/>
        </w:rPr>
        <w:t>to contribute to them and all Parties to make use of these instruments;</w:t>
      </w:r>
      <w:r w:rsidRPr="00C833A2">
        <w:rPr>
          <w:i/>
          <w:iCs/>
          <w:snapToGrid w:val="0"/>
          <w:kern w:val="22"/>
          <w:szCs w:val="22"/>
        </w:rPr>
        <w:t xml:space="preserve"> </w:t>
      </w:r>
    </w:p>
    <w:p w14:paraId="5C4D336E" w14:textId="77777777" w:rsidR="0018728E" w:rsidRPr="00136B5A"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8.</w:t>
      </w:r>
      <w:r>
        <w:rPr>
          <w:snapToGrid w:val="0"/>
          <w:kern w:val="22"/>
          <w:szCs w:val="22"/>
        </w:rPr>
        <w:tab/>
      </w:r>
      <w:r w:rsidRPr="00451F41">
        <w:rPr>
          <w:i/>
          <w:iCs/>
          <w:snapToGrid w:val="0"/>
          <w:kern w:val="22"/>
          <w:szCs w:val="22"/>
        </w:rPr>
        <w:t>Invites</w:t>
      </w:r>
      <w:r>
        <w:rPr>
          <w:snapToGrid w:val="0"/>
          <w:kern w:val="22"/>
          <w:szCs w:val="22"/>
        </w:rPr>
        <w:t xml:space="preserve"> the Secretary General of the United Nations, building on the reforms of the United Nations </w:t>
      </w:r>
      <w:r w:rsidRPr="00E24C31">
        <w:rPr>
          <w:snapToGrid w:val="0"/>
          <w:kern w:val="22"/>
          <w:szCs w:val="22"/>
        </w:rPr>
        <w:t>S</w:t>
      </w:r>
      <w:r>
        <w:rPr>
          <w:snapToGrid w:val="0"/>
          <w:kern w:val="22"/>
          <w:szCs w:val="22"/>
        </w:rPr>
        <w:t xml:space="preserve">ystem, to further strengthen the United Nations development system, and the funds and programmes, to further strengthen the United Nations </w:t>
      </w:r>
      <w:r w:rsidRPr="00E24C31">
        <w:rPr>
          <w:snapToGrid w:val="0"/>
          <w:kern w:val="22"/>
          <w:szCs w:val="22"/>
        </w:rPr>
        <w:t>country team to support</w:t>
      </w:r>
      <w:r>
        <w:rPr>
          <w:snapToGrid w:val="0"/>
          <w:kern w:val="22"/>
          <w:szCs w:val="22"/>
        </w:rPr>
        <w:t xml:space="preserve"> countries in integrating priorities identified in national biodiversity strategies and action plans and other national biodiversity planning instruments into United Nations sustainable development cooperation frameworks; </w:t>
      </w:r>
    </w:p>
    <w:p w14:paraId="18BADB9B" w14:textId="77777777" w:rsidR="0018728E" w:rsidRPr="00E606B5"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9</w:t>
      </w:r>
      <w:r w:rsidRPr="00A55D13">
        <w:rPr>
          <w:snapToGrid w:val="0"/>
          <w:kern w:val="22"/>
          <w:szCs w:val="22"/>
        </w:rPr>
        <w:t>.</w:t>
      </w:r>
      <w:r>
        <w:rPr>
          <w:i/>
          <w:iCs/>
          <w:snapToGrid w:val="0"/>
          <w:kern w:val="22"/>
          <w:szCs w:val="22"/>
        </w:rPr>
        <w:tab/>
        <w:t>Recognizes</w:t>
      </w:r>
      <w:r w:rsidRPr="00E606B5">
        <w:rPr>
          <w:snapToGrid w:val="0"/>
          <w:kern w:val="22"/>
          <w:szCs w:val="22"/>
        </w:rPr>
        <w:t xml:space="preserve"> efforts by other relevant instruments</w:t>
      </w:r>
      <w:r>
        <w:rPr>
          <w:snapToGrid w:val="0"/>
          <w:kern w:val="22"/>
          <w:szCs w:val="22"/>
        </w:rPr>
        <w:t xml:space="preserve"> and institutions</w:t>
      </w:r>
      <w:r w:rsidRPr="00E606B5">
        <w:rPr>
          <w:snapToGrid w:val="0"/>
          <w:kern w:val="22"/>
          <w:szCs w:val="22"/>
        </w:rPr>
        <w:t xml:space="preserve"> to integrate biodiversity in their financing and programming decisions and further encourages them to align their financing with the goals and targets of the </w:t>
      </w:r>
      <w:r>
        <w:rPr>
          <w:snapToGrid w:val="0"/>
          <w:kern w:val="22"/>
          <w:szCs w:val="22"/>
        </w:rPr>
        <w:t xml:space="preserve">Kunming-Montreal </w:t>
      </w:r>
      <w:r>
        <w:rPr>
          <w:snapToGrid w:val="0"/>
          <w:kern w:val="22"/>
          <w:szCs w:val="22"/>
          <w:lang w:val="en-US"/>
        </w:rPr>
        <w:t>Global Biodiversity Framework</w:t>
      </w:r>
      <w:r>
        <w:rPr>
          <w:snapToGrid w:val="0"/>
          <w:kern w:val="22"/>
          <w:szCs w:val="22"/>
        </w:rPr>
        <w:t>;</w:t>
      </w:r>
    </w:p>
    <w:p w14:paraId="53877836"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10</w:t>
      </w:r>
      <w:r w:rsidRPr="001C3F2D">
        <w:rPr>
          <w:snapToGrid w:val="0"/>
          <w:kern w:val="22"/>
          <w:szCs w:val="22"/>
        </w:rPr>
        <w:t>.</w:t>
      </w:r>
      <w:r w:rsidRPr="001C3F2D">
        <w:rPr>
          <w:snapToGrid w:val="0"/>
          <w:kern w:val="22"/>
          <w:szCs w:val="22"/>
        </w:rPr>
        <w:tab/>
      </w:r>
      <w:r w:rsidRPr="00C64542">
        <w:rPr>
          <w:i/>
          <w:iCs/>
          <w:snapToGrid w:val="0"/>
          <w:kern w:val="22"/>
          <w:szCs w:val="22"/>
        </w:rPr>
        <w:t>Also recognizes</w:t>
      </w:r>
      <w:r w:rsidRPr="001C3F2D">
        <w:rPr>
          <w:snapToGrid w:val="0"/>
          <w:kern w:val="22"/>
          <w:szCs w:val="22"/>
        </w:rPr>
        <w:t xml:space="preserve"> the ongoing need of developing countries for other means of implementation, including technical and financial support and capacity-building, </w:t>
      </w:r>
      <w:r w:rsidRPr="00F613B2">
        <w:rPr>
          <w:snapToGrid w:val="0"/>
          <w:kern w:val="22"/>
          <w:szCs w:val="22"/>
        </w:rPr>
        <w:t xml:space="preserve">including </w:t>
      </w:r>
      <w:r w:rsidRPr="008F6FFF">
        <w:rPr>
          <w:snapToGrid w:val="0"/>
          <w:kern w:val="22"/>
          <w:szCs w:val="22"/>
        </w:rPr>
        <w:t xml:space="preserve">the need </w:t>
      </w:r>
      <w:r w:rsidRPr="00F613B2">
        <w:rPr>
          <w:snapToGrid w:val="0"/>
          <w:kern w:val="22"/>
          <w:szCs w:val="22"/>
        </w:rPr>
        <w:t>to undertake</w:t>
      </w:r>
      <w:r w:rsidRPr="001C3F2D">
        <w:rPr>
          <w:snapToGrid w:val="0"/>
          <w:kern w:val="22"/>
          <w:szCs w:val="22"/>
        </w:rPr>
        <w:t xml:space="preserve"> domestic action to mobilize resources and monitor and report thereon;</w:t>
      </w:r>
      <w:r>
        <w:rPr>
          <w:snapToGrid w:val="0"/>
          <w:kern w:val="22"/>
          <w:szCs w:val="22"/>
        </w:rPr>
        <w:t xml:space="preserve"> </w:t>
      </w:r>
    </w:p>
    <w:p w14:paraId="0F1BA495" w14:textId="77777777" w:rsidR="0018728E" w:rsidRPr="00E20157" w:rsidRDefault="0018728E" w:rsidP="008F6FFF">
      <w:pPr>
        <w:keepNext/>
        <w:suppressLineNumbers/>
        <w:suppressAutoHyphens/>
        <w:kinsoku w:val="0"/>
        <w:overflowPunct w:val="0"/>
        <w:autoSpaceDE w:val="0"/>
        <w:autoSpaceDN w:val="0"/>
        <w:adjustRightInd w:val="0"/>
        <w:snapToGrid w:val="0"/>
        <w:spacing w:before="120" w:after="120"/>
        <w:rPr>
          <w:b/>
          <w:bCs/>
          <w:snapToGrid w:val="0"/>
          <w:kern w:val="22"/>
          <w:szCs w:val="22"/>
        </w:rPr>
      </w:pPr>
      <w:r w:rsidRPr="004B1B7F">
        <w:rPr>
          <w:b/>
          <w:bCs/>
          <w:snapToGrid w:val="0"/>
          <w:kern w:val="22"/>
          <w:szCs w:val="22"/>
        </w:rPr>
        <w:t xml:space="preserve">Strategy for </w:t>
      </w:r>
      <w:r w:rsidRPr="00E20157">
        <w:rPr>
          <w:b/>
          <w:bCs/>
          <w:snapToGrid w:val="0"/>
          <w:kern w:val="22"/>
          <w:szCs w:val="22"/>
        </w:rPr>
        <w:t xml:space="preserve">resource mobilization </w:t>
      </w:r>
    </w:p>
    <w:p w14:paraId="3285B05C"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sidRPr="00E20157">
        <w:rPr>
          <w:snapToGrid w:val="0"/>
          <w:kern w:val="22"/>
          <w:szCs w:val="22"/>
        </w:rPr>
        <w:t>11.</w:t>
      </w:r>
      <w:r w:rsidRPr="00E20157">
        <w:rPr>
          <w:i/>
          <w:snapToGrid w:val="0"/>
          <w:kern w:val="22"/>
          <w:szCs w:val="22"/>
        </w:rPr>
        <w:tab/>
        <w:t>Adopts</w:t>
      </w:r>
      <w:bookmarkStart w:id="56" w:name="_Hlk37148547"/>
      <w:r w:rsidRPr="00E20157">
        <w:rPr>
          <w:i/>
          <w:snapToGrid w:val="0"/>
          <w:kern w:val="22"/>
          <w:szCs w:val="22"/>
        </w:rPr>
        <w:t xml:space="preserve"> </w:t>
      </w:r>
      <w:r w:rsidRPr="00E20157">
        <w:rPr>
          <w:snapToGrid w:val="0"/>
          <w:kern w:val="22"/>
          <w:szCs w:val="22"/>
        </w:rPr>
        <w:t xml:space="preserve">the </w:t>
      </w:r>
      <w:bookmarkStart w:id="57" w:name="_Hlk37148875"/>
      <w:r w:rsidRPr="00E20157">
        <w:rPr>
          <w:snapToGrid w:val="0"/>
          <w:kern w:val="22"/>
          <w:szCs w:val="22"/>
        </w:rPr>
        <w:t>strategy for resource mobilization</w:t>
      </w:r>
      <w:bookmarkEnd w:id="56"/>
      <w:bookmarkEnd w:id="57"/>
      <w:r w:rsidRPr="00E20157">
        <w:rPr>
          <w:snapToGrid w:val="0"/>
          <w:kern w:val="22"/>
          <w:szCs w:val="22"/>
        </w:rPr>
        <w:t xml:space="preserve"> for the Kunming-Montreal Global Biodiversity Framework contained in annex I to the present decision, as guidance to facilitate the immediate mobilization of resources, taking</w:t>
      </w:r>
      <w:r w:rsidRPr="00F14647">
        <w:rPr>
          <w:snapToGrid w:val="0"/>
          <w:kern w:val="22"/>
          <w:szCs w:val="22"/>
        </w:rPr>
        <w:t xml:space="preserve"> int</w:t>
      </w:r>
      <w:r w:rsidRPr="00A55D13">
        <w:rPr>
          <w:snapToGrid w:val="0"/>
          <w:kern w:val="22"/>
          <w:szCs w:val="22"/>
        </w:rPr>
        <w:t>o account national circumstances</w:t>
      </w:r>
      <w:r w:rsidRPr="00A55D13">
        <w:rPr>
          <w:rFonts w:eastAsia="DengXian"/>
          <w:snapToGrid w:val="0"/>
          <w:kern w:val="22"/>
          <w:szCs w:val="22"/>
          <w:lang w:eastAsia="zh-CN"/>
        </w:rPr>
        <w:t xml:space="preserve">; </w:t>
      </w:r>
    </w:p>
    <w:p w14:paraId="4DCB9728" w14:textId="77777777" w:rsidR="0018728E" w:rsidRPr="00A55D13" w:rsidRDefault="0018728E"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Pr>
          <w:rFonts w:eastAsia="DengXian"/>
          <w:snapToGrid w:val="0"/>
          <w:kern w:val="22"/>
          <w:szCs w:val="22"/>
          <w:lang w:eastAsia="zh-CN"/>
        </w:rPr>
        <w:t>12.</w:t>
      </w:r>
      <w:r>
        <w:rPr>
          <w:rFonts w:eastAsia="DengXian"/>
          <w:snapToGrid w:val="0"/>
          <w:kern w:val="22"/>
          <w:szCs w:val="22"/>
          <w:lang w:eastAsia="zh-CN"/>
        </w:rPr>
        <w:tab/>
      </w:r>
      <w:r w:rsidRPr="00451F41">
        <w:rPr>
          <w:rFonts w:eastAsia="DengXian"/>
          <w:i/>
          <w:iCs/>
          <w:snapToGrid w:val="0"/>
          <w:kern w:val="22"/>
          <w:szCs w:val="22"/>
          <w:lang w:eastAsia="zh-CN"/>
        </w:rPr>
        <w:t>Recognizes</w:t>
      </w:r>
      <w:r>
        <w:rPr>
          <w:rFonts w:eastAsia="DengXian"/>
          <w:snapToGrid w:val="0"/>
          <w:kern w:val="22"/>
          <w:szCs w:val="22"/>
          <w:lang w:eastAsia="zh-CN"/>
        </w:rPr>
        <w:t xml:space="preserve"> that the overall strategy for resource mobilization contains an intermediate phase (2023–2024), and a medium-term phase (2025–2030);</w:t>
      </w:r>
    </w:p>
    <w:p w14:paraId="1672BC4A" w14:textId="77777777" w:rsidR="0018728E" w:rsidRPr="00A55D13"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13</w:t>
      </w:r>
      <w:r w:rsidRPr="00A55D13">
        <w:rPr>
          <w:snapToGrid w:val="0"/>
          <w:kern w:val="22"/>
          <w:szCs w:val="22"/>
        </w:rPr>
        <w:t>.</w:t>
      </w:r>
      <w:r w:rsidRPr="00A55D13">
        <w:rPr>
          <w:i/>
          <w:snapToGrid w:val="0"/>
          <w:kern w:val="22"/>
          <w:szCs w:val="22"/>
        </w:rPr>
        <w:tab/>
        <w:t>Encourages</w:t>
      </w:r>
      <w:r w:rsidRPr="00A55D13">
        <w:rPr>
          <w:snapToGrid w:val="0"/>
          <w:kern w:val="22"/>
          <w:szCs w:val="22"/>
        </w:rPr>
        <w:t xml:space="preserve"> Parties and invites other Governments, organizations, the private sector and other major stakeholder groups to take the </w:t>
      </w:r>
      <w:bookmarkStart w:id="58" w:name="_Hlk121213301"/>
      <w:r w:rsidRPr="00A55D13">
        <w:rPr>
          <w:snapToGrid w:val="0"/>
          <w:kern w:val="22"/>
          <w:szCs w:val="22"/>
        </w:rPr>
        <w:t>strategy for resource mobilization</w:t>
      </w:r>
      <w:r>
        <w:rPr>
          <w:snapToGrid w:val="0"/>
          <w:kern w:val="22"/>
          <w:szCs w:val="22"/>
        </w:rPr>
        <w:t xml:space="preserve"> </w:t>
      </w:r>
      <w:bookmarkEnd w:id="58"/>
      <w:r w:rsidRPr="00A55D13">
        <w:rPr>
          <w:snapToGrid w:val="0"/>
          <w:kern w:val="22"/>
          <w:szCs w:val="22"/>
        </w:rPr>
        <w:t xml:space="preserve">into consideration as a flexible framework guiding implementation of the targets of the </w:t>
      </w:r>
      <w:r>
        <w:rPr>
          <w:snapToGrid w:val="0"/>
          <w:kern w:val="22"/>
          <w:szCs w:val="22"/>
          <w:lang w:val="en-CA"/>
        </w:rPr>
        <w:t>Kunming-Montreal</w:t>
      </w:r>
      <w:r w:rsidRPr="004357C7">
        <w:rPr>
          <w:snapToGrid w:val="0"/>
          <w:kern w:val="22"/>
          <w:szCs w:val="22"/>
          <w:lang w:val="en-CA"/>
        </w:rPr>
        <w:t xml:space="preserve"> </w:t>
      </w:r>
      <w:r>
        <w:rPr>
          <w:bCs/>
          <w:snapToGrid w:val="0"/>
          <w:szCs w:val="22"/>
          <w:lang w:val="en-US"/>
        </w:rPr>
        <w:t>Global Biodiversity Framework related to resource mobilization</w:t>
      </w:r>
      <w:r w:rsidRPr="00A55D13">
        <w:rPr>
          <w:rFonts w:eastAsia="DengXian"/>
          <w:snapToGrid w:val="0"/>
          <w:kern w:val="22"/>
          <w:szCs w:val="22"/>
          <w:lang w:eastAsia="zh-CN"/>
        </w:rPr>
        <w:t>, in accordance with national circumstances</w:t>
      </w:r>
      <w:r w:rsidRPr="00A55D13">
        <w:rPr>
          <w:snapToGrid w:val="0"/>
          <w:kern w:val="22"/>
          <w:szCs w:val="22"/>
        </w:rPr>
        <w:t>;</w:t>
      </w:r>
      <w:r>
        <w:rPr>
          <w:snapToGrid w:val="0"/>
          <w:kern w:val="22"/>
          <w:szCs w:val="22"/>
        </w:rPr>
        <w:t xml:space="preserve"> </w:t>
      </w:r>
    </w:p>
    <w:p w14:paraId="4AAE25CB"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55D13">
        <w:rPr>
          <w:snapToGrid w:val="0"/>
          <w:kern w:val="22"/>
          <w:szCs w:val="22"/>
        </w:rPr>
        <w:t>1</w:t>
      </w:r>
      <w:r>
        <w:rPr>
          <w:snapToGrid w:val="0"/>
          <w:kern w:val="22"/>
          <w:szCs w:val="22"/>
        </w:rPr>
        <w:t>4</w:t>
      </w:r>
      <w:r w:rsidRPr="00A55D13">
        <w:rPr>
          <w:snapToGrid w:val="0"/>
          <w:kern w:val="22"/>
          <w:szCs w:val="22"/>
        </w:rPr>
        <w:t>.</w:t>
      </w:r>
      <w:r w:rsidRPr="00A55D13">
        <w:rPr>
          <w:snapToGrid w:val="0"/>
          <w:kern w:val="22"/>
          <w:szCs w:val="22"/>
        </w:rPr>
        <w:tab/>
      </w:r>
      <w:bookmarkStart w:id="59" w:name="_Hlk37148960"/>
      <w:r w:rsidRPr="00A55D13">
        <w:rPr>
          <w:i/>
          <w:snapToGrid w:val="0"/>
          <w:kern w:val="22"/>
          <w:szCs w:val="22"/>
        </w:rPr>
        <w:t xml:space="preserve">Invites </w:t>
      </w:r>
      <w:r w:rsidRPr="00A55D13">
        <w:rPr>
          <w:snapToGrid w:val="0"/>
          <w:kern w:val="22"/>
          <w:szCs w:val="22"/>
        </w:rPr>
        <w:t xml:space="preserve">relevant international organizations and initiatives as well as multi-stakeholder partnerships to support </w:t>
      </w:r>
      <w:bookmarkEnd w:id="59"/>
      <w:r w:rsidRPr="00A55D13">
        <w:rPr>
          <w:snapToGrid w:val="0"/>
          <w:kern w:val="22"/>
          <w:szCs w:val="22"/>
        </w:rPr>
        <w:t>the implementation of the strategy for resource mobilization;</w:t>
      </w:r>
    </w:p>
    <w:p w14:paraId="15ECBE75" w14:textId="77777777" w:rsidR="0018728E" w:rsidRDefault="0018728E" w:rsidP="00A3490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15</w:t>
      </w:r>
      <w:r w:rsidRPr="0094372C">
        <w:rPr>
          <w:iCs/>
          <w:snapToGrid w:val="0"/>
          <w:kern w:val="22"/>
          <w:szCs w:val="22"/>
        </w:rPr>
        <w:t xml:space="preserve">. </w:t>
      </w:r>
      <w:r w:rsidRPr="0094372C">
        <w:rPr>
          <w:iCs/>
          <w:snapToGrid w:val="0"/>
          <w:kern w:val="22"/>
          <w:szCs w:val="22"/>
        </w:rPr>
        <w:tab/>
      </w:r>
      <w:r w:rsidRPr="000B4470">
        <w:rPr>
          <w:i/>
          <w:snapToGrid w:val="0"/>
          <w:kern w:val="22"/>
          <w:szCs w:val="22"/>
        </w:rPr>
        <w:t>Calls upon</w:t>
      </w:r>
      <w:r w:rsidRPr="0094372C">
        <w:rPr>
          <w:iCs/>
          <w:snapToGrid w:val="0"/>
          <w:kern w:val="22"/>
          <w:szCs w:val="22"/>
        </w:rPr>
        <w:t xml:space="preserve"> the Global Environment Facility to further reform its operations to ensure adequacy, predictability, and the timely flow of funds by establishing easy and effective access modalities, including by scaling fast-track systems and by facilitating new contributors</w:t>
      </w:r>
      <w:r>
        <w:rPr>
          <w:iCs/>
          <w:snapToGrid w:val="0"/>
          <w:kern w:val="22"/>
          <w:szCs w:val="22"/>
        </w:rPr>
        <w:t>;</w:t>
      </w:r>
    </w:p>
    <w:p w14:paraId="36533C96"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lastRenderedPageBreak/>
        <w:t>16</w:t>
      </w:r>
      <w:r w:rsidRPr="00CE61DA">
        <w:rPr>
          <w:iCs/>
          <w:snapToGrid w:val="0"/>
          <w:kern w:val="22"/>
          <w:szCs w:val="22"/>
        </w:rPr>
        <w:t>.</w:t>
      </w:r>
      <w:r w:rsidRPr="00CE61DA">
        <w:rPr>
          <w:iCs/>
          <w:snapToGrid w:val="0"/>
          <w:kern w:val="22"/>
          <w:szCs w:val="22"/>
        </w:rPr>
        <w:tab/>
      </w:r>
      <w:r w:rsidRPr="000B4470">
        <w:rPr>
          <w:i/>
          <w:snapToGrid w:val="0"/>
          <w:kern w:val="22"/>
          <w:szCs w:val="22"/>
        </w:rPr>
        <w:t>Calls for</w:t>
      </w:r>
      <w:r w:rsidRPr="00CE61DA">
        <w:rPr>
          <w:iCs/>
          <w:snapToGrid w:val="0"/>
          <w:kern w:val="22"/>
          <w:szCs w:val="22"/>
        </w:rPr>
        <w:t xml:space="preserve"> fundamental transformation of the global financial architecture and the reform of multilateral development banks and international finance institutions, including investment banks, to make them fit for purpose in supporting implementation of the </w:t>
      </w:r>
      <w:r>
        <w:rPr>
          <w:iCs/>
          <w:snapToGrid w:val="0"/>
          <w:kern w:val="22"/>
          <w:szCs w:val="22"/>
        </w:rPr>
        <w:t>Kunming-Montreal Global Biodiversity Framework</w:t>
      </w:r>
      <w:r w:rsidRPr="00CE61DA">
        <w:rPr>
          <w:iCs/>
          <w:snapToGrid w:val="0"/>
          <w:kern w:val="22"/>
          <w:szCs w:val="22"/>
        </w:rPr>
        <w:t>, sustainable development and just transition efforts in developing countries;</w:t>
      </w:r>
    </w:p>
    <w:p w14:paraId="3248152B"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17</w:t>
      </w:r>
      <w:r w:rsidRPr="00CE61DA">
        <w:rPr>
          <w:iCs/>
          <w:snapToGrid w:val="0"/>
          <w:kern w:val="22"/>
          <w:szCs w:val="22"/>
        </w:rPr>
        <w:t>.</w:t>
      </w:r>
      <w:r w:rsidRPr="00CE61DA">
        <w:rPr>
          <w:iCs/>
          <w:snapToGrid w:val="0"/>
          <w:kern w:val="22"/>
          <w:szCs w:val="22"/>
        </w:rPr>
        <w:tab/>
      </w:r>
      <w:r w:rsidRPr="000B4470">
        <w:rPr>
          <w:i/>
          <w:snapToGrid w:val="0"/>
          <w:kern w:val="22"/>
          <w:szCs w:val="22"/>
        </w:rPr>
        <w:t>Invites</w:t>
      </w:r>
      <w:r w:rsidRPr="00CE61DA">
        <w:rPr>
          <w:iCs/>
          <w:snapToGrid w:val="0"/>
          <w:kern w:val="22"/>
          <w:szCs w:val="22"/>
        </w:rPr>
        <w:t xml:space="preserve"> multilateral development banks as well as international financial institutions and philanthropy, to support the </w:t>
      </w:r>
      <w:r>
        <w:rPr>
          <w:iCs/>
          <w:snapToGrid w:val="0"/>
          <w:kern w:val="22"/>
          <w:szCs w:val="22"/>
        </w:rPr>
        <w:t>s</w:t>
      </w:r>
      <w:r w:rsidRPr="00CE61DA">
        <w:rPr>
          <w:iCs/>
          <w:snapToGrid w:val="0"/>
          <w:kern w:val="22"/>
          <w:szCs w:val="22"/>
        </w:rPr>
        <w:t xml:space="preserve">trategy for </w:t>
      </w:r>
      <w:r>
        <w:rPr>
          <w:iCs/>
          <w:snapToGrid w:val="0"/>
          <w:kern w:val="22"/>
          <w:szCs w:val="22"/>
        </w:rPr>
        <w:t>r</w:t>
      </w:r>
      <w:r w:rsidRPr="00CE61DA">
        <w:rPr>
          <w:iCs/>
          <w:snapToGrid w:val="0"/>
          <w:kern w:val="22"/>
          <w:szCs w:val="22"/>
        </w:rPr>
        <w:t xml:space="preserve">esource </w:t>
      </w:r>
      <w:r>
        <w:rPr>
          <w:iCs/>
          <w:snapToGrid w:val="0"/>
          <w:kern w:val="22"/>
          <w:szCs w:val="22"/>
        </w:rPr>
        <w:t>m</w:t>
      </w:r>
      <w:r w:rsidRPr="00CE61DA">
        <w:rPr>
          <w:iCs/>
          <w:snapToGrid w:val="0"/>
          <w:kern w:val="22"/>
          <w:szCs w:val="22"/>
        </w:rPr>
        <w:t xml:space="preserve">obilization, and in particular to:  </w:t>
      </w:r>
    </w:p>
    <w:p w14:paraId="1260E1D3"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(a)</w:t>
      </w:r>
      <w:r w:rsidRPr="00CE61DA">
        <w:rPr>
          <w:iCs/>
          <w:snapToGrid w:val="0"/>
          <w:kern w:val="22"/>
          <w:szCs w:val="22"/>
        </w:rPr>
        <w:tab/>
      </w:r>
      <w:r>
        <w:rPr>
          <w:iCs/>
          <w:snapToGrid w:val="0"/>
          <w:kern w:val="22"/>
          <w:szCs w:val="22"/>
        </w:rPr>
        <w:t>I</w:t>
      </w:r>
      <w:r w:rsidRPr="00CE61DA">
        <w:rPr>
          <w:iCs/>
          <w:snapToGrid w:val="0"/>
          <w:kern w:val="22"/>
          <w:szCs w:val="22"/>
        </w:rPr>
        <w:t xml:space="preserve">dentify and report investments in their portfolio that contribute to achieving the objectives of the Convention and the goals and targets of the </w:t>
      </w:r>
      <w:r>
        <w:rPr>
          <w:iCs/>
          <w:snapToGrid w:val="0"/>
          <w:kern w:val="22"/>
          <w:szCs w:val="22"/>
        </w:rPr>
        <w:t>Kunming-Montreal Global Biodiversity Framework</w:t>
      </w:r>
      <w:r w:rsidRPr="00CE61DA">
        <w:rPr>
          <w:iCs/>
          <w:snapToGrid w:val="0"/>
          <w:kern w:val="22"/>
          <w:szCs w:val="22"/>
        </w:rPr>
        <w:t>, taking into account relevant international guidance and good international practice;</w:t>
      </w:r>
    </w:p>
    <w:p w14:paraId="29C40EE8"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(b) </w:t>
      </w:r>
      <w:r w:rsidRPr="00CE61DA">
        <w:rPr>
          <w:iCs/>
          <w:snapToGrid w:val="0"/>
          <w:kern w:val="22"/>
          <w:szCs w:val="22"/>
        </w:rPr>
        <w:tab/>
      </w:r>
      <w:r>
        <w:rPr>
          <w:iCs/>
          <w:snapToGrid w:val="0"/>
          <w:kern w:val="22"/>
          <w:szCs w:val="22"/>
        </w:rPr>
        <w:t>A</w:t>
      </w:r>
      <w:r w:rsidRPr="00CE61DA">
        <w:rPr>
          <w:iCs/>
          <w:snapToGrid w:val="0"/>
          <w:kern w:val="22"/>
          <w:szCs w:val="22"/>
        </w:rPr>
        <w:t xml:space="preserve">lign their portfolios and financial flows with the objectives of the Convention, and the goals and targets of </w:t>
      </w:r>
      <w:r>
        <w:rPr>
          <w:iCs/>
          <w:snapToGrid w:val="0"/>
          <w:kern w:val="22"/>
          <w:szCs w:val="22"/>
        </w:rPr>
        <w:t>Framework</w:t>
      </w:r>
      <w:r w:rsidRPr="00CE61DA">
        <w:rPr>
          <w:iCs/>
          <w:snapToGrid w:val="0"/>
          <w:kern w:val="22"/>
          <w:szCs w:val="22"/>
        </w:rPr>
        <w:t xml:space="preserve"> by 2030;  </w:t>
      </w:r>
    </w:p>
    <w:p w14:paraId="617C970C"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(c) </w:t>
      </w:r>
      <w:r w:rsidRPr="00CE61DA">
        <w:rPr>
          <w:iCs/>
          <w:snapToGrid w:val="0"/>
          <w:kern w:val="22"/>
          <w:szCs w:val="22"/>
        </w:rPr>
        <w:tab/>
      </w:r>
      <w:r>
        <w:rPr>
          <w:iCs/>
          <w:snapToGrid w:val="0"/>
          <w:kern w:val="22"/>
          <w:szCs w:val="22"/>
        </w:rPr>
        <w:t>S</w:t>
      </w:r>
      <w:r w:rsidRPr="00CE61DA">
        <w:rPr>
          <w:iCs/>
          <w:snapToGrid w:val="0"/>
          <w:kern w:val="22"/>
          <w:szCs w:val="22"/>
        </w:rPr>
        <w:t>implify access to financial resources for biodiversity</w:t>
      </w:r>
      <w:r>
        <w:rPr>
          <w:iCs/>
          <w:snapToGrid w:val="0"/>
          <w:kern w:val="22"/>
          <w:szCs w:val="22"/>
        </w:rPr>
        <w:t>;</w:t>
      </w:r>
    </w:p>
    <w:p w14:paraId="03BB8D1E"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(d) </w:t>
      </w:r>
      <w:r w:rsidRPr="00CE61DA">
        <w:rPr>
          <w:iCs/>
          <w:snapToGrid w:val="0"/>
          <w:kern w:val="22"/>
          <w:szCs w:val="22"/>
        </w:rPr>
        <w:tab/>
      </w:r>
      <w:r>
        <w:rPr>
          <w:iCs/>
          <w:snapToGrid w:val="0"/>
          <w:kern w:val="22"/>
          <w:szCs w:val="22"/>
        </w:rPr>
        <w:t>I</w:t>
      </w:r>
      <w:r w:rsidRPr="00CE61DA">
        <w:rPr>
          <w:iCs/>
          <w:snapToGrid w:val="0"/>
          <w:kern w:val="22"/>
          <w:szCs w:val="22"/>
        </w:rPr>
        <w:t>ncrease biodiversity funding, through leveraging financial resources from all sources and deploying a full suite of instruments, including new and innovative approaches such as private capital mobilization and blended finance;</w:t>
      </w:r>
    </w:p>
    <w:p w14:paraId="4D215EA3"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(e) </w:t>
      </w:r>
      <w:r w:rsidRPr="00CE61DA">
        <w:rPr>
          <w:iCs/>
          <w:snapToGrid w:val="0"/>
          <w:kern w:val="22"/>
          <w:szCs w:val="22"/>
        </w:rPr>
        <w:tab/>
      </w:r>
      <w:r>
        <w:rPr>
          <w:iCs/>
          <w:snapToGrid w:val="0"/>
          <w:kern w:val="22"/>
          <w:szCs w:val="22"/>
        </w:rPr>
        <w:t>R</w:t>
      </w:r>
      <w:r w:rsidRPr="00CE61DA">
        <w:rPr>
          <w:iCs/>
          <w:snapToGrid w:val="0"/>
          <w:kern w:val="22"/>
          <w:szCs w:val="22"/>
        </w:rPr>
        <w:t xml:space="preserve">eport on their progress to future meetings of the Conference of the Parties. </w:t>
      </w:r>
    </w:p>
    <w:p w14:paraId="14386989"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18</w:t>
      </w:r>
      <w:r w:rsidRPr="00CE61DA">
        <w:rPr>
          <w:iCs/>
          <w:snapToGrid w:val="0"/>
          <w:kern w:val="22"/>
          <w:szCs w:val="22"/>
        </w:rPr>
        <w:t>.</w:t>
      </w:r>
      <w:r w:rsidRPr="00CE61DA">
        <w:rPr>
          <w:iCs/>
          <w:snapToGrid w:val="0"/>
          <w:kern w:val="22"/>
          <w:szCs w:val="22"/>
        </w:rPr>
        <w:tab/>
      </w:r>
      <w:r>
        <w:rPr>
          <w:i/>
          <w:snapToGrid w:val="0"/>
          <w:kern w:val="22"/>
          <w:szCs w:val="22"/>
        </w:rPr>
        <w:t>I</w:t>
      </w:r>
      <w:r w:rsidRPr="00563AC1">
        <w:rPr>
          <w:i/>
          <w:snapToGrid w:val="0"/>
          <w:kern w:val="22"/>
          <w:szCs w:val="22"/>
        </w:rPr>
        <w:t>nvites</w:t>
      </w:r>
      <w:r w:rsidRPr="00CE61DA">
        <w:rPr>
          <w:iCs/>
          <w:snapToGrid w:val="0"/>
          <w:kern w:val="22"/>
          <w:szCs w:val="22"/>
        </w:rPr>
        <w:t xml:space="preserve"> international financial institutions and multilateral development banks, in particular the World Bank Group and the </w:t>
      </w:r>
      <w:r>
        <w:rPr>
          <w:iCs/>
          <w:snapToGrid w:val="0"/>
          <w:kern w:val="22"/>
          <w:szCs w:val="22"/>
        </w:rPr>
        <w:t>International Monetary Fund</w:t>
      </w:r>
      <w:r w:rsidRPr="00CE61DA">
        <w:rPr>
          <w:iCs/>
          <w:snapToGrid w:val="0"/>
          <w:kern w:val="22"/>
          <w:szCs w:val="22"/>
        </w:rPr>
        <w:t xml:space="preserve">, to immediately consider supporting implementation of the </w:t>
      </w:r>
      <w:r>
        <w:rPr>
          <w:snapToGrid w:val="0"/>
          <w:kern w:val="22"/>
          <w:szCs w:val="22"/>
          <w:lang w:val="en-CA"/>
        </w:rPr>
        <w:t>Kunming-Montreal</w:t>
      </w:r>
      <w:r w:rsidRPr="004357C7">
        <w:rPr>
          <w:snapToGrid w:val="0"/>
          <w:kern w:val="22"/>
          <w:szCs w:val="22"/>
          <w:lang w:val="en-CA"/>
        </w:rPr>
        <w:t xml:space="preserve"> </w:t>
      </w:r>
      <w:r>
        <w:rPr>
          <w:bCs/>
          <w:snapToGrid w:val="0"/>
          <w:szCs w:val="22"/>
          <w:lang w:val="en-US"/>
        </w:rPr>
        <w:t>Global Biodiversity Framework</w:t>
      </w:r>
      <w:r w:rsidRPr="00CE61DA">
        <w:rPr>
          <w:iCs/>
          <w:snapToGrid w:val="0"/>
          <w:kern w:val="22"/>
          <w:szCs w:val="22"/>
        </w:rPr>
        <w:t xml:space="preserve">, including by partnering with the </w:t>
      </w:r>
      <w:r>
        <w:rPr>
          <w:bCs/>
          <w:snapToGrid w:val="0"/>
          <w:szCs w:val="22"/>
          <w:lang w:val="en-US"/>
        </w:rPr>
        <w:t>Global Biodiversity Framework</w:t>
      </w:r>
      <w:r w:rsidDel="00546B46">
        <w:rPr>
          <w:iCs/>
          <w:snapToGrid w:val="0"/>
          <w:kern w:val="22"/>
          <w:szCs w:val="22"/>
        </w:rPr>
        <w:t xml:space="preserve"> </w:t>
      </w:r>
      <w:r>
        <w:rPr>
          <w:iCs/>
          <w:snapToGrid w:val="0"/>
          <w:kern w:val="22"/>
          <w:szCs w:val="22"/>
        </w:rPr>
        <w:t>Fund</w:t>
      </w:r>
      <w:r w:rsidRPr="000B4470">
        <w:rPr>
          <w:rFonts w:asciiTheme="majorBidi" w:eastAsia="SimSun" w:hAnsiTheme="majorBidi" w:cstheme="majorBidi"/>
          <w:iCs/>
          <w:snapToGrid w:val="0"/>
          <w:kern w:val="22"/>
          <w:szCs w:val="22"/>
          <w:lang w:eastAsia="zh-CN"/>
        </w:rPr>
        <w:t xml:space="preserve">, established as </w:t>
      </w:r>
      <w:r w:rsidRPr="005A60B4">
        <w:rPr>
          <w:rFonts w:asciiTheme="majorBidi" w:eastAsia="SimSun" w:hAnsiTheme="majorBidi" w:cstheme="majorBidi"/>
          <w:iCs/>
          <w:snapToGrid w:val="0"/>
          <w:kern w:val="22"/>
          <w:szCs w:val="22"/>
          <w:lang w:eastAsia="zh-CN"/>
        </w:rPr>
        <w:t xml:space="preserve">per paragraph </w:t>
      </w:r>
      <w:r w:rsidRPr="008F6FFF">
        <w:rPr>
          <w:rFonts w:asciiTheme="majorBidi" w:eastAsia="SimSun" w:hAnsiTheme="majorBidi" w:cstheme="majorBidi"/>
          <w:iCs/>
          <w:snapToGrid w:val="0"/>
          <w:kern w:val="22"/>
          <w:szCs w:val="22"/>
          <w:lang w:eastAsia="zh-CN"/>
        </w:rPr>
        <w:t>30 of the present decision</w:t>
      </w:r>
      <w:r w:rsidRPr="005A60B4">
        <w:rPr>
          <w:rFonts w:asciiTheme="majorBidi" w:hAnsiTheme="majorBidi" w:cstheme="majorBidi"/>
          <w:iCs/>
          <w:snapToGrid w:val="0"/>
          <w:kern w:val="22"/>
          <w:szCs w:val="22"/>
        </w:rPr>
        <w:t>;</w:t>
      </w:r>
    </w:p>
    <w:p w14:paraId="533569D6"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19</w:t>
      </w:r>
      <w:r w:rsidRPr="00CE61DA">
        <w:rPr>
          <w:iCs/>
          <w:snapToGrid w:val="0"/>
          <w:kern w:val="22"/>
          <w:szCs w:val="22"/>
        </w:rPr>
        <w:t>.</w:t>
      </w:r>
      <w:r w:rsidRPr="00CE61DA">
        <w:rPr>
          <w:iCs/>
          <w:snapToGrid w:val="0"/>
          <w:kern w:val="22"/>
          <w:szCs w:val="22"/>
        </w:rPr>
        <w:tab/>
      </w:r>
      <w:r w:rsidRPr="00563AC1">
        <w:rPr>
          <w:i/>
          <w:snapToGrid w:val="0"/>
          <w:kern w:val="22"/>
          <w:szCs w:val="22"/>
        </w:rPr>
        <w:t>Invites</w:t>
      </w:r>
      <w:r w:rsidRPr="00CE61DA">
        <w:rPr>
          <w:iCs/>
          <w:snapToGrid w:val="0"/>
          <w:kern w:val="22"/>
          <w:szCs w:val="22"/>
        </w:rPr>
        <w:t xml:space="preserve"> developed country Parties and other Parties in a </w:t>
      </w:r>
      <w:r>
        <w:rPr>
          <w:iCs/>
          <w:snapToGrid w:val="0"/>
          <w:kern w:val="22"/>
          <w:szCs w:val="22"/>
        </w:rPr>
        <w:t>position</w:t>
      </w:r>
      <w:r w:rsidRPr="00CE61DA">
        <w:rPr>
          <w:iCs/>
          <w:snapToGrid w:val="0"/>
          <w:kern w:val="22"/>
          <w:szCs w:val="22"/>
        </w:rPr>
        <w:t xml:space="preserve"> to do so to support the strategy for resource mobilization, in particular through mainstreaming of biodiversity and increasing direct funding to biodiversity in their portfolios, as well as through instruments for the mobilization of private investment for biodiversity; </w:t>
      </w:r>
    </w:p>
    <w:p w14:paraId="432A1201" w14:textId="77777777" w:rsidR="0018728E" w:rsidRPr="00CE61DA"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20</w:t>
      </w:r>
      <w:r w:rsidRPr="00CE61DA">
        <w:rPr>
          <w:iCs/>
          <w:snapToGrid w:val="0"/>
          <w:kern w:val="22"/>
          <w:szCs w:val="22"/>
        </w:rPr>
        <w:t>.</w:t>
      </w:r>
      <w:r w:rsidRPr="00CE61DA">
        <w:rPr>
          <w:iCs/>
          <w:snapToGrid w:val="0"/>
          <w:kern w:val="22"/>
          <w:szCs w:val="22"/>
        </w:rPr>
        <w:tab/>
      </w:r>
      <w:r w:rsidRPr="00563AC1">
        <w:rPr>
          <w:i/>
          <w:snapToGrid w:val="0"/>
          <w:kern w:val="22"/>
          <w:szCs w:val="22"/>
        </w:rPr>
        <w:t>Takes note with appreciation</w:t>
      </w:r>
      <w:r w:rsidRPr="00CE61DA">
        <w:rPr>
          <w:iCs/>
          <w:snapToGrid w:val="0"/>
          <w:kern w:val="22"/>
          <w:szCs w:val="22"/>
        </w:rPr>
        <w:t xml:space="preserve"> of the recent programmatic initiatives of funds such as the Land Degradation Neutrality Fund under the United Nations Convention to Combat Desertification, the Green Climate Fund and the Global Environment Facility</w:t>
      </w:r>
      <w:r>
        <w:rPr>
          <w:iCs/>
          <w:snapToGrid w:val="0"/>
          <w:kern w:val="22"/>
          <w:szCs w:val="22"/>
        </w:rPr>
        <w:t>,</w:t>
      </w:r>
      <w:r w:rsidRPr="00CE61DA">
        <w:rPr>
          <w:iCs/>
          <w:snapToGrid w:val="0"/>
          <w:kern w:val="22"/>
          <w:szCs w:val="22"/>
        </w:rPr>
        <w:t xml:space="preserve"> as well as other bilateral and multilateral funding mechanisms, such as the funding arrangements for responding to loss-and-damage, including a fund, to harness synergies in project development and financing for the purpose of the objectives of the Rio conventions and global biodiversity-related Conventions and agreements; </w:t>
      </w:r>
    </w:p>
    <w:p w14:paraId="40019358" w14:textId="77777777" w:rsidR="0018728E" w:rsidRPr="005F5D21" w:rsidRDefault="0018728E"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21</w:t>
      </w:r>
      <w:r w:rsidRPr="00CE61DA">
        <w:rPr>
          <w:iCs/>
          <w:snapToGrid w:val="0"/>
          <w:kern w:val="22"/>
          <w:szCs w:val="22"/>
        </w:rPr>
        <w:t xml:space="preserve">. </w:t>
      </w:r>
      <w:r w:rsidRPr="00CE61DA">
        <w:rPr>
          <w:iCs/>
          <w:snapToGrid w:val="0"/>
          <w:kern w:val="22"/>
          <w:szCs w:val="22"/>
        </w:rPr>
        <w:tab/>
      </w:r>
      <w:r w:rsidRPr="00563AC1">
        <w:rPr>
          <w:i/>
          <w:snapToGrid w:val="0"/>
          <w:kern w:val="22"/>
          <w:szCs w:val="22"/>
        </w:rPr>
        <w:t>Encourages</w:t>
      </w:r>
      <w:r w:rsidRPr="00CE61DA">
        <w:rPr>
          <w:iCs/>
          <w:snapToGrid w:val="0"/>
          <w:kern w:val="22"/>
          <w:szCs w:val="22"/>
        </w:rPr>
        <w:t xml:space="preserve"> the funds and funding mechanisms mentioned in paragraph </w:t>
      </w:r>
      <w:r>
        <w:rPr>
          <w:iCs/>
          <w:snapToGrid w:val="0"/>
          <w:kern w:val="22"/>
          <w:szCs w:val="22"/>
        </w:rPr>
        <w:t xml:space="preserve">20 above </w:t>
      </w:r>
      <w:r w:rsidRPr="00CE61DA">
        <w:rPr>
          <w:iCs/>
          <w:snapToGrid w:val="0"/>
          <w:kern w:val="22"/>
          <w:szCs w:val="22"/>
        </w:rPr>
        <w:t>to continue and intensify their work with a view to generating and increasing biodiversity co-benefits through complementary, coherent and collaborative interventions that generate greater impact</w:t>
      </w:r>
      <w:r>
        <w:rPr>
          <w:iCs/>
          <w:snapToGrid w:val="0"/>
          <w:kern w:val="22"/>
          <w:szCs w:val="22"/>
        </w:rPr>
        <w:t>,</w:t>
      </w:r>
      <w:r w:rsidRPr="00CE61DA">
        <w:rPr>
          <w:iCs/>
          <w:snapToGrid w:val="0"/>
          <w:kern w:val="22"/>
          <w:szCs w:val="22"/>
        </w:rPr>
        <w:t xml:space="preserve"> as well as to enhance efforts to simultaneously tackle biodiversity loss, climate change and land degradation;</w:t>
      </w:r>
    </w:p>
    <w:p w14:paraId="177E6ECA" w14:textId="77777777" w:rsidR="0018728E" w:rsidRPr="00451F41" w:rsidRDefault="0018728E" w:rsidP="001513B5">
      <w:pPr>
        <w:suppressLineNumbers/>
        <w:suppressAutoHyphens/>
        <w:kinsoku w:val="0"/>
        <w:overflowPunct w:val="0"/>
        <w:autoSpaceDE w:val="0"/>
        <w:autoSpaceDN w:val="0"/>
        <w:adjustRightInd w:val="0"/>
        <w:snapToGrid w:val="0"/>
        <w:spacing w:before="120" w:after="120"/>
        <w:rPr>
          <w:b/>
          <w:bCs/>
          <w:snapToGrid w:val="0"/>
          <w:kern w:val="22"/>
          <w:szCs w:val="22"/>
          <w:lang w:val="en-US"/>
        </w:rPr>
      </w:pPr>
      <w:bookmarkStart w:id="60" w:name="_Hlk122181771"/>
      <w:r w:rsidRPr="00451F41">
        <w:rPr>
          <w:b/>
          <w:bCs/>
          <w:snapToGrid w:val="0"/>
          <w:kern w:val="22"/>
          <w:szCs w:val="22"/>
          <w:lang w:val="en-US"/>
        </w:rPr>
        <w:t xml:space="preserve">National </w:t>
      </w:r>
      <w:r>
        <w:rPr>
          <w:b/>
          <w:bCs/>
          <w:snapToGrid w:val="0"/>
          <w:kern w:val="22"/>
          <w:szCs w:val="22"/>
          <w:lang w:val="en-US"/>
        </w:rPr>
        <w:t>f</w:t>
      </w:r>
      <w:r w:rsidRPr="00451F41">
        <w:rPr>
          <w:b/>
          <w:bCs/>
          <w:snapToGrid w:val="0"/>
          <w:kern w:val="22"/>
          <w:szCs w:val="22"/>
          <w:lang w:val="en-US"/>
        </w:rPr>
        <w:t xml:space="preserve">inance </w:t>
      </w:r>
      <w:r>
        <w:rPr>
          <w:b/>
          <w:bCs/>
          <w:snapToGrid w:val="0"/>
          <w:kern w:val="22"/>
          <w:szCs w:val="22"/>
          <w:lang w:val="en-US"/>
        </w:rPr>
        <w:t>p</w:t>
      </w:r>
      <w:r w:rsidRPr="00451F41">
        <w:rPr>
          <w:b/>
          <w:bCs/>
          <w:snapToGrid w:val="0"/>
          <w:kern w:val="22"/>
          <w:szCs w:val="22"/>
          <w:lang w:val="en-US"/>
        </w:rPr>
        <w:t>lans</w:t>
      </w:r>
    </w:p>
    <w:p w14:paraId="686CEA5C" w14:textId="77777777" w:rsidR="0018728E"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n-CA"/>
        </w:rPr>
      </w:pPr>
      <w:r>
        <w:rPr>
          <w:snapToGrid w:val="0"/>
          <w:kern w:val="22"/>
          <w:szCs w:val="22"/>
          <w:lang w:val="en-CA"/>
        </w:rPr>
        <w:t>22</w:t>
      </w:r>
      <w:r w:rsidRPr="004357C7">
        <w:rPr>
          <w:snapToGrid w:val="0"/>
          <w:kern w:val="22"/>
          <w:szCs w:val="22"/>
          <w:lang w:val="en-CA"/>
        </w:rPr>
        <w:t>.</w:t>
      </w:r>
      <w:r w:rsidRPr="004357C7">
        <w:rPr>
          <w:snapToGrid w:val="0"/>
          <w:kern w:val="22"/>
          <w:szCs w:val="22"/>
          <w:lang w:val="en-CA"/>
        </w:rPr>
        <w:tab/>
      </w:r>
      <w:r w:rsidRPr="00112ED8">
        <w:rPr>
          <w:i/>
          <w:iCs/>
          <w:snapToGrid w:val="0"/>
          <w:kern w:val="22"/>
          <w:szCs w:val="22"/>
          <w:lang w:val="en-CA"/>
        </w:rPr>
        <w:t>Encourages</w:t>
      </w:r>
      <w:r>
        <w:rPr>
          <w:i/>
          <w:iCs/>
          <w:snapToGrid w:val="0"/>
          <w:kern w:val="22"/>
          <w:szCs w:val="22"/>
          <w:lang w:val="en-CA"/>
        </w:rPr>
        <w:t xml:space="preserve"> </w:t>
      </w:r>
      <w:r w:rsidRPr="004357C7">
        <w:rPr>
          <w:snapToGrid w:val="0"/>
          <w:kern w:val="22"/>
          <w:szCs w:val="22"/>
          <w:lang w:val="en-CA"/>
        </w:rPr>
        <w:t>Parties to develop, update</w:t>
      </w:r>
      <w:r>
        <w:rPr>
          <w:snapToGrid w:val="0"/>
          <w:kern w:val="22"/>
          <w:szCs w:val="22"/>
          <w:lang w:val="en-CA"/>
        </w:rPr>
        <w:t xml:space="preserve">, </w:t>
      </w:r>
      <w:r w:rsidRPr="004357C7">
        <w:rPr>
          <w:snapToGrid w:val="0"/>
          <w:kern w:val="22"/>
          <w:szCs w:val="22"/>
          <w:lang w:val="en-CA"/>
        </w:rPr>
        <w:t>and implement</w:t>
      </w:r>
      <w:r>
        <w:rPr>
          <w:snapToGrid w:val="0"/>
          <w:kern w:val="22"/>
          <w:szCs w:val="22"/>
          <w:lang w:val="en-CA"/>
        </w:rPr>
        <w:t xml:space="preserve"> </w:t>
      </w:r>
      <w:r w:rsidRPr="004357C7">
        <w:rPr>
          <w:snapToGrid w:val="0"/>
          <w:kern w:val="22"/>
          <w:szCs w:val="22"/>
          <w:lang w:val="en-CA"/>
        </w:rPr>
        <w:t>national biodiversity finance plans or similar instruments, based on</w:t>
      </w:r>
      <w:r>
        <w:rPr>
          <w:snapToGrid w:val="0"/>
          <w:kern w:val="22"/>
          <w:szCs w:val="22"/>
          <w:lang w:val="en-CA"/>
        </w:rPr>
        <w:t xml:space="preserve"> an assessment of biodiversity expenditures and finance needs, and based on</w:t>
      </w:r>
      <w:r w:rsidRPr="004357C7">
        <w:rPr>
          <w:snapToGrid w:val="0"/>
          <w:kern w:val="22"/>
          <w:szCs w:val="22"/>
          <w:lang w:val="en-CA"/>
        </w:rPr>
        <w:t xml:space="preserve"> national biodiversity strategies and action plans, to </w:t>
      </w:r>
      <w:r>
        <w:rPr>
          <w:snapToGrid w:val="0"/>
          <w:kern w:val="22"/>
          <w:szCs w:val="22"/>
          <w:lang w:val="en-CA"/>
        </w:rPr>
        <w:t>support</w:t>
      </w:r>
      <w:r w:rsidRPr="004357C7">
        <w:rPr>
          <w:snapToGrid w:val="0"/>
          <w:kern w:val="22"/>
          <w:szCs w:val="22"/>
          <w:lang w:val="en-CA"/>
        </w:rPr>
        <w:t xml:space="preserve"> adequate and timely </w:t>
      </w:r>
      <w:r>
        <w:rPr>
          <w:snapToGrid w:val="0"/>
          <w:kern w:val="22"/>
          <w:szCs w:val="22"/>
          <w:lang w:val="en-CA"/>
        </w:rPr>
        <w:t xml:space="preserve">mobilization of </w:t>
      </w:r>
      <w:r w:rsidRPr="004357C7">
        <w:rPr>
          <w:snapToGrid w:val="0"/>
          <w:kern w:val="22"/>
          <w:szCs w:val="22"/>
          <w:lang w:val="en-CA"/>
        </w:rPr>
        <w:t xml:space="preserve">international and </w:t>
      </w:r>
      <w:r>
        <w:rPr>
          <w:snapToGrid w:val="0"/>
          <w:kern w:val="22"/>
          <w:szCs w:val="22"/>
          <w:lang w:val="en-CA"/>
        </w:rPr>
        <w:t>domestic, public and private</w:t>
      </w:r>
      <w:r w:rsidRPr="004357C7">
        <w:rPr>
          <w:snapToGrid w:val="0"/>
          <w:kern w:val="22"/>
          <w:szCs w:val="22"/>
          <w:lang w:val="en-CA"/>
        </w:rPr>
        <w:t xml:space="preserve"> financial resources for the effective implementation of </w:t>
      </w:r>
      <w:r>
        <w:rPr>
          <w:snapToGrid w:val="0"/>
          <w:kern w:val="22"/>
          <w:szCs w:val="22"/>
          <w:lang w:val="en-CA"/>
        </w:rPr>
        <w:t>the Kunming-Montreal</w:t>
      </w:r>
      <w:r w:rsidRPr="004357C7">
        <w:rPr>
          <w:snapToGrid w:val="0"/>
          <w:kern w:val="22"/>
          <w:szCs w:val="22"/>
          <w:lang w:val="en-CA"/>
        </w:rPr>
        <w:t xml:space="preserve"> </w:t>
      </w:r>
      <w:r>
        <w:rPr>
          <w:snapToGrid w:val="0"/>
          <w:kern w:val="22"/>
          <w:szCs w:val="22"/>
          <w:lang w:val="en-CA"/>
        </w:rPr>
        <w:t>G</w:t>
      </w:r>
      <w:r w:rsidRPr="004357C7">
        <w:rPr>
          <w:snapToGrid w:val="0"/>
          <w:kern w:val="22"/>
          <w:szCs w:val="22"/>
          <w:lang w:val="en-CA"/>
        </w:rPr>
        <w:t xml:space="preserve">lobal </w:t>
      </w:r>
      <w:r>
        <w:rPr>
          <w:snapToGrid w:val="0"/>
          <w:kern w:val="22"/>
          <w:szCs w:val="22"/>
          <w:lang w:val="en-CA"/>
        </w:rPr>
        <w:t>B</w:t>
      </w:r>
      <w:r w:rsidRPr="004357C7">
        <w:rPr>
          <w:snapToGrid w:val="0"/>
          <w:kern w:val="22"/>
          <w:szCs w:val="22"/>
          <w:lang w:val="en-CA"/>
        </w:rPr>
        <w:t xml:space="preserve">iodiversity </w:t>
      </w:r>
      <w:r>
        <w:rPr>
          <w:snapToGrid w:val="0"/>
          <w:kern w:val="22"/>
          <w:szCs w:val="22"/>
          <w:lang w:val="en-CA"/>
        </w:rPr>
        <w:t>F</w:t>
      </w:r>
      <w:r w:rsidRPr="004357C7">
        <w:rPr>
          <w:snapToGrid w:val="0"/>
          <w:kern w:val="22"/>
          <w:szCs w:val="22"/>
          <w:lang w:val="en-CA"/>
        </w:rPr>
        <w:t>ramework;</w:t>
      </w:r>
      <w:r>
        <w:rPr>
          <w:snapToGrid w:val="0"/>
          <w:kern w:val="22"/>
          <w:szCs w:val="22"/>
          <w:lang w:val="en-CA"/>
        </w:rPr>
        <w:t xml:space="preserve"> </w:t>
      </w:r>
    </w:p>
    <w:p w14:paraId="3567C75B" w14:textId="77777777" w:rsidR="0018728E" w:rsidRDefault="0018728E" w:rsidP="001513B5">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Pr>
          <w:bCs/>
          <w:snapToGrid w:val="0"/>
          <w:kern w:val="22"/>
          <w:szCs w:val="22"/>
        </w:rPr>
        <w:t>23.</w:t>
      </w:r>
      <w:r>
        <w:rPr>
          <w:bCs/>
          <w:snapToGrid w:val="0"/>
          <w:kern w:val="22"/>
          <w:szCs w:val="22"/>
        </w:rPr>
        <w:tab/>
      </w:r>
      <w:r>
        <w:rPr>
          <w:bCs/>
          <w:i/>
          <w:iCs/>
          <w:snapToGrid w:val="0"/>
          <w:kern w:val="22"/>
          <w:szCs w:val="22"/>
        </w:rPr>
        <w:t xml:space="preserve">Encourages </w:t>
      </w:r>
      <w:r>
        <w:rPr>
          <w:bCs/>
          <w:snapToGrid w:val="0"/>
          <w:kern w:val="22"/>
          <w:szCs w:val="22"/>
        </w:rPr>
        <w:t>developed country Parties to reflect in their national finance plans or similar instruments, their financial contribution to the implementation of the Convention, in developing country Parties;</w:t>
      </w:r>
    </w:p>
    <w:p w14:paraId="6957B22B" w14:textId="77777777" w:rsidR="0018728E"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24.</w:t>
      </w:r>
      <w:r>
        <w:rPr>
          <w:snapToGrid w:val="0"/>
          <w:kern w:val="22"/>
          <w:szCs w:val="22"/>
        </w:rPr>
        <w:tab/>
      </w:r>
      <w:r w:rsidRPr="00A3490B">
        <w:rPr>
          <w:i/>
          <w:iCs/>
          <w:snapToGrid w:val="0"/>
          <w:kern w:val="22"/>
          <w:szCs w:val="22"/>
        </w:rPr>
        <w:t>Encourages</w:t>
      </w:r>
      <w:r>
        <w:rPr>
          <w:snapToGrid w:val="0"/>
          <w:kern w:val="22"/>
          <w:szCs w:val="22"/>
        </w:rPr>
        <w:t xml:space="preserve"> developing country Parties, as appropriate, to provide information in their national biodiversity finance plans, on financial, technology development and transfer, and capacity-</w:t>
      </w:r>
      <w:r>
        <w:rPr>
          <w:snapToGrid w:val="0"/>
          <w:kern w:val="22"/>
          <w:szCs w:val="22"/>
        </w:rPr>
        <w:lastRenderedPageBreak/>
        <w:t>building support needed, received, and used, to implement their national biodiversity strategies and action plans;</w:t>
      </w:r>
    </w:p>
    <w:p w14:paraId="645AF9BB" w14:textId="77777777" w:rsidR="0018728E" w:rsidRPr="00FB6072"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25</w:t>
      </w:r>
      <w:r w:rsidRPr="00FB6072">
        <w:rPr>
          <w:snapToGrid w:val="0"/>
          <w:kern w:val="22"/>
          <w:szCs w:val="22"/>
        </w:rPr>
        <w:t>.</w:t>
      </w:r>
      <w:r w:rsidRPr="00FB6072">
        <w:rPr>
          <w:snapToGrid w:val="0"/>
          <w:kern w:val="22"/>
          <w:szCs w:val="22"/>
        </w:rPr>
        <w:tab/>
      </w:r>
      <w:r w:rsidRPr="00960F68">
        <w:rPr>
          <w:i/>
          <w:iCs/>
          <w:snapToGrid w:val="0"/>
          <w:kern w:val="22"/>
          <w:szCs w:val="22"/>
        </w:rPr>
        <w:t>Takes note with appreciation</w:t>
      </w:r>
      <w:r w:rsidRPr="00FB6072">
        <w:rPr>
          <w:snapToGrid w:val="0"/>
          <w:kern w:val="22"/>
          <w:szCs w:val="22"/>
        </w:rPr>
        <w:t xml:space="preserve"> of the work of relevant and interested international organizations and initiatives, including the Biodiversity Finance Initiative of the United Nations Development Programme</w:t>
      </w:r>
      <w:r>
        <w:rPr>
          <w:snapToGrid w:val="0"/>
          <w:kern w:val="22"/>
          <w:szCs w:val="22"/>
        </w:rPr>
        <w:t xml:space="preserve"> (BIOFIN)</w:t>
      </w:r>
      <w:r w:rsidRPr="00FB6072">
        <w:rPr>
          <w:snapToGrid w:val="0"/>
          <w:kern w:val="22"/>
          <w:szCs w:val="22"/>
        </w:rPr>
        <w:t>, to provide financial and technical support and capacity-building for interested countries in the development, updating and implementation of national finance plans for biodiversity, and for the refinement of the Biodiversity Finance Initiative methodology</w:t>
      </w:r>
      <w:r>
        <w:rPr>
          <w:snapToGrid w:val="0"/>
          <w:kern w:val="22"/>
          <w:szCs w:val="22"/>
        </w:rPr>
        <w:t>, and encourages BIOFIN</w:t>
      </w:r>
      <w:r w:rsidRPr="00FB6072">
        <w:rPr>
          <w:snapToGrid w:val="0"/>
          <w:kern w:val="22"/>
          <w:szCs w:val="22"/>
        </w:rPr>
        <w:t xml:space="preserve"> and other relevant and interested </w:t>
      </w:r>
      <w:r>
        <w:rPr>
          <w:snapToGrid w:val="0"/>
          <w:kern w:val="22"/>
          <w:szCs w:val="22"/>
        </w:rPr>
        <w:t>organizations and initiatives to continue and expand their work</w:t>
      </w:r>
      <w:r w:rsidRPr="00FB6072">
        <w:rPr>
          <w:snapToGrid w:val="0"/>
          <w:kern w:val="22"/>
          <w:szCs w:val="22"/>
        </w:rPr>
        <w:t>;</w:t>
      </w:r>
      <w:r>
        <w:rPr>
          <w:snapToGrid w:val="0"/>
          <w:kern w:val="22"/>
          <w:szCs w:val="22"/>
        </w:rPr>
        <w:t xml:space="preserve"> </w:t>
      </w:r>
      <w:r w:rsidRPr="00FB6072">
        <w:rPr>
          <w:snapToGrid w:val="0"/>
          <w:kern w:val="22"/>
          <w:szCs w:val="22"/>
        </w:rPr>
        <w:t xml:space="preserve"> </w:t>
      </w:r>
      <w:r>
        <w:rPr>
          <w:snapToGrid w:val="0"/>
          <w:kern w:val="22"/>
          <w:szCs w:val="22"/>
        </w:rPr>
        <w:t xml:space="preserve"> </w:t>
      </w:r>
    </w:p>
    <w:p w14:paraId="112B5A2C" w14:textId="77777777" w:rsidR="0018728E"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26</w:t>
      </w:r>
      <w:r w:rsidRPr="00FB6072">
        <w:rPr>
          <w:snapToGrid w:val="0"/>
          <w:kern w:val="22"/>
          <w:szCs w:val="22"/>
        </w:rPr>
        <w:t>.</w:t>
      </w:r>
      <w:r w:rsidRPr="00FB6072">
        <w:rPr>
          <w:snapToGrid w:val="0"/>
          <w:kern w:val="22"/>
          <w:szCs w:val="22"/>
        </w:rPr>
        <w:tab/>
      </w:r>
      <w:r w:rsidRPr="00960F68">
        <w:rPr>
          <w:i/>
          <w:iCs/>
          <w:snapToGrid w:val="0"/>
          <w:kern w:val="22"/>
          <w:szCs w:val="22"/>
        </w:rPr>
        <w:t>Invites</w:t>
      </w:r>
      <w:r w:rsidRPr="00FB6072">
        <w:rPr>
          <w:snapToGrid w:val="0"/>
          <w:kern w:val="22"/>
          <w:szCs w:val="22"/>
        </w:rPr>
        <w:t xml:space="preserve"> the Global Environment Facility to support the development and implementation of national biodiversity finance plans or similar planning instruments to support efforts by recipient countries to mobilize </w:t>
      </w:r>
      <w:r>
        <w:rPr>
          <w:snapToGrid w:val="0"/>
          <w:kern w:val="22"/>
          <w:szCs w:val="22"/>
        </w:rPr>
        <w:t xml:space="preserve">domestic and international </w:t>
      </w:r>
      <w:r w:rsidRPr="00FB6072">
        <w:rPr>
          <w:snapToGrid w:val="0"/>
          <w:kern w:val="22"/>
          <w:szCs w:val="22"/>
        </w:rPr>
        <w:t xml:space="preserve">resources </w:t>
      </w:r>
      <w:r>
        <w:rPr>
          <w:snapToGrid w:val="0"/>
          <w:kern w:val="22"/>
          <w:szCs w:val="22"/>
        </w:rPr>
        <w:t>to reach their national goals, as defined in</w:t>
      </w:r>
      <w:r w:rsidRPr="00FB6072">
        <w:rPr>
          <w:snapToGrid w:val="0"/>
          <w:kern w:val="22"/>
          <w:szCs w:val="22"/>
        </w:rPr>
        <w:t xml:space="preserve"> their national biodiversity strategies and action plans</w:t>
      </w:r>
      <w:r>
        <w:rPr>
          <w:snapToGrid w:val="0"/>
          <w:kern w:val="22"/>
          <w:szCs w:val="22"/>
        </w:rPr>
        <w:t>,</w:t>
      </w:r>
      <w:r w:rsidRPr="00FB6072">
        <w:rPr>
          <w:snapToGrid w:val="0"/>
          <w:kern w:val="22"/>
          <w:szCs w:val="22"/>
        </w:rPr>
        <w:t xml:space="preserve"> and </w:t>
      </w:r>
      <w:r>
        <w:rPr>
          <w:snapToGrid w:val="0"/>
          <w:kern w:val="22"/>
          <w:szCs w:val="22"/>
        </w:rPr>
        <w:t xml:space="preserve">to contribute to </w:t>
      </w:r>
      <w:r w:rsidRPr="00FB6072">
        <w:rPr>
          <w:snapToGrid w:val="0"/>
          <w:kern w:val="22"/>
          <w:szCs w:val="22"/>
        </w:rPr>
        <w:t xml:space="preserve">the </w:t>
      </w:r>
      <w:r>
        <w:rPr>
          <w:snapToGrid w:val="0"/>
          <w:kern w:val="22"/>
          <w:szCs w:val="22"/>
        </w:rPr>
        <w:t>Kunming-Montreal G</w:t>
      </w:r>
      <w:r w:rsidRPr="00FB6072">
        <w:rPr>
          <w:snapToGrid w:val="0"/>
          <w:kern w:val="22"/>
          <w:szCs w:val="22"/>
        </w:rPr>
        <w:t xml:space="preserve">lobal </w:t>
      </w:r>
      <w:r>
        <w:rPr>
          <w:snapToGrid w:val="0"/>
          <w:kern w:val="22"/>
          <w:szCs w:val="22"/>
        </w:rPr>
        <w:t>B</w:t>
      </w:r>
      <w:r w:rsidRPr="00FB6072">
        <w:rPr>
          <w:snapToGrid w:val="0"/>
          <w:kern w:val="22"/>
          <w:szCs w:val="22"/>
        </w:rPr>
        <w:t xml:space="preserve">iodiversity </w:t>
      </w:r>
      <w:r>
        <w:rPr>
          <w:snapToGrid w:val="0"/>
          <w:kern w:val="22"/>
          <w:szCs w:val="22"/>
        </w:rPr>
        <w:t>F</w:t>
      </w:r>
      <w:r w:rsidRPr="00FB6072">
        <w:rPr>
          <w:snapToGrid w:val="0"/>
          <w:kern w:val="22"/>
          <w:szCs w:val="22"/>
        </w:rPr>
        <w:t>ramework;</w:t>
      </w:r>
      <w:r>
        <w:rPr>
          <w:snapToGrid w:val="0"/>
          <w:kern w:val="22"/>
          <w:szCs w:val="22"/>
        </w:rPr>
        <w:t xml:space="preserve"> </w:t>
      </w:r>
    </w:p>
    <w:p w14:paraId="472EF84A" w14:textId="77777777" w:rsidR="0018728E" w:rsidRPr="003C3728"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27</w:t>
      </w:r>
      <w:r w:rsidRPr="003C3728">
        <w:rPr>
          <w:snapToGrid w:val="0"/>
          <w:kern w:val="22"/>
          <w:szCs w:val="22"/>
        </w:rPr>
        <w:t>.</w:t>
      </w:r>
      <w:r w:rsidRPr="003C3728">
        <w:rPr>
          <w:snapToGrid w:val="0"/>
          <w:kern w:val="22"/>
          <w:szCs w:val="22"/>
        </w:rPr>
        <w:tab/>
      </w:r>
      <w:r w:rsidRPr="003C3728">
        <w:rPr>
          <w:i/>
          <w:iCs/>
          <w:snapToGrid w:val="0"/>
          <w:kern w:val="22"/>
          <w:szCs w:val="22"/>
        </w:rPr>
        <w:t>Encourages</w:t>
      </w:r>
      <w:r w:rsidRPr="003C3728">
        <w:rPr>
          <w:snapToGrid w:val="0"/>
          <w:kern w:val="22"/>
          <w:szCs w:val="22"/>
        </w:rPr>
        <w:t xml:space="preserve"> developed country Parties and Parties in a position to do so to continue and further increase their financial support to BIOFIN and other related initiatives in order to support the speedy</w:t>
      </w:r>
      <w:r w:rsidRPr="009F6A8A">
        <w:rPr>
          <w:snapToGrid w:val="0"/>
          <w:kern w:val="22"/>
          <w:szCs w:val="22"/>
          <w:highlight w:val="green"/>
        </w:rPr>
        <w:t xml:space="preserve"> </w:t>
      </w:r>
      <w:r w:rsidRPr="00112ED8">
        <w:rPr>
          <w:snapToGrid w:val="0"/>
          <w:kern w:val="22"/>
          <w:szCs w:val="22"/>
        </w:rPr>
        <w:t>implementation of national</w:t>
      </w:r>
      <w:r w:rsidRPr="003C3728">
        <w:rPr>
          <w:snapToGrid w:val="0"/>
          <w:kern w:val="22"/>
          <w:szCs w:val="22"/>
        </w:rPr>
        <w:t xml:space="preserve"> finance plans or similar instruments by developing country Parties or Parties with economies in transition;</w:t>
      </w:r>
    </w:p>
    <w:p w14:paraId="6FF81276" w14:textId="77777777" w:rsidR="0018728E" w:rsidRDefault="0018728E" w:rsidP="001513B5">
      <w:pPr>
        <w:keepNext/>
        <w:suppressLineNumbers/>
        <w:suppressAutoHyphens/>
        <w:kinsoku w:val="0"/>
        <w:overflowPunct w:val="0"/>
        <w:autoSpaceDE w:val="0"/>
        <w:autoSpaceDN w:val="0"/>
        <w:adjustRightInd w:val="0"/>
        <w:snapToGrid w:val="0"/>
        <w:spacing w:before="120" w:after="120"/>
        <w:jc w:val="left"/>
        <w:rPr>
          <w:b/>
          <w:snapToGrid w:val="0"/>
          <w:kern w:val="22"/>
          <w:szCs w:val="22"/>
        </w:rPr>
      </w:pPr>
      <w:r>
        <w:rPr>
          <w:b/>
          <w:snapToGrid w:val="0"/>
          <w:kern w:val="22"/>
          <w:szCs w:val="22"/>
        </w:rPr>
        <w:t>Supportive action on scaling and aligning incentive measures as per Article 11 of the Convention</w:t>
      </w:r>
    </w:p>
    <w:p w14:paraId="1AE92212" w14:textId="77777777" w:rsidR="0018728E" w:rsidRDefault="0018728E"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28.</w:t>
      </w:r>
      <w:r>
        <w:rPr>
          <w:snapToGrid w:val="0"/>
          <w:kern w:val="22"/>
          <w:szCs w:val="22"/>
        </w:rPr>
        <w:tab/>
      </w:r>
      <w:r>
        <w:rPr>
          <w:i/>
          <w:snapToGrid w:val="0"/>
          <w:kern w:val="22"/>
          <w:szCs w:val="22"/>
        </w:rPr>
        <w:t xml:space="preserve">Takes note with appreciation </w:t>
      </w:r>
      <w:r>
        <w:rPr>
          <w:snapToGrid w:val="0"/>
          <w:kern w:val="22"/>
          <w:szCs w:val="22"/>
        </w:rPr>
        <w:t>of the work of the Environmental Policy Committee of the Organisation for Economic Co-operation and Development to support countries in scaling up and aligning incentives, in particular on guidance to identify and assess incentives harmful to biodiversity, on tracking economic instruments and finance for biodiversity, and on aligning national budgets with climate, biodiversity and other environmental objective</w:t>
      </w:r>
      <w:r w:rsidRPr="001070F0">
        <w:rPr>
          <w:snapToGrid w:val="0"/>
          <w:kern w:val="22"/>
          <w:szCs w:val="22"/>
        </w:rPr>
        <w:t xml:space="preserve">s, and the relevant work of BIOFIN, and </w:t>
      </w:r>
      <w:r w:rsidRPr="001070F0">
        <w:rPr>
          <w:iCs/>
          <w:snapToGrid w:val="0"/>
          <w:kern w:val="22"/>
          <w:szCs w:val="22"/>
        </w:rPr>
        <w:t>encourages</w:t>
      </w:r>
      <w:r w:rsidRPr="001070F0">
        <w:rPr>
          <w:snapToGrid w:val="0"/>
          <w:kern w:val="22"/>
          <w:szCs w:val="22"/>
        </w:rPr>
        <w:t xml:space="preserve"> the organizations to continue and further intensify this wo</w:t>
      </w:r>
      <w:r>
        <w:rPr>
          <w:snapToGrid w:val="0"/>
          <w:kern w:val="22"/>
          <w:szCs w:val="22"/>
        </w:rPr>
        <w:t xml:space="preserve">rk; </w:t>
      </w:r>
    </w:p>
    <w:p w14:paraId="7CCCC0E9" w14:textId="77777777" w:rsidR="0018728E" w:rsidRPr="00FB6CE8" w:rsidRDefault="0018728E" w:rsidP="00563AC1">
      <w:pPr>
        <w:pStyle w:val="BodyText"/>
        <w:ind w:right="117" w:firstLine="0"/>
        <w:rPr>
          <w:b/>
          <w:bCs/>
          <w:iCs w:val="0"/>
        </w:rPr>
      </w:pPr>
      <w:r w:rsidRPr="00FB6CE8">
        <w:rPr>
          <w:b/>
          <w:bCs/>
          <w:iCs w:val="0"/>
        </w:rPr>
        <w:t xml:space="preserve">Global Biodiversity Framework Fund </w:t>
      </w:r>
    </w:p>
    <w:p w14:paraId="5611A992" w14:textId="77777777" w:rsidR="0018728E" w:rsidRPr="00FB6CE8" w:rsidRDefault="0018728E" w:rsidP="00692163">
      <w:pPr>
        <w:pStyle w:val="BodyText"/>
        <w:ind w:right="4" w:firstLine="630"/>
        <w:rPr>
          <w:iCs w:val="0"/>
        </w:rPr>
      </w:pPr>
      <w:r w:rsidRPr="00FB6CE8">
        <w:rPr>
          <w:iCs w:val="0"/>
        </w:rPr>
        <w:t>29.</w:t>
      </w:r>
      <w:r w:rsidRPr="00FB6CE8">
        <w:rPr>
          <w:iCs w:val="0"/>
        </w:rPr>
        <w:tab/>
      </w:r>
      <w:r w:rsidRPr="00FB6CE8">
        <w:rPr>
          <w:i/>
        </w:rPr>
        <w:t>Recognizes</w:t>
      </w:r>
      <w:r w:rsidRPr="00FB6CE8">
        <w:rPr>
          <w:iCs w:val="0"/>
        </w:rPr>
        <w:t xml:space="preserve"> the urgency to increase international biodiversity finance and to establish a dedicated and accessible fund in 2023 for the Kunming</w:t>
      </w:r>
      <w:r w:rsidRPr="00FB6CE8">
        <w:rPr>
          <w:iCs w:val="0"/>
        </w:rPr>
        <w:noBreakHyphen/>
        <w:t xml:space="preserve">Montreal Global Biodiversity Framework that can quickly mobilize and disburse new and additional resources from all sources, commensurate with the ambition of the </w:t>
      </w:r>
      <w:r w:rsidRPr="00FB6CE8">
        <w:rPr>
          <w:bCs/>
          <w:snapToGrid w:val="0"/>
          <w:szCs w:val="22"/>
          <w:lang w:val="en-US"/>
        </w:rPr>
        <w:t>Framework</w:t>
      </w:r>
      <w:r w:rsidRPr="00FB6CE8">
        <w:rPr>
          <w:iCs w:val="0"/>
        </w:rPr>
        <w:t>;</w:t>
      </w:r>
    </w:p>
    <w:p w14:paraId="7EA33AD9" w14:textId="77777777" w:rsidR="0018728E" w:rsidRPr="00FB6CE8" w:rsidRDefault="0018728E" w:rsidP="00692163">
      <w:pPr>
        <w:pStyle w:val="BodyText"/>
        <w:ind w:right="4" w:firstLine="630"/>
        <w:rPr>
          <w:iCs w:val="0"/>
        </w:rPr>
      </w:pPr>
      <w:r w:rsidRPr="00FB6CE8">
        <w:rPr>
          <w:iCs w:val="0"/>
        </w:rPr>
        <w:t>30.</w:t>
      </w:r>
      <w:r w:rsidRPr="00FB6CE8">
        <w:rPr>
          <w:iCs w:val="0"/>
        </w:rPr>
        <w:tab/>
      </w:r>
      <w:r w:rsidRPr="00FB6CE8">
        <w:rPr>
          <w:i/>
        </w:rPr>
        <w:t>Requests</w:t>
      </w:r>
      <w:r w:rsidRPr="00FB6CE8">
        <w:rPr>
          <w:iCs w:val="0"/>
        </w:rPr>
        <w:t xml:space="preserve"> the Global Environment Facility to establish, in 2023, and until 2030 unless the Conference of the Parties decides otherwise, a special trust fund to support </w:t>
      </w:r>
      <w:r w:rsidRPr="00FB6CE8">
        <w:rPr>
          <w:snapToGrid w:val="0"/>
          <w:kern w:val="20"/>
        </w:rPr>
        <w:t xml:space="preserve">the implementation of the </w:t>
      </w:r>
      <w:r w:rsidRPr="00FB6CE8">
        <w:rPr>
          <w:snapToGrid w:val="0"/>
          <w:kern w:val="22"/>
          <w:szCs w:val="22"/>
          <w:lang w:val="en-CA"/>
        </w:rPr>
        <w:t xml:space="preserve">Kunming-Montreal </w:t>
      </w:r>
      <w:r w:rsidRPr="00FB6CE8">
        <w:rPr>
          <w:snapToGrid w:val="0"/>
          <w:kern w:val="20"/>
        </w:rPr>
        <w:t>Global Biodiversity Framework</w:t>
      </w:r>
      <w:r w:rsidRPr="00FB6CE8">
        <w:rPr>
          <w:iCs w:val="0"/>
        </w:rPr>
        <w:t>, to complement existing support and scale up financing to ensure its timely implementation, taking into account the need for adequacy, predictability, and timely flow of funds;</w:t>
      </w:r>
    </w:p>
    <w:p w14:paraId="57159DDA" w14:textId="77777777" w:rsidR="0018728E" w:rsidRPr="00FB6CE8" w:rsidRDefault="0018728E" w:rsidP="00692163">
      <w:pPr>
        <w:pStyle w:val="BodyText"/>
        <w:ind w:right="4" w:firstLine="630"/>
        <w:rPr>
          <w:iCs w:val="0"/>
        </w:rPr>
      </w:pPr>
      <w:r w:rsidRPr="00FB6CE8">
        <w:rPr>
          <w:iCs w:val="0"/>
        </w:rPr>
        <w:t>31.</w:t>
      </w:r>
      <w:r w:rsidRPr="00FB6CE8">
        <w:rPr>
          <w:iCs w:val="0"/>
        </w:rPr>
        <w:tab/>
      </w:r>
      <w:r w:rsidRPr="00FB6CE8">
        <w:rPr>
          <w:i/>
        </w:rPr>
        <w:t>Also requests</w:t>
      </w:r>
      <w:r w:rsidRPr="00FB6CE8">
        <w:rPr>
          <w:iCs w:val="0"/>
        </w:rPr>
        <w:t xml:space="preserve"> the Global Environmental Facility to prepare a decision to be considered by the Council, on the approval of </w:t>
      </w:r>
      <w:r w:rsidRPr="000035B4">
        <w:rPr>
          <w:iCs w:val="0"/>
        </w:rPr>
        <w:t>the</w:t>
      </w:r>
      <w:r w:rsidRPr="00FB6CE8">
        <w:rPr>
          <w:iCs w:val="0"/>
        </w:rPr>
        <w:t xml:space="preserve"> Global Biodiversity Framework Fund, with its own equitable governing body, to be dedicated exclusively to supporting the implementation of the goals and targets of the Kunming-Montreal Global Biodiversity Framework; </w:t>
      </w:r>
    </w:p>
    <w:p w14:paraId="73559A52" w14:textId="77777777" w:rsidR="0018728E" w:rsidRPr="00FB6CE8" w:rsidRDefault="0018728E" w:rsidP="00692163">
      <w:pPr>
        <w:pStyle w:val="BodyText"/>
        <w:ind w:right="4" w:firstLine="630"/>
        <w:rPr>
          <w:iCs w:val="0"/>
        </w:rPr>
      </w:pPr>
      <w:r w:rsidRPr="00FB6CE8">
        <w:rPr>
          <w:iCs w:val="0"/>
        </w:rPr>
        <w:t>32.</w:t>
      </w:r>
      <w:r w:rsidRPr="00FB6CE8">
        <w:rPr>
          <w:iCs w:val="0"/>
        </w:rPr>
        <w:tab/>
      </w:r>
      <w:r w:rsidRPr="00FB6CE8">
        <w:rPr>
          <w:i/>
        </w:rPr>
        <w:t>Further requests</w:t>
      </w:r>
      <w:r w:rsidRPr="00FB6CE8">
        <w:rPr>
          <w:iCs w:val="0"/>
        </w:rPr>
        <w:t xml:space="preserve"> the Global Environment Facility to advance the necessary institutional and governance arrangements to allow for the Global Biodiversity Framework Fund to receive </w:t>
      </w:r>
      <w:r w:rsidRPr="00246F91">
        <w:rPr>
          <w:iCs w:val="0"/>
        </w:rPr>
        <w:t>financing</w:t>
      </w:r>
      <w:r w:rsidRPr="00FB6CE8">
        <w:rPr>
          <w:iCs w:val="0"/>
        </w:rPr>
        <w:t xml:space="preserve"> from all </w:t>
      </w:r>
      <w:r w:rsidRPr="00112A62">
        <w:rPr>
          <w:iCs w:val="0"/>
        </w:rPr>
        <w:t>sources,</w:t>
      </w:r>
      <w:r w:rsidRPr="008F6FFF">
        <w:rPr>
          <w:iCs w:val="0"/>
        </w:rPr>
        <w:t xml:space="preserve"> in addition to official development assistance</w:t>
      </w:r>
      <w:r w:rsidRPr="00112A62">
        <w:rPr>
          <w:iCs w:val="0"/>
        </w:rPr>
        <w:t>;</w:t>
      </w:r>
      <w:r w:rsidRPr="00FB6CE8">
        <w:rPr>
          <w:iCs w:val="0"/>
        </w:rPr>
        <w:t xml:space="preserve">  </w:t>
      </w:r>
    </w:p>
    <w:p w14:paraId="360E2BBC" w14:textId="77777777" w:rsidR="0018728E" w:rsidRPr="00FB6CE8" w:rsidRDefault="0018728E" w:rsidP="00692163">
      <w:pPr>
        <w:pStyle w:val="BodyText"/>
        <w:ind w:right="4" w:firstLine="630"/>
        <w:rPr>
          <w:iCs w:val="0"/>
        </w:rPr>
      </w:pPr>
      <w:r w:rsidRPr="00FB6CE8">
        <w:rPr>
          <w:iCs w:val="0"/>
        </w:rPr>
        <w:t>33.</w:t>
      </w:r>
      <w:r w:rsidRPr="00FB6CE8">
        <w:rPr>
          <w:iCs w:val="0"/>
        </w:rPr>
        <w:tab/>
      </w:r>
      <w:r w:rsidRPr="00FB6CE8">
        <w:rPr>
          <w:i/>
        </w:rPr>
        <w:t>Requests</w:t>
      </w:r>
      <w:r w:rsidRPr="00FB6CE8">
        <w:rPr>
          <w:iCs w:val="0"/>
        </w:rPr>
        <w:t xml:space="preserve"> the Global Environment Facility to design and implement a project cycle with a simple and effective application and approval process, providing easy and efficient access to resources of the Global Biodiversity Framework Fund;</w:t>
      </w:r>
    </w:p>
    <w:p w14:paraId="58B08D28" w14:textId="77777777" w:rsidR="0018728E" w:rsidRPr="00FB6CE8" w:rsidRDefault="0018728E" w:rsidP="00692163">
      <w:pPr>
        <w:pStyle w:val="BodyText"/>
        <w:ind w:right="4" w:firstLine="630"/>
        <w:rPr>
          <w:iCs w:val="0"/>
        </w:rPr>
      </w:pPr>
      <w:r w:rsidRPr="00FB6CE8">
        <w:rPr>
          <w:iCs w:val="0"/>
        </w:rPr>
        <w:t>34.</w:t>
      </w:r>
      <w:r w:rsidRPr="00FB6CE8">
        <w:rPr>
          <w:iCs w:val="0"/>
        </w:rPr>
        <w:tab/>
      </w:r>
      <w:r w:rsidRPr="00FB6CE8">
        <w:rPr>
          <w:i/>
        </w:rPr>
        <w:t>Calls upon</w:t>
      </w:r>
      <w:r w:rsidRPr="00FB6CE8">
        <w:rPr>
          <w:iCs w:val="0"/>
        </w:rPr>
        <w:t xml:space="preserve"> the Global Environment Facility to approve these decisions at the next possible session of the Council and its ratification at the next possible sessio</w:t>
      </w:r>
      <w:r w:rsidRPr="00C55FE0">
        <w:rPr>
          <w:iCs w:val="0"/>
        </w:rPr>
        <w:t>n of the Assembly in 2023;</w:t>
      </w:r>
    </w:p>
    <w:p w14:paraId="08242AC6" w14:textId="77777777" w:rsidR="0018728E" w:rsidRPr="00FB6CE8" w:rsidRDefault="0018728E" w:rsidP="00692163">
      <w:pPr>
        <w:pStyle w:val="BodyText"/>
        <w:ind w:right="4" w:firstLine="630"/>
        <w:rPr>
          <w:iCs w:val="0"/>
        </w:rPr>
      </w:pPr>
      <w:r w:rsidRPr="00FB6CE8">
        <w:rPr>
          <w:iCs w:val="0"/>
        </w:rPr>
        <w:lastRenderedPageBreak/>
        <w:t>35.</w:t>
      </w:r>
      <w:r w:rsidRPr="00FB6CE8">
        <w:rPr>
          <w:iCs w:val="0"/>
        </w:rPr>
        <w:tab/>
      </w:r>
      <w:r w:rsidRPr="00FB6CE8">
        <w:rPr>
          <w:i/>
        </w:rPr>
        <w:t>Calls for</w:t>
      </w:r>
      <w:r w:rsidRPr="00FB6CE8">
        <w:rPr>
          <w:iCs w:val="0"/>
        </w:rPr>
        <w:t xml:space="preserve"> immediate substantive contributions from all sources, in line with Target </w:t>
      </w:r>
      <w:r w:rsidRPr="008F6FFF">
        <w:rPr>
          <w:iCs w:val="0"/>
        </w:rPr>
        <w:t>19</w:t>
      </w:r>
      <w:r w:rsidRPr="00FB6CE8">
        <w:rPr>
          <w:iCs w:val="0"/>
        </w:rPr>
        <w:t xml:space="preserve"> of the Kunming-Montreal Global Biodiversity Framework;</w:t>
      </w:r>
    </w:p>
    <w:p w14:paraId="6E89AF57" w14:textId="77777777" w:rsidR="0018728E" w:rsidRPr="00FB6CE8" w:rsidRDefault="0018728E" w:rsidP="00BA7C92">
      <w:pPr>
        <w:pStyle w:val="BodyText"/>
        <w:ind w:right="4" w:firstLine="630"/>
        <w:rPr>
          <w:iCs w:val="0"/>
        </w:rPr>
      </w:pPr>
      <w:r w:rsidRPr="00BA7C92">
        <w:rPr>
          <w:iCs w:val="0"/>
        </w:rPr>
        <w:t>36.</w:t>
      </w:r>
      <w:r w:rsidRPr="00BA7C92">
        <w:rPr>
          <w:iCs w:val="0"/>
        </w:rPr>
        <w:tab/>
      </w:r>
      <w:r w:rsidRPr="00BA7C92">
        <w:rPr>
          <w:i/>
        </w:rPr>
        <w:t>Requests</w:t>
      </w:r>
      <w:r w:rsidRPr="00BA7C92">
        <w:rPr>
          <w:iCs w:val="0"/>
        </w:rPr>
        <w:t xml:space="preserve"> the Global Environmental Facility to engage all </w:t>
      </w:r>
      <w:r w:rsidRPr="008F6FFF">
        <w:rPr>
          <w:iCs w:val="0"/>
        </w:rPr>
        <w:t>m</w:t>
      </w:r>
      <w:r w:rsidRPr="00BA7C92">
        <w:rPr>
          <w:iCs w:val="0"/>
        </w:rPr>
        <w:t xml:space="preserve">ultilateral </w:t>
      </w:r>
      <w:r w:rsidRPr="008F6FFF">
        <w:rPr>
          <w:iCs w:val="0"/>
        </w:rPr>
        <w:t>d</w:t>
      </w:r>
      <w:r w:rsidRPr="00BA7C92">
        <w:rPr>
          <w:iCs w:val="0"/>
        </w:rPr>
        <w:t xml:space="preserve">evelopment </w:t>
      </w:r>
      <w:r w:rsidRPr="008F6FFF">
        <w:rPr>
          <w:iCs w:val="0"/>
        </w:rPr>
        <w:t>b</w:t>
      </w:r>
      <w:r w:rsidRPr="00BA7C92">
        <w:rPr>
          <w:iCs w:val="0"/>
        </w:rPr>
        <w:t xml:space="preserve">anks and other </w:t>
      </w:r>
      <w:r w:rsidRPr="008F6FFF">
        <w:rPr>
          <w:iCs w:val="0"/>
        </w:rPr>
        <w:t>i</w:t>
      </w:r>
      <w:r w:rsidRPr="00BA7C92">
        <w:rPr>
          <w:iCs w:val="0"/>
        </w:rPr>
        <w:t>nternational</w:t>
      </w:r>
      <w:r w:rsidRPr="00FB6CE8">
        <w:rPr>
          <w:iCs w:val="0"/>
        </w:rPr>
        <w:t xml:space="preserve"> </w:t>
      </w:r>
      <w:r w:rsidRPr="008F6FFF">
        <w:rPr>
          <w:iCs w:val="0"/>
        </w:rPr>
        <w:t>f</w:t>
      </w:r>
      <w:r w:rsidRPr="00FB6CE8">
        <w:rPr>
          <w:iCs w:val="0"/>
        </w:rPr>
        <w:t xml:space="preserve">inancial </w:t>
      </w:r>
      <w:r w:rsidRPr="008F6FFF">
        <w:rPr>
          <w:iCs w:val="0"/>
        </w:rPr>
        <w:t>i</w:t>
      </w:r>
      <w:r w:rsidRPr="00FB6CE8">
        <w:rPr>
          <w:iCs w:val="0"/>
        </w:rPr>
        <w:t>nstitutions in the design and operationalization of the Global Biodiversity Framework</w:t>
      </w:r>
      <w:r w:rsidRPr="008F6FFF" w:rsidDel="00307A63">
        <w:rPr>
          <w:iCs w:val="0"/>
        </w:rPr>
        <w:t xml:space="preserve"> </w:t>
      </w:r>
      <w:r w:rsidRPr="00FB6CE8">
        <w:rPr>
          <w:iCs w:val="0"/>
        </w:rPr>
        <w:t xml:space="preserve">Fund, with the view of leveraging additional resources from and for the Fund and channel them through new and existing biodiversity portfolios, which need to be aligned with the goals and targets of the </w:t>
      </w:r>
      <w:r w:rsidRPr="008F6FFF">
        <w:rPr>
          <w:iCs w:val="0"/>
        </w:rPr>
        <w:t>Kunming-Montreal G</w:t>
      </w:r>
      <w:r w:rsidRPr="00FB6CE8">
        <w:rPr>
          <w:iCs w:val="0"/>
        </w:rPr>
        <w:t xml:space="preserve">lobal </w:t>
      </w:r>
      <w:r w:rsidRPr="008F6FFF">
        <w:rPr>
          <w:iCs w:val="0"/>
        </w:rPr>
        <w:t>B</w:t>
      </w:r>
      <w:r w:rsidRPr="00FB6CE8">
        <w:rPr>
          <w:iCs w:val="0"/>
        </w:rPr>
        <w:t xml:space="preserve">iodiversity </w:t>
      </w:r>
      <w:r w:rsidRPr="008F6FFF">
        <w:rPr>
          <w:iCs w:val="0"/>
        </w:rPr>
        <w:t>F</w:t>
      </w:r>
      <w:r w:rsidRPr="00FB6CE8">
        <w:rPr>
          <w:iCs w:val="0"/>
        </w:rPr>
        <w:t>ramework;</w:t>
      </w:r>
    </w:p>
    <w:p w14:paraId="33188C66" w14:textId="77777777" w:rsidR="0018728E" w:rsidRPr="00D530DA" w:rsidRDefault="0018728E" w:rsidP="00BA7C92">
      <w:pPr>
        <w:pStyle w:val="BodyText"/>
        <w:ind w:right="4" w:firstLine="630"/>
        <w:rPr>
          <w:iCs w:val="0"/>
        </w:rPr>
      </w:pPr>
      <w:r w:rsidRPr="00D530DA">
        <w:rPr>
          <w:iCs w:val="0"/>
        </w:rPr>
        <w:t>37.</w:t>
      </w:r>
      <w:r w:rsidRPr="00D530DA">
        <w:rPr>
          <w:iCs w:val="0"/>
        </w:rPr>
        <w:tab/>
      </w:r>
      <w:r w:rsidRPr="008F6FFF">
        <w:rPr>
          <w:i/>
        </w:rPr>
        <w:t>Also r</w:t>
      </w:r>
      <w:r w:rsidRPr="00D530DA">
        <w:rPr>
          <w:i/>
        </w:rPr>
        <w:t>equests</w:t>
      </w:r>
      <w:r w:rsidRPr="00D530DA">
        <w:rPr>
          <w:iCs w:val="0"/>
        </w:rPr>
        <w:t xml:space="preserve"> the Global Environment Facility to </w:t>
      </w:r>
      <w:r w:rsidRPr="004118C8">
        <w:rPr>
          <w:iCs w:val="0"/>
        </w:rPr>
        <w:t>report on the progress in establishing</w:t>
      </w:r>
      <w:r>
        <w:rPr>
          <w:iCs w:val="0"/>
        </w:rPr>
        <w:t>,</w:t>
      </w:r>
      <w:r w:rsidRPr="004118C8">
        <w:rPr>
          <w:iCs w:val="0"/>
        </w:rPr>
        <w:t xml:space="preserve"> and </w:t>
      </w:r>
      <w:r w:rsidRPr="008F6FFF">
        <w:rPr>
          <w:iCs w:val="0"/>
        </w:rPr>
        <w:t xml:space="preserve">on </w:t>
      </w:r>
      <w:r w:rsidRPr="004118C8">
        <w:rPr>
          <w:iCs w:val="0"/>
        </w:rPr>
        <w:t>the operations and performance of</w:t>
      </w:r>
      <w:r>
        <w:rPr>
          <w:iCs w:val="0"/>
        </w:rPr>
        <w:t>,</w:t>
      </w:r>
      <w:r w:rsidRPr="004118C8">
        <w:rPr>
          <w:iCs w:val="0"/>
        </w:rPr>
        <w:t xml:space="preserve"> the Global Biodiversity Framework</w:t>
      </w:r>
      <w:r w:rsidRPr="008F6FFF" w:rsidDel="000A32B2">
        <w:rPr>
          <w:iCs w:val="0"/>
        </w:rPr>
        <w:t xml:space="preserve"> </w:t>
      </w:r>
      <w:r w:rsidRPr="004118C8">
        <w:rPr>
          <w:iCs w:val="0"/>
        </w:rPr>
        <w:t>Fund</w:t>
      </w:r>
      <w:r w:rsidRPr="008F6FFF">
        <w:rPr>
          <w:iCs w:val="0"/>
        </w:rPr>
        <w:t xml:space="preserve"> to future meetings of the Conference of the Parties</w:t>
      </w:r>
      <w:r w:rsidRPr="004118C8">
        <w:rPr>
          <w:iCs w:val="0"/>
        </w:rPr>
        <w:t>;</w:t>
      </w:r>
    </w:p>
    <w:p w14:paraId="4FCEFF31" w14:textId="77777777" w:rsidR="0018728E" w:rsidRPr="00D530DA" w:rsidRDefault="0018728E" w:rsidP="00BA7C92">
      <w:pPr>
        <w:pStyle w:val="BodyText"/>
        <w:ind w:right="4" w:firstLine="630"/>
        <w:rPr>
          <w:iCs w:val="0"/>
        </w:rPr>
      </w:pPr>
      <w:r w:rsidRPr="00D530DA">
        <w:rPr>
          <w:iCs w:val="0"/>
        </w:rPr>
        <w:t>38.</w:t>
      </w:r>
      <w:r w:rsidRPr="00D530DA">
        <w:rPr>
          <w:iCs w:val="0"/>
        </w:rPr>
        <w:tab/>
      </w:r>
      <w:r w:rsidRPr="00D530DA">
        <w:rPr>
          <w:i/>
        </w:rPr>
        <w:t>Decides</w:t>
      </w:r>
      <w:r w:rsidRPr="00D530DA">
        <w:rPr>
          <w:iCs w:val="0"/>
        </w:rPr>
        <w:t xml:space="preserve"> to assess the progress made in establishing, and </w:t>
      </w:r>
      <w:r>
        <w:rPr>
          <w:iCs w:val="0"/>
        </w:rPr>
        <w:t xml:space="preserve">on </w:t>
      </w:r>
      <w:r w:rsidRPr="00D530DA">
        <w:rPr>
          <w:iCs w:val="0"/>
        </w:rPr>
        <w:t>the operations and performance of, the Global Biodiversity Framework</w:t>
      </w:r>
      <w:r w:rsidRPr="008F6FFF" w:rsidDel="00AB4ECA">
        <w:rPr>
          <w:iCs w:val="0"/>
        </w:rPr>
        <w:t xml:space="preserve"> </w:t>
      </w:r>
      <w:r w:rsidRPr="00D530DA">
        <w:rPr>
          <w:iCs w:val="0"/>
        </w:rPr>
        <w:t>Fund, and to consider and adopt further guidance to the Global Environment Facility and to the governing body referred to paragraph 31 above, on the modalities and operation of the Fund, at its future meetings;</w:t>
      </w:r>
    </w:p>
    <w:p w14:paraId="5320E858" w14:textId="77777777" w:rsidR="0018728E" w:rsidRDefault="0018728E" w:rsidP="00BA7C92">
      <w:pPr>
        <w:pStyle w:val="BodyText"/>
        <w:ind w:right="4" w:firstLine="630"/>
        <w:rPr>
          <w:iCs w:val="0"/>
        </w:rPr>
      </w:pPr>
      <w:r w:rsidRPr="00C3450A">
        <w:rPr>
          <w:iCs w:val="0"/>
        </w:rPr>
        <w:t>39.</w:t>
      </w:r>
      <w:r w:rsidRPr="00C3450A">
        <w:rPr>
          <w:iCs w:val="0"/>
        </w:rPr>
        <w:tab/>
      </w:r>
      <w:r w:rsidRPr="008F6FFF">
        <w:rPr>
          <w:i/>
        </w:rPr>
        <w:t>Also d</w:t>
      </w:r>
      <w:r w:rsidRPr="00C3450A">
        <w:rPr>
          <w:i/>
        </w:rPr>
        <w:t>ecides</w:t>
      </w:r>
      <w:r w:rsidRPr="00C3450A">
        <w:rPr>
          <w:iCs w:val="0"/>
        </w:rPr>
        <w:t xml:space="preserve"> to undertake and act upon, at its eighteenth</w:t>
      </w:r>
      <w:r w:rsidRPr="008F6FFF">
        <w:rPr>
          <w:iCs w:val="0"/>
        </w:rPr>
        <w:t xml:space="preserve"> meeting</w:t>
      </w:r>
      <w:r w:rsidRPr="00C3450A">
        <w:rPr>
          <w:iCs w:val="0"/>
        </w:rPr>
        <w:t>, a stocktake</w:t>
      </w:r>
      <w:r w:rsidRPr="009F60F8">
        <w:rPr>
          <w:iCs w:val="0"/>
        </w:rPr>
        <w:t xml:space="preserve"> review on the operatio</w:t>
      </w:r>
      <w:r w:rsidRPr="002245AA">
        <w:rPr>
          <w:iCs w:val="0"/>
        </w:rPr>
        <w:t>ns and performance of the Global Biodiversity Framework</w:t>
      </w:r>
      <w:r w:rsidRPr="008F6FFF" w:rsidDel="00192EEF">
        <w:rPr>
          <w:iCs w:val="0"/>
        </w:rPr>
        <w:t xml:space="preserve"> </w:t>
      </w:r>
      <w:r w:rsidRPr="002245AA">
        <w:rPr>
          <w:iCs w:val="0"/>
        </w:rPr>
        <w:t>Fund regarding its scale, speed, accessibility, and future arrangements.</w:t>
      </w:r>
    </w:p>
    <w:bookmarkEnd w:id="60"/>
    <w:p w14:paraId="307E673D" w14:textId="77777777" w:rsidR="0018728E" w:rsidRPr="00A54C34" w:rsidRDefault="0018728E" w:rsidP="00BA7C92">
      <w:pPr>
        <w:suppressLineNumbers/>
        <w:suppressAutoHyphens/>
        <w:kinsoku w:val="0"/>
        <w:overflowPunct w:val="0"/>
        <w:autoSpaceDE w:val="0"/>
        <w:autoSpaceDN w:val="0"/>
        <w:adjustRightInd w:val="0"/>
        <w:snapToGrid w:val="0"/>
        <w:spacing w:before="120" w:after="120"/>
        <w:ind w:right="4"/>
        <w:rPr>
          <w:b/>
          <w:bCs/>
          <w:szCs w:val="22"/>
        </w:rPr>
      </w:pPr>
      <w:r>
        <w:rPr>
          <w:b/>
          <w:bCs/>
          <w:szCs w:val="22"/>
        </w:rPr>
        <w:t>Review of the strategy for resource mobilization</w:t>
      </w:r>
    </w:p>
    <w:p w14:paraId="7C4B5EE1" w14:textId="77777777" w:rsidR="0018728E" w:rsidRPr="00451F41" w:rsidRDefault="0018728E" w:rsidP="00BA7C92">
      <w:pPr>
        <w:suppressLineNumbers/>
        <w:suppressAutoHyphens/>
        <w:kinsoku w:val="0"/>
        <w:overflowPunct w:val="0"/>
        <w:autoSpaceDE w:val="0"/>
        <w:autoSpaceDN w:val="0"/>
        <w:adjustRightInd w:val="0"/>
        <w:snapToGrid w:val="0"/>
        <w:spacing w:before="120" w:after="120"/>
        <w:ind w:right="4" w:firstLine="720"/>
        <w:rPr>
          <w:rFonts w:eastAsia="DengXian"/>
          <w:snapToGrid w:val="0"/>
          <w:kern w:val="22"/>
          <w:szCs w:val="22"/>
          <w:lang w:eastAsia="zh-CN"/>
        </w:rPr>
      </w:pPr>
      <w:r>
        <w:rPr>
          <w:rFonts w:eastAsia="DengXian"/>
          <w:snapToGrid w:val="0"/>
          <w:kern w:val="22"/>
          <w:szCs w:val="22"/>
          <w:lang w:eastAsia="zh-CN"/>
        </w:rPr>
        <w:t>40.</w:t>
      </w:r>
      <w:r>
        <w:rPr>
          <w:rFonts w:eastAsia="DengXian"/>
          <w:snapToGrid w:val="0"/>
          <w:kern w:val="22"/>
          <w:szCs w:val="22"/>
          <w:lang w:eastAsia="zh-CN"/>
        </w:rPr>
        <w:tab/>
      </w:r>
      <w:r w:rsidRPr="003C6970">
        <w:rPr>
          <w:rFonts w:eastAsia="DengXian"/>
          <w:i/>
          <w:iCs/>
          <w:snapToGrid w:val="0"/>
          <w:kern w:val="22"/>
          <w:szCs w:val="22"/>
          <w:lang w:eastAsia="zh-CN"/>
        </w:rPr>
        <w:t>Decides</w:t>
      </w:r>
      <w:r w:rsidRPr="003C6970">
        <w:rPr>
          <w:rFonts w:eastAsia="DengXian"/>
          <w:snapToGrid w:val="0"/>
          <w:kern w:val="22"/>
          <w:szCs w:val="22"/>
          <w:lang w:eastAsia="zh-CN"/>
        </w:rPr>
        <w:t xml:space="preserve"> to review the </w:t>
      </w:r>
      <w:r>
        <w:rPr>
          <w:rFonts w:eastAsia="DengXian"/>
          <w:snapToGrid w:val="0"/>
          <w:kern w:val="22"/>
          <w:szCs w:val="22"/>
          <w:lang w:eastAsia="zh-CN"/>
        </w:rPr>
        <w:t>s</w:t>
      </w:r>
      <w:r w:rsidRPr="003C6970">
        <w:rPr>
          <w:rFonts w:eastAsia="DengXian"/>
          <w:snapToGrid w:val="0"/>
          <w:kern w:val="22"/>
          <w:szCs w:val="22"/>
          <w:lang w:eastAsia="zh-CN"/>
        </w:rPr>
        <w:t xml:space="preserve">trategy for </w:t>
      </w:r>
      <w:r>
        <w:rPr>
          <w:rFonts w:eastAsia="DengXian"/>
          <w:snapToGrid w:val="0"/>
          <w:kern w:val="22"/>
          <w:szCs w:val="22"/>
          <w:lang w:eastAsia="zh-CN"/>
        </w:rPr>
        <w:t>r</w:t>
      </w:r>
      <w:r w:rsidRPr="003C6970">
        <w:rPr>
          <w:rFonts w:eastAsia="DengXian"/>
          <w:snapToGrid w:val="0"/>
          <w:kern w:val="22"/>
          <w:szCs w:val="22"/>
          <w:lang w:eastAsia="zh-CN"/>
        </w:rPr>
        <w:t xml:space="preserve">esource </w:t>
      </w:r>
      <w:r>
        <w:rPr>
          <w:rFonts w:eastAsia="DengXian"/>
          <w:snapToGrid w:val="0"/>
          <w:kern w:val="22"/>
          <w:szCs w:val="22"/>
          <w:lang w:eastAsia="zh-CN"/>
        </w:rPr>
        <w:t>m</w:t>
      </w:r>
      <w:r w:rsidRPr="003C6970">
        <w:rPr>
          <w:rFonts w:eastAsia="DengXian"/>
          <w:snapToGrid w:val="0"/>
          <w:kern w:val="22"/>
          <w:szCs w:val="22"/>
          <w:lang w:eastAsia="zh-CN"/>
        </w:rPr>
        <w:t xml:space="preserve">obilization at its sixteenth meeting </w:t>
      </w:r>
      <w:r w:rsidRPr="003C6970">
        <w:rPr>
          <w:szCs w:val="22"/>
        </w:rPr>
        <w:t>to fully align the</w:t>
      </w:r>
      <w:r w:rsidRPr="003C6970">
        <w:rPr>
          <w:snapToGrid w:val="0"/>
          <w:kern w:val="22"/>
          <w:szCs w:val="22"/>
        </w:rPr>
        <w:t xml:space="preserve"> </w:t>
      </w:r>
      <w:r>
        <w:rPr>
          <w:snapToGrid w:val="0"/>
          <w:kern w:val="22"/>
          <w:szCs w:val="22"/>
        </w:rPr>
        <w:t>it</w:t>
      </w:r>
      <w:r w:rsidRPr="003C6970">
        <w:rPr>
          <w:snapToGrid w:val="0"/>
          <w:kern w:val="22"/>
          <w:szCs w:val="22"/>
        </w:rPr>
        <w:t xml:space="preserve"> with the </w:t>
      </w:r>
      <w:r>
        <w:rPr>
          <w:snapToGrid w:val="0"/>
          <w:kern w:val="22"/>
          <w:szCs w:val="22"/>
        </w:rPr>
        <w:t>Kunming-Montreal Global Biodiversity Framework</w:t>
      </w:r>
      <w:r w:rsidRPr="003C6970">
        <w:rPr>
          <w:snapToGrid w:val="0"/>
          <w:kern w:val="22"/>
          <w:szCs w:val="22"/>
        </w:rPr>
        <w:t xml:space="preserve"> and ensure </w:t>
      </w:r>
      <w:r>
        <w:rPr>
          <w:snapToGrid w:val="0"/>
          <w:kern w:val="22"/>
          <w:szCs w:val="22"/>
        </w:rPr>
        <w:t xml:space="preserve">that </w:t>
      </w:r>
      <w:r w:rsidRPr="003C6970">
        <w:rPr>
          <w:snapToGrid w:val="0"/>
          <w:kern w:val="22"/>
          <w:szCs w:val="22"/>
        </w:rPr>
        <w:t xml:space="preserve">it will provide a solid basis to guide Parties and other </w:t>
      </w:r>
      <w:r w:rsidRPr="00112ED8">
        <w:rPr>
          <w:snapToGrid w:val="0"/>
          <w:kern w:val="22"/>
          <w:szCs w:val="22"/>
        </w:rPr>
        <w:t>actors towards the mobilization of adequate resources</w:t>
      </w:r>
      <w:r>
        <w:rPr>
          <w:snapToGrid w:val="0"/>
          <w:kern w:val="22"/>
          <w:szCs w:val="22"/>
        </w:rPr>
        <w:t>,</w:t>
      </w:r>
      <w:r w:rsidRPr="00112ED8">
        <w:rPr>
          <w:snapToGrid w:val="0"/>
          <w:kern w:val="22"/>
          <w:szCs w:val="22"/>
        </w:rPr>
        <w:t xml:space="preserve"> commensurate with the ambition of the </w:t>
      </w:r>
      <w:r>
        <w:rPr>
          <w:snapToGrid w:val="0"/>
          <w:kern w:val="22"/>
          <w:szCs w:val="22"/>
        </w:rPr>
        <w:t>Framework</w:t>
      </w:r>
      <w:r w:rsidRPr="00112ED8">
        <w:rPr>
          <w:snapToGrid w:val="0"/>
          <w:kern w:val="22"/>
          <w:szCs w:val="22"/>
        </w:rPr>
        <w:t xml:space="preserve">; </w:t>
      </w:r>
    </w:p>
    <w:p w14:paraId="7283E821" w14:textId="77777777" w:rsidR="0018728E" w:rsidRPr="00112ED8" w:rsidRDefault="0018728E" w:rsidP="00BA7C92">
      <w:pPr>
        <w:suppressLineNumbers/>
        <w:suppressAutoHyphens/>
        <w:kinsoku w:val="0"/>
        <w:overflowPunct w:val="0"/>
        <w:autoSpaceDE w:val="0"/>
        <w:autoSpaceDN w:val="0"/>
        <w:adjustRightInd w:val="0"/>
        <w:snapToGrid w:val="0"/>
        <w:spacing w:before="120" w:after="120"/>
        <w:ind w:right="4" w:firstLine="720"/>
        <w:rPr>
          <w:snapToGrid w:val="0"/>
          <w:kern w:val="22"/>
          <w:szCs w:val="22"/>
        </w:rPr>
      </w:pPr>
      <w:r>
        <w:rPr>
          <w:snapToGrid w:val="0"/>
          <w:kern w:val="22"/>
          <w:szCs w:val="22"/>
        </w:rPr>
        <w:t>41</w:t>
      </w:r>
      <w:r w:rsidRPr="00112ED8">
        <w:rPr>
          <w:snapToGrid w:val="0"/>
          <w:kern w:val="22"/>
          <w:szCs w:val="22"/>
        </w:rPr>
        <w:t xml:space="preserve">. </w:t>
      </w:r>
      <w:r w:rsidRPr="00112ED8">
        <w:rPr>
          <w:snapToGrid w:val="0"/>
          <w:kern w:val="22"/>
          <w:szCs w:val="22"/>
        </w:rPr>
        <w:tab/>
      </w:r>
      <w:r>
        <w:rPr>
          <w:i/>
          <w:iCs/>
          <w:snapToGrid w:val="0"/>
          <w:kern w:val="22"/>
          <w:szCs w:val="22"/>
        </w:rPr>
        <w:t>Also d</w:t>
      </w:r>
      <w:r w:rsidRPr="00112ED8">
        <w:rPr>
          <w:i/>
          <w:iCs/>
          <w:snapToGrid w:val="0"/>
          <w:kern w:val="22"/>
          <w:szCs w:val="22"/>
        </w:rPr>
        <w:t>ecides</w:t>
      </w:r>
      <w:r w:rsidRPr="00112ED8">
        <w:rPr>
          <w:snapToGrid w:val="0"/>
          <w:kern w:val="22"/>
          <w:szCs w:val="22"/>
        </w:rPr>
        <w:t xml:space="preserve"> to explore the current finance landscape with a view to assessing gaps and overlaps, and to identifying opportunities to strengthen, simplify and reform existing instruments to strengthen the current finance landscape for biodiversity; </w:t>
      </w:r>
    </w:p>
    <w:p w14:paraId="496D26B6" w14:textId="77777777" w:rsidR="0018728E" w:rsidRDefault="0018728E" w:rsidP="00A3490B">
      <w:pPr>
        <w:suppressLineNumbers/>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42</w:t>
      </w:r>
      <w:r w:rsidRPr="00112ED8">
        <w:rPr>
          <w:snapToGrid w:val="0"/>
          <w:kern w:val="22"/>
          <w:szCs w:val="22"/>
        </w:rPr>
        <w:t xml:space="preserve">. </w:t>
      </w:r>
      <w:r w:rsidRPr="00112ED8">
        <w:rPr>
          <w:snapToGrid w:val="0"/>
          <w:kern w:val="22"/>
          <w:szCs w:val="22"/>
        </w:rPr>
        <w:tab/>
      </w:r>
      <w:r w:rsidRPr="00112ED8">
        <w:rPr>
          <w:i/>
          <w:iCs/>
          <w:snapToGrid w:val="0"/>
          <w:kern w:val="22"/>
          <w:szCs w:val="22"/>
        </w:rPr>
        <w:t>Further decides</w:t>
      </w:r>
      <w:r w:rsidRPr="00112ED8">
        <w:rPr>
          <w:snapToGrid w:val="0"/>
          <w:kern w:val="22"/>
          <w:szCs w:val="22"/>
        </w:rPr>
        <w:t xml:space="preserve"> to explore proposals </w:t>
      </w:r>
      <w:r w:rsidRPr="00F573B8">
        <w:rPr>
          <w:snapToGrid w:val="0"/>
          <w:kern w:val="22"/>
          <w:szCs w:val="22"/>
        </w:rPr>
        <w:t>for a global instrument on biodiversity finance</w:t>
      </w:r>
      <w:r>
        <w:rPr>
          <w:snapToGrid w:val="0"/>
          <w:kern w:val="22"/>
          <w:szCs w:val="22"/>
        </w:rPr>
        <w:t xml:space="preserve"> </w:t>
      </w:r>
      <w:r w:rsidRPr="00112ED8">
        <w:rPr>
          <w:snapToGrid w:val="0"/>
          <w:kern w:val="22"/>
          <w:szCs w:val="22"/>
        </w:rPr>
        <w:t>to mobilize resources from all sources</w:t>
      </w:r>
      <w:r>
        <w:rPr>
          <w:snapToGrid w:val="0"/>
          <w:kern w:val="22"/>
          <w:szCs w:val="22"/>
        </w:rPr>
        <w:t>,</w:t>
      </w:r>
      <w:r w:rsidRPr="00112ED8">
        <w:rPr>
          <w:snapToGrid w:val="0"/>
          <w:kern w:val="22"/>
          <w:szCs w:val="22"/>
        </w:rPr>
        <w:t xml:space="preserve"> commensurate to the ambition of the </w:t>
      </w:r>
      <w:r>
        <w:rPr>
          <w:snapToGrid w:val="0"/>
          <w:kern w:val="22"/>
          <w:szCs w:val="22"/>
        </w:rPr>
        <w:t>Kunming-Montreal Global Biodiversity Framework,</w:t>
      </w:r>
      <w:r w:rsidRPr="00112ED8">
        <w:rPr>
          <w:snapToGrid w:val="0"/>
          <w:kern w:val="22"/>
          <w:szCs w:val="22"/>
        </w:rPr>
        <w:t xml:space="preserve"> based on the assessment made and the gaps identified </w:t>
      </w:r>
      <w:r>
        <w:rPr>
          <w:snapToGrid w:val="0"/>
          <w:kern w:val="22"/>
          <w:szCs w:val="22"/>
        </w:rPr>
        <w:t>pursuant to</w:t>
      </w:r>
      <w:r w:rsidRPr="00112ED8">
        <w:rPr>
          <w:snapToGrid w:val="0"/>
          <w:kern w:val="22"/>
          <w:szCs w:val="22"/>
        </w:rPr>
        <w:t xml:space="preserve"> </w:t>
      </w:r>
      <w:r w:rsidRPr="00DC6A36">
        <w:rPr>
          <w:snapToGrid w:val="0"/>
          <w:kern w:val="22"/>
          <w:szCs w:val="22"/>
        </w:rPr>
        <w:t>paragraph</w:t>
      </w:r>
      <w:r>
        <w:rPr>
          <w:snapToGrid w:val="0"/>
          <w:kern w:val="22"/>
          <w:szCs w:val="22"/>
        </w:rPr>
        <w:t xml:space="preserve"> 41 above</w:t>
      </w:r>
      <w:r w:rsidRPr="00112ED8">
        <w:rPr>
          <w:snapToGrid w:val="0"/>
          <w:kern w:val="22"/>
          <w:szCs w:val="22"/>
        </w:rPr>
        <w:t>;</w:t>
      </w:r>
    </w:p>
    <w:p w14:paraId="7B72DD2B" w14:textId="77777777" w:rsidR="0018728E" w:rsidRPr="003C6970" w:rsidRDefault="0018728E" w:rsidP="00A3490B">
      <w:pPr>
        <w:suppressLineNumbers/>
        <w:suppressAutoHyphens/>
        <w:kinsoku w:val="0"/>
        <w:overflowPunct w:val="0"/>
        <w:autoSpaceDE w:val="0"/>
        <w:autoSpaceDN w:val="0"/>
        <w:adjustRightInd w:val="0"/>
        <w:snapToGrid w:val="0"/>
        <w:spacing w:before="120" w:after="120"/>
        <w:ind w:firstLine="720"/>
        <w:rPr>
          <w:szCs w:val="22"/>
        </w:rPr>
      </w:pPr>
      <w:r>
        <w:rPr>
          <w:snapToGrid w:val="0"/>
          <w:kern w:val="22"/>
          <w:szCs w:val="22"/>
        </w:rPr>
        <w:t>43</w:t>
      </w:r>
      <w:r w:rsidRPr="00112ED8">
        <w:rPr>
          <w:snapToGrid w:val="0"/>
          <w:kern w:val="22"/>
          <w:szCs w:val="22"/>
        </w:rPr>
        <w:t xml:space="preserve">. </w:t>
      </w:r>
      <w:r w:rsidRPr="00112ED8">
        <w:rPr>
          <w:snapToGrid w:val="0"/>
          <w:kern w:val="22"/>
          <w:szCs w:val="22"/>
        </w:rPr>
        <w:tab/>
      </w:r>
      <w:r w:rsidRPr="00112ED8">
        <w:rPr>
          <w:i/>
          <w:iCs/>
          <w:szCs w:val="22"/>
        </w:rPr>
        <w:t xml:space="preserve">Establishes </w:t>
      </w:r>
      <w:r w:rsidRPr="00112ED8">
        <w:rPr>
          <w:szCs w:val="22"/>
        </w:rPr>
        <w:t xml:space="preserve">an </w:t>
      </w:r>
      <w:bookmarkStart w:id="61" w:name="_Hlk121518166"/>
      <w:r>
        <w:rPr>
          <w:szCs w:val="22"/>
        </w:rPr>
        <w:t>a</w:t>
      </w:r>
      <w:r w:rsidRPr="00112ED8">
        <w:rPr>
          <w:szCs w:val="22"/>
        </w:rPr>
        <w:t xml:space="preserve">dvisory </w:t>
      </w:r>
      <w:r>
        <w:rPr>
          <w:szCs w:val="22"/>
        </w:rPr>
        <w:t>c</w:t>
      </w:r>
      <w:r w:rsidRPr="00112ED8">
        <w:rPr>
          <w:szCs w:val="22"/>
        </w:rPr>
        <w:t xml:space="preserve">ommittee on </w:t>
      </w:r>
      <w:r>
        <w:rPr>
          <w:szCs w:val="22"/>
        </w:rPr>
        <w:t>r</w:t>
      </w:r>
      <w:r w:rsidRPr="00112ED8">
        <w:rPr>
          <w:szCs w:val="22"/>
        </w:rPr>
        <w:t xml:space="preserve">esource </w:t>
      </w:r>
      <w:r>
        <w:rPr>
          <w:szCs w:val="22"/>
        </w:rPr>
        <w:t>m</w:t>
      </w:r>
      <w:r w:rsidRPr="00112ED8">
        <w:rPr>
          <w:szCs w:val="22"/>
        </w:rPr>
        <w:t>obilization</w:t>
      </w:r>
      <w:bookmarkEnd w:id="61"/>
      <w:r w:rsidRPr="00112ED8">
        <w:rPr>
          <w:szCs w:val="22"/>
        </w:rPr>
        <w:t xml:space="preserve"> </w:t>
      </w:r>
      <w:r w:rsidRPr="009F60F8">
        <w:rPr>
          <w:szCs w:val="22"/>
        </w:rPr>
        <w:t xml:space="preserve">to support </w:t>
      </w:r>
      <w:r w:rsidRPr="008F6FFF">
        <w:rPr>
          <w:szCs w:val="22"/>
        </w:rPr>
        <w:t xml:space="preserve">the </w:t>
      </w:r>
      <w:r w:rsidRPr="009F60F8">
        <w:rPr>
          <w:szCs w:val="22"/>
        </w:rPr>
        <w:t xml:space="preserve">strengthening of the </w:t>
      </w:r>
      <w:r w:rsidRPr="009F60F8">
        <w:rPr>
          <w:snapToGrid w:val="0"/>
          <w:kern w:val="22"/>
          <w:szCs w:val="22"/>
        </w:rPr>
        <w:t>strategy for resource mobilization and to operationalize the decisions taken in the</w:t>
      </w:r>
      <w:r>
        <w:rPr>
          <w:snapToGrid w:val="0"/>
          <w:kern w:val="22"/>
          <w:szCs w:val="22"/>
        </w:rPr>
        <w:t xml:space="preserve"> previous </w:t>
      </w:r>
      <w:r w:rsidRPr="00112ED8">
        <w:rPr>
          <w:snapToGrid w:val="0"/>
          <w:kern w:val="22"/>
          <w:szCs w:val="22"/>
        </w:rPr>
        <w:t>paragraphs</w:t>
      </w:r>
      <w:r>
        <w:rPr>
          <w:snapToGrid w:val="0"/>
          <w:kern w:val="22"/>
          <w:szCs w:val="22"/>
        </w:rPr>
        <w:t>,</w:t>
      </w:r>
      <w:r w:rsidRPr="00112ED8">
        <w:rPr>
          <w:snapToGrid w:val="0"/>
          <w:kern w:val="22"/>
          <w:szCs w:val="22"/>
        </w:rPr>
        <w:t xml:space="preserve"> </w:t>
      </w:r>
      <w:r w:rsidRPr="00112ED8">
        <w:rPr>
          <w:szCs w:val="22"/>
        </w:rPr>
        <w:t xml:space="preserve">based on the </w:t>
      </w:r>
      <w:r>
        <w:rPr>
          <w:szCs w:val="22"/>
        </w:rPr>
        <w:t>t</w:t>
      </w:r>
      <w:r w:rsidRPr="00112ED8">
        <w:rPr>
          <w:szCs w:val="22"/>
        </w:rPr>
        <w:t xml:space="preserve">erms of </w:t>
      </w:r>
      <w:r>
        <w:rPr>
          <w:szCs w:val="22"/>
        </w:rPr>
        <w:t>r</w:t>
      </w:r>
      <w:r w:rsidRPr="00112ED8">
        <w:rPr>
          <w:szCs w:val="22"/>
        </w:rPr>
        <w:t xml:space="preserve">eference provided in </w:t>
      </w:r>
      <w:r>
        <w:rPr>
          <w:szCs w:val="22"/>
        </w:rPr>
        <w:t>a</w:t>
      </w:r>
      <w:r w:rsidRPr="00112ED8">
        <w:rPr>
          <w:szCs w:val="22"/>
        </w:rPr>
        <w:t xml:space="preserve">nnex II </w:t>
      </w:r>
      <w:r>
        <w:rPr>
          <w:szCs w:val="22"/>
        </w:rPr>
        <w:t>to</w:t>
      </w:r>
      <w:r w:rsidRPr="00112ED8">
        <w:rPr>
          <w:szCs w:val="22"/>
        </w:rPr>
        <w:t xml:space="preserve"> the present decision, and report thereon </w:t>
      </w:r>
      <w:r>
        <w:rPr>
          <w:szCs w:val="22"/>
        </w:rPr>
        <w:t xml:space="preserve">to </w:t>
      </w:r>
      <w:r w:rsidRPr="00112ED8">
        <w:rPr>
          <w:szCs w:val="22"/>
        </w:rPr>
        <w:t xml:space="preserve">the Subsidiary Body </w:t>
      </w:r>
      <w:r>
        <w:rPr>
          <w:szCs w:val="22"/>
        </w:rPr>
        <w:t>on</w:t>
      </w:r>
      <w:r w:rsidRPr="00112ED8">
        <w:rPr>
          <w:szCs w:val="22"/>
        </w:rPr>
        <w:t xml:space="preserve"> Implementation </w:t>
      </w:r>
      <w:r>
        <w:rPr>
          <w:szCs w:val="22"/>
        </w:rPr>
        <w:t xml:space="preserve">and </w:t>
      </w:r>
      <w:r w:rsidRPr="00A24649">
        <w:rPr>
          <w:szCs w:val="22"/>
        </w:rPr>
        <w:t>subsequently to the Conference of the Parties at its sixteenth meeting;</w:t>
      </w:r>
      <w:r w:rsidRPr="003C6970">
        <w:rPr>
          <w:szCs w:val="22"/>
        </w:rPr>
        <w:t xml:space="preserve"> </w:t>
      </w:r>
    </w:p>
    <w:p w14:paraId="009BBEA6" w14:textId="77777777" w:rsidR="0018728E" w:rsidRPr="003C6970"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44</w:t>
      </w:r>
      <w:r w:rsidRPr="003C6970">
        <w:rPr>
          <w:snapToGrid w:val="0"/>
          <w:kern w:val="22"/>
          <w:szCs w:val="22"/>
        </w:rPr>
        <w:t>.</w:t>
      </w:r>
      <w:r w:rsidRPr="003C6970">
        <w:rPr>
          <w:snapToGrid w:val="0"/>
          <w:kern w:val="22"/>
          <w:szCs w:val="22"/>
        </w:rPr>
        <w:tab/>
      </w:r>
      <w:r w:rsidRPr="003C6970">
        <w:rPr>
          <w:i/>
          <w:snapToGrid w:val="0"/>
          <w:kern w:val="22"/>
          <w:szCs w:val="22"/>
        </w:rPr>
        <w:t>Invites</w:t>
      </w:r>
      <w:r w:rsidRPr="003C6970">
        <w:rPr>
          <w:snapToGrid w:val="0"/>
          <w:kern w:val="22"/>
          <w:szCs w:val="22"/>
        </w:rPr>
        <w:t xml:space="preserve"> Parties, other Governments, as well as relevant international organizations and initiatives to make submissions to the Executive Secretary on their experience,</w:t>
      </w:r>
      <w:r w:rsidRPr="003C6970">
        <w:rPr>
          <w:szCs w:val="22"/>
        </w:rPr>
        <w:t xml:space="preserve"> good practices and lessons learned </w:t>
      </w:r>
      <w:r w:rsidRPr="003C6970">
        <w:rPr>
          <w:snapToGrid w:val="0"/>
          <w:kern w:val="22"/>
          <w:szCs w:val="22"/>
        </w:rPr>
        <w:t xml:space="preserve">with the </w:t>
      </w:r>
      <w:r>
        <w:rPr>
          <w:snapToGrid w:val="0"/>
          <w:kern w:val="22"/>
          <w:szCs w:val="22"/>
        </w:rPr>
        <w:t>s</w:t>
      </w:r>
      <w:r w:rsidRPr="003C6970">
        <w:rPr>
          <w:snapToGrid w:val="0"/>
          <w:kern w:val="22"/>
          <w:szCs w:val="22"/>
        </w:rPr>
        <w:t xml:space="preserve">trategy for </w:t>
      </w:r>
      <w:r>
        <w:rPr>
          <w:snapToGrid w:val="0"/>
          <w:kern w:val="22"/>
          <w:szCs w:val="22"/>
        </w:rPr>
        <w:t>r</w:t>
      </w:r>
      <w:r w:rsidRPr="003C6970">
        <w:rPr>
          <w:snapToGrid w:val="0"/>
          <w:kern w:val="22"/>
          <w:szCs w:val="22"/>
        </w:rPr>
        <w:t xml:space="preserve">esource </w:t>
      </w:r>
      <w:r>
        <w:rPr>
          <w:snapToGrid w:val="0"/>
          <w:kern w:val="22"/>
          <w:szCs w:val="22"/>
        </w:rPr>
        <w:t>m</w:t>
      </w:r>
      <w:r w:rsidRPr="003C6970">
        <w:rPr>
          <w:snapToGrid w:val="0"/>
          <w:kern w:val="22"/>
          <w:szCs w:val="22"/>
        </w:rPr>
        <w:t xml:space="preserve">obilization </w:t>
      </w:r>
      <w:r w:rsidRPr="00152D85">
        <w:rPr>
          <w:snapToGrid w:val="0"/>
          <w:kern w:val="22"/>
          <w:szCs w:val="22"/>
        </w:rPr>
        <w:t>regarding</w:t>
      </w:r>
      <w:r w:rsidRPr="003C6970">
        <w:rPr>
          <w:snapToGrid w:val="0"/>
          <w:kern w:val="22"/>
          <w:szCs w:val="22"/>
        </w:rPr>
        <w:t xml:space="preserve"> its contribution towards facilitating the immediate mobili</w:t>
      </w:r>
      <w:r>
        <w:rPr>
          <w:snapToGrid w:val="0"/>
          <w:kern w:val="22"/>
          <w:szCs w:val="22"/>
        </w:rPr>
        <w:t>z</w:t>
      </w:r>
      <w:r w:rsidRPr="003C6970">
        <w:rPr>
          <w:snapToGrid w:val="0"/>
          <w:kern w:val="22"/>
          <w:szCs w:val="22"/>
        </w:rPr>
        <w:t xml:space="preserve">ation of resources in support of the implementation of the </w:t>
      </w:r>
      <w:r>
        <w:rPr>
          <w:snapToGrid w:val="0"/>
          <w:kern w:val="22"/>
          <w:szCs w:val="22"/>
        </w:rPr>
        <w:t>Kunming-Montreal Global Biodiversity Framework</w:t>
      </w:r>
      <w:r w:rsidRPr="003C6970">
        <w:rPr>
          <w:i/>
          <w:iCs/>
          <w:snapToGrid w:val="0"/>
          <w:kern w:val="22"/>
          <w:szCs w:val="22"/>
        </w:rPr>
        <w:t xml:space="preserve"> </w:t>
      </w:r>
      <w:r w:rsidRPr="008F6FFF">
        <w:rPr>
          <w:snapToGrid w:val="0"/>
          <w:kern w:val="22"/>
          <w:szCs w:val="22"/>
        </w:rPr>
        <w:t>and requests</w:t>
      </w:r>
      <w:r w:rsidRPr="003C6970">
        <w:rPr>
          <w:snapToGrid w:val="0"/>
          <w:kern w:val="22"/>
          <w:szCs w:val="22"/>
        </w:rPr>
        <w:t xml:space="preserve"> the Executive Secretary to compile these submissions for consideration by the </w:t>
      </w:r>
      <w:r>
        <w:rPr>
          <w:snapToGrid w:val="0"/>
          <w:kern w:val="22"/>
          <w:szCs w:val="22"/>
        </w:rPr>
        <w:t>Advisory</w:t>
      </w:r>
      <w:r w:rsidRPr="003C6970">
        <w:rPr>
          <w:snapToGrid w:val="0"/>
          <w:kern w:val="22"/>
          <w:szCs w:val="22"/>
        </w:rPr>
        <w:t xml:space="preserve"> Committee on Resource Mobilization</w:t>
      </w:r>
      <w:r>
        <w:rPr>
          <w:snapToGrid w:val="0"/>
          <w:kern w:val="22"/>
          <w:szCs w:val="22"/>
        </w:rPr>
        <w:t xml:space="preserve"> established pursuant to paragraph 43 above</w:t>
      </w:r>
      <w:r w:rsidRPr="003C6970">
        <w:rPr>
          <w:snapToGrid w:val="0"/>
          <w:kern w:val="22"/>
          <w:szCs w:val="22"/>
        </w:rPr>
        <w:t xml:space="preserve">; </w:t>
      </w:r>
    </w:p>
    <w:p w14:paraId="71ED9BE0" w14:textId="77777777" w:rsidR="0018728E" w:rsidRPr="003C6970"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45</w:t>
      </w:r>
      <w:r w:rsidRPr="003C6970">
        <w:rPr>
          <w:snapToGrid w:val="0"/>
          <w:kern w:val="22"/>
          <w:szCs w:val="22"/>
        </w:rPr>
        <w:t>.</w:t>
      </w:r>
      <w:r w:rsidRPr="003C6970">
        <w:rPr>
          <w:snapToGrid w:val="0"/>
          <w:kern w:val="22"/>
          <w:szCs w:val="22"/>
        </w:rPr>
        <w:tab/>
      </w:r>
      <w:r w:rsidRPr="003C6970">
        <w:rPr>
          <w:i/>
          <w:snapToGrid w:val="0"/>
          <w:kern w:val="22"/>
          <w:szCs w:val="22"/>
        </w:rPr>
        <w:t>Requests</w:t>
      </w:r>
      <w:r w:rsidRPr="003C6970">
        <w:rPr>
          <w:snapToGrid w:val="0"/>
          <w:kern w:val="22"/>
          <w:szCs w:val="22"/>
        </w:rPr>
        <w:t xml:space="preserve"> </w:t>
      </w:r>
      <w:r w:rsidRPr="00112ED8">
        <w:rPr>
          <w:snapToGrid w:val="0"/>
          <w:kern w:val="22"/>
          <w:szCs w:val="22"/>
        </w:rPr>
        <w:t xml:space="preserve">the Subsidiary Body on Implementation to </w:t>
      </w:r>
      <w:r w:rsidRPr="00112ED8">
        <w:rPr>
          <w:szCs w:val="22"/>
        </w:rPr>
        <w:t>consider and further develop</w:t>
      </w:r>
      <w:r>
        <w:rPr>
          <w:szCs w:val="22"/>
        </w:rPr>
        <w:t>,</w:t>
      </w:r>
      <w:r w:rsidRPr="00112ED8">
        <w:rPr>
          <w:szCs w:val="22"/>
        </w:rPr>
        <w:t xml:space="preserve"> as appropriate</w:t>
      </w:r>
      <w:r>
        <w:rPr>
          <w:szCs w:val="22"/>
        </w:rPr>
        <w:t>,</w:t>
      </w:r>
      <w:r w:rsidRPr="00112ED8">
        <w:rPr>
          <w:szCs w:val="22"/>
        </w:rPr>
        <w:t xml:space="preserve"> the recommendations</w:t>
      </w:r>
      <w:r>
        <w:rPr>
          <w:szCs w:val="22"/>
        </w:rPr>
        <w:t xml:space="preserve"> </w:t>
      </w:r>
      <w:r w:rsidRPr="00112ED8">
        <w:rPr>
          <w:snapToGrid w:val="0"/>
          <w:kern w:val="22"/>
          <w:szCs w:val="22"/>
        </w:rPr>
        <w:t>from the Advisory Committee</w:t>
      </w:r>
      <w:r>
        <w:rPr>
          <w:snapToGrid w:val="0"/>
          <w:kern w:val="22"/>
          <w:szCs w:val="22"/>
        </w:rPr>
        <w:t xml:space="preserve"> </w:t>
      </w:r>
      <w:r w:rsidRPr="003C6970">
        <w:rPr>
          <w:snapToGrid w:val="0"/>
          <w:kern w:val="22"/>
          <w:szCs w:val="22"/>
        </w:rPr>
        <w:t xml:space="preserve">on Resource </w:t>
      </w:r>
      <w:r>
        <w:rPr>
          <w:snapToGrid w:val="0"/>
          <w:kern w:val="22"/>
          <w:szCs w:val="22"/>
        </w:rPr>
        <w:t xml:space="preserve">Mobilization, </w:t>
      </w:r>
      <w:r w:rsidRPr="00CC5185">
        <w:rPr>
          <w:snapToGrid w:val="0"/>
          <w:kern w:val="22"/>
          <w:szCs w:val="22"/>
        </w:rPr>
        <w:t xml:space="preserve">for </w:t>
      </w:r>
      <w:r>
        <w:rPr>
          <w:snapToGrid w:val="0"/>
          <w:kern w:val="22"/>
          <w:szCs w:val="22"/>
        </w:rPr>
        <w:t xml:space="preserve">further </w:t>
      </w:r>
      <w:r w:rsidRPr="00CC5185">
        <w:rPr>
          <w:snapToGrid w:val="0"/>
          <w:kern w:val="22"/>
          <w:szCs w:val="22"/>
        </w:rPr>
        <w:t>consideration and adoption</w:t>
      </w:r>
      <w:r w:rsidRPr="00112ED8">
        <w:rPr>
          <w:snapToGrid w:val="0"/>
          <w:kern w:val="22"/>
          <w:szCs w:val="22"/>
        </w:rPr>
        <w:t xml:space="preserve"> by the Conference</w:t>
      </w:r>
      <w:r w:rsidRPr="003C6970">
        <w:rPr>
          <w:snapToGrid w:val="0"/>
          <w:kern w:val="22"/>
          <w:szCs w:val="22"/>
        </w:rPr>
        <w:t xml:space="preserve"> of the Parties at its sixteenth meeting;</w:t>
      </w:r>
    </w:p>
    <w:p w14:paraId="4381DBB5" w14:textId="77777777" w:rsidR="0018728E" w:rsidRPr="008B54C5" w:rsidRDefault="0018728E" w:rsidP="00A3490B">
      <w:pPr>
        <w:suppressLineNumbers/>
        <w:suppressAutoHyphens/>
        <w:kinsoku w:val="0"/>
        <w:overflowPunct w:val="0"/>
        <w:autoSpaceDE w:val="0"/>
        <w:autoSpaceDN w:val="0"/>
        <w:adjustRightInd w:val="0"/>
        <w:snapToGrid w:val="0"/>
        <w:spacing w:before="120" w:after="120"/>
        <w:ind w:firstLine="720"/>
        <w:rPr>
          <w:b/>
          <w:bCs/>
          <w:snapToGrid w:val="0"/>
          <w:kern w:val="22"/>
          <w:szCs w:val="22"/>
        </w:rPr>
      </w:pPr>
      <w:r>
        <w:rPr>
          <w:snapToGrid w:val="0"/>
          <w:kern w:val="22"/>
          <w:szCs w:val="22"/>
        </w:rPr>
        <w:t>46</w:t>
      </w:r>
      <w:r w:rsidRPr="003C6970">
        <w:rPr>
          <w:snapToGrid w:val="0"/>
          <w:kern w:val="22"/>
          <w:szCs w:val="22"/>
        </w:rPr>
        <w:t>.</w:t>
      </w:r>
      <w:r w:rsidRPr="003C6970">
        <w:rPr>
          <w:snapToGrid w:val="0"/>
          <w:kern w:val="22"/>
          <w:szCs w:val="22"/>
        </w:rPr>
        <w:tab/>
      </w:r>
      <w:r w:rsidRPr="003C6970">
        <w:rPr>
          <w:i/>
          <w:iCs/>
          <w:snapToGrid w:val="0"/>
          <w:kern w:val="22"/>
          <w:szCs w:val="22"/>
        </w:rPr>
        <w:t xml:space="preserve">Decides </w:t>
      </w:r>
      <w:r w:rsidRPr="003C6970">
        <w:rPr>
          <w:snapToGrid w:val="0"/>
          <w:kern w:val="22"/>
          <w:szCs w:val="22"/>
        </w:rPr>
        <w:t xml:space="preserve">to keep the implementation of the </w:t>
      </w:r>
      <w:r>
        <w:rPr>
          <w:snapToGrid w:val="0"/>
          <w:kern w:val="22"/>
          <w:szCs w:val="22"/>
        </w:rPr>
        <w:t>s</w:t>
      </w:r>
      <w:r w:rsidRPr="003C6970">
        <w:rPr>
          <w:snapToGrid w:val="0"/>
          <w:kern w:val="22"/>
          <w:szCs w:val="22"/>
        </w:rPr>
        <w:t xml:space="preserve">trategy for </w:t>
      </w:r>
      <w:r>
        <w:rPr>
          <w:snapToGrid w:val="0"/>
          <w:kern w:val="22"/>
          <w:szCs w:val="22"/>
        </w:rPr>
        <w:t>r</w:t>
      </w:r>
      <w:r w:rsidRPr="003C6970">
        <w:rPr>
          <w:snapToGrid w:val="0"/>
          <w:kern w:val="22"/>
          <w:szCs w:val="22"/>
        </w:rPr>
        <w:t xml:space="preserve">esource </w:t>
      </w:r>
      <w:r>
        <w:rPr>
          <w:snapToGrid w:val="0"/>
          <w:kern w:val="22"/>
          <w:szCs w:val="22"/>
        </w:rPr>
        <w:t>m</w:t>
      </w:r>
      <w:r w:rsidRPr="003C6970">
        <w:rPr>
          <w:snapToGrid w:val="0"/>
          <w:kern w:val="22"/>
          <w:szCs w:val="22"/>
        </w:rPr>
        <w:t xml:space="preserve">obilization under review at each </w:t>
      </w:r>
      <w:r>
        <w:rPr>
          <w:snapToGrid w:val="0"/>
          <w:kern w:val="22"/>
          <w:szCs w:val="22"/>
        </w:rPr>
        <w:t>meeting of the Conference of the Parties</w:t>
      </w:r>
      <w:r w:rsidRPr="003C6970">
        <w:rPr>
          <w:snapToGrid w:val="0"/>
          <w:kern w:val="22"/>
          <w:szCs w:val="22"/>
        </w:rPr>
        <w:t xml:space="preserve">, starting at </w:t>
      </w:r>
      <w:r w:rsidRPr="00790717">
        <w:rPr>
          <w:snapToGrid w:val="0"/>
          <w:kern w:val="22"/>
          <w:szCs w:val="22"/>
        </w:rPr>
        <w:t>the seventeenth</w:t>
      </w:r>
      <w:r>
        <w:rPr>
          <w:snapToGrid w:val="0"/>
          <w:kern w:val="22"/>
          <w:szCs w:val="22"/>
        </w:rPr>
        <w:t xml:space="preserve"> meeting</w:t>
      </w:r>
      <w:r w:rsidRPr="003C6970">
        <w:rPr>
          <w:snapToGrid w:val="0"/>
          <w:kern w:val="22"/>
          <w:szCs w:val="22"/>
        </w:rPr>
        <w:t xml:space="preserve">, through the global </w:t>
      </w:r>
      <w:r w:rsidRPr="003C6970">
        <w:rPr>
          <w:snapToGrid w:val="0"/>
          <w:kern w:val="22"/>
          <w:szCs w:val="22"/>
        </w:rPr>
        <w:lastRenderedPageBreak/>
        <w:t xml:space="preserve">stocktake, establishing an iterative process to facilitate any further adaptation of the strategy </w:t>
      </w:r>
      <w:r>
        <w:rPr>
          <w:snapToGrid w:val="0"/>
          <w:kern w:val="22"/>
          <w:szCs w:val="22"/>
        </w:rPr>
        <w:t xml:space="preserve">and associated institutional arrangements </w:t>
      </w:r>
      <w:r w:rsidRPr="003C6970">
        <w:rPr>
          <w:snapToGrid w:val="0"/>
          <w:kern w:val="22"/>
          <w:szCs w:val="22"/>
        </w:rPr>
        <w:t xml:space="preserve">to allow for the timely mobilization of resources in support of the implementation of the </w:t>
      </w:r>
      <w:r>
        <w:rPr>
          <w:snapToGrid w:val="0"/>
          <w:kern w:val="22"/>
          <w:szCs w:val="22"/>
        </w:rPr>
        <w:t>Kunming-Montreal Global Biodiversity Framework</w:t>
      </w:r>
      <w:r w:rsidRPr="003C6970">
        <w:rPr>
          <w:snapToGrid w:val="0"/>
          <w:kern w:val="22"/>
          <w:szCs w:val="22"/>
        </w:rPr>
        <w:t xml:space="preserve"> by 2030;</w:t>
      </w:r>
    </w:p>
    <w:p w14:paraId="67D69361" w14:textId="77777777" w:rsidR="0018728E" w:rsidRDefault="0018728E" w:rsidP="00A3490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rPr>
      </w:pPr>
      <w:r>
        <w:rPr>
          <w:b/>
          <w:snapToGrid w:val="0"/>
          <w:kern w:val="22"/>
          <w:szCs w:val="22"/>
        </w:rPr>
        <w:t>Supportive activities of the Executive Secretary</w:t>
      </w:r>
    </w:p>
    <w:p w14:paraId="2DE0EE45"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47.</w:t>
      </w:r>
      <w:r>
        <w:rPr>
          <w:snapToGrid w:val="0"/>
          <w:kern w:val="22"/>
          <w:szCs w:val="22"/>
        </w:rPr>
        <w:tab/>
      </w:r>
      <w:r w:rsidRPr="00773D29">
        <w:rPr>
          <w:i/>
          <w:snapToGrid w:val="0"/>
          <w:kern w:val="22"/>
          <w:szCs w:val="22"/>
        </w:rPr>
        <w:t>Requests</w:t>
      </w:r>
      <w:r w:rsidRPr="00773D29">
        <w:rPr>
          <w:snapToGrid w:val="0"/>
          <w:kern w:val="22"/>
          <w:szCs w:val="22"/>
        </w:rPr>
        <w:t xml:space="preserve"> the Executive Secretary, subject to the availability of financial resources:</w:t>
      </w:r>
    </w:p>
    <w:p w14:paraId="2921947A" w14:textId="77777777" w:rsidR="0018728E" w:rsidRPr="00773D29"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73D29">
        <w:rPr>
          <w:rFonts w:eastAsia="DengXian"/>
          <w:snapToGrid w:val="0"/>
          <w:kern w:val="22"/>
          <w:szCs w:val="22"/>
          <w:lang w:eastAsia="zh-CN"/>
        </w:rPr>
        <w:t>(a)</w:t>
      </w:r>
      <w:r w:rsidRPr="00773D29">
        <w:rPr>
          <w:rFonts w:eastAsia="DengXian"/>
          <w:snapToGrid w:val="0"/>
          <w:kern w:val="22"/>
          <w:szCs w:val="22"/>
          <w:lang w:eastAsia="zh-CN"/>
        </w:rPr>
        <w:tab/>
      </w:r>
      <w:r>
        <w:rPr>
          <w:rFonts w:eastAsia="DengXian"/>
          <w:snapToGrid w:val="0"/>
          <w:kern w:val="22"/>
          <w:szCs w:val="22"/>
          <w:lang w:eastAsia="zh-CN"/>
        </w:rPr>
        <w:t>T</w:t>
      </w:r>
      <w:r w:rsidRPr="00773D29">
        <w:rPr>
          <w:rFonts w:eastAsia="DengXian"/>
          <w:snapToGrid w:val="0"/>
          <w:kern w:val="22"/>
          <w:szCs w:val="22"/>
          <w:lang w:eastAsia="zh-CN"/>
        </w:rPr>
        <w:t xml:space="preserve">o establish a </w:t>
      </w:r>
      <w:r w:rsidRPr="00F104B1">
        <w:rPr>
          <w:rFonts w:eastAsia="DengXian"/>
          <w:snapToGrid w:val="0"/>
          <w:kern w:val="22"/>
          <w:szCs w:val="22"/>
          <w:lang w:eastAsia="zh-CN"/>
        </w:rPr>
        <w:t>technical expert group with</w:t>
      </w:r>
      <w:r w:rsidRPr="00773D29">
        <w:rPr>
          <w:rFonts w:eastAsia="DengXian"/>
          <w:snapToGrid w:val="0"/>
          <w:kern w:val="22"/>
          <w:szCs w:val="22"/>
          <w:lang w:eastAsia="zh-CN"/>
        </w:rPr>
        <w:t xml:space="preserve"> terms of reference provided in </w:t>
      </w:r>
      <w:r>
        <w:rPr>
          <w:rFonts w:eastAsia="DengXian"/>
          <w:snapToGrid w:val="0"/>
          <w:kern w:val="22"/>
          <w:szCs w:val="22"/>
          <w:lang w:eastAsia="zh-CN"/>
        </w:rPr>
        <w:t>a</w:t>
      </w:r>
      <w:r w:rsidRPr="00773D29">
        <w:rPr>
          <w:rFonts w:eastAsia="DengXian"/>
          <w:snapToGrid w:val="0"/>
          <w:kern w:val="22"/>
          <w:szCs w:val="22"/>
          <w:lang w:eastAsia="zh-CN"/>
        </w:rPr>
        <w:t>nnex I</w:t>
      </w:r>
      <w:r>
        <w:rPr>
          <w:rFonts w:eastAsia="DengXian"/>
          <w:snapToGrid w:val="0"/>
          <w:kern w:val="22"/>
          <w:szCs w:val="22"/>
          <w:lang w:eastAsia="zh-CN"/>
        </w:rPr>
        <w:t>I</w:t>
      </w:r>
      <w:r w:rsidRPr="00773D29">
        <w:rPr>
          <w:rFonts w:eastAsia="DengXian"/>
          <w:snapToGrid w:val="0"/>
          <w:kern w:val="22"/>
          <w:szCs w:val="22"/>
          <w:lang w:eastAsia="zh-CN"/>
        </w:rPr>
        <w:t xml:space="preserve">I </w:t>
      </w:r>
      <w:r>
        <w:rPr>
          <w:rFonts w:eastAsia="DengXian"/>
          <w:snapToGrid w:val="0"/>
          <w:kern w:val="22"/>
          <w:szCs w:val="22"/>
          <w:lang w:eastAsia="zh-CN"/>
        </w:rPr>
        <w:t>to</w:t>
      </w:r>
      <w:r w:rsidRPr="00773D29">
        <w:rPr>
          <w:rFonts w:eastAsia="DengXian"/>
          <w:snapToGrid w:val="0"/>
          <w:kern w:val="22"/>
          <w:szCs w:val="22"/>
          <w:lang w:eastAsia="zh-CN"/>
        </w:rPr>
        <w:t xml:space="preserve"> the present decision, on the financial reporting elements in the monitoring framework of the </w:t>
      </w:r>
      <w:r>
        <w:rPr>
          <w:rFonts w:eastAsia="DengXian"/>
          <w:snapToGrid w:val="0"/>
          <w:kern w:val="22"/>
          <w:szCs w:val="22"/>
          <w:lang w:eastAsia="zh-CN"/>
        </w:rPr>
        <w:t>Kunming-Montreal Global Biodiversity Framework</w:t>
      </w:r>
      <w:r w:rsidRPr="00773D29">
        <w:rPr>
          <w:rFonts w:eastAsia="DengXian"/>
          <w:snapToGrid w:val="0"/>
          <w:kern w:val="22"/>
          <w:szCs w:val="22"/>
          <w:lang w:eastAsia="zh-CN"/>
        </w:rPr>
        <w:t>;</w:t>
      </w:r>
    </w:p>
    <w:p w14:paraId="0849C3C5" w14:textId="77777777" w:rsidR="0018728E" w:rsidRPr="00773D29" w:rsidRDefault="0018728E" w:rsidP="00A3490B">
      <w:pPr>
        <w:suppressLineNumbers/>
        <w:suppressAutoHyphens/>
        <w:spacing w:before="120" w:after="120"/>
        <w:ind w:firstLine="720"/>
        <w:rPr>
          <w:szCs w:val="22"/>
          <w:lang w:eastAsia="zh-CN"/>
        </w:rPr>
      </w:pPr>
      <w:r w:rsidRPr="00773D29">
        <w:rPr>
          <w:szCs w:val="22"/>
          <w:lang w:eastAsia="zh-CN"/>
        </w:rPr>
        <w:t>(b)</w:t>
      </w:r>
      <w:r w:rsidRPr="00773D29">
        <w:rPr>
          <w:szCs w:val="22"/>
          <w:lang w:eastAsia="zh-CN"/>
        </w:rPr>
        <w:tab/>
      </w:r>
      <w:r>
        <w:rPr>
          <w:szCs w:val="22"/>
          <w:lang w:eastAsia="zh-CN"/>
        </w:rPr>
        <w:t>T</w:t>
      </w:r>
      <w:r w:rsidRPr="00773D29">
        <w:rPr>
          <w:szCs w:val="22"/>
          <w:lang w:eastAsia="zh-CN"/>
        </w:rPr>
        <w:t xml:space="preserve">o </w:t>
      </w:r>
      <w:r>
        <w:rPr>
          <w:szCs w:val="22"/>
          <w:lang w:eastAsia="zh-CN"/>
        </w:rPr>
        <w:t>issue</w:t>
      </w:r>
      <w:r w:rsidRPr="00773D29">
        <w:rPr>
          <w:szCs w:val="22"/>
          <w:lang w:eastAsia="zh-CN"/>
        </w:rPr>
        <w:t xml:space="preserve"> a notification inviting developing country Parties and Parties with economies in transition to consider, taking into account national circumstances, whether they are in a position to voluntarily assume the obligations of the developed country Parties in accordance </w:t>
      </w:r>
      <w:r w:rsidRPr="005B139B">
        <w:rPr>
          <w:szCs w:val="22"/>
          <w:lang w:eastAsia="zh-CN"/>
        </w:rPr>
        <w:t>with Article</w:t>
      </w:r>
      <w:r w:rsidRPr="0075258A">
        <w:rPr>
          <w:szCs w:val="22"/>
          <w:lang w:eastAsia="zh-CN"/>
        </w:rPr>
        <w:t xml:space="preserve"> 20</w:t>
      </w:r>
      <w:r w:rsidRPr="000B4470">
        <w:rPr>
          <w:szCs w:val="22"/>
          <w:lang w:eastAsia="zh-CN"/>
        </w:rPr>
        <w:t xml:space="preserve"> of the Convention, and, if</w:t>
      </w:r>
      <w:r w:rsidRPr="00773D29">
        <w:rPr>
          <w:szCs w:val="22"/>
          <w:lang w:eastAsia="zh-CN"/>
        </w:rPr>
        <w:t xml:space="preserve"> so, to indicate this to the Executive Secretary;</w:t>
      </w:r>
    </w:p>
    <w:p w14:paraId="10E81FEE" w14:textId="77777777" w:rsidR="0018728E" w:rsidRDefault="0018728E" w:rsidP="00A3490B">
      <w:pPr>
        <w:suppressLineNumbers/>
        <w:suppressAutoHyphens/>
        <w:spacing w:before="120" w:after="120"/>
        <w:ind w:firstLine="720"/>
        <w:rPr>
          <w:szCs w:val="22"/>
          <w:lang w:eastAsia="zh-CN"/>
        </w:rPr>
      </w:pPr>
      <w:r w:rsidRPr="00773D29">
        <w:rPr>
          <w:szCs w:val="22"/>
          <w:lang w:eastAsia="zh-CN"/>
        </w:rPr>
        <w:t>(c)</w:t>
      </w:r>
      <w:r w:rsidRPr="00773D29">
        <w:rPr>
          <w:szCs w:val="22"/>
          <w:lang w:eastAsia="zh-CN"/>
        </w:rPr>
        <w:tab/>
      </w:r>
      <w:r>
        <w:rPr>
          <w:szCs w:val="22"/>
          <w:lang w:eastAsia="zh-CN"/>
        </w:rPr>
        <w:t>T</w:t>
      </w:r>
      <w:r w:rsidRPr="00773D29">
        <w:rPr>
          <w:szCs w:val="22"/>
          <w:lang w:eastAsia="zh-CN"/>
        </w:rPr>
        <w:t xml:space="preserve">o compile indications received pursuant to sub-paragraph </w:t>
      </w:r>
      <w:r>
        <w:rPr>
          <w:szCs w:val="22"/>
          <w:lang w:eastAsia="zh-CN"/>
        </w:rPr>
        <w:t xml:space="preserve">(b) above </w:t>
      </w:r>
      <w:r w:rsidRPr="00773D29">
        <w:rPr>
          <w:szCs w:val="22"/>
          <w:lang w:eastAsia="zh-CN"/>
        </w:rPr>
        <w:t xml:space="preserve">for consideration by the Conference of the Parties at its </w:t>
      </w:r>
      <w:r w:rsidRPr="00146FEE">
        <w:rPr>
          <w:szCs w:val="22"/>
          <w:lang w:eastAsia="zh-CN"/>
        </w:rPr>
        <w:t>sixteenth meeting</w:t>
      </w:r>
      <w:r w:rsidRPr="00773D29">
        <w:rPr>
          <w:szCs w:val="22"/>
          <w:lang w:eastAsia="zh-CN"/>
        </w:rPr>
        <w:t xml:space="preserve">; </w:t>
      </w:r>
    </w:p>
    <w:p w14:paraId="341DAC40" w14:textId="77777777" w:rsidR="0018728E" w:rsidRPr="00773D29" w:rsidRDefault="0018728E" w:rsidP="00A3490B">
      <w:pPr>
        <w:suppressLineNumbers/>
        <w:suppressAutoHyphens/>
        <w:spacing w:before="120" w:after="120"/>
        <w:ind w:firstLine="720"/>
        <w:rPr>
          <w:szCs w:val="22"/>
          <w:lang w:eastAsia="zh-CN"/>
        </w:rPr>
      </w:pPr>
      <w:r>
        <w:rPr>
          <w:szCs w:val="22"/>
          <w:lang w:eastAsia="zh-CN"/>
        </w:rPr>
        <w:t>(d)</w:t>
      </w:r>
      <w:r>
        <w:rPr>
          <w:szCs w:val="22"/>
          <w:lang w:eastAsia="zh-CN"/>
        </w:rPr>
        <w:tab/>
        <w:t>To support the work of the Advisory Committee on Resource Mobilization;</w:t>
      </w:r>
    </w:p>
    <w:p w14:paraId="7165F554" w14:textId="77777777" w:rsidR="0018728E" w:rsidRPr="00773D29" w:rsidRDefault="0018728E" w:rsidP="00A3490B">
      <w:pPr>
        <w:suppressLineNumbers/>
        <w:suppressAutoHyphens/>
        <w:spacing w:before="120" w:after="120"/>
        <w:ind w:firstLine="720"/>
        <w:rPr>
          <w:szCs w:val="22"/>
          <w:lang w:eastAsia="zh-CN"/>
        </w:rPr>
      </w:pPr>
      <w:r w:rsidRPr="00773D29">
        <w:rPr>
          <w:szCs w:val="22"/>
          <w:lang w:eastAsia="zh-CN"/>
        </w:rPr>
        <w:t>(</w:t>
      </w:r>
      <w:r>
        <w:rPr>
          <w:szCs w:val="22"/>
          <w:lang w:eastAsia="zh-CN"/>
        </w:rPr>
        <w:t>e</w:t>
      </w:r>
      <w:r w:rsidRPr="00773D29">
        <w:rPr>
          <w:szCs w:val="22"/>
          <w:lang w:eastAsia="zh-CN"/>
        </w:rPr>
        <w:t>)</w:t>
      </w:r>
      <w:r w:rsidRPr="00773D29">
        <w:rPr>
          <w:szCs w:val="22"/>
          <w:lang w:eastAsia="zh-CN"/>
        </w:rPr>
        <w:tab/>
      </w:r>
      <w:r>
        <w:rPr>
          <w:snapToGrid w:val="0"/>
          <w:kern w:val="22"/>
          <w:szCs w:val="22"/>
          <w:lang w:eastAsia="zh-CN"/>
        </w:rPr>
        <w:t>T</w:t>
      </w:r>
      <w:r w:rsidRPr="00773D29">
        <w:rPr>
          <w:snapToGrid w:val="0"/>
          <w:kern w:val="22"/>
          <w:szCs w:val="22"/>
          <w:lang w:eastAsia="zh-CN"/>
        </w:rPr>
        <w:t>o</w:t>
      </w:r>
      <w:r w:rsidRPr="00773D29">
        <w:rPr>
          <w:szCs w:val="22"/>
          <w:lang w:eastAsia="zh-CN"/>
        </w:rPr>
        <w:t xml:space="preserve"> further collaborate with the Biodiversity Finance Initiative of the United Nations Development Programme and </w:t>
      </w:r>
      <w:r>
        <w:rPr>
          <w:szCs w:val="22"/>
          <w:lang w:eastAsia="zh-CN"/>
        </w:rPr>
        <w:t xml:space="preserve">with </w:t>
      </w:r>
      <w:r w:rsidRPr="00773D29">
        <w:rPr>
          <w:szCs w:val="22"/>
          <w:lang w:eastAsia="zh-CN"/>
        </w:rPr>
        <w:t>other relevant and interested organizations and initiatives to facilitate and support their work;</w:t>
      </w:r>
    </w:p>
    <w:p w14:paraId="6F818ECD" w14:textId="77777777" w:rsidR="0018728E" w:rsidRDefault="0018728E" w:rsidP="00A3490B">
      <w:pPr>
        <w:suppressLineNumbers/>
        <w:suppressAutoHyphens/>
        <w:spacing w:before="120" w:after="120"/>
        <w:ind w:firstLine="720"/>
        <w:rPr>
          <w:szCs w:val="22"/>
          <w:lang w:eastAsia="zh-CN"/>
        </w:rPr>
      </w:pPr>
      <w:r w:rsidRPr="00773D29">
        <w:rPr>
          <w:szCs w:val="22"/>
          <w:lang w:eastAsia="zh-CN"/>
        </w:rPr>
        <w:t>(</w:t>
      </w:r>
      <w:r>
        <w:rPr>
          <w:szCs w:val="22"/>
          <w:lang w:eastAsia="zh-CN"/>
        </w:rPr>
        <w:t>f</w:t>
      </w:r>
      <w:r w:rsidRPr="00773D29">
        <w:rPr>
          <w:szCs w:val="22"/>
          <w:lang w:eastAsia="zh-CN"/>
        </w:rPr>
        <w:t>)</w:t>
      </w:r>
      <w:r w:rsidRPr="00773D29">
        <w:rPr>
          <w:szCs w:val="22"/>
          <w:lang w:eastAsia="zh-CN"/>
        </w:rPr>
        <w:tab/>
      </w:r>
      <w:r>
        <w:rPr>
          <w:snapToGrid w:val="0"/>
          <w:kern w:val="22"/>
          <w:szCs w:val="22"/>
          <w:lang w:eastAsia="zh-CN"/>
        </w:rPr>
        <w:t>T</w:t>
      </w:r>
      <w:r w:rsidRPr="00773D29">
        <w:rPr>
          <w:snapToGrid w:val="0"/>
          <w:kern w:val="22"/>
          <w:szCs w:val="22"/>
          <w:lang w:eastAsia="zh-CN"/>
        </w:rPr>
        <w:t>o</w:t>
      </w:r>
      <w:r w:rsidRPr="00773D29">
        <w:rPr>
          <w:szCs w:val="22"/>
          <w:lang w:eastAsia="zh-CN"/>
        </w:rPr>
        <w:t xml:space="preserve"> continue and intensify collaboration</w:t>
      </w:r>
      <w:r>
        <w:rPr>
          <w:szCs w:val="22"/>
          <w:lang w:eastAsia="zh-CN"/>
        </w:rPr>
        <w:t xml:space="preserve"> with relevant organizations and initiatives with a view to further promoting supportive action on scaling and aligning incentive measures in accordance with Article 11 of the Convention;</w:t>
      </w:r>
    </w:p>
    <w:p w14:paraId="5FAD0C78" w14:textId="77777777" w:rsidR="00B53863" w:rsidRDefault="0018728E" w:rsidP="00BA7C92">
      <w:pPr>
        <w:suppressLineNumbers/>
        <w:suppressAutoHyphens/>
        <w:spacing w:before="120" w:after="120"/>
        <w:ind w:firstLine="720"/>
        <w:rPr>
          <w:szCs w:val="22"/>
          <w:lang w:eastAsia="zh-CN"/>
        </w:rPr>
      </w:pPr>
      <w:r>
        <w:rPr>
          <w:szCs w:val="22"/>
          <w:lang w:eastAsia="zh-CN"/>
        </w:rPr>
        <w:t>(g)</w:t>
      </w:r>
      <w:r>
        <w:rPr>
          <w:szCs w:val="22"/>
          <w:lang w:eastAsia="zh-CN"/>
        </w:rPr>
        <w:tab/>
      </w:r>
      <w:r>
        <w:rPr>
          <w:snapToGrid w:val="0"/>
          <w:kern w:val="22"/>
          <w:szCs w:val="22"/>
          <w:lang w:eastAsia="zh-CN"/>
        </w:rPr>
        <w:t>To</w:t>
      </w:r>
      <w:r>
        <w:rPr>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Pr>
          <w:rFonts w:eastAsia="DengXian"/>
          <w:szCs w:val="22"/>
          <w:lang w:eastAsia="zh-CN"/>
        </w:rPr>
        <w:t xml:space="preserve"> and the Sustainable Development Goals</w:t>
      </w:r>
      <w:r>
        <w:rPr>
          <w:szCs w:val="22"/>
          <w:lang w:eastAsia="zh-CN"/>
        </w:rPr>
        <w:t>;</w:t>
      </w:r>
    </w:p>
    <w:p w14:paraId="17244B6E" w14:textId="77777777" w:rsidR="0018728E" w:rsidRPr="00A3490B" w:rsidRDefault="0018728E" w:rsidP="00F455B2">
      <w:pPr>
        <w:keepNext/>
        <w:suppressLineNumbers/>
        <w:tabs>
          <w:tab w:val="left" w:pos="720"/>
        </w:tabs>
        <w:suppressAutoHyphens/>
        <w:spacing w:before="120" w:after="120"/>
        <w:ind w:right="567"/>
        <w:jc w:val="center"/>
        <w:rPr>
          <w:bCs/>
          <w:i/>
          <w:iCs/>
          <w:snapToGrid w:val="0"/>
          <w:color w:val="000000"/>
          <w:szCs w:val="22"/>
        </w:rPr>
      </w:pPr>
      <w:r w:rsidRPr="00A3490B">
        <w:rPr>
          <w:bCs/>
          <w:i/>
          <w:iCs/>
          <w:caps/>
          <w:snapToGrid w:val="0"/>
          <w:color w:val="000000"/>
          <w:szCs w:val="22"/>
        </w:rPr>
        <w:t>A</w:t>
      </w:r>
      <w:r w:rsidRPr="00A3490B">
        <w:rPr>
          <w:bCs/>
          <w:i/>
          <w:iCs/>
          <w:snapToGrid w:val="0"/>
          <w:color w:val="000000"/>
          <w:szCs w:val="22"/>
        </w:rPr>
        <w:t>nnex I</w:t>
      </w:r>
    </w:p>
    <w:p w14:paraId="666E89EF" w14:textId="77777777" w:rsidR="0018728E" w:rsidRPr="00FC3310" w:rsidRDefault="0018728E" w:rsidP="00F455B2">
      <w:pPr>
        <w:keepNext/>
        <w:suppressLineNumbers/>
        <w:tabs>
          <w:tab w:val="left" w:pos="720"/>
        </w:tabs>
        <w:suppressAutoHyphens/>
        <w:spacing w:before="120" w:after="120"/>
        <w:ind w:right="567"/>
        <w:jc w:val="center"/>
        <w:rPr>
          <w:b/>
          <w:caps/>
          <w:snapToGrid w:val="0"/>
          <w:color w:val="000000"/>
          <w:szCs w:val="22"/>
        </w:rPr>
      </w:pPr>
      <w:r w:rsidRPr="00FC3310">
        <w:rPr>
          <w:b/>
          <w:caps/>
          <w:snapToGrid w:val="0"/>
          <w:color w:val="000000"/>
          <w:szCs w:val="22"/>
        </w:rPr>
        <w:t xml:space="preserve">strategy for resource mobilization </w:t>
      </w:r>
    </w:p>
    <w:p w14:paraId="39AE80E6" w14:textId="77777777" w:rsidR="0018728E" w:rsidRPr="00FC3310" w:rsidRDefault="0018728E" w:rsidP="00222183">
      <w:pPr>
        <w:keepNext/>
        <w:suppressLineNumbers/>
        <w:tabs>
          <w:tab w:val="left" w:pos="720"/>
        </w:tabs>
        <w:suppressAutoHyphens/>
        <w:spacing w:before="120" w:after="120"/>
        <w:ind w:right="567"/>
        <w:jc w:val="center"/>
        <w:rPr>
          <w:b/>
          <w:caps/>
          <w:snapToGrid w:val="0"/>
          <w:color w:val="000000"/>
          <w:szCs w:val="22"/>
        </w:rPr>
      </w:pPr>
      <w:r>
        <w:rPr>
          <w:b/>
          <w:caps/>
          <w:snapToGrid w:val="0"/>
          <w:color w:val="000000"/>
          <w:szCs w:val="22"/>
        </w:rPr>
        <w:t xml:space="preserve">building blocks and </w:t>
      </w:r>
      <w:r w:rsidRPr="00FC3310">
        <w:rPr>
          <w:b/>
          <w:caps/>
          <w:snapToGrid w:val="0"/>
          <w:color w:val="000000"/>
          <w:szCs w:val="22"/>
        </w:rPr>
        <w:t>structure for Phase I</w:t>
      </w:r>
    </w:p>
    <w:p w14:paraId="7693C0AF" w14:textId="77777777" w:rsidR="0018728E" w:rsidRPr="00FC3310" w:rsidRDefault="0018728E" w:rsidP="00222183">
      <w:pPr>
        <w:keepNext/>
        <w:suppressLineNumbers/>
        <w:tabs>
          <w:tab w:val="left" w:pos="720"/>
        </w:tabs>
        <w:suppressAutoHyphens/>
        <w:spacing w:before="120" w:after="120"/>
        <w:ind w:right="567"/>
        <w:jc w:val="center"/>
        <w:rPr>
          <w:b/>
          <w:caps/>
          <w:snapToGrid w:val="0"/>
          <w:color w:val="000000"/>
          <w:szCs w:val="22"/>
        </w:rPr>
      </w:pPr>
      <w:r w:rsidRPr="00FC3310">
        <w:rPr>
          <w:b/>
          <w:caps/>
          <w:snapToGrid w:val="0"/>
          <w:color w:val="000000"/>
          <w:szCs w:val="22"/>
        </w:rPr>
        <w:t>(</w:t>
      </w:r>
      <w:r>
        <w:rPr>
          <w:b/>
          <w:caps/>
          <w:snapToGrid w:val="0"/>
          <w:color w:val="000000"/>
          <w:szCs w:val="22"/>
        </w:rPr>
        <w:t>2023-2024</w:t>
      </w:r>
      <w:r w:rsidRPr="00FC3310">
        <w:rPr>
          <w:b/>
          <w:caps/>
          <w:snapToGrid w:val="0"/>
          <w:color w:val="000000"/>
          <w:szCs w:val="22"/>
        </w:rPr>
        <w:t xml:space="preserve">) </w:t>
      </w:r>
    </w:p>
    <w:p w14:paraId="1D53DE35" w14:textId="77777777" w:rsidR="0018728E" w:rsidRPr="00B73C3D" w:rsidRDefault="0018728E" w:rsidP="008F6FFF">
      <w:pPr>
        <w:suppressLineNumbers/>
        <w:tabs>
          <w:tab w:val="left" w:pos="567"/>
        </w:tabs>
        <w:suppressAutoHyphens/>
        <w:spacing w:before="120"/>
        <w:jc w:val="left"/>
        <w:rPr>
          <w:b/>
          <w:color w:val="000000"/>
          <w:szCs w:val="22"/>
          <w:lang w:eastAsia="zh-CN"/>
        </w:rPr>
      </w:pPr>
      <w:r w:rsidRPr="00824D50">
        <w:rPr>
          <w:b/>
          <w:color w:val="000000"/>
          <w:szCs w:val="22"/>
          <w:lang w:eastAsia="zh-CN"/>
        </w:rPr>
        <w:t xml:space="preserve">A. </w:t>
      </w:r>
      <w:r>
        <w:rPr>
          <w:b/>
          <w:color w:val="000000"/>
          <w:szCs w:val="22"/>
          <w:lang w:eastAsia="zh-CN"/>
        </w:rPr>
        <w:tab/>
      </w:r>
      <w:r w:rsidRPr="00824D50">
        <w:rPr>
          <w:b/>
          <w:color w:val="000000"/>
          <w:szCs w:val="22"/>
          <w:lang w:eastAsia="zh-CN"/>
        </w:rPr>
        <w:t>Aim</w:t>
      </w:r>
    </w:p>
    <w:p w14:paraId="358048A2" w14:textId="77777777" w:rsidR="0018728E" w:rsidRPr="00B73C3D" w:rsidRDefault="0018728E" w:rsidP="00950BE4">
      <w:pPr>
        <w:pStyle w:val="Para1"/>
        <w:numPr>
          <w:ilvl w:val="0"/>
          <w:numId w:val="8"/>
        </w:numPr>
        <w:tabs>
          <w:tab w:val="clear" w:pos="360"/>
        </w:tabs>
        <w:overflowPunct/>
        <w:autoSpaceDE/>
        <w:autoSpaceDN/>
        <w:snapToGrid/>
        <w:spacing w:before="120"/>
        <w:rPr>
          <w:lang w:eastAsia="zh-CN"/>
        </w:rPr>
      </w:pPr>
      <w:r w:rsidRPr="00B73C3D">
        <w:rPr>
          <w:lang w:eastAsia="zh-CN"/>
        </w:rPr>
        <w:t xml:space="preserve">The aim of this strategy is to enable quick-start resource mobilization and scale up and align resources for the implementation of the </w:t>
      </w:r>
      <w:r>
        <w:t>Kunming-Montreal Global Biodiversity Framework</w:t>
      </w:r>
      <w:r w:rsidRPr="00B73C3D" w:rsidDel="002A3943">
        <w:rPr>
          <w:lang w:eastAsia="zh-CN"/>
        </w:rPr>
        <w:t xml:space="preserve"> </w:t>
      </w:r>
      <w:r w:rsidRPr="00B73C3D">
        <w:rPr>
          <w:lang w:eastAsia="zh-CN"/>
        </w:rPr>
        <w:t xml:space="preserve">and provide the basis to further </w:t>
      </w:r>
      <w:r w:rsidRPr="004C5203">
        <w:rPr>
          <w:lang w:eastAsia="zh-CN"/>
        </w:rPr>
        <w:t>build upon towards</w:t>
      </w:r>
      <w:r w:rsidRPr="00B73C3D">
        <w:rPr>
          <w:lang w:eastAsia="zh-CN"/>
        </w:rPr>
        <w:t xml:space="preserve"> 2030, based on the work of the Advisory Committee on Resource Mobilization, in line with the </w:t>
      </w:r>
      <w:r>
        <w:rPr>
          <w:lang w:eastAsia="zh-CN"/>
        </w:rPr>
        <w:t>Framework</w:t>
      </w:r>
      <w:r w:rsidRPr="00B73C3D">
        <w:rPr>
          <w:lang w:eastAsia="zh-CN"/>
        </w:rPr>
        <w:t>.</w:t>
      </w:r>
    </w:p>
    <w:p w14:paraId="156F3D3B" w14:textId="77777777" w:rsidR="0018728E" w:rsidRPr="00B73C3D" w:rsidRDefault="0018728E" w:rsidP="00950BE4">
      <w:pPr>
        <w:pStyle w:val="Para1"/>
        <w:numPr>
          <w:ilvl w:val="0"/>
          <w:numId w:val="8"/>
        </w:numPr>
        <w:tabs>
          <w:tab w:val="clear" w:pos="360"/>
        </w:tabs>
        <w:overflowPunct/>
        <w:autoSpaceDE/>
        <w:autoSpaceDN/>
        <w:snapToGrid/>
        <w:spacing w:before="120"/>
        <w:rPr>
          <w:b/>
          <w:lang w:eastAsia="zh-CN"/>
        </w:rPr>
      </w:pPr>
      <w:r w:rsidRPr="00B73C3D">
        <w:rPr>
          <w:bCs/>
          <w:lang w:eastAsia="zh-CN"/>
        </w:rPr>
        <w:t xml:space="preserve">The Strategy </w:t>
      </w:r>
      <w:r w:rsidRPr="008F6FFF">
        <w:rPr>
          <w:lang w:eastAsia="zh-CN"/>
        </w:rPr>
        <w:t>will</w:t>
      </w:r>
      <w:r w:rsidRPr="00B73C3D">
        <w:rPr>
          <w:bCs/>
          <w:lang w:eastAsia="zh-CN"/>
        </w:rPr>
        <w:t xml:space="preserve"> be updated by the Subsidiary Body on Implementation to take account of the recommendations of the Advisory Committee on Resource Mobili</w:t>
      </w:r>
      <w:r>
        <w:rPr>
          <w:bCs/>
          <w:lang w:eastAsia="zh-CN"/>
        </w:rPr>
        <w:t>z</w:t>
      </w:r>
      <w:r w:rsidRPr="00B73C3D">
        <w:rPr>
          <w:bCs/>
          <w:lang w:eastAsia="zh-CN"/>
        </w:rPr>
        <w:t xml:space="preserve">ation. The updated </w:t>
      </w:r>
      <w:r>
        <w:rPr>
          <w:bCs/>
          <w:lang w:eastAsia="zh-CN"/>
        </w:rPr>
        <w:t>s</w:t>
      </w:r>
      <w:r w:rsidRPr="00B73C3D">
        <w:rPr>
          <w:bCs/>
          <w:lang w:eastAsia="zh-CN"/>
        </w:rPr>
        <w:t xml:space="preserve">trategy will be presented to </w:t>
      </w:r>
      <w:r>
        <w:rPr>
          <w:bCs/>
          <w:lang w:eastAsia="zh-CN"/>
        </w:rPr>
        <w:t xml:space="preserve">the Conference of the Parties </w:t>
      </w:r>
      <w:r w:rsidRPr="00B73C3D">
        <w:rPr>
          <w:bCs/>
          <w:lang w:eastAsia="zh-CN"/>
        </w:rPr>
        <w:t>for consideration and adoption</w:t>
      </w:r>
      <w:r>
        <w:rPr>
          <w:bCs/>
          <w:lang w:eastAsia="zh-CN"/>
        </w:rPr>
        <w:t xml:space="preserve"> at its sixteenth meeting</w:t>
      </w:r>
      <w:r w:rsidRPr="00B73C3D">
        <w:rPr>
          <w:bCs/>
          <w:lang w:eastAsia="zh-CN"/>
        </w:rPr>
        <w:t>.</w:t>
      </w:r>
    </w:p>
    <w:p w14:paraId="678CB3C2" w14:textId="77777777" w:rsidR="0018728E" w:rsidRPr="00B73C3D" w:rsidRDefault="0018728E" w:rsidP="00950BE4">
      <w:pPr>
        <w:pStyle w:val="Para1"/>
        <w:numPr>
          <w:ilvl w:val="0"/>
          <w:numId w:val="8"/>
        </w:numPr>
        <w:tabs>
          <w:tab w:val="clear" w:pos="360"/>
        </w:tabs>
        <w:overflowPunct/>
        <w:autoSpaceDE/>
        <w:autoSpaceDN/>
        <w:snapToGrid/>
        <w:spacing w:before="120"/>
        <w:rPr>
          <w:lang w:val="en-US"/>
        </w:rPr>
      </w:pPr>
      <w:r w:rsidRPr="00B73C3D">
        <w:t xml:space="preserve">It will mobilize </w:t>
      </w:r>
      <w:r w:rsidRPr="008F6FFF">
        <w:rPr>
          <w:lang w:eastAsia="zh-CN"/>
        </w:rPr>
        <w:t>resources</w:t>
      </w:r>
      <w:r w:rsidRPr="00B73C3D">
        <w:t xml:space="preserve"> for the implementation of the Convention, addressing its three objectives in a balanced manner and commensurate with </w:t>
      </w:r>
      <w:r w:rsidRPr="00A9191C">
        <w:t>the ambitions of</w:t>
      </w:r>
      <w:r>
        <w:t xml:space="preserve"> the</w:t>
      </w:r>
      <w:r w:rsidRPr="00B73C3D">
        <w:t xml:space="preserve"> </w:t>
      </w:r>
      <w:r>
        <w:t>Kunming-Montreal Global Biodiversity Framework.</w:t>
      </w:r>
    </w:p>
    <w:p w14:paraId="1BD90394" w14:textId="77777777" w:rsidR="0018728E" w:rsidRPr="00B73C3D" w:rsidRDefault="0018728E" w:rsidP="00950BE4">
      <w:pPr>
        <w:pStyle w:val="Para1"/>
        <w:numPr>
          <w:ilvl w:val="0"/>
          <w:numId w:val="8"/>
        </w:numPr>
        <w:tabs>
          <w:tab w:val="clear" w:pos="360"/>
        </w:tabs>
        <w:overflowPunct/>
        <w:autoSpaceDE/>
        <w:autoSpaceDN/>
        <w:snapToGrid/>
        <w:spacing w:before="120"/>
      </w:pPr>
      <w:r w:rsidRPr="00B73C3D">
        <w:rPr>
          <w:lang w:eastAsia="zh-CN"/>
        </w:rPr>
        <w:t xml:space="preserve">The strategy will be </w:t>
      </w:r>
      <w:r w:rsidRPr="008F6FFF">
        <w:rPr>
          <w:lang w:eastAsia="zh-CN"/>
        </w:rPr>
        <w:t>guided</w:t>
      </w:r>
      <w:r w:rsidRPr="00B73C3D">
        <w:rPr>
          <w:lang w:eastAsia="zh-CN"/>
        </w:rPr>
        <w:t xml:space="preserve"> by:</w:t>
      </w:r>
    </w:p>
    <w:p w14:paraId="6F6B0008" w14:textId="77777777" w:rsidR="0018728E" w:rsidRPr="00B73C3D" w:rsidRDefault="0018728E" w:rsidP="008F6FFF">
      <w:pPr>
        <w:tabs>
          <w:tab w:val="left" w:pos="1134"/>
        </w:tabs>
        <w:spacing w:before="120" w:after="120"/>
        <w:ind w:firstLine="567"/>
      </w:pPr>
      <w:r>
        <w:t>(a)</w:t>
      </w:r>
      <w:r>
        <w:tab/>
      </w:r>
      <w:r w:rsidRPr="005330AD">
        <w:t>Section</w:t>
      </w:r>
      <w:r w:rsidRPr="00B73C3D">
        <w:t xml:space="preserve"> </w:t>
      </w:r>
      <w:r w:rsidRPr="00CE7C0A">
        <w:t>C of</w:t>
      </w:r>
      <w:r w:rsidRPr="00B73C3D">
        <w:t xml:space="preserve"> the </w:t>
      </w:r>
      <w:r>
        <w:t>Kunming-Montreal G</w:t>
      </w:r>
      <w:r w:rsidRPr="00B73C3D">
        <w:t xml:space="preserve">lobal </w:t>
      </w:r>
      <w:r>
        <w:t>B</w:t>
      </w:r>
      <w:r w:rsidRPr="00B73C3D">
        <w:t xml:space="preserve">iodiversity </w:t>
      </w:r>
      <w:r>
        <w:t>F</w:t>
      </w:r>
      <w:r w:rsidRPr="00B73C3D">
        <w:t>ramework</w:t>
      </w:r>
      <w:r>
        <w:t>;</w:t>
      </w:r>
    </w:p>
    <w:p w14:paraId="76ED26BE" w14:textId="77777777" w:rsidR="0018728E" w:rsidRPr="00B73C3D" w:rsidRDefault="0018728E" w:rsidP="008F6FFF">
      <w:pPr>
        <w:tabs>
          <w:tab w:val="left" w:pos="1134"/>
        </w:tabs>
        <w:spacing w:before="120" w:after="120"/>
        <w:ind w:firstLine="567"/>
        <w:rPr>
          <w:szCs w:val="22"/>
        </w:rPr>
      </w:pPr>
      <w:r>
        <w:rPr>
          <w:szCs w:val="22"/>
        </w:rPr>
        <w:t>(b)</w:t>
      </w:r>
      <w:r>
        <w:rPr>
          <w:szCs w:val="22"/>
        </w:rPr>
        <w:tab/>
      </w:r>
      <w:r w:rsidRPr="00B73C3D">
        <w:rPr>
          <w:szCs w:val="22"/>
        </w:rPr>
        <w:t>Article</w:t>
      </w:r>
      <w:r>
        <w:rPr>
          <w:szCs w:val="22"/>
        </w:rPr>
        <w:t>s</w:t>
      </w:r>
      <w:r w:rsidRPr="00B73C3D">
        <w:rPr>
          <w:szCs w:val="22"/>
        </w:rPr>
        <w:t xml:space="preserve"> 20, 21 </w:t>
      </w:r>
      <w:r w:rsidRPr="008F6FFF">
        <w:t>and</w:t>
      </w:r>
      <w:r w:rsidRPr="00B73C3D">
        <w:rPr>
          <w:szCs w:val="22"/>
        </w:rPr>
        <w:t xml:space="preserve"> 11</w:t>
      </w:r>
      <w:r>
        <w:rPr>
          <w:szCs w:val="22"/>
        </w:rPr>
        <w:t xml:space="preserve"> of the Convention;</w:t>
      </w:r>
    </w:p>
    <w:p w14:paraId="02F44056" w14:textId="77777777" w:rsidR="0018728E" w:rsidRPr="00B73C3D" w:rsidRDefault="0018728E" w:rsidP="008F6FFF">
      <w:pPr>
        <w:tabs>
          <w:tab w:val="left" w:pos="1134"/>
        </w:tabs>
        <w:spacing w:before="120" w:after="120"/>
        <w:ind w:firstLine="567"/>
        <w:rPr>
          <w:szCs w:val="22"/>
        </w:rPr>
      </w:pPr>
      <w:r>
        <w:rPr>
          <w:lang w:val="en-US"/>
        </w:rPr>
        <w:lastRenderedPageBreak/>
        <w:t>(c)</w:t>
      </w:r>
      <w:r>
        <w:rPr>
          <w:lang w:val="en-US"/>
        </w:rPr>
        <w:tab/>
      </w:r>
      <w:r w:rsidRPr="00B73C3D">
        <w:rPr>
          <w:lang w:val="en-US"/>
        </w:rPr>
        <w:t>Funding from all sources, from a broad scope of financial instruments and mechanisms</w:t>
      </w:r>
      <w:r>
        <w:rPr>
          <w:lang w:val="en-US"/>
        </w:rPr>
        <w:t>;</w:t>
      </w:r>
      <w:r w:rsidRPr="00B73C3D">
        <w:rPr>
          <w:lang w:val="en-US"/>
        </w:rPr>
        <w:t xml:space="preserve"> </w:t>
      </w:r>
    </w:p>
    <w:p w14:paraId="6F54D9B6" w14:textId="77777777" w:rsidR="0018728E" w:rsidRPr="00B73C3D" w:rsidRDefault="0018728E" w:rsidP="008F6FFF">
      <w:pPr>
        <w:tabs>
          <w:tab w:val="left" w:pos="1134"/>
        </w:tabs>
        <w:spacing w:before="120" w:after="120"/>
        <w:ind w:firstLine="567"/>
        <w:rPr>
          <w:szCs w:val="22"/>
        </w:rPr>
      </w:pPr>
      <w:r>
        <w:rPr>
          <w:szCs w:val="22"/>
        </w:rPr>
        <w:t>(d)</w:t>
      </w:r>
      <w:r>
        <w:rPr>
          <w:szCs w:val="22"/>
        </w:rPr>
        <w:tab/>
      </w:r>
      <w:r w:rsidRPr="00B73C3D">
        <w:rPr>
          <w:szCs w:val="22"/>
        </w:rPr>
        <w:t>Immediate mobilization</w:t>
      </w:r>
      <w:r w:rsidRPr="00B73C3D">
        <w:rPr>
          <w:lang w:val="en-US"/>
        </w:rPr>
        <w:t xml:space="preserve"> of resources, safeguarding a long-term vision of financial resources needs</w:t>
      </w:r>
      <w:r>
        <w:rPr>
          <w:lang w:val="en-US"/>
        </w:rPr>
        <w:t>;</w:t>
      </w:r>
    </w:p>
    <w:p w14:paraId="25311D59" w14:textId="77777777" w:rsidR="0018728E" w:rsidRPr="00B73C3D" w:rsidRDefault="0018728E" w:rsidP="008F6FFF">
      <w:pPr>
        <w:tabs>
          <w:tab w:val="left" w:pos="1134"/>
        </w:tabs>
        <w:spacing w:before="120" w:after="120"/>
        <w:ind w:firstLine="567"/>
        <w:rPr>
          <w:b/>
          <w:snapToGrid w:val="0"/>
          <w:color w:val="000000"/>
          <w:kern w:val="22"/>
          <w:szCs w:val="22"/>
          <w:lang w:eastAsia="zh-CN"/>
        </w:rPr>
      </w:pPr>
      <w:r>
        <w:rPr>
          <w:lang w:val="en-US"/>
        </w:rPr>
        <w:t>(e)</w:t>
      </w:r>
      <w:r>
        <w:rPr>
          <w:lang w:val="en-US"/>
        </w:rPr>
        <w:tab/>
      </w:r>
      <w:r w:rsidRPr="00B73C3D">
        <w:rPr>
          <w:lang w:val="en-US"/>
        </w:rPr>
        <w:t xml:space="preserve">Comprehensive, fair and equitable access to all financing sources for all </w:t>
      </w:r>
      <w:r>
        <w:rPr>
          <w:lang w:val="en-US"/>
        </w:rPr>
        <w:t>P</w:t>
      </w:r>
      <w:r w:rsidRPr="00B73C3D">
        <w:rPr>
          <w:lang w:val="en-US"/>
        </w:rPr>
        <w:t>arties</w:t>
      </w:r>
      <w:r>
        <w:rPr>
          <w:szCs w:val="22"/>
        </w:rPr>
        <w:t>.</w:t>
      </w:r>
    </w:p>
    <w:p w14:paraId="683F9E0B" w14:textId="77777777" w:rsidR="0018728E" w:rsidRPr="00B73C3D" w:rsidRDefault="0018728E" w:rsidP="008F6FFF">
      <w:pPr>
        <w:suppressLineNumbers/>
        <w:tabs>
          <w:tab w:val="left" w:pos="567"/>
        </w:tabs>
        <w:suppressAutoHyphens/>
        <w:spacing w:before="240" w:after="120"/>
        <w:rPr>
          <w:b/>
          <w:snapToGrid w:val="0"/>
          <w:color w:val="000000"/>
          <w:kern w:val="22"/>
          <w:szCs w:val="22"/>
          <w:lang w:eastAsia="zh-CN"/>
        </w:rPr>
      </w:pPr>
      <w:r>
        <w:rPr>
          <w:b/>
          <w:snapToGrid w:val="0"/>
          <w:color w:val="000000"/>
          <w:kern w:val="22"/>
          <w:szCs w:val="22"/>
          <w:lang w:eastAsia="zh-CN"/>
        </w:rPr>
        <w:t>B</w:t>
      </w:r>
      <w:r w:rsidRPr="00B73C3D">
        <w:rPr>
          <w:b/>
          <w:snapToGrid w:val="0"/>
          <w:color w:val="000000"/>
          <w:kern w:val="22"/>
          <w:szCs w:val="22"/>
          <w:lang w:eastAsia="zh-CN"/>
        </w:rPr>
        <w:t>.</w:t>
      </w:r>
      <w:r w:rsidRPr="00B73C3D">
        <w:rPr>
          <w:b/>
          <w:snapToGrid w:val="0"/>
          <w:color w:val="000000"/>
          <w:kern w:val="22"/>
          <w:szCs w:val="22"/>
          <w:lang w:eastAsia="zh-CN"/>
        </w:rPr>
        <w:tab/>
        <w:t>Enabling actions</w:t>
      </w:r>
    </w:p>
    <w:p w14:paraId="6B9F0D78" w14:textId="77777777" w:rsidR="0018728E" w:rsidRPr="00B73C3D" w:rsidRDefault="0018728E" w:rsidP="00950BE4">
      <w:pPr>
        <w:numPr>
          <w:ilvl w:val="0"/>
          <w:numId w:val="38"/>
        </w:numPr>
        <w:tabs>
          <w:tab w:val="left" w:pos="1134"/>
        </w:tabs>
        <w:spacing w:before="120"/>
        <w:ind w:left="0" w:firstLine="567"/>
        <w:rPr>
          <w:szCs w:val="22"/>
          <w:lang w:val="en-CA"/>
        </w:rPr>
      </w:pPr>
      <w:r w:rsidRPr="00B73C3D">
        <w:rPr>
          <w:szCs w:val="22"/>
          <w:lang w:val="en-CA"/>
        </w:rPr>
        <w:t xml:space="preserve">To promote the updating and implementation of </w:t>
      </w:r>
      <w:r>
        <w:rPr>
          <w:szCs w:val="22"/>
          <w:lang w:val="en-CA"/>
        </w:rPr>
        <w:t>national biodiversity strategies and action plans (</w:t>
      </w:r>
      <w:r w:rsidRPr="00B73C3D">
        <w:rPr>
          <w:szCs w:val="22"/>
          <w:lang w:val="en-CA"/>
        </w:rPr>
        <w:t>NBSAPs</w:t>
      </w:r>
      <w:r>
        <w:rPr>
          <w:szCs w:val="22"/>
          <w:lang w:val="en-CA"/>
        </w:rPr>
        <w:t>)</w:t>
      </w:r>
      <w:r w:rsidRPr="00B73C3D">
        <w:rPr>
          <w:szCs w:val="22"/>
          <w:lang w:val="en-CA"/>
        </w:rPr>
        <w:t xml:space="preserve">, including through the NBSAP </w:t>
      </w:r>
      <w:r>
        <w:rPr>
          <w:szCs w:val="22"/>
          <w:lang w:val="en-CA"/>
        </w:rPr>
        <w:t>A</w:t>
      </w:r>
      <w:r w:rsidRPr="00B73C3D">
        <w:rPr>
          <w:szCs w:val="22"/>
          <w:lang w:val="en-CA"/>
        </w:rPr>
        <w:t xml:space="preserve">ccelerator </w:t>
      </w:r>
      <w:r w:rsidRPr="006E540B">
        <w:rPr>
          <w:szCs w:val="22"/>
          <w:lang w:val="en-CA"/>
        </w:rPr>
        <w:t>Partnership and</w:t>
      </w:r>
      <w:r w:rsidRPr="00B73C3D">
        <w:rPr>
          <w:szCs w:val="22"/>
          <w:lang w:val="en-CA"/>
        </w:rPr>
        <w:t xml:space="preserve"> similar initiatives</w:t>
      </w:r>
      <w:r>
        <w:rPr>
          <w:szCs w:val="22"/>
          <w:lang w:val="en-CA"/>
        </w:rPr>
        <w:t>;</w:t>
      </w:r>
    </w:p>
    <w:p w14:paraId="4FD4B000" w14:textId="77777777" w:rsidR="0018728E" w:rsidRPr="00B73C3D" w:rsidRDefault="0018728E" w:rsidP="00950BE4">
      <w:pPr>
        <w:numPr>
          <w:ilvl w:val="0"/>
          <w:numId w:val="38"/>
        </w:numPr>
        <w:tabs>
          <w:tab w:val="left" w:pos="1134"/>
        </w:tabs>
        <w:spacing w:before="120"/>
        <w:ind w:left="0" w:firstLine="567"/>
        <w:rPr>
          <w:szCs w:val="22"/>
          <w:lang w:val="en-CA"/>
        </w:rPr>
      </w:pPr>
      <w:r w:rsidRPr="00B73C3D">
        <w:rPr>
          <w:szCs w:val="22"/>
          <w:lang w:val="en-CA"/>
        </w:rPr>
        <w:t>Develop, update and implement national biodiversity finance plans or similar instruments</w:t>
      </w:r>
      <w:r>
        <w:rPr>
          <w:szCs w:val="22"/>
          <w:lang w:val="en-CA"/>
        </w:rPr>
        <w:t>;</w:t>
      </w:r>
    </w:p>
    <w:p w14:paraId="2D70D022" w14:textId="77777777" w:rsidR="0018728E" w:rsidRPr="00B73C3D" w:rsidRDefault="0018728E" w:rsidP="00950BE4">
      <w:pPr>
        <w:numPr>
          <w:ilvl w:val="0"/>
          <w:numId w:val="38"/>
        </w:numPr>
        <w:tabs>
          <w:tab w:val="left" w:pos="1134"/>
        </w:tabs>
        <w:spacing w:before="120"/>
        <w:ind w:left="0" w:firstLine="567"/>
        <w:rPr>
          <w:szCs w:val="22"/>
          <w:lang w:val="en-CA"/>
        </w:rPr>
      </w:pPr>
      <w:r w:rsidRPr="00B73C3D">
        <w:rPr>
          <w:szCs w:val="22"/>
          <w:lang w:val="en-CA"/>
        </w:rPr>
        <w:t>Increase financial support to BIOFIN and other related initiatives in order to support the implementation of national biodiversity finance plans</w:t>
      </w:r>
      <w:r>
        <w:rPr>
          <w:szCs w:val="22"/>
          <w:lang w:val="en-CA"/>
        </w:rPr>
        <w:t>;</w:t>
      </w:r>
    </w:p>
    <w:p w14:paraId="5BED83EA" w14:textId="77777777" w:rsidR="0018728E" w:rsidRPr="00B73C3D" w:rsidRDefault="0018728E" w:rsidP="00950BE4">
      <w:pPr>
        <w:numPr>
          <w:ilvl w:val="0"/>
          <w:numId w:val="38"/>
        </w:numPr>
        <w:tabs>
          <w:tab w:val="left" w:pos="1134"/>
        </w:tabs>
        <w:spacing w:before="120"/>
        <w:ind w:left="0" w:firstLine="567"/>
        <w:rPr>
          <w:szCs w:val="22"/>
          <w:lang w:val="en-CA"/>
        </w:rPr>
      </w:pPr>
      <w:r w:rsidRPr="00B73C3D">
        <w:rPr>
          <w:szCs w:val="22"/>
        </w:rPr>
        <w:t>Optimize multi-stakeholder partnerships</w:t>
      </w:r>
      <w:r>
        <w:rPr>
          <w:szCs w:val="22"/>
        </w:rPr>
        <w:t>;</w:t>
      </w:r>
    </w:p>
    <w:p w14:paraId="41EA8080" w14:textId="77777777" w:rsidR="0018728E" w:rsidRPr="008F6FFF" w:rsidRDefault="0018728E" w:rsidP="00950BE4">
      <w:pPr>
        <w:numPr>
          <w:ilvl w:val="0"/>
          <w:numId w:val="38"/>
        </w:numPr>
        <w:tabs>
          <w:tab w:val="left" w:pos="1134"/>
        </w:tabs>
        <w:spacing w:before="120"/>
        <w:ind w:left="0" w:firstLine="567"/>
        <w:rPr>
          <w:szCs w:val="22"/>
          <w:lang w:val="en-CA"/>
        </w:rPr>
      </w:pPr>
      <w:r w:rsidRPr="00B73C3D">
        <w:rPr>
          <w:szCs w:val="22"/>
          <w:lang w:val="en-CA"/>
        </w:rPr>
        <w:t>Capacity</w:t>
      </w:r>
      <w:r>
        <w:rPr>
          <w:szCs w:val="22"/>
          <w:lang w:val="en-CA"/>
        </w:rPr>
        <w:t>-</w:t>
      </w:r>
      <w:r w:rsidRPr="00B73C3D">
        <w:rPr>
          <w:szCs w:val="22"/>
          <w:lang w:val="en-CA"/>
        </w:rPr>
        <w:t>building and development, scientific and technological cooperation, and technology transfer.</w:t>
      </w:r>
    </w:p>
    <w:p w14:paraId="5C5075D5" w14:textId="77777777" w:rsidR="0018728E" w:rsidRDefault="0018728E" w:rsidP="008F6FFF">
      <w:pPr>
        <w:suppressLineNumbers/>
        <w:tabs>
          <w:tab w:val="left" w:pos="567"/>
        </w:tabs>
        <w:suppressAutoHyphens/>
        <w:spacing w:before="240" w:after="120"/>
        <w:jc w:val="left"/>
        <w:rPr>
          <w:b/>
          <w:bCs/>
          <w:szCs w:val="22"/>
          <w:lang w:val="en-CA"/>
        </w:rPr>
      </w:pPr>
      <w:r>
        <w:rPr>
          <w:b/>
          <w:bCs/>
          <w:szCs w:val="22"/>
          <w:lang w:val="en-CA"/>
        </w:rPr>
        <w:t xml:space="preserve">C. </w:t>
      </w:r>
      <w:r>
        <w:rPr>
          <w:b/>
          <w:bCs/>
          <w:szCs w:val="22"/>
          <w:lang w:val="en-CA"/>
        </w:rPr>
        <w:tab/>
        <w:t>Objectives</w:t>
      </w:r>
    </w:p>
    <w:p w14:paraId="15C54339" w14:textId="77777777" w:rsidR="0018728E" w:rsidRPr="00873F36" w:rsidRDefault="0018728E" w:rsidP="008F6FFF">
      <w:pPr>
        <w:suppressLineNumbers/>
        <w:tabs>
          <w:tab w:val="left" w:pos="567"/>
        </w:tabs>
        <w:suppressAutoHyphens/>
        <w:spacing w:before="240" w:after="120"/>
        <w:rPr>
          <w:b/>
          <w:bCs/>
          <w:szCs w:val="22"/>
          <w:lang w:val="en-CA"/>
        </w:rPr>
      </w:pPr>
      <w:r w:rsidRPr="00873F36">
        <w:rPr>
          <w:b/>
          <w:bCs/>
          <w:szCs w:val="22"/>
          <w:lang w:val="en-CA"/>
        </w:rPr>
        <w:t>1.</w:t>
      </w:r>
      <w:r>
        <w:rPr>
          <w:b/>
          <w:bCs/>
          <w:szCs w:val="22"/>
          <w:lang w:val="en-CA"/>
        </w:rPr>
        <w:t> </w:t>
      </w:r>
      <w:r w:rsidRPr="00873F36">
        <w:rPr>
          <w:b/>
          <w:bCs/>
          <w:szCs w:val="22"/>
          <w:lang w:val="en-CA"/>
        </w:rPr>
        <w:t xml:space="preserve">Increase </w:t>
      </w:r>
      <w:r w:rsidRPr="008F6FFF">
        <w:rPr>
          <w:b/>
          <w:bCs/>
          <w:snapToGrid w:val="0"/>
          <w:color w:val="000000"/>
          <w:kern w:val="22"/>
          <w:szCs w:val="22"/>
          <w:lang w:eastAsia="zh-CN"/>
        </w:rPr>
        <w:t>international</w:t>
      </w:r>
      <w:r w:rsidRPr="00873F36">
        <w:rPr>
          <w:b/>
          <w:bCs/>
          <w:szCs w:val="22"/>
          <w:lang w:val="en-CA"/>
        </w:rPr>
        <w:t xml:space="preserve"> biodiversity-related financial flows and financial resources from all sources</w:t>
      </w:r>
    </w:p>
    <w:p w14:paraId="4BB0A930" w14:textId="77777777" w:rsidR="0018728E" w:rsidRPr="008F6FFF" w:rsidRDefault="0018728E" w:rsidP="008F6FFF">
      <w:pPr>
        <w:snapToGrid w:val="0"/>
        <w:spacing w:before="120" w:after="120"/>
        <w:rPr>
          <w:i/>
          <w:iCs/>
          <w:szCs w:val="22"/>
          <w:lang w:val="en-CA"/>
        </w:rPr>
      </w:pPr>
      <w:r w:rsidRPr="008F6FFF">
        <w:rPr>
          <w:i/>
          <w:iCs/>
          <w:szCs w:val="22"/>
          <w:lang w:val="en-CA"/>
        </w:rPr>
        <w:t>New and additional resources</w:t>
      </w:r>
    </w:p>
    <w:p w14:paraId="53577B37" w14:textId="77777777" w:rsidR="0018728E" w:rsidRPr="00B73C3D" w:rsidRDefault="0018728E" w:rsidP="00950BE4">
      <w:pPr>
        <w:numPr>
          <w:ilvl w:val="0"/>
          <w:numId w:val="39"/>
        </w:numPr>
        <w:tabs>
          <w:tab w:val="left" w:pos="1134"/>
        </w:tabs>
        <w:spacing w:before="120" w:after="120"/>
        <w:ind w:left="0" w:firstLine="567"/>
        <w:rPr>
          <w:szCs w:val="22"/>
          <w:lang w:val="en-CA"/>
        </w:rPr>
      </w:pPr>
      <w:r w:rsidRPr="00B73C3D">
        <w:rPr>
          <w:szCs w:val="22"/>
          <w:lang w:val="en-CA"/>
        </w:rPr>
        <w:t xml:space="preserve">Increase biodiversity-related international financial resource flows to </w:t>
      </w:r>
      <w:r w:rsidRPr="00FA599D">
        <w:rPr>
          <w:snapToGrid w:val="0"/>
          <w:kern w:val="20"/>
        </w:rPr>
        <w:t>developing countries, in particular least developed countries and small island developing States, as well as countries with economies in transition</w:t>
      </w:r>
      <w:r w:rsidRPr="00B73C3D">
        <w:rPr>
          <w:szCs w:val="22"/>
          <w:lang w:val="en-CA"/>
        </w:rPr>
        <w:t>:</w:t>
      </w:r>
    </w:p>
    <w:p w14:paraId="5E1ED295" w14:textId="77777777" w:rsidR="0018728E" w:rsidRPr="00B73C3D" w:rsidRDefault="0018728E" w:rsidP="00950BE4">
      <w:pPr>
        <w:numPr>
          <w:ilvl w:val="1"/>
          <w:numId w:val="40"/>
        </w:numPr>
        <w:spacing w:before="120"/>
        <w:ind w:left="1701"/>
        <w:jc w:val="left"/>
        <w:rPr>
          <w:szCs w:val="22"/>
        </w:rPr>
      </w:pPr>
      <w:r>
        <w:rPr>
          <w:szCs w:val="22"/>
        </w:rPr>
        <w:t>F</w:t>
      </w:r>
      <w:r w:rsidRPr="00B73C3D">
        <w:rPr>
          <w:szCs w:val="22"/>
        </w:rPr>
        <w:t>ulfilment of developed country Parties’ obligations to provide adequate, new and additional financial resources</w:t>
      </w:r>
      <w:r>
        <w:rPr>
          <w:szCs w:val="22"/>
        </w:rPr>
        <w:t>;</w:t>
      </w:r>
      <w:r w:rsidRPr="00B73C3D">
        <w:rPr>
          <w:szCs w:val="22"/>
        </w:rPr>
        <w:t xml:space="preserve"> </w:t>
      </w:r>
    </w:p>
    <w:p w14:paraId="5F8183A8" w14:textId="77777777" w:rsidR="0018728E" w:rsidRPr="00B73C3D" w:rsidRDefault="0018728E" w:rsidP="00950BE4">
      <w:pPr>
        <w:numPr>
          <w:ilvl w:val="1"/>
          <w:numId w:val="40"/>
        </w:numPr>
        <w:spacing w:before="120"/>
        <w:ind w:left="1701"/>
        <w:rPr>
          <w:szCs w:val="22"/>
        </w:rPr>
      </w:pPr>
      <w:r w:rsidRPr="00B73C3D">
        <w:rPr>
          <w:szCs w:val="22"/>
          <w:lang w:val="en-CA"/>
        </w:rPr>
        <w:t>Other Parties to consider whether they may voluntarily assume the obligations of the developed country Parties</w:t>
      </w:r>
      <w:r>
        <w:rPr>
          <w:szCs w:val="22"/>
          <w:lang w:val="en-CA"/>
        </w:rPr>
        <w:t>;</w:t>
      </w:r>
      <w:r w:rsidRPr="00B73C3D">
        <w:rPr>
          <w:szCs w:val="22"/>
          <w:lang w:val="en-CA"/>
        </w:rPr>
        <w:t xml:space="preserve"> </w:t>
      </w:r>
    </w:p>
    <w:p w14:paraId="06A4A298" w14:textId="77777777" w:rsidR="0018728E" w:rsidRPr="00B73C3D" w:rsidRDefault="0018728E" w:rsidP="00950BE4">
      <w:pPr>
        <w:numPr>
          <w:ilvl w:val="1"/>
          <w:numId w:val="40"/>
        </w:numPr>
        <w:spacing w:before="120"/>
        <w:ind w:left="1701"/>
        <w:rPr>
          <w:szCs w:val="22"/>
        </w:rPr>
      </w:pPr>
      <w:r w:rsidRPr="00B73C3D">
        <w:rPr>
          <w:szCs w:val="22"/>
          <w:lang w:val="en-CA"/>
        </w:rPr>
        <w:t xml:space="preserve">Increase international biodiversity funding by </w:t>
      </w:r>
      <w:r>
        <w:rPr>
          <w:szCs w:val="22"/>
          <w:lang w:val="en-CA"/>
        </w:rPr>
        <w:t>multilateral development banks</w:t>
      </w:r>
      <w:r w:rsidRPr="00B73C3D">
        <w:rPr>
          <w:szCs w:val="22"/>
          <w:lang w:val="en-CA"/>
        </w:rPr>
        <w:t xml:space="preserve">, international financial institutions and philanthropy, in partnership with the </w:t>
      </w:r>
      <w:r>
        <w:rPr>
          <w:szCs w:val="22"/>
          <w:lang w:val="en-CA"/>
        </w:rPr>
        <w:t>Global Environment Facility,</w:t>
      </w:r>
      <w:r w:rsidRPr="00B73C3D">
        <w:rPr>
          <w:szCs w:val="22"/>
          <w:lang w:val="en-CA"/>
        </w:rPr>
        <w:t xml:space="preserve"> as appropriate</w:t>
      </w:r>
      <w:r>
        <w:rPr>
          <w:szCs w:val="22"/>
          <w:lang w:val="en-CA"/>
        </w:rPr>
        <w:t>;</w:t>
      </w:r>
    </w:p>
    <w:p w14:paraId="74FE5D88" w14:textId="77777777" w:rsidR="0018728E" w:rsidRPr="00B73C3D" w:rsidRDefault="0018728E" w:rsidP="00950BE4">
      <w:pPr>
        <w:numPr>
          <w:ilvl w:val="0"/>
          <w:numId w:val="39"/>
        </w:numPr>
        <w:tabs>
          <w:tab w:val="left" w:pos="1134"/>
        </w:tabs>
        <w:spacing w:before="120" w:after="120"/>
        <w:ind w:left="0" w:firstLine="567"/>
        <w:rPr>
          <w:szCs w:val="22"/>
          <w:lang w:val="en-CA"/>
        </w:rPr>
      </w:pPr>
      <w:r w:rsidRPr="00B73C3D">
        <w:rPr>
          <w:szCs w:val="22"/>
          <w:lang w:val="en-CA"/>
        </w:rPr>
        <w:t xml:space="preserve">Establish a </w:t>
      </w:r>
      <w:r>
        <w:rPr>
          <w:szCs w:val="22"/>
        </w:rPr>
        <w:t>Global Biodiversity Framework</w:t>
      </w:r>
      <w:r w:rsidDel="002A3943">
        <w:rPr>
          <w:szCs w:val="22"/>
          <w:lang w:val="en-CA"/>
        </w:rPr>
        <w:t xml:space="preserve"> </w:t>
      </w:r>
      <w:r>
        <w:rPr>
          <w:szCs w:val="22"/>
          <w:lang w:val="en-CA"/>
        </w:rPr>
        <w:t xml:space="preserve">fund </w:t>
      </w:r>
      <w:r w:rsidRPr="00B73C3D">
        <w:rPr>
          <w:szCs w:val="22"/>
          <w:lang w:val="en-CA"/>
        </w:rPr>
        <w:t xml:space="preserve">to be </w:t>
      </w:r>
      <w:r w:rsidRPr="008E2CE6">
        <w:rPr>
          <w:szCs w:val="22"/>
          <w:lang w:val="en-CA"/>
        </w:rPr>
        <w:t xml:space="preserve">open to contribution </w:t>
      </w:r>
      <w:r w:rsidRPr="008F6FFF">
        <w:rPr>
          <w:szCs w:val="22"/>
          <w:lang w:val="en-CA"/>
        </w:rPr>
        <w:t>from</w:t>
      </w:r>
      <w:r w:rsidRPr="008E2CE6">
        <w:rPr>
          <w:szCs w:val="22"/>
          <w:lang w:val="en-CA"/>
        </w:rPr>
        <w:t xml:space="preserve"> all sources;</w:t>
      </w:r>
    </w:p>
    <w:p w14:paraId="5D573313" w14:textId="77777777" w:rsidR="0018728E" w:rsidRPr="00B73C3D" w:rsidRDefault="0018728E" w:rsidP="00950BE4">
      <w:pPr>
        <w:numPr>
          <w:ilvl w:val="0"/>
          <w:numId w:val="39"/>
        </w:numPr>
        <w:tabs>
          <w:tab w:val="left" w:pos="1134"/>
        </w:tabs>
        <w:spacing w:before="120"/>
        <w:ind w:left="0" w:firstLine="567"/>
        <w:rPr>
          <w:szCs w:val="22"/>
          <w:lang w:val="en-CA"/>
        </w:rPr>
      </w:pPr>
      <w:r w:rsidRPr="00B73C3D">
        <w:rPr>
          <w:szCs w:val="22"/>
          <w:lang w:val="en-CA"/>
        </w:rPr>
        <w:t xml:space="preserve">Mobilize </w:t>
      </w:r>
      <w:r w:rsidRPr="008F6FFF">
        <w:rPr>
          <w:snapToGrid w:val="0"/>
          <w:kern w:val="20"/>
        </w:rPr>
        <w:t>additional</w:t>
      </w:r>
      <w:r w:rsidRPr="00B73C3D">
        <w:rPr>
          <w:szCs w:val="22"/>
          <w:lang w:val="en-CA"/>
        </w:rPr>
        <w:t xml:space="preserve"> international resources, including</w:t>
      </w:r>
    </w:p>
    <w:p w14:paraId="754F45BA" w14:textId="77777777" w:rsidR="0018728E" w:rsidRPr="008F6FFF" w:rsidRDefault="0018728E" w:rsidP="00950BE4">
      <w:pPr>
        <w:numPr>
          <w:ilvl w:val="0"/>
          <w:numId w:val="41"/>
        </w:numPr>
        <w:spacing w:before="120"/>
        <w:ind w:left="1701" w:hanging="425"/>
        <w:rPr>
          <w:szCs w:val="22"/>
          <w:lang w:val="en-CA"/>
        </w:rPr>
      </w:pPr>
      <w:r w:rsidRPr="008F6FFF">
        <w:rPr>
          <w:szCs w:val="22"/>
          <w:lang w:val="en-CA"/>
        </w:rPr>
        <w:t>By increasing innovative finance solutions, such as green bonds and payments for ecosystem services, and developing guidelines and sharing good practices;</w:t>
      </w:r>
    </w:p>
    <w:p w14:paraId="7D32EB00" w14:textId="77777777" w:rsidR="0018728E" w:rsidRPr="008F6FFF" w:rsidRDefault="0018728E" w:rsidP="00950BE4">
      <w:pPr>
        <w:numPr>
          <w:ilvl w:val="0"/>
          <w:numId w:val="41"/>
        </w:numPr>
        <w:spacing w:before="120"/>
        <w:ind w:left="1701" w:hanging="425"/>
        <w:rPr>
          <w:szCs w:val="22"/>
          <w:lang w:val="en-CA"/>
        </w:rPr>
      </w:pPr>
      <w:r w:rsidRPr="008F6FFF">
        <w:rPr>
          <w:szCs w:val="22"/>
          <w:lang w:val="en-CA"/>
        </w:rPr>
        <w:t>Through philanthropy and businesses, and leveraging private finance;</w:t>
      </w:r>
    </w:p>
    <w:p w14:paraId="256E57B6" w14:textId="77777777" w:rsidR="0018728E" w:rsidRPr="008F6FFF" w:rsidRDefault="0018728E" w:rsidP="00950BE4">
      <w:pPr>
        <w:numPr>
          <w:ilvl w:val="0"/>
          <w:numId w:val="41"/>
        </w:numPr>
        <w:spacing w:before="120"/>
        <w:ind w:left="1701" w:hanging="425"/>
        <w:rPr>
          <w:szCs w:val="22"/>
          <w:lang w:val="en-CA"/>
        </w:rPr>
      </w:pPr>
      <w:r w:rsidRPr="008F6FFF">
        <w:rPr>
          <w:szCs w:val="22"/>
          <w:lang w:val="en-CA"/>
        </w:rPr>
        <w:t>Through the multilateral mechanism for benefit</w:t>
      </w:r>
      <w:r>
        <w:rPr>
          <w:szCs w:val="22"/>
          <w:lang w:val="en-CA"/>
        </w:rPr>
        <w:noBreakHyphen/>
      </w:r>
      <w:r w:rsidRPr="008F6FFF">
        <w:rPr>
          <w:szCs w:val="22"/>
          <w:lang w:val="en-CA"/>
        </w:rPr>
        <w:t xml:space="preserve">sharing from the use of </w:t>
      </w:r>
      <w:r>
        <w:rPr>
          <w:szCs w:val="22"/>
          <w:lang w:val="en-CA"/>
        </w:rPr>
        <w:t>digital sequence information on genetic resources</w:t>
      </w:r>
      <w:r w:rsidRPr="008F6FFF">
        <w:rPr>
          <w:szCs w:val="22"/>
          <w:lang w:val="en-CA"/>
        </w:rPr>
        <w:t>;</w:t>
      </w:r>
      <w:r w:rsidRPr="00610646">
        <w:rPr>
          <w:rStyle w:val="FootnoteReference"/>
        </w:rPr>
        <w:footnoteReference w:id="57"/>
      </w:r>
    </w:p>
    <w:p w14:paraId="1527AC93" w14:textId="77777777" w:rsidR="0018728E" w:rsidRPr="00B73C3D" w:rsidRDefault="0018728E" w:rsidP="00950BE4">
      <w:pPr>
        <w:numPr>
          <w:ilvl w:val="0"/>
          <w:numId w:val="39"/>
        </w:numPr>
        <w:tabs>
          <w:tab w:val="left" w:pos="1134"/>
        </w:tabs>
        <w:spacing w:before="120"/>
        <w:ind w:left="0" w:firstLine="567"/>
        <w:rPr>
          <w:szCs w:val="22"/>
          <w:lang w:val="en-CA"/>
        </w:rPr>
      </w:pPr>
      <w:r w:rsidRPr="00B73C3D">
        <w:rPr>
          <w:szCs w:val="22"/>
          <w:lang w:val="en-CA"/>
        </w:rPr>
        <w:t xml:space="preserve">Enhance the </w:t>
      </w:r>
      <w:r w:rsidRPr="008F6FFF">
        <w:rPr>
          <w:snapToGrid w:val="0"/>
          <w:kern w:val="20"/>
        </w:rPr>
        <w:t>terms</w:t>
      </w:r>
      <w:r w:rsidRPr="00B73C3D">
        <w:rPr>
          <w:szCs w:val="22"/>
          <w:lang w:val="en-CA"/>
        </w:rPr>
        <w:t xml:space="preserve"> and implementation of agreements related to access to genetic resources, and the fair and equitable sharing of the benefits arising out of their utilization, including through multilateral approaches</w:t>
      </w:r>
      <w:r>
        <w:rPr>
          <w:szCs w:val="22"/>
          <w:lang w:val="en-CA"/>
        </w:rPr>
        <w:t>;</w:t>
      </w:r>
    </w:p>
    <w:p w14:paraId="2E143382" w14:textId="77777777" w:rsidR="0018728E" w:rsidRPr="00B73C3D" w:rsidRDefault="0018728E" w:rsidP="00950BE4">
      <w:pPr>
        <w:numPr>
          <w:ilvl w:val="0"/>
          <w:numId w:val="39"/>
        </w:numPr>
        <w:tabs>
          <w:tab w:val="left" w:pos="1134"/>
        </w:tabs>
        <w:spacing w:before="120"/>
        <w:ind w:left="0" w:firstLine="567"/>
        <w:rPr>
          <w:szCs w:val="22"/>
          <w:lang w:val="en-CA"/>
        </w:rPr>
      </w:pPr>
      <w:r>
        <w:rPr>
          <w:szCs w:val="22"/>
          <w:lang w:val="en-CA"/>
        </w:rPr>
        <w:t>I</w:t>
      </w:r>
      <w:r w:rsidRPr="00B73C3D">
        <w:rPr>
          <w:szCs w:val="22"/>
          <w:lang w:val="en-CA"/>
        </w:rPr>
        <w:t>mprov</w:t>
      </w:r>
      <w:r>
        <w:rPr>
          <w:szCs w:val="22"/>
          <w:lang w:val="en-CA"/>
        </w:rPr>
        <w:t>ing</w:t>
      </w:r>
      <w:r w:rsidRPr="00B73C3D">
        <w:rPr>
          <w:szCs w:val="22"/>
          <w:lang w:val="en-CA"/>
        </w:rPr>
        <w:t xml:space="preserve"> </w:t>
      </w:r>
      <w:r w:rsidRPr="008F6FFF">
        <w:rPr>
          <w:snapToGrid w:val="0"/>
          <w:kern w:val="20"/>
        </w:rPr>
        <w:t>market</w:t>
      </w:r>
      <w:r w:rsidRPr="00B73C3D">
        <w:rPr>
          <w:szCs w:val="22"/>
          <w:lang w:val="en-CA"/>
        </w:rPr>
        <w:t xml:space="preserve"> access for biodiversity-based products and services.</w:t>
      </w:r>
    </w:p>
    <w:p w14:paraId="5808CD3B" w14:textId="77777777" w:rsidR="0018728E" w:rsidRPr="008F6FFF" w:rsidRDefault="0018728E" w:rsidP="008F6FFF">
      <w:pPr>
        <w:keepNext/>
        <w:keepLines/>
        <w:snapToGrid w:val="0"/>
        <w:spacing w:before="240" w:after="120"/>
        <w:jc w:val="left"/>
        <w:rPr>
          <w:b/>
          <w:bCs/>
          <w:szCs w:val="22"/>
          <w:lang w:val="en-CA"/>
        </w:rPr>
      </w:pPr>
      <w:r w:rsidRPr="008F6FFF">
        <w:rPr>
          <w:b/>
          <w:bCs/>
          <w:szCs w:val="22"/>
          <w:lang w:val="en-CA"/>
        </w:rPr>
        <w:lastRenderedPageBreak/>
        <w:t>2.</w:t>
      </w:r>
      <w:r>
        <w:rPr>
          <w:b/>
          <w:bCs/>
          <w:szCs w:val="22"/>
          <w:lang w:val="en-CA"/>
        </w:rPr>
        <w:t xml:space="preserve"> </w:t>
      </w:r>
      <w:r w:rsidRPr="008F6FFF">
        <w:rPr>
          <w:b/>
          <w:bCs/>
          <w:szCs w:val="22"/>
          <w:lang w:val="en-CA"/>
        </w:rPr>
        <w:t>Identify and eliminate, phase out, or reform financial resource flows causing harm</w:t>
      </w:r>
    </w:p>
    <w:p w14:paraId="64B62374" w14:textId="77777777" w:rsidR="0018728E" w:rsidRPr="00B73C3D" w:rsidRDefault="0018728E" w:rsidP="00950BE4">
      <w:pPr>
        <w:numPr>
          <w:ilvl w:val="0"/>
          <w:numId w:val="30"/>
        </w:numPr>
        <w:tabs>
          <w:tab w:val="left" w:pos="1134"/>
        </w:tabs>
        <w:spacing w:before="120"/>
        <w:ind w:left="0" w:firstLine="567"/>
        <w:rPr>
          <w:szCs w:val="22"/>
          <w:lang w:val="en-CA"/>
        </w:rPr>
      </w:pPr>
      <w:r w:rsidRPr="00B73C3D">
        <w:rPr>
          <w:szCs w:val="22"/>
          <w:lang w:val="en-CA"/>
        </w:rPr>
        <w:t xml:space="preserve">Mainstream biodiversity in development cooperation: </w:t>
      </w:r>
    </w:p>
    <w:p w14:paraId="3A7AFCDF" w14:textId="77777777" w:rsidR="0018728E" w:rsidRPr="00B73C3D" w:rsidRDefault="0018728E" w:rsidP="00950BE4">
      <w:pPr>
        <w:numPr>
          <w:ilvl w:val="2"/>
          <w:numId w:val="42"/>
        </w:numPr>
        <w:spacing w:before="120"/>
        <w:ind w:left="1701"/>
        <w:rPr>
          <w:szCs w:val="22"/>
          <w:lang w:val="en-CA"/>
        </w:rPr>
      </w:pPr>
      <w:r>
        <w:rPr>
          <w:szCs w:val="22"/>
          <w:lang w:val="en-CA"/>
        </w:rPr>
        <w:t>R</w:t>
      </w:r>
      <w:r w:rsidRPr="00B73C3D">
        <w:rPr>
          <w:szCs w:val="22"/>
          <w:lang w:val="en-CA"/>
        </w:rPr>
        <w:t xml:space="preserve">e-prioritize portfolios and practices of development cooperation agencies and banks, </w:t>
      </w:r>
      <w:r>
        <w:rPr>
          <w:szCs w:val="22"/>
          <w:lang w:val="en-CA"/>
        </w:rPr>
        <w:t>multilateral development banks</w:t>
      </w:r>
      <w:r w:rsidRPr="00B73C3D">
        <w:rPr>
          <w:szCs w:val="22"/>
          <w:lang w:val="en-CA"/>
        </w:rPr>
        <w:t>, international financial institutions and charities, with a view to aligning financial flows with the objectives of the Convention</w:t>
      </w:r>
      <w:r>
        <w:rPr>
          <w:szCs w:val="22"/>
          <w:lang w:val="en-CA"/>
        </w:rPr>
        <w:t>;</w:t>
      </w:r>
      <w:r w:rsidRPr="00B73C3D">
        <w:rPr>
          <w:szCs w:val="22"/>
          <w:lang w:val="en-CA"/>
        </w:rPr>
        <w:t xml:space="preserve"> </w:t>
      </w:r>
    </w:p>
    <w:p w14:paraId="1B43C7C9" w14:textId="77777777" w:rsidR="0018728E" w:rsidRPr="00B73C3D" w:rsidRDefault="0018728E" w:rsidP="00950BE4">
      <w:pPr>
        <w:numPr>
          <w:ilvl w:val="2"/>
          <w:numId w:val="42"/>
        </w:numPr>
        <w:spacing w:before="120"/>
        <w:ind w:left="1701"/>
        <w:rPr>
          <w:szCs w:val="22"/>
          <w:lang w:val="en-CA"/>
        </w:rPr>
      </w:pPr>
      <w:r>
        <w:rPr>
          <w:szCs w:val="22"/>
          <w:lang w:val="en-CA"/>
        </w:rPr>
        <w:t>H</w:t>
      </w:r>
      <w:r w:rsidRPr="00B73C3D">
        <w:rPr>
          <w:szCs w:val="22"/>
          <w:lang w:val="en-CA"/>
        </w:rPr>
        <w:t>arness and scale synergies in project development and financing with a view to generating and increasing biodiversity co-benefits.</w:t>
      </w:r>
    </w:p>
    <w:p w14:paraId="12543C85" w14:textId="77777777" w:rsidR="0018728E" w:rsidRPr="00B73C3D" w:rsidRDefault="0018728E" w:rsidP="00950BE4">
      <w:pPr>
        <w:numPr>
          <w:ilvl w:val="0"/>
          <w:numId w:val="30"/>
        </w:numPr>
        <w:tabs>
          <w:tab w:val="left" w:pos="1134"/>
        </w:tabs>
        <w:spacing w:before="120"/>
        <w:ind w:left="0" w:firstLine="567"/>
        <w:rPr>
          <w:szCs w:val="22"/>
          <w:lang w:val="en-CA"/>
        </w:rPr>
      </w:pPr>
      <w:r w:rsidRPr="00B73C3D">
        <w:rPr>
          <w:szCs w:val="22"/>
          <w:lang w:val="en-CA"/>
        </w:rPr>
        <w:t>Strengthen risk assessment and transparent reporting requirement of international private finance and business actors.</w:t>
      </w:r>
    </w:p>
    <w:p w14:paraId="44A26D45" w14:textId="77777777" w:rsidR="0018728E" w:rsidRPr="00B73C3D" w:rsidRDefault="0018728E" w:rsidP="00950BE4">
      <w:pPr>
        <w:numPr>
          <w:ilvl w:val="0"/>
          <w:numId w:val="30"/>
        </w:numPr>
        <w:tabs>
          <w:tab w:val="left" w:pos="1134"/>
        </w:tabs>
        <w:spacing w:before="120"/>
        <w:ind w:left="0" w:firstLine="567"/>
        <w:rPr>
          <w:szCs w:val="22"/>
          <w:lang w:val="en-CA"/>
        </w:rPr>
      </w:pPr>
      <w:r w:rsidRPr="00B73C3D">
        <w:rPr>
          <w:szCs w:val="22"/>
          <w:lang w:val="en-CA"/>
        </w:rPr>
        <w:t>Report on actions taken and efforts made to identify and eliminate, phase out, or reform</w:t>
      </w:r>
      <w:r>
        <w:rPr>
          <w:szCs w:val="22"/>
          <w:lang w:val="en-CA"/>
        </w:rPr>
        <w:t xml:space="preserve"> </w:t>
      </w:r>
      <w:r w:rsidRPr="00B73C3D">
        <w:rPr>
          <w:szCs w:val="22"/>
          <w:lang w:val="en-CA"/>
        </w:rPr>
        <w:t>harmful incentives.</w:t>
      </w:r>
      <w:r w:rsidRPr="00B73C3D">
        <w:rPr>
          <w:sz w:val="16"/>
        </w:rPr>
        <w:t xml:space="preserve"> </w:t>
      </w:r>
    </w:p>
    <w:p w14:paraId="2646B753" w14:textId="77777777" w:rsidR="0018728E" w:rsidRPr="008F6FFF" w:rsidRDefault="0018728E" w:rsidP="008F6FFF">
      <w:pPr>
        <w:keepNext/>
        <w:spacing w:before="240" w:after="120"/>
        <w:jc w:val="left"/>
        <w:rPr>
          <w:b/>
          <w:bCs/>
          <w:szCs w:val="22"/>
          <w:lang w:val="en-CA"/>
        </w:rPr>
      </w:pPr>
      <w:r>
        <w:rPr>
          <w:b/>
          <w:bCs/>
          <w:szCs w:val="22"/>
          <w:lang w:val="en-CA"/>
        </w:rPr>
        <w:t xml:space="preserve">3. </w:t>
      </w:r>
      <w:r w:rsidRPr="008F6FFF">
        <w:rPr>
          <w:b/>
          <w:bCs/>
          <w:szCs w:val="22"/>
          <w:lang w:val="en-CA"/>
        </w:rPr>
        <w:t>Enhance the effectiveness of resource use</w:t>
      </w:r>
    </w:p>
    <w:p w14:paraId="01F3BB08" w14:textId="77777777" w:rsidR="0018728E" w:rsidRPr="00B73C3D" w:rsidRDefault="0018728E" w:rsidP="00950BE4">
      <w:pPr>
        <w:numPr>
          <w:ilvl w:val="0"/>
          <w:numId w:val="43"/>
        </w:numPr>
        <w:tabs>
          <w:tab w:val="left" w:pos="1134"/>
        </w:tabs>
        <w:spacing w:before="120"/>
        <w:ind w:left="0" w:firstLine="567"/>
        <w:rPr>
          <w:szCs w:val="22"/>
          <w:lang w:val="en-CA"/>
        </w:rPr>
      </w:pPr>
      <w:r>
        <w:rPr>
          <w:szCs w:val="22"/>
          <w:lang w:val="en-CA"/>
        </w:rPr>
        <w:t>I</w:t>
      </w:r>
      <w:r w:rsidRPr="00B73C3D">
        <w:rPr>
          <w:szCs w:val="22"/>
          <w:lang w:val="en-CA"/>
        </w:rPr>
        <w:t xml:space="preserve">mprove GEF operations and access modalities, including by developing fast-track systems; by allowing the </w:t>
      </w:r>
      <w:r w:rsidRPr="00A92E4D">
        <w:rPr>
          <w:szCs w:val="22"/>
          <w:lang w:val="en-CA"/>
        </w:rPr>
        <w:t>GEF Trust Fund</w:t>
      </w:r>
      <w:r w:rsidRPr="00B73C3D">
        <w:rPr>
          <w:szCs w:val="22"/>
          <w:lang w:val="en-CA"/>
        </w:rPr>
        <w:t xml:space="preserve"> to be open to contributions from all sources, including from the private sector and from philanthropy; and by putting in place institutional arrangements for the trust fund in partnership with </w:t>
      </w:r>
      <w:r>
        <w:rPr>
          <w:szCs w:val="22"/>
          <w:lang w:val="en-CA"/>
        </w:rPr>
        <w:t>multilateral development banks</w:t>
      </w:r>
      <w:r w:rsidRPr="00B73C3D">
        <w:rPr>
          <w:szCs w:val="22"/>
          <w:lang w:val="en-CA"/>
        </w:rPr>
        <w:t xml:space="preserve"> and international financial institutions</w:t>
      </w:r>
      <w:r>
        <w:rPr>
          <w:szCs w:val="22"/>
          <w:lang w:val="en-CA"/>
        </w:rPr>
        <w:t>;</w:t>
      </w:r>
    </w:p>
    <w:p w14:paraId="7E5AC724" w14:textId="77777777" w:rsidR="0018728E" w:rsidRPr="00B73C3D" w:rsidRDefault="0018728E" w:rsidP="00950BE4">
      <w:pPr>
        <w:numPr>
          <w:ilvl w:val="0"/>
          <w:numId w:val="43"/>
        </w:numPr>
        <w:tabs>
          <w:tab w:val="left" w:pos="1134"/>
        </w:tabs>
        <w:spacing w:before="120"/>
        <w:ind w:left="0" w:firstLine="567"/>
        <w:rPr>
          <w:szCs w:val="22"/>
          <w:lang w:val="en-CA"/>
        </w:rPr>
      </w:pPr>
      <w:r>
        <w:rPr>
          <w:szCs w:val="22"/>
          <w:lang w:val="en-CA"/>
        </w:rPr>
        <w:t>S</w:t>
      </w:r>
      <w:r w:rsidRPr="00B73C3D">
        <w:rPr>
          <w:szCs w:val="22"/>
          <w:lang w:val="en-CA"/>
        </w:rPr>
        <w:t xml:space="preserve">implify access modalities for biodiversity funding of </w:t>
      </w:r>
      <w:r>
        <w:rPr>
          <w:szCs w:val="22"/>
          <w:lang w:val="en-CA"/>
        </w:rPr>
        <w:t>multilateral development banks</w:t>
      </w:r>
      <w:r w:rsidRPr="00B73C3D">
        <w:rPr>
          <w:szCs w:val="22"/>
          <w:lang w:val="en-CA"/>
        </w:rPr>
        <w:t>, international financial institutions and charities</w:t>
      </w:r>
      <w:r>
        <w:rPr>
          <w:szCs w:val="22"/>
          <w:lang w:val="en-CA"/>
        </w:rPr>
        <w:t>;</w:t>
      </w:r>
    </w:p>
    <w:p w14:paraId="7B96BAD8" w14:textId="77777777" w:rsidR="0018728E" w:rsidRPr="00B73C3D" w:rsidRDefault="0018728E" w:rsidP="00950BE4">
      <w:pPr>
        <w:numPr>
          <w:ilvl w:val="0"/>
          <w:numId w:val="43"/>
        </w:numPr>
        <w:tabs>
          <w:tab w:val="left" w:pos="1134"/>
        </w:tabs>
        <w:spacing w:before="120"/>
        <w:ind w:left="0" w:firstLine="567"/>
        <w:rPr>
          <w:szCs w:val="22"/>
          <w:lang w:val="en-CA"/>
        </w:rPr>
      </w:pPr>
      <w:r>
        <w:rPr>
          <w:szCs w:val="22"/>
          <w:lang w:val="en-CA"/>
        </w:rPr>
        <w:t>I</w:t>
      </w:r>
      <w:r w:rsidRPr="00B73C3D">
        <w:rPr>
          <w:szCs w:val="22"/>
          <w:lang w:val="en-CA"/>
        </w:rPr>
        <w:t>ncrease transparency and accountability, monitoring and reporting, of biodiversity-related public and private financing at all levels</w:t>
      </w:r>
      <w:r>
        <w:rPr>
          <w:szCs w:val="22"/>
          <w:lang w:val="en-CA"/>
        </w:rPr>
        <w:t>;</w:t>
      </w:r>
    </w:p>
    <w:p w14:paraId="608AF0AB" w14:textId="77777777" w:rsidR="0018728E" w:rsidRPr="00B73C3D" w:rsidRDefault="0018728E" w:rsidP="00950BE4">
      <w:pPr>
        <w:numPr>
          <w:ilvl w:val="0"/>
          <w:numId w:val="43"/>
        </w:numPr>
        <w:tabs>
          <w:tab w:val="left" w:pos="1134"/>
        </w:tabs>
        <w:spacing w:before="120"/>
        <w:ind w:left="0" w:firstLine="567"/>
        <w:rPr>
          <w:szCs w:val="22"/>
          <w:lang w:val="en-CA"/>
        </w:rPr>
      </w:pPr>
      <w:r>
        <w:rPr>
          <w:szCs w:val="22"/>
          <w:lang w:val="en-CA"/>
        </w:rPr>
        <w:t>D</w:t>
      </w:r>
      <w:r w:rsidRPr="00B73C3D">
        <w:rPr>
          <w:szCs w:val="22"/>
          <w:lang w:val="en-CA"/>
        </w:rPr>
        <w:t>irect more resources to key implementation partners at the regional, national and local levels and facilitate partnerships to ensure community engagement and results on</w:t>
      </w:r>
      <w:r>
        <w:rPr>
          <w:szCs w:val="22"/>
          <w:lang w:val="en-CA"/>
        </w:rPr>
        <w:t xml:space="preserve"> </w:t>
      </w:r>
      <w:r w:rsidRPr="00B73C3D">
        <w:rPr>
          <w:szCs w:val="22"/>
          <w:lang w:val="en-CA"/>
        </w:rPr>
        <w:t>the</w:t>
      </w:r>
      <w:r>
        <w:rPr>
          <w:szCs w:val="22"/>
          <w:lang w:val="en-CA"/>
        </w:rPr>
        <w:t xml:space="preserve"> </w:t>
      </w:r>
      <w:r w:rsidRPr="00B73C3D">
        <w:rPr>
          <w:szCs w:val="22"/>
          <w:lang w:val="en-CA"/>
        </w:rPr>
        <w:t>ground</w:t>
      </w:r>
      <w:r>
        <w:rPr>
          <w:szCs w:val="22"/>
          <w:lang w:val="en-CA"/>
        </w:rPr>
        <w:t>;</w:t>
      </w:r>
      <w:r w:rsidRPr="00B73C3D">
        <w:rPr>
          <w:szCs w:val="22"/>
          <w:lang w:val="en-CA"/>
        </w:rPr>
        <w:t xml:space="preserve"> </w:t>
      </w:r>
    </w:p>
    <w:p w14:paraId="4D3FC83B" w14:textId="77777777" w:rsidR="0018728E" w:rsidRPr="00B73C3D" w:rsidRDefault="0018728E" w:rsidP="00950BE4">
      <w:pPr>
        <w:numPr>
          <w:ilvl w:val="0"/>
          <w:numId w:val="43"/>
        </w:numPr>
        <w:tabs>
          <w:tab w:val="left" w:pos="1134"/>
        </w:tabs>
        <w:spacing w:before="120"/>
        <w:ind w:left="0" w:firstLine="567"/>
        <w:rPr>
          <w:szCs w:val="22"/>
          <w:lang w:val="en-CA"/>
        </w:rPr>
      </w:pPr>
      <w:r>
        <w:rPr>
          <w:szCs w:val="22"/>
          <w:lang w:val="en-CA"/>
        </w:rPr>
        <w:t>S</w:t>
      </w:r>
      <w:r w:rsidRPr="00B73C3D">
        <w:rPr>
          <w:szCs w:val="22"/>
          <w:lang w:val="en-CA"/>
        </w:rPr>
        <w:t>trengthen ownership and capacity to access funding</w:t>
      </w:r>
      <w:r>
        <w:rPr>
          <w:szCs w:val="22"/>
          <w:lang w:val="en-CA"/>
        </w:rPr>
        <w:t>;</w:t>
      </w:r>
    </w:p>
    <w:p w14:paraId="22F15FCB" w14:textId="77777777" w:rsidR="0018728E" w:rsidRPr="008F6FFF" w:rsidRDefault="0018728E" w:rsidP="00950BE4">
      <w:pPr>
        <w:numPr>
          <w:ilvl w:val="0"/>
          <w:numId w:val="43"/>
        </w:numPr>
        <w:tabs>
          <w:tab w:val="left" w:pos="1134"/>
        </w:tabs>
        <w:spacing w:before="120"/>
        <w:ind w:left="0" w:firstLine="567"/>
        <w:rPr>
          <w:szCs w:val="22"/>
          <w:lang w:val="en-CA"/>
        </w:rPr>
      </w:pPr>
      <w:r w:rsidRPr="00B73C3D">
        <w:rPr>
          <w:szCs w:val="22"/>
          <w:lang w:val="en-US"/>
        </w:rPr>
        <w:t>Build synergies and harness biodiversity co-benefits.</w:t>
      </w:r>
    </w:p>
    <w:p w14:paraId="20F4B8DA" w14:textId="77777777" w:rsidR="0018728E" w:rsidRPr="00B73C3D" w:rsidRDefault="0018728E" w:rsidP="008F6FFF">
      <w:pPr>
        <w:keepNext/>
        <w:keepLines/>
        <w:spacing w:before="240" w:after="120"/>
        <w:rPr>
          <w:b/>
          <w:bCs/>
          <w:szCs w:val="22"/>
          <w:lang w:val="en-CA"/>
        </w:rPr>
      </w:pPr>
      <w:r>
        <w:rPr>
          <w:b/>
          <w:bCs/>
          <w:szCs w:val="22"/>
          <w:lang w:val="en-CA"/>
        </w:rPr>
        <w:t>4. Significantly i</w:t>
      </w:r>
      <w:r w:rsidRPr="00B73C3D">
        <w:rPr>
          <w:b/>
          <w:bCs/>
          <w:szCs w:val="22"/>
          <w:lang w:val="en-CA"/>
        </w:rPr>
        <w:t>ncrease domestic resource mobilization from all sources</w:t>
      </w:r>
    </w:p>
    <w:p w14:paraId="67644F52" w14:textId="77777777" w:rsidR="0018728E" w:rsidRPr="008F6FFF" w:rsidRDefault="0018728E" w:rsidP="008F6FFF">
      <w:pPr>
        <w:keepNext/>
        <w:keepLines/>
        <w:spacing w:before="120"/>
        <w:jc w:val="left"/>
        <w:rPr>
          <w:i/>
          <w:iCs/>
          <w:szCs w:val="22"/>
          <w:lang w:val="en-CA"/>
        </w:rPr>
      </w:pPr>
      <w:r w:rsidRPr="008F6FFF">
        <w:rPr>
          <w:i/>
          <w:iCs/>
          <w:szCs w:val="22"/>
          <w:lang w:val="en-CA"/>
        </w:rPr>
        <w:t>New and additional resources</w:t>
      </w:r>
    </w:p>
    <w:p w14:paraId="0E43EB9D" w14:textId="77777777" w:rsidR="0018728E" w:rsidRPr="00B73C3D" w:rsidRDefault="0018728E" w:rsidP="00950BE4">
      <w:pPr>
        <w:numPr>
          <w:ilvl w:val="0"/>
          <w:numId w:val="44"/>
        </w:numPr>
        <w:tabs>
          <w:tab w:val="left" w:pos="1134"/>
        </w:tabs>
        <w:spacing w:before="120"/>
        <w:ind w:left="0" w:firstLine="556"/>
        <w:rPr>
          <w:szCs w:val="22"/>
          <w:lang w:val="en-CA"/>
        </w:rPr>
      </w:pPr>
      <w:r w:rsidRPr="00B73C3D">
        <w:rPr>
          <w:szCs w:val="22"/>
          <w:lang w:val="en-CA"/>
        </w:rPr>
        <w:t>Significantly increase domestic public biodiversity-related expenditures</w:t>
      </w:r>
      <w:r>
        <w:rPr>
          <w:szCs w:val="22"/>
          <w:lang w:val="en-CA"/>
        </w:rPr>
        <w:t>;</w:t>
      </w:r>
    </w:p>
    <w:p w14:paraId="5EB28BF3" w14:textId="77777777" w:rsidR="0018728E" w:rsidRPr="00B73C3D" w:rsidRDefault="0018728E" w:rsidP="00950BE4">
      <w:pPr>
        <w:numPr>
          <w:ilvl w:val="0"/>
          <w:numId w:val="44"/>
        </w:numPr>
        <w:tabs>
          <w:tab w:val="left" w:pos="1134"/>
        </w:tabs>
        <w:spacing w:before="120"/>
        <w:ind w:left="0" w:firstLine="556"/>
        <w:rPr>
          <w:szCs w:val="22"/>
          <w:lang w:val="en-CA"/>
        </w:rPr>
      </w:pPr>
      <w:r w:rsidRPr="00B73C3D">
        <w:rPr>
          <w:szCs w:val="22"/>
          <w:lang w:val="en-CA"/>
        </w:rPr>
        <w:t>Use as appropriate international finance in order to leverage public and private domestic biodiversity finance</w:t>
      </w:r>
      <w:r>
        <w:rPr>
          <w:szCs w:val="22"/>
          <w:lang w:val="en-CA"/>
        </w:rPr>
        <w:t>;</w:t>
      </w:r>
    </w:p>
    <w:p w14:paraId="02AFBFAC" w14:textId="77777777" w:rsidR="0018728E" w:rsidRPr="00B73C3D" w:rsidRDefault="0018728E" w:rsidP="00950BE4">
      <w:pPr>
        <w:numPr>
          <w:ilvl w:val="0"/>
          <w:numId w:val="44"/>
        </w:numPr>
        <w:tabs>
          <w:tab w:val="left" w:pos="1134"/>
        </w:tabs>
        <w:spacing w:before="120"/>
        <w:ind w:left="0" w:firstLine="556"/>
        <w:rPr>
          <w:szCs w:val="22"/>
          <w:lang w:val="en-CA"/>
        </w:rPr>
      </w:pPr>
      <w:r w:rsidRPr="00B73C3D">
        <w:rPr>
          <w:szCs w:val="22"/>
          <w:lang w:val="en-CA"/>
        </w:rPr>
        <w:t>design and implement or scale positive incentive measures, in line with other relevant international obligations</w:t>
      </w:r>
      <w:r>
        <w:rPr>
          <w:szCs w:val="22"/>
          <w:lang w:val="en-CA"/>
        </w:rPr>
        <w:t>;</w:t>
      </w:r>
    </w:p>
    <w:p w14:paraId="2B58ED85" w14:textId="77777777" w:rsidR="0018728E" w:rsidRPr="00B73C3D" w:rsidRDefault="0018728E" w:rsidP="00950BE4">
      <w:pPr>
        <w:numPr>
          <w:ilvl w:val="0"/>
          <w:numId w:val="44"/>
        </w:numPr>
        <w:tabs>
          <w:tab w:val="left" w:pos="1134"/>
        </w:tabs>
        <w:spacing w:before="120"/>
        <w:ind w:left="0" w:firstLine="556"/>
        <w:rPr>
          <w:szCs w:val="22"/>
          <w:lang w:val="en-CA"/>
        </w:rPr>
      </w:pPr>
      <w:r w:rsidRPr="00B73C3D">
        <w:rPr>
          <w:szCs w:val="22"/>
          <w:lang w:val="en-CA"/>
        </w:rPr>
        <w:t>Significantly increase domestic private biodiversity-related expenditures, both direct and indirect</w:t>
      </w:r>
      <w:r>
        <w:rPr>
          <w:szCs w:val="22"/>
          <w:lang w:val="en-CA"/>
        </w:rPr>
        <w:t>;</w:t>
      </w:r>
    </w:p>
    <w:p w14:paraId="0D9CDE77" w14:textId="77777777" w:rsidR="0018728E" w:rsidRPr="00B73C3D" w:rsidRDefault="0018728E" w:rsidP="00950BE4">
      <w:pPr>
        <w:numPr>
          <w:ilvl w:val="0"/>
          <w:numId w:val="44"/>
        </w:numPr>
        <w:tabs>
          <w:tab w:val="left" w:pos="1134"/>
        </w:tabs>
        <w:spacing w:before="120"/>
        <w:ind w:left="0" w:firstLine="556"/>
        <w:rPr>
          <w:szCs w:val="22"/>
          <w:lang w:val="en-CA"/>
        </w:rPr>
      </w:pPr>
      <w:r>
        <w:rPr>
          <w:szCs w:val="22"/>
        </w:rPr>
        <w:t>D</w:t>
      </w:r>
      <w:r w:rsidRPr="00B73C3D">
        <w:rPr>
          <w:szCs w:val="22"/>
        </w:rPr>
        <w:t xml:space="preserve">evelop and apply biodiversity finance solutions or similar instruments for biodiversity financing, including by applying and/or scaling the use of innovative financial tools such as </w:t>
      </w:r>
      <w:r w:rsidRPr="00B73C3D">
        <w:rPr>
          <w:szCs w:val="22"/>
          <w:lang w:val="en-CA"/>
        </w:rPr>
        <w:t>blended finance or green/blue bonds</w:t>
      </w:r>
      <w:r>
        <w:rPr>
          <w:szCs w:val="22"/>
          <w:lang w:val="en-CA"/>
        </w:rPr>
        <w:t>;</w:t>
      </w:r>
    </w:p>
    <w:p w14:paraId="560F28DC" w14:textId="77777777" w:rsidR="0018728E" w:rsidRPr="006F1DC9" w:rsidRDefault="0018728E" w:rsidP="00950BE4">
      <w:pPr>
        <w:numPr>
          <w:ilvl w:val="0"/>
          <w:numId w:val="44"/>
        </w:numPr>
        <w:tabs>
          <w:tab w:val="left" w:pos="1134"/>
        </w:tabs>
        <w:spacing w:before="120"/>
        <w:ind w:left="0" w:firstLine="556"/>
        <w:rPr>
          <w:szCs w:val="22"/>
        </w:rPr>
      </w:pPr>
      <w:r w:rsidRPr="00D63BD4">
        <w:rPr>
          <w:szCs w:val="22"/>
        </w:rPr>
        <w:t>Enhanc</w:t>
      </w:r>
      <w:r>
        <w:rPr>
          <w:szCs w:val="22"/>
        </w:rPr>
        <w:t>e</w:t>
      </w:r>
      <w:r w:rsidRPr="00D63BD4">
        <w:rPr>
          <w:szCs w:val="22"/>
        </w:rPr>
        <w:t xml:space="preserve"> the role of collective actions, including by indigenous peoples and local communities, Mother Earth centric actions and non-market-based approaches</w:t>
      </w:r>
      <w:r w:rsidRPr="00B73C3D">
        <w:rPr>
          <w:szCs w:val="22"/>
        </w:rPr>
        <w:t>.</w:t>
      </w:r>
    </w:p>
    <w:p w14:paraId="1E9F7184" w14:textId="77777777" w:rsidR="0018728E" w:rsidRPr="008F6FFF" w:rsidRDefault="0018728E" w:rsidP="00316132">
      <w:pPr>
        <w:keepNext/>
        <w:spacing w:before="240"/>
        <w:jc w:val="left"/>
        <w:rPr>
          <w:b/>
          <w:bCs/>
          <w:szCs w:val="22"/>
        </w:rPr>
      </w:pPr>
      <w:r>
        <w:rPr>
          <w:b/>
          <w:bCs/>
          <w:szCs w:val="22"/>
        </w:rPr>
        <w:lastRenderedPageBreak/>
        <w:t xml:space="preserve">5. </w:t>
      </w:r>
      <w:r w:rsidRPr="008F6FFF">
        <w:rPr>
          <w:b/>
          <w:bCs/>
          <w:szCs w:val="22"/>
        </w:rPr>
        <w:t>Identify and eliminate, phase out, or reform financial resource flows causing harm</w:t>
      </w:r>
    </w:p>
    <w:p w14:paraId="65D29683" w14:textId="77777777" w:rsidR="0018728E" w:rsidRPr="00B73C3D" w:rsidRDefault="0018728E" w:rsidP="00950BE4">
      <w:pPr>
        <w:numPr>
          <w:ilvl w:val="0"/>
          <w:numId w:val="45"/>
        </w:numPr>
        <w:tabs>
          <w:tab w:val="left" w:pos="1134"/>
        </w:tabs>
        <w:spacing w:before="120"/>
        <w:ind w:left="0" w:firstLine="556"/>
        <w:jc w:val="left"/>
        <w:rPr>
          <w:szCs w:val="22"/>
          <w:lang w:val="en-CA"/>
        </w:rPr>
      </w:pPr>
      <w:r w:rsidRPr="00B73C3D">
        <w:rPr>
          <w:szCs w:val="22"/>
          <w:lang w:val="en-CA"/>
        </w:rPr>
        <w:t xml:space="preserve">Mainstream biodiversity in public budgets: </w:t>
      </w:r>
      <w:r>
        <w:rPr>
          <w:szCs w:val="22"/>
          <w:lang w:val="en-CA"/>
        </w:rPr>
        <w:t xml:space="preserve">progressively </w:t>
      </w:r>
      <w:r w:rsidRPr="00B73C3D">
        <w:rPr>
          <w:szCs w:val="22"/>
          <w:lang w:val="en-CA"/>
        </w:rPr>
        <w:t>align</w:t>
      </w:r>
      <w:r>
        <w:rPr>
          <w:szCs w:val="22"/>
          <w:lang w:val="en-CA"/>
        </w:rPr>
        <w:t>ing</w:t>
      </w:r>
      <w:r w:rsidRPr="00B73C3D">
        <w:rPr>
          <w:szCs w:val="22"/>
          <w:lang w:val="en-CA"/>
        </w:rPr>
        <w:t xml:space="preserve"> all public </w:t>
      </w:r>
      <w:r>
        <w:rPr>
          <w:szCs w:val="22"/>
          <w:lang w:val="en-CA"/>
        </w:rPr>
        <w:t xml:space="preserve">fiscal and </w:t>
      </w:r>
      <w:r w:rsidRPr="00B73C3D">
        <w:rPr>
          <w:szCs w:val="22"/>
          <w:lang w:val="en-CA"/>
        </w:rPr>
        <w:t xml:space="preserve">financial flows with the </w:t>
      </w:r>
      <w:r>
        <w:rPr>
          <w:szCs w:val="22"/>
          <w:lang w:val="en-CA"/>
        </w:rPr>
        <w:t>goals and targets of the Kunming-Montreal Global Biodiversity Framework</w:t>
      </w:r>
      <w:r w:rsidRPr="00B73C3D">
        <w:rPr>
          <w:szCs w:val="22"/>
          <w:lang w:val="en-CA"/>
        </w:rPr>
        <w:t>, as far as possible and as appropriate</w:t>
      </w:r>
      <w:r>
        <w:rPr>
          <w:szCs w:val="22"/>
          <w:lang w:val="en-CA"/>
        </w:rPr>
        <w:t>;</w:t>
      </w:r>
    </w:p>
    <w:p w14:paraId="5AE51D51" w14:textId="77777777" w:rsidR="0018728E" w:rsidRPr="00B73C3D" w:rsidRDefault="0018728E" w:rsidP="00950BE4">
      <w:pPr>
        <w:numPr>
          <w:ilvl w:val="0"/>
          <w:numId w:val="45"/>
        </w:numPr>
        <w:tabs>
          <w:tab w:val="left" w:pos="1134"/>
        </w:tabs>
        <w:spacing w:before="120"/>
        <w:ind w:left="0" w:firstLine="556"/>
        <w:jc w:val="left"/>
        <w:rPr>
          <w:szCs w:val="22"/>
          <w:lang w:val="en-CA"/>
        </w:rPr>
      </w:pPr>
      <w:r w:rsidRPr="00B73C3D">
        <w:rPr>
          <w:szCs w:val="22"/>
          <w:lang w:val="en-CA"/>
        </w:rPr>
        <w:t>Private sector mainstreaming: ensure or encourage, as appropriate, alignment of relevant fiscal, private and financial flows with the objectives of the Convention</w:t>
      </w:r>
      <w:r>
        <w:rPr>
          <w:szCs w:val="22"/>
          <w:lang w:val="en-CA"/>
        </w:rPr>
        <w:t>;</w:t>
      </w:r>
    </w:p>
    <w:p w14:paraId="22A2A4B0" w14:textId="77777777" w:rsidR="0018728E" w:rsidRPr="00B73C3D" w:rsidRDefault="0018728E" w:rsidP="00950BE4">
      <w:pPr>
        <w:numPr>
          <w:ilvl w:val="0"/>
          <w:numId w:val="45"/>
        </w:numPr>
        <w:tabs>
          <w:tab w:val="left" w:pos="1134"/>
        </w:tabs>
        <w:spacing w:before="120"/>
        <w:ind w:left="0" w:firstLine="556"/>
        <w:jc w:val="left"/>
        <w:rPr>
          <w:szCs w:val="22"/>
          <w:lang w:val="en-CA"/>
        </w:rPr>
      </w:pPr>
      <w:r w:rsidRPr="00B73C3D">
        <w:rPr>
          <w:szCs w:val="22"/>
          <w:lang w:val="en-CA"/>
        </w:rPr>
        <w:t>Mainstreaming biodiversity in the financial sector</w:t>
      </w:r>
      <w:r>
        <w:rPr>
          <w:szCs w:val="22"/>
          <w:lang w:val="en-CA"/>
        </w:rPr>
        <w:t>;</w:t>
      </w:r>
    </w:p>
    <w:p w14:paraId="5494BBDE" w14:textId="77777777" w:rsidR="0018728E" w:rsidRPr="00B73C3D" w:rsidRDefault="0018728E" w:rsidP="00950BE4">
      <w:pPr>
        <w:numPr>
          <w:ilvl w:val="0"/>
          <w:numId w:val="45"/>
        </w:numPr>
        <w:tabs>
          <w:tab w:val="left" w:pos="1134"/>
        </w:tabs>
        <w:spacing w:before="120"/>
        <w:ind w:left="0" w:firstLine="556"/>
        <w:jc w:val="left"/>
        <w:rPr>
          <w:szCs w:val="22"/>
          <w:lang w:val="en-CA"/>
        </w:rPr>
      </w:pPr>
      <w:r w:rsidRPr="00B73C3D">
        <w:rPr>
          <w:szCs w:val="22"/>
          <w:lang w:val="en-CA"/>
        </w:rPr>
        <w:t>Identify and eliminate, phase out or reform incentives, including subsidies, that are harmful for biodiversity, in line with other relevant international obligations</w:t>
      </w:r>
      <w:r>
        <w:rPr>
          <w:szCs w:val="22"/>
          <w:lang w:val="en-CA"/>
        </w:rPr>
        <w:t>;</w:t>
      </w:r>
    </w:p>
    <w:p w14:paraId="68F81BDF" w14:textId="77777777" w:rsidR="0018728E" w:rsidRPr="00B73C3D" w:rsidRDefault="0018728E" w:rsidP="00950BE4">
      <w:pPr>
        <w:numPr>
          <w:ilvl w:val="0"/>
          <w:numId w:val="45"/>
        </w:numPr>
        <w:tabs>
          <w:tab w:val="left" w:pos="1134"/>
        </w:tabs>
        <w:spacing w:before="120"/>
        <w:ind w:left="0" w:firstLine="556"/>
        <w:jc w:val="left"/>
        <w:rPr>
          <w:szCs w:val="22"/>
          <w:lang w:val="en-US"/>
        </w:rPr>
      </w:pPr>
      <w:r w:rsidRPr="00B73C3D">
        <w:rPr>
          <w:szCs w:val="22"/>
        </w:rPr>
        <w:t xml:space="preserve">Encourage the </w:t>
      </w:r>
      <w:r>
        <w:rPr>
          <w:szCs w:val="22"/>
        </w:rPr>
        <w:t xml:space="preserve">monitoring, </w:t>
      </w:r>
      <w:r w:rsidRPr="00B73C3D">
        <w:rPr>
          <w:szCs w:val="22"/>
        </w:rPr>
        <w:t xml:space="preserve">assessment and </w:t>
      </w:r>
      <w:r>
        <w:rPr>
          <w:szCs w:val="22"/>
        </w:rPr>
        <w:t xml:space="preserve">transparent </w:t>
      </w:r>
      <w:r w:rsidRPr="00B73C3D">
        <w:rPr>
          <w:szCs w:val="22"/>
        </w:rPr>
        <w:t>disclos</w:t>
      </w:r>
      <w:r>
        <w:rPr>
          <w:szCs w:val="22"/>
        </w:rPr>
        <w:t>ur</w:t>
      </w:r>
      <w:r w:rsidRPr="00B73C3D">
        <w:rPr>
          <w:szCs w:val="22"/>
        </w:rPr>
        <w:t xml:space="preserve">e by financial institutions of biodiversity </w:t>
      </w:r>
      <w:r>
        <w:rPr>
          <w:szCs w:val="22"/>
        </w:rPr>
        <w:t xml:space="preserve">risks, dependencies and </w:t>
      </w:r>
      <w:r w:rsidRPr="00B73C3D">
        <w:rPr>
          <w:szCs w:val="22"/>
        </w:rPr>
        <w:t>impacts of financial portfolios and operations; decrease or eliminate negative impacts on ecosystems and biodiversity of investments</w:t>
      </w:r>
      <w:r>
        <w:rPr>
          <w:szCs w:val="22"/>
        </w:rPr>
        <w:t>;</w:t>
      </w:r>
    </w:p>
    <w:p w14:paraId="11522D41" w14:textId="77777777" w:rsidR="0018728E" w:rsidRPr="008F6FFF" w:rsidRDefault="0018728E" w:rsidP="008F6FFF">
      <w:pPr>
        <w:snapToGrid w:val="0"/>
        <w:spacing w:before="240" w:after="120"/>
        <w:jc w:val="left"/>
        <w:rPr>
          <w:b/>
          <w:bCs/>
          <w:szCs w:val="22"/>
          <w:lang w:val="en-US"/>
        </w:rPr>
      </w:pPr>
      <w:r>
        <w:rPr>
          <w:b/>
          <w:bCs/>
          <w:szCs w:val="22"/>
          <w:lang w:val="en-US"/>
        </w:rPr>
        <w:t>6. </w:t>
      </w:r>
      <w:r w:rsidRPr="008F6FFF">
        <w:rPr>
          <w:b/>
          <w:bCs/>
          <w:szCs w:val="22"/>
          <w:lang w:val="en-US"/>
        </w:rPr>
        <w:t>Enhance the effectiveness and efficiency of resource use</w:t>
      </w:r>
    </w:p>
    <w:p w14:paraId="189ED807" w14:textId="77777777" w:rsidR="0018728E" w:rsidRPr="00B73C3D" w:rsidRDefault="0018728E" w:rsidP="00950BE4">
      <w:pPr>
        <w:numPr>
          <w:ilvl w:val="0"/>
          <w:numId w:val="46"/>
        </w:numPr>
        <w:tabs>
          <w:tab w:val="left" w:pos="1134"/>
        </w:tabs>
        <w:spacing w:before="120"/>
        <w:ind w:left="0" w:firstLine="567"/>
        <w:jc w:val="left"/>
        <w:rPr>
          <w:szCs w:val="22"/>
          <w:lang w:val="en-US"/>
        </w:rPr>
      </w:pPr>
      <w:r w:rsidRPr="00B73C3D">
        <w:rPr>
          <w:szCs w:val="22"/>
          <w:lang w:val="en-US"/>
        </w:rPr>
        <w:t>Ensure national ownership by aligning with national development plans</w:t>
      </w:r>
      <w:r>
        <w:rPr>
          <w:szCs w:val="22"/>
          <w:lang w:val="en-US"/>
        </w:rPr>
        <w:t>;</w:t>
      </w:r>
    </w:p>
    <w:p w14:paraId="20D24DFA" w14:textId="77777777" w:rsidR="0018728E" w:rsidRPr="00B73C3D" w:rsidRDefault="0018728E" w:rsidP="00950BE4">
      <w:pPr>
        <w:numPr>
          <w:ilvl w:val="0"/>
          <w:numId w:val="46"/>
        </w:numPr>
        <w:tabs>
          <w:tab w:val="left" w:pos="1134"/>
        </w:tabs>
        <w:spacing w:before="120"/>
        <w:ind w:left="0" w:firstLine="567"/>
        <w:jc w:val="left"/>
        <w:rPr>
          <w:szCs w:val="22"/>
          <w:lang w:val="en-US"/>
        </w:rPr>
      </w:pPr>
      <w:r>
        <w:rPr>
          <w:szCs w:val="22"/>
          <w:lang w:val="en-US"/>
        </w:rPr>
        <w:t>S</w:t>
      </w:r>
      <w:r w:rsidRPr="00B73C3D">
        <w:rPr>
          <w:szCs w:val="22"/>
          <w:lang w:val="en-US"/>
        </w:rPr>
        <w:t>upport policy coherence by creating or enhancing partnerships with indigenous peoples and local communities and with civil society</w:t>
      </w:r>
      <w:r>
        <w:rPr>
          <w:szCs w:val="22"/>
          <w:lang w:val="en-US"/>
        </w:rPr>
        <w:t>;</w:t>
      </w:r>
    </w:p>
    <w:p w14:paraId="3F062399" w14:textId="77777777" w:rsidR="0018728E" w:rsidRPr="00B73C3D" w:rsidRDefault="0018728E" w:rsidP="00950BE4">
      <w:pPr>
        <w:numPr>
          <w:ilvl w:val="0"/>
          <w:numId w:val="46"/>
        </w:numPr>
        <w:tabs>
          <w:tab w:val="left" w:pos="1134"/>
        </w:tabs>
        <w:spacing w:before="120"/>
        <w:ind w:left="0" w:firstLine="567"/>
        <w:rPr>
          <w:szCs w:val="22"/>
          <w:lang w:val="en-US"/>
        </w:rPr>
      </w:pPr>
      <w:r>
        <w:rPr>
          <w:szCs w:val="22"/>
          <w:lang w:val="en-US"/>
        </w:rPr>
        <w:t>E</w:t>
      </w:r>
      <w:r w:rsidRPr="00B73C3D">
        <w:rPr>
          <w:szCs w:val="22"/>
          <w:lang w:val="en-US"/>
        </w:rPr>
        <w:t>nhance capacity-building, technical assistance and technological cooperation for financial planning and effective resource utilization and management</w:t>
      </w:r>
      <w:r>
        <w:rPr>
          <w:szCs w:val="22"/>
          <w:lang w:val="en-US"/>
        </w:rPr>
        <w:t>;</w:t>
      </w:r>
    </w:p>
    <w:p w14:paraId="69906BC3" w14:textId="77777777" w:rsidR="0018728E" w:rsidRPr="00B73C3D" w:rsidRDefault="0018728E" w:rsidP="00950BE4">
      <w:pPr>
        <w:numPr>
          <w:ilvl w:val="0"/>
          <w:numId w:val="46"/>
        </w:numPr>
        <w:tabs>
          <w:tab w:val="left" w:pos="1134"/>
        </w:tabs>
        <w:spacing w:before="120"/>
        <w:ind w:left="0" w:firstLine="567"/>
        <w:jc w:val="left"/>
        <w:rPr>
          <w:szCs w:val="22"/>
          <w:lang w:val="en-US"/>
        </w:rPr>
      </w:pPr>
      <w:r>
        <w:rPr>
          <w:szCs w:val="22"/>
          <w:lang w:val="en-US"/>
        </w:rPr>
        <w:t>I</w:t>
      </w:r>
      <w:r w:rsidRPr="00B73C3D">
        <w:rPr>
          <w:szCs w:val="22"/>
          <w:lang w:val="en-US"/>
        </w:rPr>
        <w:t>mprove transparency and accountability, as well as national monitoring systems for resource use</w:t>
      </w:r>
      <w:r>
        <w:rPr>
          <w:szCs w:val="22"/>
          <w:lang w:val="en-US"/>
        </w:rPr>
        <w:t>;</w:t>
      </w:r>
    </w:p>
    <w:p w14:paraId="568E1138" w14:textId="4C1CF2C5" w:rsidR="0018728E" w:rsidRPr="00A54C34" w:rsidRDefault="0018728E" w:rsidP="00316132">
      <w:pPr>
        <w:numPr>
          <w:ilvl w:val="0"/>
          <w:numId w:val="46"/>
        </w:numPr>
        <w:tabs>
          <w:tab w:val="left" w:pos="1134"/>
        </w:tabs>
        <w:spacing w:before="120"/>
        <w:ind w:left="0" w:firstLine="567"/>
        <w:jc w:val="left"/>
        <w:rPr>
          <w:bCs/>
          <w:snapToGrid w:val="0"/>
          <w:kern w:val="22"/>
          <w:szCs w:val="22"/>
          <w:lang w:val="en-US"/>
        </w:rPr>
      </w:pPr>
      <w:r w:rsidRPr="00B73C3D">
        <w:rPr>
          <w:szCs w:val="22"/>
          <w:lang w:val="en-US"/>
        </w:rPr>
        <w:t>Build synergies and harness biodiversity co-benefits</w:t>
      </w:r>
      <w:r>
        <w:rPr>
          <w:szCs w:val="22"/>
          <w:lang w:val="en-US"/>
        </w:rPr>
        <w:t>.</w:t>
      </w:r>
    </w:p>
    <w:p w14:paraId="22E93B4A" w14:textId="77777777" w:rsidR="0018728E" w:rsidRPr="00A3490B" w:rsidRDefault="0018728E" w:rsidP="00605C94">
      <w:pPr>
        <w:spacing w:before="240" w:after="120"/>
        <w:jc w:val="center"/>
        <w:rPr>
          <w:i/>
          <w:iCs/>
          <w:kern w:val="22"/>
          <w:szCs w:val="22"/>
          <w:highlight w:val="yellow"/>
        </w:rPr>
      </w:pPr>
      <w:r w:rsidRPr="00A3490B">
        <w:rPr>
          <w:i/>
          <w:iCs/>
          <w:kern w:val="22"/>
          <w:szCs w:val="22"/>
        </w:rPr>
        <w:t>Annex II</w:t>
      </w:r>
    </w:p>
    <w:p w14:paraId="68943A55" w14:textId="77777777" w:rsidR="0018728E" w:rsidRDefault="0018728E" w:rsidP="00120AD1">
      <w:pPr>
        <w:pStyle w:val="HEADINGNOTFORTOC"/>
        <w:spacing w:before="120"/>
        <w:outlineLvl w:val="9"/>
      </w:pPr>
      <w:r w:rsidRPr="00FB444D">
        <w:rPr>
          <w:kern w:val="22"/>
        </w:rPr>
        <w:t>T</w:t>
      </w:r>
      <w:r w:rsidRPr="00FB444D">
        <w:t>erms of Reference for the Advisory committee on resource mobilization</w:t>
      </w:r>
    </w:p>
    <w:p w14:paraId="198EAE6A" w14:textId="77777777" w:rsidR="0018728E" w:rsidRPr="00AC7311" w:rsidRDefault="0018728E" w:rsidP="00AC7311">
      <w:pPr>
        <w:pStyle w:val="NormalWeb"/>
        <w:keepNext/>
        <w:spacing w:before="120" w:after="120"/>
        <w:jc w:val="center"/>
        <w:rPr>
          <w:b/>
          <w:bCs/>
          <w:sz w:val="22"/>
          <w:szCs w:val="22"/>
        </w:rPr>
      </w:pPr>
      <w:r w:rsidRPr="00AC7311">
        <w:rPr>
          <w:b/>
          <w:bCs/>
          <w:sz w:val="22"/>
          <w:szCs w:val="22"/>
        </w:rPr>
        <w:t>A.</w:t>
      </w:r>
      <w:r w:rsidRPr="00AC7311">
        <w:rPr>
          <w:b/>
          <w:bCs/>
          <w:sz w:val="22"/>
          <w:szCs w:val="22"/>
        </w:rPr>
        <w:tab/>
        <w:t>Scope of work</w:t>
      </w:r>
    </w:p>
    <w:p w14:paraId="11C5E2B1" w14:textId="77777777" w:rsidR="0018728E" w:rsidRPr="00A3490B" w:rsidRDefault="0018728E" w:rsidP="00950BE4">
      <w:pPr>
        <w:pStyle w:val="Default"/>
        <w:numPr>
          <w:ilvl w:val="0"/>
          <w:numId w:val="31"/>
        </w:numPr>
        <w:spacing w:before="120" w:after="120"/>
        <w:jc w:val="both"/>
        <w:rPr>
          <w:szCs w:val="22"/>
          <w:lang w:val="en-US"/>
        </w:rPr>
      </w:pPr>
      <w:r w:rsidRPr="00FB444D">
        <w:rPr>
          <w:sz w:val="22"/>
          <w:szCs w:val="22"/>
          <w:lang w:val="en-US"/>
        </w:rPr>
        <w:t>1.</w:t>
      </w:r>
      <w:r w:rsidRPr="00FB444D">
        <w:rPr>
          <w:sz w:val="22"/>
          <w:szCs w:val="22"/>
          <w:lang w:val="en-US"/>
        </w:rPr>
        <w:tab/>
        <w:t xml:space="preserve">The Advisory Committee on Resource Mobilization will provide recommendations to the Subsidiary Body on Implementation at its </w:t>
      </w:r>
      <w:r>
        <w:rPr>
          <w:sz w:val="22"/>
          <w:szCs w:val="22"/>
          <w:lang w:val="en-US"/>
        </w:rPr>
        <w:t>fourth</w:t>
      </w:r>
      <w:r w:rsidRPr="00FB444D">
        <w:rPr>
          <w:sz w:val="22"/>
          <w:szCs w:val="22"/>
          <w:lang w:val="en-US"/>
        </w:rPr>
        <w:t xml:space="preserve"> </w:t>
      </w:r>
      <w:r>
        <w:rPr>
          <w:sz w:val="22"/>
          <w:szCs w:val="22"/>
          <w:lang w:val="en-US"/>
        </w:rPr>
        <w:t>and/or fifth m</w:t>
      </w:r>
      <w:r w:rsidRPr="00FB444D">
        <w:rPr>
          <w:sz w:val="22"/>
          <w:szCs w:val="22"/>
          <w:lang w:val="en-US"/>
        </w:rPr>
        <w:t>eeting</w:t>
      </w:r>
      <w:r>
        <w:rPr>
          <w:sz w:val="22"/>
          <w:szCs w:val="22"/>
          <w:lang w:val="en-US"/>
        </w:rPr>
        <w:t>s</w:t>
      </w:r>
      <w:r w:rsidRPr="00FB444D">
        <w:rPr>
          <w:sz w:val="22"/>
          <w:szCs w:val="22"/>
          <w:lang w:val="en-US"/>
        </w:rPr>
        <w:t xml:space="preserve"> on the strengthening of the </w:t>
      </w:r>
      <w:r>
        <w:rPr>
          <w:sz w:val="22"/>
          <w:szCs w:val="22"/>
          <w:lang w:val="en-US"/>
        </w:rPr>
        <w:t xml:space="preserve">strategy for resource </w:t>
      </w:r>
      <w:r w:rsidRPr="0059160F">
        <w:rPr>
          <w:sz w:val="22"/>
          <w:szCs w:val="22"/>
          <w:lang w:val="en-US"/>
        </w:rPr>
        <w:t xml:space="preserve">mobilization </w:t>
      </w:r>
      <w:r>
        <w:rPr>
          <w:sz w:val="22"/>
          <w:szCs w:val="22"/>
          <w:lang w:val="en-US"/>
        </w:rPr>
        <w:t>for</w:t>
      </w:r>
      <w:r w:rsidRPr="0059160F">
        <w:rPr>
          <w:sz w:val="22"/>
          <w:szCs w:val="22"/>
          <w:lang w:val="en-US"/>
        </w:rPr>
        <w:t xml:space="preserve"> the </w:t>
      </w:r>
      <w:r w:rsidRPr="008F6FFF">
        <w:rPr>
          <w:sz w:val="22"/>
          <w:szCs w:val="22"/>
          <w:lang w:val="en-US"/>
        </w:rPr>
        <w:t xml:space="preserve">Kunming-Montreal </w:t>
      </w:r>
      <w:r w:rsidRPr="008F6FFF">
        <w:rPr>
          <w:snapToGrid w:val="0"/>
          <w:kern w:val="22"/>
          <w:sz w:val="22"/>
          <w:szCs w:val="22"/>
          <w:lang w:val="en-US"/>
        </w:rPr>
        <w:t>G</w:t>
      </w:r>
      <w:r w:rsidRPr="0059160F">
        <w:rPr>
          <w:snapToGrid w:val="0"/>
          <w:kern w:val="22"/>
          <w:sz w:val="22"/>
          <w:szCs w:val="22"/>
          <w:lang w:val="en-US"/>
        </w:rPr>
        <w:t xml:space="preserve">lobal </w:t>
      </w:r>
      <w:r w:rsidRPr="008F6FFF">
        <w:rPr>
          <w:snapToGrid w:val="0"/>
          <w:kern w:val="22"/>
          <w:sz w:val="22"/>
          <w:szCs w:val="22"/>
          <w:lang w:val="en-US"/>
        </w:rPr>
        <w:t>B</w:t>
      </w:r>
      <w:r w:rsidRPr="0059160F">
        <w:rPr>
          <w:snapToGrid w:val="0"/>
          <w:kern w:val="22"/>
          <w:sz w:val="22"/>
          <w:szCs w:val="22"/>
          <w:lang w:val="en-US"/>
        </w:rPr>
        <w:t xml:space="preserve">iodiversity </w:t>
      </w:r>
      <w:r w:rsidRPr="008F6FFF">
        <w:rPr>
          <w:snapToGrid w:val="0"/>
          <w:kern w:val="22"/>
          <w:sz w:val="22"/>
          <w:szCs w:val="22"/>
          <w:lang w:val="en-US"/>
        </w:rPr>
        <w:t>F</w:t>
      </w:r>
      <w:r w:rsidRPr="0059160F">
        <w:rPr>
          <w:snapToGrid w:val="0"/>
          <w:kern w:val="22"/>
          <w:sz w:val="22"/>
          <w:szCs w:val="22"/>
          <w:lang w:val="en-US"/>
        </w:rPr>
        <w:t xml:space="preserve">ramework </w:t>
      </w:r>
      <w:r w:rsidRPr="0059160F">
        <w:rPr>
          <w:sz w:val="22"/>
          <w:szCs w:val="22"/>
          <w:lang w:val="en-US"/>
        </w:rPr>
        <w:t>and to operationalize</w:t>
      </w:r>
      <w:r w:rsidRPr="00FB444D">
        <w:rPr>
          <w:sz w:val="22"/>
          <w:szCs w:val="22"/>
          <w:lang w:val="en-US"/>
        </w:rPr>
        <w:t xml:space="preserve"> the decisions taken in </w:t>
      </w:r>
      <w:r w:rsidRPr="00152599">
        <w:rPr>
          <w:snapToGrid w:val="0"/>
          <w:kern w:val="22"/>
          <w:sz w:val="22"/>
          <w:szCs w:val="22"/>
          <w:lang w:val="en-US"/>
        </w:rPr>
        <w:t xml:space="preserve">paragraphs </w:t>
      </w:r>
      <w:r w:rsidRPr="008F6FFF">
        <w:rPr>
          <w:snapToGrid w:val="0"/>
          <w:kern w:val="22"/>
          <w:sz w:val="22"/>
          <w:szCs w:val="22"/>
          <w:lang w:val="en-US"/>
        </w:rPr>
        <w:t>40</w:t>
      </w:r>
      <w:r w:rsidRPr="00152599">
        <w:rPr>
          <w:snapToGrid w:val="0"/>
          <w:kern w:val="22"/>
          <w:sz w:val="22"/>
          <w:szCs w:val="22"/>
          <w:lang w:val="en-US"/>
        </w:rPr>
        <w:t xml:space="preserve"> to 4</w:t>
      </w:r>
      <w:r w:rsidRPr="008F6FFF">
        <w:rPr>
          <w:snapToGrid w:val="0"/>
          <w:kern w:val="22"/>
          <w:sz w:val="22"/>
          <w:szCs w:val="22"/>
          <w:lang w:val="en-US"/>
        </w:rPr>
        <w:t>2</w:t>
      </w:r>
      <w:r w:rsidRPr="00152599">
        <w:rPr>
          <w:snapToGrid w:val="0"/>
          <w:kern w:val="22"/>
          <w:sz w:val="22"/>
          <w:szCs w:val="22"/>
          <w:lang w:val="en-US"/>
        </w:rPr>
        <w:t xml:space="preserve"> </w:t>
      </w:r>
      <w:r w:rsidRPr="00152599">
        <w:rPr>
          <w:sz w:val="22"/>
          <w:szCs w:val="22"/>
          <w:lang w:val="en-US"/>
        </w:rPr>
        <w:t>of</w:t>
      </w:r>
      <w:r w:rsidRPr="00FB444D">
        <w:rPr>
          <w:sz w:val="22"/>
          <w:szCs w:val="22"/>
          <w:lang w:val="en-US"/>
        </w:rPr>
        <w:t xml:space="preserve"> the </w:t>
      </w:r>
      <w:r>
        <w:rPr>
          <w:sz w:val="22"/>
          <w:szCs w:val="22"/>
          <w:lang w:val="en-US"/>
        </w:rPr>
        <w:t xml:space="preserve">present decision </w:t>
      </w:r>
      <w:r w:rsidRPr="00FB444D">
        <w:rPr>
          <w:sz w:val="22"/>
          <w:szCs w:val="22"/>
          <w:lang w:val="en-US"/>
        </w:rPr>
        <w:t xml:space="preserve">to </w:t>
      </w:r>
      <w:r w:rsidRPr="00FB444D">
        <w:rPr>
          <w:snapToGrid w:val="0"/>
          <w:kern w:val="22"/>
          <w:sz w:val="22"/>
          <w:szCs w:val="22"/>
          <w:lang w:val="en-US"/>
        </w:rPr>
        <w:t xml:space="preserve">ensure it will provide a solid basis to guide Parties and other actors towards the mobilization of adequate resources commensurate with the ambition of the </w:t>
      </w:r>
      <w:r>
        <w:rPr>
          <w:snapToGrid w:val="0"/>
          <w:kern w:val="22"/>
          <w:sz w:val="22"/>
          <w:szCs w:val="22"/>
          <w:lang w:val="en-US"/>
        </w:rPr>
        <w:t>Framework</w:t>
      </w:r>
      <w:r w:rsidRPr="00FB444D">
        <w:rPr>
          <w:sz w:val="22"/>
          <w:szCs w:val="22"/>
          <w:lang w:val="en-US"/>
        </w:rPr>
        <w:t xml:space="preserve">, based in particular on the following steps: </w:t>
      </w:r>
    </w:p>
    <w:p w14:paraId="6F964D08" w14:textId="77777777" w:rsidR="0018728E" w:rsidRPr="008F6FFF" w:rsidRDefault="0018728E" w:rsidP="008F6FFF">
      <w:pPr>
        <w:pStyle w:val="Default"/>
        <w:spacing w:before="120" w:after="120"/>
        <w:ind w:left="709"/>
        <w:jc w:val="both"/>
        <w:rPr>
          <w:b/>
          <w:bCs/>
          <w:sz w:val="22"/>
          <w:szCs w:val="22"/>
          <w:lang w:val="en-US"/>
        </w:rPr>
      </w:pPr>
      <w:r w:rsidRPr="008F6FFF">
        <w:rPr>
          <w:b/>
          <w:bCs/>
          <w:sz w:val="22"/>
          <w:szCs w:val="22"/>
          <w:lang w:val="en-US"/>
        </w:rPr>
        <w:t xml:space="preserve">Upgrading the </w:t>
      </w:r>
      <w:r w:rsidRPr="00082948">
        <w:rPr>
          <w:b/>
          <w:bCs/>
          <w:sz w:val="22"/>
          <w:szCs w:val="22"/>
          <w:lang w:val="en-US"/>
        </w:rPr>
        <w:t>s</w:t>
      </w:r>
      <w:r w:rsidRPr="008F6FFF">
        <w:rPr>
          <w:b/>
          <w:bCs/>
          <w:sz w:val="22"/>
          <w:szCs w:val="22"/>
          <w:lang w:val="en-US"/>
        </w:rPr>
        <w:t xml:space="preserve">trategy for </w:t>
      </w:r>
      <w:r w:rsidRPr="00082948">
        <w:rPr>
          <w:b/>
          <w:bCs/>
          <w:sz w:val="22"/>
          <w:szCs w:val="22"/>
          <w:lang w:val="en-US"/>
        </w:rPr>
        <w:t>r</w:t>
      </w:r>
      <w:r w:rsidRPr="008F6FFF">
        <w:rPr>
          <w:b/>
          <w:bCs/>
          <w:sz w:val="22"/>
          <w:szCs w:val="22"/>
          <w:lang w:val="en-US"/>
        </w:rPr>
        <w:t xml:space="preserve">esource </w:t>
      </w:r>
      <w:r w:rsidRPr="00082948">
        <w:rPr>
          <w:b/>
          <w:bCs/>
          <w:sz w:val="22"/>
          <w:szCs w:val="22"/>
          <w:lang w:val="en-US"/>
        </w:rPr>
        <w:t>m</w:t>
      </w:r>
      <w:r w:rsidRPr="008F6FFF">
        <w:rPr>
          <w:b/>
          <w:bCs/>
          <w:sz w:val="22"/>
          <w:szCs w:val="22"/>
          <w:lang w:val="en-US"/>
        </w:rPr>
        <w:t>obilization consistent with the relevant decisions taken by the Conference of the Parties</w:t>
      </w:r>
      <w:r w:rsidRPr="00082948">
        <w:rPr>
          <w:b/>
          <w:bCs/>
          <w:sz w:val="22"/>
          <w:szCs w:val="22"/>
          <w:lang w:val="en-US"/>
        </w:rPr>
        <w:t xml:space="preserve"> at its fifteenth meeting</w:t>
      </w:r>
    </w:p>
    <w:p w14:paraId="7416169A" w14:textId="77777777" w:rsidR="0018728E" w:rsidRPr="00FB444D" w:rsidRDefault="0018728E" w:rsidP="00950BE4">
      <w:pPr>
        <w:pStyle w:val="Default"/>
        <w:numPr>
          <w:ilvl w:val="1"/>
          <w:numId w:val="32"/>
        </w:numPr>
        <w:spacing w:before="120" w:after="120"/>
        <w:jc w:val="both"/>
        <w:rPr>
          <w:sz w:val="22"/>
          <w:szCs w:val="22"/>
          <w:lang w:val="en-US"/>
        </w:rPr>
      </w:pPr>
      <w:r>
        <w:rPr>
          <w:sz w:val="22"/>
          <w:szCs w:val="22"/>
          <w:lang w:val="en-US"/>
        </w:rPr>
        <w:t>S</w:t>
      </w:r>
      <w:r w:rsidRPr="00FB444D">
        <w:rPr>
          <w:sz w:val="22"/>
          <w:szCs w:val="22"/>
          <w:lang w:val="en-US"/>
        </w:rPr>
        <w:t xml:space="preserve">trengthen the </w:t>
      </w:r>
      <w:r>
        <w:rPr>
          <w:sz w:val="22"/>
          <w:szCs w:val="22"/>
          <w:lang w:val="en-US"/>
        </w:rPr>
        <w:t>strategy for resource mobilization</w:t>
      </w:r>
      <w:r w:rsidRPr="00FB444D">
        <w:rPr>
          <w:sz w:val="22"/>
          <w:szCs w:val="22"/>
          <w:lang w:val="en-US"/>
        </w:rPr>
        <w:t xml:space="preserve"> by bringing it in line with the </w:t>
      </w:r>
      <w:r>
        <w:rPr>
          <w:sz w:val="22"/>
          <w:szCs w:val="22"/>
          <w:lang w:val="en-US"/>
        </w:rPr>
        <w:t>Kunming-Montreal Global Biodiversity Framework</w:t>
      </w:r>
      <w:r w:rsidRPr="00FB444D">
        <w:rPr>
          <w:sz w:val="22"/>
          <w:szCs w:val="22"/>
          <w:lang w:val="en-US"/>
        </w:rPr>
        <w:t xml:space="preserve"> and other </w:t>
      </w:r>
      <w:r w:rsidRPr="005E5927">
        <w:rPr>
          <w:sz w:val="22"/>
          <w:szCs w:val="22"/>
          <w:lang w:val="en-US"/>
        </w:rPr>
        <w:t xml:space="preserve">relevant decisions also adopted by the Conference of the Parties at its fifteenth meeting, </w:t>
      </w:r>
      <w:r w:rsidRPr="008F6FFF">
        <w:rPr>
          <w:sz w:val="22"/>
          <w:szCs w:val="22"/>
          <w:lang w:val="en-US"/>
        </w:rPr>
        <w:t xml:space="preserve">to </w:t>
      </w:r>
      <w:r w:rsidRPr="005E5927">
        <w:rPr>
          <w:sz w:val="22"/>
          <w:szCs w:val="22"/>
          <w:lang w:val="en-US"/>
        </w:rPr>
        <w:t>ensur</w:t>
      </w:r>
      <w:r w:rsidRPr="008F6FFF">
        <w:rPr>
          <w:sz w:val="22"/>
          <w:szCs w:val="22"/>
          <w:lang w:val="en-US"/>
        </w:rPr>
        <w:t>e</w:t>
      </w:r>
      <w:r w:rsidRPr="005E5927">
        <w:rPr>
          <w:sz w:val="22"/>
          <w:szCs w:val="22"/>
          <w:lang w:val="en-US"/>
        </w:rPr>
        <w:t xml:space="preserve"> coherence</w:t>
      </w:r>
      <w:r w:rsidRPr="008F6FFF">
        <w:rPr>
          <w:sz w:val="22"/>
          <w:szCs w:val="22"/>
          <w:lang w:val="en-US"/>
        </w:rPr>
        <w:t>;</w:t>
      </w:r>
      <w:r w:rsidRPr="00610646">
        <w:rPr>
          <w:rStyle w:val="FootnoteReference"/>
        </w:rPr>
        <w:footnoteReference w:id="58"/>
      </w:r>
    </w:p>
    <w:p w14:paraId="0E6E04F7" w14:textId="77777777" w:rsidR="0018728E" w:rsidRPr="00FB444D" w:rsidRDefault="0018728E" w:rsidP="00950BE4">
      <w:pPr>
        <w:pStyle w:val="Default"/>
        <w:numPr>
          <w:ilvl w:val="1"/>
          <w:numId w:val="32"/>
        </w:numPr>
        <w:spacing w:before="120" w:after="120"/>
        <w:jc w:val="both"/>
        <w:rPr>
          <w:sz w:val="22"/>
          <w:szCs w:val="22"/>
          <w:lang w:val="en-US"/>
        </w:rPr>
      </w:pPr>
      <w:r w:rsidRPr="00FB444D">
        <w:rPr>
          <w:sz w:val="22"/>
          <w:szCs w:val="22"/>
          <w:lang w:val="en-US"/>
        </w:rPr>
        <w:t>Improve the information base on funding needs, gaps and priorities</w:t>
      </w:r>
      <w:r>
        <w:rPr>
          <w:sz w:val="22"/>
          <w:szCs w:val="22"/>
          <w:lang w:val="en-US"/>
        </w:rPr>
        <w:t>;</w:t>
      </w:r>
    </w:p>
    <w:p w14:paraId="2DC12450" w14:textId="77777777" w:rsidR="0018728E" w:rsidRPr="00A3490B" w:rsidRDefault="0018728E" w:rsidP="00950BE4">
      <w:pPr>
        <w:pStyle w:val="Default"/>
        <w:numPr>
          <w:ilvl w:val="1"/>
          <w:numId w:val="32"/>
        </w:numPr>
        <w:spacing w:before="120" w:after="120"/>
        <w:jc w:val="both"/>
        <w:rPr>
          <w:b/>
          <w:bCs/>
          <w:i/>
          <w:iCs/>
          <w:sz w:val="22"/>
          <w:szCs w:val="22"/>
          <w:lang w:val="en-US"/>
        </w:rPr>
      </w:pPr>
      <w:r w:rsidRPr="00FB444D">
        <w:rPr>
          <w:sz w:val="22"/>
          <w:szCs w:val="22"/>
          <w:lang w:val="en-US"/>
        </w:rPr>
        <w:lastRenderedPageBreak/>
        <w:t>Identify potential additional sources of funding, recognizing the need for support from a wide variety of sources, including innovative sources</w:t>
      </w:r>
      <w:r>
        <w:rPr>
          <w:sz w:val="22"/>
          <w:szCs w:val="22"/>
          <w:lang w:val="en-US"/>
        </w:rPr>
        <w:t>.</w:t>
      </w:r>
    </w:p>
    <w:p w14:paraId="659AEDD2" w14:textId="77777777" w:rsidR="0018728E" w:rsidRPr="008F6FFF" w:rsidRDefault="0018728E" w:rsidP="008F6FFF">
      <w:pPr>
        <w:pStyle w:val="Default"/>
        <w:spacing w:before="120" w:after="120"/>
        <w:ind w:left="709"/>
        <w:rPr>
          <w:b/>
          <w:bCs/>
          <w:sz w:val="22"/>
          <w:szCs w:val="22"/>
          <w:lang w:val="en-US"/>
        </w:rPr>
      </w:pPr>
      <w:r w:rsidRPr="008F6FFF">
        <w:rPr>
          <w:b/>
          <w:bCs/>
          <w:sz w:val="22"/>
          <w:szCs w:val="22"/>
          <w:lang w:val="en-US"/>
        </w:rPr>
        <w:t xml:space="preserve">Assessing efficiency, effectiveness, gaps and overlaps </w:t>
      </w:r>
    </w:p>
    <w:p w14:paraId="03A28C8D" w14:textId="77777777" w:rsidR="0018728E" w:rsidRPr="00FB444D" w:rsidRDefault="0018728E" w:rsidP="00950BE4">
      <w:pPr>
        <w:pStyle w:val="Default"/>
        <w:numPr>
          <w:ilvl w:val="1"/>
          <w:numId w:val="32"/>
        </w:numPr>
        <w:spacing w:before="120" w:after="120"/>
        <w:jc w:val="both"/>
        <w:rPr>
          <w:sz w:val="22"/>
          <w:szCs w:val="22"/>
          <w:lang w:val="en-US"/>
        </w:rPr>
      </w:pPr>
      <w:r>
        <w:rPr>
          <w:sz w:val="22"/>
          <w:szCs w:val="22"/>
          <w:lang w:val="en-US"/>
        </w:rPr>
        <w:t>P</w:t>
      </w:r>
      <w:r w:rsidRPr="00FB444D">
        <w:rPr>
          <w:sz w:val="22"/>
          <w:szCs w:val="22"/>
          <w:lang w:val="en-US"/>
        </w:rPr>
        <w:t>rovide an overview of the global biodiversity funding landscape and identify which institutions, including global, regional and national, are funding activities related to addressing biodiversity loss, and ways in which coherence, coordination and synergies among them can be enhanced</w:t>
      </w:r>
      <w:r>
        <w:rPr>
          <w:sz w:val="22"/>
          <w:szCs w:val="22"/>
          <w:lang w:val="en-US"/>
        </w:rPr>
        <w:t>;</w:t>
      </w:r>
    </w:p>
    <w:p w14:paraId="0DF6A8FC" w14:textId="77777777" w:rsidR="0018728E" w:rsidRPr="00451F41" w:rsidRDefault="0018728E" w:rsidP="00950BE4">
      <w:pPr>
        <w:pStyle w:val="Default"/>
        <w:numPr>
          <w:ilvl w:val="1"/>
          <w:numId w:val="32"/>
        </w:numPr>
        <w:spacing w:before="120" w:after="120"/>
        <w:jc w:val="both"/>
        <w:rPr>
          <w:b/>
          <w:bCs/>
          <w:i/>
          <w:iCs/>
          <w:sz w:val="22"/>
          <w:szCs w:val="22"/>
          <w:lang w:val="en-US"/>
        </w:rPr>
      </w:pPr>
      <w:r>
        <w:rPr>
          <w:sz w:val="22"/>
          <w:szCs w:val="22"/>
          <w:lang w:val="en-US"/>
        </w:rPr>
        <w:t>A</w:t>
      </w:r>
      <w:r w:rsidRPr="00FB444D">
        <w:rPr>
          <w:sz w:val="22"/>
          <w:szCs w:val="22"/>
          <w:lang w:val="en-US"/>
        </w:rPr>
        <w:t>ssess how existing instruments, funds, and frameworks and their interaction could be further</w:t>
      </w:r>
      <w:r w:rsidRPr="00E66579">
        <w:rPr>
          <w:sz w:val="22"/>
          <w:szCs w:val="22"/>
          <w:lang w:val="en-US"/>
        </w:rPr>
        <w:t xml:space="preserve"> improved, and successful ones promoted, replicated or scaled</w:t>
      </w:r>
      <w:r>
        <w:rPr>
          <w:sz w:val="22"/>
          <w:szCs w:val="22"/>
          <w:lang w:val="en-US"/>
        </w:rPr>
        <w:t xml:space="preserve"> </w:t>
      </w:r>
      <w:r w:rsidRPr="00E66579">
        <w:rPr>
          <w:sz w:val="22"/>
          <w:szCs w:val="22"/>
          <w:lang w:val="en-US"/>
        </w:rPr>
        <w:t xml:space="preserve">up, so that they fully align with, and provide immediate support to the implementation of the </w:t>
      </w:r>
      <w:r>
        <w:rPr>
          <w:sz w:val="22"/>
          <w:szCs w:val="22"/>
          <w:lang w:val="en-US"/>
        </w:rPr>
        <w:t xml:space="preserve">Kunming-Montreal </w:t>
      </w:r>
      <w:r>
        <w:rPr>
          <w:snapToGrid w:val="0"/>
          <w:kern w:val="22"/>
          <w:sz w:val="22"/>
          <w:szCs w:val="22"/>
          <w:lang w:val="en-US"/>
        </w:rPr>
        <w:t>Global Biodiversity Framework</w:t>
      </w:r>
      <w:r w:rsidRPr="00E66579">
        <w:rPr>
          <w:sz w:val="22"/>
          <w:szCs w:val="22"/>
          <w:lang w:val="en-US"/>
        </w:rPr>
        <w:t>;</w:t>
      </w:r>
      <w:bookmarkStart w:id="62" w:name="_Hlk121538861"/>
    </w:p>
    <w:p w14:paraId="4ABD8205" w14:textId="77777777" w:rsidR="0018728E" w:rsidRDefault="0018728E" w:rsidP="00950BE4">
      <w:pPr>
        <w:pStyle w:val="Default"/>
        <w:numPr>
          <w:ilvl w:val="1"/>
          <w:numId w:val="32"/>
        </w:numPr>
        <w:spacing w:before="120" w:after="120"/>
        <w:jc w:val="both"/>
        <w:rPr>
          <w:sz w:val="22"/>
          <w:szCs w:val="22"/>
          <w:lang w:val="en-US"/>
        </w:rPr>
      </w:pPr>
      <w:r>
        <w:rPr>
          <w:sz w:val="22"/>
          <w:szCs w:val="22"/>
          <w:lang w:val="en-US"/>
        </w:rPr>
        <w:t xml:space="preserve">Take into consideration </w:t>
      </w:r>
      <w:r w:rsidRPr="00451F41">
        <w:rPr>
          <w:sz w:val="22"/>
          <w:szCs w:val="22"/>
          <w:lang w:val="en-US"/>
        </w:rPr>
        <w:t>the progress of the reform to the G</w:t>
      </w:r>
      <w:r>
        <w:rPr>
          <w:sz w:val="22"/>
          <w:szCs w:val="22"/>
          <w:lang w:val="en-US"/>
        </w:rPr>
        <w:t xml:space="preserve">lobal </w:t>
      </w:r>
      <w:r w:rsidRPr="00451F41">
        <w:rPr>
          <w:sz w:val="22"/>
          <w:szCs w:val="22"/>
          <w:lang w:val="en-US"/>
        </w:rPr>
        <w:t>E</w:t>
      </w:r>
      <w:r>
        <w:rPr>
          <w:sz w:val="22"/>
          <w:szCs w:val="22"/>
          <w:lang w:val="en-US"/>
        </w:rPr>
        <w:t xml:space="preserve">nvironment </w:t>
      </w:r>
      <w:r w:rsidRPr="00451F41">
        <w:rPr>
          <w:sz w:val="22"/>
          <w:szCs w:val="22"/>
          <w:lang w:val="en-US"/>
        </w:rPr>
        <w:t>F</w:t>
      </w:r>
      <w:r>
        <w:rPr>
          <w:sz w:val="22"/>
          <w:szCs w:val="22"/>
          <w:lang w:val="en-US"/>
        </w:rPr>
        <w:t>acility</w:t>
      </w:r>
      <w:r w:rsidRPr="00451F41">
        <w:rPr>
          <w:sz w:val="22"/>
          <w:szCs w:val="22"/>
          <w:lang w:val="en-US"/>
        </w:rPr>
        <w:t xml:space="preserve"> to support the quick start </w:t>
      </w:r>
      <w:r w:rsidRPr="00B90BB3">
        <w:rPr>
          <w:sz w:val="22"/>
          <w:szCs w:val="22"/>
          <w:lang w:val="en-US"/>
        </w:rPr>
        <w:t xml:space="preserve">mobilization of resources for the implementation of the </w:t>
      </w:r>
      <w:r>
        <w:rPr>
          <w:sz w:val="22"/>
          <w:szCs w:val="22"/>
          <w:lang w:val="en-US"/>
        </w:rPr>
        <w:t>Kunming-Montreal Global Biodiversity Framework</w:t>
      </w:r>
      <w:r w:rsidRPr="00B90BB3">
        <w:rPr>
          <w:sz w:val="22"/>
          <w:szCs w:val="22"/>
          <w:lang w:val="en-US"/>
        </w:rPr>
        <w:t xml:space="preserve">, and in particular the process for the establishment of the </w:t>
      </w:r>
      <w:r w:rsidRPr="008F6FFF">
        <w:rPr>
          <w:sz w:val="22"/>
          <w:szCs w:val="22"/>
        </w:rPr>
        <w:t>Global Biodiversity Framework Fund</w:t>
      </w:r>
      <w:r w:rsidRPr="00B90BB3">
        <w:rPr>
          <w:sz w:val="22"/>
          <w:szCs w:val="22"/>
          <w:lang w:val="en-US"/>
        </w:rPr>
        <w:t xml:space="preserve"> and its implementation</w:t>
      </w:r>
      <w:r>
        <w:rPr>
          <w:sz w:val="22"/>
          <w:szCs w:val="22"/>
          <w:lang w:val="en-US"/>
        </w:rPr>
        <w:t>;</w:t>
      </w:r>
    </w:p>
    <w:p w14:paraId="6331D5AD" w14:textId="77777777" w:rsidR="0018728E" w:rsidRPr="00A3490B" w:rsidRDefault="0018728E" w:rsidP="00950BE4">
      <w:pPr>
        <w:pStyle w:val="Default"/>
        <w:numPr>
          <w:ilvl w:val="1"/>
          <w:numId w:val="32"/>
        </w:numPr>
        <w:spacing w:before="120" w:after="120"/>
        <w:jc w:val="both"/>
        <w:rPr>
          <w:b/>
          <w:bCs/>
          <w:i/>
          <w:iCs/>
          <w:sz w:val="22"/>
          <w:szCs w:val="22"/>
          <w:lang w:val="en-US"/>
        </w:rPr>
      </w:pPr>
      <w:r>
        <w:rPr>
          <w:sz w:val="22"/>
          <w:szCs w:val="22"/>
          <w:lang w:val="en-US"/>
        </w:rPr>
        <w:t>I</w:t>
      </w:r>
      <w:r w:rsidRPr="00FB444D">
        <w:rPr>
          <w:sz w:val="22"/>
          <w:szCs w:val="22"/>
          <w:lang w:val="en-US"/>
        </w:rPr>
        <w:t>dentify the gaps within the current financing landscape, including the types of gap, such as relating to speed, eligibility, adequacy and access to finance, the priority gaps for which solutions should be explored as well as the most effective ways to address those gaps</w:t>
      </w:r>
      <w:r>
        <w:rPr>
          <w:sz w:val="22"/>
          <w:szCs w:val="22"/>
          <w:lang w:val="en-US"/>
        </w:rPr>
        <w:t>.</w:t>
      </w:r>
    </w:p>
    <w:bookmarkEnd w:id="62"/>
    <w:p w14:paraId="09DF4237" w14:textId="77777777" w:rsidR="0018728E" w:rsidRPr="008F6FFF" w:rsidRDefault="0018728E" w:rsidP="00A3490B">
      <w:pPr>
        <w:pStyle w:val="Default"/>
        <w:spacing w:before="120" w:after="120"/>
        <w:jc w:val="both"/>
        <w:rPr>
          <w:b/>
          <w:bCs/>
          <w:sz w:val="22"/>
          <w:szCs w:val="22"/>
          <w:lang w:val="en-US"/>
        </w:rPr>
      </w:pPr>
      <w:r w:rsidRPr="008F6FFF">
        <w:rPr>
          <w:b/>
          <w:bCs/>
          <w:sz w:val="22"/>
          <w:szCs w:val="22"/>
          <w:lang w:val="en-US"/>
        </w:rPr>
        <w:t>Global instrument for biodiversity finance</w:t>
      </w:r>
    </w:p>
    <w:p w14:paraId="54FBEED4" w14:textId="77777777" w:rsidR="0018728E" w:rsidRDefault="0018728E" w:rsidP="00A3490B">
      <w:pPr>
        <w:pStyle w:val="Default"/>
        <w:spacing w:before="120" w:after="120"/>
        <w:jc w:val="both"/>
        <w:rPr>
          <w:sz w:val="22"/>
          <w:szCs w:val="22"/>
          <w:lang w:val="en-US"/>
        </w:rPr>
      </w:pPr>
      <w:r>
        <w:rPr>
          <w:sz w:val="22"/>
          <w:szCs w:val="22"/>
          <w:lang w:val="en-US"/>
        </w:rPr>
        <w:t>2.</w:t>
      </w:r>
      <w:r>
        <w:rPr>
          <w:sz w:val="22"/>
          <w:szCs w:val="22"/>
          <w:lang w:val="en-US"/>
        </w:rPr>
        <w:tab/>
        <w:t xml:space="preserve">The Advisory Committee on Resource Mobilization will </w:t>
      </w:r>
      <w:r w:rsidRPr="002203C5">
        <w:rPr>
          <w:sz w:val="22"/>
          <w:szCs w:val="22"/>
          <w:lang w:val="en-US"/>
        </w:rPr>
        <w:t>develop recommendations to</w:t>
      </w:r>
      <w:r>
        <w:rPr>
          <w:sz w:val="22"/>
          <w:szCs w:val="22"/>
          <w:lang w:val="en-US"/>
        </w:rPr>
        <w:t xml:space="preserve"> the Subsidiary Body on Implementation on:</w:t>
      </w:r>
    </w:p>
    <w:p w14:paraId="6006135B" w14:textId="77777777" w:rsidR="0018728E" w:rsidRPr="008B7327" w:rsidRDefault="0018728E" w:rsidP="00CD3412">
      <w:pPr>
        <w:pStyle w:val="Default"/>
        <w:spacing w:before="120" w:after="120"/>
        <w:ind w:firstLine="720"/>
        <w:jc w:val="both"/>
        <w:rPr>
          <w:sz w:val="22"/>
          <w:szCs w:val="22"/>
          <w:lang w:val="en-US"/>
        </w:rPr>
      </w:pPr>
      <w:r>
        <w:rPr>
          <w:sz w:val="22"/>
          <w:szCs w:val="22"/>
          <w:lang w:val="en-US"/>
        </w:rPr>
        <w:t>(a)</w:t>
      </w:r>
      <w:r>
        <w:rPr>
          <w:sz w:val="22"/>
          <w:szCs w:val="22"/>
          <w:lang w:val="en-US"/>
        </w:rPr>
        <w:tab/>
        <w:t xml:space="preserve">Whether to create a dedicated </w:t>
      </w:r>
      <w:r w:rsidRPr="008B7327">
        <w:rPr>
          <w:sz w:val="22"/>
          <w:szCs w:val="22"/>
          <w:lang w:val="en-US"/>
        </w:rPr>
        <w:t>financing mechanism for the Convention on Biological Diversity under the authority of the Conference of the Parties, which could be designated “Global Biodiversity Fund”, and what the options are to operationalize it;</w:t>
      </w:r>
    </w:p>
    <w:p w14:paraId="642169D1" w14:textId="77777777" w:rsidR="0018728E" w:rsidRDefault="0018728E" w:rsidP="00CD3412">
      <w:pPr>
        <w:pStyle w:val="Default"/>
        <w:spacing w:before="120" w:after="120"/>
        <w:ind w:firstLine="720"/>
        <w:jc w:val="both"/>
        <w:rPr>
          <w:sz w:val="22"/>
          <w:szCs w:val="22"/>
          <w:lang w:val="en-US"/>
        </w:rPr>
      </w:pPr>
      <w:r w:rsidRPr="008B7327">
        <w:rPr>
          <w:sz w:val="22"/>
          <w:szCs w:val="22"/>
          <w:lang w:val="en-US"/>
        </w:rPr>
        <w:t>(b)</w:t>
      </w:r>
      <w:r w:rsidRPr="008B7327">
        <w:rPr>
          <w:sz w:val="22"/>
          <w:szCs w:val="22"/>
          <w:lang w:val="en-US"/>
        </w:rPr>
        <w:tab/>
        <w:t>Whether the Trust Fund under the Global Environment Facility established by decision 15/15 should be designated “Global Biodiversity Fund”;</w:t>
      </w:r>
    </w:p>
    <w:p w14:paraId="70E55602" w14:textId="77777777" w:rsidR="0018728E" w:rsidRPr="003E651C" w:rsidRDefault="0018728E" w:rsidP="00F47B40">
      <w:pPr>
        <w:pStyle w:val="Para1"/>
        <w:numPr>
          <w:ilvl w:val="0"/>
          <w:numId w:val="0"/>
        </w:numPr>
        <w:ind w:firstLine="709"/>
      </w:pPr>
      <w:r>
        <w:rPr>
          <w:lang w:val="en-US"/>
        </w:rPr>
        <w:t>(c)</w:t>
      </w:r>
      <w:r>
        <w:rPr>
          <w:lang w:val="en-US"/>
        </w:rPr>
        <w:tab/>
        <w:t>Whether and how either of the funding mechanisms mentioned above, or another alternative, would be the adequate entity to receive and disburse the revenue generated by the mechanism established under decision 15/9</w:t>
      </w:r>
      <w:r w:rsidRPr="00FB444D">
        <w:t>;</w:t>
      </w:r>
    </w:p>
    <w:p w14:paraId="292177D3" w14:textId="77777777" w:rsidR="0018728E" w:rsidRPr="008F6FFF" w:rsidRDefault="0018728E" w:rsidP="008F6FFF">
      <w:pPr>
        <w:pStyle w:val="NormalWeb"/>
        <w:keepNext/>
        <w:spacing w:before="120" w:after="120"/>
        <w:jc w:val="center"/>
        <w:rPr>
          <w:b/>
          <w:bCs/>
          <w:sz w:val="22"/>
          <w:szCs w:val="22"/>
        </w:rPr>
      </w:pPr>
      <w:r w:rsidRPr="008F6FFF">
        <w:rPr>
          <w:b/>
          <w:bCs/>
          <w:sz w:val="22"/>
          <w:szCs w:val="22"/>
        </w:rPr>
        <w:t>B.</w:t>
      </w:r>
      <w:r w:rsidRPr="008F6FFF">
        <w:rPr>
          <w:b/>
          <w:bCs/>
          <w:sz w:val="22"/>
          <w:szCs w:val="22"/>
        </w:rPr>
        <w:tab/>
        <w:t xml:space="preserve">Modalities </w:t>
      </w:r>
    </w:p>
    <w:p w14:paraId="03FE9F1D" w14:textId="77777777" w:rsidR="0018728E" w:rsidRPr="00FB444D" w:rsidRDefault="0018728E" w:rsidP="00950BE4">
      <w:pPr>
        <w:pStyle w:val="NormalWeb"/>
        <w:numPr>
          <w:ilvl w:val="0"/>
          <w:numId w:val="33"/>
        </w:numPr>
        <w:spacing w:before="120" w:after="120"/>
        <w:ind w:left="0" w:firstLine="0"/>
        <w:rPr>
          <w:sz w:val="22"/>
          <w:szCs w:val="22"/>
        </w:rPr>
      </w:pPr>
      <w:r w:rsidRPr="00FB444D">
        <w:rPr>
          <w:sz w:val="22"/>
          <w:szCs w:val="22"/>
        </w:rPr>
        <w:t xml:space="preserve">The composition of the Advisory Committee will be as follows: </w:t>
      </w:r>
      <w:r>
        <w:rPr>
          <w:sz w:val="22"/>
          <w:szCs w:val="22"/>
        </w:rPr>
        <w:t>up to ten</w:t>
      </w:r>
      <w:r w:rsidRPr="00FB444D">
        <w:rPr>
          <w:sz w:val="22"/>
          <w:szCs w:val="22"/>
        </w:rPr>
        <w:t xml:space="preserve"> (</w:t>
      </w:r>
      <w:r>
        <w:rPr>
          <w:sz w:val="22"/>
          <w:szCs w:val="22"/>
        </w:rPr>
        <w:t>10</w:t>
      </w:r>
      <w:r w:rsidRPr="00FB444D">
        <w:rPr>
          <w:sz w:val="22"/>
          <w:szCs w:val="22"/>
        </w:rPr>
        <w:t xml:space="preserve">) dedicated representatives per region will be invited to participate, and </w:t>
      </w:r>
      <w:r>
        <w:rPr>
          <w:sz w:val="22"/>
          <w:szCs w:val="22"/>
        </w:rPr>
        <w:t>ten</w:t>
      </w:r>
      <w:r w:rsidRPr="00FB444D">
        <w:rPr>
          <w:sz w:val="22"/>
          <w:szCs w:val="22"/>
        </w:rPr>
        <w:t xml:space="preserve"> (</w:t>
      </w:r>
      <w:r>
        <w:rPr>
          <w:sz w:val="22"/>
          <w:szCs w:val="22"/>
        </w:rPr>
        <w:t>10</w:t>
      </w:r>
      <w:r w:rsidRPr="00FB444D">
        <w:rPr>
          <w:sz w:val="22"/>
          <w:szCs w:val="22"/>
        </w:rPr>
        <w:t>) representatives of relevant organi</w:t>
      </w:r>
      <w:r>
        <w:rPr>
          <w:sz w:val="22"/>
          <w:szCs w:val="22"/>
        </w:rPr>
        <w:t>z</w:t>
      </w:r>
      <w:r w:rsidRPr="00FB444D">
        <w:rPr>
          <w:sz w:val="22"/>
          <w:szCs w:val="22"/>
        </w:rPr>
        <w:t xml:space="preserve">ations and initiatives as well as </w:t>
      </w:r>
      <w:r>
        <w:rPr>
          <w:sz w:val="22"/>
          <w:szCs w:val="22"/>
        </w:rPr>
        <w:t>ten</w:t>
      </w:r>
      <w:r w:rsidRPr="00FB444D">
        <w:rPr>
          <w:sz w:val="22"/>
          <w:szCs w:val="22"/>
        </w:rPr>
        <w:t xml:space="preserve"> (</w:t>
      </w:r>
      <w:r>
        <w:rPr>
          <w:sz w:val="22"/>
          <w:szCs w:val="22"/>
        </w:rPr>
        <w:t>10</w:t>
      </w:r>
      <w:r w:rsidRPr="00FB444D">
        <w:rPr>
          <w:sz w:val="22"/>
          <w:szCs w:val="22"/>
        </w:rPr>
        <w:t xml:space="preserve">) representatives of stakeholders, indigenous peoples and local communities, </w:t>
      </w:r>
      <w:r>
        <w:rPr>
          <w:sz w:val="22"/>
          <w:szCs w:val="22"/>
        </w:rPr>
        <w:t xml:space="preserve">women, and youth, </w:t>
      </w:r>
      <w:r w:rsidRPr="00FB444D">
        <w:rPr>
          <w:sz w:val="22"/>
          <w:szCs w:val="22"/>
        </w:rPr>
        <w:t>preserving balance between regions, and striving for gender balance.</w:t>
      </w:r>
    </w:p>
    <w:p w14:paraId="5A2ADD9F" w14:textId="77777777" w:rsidR="0018728E" w:rsidRPr="00FB444D" w:rsidRDefault="0018728E" w:rsidP="00950BE4">
      <w:pPr>
        <w:pStyle w:val="NormalWeb"/>
        <w:numPr>
          <w:ilvl w:val="0"/>
          <w:numId w:val="33"/>
        </w:numPr>
        <w:spacing w:before="120" w:after="120"/>
        <w:ind w:left="0" w:firstLine="0"/>
        <w:rPr>
          <w:sz w:val="22"/>
          <w:szCs w:val="22"/>
        </w:rPr>
      </w:pPr>
      <w:r w:rsidRPr="00FB444D">
        <w:rPr>
          <w:sz w:val="22"/>
          <w:szCs w:val="22"/>
        </w:rPr>
        <w:t xml:space="preserve">The Committee will elect two co-chairs from among its members. </w:t>
      </w:r>
    </w:p>
    <w:p w14:paraId="3984FE8B" w14:textId="77777777" w:rsidR="0018728E" w:rsidRDefault="0018728E" w:rsidP="00950BE4">
      <w:pPr>
        <w:pStyle w:val="NormalWeb"/>
        <w:numPr>
          <w:ilvl w:val="0"/>
          <w:numId w:val="33"/>
        </w:numPr>
        <w:spacing w:before="120" w:after="120"/>
        <w:ind w:left="0" w:firstLine="0"/>
        <w:rPr>
          <w:sz w:val="22"/>
          <w:szCs w:val="22"/>
        </w:rPr>
      </w:pPr>
      <w:r w:rsidRPr="00FB444D">
        <w:rPr>
          <w:sz w:val="22"/>
          <w:szCs w:val="22"/>
        </w:rPr>
        <w:t xml:space="preserve">The Committee will conduct its work both electronically and, subject to the availability of resources, physically, meeting at least </w:t>
      </w:r>
      <w:r>
        <w:rPr>
          <w:sz w:val="22"/>
          <w:szCs w:val="22"/>
        </w:rPr>
        <w:t>twice</w:t>
      </w:r>
      <w:r w:rsidRPr="00FB444D">
        <w:rPr>
          <w:sz w:val="22"/>
          <w:szCs w:val="22"/>
        </w:rPr>
        <w:t xml:space="preserve"> during the intersessional period</w:t>
      </w:r>
      <w:r>
        <w:rPr>
          <w:sz w:val="22"/>
          <w:szCs w:val="22"/>
        </w:rPr>
        <w:t xml:space="preserve"> before the sixteenth meeting of the Conference of the Parties.</w:t>
      </w:r>
    </w:p>
    <w:p w14:paraId="3E25F5E9" w14:textId="77777777" w:rsidR="0018728E" w:rsidRPr="00A3490B" w:rsidRDefault="0018728E" w:rsidP="00950BE4">
      <w:pPr>
        <w:pStyle w:val="NormalWeb"/>
        <w:numPr>
          <w:ilvl w:val="0"/>
          <w:numId w:val="33"/>
        </w:numPr>
        <w:spacing w:before="120" w:after="120"/>
        <w:ind w:left="0" w:firstLine="0"/>
        <w:rPr>
          <w:sz w:val="22"/>
          <w:szCs w:val="22"/>
        </w:rPr>
      </w:pPr>
      <w:r>
        <w:rPr>
          <w:sz w:val="22"/>
          <w:szCs w:val="22"/>
          <w:lang w:val="en-US"/>
        </w:rPr>
        <w:t xml:space="preserve">The Committee will </w:t>
      </w:r>
      <w:r w:rsidRPr="00451F41">
        <w:rPr>
          <w:sz w:val="22"/>
          <w:szCs w:val="22"/>
          <w:lang w:val="en-US"/>
        </w:rPr>
        <w:t>draw on different sources of information such as studies and dialogues</w:t>
      </w:r>
      <w:r>
        <w:rPr>
          <w:sz w:val="22"/>
          <w:szCs w:val="22"/>
          <w:lang w:val="en-US"/>
        </w:rPr>
        <w:t>,</w:t>
      </w:r>
      <w:r w:rsidRPr="00451F41">
        <w:rPr>
          <w:sz w:val="22"/>
          <w:szCs w:val="22"/>
          <w:lang w:val="en-US"/>
        </w:rPr>
        <w:t xml:space="preserve"> as well as experience under other </w:t>
      </w:r>
      <w:r>
        <w:rPr>
          <w:sz w:val="22"/>
          <w:szCs w:val="22"/>
          <w:lang w:val="en-US"/>
        </w:rPr>
        <w:t>multilateral environment agreements</w:t>
      </w:r>
      <w:r w:rsidRPr="00451F41">
        <w:rPr>
          <w:sz w:val="22"/>
          <w:szCs w:val="22"/>
          <w:lang w:val="en-US"/>
        </w:rPr>
        <w:t xml:space="preserve"> and taking into account the submissions received on the experience with the </w:t>
      </w:r>
      <w:r>
        <w:rPr>
          <w:sz w:val="22"/>
          <w:szCs w:val="22"/>
          <w:lang w:val="en-US"/>
        </w:rPr>
        <w:t>strategy for resource mobilization</w:t>
      </w:r>
      <w:r w:rsidRPr="00451F41">
        <w:rPr>
          <w:sz w:val="22"/>
          <w:szCs w:val="22"/>
          <w:lang w:val="en-US"/>
        </w:rPr>
        <w:t xml:space="preserve"> to quick-start mobilization of resources;</w:t>
      </w:r>
    </w:p>
    <w:p w14:paraId="5157B633" w14:textId="77777777" w:rsidR="0018728E" w:rsidRPr="00FB444D" w:rsidRDefault="0018728E" w:rsidP="00950BE4">
      <w:pPr>
        <w:pStyle w:val="NormalWeb"/>
        <w:numPr>
          <w:ilvl w:val="0"/>
          <w:numId w:val="33"/>
        </w:numPr>
        <w:spacing w:before="120" w:after="120"/>
        <w:ind w:left="0" w:firstLine="0"/>
        <w:rPr>
          <w:sz w:val="22"/>
          <w:szCs w:val="22"/>
        </w:rPr>
      </w:pPr>
      <w:r w:rsidRPr="00FB444D">
        <w:rPr>
          <w:sz w:val="22"/>
          <w:szCs w:val="22"/>
        </w:rPr>
        <w:t>Other Governments, observers and/or experts may be invited to participate in the meetings or parts thereof at the discretion of the co-chairs</w:t>
      </w:r>
      <w:r>
        <w:rPr>
          <w:sz w:val="22"/>
          <w:szCs w:val="22"/>
        </w:rPr>
        <w:t>.</w:t>
      </w:r>
    </w:p>
    <w:p w14:paraId="2CF5921A" w14:textId="77777777" w:rsidR="0018728E" w:rsidRPr="00FB444D" w:rsidRDefault="0018728E" w:rsidP="00950BE4">
      <w:pPr>
        <w:pStyle w:val="NormalWeb"/>
        <w:numPr>
          <w:ilvl w:val="0"/>
          <w:numId w:val="33"/>
        </w:numPr>
        <w:spacing w:before="120" w:after="120"/>
        <w:ind w:left="0" w:firstLine="0"/>
        <w:rPr>
          <w:sz w:val="22"/>
          <w:szCs w:val="22"/>
        </w:rPr>
      </w:pPr>
      <w:r w:rsidRPr="00FB444D">
        <w:rPr>
          <w:sz w:val="22"/>
          <w:szCs w:val="22"/>
        </w:rPr>
        <w:lastRenderedPageBreak/>
        <w:t>The outcome of this work will be presented by the co-chairs as recommendations from the Advisory Committee to the Subsidiary Body on Implementation at its fo</w:t>
      </w:r>
      <w:r>
        <w:rPr>
          <w:sz w:val="22"/>
          <w:szCs w:val="22"/>
        </w:rPr>
        <w:t>u</w:t>
      </w:r>
      <w:r w:rsidRPr="00FB444D">
        <w:rPr>
          <w:sz w:val="22"/>
          <w:szCs w:val="22"/>
        </w:rPr>
        <w:t xml:space="preserve">rth meeting with a view to </w:t>
      </w:r>
      <w:r w:rsidRPr="00D27E78">
        <w:rPr>
          <w:sz w:val="22"/>
          <w:szCs w:val="22"/>
        </w:rPr>
        <w:t>their</w:t>
      </w:r>
      <w:r w:rsidRPr="00FB444D">
        <w:rPr>
          <w:sz w:val="22"/>
          <w:szCs w:val="22"/>
        </w:rPr>
        <w:t xml:space="preserve"> adoption by </w:t>
      </w:r>
      <w:r>
        <w:rPr>
          <w:sz w:val="22"/>
          <w:szCs w:val="22"/>
        </w:rPr>
        <w:t>the Conference of the Parties at its sixteenth meeting.</w:t>
      </w:r>
    </w:p>
    <w:p w14:paraId="73910DA8" w14:textId="77777777" w:rsidR="0018728E" w:rsidRPr="00A3490B" w:rsidRDefault="0018728E" w:rsidP="002B0AA3">
      <w:pPr>
        <w:pStyle w:val="Default"/>
        <w:spacing w:before="240" w:after="120"/>
        <w:jc w:val="center"/>
        <w:rPr>
          <w:i/>
          <w:iCs/>
          <w:sz w:val="22"/>
          <w:szCs w:val="22"/>
          <w:lang w:val="en-CA"/>
        </w:rPr>
      </w:pPr>
      <w:r w:rsidRPr="00A3490B">
        <w:rPr>
          <w:i/>
          <w:iCs/>
          <w:sz w:val="22"/>
          <w:szCs w:val="22"/>
          <w:lang w:val="en-CA"/>
        </w:rPr>
        <w:t>Annex III</w:t>
      </w:r>
    </w:p>
    <w:p w14:paraId="1EC5CDA9" w14:textId="77777777" w:rsidR="0018728E" w:rsidRDefault="0018728E" w:rsidP="00AC7311">
      <w:pPr>
        <w:keepNext/>
        <w:keepLines/>
        <w:spacing w:before="120" w:after="120"/>
        <w:jc w:val="center"/>
        <w:rPr>
          <w:rFonts w:ascii="Times New Roman Bold" w:hAnsi="Times New Roman Bold"/>
          <w:b/>
          <w:bCs/>
          <w:iCs/>
          <w:caps/>
        </w:rPr>
      </w:pPr>
      <w:r w:rsidRPr="00447B46">
        <w:rPr>
          <w:rFonts w:ascii="Times New Roman Bold" w:hAnsi="Times New Roman Bold"/>
          <w:b/>
          <w:bCs/>
          <w:iCs/>
          <w:caps/>
        </w:rPr>
        <w:t xml:space="preserve">terms of reference for </w:t>
      </w:r>
      <w:r w:rsidRPr="008B7327">
        <w:rPr>
          <w:rFonts w:ascii="Times New Roman Bold" w:hAnsi="Times New Roman Bold"/>
          <w:b/>
          <w:bCs/>
          <w:iCs/>
          <w:caps/>
        </w:rPr>
        <w:t xml:space="preserve">the </w:t>
      </w:r>
      <w:r w:rsidRPr="008F6FFF">
        <w:rPr>
          <w:rFonts w:ascii="Times New Roman Bold" w:hAnsi="Times New Roman Bold"/>
          <w:b/>
          <w:bCs/>
          <w:iCs/>
          <w:caps/>
        </w:rPr>
        <w:t xml:space="preserve">Technical </w:t>
      </w:r>
      <w:r w:rsidRPr="008B7327">
        <w:rPr>
          <w:rFonts w:ascii="Times New Roman Bold" w:hAnsi="Times New Roman Bold"/>
          <w:b/>
          <w:bCs/>
          <w:iCs/>
          <w:caps/>
        </w:rPr>
        <w:t>expert</w:t>
      </w:r>
      <w:r w:rsidRPr="003A1563">
        <w:rPr>
          <w:rFonts w:ascii="Times New Roman Bold" w:hAnsi="Times New Roman Bold"/>
          <w:b/>
          <w:bCs/>
          <w:iCs/>
          <w:caps/>
        </w:rPr>
        <w:t xml:space="preserve"> group</w:t>
      </w:r>
      <w:r w:rsidRPr="00447B46">
        <w:rPr>
          <w:rFonts w:ascii="Times New Roman Bold" w:hAnsi="Times New Roman Bold"/>
          <w:b/>
          <w:bCs/>
          <w:iCs/>
          <w:caps/>
        </w:rPr>
        <w:t xml:space="preserve"> on financial reporting</w:t>
      </w:r>
    </w:p>
    <w:p w14:paraId="256F87F7" w14:textId="77777777" w:rsidR="0018728E" w:rsidRPr="00447B46" w:rsidRDefault="0018728E" w:rsidP="00950BE4">
      <w:pPr>
        <w:keepNext/>
        <w:keepLines/>
        <w:numPr>
          <w:ilvl w:val="0"/>
          <w:numId w:val="34"/>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The</w:t>
      </w:r>
      <w:r w:rsidRPr="00447B46">
        <w:rPr>
          <w:spacing w:val="-2"/>
          <w:kern w:val="22"/>
          <w:szCs w:val="22"/>
        </w:rPr>
        <w:t xml:space="preserve"> </w:t>
      </w:r>
      <w:r>
        <w:rPr>
          <w:spacing w:val="-2"/>
          <w:kern w:val="22"/>
          <w:szCs w:val="22"/>
        </w:rPr>
        <w:t>Technical E</w:t>
      </w:r>
      <w:r w:rsidRPr="00447B46">
        <w:rPr>
          <w:spacing w:val="-2"/>
          <w:kern w:val="22"/>
          <w:szCs w:val="22"/>
        </w:rPr>
        <w:t xml:space="preserve">xpert </w:t>
      </w:r>
      <w:r>
        <w:rPr>
          <w:spacing w:val="-2"/>
          <w:kern w:val="22"/>
          <w:szCs w:val="22"/>
        </w:rPr>
        <w:t>G</w:t>
      </w:r>
      <w:r w:rsidRPr="00447B46">
        <w:rPr>
          <w:spacing w:val="-2"/>
          <w:kern w:val="22"/>
          <w:szCs w:val="22"/>
        </w:rPr>
        <w:t xml:space="preserve">roup </w:t>
      </w:r>
      <w:r>
        <w:rPr>
          <w:spacing w:val="-2"/>
          <w:kern w:val="22"/>
          <w:szCs w:val="22"/>
        </w:rPr>
        <w:t xml:space="preserve">on Financial Reporting </w:t>
      </w:r>
      <w:r w:rsidRPr="00447B46">
        <w:rPr>
          <w:snapToGrid w:val="0"/>
          <w:kern w:val="22"/>
          <w:szCs w:val="22"/>
        </w:rPr>
        <w:t>will work:</w:t>
      </w:r>
    </w:p>
    <w:p w14:paraId="42BFD1B7" w14:textId="77777777" w:rsidR="0018728E" w:rsidRPr="00447B46" w:rsidRDefault="0018728E" w:rsidP="00950BE4">
      <w:pPr>
        <w:numPr>
          <w:ilvl w:val="0"/>
          <w:numId w:val="36"/>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 xml:space="preserve">To identify detailed metadata and information, including monitoring capacity-building needs, </w:t>
      </w:r>
      <w:r>
        <w:rPr>
          <w:snapToGrid w:val="0"/>
          <w:kern w:val="22"/>
          <w:szCs w:val="22"/>
        </w:rPr>
        <w:t>filling gaps in indicators for the goals and targets that are relevant for resource mobilization</w:t>
      </w:r>
      <w:r w:rsidRPr="00447B46">
        <w:rPr>
          <w:snapToGrid w:val="0"/>
          <w:kern w:val="22"/>
          <w:szCs w:val="22"/>
        </w:rPr>
        <w:t xml:space="preserve">, </w:t>
      </w:r>
      <w:r>
        <w:rPr>
          <w:snapToGrid w:val="0"/>
          <w:kern w:val="22"/>
          <w:szCs w:val="22"/>
        </w:rPr>
        <w:t xml:space="preserve">in particular for public expenditures and private investments, </w:t>
      </w:r>
      <w:r w:rsidRPr="00447B46">
        <w:rPr>
          <w:snapToGrid w:val="0"/>
          <w:kern w:val="22"/>
          <w:szCs w:val="22"/>
        </w:rPr>
        <w:t xml:space="preserve">and other targets relevant for resource mobilization, in the monitoring framework for the </w:t>
      </w:r>
      <w:r>
        <w:rPr>
          <w:snapToGrid w:val="0"/>
          <w:kern w:val="22"/>
          <w:szCs w:val="22"/>
        </w:rPr>
        <w:t>Kunming-Montreal Global Biodiversity Framework</w:t>
      </w:r>
      <w:r w:rsidRPr="00447B46">
        <w:rPr>
          <w:snapToGrid w:val="0"/>
          <w:kern w:val="22"/>
          <w:szCs w:val="22"/>
        </w:rPr>
        <w:t>,</w:t>
      </w:r>
      <w:r w:rsidRPr="00610646">
        <w:rPr>
          <w:rStyle w:val="FootnoteReference"/>
        </w:rPr>
        <w:footnoteReference w:id="59"/>
      </w:r>
      <w:r w:rsidRPr="00447B46">
        <w:rPr>
          <w:snapToGrid w:val="0"/>
          <w:kern w:val="22"/>
          <w:szCs w:val="22"/>
        </w:rPr>
        <w:t xml:space="preserve">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53DD4228" w14:textId="77777777" w:rsidR="0018728E" w:rsidRDefault="0018728E" w:rsidP="00950BE4">
      <w:pPr>
        <w:numPr>
          <w:ilvl w:val="0"/>
          <w:numId w:val="36"/>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rPr>
      </w:pPr>
      <w:r w:rsidRPr="00447B46">
        <w:rPr>
          <w:snapToGrid w:val="0"/>
          <w:kern w:val="22"/>
          <w:szCs w:val="22"/>
        </w:rPr>
        <w:t xml:space="preserve">To provide technical advice and develop guidance on monitoring resource mobilization, including the implementation of indicators, including advice on the use of harmonized and agreed indicator definitions, best practices for monitoring and national data sharing, </w:t>
      </w:r>
      <w:r w:rsidRPr="00447B46">
        <w:rPr>
          <w:snapToGrid w:val="0"/>
          <w:color w:val="000000" w:themeColor="text1"/>
          <w:kern w:val="22"/>
          <w:szCs w:val="22"/>
        </w:rPr>
        <w:t xml:space="preserve">and scientific and technical advice on the improvement of indicators or the addition of new indicators in the monitoring framework of the </w:t>
      </w:r>
      <w:r>
        <w:rPr>
          <w:snapToGrid w:val="0"/>
          <w:color w:val="000000" w:themeColor="text1"/>
          <w:kern w:val="22"/>
          <w:szCs w:val="22"/>
        </w:rPr>
        <w:t>Kunming-Montreal Global Biodiversity Framework</w:t>
      </w:r>
      <w:r w:rsidRPr="00447B46">
        <w:rPr>
          <w:snapToGrid w:val="0"/>
          <w:color w:val="000000" w:themeColor="text1"/>
          <w:kern w:val="22"/>
          <w:szCs w:val="22"/>
        </w:rPr>
        <w:t>, including indicators relevant to the private sector and other stakeholders</w:t>
      </w:r>
      <w:r>
        <w:rPr>
          <w:snapToGrid w:val="0"/>
          <w:color w:val="000000" w:themeColor="text1"/>
          <w:kern w:val="22"/>
          <w:szCs w:val="22"/>
        </w:rPr>
        <w:t>, elements of the national reports and the related national report template, taking into account the relevant national reporting system</w:t>
      </w:r>
      <w:r w:rsidRPr="00447B46">
        <w:rPr>
          <w:snapToGrid w:val="0"/>
          <w:color w:val="000000" w:themeColor="text1"/>
          <w:kern w:val="22"/>
          <w:szCs w:val="22"/>
        </w:rPr>
        <w:t>;</w:t>
      </w:r>
    </w:p>
    <w:p w14:paraId="6A3FC8DA" w14:textId="77777777" w:rsidR="0018728E" w:rsidRPr="00447B46" w:rsidRDefault="0018728E"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kern w:val="22"/>
          <w:szCs w:val="22"/>
        </w:rPr>
        <w:t>(c).</w:t>
      </w:r>
      <w:r>
        <w:rPr>
          <w:snapToGrid w:val="0"/>
          <w:kern w:val="22"/>
          <w:szCs w:val="22"/>
        </w:rPr>
        <w:tab/>
        <w:t>To recommend a simple, standardized national reporting template, or use of an existing reporting system, with the aim of collecting and reporting comparable data on financing for the Kunming-Montreal Global Biodiversity Framework from all sources, including levels and trends;</w:t>
      </w:r>
    </w:p>
    <w:p w14:paraId="2C09489C" w14:textId="77777777" w:rsidR="0018728E" w:rsidRPr="00447B46" w:rsidRDefault="0018728E"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kern w:val="22"/>
          <w:szCs w:val="22"/>
        </w:rPr>
        <w:t>(d)</w:t>
      </w:r>
      <w:r>
        <w:rPr>
          <w:snapToGrid w:val="0"/>
          <w:color w:val="000000" w:themeColor="text1"/>
          <w:kern w:val="22"/>
          <w:szCs w:val="22"/>
        </w:rPr>
        <w:tab/>
      </w:r>
      <w:r w:rsidRPr="00447B46">
        <w:rPr>
          <w:snapToGrid w:val="0"/>
          <w:color w:val="000000" w:themeColor="text1"/>
          <w:kern w:val="22"/>
          <w:szCs w:val="22"/>
        </w:rPr>
        <w:t xml:space="preserve">To </w:t>
      </w:r>
      <w:r w:rsidRPr="00A3490B">
        <w:rPr>
          <w:snapToGrid w:val="0"/>
          <w:kern w:val="22"/>
          <w:szCs w:val="22"/>
        </w:rPr>
        <w:t>provide</w:t>
      </w:r>
      <w:r w:rsidRPr="00447B46">
        <w:rPr>
          <w:snapToGrid w:val="0"/>
          <w:color w:val="000000" w:themeColor="text1"/>
          <w:kern w:val="22"/>
          <w:szCs w:val="22"/>
        </w:rPr>
        <w:t xml:space="preserve"> guidance to Parties on ways to fill data gaps</w:t>
      </w:r>
      <w:r>
        <w:rPr>
          <w:snapToGrid w:val="0"/>
          <w:color w:val="000000" w:themeColor="text1"/>
          <w:kern w:val="22"/>
          <w:szCs w:val="22"/>
        </w:rPr>
        <w:t xml:space="preserve"> in an efficient manner</w:t>
      </w:r>
      <w:r w:rsidRPr="00447B46">
        <w:rPr>
          <w:snapToGrid w:val="0"/>
          <w:color w:val="000000" w:themeColor="text1"/>
          <w:kern w:val="22"/>
          <w:szCs w:val="22"/>
        </w:rPr>
        <w:t>, recognizing the specific challenges faced by developing country Parties to develop and access information tools;</w:t>
      </w:r>
    </w:p>
    <w:p w14:paraId="7B335459" w14:textId="77777777" w:rsidR="0018728E" w:rsidRDefault="0018728E"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(e)</w:t>
      </w:r>
      <w:r>
        <w:rPr>
          <w:snapToGrid w:val="0"/>
          <w:kern w:val="22"/>
          <w:szCs w:val="22"/>
        </w:rPr>
        <w:tab/>
      </w:r>
      <w:r w:rsidRPr="00447B46">
        <w:rPr>
          <w:snapToGrid w:val="0"/>
          <w:kern w:val="22"/>
          <w:szCs w:val="22"/>
        </w:rPr>
        <w:t>To provide advice on the existing capacity, gaps and needs in terms of capacity development, technology transfer and financing needs related to the financial monitoring and reporting.</w:t>
      </w:r>
    </w:p>
    <w:p w14:paraId="7B37C5B3" w14:textId="77777777" w:rsidR="0018728E" w:rsidRPr="00447B46" w:rsidRDefault="0018728E" w:rsidP="00950BE4">
      <w:pPr>
        <w:numPr>
          <w:ilvl w:val="0"/>
          <w:numId w:val="34"/>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Pr="00447B46">
        <w:rPr>
          <w:spacing w:val="-2"/>
          <w:kern w:val="22"/>
          <w:szCs w:val="22"/>
        </w:rPr>
        <w:t xml:space="preserve">expert working </w:t>
      </w:r>
      <w:r w:rsidRPr="00447B46">
        <w:rPr>
          <w:snapToGrid w:val="0"/>
          <w:kern w:val="22"/>
          <w:szCs w:val="22"/>
        </w:rPr>
        <w:t>group will take into account:</w:t>
      </w:r>
    </w:p>
    <w:p w14:paraId="25A86F79" w14:textId="77777777" w:rsidR="0018728E" w:rsidRDefault="0018728E" w:rsidP="00950BE4">
      <w:pPr>
        <w:numPr>
          <w:ilvl w:val="1"/>
          <w:numId w:val="3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Previous work and experience under the Convention on financial reporting</w:t>
      </w:r>
      <w:r>
        <w:rPr>
          <w:snapToGrid w:val="0"/>
          <w:kern w:val="22"/>
          <w:szCs w:val="22"/>
        </w:rPr>
        <w:t>, including the work of the panel of experts,</w:t>
      </w:r>
      <w:r w:rsidRPr="00447B46">
        <w:rPr>
          <w:snapToGrid w:val="0"/>
          <w:kern w:val="22"/>
          <w:szCs w:val="22"/>
        </w:rPr>
        <w:t xml:space="preserve"> and other relevant programmes of work concerning indicators and monitoring;</w:t>
      </w:r>
    </w:p>
    <w:p w14:paraId="49C929C8" w14:textId="77777777" w:rsidR="0018728E" w:rsidRPr="00447B46" w:rsidRDefault="0018728E" w:rsidP="00950BE4">
      <w:pPr>
        <w:numPr>
          <w:ilvl w:val="1"/>
          <w:numId w:val="3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kern w:val="22"/>
          <w:szCs w:val="22"/>
        </w:rPr>
        <w:t>National finance plans or similar instruments;</w:t>
      </w:r>
    </w:p>
    <w:p w14:paraId="4554B9AB" w14:textId="77777777" w:rsidR="0018728E" w:rsidRPr="00451F41" w:rsidRDefault="0018728E" w:rsidP="00950BE4">
      <w:pPr>
        <w:numPr>
          <w:ilvl w:val="1"/>
          <w:numId w:val="3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Statistical standards and development under the intergovernmental forum of the Statistical Commission;</w:t>
      </w:r>
    </w:p>
    <w:p w14:paraId="5E63B10E" w14:textId="77777777" w:rsidR="0018728E" w:rsidRPr="00447B46" w:rsidRDefault="0018728E" w:rsidP="00950BE4">
      <w:pPr>
        <w:numPr>
          <w:ilvl w:val="1"/>
          <w:numId w:val="3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color w:val="000000" w:themeColor="text1"/>
          <w:kern w:val="22"/>
          <w:szCs w:val="22"/>
        </w:rPr>
        <w:t>Reporting against the Sustainable Development Goals;</w:t>
      </w:r>
    </w:p>
    <w:p w14:paraId="318C616B" w14:textId="77777777" w:rsidR="0018728E" w:rsidRPr="00447B46" w:rsidRDefault="0018728E" w:rsidP="00950BE4">
      <w:pPr>
        <w:numPr>
          <w:ilvl w:val="1"/>
          <w:numId w:val="3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Previous work and experience with other relevant global, regional and national monitoring frameworks, multilateral environment agreements, and knowledge systems, including work of the Biodiversity Finance Initiative of the United Nations Development Programme (BIOFIN) and the Organisation for Economic Co-operation and Development.</w:t>
      </w:r>
    </w:p>
    <w:p w14:paraId="71821EF5" w14:textId="77777777" w:rsidR="0018728E" w:rsidRPr="00447B46" w:rsidRDefault="0018728E" w:rsidP="00950BE4">
      <w:pPr>
        <w:numPr>
          <w:ilvl w:val="0"/>
          <w:numId w:val="37"/>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t>
      </w:r>
      <w:r w:rsidRPr="0067106C">
        <w:rPr>
          <w:snapToGrid w:val="0"/>
          <w:kern w:val="22"/>
          <w:szCs w:val="22"/>
        </w:rPr>
        <w:t>will contribute to the work of the Ad</w:t>
      </w:r>
      <w:r w:rsidRPr="00447B46">
        <w:rPr>
          <w:snapToGrid w:val="0"/>
          <w:kern w:val="22"/>
          <w:szCs w:val="22"/>
        </w:rPr>
        <w:t xml:space="preserve"> </w:t>
      </w:r>
      <w:r>
        <w:rPr>
          <w:snapToGrid w:val="0"/>
          <w:kern w:val="22"/>
          <w:szCs w:val="22"/>
        </w:rPr>
        <w:t>H</w:t>
      </w:r>
      <w:r w:rsidRPr="00447B46">
        <w:rPr>
          <w:snapToGrid w:val="0"/>
          <w:kern w:val="22"/>
          <w:szCs w:val="22"/>
        </w:rPr>
        <w:t xml:space="preserve">oc </w:t>
      </w:r>
      <w:r>
        <w:rPr>
          <w:snapToGrid w:val="0"/>
          <w:kern w:val="22"/>
          <w:szCs w:val="22"/>
        </w:rPr>
        <w:t>T</w:t>
      </w:r>
      <w:r w:rsidRPr="00447B46">
        <w:rPr>
          <w:snapToGrid w:val="0"/>
          <w:kern w:val="22"/>
          <w:szCs w:val="22"/>
        </w:rPr>
        <w:t xml:space="preserve">echnical </w:t>
      </w:r>
      <w:r>
        <w:rPr>
          <w:snapToGrid w:val="0"/>
          <w:kern w:val="22"/>
          <w:szCs w:val="22"/>
        </w:rPr>
        <w:t>E</w:t>
      </w:r>
      <w:r w:rsidRPr="00447B46">
        <w:rPr>
          <w:snapToGrid w:val="0"/>
          <w:kern w:val="22"/>
          <w:szCs w:val="22"/>
        </w:rPr>
        <w:t xml:space="preserve">xpert </w:t>
      </w:r>
      <w:r>
        <w:rPr>
          <w:snapToGrid w:val="0"/>
          <w:kern w:val="22"/>
          <w:szCs w:val="22"/>
        </w:rPr>
        <w:t>G</w:t>
      </w:r>
      <w:r w:rsidRPr="00447B46">
        <w:rPr>
          <w:snapToGrid w:val="0"/>
          <w:kern w:val="22"/>
          <w:szCs w:val="22"/>
        </w:rPr>
        <w:t xml:space="preserve">roup </w:t>
      </w:r>
      <w:r>
        <w:rPr>
          <w:snapToGrid w:val="0"/>
          <w:kern w:val="22"/>
          <w:szCs w:val="22"/>
        </w:rPr>
        <w:t xml:space="preserve">on Indicators for the Kunming-Montreal Global Biodiversity Framework </w:t>
      </w:r>
      <w:r w:rsidRPr="00447B46">
        <w:rPr>
          <w:snapToGrid w:val="0"/>
          <w:kern w:val="22"/>
          <w:szCs w:val="22"/>
        </w:rPr>
        <w:t xml:space="preserve">that </w:t>
      </w:r>
      <w:r w:rsidRPr="00DA4A5E">
        <w:rPr>
          <w:snapToGrid w:val="0"/>
          <w:kern w:val="22"/>
          <w:szCs w:val="22"/>
        </w:rPr>
        <w:t>was established to advise</w:t>
      </w:r>
      <w:r w:rsidRPr="00447B46">
        <w:rPr>
          <w:snapToGrid w:val="0"/>
          <w:kern w:val="22"/>
          <w:szCs w:val="22"/>
        </w:rPr>
        <w:t xml:space="preserve"> on the </w:t>
      </w:r>
      <w:r w:rsidRPr="00447B46">
        <w:rPr>
          <w:snapToGrid w:val="0"/>
          <w:kern w:val="22"/>
          <w:szCs w:val="22"/>
        </w:rPr>
        <w:lastRenderedPageBreak/>
        <w:t xml:space="preserve">further operationalization of the monitoring framework for the </w:t>
      </w:r>
      <w:r>
        <w:rPr>
          <w:snapToGrid w:val="0"/>
          <w:kern w:val="22"/>
          <w:szCs w:val="22"/>
        </w:rPr>
        <w:t>Kunming-Montreal Global Biodiversity Framework</w:t>
      </w:r>
      <w:r w:rsidRPr="00447B46">
        <w:rPr>
          <w:snapToGrid w:val="0"/>
          <w:kern w:val="22"/>
          <w:szCs w:val="22"/>
        </w:rPr>
        <w:t>, in accordance with paragraph 6 of the terms of reference of that group,</w:t>
      </w:r>
      <w:r w:rsidRPr="00610646">
        <w:rPr>
          <w:rStyle w:val="FootnoteReference"/>
        </w:rPr>
        <w:footnoteReference w:id="60"/>
      </w:r>
      <w:r w:rsidRPr="00447B46">
        <w:rPr>
          <w:snapToGrid w:val="0"/>
          <w:kern w:val="22"/>
          <w:szCs w:val="22"/>
        </w:rPr>
        <w:t xml:space="preserve"> bearing in mind geographical balance. The </w:t>
      </w:r>
      <w:r w:rsidRPr="00DA4A5E">
        <w:rPr>
          <w:snapToGrid w:val="0"/>
          <w:kern w:val="22"/>
          <w:szCs w:val="22"/>
        </w:rPr>
        <w:t>group will</w:t>
      </w:r>
      <w:r w:rsidRPr="00447B46">
        <w:rPr>
          <w:snapToGrid w:val="0"/>
          <w:kern w:val="22"/>
          <w:szCs w:val="22"/>
        </w:rPr>
        <w:t xml:space="preserve"> be composed of technical experts on biodiversity finance statistics from Parties as well as observers and other relevant organizations.</w:t>
      </w:r>
    </w:p>
    <w:p w14:paraId="27EA9C16" w14:textId="77777777" w:rsidR="0018728E" w:rsidRPr="00447B46" w:rsidRDefault="0018728E" w:rsidP="00950BE4">
      <w:pPr>
        <w:numPr>
          <w:ilvl w:val="0"/>
          <w:numId w:val="37"/>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roup will elect two co-chairs from among its members.</w:t>
      </w:r>
    </w:p>
    <w:p w14:paraId="6E72ADDD" w14:textId="77777777" w:rsidR="0018728E" w:rsidRPr="00447B46" w:rsidRDefault="0018728E" w:rsidP="00950BE4">
      <w:pPr>
        <w:numPr>
          <w:ilvl w:val="0"/>
          <w:numId w:val="37"/>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will coordinate closely with the </w:t>
      </w:r>
      <w:r>
        <w:rPr>
          <w:snapToGrid w:val="0"/>
          <w:kern w:val="22"/>
          <w:szCs w:val="22"/>
        </w:rPr>
        <w:t>A</w:t>
      </w:r>
      <w:r w:rsidRPr="00447B46">
        <w:rPr>
          <w:snapToGrid w:val="0"/>
          <w:kern w:val="22"/>
          <w:szCs w:val="22"/>
        </w:rPr>
        <w:t xml:space="preserve">d </w:t>
      </w:r>
      <w:r>
        <w:rPr>
          <w:snapToGrid w:val="0"/>
          <w:kern w:val="22"/>
          <w:szCs w:val="22"/>
        </w:rPr>
        <w:t>H</w:t>
      </w:r>
      <w:r w:rsidRPr="00447B46">
        <w:rPr>
          <w:snapToGrid w:val="0"/>
          <w:kern w:val="22"/>
          <w:szCs w:val="22"/>
        </w:rPr>
        <w:t xml:space="preserve">oc </w:t>
      </w:r>
      <w:r>
        <w:rPr>
          <w:snapToGrid w:val="0"/>
          <w:kern w:val="22"/>
          <w:szCs w:val="22"/>
        </w:rPr>
        <w:t>T</w:t>
      </w:r>
      <w:r w:rsidRPr="00447B46">
        <w:rPr>
          <w:snapToGrid w:val="0"/>
          <w:kern w:val="22"/>
          <w:szCs w:val="22"/>
        </w:rPr>
        <w:t xml:space="preserve">echnical </w:t>
      </w:r>
      <w:r>
        <w:rPr>
          <w:snapToGrid w:val="0"/>
          <w:kern w:val="22"/>
          <w:szCs w:val="22"/>
        </w:rPr>
        <w:t>E</w:t>
      </w:r>
      <w:r w:rsidRPr="00447B46">
        <w:rPr>
          <w:snapToGrid w:val="0"/>
          <w:kern w:val="22"/>
          <w:szCs w:val="22"/>
        </w:rPr>
        <w:t xml:space="preserve">xpert </w:t>
      </w:r>
      <w:r>
        <w:rPr>
          <w:snapToGrid w:val="0"/>
          <w:kern w:val="22"/>
          <w:szCs w:val="22"/>
        </w:rPr>
        <w:t>G</w:t>
      </w:r>
      <w:r w:rsidRPr="00447B46">
        <w:rPr>
          <w:snapToGrid w:val="0"/>
          <w:kern w:val="22"/>
          <w:szCs w:val="22"/>
        </w:rPr>
        <w:t xml:space="preserve">roup </w:t>
      </w:r>
      <w:r>
        <w:rPr>
          <w:snapToGrid w:val="0"/>
          <w:kern w:val="22"/>
          <w:szCs w:val="22"/>
        </w:rPr>
        <w:t xml:space="preserve">on Indicators </w:t>
      </w:r>
      <w:r w:rsidRPr="00447B46">
        <w:rPr>
          <w:snapToGrid w:val="0"/>
          <w:kern w:val="22"/>
          <w:szCs w:val="22"/>
        </w:rPr>
        <w:t xml:space="preserve">for the </w:t>
      </w:r>
      <w:r>
        <w:rPr>
          <w:snapToGrid w:val="0"/>
          <w:kern w:val="22"/>
          <w:szCs w:val="22"/>
        </w:rPr>
        <w:t>Kunming-Montreal Global Biodiversity Framework</w:t>
      </w:r>
      <w:r w:rsidRPr="00447B46">
        <w:rPr>
          <w:snapToGrid w:val="0"/>
          <w:kern w:val="22"/>
          <w:szCs w:val="22"/>
        </w:rPr>
        <w:t>, in order to avoid overlapping mandates and the duplication of work.</w:t>
      </w:r>
    </w:p>
    <w:p w14:paraId="4084E821" w14:textId="77777777" w:rsidR="0018728E" w:rsidRPr="00447B46" w:rsidRDefault="0018728E" w:rsidP="00950BE4">
      <w:pPr>
        <w:numPr>
          <w:ilvl w:val="0"/>
          <w:numId w:val="37"/>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roup will primarily conduct its work electronically and, subject to the availability of resources, will also meet physically, if possible, meeting at least twice during the intersessional period.</w:t>
      </w:r>
    </w:p>
    <w:p w14:paraId="45CA02BE" w14:textId="77777777" w:rsidR="0018728E" w:rsidRDefault="0018728E"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rPr>
      </w:pPr>
      <w:r>
        <w:rPr>
          <w:snapToGrid w:val="0"/>
          <w:color w:val="000000" w:themeColor="text1"/>
          <w:kern w:val="22"/>
          <w:szCs w:val="22"/>
        </w:rPr>
        <w:t>7.</w:t>
      </w:r>
      <w:r>
        <w:rPr>
          <w:snapToGrid w:val="0"/>
          <w:color w:val="000000" w:themeColor="text1"/>
          <w:kern w:val="22"/>
          <w:szCs w:val="22"/>
        </w:rPr>
        <w:tab/>
      </w:r>
      <w:r w:rsidRPr="00447B46">
        <w:rPr>
          <w:snapToGrid w:val="0"/>
          <w:color w:val="000000" w:themeColor="text1"/>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t>
      </w:r>
      <w:r w:rsidRPr="00447B46">
        <w:rPr>
          <w:snapToGrid w:val="0"/>
          <w:color w:val="000000" w:themeColor="text1"/>
          <w:kern w:val="22"/>
          <w:szCs w:val="22"/>
        </w:rPr>
        <w:t xml:space="preserve">should be established at, and start its work immediately after, the first meeting of the </w:t>
      </w:r>
      <w:r>
        <w:rPr>
          <w:snapToGrid w:val="0"/>
          <w:color w:val="000000" w:themeColor="text1"/>
          <w:kern w:val="22"/>
          <w:szCs w:val="22"/>
        </w:rPr>
        <w:t>A</w:t>
      </w:r>
      <w:r w:rsidRPr="00447B46">
        <w:rPr>
          <w:snapToGrid w:val="0"/>
          <w:color w:val="000000" w:themeColor="text1"/>
          <w:kern w:val="22"/>
          <w:szCs w:val="22"/>
        </w:rPr>
        <w:t xml:space="preserve">d </w:t>
      </w:r>
      <w:r>
        <w:rPr>
          <w:snapToGrid w:val="0"/>
          <w:color w:val="000000" w:themeColor="text1"/>
          <w:kern w:val="22"/>
          <w:szCs w:val="22"/>
        </w:rPr>
        <w:t>H</w:t>
      </w:r>
      <w:r w:rsidRPr="00447B46">
        <w:rPr>
          <w:snapToGrid w:val="0"/>
          <w:color w:val="000000" w:themeColor="text1"/>
          <w:kern w:val="22"/>
          <w:szCs w:val="22"/>
        </w:rPr>
        <w:t xml:space="preserve">oc </w:t>
      </w:r>
      <w:r>
        <w:rPr>
          <w:snapToGrid w:val="0"/>
          <w:color w:val="000000" w:themeColor="text1"/>
          <w:kern w:val="22"/>
          <w:szCs w:val="22"/>
        </w:rPr>
        <w:t>T</w:t>
      </w:r>
      <w:r w:rsidRPr="00447B46">
        <w:rPr>
          <w:snapToGrid w:val="0"/>
          <w:color w:val="000000" w:themeColor="text1"/>
          <w:kern w:val="22"/>
          <w:szCs w:val="22"/>
        </w:rPr>
        <w:t xml:space="preserve">echnical </w:t>
      </w:r>
      <w:r>
        <w:rPr>
          <w:snapToGrid w:val="0"/>
          <w:color w:val="000000" w:themeColor="text1"/>
          <w:kern w:val="22"/>
          <w:szCs w:val="22"/>
        </w:rPr>
        <w:t>E</w:t>
      </w:r>
      <w:r w:rsidRPr="00447B46">
        <w:rPr>
          <w:snapToGrid w:val="0"/>
          <w:color w:val="000000" w:themeColor="text1"/>
          <w:kern w:val="22"/>
          <w:szCs w:val="22"/>
        </w:rPr>
        <w:t xml:space="preserve">xpert </w:t>
      </w:r>
      <w:r>
        <w:rPr>
          <w:snapToGrid w:val="0"/>
          <w:color w:val="000000" w:themeColor="text1"/>
          <w:kern w:val="22"/>
          <w:szCs w:val="22"/>
        </w:rPr>
        <w:t>G</w:t>
      </w:r>
      <w:r w:rsidRPr="00447B46">
        <w:rPr>
          <w:snapToGrid w:val="0"/>
          <w:color w:val="000000" w:themeColor="text1"/>
          <w:kern w:val="22"/>
          <w:szCs w:val="22"/>
        </w:rPr>
        <w:t xml:space="preserve">roup </w:t>
      </w:r>
      <w:r>
        <w:rPr>
          <w:snapToGrid w:val="0"/>
          <w:color w:val="000000" w:themeColor="text1"/>
          <w:kern w:val="22"/>
          <w:szCs w:val="22"/>
        </w:rPr>
        <w:t>on Indicators for the Kunming-Montreal Global Biodiversity Framework</w:t>
      </w:r>
      <w:r w:rsidRPr="00447B46">
        <w:rPr>
          <w:snapToGrid w:val="0"/>
          <w:color w:val="000000" w:themeColor="text1"/>
          <w:kern w:val="22"/>
          <w:szCs w:val="22"/>
        </w:rPr>
        <w:t xml:space="preserve">. It would report on its work through the </w:t>
      </w:r>
      <w:r>
        <w:rPr>
          <w:snapToGrid w:val="0"/>
          <w:color w:val="000000" w:themeColor="text1"/>
          <w:kern w:val="22"/>
          <w:szCs w:val="22"/>
        </w:rPr>
        <w:t>A</w:t>
      </w:r>
      <w:r w:rsidRPr="00447B46">
        <w:rPr>
          <w:snapToGrid w:val="0"/>
          <w:color w:val="000000" w:themeColor="text1"/>
          <w:kern w:val="22"/>
          <w:szCs w:val="22"/>
        </w:rPr>
        <w:t xml:space="preserve">d </w:t>
      </w:r>
      <w:r>
        <w:rPr>
          <w:snapToGrid w:val="0"/>
          <w:color w:val="000000" w:themeColor="text1"/>
          <w:kern w:val="22"/>
          <w:szCs w:val="22"/>
        </w:rPr>
        <w:t>H</w:t>
      </w:r>
      <w:r w:rsidRPr="00447B46">
        <w:rPr>
          <w:snapToGrid w:val="0"/>
          <w:color w:val="000000" w:themeColor="text1"/>
          <w:kern w:val="22"/>
          <w:szCs w:val="22"/>
        </w:rPr>
        <w:t xml:space="preserve">oc </w:t>
      </w:r>
      <w:r>
        <w:rPr>
          <w:snapToGrid w:val="0"/>
          <w:color w:val="000000" w:themeColor="text1"/>
          <w:kern w:val="22"/>
          <w:szCs w:val="22"/>
        </w:rPr>
        <w:t>T</w:t>
      </w:r>
      <w:r w:rsidRPr="00447B46">
        <w:rPr>
          <w:snapToGrid w:val="0"/>
          <w:color w:val="000000" w:themeColor="text1"/>
          <w:kern w:val="22"/>
          <w:szCs w:val="22"/>
        </w:rPr>
        <w:t xml:space="preserve">echnical </w:t>
      </w:r>
      <w:r>
        <w:rPr>
          <w:snapToGrid w:val="0"/>
          <w:color w:val="000000" w:themeColor="text1"/>
          <w:kern w:val="22"/>
          <w:szCs w:val="22"/>
        </w:rPr>
        <w:t>E</w:t>
      </w:r>
      <w:r w:rsidRPr="00447B46">
        <w:rPr>
          <w:snapToGrid w:val="0"/>
          <w:color w:val="000000" w:themeColor="text1"/>
          <w:kern w:val="22"/>
          <w:szCs w:val="22"/>
        </w:rPr>
        <w:t xml:space="preserve">xpert </w:t>
      </w:r>
      <w:r>
        <w:rPr>
          <w:snapToGrid w:val="0"/>
          <w:color w:val="000000" w:themeColor="text1"/>
          <w:kern w:val="22"/>
          <w:szCs w:val="22"/>
        </w:rPr>
        <w:t>G</w:t>
      </w:r>
      <w:r w:rsidRPr="00447B46">
        <w:rPr>
          <w:snapToGrid w:val="0"/>
          <w:color w:val="000000" w:themeColor="text1"/>
          <w:kern w:val="22"/>
          <w:szCs w:val="22"/>
        </w:rPr>
        <w:t>roup</w:t>
      </w:r>
      <w:r>
        <w:rPr>
          <w:snapToGrid w:val="0"/>
          <w:color w:val="000000" w:themeColor="text1"/>
          <w:kern w:val="22"/>
          <w:szCs w:val="22"/>
        </w:rPr>
        <w:t xml:space="preserve"> on Indicators</w:t>
      </w:r>
      <w:r w:rsidRPr="00447B46">
        <w:rPr>
          <w:snapToGrid w:val="0"/>
          <w:color w:val="000000" w:themeColor="text1"/>
          <w:kern w:val="22"/>
          <w:szCs w:val="22"/>
        </w:rPr>
        <w:t xml:space="preserve"> to the Subsidiary Body on Implementation and the Subsidiary Body on Scientific, Technical and Technological Advice at meetings held prior to the sixteenth meeting of the Conference of the Parties.</w:t>
      </w:r>
    </w:p>
    <w:p w14:paraId="71504F31" w14:textId="77777777" w:rsidR="00994B70" w:rsidRDefault="00994B70"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rPr>
      </w:pPr>
    </w:p>
    <w:p w14:paraId="226E17EF" w14:textId="77777777" w:rsidR="008C379F" w:rsidRDefault="008C379F" w:rsidP="00CA676A">
      <w:pPr>
        <w:suppressLineNumbers/>
        <w:shd w:val="clear" w:color="auto" w:fill="FFFFFF" w:themeFill="background1"/>
        <w:suppressAutoHyphens/>
        <w:kinsoku w:val="0"/>
        <w:overflowPunct w:val="0"/>
        <w:autoSpaceDE w:val="0"/>
        <w:autoSpaceDN w:val="0"/>
        <w:spacing w:before="120" w:after="120"/>
        <w:ind w:firstLine="720"/>
        <w:jc w:val="center"/>
        <w:rPr>
          <w:szCs w:val="22"/>
        </w:rPr>
        <w:sectPr w:rsidR="008C379F" w:rsidSect="00441700">
          <w:footnotePr>
            <w:numRestart w:val="eachSect"/>
          </w:footnotePr>
          <w:pgSz w:w="12240" w:h="15840"/>
          <w:pgMar w:top="567" w:right="1440" w:bottom="1134" w:left="1440" w:header="709" w:footer="709" w:gutter="0"/>
          <w:cols w:space="708"/>
          <w:docGrid w:linePitch="360"/>
        </w:sectPr>
      </w:pPr>
    </w:p>
    <w:p w14:paraId="769E9545" w14:textId="77777777" w:rsidR="008C379F" w:rsidRPr="00F64CCA" w:rsidRDefault="008C379F" w:rsidP="00AC7311">
      <w:pPr>
        <w:pStyle w:val="decision"/>
        <w:rPr>
          <w:rStyle w:val="BodyTextChar"/>
          <w:rFonts w:eastAsia="Malgun Gothic"/>
          <w:b w:val="0"/>
          <w:bCs/>
        </w:rPr>
      </w:pPr>
      <w:bookmarkStart w:id="63" w:name="_Toc150438806"/>
      <w:bookmarkStart w:id="64" w:name="_Toc150670506"/>
      <w:bookmarkStart w:id="65" w:name="_Toc150670616"/>
      <w:bookmarkStart w:id="66" w:name="_Toc150761118"/>
      <w:r w:rsidRPr="00F627C0">
        <w:lastRenderedPageBreak/>
        <w:t>15/8.</w:t>
      </w:r>
      <w:r w:rsidRPr="00F627C0">
        <w:tab/>
        <w:t>Capacity-building and development and technical and scientific cooperation</w:t>
      </w:r>
      <w:bookmarkEnd w:id="63"/>
      <w:bookmarkEnd w:id="64"/>
      <w:bookmarkEnd w:id="65"/>
      <w:bookmarkEnd w:id="66"/>
    </w:p>
    <w:p w14:paraId="3CD173A0" w14:textId="77777777" w:rsidR="008C379F" w:rsidRDefault="008C379F" w:rsidP="00FD6942">
      <w:pPr>
        <w:pStyle w:val="Para1"/>
        <w:numPr>
          <w:ilvl w:val="0"/>
          <w:numId w:val="0"/>
        </w:numPr>
        <w:spacing w:before="240"/>
        <w:ind w:firstLine="709"/>
        <w:rPr>
          <w:iCs/>
        </w:rPr>
      </w:pPr>
      <w:r w:rsidRPr="004E35D7">
        <w:rPr>
          <w:i/>
        </w:rPr>
        <w:t xml:space="preserve">The </w:t>
      </w:r>
      <w:r w:rsidRPr="00C9103E">
        <w:rPr>
          <w:i/>
        </w:rPr>
        <w:t>Conference</w:t>
      </w:r>
      <w:r w:rsidRPr="004E35D7">
        <w:rPr>
          <w:i/>
        </w:rPr>
        <w:t xml:space="preserve"> of the Parties</w:t>
      </w:r>
      <w:r w:rsidRPr="00760D30">
        <w:rPr>
          <w:iCs/>
        </w:rPr>
        <w:t>,</w:t>
      </w:r>
    </w:p>
    <w:p w14:paraId="4A4D88D5" w14:textId="77777777" w:rsidR="008C379F" w:rsidRPr="00B64EEF" w:rsidRDefault="008C379F" w:rsidP="00A30041">
      <w:pPr>
        <w:pStyle w:val="Para1"/>
        <w:numPr>
          <w:ilvl w:val="0"/>
          <w:numId w:val="0"/>
        </w:numPr>
        <w:ind w:firstLine="709"/>
        <w:rPr>
          <w:iCs/>
        </w:rPr>
      </w:pPr>
      <w:r w:rsidRPr="00B64EEF">
        <w:rPr>
          <w:i/>
        </w:rPr>
        <w:t xml:space="preserve">Recalling </w:t>
      </w:r>
      <w:r w:rsidRPr="00B64EEF">
        <w:rPr>
          <w:iCs/>
        </w:rPr>
        <w:t>Articles 15.6, 16, 17, 18 and 19 of the Convention,</w:t>
      </w:r>
    </w:p>
    <w:p w14:paraId="1B8726B4" w14:textId="4370DD97" w:rsidR="008C379F" w:rsidRPr="00D71EDE" w:rsidRDefault="008C379F" w:rsidP="00A30041">
      <w:pPr>
        <w:pStyle w:val="Para1"/>
        <w:numPr>
          <w:ilvl w:val="0"/>
          <w:numId w:val="0"/>
        </w:numPr>
        <w:suppressLineNumbers/>
        <w:tabs>
          <w:tab w:val="left" w:pos="720"/>
        </w:tabs>
        <w:suppressAutoHyphens/>
        <w:kinsoku w:val="0"/>
        <w:adjustRightInd w:val="0"/>
        <w:ind w:firstLine="720"/>
      </w:pPr>
      <w:r w:rsidRPr="004E35D7">
        <w:rPr>
          <w:i/>
        </w:rPr>
        <w:t>Recalling</w:t>
      </w:r>
      <w:r>
        <w:rPr>
          <w:i/>
        </w:rPr>
        <w:t xml:space="preserve"> also</w:t>
      </w:r>
      <w:r w:rsidRPr="004E35D7">
        <w:t xml:space="preserve"> decisions </w:t>
      </w:r>
      <w:hyperlink r:id="rId22" w:history="1">
        <w:r w:rsidRPr="004E35D7">
          <w:rPr>
            <w:rStyle w:val="Hyperlink"/>
            <w:sz w:val="22"/>
            <w:u w:val="none"/>
          </w:rPr>
          <w:t>XIII/23</w:t>
        </w:r>
      </w:hyperlink>
      <w:r w:rsidRPr="004E35D7">
        <w:t xml:space="preserve"> and </w:t>
      </w:r>
      <w:hyperlink r:id="rId23" w:history="1">
        <w:r w:rsidRPr="004E35D7">
          <w:rPr>
            <w:rStyle w:val="Hyperlink"/>
            <w:sz w:val="22"/>
            <w:u w:val="none"/>
          </w:rPr>
          <w:t>14/24</w:t>
        </w:r>
      </w:hyperlink>
      <w:r w:rsidRPr="004E35D7">
        <w:t>,</w:t>
      </w:r>
    </w:p>
    <w:p w14:paraId="2AE47A45" w14:textId="77777777" w:rsidR="008C379F" w:rsidRPr="00760D30" w:rsidRDefault="008C379F" w:rsidP="00A30041">
      <w:pPr>
        <w:pStyle w:val="Para1"/>
        <w:numPr>
          <w:ilvl w:val="0"/>
          <w:numId w:val="0"/>
        </w:numPr>
        <w:suppressLineNumbers/>
        <w:tabs>
          <w:tab w:val="left" w:pos="720"/>
        </w:tabs>
        <w:suppressAutoHyphens/>
        <w:kinsoku w:val="0"/>
        <w:adjustRightInd w:val="0"/>
        <w:ind w:firstLine="720"/>
      </w:pPr>
      <w:r w:rsidRPr="00760D30">
        <w:rPr>
          <w:i/>
          <w:iCs/>
        </w:rPr>
        <w:t xml:space="preserve">Noting with appreciation </w:t>
      </w:r>
      <w:r w:rsidRPr="00760D30">
        <w:t>the support provided by Parties, other Governments, the Global Environment Facility</w:t>
      </w:r>
      <w:r>
        <w:t>,</w:t>
      </w:r>
      <w:r w:rsidRPr="00760D30">
        <w:t xml:space="preserve"> relevant organizations and other stakeholders for capacity</w:t>
      </w:r>
      <w:r w:rsidRPr="00760D30">
        <w:noBreakHyphen/>
        <w:t>building and development</w:t>
      </w:r>
      <w:r>
        <w:t>,</w:t>
      </w:r>
      <w:r w:rsidRPr="00760D30">
        <w:t xml:space="preserve"> and technical and scientific cooperation activities to assist developing country Parties, Parties with economies in transition, indigenous peoples and local communities, women and youth</w:t>
      </w:r>
      <w:r>
        <w:t>,</w:t>
      </w:r>
    </w:p>
    <w:p w14:paraId="1A33695C" w14:textId="77777777" w:rsidR="008C379F" w:rsidRPr="00760D30" w:rsidRDefault="008C379F" w:rsidP="00A30041">
      <w:pPr>
        <w:pStyle w:val="Para1"/>
        <w:numPr>
          <w:ilvl w:val="0"/>
          <w:numId w:val="0"/>
        </w:numPr>
        <w:suppressLineNumbers/>
        <w:tabs>
          <w:tab w:val="left" w:pos="720"/>
        </w:tabs>
        <w:suppressAutoHyphens/>
        <w:kinsoku w:val="0"/>
        <w:adjustRightInd w:val="0"/>
        <w:ind w:firstLine="720"/>
      </w:pPr>
      <w:r w:rsidRPr="00760D30">
        <w:rPr>
          <w:i/>
          <w:iCs/>
        </w:rPr>
        <w:t xml:space="preserve">Reaffirming </w:t>
      </w:r>
      <w:r w:rsidRPr="00760D30">
        <w:t>the need to promote strategic and coherent approaches to capacity</w:t>
      </w:r>
      <w:r w:rsidRPr="00760D30">
        <w:noBreakHyphen/>
        <w:t xml:space="preserve">building and development and technical and scientific cooperation in supporting the implementation of the Convention and its </w:t>
      </w:r>
      <w:r>
        <w:t>P</w:t>
      </w:r>
      <w:r w:rsidRPr="00760D30">
        <w:t>rotocols,</w:t>
      </w:r>
    </w:p>
    <w:p w14:paraId="415D9C0E" w14:textId="77777777" w:rsidR="008C379F" w:rsidRDefault="008C379F" w:rsidP="00A30041">
      <w:pPr>
        <w:pStyle w:val="Para1"/>
        <w:numPr>
          <w:ilvl w:val="0"/>
          <w:numId w:val="0"/>
        </w:numPr>
        <w:suppressLineNumbers/>
        <w:tabs>
          <w:tab w:val="left" w:pos="720"/>
        </w:tabs>
        <w:suppressAutoHyphens/>
        <w:kinsoku w:val="0"/>
        <w:adjustRightInd w:val="0"/>
        <w:ind w:firstLine="720"/>
      </w:pPr>
      <w:r w:rsidRPr="00760D30">
        <w:rPr>
          <w:i/>
          <w:iCs/>
        </w:rPr>
        <w:t xml:space="preserve">Underscoring </w:t>
      </w:r>
      <w:r w:rsidRPr="00760D30">
        <w:t>the critical importance of capacity</w:t>
      </w:r>
      <w:r w:rsidRPr="00760D30">
        <w:noBreakHyphen/>
        <w:t>building and development, technical and scientific cooperation</w:t>
      </w:r>
      <w:r>
        <w:t>,</w:t>
      </w:r>
      <w:r w:rsidRPr="00760D30">
        <w:t xml:space="preserve"> </w:t>
      </w:r>
      <w:r w:rsidRPr="00EA110A">
        <w:t>and technology transfer for</w:t>
      </w:r>
      <w:r w:rsidRPr="00760D30">
        <w:t xml:space="preserve"> the effective implementation of the </w:t>
      </w:r>
      <w:r>
        <w:t>Kunming-Montreal G</w:t>
      </w:r>
      <w:r w:rsidRPr="00760D30">
        <w:t xml:space="preserve">lobal </w:t>
      </w:r>
      <w:r>
        <w:t>B</w:t>
      </w:r>
      <w:r w:rsidRPr="00760D30">
        <w:t xml:space="preserve">iodiversity </w:t>
      </w:r>
      <w:r>
        <w:t>F</w:t>
      </w:r>
      <w:r w:rsidRPr="00760D30">
        <w:t xml:space="preserve">ramework, </w:t>
      </w:r>
    </w:p>
    <w:p w14:paraId="3F389050" w14:textId="77777777" w:rsidR="008C379F" w:rsidRDefault="008C379F" w:rsidP="00A30041">
      <w:pPr>
        <w:pStyle w:val="Para1"/>
        <w:numPr>
          <w:ilvl w:val="0"/>
          <w:numId w:val="0"/>
        </w:numPr>
        <w:suppressLineNumbers/>
        <w:tabs>
          <w:tab w:val="left" w:pos="720"/>
        </w:tabs>
        <w:suppressAutoHyphens/>
        <w:kinsoku w:val="0"/>
        <w:adjustRightInd w:val="0"/>
        <w:ind w:firstLine="720"/>
      </w:pPr>
      <w:r w:rsidRPr="007D51B9">
        <w:rPr>
          <w:i/>
          <w:iCs/>
        </w:rPr>
        <w:t>Recognizing</w:t>
      </w:r>
      <w:r>
        <w:t xml:space="preserve"> that many Parties, in particular developing country Parties, might not yet have the necessary capacities to fully implement the Kunming-Montreal G</w:t>
      </w:r>
      <w:r w:rsidRPr="00C84023">
        <w:t xml:space="preserve">lobal </w:t>
      </w:r>
      <w:r>
        <w:t>B</w:t>
      </w:r>
      <w:r w:rsidRPr="00C84023">
        <w:t xml:space="preserve">iodiversity </w:t>
      </w:r>
      <w:r>
        <w:t>F</w:t>
      </w:r>
      <w:r w:rsidRPr="00C84023">
        <w:t>ramework</w:t>
      </w:r>
      <w:r>
        <w:t xml:space="preserve"> and related decisions taken by the Conference of the Parties at its fifteenth meeting, and </w:t>
      </w:r>
      <w:r w:rsidRPr="00AA78F3">
        <w:t>highlighting</w:t>
      </w:r>
      <w:r>
        <w:t xml:space="preserve"> the need for enhanced cooperation to address these capacity gaps,</w:t>
      </w:r>
    </w:p>
    <w:p w14:paraId="780534FC" w14:textId="77777777" w:rsidR="008C379F" w:rsidRDefault="008C379F" w:rsidP="00A30041">
      <w:pPr>
        <w:pStyle w:val="Para1"/>
        <w:numPr>
          <w:ilvl w:val="0"/>
          <w:numId w:val="0"/>
        </w:numPr>
        <w:suppressLineNumbers/>
        <w:tabs>
          <w:tab w:val="left" w:pos="720"/>
        </w:tabs>
        <w:suppressAutoHyphens/>
        <w:kinsoku w:val="0"/>
        <w:adjustRightInd w:val="0"/>
        <w:ind w:firstLine="720"/>
      </w:pPr>
      <w:r w:rsidRPr="004B0F59">
        <w:rPr>
          <w:i/>
          <w:iCs/>
        </w:rPr>
        <w:t>Noting</w:t>
      </w:r>
      <w:r w:rsidRPr="004B0F59">
        <w:t xml:space="preserve"> that</w:t>
      </w:r>
      <w:r w:rsidRPr="001A5316">
        <w:t xml:space="preserve"> the </w:t>
      </w:r>
      <w:r>
        <w:t>Kunming-Montreal G</w:t>
      </w:r>
      <w:r w:rsidRPr="001A5316">
        <w:t xml:space="preserve">lobal </w:t>
      </w:r>
      <w:r>
        <w:t>B</w:t>
      </w:r>
      <w:r w:rsidRPr="001A5316">
        <w:t xml:space="preserve">iodiversity </w:t>
      </w:r>
      <w:r w:rsidRPr="002F74B5">
        <w:t>Framework and related decisions are</w:t>
      </w:r>
      <w:r w:rsidRPr="001A5316">
        <w:t xml:space="preserve"> to be implemented in accordance with national priorities and capabilities</w:t>
      </w:r>
      <w:r>
        <w:t>,</w:t>
      </w:r>
    </w:p>
    <w:p w14:paraId="7ACEA546" w14:textId="77777777" w:rsidR="008C379F" w:rsidRPr="00541EA7" w:rsidRDefault="008C379F" w:rsidP="00560841">
      <w:pPr>
        <w:pStyle w:val="Para1"/>
        <w:numPr>
          <w:ilvl w:val="0"/>
          <w:numId w:val="0"/>
        </w:numPr>
        <w:suppressLineNumbers/>
        <w:shd w:val="clear" w:color="auto" w:fill="FFFFFF" w:themeFill="background1"/>
        <w:tabs>
          <w:tab w:val="left" w:pos="720"/>
        </w:tabs>
        <w:suppressAutoHyphens/>
        <w:kinsoku w:val="0"/>
        <w:adjustRightInd w:val="0"/>
        <w:ind w:firstLine="720"/>
      </w:pPr>
      <w:r w:rsidRPr="00541EA7">
        <w:rPr>
          <w:i/>
          <w:iCs/>
        </w:rPr>
        <w:t xml:space="preserve">Taking into account </w:t>
      </w:r>
      <w:r w:rsidRPr="00541EA7">
        <w:t xml:space="preserve">the specific needs of developing country Parties, in particular the least developed countries and small island developing </w:t>
      </w:r>
      <w:r>
        <w:t>S</w:t>
      </w:r>
      <w:r w:rsidRPr="00541EA7">
        <w:t>tates, and countries with economies in transition</w:t>
      </w:r>
      <w:r>
        <w:t>,</w:t>
      </w:r>
      <w:r w:rsidRPr="00541EA7">
        <w:t xml:space="preserve"> </w:t>
      </w:r>
      <w:r>
        <w:t xml:space="preserve">also taking into consideration the special situation of those that are most environmentally vulnerable, such as those with arid and semi-arid zones, coastal and mountainous areas, </w:t>
      </w:r>
      <w:r w:rsidRPr="00541EA7">
        <w:t>as well as indigenous peoples and local communities, women and youth,</w:t>
      </w:r>
    </w:p>
    <w:p w14:paraId="64A766D6" w14:textId="77777777" w:rsidR="008C379F" w:rsidRPr="00760D30" w:rsidRDefault="008C379F" w:rsidP="00A30041">
      <w:pPr>
        <w:pStyle w:val="Para1"/>
        <w:numPr>
          <w:ilvl w:val="0"/>
          <w:numId w:val="0"/>
        </w:numPr>
        <w:suppressLineNumbers/>
        <w:tabs>
          <w:tab w:val="left" w:pos="720"/>
        </w:tabs>
        <w:suppressAutoHyphens/>
        <w:kinsoku w:val="0"/>
        <w:adjustRightInd w:val="0"/>
        <w:ind w:firstLine="720"/>
      </w:pPr>
      <w:r w:rsidRPr="00760D30">
        <w:rPr>
          <w:i/>
          <w:iCs/>
        </w:rPr>
        <w:t>Taking note</w:t>
      </w:r>
      <w:r w:rsidRPr="00760D30">
        <w:t xml:space="preserve"> of the final report on the implementation of the </w:t>
      </w:r>
      <w:r w:rsidRPr="00E36960">
        <w:t>short-term action plan (2017</w:t>
      </w:r>
      <w:r>
        <w:t>–</w:t>
      </w:r>
      <w:r w:rsidRPr="00E36960">
        <w:t>2020) to enhance and support capacity</w:t>
      </w:r>
      <w:r w:rsidRPr="00E36960">
        <w:noBreakHyphen/>
        <w:t>building for the implementation of the Convention and its Protocols, and the lessons learned,</w:t>
      </w:r>
      <w:r w:rsidRPr="00610646">
        <w:rPr>
          <w:rStyle w:val="FootnoteReference"/>
          <w:rFonts w:eastAsiaTheme="majorEastAsia"/>
        </w:rPr>
        <w:footnoteReference w:id="61"/>
      </w:r>
    </w:p>
    <w:p w14:paraId="05211C0D" w14:textId="77777777" w:rsidR="008C379F" w:rsidRPr="00760D30" w:rsidRDefault="008C379F" w:rsidP="00A30041">
      <w:pPr>
        <w:pStyle w:val="Para1"/>
        <w:numPr>
          <w:ilvl w:val="0"/>
          <w:numId w:val="0"/>
        </w:numPr>
        <w:suppressLineNumbers/>
        <w:tabs>
          <w:tab w:val="left" w:pos="720"/>
        </w:tabs>
        <w:suppressAutoHyphens/>
        <w:kinsoku w:val="0"/>
        <w:adjustRightInd w:val="0"/>
        <w:ind w:firstLine="720"/>
      </w:pPr>
      <w:r w:rsidRPr="00760D30">
        <w:rPr>
          <w:i/>
          <w:iCs/>
        </w:rPr>
        <w:t xml:space="preserve">Taking note </w:t>
      </w:r>
      <w:r>
        <w:rPr>
          <w:i/>
          <w:iCs/>
        </w:rPr>
        <w:t xml:space="preserve">also </w:t>
      </w:r>
      <w:r w:rsidRPr="00713974">
        <w:t>of</w:t>
      </w:r>
      <w:r w:rsidRPr="00760D30">
        <w:rPr>
          <w:i/>
          <w:iCs/>
        </w:rPr>
        <w:t xml:space="preserve"> </w:t>
      </w:r>
      <w:r w:rsidRPr="00760D30">
        <w:t>the</w:t>
      </w:r>
      <w:r>
        <w:t xml:space="preserve"> summary of the</w:t>
      </w:r>
      <w:r w:rsidRPr="00760D30">
        <w:t xml:space="preserve"> United Nations Summit on Biodiversity held on 30 September 2020,</w:t>
      </w:r>
      <w:r w:rsidRPr="00610646">
        <w:rPr>
          <w:rStyle w:val="FootnoteReference"/>
        </w:rPr>
        <w:footnoteReference w:id="62"/>
      </w:r>
    </w:p>
    <w:p w14:paraId="623DDF4F" w14:textId="77777777" w:rsidR="008C379F" w:rsidRPr="00177D2A" w:rsidRDefault="008C379F" w:rsidP="00A30041">
      <w:pPr>
        <w:pStyle w:val="Para1"/>
        <w:numPr>
          <w:ilvl w:val="0"/>
          <w:numId w:val="0"/>
        </w:numPr>
        <w:suppressLineNumbers/>
        <w:tabs>
          <w:tab w:val="left" w:pos="720"/>
        </w:tabs>
        <w:suppressAutoHyphens/>
        <w:kinsoku w:val="0"/>
        <w:adjustRightInd w:val="0"/>
        <w:ind w:firstLine="720"/>
      </w:pPr>
      <w:r w:rsidRPr="00760D30">
        <w:rPr>
          <w:i/>
        </w:rPr>
        <w:t>Welcoming</w:t>
      </w:r>
      <w:r w:rsidRPr="00760D30">
        <w:t xml:space="preserve"> partnerships and commitments among organizations</w:t>
      </w:r>
      <w:r>
        <w:t xml:space="preserve"> to support capacity-building and </w:t>
      </w:r>
      <w:r w:rsidRPr="00177D2A">
        <w:t xml:space="preserve">development, and technical and scientific cooperation for the implementation of the Convention, </w:t>
      </w:r>
    </w:p>
    <w:p w14:paraId="7AACC990" w14:textId="77777777" w:rsidR="008C379F" w:rsidRPr="004D32B6" w:rsidRDefault="008C379F" w:rsidP="00A30041">
      <w:pPr>
        <w:pStyle w:val="Para1"/>
        <w:numPr>
          <w:ilvl w:val="0"/>
          <w:numId w:val="0"/>
        </w:numPr>
        <w:suppressLineNumbers/>
        <w:tabs>
          <w:tab w:val="left" w:pos="720"/>
        </w:tabs>
        <w:suppressAutoHyphens/>
        <w:kinsoku w:val="0"/>
        <w:adjustRightInd w:val="0"/>
        <w:ind w:firstLine="720"/>
      </w:pPr>
      <w:r w:rsidRPr="00177D2A">
        <w:rPr>
          <w:i/>
          <w:iCs/>
        </w:rPr>
        <w:t>Acknowledging</w:t>
      </w:r>
      <w:r w:rsidRPr="00177D2A">
        <w:t xml:space="preserve"> the importance of increasing the provision and mobilization of resources from all  sources for the effective implementation of the Kunming-Montreal Global Biodiversity Framework, including its monitoring framework, particularly for capacity</w:t>
      </w:r>
      <w:r w:rsidRPr="00177D2A">
        <w:noBreakHyphen/>
        <w:t xml:space="preserve">building and development, and technical and scientific cooperation for all Parties, in particular developing country Parties, </w:t>
      </w:r>
    </w:p>
    <w:p w14:paraId="51BDA0C8" w14:textId="77777777" w:rsidR="008C379F" w:rsidRDefault="008C379F" w:rsidP="00A30041">
      <w:pPr>
        <w:pStyle w:val="Para1"/>
        <w:numPr>
          <w:ilvl w:val="0"/>
          <w:numId w:val="0"/>
        </w:numPr>
        <w:suppressLineNumbers/>
        <w:tabs>
          <w:tab w:val="left" w:pos="720"/>
        </w:tabs>
        <w:suppressAutoHyphens/>
        <w:kinsoku w:val="0"/>
        <w:adjustRightInd w:val="0"/>
        <w:ind w:firstLine="720"/>
      </w:pPr>
      <w:r w:rsidRPr="004D32B6">
        <w:rPr>
          <w:i/>
          <w:iCs/>
        </w:rPr>
        <w:t>Recalling</w:t>
      </w:r>
      <w:r w:rsidRPr="00177D2A">
        <w:t xml:space="preserve"> Articles 20 and 21 of the Convention </w:t>
      </w:r>
      <w:r w:rsidRPr="004D32B6">
        <w:t>and</w:t>
      </w:r>
      <w:r w:rsidRPr="00177D2A">
        <w:t xml:space="preserve"> taking into account decision</w:t>
      </w:r>
      <w:r>
        <w:t>s</w:t>
      </w:r>
      <w:r w:rsidRPr="00177D2A">
        <w:t xml:space="preserve"> 15/7 on resource mobilization and 15/15 on the financial mechanism,</w:t>
      </w:r>
    </w:p>
    <w:p w14:paraId="72CE0214" w14:textId="77777777" w:rsidR="008C379F" w:rsidRPr="00117EEC" w:rsidRDefault="008C379F" w:rsidP="00A30041">
      <w:pPr>
        <w:pStyle w:val="Para1"/>
        <w:numPr>
          <w:ilvl w:val="0"/>
          <w:numId w:val="0"/>
        </w:numPr>
        <w:suppressLineNumbers/>
        <w:tabs>
          <w:tab w:val="left" w:pos="720"/>
        </w:tabs>
        <w:suppressAutoHyphens/>
        <w:kinsoku w:val="0"/>
        <w:adjustRightInd w:val="0"/>
        <w:ind w:firstLine="720"/>
        <w:rPr>
          <w:i/>
          <w:iCs/>
        </w:rPr>
      </w:pPr>
      <w:r w:rsidRPr="00117EEC">
        <w:rPr>
          <w:i/>
          <w:iCs/>
        </w:rPr>
        <w:t xml:space="preserve">Recalling </w:t>
      </w:r>
      <w:r w:rsidRPr="00117EEC">
        <w:t>decisions 14/24 B, XIII/23, XIII/31, XII/2 B, X/16, IX/14, VIII/12 and VII/29 regarding technical and scientific cooperation and technology transfer,</w:t>
      </w:r>
    </w:p>
    <w:p w14:paraId="6432A8E8" w14:textId="77777777" w:rsidR="008C379F" w:rsidRPr="00117EEC" w:rsidRDefault="008C379F" w:rsidP="00A30041">
      <w:pPr>
        <w:pStyle w:val="Para1"/>
        <w:numPr>
          <w:ilvl w:val="0"/>
          <w:numId w:val="0"/>
        </w:numPr>
        <w:suppressLineNumbers/>
        <w:tabs>
          <w:tab w:val="left" w:pos="720"/>
        </w:tabs>
        <w:suppressAutoHyphens/>
        <w:kinsoku w:val="0"/>
        <w:adjustRightInd w:val="0"/>
        <w:ind w:firstLine="720"/>
      </w:pPr>
      <w:r w:rsidRPr="00117EEC">
        <w:rPr>
          <w:i/>
          <w:iCs/>
        </w:rPr>
        <w:lastRenderedPageBreak/>
        <w:t xml:space="preserve">Reaffirming </w:t>
      </w:r>
      <w:r w:rsidRPr="00117EEC">
        <w:t xml:space="preserve">that technical and scientific cooperation is essential to the effective implementation of the </w:t>
      </w:r>
      <w:r>
        <w:t>Kunming-Montreal G</w:t>
      </w:r>
      <w:r w:rsidRPr="00117EEC">
        <w:t xml:space="preserve">lobal </w:t>
      </w:r>
      <w:r>
        <w:t>B</w:t>
      </w:r>
      <w:r w:rsidRPr="00117EEC">
        <w:t xml:space="preserve">iodiversity </w:t>
      </w:r>
      <w:r>
        <w:t>F</w:t>
      </w:r>
      <w:r w:rsidRPr="00117EEC">
        <w:t>ramework,</w:t>
      </w:r>
    </w:p>
    <w:p w14:paraId="0686BF00" w14:textId="77777777" w:rsidR="008C379F" w:rsidRDefault="008C379F" w:rsidP="00A30041">
      <w:pPr>
        <w:pStyle w:val="Para1"/>
        <w:numPr>
          <w:ilvl w:val="0"/>
          <w:numId w:val="0"/>
        </w:numPr>
        <w:suppressLineNumbers/>
        <w:suppressAutoHyphens/>
        <w:kinsoku w:val="0"/>
        <w:adjustRightInd w:val="0"/>
        <w:ind w:firstLine="720"/>
      </w:pPr>
      <w:r w:rsidRPr="00117EEC">
        <w:rPr>
          <w:i/>
          <w:iCs/>
        </w:rPr>
        <w:t>Acknowledging</w:t>
      </w:r>
      <w:r w:rsidRPr="00117EEC">
        <w:t xml:space="preserve"> the close interlinkages between technical and scientific cooperation and the other means of </w:t>
      </w:r>
      <w:r w:rsidRPr="00D6089F">
        <w:t>implementation and the</w:t>
      </w:r>
      <w:r w:rsidRPr="00117EEC">
        <w:t xml:space="preserve"> need for Parties to consider them as a package and not in isolation</w:t>
      </w:r>
      <w:r>
        <w:t>,</w:t>
      </w:r>
    </w:p>
    <w:p w14:paraId="7A5A19FE" w14:textId="77777777" w:rsidR="008C379F" w:rsidRPr="00117EEC" w:rsidRDefault="008C379F" w:rsidP="00A30041">
      <w:pPr>
        <w:pStyle w:val="Para1"/>
        <w:numPr>
          <w:ilvl w:val="0"/>
          <w:numId w:val="0"/>
        </w:numPr>
        <w:suppressLineNumbers/>
        <w:suppressAutoHyphens/>
        <w:kinsoku w:val="0"/>
        <w:adjustRightInd w:val="0"/>
        <w:ind w:firstLine="720"/>
      </w:pPr>
      <w:r w:rsidRPr="00117EEC">
        <w:rPr>
          <w:i/>
          <w:iCs/>
        </w:rPr>
        <w:t xml:space="preserve">Taking note </w:t>
      </w:r>
      <w:r w:rsidRPr="00713974">
        <w:t>of</w:t>
      </w:r>
      <w:r w:rsidRPr="00117EEC">
        <w:rPr>
          <w:i/>
          <w:iCs/>
        </w:rPr>
        <w:t xml:space="preserve"> </w:t>
      </w:r>
      <w:r w:rsidRPr="00117EEC">
        <w:t>the progress report on technical and scientific cooperation, including the achievements made under the Bio-Bridge Initiative presented in document CBD/</w:t>
      </w:r>
      <w:r>
        <w:t>COP/15/INF/8</w:t>
      </w:r>
      <w:r w:rsidRPr="00117EEC">
        <w:t>,</w:t>
      </w:r>
    </w:p>
    <w:p w14:paraId="6DA431E9" w14:textId="77777777" w:rsidR="008C379F" w:rsidRDefault="008C379F" w:rsidP="00A30041">
      <w:pPr>
        <w:pStyle w:val="Para1"/>
        <w:numPr>
          <w:ilvl w:val="0"/>
          <w:numId w:val="0"/>
        </w:numPr>
        <w:suppressLineNumbers/>
        <w:suppressAutoHyphens/>
        <w:kinsoku w:val="0"/>
        <w:adjustRightInd w:val="0"/>
        <w:ind w:firstLine="720"/>
      </w:pPr>
      <w:bookmarkStart w:id="67" w:name="_Hlk98580676"/>
      <w:r w:rsidRPr="00A435C9">
        <w:rPr>
          <w:i/>
          <w:iCs/>
        </w:rPr>
        <w:t>Taking note</w:t>
      </w:r>
      <w:r>
        <w:rPr>
          <w:i/>
          <w:iCs/>
        </w:rPr>
        <w:t xml:space="preserve"> also</w:t>
      </w:r>
      <w:r w:rsidRPr="00D91078">
        <w:t xml:space="preserve"> of the results of the review </w:t>
      </w:r>
      <w:r w:rsidRPr="0078346D">
        <w:t xml:space="preserve">of technical and scientific cooperation programmes contained in document </w:t>
      </w:r>
      <w:r w:rsidRPr="009F35B1">
        <w:t>CBD/COP/15/</w:t>
      </w:r>
      <w:r>
        <w:t>12,</w:t>
      </w:r>
      <w:r w:rsidRPr="00610646">
        <w:rPr>
          <w:rStyle w:val="FootnoteReference"/>
        </w:rPr>
        <w:footnoteReference w:id="63"/>
      </w:r>
      <w:bookmarkEnd w:id="67"/>
    </w:p>
    <w:p w14:paraId="4F1BB599" w14:textId="77777777" w:rsidR="008C379F" w:rsidRDefault="008C379F" w:rsidP="00A30041">
      <w:pPr>
        <w:pStyle w:val="Para1"/>
        <w:numPr>
          <w:ilvl w:val="0"/>
          <w:numId w:val="0"/>
        </w:numPr>
        <w:suppressLineNumbers/>
        <w:suppressAutoHyphens/>
        <w:kinsoku w:val="0"/>
        <w:adjustRightInd w:val="0"/>
        <w:ind w:firstLine="720"/>
      </w:pPr>
      <w:r w:rsidRPr="007C69DA">
        <w:rPr>
          <w:i/>
          <w:iCs/>
        </w:rPr>
        <w:t>Recalling</w:t>
      </w:r>
      <w:r w:rsidRPr="007C69DA">
        <w:t xml:space="preserve"> decision 14/20 and noting decision 15/</w:t>
      </w:r>
      <w:r>
        <w:t>9</w:t>
      </w:r>
      <w:r w:rsidRPr="007C69DA">
        <w:t>,</w:t>
      </w:r>
      <w:r w:rsidRPr="00610646">
        <w:rPr>
          <w:rStyle w:val="FootnoteReference"/>
        </w:rPr>
        <w:footnoteReference w:id="64"/>
      </w:r>
      <w:r>
        <w:t xml:space="preserve"> and</w:t>
      </w:r>
      <w:r w:rsidRPr="00037993">
        <w:t xml:space="preserve"> further </w:t>
      </w:r>
      <w:r w:rsidRPr="00981752">
        <w:t>recognizing</w:t>
      </w:r>
      <w:r w:rsidRPr="00037993">
        <w:t xml:space="preserve"> the need to support access to, and generation, analysis and use of</w:t>
      </w:r>
      <w:r>
        <w:t>,</w:t>
      </w:r>
      <w:r w:rsidRPr="00037993">
        <w:t xml:space="preserve"> digital sequence information on genetic resources through capacity-building and development, technical and scientific cooperation and technology transfer</w:t>
      </w:r>
      <w:r>
        <w:t>,</w:t>
      </w:r>
    </w:p>
    <w:p w14:paraId="75129575" w14:textId="77777777" w:rsidR="008C379F" w:rsidRDefault="008C379F" w:rsidP="00A30041">
      <w:pPr>
        <w:pStyle w:val="Para1"/>
        <w:numPr>
          <w:ilvl w:val="0"/>
          <w:numId w:val="0"/>
        </w:numPr>
        <w:suppressLineNumbers/>
        <w:suppressAutoHyphens/>
        <w:kinsoku w:val="0"/>
        <w:adjustRightInd w:val="0"/>
        <w:ind w:firstLine="720"/>
      </w:pPr>
      <w:r w:rsidRPr="00541EA7">
        <w:rPr>
          <w:i/>
          <w:iCs/>
        </w:rPr>
        <w:t>Affirming</w:t>
      </w:r>
      <w:r>
        <w:t xml:space="preserve"> the need to align all capacity-building and development, technical and scientific </w:t>
      </w:r>
      <w:r w:rsidRPr="006D56B0">
        <w:t>cooperation and technology transfer activities with the Kunming-Montreal Global Biodiversity Framework and related decisions and strategies,</w:t>
      </w:r>
    </w:p>
    <w:p w14:paraId="64FC9267" w14:textId="77777777" w:rsidR="008C379F" w:rsidRPr="00713974" w:rsidDel="004779A3" w:rsidRDefault="008C379F" w:rsidP="00AC7311">
      <w:pPr>
        <w:pStyle w:val="Para1"/>
        <w:keepNext/>
        <w:numPr>
          <w:ilvl w:val="0"/>
          <w:numId w:val="0"/>
        </w:numPr>
        <w:suppressLineNumbers/>
        <w:suppressAutoHyphens/>
        <w:kinsoku w:val="0"/>
        <w:adjustRightInd w:val="0"/>
        <w:jc w:val="center"/>
        <w:rPr>
          <w:b/>
        </w:rPr>
      </w:pPr>
      <w:r w:rsidRPr="00713974">
        <w:rPr>
          <w:b/>
          <w:bCs/>
        </w:rPr>
        <w:t>A.</w:t>
      </w:r>
      <w:r w:rsidRPr="00713974">
        <w:rPr>
          <w:b/>
          <w:bCs/>
        </w:rPr>
        <w:tab/>
        <w:t>Capacity-building and development</w:t>
      </w:r>
    </w:p>
    <w:p w14:paraId="48895EA5" w14:textId="77777777" w:rsidR="008C379F" w:rsidRPr="00D71EDE" w:rsidRDefault="008C379F" w:rsidP="00A30041">
      <w:pPr>
        <w:pStyle w:val="Para1"/>
        <w:numPr>
          <w:ilvl w:val="0"/>
          <w:numId w:val="0"/>
        </w:numPr>
        <w:suppressLineNumbers/>
        <w:suppressAutoHyphens/>
        <w:kinsoku w:val="0"/>
        <w:adjustRightInd w:val="0"/>
        <w:ind w:firstLine="720"/>
        <w:rPr>
          <w:rFonts w:eastAsiaTheme="minorEastAsia"/>
        </w:rPr>
      </w:pPr>
      <w:r w:rsidRPr="004E35D7">
        <w:t>1.</w:t>
      </w:r>
      <w:r w:rsidRPr="004E35D7">
        <w:tab/>
      </w:r>
      <w:r w:rsidRPr="004E35D7">
        <w:rPr>
          <w:i/>
          <w:iCs/>
        </w:rPr>
        <w:t>Adopts</w:t>
      </w:r>
      <w:r>
        <w:rPr>
          <w:i/>
          <w:iCs/>
        </w:rPr>
        <w:t xml:space="preserve"> </w:t>
      </w:r>
      <w:r w:rsidRPr="004E35D7">
        <w:t>the long-term strategic framework for capacity</w:t>
      </w:r>
      <w:r w:rsidRPr="004E35D7">
        <w:noBreakHyphen/>
        <w:t xml:space="preserve">building and development </w:t>
      </w:r>
      <w:r w:rsidRPr="004E35D7">
        <w:rPr>
          <w:lang w:eastAsia="ko-KR"/>
        </w:rPr>
        <w:t xml:space="preserve">to </w:t>
      </w:r>
      <w:r>
        <w:rPr>
          <w:lang w:eastAsia="ko-KR"/>
        </w:rPr>
        <w:t xml:space="preserve">support </w:t>
      </w:r>
      <w:r w:rsidRPr="00117EEC">
        <w:t>priorities determined by Parties</w:t>
      </w:r>
      <w:r>
        <w:t xml:space="preserve"> </w:t>
      </w:r>
      <w:r w:rsidRPr="00117EEC">
        <w:t>in their national biodiversity strategies and action plans</w:t>
      </w:r>
      <w:r>
        <w:t xml:space="preserve"> </w:t>
      </w:r>
      <w:r w:rsidRPr="004E35D7">
        <w:t xml:space="preserve">for the implementation of the </w:t>
      </w:r>
      <w:r>
        <w:t>Kunming-Montreal G</w:t>
      </w:r>
      <w:r w:rsidRPr="004E35D7">
        <w:t xml:space="preserve">lobal </w:t>
      </w:r>
      <w:r>
        <w:t>B</w:t>
      </w:r>
      <w:r w:rsidRPr="004E35D7">
        <w:t xml:space="preserve">iodiversity </w:t>
      </w:r>
      <w:r>
        <w:t>F</w:t>
      </w:r>
      <w:r w:rsidRPr="004E35D7">
        <w:t>ramework, contained in annex I to the present decision;</w:t>
      </w:r>
      <w:r w:rsidRPr="00610646">
        <w:rPr>
          <w:rStyle w:val="FootnoteReference"/>
        </w:rPr>
        <w:footnoteReference w:id="65"/>
      </w:r>
    </w:p>
    <w:p w14:paraId="5900C8FD" w14:textId="77777777" w:rsidR="008C379F" w:rsidRPr="00541EA7" w:rsidRDefault="008C379F" w:rsidP="0030167D">
      <w:pPr>
        <w:pStyle w:val="Para1"/>
        <w:numPr>
          <w:ilvl w:val="0"/>
          <w:numId w:val="0"/>
        </w:numPr>
        <w:suppressLineNumbers/>
        <w:suppressAutoHyphens/>
        <w:kinsoku w:val="0"/>
        <w:adjustRightInd w:val="0"/>
        <w:ind w:firstLine="720"/>
      </w:pPr>
      <w:r w:rsidRPr="00064579">
        <w:t>2.</w:t>
      </w:r>
      <w:r w:rsidRPr="00064579">
        <w:tab/>
      </w:r>
      <w:r w:rsidRPr="007D51B9">
        <w:rPr>
          <w:i/>
          <w:iCs/>
        </w:rPr>
        <w:t xml:space="preserve">Takes note </w:t>
      </w:r>
      <w:r w:rsidRPr="00C07F07">
        <w:t>of</w:t>
      </w:r>
      <w:r>
        <w:t xml:space="preserve"> </w:t>
      </w:r>
      <w:r w:rsidRPr="004E35D7">
        <w:t xml:space="preserve">the </w:t>
      </w:r>
      <w:r>
        <w:t>C</w:t>
      </w:r>
      <w:r w:rsidRPr="004E35D7">
        <w:t xml:space="preserve">apacity-building </w:t>
      </w:r>
      <w:r>
        <w:t>A</w:t>
      </w:r>
      <w:r w:rsidRPr="004E35D7">
        <w:t xml:space="preserve">ction </w:t>
      </w:r>
      <w:r>
        <w:t>P</w:t>
      </w:r>
      <w:r w:rsidRPr="004E35D7">
        <w:t xml:space="preserve">lan for the Cartagena Protocol on </w:t>
      </w:r>
      <w:r w:rsidRPr="00DD2054">
        <w:t>Biosafety,</w:t>
      </w:r>
      <w:r w:rsidRPr="00610646">
        <w:rPr>
          <w:rStyle w:val="FootnoteReference"/>
        </w:rPr>
        <w:footnoteReference w:id="66"/>
      </w:r>
      <w:r w:rsidRPr="004E35D7">
        <w:t xml:space="preserve"> which has been developed to be complementary to the long-ter</w:t>
      </w:r>
      <w:r w:rsidRPr="00D71EDE">
        <w:t>m strategic framework referred to in paragraph</w:t>
      </w:r>
      <w:r>
        <w:t> </w:t>
      </w:r>
      <w:r w:rsidRPr="00D71EDE">
        <w:t>1 above;</w:t>
      </w:r>
    </w:p>
    <w:p w14:paraId="0E2B8514" w14:textId="77777777" w:rsidR="008C379F" w:rsidRPr="004E35D7" w:rsidRDefault="008C379F" w:rsidP="00A30041">
      <w:pPr>
        <w:pStyle w:val="Para1"/>
        <w:numPr>
          <w:ilvl w:val="0"/>
          <w:numId w:val="0"/>
        </w:numPr>
        <w:suppressLineNumbers/>
        <w:suppressAutoHyphens/>
        <w:kinsoku w:val="0"/>
        <w:adjustRightInd w:val="0"/>
        <w:ind w:firstLine="720"/>
        <w:rPr>
          <w:rFonts w:eastAsiaTheme="minorEastAsia"/>
        </w:rPr>
      </w:pPr>
      <w:r w:rsidRPr="004E35D7">
        <w:t>3.</w:t>
      </w:r>
      <w:r w:rsidRPr="004E35D7">
        <w:tab/>
      </w:r>
      <w:r>
        <w:rPr>
          <w:rFonts w:eastAsiaTheme="minorEastAsia"/>
          <w:i/>
          <w:iCs/>
        </w:rPr>
        <w:t>Also t</w:t>
      </w:r>
      <w:r w:rsidRPr="004E35D7">
        <w:rPr>
          <w:rFonts w:eastAsiaTheme="minorEastAsia"/>
          <w:i/>
          <w:iCs/>
        </w:rPr>
        <w:t>akes note</w:t>
      </w:r>
      <w:r w:rsidRPr="004E35D7">
        <w:rPr>
          <w:rFonts w:eastAsiaTheme="minorEastAsia"/>
        </w:rPr>
        <w:t xml:space="preserve"> of the findings and recommendations of the evaluation of the </w:t>
      </w:r>
      <w:r w:rsidRPr="00660855">
        <w:rPr>
          <w:rFonts w:eastAsiaTheme="minorEastAsia"/>
        </w:rPr>
        <w:t>strategic framework for capacity-building and development to support the effective implementation of the Nagoya Protocol</w:t>
      </w:r>
      <w:r w:rsidRPr="004E35D7">
        <w:rPr>
          <w:rFonts w:eastAsiaTheme="minorEastAsia"/>
        </w:rPr>
        <w:t>,</w:t>
      </w:r>
      <w:r w:rsidRPr="00610646">
        <w:rPr>
          <w:rStyle w:val="FootnoteReference"/>
          <w:rFonts w:eastAsiaTheme="minorEastAsia"/>
        </w:rPr>
        <w:footnoteReference w:id="67"/>
      </w:r>
      <w:r w:rsidRPr="004E35D7">
        <w:rPr>
          <w:rFonts w:eastAsiaTheme="minorEastAsia"/>
        </w:rPr>
        <w:t xml:space="preserve"> </w:t>
      </w:r>
      <w:r w:rsidRPr="00D71EDE">
        <w:rPr>
          <w:rFonts w:eastAsiaTheme="minorEastAsia"/>
        </w:rPr>
        <w:t xml:space="preserve">and </w:t>
      </w:r>
      <w:r w:rsidRPr="004D32B6">
        <w:rPr>
          <w:rFonts w:eastAsiaTheme="minorEastAsia"/>
        </w:rPr>
        <w:t>welcomes</w:t>
      </w:r>
      <w:r w:rsidRPr="00BB532D">
        <w:rPr>
          <w:rFonts w:eastAsiaTheme="minorEastAsia"/>
        </w:rPr>
        <w:t xml:space="preserve"> decision </w:t>
      </w:r>
      <w:r w:rsidRPr="00660855">
        <w:rPr>
          <w:rFonts w:eastAsiaTheme="minorEastAsia"/>
        </w:rPr>
        <w:t>NP-4/7 requesting</w:t>
      </w:r>
      <w:r w:rsidRPr="004E35D7">
        <w:rPr>
          <w:rFonts w:eastAsiaTheme="minorEastAsia"/>
        </w:rPr>
        <w:t xml:space="preserve"> the Executive Secretary to </w:t>
      </w:r>
      <w:r w:rsidRPr="00A53AD5">
        <w:rPr>
          <w:rFonts w:eastAsiaTheme="minorEastAsia"/>
        </w:rPr>
        <w:t xml:space="preserve">prepare a revised version in line with the </w:t>
      </w:r>
      <w:r w:rsidRPr="00A53AD5">
        <w:t>long</w:t>
      </w:r>
      <w:r w:rsidRPr="00A53AD5">
        <w:noBreakHyphen/>
        <w:t>term strategic framework referred to in paragraph 1 above;</w:t>
      </w:r>
    </w:p>
    <w:p w14:paraId="369D0AB6" w14:textId="77777777" w:rsidR="008C379F" w:rsidRPr="004E35D7" w:rsidRDefault="008C379F" w:rsidP="00A30041">
      <w:pPr>
        <w:pStyle w:val="Para1"/>
        <w:numPr>
          <w:ilvl w:val="0"/>
          <w:numId w:val="0"/>
        </w:numPr>
        <w:suppressLineNumbers/>
        <w:suppressAutoHyphens/>
        <w:kinsoku w:val="0"/>
        <w:adjustRightInd w:val="0"/>
        <w:ind w:firstLine="720"/>
      </w:pPr>
      <w:r w:rsidRPr="004E35D7">
        <w:t>4.</w:t>
      </w:r>
      <w:r w:rsidRPr="004E35D7">
        <w:tab/>
      </w:r>
      <w:r w:rsidRPr="004E35D7">
        <w:rPr>
          <w:i/>
          <w:iCs/>
        </w:rPr>
        <w:t>Urges</w:t>
      </w:r>
      <w:r w:rsidRPr="004E35D7">
        <w:t xml:space="preserve"> Parties and </w:t>
      </w:r>
      <w:r w:rsidRPr="004D32B6">
        <w:t>invites</w:t>
      </w:r>
      <w:r w:rsidRPr="004E35D7">
        <w:t xml:space="preserve"> other Governments, indigenous peoples and local communities, women and youth, the capacity</w:t>
      </w:r>
      <w:r w:rsidRPr="004E35D7">
        <w:noBreakHyphen/>
        <w:t>building task force of the Intergovernmental Science-Policy Platform on Biodiversity and Ecosystem Services, relevant organizations</w:t>
      </w:r>
      <w:r>
        <w:t>,</w:t>
      </w:r>
      <w:r w:rsidRPr="004E35D7">
        <w:t xml:space="preserve"> and other stakeholders to use the long-term strategic framework for capacity</w:t>
      </w:r>
      <w:r w:rsidRPr="004E35D7">
        <w:noBreakHyphen/>
        <w:t>building and developmen</w:t>
      </w:r>
      <w:r w:rsidRPr="00017764">
        <w:t>t</w:t>
      </w:r>
      <w:r>
        <w:t xml:space="preserve"> referred to in paragraph 1 above</w:t>
      </w:r>
      <w:r w:rsidRPr="004E35D7">
        <w:t xml:space="preserve"> as a flexible framework in the design, implementation, monitoring and evaluation of their capacity</w:t>
      </w:r>
      <w:r w:rsidRPr="004E35D7">
        <w:noBreakHyphen/>
        <w:t xml:space="preserve">building and development initiatives and programmes supporting the achievement of the vision, mission, goals and targets of the </w:t>
      </w:r>
      <w:r>
        <w:t>Kunming-Montreal G</w:t>
      </w:r>
      <w:r w:rsidRPr="004E35D7">
        <w:t xml:space="preserve">lobal </w:t>
      </w:r>
      <w:r>
        <w:t>B</w:t>
      </w:r>
      <w:r w:rsidRPr="004E35D7">
        <w:t xml:space="preserve">iodiversity </w:t>
      </w:r>
      <w:r>
        <w:t>F</w:t>
      </w:r>
      <w:r w:rsidRPr="004E35D7">
        <w:t>ramework;</w:t>
      </w:r>
    </w:p>
    <w:p w14:paraId="41B0B5AB" w14:textId="77777777" w:rsidR="008C379F" w:rsidRDefault="008C379F" w:rsidP="00A30041">
      <w:pPr>
        <w:pStyle w:val="Para1"/>
        <w:numPr>
          <w:ilvl w:val="0"/>
          <w:numId w:val="0"/>
        </w:numPr>
        <w:suppressLineNumbers/>
        <w:suppressAutoHyphens/>
        <w:kinsoku w:val="0"/>
        <w:adjustRightInd w:val="0"/>
        <w:ind w:firstLine="720"/>
      </w:pPr>
      <w:r w:rsidRPr="004E35D7">
        <w:t>5.</w:t>
      </w:r>
      <w:r w:rsidRPr="004E35D7">
        <w:tab/>
      </w:r>
      <w:r>
        <w:rPr>
          <w:i/>
          <w:iCs/>
        </w:rPr>
        <w:t>Also u</w:t>
      </w:r>
      <w:r w:rsidRPr="004E35D7">
        <w:rPr>
          <w:i/>
          <w:iCs/>
        </w:rPr>
        <w:t xml:space="preserve">rges </w:t>
      </w:r>
      <w:r w:rsidRPr="004E35D7">
        <w:t xml:space="preserve">Parties and </w:t>
      </w:r>
      <w:r w:rsidRPr="004D32B6">
        <w:t>invites</w:t>
      </w:r>
      <w:r>
        <w:t xml:space="preserve"> other</w:t>
      </w:r>
      <w:r w:rsidRPr="004E35D7">
        <w:t xml:space="preserve"> Governments to put in place enabling environments</w:t>
      </w:r>
      <w:r>
        <w:t xml:space="preserve"> </w:t>
      </w:r>
      <w:r w:rsidRPr="004E35D7">
        <w:t xml:space="preserve">including relevant policies, legislation and </w:t>
      </w:r>
      <w:r>
        <w:t xml:space="preserve">administrative measures, as appropriate, to promote and facilitate capacity-building and development at various levels, in partnership with relevant stakeholders, including </w:t>
      </w:r>
      <w:r w:rsidRPr="004E35D7">
        <w:t xml:space="preserve">indigenous peoples and local </w:t>
      </w:r>
      <w:r w:rsidRPr="002C2E00">
        <w:t>communities, and women</w:t>
      </w:r>
      <w:r w:rsidRPr="00A231AA">
        <w:t xml:space="preserve"> and</w:t>
      </w:r>
      <w:r w:rsidRPr="004E35D7">
        <w:t xml:space="preserve"> youth organizations</w:t>
      </w:r>
      <w:r>
        <w:t>;</w:t>
      </w:r>
    </w:p>
    <w:p w14:paraId="33363AE3" w14:textId="77777777" w:rsidR="008C379F" w:rsidRDefault="008C379F" w:rsidP="009E4A86">
      <w:pPr>
        <w:pStyle w:val="Para1"/>
        <w:numPr>
          <w:ilvl w:val="0"/>
          <w:numId w:val="0"/>
        </w:numPr>
        <w:suppressLineNumbers/>
        <w:suppressAutoHyphens/>
        <w:kinsoku w:val="0"/>
        <w:adjustRightInd w:val="0"/>
        <w:ind w:firstLine="720"/>
      </w:pPr>
      <w:r w:rsidRPr="00A53AD5">
        <w:t>6.</w:t>
      </w:r>
      <w:r w:rsidRPr="00A53AD5">
        <w:tab/>
      </w:r>
      <w:r w:rsidRPr="00A53AD5">
        <w:rPr>
          <w:i/>
          <w:iCs/>
        </w:rPr>
        <w:t>Urges</w:t>
      </w:r>
      <w:r w:rsidRPr="00A53AD5">
        <w:t xml:space="preserve"> Parties, in accordance with Articles 20 and 21, and </w:t>
      </w:r>
      <w:r w:rsidRPr="004D32B6">
        <w:t>invites</w:t>
      </w:r>
      <w:r w:rsidRPr="00A53AD5">
        <w:t xml:space="preserve"> other Governments and relevant organizations to provide financial and technical support to biodiversity capacity-building and development activities, taking into consideration the specific situations of developing country Parties, in </w:t>
      </w:r>
      <w:r w:rsidRPr="00A53AD5">
        <w:lastRenderedPageBreak/>
        <w:t>particular those of the least developed countries and small island developing States among them, and countries with economies in transition, also taking into consideration the special situation of developing countries, including those that are most environmentally vulnerable, such as those with arid and semi-arid</w:t>
      </w:r>
      <w:r>
        <w:t xml:space="preserve"> zones, coastal and mountainous areas,</w:t>
      </w:r>
      <w:r w:rsidRPr="00215C49">
        <w:t xml:space="preserve"> </w:t>
      </w:r>
      <w:r>
        <w:t>in line with</w:t>
      </w:r>
      <w:r w:rsidRPr="00215C49">
        <w:t xml:space="preserve"> the priority needs identified in </w:t>
      </w:r>
      <w:r>
        <w:t>national biodiversity strategies and action plans</w:t>
      </w:r>
      <w:r w:rsidRPr="00215C49">
        <w:t xml:space="preserve"> and/or national capacity</w:t>
      </w:r>
      <w:r>
        <w:t>-</w:t>
      </w:r>
      <w:r w:rsidRPr="00215C49">
        <w:t xml:space="preserve">building and development strategies, as well as those identified by indigenous peoples and local communities, </w:t>
      </w:r>
      <w:r w:rsidRPr="002C2E00">
        <w:t>and women</w:t>
      </w:r>
      <w:r w:rsidRPr="00A231AA">
        <w:t xml:space="preserve"> and</w:t>
      </w:r>
      <w:r w:rsidRPr="00215C49">
        <w:t xml:space="preserve"> youth organizations</w:t>
      </w:r>
      <w:r>
        <w:t>;</w:t>
      </w:r>
    </w:p>
    <w:p w14:paraId="427DE12B" w14:textId="77777777" w:rsidR="008C379F" w:rsidRPr="00760D30" w:rsidRDefault="008C379F" w:rsidP="00A30041">
      <w:pPr>
        <w:pStyle w:val="Para1"/>
        <w:numPr>
          <w:ilvl w:val="0"/>
          <w:numId w:val="0"/>
        </w:numPr>
        <w:suppressLineNumbers/>
        <w:suppressAutoHyphens/>
        <w:kinsoku w:val="0"/>
        <w:adjustRightInd w:val="0"/>
        <w:ind w:firstLine="720"/>
        <w:rPr>
          <w:rFonts w:eastAsiaTheme="minorEastAsia"/>
        </w:rPr>
      </w:pPr>
      <w:r>
        <w:rPr>
          <w:rFonts w:eastAsiaTheme="minorEastAsia"/>
        </w:rPr>
        <w:t>7</w:t>
      </w:r>
      <w:r w:rsidRPr="004E35D7">
        <w:t>.</w:t>
      </w:r>
      <w:r w:rsidRPr="004E35D7">
        <w:tab/>
      </w:r>
      <w:r w:rsidRPr="00760D30">
        <w:rPr>
          <w:i/>
        </w:rPr>
        <w:t xml:space="preserve">Invites </w:t>
      </w:r>
      <w:r w:rsidRPr="00760D30">
        <w:t>biodiversity-related multilateral environmental agreements and processes</w:t>
      </w:r>
      <w:r w:rsidRPr="00760D30" w:rsidDel="00264E8D">
        <w:t xml:space="preserve"> </w:t>
      </w:r>
      <w:r w:rsidRPr="00760D30">
        <w:t xml:space="preserve">to consider the long-term strategic framework </w:t>
      </w:r>
      <w:r>
        <w:t xml:space="preserve">for capacity-building and development </w:t>
      </w:r>
      <w:r w:rsidRPr="00760D30">
        <w:t>when designing their capacity</w:t>
      </w:r>
      <w:r w:rsidRPr="00760D30">
        <w:noBreakHyphen/>
        <w:t>building and development strategies, action plans, work programmes and mechanisms, as appropriate, to foster synergies and avoid duplication;</w:t>
      </w:r>
    </w:p>
    <w:p w14:paraId="72340C21" w14:textId="77777777" w:rsidR="008C379F" w:rsidRPr="004E35D7" w:rsidRDefault="008C379F" w:rsidP="00A30041">
      <w:pPr>
        <w:pStyle w:val="Para1"/>
        <w:numPr>
          <w:ilvl w:val="0"/>
          <w:numId w:val="0"/>
        </w:numPr>
        <w:suppressLineNumbers/>
        <w:suppressAutoHyphens/>
        <w:kinsoku w:val="0"/>
        <w:adjustRightInd w:val="0"/>
        <w:ind w:firstLine="720"/>
      </w:pPr>
      <w:r>
        <w:t>8</w:t>
      </w:r>
      <w:r w:rsidRPr="004E35D7">
        <w:t>.</w:t>
      </w:r>
      <w:r w:rsidRPr="004E35D7">
        <w:tab/>
      </w:r>
      <w:r w:rsidRPr="004E35D7">
        <w:rPr>
          <w:i/>
          <w:iCs/>
        </w:rPr>
        <w:t>Invites</w:t>
      </w:r>
      <w:r w:rsidRPr="004E35D7">
        <w:t xml:space="preserve"> </w:t>
      </w:r>
      <w:r w:rsidRPr="00DD2054">
        <w:t>biodiversity-related conventions and</w:t>
      </w:r>
      <w:r w:rsidRPr="004E35D7">
        <w:t xml:space="preserve"> other multilateral environmental agreements to prepare, following the adoption of the </w:t>
      </w:r>
      <w:r>
        <w:t xml:space="preserve">Kunming-Montreal </w:t>
      </w:r>
      <w:r w:rsidRPr="004E35D7">
        <w:t>Global Biodiversity Framework, thematic capacity</w:t>
      </w:r>
      <w:r w:rsidRPr="004E35D7">
        <w:noBreakHyphen/>
        <w:t xml:space="preserve">building and development action plans for specific targets or groups of related targets, and to develop dedicated global, regional and subregional programmes to implement those thematic plans, in line with the long-term strategic framework and the </w:t>
      </w:r>
      <w:r>
        <w:t>G</w:t>
      </w:r>
      <w:r w:rsidRPr="004E35D7">
        <w:t xml:space="preserve">ender </w:t>
      </w:r>
      <w:r>
        <w:t>P</w:t>
      </w:r>
      <w:r w:rsidRPr="004E35D7">
        <w:t xml:space="preserve">lan of </w:t>
      </w:r>
      <w:r>
        <w:t>A</w:t>
      </w:r>
      <w:r w:rsidRPr="004E35D7">
        <w:t>ction</w:t>
      </w:r>
      <w:r>
        <w:t>,</w:t>
      </w:r>
      <w:r w:rsidRPr="00610646">
        <w:rPr>
          <w:rStyle w:val="FootnoteReference"/>
        </w:rPr>
        <w:footnoteReference w:id="68"/>
      </w:r>
      <w:r w:rsidRPr="004E35D7">
        <w:t xml:space="preserve"> as appropriate;</w:t>
      </w:r>
    </w:p>
    <w:p w14:paraId="51C24234" w14:textId="77777777" w:rsidR="008C379F" w:rsidRPr="004E35D7" w:rsidRDefault="008C379F" w:rsidP="00A30041">
      <w:pPr>
        <w:pStyle w:val="Para1"/>
        <w:numPr>
          <w:ilvl w:val="0"/>
          <w:numId w:val="0"/>
        </w:numPr>
        <w:suppressLineNumbers/>
        <w:suppressAutoHyphens/>
        <w:kinsoku w:val="0"/>
        <w:adjustRightInd w:val="0"/>
        <w:ind w:firstLine="720"/>
      </w:pPr>
      <w:r>
        <w:t>9</w:t>
      </w:r>
      <w:r w:rsidRPr="004E35D7">
        <w:t>.</w:t>
      </w:r>
      <w:r w:rsidRPr="004E35D7">
        <w:tab/>
      </w:r>
      <w:r w:rsidRPr="004E35D7">
        <w:rPr>
          <w:i/>
          <w:iCs/>
        </w:rPr>
        <w:t xml:space="preserve">Urges </w:t>
      </w:r>
      <w:r w:rsidRPr="004E35D7">
        <w:t xml:space="preserve">Parties and </w:t>
      </w:r>
      <w:r w:rsidRPr="004D32B6">
        <w:t>invites</w:t>
      </w:r>
      <w:r w:rsidRPr="004E35D7">
        <w:t xml:space="preserve"> other Governments to identify and prioritize capacity-building and development needs,</w:t>
      </w:r>
      <w:r>
        <w:t xml:space="preserve"> in partnership</w:t>
      </w:r>
      <w:r w:rsidRPr="004E35D7">
        <w:t xml:space="preserve"> with</w:t>
      </w:r>
      <w:r>
        <w:t xml:space="preserve"> </w:t>
      </w:r>
      <w:r w:rsidRPr="004E35D7">
        <w:t>indigenous peoples and local communities,</w:t>
      </w:r>
      <w:r>
        <w:t xml:space="preserve"> and</w:t>
      </w:r>
      <w:r w:rsidRPr="004E35D7">
        <w:t xml:space="preserve"> </w:t>
      </w:r>
      <w:r>
        <w:t xml:space="preserve">with the participation of </w:t>
      </w:r>
      <w:r w:rsidRPr="004E35D7">
        <w:t>women and youth</w:t>
      </w:r>
      <w:r w:rsidRPr="003B6F08">
        <w:t xml:space="preserve"> </w:t>
      </w:r>
      <w:r w:rsidRPr="006C4F57">
        <w:t>and</w:t>
      </w:r>
      <w:r>
        <w:t xml:space="preserve"> other</w:t>
      </w:r>
      <w:r w:rsidRPr="006C4F57">
        <w:t xml:space="preserve"> relevant stakeholders</w:t>
      </w:r>
      <w:r>
        <w:t>,</w:t>
      </w:r>
      <w:r w:rsidRPr="004E35D7">
        <w:t xml:space="preserve"> to integrate capacity-building and development components in their national biodiversity strategies and action plans while updating them in line with the </w:t>
      </w:r>
      <w:r>
        <w:t>Kunming-Montreal G</w:t>
      </w:r>
      <w:r w:rsidRPr="004E35D7">
        <w:t xml:space="preserve">lobal </w:t>
      </w:r>
      <w:r>
        <w:t>B</w:t>
      </w:r>
      <w:r w:rsidRPr="004E35D7">
        <w:t xml:space="preserve">iodiversity </w:t>
      </w:r>
      <w:r>
        <w:t>F</w:t>
      </w:r>
      <w:r w:rsidRPr="004E35D7">
        <w:t>ramework</w:t>
      </w:r>
      <w:r>
        <w:t>,</w:t>
      </w:r>
      <w:r w:rsidRPr="004E35D7">
        <w:t xml:space="preserve"> and/or develop dedicated biodiversity capacity</w:t>
      </w:r>
      <w:r w:rsidRPr="004E35D7">
        <w:noBreakHyphen/>
        <w:t>building and development action plans,</w:t>
      </w:r>
      <w:r>
        <w:t xml:space="preserve"> and programmes,</w:t>
      </w:r>
      <w:r w:rsidRPr="004E35D7">
        <w:t xml:space="preserve"> as appropriate</w:t>
      </w:r>
      <w:r>
        <w:t>;</w:t>
      </w:r>
    </w:p>
    <w:p w14:paraId="2472943E" w14:textId="77777777" w:rsidR="008C379F" w:rsidRPr="004E35D7" w:rsidRDefault="008C379F" w:rsidP="00A30041">
      <w:pPr>
        <w:pStyle w:val="Para1"/>
        <w:numPr>
          <w:ilvl w:val="0"/>
          <w:numId w:val="0"/>
        </w:numPr>
        <w:suppressLineNumbers/>
        <w:suppressAutoHyphens/>
        <w:kinsoku w:val="0"/>
        <w:adjustRightInd w:val="0"/>
        <w:ind w:firstLine="720"/>
      </w:pPr>
      <w:r>
        <w:t>10</w:t>
      </w:r>
      <w:r w:rsidRPr="004E35D7">
        <w:t>.</w:t>
      </w:r>
      <w:r w:rsidRPr="004E35D7">
        <w:tab/>
      </w:r>
      <w:r w:rsidRPr="004E35D7">
        <w:rPr>
          <w:i/>
          <w:iCs/>
        </w:rPr>
        <w:t>Urges</w:t>
      </w:r>
      <w:r w:rsidRPr="004E35D7">
        <w:t xml:space="preserve"> Parties and </w:t>
      </w:r>
      <w:r w:rsidRPr="004D32B6">
        <w:t>invites</w:t>
      </w:r>
      <w:r w:rsidRPr="004E35D7">
        <w:t xml:space="preserve"> other Governments to include biodiversity capacity-building and development, as appropriate, in relevant development cooperation frameworks, partnerships and programmes</w:t>
      </w:r>
      <w:r>
        <w:t>;</w:t>
      </w:r>
    </w:p>
    <w:p w14:paraId="5AADCFB6" w14:textId="77777777" w:rsidR="008C379F" w:rsidRPr="004E35D7" w:rsidRDefault="008C379F" w:rsidP="00A30041">
      <w:pPr>
        <w:pStyle w:val="Para1"/>
        <w:numPr>
          <w:ilvl w:val="0"/>
          <w:numId w:val="0"/>
        </w:numPr>
        <w:suppressLineNumbers/>
        <w:suppressAutoHyphens/>
        <w:kinsoku w:val="0"/>
        <w:adjustRightInd w:val="0"/>
        <w:ind w:firstLine="720"/>
      </w:pPr>
      <w:r>
        <w:t>11</w:t>
      </w:r>
      <w:r w:rsidRPr="004E35D7">
        <w:t>.</w:t>
      </w:r>
      <w:r w:rsidRPr="004E35D7">
        <w:tab/>
      </w:r>
      <w:r w:rsidRPr="004E35D7">
        <w:rPr>
          <w:i/>
          <w:iCs/>
        </w:rPr>
        <w:t>Invites</w:t>
      </w:r>
      <w:r w:rsidRPr="004E35D7">
        <w:t xml:space="preserve"> Parties in accordance with Articles 16, 18 and</w:t>
      </w:r>
      <w:r>
        <w:t xml:space="preserve"> </w:t>
      </w:r>
      <w:r w:rsidRPr="004E35D7">
        <w:t>19</w:t>
      </w:r>
      <w:r>
        <w:t xml:space="preserve"> of the Convention</w:t>
      </w:r>
      <w:r w:rsidRPr="004E35D7">
        <w:t xml:space="preserve"> to enhance and support capacity-building</w:t>
      </w:r>
      <w:r>
        <w:t xml:space="preserve"> and development</w:t>
      </w:r>
      <w:r w:rsidRPr="004E35D7">
        <w:t xml:space="preserve"> cooperation activities, especially in developing countries, for the implementation of the Convention and its </w:t>
      </w:r>
      <w:r>
        <w:t>P</w:t>
      </w:r>
      <w:r w:rsidRPr="004E35D7">
        <w:t>rotocols</w:t>
      </w:r>
      <w:r>
        <w:t>, as appropriate,</w:t>
      </w:r>
      <w:r w:rsidRPr="004E35D7">
        <w:t xml:space="preserve"> and the </w:t>
      </w:r>
      <w:r>
        <w:t>Kunming-Montreal G</w:t>
      </w:r>
      <w:r w:rsidRPr="004E35D7">
        <w:t xml:space="preserve">lobal </w:t>
      </w:r>
      <w:r>
        <w:t>B</w:t>
      </w:r>
      <w:r w:rsidRPr="004E35D7">
        <w:t xml:space="preserve">iodiversity </w:t>
      </w:r>
      <w:r>
        <w:t>F</w:t>
      </w:r>
      <w:r w:rsidRPr="004E35D7">
        <w:t>ramework, taking into account synergies</w:t>
      </w:r>
      <w:r w:rsidRPr="00541EA7">
        <w:t xml:space="preserve"> </w:t>
      </w:r>
      <w:r w:rsidRPr="004E35D7">
        <w:t xml:space="preserve">between capacity-building and technology transfer </w:t>
      </w:r>
      <w:r>
        <w:t xml:space="preserve">and </w:t>
      </w:r>
      <w:r w:rsidRPr="004E35D7">
        <w:t>technical and scientific cooperation</w:t>
      </w:r>
      <w:r>
        <w:t>,</w:t>
      </w:r>
      <w:r w:rsidRPr="004E35D7">
        <w:t xml:space="preserve"> </w:t>
      </w:r>
      <w:r>
        <w:t>including</w:t>
      </w:r>
      <w:r w:rsidRPr="004E35D7">
        <w:t xml:space="preserve"> biotechnolog</w:t>
      </w:r>
      <w:r>
        <w:t>y</w:t>
      </w:r>
      <w:r w:rsidRPr="00610646">
        <w:rPr>
          <w:rStyle w:val="FootnoteReference"/>
        </w:rPr>
        <w:footnoteReference w:id="69"/>
      </w:r>
      <w:r w:rsidRPr="004E35D7">
        <w:t xml:space="preserve"> research</w:t>
      </w:r>
      <w:r>
        <w:t>;</w:t>
      </w:r>
    </w:p>
    <w:p w14:paraId="59065401" w14:textId="77777777" w:rsidR="008C379F" w:rsidRPr="004E35D7" w:rsidRDefault="008C379F" w:rsidP="00A30041">
      <w:pPr>
        <w:pStyle w:val="Para1"/>
        <w:numPr>
          <w:ilvl w:val="0"/>
          <w:numId w:val="0"/>
        </w:numPr>
        <w:suppressLineNumbers/>
        <w:suppressAutoHyphens/>
        <w:kinsoku w:val="0"/>
        <w:adjustRightInd w:val="0"/>
        <w:ind w:firstLine="720"/>
      </w:pPr>
      <w:r>
        <w:t>12</w:t>
      </w:r>
      <w:r w:rsidRPr="004E35D7">
        <w:t>.</w:t>
      </w:r>
      <w:r w:rsidRPr="004E35D7">
        <w:tab/>
      </w:r>
      <w:r w:rsidRPr="004E35D7">
        <w:rPr>
          <w:i/>
          <w:iCs/>
        </w:rPr>
        <w:t>Invites</w:t>
      </w:r>
      <w:r w:rsidRPr="004E35D7">
        <w:t xml:space="preserve"> universities and other academic institutions to develop and integrate specialized and transdisciplinary academic courses and programmes into their curricula and/or expand and strengthen existing ones, generate and share new knowledge, and implement continuing education programmes to support the </w:t>
      </w:r>
      <w:r>
        <w:t>Kunming-Montreal G</w:t>
      </w:r>
      <w:r w:rsidRPr="004E35D7">
        <w:t xml:space="preserve">lobal </w:t>
      </w:r>
      <w:r>
        <w:t>B</w:t>
      </w:r>
      <w:r w:rsidRPr="004E35D7">
        <w:t xml:space="preserve">iodiversity </w:t>
      </w:r>
      <w:r>
        <w:t>F</w:t>
      </w:r>
      <w:r w:rsidRPr="004E35D7">
        <w:t xml:space="preserve">ramework with </w:t>
      </w:r>
      <w:r>
        <w:t xml:space="preserve">the </w:t>
      </w:r>
      <w:r w:rsidRPr="00CB10D4">
        <w:t xml:space="preserve">full and effective participation of indigenous peoples and local </w:t>
      </w:r>
      <w:r w:rsidRPr="007C5F69">
        <w:t xml:space="preserve">communities, </w:t>
      </w:r>
      <w:r w:rsidRPr="004E35D7">
        <w:t>women and youth;</w:t>
      </w:r>
    </w:p>
    <w:p w14:paraId="62D190DD" w14:textId="77777777" w:rsidR="008C379F" w:rsidRPr="00760D30" w:rsidRDefault="008C379F" w:rsidP="007B0C9F">
      <w:pPr>
        <w:pStyle w:val="Para1"/>
        <w:numPr>
          <w:ilvl w:val="0"/>
          <w:numId w:val="0"/>
        </w:numPr>
        <w:suppressLineNumbers/>
        <w:suppressAutoHyphens/>
        <w:kinsoku w:val="0"/>
        <w:adjustRightInd w:val="0"/>
        <w:ind w:firstLine="720"/>
        <w:rPr>
          <w:i/>
        </w:rPr>
      </w:pPr>
      <w:r>
        <w:t>13</w:t>
      </w:r>
      <w:r w:rsidRPr="004E35D7">
        <w:t>.</w:t>
      </w:r>
      <w:r w:rsidRPr="004E35D7">
        <w:tab/>
      </w:r>
      <w:r w:rsidRPr="004E35D7">
        <w:rPr>
          <w:i/>
          <w:iCs/>
        </w:rPr>
        <w:t>Invites</w:t>
      </w:r>
      <w:r w:rsidRPr="004E35D7">
        <w:t xml:space="preserve"> relevant organizations and regional and subregional bodies, including regional economic integration organizations, to promote </w:t>
      </w:r>
      <w:r>
        <w:t xml:space="preserve">the </w:t>
      </w:r>
      <w:r w:rsidRPr="004E35D7">
        <w:t>sharing of expertise and information</w:t>
      </w:r>
      <w:r>
        <w:t>;</w:t>
      </w:r>
      <w:r w:rsidRPr="004E35D7">
        <w:t xml:space="preserve"> to strengthen existing regional and subregional support networks or establish new ones</w:t>
      </w:r>
      <w:r>
        <w:t>,</w:t>
      </w:r>
      <w:r w:rsidRPr="004E35D7">
        <w:t xml:space="preserve"> as appropriate, </w:t>
      </w:r>
      <w:r>
        <w:t xml:space="preserve">and </w:t>
      </w:r>
      <w:r w:rsidRPr="004E35D7">
        <w:t>to provide, upon request, assistance to enable national and subnational government institutions, local authorities and non-government actors, including indigenous peoples and local communities, women and youth organizations, within the respective regions or subregions to strengthen their capacities, while also mobilizing and fostering effective use and retention of the capacities developed;</w:t>
      </w:r>
    </w:p>
    <w:p w14:paraId="1CAF5AB5" w14:textId="77777777" w:rsidR="008C379F" w:rsidRPr="004E35D7" w:rsidRDefault="008C379F" w:rsidP="00A30041">
      <w:pPr>
        <w:pStyle w:val="Para1"/>
        <w:numPr>
          <w:ilvl w:val="0"/>
          <w:numId w:val="0"/>
        </w:numPr>
        <w:suppressLineNumbers/>
        <w:suppressAutoHyphens/>
        <w:kinsoku w:val="0"/>
        <w:adjustRightInd w:val="0"/>
        <w:ind w:firstLine="720"/>
      </w:pPr>
      <w:r>
        <w:t>14</w:t>
      </w:r>
      <w:r w:rsidRPr="004E35D7">
        <w:t>.</w:t>
      </w:r>
      <w:r w:rsidRPr="004E35D7">
        <w:tab/>
      </w:r>
      <w:r w:rsidRPr="004E35D7">
        <w:rPr>
          <w:i/>
        </w:rPr>
        <w:t xml:space="preserve">Invites </w:t>
      </w:r>
      <w:r w:rsidRPr="004E35D7">
        <w:t xml:space="preserve">regional teams of the United Nations Sustainable Development Group and the United Nations regional </w:t>
      </w:r>
      <w:r w:rsidRPr="000F76DA">
        <w:t>economic commissions</w:t>
      </w:r>
      <w:r w:rsidRPr="004E35D7">
        <w:t xml:space="preserve"> to initiate and facilitate the coordination and synergistic </w:t>
      </w:r>
      <w:r w:rsidRPr="004E35D7">
        <w:lastRenderedPageBreak/>
        <w:t xml:space="preserve">implementation of capacity-building and development interventions in support of the </w:t>
      </w:r>
      <w:r>
        <w:t>Kunming-Montreal G</w:t>
      </w:r>
      <w:r w:rsidRPr="004E35D7">
        <w:t xml:space="preserve">lobal </w:t>
      </w:r>
      <w:r>
        <w:t>B</w:t>
      </w:r>
      <w:r w:rsidRPr="004E35D7">
        <w:t xml:space="preserve">iodiversity </w:t>
      </w:r>
      <w:r>
        <w:t>F</w:t>
      </w:r>
      <w:r w:rsidRPr="004E35D7">
        <w:t>ramework</w:t>
      </w:r>
      <w:r>
        <w:t>;</w:t>
      </w:r>
    </w:p>
    <w:p w14:paraId="0E37A53A" w14:textId="77777777" w:rsidR="008C379F" w:rsidRPr="00117EEC" w:rsidRDefault="008C379F" w:rsidP="002F4A37">
      <w:pPr>
        <w:pStyle w:val="Para1"/>
        <w:numPr>
          <w:ilvl w:val="0"/>
          <w:numId w:val="0"/>
        </w:numPr>
        <w:suppressLineNumbers/>
        <w:suppressAutoHyphens/>
        <w:kinsoku w:val="0"/>
        <w:adjustRightInd w:val="0"/>
        <w:ind w:firstLine="720"/>
      </w:pPr>
      <w:r>
        <w:t>15</w:t>
      </w:r>
      <w:r w:rsidRPr="00117EEC">
        <w:t>.</w:t>
      </w:r>
      <w:r w:rsidRPr="00117EEC">
        <w:tab/>
      </w:r>
      <w:r>
        <w:rPr>
          <w:i/>
          <w:iCs/>
        </w:rPr>
        <w:t>I</w:t>
      </w:r>
      <w:r w:rsidRPr="002764CB">
        <w:rPr>
          <w:i/>
          <w:iCs/>
        </w:rPr>
        <w:t xml:space="preserve">nvites </w:t>
      </w:r>
      <w:r w:rsidRPr="002764CB">
        <w:t>United Nations Resident Coordinator</w:t>
      </w:r>
      <w:r>
        <w:t>s</w:t>
      </w:r>
      <w:r w:rsidRPr="002764CB">
        <w:t xml:space="preserve"> and the United Nations Country Teams, in consultation with the </w:t>
      </w:r>
      <w:r w:rsidRPr="00C94C4F">
        <w:t xml:space="preserve">Inter-Agency Support Group on Indigenous </w:t>
      </w:r>
      <w:r w:rsidRPr="004D32B6">
        <w:t xml:space="preserve">Peoples’ </w:t>
      </w:r>
      <w:r w:rsidRPr="0022224D">
        <w:t>Issues and</w:t>
      </w:r>
      <w:r w:rsidRPr="002764CB">
        <w:t xml:space="preserve"> other relevant United Nations agencies, to integrate biodiversity capacity-building and development into country-level United Nations sustainable development cooperation frameworks</w:t>
      </w:r>
      <w:r w:rsidRPr="00117EEC">
        <w:t xml:space="preserve"> to support national implementation of the </w:t>
      </w:r>
      <w:r>
        <w:t>Kunming-Montreal G</w:t>
      </w:r>
      <w:r w:rsidRPr="00117EEC">
        <w:t xml:space="preserve">lobal </w:t>
      </w:r>
      <w:r>
        <w:t>B</w:t>
      </w:r>
      <w:r w:rsidRPr="00117EEC">
        <w:t xml:space="preserve">iodiversity </w:t>
      </w:r>
      <w:r>
        <w:t>F</w:t>
      </w:r>
      <w:r w:rsidRPr="00117EEC">
        <w:t>ramework and the Sustainable Development Goals</w:t>
      </w:r>
      <w:r>
        <w:t>;</w:t>
      </w:r>
    </w:p>
    <w:p w14:paraId="07CA62E3" w14:textId="77777777" w:rsidR="008C379F" w:rsidRPr="00117EEC" w:rsidRDefault="008C379F" w:rsidP="00A30041">
      <w:pPr>
        <w:pStyle w:val="Para1"/>
        <w:keepNext/>
        <w:numPr>
          <w:ilvl w:val="0"/>
          <w:numId w:val="0"/>
        </w:numPr>
        <w:suppressLineNumbers/>
        <w:suppressAutoHyphens/>
        <w:kinsoku w:val="0"/>
        <w:adjustRightInd w:val="0"/>
        <w:ind w:firstLine="720"/>
      </w:pPr>
      <w:r>
        <w:t>16</w:t>
      </w:r>
      <w:r w:rsidRPr="00117EEC">
        <w:t>.</w:t>
      </w:r>
      <w:r w:rsidRPr="00117EEC">
        <w:tab/>
      </w:r>
      <w:r w:rsidRPr="00117EEC">
        <w:rPr>
          <w:i/>
          <w:iCs/>
        </w:rPr>
        <w:t xml:space="preserve">Requests </w:t>
      </w:r>
      <w:r w:rsidRPr="00117EEC">
        <w:t>the Executive Secretary, subject to the availability of resources:</w:t>
      </w:r>
    </w:p>
    <w:p w14:paraId="7A405682" w14:textId="77777777" w:rsidR="008C379F" w:rsidRPr="00117EEC" w:rsidRDefault="008C379F" w:rsidP="00A30041">
      <w:pPr>
        <w:pStyle w:val="Para1"/>
        <w:numPr>
          <w:ilvl w:val="0"/>
          <w:numId w:val="0"/>
        </w:numPr>
        <w:suppressLineNumbers/>
        <w:suppressAutoHyphens/>
        <w:kinsoku w:val="0"/>
        <w:adjustRightInd w:val="0"/>
        <w:ind w:firstLine="720"/>
        <w:rPr>
          <w:rStyle w:val="normaltextrun"/>
        </w:rPr>
      </w:pPr>
      <w:r w:rsidRPr="00117EEC">
        <w:rPr>
          <w:rStyle w:val="normaltextrun"/>
        </w:rPr>
        <w:t>(a)</w:t>
      </w:r>
      <w:r w:rsidRPr="00117EEC">
        <w:rPr>
          <w:rStyle w:val="normaltextrun"/>
        </w:rPr>
        <w:tab/>
        <w:t>To promote awareness of the long-term strategic framework</w:t>
      </w:r>
      <w:r w:rsidRPr="00A4790C">
        <w:t xml:space="preserve"> </w:t>
      </w:r>
      <w:r w:rsidRPr="004E35D7">
        <w:t>for capacity</w:t>
      </w:r>
      <w:r w:rsidRPr="004E35D7">
        <w:noBreakHyphen/>
        <w:t>building and development</w:t>
      </w:r>
      <w:r>
        <w:rPr>
          <w:rStyle w:val="normaltextrun"/>
        </w:rPr>
        <w:t>,</w:t>
      </w:r>
      <w:r w:rsidRPr="00117EEC">
        <w:rPr>
          <w:rStyle w:val="normaltextrun"/>
        </w:rPr>
        <w:t xml:space="preserve"> including through the creation of a </w:t>
      </w:r>
      <w:r>
        <w:rPr>
          <w:rStyle w:val="normaltextrun"/>
        </w:rPr>
        <w:t>dedicated web page on</w:t>
      </w:r>
      <w:r w:rsidRPr="00117EEC">
        <w:rPr>
          <w:rStyle w:val="normaltextrun"/>
        </w:rPr>
        <w:t xml:space="preserve"> the clearing-house mechanism </w:t>
      </w:r>
      <w:r w:rsidRPr="00EB656F">
        <w:rPr>
          <w:rStyle w:val="normaltextrun"/>
        </w:rPr>
        <w:t>portal;</w:t>
      </w:r>
    </w:p>
    <w:p w14:paraId="1143B456" w14:textId="77777777" w:rsidR="008C379F" w:rsidRDefault="008C379F" w:rsidP="007B0C9F">
      <w:pPr>
        <w:pStyle w:val="Para1"/>
        <w:numPr>
          <w:ilvl w:val="0"/>
          <w:numId w:val="0"/>
        </w:numPr>
        <w:suppressLineNumbers/>
        <w:suppressAutoHyphens/>
        <w:kinsoku w:val="0"/>
        <w:adjustRightInd w:val="0"/>
        <w:ind w:firstLine="720"/>
        <w:rPr>
          <w:rStyle w:val="normaltextrun"/>
        </w:rPr>
      </w:pPr>
      <w:r w:rsidRPr="00117EEC">
        <w:rPr>
          <w:rStyle w:val="normaltextrun"/>
        </w:rPr>
        <w:t>(b)</w:t>
      </w:r>
      <w:r w:rsidRPr="00117EEC">
        <w:rPr>
          <w:rStyle w:val="normaltextrun"/>
        </w:rPr>
        <w:tab/>
        <w:t>To make available through the clearing-house mechanism of the Convention</w:t>
      </w:r>
      <w:r>
        <w:rPr>
          <w:rStyle w:val="normaltextrun"/>
        </w:rPr>
        <w:t>,</w:t>
      </w:r>
      <w:r w:rsidRPr="00117EEC">
        <w:rPr>
          <w:rStyle w:val="normaltextrun"/>
        </w:rPr>
        <w:t xml:space="preserve"> the </w:t>
      </w:r>
      <w:r>
        <w:rPr>
          <w:rStyle w:val="normaltextrun"/>
        </w:rPr>
        <w:t xml:space="preserve">Biosafety Clearing-House, and the Access and Benefit-sharing Clearing-House, </w:t>
      </w:r>
      <w:r w:rsidRPr="00117EEC">
        <w:rPr>
          <w:rStyle w:val="normaltextrun"/>
        </w:rPr>
        <w:t xml:space="preserve">existing </w:t>
      </w:r>
      <w:r>
        <w:rPr>
          <w:rStyle w:val="normaltextrun"/>
        </w:rPr>
        <w:t xml:space="preserve">and additional </w:t>
      </w:r>
      <w:r w:rsidRPr="00117EEC">
        <w:rPr>
          <w:rStyle w:val="normaltextrun"/>
        </w:rPr>
        <w:t>guidance on capacity</w:t>
      </w:r>
      <w:r w:rsidRPr="00117EEC">
        <w:rPr>
          <w:rStyle w:val="normaltextrun"/>
        </w:rPr>
        <w:noBreakHyphen/>
        <w:t xml:space="preserve">building and development, including </w:t>
      </w:r>
      <w:r>
        <w:rPr>
          <w:rStyle w:val="normaltextrun"/>
        </w:rPr>
        <w:t xml:space="preserve">existing, </w:t>
      </w:r>
      <w:r w:rsidRPr="00117EEC">
        <w:rPr>
          <w:rStyle w:val="normaltextrun"/>
        </w:rPr>
        <w:t xml:space="preserve">new and innovative tools, methods and case studies on good practices and lessons learned that can assist Parties, indigenous peoples and local communities, </w:t>
      </w:r>
      <w:r w:rsidRPr="008B0D42">
        <w:rPr>
          <w:rStyle w:val="normaltextrun"/>
        </w:rPr>
        <w:t>women and youth</w:t>
      </w:r>
      <w:r w:rsidRPr="00117EEC">
        <w:rPr>
          <w:rStyle w:val="normaltextrun"/>
        </w:rPr>
        <w:t xml:space="preserve"> organizations, and other relevant stakeholders in their capacity</w:t>
      </w:r>
      <w:r w:rsidRPr="00117EEC">
        <w:rPr>
          <w:rStyle w:val="normaltextrun"/>
        </w:rPr>
        <w:noBreakHyphen/>
        <w:t>building and development efforts;</w:t>
      </w:r>
    </w:p>
    <w:p w14:paraId="6D6A0B80" w14:textId="77777777" w:rsidR="008C379F" w:rsidRPr="00541EA7" w:rsidRDefault="008C379F" w:rsidP="00B2195E">
      <w:pPr>
        <w:pStyle w:val="Para1"/>
        <w:numPr>
          <w:ilvl w:val="0"/>
          <w:numId w:val="0"/>
        </w:numPr>
        <w:suppressLineNumbers/>
        <w:suppressAutoHyphens/>
        <w:kinsoku w:val="0"/>
        <w:adjustRightInd w:val="0"/>
        <w:ind w:firstLine="720"/>
        <w:rPr>
          <w:rStyle w:val="eop"/>
        </w:rPr>
      </w:pPr>
      <w:r>
        <w:rPr>
          <w:rStyle w:val="normaltextrun"/>
        </w:rPr>
        <w:t>(c)</w:t>
      </w:r>
      <w:r>
        <w:rPr>
          <w:rStyle w:val="normaltextrun"/>
        </w:rPr>
        <w:tab/>
        <w:t xml:space="preserve">To facilitate the development of an island biodiversity capacity-building and development action plan, on the basis of the review of the capacity and technology absorption and sustaining abilities of small island developing </w:t>
      </w:r>
      <w:r w:rsidRPr="00C85BE1">
        <w:rPr>
          <w:rStyle w:val="normaltextrun"/>
        </w:rPr>
        <w:t>States, and in line</w:t>
      </w:r>
      <w:r>
        <w:rPr>
          <w:rStyle w:val="normaltextrun"/>
        </w:rPr>
        <w:t xml:space="preserve"> with the programme of work on island biodiversity;</w:t>
      </w:r>
    </w:p>
    <w:p w14:paraId="1848198D" w14:textId="77777777" w:rsidR="008C379F" w:rsidRPr="00117EEC" w:rsidRDefault="008C379F" w:rsidP="00A30041">
      <w:pPr>
        <w:pStyle w:val="Para1"/>
        <w:numPr>
          <w:ilvl w:val="0"/>
          <w:numId w:val="0"/>
        </w:numPr>
        <w:suppressLineNumbers/>
        <w:suppressAutoHyphens/>
        <w:kinsoku w:val="0"/>
        <w:adjustRightInd w:val="0"/>
        <w:ind w:firstLine="720"/>
        <w:rPr>
          <w:rStyle w:val="normaltextrun"/>
        </w:rPr>
      </w:pPr>
      <w:r w:rsidRPr="00117EEC">
        <w:rPr>
          <w:rStyle w:val="normaltextrun"/>
        </w:rPr>
        <w:t>(d)</w:t>
      </w:r>
      <w:r w:rsidRPr="00117EEC">
        <w:rPr>
          <w:rStyle w:val="normaltextrun"/>
        </w:rPr>
        <w:tab/>
        <w:t>To enable Parties, indigenous peoples and local communities</w:t>
      </w:r>
      <w:r w:rsidRPr="00765ED5">
        <w:rPr>
          <w:rStyle w:val="normaltextrun"/>
        </w:rPr>
        <w:t xml:space="preserve">, </w:t>
      </w:r>
      <w:r w:rsidRPr="00432FBB">
        <w:rPr>
          <w:rStyle w:val="normaltextrun"/>
        </w:rPr>
        <w:t>women</w:t>
      </w:r>
      <w:r w:rsidRPr="00765ED5">
        <w:rPr>
          <w:rStyle w:val="normaltextrun"/>
        </w:rPr>
        <w:t xml:space="preserve"> and youth</w:t>
      </w:r>
      <w:r w:rsidRPr="00117EEC">
        <w:rPr>
          <w:rStyle w:val="normaltextrun"/>
        </w:rPr>
        <w:t xml:space="preserve"> organizations, and other relevant organizations to prepare, </w:t>
      </w:r>
      <w:r w:rsidRPr="003359B3">
        <w:rPr>
          <w:rStyle w:val="normaltextrun"/>
        </w:rPr>
        <w:t>following the adoption of the Kunming-Montreal Global Biodiversity Framework,</w:t>
      </w:r>
      <w:r w:rsidRPr="00117EEC">
        <w:rPr>
          <w:rStyle w:val="normaltextrun"/>
        </w:rPr>
        <w:t xml:space="preserve"> thematic capacity</w:t>
      </w:r>
      <w:r w:rsidRPr="00117EEC">
        <w:rPr>
          <w:rStyle w:val="normaltextrun"/>
        </w:rPr>
        <w:noBreakHyphen/>
        <w:t>building and development action plans for specific 2030 targets or groups of related targets, as appropriate, taking into account needs and gaps identified and decided by Parties;</w:t>
      </w:r>
    </w:p>
    <w:p w14:paraId="2108E701" w14:textId="77777777" w:rsidR="008C379F" w:rsidRPr="00117EEC" w:rsidRDefault="008C379F" w:rsidP="00A30041">
      <w:pPr>
        <w:pStyle w:val="Para1"/>
        <w:numPr>
          <w:ilvl w:val="0"/>
          <w:numId w:val="0"/>
        </w:numPr>
        <w:suppressLineNumbers/>
        <w:suppressAutoHyphens/>
        <w:kinsoku w:val="0"/>
        <w:adjustRightInd w:val="0"/>
        <w:ind w:firstLine="720"/>
        <w:rPr>
          <w:rStyle w:val="eop"/>
          <w:rFonts w:eastAsia="Arial"/>
        </w:rPr>
      </w:pPr>
      <w:r w:rsidRPr="00117EEC">
        <w:rPr>
          <w:rStyle w:val="normaltextrun"/>
        </w:rPr>
        <w:t>(e)</w:t>
      </w:r>
      <w:r w:rsidRPr="00117EEC">
        <w:rPr>
          <w:rStyle w:val="normaltextrun"/>
        </w:rPr>
        <w:tab/>
      </w:r>
      <w:r>
        <w:rPr>
          <w:rStyle w:val="normaltextrun"/>
        </w:rPr>
        <w:t>To s</w:t>
      </w:r>
      <w:r w:rsidRPr="00117EEC">
        <w:rPr>
          <w:rStyle w:val="normaltextrun"/>
        </w:rPr>
        <w:t xml:space="preserve">upport and advise Parties </w:t>
      </w:r>
      <w:r>
        <w:rPr>
          <w:rStyle w:val="normaltextrun"/>
        </w:rPr>
        <w:t xml:space="preserve">on ways </w:t>
      </w:r>
      <w:r w:rsidRPr="00117EEC">
        <w:rPr>
          <w:rStyle w:val="normaltextrun"/>
        </w:rPr>
        <w:t>to integrate capacity</w:t>
      </w:r>
      <w:r w:rsidRPr="00117EEC">
        <w:rPr>
          <w:rStyle w:val="normaltextrun"/>
        </w:rPr>
        <w:noBreakHyphen/>
        <w:t>building and development components into their national biodiversity strategies and action plans;</w:t>
      </w:r>
    </w:p>
    <w:p w14:paraId="6D92CE5A" w14:textId="77777777" w:rsidR="008C379F" w:rsidRPr="004E35D7" w:rsidRDefault="008C379F" w:rsidP="00A30041">
      <w:pPr>
        <w:pStyle w:val="Para1"/>
        <w:numPr>
          <w:ilvl w:val="0"/>
          <w:numId w:val="0"/>
        </w:numPr>
        <w:suppressLineNumbers/>
        <w:suppressAutoHyphens/>
        <w:kinsoku w:val="0"/>
        <w:adjustRightInd w:val="0"/>
        <w:ind w:firstLine="720"/>
        <w:rPr>
          <w:rStyle w:val="eop"/>
          <w:rFonts w:eastAsiaTheme="majorEastAsia"/>
          <w:snapToGrid/>
          <w:szCs w:val="24"/>
        </w:rPr>
      </w:pPr>
      <w:r w:rsidRPr="008B3D8E">
        <w:rPr>
          <w:rStyle w:val="eop"/>
          <w:rFonts w:eastAsiaTheme="majorEastAsia"/>
        </w:rPr>
        <w:t>(f)</w:t>
      </w:r>
      <w:r w:rsidRPr="008B3D8E">
        <w:rPr>
          <w:rStyle w:val="eop"/>
          <w:rFonts w:eastAsiaTheme="majorEastAsia"/>
        </w:rPr>
        <w:tab/>
        <w:t>To invite the United Nations Environment Management Group, in collaboration with the</w:t>
      </w:r>
      <w:r w:rsidRPr="004E35D7">
        <w:rPr>
          <w:rStyle w:val="eop"/>
          <w:rFonts w:eastAsiaTheme="majorEastAsia"/>
        </w:rPr>
        <w:t xml:space="preserve"> Liaison Group of Biodiversity-related Conventions, </w:t>
      </w:r>
      <w:r w:rsidRPr="00117EEC">
        <w:rPr>
          <w:rStyle w:val="eop"/>
          <w:rFonts w:eastAsiaTheme="majorEastAsia"/>
        </w:rPr>
        <w:t>to foster United Nations system-wide synergy, coherence and effectiveness in the provision of capacity</w:t>
      </w:r>
      <w:r w:rsidRPr="00117EEC">
        <w:rPr>
          <w:rStyle w:val="eop"/>
          <w:rFonts w:eastAsiaTheme="majorEastAsia"/>
        </w:rPr>
        <w:noBreakHyphen/>
        <w:t xml:space="preserve">building and development support for the implementation of the </w:t>
      </w:r>
      <w:r>
        <w:rPr>
          <w:rStyle w:val="eop"/>
          <w:rFonts w:eastAsiaTheme="majorEastAsia"/>
        </w:rPr>
        <w:t>Kunming-Montreal G</w:t>
      </w:r>
      <w:r w:rsidRPr="00117EEC">
        <w:rPr>
          <w:rStyle w:val="eop"/>
          <w:rFonts w:eastAsiaTheme="majorEastAsia"/>
        </w:rPr>
        <w:t xml:space="preserve">lobal </w:t>
      </w:r>
      <w:r>
        <w:rPr>
          <w:rStyle w:val="normaltextrun"/>
        </w:rPr>
        <w:t>B</w:t>
      </w:r>
      <w:r w:rsidRPr="00117EEC">
        <w:rPr>
          <w:rStyle w:val="normaltextrun"/>
        </w:rPr>
        <w:t>iodiversity</w:t>
      </w:r>
      <w:r w:rsidRPr="00117EEC">
        <w:rPr>
          <w:rStyle w:val="eop"/>
          <w:rFonts w:eastAsiaTheme="majorEastAsia"/>
        </w:rPr>
        <w:t xml:space="preserve"> </w:t>
      </w:r>
      <w:r>
        <w:rPr>
          <w:rStyle w:val="eop"/>
          <w:rFonts w:eastAsiaTheme="majorEastAsia"/>
        </w:rPr>
        <w:t>F</w:t>
      </w:r>
      <w:r w:rsidRPr="00117EEC">
        <w:rPr>
          <w:rStyle w:val="eop"/>
          <w:rFonts w:eastAsiaTheme="majorEastAsia"/>
        </w:rPr>
        <w:t>ramework in line with</w:t>
      </w:r>
      <w:r w:rsidRPr="00760D30">
        <w:t xml:space="preserve"> the United Nations common approach to integrating biodiversity for sustainable development into United Nations policy and programme planning and delivery</w:t>
      </w:r>
      <w:r>
        <w:t>;</w:t>
      </w:r>
      <w:r w:rsidRPr="00610646">
        <w:rPr>
          <w:rStyle w:val="FootnoteReference"/>
        </w:rPr>
        <w:footnoteReference w:id="70"/>
      </w:r>
    </w:p>
    <w:p w14:paraId="34034D5B" w14:textId="77777777" w:rsidR="008C379F" w:rsidRPr="00117EEC" w:rsidRDefault="008C379F" w:rsidP="007B0C9F">
      <w:pPr>
        <w:pStyle w:val="Para1"/>
        <w:numPr>
          <w:ilvl w:val="0"/>
          <w:numId w:val="0"/>
        </w:numPr>
        <w:suppressLineNumbers/>
        <w:suppressAutoHyphens/>
        <w:kinsoku w:val="0"/>
        <w:adjustRightInd w:val="0"/>
        <w:ind w:firstLine="720"/>
        <w:rPr>
          <w:rStyle w:val="normaltextrun"/>
          <w:rFonts w:eastAsiaTheme="majorEastAsia"/>
        </w:rPr>
      </w:pPr>
      <w:r w:rsidRPr="00117EEC">
        <w:rPr>
          <w:rStyle w:val="normaltextrun"/>
          <w:rFonts w:eastAsia="MS Mincho"/>
        </w:rPr>
        <w:t>(</w:t>
      </w:r>
      <w:r>
        <w:rPr>
          <w:rStyle w:val="normaltextrun"/>
          <w:rFonts w:eastAsia="MS Mincho"/>
        </w:rPr>
        <w:t>g</w:t>
      </w:r>
      <w:r w:rsidRPr="00117EEC">
        <w:rPr>
          <w:rStyle w:val="normaltextrun"/>
          <w:rFonts w:eastAsia="MS Mincho"/>
        </w:rPr>
        <w:t>)</w:t>
      </w:r>
      <w:r w:rsidRPr="00117EEC">
        <w:rPr>
          <w:rStyle w:val="normaltextrun"/>
          <w:rFonts w:eastAsia="MS Mincho"/>
        </w:rPr>
        <w:tab/>
        <w:t xml:space="preserve">To convene, in collaboration with partners, </w:t>
      </w:r>
      <w:r>
        <w:rPr>
          <w:rStyle w:val="normaltextrun"/>
          <w:rFonts w:eastAsia="MS Mincho"/>
        </w:rPr>
        <w:t xml:space="preserve">a forum </w:t>
      </w:r>
      <w:r w:rsidRPr="00117EEC">
        <w:rPr>
          <w:rStyle w:val="normaltextrun"/>
          <w:rFonts w:eastAsia="MS Mincho"/>
        </w:rPr>
        <w:t>to facilitate networking and shar</w:t>
      </w:r>
      <w:r>
        <w:rPr>
          <w:rStyle w:val="normaltextrun"/>
          <w:rFonts w:eastAsia="MS Mincho"/>
        </w:rPr>
        <w:t>ing of</w:t>
      </w:r>
      <w:r w:rsidRPr="00117EEC">
        <w:rPr>
          <w:rStyle w:val="normaltextrun"/>
          <w:rFonts w:eastAsia="MS Mincho"/>
        </w:rPr>
        <w:t xml:space="preserve"> experiences, good practices and lessons learned in capacity</w:t>
      </w:r>
      <w:r w:rsidRPr="00117EEC">
        <w:rPr>
          <w:rStyle w:val="normaltextrun"/>
          <w:rFonts w:eastAsia="MS Mincho"/>
        </w:rPr>
        <w:noBreakHyphen/>
        <w:t>building and development for biodiversity</w:t>
      </w:r>
      <w:r>
        <w:rPr>
          <w:rStyle w:val="normaltextrun"/>
          <w:rFonts w:eastAsia="MS Mincho"/>
        </w:rPr>
        <w:t xml:space="preserve"> before each meeting of the Subsidiary Body on Implementation; </w:t>
      </w:r>
      <w:r w:rsidRPr="00117EEC">
        <w:t xml:space="preserve"> </w:t>
      </w:r>
    </w:p>
    <w:p w14:paraId="7DBB5CDE" w14:textId="77777777" w:rsidR="008C379F" w:rsidRPr="00117EEC" w:rsidRDefault="008C379F" w:rsidP="00A30041">
      <w:pPr>
        <w:pStyle w:val="Para1"/>
        <w:numPr>
          <w:ilvl w:val="0"/>
          <w:numId w:val="0"/>
        </w:numPr>
        <w:suppressLineNumbers/>
        <w:suppressAutoHyphens/>
        <w:kinsoku w:val="0"/>
        <w:adjustRightInd w:val="0"/>
        <w:ind w:firstLine="720"/>
        <w:rPr>
          <w:rStyle w:val="eop"/>
          <w:rFonts w:eastAsiaTheme="majorEastAsia"/>
          <w:strike/>
        </w:rPr>
      </w:pPr>
      <w:r w:rsidRPr="00117EEC">
        <w:rPr>
          <w:rStyle w:val="normaltextrun"/>
        </w:rPr>
        <w:t>(</w:t>
      </w:r>
      <w:r>
        <w:rPr>
          <w:rStyle w:val="normaltextrun"/>
        </w:rPr>
        <w:t>h</w:t>
      </w:r>
      <w:r w:rsidRPr="00117EEC">
        <w:rPr>
          <w:rStyle w:val="normaltextrun"/>
        </w:rPr>
        <w:t>)</w:t>
      </w:r>
      <w:r w:rsidRPr="00117EEC">
        <w:rPr>
          <w:rStyle w:val="normaltextrun"/>
        </w:rPr>
        <w:tab/>
        <w:t>To undertake, in collaboration with other biodiversity-related conventions and partners, a review of the long-term strategic framework</w:t>
      </w:r>
      <w:r>
        <w:rPr>
          <w:rStyle w:val="normaltextrun"/>
        </w:rPr>
        <w:t xml:space="preserve"> </w:t>
      </w:r>
      <w:r w:rsidRPr="004E35D7">
        <w:t>for capacity</w:t>
      </w:r>
      <w:r w:rsidRPr="004E35D7">
        <w:noBreakHyphen/>
        <w:t>building and development</w:t>
      </w:r>
      <w:r>
        <w:rPr>
          <w:rStyle w:val="normaltextrun"/>
        </w:rPr>
        <w:t>,</w:t>
      </w:r>
      <w:r w:rsidRPr="00117EEC">
        <w:rPr>
          <w:rStyle w:val="normaltextrun"/>
        </w:rPr>
        <w:t xml:space="preserve"> in conjunction with the</w:t>
      </w:r>
      <w:r>
        <w:rPr>
          <w:rStyle w:val="normaltextrun"/>
        </w:rPr>
        <w:t xml:space="preserve"> global </w:t>
      </w:r>
      <w:r w:rsidRPr="0021531F">
        <w:rPr>
          <w:rStyle w:val="normaltextrun"/>
        </w:rPr>
        <w:t>review of the Kunming-Montreal Global Biodiversity Framework, including the means of implementation, for consideration by the Conference of the Parties at its seventeenth meeting, to assess its use by Parties, indigenous peoples and local communities, women and youth organizations, and other</w:t>
      </w:r>
      <w:r w:rsidRPr="00117EEC">
        <w:rPr>
          <w:rStyle w:val="normaltextrun"/>
        </w:rPr>
        <w:t xml:space="preserve"> relevant stakeholders and, if necessary, propose updates</w:t>
      </w:r>
      <w:r>
        <w:rPr>
          <w:rStyle w:val="normaltextrun"/>
        </w:rPr>
        <w:t xml:space="preserve"> to ensure its effectiveness to assist Parties in implementing the Kunming-Montreal Global Biodiversity Framework;</w:t>
      </w:r>
    </w:p>
    <w:p w14:paraId="17E6B56D" w14:textId="77777777" w:rsidR="008C379F" w:rsidRPr="00117EEC" w:rsidRDefault="008C379F" w:rsidP="00A30041">
      <w:pPr>
        <w:pStyle w:val="Para1"/>
        <w:numPr>
          <w:ilvl w:val="0"/>
          <w:numId w:val="0"/>
        </w:numPr>
        <w:suppressLineNumbers/>
        <w:suppressAutoHyphens/>
        <w:kinsoku w:val="0"/>
        <w:adjustRightInd w:val="0"/>
        <w:ind w:firstLine="720"/>
        <w:rPr>
          <w:rFonts w:eastAsiaTheme="majorEastAsia"/>
        </w:rPr>
      </w:pPr>
      <w:r w:rsidRPr="00117EEC">
        <w:rPr>
          <w:rStyle w:val="normaltextrun"/>
        </w:rPr>
        <w:t>(</w:t>
      </w:r>
      <w:r>
        <w:rPr>
          <w:rStyle w:val="normaltextrun"/>
        </w:rPr>
        <w:t>i</w:t>
      </w:r>
      <w:r w:rsidRPr="00117EEC">
        <w:rPr>
          <w:rStyle w:val="normaltextrun"/>
        </w:rPr>
        <w:t>)</w:t>
      </w:r>
      <w:r w:rsidRPr="00117EEC">
        <w:rPr>
          <w:rStyle w:val="normaltextrun"/>
        </w:rPr>
        <w:tab/>
        <w:t>To commission an independent evaluation of the long-term strategic framework</w:t>
      </w:r>
      <w:r w:rsidRPr="002811BD">
        <w:t xml:space="preserve"> </w:t>
      </w:r>
      <w:r w:rsidRPr="004E35D7">
        <w:t>for capacity</w:t>
      </w:r>
      <w:r w:rsidRPr="004E35D7">
        <w:noBreakHyphen/>
        <w:t>building and development</w:t>
      </w:r>
      <w:r>
        <w:rPr>
          <w:rStyle w:val="normaltextrun"/>
        </w:rPr>
        <w:t>,</w:t>
      </w:r>
      <w:r w:rsidRPr="00117EEC">
        <w:rPr>
          <w:rStyle w:val="normaltextrun"/>
        </w:rPr>
        <w:t xml:space="preserve"> in conjunction with the </w:t>
      </w:r>
      <w:r>
        <w:rPr>
          <w:rStyle w:val="normaltextrun"/>
        </w:rPr>
        <w:t xml:space="preserve">global </w:t>
      </w:r>
      <w:r w:rsidRPr="00117EEC">
        <w:rPr>
          <w:rStyle w:val="normaltextrun"/>
        </w:rPr>
        <w:t xml:space="preserve">review of the </w:t>
      </w:r>
      <w:r>
        <w:rPr>
          <w:rStyle w:val="normaltextrun"/>
        </w:rPr>
        <w:t>Kunming-Montreal G</w:t>
      </w:r>
      <w:r w:rsidRPr="00117EEC">
        <w:rPr>
          <w:rStyle w:val="normaltextrun"/>
        </w:rPr>
        <w:t xml:space="preserve">lobal </w:t>
      </w:r>
      <w:r>
        <w:rPr>
          <w:rStyle w:val="normaltextrun"/>
        </w:rPr>
        <w:lastRenderedPageBreak/>
        <w:t>B</w:t>
      </w:r>
      <w:r w:rsidRPr="00117EEC">
        <w:rPr>
          <w:rStyle w:val="normaltextrun"/>
        </w:rPr>
        <w:t xml:space="preserve">iodiversity </w:t>
      </w:r>
      <w:r>
        <w:rPr>
          <w:rStyle w:val="normaltextrun"/>
        </w:rPr>
        <w:t>F</w:t>
      </w:r>
      <w:r w:rsidRPr="00117EEC">
        <w:rPr>
          <w:rStyle w:val="normaltextrun"/>
        </w:rPr>
        <w:t>ramework</w:t>
      </w:r>
      <w:r w:rsidRPr="00B43DC2">
        <w:rPr>
          <w:rStyle w:val="normaltextrun"/>
        </w:rPr>
        <w:t>, including the means of implementation, and submit</w:t>
      </w:r>
      <w:r w:rsidRPr="00117EEC">
        <w:rPr>
          <w:rStyle w:val="normaltextrun"/>
        </w:rPr>
        <w:t xml:space="preserve"> a report to facilitate its review by the Subsidiary Body on Implementation and</w:t>
      </w:r>
      <w:r>
        <w:rPr>
          <w:rStyle w:val="normaltextrun"/>
        </w:rPr>
        <w:t xml:space="preserve"> by the Conference of the Parties</w:t>
      </w:r>
      <w:r w:rsidRPr="00117EEC">
        <w:rPr>
          <w:rStyle w:val="normaltextrun"/>
        </w:rPr>
        <w:t xml:space="preserve"> </w:t>
      </w:r>
      <w:r>
        <w:rPr>
          <w:rStyle w:val="normaltextrun"/>
        </w:rPr>
        <w:t>at its nineteenth meeting;</w:t>
      </w:r>
    </w:p>
    <w:p w14:paraId="08CAC4FB" w14:textId="77777777" w:rsidR="008C379F" w:rsidRPr="00250C9C" w:rsidRDefault="008C379F" w:rsidP="00250C9C">
      <w:pPr>
        <w:pStyle w:val="NormalWeb"/>
        <w:keepNext/>
        <w:spacing w:before="120" w:after="120"/>
        <w:jc w:val="center"/>
        <w:rPr>
          <w:b/>
          <w:bCs/>
          <w:sz w:val="22"/>
          <w:szCs w:val="22"/>
        </w:rPr>
      </w:pPr>
      <w:bookmarkStart w:id="68" w:name="_Toc57214893"/>
      <w:r w:rsidRPr="00250C9C">
        <w:rPr>
          <w:b/>
          <w:bCs/>
          <w:sz w:val="22"/>
          <w:szCs w:val="22"/>
        </w:rPr>
        <w:t>B.</w:t>
      </w:r>
      <w:r w:rsidRPr="00250C9C">
        <w:rPr>
          <w:b/>
          <w:bCs/>
          <w:sz w:val="22"/>
          <w:szCs w:val="22"/>
        </w:rPr>
        <w:tab/>
        <w:t>Technical and scientific cooperation</w:t>
      </w:r>
      <w:bookmarkEnd w:id="68"/>
    </w:p>
    <w:p w14:paraId="65F3955E" w14:textId="77777777" w:rsidR="008C379F" w:rsidRPr="00117EEC" w:rsidRDefault="008C379F" w:rsidP="00A30041">
      <w:pPr>
        <w:pStyle w:val="Para1"/>
        <w:numPr>
          <w:ilvl w:val="0"/>
          <w:numId w:val="0"/>
        </w:numPr>
        <w:suppressLineNumbers/>
        <w:tabs>
          <w:tab w:val="left" w:pos="1418"/>
        </w:tabs>
        <w:suppressAutoHyphens/>
        <w:kinsoku w:val="0"/>
        <w:adjustRightInd w:val="0"/>
        <w:ind w:firstLine="720"/>
      </w:pPr>
      <w:r>
        <w:t>17</w:t>
      </w:r>
      <w:r w:rsidRPr="00117EEC">
        <w:t>.</w:t>
      </w:r>
      <w:r w:rsidRPr="00117EEC">
        <w:tab/>
      </w:r>
      <w:r w:rsidRPr="00117EEC">
        <w:rPr>
          <w:i/>
        </w:rPr>
        <w:t>Urges</w:t>
      </w:r>
      <w:r w:rsidRPr="00117EEC">
        <w:t xml:space="preserve"> Parties</w:t>
      </w:r>
      <w:r>
        <w:t xml:space="preserve"> </w:t>
      </w:r>
      <w:r w:rsidRPr="00117EEC">
        <w:t xml:space="preserve">and </w:t>
      </w:r>
      <w:r w:rsidRPr="004D32B6">
        <w:t>invites</w:t>
      </w:r>
      <w:r>
        <w:rPr>
          <w:i/>
          <w:iCs/>
        </w:rPr>
        <w:t xml:space="preserve"> </w:t>
      </w:r>
      <w:r w:rsidRPr="00117EEC">
        <w:t xml:space="preserve">other Governments and relevant organizations to recognize </w:t>
      </w:r>
      <w:r>
        <w:t xml:space="preserve">the important role of, </w:t>
      </w:r>
      <w:r w:rsidRPr="003130BA">
        <w:t>and to promote, science, technology, innovation and other knowledge systems in supporting the implementation of the goals and</w:t>
      </w:r>
      <w:r w:rsidRPr="00117EEC">
        <w:t xml:space="preserve"> targets of the </w:t>
      </w:r>
      <w:r>
        <w:t>Kunming-Montreal G</w:t>
      </w:r>
      <w:r w:rsidRPr="00117EEC">
        <w:t xml:space="preserve">lobal </w:t>
      </w:r>
      <w:r>
        <w:t>B</w:t>
      </w:r>
      <w:r w:rsidRPr="00117EEC">
        <w:t xml:space="preserve">iodiversity </w:t>
      </w:r>
      <w:r>
        <w:t>F</w:t>
      </w:r>
      <w:r w:rsidRPr="00117EEC">
        <w:t>ramework towards achieving the 2050 Vision of living in harmony with nature;</w:t>
      </w:r>
    </w:p>
    <w:p w14:paraId="4CB61C3A" w14:textId="77777777" w:rsidR="008C379F" w:rsidRPr="00117EEC" w:rsidRDefault="008C379F" w:rsidP="00A30041">
      <w:pPr>
        <w:pStyle w:val="Para1"/>
        <w:numPr>
          <w:ilvl w:val="0"/>
          <w:numId w:val="0"/>
        </w:numPr>
        <w:suppressLineNumbers/>
        <w:tabs>
          <w:tab w:val="left" w:pos="1418"/>
        </w:tabs>
        <w:suppressAutoHyphens/>
        <w:kinsoku w:val="0"/>
        <w:adjustRightInd w:val="0"/>
        <w:ind w:firstLine="720"/>
        <w:rPr>
          <w:rFonts w:eastAsiaTheme="minorEastAsia"/>
        </w:rPr>
      </w:pPr>
      <w:r>
        <w:t>18</w:t>
      </w:r>
      <w:r w:rsidRPr="00117EEC">
        <w:t>.</w:t>
      </w:r>
      <w:r w:rsidRPr="00117EEC">
        <w:tab/>
      </w:r>
      <w:r w:rsidRPr="00117EEC">
        <w:rPr>
          <w:i/>
          <w:iCs/>
        </w:rPr>
        <w:t xml:space="preserve">Reminds </w:t>
      </w:r>
      <w:r w:rsidRPr="00117EEC">
        <w:t>Parties, pursuant to paragraph 6</w:t>
      </w:r>
      <w:r>
        <w:t xml:space="preserve"> of </w:t>
      </w:r>
      <w:r w:rsidRPr="00117EEC">
        <w:t>decision XIII/23</w:t>
      </w:r>
      <w:r>
        <w:t>,</w:t>
      </w:r>
      <w:r w:rsidRPr="00117EEC">
        <w:t xml:space="preserve"> to identify and communicate their biodiversity-related technical and scientific needs and requests for assistance, and </w:t>
      </w:r>
      <w:r w:rsidRPr="004D32B6">
        <w:t>invites</w:t>
      </w:r>
      <w:r w:rsidRPr="00117EEC">
        <w:rPr>
          <w:i/>
          <w:iCs/>
        </w:rPr>
        <w:t xml:space="preserve"> </w:t>
      </w:r>
      <w:r w:rsidRPr="00117EEC">
        <w:t xml:space="preserve">Parties, other Governments and relevant organizations to register as providers of technical assistance and offer support to address the needs identified by Parties through the </w:t>
      </w:r>
      <w:r>
        <w:t xml:space="preserve">central portal of the </w:t>
      </w:r>
      <w:r w:rsidRPr="00117EEC">
        <w:t xml:space="preserve">clearing-house mechanism and the </w:t>
      </w:r>
      <w:r>
        <w:t>c</w:t>
      </w:r>
      <w:r w:rsidRPr="00117EEC">
        <w:t>learing</w:t>
      </w:r>
      <w:r>
        <w:noBreakHyphen/>
        <w:t>h</w:t>
      </w:r>
      <w:r w:rsidRPr="00117EEC">
        <w:t xml:space="preserve">ouses of the </w:t>
      </w:r>
      <w:r>
        <w:t>P</w:t>
      </w:r>
      <w:r w:rsidRPr="00117EEC">
        <w:t>rotocols</w:t>
      </w:r>
      <w:r>
        <w:t>, to facilitate capacity-building and development and technical and scientific cooperation</w:t>
      </w:r>
      <w:r w:rsidRPr="00117EEC">
        <w:t>;</w:t>
      </w:r>
    </w:p>
    <w:p w14:paraId="0165B830" w14:textId="77777777" w:rsidR="008C379F" w:rsidRPr="00713974" w:rsidRDefault="008C379F" w:rsidP="00A30041">
      <w:pPr>
        <w:pStyle w:val="Para1"/>
        <w:numPr>
          <w:ilvl w:val="0"/>
          <w:numId w:val="0"/>
        </w:numPr>
        <w:suppressLineNumbers/>
        <w:tabs>
          <w:tab w:val="left" w:pos="1418"/>
        </w:tabs>
        <w:suppressAutoHyphens/>
        <w:kinsoku w:val="0"/>
        <w:adjustRightInd w:val="0"/>
        <w:ind w:firstLine="720"/>
        <w:rPr>
          <w:rFonts w:eastAsiaTheme="minorEastAsia"/>
          <w:strike/>
        </w:rPr>
      </w:pPr>
      <w:r>
        <w:t>19</w:t>
      </w:r>
      <w:r w:rsidRPr="00117EEC">
        <w:t>.</w:t>
      </w:r>
      <w:r w:rsidRPr="00117EEC">
        <w:tab/>
      </w:r>
      <w:r w:rsidRPr="00117EEC">
        <w:rPr>
          <w:i/>
          <w:iCs/>
        </w:rPr>
        <w:t>Urges</w:t>
      </w:r>
      <w:r>
        <w:rPr>
          <w:i/>
          <w:iCs/>
        </w:rPr>
        <w:t xml:space="preserve"> </w:t>
      </w:r>
      <w:r w:rsidRPr="00117EEC">
        <w:t xml:space="preserve">Parties and </w:t>
      </w:r>
      <w:r w:rsidRPr="004D32B6">
        <w:t>invites</w:t>
      </w:r>
      <w:r w:rsidRPr="00117EEC">
        <w:rPr>
          <w:i/>
          <w:iCs/>
        </w:rPr>
        <w:t xml:space="preserve"> </w:t>
      </w:r>
      <w:r w:rsidRPr="00117EEC">
        <w:t>other Governments to put in place enabling environments</w:t>
      </w:r>
      <w:r>
        <w:t>,</w:t>
      </w:r>
      <w:r w:rsidRPr="00117EEC">
        <w:t xml:space="preserve"> including relevant policies, legislation and incentives</w:t>
      </w:r>
      <w:r>
        <w:t>,</w:t>
      </w:r>
      <w:r w:rsidRPr="00117EEC">
        <w:t xml:space="preserve"> to promote and facilitate technical and scientific cooperation with other Parties, in particular developing country Parties, including through joint research programmes and joint ventures </w:t>
      </w:r>
      <w:r>
        <w:t xml:space="preserve">for the development of technologies relevant to </w:t>
      </w:r>
      <w:r w:rsidRPr="00103EA8">
        <w:t>the objective</w:t>
      </w:r>
      <w:r w:rsidRPr="00DF714D">
        <w:t>s of the Convention</w:t>
      </w:r>
      <w:r w:rsidRPr="00736F0E">
        <w:t xml:space="preserve">, </w:t>
      </w:r>
      <w:r w:rsidRPr="00C66D4A">
        <w:t>ensuring</w:t>
      </w:r>
      <w:r>
        <w:t xml:space="preserve"> the</w:t>
      </w:r>
      <w:r w:rsidRPr="00C66D4A">
        <w:t xml:space="preserve"> full and effective participation of </w:t>
      </w:r>
      <w:bookmarkStart w:id="69" w:name="_Hlk72329378"/>
      <w:r w:rsidRPr="00C66D4A">
        <w:t>indigenous people</w:t>
      </w:r>
      <w:r>
        <w:t>s</w:t>
      </w:r>
      <w:r w:rsidRPr="00C66D4A">
        <w:t xml:space="preserve"> and local communities</w:t>
      </w:r>
      <w:bookmarkEnd w:id="69"/>
      <w:r w:rsidRPr="00C66D4A">
        <w:t>, women and youth</w:t>
      </w:r>
      <w:r w:rsidRPr="009515B7">
        <w:t>;</w:t>
      </w:r>
    </w:p>
    <w:p w14:paraId="3657B81E" w14:textId="77777777" w:rsidR="008C379F" w:rsidRPr="00117EEC" w:rsidRDefault="008C379F" w:rsidP="00A30041">
      <w:pPr>
        <w:pStyle w:val="Para1"/>
        <w:numPr>
          <w:ilvl w:val="0"/>
          <w:numId w:val="0"/>
        </w:numPr>
        <w:suppressLineNumbers/>
        <w:suppressAutoHyphens/>
        <w:kinsoku w:val="0"/>
        <w:adjustRightInd w:val="0"/>
        <w:ind w:firstLine="720"/>
        <w:rPr>
          <w:rFonts w:eastAsiaTheme="minorEastAsia"/>
        </w:rPr>
      </w:pPr>
      <w:r>
        <w:t>20</w:t>
      </w:r>
      <w:r w:rsidRPr="00117EEC">
        <w:t>.</w:t>
      </w:r>
      <w:r w:rsidRPr="00117EEC">
        <w:tab/>
      </w:r>
      <w:r w:rsidRPr="00117EEC">
        <w:rPr>
          <w:i/>
          <w:iCs/>
        </w:rPr>
        <w:t xml:space="preserve">Encourages </w:t>
      </w:r>
      <w:r w:rsidRPr="00117EEC">
        <w:t>Parties</w:t>
      </w:r>
      <w:r>
        <w:t>,</w:t>
      </w:r>
      <w:r w:rsidRPr="00D833A8">
        <w:t xml:space="preserve"> </w:t>
      </w:r>
      <w:r w:rsidRPr="00117EEC">
        <w:t>in accordance with Article 20 of the Convention</w:t>
      </w:r>
      <w:r>
        <w:t>,</w:t>
      </w:r>
      <w:r w:rsidRPr="00117EEC">
        <w:t xml:space="preserve"> and other Governments, in collaboration with relevant partners and financial institutions</w:t>
      </w:r>
      <w:r>
        <w:t>,</w:t>
      </w:r>
      <w:r w:rsidRPr="00117EEC">
        <w:t xml:space="preserve"> to promote</w:t>
      </w:r>
      <w:r>
        <w:t xml:space="preserve">, </w:t>
      </w:r>
      <w:r w:rsidRPr="00117EEC">
        <w:t>facilitate</w:t>
      </w:r>
      <w:r>
        <w:t xml:space="preserve"> and support</w:t>
      </w:r>
      <w:r w:rsidRPr="00117EEC">
        <w:t xml:space="preserve"> the development of biodiversity-related technologies and innovations, including biotechnology, as </w:t>
      </w:r>
      <w:r w:rsidRPr="007C5F69">
        <w:t>well as locally designed solutions and indigenous technologies of indigenous peoples and local communities, with their free, prior and informed consent, in</w:t>
      </w:r>
      <w:r w:rsidRPr="00C23031">
        <w:t xml:space="preserve"> accordance with national legislation</w:t>
      </w:r>
      <w:r>
        <w:t xml:space="preserve"> and international </w:t>
      </w:r>
      <w:r w:rsidRPr="00EF6484">
        <w:t>instruments, including</w:t>
      </w:r>
      <w:r>
        <w:t xml:space="preserve"> through </w:t>
      </w:r>
      <w:r w:rsidRPr="00251EF2">
        <w:t xml:space="preserve">incubator programmes </w:t>
      </w:r>
      <w:r w:rsidRPr="00117EEC">
        <w:t>relevan</w:t>
      </w:r>
      <w:r>
        <w:t>t to the objectives of</w:t>
      </w:r>
      <w:r w:rsidRPr="00117EEC">
        <w:t xml:space="preserve"> the Convention, and to increase technology transfer for all Parties, in particular for developing country Parties;</w:t>
      </w:r>
    </w:p>
    <w:p w14:paraId="5E3F36F5" w14:textId="77777777" w:rsidR="008C379F" w:rsidRPr="00117EEC" w:rsidRDefault="008C379F" w:rsidP="00A30041">
      <w:pPr>
        <w:pStyle w:val="Para1"/>
        <w:numPr>
          <w:ilvl w:val="0"/>
          <w:numId w:val="0"/>
        </w:numPr>
        <w:suppressLineNumbers/>
        <w:tabs>
          <w:tab w:val="left" w:pos="1418"/>
        </w:tabs>
        <w:suppressAutoHyphens/>
        <w:kinsoku w:val="0"/>
        <w:adjustRightInd w:val="0"/>
        <w:ind w:firstLine="720"/>
        <w:rPr>
          <w:rFonts w:eastAsiaTheme="minorEastAsia"/>
        </w:rPr>
      </w:pPr>
      <w:r>
        <w:t>21</w:t>
      </w:r>
      <w:r w:rsidRPr="00117EEC">
        <w:t>.</w:t>
      </w:r>
      <w:r w:rsidRPr="00117EEC">
        <w:tab/>
      </w:r>
      <w:r>
        <w:rPr>
          <w:i/>
          <w:iCs/>
        </w:rPr>
        <w:t>E</w:t>
      </w:r>
      <w:r w:rsidRPr="00117EEC">
        <w:rPr>
          <w:i/>
          <w:iCs/>
        </w:rPr>
        <w:t xml:space="preserve">ncourages </w:t>
      </w:r>
      <w:r w:rsidRPr="00117EEC">
        <w:t>Parties, other Governments and relevant organizations to take practical steps to promote and strengthen relevant networks of institutions and communities of practice to facilitate the exchange of biodiversity-related information, experiences, skills and technical know-how, among others, through networks of national and regional clearing-house mechanisms;</w:t>
      </w:r>
    </w:p>
    <w:p w14:paraId="3A2C3510" w14:textId="77777777" w:rsidR="008C379F" w:rsidRPr="00694029" w:rsidRDefault="008C379F" w:rsidP="00A30041">
      <w:pPr>
        <w:pStyle w:val="Para1"/>
        <w:numPr>
          <w:ilvl w:val="0"/>
          <w:numId w:val="0"/>
        </w:numPr>
        <w:suppressLineNumbers/>
        <w:tabs>
          <w:tab w:val="left" w:pos="1418"/>
        </w:tabs>
        <w:suppressAutoHyphens/>
        <w:kinsoku w:val="0"/>
        <w:adjustRightInd w:val="0"/>
        <w:ind w:firstLine="720"/>
        <w:rPr>
          <w:rFonts w:eastAsiaTheme="minorEastAsia"/>
        </w:rPr>
      </w:pPr>
      <w:r>
        <w:t>22</w:t>
      </w:r>
      <w:r w:rsidRPr="00117EEC">
        <w:t>.</w:t>
      </w:r>
      <w:r w:rsidRPr="00117EEC">
        <w:tab/>
      </w:r>
      <w:r w:rsidRPr="00117EEC">
        <w:rPr>
          <w:i/>
          <w:iCs/>
        </w:rPr>
        <w:t>Takes note</w:t>
      </w:r>
      <w:r w:rsidRPr="00117EEC">
        <w:t xml:space="preserve"> of the outcomes and key messages of the fifth Science-Policy Forum </w:t>
      </w:r>
      <w:r>
        <w:t>for</w:t>
      </w:r>
      <w:r w:rsidRPr="00117EEC">
        <w:t xml:space="preserve"> Biodiversity and the </w:t>
      </w:r>
      <w:r w:rsidRPr="00322D2B">
        <w:t>eighth International Conference on Sustainability</w:t>
      </w:r>
      <w:r>
        <w:t xml:space="preserve"> Science</w:t>
      </w:r>
      <w:r w:rsidRPr="00117EEC">
        <w:t>;</w:t>
      </w:r>
      <w:r w:rsidRPr="00610646">
        <w:rPr>
          <w:rStyle w:val="FootnoteReference"/>
          <w:rFonts w:eastAsiaTheme="minorEastAsia"/>
        </w:rPr>
        <w:footnoteReference w:id="71"/>
      </w:r>
    </w:p>
    <w:p w14:paraId="4CFC7B68" w14:textId="77777777" w:rsidR="008C379F" w:rsidRPr="003130BA" w:rsidRDefault="008C379F" w:rsidP="00A30041">
      <w:pPr>
        <w:pStyle w:val="Para1"/>
        <w:numPr>
          <w:ilvl w:val="0"/>
          <w:numId w:val="0"/>
        </w:numPr>
        <w:suppressLineNumbers/>
        <w:tabs>
          <w:tab w:val="left" w:pos="1418"/>
        </w:tabs>
        <w:suppressAutoHyphens/>
        <w:kinsoku w:val="0"/>
        <w:adjustRightInd w:val="0"/>
        <w:ind w:firstLine="720"/>
        <w:rPr>
          <w:rFonts w:eastAsiaTheme="minorEastAsia"/>
          <w:i/>
        </w:rPr>
      </w:pPr>
      <w:r>
        <w:t>23</w:t>
      </w:r>
      <w:r w:rsidRPr="00117EEC">
        <w:t>.</w:t>
      </w:r>
      <w:r w:rsidRPr="00117EEC">
        <w:tab/>
      </w:r>
      <w:r w:rsidRPr="00117EEC">
        <w:rPr>
          <w:i/>
          <w:iCs/>
        </w:rPr>
        <w:t>Urges</w:t>
      </w:r>
      <w:r w:rsidRPr="00117EEC">
        <w:t xml:space="preserve"> Parties,</w:t>
      </w:r>
      <w:r>
        <w:t xml:space="preserve"> </w:t>
      </w:r>
      <w:r w:rsidRPr="00117EEC">
        <w:t xml:space="preserve">and </w:t>
      </w:r>
      <w:r w:rsidRPr="004D32B6">
        <w:rPr>
          <w:iCs/>
        </w:rPr>
        <w:t>invites</w:t>
      </w:r>
      <w:r w:rsidRPr="00117EEC">
        <w:t xml:space="preserve"> other Governments</w:t>
      </w:r>
      <w:r>
        <w:t xml:space="preserve"> and relevant stakeholders,</w:t>
      </w:r>
      <w:r w:rsidRPr="00117EEC">
        <w:t xml:space="preserve"> to develop solutions based on innovative technologies embedded in local contexts to </w:t>
      </w:r>
      <w:r w:rsidRPr="0081332D">
        <w:t>enhan</w:t>
      </w:r>
      <w:r>
        <w:t>ce</w:t>
      </w:r>
      <w:r w:rsidRPr="0081332D">
        <w:t xml:space="preserve"> the conservation and sustainable use of biological diversity</w:t>
      </w:r>
      <w:r w:rsidRPr="00117EEC">
        <w:t xml:space="preserve"> </w:t>
      </w:r>
      <w:r>
        <w:t xml:space="preserve">and to </w:t>
      </w:r>
      <w:r w:rsidRPr="00117EEC">
        <w:t>address</w:t>
      </w:r>
      <w:r w:rsidRPr="0081332D">
        <w:t xml:space="preserve"> </w:t>
      </w:r>
      <w:r>
        <w:t>the goals and targets of the Kunming-Montreal Global Biodiversity Framework</w:t>
      </w:r>
      <w:r w:rsidRPr="00117EEC">
        <w:t xml:space="preserve"> </w:t>
      </w:r>
      <w:r>
        <w:t xml:space="preserve">and </w:t>
      </w:r>
      <w:r w:rsidRPr="00117EEC">
        <w:t xml:space="preserve">the </w:t>
      </w:r>
      <w:r w:rsidRPr="003130BA">
        <w:t>Sustainable Development Goals, and to scale up those solutions at the national, subregional and regional levels;</w:t>
      </w:r>
    </w:p>
    <w:p w14:paraId="0D172165" w14:textId="77777777" w:rsidR="008C379F" w:rsidRDefault="008C379F" w:rsidP="00EC26EE">
      <w:pPr>
        <w:pStyle w:val="Para1"/>
        <w:numPr>
          <w:ilvl w:val="0"/>
          <w:numId w:val="0"/>
        </w:numPr>
        <w:suppressLineNumbers/>
        <w:suppressAutoHyphens/>
        <w:kinsoku w:val="0"/>
        <w:adjustRightInd w:val="0"/>
        <w:ind w:firstLine="720"/>
      </w:pPr>
      <w:r w:rsidRPr="003130BA">
        <w:t>24.</w:t>
      </w:r>
      <w:r w:rsidRPr="003130BA">
        <w:tab/>
      </w:r>
      <w:r w:rsidRPr="003130BA">
        <w:rPr>
          <w:i/>
          <w:iCs/>
        </w:rPr>
        <w:t xml:space="preserve">Decides </w:t>
      </w:r>
      <w:r w:rsidRPr="003130BA">
        <w:t>to establish</w:t>
      </w:r>
      <w:r w:rsidRPr="00F07B4B">
        <w:t xml:space="preserve"> an informal advisory group on technical and scientific cooperation, to provide strategic advice on practical measures, tools and opportunities to promote and facilitate technical and scientific cooperation in accordance with the terms of reference contained in annex III </w:t>
      </w:r>
      <w:r>
        <w:t>to the present decision</w:t>
      </w:r>
      <w:r w:rsidRPr="00F07B4B">
        <w:t>;</w:t>
      </w:r>
    </w:p>
    <w:p w14:paraId="4B68E6A6" w14:textId="77777777" w:rsidR="008C379F" w:rsidRDefault="008C379F" w:rsidP="00981752">
      <w:pPr>
        <w:tabs>
          <w:tab w:val="left" w:pos="1418"/>
        </w:tabs>
        <w:spacing w:before="120" w:after="120"/>
        <w:ind w:firstLine="720"/>
      </w:pPr>
      <w:r>
        <w:t xml:space="preserve">25. </w:t>
      </w:r>
      <w:r>
        <w:tab/>
      </w:r>
      <w:r w:rsidRPr="00541EA7">
        <w:rPr>
          <w:i/>
          <w:iCs/>
        </w:rPr>
        <w:t>Also decides</w:t>
      </w:r>
      <w:r>
        <w:t xml:space="preserve"> to establish a mechanism comprising a network of regional, and/or additional subregional technical </w:t>
      </w:r>
      <w:r w:rsidRPr="00D21F5A">
        <w:t xml:space="preserve">and scientific cooperation support centres to be coordinated at </w:t>
      </w:r>
      <w:r w:rsidRPr="000D15D0">
        <w:t>the global level by a global coordination entity, as described in annex II to the present decision;</w:t>
      </w:r>
      <w:r>
        <w:t xml:space="preserve"> </w:t>
      </w:r>
    </w:p>
    <w:p w14:paraId="126548AC" w14:textId="5BF1BBD3" w:rsidR="008C379F" w:rsidRDefault="008C379F" w:rsidP="00981752">
      <w:pPr>
        <w:tabs>
          <w:tab w:val="left" w:pos="1418"/>
        </w:tabs>
        <w:spacing w:before="120" w:after="120"/>
        <w:ind w:firstLine="720"/>
      </w:pPr>
      <w:r>
        <w:lastRenderedPageBreak/>
        <w:t>26.</w:t>
      </w:r>
      <w:r>
        <w:tab/>
      </w:r>
      <w:r>
        <w:rPr>
          <w:i/>
          <w:iCs/>
        </w:rPr>
        <w:t>Further</w:t>
      </w:r>
      <w:r w:rsidRPr="00541EA7">
        <w:rPr>
          <w:i/>
          <w:iCs/>
        </w:rPr>
        <w:t xml:space="preserve"> decides</w:t>
      </w:r>
      <w:r>
        <w:t xml:space="preserve"> that the core functions of the regional and/or subregional centres will include the following:</w:t>
      </w:r>
    </w:p>
    <w:p w14:paraId="52A1A435"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117EEC">
        <w:rPr>
          <w:snapToGrid w:val="0"/>
          <w:color w:val="000000" w:themeColor="text1"/>
          <w:kern w:val="22"/>
          <w:szCs w:val="22"/>
        </w:rPr>
        <w:t>(a)</w:t>
      </w:r>
      <w:r w:rsidRPr="00117EEC">
        <w:rPr>
          <w:snapToGrid w:val="0"/>
          <w:color w:val="000000" w:themeColor="text1"/>
          <w:kern w:val="22"/>
          <w:szCs w:val="22"/>
        </w:rPr>
        <w:tab/>
        <w:t>To promote and facilitate, on a demand-driven basis, technical and scientific cooperation and technology transfer</w:t>
      </w:r>
      <w:r w:rsidRPr="00117EEC" w:rsidDel="00710A01">
        <w:rPr>
          <w:snapToGrid w:val="0"/>
          <w:color w:val="000000" w:themeColor="text1"/>
          <w:kern w:val="22"/>
          <w:szCs w:val="22"/>
        </w:rPr>
        <w:t xml:space="preserve"> </w:t>
      </w:r>
      <w:r w:rsidRPr="00117EEC">
        <w:rPr>
          <w:snapToGrid w:val="0"/>
          <w:color w:val="000000" w:themeColor="text1"/>
          <w:kern w:val="22"/>
          <w:szCs w:val="22"/>
        </w:rPr>
        <w:t>among Parties, especially from developed country Parties to developing country Parties</w:t>
      </w:r>
      <w:r>
        <w:rPr>
          <w:snapToGrid w:val="0"/>
          <w:color w:val="000000" w:themeColor="text1"/>
          <w:kern w:val="22"/>
          <w:szCs w:val="22"/>
        </w:rPr>
        <w:t xml:space="preserve">, </w:t>
      </w:r>
      <w:r w:rsidRPr="00117EEC">
        <w:rPr>
          <w:snapToGrid w:val="0"/>
          <w:color w:val="000000" w:themeColor="text1"/>
          <w:kern w:val="22"/>
          <w:szCs w:val="22"/>
        </w:rPr>
        <w:t xml:space="preserve">to support the implementation of the Convention and </w:t>
      </w:r>
      <w:r>
        <w:rPr>
          <w:snapToGrid w:val="0"/>
          <w:color w:val="000000" w:themeColor="text1"/>
          <w:kern w:val="22"/>
          <w:szCs w:val="22"/>
        </w:rPr>
        <w:t xml:space="preserve">of </w:t>
      </w:r>
      <w:r w:rsidRPr="00117EEC">
        <w:rPr>
          <w:snapToGrid w:val="0"/>
          <w:color w:val="000000" w:themeColor="text1"/>
          <w:kern w:val="22"/>
          <w:szCs w:val="22"/>
        </w:rPr>
        <w:t xml:space="preserve">the </w:t>
      </w:r>
      <w:r>
        <w:rPr>
          <w:snapToGrid w:val="0"/>
          <w:color w:val="000000" w:themeColor="text1"/>
          <w:kern w:val="22"/>
          <w:szCs w:val="22"/>
        </w:rPr>
        <w:t>Kunming-Montreal G</w:t>
      </w:r>
      <w:r w:rsidRPr="00117EEC">
        <w:rPr>
          <w:snapToGrid w:val="0"/>
          <w:color w:val="000000" w:themeColor="text1"/>
          <w:kern w:val="22"/>
          <w:szCs w:val="22"/>
        </w:rPr>
        <w:t xml:space="preserve">lobal </w:t>
      </w:r>
      <w:r>
        <w:rPr>
          <w:snapToGrid w:val="0"/>
          <w:color w:val="000000" w:themeColor="text1"/>
          <w:kern w:val="22"/>
          <w:szCs w:val="22"/>
        </w:rPr>
        <w:t>B</w:t>
      </w:r>
      <w:r w:rsidRPr="00117EEC">
        <w:rPr>
          <w:snapToGrid w:val="0"/>
          <w:color w:val="000000" w:themeColor="text1"/>
          <w:kern w:val="22"/>
          <w:szCs w:val="22"/>
        </w:rPr>
        <w:t xml:space="preserve">iodiversity </w:t>
      </w:r>
      <w:r>
        <w:rPr>
          <w:snapToGrid w:val="0"/>
          <w:color w:val="000000" w:themeColor="text1"/>
          <w:kern w:val="22"/>
          <w:szCs w:val="22"/>
        </w:rPr>
        <w:t>F</w:t>
      </w:r>
      <w:r w:rsidRPr="00117EEC">
        <w:rPr>
          <w:snapToGrid w:val="0"/>
          <w:color w:val="000000" w:themeColor="text1"/>
          <w:kern w:val="22"/>
          <w:szCs w:val="22"/>
        </w:rPr>
        <w:t>ramework, including through joint research programmes and joint ventures for the development of technologies relevant to the objectives of th</w:t>
      </w:r>
      <w:r>
        <w:rPr>
          <w:snapToGrid w:val="0"/>
          <w:color w:val="000000" w:themeColor="text1"/>
          <w:kern w:val="22"/>
          <w:szCs w:val="22"/>
        </w:rPr>
        <w:t>e</w:t>
      </w:r>
      <w:r w:rsidRPr="00117EEC">
        <w:rPr>
          <w:snapToGrid w:val="0"/>
          <w:color w:val="000000" w:themeColor="text1"/>
          <w:kern w:val="22"/>
          <w:szCs w:val="22"/>
        </w:rPr>
        <w:t xml:space="preserve"> Convention;</w:t>
      </w:r>
    </w:p>
    <w:p w14:paraId="1E256829" w14:textId="77777777" w:rsidR="008C379F" w:rsidRPr="00541EA7" w:rsidRDefault="008C379F" w:rsidP="00ED2009">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17EEC">
        <w:rPr>
          <w:snapToGrid w:val="0"/>
          <w:color w:val="000000" w:themeColor="text1"/>
          <w:kern w:val="22"/>
          <w:szCs w:val="22"/>
        </w:rPr>
        <w:t>(b)</w:t>
      </w:r>
      <w:r w:rsidRPr="00117EEC">
        <w:rPr>
          <w:snapToGrid w:val="0"/>
          <w:color w:val="000000" w:themeColor="text1"/>
          <w:kern w:val="22"/>
          <w:szCs w:val="22"/>
        </w:rPr>
        <w:tab/>
        <w:t>To provide a “one-stop service centre” for Parties to biodiversity-related conventions</w:t>
      </w:r>
      <w:r>
        <w:rPr>
          <w:snapToGrid w:val="0"/>
          <w:color w:val="000000" w:themeColor="text1"/>
          <w:kern w:val="22"/>
          <w:szCs w:val="22"/>
        </w:rPr>
        <w:t>,</w:t>
      </w:r>
      <w:r w:rsidRPr="00117EEC">
        <w:rPr>
          <w:snapToGrid w:val="0"/>
          <w:color w:val="000000" w:themeColor="text1"/>
          <w:kern w:val="22"/>
          <w:szCs w:val="22"/>
        </w:rPr>
        <w:t xml:space="preserve"> </w:t>
      </w:r>
      <w:r w:rsidRPr="00117EEC">
        <w:rPr>
          <w:snapToGrid w:val="0"/>
          <w:kern w:val="22"/>
          <w:szCs w:val="22"/>
        </w:rPr>
        <w:t xml:space="preserve">indigenous peoples and local communities, women and youth organizations, and other relevant stakeholders </w:t>
      </w:r>
      <w:r w:rsidRPr="00117EEC">
        <w:rPr>
          <w:snapToGrid w:val="0"/>
          <w:color w:val="000000" w:themeColor="text1"/>
          <w:kern w:val="22"/>
          <w:szCs w:val="22"/>
        </w:rPr>
        <w:t>to access</w:t>
      </w:r>
      <w:r w:rsidRPr="00117EEC">
        <w:rPr>
          <w:snapToGrid w:val="0"/>
          <w:kern w:val="22"/>
          <w:szCs w:val="22"/>
        </w:rPr>
        <w:t xml:space="preserve"> technical and scientific knowledge, expertise, tools and other resources, taking into account the science, technology and innovation capability gaps identified by Parties, especially developing country Parties;</w:t>
      </w:r>
    </w:p>
    <w:p w14:paraId="1C19BDBF" w14:textId="77777777" w:rsidR="008C379F" w:rsidRPr="00541EA7" w:rsidRDefault="008C379F" w:rsidP="005C1DB8">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117EEC">
        <w:rPr>
          <w:snapToGrid w:val="0"/>
          <w:kern w:val="22"/>
          <w:szCs w:val="22"/>
        </w:rPr>
        <w:t>(c)</w:t>
      </w:r>
      <w:r w:rsidRPr="00117EEC">
        <w:rPr>
          <w:snapToGrid w:val="0"/>
          <w:kern w:val="22"/>
          <w:szCs w:val="22"/>
        </w:rPr>
        <w:tab/>
        <w:t xml:space="preserve">To provide </w:t>
      </w:r>
      <w:r w:rsidRPr="00117EEC">
        <w:rPr>
          <w:snapToGrid w:val="0"/>
          <w:color w:val="000000" w:themeColor="text1"/>
          <w:kern w:val="22"/>
          <w:szCs w:val="22"/>
        </w:rPr>
        <w:t xml:space="preserve">Parties, especially developing country Parties, </w:t>
      </w:r>
      <w:r>
        <w:rPr>
          <w:snapToGrid w:val="0"/>
          <w:color w:val="000000" w:themeColor="text1"/>
          <w:kern w:val="22"/>
          <w:szCs w:val="22"/>
        </w:rPr>
        <w:t xml:space="preserve">with </w:t>
      </w:r>
      <w:r w:rsidRPr="00117EEC">
        <w:rPr>
          <w:snapToGrid w:val="0"/>
          <w:color w:val="000000" w:themeColor="text1"/>
          <w:kern w:val="22"/>
          <w:szCs w:val="22"/>
        </w:rPr>
        <w:t>access to information on opportunities for technical and scientific cooperation, technology transfer and innovations</w:t>
      </w:r>
      <w:r>
        <w:rPr>
          <w:snapToGrid w:val="0"/>
          <w:color w:val="000000" w:themeColor="text1"/>
          <w:kern w:val="22"/>
          <w:szCs w:val="22"/>
        </w:rPr>
        <w:t>, including</w:t>
      </w:r>
      <w:r w:rsidRPr="00117EEC">
        <w:rPr>
          <w:snapToGrid w:val="0"/>
          <w:color w:val="000000" w:themeColor="text1"/>
          <w:kern w:val="22"/>
          <w:szCs w:val="22"/>
        </w:rPr>
        <w:t xml:space="preserve"> biotechnolog</w:t>
      </w:r>
      <w:r>
        <w:rPr>
          <w:snapToGrid w:val="0"/>
          <w:color w:val="000000" w:themeColor="text1"/>
          <w:kern w:val="22"/>
          <w:szCs w:val="22"/>
        </w:rPr>
        <w:t>y</w:t>
      </w:r>
      <w:r w:rsidRPr="00610646">
        <w:rPr>
          <w:rStyle w:val="FootnoteReference"/>
        </w:rPr>
        <w:footnoteReference w:id="72"/>
      </w:r>
      <w:r w:rsidRPr="00117EEC">
        <w:rPr>
          <w:snapToGrid w:val="0"/>
          <w:color w:val="000000" w:themeColor="text1"/>
          <w:kern w:val="22"/>
          <w:szCs w:val="22"/>
        </w:rPr>
        <w:t xml:space="preserve"> research;</w:t>
      </w:r>
    </w:p>
    <w:p w14:paraId="2290FB7D"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117EEC">
        <w:rPr>
          <w:snapToGrid w:val="0"/>
          <w:color w:val="000000" w:themeColor="text1"/>
          <w:kern w:val="22"/>
          <w:szCs w:val="22"/>
        </w:rPr>
        <w:t>(d)</w:t>
      </w:r>
      <w:r w:rsidRPr="00117EEC">
        <w:rPr>
          <w:snapToGrid w:val="0"/>
          <w:color w:val="000000" w:themeColor="text1"/>
          <w:kern w:val="22"/>
          <w:szCs w:val="22"/>
        </w:rPr>
        <w:tab/>
        <w:t xml:space="preserve">To mobilize resources to </w:t>
      </w:r>
      <w:r w:rsidRPr="00117EEC">
        <w:rPr>
          <w:snapToGrid w:val="0"/>
          <w:kern w:val="22"/>
          <w:szCs w:val="22"/>
        </w:rPr>
        <w:t xml:space="preserve">provide </w:t>
      </w:r>
      <w:r>
        <w:rPr>
          <w:snapToGrid w:val="0"/>
          <w:kern w:val="22"/>
          <w:szCs w:val="22"/>
        </w:rPr>
        <w:t>timely</w:t>
      </w:r>
      <w:r w:rsidRPr="00117EEC">
        <w:rPr>
          <w:snapToGrid w:val="0"/>
          <w:kern w:val="22"/>
          <w:szCs w:val="22"/>
        </w:rPr>
        <w:t xml:space="preserve"> and targeted support for projects and activities t</w:t>
      </w:r>
      <w:r>
        <w:rPr>
          <w:snapToGrid w:val="0"/>
          <w:kern w:val="22"/>
          <w:szCs w:val="22"/>
        </w:rPr>
        <w:t>hat</w:t>
      </w:r>
      <w:r w:rsidRPr="00117EEC">
        <w:rPr>
          <w:snapToGrid w:val="0"/>
          <w:kern w:val="22"/>
          <w:szCs w:val="22"/>
        </w:rPr>
        <w:t xml:space="preserve"> address specific identified technical and scientific needs</w:t>
      </w:r>
      <w:r w:rsidRPr="00117EEC">
        <w:rPr>
          <w:snapToGrid w:val="0"/>
          <w:color w:val="000000" w:themeColor="text1"/>
          <w:kern w:val="22"/>
          <w:szCs w:val="22"/>
        </w:rPr>
        <w:t>;</w:t>
      </w:r>
    </w:p>
    <w:p w14:paraId="2F0CBF9B"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(e)</w:t>
      </w:r>
      <w:r w:rsidRPr="00117EEC">
        <w:rPr>
          <w:snapToGrid w:val="0"/>
          <w:kern w:val="22"/>
          <w:szCs w:val="22"/>
        </w:rPr>
        <w:tab/>
        <w:t>To facilitate matchmaking between Parties with specific needs and Parties or organizations in a position to provide assistance in response to the priority needs</w:t>
      </w:r>
      <w:r w:rsidRPr="00117EEC">
        <w:t xml:space="preserve"> </w:t>
      </w:r>
      <w:r w:rsidRPr="00117EEC">
        <w:rPr>
          <w:snapToGrid w:val="0"/>
          <w:kern w:val="22"/>
          <w:szCs w:val="22"/>
        </w:rPr>
        <w:t>identified;</w:t>
      </w:r>
    </w:p>
    <w:p w14:paraId="171F64F1"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(f)</w:t>
      </w:r>
      <w:r w:rsidRPr="00117EEC">
        <w:rPr>
          <w:snapToGrid w:val="0"/>
          <w:kern w:val="22"/>
          <w:szCs w:val="22"/>
        </w:rPr>
        <w:tab/>
        <w:t>To catalyse and support the development, implementation, monitoring and evaluation of technical and scientific cooperation projects and programmes that:</w:t>
      </w:r>
    </w:p>
    <w:p w14:paraId="2A703DE8" w14:textId="77777777" w:rsidR="008C379F" w:rsidRPr="00117EEC" w:rsidRDefault="008C379F"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(i)</w:t>
      </w:r>
      <w:r w:rsidRPr="00117EEC">
        <w:rPr>
          <w:snapToGrid w:val="0"/>
          <w:kern w:val="22"/>
          <w:szCs w:val="22"/>
        </w:rPr>
        <w:tab/>
        <w:t>Promote and incubate international and regional cooperation and partnerships using a programmatic approach;</w:t>
      </w:r>
    </w:p>
    <w:p w14:paraId="2F03A448" w14:textId="77777777" w:rsidR="008C379F" w:rsidRPr="00117EEC" w:rsidRDefault="008C379F"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(ii)</w:t>
      </w:r>
      <w:r w:rsidRPr="00117EEC">
        <w:rPr>
          <w:snapToGrid w:val="0"/>
          <w:kern w:val="22"/>
          <w:szCs w:val="22"/>
        </w:rPr>
        <w:tab/>
        <w:t>Facilitate the development, transfer and diffusion of technologies and innovative national, regional and local solutions, including those of indigenous peoples and local communities, with their free, prior and informed consent, through scalable initiatives;</w:t>
      </w:r>
    </w:p>
    <w:p w14:paraId="39C21E12" w14:textId="77777777" w:rsidR="008C379F" w:rsidRPr="00117EEC" w:rsidRDefault="008C379F"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(iii)</w:t>
      </w:r>
      <w:r w:rsidRPr="00117EEC">
        <w:rPr>
          <w:snapToGrid w:val="0"/>
          <w:kern w:val="22"/>
          <w:szCs w:val="22"/>
        </w:rPr>
        <w:tab/>
        <w:t>Facilitate access to</w:t>
      </w:r>
      <w:r>
        <w:rPr>
          <w:snapToGrid w:val="0"/>
          <w:kern w:val="22"/>
          <w:szCs w:val="22"/>
        </w:rPr>
        <w:t>,</w:t>
      </w:r>
      <w:r w:rsidRPr="00117EEC">
        <w:rPr>
          <w:snapToGrid w:val="0"/>
          <w:kern w:val="22"/>
          <w:szCs w:val="22"/>
        </w:rPr>
        <w:t xml:space="preserve"> and utilization of</w:t>
      </w:r>
      <w:r>
        <w:rPr>
          <w:snapToGrid w:val="0"/>
          <w:kern w:val="22"/>
          <w:szCs w:val="22"/>
        </w:rPr>
        <w:t>,</w:t>
      </w:r>
      <w:r w:rsidRPr="00117EEC">
        <w:rPr>
          <w:snapToGrid w:val="0"/>
          <w:kern w:val="22"/>
          <w:szCs w:val="22"/>
        </w:rPr>
        <w:t xml:space="preserve"> available scientific knowledge, information and data</w:t>
      </w:r>
      <w:r>
        <w:rPr>
          <w:snapToGrid w:val="0"/>
          <w:kern w:val="22"/>
          <w:szCs w:val="22"/>
        </w:rPr>
        <w:t>;</w:t>
      </w:r>
      <w:r w:rsidRPr="00117EEC">
        <w:rPr>
          <w:snapToGrid w:val="0"/>
          <w:kern w:val="22"/>
          <w:szCs w:val="22"/>
        </w:rPr>
        <w:t xml:space="preserve"> </w:t>
      </w:r>
    </w:p>
    <w:p w14:paraId="6708700E"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437F57">
        <w:rPr>
          <w:snapToGrid w:val="0"/>
          <w:kern w:val="22"/>
          <w:szCs w:val="22"/>
        </w:rPr>
        <w:t>(g)</w:t>
      </w:r>
      <w:r w:rsidRPr="00437F57">
        <w:rPr>
          <w:snapToGrid w:val="0"/>
          <w:kern w:val="22"/>
          <w:szCs w:val="22"/>
        </w:rPr>
        <w:tab/>
        <w:t xml:space="preserve">To strengthen capacities of regional, subregional and national </w:t>
      </w:r>
      <w:r>
        <w:rPr>
          <w:snapToGrid w:val="0"/>
          <w:kern w:val="22"/>
          <w:szCs w:val="22"/>
        </w:rPr>
        <w:t>institutions</w:t>
      </w:r>
      <w:r w:rsidRPr="00437F57">
        <w:rPr>
          <w:snapToGrid w:val="0"/>
          <w:kern w:val="22"/>
          <w:szCs w:val="22"/>
        </w:rPr>
        <w:t xml:space="preserve"> to facilitate technical and scientific cooperation with an emphasis on science, technology and innovation;</w:t>
      </w:r>
    </w:p>
    <w:p w14:paraId="49BFA8EB" w14:textId="77777777" w:rsidR="008C379F" w:rsidRPr="00117EEC" w:rsidRDefault="008C379F"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(h)</w:t>
      </w:r>
      <w:r w:rsidRPr="00117EEC">
        <w:rPr>
          <w:snapToGrid w:val="0"/>
          <w:kern w:val="22"/>
          <w:szCs w:val="22"/>
        </w:rPr>
        <w:tab/>
        <w:t>To facilitate knowledge sharing and organizational learning;</w:t>
      </w:r>
    </w:p>
    <w:p w14:paraId="58C0256C" w14:textId="77777777" w:rsidR="008C379F" w:rsidRPr="00117EEC" w:rsidRDefault="008C379F" w:rsidP="00435DFB">
      <w:pPr>
        <w:suppressLineNumbers/>
        <w:tabs>
          <w:tab w:val="left" w:pos="1418"/>
        </w:tabs>
        <w:suppressAutoHyphens/>
        <w:kinsoku w:val="0"/>
        <w:overflowPunct w:val="0"/>
        <w:autoSpaceDE w:val="0"/>
        <w:autoSpaceDN w:val="0"/>
        <w:adjustRightInd w:val="0"/>
        <w:snapToGrid w:val="0"/>
        <w:spacing w:before="120" w:after="120"/>
        <w:ind w:firstLine="720"/>
        <w:rPr>
          <w:snapToGrid w:val="0"/>
          <w:kern w:val="22"/>
        </w:rPr>
      </w:pPr>
      <w:r w:rsidRPr="00117EEC">
        <w:rPr>
          <w:snapToGrid w:val="0"/>
          <w:kern w:val="22"/>
        </w:rPr>
        <w:t>(i)</w:t>
      </w:r>
      <w:r w:rsidRPr="00117EEC">
        <w:rPr>
          <w:snapToGrid w:val="0"/>
          <w:kern w:val="22"/>
        </w:rPr>
        <w:tab/>
        <w:t xml:space="preserve">To identify, collate and disseminate good practices and lessons learned regarding biodiversity-related technical and scientific cooperation, technology transfer and innovation, </w:t>
      </w:r>
      <w:r>
        <w:rPr>
          <w:snapToGrid w:val="0"/>
          <w:kern w:val="22"/>
        </w:rPr>
        <w:t>including</w:t>
      </w:r>
      <w:r w:rsidRPr="00117EEC">
        <w:rPr>
          <w:snapToGrid w:val="0"/>
          <w:kern w:val="22"/>
        </w:rPr>
        <w:t xml:space="preserve"> biotechnolog</w:t>
      </w:r>
      <w:r>
        <w:rPr>
          <w:snapToGrid w:val="0"/>
          <w:kern w:val="22"/>
        </w:rPr>
        <w:t>y</w:t>
      </w:r>
      <w:r w:rsidRPr="00117EEC">
        <w:rPr>
          <w:snapToGrid w:val="0"/>
          <w:kern w:val="22"/>
        </w:rPr>
        <w:t xml:space="preserve"> research</w:t>
      </w:r>
      <w:r>
        <w:rPr>
          <w:snapToGrid w:val="0"/>
          <w:kern w:val="22"/>
        </w:rPr>
        <w:t xml:space="preserve">; </w:t>
      </w:r>
    </w:p>
    <w:p w14:paraId="5E688935" w14:textId="77777777" w:rsidR="008C379F" w:rsidRPr="00117EEC" w:rsidRDefault="008C379F" w:rsidP="00435DFB">
      <w:pPr>
        <w:suppressLineNumbers/>
        <w:tabs>
          <w:tab w:val="left" w:pos="1418"/>
        </w:tab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117EEC">
        <w:rPr>
          <w:snapToGrid w:val="0"/>
          <w:kern w:val="22"/>
        </w:rPr>
        <w:t>(j)</w:t>
      </w:r>
      <w:r w:rsidRPr="00117EEC">
        <w:rPr>
          <w:snapToGrid w:val="0"/>
          <w:kern w:val="22"/>
        </w:rPr>
        <w:tab/>
        <w:t>To maximize synergies and collaborate with other technology transfer initiatives and mechanisms;</w:t>
      </w:r>
    </w:p>
    <w:p w14:paraId="6B64A273" w14:textId="77777777" w:rsidR="008C379F" w:rsidRDefault="008C379F" w:rsidP="00B64EEF">
      <w:pPr>
        <w:suppressLineNumbers/>
        <w:suppressAutoHyphens/>
        <w:kinsoku w:val="0"/>
        <w:overflowPunct w:val="0"/>
        <w:autoSpaceDE w:val="0"/>
        <w:autoSpaceDN w:val="0"/>
        <w:adjustRightInd w:val="0"/>
        <w:snapToGrid w:val="0"/>
        <w:spacing w:before="120" w:after="120"/>
        <w:ind w:firstLine="709"/>
        <w:rPr>
          <w:snapToGrid w:val="0"/>
          <w:kern w:val="22"/>
        </w:rPr>
      </w:pPr>
      <w:r w:rsidRPr="00117EEC">
        <w:rPr>
          <w:snapToGrid w:val="0"/>
          <w:kern w:val="22"/>
        </w:rPr>
        <w:t>(k)</w:t>
      </w:r>
      <w:r w:rsidRPr="00117EEC">
        <w:rPr>
          <w:snapToGrid w:val="0"/>
          <w:kern w:val="22"/>
        </w:rPr>
        <w:tab/>
        <w:t>To perform such other activities</w:t>
      </w:r>
      <w:r>
        <w:rPr>
          <w:snapToGrid w:val="0"/>
          <w:kern w:val="22"/>
        </w:rPr>
        <w:t xml:space="preserve"> related to science, technology and innovation</w:t>
      </w:r>
      <w:r w:rsidRPr="00117EEC">
        <w:rPr>
          <w:snapToGrid w:val="0"/>
          <w:kern w:val="22"/>
        </w:rPr>
        <w:t xml:space="preserve"> as may be </w:t>
      </w:r>
      <w:r>
        <w:rPr>
          <w:snapToGrid w:val="0"/>
          <w:kern w:val="22"/>
        </w:rPr>
        <w:t>determined by the Conference of the Parties;</w:t>
      </w:r>
    </w:p>
    <w:p w14:paraId="0EB8FAB6" w14:textId="77777777" w:rsidR="008C379F" w:rsidRDefault="008C379F" w:rsidP="00541EA7">
      <w:pPr>
        <w:spacing w:after="160" w:line="259" w:lineRule="auto"/>
        <w:ind w:firstLine="709"/>
      </w:pPr>
      <w:r>
        <w:lastRenderedPageBreak/>
        <w:t xml:space="preserve">27. </w:t>
      </w:r>
      <w:r>
        <w:tab/>
      </w:r>
      <w:r>
        <w:rPr>
          <w:i/>
          <w:iCs/>
        </w:rPr>
        <w:t>D</w:t>
      </w:r>
      <w:r w:rsidRPr="00541EA7">
        <w:rPr>
          <w:i/>
          <w:iCs/>
        </w:rPr>
        <w:t>ecides</w:t>
      </w:r>
      <w:r>
        <w:t xml:space="preserve"> that the modalities for operationalization of the global coordination entity will be developed by the Subsidiary Body on Implementation </w:t>
      </w:r>
      <w:r w:rsidRPr="00FF5959">
        <w:t>for consideration by the Conference of the Parties at its sixteenth meeting, taking into account the core functio</w:t>
      </w:r>
      <w:r>
        <w:t>ns listed below:</w:t>
      </w:r>
    </w:p>
    <w:p w14:paraId="6976BF01" w14:textId="77777777" w:rsidR="008C379F" w:rsidRDefault="008C379F" w:rsidP="00950BE4">
      <w:pPr>
        <w:pStyle w:val="ListParagraph"/>
        <w:numPr>
          <w:ilvl w:val="0"/>
          <w:numId w:val="47"/>
        </w:numPr>
        <w:spacing w:before="120" w:after="120"/>
        <w:ind w:left="0" w:firstLine="709"/>
        <w:contextualSpacing w:val="0"/>
      </w:pPr>
      <w:r>
        <w:t>To facilitate coordination, collaboration and synergies among the regional and/or subregional centres;</w:t>
      </w:r>
    </w:p>
    <w:p w14:paraId="0B8A6D9F" w14:textId="77777777" w:rsidR="008C379F" w:rsidRDefault="008C379F" w:rsidP="00950BE4">
      <w:pPr>
        <w:pStyle w:val="ListParagraph"/>
        <w:numPr>
          <w:ilvl w:val="0"/>
          <w:numId w:val="47"/>
        </w:numPr>
        <w:spacing w:before="120" w:after="120"/>
        <w:ind w:left="0" w:firstLine="709"/>
        <w:contextualSpacing w:val="0"/>
      </w:pPr>
      <w:r>
        <w:t>To facilitate the sharing of experiences and lessons learned among the network members;</w:t>
      </w:r>
    </w:p>
    <w:p w14:paraId="589C2196" w14:textId="77777777" w:rsidR="008C379F" w:rsidRDefault="008C379F" w:rsidP="00950BE4">
      <w:pPr>
        <w:pStyle w:val="ListParagraph"/>
        <w:numPr>
          <w:ilvl w:val="0"/>
          <w:numId w:val="47"/>
        </w:numPr>
        <w:spacing w:before="120" w:after="120"/>
        <w:ind w:left="0" w:firstLine="709"/>
        <w:contextualSpacing w:val="0"/>
      </w:pPr>
      <w:r w:rsidRPr="00F33CB8">
        <w:rPr>
          <w:snapToGrid w:val="0"/>
          <w:color w:val="000000" w:themeColor="text1"/>
          <w:kern w:val="22"/>
        </w:rPr>
        <w:t xml:space="preserve">To </w:t>
      </w:r>
      <w:r>
        <w:rPr>
          <w:snapToGrid w:val="0"/>
          <w:color w:val="000000" w:themeColor="text1"/>
          <w:kern w:val="22"/>
        </w:rPr>
        <w:t xml:space="preserve">coordinate </w:t>
      </w:r>
      <w:r w:rsidRPr="00F33CB8">
        <w:rPr>
          <w:snapToGrid w:val="0"/>
          <w:color w:val="000000" w:themeColor="text1"/>
          <w:kern w:val="22"/>
        </w:rPr>
        <w:t xml:space="preserve">a </w:t>
      </w:r>
      <w:r>
        <w:rPr>
          <w:snapToGrid w:val="0"/>
          <w:color w:val="000000" w:themeColor="text1"/>
          <w:kern w:val="22"/>
        </w:rPr>
        <w:t>standardized</w:t>
      </w:r>
      <w:r w:rsidRPr="00F33CB8">
        <w:rPr>
          <w:snapToGrid w:val="0"/>
          <w:color w:val="000000" w:themeColor="text1"/>
          <w:kern w:val="22"/>
        </w:rPr>
        <w:t xml:space="preserve"> approach in the delivery of </w:t>
      </w:r>
      <w:r w:rsidRPr="006D55AE">
        <w:rPr>
          <w:snapToGrid w:val="0"/>
          <w:color w:val="000000" w:themeColor="text1"/>
          <w:kern w:val="22"/>
        </w:rPr>
        <w:t>support tools;</w:t>
      </w:r>
    </w:p>
    <w:p w14:paraId="78C15380" w14:textId="77777777" w:rsidR="008C379F" w:rsidRDefault="008C379F" w:rsidP="00950BE4">
      <w:pPr>
        <w:pStyle w:val="ListParagraph"/>
        <w:numPr>
          <w:ilvl w:val="0"/>
          <w:numId w:val="47"/>
        </w:numPr>
        <w:spacing w:before="120" w:after="120"/>
        <w:ind w:left="0" w:firstLine="709"/>
        <w:contextualSpacing w:val="0"/>
      </w:pPr>
      <w:r>
        <w:t>To mobilize additional resources for the technical and scientific cooperation programmes of the regional and/or subregional centres;</w:t>
      </w:r>
    </w:p>
    <w:p w14:paraId="2BAD57CD" w14:textId="77777777" w:rsidR="008C379F" w:rsidRPr="008B5990" w:rsidRDefault="008C379F" w:rsidP="00950BE4">
      <w:pPr>
        <w:pStyle w:val="ListParagraph"/>
        <w:numPr>
          <w:ilvl w:val="0"/>
          <w:numId w:val="47"/>
        </w:numPr>
        <w:spacing w:before="120" w:after="120"/>
        <w:ind w:left="0" w:firstLine="709"/>
        <w:contextualSpacing w:val="0"/>
        <w:rPr>
          <w:szCs w:val="22"/>
        </w:rPr>
      </w:pPr>
      <w:r>
        <w:rPr>
          <w:rFonts w:asciiTheme="majorBidi" w:hAnsiTheme="majorBidi" w:cstheme="majorBidi"/>
          <w:kern w:val="22"/>
          <w:szCs w:val="22"/>
        </w:rPr>
        <w:t>To o</w:t>
      </w:r>
      <w:r w:rsidRPr="008B5990">
        <w:rPr>
          <w:rFonts w:asciiTheme="majorBidi" w:hAnsiTheme="majorBidi" w:cstheme="majorBidi"/>
          <w:kern w:val="22"/>
          <w:szCs w:val="22"/>
        </w:rPr>
        <w:t xml:space="preserve">perate a global helpdesk to provide </w:t>
      </w:r>
      <w:r>
        <w:rPr>
          <w:rFonts w:asciiTheme="majorBidi" w:hAnsiTheme="majorBidi" w:cstheme="majorBidi"/>
          <w:kern w:val="22"/>
          <w:szCs w:val="22"/>
        </w:rPr>
        <w:t xml:space="preserve">information, advice and technical support </w:t>
      </w:r>
      <w:r w:rsidRPr="008B5990">
        <w:rPr>
          <w:rFonts w:asciiTheme="majorBidi" w:hAnsiTheme="majorBidi" w:cstheme="majorBidi"/>
          <w:kern w:val="22"/>
          <w:szCs w:val="22"/>
        </w:rPr>
        <w:t xml:space="preserve">at the request of the regional </w:t>
      </w:r>
      <w:r>
        <w:rPr>
          <w:rFonts w:asciiTheme="majorBidi" w:hAnsiTheme="majorBidi" w:cstheme="majorBidi"/>
          <w:kern w:val="22"/>
          <w:szCs w:val="22"/>
        </w:rPr>
        <w:t xml:space="preserve">and/or subregional </w:t>
      </w:r>
      <w:r w:rsidRPr="008B5990">
        <w:rPr>
          <w:rFonts w:asciiTheme="majorBidi" w:hAnsiTheme="majorBidi" w:cstheme="majorBidi"/>
          <w:kern w:val="22"/>
          <w:szCs w:val="22"/>
        </w:rPr>
        <w:t>centres</w:t>
      </w:r>
      <w:r>
        <w:rPr>
          <w:rFonts w:asciiTheme="majorBidi" w:hAnsiTheme="majorBidi" w:cstheme="majorBidi"/>
          <w:kern w:val="22"/>
          <w:szCs w:val="22"/>
        </w:rPr>
        <w:t>;</w:t>
      </w:r>
    </w:p>
    <w:p w14:paraId="340E2884" w14:textId="77777777" w:rsidR="008C379F" w:rsidRPr="003130BA" w:rsidRDefault="008C379F" w:rsidP="00950BE4">
      <w:pPr>
        <w:pStyle w:val="ListParagraph"/>
        <w:numPr>
          <w:ilvl w:val="0"/>
          <w:numId w:val="47"/>
        </w:numPr>
        <w:spacing w:before="120" w:after="120"/>
        <w:ind w:left="0" w:firstLine="709"/>
        <w:contextualSpacing w:val="0"/>
        <w:rPr>
          <w:szCs w:val="22"/>
        </w:rPr>
      </w:pPr>
      <w:r>
        <w:rPr>
          <w:rFonts w:asciiTheme="majorBidi" w:hAnsiTheme="majorBidi" w:cstheme="majorBidi"/>
          <w:kern w:val="22"/>
          <w:szCs w:val="22"/>
        </w:rPr>
        <w:t>To e</w:t>
      </w:r>
      <w:r w:rsidRPr="008B5990">
        <w:rPr>
          <w:rFonts w:asciiTheme="majorBidi" w:hAnsiTheme="majorBidi" w:cstheme="majorBidi"/>
          <w:kern w:val="22"/>
          <w:szCs w:val="22"/>
        </w:rPr>
        <w:t xml:space="preserve">nsure balance and equity among </w:t>
      </w:r>
      <w:r w:rsidRPr="003130BA">
        <w:rPr>
          <w:rFonts w:asciiTheme="majorBidi" w:hAnsiTheme="majorBidi" w:cstheme="majorBidi"/>
          <w:kern w:val="22"/>
          <w:szCs w:val="22"/>
        </w:rPr>
        <w:t xml:space="preserve">regions while implementing the technical and scientific cooperation mechanism’s mandate to facilitate access to information on opportunities for technical and scientific cooperation; </w:t>
      </w:r>
    </w:p>
    <w:p w14:paraId="1E353003" w14:textId="77777777" w:rsidR="008C379F" w:rsidRPr="003130BA" w:rsidRDefault="008C379F" w:rsidP="00981752">
      <w:pPr>
        <w:spacing w:before="120" w:after="120"/>
        <w:ind w:firstLine="709"/>
        <w:rPr>
          <w:szCs w:val="22"/>
        </w:rPr>
      </w:pPr>
      <w:r w:rsidRPr="003130BA">
        <w:rPr>
          <w:rFonts w:asciiTheme="majorBidi" w:hAnsiTheme="majorBidi" w:cstheme="majorBidi"/>
          <w:kern w:val="22"/>
          <w:szCs w:val="22"/>
        </w:rPr>
        <w:t>(g)</w:t>
      </w:r>
      <w:r w:rsidRPr="003130BA">
        <w:rPr>
          <w:rFonts w:asciiTheme="majorBidi" w:hAnsiTheme="majorBidi" w:cstheme="majorBidi"/>
          <w:kern w:val="22"/>
          <w:szCs w:val="22"/>
        </w:rPr>
        <w:tab/>
        <w:t xml:space="preserve">To support the regional and/or subregional centres to align their work with the Kunming-Montreal Global Biodiversity Framework and the implementation of the Convention; </w:t>
      </w:r>
    </w:p>
    <w:p w14:paraId="797FB7AE" w14:textId="77777777" w:rsidR="008C379F" w:rsidRPr="003130BA" w:rsidRDefault="008C379F" w:rsidP="00950BE4">
      <w:pPr>
        <w:pStyle w:val="ListParagraph"/>
        <w:numPr>
          <w:ilvl w:val="0"/>
          <w:numId w:val="48"/>
        </w:numPr>
        <w:spacing w:before="120" w:after="120"/>
        <w:ind w:left="0" w:firstLine="709"/>
        <w:rPr>
          <w:snapToGrid w:val="0"/>
          <w:kern w:val="22"/>
        </w:rPr>
      </w:pPr>
      <w:r w:rsidRPr="003130BA">
        <w:t>To assist the regional and/or subregional centres in the reporting of their work for the consideration of the Conference of the Parties</w:t>
      </w:r>
      <w:r>
        <w:t>;</w:t>
      </w:r>
      <w:r w:rsidRPr="003130BA">
        <w:t xml:space="preserve"> </w:t>
      </w:r>
    </w:p>
    <w:p w14:paraId="33B69130" w14:textId="77777777" w:rsidR="008C379F" w:rsidRPr="00117EEC" w:rsidRDefault="008C379F" w:rsidP="00541EA7">
      <w:pPr>
        <w:pStyle w:val="Para1"/>
        <w:numPr>
          <w:ilvl w:val="0"/>
          <w:numId w:val="0"/>
        </w:numPr>
        <w:suppressLineNumbers/>
        <w:suppressAutoHyphens/>
        <w:kinsoku w:val="0"/>
        <w:adjustRightInd w:val="0"/>
        <w:ind w:firstLine="720"/>
        <w:rPr>
          <w:rFonts w:eastAsiaTheme="minorEastAsia"/>
          <w:snapToGrid/>
        </w:rPr>
      </w:pPr>
      <w:r w:rsidRPr="003130BA">
        <w:t>28.</w:t>
      </w:r>
      <w:r w:rsidRPr="003130BA">
        <w:rPr>
          <w:i/>
          <w:iCs/>
        </w:rPr>
        <w:tab/>
        <w:t>Also decides</w:t>
      </w:r>
      <w:r w:rsidRPr="003130BA">
        <w:t xml:space="preserve"> in the interim to strengthen and scale up the Bio</w:t>
      </w:r>
      <w:r w:rsidRPr="00821632">
        <w:t>-Bridge Initiative for the coming biennium, subject to the a</w:t>
      </w:r>
      <w:r w:rsidRPr="00631432">
        <w:t>vailab</w:t>
      </w:r>
      <w:r>
        <w:t>ility of</w:t>
      </w:r>
      <w:r w:rsidRPr="00631432">
        <w:t xml:space="preserve"> resources</w:t>
      </w:r>
      <w:r>
        <w:t>,</w:t>
      </w:r>
      <w:r w:rsidRPr="00FF333C">
        <w:t xml:space="preserve"> </w:t>
      </w:r>
      <w:r w:rsidRPr="00631432">
        <w:t>taking into account the results of the terminal evaluation of phase I of the Initiative, and</w:t>
      </w:r>
      <w:r w:rsidRPr="00631432">
        <w:rPr>
          <w:i/>
          <w:iCs/>
        </w:rPr>
        <w:t xml:space="preserve"> </w:t>
      </w:r>
      <w:r w:rsidRPr="004D32B6">
        <w:t>urges</w:t>
      </w:r>
      <w:r w:rsidRPr="00631432">
        <w:t xml:space="preserve"> Parties, other Governments, relevant organizations and other stakeholders to scale up financial, technical and human resources to further promote technical and scientific cooperation and technology transfer in support of the </w:t>
      </w:r>
      <w:r>
        <w:t>Kunming-Montreal G</w:t>
      </w:r>
      <w:r w:rsidRPr="00631432">
        <w:t xml:space="preserve">lobal </w:t>
      </w:r>
      <w:r>
        <w:t>B</w:t>
      </w:r>
      <w:r w:rsidRPr="00631432">
        <w:t xml:space="preserve">iodiversity </w:t>
      </w:r>
      <w:r>
        <w:t>F</w:t>
      </w:r>
      <w:r w:rsidRPr="00631432">
        <w:t>ramework, at the global, national, regional, and subregional levels</w:t>
      </w:r>
      <w:r>
        <w:t>;</w:t>
      </w:r>
    </w:p>
    <w:p w14:paraId="7DECA564" w14:textId="77777777" w:rsidR="008C379F" w:rsidRDefault="008C379F" w:rsidP="003E6308">
      <w:pPr>
        <w:pStyle w:val="Para1"/>
        <w:numPr>
          <w:ilvl w:val="0"/>
          <w:numId w:val="0"/>
        </w:numPr>
        <w:suppressLineNumbers/>
        <w:suppressAutoHyphens/>
        <w:kinsoku w:val="0"/>
        <w:adjustRightInd w:val="0"/>
        <w:ind w:firstLine="720"/>
      </w:pPr>
      <w:r>
        <w:t>29</w:t>
      </w:r>
      <w:r w:rsidRPr="00117EEC">
        <w:t>.</w:t>
      </w:r>
      <w:r w:rsidRPr="00117EEC">
        <w:tab/>
      </w:r>
      <w:r w:rsidRPr="00117EEC">
        <w:rPr>
          <w:i/>
          <w:iCs/>
        </w:rPr>
        <w:t>Invites</w:t>
      </w:r>
      <w:r w:rsidRPr="00117EEC">
        <w:t xml:space="preserve"> the Global Environment Facility to support eligible activities of the regional </w:t>
      </w:r>
      <w:r>
        <w:t xml:space="preserve">and/or subregional technical and scientific cooperation </w:t>
      </w:r>
      <w:r w:rsidRPr="00117EEC">
        <w:t xml:space="preserve">support centres </w:t>
      </w:r>
      <w:r>
        <w:t xml:space="preserve">and the global coordination entity </w:t>
      </w:r>
      <w:r w:rsidRPr="00117EEC">
        <w:t xml:space="preserve">contributing to technical and scientific </w:t>
      </w:r>
      <w:r>
        <w:t>cooperation, technology transfer, and capacity-building and development</w:t>
      </w:r>
      <w:r w:rsidRPr="00117EEC">
        <w:t xml:space="preserve"> at global, regional</w:t>
      </w:r>
      <w:r>
        <w:t>, subregional</w:t>
      </w:r>
      <w:r w:rsidRPr="00117EEC">
        <w:t xml:space="preserve"> and national levels, as appropriate</w:t>
      </w:r>
      <w:r>
        <w:t>;</w:t>
      </w:r>
    </w:p>
    <w:p w14:paraId="7A91EE0D" w14:textId="77777777" w:rsidR="008C379F" w:rsidRDefault="008C379F" w:rsidP="006E130E">
      <w:pPr>
        <w:pStyle w:val="Para1"/>
        <w:numPr>
          <w:ilvl w:val="0"/>
          <w:numId w:val="0"/>
        </w:numPr>
        <w:suppressLineNumbers/>
        <w:suppressAutoHyphens/>
        <w:kinsoku w:val="0"/>
        <w:adjustRightInd w:val="0"/>
        <w:ind w:firstLine="720"/>
      </w:pPr>
      <w:r>
        <w:t>30.</w:t>
      </w:r>
      <w:r>
        <w:tab/>
      </w:r>
      <w:r w:rsidRPr="00541EA7">
        <w:rPr>
          <w:i/>
          <w:iCs/>
        </w:rPr>
        <w:t>Urges</w:t>
      </w:r>
      <w:r>
        <w:t xml:space="preserve"> Parties, in accordance with Articles 20 and 21, and </w:t>
      </w:r>
      <w:r w:rsidRPr="004D32B6">
        <w:t>invites</w:t>
      </w:r>
      <w:r>
        <w:t xml:space="preserve"> other Governments, relevant organizations and other stakeholders to provide financial and technical support to the regional and/or subregional support centres and to the global coordination entity referred to in </w:t>
      </w:r>
      <w:r w:rsidRPr="00ED71B5">
        <w:t>paragraph 25 of the</w:t>
      </w:r>
      <w:r>
        <w:t xml:space="preserve"> present decision; </w:t>
      </w:r>
    </w:p>
    <w:p w14:paraId="4B666B53" w14:textId="77777777" w:rsidR="008C379F" w:rsidRPr="00117EEC" w:rsidRDefault="008C379F" w:rsidP="006E130E">
      <w:pPr>
        <w:pStyle w:val="Para1"/>
        <w:numPr>
          <w:ilvl w:val="0"/>
          <w:numId w:val="0"/>
        </w:numPr>
        <w:suppressLineNumbers/>
        <w:suppressAutoHyphens/>
        <w:kinsoku w:val="0"/>
        <w:adjustRightInd w:val="0"/>
        <w:ind w:firstLine="720"/>
        <w:rPr>
          <w:rFonts w:eastAsiaTheme="minorEastAsia"/>
        </w:rPr>
      </w:pPr>
      <w:r>
        <w:t>31.</w:t>
      </w:r>
      <w:r>
        <w:tab/>
      </w:r>
      <w:r w:rsidRPr="00541EA7">
        <w:rPr>
          <w:i/>
          <w:iCs/>
        </w:rPr>
        <w:t>Requests</w:t>
      </w:r>
      <w:r>
        <w:t xml:space="preserve"> </w:t>
      </w:r>
      <w:r w:rsidRPr="00FA301D">
        <w:t xml:space="preserve">the </w:t>
      </w:r>
      <w:r>
        <w:t>I</w:t>
      </w:r>
      <w:r w:rsidRPr="00FA301D">
        <w:t xml:space="preserve">nformal </w:t>
      </w:r>
      <w:r>
        <w:t>A</w:t>
      </w:r>
      <w:r w:rsidRPr="00FA301D">
        <w:t xml:space="preserve">dvisory </w:t>
      </w:r>
      <w:r>
        <w:t>G</w:t>
      </w:r>
      <w:r w:rsidRPr="00FA301D">
        <w:t xml:space="preserve">roup </w:t>
      </w:r>
      <w:r>
        <w:t xml:space="preserve">on Technical and Scientific Cooperation </w:t>
      </w:r>
      <w:r w:rsidRPr="00FA301D">
        <w:t xml:space="preserve">established pursuant to paragraph 24 of the present decision to prepare recommendations on how to monitor progress against the long-term strategic framework for capacity-building and development and </w:t>
      </w:r>
      <w:r w:rsidRPr="004D32B6">
        <w:t xml:space="preserve">the mechanism to strengthen </w:t>
      </w:r>
      <w:r w:rsidRPr="00FA301D">
        <w:t>technical and scientific cooperation</w:t>
      </w:r>
      <w:r w:rsidRPr="005B2311">
        <w:t xml:space="preserve"> for consideration by the Subsidiary Body on Implementation at its fourth meeting</w:t>
      </w:r>
      <w:r>
        <w:t>,</w:t>
      </w:r>
      <w:r w:rsidRPr="005B2311">
        <w:t xml:space="preserve"> with the aim of informing the periodic </w:t>
      </w:r>
      <w:r w:rsidRPr="003130BA">
        <w:t>review, update an</w:t>
      </w:r>
      <w:r w:rsidRPr="00C760AD">
        <w:t xml:space="preserve">d </w:t>
      </w:r>
      <w:r w:rsidRPr="005B2311">
        <w:t>enhancement of the technical and scientific cooperation mechanism</w:t>
      </w:r>
      <w:r>
        <w:t>;</w:t>
      </w:r>
    </w:p>
    <w:p w14:paraId="333019B5" w14:textId="77777777" w:rsidR="008C379F" w:rsidRPr="00117EEC" w:rsidRDefault="008C379F" w:rsidP="00A30041">
      <w:pPr>
        <w:pStyle w:val="Para1"/>
        <w:numPr>
          <w:ilvl w:val="0"/>
          <w:numId w:val="0"/>
        </w:numPr>
        <w:suppressLineNumbers/>
        <w:tabs>
          <w:tab w:val="left" w:pos="1418"/>
        </w:tabs>
        <w:suppressAutoHyphens/>
        <w:kinsoku w:val="0"/>
        <w:adjustRightInd w:val="0"/>
        <w:ind w:firstLine="720"/>
        <w:rPr>
          <w:rFonts w:eastAsiaTheme="minorEastAsia"/>
        </w:rPr>
      </w:pPr>
      <w:r>
        <w:t>32</w:t>
      </w:r>
      <w:r w:rsidRPr="00117EEC">
        <w:t>.</w:t>
      </w:r>
      <w:r w:rsidRPr="00117EEC">
        <w:tab/>
      </w:r>
      <w:r w:rsidRPr="00117EEC">
        <w:rPr>
          <w:i/>
          <w:iCs/>
        </w:rPr>
        <w:t>Requests</w:t>
      </w:r>
      <w:r w:rsidRPr="00117EEC">
        <w:t xml:space="preserve"> the Executive Secretary, subject to the availability of resources:</w:t>
      </w:r>
    </w:p>
    <w:p w14:paraId="57570454" w14:textId="77777777" w:rsidR="008C379F" w:rsidRPr="00FB1E1B" w:rsidRDefault="008C379F" w:rsidP="00A30041">
      <w:pPr>
        <w:suppressLineNumbers/>
        <w:tabs>
          <w:tab w:val="left" w:pos="1418"/>
        </w:tabs>
        <w:suppressAutoHyphens/>
        <w:kinsoku w:val="0"/>
        <w:overflowPunct w:val="0"/>
        <w:autoSpaceDE w:val="0"/>
        <w:autoSpaceDN w:val="0"/>
        <w:adjustRightInd w:val="0"/>
        <w:snapToGrid w:val="0"/>
        <w:spacing w:after="120"/>
        <w:ind w:firstLine="720"/>
        <w:rPr>
          <w:snapToGrid w:val="0"/>
          <w:color w:val="000000" w:themeColor="text1"/>
          <w:kern w:val="22"/>
        </w:rPr>
      </w:pPr>
      <w:r w:rsidRPr="00117EEC">
        <w:rPr>
          <w:snapToGrid w:val="0"/>
          <w:kern w:val="22"/>
        </w:rPr>
        <w:t>(a)</w:t>
      </w:r>
      <w:r w:rsidRPr="00117EEC">
        <w:rPr>
          <w:snapToGrid w:val="0"/>
          <w:kern w:val="22"/>
        </w:rPr>
        <w:tab/>
        <w:t xml:space="preserve">To further promote and facilitate </w:t>
      </w:r>
      <w:r w:rsidRPr="00117EEC">
        <w:rPr>
          <w:snapToGrid w:val="0"/>
          <w:color w:val="000000" w:themeColor="text1"/>
          <w:kern w:val="22"/>
        </w:rPr>
        <w:t xml:space="preserve">technical and scientific cooperation in support of the </w:t>
      </w:r>
      <w:r>
        <w:rPr>
          <w:snapToGrid w:val="0"/>
          <w:color w:val="000000" w:themeColor="text1"/>
          <w:kern w:val="22"/>
        </w:rPr>
        <w:t>Kunming-Montreal G</w:t>
      </w:r>
      <w:r w:rsidRPr="00117EEC">
        <w:rPr>
          <w:snapToGrid w:val="0"/>
          <w:color w:val="000000" w:themeColor="text1"/>
          <w:kern w:val="22"/>
        </w:rPr>
        <w:t xml:space="preserve">lobal </w:t>
      </w:r>
      <w:r>
        <w:rPr>
          <w:snapToGrid w:val="0"/>
          <w:color w:val="000000" w:themeColor="text1"/>
          <w:kern w:val="22"/>
        </w:rPr>
        <w:t>B</w:t>
      </w:r>
      <w:r w:rsidRPr="00117EEC">
        <w:rPr>
          <w:snapToGrid w:val="0"/>
          <w:color w:val="000000" w:themeColor="text1"/>
          <w:kern w:val="22"/>
        </w:rPr>
        <w:t xml:space="preserve">iodiversity </w:t>
      </w:r>
      <w:r>
        <w:rPr>
          <w:snapToGrid w:val="0"/>
          <w:color w:val="000000" w:themeColor="text1"/>
          <w:kern w:val="22"/>
        </w:rPr>
        <w:t>F</w:t>
      </w:r>
      <w:r w:rsidRPr="00117EEC">
        <w:rPr>
          <w:snapToGrid w:val="0"/>
          <w:color w:val="000000" w:themeColor="text1"/>
          <w:kern w:val="22"/>
        </w:rPr>
        <w:t>ramework, in collaboration with Parties, relevant partners,</w:t>
      </w:r>
      <w:r w:rsidRPr="00FB1E1B">
        <w:rPr>
          <w:snapToGrid w:val="0"/>
          <w:color w:val="000000" w:themeColor="text1"/>
          <w:kern w:val="22"/>
        </w:rPr>
        <w:t xml:space="preserve"> </w:t>
      </w:r>
      <w:r>
        <w:rPr>
          <w:snapToGrid w:val="0"/>
          <w:color w:val="000000" w:themeColor="text1"/>
          <w:kern w:val="22"/>
        </w:rPr>
        <w:t xml:space="preserve">the </w:t>
      </w:r>
      <w:r w:rsidRPr="00FB1E1B">
        <w:rPr>
          <w:snapToGrid w:val="0"/>
          <w:color w:val="000000" w:themeColor="text1"/>
          <w:kern w:val="22"/>
        </w:rPr>
        <w:t xml:space="preserve">regional </w:t>
      </w:r>
      <w:r>
        <w:rPr>
          <w:snapToGrid w:val="0"/>
          <w:color w:val="000000" w:themeColor="text1"/>
          <w:kern w:val="22"/>
        </w:rPr>
        <w:t xml:space="preserve">and/or subregional </w:t>
      </w:r>
      <w:r w:rsidRPr="00FB1E1B">
        <w:rPr>
          <w:snapToGrid w:val="0"/>
          <w:color w:val="000000" w:themeColor="text1"/>
          <w:kern w:val="22"/>
        </w:rPr>
        <w:t>support centres</w:t>
      </w:r>
      <w:r>
        <w:rPr>
          <w:snapToGrid w:val="0"/>
          <w:color w:val="000000" w:themeColor="text1"/>
          <w:kern w:val="22"/>
        </w:rPr>
        <w:t xml:space="preserve"> and the </w:t>
      </w:r>
      <w:bookmarkStart w:id="70" w:name="_Hlk121830480"/>
      <w:r>
        <w:rPr>
          <w:snapToGrid w:val="0"/>
          <w:color w:val="000000" w:themeColor="text1"/>
          <w:kern w:val="22"/>
        </w:rPr>
        <w:t>global coordination entity</w:t>
      </w:r>
      <w:bookmarkEnd w:id="70"/>
      <w:r w:rsidRPr="00FB1E1B">
        <w:rPr>
          <w:snapToGrid w:val="0"/>
          <w:color w:val="000000" w:themeColor="text1"/>
          <w:kern w:val="22"/>
        </w:rPr>
        <w:t>, other organizations and indigenous peoples and local communities;</w:t>
      </w:r>
    </w:p>
    <w:p w14:paraId="404DE09C" w14:textId="77777777" w:rsidR="008C379F" w:rsidRPr="0097097E" w:rsidRDefault="008C379F" w:rsidP="00541EA7">
      <w:pPr>
        <w:suppressLineNumbers/>
        <w:tabs>
          <w:tab w:val="left" w:pos="709"/>
        </w:tabs>
        <w:suppressAutoHyphens/>
        <w:kinsoku w:val="0"/>
        <w:overflowPunct w:val="0"/>
        <w:autoSpaceDE w:val="0"/>
        <w:autoSpaceDN w:val="0"/>
        <w:adjustRightInd w:val="0"/>
        <w:snapToGrid w:val="0"/>
        <w:spacing w:before="120" w:after="120"/>
        <w:rPr>
          <w:snapToGrid w:val="0"/>
          <w:color w:val="000000" w:themeColor="text1"/>
          <w:kern w:val="22"/>
        </w:rPr>
      </w:pPr>
      <w:r w:rsidRPr="00FB1E1B">
        <w:rPr>
          <w:snapToGrid w:val="0"/>
          <w:color w:val="000000" w:themeColor="text1"/>
          <w:kern w:val="22"/>
        </w:rPr>
        <w:lastRenderedPageBreak/>
        <w:tab/>
        <w:t>(</w:t>
      </w:r>
      <w:r w:rsidRPr="00B64EEF">
        <w:rPr>
          <w:snapToGrid w:val="0"/>
          <w:color w:val="000000" w:themeColor="text1"/>
          <w:kern w:val="22"/>
        </w:rPr>
        <w:t>b)</w:t>
      </w:r>
      <w:r w:rsidRPr="0097097E">
        <w:rPr>
          <w:snapToGrid w:val="0"/>
          <w:color w:val="000000" w:themeColor="text1"/>
          <w:kern w:val="22"/>
        </w:rPr>
        <w:tab/>
        <w:t>In consultation with the Bureau of the Conference of the Parties, to implement and support the following process and modalities for selecting entities and organizations to host the regional and/or subregional support centres to promote and facilitate technical and scientific cooperation, as appropriate:</w:t>
      </w:r>
    </w:p>
    <w:p w14:paraId="06AE8F33" w14:textId="77777777" w:rsidR="008C379F" w:rsidRPr="0097097E" w:rsidRDefault="008C379F"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(i) </w:t>
      </w:r>
      <w:r w:rsidRPr="0097097E">
        <w:rPr>
          <w:rFonts w:asciiTheme="majorBidi" w:hAnsiTheme="majorBidi" w:cstheme="majorBidi"/>
          <w:snapToGrid w:val="0"/>
          <w:kern w:val="22"/>
          <w:lang w:val="en-CA"/>
        </w:rPr>
        <w:tab/>
        <w:t xml:space="preserve">Issue a notification to all Parties inviting entities and organizations that meet the selection criteria </w:t>
      </w:r>
      <w:r w:rsidRPr="00B87DE8">
        <w:rPr>
          <w:rFonts w:asciiTheme="majorBidi" w:hAnsiTheme="majorBidi" w:cstheme="majorBidi"/>
          <w:snapToGrid w:val="0"/>
          <w:kern w:val="22"/>
          <w:lang w:val="en-CA"/>
        </w:rPr>
        <w:t>mentioned in paragraph 4 of annex II to the present decision and wish to host regional and/or subregional technical and scientific cooperation support centres to submit expressions of interest</w:t>
      </w:r>
      <w:r w:rsidRPr="0097097E">
        <w:rPr>
          <w:rFonts w:asciiTheme="majorBidi" w:hAnsiTheme="majorBidi" w:cstheme="majorBidi"/>
          <w:snapToGrid w:val="0"/>
          <w:kern w:val="22"/>
          <w:lang w:val="en-CA"/>
        </w:rPr>
        <w:t xml:space="preserve"> and a detailed proposal of their offer</w:t>
      </w:r>
      <w:r w:rsidRPr="0097097E">
        <w:rPr>
          <w:rFonts w:asciiTheme="majorBidi" w:hAnsiTheme="majorBidi" w:cstheme="majorBidi"/>
          <w:snapToGrid w:val="0"/>
          <w:kern w:val="22"/>
          <w:szCs w:val="22"/>
          <w:lang w:val="en-CA"/>
        </w:rPr>
        <w:t>;</w:t>
      </w:r>
    </w:p>
    <w:p w14:paraId="71B858CA" w14:textId="77777777" w:rsidR="008C379F" w:rsidRPr="0097097E" w:rsidRDefault="008C379F"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(ii) </w:t>
      </w:r>
      <w:r w:rsidRPr="0097097E">
        <w:rPr>
          <w:rFonts w:asciiTheme="majorBidi" w:hAnsiTheme="majorBidi" w:cstheme="majorBidi"/>
          <w:snapToGrid w:val="0"/>
          <w:kern w:val="22"/>
          <w:lang w:val="en-CA"/>
        </w:rPr>
        <w:tab/>
        <w:t>Provide responses to any inquiries or points of clarification from interested entities and organizations, as appropriate</w:t>
      </w:r>
      <w:r w:rsidRPr="0097097E">
        <w:rPr>
          <w:rFonts w:asciiTheme="majorBidi" w:hAnsiTheme="majorBidi" w:cstheme="majorBidi"/>
          <w:snapToGrid w:val="0"/>
          <w:kern w:val="22"/>
          <w:szCs w:val="22"/>
          <w:lang w:val="en-CA"/>
        </w:rPr>
        <w:t>;</w:t>
      </w:r>
    </w:p>
    <w:p w14:paraId="48331F3D" w14:textId="77777777" w:rsidR="008C379F" w:rsidRPr="0097097E" w:rsidRDefault="008C379F"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szCs w:val="22"/>
          <w:lang w:val="en-CA"/>
        </w:rPr>
        <w:t xml:space="preserve">(iii) </w:t>
      </w:r>
      <w:r>
        <w:rPr>
          <w:rFonts w:asciiTheme="majorBidi" w:hAnsiTheme="majorBidi" w:cstheme="majorBidi"/>
          <w:snapToGrid w:val="0"/>
          <w:kern w:val="22"/>
          <w:szCs w:val="22"/>
          <w:lang w:val="en-CA"/>
        </w:rPr>
        <w:tab/>
      </w:r>
      <w:r w:rsidRPr="0097097E">
        <w:rPr>
          <w:rFonts w:asciiTheme="majorBidi" w:hAnsiTheme="majorBidi" w:cstheme="majorBidi"/>
          <w:snapToGrid w:val="0"/>
          <w:kern w:val="22"/>
          <w:szCs w:val="22"/>
          <w:lang w:val="en-CA"/>
        </w:rPr>
        <w:t>Prepare an assessment report, with a ranked shortlist of up to three entities and organizations per (sub)region, also providing information on how the selection criteria were applied;</w:t>
      </w:r>
    </w:p>
    <w:p w14:paraId="6C4249B0" w14:textId="77777777" w:rsidR="008C379F" w:rsidRPr="0097097E" w:rsidRDefault="008C379F"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n-CA"/>
        </w:rPr>
      </w:pPr>
      <w:r w:rsidRPr="0097097E">
        <w:rPr>
          <w:rFonts w:asciiTheme="majorBidi" w:hAnsiTheme="majorBidi" w:cstheme="majorBidi"/>
          <w:snapToGrid w:val="0"/>
          <w:kern w:val="22"/>
          <w:lang w:val="en-CA"/>
        </w:rPr>
        <w:t xml:space="preserve">(iv) </w:t>
      </w:r>
      <w:r w:rsidRPr="0097097E">
        <w:rPr>
          <w:rFonts w:asciiTheme="majorBidi" w:hAnsiTheme="majorBidi" w:cstheme="majorBidi"/>
          <w:snapToGrid w:val="0"/>
          <w:kern w:val="22"/>
          <w:lang w:val="en-CA"/>
        </w:rPr>
        <w:tab/>
        <w:t xml:space="preserve">Convene a meeting of the </w:t>
      </w:r>
      <w:r>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r>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 xml:space="preserve">roup on </w:t>
      </w:r>
      <w:r>
        <w:rPr>
          <w:rFonts w:asciiTheme="majorBidi" w:hAnsiTheme="majorBidi" w:cstheme="majorBidi"/>
          <w:snapToGrid w:val="0"/>
          <w:kern w:val="22"/>
          <w:lang w:val="en-CA"/>
        </w:rPr>
        <w:t>T</w:t>
      </w:r>
      <w:r w:rsidRPr="0097097E">
        <w:rPr>
          <w:rFonts w:asciiTheme="majorBidi" w:hAnsiTheme="majorBidi" w:cstheme="majorBidi"/>
          <w:snapToGrid w:val="0"/>
          <w:kern w:val="22"/>
          <w:lang w:val="en-CA"/>
        </w:rPr>
        <w:t xml:space="preserve">echnical and </w:t>
      </w:r>
      <w:r>
        <w:rPr>
          <w:rFonts w:asciiTheme="majorBidi" w:hAnsiTheme="majorBidi" w:cstheme="majorBidi"/>
          <w:snapToGrid w:val="0"/>
          <w:kern w:val="22"/>
          <w:lang w:val="en-CA"/>
        </w:rPr>
        <w:t>S</w:t>
      </w:r>
      <w:r w:rsidRPr="0097097E">
        <w:rPr>
          <w:rFonts w:asciiTheme="majorBidi" w:hAnsiTheme="majorBidi" w:cstheme="majorBidi"/>
          <w:snapToGrid w:val="0"/>
          <w:kern w:val="22"/>
          <w:lang w:val="en-CA"/>
        </w:rPr>
        <w:t xml:space="preserve">cientific </w:t>
      </w:r>
      <w:r>
        <w:rPr>
          <w:rFonts w:asciiTheme="majorBidi" w:hAnsiTheme="majorBidi" w:cstheme="majorBidi"/>
          <w:snapToGrid w:val="0"/>
          <w:kern w:val="22"/>
          <w:lang w:val="en-CA"/>
        </w:rPr>
        <w:t>C</w:t>
      </w:r>
      <w:r w:rsidRPr="0097097E">
        <w:rPr>
          <w:rFonts w:asciiTheme="majorBidi" w:hAnsiTheme="majorBidi" w:cstheme="majorBidi"/>
          <w:snapToGrid w:val="0"/>
          <w:kern w:val="22"/>
          <w:lang w:val="en-CA"/>
        </w:rPr>
        <w:t>ooperation to consider the top shortlisted candidates and provide advice on the most suitable entity(ies) and organization(s)</w:t>
      </w:r>
      <w:r>
        <w:rPr>
          <w:rFonts w:asciiTheme="majorBidi" w:hAnsiTheme="majorBidi" w:cstheme="majorBidi"/>
          <w:snapToGrid w:val="0"/>
          <w:kern w:val="22"/>
          <w:lang w:val="en-CA"/>
        </w:rPr>
        <w:t xml:space="preserve"> and the number of centres required</w:t>
      </w:r>
      <w:r w:rsidRPr="0097097E">
        <w:rPr>
          <w:rFonts w:asciiTheme="majorBidi" w:hAnsiTheme="majorBidi" w:cstheme="majorBidi"/>
          <w:snapToGrid w:val="0"/>
          <w:kern w:val="22"/>
          <w:lang w:val="en-CA"/>
        </w:rPr>
        <w:t xml:space="preserve">; </w:t>
      </w:r>
    </w:p>
    <w:p w14:paraId="4611DFAC" w14:textId="77777777" w:rsidR="008C379F" w:rsidRPr="0097097E" w:rsidRDefault="008C379F"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n-CA"/>
        </w:rPr>
      </w:pPr>
      <w:r w:rsidRPr="0097097E">
        <w:rPr>
          <w:rFonts w:asciiTheme="majorBidi" w:hAnsiTheme="majorBidi" w:cstheme="majorBidi"/>
          <w:snapToGrid w:val="0"/>
          <w:kern w:val="22"/>
          <w:lang w:val="en-CA"/>
        </w:rPr>
        <w:t xml:space="preserve">(v) </w:t>
      </w:r>
      <w:r w:rsidRPr="0097097E">
        <w:rPr>
          <w:rFonts w:asciiTheme="majorBidi" w:hAnsiTheme="majorBidi" w:cstheme="majorBidi"/>
          <w:snapToGrid w:val="0"/>
          <w:kern w:val="22"/>
          <w:lang w:val="en-CA"/>
        </w:rPr>
        <w:tab/>
        <w:t xml:space="preserve">Invite Parties to submit views on the assessment and the report of the </w:t>
      </w:r>
      <w:r>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r>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roup;</w:t>
      </w:r>
    </w:p>
    <w:p w14:paraId="36BE9157" w14:textId="77777777" w:rsidR="008C379F" w:rsidRPr="0097097E" w:rsidRDefault="008C379F"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szCs w:val="22"/>
          <w:lang w:val="en-CA"/>
        </w:rPr>
        <w:t>(vi)</w:t>
      </w:r>
      <w:r>
        <w:rPr>
          <w:rFonts w:asciiTheme="majorBidi" w:hAnsiTheme="majorBidi" w:cstheme="majorBidi"/>
          <w:snapToGrid w:val="0"/>
          <w:kern w:val="22"/>
          <w:lang w:val="en-CA"/>
        </w:rPr>
        <w:tab/>
      </w:r>
      <w:r w:rsidRPr="0097097E">
        <w:rPr>
          <w:rFonts w:asciiTheme="majorBidi" w:hAnsiTheme="majorBidi" w:cstheme="majorBidi"/>
          <w:snapToGrid w:val="0"/>
          <w:kern w:val="22"/>
          <w:lang w:val="en-CA"/>
        </w:rPr>
        <w:t xml:space="preserve">Submit the report of the </w:t>
      </w:r>
      <w:r>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r>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roup as well as a compilation of the views of Parties to the Bureau of the Conference of the Parties and invite the Bureau to select the most suitable entities and organizations;</w:t>
      </w:r>
    </w:p>
    <w:p w14:paraId="47DA97DD" w14:textId="77777777" w:rsidR="008C379F" w:rsidRPr="0097097E" w:rsidRDefault="008C379F" w:rsidP="00981752">
      <w:pPr>
        <w:suppressLineNumbers/>
        <w:tabs>
          <w:tab w:val="left" w:pos="1701"/>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(vii) </w:t>
      </w:r>
      <w:r w:rsidRPr="0097097E">
        <w:rPr>
          <w:rFonts w:asciiTheme="majorBidi" w:hAnsiTheme="majorBidi" w:cstheme="majorBidi"/>
          <w:snapToGrid w:val="0"/>
          <w:kern w:val="22"/>
          <w:lang w:val="en-CA"/>
        </w:rPr>
        <w:tab/>
        <w:t>Communicate the final decision to the selected entity(ies) and organization(s) and invite them to confirm acceptance of their selection within a period of one month</w:t>
      </w:r>
      <w:r w:rsidRPr="0097097E">
        <w:rPr>
          <w:rFonts w:asciiTheme="majorBidi" w:hAnsiTheme="majorBidi" w:cstheme="majorBidi"/>
          <w:snapToGrid w:val="0"/>
          <w:kern w:val="22"/>
          <w:szCs w:val="22"/>
          <w:lang w:val="en-CA"/>
        </w:rPr>
        <w:t>;</w:t>
      </w:r>
    </w:p>
    <w:p w14:paraId="2800CA49" w14:textId="77777777" w:rsidR="008C379F" w:rsidRPr="0097097E" w:rsidRDefault="008C379F"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(viii) </w:t>
      </w:r>
      <w:r w:rsidRPr="0097097E">
        <w:rPr>
          <w:rFonts w:asciiTheme="majorBidi" w:hAnsiTheme="majorBidi" w:cstheme="majorBidi"/>
          <w:snapToGrid w:val="0"/>
          <w:kern w:val="22"/>
          <w:lang w:val="en-CA"/>
        </w:rPr>
        <w:tab/>
        <w:t xml:space="preserve">Initiate and facilitate a process to identify donors that could provide additional funding to the selected entity(ies) </w:t>
      </w:r>
      <w:r w:rsidRPr="0040678C">
        <w:rPr>
          <w:rFonts w:asciiTheme="majorBidi" w:hAnsiTheme="majorBidi" w:cstheme="majorBidi"/>
          <w:snapToGrid w:val="0"/>
          <w:kern w:val="22"/>
          <w:lang w:val="en-CA"/>
        </w:rPr>
        <w:t>and organizations to</w:t>
      </w:r>
      <w:r w:rsidRPr="0097097E">
        <w:rPr>
          <w:rFonts w:asciiTheme="majorBidi" w:hAnsiTheme="majorBidi" w:cstheme="majorBidi"/>
          <w:snapToGrid w:val="0"/>
          <w:kern w:val="22"/>
          <w:lang w:val="en-CA"/>
        </w:rPr>
        <w:t xml:space="preserve"> facilitate technical and scientific cooperation in support of implementing the </w:t>
      </w:r>
      <w:r>
        <w:rPr>
          <w:rFonts w:asciiTheme="majorBidi" w:hAnsiTheme="majorBidi" w:cstheme="majorBidi"/>
          <w:snapToGrid w:val="0"/>
          <w:kern w:val="22"/>
          <w:lang w:val="en-CA"/>
        </w:rPr>
        <w:t>Kunming-Montreal G</w:t>
      </w:r>
      <w:r w:rsidRPr="0097097E">
        <w:rPr>
          <w:rFonts w:asciiTheme="majorBidi" w:hAnsiTheme="majorBidi" w:cstheme="majorBidi"/>
          <w:snapToGrid w:val="0"/>
          <w:kern w:val="22"/>
          <w:lang w:val="en-CA"/>
        </w:rPr>
        <w:t xml:space="preserve">lobal </w:t>
      </w:r>
      <w:r>
        <w:rPr>
          <w:rFonts w:asciiTheme="majorBidi" w:hAnsiTheme="majorBidi" w:cstheme="majorBidi"/>
          <w:snapToGrid w:val="0"/>
          <w:kern w:val="22"/>
          <w:lang w:val="en-CA"/>
        </w:rPr>
        <w:t>B</w:t>
      </w:r>
      <w:r w:rsidRPr="0097097E">
        <w:rPr>
          <w:rFonts w:asciiTheme="majorBidi" w:hAnsiTheme="majorBidi" w:cstheme="majorBidi"/>
          <w:snapToGrid w:val="0"/>
          <w:kern w:val="22"/>
          <w:lang w:val="en-CA"/>
        </w:rPr>
        <w:t xml:space="preserve">iodiversity </w:t>
      </w:r>
      <w:r>
        <w:rPr>
          <w:rFonts w:asciiTheme="majorBidi" w:hAnsiTheme="majorBidi" w:cstheme="majorBidi"/>
          <w:snapToGrid w:val="0"/>
          <w:kern w:val="22"/>
          <w:lang w:val="en-CA"/>
        </w:rPr>
        <w:t>F</w:t>
      </w:r>
      <w:r w:rsidRPr="0097097E">
        <w:rPr>
          <w:rFonts w:asciiTheme="majorBidi" w:hAnsiTheme="majorBidi" w:cstheme="majorBidi"/>
          <w:snapToGrid w:val="0"/>
          <w:kern w:val="22"/>
          <w:lang w:val="en-CA"/>
        </w:rPr>
        <w:t>ramework;</w:t>
      </w:r>
    </w:p>
    <w:p w14:paraId="415D138F" w14:textId="77777777" w:rsidR="008C379F" w:rsidRPr="00FB1E1B" w:rsidRDefault="008C379F" w:rsidP="00981752">
      <w:pPr>
        <w:suppressLineNumbers/>
        <w:suppressAutoHyphens/>
        <w:kinsoku w:val="0"/>
        <w:overflowPunct w:val="0"/>
        <w:autoSpaceDE w:val="0"/>
        <w:autoSpaceDN w:val="0"/>
        <w:adjustRightInd w:val="0"/>
        <w:snapToGrid w:val="0"/>
        <w:spacing w:before="120" w:after="120"/>
        <w:ind w:left="1985" w:hanging="709"/>
        <w:rPr>
          <w:snapToGrid w:val="0"/>
          <w:color w:val="000000" w:themeColor="text1"/>
          <w:kern w:val="22"/>
        </w:rPr>
      </w:pPr>
      <w:r w:rsidRPr="0097097E">
        <w:rPr>
          <w:rFonts w:asciiTheme="majorBidi" w:hAnsiTheme="majorBidi" w:cstheme="majorBidi"/>
          <w:snapToGrid w:val="0"/>
          <w:kern w:val="22"/>
          <w:lang w:val="en-CA"/>
        </w:rPr>
        <w:t xml:space="preserve">(ix) </w:t>
      </w:r>
      <w:r w:rsidRPr="0097097E">
        <w:rPr>
          <w:rFonts w:asciiTheme="majorBidi" w:hAnsiTheme="majorBidi" w:cstheme="majorBidi"/>
          <w:snapToGrid w:val="0"/>
          <w:kern w:val="22"/>
          <w:lang w:val="en-CA"/>
        </w:rPr>
        <w:tab/>
        <w:t>Initiate within a period of three months and facilitate the process of signing the host agreement(s) with the selected entity(ies) and organization(s)</w:t>
      </w:r>
      <w:r>
        <w:rPr>
          <w:rFonts w:asciiTheme="majorBidi" w:hAnsiTheme="majorBidi" w:cstheme="majorBidi"/>
          <w:snapToGrid w:val="0"/>
          <w:kern w:val="22"/>
          <w:lang w:val="en-CA"/>
        </w:rPr>
        <w:t>;</w:t>
      </w:r>
    </w:p>
    <w:p w14:paraId="2AC421E7" w14:textId="77777777" w:rsidR="008C379F" w:rsidRPr="00FB1E1B" w:rsidRDefault="008C379F" w:rsidP="00A30041">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FB1E1B">
        <w:rPr>
          <w:snapToGrid w:val="0"/>
          <w:color w:val="000000" w:themeColor="text1"/>
          <w:kern w:val="22"/>
        </w:rPr>
        <w:t>(</w:t>
      </w:r>
      <w:r>
        <w:rPr>
          <w:snapToGrid w:val="0"/>
          <w:color w:val="000000" w:themeColor="text1"/>
          <w:kern w:val="22"/>
        </w:rPr>
        <w:t>c</w:t>
      </w:r>
      <w:r w:rsidRPr="00FB1E1B">
        <w:rPr>
          <w:snapToGrid w:val="0"/>
          <w:color w:val="000000" w:themeColor="text1"/>
          <w:kern w:val="22"/>
        </w:rPr>
        <w:t>)</w:t>
      </w:r>
      <w:r w:rsidRPr="00FB1E1B">
        <w:rPr>
          <w:snapToGrid w:val="0"/>
          <w:color w:val="000000" w:themeColor="text1"/>
          <w:kern w:val="22"/>
        </w:rPr>
        <w:tab/>
        <w:t xml:space="preserve">To communicate to the </w:t>
      </w:r>
      <w:r>
        <w:rPr>
          <w:snapToGrid w:val="0"/>
          <w:color w:val="000000" w:themeColor="text1"/>
          <w:kern w:val="22"/>
        </w:rPr>
        <w:t xml:space="preserve">regional and/or subregional </w:t>
      </w:r>
      <w:r w:rsidRPr="00FB1E1B">
        <w:rPr>
          <w:snapToGrid w:val="0"/>
          <w:color w:val="000000" w:themeColor="text1"/>
          <w:kern w:val="22"/>
        </w:rPr>
        <w:t>support centre</w:t>
      </w:r>
      <w:r>
        <w:rPr>
          <w:snapToGrid w:val="0"/>
          <w:color w:val="000000" w:themeColor="text1"/>
          <w:kern w:val="22"/>
        </w:rPr>
        <w:t>s and the global coordination entity</w:t>
      </w:r>
      <w:r w:rsidRPr="00FB1E1B">
        <w:rPr>
          <w:snapToGrid w:val="0"/>
          <w:color w:val="000000" w:themeColor="text1"/>
          <w:kern w:val="22"/>
        </w:rPr>
        <w:t xml:space="preserve"> the priorities established by Parties regarding capacity</w:t>
      </w:r>
      <w:r w:rsidRPr="00FB1E1B">
        <w:rPr>
          <w:snapToGrid w:val="0"/>
          <w:color w:val="000000" w:themeColor="text1"/>
          <w:kern w:val="22"/>
        </w:rPr>
        <w:noBreakHyphen/>
        <w:t>building and development</w:t>
      </w:r>
      <w:r>
        <w:rPr>
          <w:snapToGrid w:val="0"/>
          <w:color w:val="000000" w:themeColor="text1"/>
          <w:kern w:val="22"/>
        </w:rPr>
        <w:t>, technical and scientific cooperation, and technology transfer</w:t>
      </w:r>
      <w:r w:rsidRPr="00FB1E1B">
        <w:rPr>
          <w:snapToGrid w:val="0"/>
          <w:color w:val="000000" w:themeColor="text1"/>
          <w:kern w:val="22"/>
        </w:rPr>
        <w:t>;</w:t>
      </w:r>
    </w:p>
    <w:p w14:paraId="4155634D" w14:textId="77777777" w:rsidR="008C379F" w:rsidRPr="00FB1E1B" w:rsidRDefault="008C379F"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FB1E1B">
        <w:rPr>
          <w:snapToGrid w:val="0"/>
          <w:kern w:val="22"/>
        </w:rPr>
        <w:t>(</w:t>
      </w:r>
      <w:r>
        <w:rPr>
          <w:snapToGrid w:val="0"/>
          <w:kern w:val="22"/>
        </w:rPr>
        <w:t>d</w:t>
      </w:r>
      <w:r w:rsidRPr="00FB1E1B">
        <w:rPr>
          <w:snapToGrid w:val="0"/>
          <w:kern w:val="22"/>
        </w:rPr>
        <w:t>)</w:t>
      </w:r>
      <w:r w:rsidRPr="00FB1E1B">
        <w:rPr>
          <w:snapToGrid w:val="0"/>
          <w:kern w:val="22"/>
        </w:rPr>
        <w:tab/>
        <w:t xml:space="preserve">To maintain synergy and collaboration with biodiversity-related conventions, and relevant organizations, initiatives and networks, including the </w:t>
      </w:r>
      <w:r w:rsidRPr="0040678C">
        <w:rPr>
          <w:snapToGrid w:val="0"/>
          <w:kern w:val="22"/>
        </w:rPr>
        <w:t xml:space="preserve">Consortium of Scientific Partners on Biodiversity, the </w:t>
      </w:r>
      <w:r w:rsidRPr="0040678C">
        <w:rPr>
          <w:snapToGrid w:val="0"/>
          <w:kern w:val="22"/>
          <w:szCs w:val="22"/>
        </w:rPr>
        <w:t xml:space="preserve">Global Partnership for </w:t>
      </w:r>
      <w:r w:rsidRPr="0040678C">
        <w:rPr>
          <w:snapToGrid w:val="0"/>
          <w:kern w:val="22"/>
        </w:rPr>
        <w:t>Business and Biodiversity, and others that have technical and scientific expertise, technologies and information, and/or are involved in biodiversity-related technical and scientific cooperation activities;</w:t>
      </w:r>
    </w:p>
    <w:p w14:paraId="03CF4649" w14:textId="77777777" w:rsidR="008C379F" w:rsidRPr="00FB1E1B" w:rsidRDefault="008C379F"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FB1E1B">
        <w:rPr>
          <w:snapToGrid w:val="0"/>
          <w:kern w:val="22"/>
        </w:rPr>
        <w:t>(</w:t>
      </w:r>
      <w:r>
        <w:rPr>
          <w:snapToGrid w:val="0"/>
          <w:kern w:val="22"/>
        </w:rPr>
        <w:t>e</w:t>
      </w:r>
      <w:r w:rsidRPr="00FB1E1B">
        <w:rPr>
          <w:snapToGrid w:val="0"/>
          <w:kern w:val="22"/>
        </w:rPr>
        <w:t>)</w:t>
      </w:r>
      <w:r w:rsidRPr="00FB1E1B">
        <w:rPr>
          <w:snapToGrid w:val="0"/>
          <w:kern w:val="22"/>
        </w:rPr>
        <w:tab/>
        <w:t>To maintain active communication with Parties and relevant stakeholders with a view to keeping them and the public informed of the achievements of the technical and scientific cooperation support activities;</w:t>
      </w:r>
    </w:p>
    <w:p w14:paraId="41C812AB" w14:textId="77777777" w:rsidR="008C379F" w:rsidRPr="0040678C" w:rsidRDefault="008C379F"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FB1E1B">
        <w:rPr>
          <w:snapToGrid w:val="0"/>
          <w:kern w:val="22"/>
        </w:rPr>
        <w:t>(</w:t>
      </w:r>
      <w:r>
        <w:rPr>
          <w:snapToGrid w:val="0"/>
          <w:kern w:val="22"/>
        </w:rPr>
        <w:t>f</w:t>
      </w:r>
      <w:r w:rsidRPr="00FB1E1B">
        <w:rPr>
          <w:snapToGrid w:val="0"/>
          <w:kern w:val="22"/>
        </w:rPr>
        <w:t>)</w:t>
      </w:r>
      <w:r w:rsidRPr="00FB1E1B">
        <w:rPr>
          <w:snapToGrid w:val="0"/>
          <w:kern w:val="22"/>
        </w:rPr>
        <w:tab/>
      </w:r>
      <w:r w:rsidRPr="0040678C">
        <w:rPr>
          <w:snapToGrid w:val="0"/>
          <w:kern w:val="22"/>
        </w:rPr>
        <w:t>To organize, in collaboration with relevant organizations and indigenous peoples and local communities, biodiversity science forums, technology and innovation expos, round tables and other events to showcase technical and scientific cooperation initiatives, technologies and opportunities;</w:t>
      </w:r>
    </w:p>
    <w:p w14:paraId="33811425" w14:textId="77777777" w:rsidR="008C379F" w:rsidRDefault="008C379F"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40678C">
        <w:rPr>
          <w:snapToGrid w:val="0"/>
          <w:kern w:val="22"/>
        </w:rPr>
        <w:t>(g)</w:t>
      </w:r>
      <w:r w:rsidRPr="0040678C">
        <w:rPr>
          <w:snapToGrid w:val="0"/>
          <w:kern w:val="22"/>
        </w:rPr>
        <w:tab/>
        <w:t>To compile relevant</w:t>
      </w:r>
      <w:r w:rsidRPr="00FB1E1B">
        <w:rPr>
          <w:snapToGrid w:val="0"/>
          <w:kern w:val="22"/>
        </w:rPr>
        <w:t xml:space="preserve"> information related to technical and scientific cooperation and technology transfer in the field of biological diversity for the implementation of the three objectives of the Convention and to make it available to Parties through the clearing-house mechanism;</w:t>
      </w:r>
    </w:p>
    <w:p w14:paraId="79EEAA1A" w14:textId="77777777" w:rsidR="008C379F" w:rsidRPr="00FB1E1B" w:rsidRDefault="008C379F"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FB1E1B">
        <w:rPr>
          <w:snapToGrid w:val="0"/>
          <w:kern w:val="22"/>
        </w:rPr>
        <w:lastRenderedPageBreak/>
        <w:t>(</w:t>
      </w:r>
      <w:r>
        <w:rPr>
          <w:snapToGrid w:val="0"/>
          <w:kern w:val="22"/>
        </w:rPr>
        <w:t>h</w:t>
      </w:r>
      <w:r w:rsidRPr="00FB1E1B">
        <w:rPr>
          <w:snapToGrid w:val="0"/>
          <w:kern w:val="22"/>
        </w:rPr>
        <w:t>)</w:t>
      </w:r>
      <w:r w:rsidRPr="00FB1E1B">
        <w:rPr>
          <w:snapToGrid w:val="0"/>
          <w:kern w:val="22"/>
        </w:rPr>
        <w:tab/>
        <w:t>To perform such other activities as may be necessary</w:t>
      </w:r>
      <w:r>
        <w:rPr>
          <w:snapToGrid w:val="0"/>
          <w:kern w:val="22"/>
        </w:rPr>
        <w:t>;</w:t>
      </w:r>
    </w:p>
    <w:p w14:paraId="54009F68" w14:textId="77777777" w:rsidR="008C379F" w:rsidRPr="004D32B6" w:rsidRDefault="008C379F" w:rsidP="008C3933">
      <w:pPr>
        <w:suppressLineNumbers/>
        <w:tabs>
          <w:tab w:val="left" w:pos="1418"/>
        </w:tabs>
        <w:suppressAutoHyphens/>
        <w:kinsoku w:val="0"/>
        <w:overflowPunct w:val="0"/>
        <w:autoSpaceDE w:val="0"/>
        <w:autoSpaceDN w:val="0"/>
        <w:adjustRightInd w:val="0"/>
        <w:snapToGrid w:val="0"/>
        <w:spacing w:after="120"/>
        <w:ind w:firstLine="720"/>
        <w:rPr>
          <w:rStyle w:val="normaltextrun"/>
          <w:snapToGrid w:val="0"/>
          <w:kern w:val="22"/>
        </w:rPr>
      </w:pPr>
      <w:r w:rsidRPr="00FB1E1B">
        <w:rPr>
          <w:snapToGrid w:val="0"/>
          <w:kern w:val="22"/>
        </w:rPr>
        <w:t>(</w:t>
      </w:r>
      <w:r>
        <w:rPr>
          <w:snapToGrid w:val="0"/>
          <w:kern w:val="22"/>
        </w:rPr>
        <w:t>i</w:t>
      </w:r>
      <w:r w:rsidRPr="00FB1E1B">
        <w:rPr>
          <w:snapToGrid w:val="0"/>
          <w:kern w:val="22"/>
        </w:rPr>
        <w:t>)</w:t>
      </w:r>
      <w:r w:rsidRPr="00FB1E1B">
        <w:rPr>
          <w:snapToGrid w:val="0"/>
          <w:kern w:val="22"/>
        </w:rPr>
        <w:tab/>
        <w:t>To prepare relevant documents and reports on technical and scientific cooperation and technology transfer</w:t>
      </w:r>
      <w:r>
        <w:rPr>
          <w:snapToGrid w:val="0"/>
          <w:kern w:val="22"/>
        </w:rPr>
        <w:t>,</w:t>
      </w:r>
      <w:r w:rsidRPr="00FB1E1B">
        <w:rPr>
          <w:snapToGrid w:val="0"/>
          <w:kern w:val="22"/>
        </w:rPr>
        <w:t xml:space="preserve"> </w:t>
      </w:r>
      <w:r>
        <w:rPr>
          <w:snapToGrid w:val="0"/>
          <w:kern w:val="22"/>
        </w:rPr>
        <w:t xml:space="preserve">including the work of the mechanism established in paragraph </w:t>
      </w:r>
      <w:r w:rsidRPr="00B1713D">
        <w:rPr>
          <w:snapToGrid w:val="0"/>
          <w:kern w:val="22"/>
        </w:rPr>
        <w:t>2</w:t>
      </w:r>
      <w:r>
        <w:rPr>
          <w:snapToGrid w:val="0"/>
          <w:kern w:val="22"/>
        </w:rPr>
        <w:t xml:space="preserve">5 of the present decision, </w:t>
      </w:r>
      <w:r w:rsidRPr="00FB1E1B">
        <w:rPr>
          <w:snapToGrid w:val="0"/>
          <w:kern w:val="22"/>
        </w:rPr>
        <w:t xml:space="preserve">for consideration by the Subsidiary Body on Implementation </w:t>
      </w:r>
      <w:r w:rsidRPr="008C3933">
        <w:rPr>
          <w:snapToGrid w:val="0"/>
          <w:kern w:val="22"/>
        </w:rPr>
        <w:t xml:space="preserve">at a meeting to be held prior to the </w:t>
      </w:r>
      <w:r w:rsidRPr="00FB1E1B">
        <w:rPr>
          <w:snapToGrid w:val="0"/>
          <w:kern w:val="22"/>
        </w:rPr>
        <w:t xml:space="preserve">seventeenth </w:t>
      </w:r>
      <w:r w:rsidRPr="008C3933">
        <w:rPr>
          <w:snapToGrid w:val="0"/>
          <w:kern w:val="22"/>
        </w:rPr>
        <w:t>meeting of the Conference of the Parties</w:t>
      </w:r>
      <w:r>
        <w:rPr>
          <w:snapToGrid w:val="0"/>
          <w:kern w:val="22"/>
        </w:rPr>
        <w:t xml:space="preserve">, </w:t>
      </w:r>
      <w:r w:rsidRPr="00FB1E1B">
        <w:rPr>
          <w:snapToGrid w:val="0"/>
          <w:kern w:val="22"/>
        </w:rPr>
        <w:t xml:space="preserve">and </w:t>
      </w:r>
      <w:r>
        <w:rPr>
          <w:snapToGrid w:val="0"/>
          <w:kern w:val="22"/>
        </w:rPr>
        <w:t xml:space="preserve">by </w:t>
      </w:r>
      <w:r w:rsidRPr="00FB1E1B">
        <w:rPr>
          <w:snapToGrid w:val="0"/>
          <w:kern w:val="22"/>
        </w:rPr>
        <w:t>the Conference of</w:t>
      </w:r>
      <w:r>
        <w:rPr>
          <w:snapToGrid w:val="0"/>
          <w:kern w:val="22"/>
        </w:rPr>
        <w:t xml:space="preserve"> the</w:t>
      </w:r>
      <w:r w:rsidRPr="00FB1E1B">
        <w:rPr>
          <w:snapToGrid w:val="0"/>
          <w:kern w:val="22"/>
        </w:rPr>
        <w:t xml:space="preserve"> Parties at its seventeenth meeting</w:t>
      </w:r>
      <w:r>
        <w:rPr>
          <w:snapToGrid w:val="0"/>
          <w:kern w:val="22"/>
        </w:rPr>
        <w:t>,</w:t>
      </w:r>
      <w:r w:rsidRPr="00FB1E1B">
        <w:rPr>
          <w:snapToGrid w:val="0"/>
          <w:kern w:val="22"/>
        </w:rPr>
        <w:t xml:space="preserve"> </w:t>
      </w:r>
      <w:r w:rsidRPr="00117EEC">
        <w:rPr>
          <w:rStyle w:val="normaltextrun"/>
        </w:rPr>
        <w:t>in conjunction with the</w:t>
      </w:r>
      <w:r>
        <w:rPr>
          <w:rStyle w:val="normaltextrun"/>
        </w:rPr>
        <w:t xml:space="preserve"> global review</w:t>
      </w:r>
      <w:r w:rsidRPr="00117EEC">
        <w:rPr>
          <w:rStyle w:val="normaltextrun"/>
        </w:rPr>
        <w:t xml:space="preserve"> of the </w:t>
      </w:r>
      <w:r>
        <w:rPr>
          <w:rStyle w:val="normaltextrun"/>
        </w:rPr>
        <w:t>Kunming-Montreal G</w:t>
      </w:r>
      <w:r w:rsidRPr="00117EEC">
        <w:rPr>
          <w:rStyle w:val="normaltextrun"/>
        </w:rPr>
        <w:t xml:space="preserve">lobal </w:t>
      </w:r>
      <w:r>
        <w:rPr>
          <w:rStyle w:val="normaltextrun"/>
        </w:rPr>
        <w:t>B</w:t>
      </w:r>
      <w:r w:rsidRPr="00117EEC">
        <w:rPr>
          <w:rStyle w:val="normaltextrun"/>
        </w:rPr>
        <w:t xml:space="preserve">iodiversity </w:t>
      </w:r>
      <w:r>
        <w:rPr>
          <w:rStyle w:val="normaltextrun"/>
        </w:rPr>
        <w:t>F</w:t>
      </w:r>
      <w:r w:rsidRPr="00117EEC">
        <w:rPr>
          <w:rStyle w:val="normaltextrun"/>
        </w:rPr>
        <w:t>ramework</w:t>
      </w:r>
      <w:r>
        <w:rPr>
          <w:rStyle w:val="normaltextrun"/>
        </w:rPr>
        <w:t xml:space="preserve">, including the means of implementation; </w:t>
      </w:r>
    </w:p>
    <w:p w14:paraId="36F02B47" w14:textId="77777777" w:rsidR="008C379F" w:rsidRPr="00FB1E1B" w:rsidRDefault="008C379F"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Pr>
          <w:rStyle w:val="normaltextrun"/>
          <w:kern w:val="22"/>
        </w:rPr>
        <w:t xml:space="preserve">(j) </w:t>
      </w:r>
      <w:r>
        <w:rPr>
          <w:rStyle w:val="normaltextrun"/>
          <w:kern w:val="22"/>
        </w:rPr>
        <w:tab/>
      </w:r>
      <w:r w:rsidRPr="00117EEC">
        <w:rPr>
          <w:rStyle w:val="normaltextrun"/>
          <w:kern w:val="22"/>
        </w:rPr>
        <w:t xml:space="preserve">To undertake a review of the </w:t>
      </w:r>
      <w:r>
        <w:rPr>
          <w:rStyle w:val="normaltextrun"/>
          <w:kern w:val="22"/>
        </w:rPr>
        <w:t>technical and scientific cooperation mechanism,</w:t>
      </w:r>
      <w:r w:rsidRPr="00117EEC">
        <w:rPr>
          <w:rStyle w:val="normaltextrun"/>
          <w:kern w:val="22"/>
        </w:rPr>
        <w:t xml:space="preserve"> </w:t>
      </w:r>
      <w:r w:rsidRPr="00117EEC">
        <w:rPr>
          <w:rStyle w:val="normaltextrun"/>
        </w:rPr>
        <w:t>in conjunction with the</w:t>
      </w:r>
      <w:r>
        <w:rPr>
          <w:rStyle w:val="normaltextrun"/>
        </w:rPr>
        <w:t xml:space="preserve"> global review</w:t>
      </w:r>
      <w:r w:rsidRPr="00117EEC">
        <w:rPr>
          <w:rStyle w:val="normaltextrun"/>
        </w:rPr>
        <w:t xml:space="preserve"> of the </w:t>
      </w:r>
      <w:r>
        <w:rPr>
          <w:rStyle w:val="normaltextrun"/>
        </w:rPr>
        <w:t>Kunming-Montreal G</w:t>
      </w:r>
      <w:r w:rsidRPr="00117EEC">
        <w:rPr>
          <w:rStyle w:val="normaltextrun"/>
        </w:rPr>
        <w:t xml:space="preserve">lobal </w:t>
      </w:r>
      <w:r>
        <w:rPr>
          <w:rStyle w:val="normaltextrun"/>
        </w:rPr>
        <w:t>B</w:t>
      </w:r>
      <w:r w:rsidRPr="00117EEC">
        <w:rPr>
          <w:rStyle w:val="normaltextrun"/>
        </w:rPr>
        <w:t xml:space="preserve">iodiversity </w:t>
      </w:r>
      <w:r>
        <w:rPr>
          <w:rStyle w:val="normaltextrun"/>
        </w:rPr>
        <w:t>F</w:t>
      </w:r>
      <w:r w:rsidRPr="00117EEC">
        <w:rPr>
          <w:rStyle w:val="normaltextrun"/>
        </w:rPr>
        <w:t>ramework</w:t>
      </w:r>
      <w:r>
        <w:rPr>
          <w:rStyle w:val="normaltextrun"/>
        </w:rPr>
        <w:t xml:space="preserve">, including the means of </w:t>
      </w:r>
      <w:r w:rsidRPr="00FA301D">
        <w:rPr>
          <w:rStyle w:val="normaltextrun"/>
        </w:rPr>
        <w:t>implementation,</w:t>
      </w:r>
      <w:r>
        <w:rPr>
          <w:rStyle w:val="normaltextrun"/>
        </w:rPr>
        <w:t xml:space="preserve"> for </w:t>
      </w:r>
      <w:r w:rsidRPr="008F1A05">
        <w:rPr>
          <w:rStyle w:val="normaltextrun"/>
        </w:rPr>
        <w:t>consideration at the seventeenth meeting of the Conference of the Parties</w:t>
      </w:r>
      <w:r w:rsidRPr="008F1A05">
        <w:rPr>
          <w:rStyle w:val="normaltextrun"/>
          <w:kern w:val="22"/>
        </w:rPr>
        <w:t xml:space="preserve"> and</w:t>
      </w:r>
      <w:r>
        <w:rPr>
          <w:rStyle w:val="normaltextrun"/>
          <w:kern w:val="22"/>
        </w:rPr>
        <w:t>,</w:t>
      </w:r>
      <w:r w:rsidRPr="00117EEC">
        <w:rPr>
          <w:rStyle w:val="normaltextrun"/>
          <w:kern w:val="22"/>
        </w:rPr>
        <w:t xml:space="preserve"> if necessary, propose updates</w:t>
      </w:r>
      <w:r>
        <w:rPr>
          <w:rStyle w:val="normaltextrun"/>
          <w:kern w:val="22"/>
        </w:rPr>
        <w:t xml:space="preserve"> to ensure its effectiveness to assist Parties in implementing the Kunming-Montreal Global Biodiversity Framework;</w:t>
      </w:r>
    </w:p>
    <w:p w14:paraId="36B91C1C" w14:textId="77777777" w:rsidR="008C379F" w:rsidRPr="00117EEC" w:rsidRDefault="008C379F"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sidRPr="00B1713D">
        <w:rPr>
          <w:rFonts w:eastAsiaTheme="minorEastAsia"/>
          <w:snapToGrid w:val="0"/>
          <w:kern w:val="22"/>
        </w:rPr>
        <w:t>(</w:t>
      </w:r>
      <w:r>
        <w:rPr>
          <w:rFonts w:eastAsiaTheme="minorEastAsia"/>
          <w:snapToGrid w:val="0"/>
          <w:kern w:val="22"/>
        </w:rPr>
        <w:t>k</w:t>
      </w:r>
      <w:r w:rsidRPr="00B1713D">
        <w:rPr>
          <w:rFonts w:eastAsiaTheme="minorEastAsia"/>
          <w:snapToGrid w:val="0"/>
          <w:kern w:val="22"/>
        </w:rPr>
        <w:t>)</w:t>
      </w:r>
      <w:r w:rsidRPr="00FB1E1B">
        <w:rPr>
          <w:rFonts w:eastAsiaTheme="minorEastAsia"/>
          <w:snapToGrid w:val="0"/>
          <w:kern w:val="22"/>
        </w:rPr>
        <w:tab/>
        <w:t xml:space="preserve">To submit a report on the work of the </w:t>
      </w:r>
      <w:r>
        <w:rPr>
          <w:rFonts w:eastAsiaTheme="minorEastAsia"/>
          <w:snapToGrid w:val="0"/>
          <w:kern w:val="22"/>
        </w:rPr>
        <w:t>I</w:t>
      </w:r>
      <w:r w:rsidRPr="00FB1E1B">
        <w:rPr>
          <w:rFonts w:eastAsiaTheme="minorEastAsia"/>
          <w:snapToGrid w:val="0"/>
          <w:kern w:val="22"/>
        </w:rPr>
        <w:t xml:space="preserve">nformal </w:t>
      </w:r>
      <w:r>
        <w:rPr>
          <w:rFonts w:eastAsiaTheme="minorEastAsia"/>
          <w:snapToGrid w:val="0"/>
          <w:kern w:val="22"/>
        </w:rPr>
        <w:t>A</w:t>
      </w:r>
      <w:r w:rsidRPr="00FB1E1B">
        <w:rPr>
          <w:rFonts w:eastAsiaTheme="minorEastAsia"/>
          <w:snapToGrid w:val="0"/>
          <w:kern w:val="22"/>
        </w:rPr>
        <w:t xml:space="preserve">dvisory </w:t>
      </w:r>
      <w:r>
        <w:rPr>
          <w:rFonts w:eastAsiaTheme="minorEastAsia"/>
          <w:snapToGrid w:val="0"/>
          <w:kern w:val="22"/>
        </w:rPr>
        <w:t>G</w:t>
      </w:r>
      <w:r w:rsidRPr="00FB1E1B">
        <w:rPr>
          <w:rFonts w:eastAsiaTheme="minorEastAsia"/>
          <w:snapToGrid w:val="0"/>
          <w:kern w:val="22"/>
        </w:rPr>
        <w:t xml:space="preserve">roup on </w:t>
      </w:r>
      <w:r>
        <w:rPr>
          <w:rFonts w:eastAsiaTheme="minorEastAsia"/>
          <w:snapToGrid w:val="0"/>
          <w:kern w:val="22"/>
        </w:rPr>
        <w:t>T</w:t>
      </w:r>
      <w:r w:rsidRPr="00FB1E1B">
        <w:rPr>
          <w:rFonts w:eastAsiaTheme="minorEastAsia"/>
          <w:snapToGrid w:val="0"/>
          <w:kern w:val="22"/>
        </w:rPr>
        <w:t xml:space="preserve">echnical and </w:t>
      </w:r>
      <w:r>
        <w:rPr>
          <w:rFonts w:eastAsiaTheme="minorEastAsia"/>
          <w:snapToGrid w:val="0"/>
          <w:kern w:val="22"/>
        </w:rPr>
        <w:t>S</w:t>
      </w:r>
      <w:r w:rsidRPr="00FB1E1B">
        <w:rPr>
          <w:rFonts w:eastAsiaTheme="minorEastAsia"/>
          <w:snapToGrid w:val="0"/>
          <w:kern w:val="22"/>
        </w:rPr>
        <w:t xml:space="preserve">cientific </w:t>
      </w:r>
      <w:r>
        <w:rPr>
          <w:rFonts w:eastAsiaTheme="minorEastAsia"/>
          <w:snapToGrid w:val="0"/>
          <w:kern w:val="22"/>
        </w:rPr>
        <w:t>C</w:t>
      </w:r>
      <w:r w:rsidRPr="00FB1E1B">
        <w:rPr>
          <w:rFonts w:eastAsiaTheme="minorEastAsia"/>
          <w:snapToGrid w:val="0"/>
          <w:kern w:val="22"/>
        </w:rPr>
        <w:t xml:space="preserve">ooperation for consideration by the Subsidiary Body on </w:t>
      </w:r>
      <w:r>
        <w:rPr>
          <w:rFonts w:eastAsiaTheme="minorEastAsia"/>
          <w:snapToGrid w:val="0"/>
          <w:kern w:val="22"/>
        </w:rPr>
        <w:t xml:space="preserve">Implementation </w:t>
      </w:r>
      <w:r w:rsidRPr="00FB1E1B">
        <w:rPr>
          <w:rFonts w:eastAsiaTheme="minorEastAsia"/>
          <w:snapToGrid w:val="0"/>
          <w:kern w:val="22"/>
        </w:rPr>
        <w:t xml:space="preserve">at a meeting to be held prior to the sixteenth </w:t>
      </w:r>
      <w:r>
        <w:rPr>
          <w:rFonts w:eastAsiaTheme="minorEastAsia"/>
          <w:snapToGrid w:val="0"/>
          <w:kern w:val="22"/>
        </w:rPr>
        <w:t xml:space="preserve">meeting of the </w:t>
      </w:r>
      <w:r w:rsidRPr="00FB1E1B">
        <w:rPr>
          <w:rFonts w:eastAsiaTheme="minorEastAsia"/>
          <w:snapToGrid w:val="0"/>
          <w:kern w:val="22"/>
        </w:rPr>
        <w:t>Conference of the Parties</w:t>
      </w:r>
      <w:r w:rsidRPr="00FB1E1B">
        <w:rPr>
          <w:snapToGrid w:val="0"/>
          <w:kern w:val="22"/>
        </w:rPr>
        <w:t>.</w:t>
      </w:r>
    </w:p>
    <w:p w14:paraId="7A40BCD5" w14:textId="77777777" w:rsidR="008C379F" w:rsidRPr="000F589D" w:rsidRDefault="008C379F" w:rsidP="00AC7311">
      <w:pPr>
        <w:keepNext/>
        <w:keepLines/>
        <w:suppressLineNumbers/>
        <w:tabs>
          <w:tab w:val="center" w:pos="4731"/>
          <w:tab w:val="left" w:pos="6162"/>
        </w:tabs>
        <w:suppressAutoHyphens/>
        <w:kinsoku w:val="0"/>
        <w:overflowPunct w:val="0"/>
        <w:autoSpaceDE w:val="0"/>
        <w:autoSpaceDN w:val="0"/>
        <w:adjustRightInd w:val="0"/>
        <w:snapToGrid w:val="0"/>
        <w:spacing w:before="240" w:after="60"/>
        <w:jc w:val="center"/>
        <w:rPr>
          <w:rFonts w:asciiTheme="majorBidi" w:hAnsiTheme="majorBidi" w:cstheme="majorBidi"/>
          <w:i/>
          <w:iCs/>
          <w:snapToGrid w:val="0"/>
          <w:kern w:val="22"/>
          <w:szCs w:val="22"/>
        </w:rPr>
      </w:pPr>
      <w:bookmarkStart w:id="71" w:name="_Toc57214894"/>
      <w:bookmarkStart w:id="72" w:name="_Toc118355006"/>
      <w:r w:rsidRPr="000F589D">
        <w:rPr>
          <w:rFonts w:asciiTheme="majorBidi" w:hAnsiTheme="majorBidi" w:cstheme="majorBidi"/>
          <w:i/>
          <w:iCs/>
          <w:snapToGrid w:val="0"/>
          <w:kern w:val="22"/>
          <w:szCs w:val="22"/>
        </w:rPr>
        <w:t>Annex I</w:t>
      </w:r>
      <w:bookmarkEnd w:id="71"/>
      <w:bookmarkEnd w:id="72"/>
    </w:p>
    <w:p w14:paraId="2099297F" w14:textId="77777777" w:rsidR="008C379F" w:rsidRPr="000F589D" w:rsidRDefault="008C379F" w:rsidP="00AC7311">
      <w:pPr>
        <w:keepNext/>
        <w:keepLines/>
        <w:suppressLineNumbers/>
        <w:suppressAutoHyphens/>
        <w:kinsoku w:val="0"/>
        <w:overflowPunct w:val="0"/>
        <w:autoSpaceDE w:val="0"/>
        <w:autoSpaceDN w:val="0"/>
        <w:adjustRightInd w:val="0"/>
        <w:snapToGrid w:val="0"/>
        <w:spacing w:before="120" w:after="120"/>
        <w:jc w:val="center"/>
        <w:rPr>
          <w:rFonts w:asciiTheme="majorBidi" w:hAnsiTheme="majorBidi" w:cstheme="majorBidi"/>
          <w:b/>
          <w:bCs/>
          <w:caps/>
          <w:snapToGrid w:val="0"/>
          <w:kern w:val="22"/>
          <w:szCs w:val="22"/>
        </w:rPr>
      </w:pPr>
      <w:bookmarkStart w:id="73" w:name="_Toc57214895"/>
      <w:bookmarkStart w:id="74" w:name="_Toc118355007"/>
      <w:r w:rsidRPr="000F589D">
        <w:rPr>
          <w:rFonts w:asciiTheme="majorBidi" w:hAnsiTheme="majorBidi" w:cstheme="majorBidi"/>
          <w:b/>
          <w:bCs/>
          <w:caps/>
          <w:snapToGrid w:val="0"/>
          <w:kern w:val="22"/>
          <w:szCs w:val="22"/>
        </w:rPr>
        <w:t>Long-term strategic framework for capacity</w:t>
      </w:r>
      <w:r w:rsidRPr="000F589D">
        <w:rPr>
          <w:rFonts w:asciiTheme="majorBidi" w:hAnsiTheme="majorBidi" w:cstheme="majorBidi"/>
          <w:b/>
          <w:bCs/>
          <w:caps/>
          <w:snapToGrid w:val="0"/>
          <w:kern w:val="22"/>
          <w:szCs w:val="22"/>
        </w:rPr>
        <w:noBreakHyphen/>
        <w:t>building and development</w:t>
      </w:r>
      <w:bookmarkEnd w:id="73"/>
      <w:bookmarkEnd w:id="74"/>
    </w:p>
    <w:p w14:paraId="2ED9B931" w14:textId="77777777" w:rsidR="008C379F" w:rsidRPr="000F589D" w:rsidRDefault="008C379F" w:rsidP="00AC7311">
      <w:pPr>
        <w:keepNext/>
        <w:suppressLineNumbers/>
        <w:tabs>
          <w:tab w:val="left" w:pos="284"/>
        </w:tabs>
        <w:suppressAutoHyphens/>
        <w:spacing w:before="120" w:after="120"/>
        <w:jc w:val="center"/>
        <w:rPr>
          <w:rFonts w:asciiTheme="majorBidi" w:hAnsiTheme="majorBidi" w:cstheme="majorBidi"/>
          <w:b/>
          <w:caps/>
          <w:color w:val="000000"/>
          <w:szCs w:val="22"/>
          <w:lang w:eastAsia="zh-CN"/>
        </w:rPr>
      </w:pPr>
      <w:bookmarkStart w:id="75" w:name="_Toc57214896"/>
      <w:r w:rsidRPr="000F589D">
        <w:rPr>
          <w:rFonts w:asciiTheme="majorBidi" w:hAnsiTheme="majorBidi" w:cstheme="majorBidi"/>
          <w:b/>
          <w:caps/>
          <w:color w:val="000000"/>
          <w:szCs w:val="22"/>
          <w:lang w:eastAsia="zh-CN"/>
        </w:rPr>
        <w:t>I.</w:t>
      </w:r>
      <w:r w:rsidRPr="000F589D">
        <w:rPr>
          <w:rFonts w:asciiTheme="majorBidi" w:hAnsiTheme="majorBidi" w:cstheme="majorBidi"/>
          <w:b/>
          <w:caps/>
          <w:color w:val="000000"/>
          <w:szCs w:val="22"/>
          <w:lang w:eastAsia="zh-CN"/>
        </w:rPr>
        <w:tab/>
      </w:r>
      <w:r>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Introduction</w:t>
      </w:r>
      <w:bookmarkEnd w:id="75"/>
    </w:p>
    <w:p w14:paraId="71A24E49"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snapToGrid/>
        </w:rPr>
      </w:pPr>
      <w:r w:rsidRPr="000F589D">
        <w:rPr>
          <w:rFonts w:asciiTheme="majorBidi" w:hAnsiTheme="majorBidi" w:cstheme="majorBidi"/>
          <w:snapToGrid/>
        </w:rPr>
        <w:t>1.</w:t>
      </w:r>
      <w:r w:rsidRPr="000F589D">
        <w:rPr>
          <w:rFonts w:asciiTheme="majorBidi" w:hAnsiTheme="majorBidi" w:cstheme="majorBidi"/>
          <w:snapToGrid/>
        </w:rPr>
        <w:tab/>
      </w:r>
      <w:r w:rsidRPr="000F589D">
        <w:rPr>
          <w:rFonts w:asciiTheme="majorBidi" w:hAnsiTheme="majorBidi" w:cstheme="majorBidi"/>
        </w:rPr>
        <w:t>The long-term strategic framework is intended to guide the capacity</w:t>
      </w:r>
      <w:r w:rsidRPr="000F589D">
        <w:rPr>
          <w:rFonts w:asciiTheme="majorBidi" w:hAnsiTheme="majorBidi" w:cstheme="majorBidi"/>
        </w:rPr>
        <w:noBreakHyphen/>
        <w:t>building and development efforts of government and non-government actors,</w:t>
      </w:r>
      <w:r w:rsidRPr="00610646">
        <w:rPr>
          <w:rStyle w:val="FootnoteReference"/>
        </w:rPr>
        <w:footnoteReference w:id="73"/>
      </w:r>
      <w:r w:rsidRPr="000F589D">
        <w:rPr>
          <w:rFonts w:asciiTheme="majorBidi" w:hAnsiTheme="majorBidi" w:cstheme="majorBidi"/>
        </w:rPr>
        <w:t xml:space="preserve"> including indigenous peoples and local communities, in support of priorities determined by Parties in their national biodiversity strategies and action plans for the implementation of the </w:t>
      </w:r>
      <w:r>
        <w:rPr>
          <w:rFonts w:asciiTheme="majorBidi" w:hAnsiTheme="majorBidi" w:cstheme="majorBidi"/>
        </w:rPr>
        <w:t>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 It seeks to catalyse institutionalized capacity</w:t>
      </w:r>
      <w:r w:rsidRPr="000F589D">
        <w:rPr>
          <w:rFonts w:asciiTheme="majorBidi" w:hAnsiTheme="majorBidi" w:cstheme="majorBidi"/>
        </w:rPr>
        <w:noBreakHyphen/>
        <w:t>building and development interventions</w:t>
      </w:r>
      <w:r>
        <w:rPr>
          <w:rFonts w:asciiTheme="majorBidi" w:hAnsiTheme="majorBidi" w:cstheme="majorBidi"/>
        </w:rPr>
        <w:t xml:space="preserve"> </w:t>
      </w:r>
      <w:r w:rsidRPr="00115CD0">
        <w:rPr>
          <w:rFonts w:asciiTheme="majorBidi" w:hAnsiTheme="majorBidi" w:cstheme="majorBidi"/>
        </w:rPr>
        <w:t>and ensure that they are robust, coordinated and delivered in a holistic and complementary manner. It also seeks to promote coherence, efficiency and effectiveness of capacity</w:t>
      </w:r>
      <w:r w:rsidRPr="00115CD0">
        <w:rPr>
          <w:rFonts w:asciiTheme="majorBidi" w:hAnsiTheme="majorBidi" w:cstheme="majorBidi"/>
        </w:rPr>
        <w:noBreakHyphen/>
        <w:t>building and development efforts at all levels through strategic and harmonized approaches.</w:t>
      </w:r>
    </w:p>
    <w:p w14:paraId="7AA23D47"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rPr>
      </w:pPr>
      <w:r w:rsidRPr="000F589D">
        <w:rPr>
          <w:rFonts w:asciiTheme="majorBidi" w:hAnsiTheme="majorBidi" w:cstheme="majorBidi"/>
        </w:rPr>
        <w:t>2.</w:t>
      </w:r>
      <w:r w:rsidRPr="000F589D">
        <w:rPr>
          <w:rFonts w:asciiTheme="majorBidi" w:hAnsiTheme="majorBidi" w:cstheme="majorBidi"/>
        </w:rPr>
        <w:tab/>
        <w:t xml:space="preserve">The study carried out to provide the knowledge base for the </w:t>
      </w:r>
      <w:r>
        <w:rPr>
          <w:rFonts w:asciiTheme="majorBidi" w:hAnsiTheme="majorBidi" w:cstheme="majorBidi"/>
        </w:rPr>
        <w:t xml:space="preserve">strategic </w:t>
      </w:r>
      <w:r w:rsidRPr="000F589D">
        <w:rPr>
          <w:rFonts w:asciiTheme="majorBidi" w:hAnsiTheme="majorBidi" w:cstheme="majorBidi"/>
        </w:rPr>
        <w:t>framework</w:t>
      </w:r>
      <w:r w:rsidRPr="00610646">
        <w:rPr>
          <w:rStyle w:val="FootnoteReference"/>
        </w:rPr>
        <w:footnoteReference w:id="74"/>
      </w:r>
      <w:r w:rsidRPr="000F589D">
        <w:rPr>
          <w:rFonts w:asciiTheme="majorBidi" w:hAnsiTheme="majorBidi" w:cstheme="majorBidi"/>
        </w:rPr>
        <w:t xml:space="preserve"> noted that </w:t>
      </w:r>
      <w:bookmarkStart w:id="76" w:name="_Hlk47869803"/>
      <w:r w:rsidRPr="000F589D">
        <w:rPr>
          <w:rFonts w:asciiTheme="majorBidi" w:hAnsiTheme="majorBidi" w:cstheme="majorBidi"/>
        </w:rPr>
        <w:t>capacity</w:t>
      </w:r>
      <w:r w:rsidRPr="000F589D">
        <w:rPr>
          <w:rFonts w:asciiTheme="majorBidi" w:hAnsiTheme="majorBidi" w:cstheme="majorBidi"/>
        </w:rPr>
        <w:noBreakHyphen/>
        <w:t xml:space="preserve">building and development </w:t>
      </w:r>
      <w:bookmarkEnd w:id="76"/>
      <w:r w:rsidRPr="000F589D">
        <w:rPr>
          <w:rFonts w:asciiTheme="majorBidi" w:hAnsiTheme="majorBidi" w:cstheme="majorBidi"/>
        </w:rPr>
        <w:t xml:space="preserve">efforts, especially in developing countries, </w:t>
      </w:r>
      <w:r>
        <w:rPr>
          <w:rFonts w:asciiTheme="majorBidi" w:hAnsiTheme="majorBidi" w:cstheme="majorBidi"/>
        </w:rPr>
        <w:t>were</w:t>
      </w:r>
      <w:r w:rsidRPr="000F589D">
        <w:rPr>
          <w:rFonts w:asciiTheme="majorBidi" w:hAnsiTheme="majorBidi" w:cstheme="majorBidi"/>
        </w:rPr>
        <w:t xml:space="preserve"> fragmented and undertaken in silos, </w:t>
      </w:r>
      <w:r w:rsidRPr="00E214E6">
        <w:rPr>
          <w:rFonts w:asciiTheme="majorBidi" w:hAnsiTheme="majorBidi" w:cstheme="majorBidi"/>
        </w:rPr>
        <w:t>largely through externally funded short-term projects. Many countries had not yet adopted systemic, long-term and institutionalized approaches to capacity</w:t>
      </w:r>
      <w:r w:rsidRPr="00E214E6">
        <w:rPr>
          <w:rFonts w:asciiTheme="majorBidi" w:hAnsiTheme="majorBidi" w:cstheme="majorBidi"/>
        </w:rPr>
        <w:noBreakHyphen/>
        <w:t>building and development. Interventions were often implemented in an ad hoc manner and not as part of coherent long-term programmes, and without an adequate enabling environment. Consequently, many had not succeeded in bringing about the desired changes in a sustainable manner. The strategic framework aims to help address the above shortcomings.</w:t>
      </w:r>
    </w:p>
    <w:p w14:paraId="3D15C940"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rPr>
      </w:pPr>
      <w:r w:rsidRPr="000F589D">
        <w:rPr>
          <w:rFonts w:asciiTheme="majorBidi" w:hAnsiTheme="majorBidi" w:cstheme="majorBidi"/>
        </w:rPr>
        <w:t>3.</w:t>
      </w:r>
      <w:r w:rsidRPr="000F589D">
        <w:rPr>
          <w:rFonts w:asciiTheme="majorBidi" w:hAnsiTheme="majorBidi" w:cstheme="majorBidi"/>
        </w:rPr>
        <w:tab/>
        <w:t>In this strategic framework, capacity is described as “the ability of people, organizations and societies as a whole to achieve the biodiversity-related goals and action targets”, and capacity</w:t>
      </w:r>
      <w:r w:rsidRPr="000F589D">
        <w:rPr>
          <w:rFonts w:asciiTheme="majorBidi" w:hAnsiTheme="majorBidi" w:cstheme="majorBidi"/>
        </w:rPr>
        <w:noBreakHyphen/>
        <w:t>building and development is understood as “the process whereby people, organizations and society as a whole unleash, strengthen, create, adapt and maintain capacity over time to achieve positive biodiversity results.”</w:t>
      </w:r>
      <w:r w:rsidRPr="00610646">
        <w:rPr>
          <w:rStyle w:val="FootnoteReference"/>
        </w:rPr>
        <w:footnoteReference w:id="75"/>
      </w:r>
      <w:r w:rsidRPr="000F589D">
        <w:rPr>
          <w:rFonts w:asciiTheme="majorBidi" w:hAnsiTheme="majorBidi" w:cstheme="majorBidi"/>
        </w:rPr>
        <w:t xml:space="preserve"> </w:t>
      </w:r>
      <w:r w:rsidRPr="000F589D">
        <w:rPr>
          <w:rFonts w:asciiTheme="majorBidi" w:hAnsiTheme="majorBidi" w:cstheme="majorBidi"/>
        </w:rPr>
        <w:lastRenderedPageBreak/>
        <w:t>Capacity</w:t>
      </w:r>
      <w:r w:rsidRPr="000F589D">
        <w:rPr>
          <w:rFonts w:asciiTheme="majorBidi" w:hAnsiTheme="majorBidi" w:cstheme="majorBidi"/>
        </w:rPr>
        <w:noBreakHyphen/>
        <w:t>building and development is considered at three levels: the enabling environment, organizational and individual levels.</w:t>
      </w:r>
    </w:p>
    <w:p w14:paraId="07D66ADB" w14:textId="77777777" w:rsidR="008C379F" w:rsidRPr="000F589D" w:rsidRDefault="008C379F" w:rsidP="00AC7311">
      <w:pPr>
        <w:keepNext/>
        <w:suppressLineNumbers/>
        <w:tabs>
          <w:tab w:val="left" w:pos="284"/>
        </w:tabs>
        <w:suppressAutoHyphens/>
        <w:spacing w:before="120" w:after="120"/>
        <w:jc w:val="center"/>
        <w:rPr>
          <w:rFonts w:asciiTheme="majorBidi" w:hAnsiTheme="majorBidi" w:cstheme="majorBidi"/>
          <w:b/>
          <w:caps/>
          <w:color w:val="000000"/>
          <w:szCs w:val="22"/>
          <w:lang w:eastAsia="zh-CN"/>
        </w:rPr>
      </w:pPr>
      <w:bookmarkStart w:id="77" w:name="_Toc57214897"/>
      <w:r w:rsidRPr="000F589D">
        <w:rPr>
          <w:rFonts w:asciiTheme="majorBidi" w:hAnsiTheme="majorBidi" w:cstheme="majorBidi"/>
          <w:b/>
          <w:caps/>
          <w:color w:val="000000"/>
          <w:szCs w:val="22"/>
          <w:lang w:eastAsia="zh-CN"/>
        </w:rPr>
        <w:t>II.</w:t>
      </w:r>
      <w:r w:rsidRPr="000F589D">
        <w:rPr>
          <w:rFonts w:asciiTheme="majorBidi" w:hAnsiTheme="majorBidi" w:cstheme="majorBidi"/>
          <w:b/>
          <w:caps/>
          <w:color w:val="000000"/>
          <w:szCs w:val="22"/>
          <w:lang w:eastAsia="zh-CN"/>
        </w:rPr>
        <w:tab/>
      </w:r>
      <w:r>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Strategic direction and outcomes</w:t>
      </w:r>
      <w:bookmarkEnd w:id="77"/>
    </w:p>
    <w:p w14:paraId="47CDF56D" w14:textId="77777777" w:rsidR="008C379F" w:rsidRPr="00981752" w:rsidRDefault="008C379F" w:rsidP="00AC7311">
      <w:pPr>
        <w:pStyle w:val="heading2notforTOC"/>
        <w:outlineLvl w:val="9"/>
        <w:rPr>
          <w:rFonts w:asciiTheme="majorBidi" w:hAnsiTheme="majorBidi" w:cstheme="majorBidi"/>
          <w:b/>
          <w:bCs/>
          <w:i w:val="0"/>
          <w:iCs w:val="0"/>
          <w:snapToGrid w:val="0"/>
          <w:szCs w:val="22"/>
        </w:rPr>
      </w:pPr>
      <w:bookmarkStart w:id="78" w:name="_Toc39228082"/>
      <w:bookmarkStart w:id="79" w:name="_Toc57214898"/>
      <w:r w:rsidRPr="00981752">
        <w:rPr>
          <w:rFonts w:asciiTheme="majorBidi" w:hAnsiTheme="majorBidi" w:cstheme="majorBidi"/>
          <w:b/>
          <w:bCs/>
          <w:i w:val="0"/>
          <w:iCs w:val="0"/>
          <w:snapToGrid w:val="0"/>
          <w:szCs w:val="22"/>
        </w:rPr>
        <w:t>A.</w:t>
      </w:r>
      <w:r w:rsidRPr="00981752">
        <w:rPr>
          <w:rFonts w:asciiTheme="majorBidi" w:hAnsiTheme="majorBidi" w:cstheme="majorBidi"/>
          <w:b/>
          <w:bCs/>
          <w:i w:val="0"/>
          <w:iCs w:val="0"/>
          <w:snapToGrid w:val="0"/>
          <w:szCs w:val="22"/>
        </w:rPr>
        <w:tab/>
        <w:t>Overall vision and theory of change</w:t>
      </w:r>
      <w:bookmarkEnd w:id="78"/>
      <w:bookmarkEnd w:id="79"/>
    </w:p>
    <w:p w14:paraId="434D3455" w14:textId="77777777" w:rsidR="008C379F" w:rsidRPr="00FB01CE"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snapToGrid/>
        </w:rPr>
      </w:pPr>
      <w:r w:rsidRPr="000F589D">
        <w:rPr>
          <w:rFonts w:asciiTheme="majorBidi" w:hAnsiTheme="majorBidi" w:cstheme="majorBidi"/>
          <w:snapToGrid/>
        </w:rPr>
        <w:t>4.</w:t>
      </w:r>
      <w:r w:rsidRPr="000F589D">
        <w:rPr>
          <w:rFonts w:asciiTheme="majorBidi" w:hAnsiTheme="majorBidi" w:cstheme="majorBidi"/>
          <w:snapToGrid/>
        </w:rPr>
        <w:tab/>
      </w:r>
      <w:r w:rsidRPr="000F589D">
        <w:rPr>
          <w:rFonts w:asciiTheme="majorBidi" w:hAnsiTheme="majorBidi" w:cstheme="majorBidi"/>
        </w:rPr>
        <w:t>The long-</w:t>
      </w:r>
      <w:r w:rsidRPr="00FB01CE">
        <w:rPr>
          <w:rFonts w:asciiTheme="majorBidi" w:hAnsiTheme="majorBidi" w:cstheme="majorBidi"/>
        </w:rPr>
        <w:t>term vision of this strategic framework is that by 2050 all societies will be fully empowered to effectively live in harmony with nature. The medium-term vision is that by 2030 governments and relevant non-government actors will have the requisite capacities to effectively and sustainably contribute to the achievement of the goals and targets of the Kunming-Montreal Global Biodiversity Framework and to the implementation of the three objectives of the Convention and its Protocols.</w:t>
      </w:r>
    </w:p>
    <w:p w14:paraId="03DD83A3"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rPr>
      </w:pPr>
      <w:r w:rsidRPr="00FB01CE">
        <w:rPr>
          <w:rFonts w:asciiTheme="majorBidi" w:hAnsiTheme="majorBidi" w:cstheme="majorBidi"/>
        </w:rPr>
        <w:t>5.</w:t>
      </w:r>
      <w:r w:rsidRPr="00FB01CE">
        <w:rPr>
          <w:rFonts w:asciiTheme="majorBidi" w:hAnsiTheme="majorBidi" w:cstheme="majorBidi"/>
        </w:rPr>
        <w:tab/>
        <w:t>The overall goal is to support the development and strengthening of the capacities necessary for achieving the goals and targets of the Kunming-Montreal Global Biodiversity Framework and to enhance the coherence, efficiency and effectiveness of capacity</w:t>
      </w:r>
      <w:r w:rsidRPr="00FB01CE">
        <w:rPr>
          <w:rFonts w:asciiTheme="majorBidi" w:hAnsiTheme="majorBidi" w:cstheme="majorBidi"/>
        </w:rPr>
        <w:noBreakHyphen/>
        <w:t>building and development initiatives at all levels and ensuring alignment with relevant initiatives supporting the achievement of the Sustainable Development</w:t>
      </w:r>
      <w:r w:rsidRPr="000F589D">
        <w:rPr>
          <w:rFonts w:asciiTheme="majorBidi" w:hAnsiTheme="majorBidi" w:cstheme="majorBidi"/>
        </w:rPr>
        <w:t xml:space="preserve"> Goals. These changes can only be achieved by having in place effective, agile and continuously learning organizations</w:t>
      </w:r>
      <w:r w:rsidRPr="00610646">
        <w:rPr>
          <w:rStyle w:val="FootnoteReference"/>
        </w:rPr>
        <w:footnoteReference w:id="76"/>
      </w:r>
      <w:r w:rsidRPr="000F589D">
        <w:rPr>
          <w:rFonts w:asciiTheme="majorBidi" w:hAnsiTheme="majorBidi" w:cstheme="majorBidi"/>
        </w:rPr>
        <w:t xml:space="preserve"> supported with adequate financial, technical and human resources.</w:t>
      </w:r>
    </w:p>
    <w:p w14:paraId="640FC720"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rPr>
      </w:pPr>
      <w:r w:rsidRPr="000F589D">
        <w:rPr>
          <w:rFonts w:asciiTheme="majorBidi" w:hAnsiTheme="majorBidi" w:cstheme="majorBidi"/>
        </w:rPr>
        <w:t>6.</w:t>
      </w:r>
      <w:r w:rsidRPr="000F589D">
        <w:rPr>
          <w:rFonts w:asciiTheme="majorBidi" w:hAnsiTheme="majorBidi" w:cstheme="majorBidi"/>
        </w:rPr>
        <w:tab/>
        <w:t xml:space="preserve">The strategic framework, similar to the </w:t>
      </w:r>
      <w:r>
        <w:rPr>
          <w:rFonts w:asciiTheme="majorBidi" w:hAnsiTheme="majorBidi" w:cstheme="majorBidi"/>
        </w:rPr>
        <w:t>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 is underpinned by a theory of change, which is elaborated and visualized in figure 3 of document CBD/SBI/3/7/Add.1</w:t>
      </w:r>
      <w:r>
        <w:rPr>
          <w:rFonts w:asciiTheme="majorBidi" w:hAnsiTheme="majorBidi" w:cstheme="majorBidi"/>
        </w:rPr>
        <w:t>.</w:t>
      </w:r>
      <w:r w:rsidRPr="00610646">
        <w:rPr>
          <w:rStyle w:val="FootnoteReference"/>
        </w:rPr>
        <w:footnoteReference w:id="77"/>
      </w:r>
      <w:r w:rsidRPr="000F589D">
        <w:rPr>
          <w:rFonts w:asciiTheme="majorBidi" w:hAnsiTheme="majorBidi" w:cstheme="majorBidi"/>
        </w:rPr>
        <w:t xml:space="preserve"> The theory of change outlines the intended pathways of change in capacity, the underlying assumptions and the anticipated high-level changes/outcomes. The purpose of the theory of change is to ensure that relevant actors are conscious of the causal relationships, the change pathways, the expected changes/capacity results, and the important contextual factors and underlying assumptions.</w:t>
      </w:r>
    </w:p>
    <w:p w14:paraId="4C56F855" w14:textId="77777777" w:rsidR="008C379F" w:rsidRPr="006B35E1" w:rsidRDefault="008C379F" w:rsidP="006B35E1">
      <w:pPr>
        <w:pStyle w:val="NormalWeb"/>
        <w:keepNext/>
        <w:spacing w:before="120" w:after="120"/>
        <w:jc w:val="center"/>
        <w:rPr>
          <w:b/>
          <w:bCs/>
          <w:sz w:val="22"/>
          <w:szCs w:val="22"/>
        </w:rPr>
      </w:pPr>
      <w:bookmarkStart w:id="80" w:name="_Toc57214899"/>
      <w:r w:rsidRPr="006B35E1">
        <w:rPr>
          <w:b/>
          <w:bCs/>
          <w:sz w:val="22"/>
          <w:szCs w:val="22"/>
        </w:rPr>
        <w:t>B.</w:t>
      </w:r>
      <w:r w:rsidRPr="006B35E1">
        <w:rPr>
          <w:b/>
          <w:bCs/>
          <w:sz w:val="22"/>
          <w:szCs w:val="22"/>
        </w:rPr>
        <w:tab/>
        <w:t>Capacity results</w:t>
      </w:r>
      <w:bookmarkEnd w:id="80"/>
    </w:p>
    <w:p w14:paraId="3F81A953" w14:textId="77777777" w:rsidR="008C379F" w:rsidRPr="000F589D" w:rsidRDefault="008C379F" w:rsidP="00A30041">
      <w:pPr>
        <w:pStyle w:val="Para1"/>
        <w:numPr>
          <w:ilvl w:val="0"/>
          <w:numId w:val="0"/>
        </w:numPr>
        <w:suppressLineNumbers/>
        <w:tabs>
          <w:tab w:val="left" w:pos="720"/>
        </w:tabs>
        <w:suppressAutoHyphens/>
        <w:kinsoku w:val="0"/>
        <w:adjustRightInd w:val="0"/>
        <w:spacing w:after="240"/>
        <w:rPr>
          <w:rFonts w:asciiTheme="majorBidi" w:hAnsiTheme="majorBidi" w:cstheme="majorBidi"/>
          <w:snapToGrid/>
        </w:rPr>
      </w:pPr>
      <w:r w:rsidRPr="000F589D">
        <w:rPr>
          <w:rFonts w:asciiTheme="majorBidi" w:hAnsiTheme="majorBidi" w:cstheme="majorBidi"/>
          <w:snapToGrid/>
        </w:rPr>
        <w:t>7.</w:t>
      </w:r>
      <w:r w:rsidRPr="000F589D">
        <w:rPr>
          <w:rFonts w:asciiTheme="majorBidi" w:hAnsiTheme="majorBidi" w:cstheme="majorBidi"/>
          <w:snapToGrid/>
        </w:rPr>
        <w:tab/>
      </w:r>
      <w:r w:rsidRPr="000F589D">
        <w:rPr>
          <w:rFonts w:asciiTheme="majorBidi" w:hAnsiTheme="majorBidi" w:cstheme="majorBidi"/>
        </w:rPr>
        <w:t>The strategic framework establishes indicative high-level and long-term capacity</w:t>
      </w:r>
      <w:r w:rsidRPr="000F589D">
        <w:rPr>
          <w:rFonts w:asciiTheme="majorBidi" w:hAnsiTheme="majorBidi" w:cstheme="majorBidi"/>
        </w:rPr>
        <w:noBreakHyphen/>
        <w:t xml:space="preserve">building and development results relevant to the implementation of the three objectives of the Convention, the achievement of the goals and targets </w:t>
      </w:r>
      <w:r>
        <w:rPr>
          <w:rFonts w:asciiTheme="majorBidi" w:hAnsiTheme="majorBidi" w:cstheme="majorBidi"/>
        </w:rPr>
        <w:t>of the 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 and the Sustainable Development Goals (see Box 1). Government and relevant non-government actors are also encouraged to set capacity</w:t>
      </w:r>
      <w:r w:rsidRPr="000F589D">
        <w:rPr>
          <w:rFonts w:asciiTheme="majorBidi" w:hAnsiTheme="majorBidi" w:cstheme="majorBidi"/>
        </w:rPr>
        <w:noBreakHyphen/>
        <w:t>building and development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350"/>
      </w:tblGrid>
      <w:tr w:rsidR="008C379F" w:rsidRPr="00B7059E" w14:paraId="21448CEB" w14:textId="77777777" w:rsidTr="00BF7660">
        <w:tc>
          <w:tcPr>
            <w:tcW w:w="9452" w:type="dxa"/>
            <w:tcBorders>
              <w:top w:val="single" w:sz="4" w:space="0" w:color="auto"/>
              <w:left w:val="single" w:sz="4" w:space="0" w:color="auto"/>
              <w:bottom w:val="single" w:sz="4" w:space="0" w:color="auto"/>
              <w:right w:val="single" w:sz="4" w:space="0" w:color="auto"/>
            </w:tcBorders>
          </w:tcPr>
          <w:p w14:paraId="6C49A3D3" w14:textId="77777777" w:rsidR="008C379F" w:rsidRPr="000F589D" w:rsidRDefault="008C379F" w:rsidP="0098175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0F589D">
              <w:rPr>
                <w:rFonts w:asciiTheme="majorBidi" w:hAnsiTheme="majorBidi" w:cstheme="majorBidi"/>
                <w:b/>
                <w:bCs/>
                <w:snapToGrid w:val="0"/>
                <w:color w:val="000000"/>
                <w:kern w:val="22"/>
                <w:szCs w:val="22"/>
              </w:rPr>
              <w:lastRenderedPageBreak/>
              <w:t>Box 1. Expected capacity results</w:t>
            </w:r>
          </w:p>
          <w:p w14:paraId="601ECB37" w14:textId="77777777" w:rsidR="008C379F" w:rsidRPr="000F589D" w:rsidRDefault="008C379F" w:rsidP="00981752">
            <w:pPr>
              <w:pStyle w:val="ListParagraph"/>
              <w:keepNext/>
              <w:suppressLineNumbers/>
              <w:suppressAutoHyphens/>
              <w:kinsoku w:val="0"/>
              <w:overflowPunct w:val="0"/>
              <w:autoSpaceDE w:val="0"/>
              <w:autoSpaceDN w:val="0"/>
              <w:adjustRightInd w:val="0"/>
              <w:snapToGrid w:val="0"/>
              <w:spacing w:before="120" w:after="60"/>
              <w:ind w:left="0"/>
              <w:contextualSpacing w:val="0"/>
              <w:rPr>
                <w:rFonts w:asciiTheme="majorBidi" w:eastAsia="Calibri" w:hAnsiTheme="majorBidi" w:cstheme="majorBidi"/>
                <w:bCs/>
                <w:snapToGrid w:val="0"/>
                <w:color w:val="000000"/>
                <w:kern w:val="22"/>
                <w:szCs w:val="22"/>
              </w:rPr>
            </w:pPr>
            <w:r>
              <w:rPr>
                <w:rFonts w:asciiTheme="majorBidi" w:eastAsia="Calibri" w:hAnsiTheme="majorBidi" w:cstheme="majorBidi"/>
                <w:bCs/>
                <w:snapToGrid w:val="0"/>
                <w:color w:val="000000"/>
                <w:kern w:val="22"/>
                <w:szCs w:val="22"/>
              </w:rPr>
              <w:t>1. </w:t>
            </w:r>
            <w:r w:rsidRPr="000F589D">
              <w:rPr>
                <w:rFonts w:asciiTheme="majorBidi" w:eastAsia="Calibri" w:hAnsiTheme="majorBidi" w:cstheme="majorBidi"/>
                <w:bCs/>
                <w:snapToGrid w:val="0"/>
                <w:color w:val="000000"/>
                <w:kern w:val="22"/>
                <w:szCs w:val="22"/>
              </w:rPr>
              <w:t>Long-term, high-level outcomes</w:t>
            </w:r>
            <w:r>
              <w:rPr>
                <w:rFonts w:asciiTheme="majorBidi" w:eastAsia="Calibri" w:hAnsiTheme="majorBidi" w:cstheme="majorBidi"/>
                <w:bCs/>
                <w:snapToGrid w:val="0"/>
                <w:color w:val="000000"/>
                <w:kern w:val="22"/>
                <w:szCs w:val="22"/>
              </w:rPr>
              <w:t>:</w:t>
            </w:r>
          </w:p>
          <w:p w14:paraId="1866D6AC" w14:textId="77777777" w:rsidR="008C379F" w:rsidRPr="000F589D" w:rsidRDefault="008C379F" w:rsidP="00950BE4">
            <w:pPr>
              <w:pStyle w:val="ListParagraph"/>
              <w:numPr>
                <w:ilvl w:val="0"/>
                <w:numId w:val="49"/>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Successful implementation of national biodiversity strategies and action plans</w:t>
            </w:r>
            <w:r>
              <w:rPr>
                <w:rFonts w:asciiTheme="majorBidi" w:hAnsiTheme="majorBidi" w:cstheme="majorBidi"/>
                <w:bCs/>
                <w:snapToGrid w:val="0"/>
                <w:kern w:val="22"/>
                <w:szCs w:val="22"/>
              </w:rPr>
              <w:t>;</w:t>
            </w:r>
          </w:p>
          <w:p w14:paraId="3C464838" w14:textId="77777777" w:rsidR="008C379F" w:rsidRPr="000F589D" w:rsidRDefault="008C379F" w:rsidP="00950BE4">
            <w:pPr>
              <w:pStyle w:val="ListParagraph"/>
              <w:numPr>
                <w:ilvl w:val="0"/>
                <w:numId w:val="49"/>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 xml:space="preserve">Achievement of 2030 targets and 2050 vision of the </w:t>
            </w:r>
            <w:r>
              <w:rPr>
                <w:rFonts w:asciiTheme="majorBidi" w:hAnsiTheme="majorBidi" w:cstheme="majorBidi"/>
                <w:bCs/>
                <w:snapToGrid w:val="0"/>
                <w:kern w:val="22"/>
                <w:szCs w:val="22"/>
              </w:rPr>
              <w:t>Kunming-Montreal G</w:t>
            </w:r>
            <w:r w:rsidRPr="000F589D">
              <w:rPr>
                <w:rFonts w:asciiTheme="majorBidi" w:hAnsiTheme="majorBidi" w:cstheme="majorBidi"/>
                <w:bCs/>
                <w:snapToGrid w:val="0"/>
                <w:kern w:val="22"/>
                <w:szCs w:val="22"/>
              </w:rPr>
              <w:t xml:space="preserve">lobal </w:t>
            </w:r>
            <w:r>
              <w:rPr>
                <w:rFonts w:asciiTheme="majorBidi" w:hAnsiTheme="majorBidi" w:cstheme="majorBidi"/>
                <w:bCs/>
                <w:snapToGrid w:val="0"/>
                <w:kern w:val="22"/>
                <w:szCs w:val="22"/>
              </w:rPr>
              <w:t>B</w:t>
            </w:r>
            <w:r w:rsidRPr="000F589D">
              <w:rPr>
                <w:rFonts w:asciiTheme="majorBidi" w:hAnsiTheme="majorBidi" w:cstheme="majorBidi"/>
                <w:bCs/>
                <w:snapToGrid w:val="0"/>
                <w:kern w:val="22"/>
                <w:szCs w:val="22"/>
              </w:rPr>
              <w:t xml:space="preserve">iodiversity </w:t>
            </w:r>
            <w:r>
              <w:rPr>
                <w:rFonts w:asciiTheme="majorBidi" w:hAnsiTheme="majorBidi" w:cstheme="majorBidi"/>
                <w:bCs/>
                <w:snapToGrid w:val="0"/>
                <w:kern w:val="22"/>
                <w:szCs w:val="22"/>
              </w:rPr>
              <w:t>F</w:t>
            </w:r>
            <w:r w:rsidRPr="000F589D">
              <w:rPr>
                <w:rFonts w:asciiTheme="majorBidi" w:hAnsiTheme="majorBidi" w:cstheme="majorBidi"/>
                <w:bCs/>
                <w:snapToGrid w:val="0"/>
                <w:kern w:val="22"/>
                <w:szCs w:val="22"/>
              </w:rPr>
              <w:t>ramework</w:t>
            </w:r>
            <w:r>
              <w:rPr>
                <w:rFonts w:asciiTheme="majorBidi" w:hAnsiTheme="majorBidi" w:cstheme="majorBidi"/>
                <w:bCs/>
                <w:snapToGrid w:val="0"/>
                <w:kern w:val="22"/>
                <w:szCs w:val="22"/>
              </w:rPr>
              <w:t>;</w:t>
            </w:r>
          </w:p>
          <w:p w14:paraId="6F4D6DF9" w14:textId="77777777" w:rsidR="008C379F" w:rsidRPr="000F589D" w:rsidRDefault="008C379F" w:rsidP="00950BE4">
            <w:pPr>
              <w:pStyle w:val="ListParagraph"/>
              <w:numPr>
                <w:ilvl w:val="0"/>
                <w:numId w:val="49"/>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Biodiversity mainstreamed throughout sectors and society</w:t>
            </w:r>
            <w:r>
              <w:rPr>
                <w:rFonts w:asciiTheme="majorBidi" w:hAnsiTheme="majorBidi" w:cstheme="majorBidi"/>
                <w:bCs/>
                <w:snapToGrid w:val="0"/>
                <w:kern w:val="22"/>
                <w:szCs w:val="22"/>
              </w:rPr>
              <w:t>;</w:t>
            </w:r>
          </w:p>
          <w:p w14:paraId="0880DD4D" w14:textId="77777777" w:rsidR="008C379F" w:rsidRPr="008155A6" w:rsidRDefault="008C379F" w:rsidP="00950BE4">
            <w:pPr>
              <w:pStyle w:val="ListParagraph"/>
              <w:numPr>
                <w:ilvl w:val="0"/>
                <w:numId w:val="49"/>
              </w:numPr>
              <w:suppressLineNumbers/>
              <w:suppressAutoHyphens/>
              <w:kinsoku w:val="0"/>
              <w:overflowPunct w:val="0"/>
              <w:autoSpaceDE w:val="0"/>
              <w:autoSpaceDN w:val="0"/>
              <w:adjustRightInd w:val="0"/>
              <w:snapToGrid w:val="0"/>
              <w:spacing w:before="60" w:after="60"/>
              <w:ind w:left="0" w:firstLine="584"/>
              <w:contextualSpacing w:val="0"/>
              <w:rPr>
                <w:rFonts w:asciiTheme="majorBidi" w:eastAsia="Calibri" w:hAnsiTheme="majorBidi" w:cstheme="majorBidi"/>
                <w:bCs/>
                <w:snapToGrid w:val="0"/>
                <w:color w:val="000000"/>
                <w:kern w:val="22"/>
                <w:szCs w:val="22"/>
              </w:rPr>
            </w:pPr>
            <w:r w:rsidRPr="000F589D">
              <w:rPr>
                <w:rFonts w:asciiTheme="majorBidi" w:hAnsiTheme="majorBidi" w:cstheme="majorBidi"/>
                <w:bCs/>
                <w:snapToGrid w:val="0"/>
                <w:kern w:val="22"/>
                <w:szCs w:val="22"/>
              </w:rPr>
              <w:t>Strengthened access to and transfer of technology and effective participation in scientific and technical cooperation, particularly for developing countries</w:t>
            </w:r>
            <w:r>
              <w:rPr>
                <w:rFonts w:asciiTheme="majorBidi" w:hAnsiTheme="majorBidi" w:cstheme="majorBidi"/>
                <w:bCs/>
                <w:snapToGrid w:val="0"/>
                <w:kern w:val="22"/>
                <w:szCs w:val="22"/>
              </w:rPr>
              <w:t>.</w:t>
            </w:r>
          </w:p>
          <w:p w14:paraId="52B67F8E" w14:textId="77777777" w:rsidR="008C379F" w:rsidRPr="000F589D" w:rsidRDefault="008C379F" w:rsidP="00981752">
            <w:pPr>
              <w:pStyle w:val="ListParagraph"/>
              <w:suppressLineNumbers/>
              <w:suppressAutoHyphens/>
              <w:kinsoku w:val="0"/>
              <w:overflowPunct w:val="0"/>
              <w:autoSpaceDE w:val="0"/>
              <w:autoSpaceDN w:val="0"/>
              <w:adjustRightInd w:val="0"/>
              <w:snapToGrid w:val="0"/>
              <w:spacing w:before="240" w:after="60"/>
              <w:ind w:left="0"/>
              <w:contextualSpacing w:val="0"/>
              <w:rPr>
                <w:rFonts w:asciiTheme="majorBidi" w:eastAsia="Calibri" w:hAnsiTheme="majorBidi" w:cstheme="majorBidi"/>
                <w:bCs/>
                <w:snapToGrid w:val="0"/>
                <w:color w:val="000000"/>
                <w:kern w:val="22"/>
                <w:szCs w:val="22"/>
              </w:rPr>
            </w:pPr>
            <w:r>
              <w:rPr>
                <w:rFonts w:asciiTheme="majorBidi" w:eastAsia="Calibri" w:hAnsiTheme="majorBidi" w:cstheme="majorBidi"/>
                <w:bCs/>
                <w:snapToGrid w:val="0"/>
                <w:color w:val="000000"/>
                <w:kern w:val="22"/>
                <w:szCs w:val="22"/>
              </w:rPr>
              <w:t>2. </w:t>
            </w:r>
            <w:r w:rsidRPr="000F589D">
              <w:rPr>
                <w:rFonts w:asciiTheme="majorBidi" w:eastAsia="Calibri" w:hAnsiTheme="majorBidi" w:cstheme="majorBidi"/>
                <w:bCs/>
                <w:snapToGrid w:val="0"/>
                <w:color w:val="000000"/>
                <w:kern w:val="22"/>
                <w:szCs w:val="22"/>
              </w:rPr>
              <w:t>Medium-term outcomes</w:t>
            </w:r>
            <w:r>
              <w:rPr>
                <w:rFonts w:asciiTheme="majorBidi" w:eastAsia="Calibri" w:hAnsiTheme="majorBidi" w:cstheme="majorBidi"/>
                <w:bCs/>
                <w:snapToGrid w:val="0"/>
                <w:color w:val="000000"/>
                <w:kern w:val="22"/>
                <w:szCs w:val="22"/>
              </w:rPr>
              <w:t>:</w:t>
            </w:r>
          </w:p>
          <w:p w14:paraId="3E484759"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Successful development, where appropriate, and</w:t>
            </w:r>
            <w:r w:rsidRPr="000F589D">
              <w:rPr>
                <w:rFonts w:asciiTheme="majorBidi" w:eastAsia="Calibri" w:hAnsiTheme="majorBidi" w:cstheme="majorBidi"/>
                <w:bCs/>
                <w:snapToGrid w:val="0"/>
                <w:color w:val="000000"/>
                <w:szCs w:val="22"/>
              </w:rPr>
              <w:t xml:space="preserve"> update of the national biodiversity strategies and action plans</w:t>
            </w:r>
            <w:r>
              <w:rPr>
                <w:rFonts w:asciiTheme="majorBidi" w:eastAsia="Calibri" w:hAnsiTheme="majorBidi" w:cstheme="majorBidi"/>
                <w:bCs/>
                <w:snapToGrid w:val="0"/>
                <w:color w:val="000000"/>
                <w:szCs w:val="22"/>
              </w:rPr>
              <w:t>;</w:t>
            </w:r>
          </w:p>
          <w:p w14:paraId="75E5F639"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hAnsiTheme="majorBidi" w:cstheme="majorBidi"/>
                <w:bCs/>
                <w:snapToGrid w:val="0"/>
                <w:kern w:val="22"/>
                <w:szCs w:val="22"/>
              </w:rPr>
              <w:t xml:space="preserve">Sound enabling frameworks and institutional arrangements </w:t>
            </w:r>
            <w:r w:rsidRPr="00FA7F83">
              <w:rPr>
                <w:rFonts w:asciiTheme="majorBidi" w:hAnsiTheme="majorBidi" w:cstheme="majorBidi"/>
                <w:bCs/>
                <w:snapToGrid w:val="0"/>
                <w:kern w:val="22"/>
                <w:szCs w:val="22"/>
              </w:rPr>
              <w:t>support</w:t>
            </w:r>
            <w:r w:rsidRPr="000F589D">
              <w:rPr>
                <w:rFonts w:asciiTheme="majorBidi" w:hAnsiTheme="majorBidi" w:cstheme="majorBidi"/>
                <w:bCs/>
                <w:snapToGrid w:val="0"/>
                <w:kern w:val="22"/>
                <w:szCs w:val="22"/>
              </w:rPr>
              <w:t xml:space="preserve"> achievement of national biodiversity strategies and action plans</w:t>
            </w:r>
            <w:r>
              <w:rPr>
                <w:rFonts w:asciiTheme="majorBidi" w:hAnsiTheme="majorBidi" w:cstheme="majorBidi"/>
                <w:bCs/>
                <w:snapToGrid w:val="0"/>
                <w:kern w:val="22"/>
                <w:szCs w:val="22"/>
              </w:rPr>
              <w:t>;</w:t>
            </w:r>
          </w:p>
          <w:p w14:paraId="1223E132"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 xml:space="preserve">Strategic partnerships and learning networks </w:t>
            </w:r>
            <w:r w:rsidRPr="00FA7F83">
              <w:rPr>
                <w:rFonts w:asciiTheme="majorBidi" w:eastAsia="Calibri" w:hAnsiTheme="majorBidi" w:cstheme="majorBidi"/>
                <w:bCs/>
                <w:snapToGrid w:val="0"/>
                <w:color w:val="000000"/>
                <w:kern w:val="22"/>
                <w:szCs w:val="22"/>
              </w:rPr>
              <w:t>enhance biodiversity conservation and sustainable use efforts along with the equitable sharing of benefits arising from</w:t>
            </w:r>
            <w:r w:rsidRPr="000F589D">
              <w:rPr>
                <w:rFonts w:asciiTheme="majorBidi" w:eastAsia="Calibri" w:hAnsiTheme="majorBidi" w:cstheme="majorBidi"/>
                <w:bCs/>
                <w:snapToGrid w:val="0"/>
                <w:color w:val="000000"/>
                <w:kern w:val="22"/>
                <w:szCs w:val="22"/>
              </w:rPr>
              <w:t xml:space="preserve"> the utilization of genetic resources</w:t>
            </w:r>
            <w:r>
              <w:rPr>
                <w:rFonts w:asciiTheme="majorBidi" w:eastAsia="Calibri" w:hAnsiTheme="majorBidi" w:cstheme="majorBidi"/>
                <w:bCs/>
                <w:snapToGrid w:val="0"/>
                <w:color w:val="000000"/>
                <w:kern w:val="22"/>
                <w:szCs w:val="22"/>
              </w:rPr>
              <w:t>;</w:t>
            </w:r>
          </w:p>
          <w:p w14:paraId="0582F1A4"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 xml:space="preserve">High-quality programmes and projects that are technically sound have realistic and achievable plans, address gender and youth considerations, and </w:t>
            </w:r>
            <w:r w:rsidRPr="00FC4357">
              <w:rPr>
                <w:rFonts w:asciiTheme="majorBidi" w:eastAsia="Calibri" w:hAnsiTheme="majorBidi" w:cstheme="majorBidi"/>
                <w:bCs/>
                <w:snapToGrid w:val="0"/>
                <w:color w:val="000000"/>
                <w:kern w:val="22"/>
                <w:szCs w:val="22"/>
              </w:rPr>
              <w:t>embed monitoring;</w:t>
            </w:r>
          </w:p>
          <w:p w14:paraId="0B7CD615"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snapToGrid w:val="0"/>
                <w:color w:val="000000"/>
                <w:kern w:val="22"/>
                <w:szCs w:val="22"/>
              </w:rPr>
            </w:pPr>
            <w:r w:rsidRPr="000F589D">
              <w:rPr>
                <w:rFonts w:asciiTheme="majorBidi" w:eastAsia="Calibri" w:hAnsiTheme="majorBidi" w:cstheme="majorBidi"/>
                <w:snapToGrid w:val="0"/>
                <w:color w:val="000000"/>
                <w:kern w:val="22"/>
                <w:szCs w:val="22"/>
              </w:rPr>
              <w:t>Effective monitoring and evaluation and learning processes embedded into projects and programmes from the start, to support evidence-based decision-making at all levels</w:t>
            </w:r>
            <w:r>
              <w:rPr>
                <w:rFonts w:asciiTheme="majorBidi" w:eastAsia="Calibri" w:hAnsiTheme="majorBidi" w:cstheme="majorBidi"/>
                <w:snapToGrid w:val="0"/>
                <w:color w:val="000000"/>
                <w:kern w:val="22"/>
                <w:szCs w:val="22"/>
              </w:rPr>
              <w:t>;</w:t>
            </w:r>
          </w:p>
          <w:p w14:paraId="4F2D8B44" w14:textId="77777777" w:rsidR="008C379F" w:rsidRPr="000F589D" w:rsidRDefault="008C379F" w:rsidP="00950BE4">
            <w:pPr>
              <w:pStyle w:val="ListParagraph"/>
              <w:numPr>
                <w:ilvl w:val="0"/>
                <w:numId w:val="50"/>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Reinfor</w:t>
            </w:r>
            <w:r>
              <w:rPr>
                <w:rFonts w:asciiTheme="majorBidi" w:eastAsia="Calibri" w:hAnsiTheme="majorBidi" w:cstheme="majorBidi"/>
                <w:bCs/>
                <w:snapToGrid w:val="0"/>
                <w:color w:val="000000"/>
                <w:kern w:val="22"/>
                <w:szCs w:val="22"/>
              </w:rPr>
              <w:t>ced</w:t>
            </w:r>
            <w:r w:rsidRPr="000F589D">
              <w:rPr>
                <w:rFonts w:asciiTheme="majorBidi" w:eastAsia="Calibri" w:hAnsiTheme="majorBidi" w:cstheme="majorBidi"/>
                <w:bCs/>
                <w:snapToGrid w:val="0"/>
                <w:color w:val="000000"/>
                <w:kern w:val="22"/>
                <w:szCs w:val="22"/>
              </w:rPr>
              <w:t xml:space="preserve"> mechanisms, incentive structures and investments ensure utilization and retention of capacity of all types at all levels</w:t>
            </w:r>
            <w:r>
              <w:rPr>
                <w:rFonts w:asciiTheme="majorBidi" w:eastAsia="Calibri" w:hAnsiTheme="majorBidi" w:cstheme="majorBidi"/>
                <w:bCs/>
                <w:snapToGrid w:val="0"/>
                <w:color w:val="000000"/>
                <w:kern w:val="22"/>
                <w:szCs w:val="22"/>
              </w:rPr>
              <w:t>.</w:t>
            </w:r>
          </w:p>
        </w:tc>
      </w:tr>
    </w:tbl>
    <w:p w14:paraId="5DDEC559" w14:textId="77777777" w:rsidR="008C379F" w:rsidRPr="000F589D" w:rsidRDefault="008C379F" w:rsidP="002D60F3">
      <w:pPr>
        <w:keepNext/>
        <w:suppressLineNumbers/>
        <w:suppressAutoHyphens/>
        <w:spacing w:before="240" w:after="120"/>
        <w:jc w:val="center"/>
        <w:rPr>
          <w:rFonts w:asciiTheme="majorBidi" w:hAnsiTheme="majorBidi" w:cstheme="majorBidi"/>
          <w:b/>
          <w:caps/>
          <w:color w:val="000000"/>
          <w:szCs w:val="22"/>
          <w:lang w:eastAsia="zh-CN"/>
        </w:rPr>
      </w:pPr>
      <w:bookmarkStart w:id="81" w:name="_Toc57214900"/>
      <w:r w:rsidRPr="000F589D">
        <w:rPr>
          <w:rFonts w:asciiTheme="majorBidi" w:hAnsiTheme="majorBidi" w:cstheme="majorBidi"/>
          <w:b/>
          <w:caps/>
          <w:color w:val="000000"/>
          <w:szCs w:val="22"/>
          <w:lang w:eastAsia="zh-CN"/>
        </w:rPr>
        <w:t>III.</w:t>
      </w:r>
      <w:r w:rsidRPr="000F589D">
        <w:rPr>
          <w:rFonts w:asciiTheme="majorBidi" w:hAnsiTheme="majorBidi" w:cstheme="majorBidi"/>
          <w:b/>
          <w:caps/>
          <w:color w:val="000000"/>
          <w:szCs w:val="22"/>
          <w:lang w:eastAsia="zh-CN"/>
        </w:rPr>
        <w:tab/>
        <w:t>Guiding principles</w:t>
      </w:r>
      <w:bookmarkEnd w:id="81"/>
    </w:p>
    <w:p w14:paraId="4645C717"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snapToGrid/>
        </w:rPr>
      </w:pPr>
      <w:r w:rsidRPr="000F589D">
        <w:rPr>
          <w:rFonts w:asciiTheme="majorBidi" w:hAnsiTheme="majorBidi" w:cstheme="majorBidi"/>
          <w:snapToGrid/>
        </w:rPr>
        <w:t>8.</w:t>
      </w:r>
      <w:r w:rsidRPr="000F589D">
        <w:rPr>
          <w:rFonts w:asciiTheme="majorBidi" w:hAnsiTheme="majorBidi" w:cstheme="majorBidi"/>
          <w:snapToGrid/>
        </w:rPr>
        <w:tab/>
      </w:r>
      <w:r w:rsidRPr="000F589D">
        <w:rPr>
          <w:rFonts w:asciiTheme="majorBidi" w:hAnsiTheme="majorBidi" w:cstheme="majorBidi"/>
        </w:rPr>
        <w:t>Governments and non-governmental actors are encouraged to apply the following overarching guiding principles, in support of priorities for capacity</w:t>
      </w:r>
      <w:r w:rsidRPr="000F589D">
        <w:rPr>
          <w:rFonts w:asciiTheme="majorBidi" w:hAnsiTheme="majorBidi" w:cstheme="majorBidi"/>
        </w:rPr>
        <w:noBreakHyphen/>
        <w:t xml:space="preserve">building and development determined by Parties in their national biodiversity strategies and action plans, which, if applied, would contribute to more effective and sustainable capacities to support the </w:t>
      </w:r>
      <w:r>
        <w:rPr>
          <w:rFonts w:asciiTheme="majorBidi" w:hAnsiTheme="majorBidi" w:cstheme="majorBidi"/>
        </w:rPr>
        <w:t>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w:t>
      </w:r>
    </w:p>
    <w:p w14:paraId="7DF39C70"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(a)</w:t>
      </w:r>
      <w:r w:rsidRPr="000F589D">
        <w:rPr>
          <w:rFonts w:asciiTheme="majorBidi" w:hAnsiTheme="majorBidi" w:cstheme="majorBidi"/>
          <w:snapToGrid w:val="0"/>
          <w:color w:val="000000"/>
          <w:kern w:val="22"/>
          <w:szCs w:val="22"/>
        </w:rPr>
        <w:tab/>
        <w:t>Inclusive analysis of existing capacities and needs is essential to ensure effective interventions;</w:t>
      </w:r>
    </w:p>
    <w:p w14:paraId="05C561C9"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(b)</w:t>
      </w:r>
      <w:r w:rsidRPr="000F589D">
        <w:rPr>
          <w:rFonts w:asciiTheme="majorBidi" w:hAnsiTheme="majorBidi" w:cstheme="majorBidi"/>
          <w:snapToGrid w:val="0"/>
          <w:color w:val="000000"/>
          <w:kern w:val="22"/>
          <w:szCs w:val="22"/>
        </w:rPr>
        <w:tab/>
        <w:t>Country ownership and commitment should be cornerstones for capacity</w:t>
      </w:r>
      <w:r w:rsidRPr="000F589D">
        <w:rPr>
          <w:rFonts w:asciiTheme="majorBidi" w:hAnsiTheme="majorBidi" w:cstheme="majorBidi"/>
          <w:snapToGrid w:val="0"/>
          <w:color w:val="000000"/>
          <w:kern w:val="22"/>
          <w:szCs w:val="22"/>
        </w:rPr>
        <w:noBreakHyphen/>
        <w:t>building and development actions;</w:t>
      </w:r>
    </w:p>
    <w:p w14:paraId="0045217B"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(c)</w:t>
      </w:r>
      <w:r w:rsidRPr="000F589D">
        <w:rPr>
          <w:rFonts w:asciiTheme="majorBidi" w:hAnsiTheme="majorBidi" w:cstheme="majorBidi"/>
          <w:snapToGrid w:val="0"/>
          <w:color w:val="000000"/>
          <w:kern w:val="22"/>
          <w:szCs w:val="22"/>
        </w:rPr>
        <w:tab/>
        <w:t>Strategic and integrated system-wide approaches to capacity</w:t>
      </w:r>
      <w:r w:rsidRPr="000F589D">
        <w:rPr>
          <w:rFonts w:asciiTheme="majorBidi" w:hAnsiTheme="majorBidi" w:cstheme="majorBidi"/>
          <w:snapToGrid w:val="0"/>
          <w:color w:val="000000"/>
          <w:kern w:val="22"/>
          <w:szCs w:val="22"/>
        </w:rPr>
        <w:noBreakHyphen/>
        <w:t>building and development should be promoted;</w:t>
      </w:r>
    </w:p>
    <w:p w14:paraId="77222DC4"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0F589D">
        <w:rPr>
          <w:rFonts w:asciiTheme="majorBidi" w:hAnsiTheme="majorBidi" w:cstheme="majorBidi"/>
          <w:snapToGrid w:val="0"/>
          <w:color w:val="000000" w:themeColor="text1"/>
          <w:kern w:val="22"/>
          <w:szCs w:val="22"/>
        </w:rPr>
        <w:t>(d)</w:t>
      </w:r>
      <w:r w:rsidRPr="000F589D">
        <w:rPr>
          <w:rFonts w:asciiTheme="majorBidi" w:hAnsiTheme="majorBidi" w:cstheme="majorBidi"/>
          <w:snapToGrid w:val="0"/>
          <w:color w:val="000000" w:themeColor="text1"/>
          <w:kern w:val="22"/>
          <w:szCs w:val="22"/>
        </w:rPr>
        <w:tab/>
      </w:r>
      <w:r w:rsidRPr="000F589D">
        <w:rPr>
          <w:rFonts w:asciiTheme="majorBidi" w:hAnsiTheme="majorBidi" w:cstheme="majorBidi"/>
          <w:snapToGrid w:val="0"/>
          <w:color w:val="000000"/>
          <w:kern w:val="22"/>
          <w:szCs w:val="22"/>
        </w:rPr>
        <w:t>Interventions</w:t>
      </w:r>
      <w:r w:rsidRPr="000F589D">
        <w:rPr>
          <w:rFonts w:asciiTheme="majorBidi" w:hAnsiTheme="majorBidi" w:cstheme="majorBidi"/>
          <w:snapToGrid w:val="0"/>
          <w:color w:val="000000" w:themeColor="text1"/>
          <w:kern w:val="22"/>
          <w:szCs w:val="22"/>
        </w:rPr>
        <w:t xml:space="preserve"> should be designed and implemented according to recognized good practice and lessons learned;</w:t>
      </w:r>
    </w:p>
    <w:p w14:paraId="7542C059"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(e)</w:t>
      </w:r>
      <w:r w:rsidRPr="000F589D">
        <w:rPr>
          <w:rFonts w:asciiTheme="majorBidi" w:hAnsiTheme="majorBidi" w:cstheme="majorBidi"/>
          <w:snapToGrid w:val="0"/>
          <w:kern w:val="22"/>
          <w:szCs w:val="22"/>
        </w:rPr>
        <w:tab/>
        <w:t xml:space="preserve">Indigenous peoples and local communities, </w:t>
      </w:r>
      <w:r w:rsidRPr="000F589D">
        <w:rPr>
          <w:rFonts w:asciiTheme="majorBidi" w:hAnsiTheme="majorBidi" w:cstheme="majorBidi"/>
          <w:snapToGrid w:val="0"/>
          <w:color w:val="000000"/>
          <w:kern w:val="22"/>
          <w:szCs w:val="22"/>
        </w:rPr>
        <w:t>gender</w:t>
      </w:r>
      <w:r w:rsidRPr="000F589D">
        <w:rPr>
          <w:rFonts w:asciiTheme="majorBidi" w:hAnsiTheme="majorBidi" w:cstheme="majorBidi"/>
          <w:snapToGrid w:val="0"/>
          <w:kern w:val="22"/>
          <w:szCs w:val="22"/>
        </w:rPr>
        <w:t xml:space="preserve"> and youth perspectives should be fully integrated into biodiversity capacity</w:t>
      </w:r>
      <w:r w:rsidRPr="000F589D">
        <w:rPr>
          <w:rFonts w:asciiTheme="majorBidi" w:hAnsiTheme="majorBidi" w:cstheme="majorBidi"/>
          <w:snapToGrid w:val="0"/>
          <w:kern w:val="22"/>
          <w:szCs w:val="22"/>
        </w:rPr>
        <w:noBreakHyphen/>
        <w:t>building and development efforts</w:t>
      </w:r>
      <w:r>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taking into account the </w:t>
      </w:r>
      <w:r>
        <w:rPr>
          <w:rFonts w:asciiTheme="majorBidi" w:hAnsiTheme="majorBidi" w:cstheme="majorBidi"/>
          <w:snapToGrid w:val="0"/>
          <w:kern w:val="22"/>
          <w:szCs w:val="22"/>
        </w:rPr>
        <w:t>G</w:t>
      </w:r>
      <w:r w:rsidRPr="000F589D">
        <w:rPr>
          <w:rFonts w:asciiTheme="majorBidi" w:hAnsiTheme="majorBidi" w:cstheme="majorBidi"/>
          <w:snapToGrid w:val="0"/>
          <w:kern w:val="22"/>
          <w:szCs w:val="22"/>
        </w:rPr>
        <w:t xml:space="preserve">ender </w:t>
      </w:r>
      <w:r>
        <w:rPr>
          <w:rFonts w:asciiTheme="majorBidi" w:hAnsiTheme="majorBidi" w:cstheme="majorBidi"/>
          <w:snapToGrid w:val="0"/>
          <w:kern w:val="22"/>
          <w:szCs w:val="22"/>
        </w:rPr>
        <w:t>P</w:t>
      </w:r>
      <w:r w:rsidRPr="000F589D">
        <w:rPr>
          <w:rFonts w:asciiTheme="majorBidi" w:hAnsiTheme="majorBidi" w:cstheme="majorBidi"/>
          <w:snapToGrid w:val="0"/>
          <w:kern w:val="22"/>
          <w:szCs w:val="22"/>
        </w:rPr>
        <w:t xml:space="preserve">lan of </w:t>
      </w:r>
      <w:r>
        <w:rPr>
          <w:rFonts w:asciiTheme="majorBidi" w:hAnsiTheme="majorBidi" w:cstheme="majorBidi"/>
          <w:snapToGrid w:val="0"/>
          <w:kern w:val="22"/>
          <w:szCs w:val="22"/>
        </w:rPr>
        <w:t>A</w:t>
      </w:r>
      <w:r w:rsidRPr="000F589D">
        <w:rPr>
          <w:rFonts w:asciiTheme="majorBidi" w:hAnsiTheme="majorBidi" w:cstheme="majorBidi"/>
          <w:snapToGrid w:val="0"/>
          <w:kern w:val="22"/>
          <w:szCs w:val="22"/>
        </w:rPr>
        <w:t>ction;</w:t>
      </w:r>
      <w:r w:rsidRPr="00610646">
        <w:rPr>
          <w:rStyle w:val="FootnoteReference"/>
        </w:rPr>
        <w:footnoteReference w:id="78"/>
      </w:r>
    </w:p>
    <w:p w14:paraId="1CDA0035" w14:textId="77777777" w:rsidR="008C379F" w:rsidRPr="000F589D" w:rsidRDefault="008C379F"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0F589D">
        <w:rPr>
          <w:rFonts w:asciiTheme="majorBidi" w:hAnsiTheme="majorBidi" w:cstheme="majorBidi"/>
          <w:snapToGrid w:val="0"/>
          <w:color w:val="000000" w:themeColor="text1"/>
          <w:kern w:val="22"/>
          <w:szCs w:val="22"/>
        </w:rPr>
        <w:t>(f)</w:t>
      </w:r>
      <w:r w:rsidRPr="000F589D">
        <w:rPr>
          <w:rFonts w:asciiTheme="majorBidi" w:hAnsiTheme="majorBidi" w:cstheme="majorBidi"/>
          <w:snapToGrid w:val="0"/>
          <w:color w:val="000000" w:themeColor="text1"/>
          <w:kern w:val="22"/>
          <w:szCs w:val="22"/>
        </w:rPr>
        <w:tab/>
      </w:r>
      <w:r w:rsidRPr="000F589D">
        <w:rPr>
          <w:rFonts w:asciiTheme="majorBidi" w:hAnsiTheme="majorBidi" w:cstheme="majorBidi"/>
          <w:snapToGrid w:val="0"/>
          <w:color w:val="000000"/>
          <w:kern w:val="22"/>
          <w:szCs w:val="22"/>
        </w:rPr>
        <w:t>Monitoring</w:t>
      </w:r>
      <w:r w:rsidRPr="000F589D">
        <w:rPr>
          <w:rFonts w:asciiTheme="majorBidi" w:hAnsiTheme="majorBidi" w:cstheme="majorBidi"/>
          <w:snapToGrid w:val="0"/>
          <w:color w:val="000000" w:themeColor="text1"/>
          <w:kern w:val="22"/>
          <w:szCs w:val="22"/>
        </w:rPr>
        <w:t>, evaluation and learning frameworks should be incorporated into capacity</w:t>
      </w:r>
      <w:r w:rsidRPr="000F589D">
        <w:rPr>
          <w:rFonts w:asciiTheme="majorBidi" w:hAnsiTheme="majorBidi" w:cstheme="majorBidi"/>
          <w:snapToGrid w:val="0"/>
          <w:color w:val="000000" w:themeColor="text1"/>
          <w:kern w:val="22"/>
          <w:szCs w:val="22"/>
        </w:rPr>
        <w:noBreakHyphen/>
        <w:t>building and development strategies, plans and programmes from the start.</w:t>
      </w:r>
    </w:p>
    <w:p w14:paraId="7246BE0D" w14:textId="77777777" w:rsidR="008C379F" w:rsidRPr="000F589D" w:rsidRDefault="008C379F" w:rsidP="002D60F3">
      <w:pPr>
        <w:keepNext/>
        <w:suppressLineNumbers/>
        <w:suppressAutoHyphens/>
        <w:spacing w:before="240" w:after="120"/>
        <w:jc w:val="center"/>
        <w:rPr>
          <w:rFonts w:asciiTheme="majorBidi" w:hAnsiTheme="majorBidi" w:cstheme="majorBidi"/>
          <w:b/>
          <w:caps/>
          <w:color w:val="000000"/>
          <w:szCs w:val="22"/>
          <w:lang w:eastAsia="zh-CN"/>
        </w:rPr>
      </w:pPr>
      <w:bookmarkStart w:id="82" w:name="_Toc57214901"/>
      <w:r w:rsidRPr="000F589D">
        <w:rPr>
          <w:rFonts w:asciiTheme="majorBidi" w:hAnsiTheme="majorBidi" w:cstheme="majorBidi"/>
          <w:b/>
          <w:caps/>
          <w:color w:val="000000"/>
          <w:szCs w:val="22"/>
          <w:lang w:eastAsia="zh-CN"/>
        </w:rPr>
        <w:lastRenderedPageBreak/>
        <w:t>I</w:t>
      </w:r>
      <w:bookmarkStart w:id="83" w:name="_Toc39228093"/>
      <w:r w:rsidRPr="000F589D">
        <w:rPr>
          <w:rFonts w:asciiTheme="majorBidi" w:hAnsiTheme="majorBidi" w:cstheme="majorBidi"/>
          <w:b/>
          <w:caps/>
          <w:color w:val="000000"/>
          <w:szCs w:val="22"/>
          <w:lang w:eastAsia="zh-CN"/>
        </w:rPr>
        <w:t>V.</w:t>
      </w:r>
      <w:r w:rsidRPr="000F589D">
        <w:rPr>
          <w:rFonts w:asciiTheme="majorBidi" w:hAnsiTheme="majorBidi" w:cstheme="majorBidi"/>
          <w:b/>
          <w:caps/>
          <w:color w:val="000000"/>
          <w:szCs w:val="22"/>
          <w:lang w:eastAsia="zh-CN"/>
        </w:rPr>
        <w:tab/>
        <w:t>Key strategies to improve capacity</w:t>
      </w:r>
      <w:r w:rsidRPr="000F589D">
        <w:rPr>
          <w:rFonts w:asciiTheme="majorBidi" w:hAnsiTheme="majorBidi" w:cstheme="majorBidi"/>
          <w:b/>
          <w:caps/>
          <w:color w:val="000000"/>
          <w:szCs w:val="22"/>
          <w:lang w:eastAsia="zh-CN"/>
        </w:rPr>
        <w:noBreakHyphen/>
        <w:t>building and development</w:t>
      </w:r>
      <w:bookmarkEnd w:id="82"/>
      <w:bookmarkEnd w:id="83"/>
    </w:p>
    <w:p w14:paraId="1EF5FFE5" w14:textId="77777777" w:rsidR="008C379F" w:rsidRPr="000F589D" w:rsidRDefault="008C379F" w:rsidP="00A30041">
      <w:pPr>
        <w:pStyle w:val="Para1"/>
        <w:numPr>
          <w:ilvl w:val="0"/>
          <w:numId w:val="0"/>
        </w:numPr>
        <w:suppressLineNumbers/>
        <w:tabs>
          <w:tab w:val="left" w:pos="720"/>
        </w:tabs>
        <w:suppressAutoHyphens/>
        <w:kinsoku w:val="0"/>
        <w:adjustRightInd w:val="0"/>
        <w:rPr>
          <w:rFonts w:asciiTheme="majorBidi" w:hAnsiTheme="majorBidi" w:cstheme="majorBidi"/>
          <w:snapToGrid/>
        </w:rPr>
      </w:pPr>
      <w:r w:rsidRPr="000F589D">
        <w:rPr>
          <w:rFonts w:asciiTheme="majorBidi" w:hAnsiTheme="majorBidi" w:cstheme="majorBidi"/>
          <w:snapToGrid/>
        </w:rPr>
        <w:t>9.</w:t>
      </w:r>
      <w:r w:rsidRPr="000F589D">
        <w:rPr>
          <w:rFonts w:asciiTheme="majorBidi" w:hAnsiTheme="majorBidi" w:cstheme="majorBidi"/>
          <w:snapToGrid/>
        </w:rPr>
        <w:tab/>
      </w:r>
      <w:r w:rsidRPr="000F589D">
        <w:rPr>
          <w:rFonts w:asciiTheme="majorBidi" w:hAnsiTheme="majorBidi" w:cstheme="majorBidi"/>
        </w:rPr>
        <w:t>Government and non-government actors are encouraged to adopt, as appropriate, the strategies below to enhance capacity</w:t>
      </w:r>
      <w:r w:rsidRPr="000F589D">
        <w:rPr>
          <w:rFonts w:asciiTheme="majorBidi" w:hAnsiTheme="majorBidi" w:cstheme="majorBidi"/>
        </w:rPr>
        <w:noBreakHyphen/>
        <w:t xml:space="preserve">building and development initiatives in support of the </w:t>
      </w:r>
      <w:r>
        <w:rPr>
          <w:rFonts w:asciiTheme="majorBidi" w:hAnsiTheme="majorBidi" w:cstheme="majorBidi"/>
        </w:rPr>
        <w:t>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 and ensure alignment and synergy with the Sustainable Development Goals and other relevant national and global processes. Each country should decide which strategies to apply, taking into account its needs, circumstances and local contexts:</w:t>
      </w:r>
    </w:p>
    <w:p w14:paraId="5E66C1BE"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bookmarkStart w:id="84" w:name="_Toc39228094"/>
      <w:r w:rsidRPr="000F589D">
        <w:rPr>
          <w:rFonts w:asciiTheme="majorBidi" w:hAnsiTheme="majorBidi" w:cstheme="majorBidi"/>
          <w:snapToGrid w:val="0"/>
          <w:kern w:val="22"/>
          <w:szCs w:val="22"/>
        </w:rPr>
        <w:t>(a)</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Institutionalize capacity</w:t>
      </w:r>
      <w:r w:rsidRPr="000F589D">
        <w:rPr>
          <w:rFonts w:asciiTheme="majorBidi" w:hAnsiTheme="majorBidi" w:cstheme="majorBidi"/>
          <w:i/>
          <w:snapToGrid w:val="0"/>
          <w:kern w:val="22"/>
          <w:szCs w:val="22"/>
        </w:rPr>
        <w:noBreakHyphen/>
        <w:t>building and development</w:t>
      </w:r>
      <w:bookmarkEnd w:id="84"/>
      <w:r>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Ensure that capacity</w:t>
      </w:r>
      <w:r w:rsidRPr="000F589D">
        <w:rPr>
          <w:rFonts w:asciiTheme="majorBidi" w:hAnsiTheme="majorBidi" w:cstheme="majorBidi"/>
          <w:snapToGrid w:val="0"/>
          <w:kern w:val="22"/>
          <w:szCs w:val="22"/>
        </w:rPr>
        <w:noBreakHyphen/>
        <w:t>building and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bookmarkStart w:id="85" w:name="_Toc39228095"/>
    </w:p>
    <w:p w14:paraId="27236FCA"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(b)</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Integrate long-term capacity</w:t>
      </w:r>
      <w:r w:rsidRPr="000F589D">
        <w:rPr>
          <w:rFonts w:asciiTheme="majorBidi" w:hAnsiTheme="majorBidi" w:cstheme="majorBidi"/>
          <w:i/>
          <w:snapToGrid w:val="0"/>
          <w:kern w:val="22"/>
          <w:szCs w:val="22"/>
        </w:rPr>
        <w:noBreakHyphen/>
        <w:t>building and development into national biodiversity strategies and action plans</w:t>
      </w:r>
      <w:bookmarkEnd w:id="85"/>
      <w:r>
        <w:rPr>
          <w:rFonts w:asciiTheme="majorBidi" w:hAnsiTheme="majorBidi" w:cstheme="majorBidi"/>
          <w:i/>
          <w:snapToGrid w:val="0"/>
          <w:kern w:val="22"/>
          <w:szCs w:val="22"/>
        </w:rPr>
        <w:t>.</w:t>
      </w:r>
      <w:r w:rsidRPr="000F589D">
        <w:rPr>
          <w:rFonts w:asciiTheme="majorBidi" w:hAnsiTheme="majorBidi" w:cstheme="majorBidi"/>
          <w:snapToGrid w:val="0"/>
          <w:kern w:val="22"/>
          <w:szCs w:val="22"/>
        </w:rPr>
        <w:t xml:space="preserve"> Integrate capacity</w:t>
      </w:r>
      <w:r w:rsidRPr="000F589D">
        <w:rPr>
          <w:rFonts w:asciiTheme="majorBidi" w:hAnsiTheme="majorBidi" w:cstheme="majorBidi"/>
          <w:snapToGrid w:val="0"/>
          <w:kern w:val="22"/>
          <w:szCs w:val="22"/>
        </w:rPr>
        <w:noBreakHyphen/>
        <w:t>building and development components into national biodiversity strategies and action plans and similar strategic documents or develop dedicated national capacity</w:t>
      </w:r>
      <w:r w:rsidRPr="000F589D">
        <w:rPr>
          <w:rFonts w:asciiTheme="majorBidi" w:hAnsiTheme="majorBidi" w:cstheme="majorBidi"/>
          <w:snapToGrid w:val="0"/>
          <w:kern w:val="22"/>
          <w:szCs w:val="22"/>
        </w:rPr>
        <w:noBreakHyphen/>
        <w:t>building and development action plans, as appropriate,</w:t>
      </w:r>
      <w:r w:rsidRPr="00610646">
        <w:rPr>
          <w:rStyle w:val="FootnoteReference"/>
        </w:rPr>
        <w:footnoteReference w:id="79"/>
      </w:r>
      <w:r w:rsidRPr="000F589D">
        <w:rPr>
          <w:rFonts w:asciiTheme="majorBidi" w:hAnsiTheme="majorBidi" w:cstheme="majorBidi"/>
          <w:snapToGrid w:val="0"/>
          <w:kern w:val="22"/>
          <w:szCs w:val="22"/>
        </w:rPr>
        <w:t xml:space="preserve"> to identify the core capacity</w:t>
      </w:r>
      <w:r w:rsidRPr="000F589D">
        <w:rPr>
          <w:rFonts w:asciiTheme="majorBidi" w:hAnsiTheme="majorBidi" w:cstheme="majorBidi"/>
          <w:snapToGrid w:val="0"/>
          <w:kern w:val="22"/>
          <w:szCs w:val="22"/>
        </w:rPr>
        <w:noBreakHyphen/>
        <w:t>building and development needs, goals, targets and milestones and foster their alignment with the strategic framework, alongside initiatives on related Sustainable Development Goals. This would help ensure that capacity</w:t>
      </w:r>
      <w:r w:rsidRPr="000F589D">
        <w:rPr>
          <w:rFonts w:asciiTheme="majorBidi" w:hAnsiTheme="majorBidi" w:cstheme="majorBidi"/>
          <w:snapToGrid w:val="0"/>
          <w:kern w:val="22"/>
          <w:szCs w:val="22"/>
        </w:rPr>
        <w:noBreakHyphen/>
        <w:t>building and development f</w:t>
      </w:r>
      <w:r w:rsidRPr="00A9371E">
        <w:rPr>
          <w:rFonts w:asciiTheme="majorBidi" w:hAnsiTheme="majorBidi" w:cstheme="majorBidi"/>
          <w:snapToGrid w:val="0"/>
          <w:kern w:val="22"/>
          <w:szCs w:val="22"/>
        </w:rPr>
        <w:t xml:space="preserve">or biodiversity is planned strategically and streamlined into national development investments and budgeting processes. </w:t>
      </w:r>
      <w:r w:rsidRPr="004D32B6">
        <w:rPr>
          <w:rFonts w:asciiTheme="majorBidi" w:hAnsiTheme="majorBidi" w:cstheme="majorBidi"/>
          <w:snapToGrid w:val="0"/>
          <w:kern w:val="22"/>
          <w:szCs w:val="22"/>
        </w:rPr>
        <w:t xml:space="preserve">It is encouraged to </w:t>
      </w:r>
      <w:r w:rsidRPr="00A9371E">
        <w:rPr>
          <w:rFonts w:asciiTheme="majorBidi" w:hAnsiTheme="majorBidi" w:cstheme="majorBidi"/>
          <w:snapToGrid w:val="0"/>
          <w:kern w:val="22"/>
          <w:szCs w:val="22"/>
        </w:rPr>
        <w:t>include plans on youth engagement and capacity</w:t>
      </w:r>
      <w:r w:rsidRPr="00A9371E">
        <w:rPr>
          <w:rFonts w:asciiTheme="majorBidi" w:hAnsiTheme="majorBidi" w:cstheme="majorBidi"/>
          <w:snapToGrid w:val="0"/>
          <w:kern w:val="22"/>
          <w:szCs w:val="22"/>
        </w:rPr>
        <w:noBreakHyphen/>
        <w:t>building and development</w:t>
      </w:r>
      <w:r w:rsidRPr="004D32B6">
        <w:rPr>
          <w:rFonts w:asciiTheme="majorBidi" w:hAnsiTheme="majorBidi" w:cstheme="majorBidi"/>
          <w:snapToGrid w:val="0"/>
          <w:kern w:val="22"/>
          <w:szCs w:val="22"/>
        </w:rPr>
        <w:t>,</w:t>
      </w:r>
      <w:r w:rsidRPr="00A9371E">
        <w:rPr>
          <w:rFonts w:asciiTheme="majorBidi" w:hAnsiTheme="majorBidi" w:cstheme="majorBidi"/>
          <w:snapToGrid w:val="0"/>
          <w:kern w:val="22"/>
          <w:szCs w:val="22"/>
        </w:rPr>
        <w:t xml:space="preserve"> and </w:t>
      </w:r>
      <w:r w:rsidRPr="004D32B6">
        <w:rPr>
          <w:rFonts w:asciiTheme="majorBidi" w:hAnsiTheme="majorBidi" w:cstheme="majorBidi"/>
          <w:snapToGrid w:val="0"/>
          <w:kern w:val="22"/>
          <w:szCs w:val="22"/>
        </w:rPr>
        <w:t xml:space="preserve">to </w:t>
      </w:r>
      <w:r w:rsidRPr="00A9371E">
        <w:rPr>
          <w:rFonts w:asciiTheme="majorBidi" w:hAnsiTheme="majorBidi" w:cstheme="majorBidi"/>
          <w:snapToGrid w:val="0"/>
          <w:kern w:val="22"/>
          <w:szCs w:val="22"/>
        </w:rPr>
        <w:t>integrate intergenerational initiatives</w:t>
      </w:r>
      <w:r w:rsidRPr="004D32B6">
        <w:rPr>
          <w:rFonts w:asciiTheme="majorBidi" w:hAnsiTheme="majorBidi" w:cstheme="majorBidi"/>
          <w:snapToGrid w:val="0"/>
          <w:kern w:val="22"/>
          <w:szCs w:val="22"/>
        </w:rPr>
        <w:t xml:space="preserve"> in these documents</w:t>
      </w:r>
      <w:r w:rsidRPr="00A9371E">
        <w:rPr>
          <w:rFonts w:asciiTheme="majorBidi" w:hAnsiTheme="majorBidi" w:cstheme="majorBidi"/>
          <w:snapToGrid w:val="0"/>
          <w:kern w:val="22"/>
          <w:szCs w:val="22"/>
        </w:rPr>
        <w:t>;</w:t>
      </w:r>
    </w:p>
    <w:p w14:paraId="15846317"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(c)</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Increase focus on life-</w:t>
      </w:r>
      <w:r w:rsidRPr="000F589D">
        <w:rPr>
          <w:rFonts w:asciiTheme="majorBidi" w:hAnsiTheme="majorBidi" w:cstheme="majorBidi"/>
          <w:i/>
          <w:iCs/>
          <w:snapToGrid w:val="0"/>
          <w:kern w:val="22"/>
          <w:szCs w:val="22"/>
        </w:rPr>
        <w:t>long learning</w:t>
      </w:r>
      <w:r>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w:t>
      </w:r>
      <w:r>
        <w:rPr>
          <w:rFonts w:asciiTheme="majorBidi" w:hAnsiTheme="majorBidi" w:cstheme="majorBidi"/>
          <w:snapToGrid w:val="0"/>
          <w:kern w:val="22"/>
          <w:szCs w:val="22"/>
        </w:rPr>
        <w:t>I</w:t>
      </w:r>
      <w:r w:rsidRPr="000F589D">
        <w:rPr>
          <w:rFonts w:asciiTheme="majorBidi" w:hAnsiTheme="majorBidi" w:cstheme="majorBidi"/>
          <w:snapToGrid w:val="0"/>
          <w:kern w:val="22"/>
          <w:szCs w:val="22"/>
        </w:rPr>
        <w:t xml:space="preserve">ncrease focus on formal, non-formal and informal education at all levels, including adult education, ensuring that knowledge, skills, values and norms are in line with the goals and targets as well as capacity-building and development needs of the </w:t>
      </w:r>
      <w:r>
        <w:rPr>
          <w:rFonts w:asciiTheme="majorBidi" w:hAnsiTheme="majorBidi" w:cstheme="majorBidi"/>
          <w:snapToGrid w:val="0"/>
          <w:kern w:val="22"/>
          <w:szCs w:val="22"/>
        </w:rPr>
        <w:t>Kunming-Montreal</w:t>
      </w:r>
      <w:r w:rsidRPr="000F589D">
        <w:rPr>
          <w:rFonts w:asciiTheme="majorBidi" w:hAnsiTheme="majorBidi" w:cstheme="majorBidi"/>
          <w:snapToGrid w:val="0"/>
          <w:kern w:val="22"/>
          <w:szCs w:val="22"/>
        </w:rPr>
        <w:t xml:space="preserve"> </w:t>
      </w:r>
      <w:r>
        <w:rPr>
          <w:rFonts w:asciiTheme="majorBidi" w:hAnsiTheme="majorBidi" w:cstheme="majorBidi"/>
          <w:snapToGrid w:val="0"/>
          <w:kern w:val="22"/>
          <w:szCs w:val="22"/>
        </w:rPr>
        <w:t>G</w:t>
      </w:r>
      <w:r w:rsidRPr="000F589D">
        <w:rPr>
          <w:rFonts w:asciiTheme="majorBidi" w:hAnsiTheme="majorBidi" w:cstheme="majorBidi"/>
          <w:snapToGrid w:val="0"/>
          <w:kern w:val="22"/>
          <w:szCs w:val="22"/>
        </w:rPr>
        <w:t xml:space="preserve">lobal </w:t>
      </w:r>
      <w:r>
        <w:rPr>
          <w:rFonts w:asciiTheme="majorBidi" w:hAnsiTheme="majorBidi" w:cstheme="majorBidi"/>
          <w:snapToGrid w:val="0"/>
          <w:kern w:val="22"/>
          <w:szCs w:val="22"/>
        </w:rPr>
        <w:t>B</w:t>
      </w:r>
      <w:r w:rsidRPr="000F589D">
        <w:rPr>
          <w:rFonts w:asciiTheme="majorBidi" w:hAnsiTheme="majorBidi" w:cstheme="majorBidi"/>
          <w:snapToGrid w:val="0"/>
          <w:kern w:val="22"/>
          <w:szCs w:val="22"/>
        </w:rPr>
        <w:t xml:space="preserve">iodiversity </w:t>
      </w:r>
      <w:r>
        <w:rPr>
          <w:rFonts w:asciiTheme="majorBidi" w:hAnsiTheme="majorBidi" w:cstheme="majorBidi"/>
          <w:snapToGrid w:val="0"/>
          <w:kern w:val="22"/>
          <w:szCs w:val="22"/>
        </w:rPr>
        <w:t>F</w:t>
      </w:r>
      <w:r w:rsidRPr="000F589D">
        <w:rPr>
          <w:rFonts w:asciiTheme="majorBidi" w:hAnsiTheme="majorBidi" w:cstheme="majorBidi"/>
          <w:snapToGrid w:val="0"/>
          <w:kern w:val="22"/>
          <w:szCs w:val="22"/>
        </w:rPr>
        <w:t>ramework;</w:t>
      </w:r>
    </w:p>
    <w:p w14:paraId="12DA2081"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spacing w:val="-2"/>
          <w:kern w:val="22"/>
          <w:szCs w:val="22"/>
        </w:rPr>
      </w:pPr>
      <w:r w:rsidRPr="000F589D">
        <w:rPr>
          <w:rFonts w:asciiTheme="majorBidi" w:hAnsiTheme="majorBidi" w:cstheme="majorBidi"/>
          <w:snapToGrid w:val="0"/>
          <w:spacing w:val="-2"/>
          <w:kern w:val="22"/>
          <w:szCs w:val="22"/>
        </w:rPr>
        <w:t>(d)</w:t>
      </w:r>
      <w:r w:rsidRPr="000F589D">
        <w:rPr>
          <w:rFonts w:asciiTheme="majorBidi" w:hAnsiTheme="majorBidi" w:cstheme="majorBidi"/>
          <w:snapToGrid w:val="0"/>
          <w:spacing w:val="-2"/>
          <w:kern w:val="22"/>
          <w:szCs w:val="22"/>
        </w:rPr>
        <w:tab/>
      </w:r>
      <w:r w:rsidRPr="000F589D">
        <w:rPr>
          <w:rFonts w:asciiTheme="majorBidi" w:hAnsiTheme="majorBidi" w:cstheme="majorBidi"/>
          <w:i/>
          <w:snapToGrid w:val="0"/>
          <w:spacing w:val="-2"/>
          <w:kern w:val="22"/>
          <w:szCs w:val="22"/>
        </w:rPr>
        <w:t>Align biodiversity capacity</w:t>
      </w:r>
      <w:r w:rsidRPr="000F589D">
        <w:rPr>
          <w:rFonts w:asciiTheme="majorBidi" w:hAnsiTheme="majorBidi" w:cstheme="majorBidi"/>
          <w:i/>
          <w:snapToGrid w:val="0"/>
          <w:spacing w:val="-2"/>
          <w:kern w:val="22"/>
          <w:szCs w:val="22"/>
        </w:rPr>
        <w:noBreakHyphen/>
        <w:t>building and development with broader cross-sectoral plans and programmes</w:t>
      </w:r>
      <w:r w:rsidRPr="004D32B6">
        <w:rPr>
          <w:rFonts w:asciiTheme="majorBidi" w:hAnsiTheme="majorBidi" w:cstheme="majorBidi"/>
          <w:iCs/>
          <w:snapToGrid w:val="0"/>
          <w:spacing w:val="-2"/>
          <w:kern w:val="22"/>
          <w:szCs w:val="22"/>
        </w:rPr>
        <w:t>.</w:t>
      </w:r>
      <w:r w:rsidRPr="000F589D">
        <w:rPr>
          <w:rFonts w:asciiTheme="majorBidi" w:hAnsiTheme="majorBidi" w:cstheme="majorBidi"/>
          <w:snapToGrid w:val="0"/>
          <w:spacing w:val="-2"/>
          <w:kern w:val="22"/>
          <w:szCs w:val="22"/>
        </w:rPr>
        <w:t xml:space="preserve"> Apply the whole-of-government and whole-of-society approaches to national implementation proposed in the </w:t>
      </w:r>
      <w:r>
        <w:rPr>
          <w:rFonts w:asciiTheme="majorBidi" w:hAnsiTheme="majorBidi" w:cstheme="majorBidi"/>
          <w:snapToGrid w:val="0"/>
          <w:spacing w:val="-2"/>
          <w:kern w:val="22"/>
          <w:szCs w:val="22"/>
        </w:rPr>
        <w:t>Kunming-Montreal G</w:t>
      </w:r>
      <w:r w:rsidRPr="000F589D">
        <w:rPr>
          <w:rFonts w:asciiTheme="majorBidi" w:hAnsiTheme="majorBidi" w:cstheme="majorBidi"/>
          <w:snapToGrid w:val="0"/>
          <w:spacing w:val="-2"/>
          <w:kern w:val="22"/>
          <w:szCs w:val="22"/>
        </w:rPr>
        <w:t xml:space="preserve">lobal </w:t>
      </w:r>
      <w:r>
        <w:rPr>
          <w:rFonts w:asciiTheme="majorBidi" w:hAnsiTheme="majorBidi" w:cstheme="majorBidi"/>
          <w:snapToGrid w:val="0"/>
          <w:spacing w:val="-2"/>
          <w:kern w:val="22"/>
          <w:szCs w:val="22"/>
        </w:rPr>
        <w:t>B</w:t>
      </w:r>
      <w:r w:rsidRPr="000F589D">
        <w:rPr>
          <w:rFonts w:asciiTheme="majorBidi" w:hAnsiTheme="majorBidi" w:cstheme="majorBidi"/>
          <w:snapToGrid w:val="0"/>
          <w:spacing w:val="-2"/>
          <w:kern w:val="22"/>
          <w:szCs w:val="22"/>
        </w:rPr>
        <w:t xml:space="preserve">iodiversity </w:t>
      </w:r>
      <w:r>
        <w:rPr>
          <w:rFonts w:asciiTheme="majorBidi" w:hAnsiTheme="majorBidi" w:cstheme="majorBidi"/>
          <w:snapToGrid w:val="0"/>
          <w:spacing w:val="-2"/>
          <w:kern w:val="22"/>
          <w:szCs w:val="22"/>
        </w:rPr>
        <w:t>F</w:t>
      </w:r>
      <w:r w:rsidRPr="000F589D">
        <w:rPr>
          <w:rFonts w:asciiTheme="majorBidi" w:hAnsiTheme="majorBidi" w:cstheme="majorBidi"/>
          <w:snapToGrid w:val="0"/>
          <w:spacing w:val="-2"/>
          <w:kern w:val="22"/>
          <w:szCs w:val="22"/>
        </w:rPr>
        <w:t>ramework to galvanize capacity</w:t>
      </w:r>
      <w:r w:rsidRPr="000F589D">
        <w:rPr>
          <w:rFonts w:asciiTheme="majorBidi" w:hAnsiTheme="majorBidi" w:cstheme="majorBidi"/>
          <w:snapToGrid w:val="0"/>
          <w:spacing w:val="-2"/>
          <w:kern w:val="22"/>
          <w:szCs w:val="22"/>
        </w:rPr>
        <w:noBreakHyphen/>
        <w:t xml:space="preserve">building and development for the achievement of the Sustainable Development Goals </w:t>
      </w:r>
      <w:r w:rsidRPr="002A6BB5">
        <w:rPr>
          <w:rFonts w:asciiTheme="majorBidi" w:hAnsiTheme="majorBidi" w:cstheme="majorBidi"/>
          <w:snapToGrid w:val="0"/>
          <w:spacing w:val="-2"/>
          <w:kern w:val="22"/>
          <w:szCs w:val="22"/>
        </w:rPr>
        <w:t>and the</w:t>
      </w:r>
      <w:r>
        <w:rPr>
          <w:rFonts w:asciiTheme="majorBidi" w:hAnsiTheme="majorBidi" w:cstheme="majorBidi"/>
          <w:snapToGrid w:val="0"/>
          <w:spacing w:val="-2"/>
          <w:kern w:val="22"/>
          <w:szCs w:val="22"/>
        </w:rPr>
        <w:t xml:space="preserve"> global biodiversity</w:t>
      </w:r>
      <w:r w:rsidRPr="004E3005">
        <w:rPr>
          <w:rFonts w:asciiTheme="majorBidi" w:hAnsiTheme="majorBidi" w:cstheme="majorBidi"/>
          <w:snapToGrid w:val="0"/>
          <w:spacing w:val="-2"/>
          <w:kern w:val="22"/>
          <w:szCs w:val="22"/>
        </w:rPr>
        <w:t xml:space="preserve"> goals and targets. Focal points of the Rio conventions, biodiversity-related conventions and</w:t>
      </w:r>
      <w:r w:rsidRPr="00237969">
        <w:rPr>
          <w:rFonts w:asciiTheme="majorBidi" w:hAnsiTheme="majorBidi" w:cstheme="majorBidi"/>
          <w:snapToGrid w:val="0"/>
          <w:spacing w:val="-2"/>
          <w:kern w:val="22"/>
          <w:szCs w:val="22"/>
        </w:rPr>
        <w:t xml:space="preserve"> the Sustainable Development Goals, and</w:t>
      </w:r>
      <w:r w:rsidRPr="000F589D">
        <w:rPr>
          <w:rFonts w:asciiTheme="majorBidi" w:hAnsiTheme="majorBidi" w:cstheme="majorBidi"/>
          <w:snapToGrid w:val="0"/>
          <w:spacing w:val="-2"/>
          <w:kern w:val="22"/>
          <w:szCs w:val="22"/>
        </w:rPr>
        <w:t xml:space="preserve"> representatives of line ministries and sectors should adopt a road map for alignment and coordinated action. The United Nations Country Teams should also play a key role in promoting integrated programming and coordination of capacity</w:t>
      </w:r>
      <w:r w:rsidRPr="000F589D">
        <w:rPr>
          <w:rFonts w:asciiTheme="majorBidi" w:hAnsiTheme="majorBidi" w:cstheme="majorBidi"/>
          <w:snapToGrid w:val="0"/>
          <w:spacing w:val="-2"/>
          <w:kern w:val="22"/>
          <w:szCs w:val="22"/>
        </w:rPr>
        <w:noBreakHyphen/>
        <w:t>building and development as part of United Nations Sustainable Development Cooperation Frameworks;</w:t>
      </w:r>
      <w:r w:rsidRPr="00610646">
        <w:rPr>
          <w:rStyle w:val="FootnoteReference"/>
        </w:rPr>
        <w:footnoteReference w:id="80"/>
      </w:r>
    </w:p>
    <w:p w14:paraId="551DC2B6"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(e)</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Undertake measures to fully utilize and retain existing capacity</w:t>
      </w:r>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Undertake context-specific assessments and stocktaking processes to identify existing capacity, and the obstacles preventing its utilization and retention. Likewise, identify and promote incentives that will help retain and fully utilize existing capacity and minimize </w:t>
      </w:r>
      <w:r w:rsidRPr="00CC3733">
        <w:rPr>
          <w:rFonts w:asciiTheme="majorBidi" w:hAnsiTheme="majorBidi" w:cstheme="majorBidi"/>
          <w:snapToGrid w:val="0"/>
          <w:kern w:val="22"/>
          <w:szCs w:val="22"/>
        </w:rPr>
        <w:t>not only loss of expertise and institutional memory, but also discontinuity</w:t>
      </w:r>
      <w:r w:rsidRPr="000F589D">
        <w:rPr>
          <w:rFonts w:asciiTheme="majorBidi" w:hAnsiTheme="majorBidi" w:cstheme="majorBidi"/>
          <w:snapToGrid w:val="0"/>
          <w:kern w:val="22"/>
          <w:szCs w:val="22"/>
        </w:rPr>
        <w:t xml:space="preserve"> of partnerships/relationships built;</w:t>
      </w:r>
      <w:r w:rsidRPr="00610646">
        <w:rPr>
          <w:rStyle w:val="FootnoteReference"/>
        </w:rPr>
        <w:footnoteReference w:id="81"/>
      </w:r>
      <w:bookmarkStart w:id="86" w:name="_Toc39228096"/>
    </w:p>
    <w:p w14:paraId="71C3B5C0"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(f)</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Develop thematic and regional and/or subregional capacity</w:t>
      </w:r>
      <w:r w:rsidRPr="000F589D">
        <w:rPr>
          <w:rFonts w:asciiTheme="majorBidi" w:hAnsiTheme="majorBidi" w:cstheme="majorBidi"/>
          <w:i/>
          <w:snapToGrid w:val="0"/>
          <w:kern w:val="22"/>
          <w:szCs w:val="22"/>
        </w:rPr>
        <w:noBreakHyphen/>
        <w:t>building and development action plans and programmes</w:t>
      </w:r>
      <w:bookmarkEnd w:id="86"/>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It is recommended that, following the adoption of the </w:t>
      </w:r>
      <w:r>
        <w:rPr>
          <w:rFonts w:asciiTheme="majorBidi" w:hAnsiTheme="majorBidi" w:cstheme="majorBidi"/>
          <w:snapToGrid w:val="0"/>
          <w:kern w:val="22"/>
          <w:szCs w:val="22"/>
        </w:rPr>
        <w:t xml:space="preserve">Kunming-Montreal </w:t>
      </w:r>
      <w:r>
        <w:rPr>
          <w:rFonts w:asciiTheme="majorBidi" w:hAnsiTheme="majorBidi" w:cstheme="majorBidi"/>
          <w:snapToGrid w:val="0"/>
          <w:kern w:val="22"/>
          <w:szCs w:val="22"/>
        </w:rPr>
        <w:lastRenderedPageBreak/>
        <w:t>G</w:t>
      </w:r>
      <w:r w:rsidRPr="000F589D">
        <w:rPr>
          <w:rFonts w:asciiTheme="majorBidi" w:hAnsiTheme="majorBidi" w:cstheme="majorBidi"/>
          <w:snapToGrid w:val="0"/>
          <w:kern w:val="22"/>
          <w:szCs w:val="22"/>
        </w:rPr>
        <w:t xml:space="preserve">lobal </w:t>
      </w:r>
      <w:r>
        <w:rPr>
          <w:rFonts w:asciiTheme="majorBidi" w:hAnsiTheme="majorBidi" w:cstheme="majorBidi"/>
          <w:snapToGrid w:val="0"/>
          <w:kern w:val="22"/>
          <w:szCs w:val="22"/>
        </w:rPr>
        <w:t>B</w:t>
      </w:r>
      <w:r w:rsidRPr="000F589D">
        <w:rPr>
          <w:rFonts w:asciiTheme="majorBidi" w:hAnsiTheme="majorBidi" w:cstheme="majorBidi"/>
          <w:snapToGrid w:val="0"/>
          <w:kern w:val="22"/>
          <w:szCs w:val="22"/>
        </w:rPr>
        <w:t xml:space="preserve">iodiversity </w:t>
      </w:r>
      <w:r>
        <w:rPr>
          <w:rFonts w:asciiTheme="majorBidi" w:hAnsiTheme="majorBidi" w:cstheme="majorBidi"/>
          <w:snapToGrid w:val="0"/>
          <w:kern w:val="22"/>
          <w:szCs w:val="22"/>
        </w:rPr>
        <w:t>F</w:t>
      </w:r>
      <w:r w:rsidRPr="000F589D">
        <w:rPr>
          <w:rFonts w:asciiTheme="majorBidi" w:hAnsiTheme="majorBidi" w:cstheme="majorBidi"/>
          <w:snapToGrid w:val="0"/>
          <w:kern w:val="22"/>
          <w:szCs w:val="22"/>
        </w:rPr>
        <w:t>ramework, thematic capacity</w:t>
      </w:r>
      <w:r w:rsidRPr="000F589D">
        <w:rPr>
          <w:rFonts w:asciiTheme="majorBidi" w:hAnsiTheme="majorBidi" w:cstheme="majorBidi"/>
          <w:snapToGrid w:val="0"/>
          <w:kern w:val="22"/>
          <w:szCs w:val="22"/>
        </w:rPr>
        <w:noBreakHyphen/>
        <w:t>building and development strategies or action plans be developed to support the achievement of the respective targets or groups of related targets. Parties, other governments, biodiversity-related conventions, international organizations and other relevant stakeholders in a position to do so should, as appropriate, consider developing dedicated regional, subregional, national and subnational capacity</w:t>
      </w:r>
      <w:r w:rsidRPr="000F589D">
        <w:rPr>
          <w:rFonts w:asciiTheme="majorBidi" w:hAnsiTheme="majorBidi" w:cstheme="majorBidi"/>
          <w:snapToGrid w:val="0"/>
          <w:kern w:val="22"/>
          <w:szCs w:val="22"/>
        </w:rPr>
        <w:noBreakHyphen/>
        <w:t>building and development action plans and programmes across multiple thematic sectors, with specific capacity targets and indicators;</w:t>
      </w:r>
      <w:bookmarkStart w:id="87" w:name="_Toc39228097"/>
    </w:p>
    <w:p w14:paraId="7C208DB1"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(g)</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Promote partnerships and networks for implementation</w:t>
      </w:r>
      <w:bookmarkEnd w:id="87"/>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Establish and strengthen partnerships for effective mobilization of capacities and resources; the sharing of existing knowledge, expertise and technologies; and implementation of medium to long-term capacity</w:t>
      </w:r>
      <w:r w:rsidRPr="000F589D">
        <w:rPr>
          <w:rFonts w:asciiTheme="majorBidi" w:hAnsiTheme="majorBidi" w:cstheme="majorBidi"/>
          <w:snapToGrid w:val="0"/>
          <w:kern w:val="22"/>
          <w:szCs w:val="22"/>
        </w:rPr>
        <w:noBreakHyphen/>
        <w:t xml:space="preserve">building and development programmes on specific issues related to the </w:t>
      </w:r>
      <w:r w:rsidRPr="004D32B6">
        <w:rPr>
          <w:rFonts w:asciiTheme="majorBidi" w:hAnsiTheme="majorBidi" w:cstheme="majorBidi"/>
          <w:snapToGrid w:val="0"/>
          <w:kern w:val="22"/>
          <w:szCs w:val="22"/>
        </w:rPr>
        <w:t xml:space="preserve">targets of the </w:t>
      </w:r>
      <w:r w:rsidRPr="00E53D1D">
        <w:rPr>
          <w:rFonts w:asciiTheme="majorBidi" w:hAnsiTheme="majorBidi" w:cstheme="majorBidi"/>
          <w:snapToGrid w:val="0"/>
          <w:kern w:val="22"/>
          <w:szCs w:val="22"/>
        </w:rPr>
        <w:t>Kunming-Montreal</w:t>
      </w:r>
      <w:r w:rsidRPr="004D32B6">
        <w:rPr>
          <w:rFonts w:asciiTheme="majorBidi" w:hAnsiTheme="majorBidi" w:cstheme="majorBidi"/>
          <w:snapToGrid w:val="0"/>
          <w:kern w:val="22"/>
          <w:szCs w:val="22"/>
        </w:rPr>
        <w:t xml:space="preserve"> Global Biodiversity Framework</w:t>
      </w:r>
      <w:r w:rsidRPr="00E53D1D">
        <w:rPr>
          <w:rFonts w:asciiTheme="majorBidi" w:hAnsiTheme="majorBidi" w:cstheme="majorBidi"/>
          <w:snapToGrid w:val="0"/>
          <w:kern w:val="22"/>
          <w:szCs w:val="22"/>
        </w:rPr>
        <w:t>, in line with national priorities;</w:t>
      </w:r>
    </w:p>
    <w:p w14:paraId="07E8C4C0"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(h)</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Enhance synergies between capacity</w:t>
      </w:r>
      <w:r w:rsidRPr="000F589D">
        <w:rPr>
          <w:rFonts w:asciiTheme="majorBidi" w:hAnsiTheme="majorBidi" w:cstheme="majorBidi"/>
          <w:i/>
          <w:snapToGrid w:val="0"/>
          <w:kern w:val="22"/>
          <w:szCs w:val="22"/>
        </w:rPr>
        <w:noBreakHyphen/>
        <w:t>building and development efforts of relevant processes</w:t>
      </w:r>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Enhance synergies with the capacity</w:t>
      </w:r>
      <w:r w:rsidRPr="000F589D">
        <w:rPr>
          <w:rFonts w:asciiTheme="majorBidi" w:hAnsiTheme="majorBidi" w:cstheme="majorBidi"/>
          <w:snapToGrid w:val="0"/>
          <w:kern w:val="22"/>
          <w:szCs w:val="22"/>
        </w:rPr>
        <w:noBreakHyphen/>
        <w:t xml:space="preserve">building and development initiatives </w:t>
      </w:r>
      <w:r>
        <w:rPr>
          <w:rFonts w:asciiTheme="majorBidi" w:hAnsiTheme="majorBidi" w:cstheme="majorBidi"/>
          <w:snapToGrid w:val="0"/>
          <w:kern w:val="22"/>
          <w:szCs w:val="22"/>
        </w:rPr>
        <w:t xml:space="preserve">and the </w:t>
      </w:r>
      <w:r w:rsidRPr="000F589D">
        <w:rPr>
          <w:rFonts w:asciiTheme="majorBidi" w:hAnsiTheme="majorBidi" w:cstheme="majorBidi"/>
          <w:snapToGrid w:val="0"/>
          <w:kern w:val="22"/>
          <w:szCs w:val="22"/>
        </w:rPr>
        <w:t xml:space="preserve">implementation processes of </w:t>
      </w:r>
      <w:r>
        <w:rPr>
          <w:rFonts w:asciiTheme="majorBidi" w:hAnsiTheme="majorBidi" w:cstheme="majorBidi"/>
          <w:snapToGrid w:val="0"/>
          <w:kern w:val="22"/>
          <w:szCs w:val="22"/>
        </w:rPr>
        <w:t xml:space="preserve">the </w:t>
      </w:r>
      <w:r w:rsidRPr="000F589D">
        <w:rPr>
          <w:rFonts w:asciiTheme="majorBidi" w:hAnsiTheme="majorBidi" w:cstheme="majorBidi"/>
          <w:snapToGrid w:val="0"/>
          <w:kern w:val="22"/>
          <w:szCs w:val="22"/>
        </w:rPr>
        <w:t xml:space="preserve">biodiversity-related conventions, the Rio conventions and the </w:t>
      </w:r>
      <w:r>
        <w:rPr>
          <w:rFonts w:asciiTheme="majorBidi" w:hAnsiTheme="majorBidi" w:cstheme="majorBidi"/>
          <w:snapToGrid w:val="0"/>
          <w:kern w:val="22"/>
          <w:szCs w:val="22"/>
        </w:rPr>
        <w:t xml:space="preserve">2030 Agenda for </w:t>
      </w:r>
      <w:r w:rsidRPr="000F589D">
        <w:rPr>
          <w:rFonts w:asciiTheme="majorBidi" w:hAnsiTheme="majorBidi" w:cstheme="majorBidi"/>
          <w:snapToGrid w:val="0"/>
          <w:kern w:val="22"/>
          <w:szCs w:val="22"/>
        </w:rPr>
        <w:t>Sustainable Development</w:t>
      </w:r>
      <w:r>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 as appropriate;</w:t>
      </w:r>
    </w:p>
    <w:p w14:paraId="07D0C090" w14:textId="77777777" w:rsidR="008C379F" w:rsidRPr="002A6BB5"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(i)</w:t>
      </w:r>
      <w:r w:rsidRPr="000F589D">
        <w:rPr>
          <w:rFonts w:asciiTheme="majorBidi" w:hAnsiTheme="majorBidi" w:cstheme="majorBidi"/>
          <w:snapToGrid w:val="0"/>
          <w:kern w:val="22"/>
          <w:szCs w:val="22"/>
        </w:rPr>
        <w:tab/>
      </w:r>
      <w:r w:rsidRPr="000F589D">
        <w:rPr>
          <w:rFonts w:asciiTheme="majorBidi" w:hAnsiTheme="majorBidi" w:cstheme="majorBidi"/>
          <w:i/>
          <w:szCs w:val="22"/>
        </w:rPr>
        <w:t xml:space="preserve">Promote North-South </w:t>
      </w:r>
      <w:r w:rsidRPr="002A6BB5">
        <w:rPr>
          <w:rFonts w:asciiTheme="majorBidi" w:hAnsiTheme="majorBidi" w:cstheme="majorBidi"/>
          <w:i/>
          <w:szCs w:val="22"/>
        </w:rPr>
        <w:t>cooperation.</w:t>
      </w:r>
      <w:r w:rsidRPr="002A6BB5">
        <w:rPr>
          <w:rFonts w:asciiTheme="majorBidi" w:hAnsiTheme="majorBidi" w:cstheme="majorBidi"/>
          <w:szCs w:val="22"/>
        </w:rPr>
        <w:t xml:space="preserve"> Support capacity</w:t>
      </w:r>
      <w:r w:rsidRPr="002A6BB5">
        <w:rPr>
          <w:rFonts w:asciiTheme="majorBidi" w:hAnsiTheme="majorBidi" w:cstheme="majorBidi"/>
          <w:szCs w:val="22"/>
        </w:rPr>
        <w:noBreakHyphen/>
        <w:t>building and development in developing countries, with a view to addressing institutional and technical constraints that could undermine access to and transfer of technology, access to scientific and technical cooperation, and the effective participation in biotechnological research, in line with Article 19 of the Convention. This could include joint research programmes and joint ventures for the development of technologies that are relevant to the conservation and sustainable use of biological diversity;</w:t>
      </w:r>
    </w:p>
    <w:p w14:paraId="6E77FA60"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A6BB5">
        <w:rPr>
          <w:rFonts w:asciiTheme="majorBidi" w:hAnsiTheme="majorBidi" w:cstheme="majorBidi"/>
          <w:snapToGrid w:val="0"/>
          <w:kern w:val="22"/>
          <w:szCs w:val="22"/>
        </w:rPr>
        <w:t>(j)</w:t>
      </w:r>
      <w:r w:rsidRPr="002A6BB5">
        <w:rPr>
          <w:rFonts w:asciiTheme="majorBidi" w:hAnsiTheme="majorBidi" w:cstheme="majorBidi"/>
          <w:snapToGrid w:val="0"/>
          <w:kern w:val="22"/>
          <w:szCs w:val="22"/>
        </w:rPr>
        <w:tab/>
      </w:r>
      <w:r w:rsidRPr="002A6BB5">
        <w:rPr>
          <w:rFonts w:asciiTheme="majorBidi" w:hAnsiTheme="majorBidi" w:cstheme="majorBidi"/>
          <w:i/>
          <w:snapToGrid w:val="0"/>
          <w:kern w:val="22"/>
          <w:szCs w:val="22"/>
        </w:rPr>
        <w:t>Promote South-South and triangular cooperation.</w:t>
      </w:r>
      <w:r w:rsidRPr="002A6BB5">
        <w:rPr>
          <w:rFonts w:asciiTheme="majorBidi" w:hAnsiTheme="majorBidi" w:cstheme="majorBidi"/>
          <w:snapToGrid w:val="0"/>
          <w:kern w:val="22"/>
          <w:szCs w:val="22"/>
        </w:rPr>
        <w:t xml:space="preserve"> Support capacity</w:t>
      </w:r>
      <w:r w:rsidRPr="002A6BB5">
        <w:rPr>
          <w:rFonts w:asciiTheme="majorBidi" w:hAnsiTheme="majorBidi" w:cstheme="majorBidi"/>
          <w:snapToGrid w:val="0"/>
          <w:kern w:val="22"/>
          <w:szCs w:val="22"/>
        </w:rPr>
        <w:noBreakHyphen/>
        <w:t>building and development in developing countries that have common challenges and share similar characteristics (e.g. economic and social conditions and language)</w:t>
      </w:r>
      <w:r w:rsidRPr="002A6BB5">
        <w:rPr>
          <w:rFonts w:asciiTheme="majorBidi" w:hAnsiTheme="majorBidi" w:cstheme="majorBidi"/>
          <w:szCs w:val="22"/>
        </w:rPr>
        <w:t>, as a complement and not a substitute to North-South cooperation</w:t>
      </w:r>
      <w:r w:rsidRPr="002A6BB5">
        <w:rPr>
          <w:rFonts w:asciiTheme="majorBidi" w:hAnsiTheme="majorBidi" w:cstheme="majorBidi"/>
          <w:snapToGrid w:val="0"/>
          <w:kern w:val="22"/>
          <w:szCs w:val="22"/>
        </w:rPr>
        <w:t>. This could include sharing of knowledge, expertise, technologies and resources and establishment of regional nodes, networks or centres of excellence;</w:t>
      </w:r>
    </w:p>
    <w:p w14:paraId="0BCD1935"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(k)</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Engage the private sector</w:t>
      </w:r>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Engage the private sector, proactively and as appropriate, in the development of national capacities, as many technical and financial resources and relevant expertise and technologies lie in the hands of private entities. In doing so, ensure transparency and accountability. Also strengthen the capacity of small and medium enterprises to address biodiversity-related issues;</w:t>
      </w:r>
      <w:bookmarkStart w:id="88" w:name="_Toc39228098"/>
    </w:p>
    <w:p w14:paraId="564CC21F" w14:textId="77777777" w:rsidR="008C379F" w:rsidRPr="000F589D" w:rsidRDefault="008C379F"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(l)</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 xml:space="preserve">Strengthen </w:t>
      </w:r>
      <w:bookmarkEnd w:id="88"/>
      <w:r w:rsidRPr="000F589D">
        <w:rPr>
          <w:rFonts w:asciiTheme="majorBidi" w:hAnsiTheme="majorBidi" w:cstheme="majorBidi"/>
          <w:i/>
          <w:snapToGrid w:val="0"/>
          <w:kern w:val="22"/>
          <w:szCs w:val="22"/>
        </w:rPr>
        <w:t>the monitoring and evaluation of capacity</w:t>
      </w:r>
      <w:r w:rsidRPr="000F589D">
        <w:rPr>
          <w:rFonts w:asciiTheme="majorBidi" w:hAnsiTheme="majorBidi" w:cstheme="majorBidi"/>
          <w:i/>
          <w:snapToGrid w:val="0"/>
          <w:kern w:val="22"/>
          <w:szCs w:val="22"/>
        </w:rPr>
        <w:noBreakHyphen/>
        <w:t>building and development interventions</w:t>
      </w:r>
      <w:r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Develop and implement adaptive management systems for monitoring and evaluation of biodiversity capacity</w:t>
      </w:r>
      <w:r w:rsidRPr="000F589D">
        <w:rPr>
          <w:rFonts w:asciiTheme="majorBidi" w:hAnsiTheme="majorBidi" w:cstheme="majorBidi"/>
          <w:snapToGrid w:val="0"/>
          <w:kern w:val="22"/>
          <w:szCs w:val="22"/>
        </w:rPr>
        <w:noBreakHyphen/>
        <w:t>building and development efforts, to assess whether the intended capacity results are achieved in an impactful and sustainable manner, to identify and correct mistakes, and to capture and share good practices and lessons.</w:t>
      </w:r>
    </w:p>
    <w:p w14:paraId="59BFFE1F" w14:textId="77777777" w:rsidR="008C379F" w:rsidRPr="000F589D" w:rsidRDefault="008C379F" w:rsidP="002D60F3">
      <w:pPr>
        <w:keepNext/>
        <w:suppressLineNumbers/>
        <w:tabs>
          <w:tab w:val="left" w:pos="284"/>
        </w:tabs>
        <w:suppressAutoHyphens/>
        <w:spacing w:before="240" w:after="120"/>
        <w:jc w:val="center"/>
        <w:rPr>
          <w:rFonts w:asciiTheme="majorBidi" w:hAnsiTheme="majorBidi" w:cstheme="majorBidi"/>
          <w:b/>
          <w:caps/>
          <w:color w:val="000000"/>
          <w:szCs w:val="22"/>
          <w:lang w:eastAsia="zh-CN"/>
        </w:rPr>
      </w:pPr>
      <w:bookmarkStart w:id="89" w:name="_Toc57214902"/>
      <w:r w:rsidRPr="000F589D">
        <w:rPr>
          <w:rFonts w:asciiTheme="majorBidi" w:hAnsiTheme="majorBidi" w:cstheme="majorBidi"/>
          <w:b/>
          <w:caps/>
          <w:color w:val="000000"/>
          <w:szCs w:val="22"/>
          <w:lang w:eastAsia="zh-CN"/>
        </w:rPr>
        <w:t>V.</w:t>
      </w:r>
      <w:r w:rsidRPr="000F589D">
        <w:rPr>
          <w:rFonts w:asciiTheme="majorBidi" w:hAnsiTheme="majorBidi" w:cstheme="majorBidi"/>
          <w:b/>
          <w:caps/>
          <w:color w:val="000000"/>
          <w:szCs w:val="22"/>
          <w:lang w:eastAsia="zh-CN"/>
        </w:rPr>
        <w:tab/>
      </w:r>
      <w:r>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Mechanisms for implementation</w:t>
      </w:r>
      <w:bookmarkEnd w:id="89"/>
    </w:p>
    <w:p w14:paraId="3584C374" w14:textId="77777777" w:rsidR="008C379F" w:rsidRPr="00981752" w:rsidRDefault="008C379F" w:rsidP="002D60F3">
      <w:pPr>
        <w:pStyle w:val="heading2notforTOC"/>
        <w:outlineLvl w:val="9"/>
        <w:rPr>
          <w:rFonts w:asciiTheme="majorBidi" w:hAnsiTheme="majorBidi" w:cstheme="majorBidi"/>
          <w:b/>
          <w:bCs/>
          <w:i w:val="0"/>
          <w:iCs w:val="0"/>
          <w:snapToGrid w:val="0"/>
          <w:kern w:val="22"/>
          <w:szCs w:val="22"/>
        </w:rPr>
      </w:pPr>
      <w:bookmarkStart w:id="90" w:name="_Toc57214903"/>
      <w:r w:rsidRPr="00981752">
        <w:rPr>
          <w:rFonts w:asciiTheme="majorBidi" w:hAnsiTheme="majorBidi" w:cstheme="majorBidi"/>
          <w:b/>
          <w:bCs/>
          <w:i w:val="0"/>
          <w:iCs w:val="0"/>
          <w:snapToGrid w:val="0"/>
          <w:szCs w:val="22"/>
        </w:rPr>
        <w:t>A.</w:t>
      </w:r>
      <w:r w:rsidRPr="00981752">
        <w:rPr>
          <w:rFonts w:asciiTheme="majorBidi" w:hAnsiTheme="majorBidi" w:cstheme="majorBidi"/>
          <w:b/>
          <w:bCs/>
          <w:i w:val="0"/>
          <w:iCs w:val="0"/>
          <w:snapToGrid w:val="0"/>
          <w:szCs w:val="22"/>
        </w:rPr>
        <w:tab/>
        <w:t>Governance and coordination mechanisms</w:t>
      </w:r>
      <w:bookmarkEnd w:id="90"/>
    </w:p>
    <w:p w14:paraId="414B0AF6" w14:textId="77777777" w:rsidR="008C379F" w:rsidRPr="000F589D"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0F589D">
        <w:rPr>
          <w:rFonts w:asciiTheme="majorBidi" w:hAnsiTheme="majorBidi" w:cstheme="majorBidi"/>
          <w:snapToGrid/>
        </w:rPr>
        <w:t>10.</w:t>
      </w:r>
      <w:r w:rsidRPr="000F589D">
        <w:rPr>
          <w:rFonts w:asciiTheme="majorBidi" w:hAnsiTheme="majorBidi" w:cstheme="majorBidi"/>
          <w:snapToGrid/>
        </w:rPr>
        <w:tab/>
      </w:r>
      <w:r w:rsidRPr="000F589D">
        <w:rPr>
          <w:rFonts w:asciiTheme="majorBidi" w:hAnsiTheme="majorBidi" w:cstheme="majorBidi"/>
        </w:rPr>
        <w:t>There is a need for mechanisms that could provide strategic leadership and foster coordinated capacity</w:t>
      </w:r>
      <w:r w:rsidRPr="000F589D">
        <w:rPr>
          <w:rFonts w:asciiTheme="majorBidi" w:hAnsiTheme="majorBidi" w:cstheme="majorBidi"/>
        </w:rPr>
        <w:noBreakHyphen/>
        <w:t>building and development action for biodiversity at the global, regional and national levels. Specifically, the roles of such mechanisms may include: (a) enhancing synergy, by facilitating inter-agency coordination and cooperation among relevant organizations, initiatives, and funding agencies; (b) providing guidance and advice</w:t>
      </w:r>
      <w:r w:rsidRPr="000F589D" w:rsidDel="00BA3FE1">
        <w:rPr>
          <w:rFonts w:asciiTheme="majorBidi" w:hAnsiTheme="majorBidi" w:cstheme="majorBidi"/>
        </w:rPr>
        <w:t xml:space="preserve"> </w:t>
      </w:r>
      <w:r w:rsidRPr="000F589D">
        <w:rPr>
          <w:rFonts w:asciiTheme="majorBidi" w:hAnsiTheme="majorBidi" w:cstheme="majorBidi"/>
        </w:rPr>
        <w:t>to government and non-government actors; (c) promoting strategic and coherent approaches to capacity</w:t>
      </w:r>
      <w:r w:rsidRPr="000F589D">
        <w:rPr>
          <w:rFonts w:asciiTheme="majorBidi" w:hAnsiTheme="majorBidi" w:cstheme="majorBidi"/>
        </w:rPr>
        <w:noBreakHyphen/>
        <w:t>building and development; (d) fostering partnerships and multi-stakeholder initiatives; (e) identifying opportunities to mobilize additional resources for biodiversity capacity</w:t>
      </w:r>
      <w:r w:rsidRPr="000F589D">
        <w:rPr>
          <w:rFonts w:asciiTheme="majorBidi" w:hAnsiTheme="majorBidi" w:cstheme="majorBidi"/>
        </w:rPr>
        <w:noBreakHyphen/>
        <w:t xml:space="preserve">building </w:t>
      </w:r>
      <w:r w:rsidRPr="000F589D">
        <w:rPr>
          <w:rFonts w:asciiTheme="majorBidi" w:hAnsiTheme="majorBidi" w:cstheme="majorBidi"/>
        </w:rPr>
        <w:lastRenderedPageBreak/>
        <w:t>and development efforts</w:t>
      </w:r>
      <w:bookmarkStart w:id="91" w:name="_Hlk50342860"/>
      <w:r w:rsidRPr="000F589D">
        <w:rPr>
          <w:rFonts w:asciiTheme="majorBidi" w:hAnsiTheme="majorBidi" w:cstheme="majorBidi"/>
        </w:rPr>
        <w:t>; and (f)</w:t>
      </w:r>
      <w:bookmarkStart w:id="92" w:name="_Hlk50348775"/>
      <w:r w:rsidRPr="000F589D">
        <w:rPr>
          <w:rFonts w:asciiTheme="majorBidi" w:hAnsiTheme="majorBidi" w:cstheme="majorBidi"/>
        </w:rPr>
        <w:t> proposing innovative ideas to improve and advance the implementation of the long-term strategic framework</w:t>
      </w:r>
      <w:bookmarkEnd w:id="92"/>
      <w:r w:rsidRPr="000F589D">
        <w:rPr>
          <w:rFonts w:asciiTheme="majorBidi" w:hAnsiTheme="majorBidi" w:cstheme="majorBidi"/>
        </w:rPr>
        <w:t>.</w:t>
      </w:r>
      <w:bookmarkEnd w:id="91"/>
    </w:p>
    <w:p w14:paraId="76F066B1" w14:textId="77777777" w:rsidR="008C379F" w:rsidRPr="000F589D" w:rsidRDefault="008C379F" w:rsidP="00541EA7">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rPr>
      </w:pPr>
      <w:r w:rsidRPr="000F589D">
        <w:rPr>
          <w:rFonts w:asciiTheme="majorBidi" w:hAnsiTheme="majorBidi" w:cstheme="majorBidi"/>
        </w:rPr>
        <w:t>11.</w:t>
      </w:r>
      <w:r w:rsidRPr="000F589D">
        <w:rPr>
          <w:rFonts w:asciiTheme="majorBidi" w:hAnsiTheme="majorBidi" w:cstheme="majorBidi"/>
        </w:rPr>
        <w:tab/>
        <w:t xml:space="preserve">At the global level, the above roles will be accomplished through </w:t>
      </w:r>
      <w:bookmarkStart w:id="93" w:name="_Hlk50335725"/>
      <w:r w:rsidRPr="000F589D">
        <w:rPr>
          <w:rFonts w:asciiTheme="majorBidi" w:hAnsiTheme="majorBidi" w:cstheme="majorBidi"/>
        </w:rPr>
        <w:t>the establishment of a capacity</w:t>
      </w:r>
      <w:r w:rsidRPr="000F589D">
        <w:rPr>
          <w:rFonts w:asciiTheme="majorBidi" w:hAnsiTheme="majorBidi" w:cstheme="majorBidi"/>
        </w:rPr>
        <w:noBreakHyphen/>
        <w:t xml:space="preserve">building and development committee under the </w:t>
      </w:r>
      <w:r>
        <w:rPr>
          <w:rFonts w:asciiTheme="majorBidi" w:hAnsiTheme="majorBidi" w:cstheme="majorBidi"/>
        </w:rPr>
        <w:t>I</w:t>
      </w:r>
      <w:r w:rsidRPr="000F589D">
        <w:rPr>
          <w:rFonts w:asciiTheme="majorBidi" w:hAnsiTheme="majorBidi" w:cstheme="majorBidi"/>
        </w:rPr>
        <w:t xml:space="preserve">nformal </w:t>
      </w:r>
      <w:r>
        <w:rPr>
          <w:rFonts w:asciiTheme="majorBidi" w:hAnsiTheme="majorBidi" w:cstheme="majorBidi"/>
        </w:rPr>
        <w:t>A</w:t>
      </w:r>
      <w:r w:rsidRPr="000F589D">
        <w:rPr>
          <w:rFonts w:asciiTheme="majorBidi" w:hAnsiTheme="majorBidi" w:cstheme="majorBidi"/>
        </w:rPr>
        <w:t xml:space="preserve">dvisory </w:t>
      </w:r>
      <w:r>
        <w:rPr>
          <w:rFonts w:asciiTheme="majorBidi" w:hAnsiTheme="majorBidi" w:cstheme="majorBidi"/>
        </w:rPr>
        <w:t>G</w:t>
      </w:r>
      <w:r w:rsidRPr="000F589D">
        <w:rPr>
          <w:rFonts w:asciiTheme="majorBidi" w:hAnsiTheme="majorBidi" w:cstheme="majorBidi"/>
        </w:rPr>
        <w:t xml:space="preserve">roup on </w:t>
      </w:r>
      <w:r>
        <w:rPr>
          <w:rFonts w:asciiTheme="majorBidi" w:hAnsiTheme="majorBidi" w:cstheme="majorBidi"/>
        </w:rPr>
        <w:t>T</w:t>
      </w:r>
      <w:r w:rsidRPr="000F589D">
        <w:rPr>
          <w:rFonts w:asciiTheme="majorBidi" w:hAnsiTheme="majorBidi" w:cstheme="majorBidi"/>
        </w:rPr>
        <w:t xml:space="preserve">echnical and </w:t>
      </w:r>
      <w:r>
        <w:rPr>
          <w:rFonts w:asciiTheme="majorBidi" w:hAnsiTheme="majorBidi" w:cstheme="majorBidi"/>
        </w:rPr>
        <w:t>S</w:t>
      </w:r>
      <w:r w:rsidRPr="000F589D">
        <w:rPr>
          <w:rFonts w:asciiTheme="majorBidi" w:hAnsiTheme="majorBidi" w:cstheme="majorBidi"/>
        </w:rPr>
        <w:t xml:space="preserve">cientific </w:t>
      </w:r>
      <w:r>
        <w:rPr>
          <w:rFonts w:asciiTheme="majorBidi" w:hAnsiTheme="majorBidi" w:cstheme="majorBidi"/>
        </w:rPr>
        <w:t>C</w:t>
      </w:r>
      <w:r w:rsidRPr="000F589D">
        <w:rPr>
          <w:rFonts w:asciiTheme="majorBidi" w:hAnsiTheme="majorBidi" w:cstheme="majorBidi"/>
        </w:rPr>
        <w:t>ooperation (annex III below);</w:t>
      </w:r>
      <w:bookmarkStart w:id="94" w:name="_Hlk50335767"/>
      <w:bookmarkEnd w:id="93"/>
    </w:p>
    <w:p w14:paraId="7FA080A5" w14:textId="77777777" w:rsidR="008C379F" w:rsidRPr="000F589D"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rPr>
      </w:pPr>
      <w:bookmarkStart w:id="95" w:name="_Hlk50335824"/>
      <w:bookmarkEnd w:id="94"/>
      <w:r w:rsidRPr="000F589D">
        <w:rPr>
          <w:rFonts w:asciiTheme="majorBidi" w:hAnsiTheme="majorBidi" w:cstheme="majorBidi"/>
        </w:rPr>
        <w:t>12.</w:t>
      </w:r>
      <w:r w:rsidRPr="000F589D">
        <w:rPr>
          <w:rFonts w:asciiTheme="majorBidi" w:hAnsiTheme="majorBidi" w:cstheme="majorBidi"/>
        </w:rPr>
        <w:tab/>
        <w:t>At the regional level, biodiversity capacity</w:t>
      </w:r>
      <w:r w:rsidRPr="000F589D">
        <w:rPr>
          <w:rFonts w:asciiTheme="majorBidi" w:hAnsiTheme="majorBidi" w:cstheme="majorBidi"/>
        </w:rPr>
        <w:noBreakHyphen/>
        <w:t>building and development coordination and coherence could be achieved with the support of the United Nations regional economic commissions and the regional teams of the United Nations Sustainable Development Group</w:t>
      </w:r>
      <w:bookmarkEnd w:id="95"/>
      <w:r w:rsidRPr="000F589D">
        <w:rPr>
          <w:rFonts w:asciiTheme="majorBidi" w:hAnsiTheme="majorBidi" w:cstheme="majorBidi"/>
        </w:rPr>
        <w:t>;</w:t>
      </w:r>
    </w:p>
    <w:p w14:paraId="4B742CF5" w14:textId="77777777" w:rsidR="008C379F" w:rsidRPr="000F589D"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rPr>
      </w:pPr>
      <w:r w:rsidRPr="000F589D">
        <w:rPr>
          <w:rFonts w:asciiTheme="majorBidi" w:hAnsiTheme="majorBidi" w:cstheme="majorBidi"/>
        </w:rPr>
        <w:t>13.</w:t>
      </w:r>
      <w:r w:rsidRPr="000F589D">
        <w:rPr>
          <w:rFonts w:asciiTheme="majorBidi" w:hAnsiTheme="majorBidi" w:cstheme="majorBidi"/>
        </w:rPr>
        <w:tab/>
        <w:t>At the country level, coordination of biodiversity capacity</w:t>
      </w:r>
      <w:r w:rsidRPr="000F589D">
        <w:rPr>
          <w:rFonts w:asciiTheme="majorBidi" w:hAnsiTheme="majorBidi" w:cstheme="majorBidi"/>
        </w:rPr>
        <w:noBreakHyphen/>
        <w:t>building and development could be done through the national biodiversity committees or similar mechanisms and facilitated through the United Nations Country Teams, within the United Nations Sustainable Development Cooperation Framework for the country.</w:t>
      </w:r>
    </w:p>
    <w:p w14:paraId="42ED85F3" w14:textId="77777777" w:rsidR="008C379F" w:rsidRPr="00D82CFF" w:rsidRDefault="008C379F" w:rsidP="00D82CFF">
      <w:pPr>
        <w:pStyle w:val="NormalWeb"/>
        <w:keepNext/>
        <w:spacing w:before="120" w:after="120"/>
        <w:jc w:val="center"/>
        <w:rPr>
          <w:b/>
          <w:bCs/>
          <w:sz w:val="22"/>
          <w:szCs w:val="22"/>
        </w:rPr>
      </w:pPr>
      <w:bookmarkStart w:id="96" w:name="_Toc57214904"/>
      <w:r w:rsidRPr="00D82CFF">
        <w:rPr>
          <w:b/>
          <w:bCs/>
          <w:sz w:val="22"/>
          <w:szCs w:val="22"/>
        </w:rPr>
        <w:t>B.</w:t>
      </w:r>
      <w:r w:rsidRPr="00D82CFF">
        <w:rPr>
          <w:b/>
          <w:bCs/>
          <w:sz w:val="22"/>
          <w:szCs w:val="22"/>
        </w:rPr>
        <w:tab/>
        <w:t>Mutual supportiveness between various implementation strategies and processes</w:t>
      </w:r>
      <w:bookmarkEnd w:id="96"/>
    </w:p>
    <w:p w14:paraId="2D38980A" w14:textId="77777777" w:rsidR="008C379F" w:rsidRPr="000F589D"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0F589D">
        <w:rPr>
          <w:rFonts w:asciiTheme="majorBidi" w:hAnsiTheme="majorBidi" w:cstheme="majorBidi"/>
          <w:snapToGrid/>
        </w:rPr>
        <w:t>1</w:t>
      </w:r>
      <w:r>
        <w:rPr>
          <w:rFonts w:asciiTheme="majorBidi" w:hAnsiTheme="majorBidi" w:cstheme="majorBidi"/>
          <w:snapToGrid/>
        </w:rPr>
        <w:t>4</w:t>
      </w:r>
      <w:r w:rsidRPr="000F589D">
        <w:rPr>
          <w:rFonts w:asciiTheme="majorBidi" w:hAnsiTheme="majorBidi" w:cstheme="majorBidi"/>
          <w:snapToGrid/>
        </w:rPr>
        <w:t>.</w:t>
      </w:r>
      <w:r w:rsidRPr="000F589D">
        <w:rPr>
          <w:rFonts w:asciiTheme="majorBidi" w:hAnsiTheme="majorBidi" w:cstheme="majorBidi"/>
          <w:snapToGrid/>
        </w:rPr>
        <w:tab/>
      </w:r>
      <w:r w:rsidRPr="000F589D">
        <w:rPr>
          <w:rFonts w:asciiTheme="majorBidi" w:hAnsiTheme="majorBidi" w:cstheme="majorBidi"/>
        </w:rPr>
        <w:t xml:space="preserve">This long-term strategic framework should be synergized with the other means of implementation and enabling conditions for the </w:t>
      </w:r>
      <w:r>
        <w:rPr>
          <w:rFonts w:asciiTheme="majorBidi" w:hAnsiTheme="majorBidi" w:cstheme="majorBidi"/>
        </w:rPr>
        <w:t>Kunming-Montreal G</w:t>
      </w:r>
      <w:r w:rsidRPr="000F589D">
        <w:rPr>
          <w:rFonts w:asciiTheme="majorBidi" w:hAnsiTheme="majorBidi" w:cstheme="majorBidi"/>
        </w:rPr>
        <w:t xml:space="preserve">lobal </w:t>
      </w:r>
      <w:r>
        <w:rPr>
          <w:rFonts w:asciiTheme="majorBidi" w:hAnsiTheme="majorBidi" w:cstheme="majorBidi"/>
        </w:rPr>
        <w:t>B</w:t>
      </w:r>
      <w:r w:rsidRPr="000F589D">
        <w:rPr>
          <w:rFonts w:asciiTheme="majorBidi" w:hAnsiTheme="majorBidi" w:cstheme="majorBidi"/>
        </w:rPr>
        <w:t xml:space="preserve">iodiversity </w:t>
      </w:r>
      <w:r>
        <w:rPr>
          <w:rFonts w:asciiTheme="majorBidi" w:hAnsiTheme="majorBidi" w:cstheme="majorBidi"/>
        </w:rPr>
        <w:t>F</w:t>
      </w:r>
      <w:r w:rsidRPr="000F589D">
        <w:rPr>
          <w:rFonts w:asciiTheme="majorBidi" w:hAnsiTheme="majorBidi" w:cstheme="majorBidi"/>
        </w:rPr>
        <w:t>ramework (including technical and scientific cooperation, technology transfer, knowledge management and resource mobilization), the long</w:t>
      </w:r>
      <w:r>
        <w:rPr>
          <w:rFonts w:asciiTheme="majorBidi" w:hAnsiTheme="majorBidi" w:cstheme="majorBidi"/>
        </w:rPr>
        <w:noBreakHyphen/>
      </w:r>
      <w:r w:rsidRPr="000F589D">
        <w:rPr>
          <w:rFonts w:asciiTheme="majorBidi" w:hAnsiTheme="majorBidi" w:cstheme="majorBidi"/>
        </w:rPr>
        <w:t>term approach to mainstreaming biodiversity and with the mechanisms for reporting, assessment and review of implementation.</w:t>
      </w:r>
    </w:p>
    <w:p w14:paraId="6F2D8C86" w14:textId="77777777" w:rsidR="008C379F" w:rsidRPr="00D82CFF" w:rsidRDefault="008C379F" w:rsidP="00D82CFF">
      <w:pPr>
        <w:pStyle w:val="NormalWeb"/>
        <w:keepNext/>
        <w:spacing w:before="120" w:after="120"/>
        <w:jc w:val="center"/>
        <w:rPr>
          <w:b/>
          <w:bCs/>
          <w:sz w:val="22"/>
          <w:szCs w:val="22"/>
        </w:rPr>
      </w:pPr>
      <w:bookmarkStart w:id="97" w:name="_Toc57214905"/>
      <w:r w:rsidRPr="00D82CFF">
        <w:rPr>
          <w:b/>
          <w:bCs/>
          <w:sz w:val="22"/>
          <w:szCs w:val="22"/>
        </w:rPr>
        <w:t>C.</w:t>
      </w:r>
      <w:r w:rsidRPr="00D82CFF">
        <w:rPr>
          <w:b/>
          <w:bCs/>
          <w:sz w:val="22"/>
          <w:szCs w:val="22"/>
        </w:rPr>
        <w:tab/>
        <w:t>Resource mobilization for capacity</w:t>
      </w:r>
      <w:r w:rsidRPr="00D82CFF">
        <w:rPr>
          <w:b/>
          <w:bCs/>
          <w:sz w:val="22"/>
          <w:szCs w:val="22"/>
        </w:rPr>
        <w:noBreakHyphen/>
        <w:t>building and development</w:t>
      </w:r>
      <w:bookmarkEnd w:id="97"/>
    </w:p>
    <w:p w14:paraId="4174E92A" w14:textId="77777777" w:rsidR="008C379F" w:rsidRPr="000F589D"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CA37F7">
        <w:rPr>
          <w:rFonts w:asciiTheme="majorBidi" w:hAnsiTheme="majorBidi" w:cstheme="majorBidi"/>
          <w:snapToGrid/>
        </w:rPr>
        <w:t>1</w:t>
      </w:r>
      <w:r>
        <w:rPr>
          <w:rFonts w:asciiTheme="majorBidi" w:hAnsiTheme="majorBidi" w:cstheme="majorBidi"/>
          <w:snapToGrid/>
        </w:rPr>
        <w:t>5</w:t>
      </w:r>
      <w:r w:rsidRPr="00CA37F7">
        <w:rPr>
          <w:rFonts w:asciiTheme="majorBidi" w:hAnsiTheme="majorBidi" w:cstheme="majorBidi"/>
          <w:snapToGrid/>
        </w:rPr>
        <w:t>.</w:t>
      </w:r>
      <w:r w:rsidRPr="00CA37F7">
        <w:rPr>
          <w:rFonts w:asciiTheme="majorBidi" w:hAnsiTheme="majorBidi" w:cstheme="majorBidi"/>
          <w:snapToGrid/>
        </w:rPr>
        <w:tab/>
      </w:r>
      <w:r w:rsidRPr="00CA37F7">
        <w:rPr>
          <w:rFonts w:asciiTheme="majorBidi" w:hAnsiTheme="majorBidi" w:cstheme="majorBidi"/>
        </w:rPr>
        <w:t>There is a need to mobilize resources from all sources to support national capacity</w:t>
      </w:r>
      <w:r w:rsidRPr="00CA37F7">
        <w:rPr>
          <w:rFonts w:asciiTheme="majorBidi" w:hAnsiTheme="majorBidi" w:cstheme="majorBidi"/>
        </w:rPr>
        <w:noBreakHyphen/>
        <w:t xml:space="preserve">building and development and help create an enabling environment. </w:t>
      </w:r>
      <w:r w:rsidRPr="00520D50">
        <w:rPr>
          <w:rFonts w:asciiTheme="majorBidi" w:hAnsiTheme="majorBidi" w:cstheme="majorBidi"/>
        </w:rPr>
        <w:t xml:space="preserve">The provision of financial resources in line with </w:t>
      </w:r>
      <w:r w:rsidRPr="004D32B6">
        <w:rPr>
          <w:rFonts w:asciiTheme="majorBidi" w:hAnsiTheme="majorBidi" w:cstheme="majorBidi"/>
        </w:rPr>
        <w:t>A</w:t>
      </w:r>
      <w:r w:rsidRPr="00520D50">
        <w:rPr>
          <w:rFonts w:asciiTheme="majorBidi" w:hAnsiTheme="majorBidi" w:cstheme="majorBidi"/>
        </w:rPr>
        <w:t>rticle 20 of the Convention, and the efforts by the Biodiversity</w:t>
      </w:r>
      <w:r w:rsidRPr="00EC611D">
        <w:rPr>
          <w:rFonts w:asciiTheme="majorBidi" w:hAnsiTheme="majorBidi" w:cstheme="majorBidi"/>
        </w:rPr>
        <w:t xml:space="preserve"> Finance Initiative of the United Nations Development Programme (BIOFIN) could support countries to include options to mobilize resources for capacity</w:t>
      </w:r>
      <w:r w:rsidRPr="00EC611D">
        <w:rPr>
          <w:rFonts w:asciiTheme="majorBidi" w:hAnsiTheme="majorBidi" w:cstheme="majorBidi"/>
        </w:rPr>
        <w:noBreakHyphen/>
        <w:t>building and development in their national resource mobilization strategies, in line with decision 15/7 on resource mobilization.</w:t>
      </w:r>
    </w:p>
    <w:p w14:paraId="3D21CD18" w14:textId="77777777" w:rsidR="008C379F" w:rsidRPr="00D82CFF" w:rsidRDefault="008C379F" w:rsidP="00D82CFF">
      <w:pPr>
        <w:pStyle w:val="NormalWeb"/>
        <w:keepNext/>
        <w:spacing w:before="120" w:after="120"/>
        <w:jc w:val="center"/>
        <w:rPr>
          <w:b/>
          <w:bCs/>
          <w:sz w:val="22"/>
          <w:szCs w:val="22"/>
        </w:rPr>
      </w:pPr>
      <w:bookmarkStart w:id="98" w:name="_Toc57214906"/>
      <w:r w:rsidRPr="00D82CFF">
        <w:rPr>
          <w:b/>
          <w:bCs/>
          <w:sz w:val="22"/>
          <w:szCs w:val="22"/>
        </w:rPr>
        <w:t>D.</w:t>
      </w:r>
      <w:r w:rsidRPr="00D82CFF">
        <w:rPr>
          <w:b/>
          <w:bCs/>
          <w:sz w:val="22"/>
          <w:szCs w:val="22"/>
        </w:rPr>
        <w:tab/>
        <w:t>Regional and global support networks</w:t>
      </w:r>
      <w:bookmarkEnd w:id="98"/>
    </w:p>
    <w:p w14:paraId="54C5ED94" w14:textId="77777777" w:rsidR="008C379F" w:rsidRPr="00B7059E"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B7059E">
        <w:rPr>
          <w:rFonts w:asciiTheme="majorBidi" w:hAnsiTheme="majorBidi" w:cstheme="majorBidi"/>
          <w:snapToGrid/>
        </w:rPr>
        <w:t>1</w:t>
      </w:r>
      <w:r>
        <w:rPr>
          <w:rFonts w:asciiTheme="majorBidi" w:hAnsiTheme="majorBidi" w:cstheme="majorBidi"/>
          <w:snapToGrid/>
        </w:rPr>
        <w:t>6</w:t>
      </w:r>
      <w:r w:rsidRPr="00B7059E">
        <w:rPr>
          <w:rFonts w:asciiTheme="majorBidi" w:hAnsiTheme="majorBidi" w:cstheme="majorBidi"/>
          <w:snapToGrid/>
        </w:rPr>
        <w:t>.</w:t>
      </w:r>
      <w:r w:rsidRPr="00B7059E">
        <w:rPr>
          <w:rFonts w:asciiTheme="majorBidi" w:hAnsiTheme="majorBidi" w:cstheme="majorBidi"/>
          <w:snapToGrid/>
        </w:rPr>
        <w:tab/>
      </w:r>
      <w:r w:rsidRPr="00B7059E">
        <w:rPr>
          <w:rFonts w:asciiTheme="majorBidi" w:hAnsiTheme="majorBidi" w:cstheme="majorBidi"/>
        </w:rPr>
        <w:t>Existing regional and global support networks should be strengthened, to provide, upon request, capacity</w:t>
      </w:r>
      <w:r w:rsidRPr="00B7059E">
        <w:rPr>
          <w:rFonts w:asciiTheme="majorBidi" w:hAnsiTheme="majorBidi" w:cstheme="majorBidi"/>
        </w:rPr>
        <w:noBreakHyphen/>
        <w:t>building and development support to national government institutions, subnational governments, local authorities and non-government actors within the respective geographic regions or subregions.</w:t>
      </w:r>
    </w:p>
    <w:p w14:paraId="48383B21" w14:textId="77777777" w:rsidR="008C379F" w:rsidRPr="00D82CFF" w:rsidRDefault="008C379F" w:rsidP="00D82CFF">
      <w:pPr>
        <w:pStyle w:val="NormalWeb"/>
        <w:keepNext/>
        <w:spacing w:before="120" w:after="120"/>
        <w:jc w:val="center"/>
        <w:rPr>
          <w:b/>
          <w:bCs/>
          <w:sz w:val="22"/>
          <w:szCs w:val="22"/>
        </w:rPr>
      </w:pPr>
      <w:bookmarkStart w:id="99" w:name="_Toc57214907"/>
      <w:r w:rsidRPr="00D82CFF">
        <w:rPr>
          <w:b/>
          <w:bCs/>
          <w:sz w:val="22"/>
          <w:szCs w:val="22"/>
        </w:rPr>
        <w:t>E.</w:t>
      </w:r>
      <w:r w:rsidRPr="00D82CFF">
        <w:rPr>
          <w:b/>
          <w:bCs/>
          <w:sz w:val="22"/>
          <w:szCs w:val="22"/>
        </w:rPr>
        <w:tab/>
        <w:t>Enhanced review mechanisms</w:t>
      </w:r>
      <w:bookmarkEnd w:id="99"/>
    </w:p>
    <w:p w14:paraId="30413E33" w14:textId="77777777" w:rsidR="008C379F" w:rsidRPr="00B7059E"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B7059E">
        <w:rPr>
          <w:rFonts w:asciiTheme="majorBidi" w:hAnsiTheme="majorBidi" w:cstheme="majorBidi"/>
          <w:snapToGrid/>
        </w:rPr>
        <w:t>1</w:t>
      </w:r>
      <w:r>
        <w:rPr>
          <w:rFonts w:asciiTheme="majorBidi" w:hAnsiTheme="majorBidi" w:cstheme="majorBidi"/>
          <w:snapToGrid/>
        </w:rPr>
        <w:t>7</w:t>
      </w:r>
      <w:r w:rsidRPr="00B7059E">
        <w:rPr>
          <w:rFonts w:asciiTheme="majorBidi" w:hAnsiTheme="majorBidi" w:cstheme="majorBidi"/>
          <w:snapToGrid/>
        </w:rPr>
        <w:t>.</w:t>
      </w:r>
      <w:r w:rsidRPr="00B7059E">
        <w:rPr>
          <w:rFonts w:asciiTheme="majorBidi" w:hAnsiTheme="majorBidi" w:cstheme="majorBidi"/>
          <w:snapToGrid/>
        </w:rPr>
        <w:tab/>
      </w:r>
      <w:r w:rsidRPr="00CA37F7">
        <w:rPr>
          <w:rFonts w:asciiTheme="majorBidi" w:hAnsiTheme="majorBidi" w:cstheme="majorBidi"/>
        </w:rPr>
        <w:t>The enhanced planning, reporting and review mechanism should consider the capacity</w:t>
      </w:r>
      <w:r w:rsidRPr="00CA37F7">
        <w:rPr>
          <w:rFonts w:asciiTheme="majorBidi" w:hAnsiTheme="majorBidi" w:cstheme="majorBidi"/>
        </w:rPr>
        <w:noBreakHyphen/>
        <w:t xml:space="preserve">building and development dimension. The guidelines for national reporting by </w:t>
      </w:r>
      <w:r>
        <w:rPr>
          <w:rFonts w:asciiTheme="majorBidi" w:hAnsiTheme="majorBidi" w:cstheme="majorBidi"/>
        </w:rPr>
        <w:t>G</w:t>
      </w:r>
      <w:r w:rsidRPr="00CA37F7">
        <w:rPr>
          <w:rFonts w:asciiTheme="majorBidi" w:hAnsiTheme="majorBidi" w:cstheme="majorBidi"/>
        </w:rPr>
        <w:t>overnments should also include provisions for reporting on capacity</w:t>
      </w:r>
      <w:r w:rsidRPr="00CA37F7">
        <w:rPr>
          <w:rFonts w:asciiTheme="majorBidi" w:hAnsiTheme="majorBidi" w:cstheme="majorBidi"/>
        </w:rPr>
        <w:noBreakHyphen/>
        <w:t xml:space="preserve">building and development and provide opportunities for countries to share experiences and lessons learned. The review and revision process </w:t>
      </w:r>
      <w:r>
        <w:rPr>
          <w:rFonts w:asciiTheme="majorBidi" w:hAnsiTheme="majorBidi" w:cstheme="majorBidi"/>
        </w:rPr>
        <w:t xml:space="preserve">of the </w:t>
      </w:r>
      <w:r w:rsidRPr="00CA37F7">
        <w:rPr>
          <w:rFonts w:asciiTheme="majorBidi" w:hAnsiTheme="majorBidi" w:cstheme="majorBidi"/>
        </w:rPr>
        <w:t>national biodiversity strateg</w:t>
      </w:r>
      <w:r>
        <w:rPr>
          <w:rFonts w:asciiTheme="majorBidi" w:hAnsiTheme="majorBidi" w:cstheme="majorBidi"/>
        </w:rPr>
        <w:t>ies</w:t>
      </w:r>
      <w:r w:rsidRPr="00CA37F7">
        <w:rPr>
          <w:rFonts w:asciiTheme="majorBidi" w:hAnsiTheme="majorBidi" w:cstheme="majorBidi"/>
        </w:rPr>
        <w:t xml:space="preserve"> and </w:t>
      </w:r>
      <w:r w:rsidRPr="008C2D10">
        <w:rPr>
          <w:rFonts w:asciiTheme="majorBidi" w:hAnsiTheme="majorBidi" w:cstheme="majorBidi"/>
        </w:rPr>
        <w:t>action plans and the voluntary</w:t>
      </w:r>
      <w:r w:rsidRPr="00981752">
        <w:rPr>
          <w:rFonts w:asciiTheme="majorBidi" w:hAnsiTheme="majorBidi" w:cstheme="majorBidi"/>
        </w:rPr>
        <w:t xml:space="preserve"> peer</w:t>
      </w:r>
      <w:r w:rsidRPr="00CA37F7">
        <w:rPr>
          <w:rFonts w:asciiTheme="majorBidi" w:hAnsiTheme="majorBidi" w:cstheme="majorBidi"/>
        </w:rPr>
        <w:t xml:space="preserve"> </w:t>
      </w:r>
      <w:r w:rsidRPr="00981752">
        <w:rPr>
          <w:rFonts w:asciiTheme="majorBidi" w:hAnsiTheme="majorBidi" w:cstheme="majorBidi"/>
        </w:rPr>
        <w:t>review</w:t>
      </w:r>
      <w:r w:rsidRPr="00CA37F7">
        <w:rPr>
          <w:rFonts w:asciiTheme="majorBidi" w:hAnsiTheme="majorBidi" w:cstheme="majorBidi"/>
        </w:rPr>
        <w:t xml:space="preserve"> of </w:t>
      </w:r>
      <w:r>
        <w:rPr>
          <w:rFonts w:asciiTheme="majorBidi" w:hAnsiTheme="majorBidi" w:cstheme="majorBidi"/>
        </w:rPr>
        <w:t xml:space="preserve">their </w:t>
      </w:r>
      <w:r w:rsidRPr="00CA37F7">
        <w:rPr>
          <w:rFonts w:asciiTheme="majorBidi" w:hAnsiTheme="majorBidi" w:cstheme="majorBidi"/>
        </w:rPr>
        <w:t xml:space="preserve">implementation </w:t>
      </w:r>
      <w:r w:rsidRPr="0022224D">
        <w:rPr>
          <w:rFonts w:asciiTheme="majorBidi" w:hAnsiTheme="majorBidi" w:cstheme="majorBidi"/>
        </w:rPr>
        <w:t>should</w:t>
      </w:r>
      <w:r w:rsidRPr="00CA37F7">
        <w:rPr>
          <w:rFonts w:asciiTheme="majorBidi" w:hAnsiTheme="majorBidi" w:cstheme="majorBidi"/>
        </w:rPr>
        <w:t xml:space="preserve"> also include a review of the capacity</w:t>
      </w:r>
      <w:r w:rsidRPr="00CA37F7">
        <w:rPr>
          <w:rFonts w:asciiTheme="majorBidi" w:hAnsiTheme="majorBidi" w:cstheme="majorBidi"/>
        </w:rPr>
        <w:noBreakHyphen/>
        <w:t>building and development strategies and approaches in line with decision 15/</w:t>
      </w:r>
      <w:r>
        <w:rPr>
          <w:rFonts w:asciiTheme="majorBidi" w:hAnsiTheme="majorBidi" w:cstheme="majorBidi"/>
        </w:rPr>
        <w:t>6</w:t>
      </w:r>
      <w:r w:rsidRPr="00CA37F7">
        <w:rPr>
          <w:rFonts w:asciiTheme="majorBidi" w:hAnsiTheme="majorBidi" w:cstheme="majorBidi"/>
        </w:rPr>
        <w:t xml:space="preserve"> on </w:t>
      </w:r>
      <w:r>
        <w:rPr>
          <w:rFonts w:asciiTheme="majorBidi" w:hAnsiTheme="majorBidi" w:cstheme="majorBidi"/>
        </w:rPr>
        <w:t xml:space="preserve">planning, </w:t>
      </w:r>
      <w:r w:rsidRPr="00CA37F7">
        <w:rPr>
          <w:rFonts w:asciiTheme="majorBidi" w:hAnsiTheme="majorBidi" w:cstheme="majorBidi"/>
        </w:rPr>
        <w:t>monitoring</w:t>
      </w:r>
      <w:r>
        <w:rPr>
          <w:rFonts w:asciiTheme="majorBidi" w:hAnsiTheme="majorBidi" w:cstheme="majorBidi"/>
        </w:rPr>
        <w:t xml:space="preserve">, </w:t>
      </w:r>
      <w:r w:rsidRPr="00CA37F7">
        <w:rPr>
          <w:rFonts w:asciiTheme="majorBidi" w:hAnsiTheme="majorBidi" w:cstheme="majorBidi"/>
        </w:rPr>
        <w:t xml:space="preserve">reporting </w:t>
      </w:r>
      <w:r>
        <w:rPr>
          <w:rFonts w:asciiTheme="majorBidi" w:hAnsiTheme="majorBidi" w:cstheme="majorBidi"/>
        </w:rPr>
        <w:t xml:space="preserve">and review </w:t>
      </w:r>
      <w:r w:rsidRPr="00CA37F7">
        <w:rPr>
          <w:rFonts w:asciiTheme="majorBidi" w:hAnsiTheme="majorBidi" w:cstheme="majorBidi"/>
        </w:rPr>
        <w:t xml:space="preserve">of the </w:t>
      </w:r>
      <w:r>
        <w:rPr>
          <w:rFonts w:asciiTheme="majorBidi" w:hAnsiTheme="majorBidi" w:cstheme="majorBidi"/>
        </w:rPr>
        <w:t>Kunming-Montreal G</w:t>
      </w:r>
      <w:r w:rsidRPr="00CA37F7">
        <w:rPr>
          <w:rFonts w:asciiTheme="majorBidi" w:hAnsiTheme="majorBidi" w:cstheme="majorBidi"/>
        </w:rPr>
        <w:t xml:space="preserve">lobal </w:t>
      </w:r>
      <w:r>
        <w:rPr>
          <w:rFonts w:asciiTheme="majorBidi" w:hAnsiTheme="majorBidi" w:cstheme="majorBidi"/>
        </w:rPr>
        <w:t>B</w:t>
      </w:r>
      <w:r w:rsidRPr="00CA37F7">
        <w:rPr>
          <w:rFonts w:asciiTheme="majorBidi" w:hAnsiTheme="majorBidi" w:cstheme="majorBidi"/>
        </w:rPr>
        <w:t xml:space="preserve">iodiversity </w:t>
      </w:r>
      <w:r>
        <w:rPr>
          <w:rFonts w:asciiTheme="majorBidi" w:hAnsiTheme="majorBidi" w:cstheme="majorBidi"/>
        </w:rPr>
        <w:t>F</w:t>
      </w:r>
      <w:r w:rsidRPr="00CA37F7">
        <w:rPr>
          <w:rFonts w:asciiTheme="majorBidi" w:hAnsiTheme="majorBidi" w:cstheme="majorBidi"/>
        </w:rPr>
        <w:t>ramework</w:t>
      </w:r>
      <w:r w:rsidRPr="00CA37F7" w:rsidDel="00855CC2">
        <w:rPr>
          <w:rFonts w:asciiTheme="majorBidi" w:hAnsiTheme="majorBidi" w:cstheme="majorBidi"/>
        </w:rPr>
        <w:t>.</w:t>
      </w:r>
    </w:p>
    <w:p w14:paraId="51FC02DE" w14:textId="77777777" w:rsidR="008C379F" w:rsidRPr="00D82CFF" w:rsidRDefault="008C379F" w:rsidP="00D82CFF">
      <w:pPr>
        <w:pStyle w:val="NormalWeb"/>
        <w:keepNext/>
        <w:spacing w:before="120" w:after="120"/>
        <w:jc w:val="center"/>
        <w:rPr>
          <w:b/>
          <w:bCs/>
          <w:sz w:val="22"/>
          <w:szCs w:val="22"/>
        </w:rPr>
      </w:pPr>
      <w:bookmarkStart w:id="100" w:name="_Toc57214908"/>
      <w:r w:rsidRPr="00D82CFF">
        <w:rPr>
          <w:b/>
          <w:bCs/>
          <w:sz w:val="22"/>
          <w:szCs w:val="22"/>
        </w:rPr>
        <w:t>F.</w:t>
      </w:r>
      <w:r w:rsidRPr="00D82CFF">
        <w:rPr>
          <w:b/>
          <w:bCs/>
          <w:sz w:val="22"/>
          <w:szCs w:val="22"/>
        </w:rPr>
        <w:tab/>
        <w:t>Outreach and dissemination of the long-term strategic framework</w:t>
      </w:r>
      <w:bookmarkEnd w:id="100"/>
    </w:p>
    <w:p w14:paraId="4C06DE68" w14:textId="77777777" w:rsidR="008C379F" w:rsidRPr="00B7059E"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snapToGrid/>
        </w:rPr>
      </w:pPr>
      <w:r w:rsidRPr="00B7059E">
        <w:rPr>
          <w:rFonts w:asciiTheme="majorBidi" w:hAnsiTheme="majorBidi" w:cstheme="majorBidi"/>
          <w:snapToGrid/>
        </w:rPr>
        <w:t>1</w:t>
      </w:r>
      <w:r>
        <w:rPr>
          <w:rFonts w:asciiTheme="majorBidi" w:hAnsiTheme="majorBidi" w:cstheme="majorBidi"/>
          <w:snapToGrid/>
        </w:rPr>
        <w:t>8</w:t>
      </w:r>
      <w:r w:rsidRPr="00B7059E">
        <w:rPr>
          <w:rFonts w:asciiTheme="majorBidi" w:hAnsiTheme="majorBidi" w:cstheme="majorBidi"/>
          <w:snapToGrid/>
        </w:rPr>
        <w:t>.</w:t>
      </w:r>
      <w:r w:rsidRPr="00B7059E">
        <w:rPr>
          <w:rFonts w:asciiTheme="majorBidi" w:hAnsiTheme="majorBidi" w:cstheme="majorBidi"/>
          <w:snapToGrid/>
        </w:rPr>
        <w:tab/>
      </w:r>
      <w:r w:rsidRPr="00B7059E">
        <w:rPr>
          <w:rFonts w:asciiTheme="majorBidi" w:hAnsiTheme="majorBidi" w:cstheme="majorBidi"/>
        </w:rPr>
        <w:t>A campaign targeting various stakeholders and actors will be undertaken to raise awareness of, and support for, the long-term strategic framework. Key partners and stakeholders will be invited to support the implementation, including through alignment of their capacity</w:t>
      </w:r>
      <w:r w:rsidRPr="00B7059E">
        <w:rPr>
          <w:rFonts w:asciiTheme="majorBidi" w:hAnsiTheme="majorBidi" w:cstheme="majorBidi"/>
        </w:rPr>
        <w:noBreakHyphen/>
        <w:t xml:space="preserve">building and development actions with the framework, and establishment of coalitions and communities of practice. A dedicated web portal within the clearing-house mechanism will be created </w:t>
      </w:r>
      <w:bookmarkStart w:id="101" w:name="_Hlk47923928"/>
      <w:r w:rsidRPr="00B7059E">
        <w:rPr>
          <w:rFonts w:asciiTheme="majorBidi" w:hAnsiTheme="majorBidi" w:cstheme="majorBidi"/>
        </w:rPr>
        <w:t xml:space="preserve">and linked to the websites of biodiversity-related conventions and organizations </w:t>
      </w:r>
      <w:bookmarkEnd w:id="101"/>
      <w:r w:rsidRPr="00B7059E">
        <w:rPr>
          <w:rFonts w:asciiTheme="majorBidi" w:hAnsiTheme="majorBidi" w:cstheme="majorBidi"/>
        </w:rPr>
        <w:t>to share information about the framework and the activities and experiences of various actors.</w:t>
      </w:r>
      <w:bookmarkStart w:id="102" w:name="_Hlk50340087"/>
    </w:p>
    <w:p w14:paraId="3E8F1ADE" w14:textId="77777777" w:rsidR="008C379F" w:rsidRPr="00D82CFF" w:rsidRDefault="008C379F" w:rsidP="00D82CFF">
      <w:pPr>
        <w:pStyle w:val="NormalWeb"/>
        <w:keepNext/>
        <w:spacing w:before="120" w:after="120"/>
        <w:jc w:val="center"/>
        <w:rPr>
          <w:b/>
          <w:bCs/>
          <w:sz w:val="22"/>
          <w:szCs w:val="22"/>
        </w:rPr>
      </w:pPr>
      <w:bookmarkStart w:id="103" w:name="_Toc57214909"/>
      <w:r w:rsidRPr="00D82CFF">
        <w:rPr>
          <w:b/>
          <w:bCs/>
          <w:sz w:val="22"/>
          <w:szCs w:val="22"/>
        </w:rPr>
        <w:lastRenderedPageBreak/>
        <w:t>G.</w:t>
      </w:r>
      <w:r w:rsidRPr="00D82CFF">
        <w:rPr>
          <w:b/>
          <w:bCs/>
          <w:sz w:val="22"/>
          <w:szCs w:val="22"/>
        </w:rPr>
        <w:tab/>
        <w:t>Reporting and review of the long-term strategic framework</w:t>
      </w:r>
      <w:bookmarkEnd w:id="103"/>
    </w:p>
    <w:p w14:paraId="13067D62" w14:textId="77777777" w:rsidR="008C379F" w:rsidRPr="00B7059E" w:rsidRDefault="008C379F" w:rsidP="00A30041">
      <w:pPr>
        <w:pStyle w:val="Para1"/>
        <w:numPr>
          <w:ilvl w:val="0"/>
          <w:numId w:val="0"/>
        </w:numPr>
        <w:suppressLineNumbers/>
        <w:tabs>
          <w:tab w:val="left" w:pos="720"/>
        </w:tabs>
        <w:suppressAutoHyphens/>
        <w:kinsoku w:val="0"/>
        <w:adjustRightInd w:val="0"/>
        <w:spacing w:line="230" w:lineRule="auto"/>
        <w:rPr>
          <w:rFonts w:asciiTheme="majorBidi" w:hAnsiTheme="majorBidi" w:cstheme="majorBidi"/>
        </w:rPr>
      </w:pPr>
      <w:r>
        <w:rPr>
          <w:rFonts w:asciiTheme="majorBidi" w:hAnsiTheme="majorBidi" w:cstheme="majorBidi"/>
          <w:snapToGrid/>
        </w:rPr>
        <w:t>19</w:t>
      </w:r>
      <w:r w:rsidRPr="00B7059E">
        <w:rPr>
          <w:rFonts w:asciiTheme="majorBidi" w:hAnsiTheme="majorBidi" w:cstheme="majorBidi"/>
          <w:snapToGrid/>
        </w:rPr>
        <w:t>.</w:t>
      </w:r>
      <w:r w:rsidRPr="00B7059E">
        <w:rPr>
          <w:rFonts w:asciiTheme="majorBidi" w:hAnsiTheme="majorBidi" w:cstheme="majorBidi"/>
          <w:snapToGrid/>
        </w:rPr>
        <w:tab/>
      </w:r>
      <w:r w:rsidRPr="00B7059E">
        <w:rPr>
          <w:rFonts w:asciiTheme="majorBidi" w:hAnsiTheme="majorBidi" w:cstheme="majorBidi"/>
        </w:rPr>
        <w:t xml:space="preserve">The long-term strategic framework is intended to be a living document. It will be reviewed periodically </w:t>
      </w:r>
      <w:bookmarkStart w:id="104" w:name="_Hlk46691380"/>
      <w:r w:rsidRPr="00B7059E">
        <w:rPr>
          <w:rFonts w:asciiTheme="majorBidi" w:hAnsiTheme="majorBidi" w:cstheme="majorBidi"/>
        </w:rPr>
        <w:t>and, if necessary, updated to ensure its continued relevance, effectiveness and use by government and non-government actors</w:t>
      </w:r>
      <w:bookmarkEnd w:id="104"/>
      <w:r w:rsidRPr="00B7059E">
        <w:rPr>
          <w:rFonts w:asciiTheme="majorBidi" w:hAnsiTheme="majorBidi" w:cstheme="majorBidi"/>
        </w:rPr>
        <w:t>. A first review will be carried out in 2025</w:t>
      </w:r>
      <w:r>
        <w:rPr>
          <w:rFonts w:asciiTheme="majorBidi" w:hAnsiTheme="majorBidi" w:cstheme="majorBidi"/>
        </w:rPr>
        <w:t>,</w:t>
      </w:r>
      <w:r w:rsidRPr="00B7059E">
        <w:rPr>
          <w:rFonts w:asciiTheme="majorBidi" w:hAnsiTheme="majorBidi" w:cstheme="majorBidi"/>
        </w:rPr>
        <w:t xml:space="preserve"> and an independent evaluation will be undertaken in 2029, to coincide with the review of the </w:t>
      </w:r>
      <w:r>
        <w:rPr>
          <w:rFonts w:asciiTheme="majorBidi" w:hAnsiTheme="majorBidi" w:cstheme="majorBidi"/>
        </w:rPr>
        <w:t>Kunming-Montreal G</w:t>
      </w:r>
      <w:r w:rsidRPr="00B7059E">
        <w:rPr>
          <w:rFonts w:asciiTheme="majorBidi" w:hAnsiTheme="majorBidi" w:cstheme="majorBidi"/>
        </w:rPr>
        <w:t xml:space="preserve">lobal </w:t>
      </w:r>
      <w:r>
        <w:rPr>
          <w:rFonts w:asciiTheme="majorBidi" w:hAnsiTheme="majorBidi" w:cstheme="majorBidi"/>
        </w:rPr>
        <w:t>B</w:t>
      </w:r>
      <w:r w:rsidRPr="00B7059E">
        <w:rPr>
          <w:rFonts w:asciiTheme="majorBidi" w:hAnsiTheme="majorBidi" w:cstheme="majorBidi"/>
        </w:rPr>
        <w:t xml:space="preserve">iodiversity </w:t>
      </w:r>
      <w:r>
        <w:rPr>
          <w:rFonts w:asciiTheme="majorBidi" w:hAnsiTheme="majorBidi" w:cstheme="majorBidi"/>
        </w:rPr>
        <w:t>F</w:t>
      </w:r>
      <w:r w:rsidRPr="00B7059E">
        <w:rPr>
          <w:rFonts w:asciiTheme="majorBidi" w:hAnsiTheme="majorBidi" w:cstheme="majorBidi"/>
        </w:rPr>
        <w:t xml:space="preserve">ramework. Reporting on its application and the lessons learned by </w:t>
      </w:r>
      <w:r>
        <w:rPr>
          <w:rFonts w:asciiTheme="majorBidi" w:hAnsiTheme="majorBidi" w:cstheme="majorBidi"/>
        </w:rPr>
        <w:t>G</w:t>
      </w:r>
      <w:r w:rsidRPr="00B7059E">
        <w:rPr>
          <w:rFonts w:asciiTheme="majorBidi" w:hAnsiTheme="majorBidi" w:cstheme="majorBidi"/>
        </w:rPr>
        <w:t xml:space="preserve">overnments will be done through </w:t>
      </w:r>
      <w:bookmarkStart w:id="105" w:name="_Hlk50983404"/>
      <w:r w:rsidRPr="00B7059E">
        <w:rPr>
          <w:rFonts w:asciiTheme="majorBidi" w:hAnsiTheme="majorBidi" w:cstheme="majorBidi"/>
        </w:rPr>
        <w:t xml:space="preserve">national reports </w:t>
      </w:r>
      <w:bookmarkEnd w:id="105"/>
      <w:r w:rsidRPr="00B7059E">
        <w:rPr>
          <w:rFonts w:asciiTheme="majorBidi" w:hAnsiTheme="majorBidi" w:cstheme="majorBidi"/>
        </w:rPr>
        <w:t>in line with decision 15/</w:t>
      </w:r>
      <w:r>
        <w:rPr>
          <w:rFonts w:asciiTheme="majorBidi" w:hAnsiTheme="majorBidi" w:cstheme="majorBidi"/>
        </w:rPr>
        <w:t>6</w:t>
      </w:r>
      <w:r w:rsidRPr="00B7059E">
        <w:rPr>
          <w:rFonts w:asciiTheme="majorBidi" w:hAnsiTheme="majorBidi" w:cstheme="majorBidi"/>
        </w:rPr>
        <w:t xml:space="preserve"> </w:t>
      </w:r>
      <w:r>
        <w:rPr>
          <w:rFonts w:asciiTheme="majorBidi" w:hAnsiTheme="majorBidi" w:cstheme="majorBidi"/>
        </w:rPr>
        <w:t xml:space="preserve">on mechanisms for planning, </w:t>
      </w:r>
      <w:r w:rsidRPr="00CA37F7">
        <w:rPr>
          <w:rFonts w:asciiTheme="majorBidi" w:hAnsiTheme="majorBidi" w:cstheme="majorBidi"/>
        </w:rPr>
        <w:t>monitoring</w:t>
      </w:r>
      <w:r>
        <w:rPr>
          <w:rFonts w:asciiTheme="majorBidi" w:hAnsiTheme="majorBidi" w:cstheme="majorBidi"/>
        </w:rPr>
        <w:t xml:space="preserve">, </w:t>
      </w:r>
      <w:r w:rsidRPr="00CA37F7">
        <w:rPr>
          <w:rFonts w:asciiTheme="majorBidi" w:hAnsiTheme="majorBidi" w:cstheme="majorBidi"/>
        </w:rPr>
        <w:t xml:space="preserve">reporting </w:t>
      </w:r>
      <w:r>
        <w:rPr>
          <w:rFonts w:asciiTheme="majorBidi" w:hAnsiTheme="majorBidi" w:cstheme="majorBidi"/>
        </w:rPr>
        <w:t>and review</w:t>
      </w:r>
      <w:r w:rsidRPr="00B7059E">
        <w:rPr>
          <w:rFonts w:asciiTheme="majorBidi" w:hAnsiTheme="majorBidi" w:cstheme="majorBidi"/>
        </w:rPr>
        <w:t>.</w:t>
      </w:r>
      <w:bookmarkEnd w:id="102"/>
    </w:p>
    <w:p w14:paraId="04C7CDE7" w14:textId="77777777" w:rsidR="008C379F" w:rsidRPr="00B7059E" w:rsidRDefault="008C379F" w:rsidP="00365514">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rPr>
          <w:rFonts w:asciiTheme="majorBidi" w:hAnsiTheme="majorBidi" w:cstheme="majorBidi"/>
          <w:i/>
          <w:snapToGrid w:val="0"/>
          <w:kern w:val="22"/>
          <w:szCs w:val="22"/>
        </w:rPr>
      </w:pPr>
      <w:bookmarkStart w:id="106" w:name="_Toc118355008"/>
      <w:bookmarkStart w:id="107" w:name="_Toc57214910"/>
      <w:r w:rsidRPr="00B7059E">
        <w:rPr>
          <w:rFonts w:asciiTheme="majorBidi" w:hAnsiTheme="majorBidi" w:cstheme="majorBidi"/>
          <w:i/>
          <w:snapToGrid w:val="0"/>
          <w:kern w:val="22"/>
          <w:szCs w:val="22"/>
        </w:rPr>
        <w:t>Annex II</w:t>
      </w:r>
      <w:bookmarkEnd w:id="106"/>
    </w:p>
    <w:p w14:paraId="0032D27D" w14:textId="63BF82EA" w:rsidR="008C379F" w:rsidRPr="00B7059E" w:rsidRDefault="008C379F" w:rsidP="00365514">
      <w:pPr>
        <w:pStyle w:val="NormalWeb"/>
        <w:keepNext/>
        <w:suppressLineNumbers/>
        <w:suppressAutoHyphens/>
        <w:kinsoku w:val="0"/>
        <w:overflowPunct w:val="0"/>
        <w:adjustRightInd w:val="0"/>
        <w:snapToGrid w:val="0"/>
        <w:spacing w:before="120" w:after="120"/>
        <w:jc w:val="center"/>
        <w:rPr>
          <w:snapToGrid w:val="0"/>
        </w:rPr>
      </w:pPr>
      <w:bookmarkStart w:id="108" w:name="_Toc118355009"/>
      <w:bookmarkStart w:id="109" w:name="_Toc57214911"/>
      <w:bookmarkEnd w:id="107"/>
      <w:r w:rsidRPr="00B7059E">
        <w:rPr>
          <w:rFonts w:asciiTheme="majorBidi" w:hAnsiTheme="majorBidi" w:cstheme="majorBidi"/>
          <w:b/>
          <w:bCs/>
          <w:caps/>
          <w:snapToGrid w:val="0"/>
          <w:kern w:val="22"/>
          <w:sz w:val="22"/>
          <w:szCs w:val="22"/>
        </w:rPr>
        <w:t xml:space="preserve">Mechanism to strengthen technical and scientific cooperation in support of the </w:t>
      </w:r>
      <w:r>
        <w:rPr>
          <w:rFonts w:asciiTheme="majorBidi" w:hAnsiTheme="majorBidi" w:cstheme="majorBidi"/>
          <w:b/>
          <w:bCs/>
          <w:caps/>
          <w:snapToGrid w:val="0"/>
          <w:kern w:val="22"/>
          <w:sz w:val="22"/>
          <w:szCs w:val="22"/>
        </w:rPr>
        <w:t xml:space="preserve">Kunming-Montreal </w:t>
      </w:r>
      <w:r w:rsidRPr="00B7059E">
        <w:rPr>
          <w:rFonts w:asciiTheme="majorBidi" w:hAnsiTheme="majorBidi" w:cstheme="majorBidi"/>
          <w:b/>
          <w:bCs/>
          <w:caps/>
          <w:snapToGrid w:val="0"/>
          <w:kern w:val="22"/>
          <w:sz w:val="22"/>
          <w:szCs w:val="22"/>
        </w:rPr>
        <w:t>global biodiversity framework</w:t>
      </w:r>
      <w:bookmarkEnd w:id="108"/>
    </w:p>
    <w:p w14:paraId="38C1C866" w14:textId="77777777" w:rsidR="008C379F" w:rsidRPr="00B7059E" w:rsidRDefault="008C379F" w:rsidP="00365514">
      <w:pPr>
        <w:keepNext/>
        <w:suppressLineNumbers/>
        <w:suppressAutoHyphens/>
        <w:spacing w:before="120" w:after="120"/>
        <w:jc w:val="center"/>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t>I.</w:t>
      </w:r>
      <w:r w:rsidRPr="00B7059E">
        <w:rPr>
          <w:rFonts w:asciiTheme="majorBidi" w:hAnsiTheme="majorBidi" w:cstheme="majorBidi"/>
          <w:b/>
          <w:caps/>
          <w:color w:val="000000"/>
          <w:szCs w:val="22"/>
          <w:lang w:eastAsia="zh-CN"/>
        </w:rPr>
        <w:tab/>
        <w:t>GOAL, OBJECTIVES AND GUIDING PRINCIPLES</w:t>
      </w:r>
    </w:p>
    <w:p w14:paraId="7D31B35D" w14:textId="77777777" w:rsidR="008C379F" w:rsidRPr="00365514" w:rsidRDefault="008C379F" w:rsidP="00365514">
      <w:pPr>
        <w:pStyle w:val="NormalWeb"/>
        <w:keepNext/>
        <w:spacing w:before="120" w:after="120"/>
        <w:jc w:val="center"/>
        <w:rPr>
          <w:b/>
          <w:bCs/>
          <w:sz w:val="22"/>
          <w:szCs w:val="22"/>
        </w:rPr>
      </w:pPr>
      <w:r w:rsidRPr="00365514">
        <w:rPr>
          <w:b/>
          <w:bCs/>
          <w:sz w:val="22"/>
          <w:szCs w:val="22"/>
        </w:rPr>
        <w:t>A.</w:t>
      </w:r>
      <w:r w:rsidRPr="00365514">
        <w:rPr>
          <w:b/>
          <w:bCs/>
          <w:sz w:val="22"/>
          <w:szCs w:val="22"/>
        </w:rPr>
        <w:tab/>
        <w:t>Goal and objectives</w:t>
      </w:r>
    </w:p>
    <w:p w14:paraId="76BAFBDB"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1</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 xml:space="preserve">The overall goal </w:t>
      </w:r>
      <w:r w:rsidRPr="00B7059E">
        <w:rPr>
          <w:rFonts w:asciiTheme="majorBidi" w:hAnsiTheme="majorBidi" w:cstheme="majorBidi"/>
          <w:lang w:val="en-GB"/>
        </w:rPr>
        <w:t xml:space="preserve">of the mechanism </w:t>
      </w:r>
      <w:r w:rsidRPr="00B7059E">
        <w:rPr>
          <w:rFonts w:asciiTheme="majorBidi" w:hAnsiTheme="majorBidi" w:cstheme="majorBidi"/>
          <w:kern w:val="22"/>
          <w:lang w:val="en-GB"/>
        </w:rPr>
        <w:t xml:space="preserve">is to promote and facilitate cooperation among Parties and relevant organizations to enable them to effectively utilize science, technology and innovation to support the implementation of the </w:t>
      </w:r>
      <w:r>
        <w:rPr>
          <w:rFonts w:asciiTheme="majorBidi" w:hAnsiTheme="majorBidi" w:cstheme="majorBidi"/>
          <w:kern w:val="22"/>
          <w:lang w:val="en-GB"/>
        </w:rPr>
        <w:t>Kunming-Montreal G</w:t>
      </w:r>
      <w:r w:rsidRPr="00B7059E">
        <w:rPr>
          <w:rFonts w:asciiTheme="majorBidi" w:hAnsiTheme="majorBidi" w:cstheme="majorBidi"/>
          <w:kern w:val="22"/>
          <w:lang w:val="en-GB"/>
        </w:rPr>
        <w:t xml:space="preserve">lobal </w:t>
      </w:r>
      <w:r>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Pr>
          <w:rFonts w:asciiTheme="majorBidi" w:hAnsiTheme="majorBidi" w:cstheme="majorBidi"/>
          <w:kern w:val="22"/>
          <w:lang w:val="en-GB"/>
        </w:rPr>
        <w:t>F</w:t>
      </w:r>
      <w:r w:rsidRPr="00B7059E">
        <w:rPr>
          <w:rFonts w:asciiTheme="majorBidi" w:hAnsiTheme="majorBidi" w:cstheme="majorBidi"/>
          <w:kern w:val="22"/>
          <w:lang w:val="en-GB"/>
        </w:rPr>
        <w:t>ramework</w:t>
      </w:r>
      <w:r w:rsidRPr="00B7059E">
        <w:rPr>
          <w:rFonts w:asciiTheme="majorBidi" w:hAnsiTheme="majorBidi" w:cstheme="majorBidi"/>
          <w:snapToGrid w:val="0"/>
          <w:kern w:val="22"/>
          <w:lang w:val="en-GB"/>
        </w:rPr>
        <w:t>.</w:t>
      </w:r>
      <w:r w:rsidRPr="00B7059E">
        <w:rPr>
          <w:rFonts w:asciiTheme="majorBidi" w:hAnsiTheme="majorBidi" w:cstheme="majorBidi"/>
          <w:kern w:val="22"/>
          <w:lang w:val="en-GB"/>
        </w:rPr>
        <w:t xml:space="preserve"> The specific objectives are:</w:t>
      </w:r>
    </w:p>
    <w:p w14:paraId="7E5CF12C"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rPr>
        <w:t>To enhance local, national, subregional, regional and international capacities in relation to science, technology and innovation by means of human resource and institutional capacity</w:t>
      </w:r>
      <w:r w:rsidRPr="00B7059E">
        <w:rPr>
          <w:rFonts w:asciiTheme="majorBidi" w:hAnsiTheme="majorBidi" w:cstheme="majorBidi"/>
        </w:rPr>
        <w:noBreakHyphen/>
        <w:t>building and development;</w:t>
      </w:r>
    </w:p>
    <w:p w14:paraId="4E9D257C"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(b)</w:t>
      </w:r>
      <w:r w:rsidRPr="00B7059E">
        <w:rPr>
          <w:rFonts w:asciiTheme="majorBidi" w:hAnsiTheme="majorBidi" w:cstheme="majorBidi"/>
        </w:rPr>
        <w:tab/>
      </w:r>
      <w:r w:rsidRPr="00CA37F7">
        <w:rPr>
          <w:rFonts w:asciiTheme="majorBidi" w:hAnsiTheme="majorBidi" w:cstheme="majorBidi"/>
        </w:rPr>
        <w:t>To enable technology</w:t>
      </w:r>
      <w:r w:rsidRPr="004B5DF8">
        <w:rPr>
          <w:rFonts w:asciiTheme="majorBidi" w:hAnsiTheme="majorBidi" w:cstheme="majorBidi"/>
        </w:rPr>
        <w:t xml:space="preserve"> </w:t>
      </w:r>
      <w:r w:rsidRPr="00CA37F7">
        <w:rPr>
          <w:rFonts w:asciiTheme="majorBidi" w:hAnsiTheme="majorBidi" w:cstheme="majorBidi"/>
        </w:rPr>
        <w:t>assessment</w:t>
      </w:r>
      <w:r>
        <w:rPr>
          <w:rFonts w:asciiTheme="majorBidi" w:hAnsiTheme="majorBidi" w:cstheme="majorBidi"/>
        </w:rPr>
        <w:t xml:space="preserve"> and</w:t>
      </w:r>
      <w:r w:rsidRPr="00CA37F7">
        <w:rPr>
          <w:rFonts w:asciiTheme="majorBidi" w:hAnsiTheme="majorBidi" w:cstheme="majorBidi"/>
        </w:rPr>
        <w:t xml:space="preserve"> monitoring o</w:t>
      </w:r>
      <w:r>
        <w:rPr>
          <w:rFonts w:asciiTheme="majorBidi" w:hAnsiTheme="majorBidi" w:cstheme="majorBidi"/>
        </w:rPr>
        <w:t>f</w:t>
      </w:r>
      <w:r w:rsidRPr="00CA37F7">
        <w:rPr>
          <w:rFonts w:asciiTheme="majorBidi" w:hAnsiTheme="majorBidi" w:cstheme="majorBidi"/>
        </w:rPr>
        <w:t xml:space="preserve"> appropriate technologies;</w:t>
      </w:r>
    </w:p>
    <w:p w14:paraId="7DB3F3AA" w14:textId="77777777" w:rsidR="008C379F" w:rsidRPr="00B7059E" w:rsidRDefault="008C379F" w:rsidP="00CF33DA">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t>To promote and facilitate the development, transfer and use of appropriate technologies, including indigenous and traditional technologies subject to free, prior and informed consent, according to national legislation;</w:t>
      </w:r>
    </w:p>
    <w:p w14:paraId="7B97B6FE"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(d)</w:t>
      </w:r>
      <w:r w:rsidRPr="00B7059E">
        <w:rPr>
          <w:rFonts w:asciiTheme="majorBidi" w:hAnsiTheme="majorBidi" w:cstheme="majorBidi"/>
        </w:rPr>
        <w:tab/>
        <w:t>To promote and encourage joint research, cooperation and collaboration in the use of scientific advances and good practices in research;</w:t>
      </w:r>
    </w:p>
    <w:p w14:paraId="06542065"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(e)</w:t>
      </w:r>
      <w:r w:rsidRPr="00B7059E">
        <w:rPr>
          <w:rFonts w:asciiTheme="majorBidi" w:hAnsiTheme="majorBidi" w:cstheme="majorBidi"/>
        </w:rPr>
        <w:tab/>
        <w:t>To promote the development, implementation and scaling</w:t>
      </w:r>
      <w:r>
        <w:rPr>
          <w:rFonts w:asciiTheme="majorBidi" w:hAnsiTheme="majorBidi" w:cstheme="majorBidi"/>
        </w:rPr>
        <w:t>-</w:t>
      </w:r>
      <w:r w:rsidRPr="00B7059E">
        <w:rPr>
          <w:rFonts w:asciiTheme="majorBidi" w:hAnsiTheme="majorBidi" w:cstheme="majorBidi"/>
        </w:rPr>
        <w:t>up of innovative solutions;</w:t>
      </w:r>
    </w:p>
    <w:p w14:paraId="646B6861"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(f)</w:t>
      </w:r>
      <w:r w:rsidRPr="00B7059E">
        <w:rPr>
          <w:rFonts w:asciiTheme="majorBidi" w:hAnsiTheme="majorBidi" w:cstheme="majorBidi"/>
        </w:rPr>
        <w:tab/>
        <w:t>To facilitate access to and exchange of relevant technical and scientific data, information and knowledge.</w:t>
      </w:r>
    </w:p>
    <w:p w14:paraId="07903918" w14:textId="77777777" w:rsidR="008C379F" w:rsidRPr="00AD0157" w:rsidRDefault="008C379F" w:rsidP="00AD0157">
      <w:pPr>
        <w:pStyle w:val="NormalWeb"/>
        <w:keepNext/>
        <w:spacing w:before="120" w:after="120"/>
        <w:jc w:val="center"/>
        <w:rPr>
          <w:b/>
          <w:bCs/>
          <w:sz w:val="22"/>
          <w:szCs w:val="22"/>
        </w:rPr>
      </w:pPr>
      <w:r w:rsidRPr="00AD0157">
        <w:rPr>
          <w:b/>
          <w:bCs/>
          <w:sz w:val="22"/>
          <w:szCs w:val="22"/>
        </w:rPr>
        <w:t>B.</w:t>
      </w:r>
      <w:r w:rsidRPr="00AD0157">
        <w:rPr>
          <w:b/>
          <w:bCs/>
          <w:sz w:val="22"/>
          <w:szCs w:val="22"/>
        </w:rPr>
        <w:tab/>
        <w:t>Guiding principles</w:t>
      </w:r>
    </w:p>
    <w:p w14:paraId="42EAF7C1"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2</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lang w:val="en-GB"/>
        </w:rPr>
        <w:t>T</w:t>
      </w:r>
      <w:r w:rsidRPr="00B7059E">
        <w:rPr>
          <w:rFonts w:asciiTheme="majorBidi" w:hAnsiTheme="majorBidi" w:cstheme="majorBidi"/>
          <w:snapToGrid w:val="0"/>
          <w:kern w:val="22"/>
          <w:lang w:val="en-GB"/>
        </w:rPr>
        <w:t>echnical</w:t>
      </w:r>
      <w:r w:rsidRPr="00B7059E">
        <w:rPr>
          <w:rFonts w:asciiTheme="majorBidi" w:hAnsiTheme="majorBidi" w:cstheme="majorBidi"/>
          <w:kern w:val="22"/>
          <w:lang w:val="en-GB"/>
        </w:rPr>
        <w:t xml:space="preserve"> and scientific cooperation initiatives (activities, projects and programmes</w:t>
      </w:r>
      <w:r w:rsidRPr="00B7059E">
        <w:rPr>
          <w:rFonts w:asciiTheme="majorBidi" w:hAnsiTheme="majorBidi" w:cstheme="majorBidi"/>
          <w:snapToGrid w:val="0"/>
          <w:kern w:val="22"/>
          <w:lang w:val="en-GB"/>
        </w:rPr>
        <w:t>)</w:t>
      </w:r>
      <w:r w:rsidRPr="00B7059E">
        <w:rPr>
          <w:rFonts w:asciiTheme="majorBidi" w:hAnsiTheme="majorBidi" w:cstheme="majorBidi"/>
          <w:kern w:val="22"/>
          <w:lang w:val="en-GB"/>
        </w:rPr>
        <w:t xml:space="preserve"> would be guided by the following principles:</w:t>
      </w:r>
    </w:p>
    <w:p w14:paraId="4B2F7D21"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i/>
        </w:rPr>
        <w:t>Demand-driven</w:t>
      </w:r>
      <w:r>
        <w:rPr>
          <w:rFonts w:asciiTheme="majorBidi" w:hAnsiTheme="majorBidi" w:cstheme="majorBidi"/>
          <w:i/>
        </w:rPr>
        <w:t>.</w:t>
      </w:r>
      <w:r w:rsidRPr="00B7059E">
        <w:rPr>
          <w:rFonts w:asciiTheme="majorBidi" w:hAnsiTheme="majorBidi" w:cstheme="majorBidi"/>
        </w:rPr>
        <w:t xml:space="preserve"> Initiatives should be started at the request of Parties and relevant institutions and stakeholders, including indigenous peoples and local communities, in response to their needs and in accordance with national legislation;</w:t>
      </w:r>
    </w:p>
    <w:p w14:paraId="77E048E8"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(b)</w:t>
      </w:r>
      <w:r w:rsidRPr="00B7059E">
        <w:rPr>
          <w:rFonts w:asciiTheme="majorBidi" w:hAnsiTheme="majorBidi" w:cstheme="majorBidi"/>
        </w:rPr>
        <w:tab/>
      </w:r>
      <w:r w:rsidRPr="00B7059E">
        <w:rPr>
          <w:rFonts w:asciiTheme="majorBidi" w:hAnsiTheme="majorBidi" w:cstheme="majorBidi"/>
          <w:i/>
        </w:rPr>
        <w:t>Flexibility</w:t>
      </w:r>
      <w:r>
        <w:rPr>
          <w:rFonts w:asciiTheme="majorBidi" w:hAnsiTheme="majorBidi" w:cstheme="majorBidi"/>
          <w:i/>
        </w:rPr>
        <w:t>.</w:t>
      </w:r>
      <w:r w:rsidRPr="00B7059E">
        <w:rPr>
          <w:rFonts w:asciiTheme="majorBidi" w:hAnsiTheme="majorBidi" w:cstheme="majorBidi"/>
        </w:rPr>
        <w:t xml:space="preserve"> Initiatives should be implemented in a flexible and adaptive manner, taking into account the varying needs, conditions and circumstances of the Parties and stakeholders involved;</w:t>
      </w:r>
    </w:p>
    <w:p w14:paraId="7259D807"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r>
      <w:r w:rsidRPr="00B7059E">
        <w:rPr>
          <w:rFonts w:asciiTheme="majorBidi" w:hAnsiTheme="majorBidi" w:cstheme="majorBidi"/>
          <w:i/>
        </w:rPr>
        <w:t>Efficiency</w:t>
      </w:r>
      <w:r>
        <w:rPr>
          <w:rFonts w:asciiTheme="majorBidi" w:hAnsiTheme="majorBidi" w:cstheme="majorBidi"/>
          <w:i/>
        </w:rPr>
        <w:t>.</w:t>
      </w:r>
      <w:r w:rsidRPr="00B7059E">
        <w:rPr>
          <w:rFonts w:asciiTheme="majorBidi" w:hAnsiTheme="majorBidi" w:cstheme="majorBidi"/>
        </w:rPr>
        <w:t xml:space="preserve"> Measures should be taken to ensure that the initiatives achieve the intended results on time and with the least possible resources;</w:t>
      </w:r>
    </w:p>
    <w:p w14:paraId="7BC1662C"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(d)</w:t>
      </w:r>
      <w:r w:rsidRPr="00B7059E">
        <w:rPr>
          <w:rFonts w:asciiTheme="majorBidi" w:hAnsiTheme="majorBidi" w:cstheme="majorBidi"/>
        </w:rPr>
        <w:tab/>
      </w:r>
      <w:r w:rsidRPr="00B7059E">
        <w:rPr>
          <w:rFonts w:asciiTheme="majorBidi" w:hAnsiTheme="majorBidi" w:cstheme="majorBidi"/>
          <w:i/>
        </w:rPr>
        <w:t>Efficacy</w:t>
      </w:r>
      <w:r>
        <w:rPr>
          <w:rFonts w:asciiTheme="majorBidi" w:hAnsiTheme="majorBidi" w:cstheme="majorBidi"/>
          <w:i/>
        </w:rPr>
        <w:t>.</w:t>
      </w:r>
      <w:r w:rsidRPr="00B7059E">
        <w:rPr>
          <w:rFonts w:asciiTheme="majorBidi" w:hAnsiTheme="majorBidi" w:cstheme="majorBidi"/>
        </w:rPr>
        <w:t xml:space="preserve"> Measures should be taken to ensure that the initiatives generate the desired changes while taking into account the potential interconnections and unintended impacts, and that results can be monitored, assessed and evaluated;</w:t>
      </w:r>
    </w:p>
    <w:p w14:paraId="457999E6"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lastRenderedPageBreak/>
        <w:t>(e)</w:t>
      </w:r>
      <w:r w:rsidRPr="00B7059E">
        <w:rPr>
          <w:rFonts w:asciiTheme="majorBidi" w:hAnsiTheme="majorBidi" w:cstheme="majorBidi"/>
        </w:rPr>
        <w:tab/>
      </w:r>
      <w:r w:rsidRPr="00B7059E">
        <w:rPr>
          <w:rFonts w:asciiTheme="majorBidi" w:hAnsiTheme="majorBidi" w:cstheme="majorBidi"/>
          <w:i/>
        </w:rPr>
        <w:t>Tailored</w:t>
      </w:r>
      <w:r>
        <w:rPr>
          <w:rFonts w:asciiTheme="majorBidi" w:hAnsiTheme="majorBidi" w:cstheme="majorBidi"/>
          <w:i/>
        </w:rPr>
        <w:t>.</w:t>
      </w:r>
      <w:r w:rsidRPr="00B7059E">
        <w:rPr>
          <w:rFonts w:asciiTheme="majorBidi" w:hAnsiTheme="majorBidi" w:cstheme="majorBidi"/>
        </w:rPr>
        <w:t xml:space="preserve"> Initiatives should be adapted to local conditions and circumstances, also taking into account cultural and other considerations, to foster buy-in and uptake, ownership, and sustainability at the local level;</w:t>
      </w:r>
    </w:p>
    <w:p w14:paraId="6511E664"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(f)</w:t>
      </w:r>
      <w:r w:rsidRPr="00B7059E">
        <w:rPr>
          <w:rFonts w:asciiTheme="majorBidi" w:hAnsiTheme="majorBidi" w:cstheme="majorBidi"/>
        </w:rPr>
        <w:tab/>
      </w:r>
      <w:r w:rsidRPr="00B7059E">
        <w:rPr>
          <w:rFonts w:asciiTheme="majorBidi" w:hAnsiTheme="majorBidi" w:cstheme="majorBidi"/>
          <w:i/>
        </w:rPr>
        <w:t>Programmatic</w:t>
      </w:r>
      <w:r>
        <w:rPr>
          <w:rFonts w:asciiTheme="majorBidi" w:hAnsiTheme="majorBidi" w:cstheme="majorBidi"/>
          <w:i/>
        </w:rPr>
        <w:t>.</w:t>
      </w:r>
      <w:r w:rsidRPr="00B7059E">
        <w:rPr>
          <w:rFonts w:asciiTheme="majorBidi" w:hAnsiTheme="majorBidi" w:cstheme="majorBidi"/>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7AC0825C"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(g)</w:t>
      </w:r>
      <w:r w:rsidRPr="00B7059E">
        <w:rPr>
          <w:rFonts w:asciiTheme="majorBidi" w:hAnsiTheme="majorBidi" w:cstheme="majorBidi"/>
        </w:rPr>
        <w:tab/>
      </w:r>
      <w:r w:rsidRPr="00B7059E">
        <w:rPr>
          <w:rFonts w:asciiTheme="majorBidi" w:hAnsiTheme="majorBidi" w:cstheme="majorBidi"/>
          <w:i/>
        </w:rPr>
        <w:t>Synergistic</w:t>
      </w:r>
      <w:r>
        <w:rPr>
          <w:rFonts w:asciiTheme="majorBidi" w:hAnsiTheme="majorBidi" w:cstheme="majorBidi"/>
          <w:i/>
        </w:rPr>
        <w:t>.</w:t>
      </w:r>
      <w:r w:rsidRPr="00B7059E">
        <w:rPr>
          <w:rFonts w:asciiTheme="majorBidi" w:hAnsiTheme="majorBidi" w:cstheme="majorBidi"/>
          <w:i/>
        </w:rPr>
        <w:t xml:space="preserve"> </w:t>
      </w:r>
      <w:r w:rsidRPr="00B7059E">
        <w:rPr>
          <w:rFonts w:asciiTheme="majorBidi" w:hAnsiTheme="majorBidi" w:cstheme="majorBidi"/>
        </w:rPr>
        <w:t xml:space="preserve">Initiatives should be implemented in a collaborative, interlinked, complementary and mutually supportive manner to achieve enhanced impact in supporting the implementation of the </w:t>
      </w:r>
      <w:r>
        <w:rPr>
          <w:rFonts w:asciiTheme="majorBidi" w:hAnsiTheme="majorBidi" w:cstheme="majorBidi"/>
        </w:rPr>
        <w:t>Kunming-Montreal G</w:t>
      </w:r>
      <w:r w:rsidRPr="00B7059E">
        <w:rPr>
          <w:rFonts w:asciiTheme="majorBidi" w:hAnsiTheme="majorBidi" w:cstheme="majorBidi"/>
        </w:rPr>
        <w:t xml:space="preserve">lobal </w:t>
      </w:r>
      <w:r>
        <w:rPr>
          <w:rFonts w:asciiTheme="majorBidi" w:hAnsiTheme="majorBidi" w:cstheme="majorBidi"/>
        </w:rPr>
        <w:t>B</w:t>
      </w:r>
      <w:r w:rsidRPr="00B7059E">
        <w:rPr>
          <w:rFonts w:asciiTheme="majorBidi" w:hAnsiTheme="majorBidi" w:cstheme="majorBidi"/>
        </w:rPr>
        <w:t xml:space="preserve">iodiversity </w:t>
      </w:r>
      <w:r>
        <w:rPr>
          <w:rFonts w:asciiTheme="majorBidi" w:hAnsiTheme="majorBidi" w:cstheme="majorBidi"/>
        </w:rPr>
        <w:t>F</w:t>
      </w:r>
      <w:r w:rsidRPr="00B7059E">
        <w:rPr>
          <w:rFonts w:asciiTheme="majorBidi" w:hAnsiTheme="majorBidi" w:cstheme="majorBidi"/>
        </w:rPr>
        <w:t>ramework at all levels and across conventions, processes and sectors;</w:t>
      </w:r>
    </w:p>
    <w:p w14:paraId="4656032D"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(h)</w:t>
      </w:r>
      <w:r w:rsidRPr="00B7059E">
        <w:rPr>
          <w:rFonts w:asciiTheme="majorBidi" w:hAnsiTheme="majorBidi" w:cstheme="majorBidi"/>
        </w:rPr>
        <w:tab/>
      </w:r>
      <w:r w:rsidRPr="00B7059E">
        <w:rPr>
          <w:rFonts w:asciiTheme="majorBidi" w:hAnsiTheme="majorBidi" w:cstheme="majorBidi"/>
          <w:i/>
        </w:rPr>
        <w:t>Multi-stakeholder engagement</w:t>
      </w:r>
      <w:r>
        <w:rPr>
          <w:rFonts w:asciiTheme="majorBidi" w:hAnsiTheme="majorBidi" w:cstheme="majorBidi"/>
          <w:i/>
        </w:rPr>
        <w:t>.</w:t>
      </w:r>
      <w:r w:rsidRPr="00B7059E">
        <w:rPr>
          <w:rFonts w:asciiTheme="majorBidi" w:hAnsiTheme="majorBidi" w:cstheme="majorBidi"/>
        </w:rPr>
        <w:t xml:space="preserve"> Initiatives should actively engage relevant societal actors, institutional partners and providers of technical assistance, including (i) indigenous peoples and local communities and their networks; (ii) multidisciplinary research and professional networks; (iii) civil society, including youth networks;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6CC4A3A5"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(i)</w:t>
      </w:r>
      <w:r w:rsidRPr="00B7059E">
        <w:rPr>
          <w:rFonts w:asciiTheme="majorBidi" w:hAnsiTheme="majorBidi" w:cstheme="majorBidi"/>
        </w:rPr>
        <w:tab/>
      </w:r>
      <w:r w:rsidRPr="00B7059E">
        <w:rPr>
          <w:rFonts w:asciiTheme="majorBidi" w:hAnsiTheme="majorBidi" w:cstheme="majorBidi"/>
          <w:i/>
        </w:rPr>
        <w:t>Mutual respect</w:t>
      </w:r>
      <w:r>
        <w:rPr>
          <w:rFonts w:asciiTheme="majorBidi" w:hAnsiTheme="majorBidi" w:cstheme="majorBidi"/>
          <w:i/>
        </w:rPr>
        <w:t>.</w:t>
      </w:r>
      <w:r w:rsidRPr="00B7059E">
        <w:rPr>
          <w:rFonts w:asciiTheme="majorBidi" w:hAnsiTheme="majorBidi" w:cstheme="majorBidi"/>
        </w:rPr>
        <w:t xml:space="preserve"> Initiatives should adhere to the principles of mutual respect and equality and mutual benefit, under a human rights approach, including respect for diverse knowledge systems including the knowledge and experience of practitioners, and of indigenous peoples and local communities;</w:t>
      </w:r>
    </w:p>
    <w:p w14:paraId="4EC6EA06"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(j)</w:t>
      </w:r>
      <w:r w:rsidRPr="00B7059E">
        <w:rPr>
          <w:rFonts w:asciiTheme="majorBidi" w:hAnsiTheme="majorBidi" w:cstheme="majorBidi"/>
        </w:rPr>
        <w:tab/>
      </w:r>
      <w:r w:rsidRPr="00B7059E">
        <w:rPr>
          <w:rFonts w:asciiTheme="majorBidi" w:hAnsiTheme="majorBidi" w:cstheme="majorBidi"/>
          <w:i/>
        </w:rPr>
        <w:t>Respect for regulatory requirements</w:t>
      </w:r>
      <w:r>
        <w:rPr>
          <w:rFonts w:asciiTheme="majorBidi" w:hAnsiTheme="majorBidi" w:cstheme="majorBidi"/>
          <w:i/>
        </w:rPr>
        <w:t>.</w:t>
      </w:r>
      <w:r w:rsidRPr="00B7059E">
        <w:rPr>
          <w:rFonts w:asciiTheme="majorBidi" w:hAnsiTheme="majorBidi" w:cstheme="majorBidi"/>
        </w:rPr>
        <w:t xml:space="preserve"> Initiatives should adhere to appropriate and proportionate safeguards and comply with the legal and regulatory requirements of collaborating countries;</w:t>
      </w:r>
    </w:p>
    <w:p w14:paraId="400CD666"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(k)</w:t>
      </w:r>
      <w:r w:rsidRPr="00B7059E">
        <w:rPr>
          <w:rFonts w:asciiTheme="majorBidi" w:hAnsiTheme="majorBidi" w:cstheme="majorBidi"/>
        </w:rPr>
        <w:tab/>
      </w:r>
      <w:r w:rsidRPr="00B7059E">
        <w:rPr>
          <w:rFonts w:asciiTheme="majorBidi" w:hAnsiTheme="majorBidi" w:cstheme="majorBidi"/>
          <w:i/>
        </w:rPr>
        <w:t>Continuous learning</w:t>
      </w:r>
      <w:r>
        <w:rPr>
          <w:rFonts w:asciiTheme="majorBidi" w:hAnsiTheme="majorBidi" w:cstheme="majorBidi"/>
          <w:i/>
        </w:rPr>
        <w:t>.</w:t>
      </w:r>
      <w:r w:rsidRPr="00B7059E">
        <w:rPr>
          <w:rFonts w:asciiTheme="majorBidi" w:hAnsiTheme="majorBidi" w:cstheme="majorBidi"/>
          <w:i/>
        </w:rPr>
        <w:t xml:space="preserve"> </w:t>
      </w:r>
      <w:r w:rsidRPr="00B7059E">
        <w:rPr>
          <w:rFonts w:asciiTheme="majorBidi" w:hAnsiTheme="majorBidi" w:cstheme="majorBidi"/>
        </w:rPr>
        <w:t>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4789E850"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i/>
        </w:rPr>
      </w:pPr>
      <w:r w:rsidRPr="00B7059E">
        <w:rPr>
          <w:rFonts w:asciiTheme="majorBidi" w:hAnsiTheme="majorBidi" w:cstheme="majorBidi"/>
        </w:rPr>
        <w:t>(l)</w:t>
      </w:r>
      <w:r w:rsidRPr="00B7059E">
        <w:rPr>
          <w:rFonts w:asciiTheme="majorBidi" w:hAnsiTheme="majorBidi" w:cstheme="majorBidi"/>
        </w:rPr>
        <w:tab/>
      </w:r>
      <w:r w:rsidRPr="00B7059E">
        <w:rPr>
          <w:rFonts w:asciiTheme="majorBidi" w:hAnsiTheme="majorBidi" w:cstheme="majorBidi"/>
          <w:i/>
        </w:rPr>
        <w:t>Participation</w:t>
      </w:r>
      <w:r>
        <w:rPr>
          <w:rFonts w:asciiTheme="majorBidi" w:hAnsiTheme="majorBidi" w:cstheme="majorBidi"/>
          <w:i/>
        </w:rPr>
        <w:t>.</w:t>
      </w:r>
      <w:r w:rsidRPr="00B7059E">
        <w:rPr>
          <w:rFonts w:asciiTheme="majorBidi" w:hAnsiTheme="majorBidi" w:cstheme="majorBidi"/>
          <w:i/>
        </w:rPr>
        <w:t xml:space="preserve"> </w:t>
      </w:r>
      <w:r w:rsidRPr="00B7059E">
        <w:rPr>
          <w:rFonts w:asciiTheme="majorBidi" w:hAnsiTheme="majorBidi" w:cstheme="majorBidi"/>
        </w:rPr>
        <w:t>Initiatives should seek to maximize participatory approaches, recognizing the value of drawing on diverse perspectives, including those from outside the technical and scientific realm;</w:t>
      </w:r>
    </w:p>
    <w:p w14:paraId="10A21610"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(m)</w:t>
      </w:r>
      <w:r w:rsidRPr="00B7059E">
        <w:rPr>
          <w:rFonts w:asciiTheme="majorBidi" w:hAnsiTheme="majorBidi" w:cstheme="majorBidi"/>
        </w:rPr>
        <w:tab/>
      </w:r>
      <w:r w:rsidRPr="00CA37F7">
        <w:rPr>
          <w:rFonts w:asciiTheme="majorBidi" w:hAnsiTheme="majorBidi" w:cstheme="majorBidi"/>
          <w:i/>
        </w:rPr>
        <w:t>Precaution</w:t>
      </w:r>
      <w:r>
        <w:rPr>
          <w:rFonts w:asciiTheme="majorBidi" w:hAnsiTheme="majorBidi" w:cstheme="majorBidi"/>
          <w:i/>
        </w:rPr>
        <w:t>.</w:t>
      </w:r>
      <w:r w:rsidRPr="00CA37F7">
        <w:rPr>
          <w:rFonts w:asciiTheme="majorBidi" w:hAnsiTheme="majorBidi" w:cstheme="majorBidi"/>
          <w:i/>
        </w:rPr>
        <w:t xml:space="preserve"> </w:t>
      </w:r>
      <w:r w:rsidRPr="00CA37F7">
        <w:rPr>
          <w:rFonts w:asciiTheme="majorBidi" w:hAnsiTheme="majorBidi" w:cstheme="majorBidi"/>
        </w:rPr>
        <w:t>Initiatives should operationalize the precautionary approach;</w:t>
      </w:r>
      <w:r w:rsidRPr="00610646">
        <w:rPr>
          <w:rStyle w:val="FootnoteReference"/>
        </w:rPr>
        <w:footnoteReference w:id="82"/>
      </w:r>
    </w:p>
    <w:p w14:paraId="353524DA"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(n)</w:t>
      </w:r>
      <w:r w:rsidRPr="00B7059E">
        <w:rPr>
          <w:rFonts w:asciiTheme="majorBidi" w:hAnsiTheme="majorBidi" w:cstheme="majorBidi"/>
        </w:rPr>
        <w:tab/>
      </w:r>
      <w:r w:rsidRPr="00B7059E">
        <w:rPr>
          <w:rFonts w:asciiTheme="majorBidi" w:hAnsiTheme="majorBidi" w:cstheme="majorBidi"/>
          <w:i/>
        </w:rPr>
        <w:t>Free, prior and informed consent</w:t>
      </w:r>
      <w:r>
        <w:rPr>
          <w:rFonts w:asciiTheme="majorBidi" w:hAnsiTheme="majorBidi" w:cstheme="majorBidi"/>
          <w:i/>
        </w:rPr>
        <w:t>.</w:t>
      </w:r>
      <w:r w:rsidRPr="00B7059E">
        <w:rPr>
          <w:rFonts w:asciiTheme="majorBidi" w:hAnsiTheme="majorBidi" w:cstheme="majorBidi"/>
          <w:i/>
        </w:rPr>
        <w:t xml:space="preserve"> </w:t>
      </w:r>
      <w:r w:rsidRPr="00B7059E">
        <w:rPr>
          <w:rFonts w:asciiTheme="majorBidi" w:hAnsiTheme="majorBidi" w:cstheme="majorBidi"/>
        </w:rPr>
        <w:t>Initiatives should respect the principle of free, prior and informed consent of indigenous peoples and local communities when considering the introduction, dissemination or use of innovations that may potentially impact their rights, traditional practices and territories as set out in international instruments including the United Nations Declaration on the Rights of Indigenous Peoples</w:t>
      </w:r>
      <w:r>
        <w:rPr>
          <w:rFonts w:asciiTheme="majorBidi" w:hAnsiTheme="majorBidi" w:cstheme="majorBidi"/>
        </w:rPr>
        <w:t>.</w:t>
      </w:r>
    </w:p>
    <w:p w14:paraId="52D38C25" w14:textId="77777777" w:rsidR="008C379F" w:rsidRPr="00B7059E" w:rsidRDefault="008C379F" w:rsidP="00AD0157">
      <w:pPr>
        <w:keepNext/>
        <w:suppressLineNumbers/>
        <w:suppressAutoHyphens/>
        <w:spacing w:before="120" w:after="120"/>
        <w:jc w:val="center"/>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t>II.</w:t>
      </w:r>
      <w:r w:rsidRPr="00B7059E">
        <w:rPr>
          <w:rFonts w:asciiTheme="majorBidi" w:hAnsiTheme="majorBidi" w:cstheme="majorBidi"/>
          <w:b/>
          <w:caps/>
          <w:color w:val="000000"/>
          <w:szCs w:val="22"/>
          <w:lang w:eastAsia="zh-CN"/>
        </w:rPr>
        <w:tab/>
        <w:t>MAIN FOCAL AREAS</w:t>
      </w:r>
    </w:p>
    <w:p w14:paraId="18B45630"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3</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 xml:space="preserve">Technical and scientific cooperation work in support of the </w:t>
      </w:r>
      <w:r>
        <w:rPr>
          <w:rFonts w:asciiTheme="majorBidi" w:hAnsiTheme="majorBidi" w:cstheme="majorBidi"/>
          <w:kern w:val="22"/>
          <w:lang w:val="en-GB"/>
        </w:rPr>
        <w:t>Kunming-Montreal G</w:t>
      </w:r>
      <w:r w:rsidRPr="00B7059E">
        <w:rPr>
          <w:rFonts w:asciiTheme="majorBidi" w:hAnsiTheme="majorBidi" w:cstheme="majorBidi"/>
          <w:kern w:val="22"/>
          <w:lang w:val="en-GB"/>
        </w:rPr>
        <w:t xml:space="preserve">lobal </w:t>
      </w:r>
      <w:r>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Pr>
          <w:rFonts w:asciiTheme="majorBidi" w:hAnsiTheme="majorBidi" w:cstheme="majorBidi"/>
          <w:kern w:val="22"/>
          <w:lang w:val="en-GB"/>
        </w:rPr>
        <w:t>F</w:t>
      </w:r>
      <w:r w:rsidRPr="00B7059E">
        <w:rPr>
          <w:rFonts w:asciiTheme="majorBidi" w:hAnsiTheme="majorBidi" w:cstheme="majorBidi"/>
          <w:kern w:val="22"/>
          <w:lang w:val="en-GB"/>
        </w:rPr>
        <w:t>ramework could be organized around the following focal areas:</w:t>
      </w:r>
    </w:p>
    <w:p w14:paraId="595B34BF"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i/>
        </w:rPr>
        <w:t>Science</w:t>
      </w:r>
      <w:r>
        <w:rPr>
          <w:rFonts w:asciiTheme="majorBidi" w:hAnsiTheme="majorBidi" w:cstheme="majorBidi"/>
        </w:rPr>
        <w:t>.</w:t>
      </w:r>
      <w:r w:rsidRPr="00B7059E">
        <w:rPr>
          <w:rFonts w:asciiTheme="majorBidi" w:hAnsiTheme="majorBidi" w:cstheme="majorBidi"/>
        </w:rPr>
        <w:t xml:space="preserve"> Promotion of research cooperation to foster effective generation and use of relevant scientific and analytical information and facilitate science-policy dialogue to support evidence-based policies, actions, tools and mechanisms, based on or informed by the best available science;</w:t>
      </w:r>
    </w:p>
    <w:p w14:paraId="1B035DE7"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CA37F7">
        <w:rPr>
          <w:rFonts w:asciiTheme="majorBidi" w:hAnsiTheme="majorBidi" w:cstheme="majorBidi"/>
        </w:rPr>
        <w:t>(b)</w:t>
      </w:r>
      <w:r w:rsidRPr="00CA37F7">
        <w:rPr>
          <w:rFonts w:asciiTheme="majorBidi" w:hAnsiTheme="majorBidi" w:cstheme="majorBidi"/>
        </w:rPr>
        <w:tab/>
      </w:r>
      <w:r w:rsidRPr="00CA37F7">
        <w:rPr>
          <w:rFonts w:asciiTheme="majorBidi" w:hAnsiTheme="majorBidi" w:cstheme="majorBidi"/>
          <w:i/>
        </w:rPr>
        <w:t>Technology</w:t>
      </w:r>
      <w:r>
        <w:rPr>
          <w:rFonts w:asciiTheme="majorBidi" w:hAnsiTheme="majorBidi" w:cstheme="majorBidi"/>
        </w:rPr>
        <w:t>.</w:t>
      </w:r>
      <w:r w:rsidRPr="00CA37F7">
        <w:rPr>
          <w:rFonts w:asciiTheme="majorBidi" w:hAnsiTheme="majorBidi" w:cstheme="majorBidi"/>
        </w:rPr>
        <w:t xml:space="preserve"> </w:t>
      </w:r>
      <w:r>
        <w:rPr>
          <w:rFonts w:asciiTheme="majorBidi" w:hAnsiTheme="majorBidi" w:cstheme="majorBidi"/>
        </w:rPr>
        <w:t>T</w:t>
      </w:r>
      <w:r w:rsidRPr="00CA37F7">
        <w:rPr>
          <w:rFonts w:asciiTheme="majorBidi" w:hAnsiTheme="majorBidi" w:cstheme="majorBidi"/>
        </w:rPr>
        <w:t xml:space="preserve">echnology assessment, development, transfer, promotion, monitoring, governance, and use of technologies, including biotechnology, existing know-how of relevant sectors and </w:t>
      </w:r>
      <w:r w:rsidRPr="00CA37F7">
        <w:rPr>
          <w:rFonts w:asciiTheme="majorBidi" w:hAnsiTheme="majorBidi" w:cstheme="majorBidi"/>
        </w:rPr>
        <w:lastRenderedPageBreak/>
        <w:t>indigenous and traditional technologies and knowledge, subject to free, prior and informed consent, according to national legislation to scale up solutions;</w:t>
      </w:r>
    </w:p>
    <w:p w14:paraId="6B362A93"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r>
      <w:r w:rsidRPr="00B7059E">
        <w:rPr>
          <w:rFonts w:asciiTheme="majorBidi" w:hAnsiTheme="majorBidi" w:cstheme="majorBidi"/>
          <w:i/>
        </w:rPr>
        <w:t>Innovation</w:t>
      </w:r>
      <w:r>
        <w:rPr>
          <w:rFonts w:asciiTheme="majorBidi" w:hAnsiTheme="majorBidi" w:cstheme="majorBidi"/>
          <w:i/>
        </w:rPr>
        <w:t>.</w:t>
      </w:r>
      <w:r w:rsidRPr="00B7059E">
        <w:rPr>
          <w:rFonts w:asciiTheme="majorBidi" w:hAnsiTheme="majorBidi" w:cstheme="majorBidi"/>
        </w:rPr>
        <w:t xml:space="preserve"> Promotion of appropriate, supportive and socially responsible innovation, in line with the needs of people and the environment.</w:t>
      </w:r>
    </w:p>
    <w:p w14:paraId="180C4A6E" w14:textId="77777777" w:rsidR="008C379F" w:rsidRPr="00B7059E" w:rsidRDefault="008C379F" w:rsidP="00AD0157">
      <w:pPr>
        <w:keepNext/>
        <w:suppressLineNumbers/>
        <w:suppressAutoHyphens/>
        <w:spacing w:before="120" w:after="120"/>
        <w:jc w:val="center"/>
        <w:rPr>
          <w:rFonts w:asciiTheme="majorBidi" w:hAnsiTheme="majorBidi" w:cstheme="majorBidi"/>
          <w:snapToGrid w:val="0"/>
          <w:szCs w:val="22"/>
        </w:rPr>
      </w:pPr>
      <w:r w:rsidRPr="00B7059E">
        <w:rPr>
          <w:rFonts w:asciiTheme="majorBidi" w:hAnsiTheme="majorBidi" w:cstheme="majorBidi"/>
          <w:b/>
          <w:caps/>
          <w:color w:val="000000"/>
          <w:szCs w:val="22"/>
          <w:lang w:eastAsia="zh-CN"/>
        </w:rPr>
        <w:t>I</w:t>
      </w:r>
      <w:r>
        <w:rPr>
          <w:rFonts w:asciiTheme="majorBidi" w:hAnsiTheme="majorBidi" w:cstheme="majorBidi"/>
          <w:b/>
          <w:caps/>
          <w:color w:val="000000"/>
          <w:szCs w:val="22"/>
          <w:lang w:eastAsia="zh-CN"/>
        </w:rPr>
        <w:t>II</w:t>
      </w:r>
      <w:r w:rsidRPr="00B7059E">
        <w:rPr>
          <w:rFonts w:asciiTheme="majorBidi" w:hAnsiTheme="majorBidi" w:cstheme="majorBidi"/>
          <w:b/>
          <w:caps/>
          <w:color w:val="000000"/>
          <w:szCs w:val="22"/>
          <w:lang w:eastAsia="zh-CN"/>
        </w:rPr>
        <w:t>.</w:t>
      </w:r>
      <w:r w:rsidRPr="00B7059E">
        <w:rPr>
          <w:rFonts w:asciiTheme="majorBidi" w:hAnsiTheme="majorBidi" w:cstheme="majorBidi"/>
          <w:b/>
          <w:caps/>
          <w:color w:val="000000"/>
          <w:szCs w:val="22"/>
          <w:lang w:eastAsia="zh-CN"/>
        </w:rPr>
        <w:tab/>
        <w:t xml:space="preserve">CRITERIA FOR SELECTING HOST INSTITUTIONS </w:t>
      </w:r>
    </w:p>
    <w:p w14:paraId="2A902FB6"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4</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Any organization or institution wishing to host a regional and/or subregional technical and scientific cooperation support centre should have the following:</w:t>
      </w:r>
    </w:p>
    <w:p w14:paraId="7883131C"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rPr>
        <w:t>Demonstrated ability to provide technical advice and support to Parties in planning and implementing country-led projects and/or programmes;</w:t>
      </w:r>
    </w:p>
    <w:p w14:paraId="578109A3"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(b)</w:t>
      </w:r>
      <w:r w:rsidRPr="00B7059E">
        <w:rPr>
          <w:rFonts w:asciiTheme="majorBidi" w:hAnsiTheme="majorBidi" w:cstheme="majorBidi"/>
        </w:rPr>
        <w:tab/>
        <w:t xml:space="preserve">Experience and expertise in the areas of work undertaken by Parties in implementing the Convention on Biological Diversity and its </w:t>
      </w:r>
      <w:r>
        <w:rPr>
          <w:rFonts w:asciiTheme="majorBidi" w:hAnsiTheme="majorBidi" w:cstheme="majorBidi"/>
        </w:rPr>
        <w:t>P</w:t>
      </w:r>
      <w:r w:rsidRPr="00B7059E">
        <w:rPr>
          <w:rFonts w:asciiTheme="majorBidi" w:hAnsiTheme="majorBidi" w:cstheme="majorBidi"/>
        </w:rPr>
        <w:t>rotocols;</w:t>
      </w:r>
    </w:p>
    <w:p w14:paraId="0C5BA4C9"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t xml:space="preserve">Capacity to mobilize resources </w:t>
      </w:r>
      <w:r w:rsidRPr="008C2D10">
        <w:rPr>
          <w:rFonts w:asciiTheme="majorBidi" w:hAnsiTheme="majorBidi" w:cstheme="majorBidi"/>
        </w:rPr>
        <w:t xml:space="preserve">for technical </w:t>
      </w:r>
      <w:r w:rsidRPr="004D32B6">
        <w:rPr>
          <w:rFonts w:asciiTheme="majorBidi" w:hAnsiTheme="majorBidi" w:cstheme="majorBidi"/>
        </w:rPr>
        <w:t xml:space="preserve">and </w:t>
      </w:r>
      <w:r w:rsidRPr="008C2D10">
        <w:rPr>
          <w:rFonts w:asciiTheme="majorBidi" w:hAnsiTheme="majorBidi" w:cstheme="majorBidi"/>
        </w:rPr>
        <w:t>scientific cooperation</w:t>
      </w:r>
      <w:r w:rsidRPr="00B7059E">
        <w:rPr>
          <w:rFonts w:asciiTheme="majorBidi" w:hAnsiTheme="majorBidi" w:cstheme="majorBidi"/>
        </w:rPr>
        <w:t xml:space="preserve"> programmes;</w:t>
      </w:r>
    </w:p>
    <w:p w14:paraId="32CD5C15"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(d)</w:t>
      </w:r>
      <w:r w:rsidRPr="00B7059E">
        <w:rPr>
          <w:rFonts w:asciiTheme="majorBidi" w:hAnsiTheme="majorBidi" w:cstheme="majorBidi"/>
        </w:rPr>
        <w:tab/>
        <w:t>Appropriate policies, procedures and other institutional mechanisms and demonstrated ability in place to manage multiple complex projects and programmes;</w:t>
      </w:r>
    </w:p>
    <w:p w14:paraId="0B5259CA"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 xml:space="preserve">(e) </w:t>
      </w:r>
      <w:r w:rsidRPr="00B7059E">
        <w:rPr>
          <w:rFonts w:asciiTheme="majorBidi" w:hAnsiTheme="majorBidi" w:cstheme="majorBidi"/>
        </w:rPr>
        <w:tab/>
        <w:t xml:space="preserve">Appropriate policies and procedures in place to disclose financial information regarding </w:t>
      </w:r>
      <w:r w:rsidRPr="00DC14BC">
        <w:rPr>
          <w:rFonts w:asciiTheme="majorBidi" w:hAnsiTheme="majorBidi" w:cstheme="majorBidi"/>
        </w:rPr>
        <w:t>the operations of the organization or institution, including the sources of financial resources and how they are</w:t>
      </w:r>
      <w:r w:rsidRPr="00B7059E">
        <w:rPr>
          <w:rFonts w:asciiTheme="majorBidi" w:hAnsiTheme="majorBidi" w:cstheme="majorBidi"/>
        </w:rPr>
        <w:t xml:space="preserve"> allocated;</w:t>
      </w:r>
    </w:p>
    <w:p w14:paraId="714B4AC9"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(f)</w:t>
      </w:r>
      <w:r w:rsidRPr="00B7059E">
        <w:rPr>
          <w:rFonts w:asciiTheme="majorBidi" w:hAnsiTheme="majorBidi" w:cstheme="majorBidi"/>
        </w:rPr>
        <w:tab/>
        <w:t>Active networks of collaborators, including institutions working at regional and subregional levels on biodiversity-relevant issues;</w:t>
      </w:r>
    </w:p>
    <w:p w14:paraId="7080E7E5" w14:textId="77777777" w:rsidR="008C379F" w:rsidRPr="00B7059E" w:rsidRDefault="008C379F" w:rsidP="00A30041">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B7059E">
        <w:rPr>
          <w:rFonts w:asciiTheme="majorBidi" w:hAnsiTheme="majorBidi" w:cstheme="majorBidi"/>
        </w:rPr>
        <w:t>(g)</w:t>
      </w:r>
      <w:r w:rsidRPr="00B7059E">
        <w:rPr>
          <w:rFonts w:asciiTheme="majorBidi" w:hAnsiTheme="majorBidi" w:cstheme="majorBidi"/>
        </w:rPr>
        <w:tab/>
        <w:t xml:space="preserve">Experience </w:t>
      </w:r>
      <w:r>
        <w:rPr>
          <w:rFonts w:asciiTheme="majorBidi" w:hAnsiTheme="majorBidi" w:cstheme="majorBidi"/>
        </w:rPr>
        <w:t>in</w:t>
      </w:r>
      <w:r w:rsidRPr="00B7059E">
        <w:rPr>
          <w:rFonts w:asciiTheme="majorBidi" w:hAnsiTheme="majorBidi" w:cstheme="majorBidi"/>
        </w:rPr>
        <w:t xml:space="preserve"> working with biodiversity-related conventions, intergovernmental processes, indigenous peoples and local communities, civil society and other stakeholders;</w:t>
      </w:r>
    </w:p>
    <w:p w14:paraId="1C4D252B" w14:textId="77777777" w:rsidR="008C379F" w:rsidRPr="00B7059E" w:rsidRDefault="008C379F" w:rsidP="00761E79">
      <w:pPr>
        <w:pStyle w:val="Para1"/>
        <w:numPr>
          <w:ilvl w:val="0"/>
          <w:numId w:val="0"/>
        </w:numPr>
        <w:suppressLineNumbers/>
        <w:tabs>
          <w:tab w:val="left" w:pos="709"/>
        </w:tabs>
        <w:suppressAutoHyphens/>
        <w:kinsoku w:val="0"/>
        <w:adjustRightInd w:val="0"/>
        <w:rPr>
          <w:rFonts w:asciiTheme="majorBidi" w:hAnsiTheme="majorBidi" w:cstheme="majorBidi"/>
        </w:rPr>
      </w:pPr>
      <w:r w:rsidRPr="00B7059E">
        <w:rPr>
          <w:rFonts w:asciiTheme="majorBidi" w:hAnsiTheme="majorBidi" w:cstheme="majorBidi"/>
        </w:rPr>
        <w:tab/>
        <w:t>(h)</w:t>
      </w:r>
      <w:r w:rsidRPr="00B7059E">
        <w:rPr>
          <w:rFonts w:asciiTheme="majorBidi" w:hAnsiTheme="majorBidi" w:cstheme="majorBidi"/>
        </w:rPr>
        <w:tab/>
        <w:t>Experience in engagement in regional and subregional biodiversity-related networks and partnerships;</w:t>
      </w:r>
    </w:p>
    <w:p w14:paraId="5697A887" w14:textId="77777777" w:rsidR="008C379F" w:rsidRPr="00B7059E" w:rsidRDefault="008C379F">
      <w:pPr>
        <w:pStyle w:val="Para1"/>
        <w:numPr>
          <w:ilvl w:val="0"/>
          <w:numId w:val="0"/>
        </w:numPr>
        <w:suppressLineNumbers/>
        <w:tabs>
          <w:tab w:val="left" w:pos="709"/>
        </w:tabs>
        <w:suppressAutoHyphens/>
        <w:kinsoku w:val="0"/>
        <w:adjustRightInd w:val="0"/>
        <w:rPr>
          <w:rFonts w:asciiTheme="majorBidi" w:hAnsiTheme="majorBidi" w:cstheme="majorBidi"/>
        </w:rPr>
      </w:pPr>
      <w:r w:rsidRPr="00B7059E">
        <w:rPr>
          <w:rFonts w:asciiTheme="majorBidi" w:hAnsiTheme="majorBidi" w:cstheme="majorBidi"/>
        </w:rPr>
        <w:tab/>
      </w:r>
      <w:r w:rsidRPr="00B7059E">
        <w:rPr>
          <w:rFonts w:asciiTheme="majorBidi" w:hAnsiTheme="majorBidi" w:cstheme="majorBidi"/>
        </w:rPr>
        <w:tab/>
        <w:t>(i)</w:t>
      </w:r>
      <w:r w:rsidRPr="00B7059E">
        <w:rPr>
          <w:rFonts w:asciiTheme="majorBidi" w:hAnsiTheme="majorBidi" w:cstheme="majorBidi"/>
        </w:rPr>
        <w:tab/>
        <w:t>Demonstrated experience in facilitating technical and scientific cooperation.</w:t>
      </w:r>
    </w:p>
    <w:p w14:paraId="13292EF1" w14:textId="77777777" w:rsidR="008C379F" w:rsidRPr="00B7059E" w:rsidRDefault="008C379F" w:rsidP="00AD0157">
      <w:pPr>
        <w:pStyle w:val="Para1"/>
        <w:numPr>
          <w:ilvl w:val="0"/>
          <w:numId w:val="0"/>
        </w:numPr>
        <w:spacing w:before="240"/>
        <w:ind w:left="1560" w:hanging="709"/>
        <w:jc w:val="left"/>
        <w:rPr>
          <w:rFonts w:asciiTheme="majorBidi" w:hAnsiTheme="majorBidi" w:cstheme="majorBidi"/>
          <w:bCs/>
        </w:rPr>
      </w:pPr>
      <w:r>
        <w:rPr>
          <w:rFonts w:asciiTheme="majorBidi" w:hAnsiTheme="majorBidi" w:cstheme="majorBidi"/>
          <w:b/>
          <w:caps/>
          <w:lang w:eastAsia="zh-CN"/>
        </w:rPr>
        <w:t>IV</w:t>
      </w:r>
      <w:r w:rsidRPr="00B7059E">
        <w:rPr>
          <w:rFonts w:asciiTheme="majorBidi" w:hAnsiTheme="majorBidi" w:cstheme="majorBidi"/>
          <w:b/>
          <w:caps/>
          <w:lang w:eastAsia="zh-CN"/>
        </w:rPr>
        <w:t>.</w:t>
      </w:r>
      <w:r w:rsidRPr="00B7059E">
        <w:rPr>
          <w:rFonts w:asciiTheme="majorBidi" w:hAnsiTheme="majorBidi" w:cstheme="majorBidi"/>
          <w:b/>
          <w:caps/>
          <w:lang w:eastAsia="zh-CN"/>
        </w:rPr>
        <w:tab/>
        <w:t>ROLE OF THE SECRETARIAT OF THE CONVENTION</w:t>
      </w:r>
      <w:r>
        <w:rPr>
          <w:rFonts w:asciiTheme="majorBidi" w:hAnsiTheme="majorBidi" w:cstheme="majorBidi"/>
          <w:b/>
          <w:caps/>
          <w:lang w:eastAsia="zh-CN"/>
        </w:rPr>
        <w:t xml:space="preserve"> ON BIOLOGICAL DIVERSITY</w:t>
      </w:r>
    </w:p>
    <w:p w14:paraId="2DFA9C9B"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5</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In line with Article 24 of the Convention, the Secretariat will:</w:t>
      </w:r>
    </w:p>
    <w:p w14:paraId="0256C3F9"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rPr>
        <w:t xml:space="preserve">Prepare or submit, as appropriate, relevant documents and reports on technical and scientific cooperation and technology transfer (Articles 16, 17 and 18 of the Convention) for the Conference of </w:t>
      </w:r>
      <w:r>
        <w:rPr>
          <w:rFonts w:asciiTheme="majorBidi" w:hAnsiTheme="majorBidi" w:cstheme="majorBidi"/>
        </w:rPr>
        <w:t xml:space="preserve">the </w:t>
      </w:r>
      <w:r w:rsidRPr="00B7059E">
        <w:rPr>
          <w:rFonts w:asciiTheme="majorBidi" w:hAnsiTheme="majorBidi" w:cstheme="majorBidi"/>
        </w:rPr>
        <w:t>Parties and its subsidiary bodies;</w:t>
      </w:r>
      <w:r>
        <w:rPr>
          <w:rFonts w:asciiTheme="majorBidi" w:hAnsiTheme="majorBidi" w:cstheme="majorBidi"/>
        </w:rPr>
        <w:t xml:space="preserve"> </w:t>
      </w:r>
    </w:p>
    <w:p w14:paraId="55A8DCE1"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(b)</w:t>
      </w:r>
      <w:r w:rsidRPr="00B7059E">
        <w:rPr>
          <w:rFonts w:asciiTheme="majorBidi" w:hAnsiTheme="majorBidi" w:cstheme="majorBidi"/>
        </w:rPr>
        <w:tab/>
        <w:t>Compile relevant information related to technical and scientific cooperation and technology transfer in the field of biological diversity and make it available through the clearing-house mechanism;</w:t>
      </w:r>
    </w:p>
    <w:p w14:paraId="4A2E9123"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eastAsiaTheme="minorEastAsia" w:hAnsiTheme="majorBidi" w:cstheme="majorBidi"/>
        </w:rPr>
      </w:pPr>
      <w:r w:rsidRPr="00B7059E">
        <w:rPr>
          <w:rFonts w:asciiTheme="majorBidi" w:eastAsiaTheme="minorEastAsia" w:hAnsiTheme="majorBidi" w:cstheme="majorBidi"/>
        </w:rPr>
        <w:t>(c)</w:t>
      </w:r>
      <w:r w:rsidRPr="00B7059E">
        <w:rPr>
          <w:rFonts w:asciiTheme="majorBidi" w:eastAsiaTheme="minorEastAsia" w:hAnsiTheme="majorBidi" w:cstheme="majorBidi"/>
        </w:rPr>
        <w:tab/>
      </w:r>
      <w:r w:rsidRPr="00B7059E">
        <w:rPr>
          <w:rFonts w:asciiTheme="majorBidi" w:hAnsiTheme="majorBidi" w:cstheme="majorBidi"/>
        </w:rPr>
        <w:t>Maintain active communication with Parties and stakeholders involved or interested in technical and scientific cooperation;</w:t>
      </w:r>
    </w:p>
    <w:p w14:paraId="7782BDAF"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(d)</w:t>
      </w:r>
      <w:r w:rsidRPr="00B7059E">
        <w:rPr>
          <w:rFonts w:asciiTheme="majorBidi" w:hAnsiTheme="majorBidi" w:cstheme="majorBidi"/>
        </w:rPr>
        <w:tab/>
        <w:t>Coordinate, as appropriate, with biodiversity-related conventions, relevant Parties’ agencies, the Consortium of Scientific Partners on Biodiversity, the Global Partnership for Business and Biodiversity, and other relevant networks and initiatives with technical and scientific expertise and/or involved in technical and scientific cooperation;</w:t>
      </w:r>
    </w:p>
    <w:p w14:paraId="6DB3D7D6"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(e)</w:t>
      </w:r>
      <w:r w:rsidRPr="00B7059E">
        <w:rPr>
          <w:rFonts w:asciiTheme="majorBidi" w:hAnsiTheme="majorBidi" w:cstheme="majorBidi"/>
        </w:rPr>
        <w:tab/>
      </w:r>
      <w:r>
        <w:rPr>
          <w:rFonts w:asciiTheme="majorBidi" w:hAnsiTheme="majorBidi" w:cstheme="majorBidi"/>
        </w:rPr>
        <w:t>O</w:t>
      </w:r>
      <w:r w:rsidRPr="00D933BC">
        <w:rPr>
          <w:rFonts w:asciiTheme="majorBidi" w:hAnsiTheme="majorBidi" w:cstheme="majorBidi"/>
        </w:rPr>
        <w:t>rganize</w:t>
      </w:r>
      <w:r>
        <w:rPr>
          <w:rFonts w:asciiTheme="majorBidi" w:hAnsiTheme="majorBidi" w:cstheme="majorBidi"/>
        </w:rPr>
        <w:t>,</w:t>
      </w:r>
      <w:r w:rsidRPr="00D933BC">
        <w:rPr>
          <w:rFonts w:asciiTheme="majorBidi" w:hAnsiTheme="majorBidi" w:cstheme="majorBidi"/>
        </w:rPr>
        <w:t xml:space="preserve"> with partners</w:t>
      </w:r>
      <w:r>
        <w:rPr>
          <w:rFonts w:asciiTheme="majorBidi" w:hAnsiTheme="majorBidi" w:cstheme="majorBidi"/>
        </w:rPr>
        <w:t>,</w:t>
      </w:r>
      <w:r w:rsidRPr="00B7059E">
        <w:rPr>
          <w:rFonts w:asciiTheme="majorBidi" w:hAnsiTheme="majorBidi" w:cstheme="majorBidi"/>
        </w:rPr>
        <w:t xml:space="preserve"> biodiversity science forums, technology and innovation expos and other events on the margins of international meetings;</w:t>
      </w:r>
    </w:p>
    <w:p w14:paraId="276C10EC" w14:textId="77777777" w:rsidR="008C379F" w:rsidRPr="00B7059E" w:rsidRDefault="008C379F" w:rsidP="00A30041">
      <w:pPr>
        <w:pStyle w:val="Para1"/>
        <w:numPr>
          <w:ilvl w:val="0"/>
          <w:numId w:val="0"/>
        </w:numPr>
        <w:suppressLineNumbers/>
        <w:suppressAutoHyphens/>
        <w:kinsoku w:val="0"/>
        <w:adjustRightInd w:val="0"/>
        <w:ind w:firstLine="720"/>
        <w:rPr>
          <w:rFonts w:asciiTheme="majorBidi" w:hAnsiTheme="majorBidi" w:cstheme="majorBidi"/>
        </w:rPr>
      </w:pPr>
      <w:r w:rsidRPr="00B7059E">
        <w:rPr>
          <w:rFonts w:asciiTheme="majorBidi" w:hAnsiTheme="majorBidi" w:cstheme="majorBidi"/>
        </w:rPr>
        <w:t>(f)</w:t>
      </w:r>
      <w:r w:rsidRPr="00B7059E">
        <w:rPr>
          <w:rFonts w:asciiTheme="majorBidi" w:hAnsiTheme="majorBidi" w:cstheme="majorBidi"/>
        </w:rPr>
        <w:tab/>
        <w:t>Perform such other activities as may be necessary to carry out its functions.</w:t>
      </w:r>
    </w:p>
    <w:p w14:paraId="77D20207" w14:textId="77777777" w:rsidR="008C379F" w:rsidRPr="00B7059E" w:rsidRDefault="008C379F" w:rsidP="00067A41">
      <w:pPr>
        <w:keepNext/>
        <w:suppressLineNumbers/>
        <w:suppressAutoHyphens/>
        <w:spacing w:before="120" w:after="120"/>
        <w:jc w:val="center"/>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lastRenderedPageBreak/>
        <w:t>V.</w:t>
      </w:r>
      <w:r w:rsidRPr="00B7059E">
        <w:rPr>
          <w:rFonts w:asciiTheme="majorBidi" w:hAnsiTheme="majorBidi" w:cstheme="majorBidi"/>
          <w:b/>
          <w:caps/>
          <w:color w:val="000000"/>
          <w:szCs w:val="22"/>
          <w:lang w:eastAsia="zh-CN"/>
        </w:rPr>
        <w:tab/>
        <w:t>MONITORING AND REVIEW</w:t>
      </w:r>
    </w:p>
    <w:p w14:paraId="4EA4ADA5" w14:textId="77777777" w:rsidR="008C379F" w:rsidRPr="00B7059E" w:rsidRDefault="008C379F" w:rsidP="0034702B">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lang w:val="en-GB"/>
        </w:rPr>
      </w:pPr>
      <w:r>
        <w:rPr>
          <w:rFonts w:asciiTheme="majorBidi" w:hAnsiTheme="majorBidi" w:cstheme="majorBidi"/>
          <w:snapToGrid w:val="0"/>
          <w:kern w:val="22"/>
          <w:lang w:val="en-GB"/>
        </w:rPr>
        <w:t>6</w:t>
      </w:r>
      <w:r w:rsidRPr="00B7059E">
        <w:rPr>
          <w:rFonts w:asciiTheme="majorBidi" w:hAnsiTheme="majorBidi" w:cstheme="majorBidi"/>
          <w:snapToGrid w:val="0"/>
          <w:kern w:val="22"/>
          <w:lang w:val="en-GB"/>
        </w:rPr>
        <w:t xml:space="preserve">. </w:t>
      </w:r>
      <w:r w:rsidRPr="00B7059E">
        <w:rPr>
          <w:rFonts w:asciiTheme="majorBidi" w:hAnsiTheme="majorBidi" w:cstheme="majorBidi"/>
          <w:snapToGrid w:val="0"/>
          <w:kern w:val="22"/>
          <w:lang w:val="en-GB"/>
        </w:rPr>
        <w:tab/>
        <w:t xml:space="preserve">The present mechanism will be monitored and reviewed periodically by the </w:t>
      </w:r>
      <w:r>
        <w:rPr>
          <w:rFonts w:asciiTheme="majorBidi" w:hAnsiTheme="majorBidi" w:cstheme="majorBidi"/>
          <w:snapToGrid w:val="0"/>
          <w:kern w:val="22"/>
          <w:lang w:val="en-GB"/>
        </w:rPr>
        <w:t>I</w:t>
      </w:r>
      <w:r w:rsidRPr="00B7059E">
        <w:rPr>
          <w:rFonts w:asciiTheme="majorBidi" w:hAnsiTheme="majorBidi" w:cstheme="majorBidi"/>
          <w:snapToGrid w:val="0"/>
          <w:kern w:val="22"/>
          <w:lang w:val="en-GB"/>
        </w:rPr>
        <w:t xml:space="preserve">nformal </w:t>
      </w:r>
      <w:r>
        <w:rPr>
          <w:rFonts w:asciiTheme="majorBidi" w:hAnsiTheme="majorBidi" w:cstheme="majorBidi"/>
          <w:snapToGrid w:val="0"/>
          <w:kern w:val="22"/>
          <w:lang w:val="en-GB"/>
        </w:rPr>
        <w:t>A</w:t>
      </w:r>
      <w:r w:rsidRPr="00B7059E">
        <w:rPr>
          <w:rFonts w:asciiTheme="majorBidi" w:hAnsiTheme="majorBidi" w:cstheme="majorBidi"/>
          <w:snapToGrid w:val="0"/>
          <w:kern w:val="22"/>
          <w:lang w:val="en-GB"/>
        </w:rPr>
        <w:t xml:space="preserve">dvisory </w:t>
      </w:r>
      <w:r>
        <w:rPr>
          <w:rFonts w:asciiTheme="majorBidi" w:hAnsiTheme="majorBidi" w:cstheme="majorBidi"/>
          <w:snapToGrid w:val="0"/>
          <w:kern w:val="22"/>
          <w:lang w:val="en-GB"/>
        </w:rPr>
        <w:t>G</w:t>
      </w:r>
      <w:r w:rsidRPr="00B7059E">
        <w:rPr>
          <w:rFonts w:asciiTheme="majorBidi" w:hAnsiTheme="majorBidi" w:cstheme="majorBidi"/>
          <w:snapToGrid w:val="0"/>
          <w:kern w:val="22"/>
          <w:lang w:val="en-GB"/>
        </w:rPr>
        <w:t xml:space="preserve">roup on </w:t>
      </w:r>
      <w:r>
        <w:rPr>
          <w:rFonts w:asciiTheme="majorBidi" w:hAnsiTheme="majorBidi" w:cstheme="majorBidi"/>
          <w:snapToGrid w:val="0"/>
          <w:kern w:val="22"/>
          <w:lang w:val="en-GB"/>
        </w:rPr>
        <w:t>T</w:t>
      </w:r>
      <w:r w:rsidRPr="00B7059E">
        <w:rPr>
          <w:rFonts w:asciiTheme="majorBidi" w:hAnsiTheme="majorBidi" w:cstheme="majorBidi"/>
          <w:snapToGrid w:val="0"/>
          <w:kern w:val="22"/>
          <w:lang w:val="en-GB"/>
        </w:rPr>
        <w:t xml:space="preserve">echnical and </w:t>
      </w:r>
      <w:r>
        <w:rPr>
          <w:rFonts w:asciiTheme="majorBidi" w:hAnsiTheme="majorBidi" w:cstheme="majorBidi"/>
          <w:snapToGrid w:val="0"/>
          <w:kern w:val="22"/>
          <w:lang w:val="en-GB"/>
        </w:rPr>
        <w:t>S</w:t>
      </w:r>
      <w:r w:rsidRPr="00B7059E">
        <w:rPr>
          <w:rFonts w:asciiTheme="majorBidi" w:hAnsiTheme="majorBidi" w:cstheme="majorBidi"/>
          <w:snapToGrid w:val="0"/>
          <w:kern w:val="22"/>
          <w:lang w:val="en-GB"/>
        </w:rPr>
        <w:t xml:space="preserve">cientific </w:t>
      </w:r>
      <w:r>
        <w:rPr>
          <w:rFonts w:asciiTheme="majorBidi" w:hAnsiTheme="majorBidi" w:cstheme="majorBidi"/>
          <w:snapToGrid w:val="0"/>
          <w:kern w:val="22"/>
          <w:lang w:val="en-GB"/>
        </w:rPr>
        <w:t>C</w:t>
      </w:r>
      <w:r w:rsidRPr="00B7059E">
        <w:rPr>
          <w:rFonts w:asciiTheme="majorBidi" w:hAnsiTheme="majorBidi" w:cstheme="majorBidi"/>
          <w:snapToGrid w:val="0"/>
          <w:kern w:val="22"/>
          <w:lang w:val="en-GB"/>
        </w:rPr>
        <w:t xml:space="preserve">ooperation. If necessary, the </w:t>
      </w:r>
      <w:r>
        <w:rPr>
          <w:rFonts w:asciiTheme="majorBidi" w:hAnsiTheme="majorBidi" w:cstheme="majorBidi"/>
          <w:snapToGrid w:val="0"/>
          <w:kern w:val="22"/>
          <w:lang w:val="en-GB"/>
        </w:rPr>
        <w:t>I</w:t>
      </w:r>
      <w:r w:rsidRPr="00B7059E">
        <w:rPr>
          <w:rFonts w:asciiTheme="majorBidi" w:hAnsiTheme="majorBidi" w:cstheme="majorBidi"/>
          <w:snapToGrid w:val="0"/>
          <w:kern w:val="22"/>
          <w:lang w:val="en-GB"/>
        </w:rPr>
        <w:t xml:space="preserve">nformal </w:t>
      </w:r>
      <w:r>
        <w:rPr>
          <w:rFonts w:asciiTheme="majorBidi" w:hAnsiTheme="majorBidi" w:cstheme="majorBidi"/>
          <w:snapToGrid w:val="0"/>
          <w:kern w:val="22"/>
          <w:lang w:val="en-GB"/>
        </w:rPr>
        <w:t>A</w:t>
      </w:r>
      <w:r w:rsidRPr="00B7059E">
        <w:rPr>
          <w:rFonts w:asciiTheme="majorBidi" w:hAnsiTheme="majorBidi" w:cstheme="majorBidi"/>
          <w:snapToGrid w:val="0"/>
          <w:kern w:val="22"/>
          <w:lang w:val="en-GB"/>
        </w:rPr>
        <w:t xml:space="preserve">dvisory </w:t>
      </w:r>
      <w:r>
        <w:rPr>
          <w:rFonts w:asciiTheme="majorBidi" w:hAnsiTheme="majorBidi" w:cstheme="majorBidi"/>
          <w:snapToGrid w:val="0"/>
          <w:kern w:val="22"/>
          <w:lang w:val="en-GB"/>
        </w:rPr>
        <w:t>G</w:t>
      </w:r>
      <w:r w:rsidRPr="00B7059E">
        <w:rPr>
          <w:rFonts w:asciiTheme="majorBidi" w:hAnsiTheme="majorBidi" w:cstheme="majorBidi"/>
          <w:snapToGrid w:val="0"/>
          <w:kern w:val="22"/>
          <w:lang w:val="en-GB"/>
        </w:rPr>
        <w:t xml:space="preserve">roup will make recommendations on possible updates regarding the relevance and effectiveness of this mechanism in supporting the implementation of the </w:t>
      </w:r>
      <w:r>
        <w:rPr>
          <w:rFonts w:asciiTheme="majorBidi" w:hAnsiTheme="majorBidi" w:cstheme="majorBidi"/>
          <w:snapToGrid w:val="0"/>
          <w:kern w:val="22"/>
          <w:lang w:val="en-GB"/>
        </w:rPr>
        <w:t>Kunming-Montreal G</w:t>
      </w:r>
      <w:r w:rsidRPr="00B7059E">
        <w:rPr>
          <w:rFonts w:asciiTheme="majorBidi" w:hAnsiTheme="majorBidi" w:cstheme="majorBidi"/>
          <w:snapToGrid w:val="0"/>
          <w:kern w:val="22"/>
          <w:lang w:val="en-GB"/>
        </w:rPr>
        <w:t xml:space="preserve">lobal </w:t>
      </w:r>
      <w:r>
        <w:rPr>
          <w:rFonts w:asciiTheme="majorBidi" w:hAnsiTheme="majorBidi" w:cstheme="majorBidi"/>
          <w:snapToGrid w:val="0"/>
          <w:kern w:val="22"/>
          <w:lang w:val="en-GB"/>
        </w:rPr>
        <w:t>B</w:t>
      </w:r>
      <w:r w:rsidRPr="00B7059E">
        <w:rPr>
          <w:rFonts w:asciiTheme="majorBidi" w:hAnsiTheme="majorBidi" w:cstheme="majorBidi"/>
          <w:snapToGrid w:val="0"/>
          <w:kern w:val="22"/>
          <w:lang w:val="en-GB"/>
        </w:rPr>
        <w:t xml:space="preserve">iodiversity </w:t>
      </w:r>
      <w:r>
        <w:rPr>
          <w:rFonts w:asciiTheme="majorBidi" w:hAnsiTheme="majorBidi" w:cstheme="majorBidi"/>
          <w:snapToGrid w:val="0"/>
          <w:kern w:val="22"/>
          <w:lang w:val="en-GB"/>
        </w:rPr>
        <w:t>F</w:t>
      </w:r>
      <w:r w:rsidRPr="00B7059E">
        <w:rPr>
          <w:rFonts w:asciiTheme="majorBidi" w:hAnsiTheme="majorBidi" w:cstheme="majorBidi"/>
          <w:snapToGrid w:val="0"/>
          <w:kern w:val="22"/>
          <w:lang w:val="en-GB"/>
        </w:rPr>
        <w:t xml:space="preserve">ramework, which will be submitted for the consideration of the Subsidiary Body of Implementation and the Conference of the Parties. </w:t>
      </w:r>
      <w:r>
        <w:rPr>
          <w:rFonts w:asciiTheme="majorBidi" w:hAnsiTheme="majorBidi" w:cstheme="majorBidi"/>
          <w:snapToGrid w:val="0"/>
          <w:kern w:val="22"/>
          <w:lang w:val="en-GB"/>
        </w:rPr>
        <w:t xml:space="preserve"> </w:t>
      </w:r>
      <w:r w:rsidRPr="00B7059E">
        <w:rPr>
          <w:rFonts w:asciiTheme="majorBidi" w:hAnsiTheme="majorBidi" w:cstheme="majorBidi"/>
          <w:kern w:val="22"/>
          <w:lang w:val="en-GB"/>
        </w:rPr>
        <w:t xml:space="preserve">A first review will be carried out in conjunction with the global review of the </w:t>
      </w:r>
      <w:r>
        <w:rPr>
          <w:rFonts w:asciiTheme="majorBidi" w:hAnsiTheme="majorBidi" w:cstheme="majorBidi"/>
          <w:kern w:val="22"/>
          <w:lang w:val="en-GB"/>
        </w:rPr>
        <w:t>Kunming-Montreal G</w:t>
      </w:r>
      <w:r w:rsidRPr="00B7059E">
        <w:rPr>
          <w:rFonts w:asciiTheme="majorBidi" w:hAnsiTheme="majorBidi" w:cstheme="majorBidi"/>
          <w:kern w:val="22"/>
          <w:lang w:val="en-GB"/>
        </w:rPr>
        <w:t xml:space="preserve">lobal </w:t>
      </w:r>
      <w:r>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Pr>
          <w:rFonts w:asciiTheme="majorBidi" w:hAnsiTheme="majorBidi" w:cstheme="majorBidi"/>
          <w:kern w:val="22"/>
          <w:lang w:val="en-GB"/>
        </w:rPr>
        <w:t>F</w:t>
      </w:r>
      <w:r w:rsidRPr="00B7059E">
        <w:rPr>
          <w:rFonts w:asciiTheme="majorBidi" w:hAnsiTheme="majorBidi" w:cstheme="majorBidi"/>
          <w:kern w:val="22"/>
          <w:lang w:val="en-GB"/>
        </w:rPr>
        <w:t xml:space="preserve">ramework, including the means of </w:t>
      </w:r>
      <w:r w:rsidRPr="003E76AA">
        <w:rPr>
          <w:rFonts w:asciiTheme="majorBidi" w:hAnsiTheme="majorBidi" w:cstheme="majorBidi"/>
          <w:kern w:val="22"/>
          <w:lang w:val="en-GB"/>
        </w:rPr>
        <w:t>implementation,</w:t>
      </w:r>
      <w:r w:rsidRPr="00B7059E">
        <w:rPr>
          <w:rFonts w:asciiTheme="majorBidi" w:hAnsiTheme="majorBidi" w:cstheme="majorBidi"/>
          <w:kern w:val="22"/>
          <w:lang w:val="en-GB"/>
        </w:rPr>
        <w:t xml:space="preserve"> </w:t>
      </w:r>
      <w:r>
        <w:rPr>
          <w:rFonts w:asciiTheme="majorBidi" w:hAnsiTheme="majorBidi" w:cstheme="majorBidi"/>
          <w:kern w:val="22"/>
          <w:lang w:val="en-GB"/>
        </w:rPr>
        <w:t xml:space="preserve">for consideration </w:t>
      </w:r>
      <w:r w:rsidRPr="0069233A">
        <w:rPr>
          <w:rFonts w:asciiTheme="majorBidi" w:hAnsiTheme="majorBidi" w:cstheme="majorBidi"/>
          <w:kern w:val="22"/>
          <w:lang w:val="en-GB"/>
        </w:rPr>
        <w:t>at the seventeenth meeting of the Conference of the Parties.</w:t>
      </w:r>
    </w:p>
    <w:p w14:paraId="1EA66A63" w14:textId="77777777" w:rsidR="008C379F" w:rsidRPr="00B7059E" w:rsidRDefault="008C379F" w:rsidP="00E4192A">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lang w:val="en-GB"/>
        </w:rPr>
      </w:pPr>
      <w:r>
        <w:rPr>
          <w:rFonts w:asciiTheme="majorBidi" w:hAnsiTheme="majorBidi" w:cstheme="majorBidi"/>
          <w:kern w:val="22"/>
          <w:lang w:val="en-GB"/>
        </w:rPr>
        <w:t>7</w:t>
      </w:r>
      <w:r w:rsidRPr="00B7059E">
        <w:rPr>
          <w:rFonts w:asciiTheme="majorBidi" w:hAnsiTheme="majorBidi" w:cstheme="majorBidi"/>
          <w:kern w:val="22"/>
          <w:lang w:val="en-GB"/>
        </w:rPr>
        <w:t>.</w:t>
      </w:r>
      <w:r w:rsidRPr="00B7059E">
        <w:rPr>
          <w:rFonts w:asciiTheme="majorBidi" w:hAnsiTheme="majorBidi" w:cstheme="majorBidi"/>
          <w:kern w:val="22"/>
          <w:lang w:val="en-GB"/>
        </w:rPr>
        <w:tab/>
        <w:t>An independent evaluation will be undertaken</w:t>
      </w:r>
      <w:r>
        <w:rPr>
          <w:rFonts w:asciiTheme="majorBidi" w:hAnsiTheme="majorBidi" w:cstheme="majorBidi"/>
          <w:kern w:val="22"/>
          <w:lang w:val="en-GB"/>
        </w:rPr>
        <w:t>,</w:t>
      </w:r>
      <w:r w:rsidRPr="00B7059E">
        <w:rPr>
          <w:rFonts w:asciiTheme="majorBidi" w:hAnsiTheme="majorBidi" w:cstheme="majorBidi"/>
          <w:kern w:val="22"/>
          <w:lang w:val="en-GB"/>
        </w:rPr>
        <w:t xml:space="preserve"> together with the review of the long-term strategic framework for capacity</w:t>
      </w:r>
      <w:r w:rsidRPr="00B7059E">
        <w:rPr>
          <w:rFonts w:asciiTheme="majorBidi" w:hAnsiTheme="majorBidi" w:cstheme="majorBidi"/>
          <w:kern w:val="22"/>
          <w:lang w:val="en-GB"/>
        </w:rPr>
        <w:noBreakHyphen/>
        <w:t xml:space="preserve">building and development and in conjunction with the global review of the </w:t>
      </w:r>
      <w:r>
        <w:rPr>
          <w:rFonts w:asciiTheme="majorBidi" w:hAnsiTheme="majorBidi" w:cstheme="majorBidi"/>
          <w:kern w:val="22"/>
          <w:lang w:val="en-GB"/>
        </w:rPr>
        <w:t>Kunming-Montreal G</w:t>
      </w:r>
      <w:r w:rsidRPr="00B7059E">
        <w:rPr>
          <w:rFonts w:asciiTheme="majorBidi" w:hAnsiTheme="majorBidi" w:cstheme="majorBidi"/>
          <w:kern w:val="22"/>
          <w:lang w:val="en-GB"/>
        </w:rPr>
        <w:t xml:space="preserve">lobal </w:t>
      </w:r>
      <w:r>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Pr>
          <w:rFonts w:asciiTheme="majorBidi" w:hAnsiTheme="majorBidi" w:cstheme="majorBidi"/>
          <w:kern w:val="22"/>
          <w:lang w:val="en-GB"/>
        </w:rPr>
        <w:t>F</w:t>
      </w:r>
      <w:r w:rsidRPr="00B7059E">
        <w:rPr>
          <w:rFonts w:asciiTheme="majorBidi" w:hAnsiTheme="majorBidi" w:cstheme="majorBidi"/>
          <w:kern w:val="22"/>
          <w:lang w:val="en-GB"/>
        </w:rPr>
        <w:t xml:space="preserve">ramework, including </w:t>
      </w:r>
      <w:r>
        <w:rPr>
          <w:rFonts w:asciiTheme="majorBidi" w:hAnsiTheme="majorBidi" w:cstheme="majorBidi"/>
          <w:kern w:val="22"/>
          <w:lang w:val="en-GB"/>
        </w:rPr>
        <w:t xml:space="preserve">an </w:t>
      </w:r>
      <w:r w:rsidRPr="0005089C">
        <w:rPr>
          <w:rFonts w:asciiTheme="majorBidi" w:hAnsiTheme="majorBidi" w:cstheme="majorBidi"/>
          <w:kern w:val="22"/>
          <w:lang w:val="en-GB"/>
        </w:rPr>
        <w:t>evaluation of the</w:t>
      </w:r>
      <w:r w:rsidRPr="00B7059E">
        <w:rPr>
          <w:rFonts w:asciiTheme="majorBidi" w:hAnsiTheme="majorBidi" w:cstheme="majorBidi"/>
          <w:kern w:val="22"/>
          <w:lang w:val="en-GB"/>
        </w:rPr>
        <w:t xml:space="preserve"> means </w:t>
      </w:r>
      <w:r w:rsidRPr="0069233A">
        <w:rPr>
          <w:rFonts w:asciiTheme="majorBidi" w:hAnsiTheme="majorBidi" w:cstheme="majorBidi"/>
          <w:kern w:val="22"/>
          <w:lang w:val="en-GB"/>
        </w:rPr>
        <w:t>of implementation,</w:t>
      </w:r>
      <w:r w:rsidRPr="00B7059E">
        <w:rPr>
          <w:rFonts w:asciiTheme="majorBidi" w:hAnsiTheme="majorBidi" w:cstheme="majorBidi"/>
          <w:kern w:val="22"/>
          <w:lang w:val="en-GB"/>
        </w:rPr>
        <w:t xml:space="preserve"> and the Secretariat will submit a report to facilitate its review by the Subsidiary Body on Implementation and by the Conference of the Parties at its nineteenth meeting.</w:t>
      </w:r>
    </w:p>
    <w:p w14:paraId="0D3A6168" w14:textId="77777777" w:rsidR="008C379F" w:rsidRPr="00B7059E" w:rsidRDefault="008C379F" w:rsidP="00067A41">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rPr>
          <w:rFonts w:asciiTheme="majorBidi" w:hAnsiTheme="majorBidi" w:cstheme="majorBidi"/>
          <w:i/>
          <w:iCs/>
          <w:snapToGrid w:val="0"/>
          <w:kern w:val="22"/>
          <w:lang w:val="en-GB"/>
        </w:rPr>
      </w:pPr>
      <w:bookmarkStart w:id="110" w:name="_Toc57214912"/>
      <w:bookmarkStart w:id="111" w:name="_Toc118355010"/>
      <w:bookmarkEnd w:id="109"/>
      <w:r w:rsidRPr="00B7059E">
        <w:rPr>
          <w:rFonts w:asciiTheme="majorBidi" w:hAnsiTheme="majorBidi" w:cstheme="majorBidi"/>
          <w:i/>
          <w:iCs/>
          <w:snapToGrid w:val="0"/>
          <w:kern w:val="22"/>
          <w:lang w:val="en-GB"/>
        </w:rPr>
        <w:t xml:space="preserve">Annex </w:t>
      </w:r>
      <w:bookmarkEnd w:id="110"/>
      <w:r w:rsidRPr="00B7059E">
        <w:rPr>
          <w:rFonts w:asciiTheme="majorBidi" w:hAnsiTheme="majorBidi" w:cstheme="majorBidi"/>
          <w:i/>
          <w:iCs/>
          <w:snapToGrid w:val="0"/>
          <w:kern w:val="22"/>
          <w:lang w:val="en-GB"/>
        </w:rPr>
        <w:t>III</w:t>
      </w:r>
      <w:bookmarkEnd w:id="111"/>
    </w:p>
    <w:p w14:paraId="13B79519" w14:textId="77777777" w:rsidR="008C379F" w:rsidRPr="00B7059E" w:rsidRDefault="008C379F" w:rsidP="00575C1C">
      <w:pPr>
        <w:pStyle w:val="NormalWeb"/>
        <w:keepNext/>
        <w:suppressLineNumbers/>
        <w:suppressAutoHyphens/>
        <w:kinsoku w:val="0"/>
        <w:overflowPunct w:val="0"/>
        <w:adjustRightInd w:val="0"/>
        <w:snapToGrid w:val="0"/>
        <w:spacing w:before="120" w:after="120"/>
        <w:jc w:val="center"/>
        <w:rPr>
          <w:rFonts w:asciiTheme="majorBidi" w:hAnsiTheme="majorBidi" w:cstheme="majorBidi"/>
          <w:bCs/>
          <w:caps/>
          <w:snapToGrid w:val="0"/>
          <w:kern w:val="22"/>
          <w:sz w:val="22"/>
          <w:szCs w:val="22"/>
        </w:rPr>
      </w:pPr>
      <w:bookmarkStart w:id="112" w:name="_Toc57214913"/>
      <w:bookmarkStart w:id="113" w:name="_Toc118355011"/>
      <w:r w:rsidRPr="00B7059E">
        <w:rPr>
          <w:rFonts w:asciiTheme="majorBidi" w:hAnsiTheme="majorBidi" w:cstheme="majorBidi"/>
          <w:b/>
          <w:bCs/>
          <w:snapToGrid w:val="0"/>
          <w:kern w:val="22"/>
          <w:sz w:val="22"/>
          <w:szCs w:val="22"/>
        </w:rPr>
        <w:t>T</w:t>
      </w:r>
      <w:r w:rsidRPr="00B7059E">
        <w:rPr>
          <w:rFonts w:asciiTheme="majorBidi" w:hAnsiTheme="majorBidi" w:cstheme="majorBidi"/>
          <w:b/>
          <w:bCs/>
          <w:caps/>
          <w:snapToGrid w:val="0"/>
          <w:kern w:val="22"/>
          <w:sz w:val="22"/>
          <w:szCs w:val="22"/>
        </w:rPr>
        <w:t>erms of reference of the Informal Advisory Group on Technical and Scientific Cooperation</w:t>
      </w:r>
      <w:bookmarkEnd w:id="112"/>
      <w:bookmarkEnd w:id="113"/>
    </w:p>
    <w:p w14:paraId="04DF8A0C" w14:textId="77777777" w:rsidR="008C379F" w:rsidRPr="00981752" w:rsidRDefault="008C379F" w:rsidP="00606510">
      <w:pPr>
        <w:pStyle w:val="heading2notforTOC"/>
        <w:outlineLvl w:val="9"/>
        <w:rPr>
          <w:rFonts w:asciiTheme="majorBidi" w:hAnsiTheme="majorBidi" w:cstheme="majorBidi"/>
          <w:b/>
          <w:i w:val="0"/>
          <w:iCs w:val="0"/>
          <w:snapToGrid w:val="0"/>
          <w:szCs w:val="22"/>
        </w:rPr>
      </w:pPr>
      <w:bookmarkStart w:id="114" w:name="_Toc57214914"/>
      <w:r w:rsidRPr="00981752">
        <w:rPr>
          <w:rFonts w:asciiTheme="majorBidi" w:hAnsiTheme="majorBidi" w:cstheme="majorBidi"/>
          <w:b/>
          <w:i w:val="0"/>
          <w:iCs w:val="0"/>
          <w:snapToGrid w:val="0"/>
          <w:szCs w:val="22"/>
        </w:rPr>
        <w:t>A.</w:t>
      </w:r>
      <w:r w:rsidRPr="00981752">
        <w:rPr>
          <w:rFonts w:asciiTheme="majorBidi" w:hAnsiTheme="majorBidi" w:cstheme="majorBidi"/>
          <w:b/>
          <w:i w:val="0"/>
          <w:iCs w:val="0"/>
          <w:snapToGrid w:val="0"/>
          <w:szCs w:val="22"/>
        </w:rPr>
        <w:tab/>
        <w:t>Background</w:t>
      </w:r>
      <w:bookmarkEnd w:id="114"/>
    </w:p>
    <w:p w14:paraId="0EBF970C" w14:textId="77777777" w:rsidR="008C379F" w:rsidRPr="00B7059E" w:rsidRDefault="008C379F" w:rsidP="0015098B">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lang w:val="en-GB"/>
        </w:rPr>
      </w:pPr>
      <w:r w:rsidRPr="00B7059E">
        <w:rPr>
          <w:rFonts w:asciiTheme="majorBidi" w:hAnsiTheme="majorBidi" w:cstheme="majorBidi"/>
          <w:snapToGrid w:val="0"/>
          <w:kern w:val="22"/>
          <w:lang w:val="en-GB"/>
        </w:rPr>
        <w:t>1.</w:t>
      </w:r>
      <w:r w:rsidRPr="00B7059E">
        <w:rPr>
          <w:rFonts w:asciiTheme="majorBidi" w:hAnsiTheme="majorBidi" w:cstheme="majorBidi"/>
          <w:snapToGrid w:val="0"/>
          <w:kern w:val="22"/>
          <w:lang w:val="en-GB"/>
        </w:rPr>
        <w:tab/>
        <w:t xml:space="preserve">Article 18 of the Convention on Biological Diversity requires Parties to promote international technical and scientific cooperation </w:t>
      </w:r>
      <w:r w:rsidRPr="00E020FC">
        <w:rPr>
          <w:rFonts w:asciiTheme="majorBidi" w:hAnsiTheme="majorBidi" w:cstheme="majorBidi"/>
          <w:snapToGrid w:val="0"/>
          <w:kern w:val="22"/>
          <w:lang w:val="en-GB"/>
        </w:rPr>
        <w:t>with</w:t>
      </w:r>
      <w:r w:rsidRPr="00B7059E">
        <w:rPr>
          <w:rFonts w:asciiTheme="majorBidi" w:hAnsiTheme="majorBidi" w:cstheme="majorBidi"/>
          <w:snapToGrid w:val="0"/>
          <w:kern w:val="22"/>
          <w:lang w:val="en-GB"/>
        </w:rPr>
        <w:t xml:space="preserve"> other Parties, in particularly developing country Parties,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w:t>
      </w:r>
      <w:r>
        <w:rPr>
          <w:rFonts w:asciiTheme="majorBidi" w:hAnsiTheme="majorBidi" w:cstheme="majorBidi"/>
          <w:snapToGrid w:val="0"/>
          <w:kern w:val="22"/>
          <w:lang w:val="en-GB"/>
        </w:rPr>
        <w:t xml:space="preserve">the </w:t>
      </w:r>
      <w:r w:rsidRPr="00B7059E">
        <w:rPr>
          <w:rFonts w:asciiTheme="majorBidi" w:hAnsiTheme="majorBidi" w:cstheme="majorBidi"/>
          <w:snapToGrid w:val="0"/>
          <w:kern w:val="22"/>
          <w:lang w:val="en-GB"/>
        </w:rPr>
        <w:t>development of relevant technologies. Article 18 also stresses the importance of the clearing-house mechanism for fostering technical and scientific cooperation.</w:t>
      </w:r>
    </w:p>
    <w:p w14:paraId="67127309" w14:textId="77777777" w:rsidR="008C379F" w:rsidRPr="00B7059E" w:rsidRDefault="008C379F"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spacing w:val="-2"/>
          <w:kern w:val="22"/>
          <w:lang w:val="en-GB"/>
        </w:rPr>
      </w:pPr>
      <w:r w:rsidRPr="00B7059E">
        <w:rPr>
          <w:rFonts w:asciiTheme="majorBidi" w:hAnsiTheme="majorBidi" w:cstheme="majorBidi"/>
          <w:snapToGrid w:val="0"/>
          <w:spacing w:val="-2"/>
          <w:kern w:val="22"/>
          <w:lang w:val="en-GB"/>
        </w:rPr>
        <w:t>2.</w:t>
      </w:r>
      <w:r w:rsidRPr="00B7059E">
        <w:rPr>
          <w:rFonts w:asciiTheme="majorBidi" w:hAnsiTheme="majorBidi" w:cstheme="majorBidi"/>
          <w:snapToGrid w:val="0"/>
          <w:spacing w:val="-2"/>
          <w:kern w:val="22"/>
          <w:lang w:val="en-GB"/>
        </w:rPr>
        <w:tab/>
      </w:r>
      <w:r w:rsidRPr="00B7059E">
        <w:rPr>
          <w:rFonts w:asciiTheme="majorBidi" w:hAnsiTheme="majorBidi" w:cstheme="majorBidi"/>
          <w:snapToGrid w:val="0"/>
          <w:kern w:val="22"/>
          <w:lang w:val="en-GB" w:eastAsia="en-CA"/>
        </w:rPr>
        <w:t xml:space="preserve">In decisions, VII/29, VIII/12, IX/14, X/15, X/16, XII/2 B, XIII/23 and XIII/31, the Conference of the Parties </w:t>
      </w:r>
      <w:r w:rsidRPr="00B7059E">
        <w:rPr>
          <w:rFonts w:asciiTheme="majorBidi" w:hAnsiTheme="majorBidi" w:cstheme="majorBidi"/>
          <w:snapToGrid w:val="0"/>
          <w:kern w:val="22"/>
          <w:lang w:val="en-GB"/>
        </w:rPr>
        <w:t xml:space="preserve">adopted a number of measures and provided guidance on various aspects </w:t>
      </w:r>
      <w:r w:rsidRPr="00B7059E">
        <w:rPr>
          <w:rFonts w:asciiTheme="majorBidi" w:hAnsiTheme="majorBidi" w:cstheme="majorBidi"/>
          <w:snapToGrid w:val="0"/>
          <w:kern w:val="22"/>
          <w:lang w:val="en-GB" w:eastAsia="en-CA"/>
        </w:rPr>
        <w:t>relating to technical and scientific cooperation and technology transfer.</w:t>
      </w:r>
    </w:p>
    <w:p w14:paraId="49D40BA4"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rPr>
      </w:pPr>
      <w:r w:rsidRPr="00B7059E">
        <w:rPr>
          <w:rFonts w:asciiTheme="majorBidi" w:hAnsiTheme="majorBidi" w:cstheme="majorBidi"/>
          <w:snapToGrid w:val="0"/>
          <w:kern w:val="22"/>
          <w:lang w:val="en-GB"/>
        </w:rPr>
        <w:t>3.</w:t>
      </w:r>
      <w:r w:rsidRPr="00B7059E">
        <w:rPr>
          <w:rFonts w:asciiTheme="majorBidi" w:hAnsiTheme="majorBidi" w:cstheme="majorBidi"/>
          <w:snapToGrid w:val="0"/>
          <w:kern w:val="22"/>
          <w:lang w:val="en-GB"/>
        </w:rPr>
        <w:tab/>
      </w:r>
      <w:r w:rsidRPr="00B7059E">
        <w:rPr>
          <w:rFonts w:asciiTheme="majorBidi" w:hAnsiTheme="majorBidi" w:cstheme="majorBidi"/>
          <w:snapToGrid w:val="0"/>
          <w:kern w:val="22"/>
          <w:lang w:val="en-GB" w:eastAsia="en-CA"/>
        </w:rPr>
        <w:t>In decision 1</w:t>
      </w:r>
      <w:r w:rsidRPr="00B7059E">
        <w:rPr>
          <w:rFonts w:asciiTheme="majorBidi" w:eastAsia="Malgun Gothic" w:hAnsiTheme="majorBidi" w:cstheme="majorBidi"/>
          <w:snapToGrid w:val="0"/>
          <w:kern w:val="22"/>
          <w:lang w:val="en-GB"/>
        </w:rPr>
        <w:t xml:space="preserve">4/24 B, the Conference of the Parties </w:t>
      </w:r>
      <w:r w:rsidRPr="00B7059E">
        <w:rPr>
          <w:rFonts w:asciiTheme="majorBidi" w:hAnsiTheme="majorBidi" w:cstheme="majorBidi"/>
          <w:snapToGrid w:val="0"/>
          <w:kern w:val="22"/>
          <w:lang w:val="en-GB"/>
        </w:rPr>
        <w:t xml:space="preserve">decided to consider establishing, at its fifteenth meeting, an informal advisory group on technical and scientific cooperation, to be operational at the end of the mandate of </w:t>
      </w:r>
      <w:r w:rsidRPr="00C4722C">
        <w:rPr>
          <w:rFonts w:asciiTheme="majorBidi" w:hAnsiTheme="majorBidi" w:cstheme="majorBidi"/>
          <w:snapToGrid w:val="0"/>
          <w:kern w:val="22"/>
          <w:lang w:val="en-GB"/>
        </w:rPr>
        <w:t>the Informal Advisory Committee to the Clearing-house Mechanism, to provide the Executive Secretary with</w:t>
      </w:r>
      <w:r w:rsidRPr="00B7059E">
        <w:rPr>
          <w:rFonts w:asciiTheme="majorBidi" w:hAnsiTheme="majorBidi" w:cstheme="majorBidi"/>
          <w:snapToGrid w:val="0"/>
          <w:kern w:val="22"/>
          <w:lang w:val="en-GB"/>
        </w:rPr>
        <w:t xml:space="preserve"> advice on practical measures, tools and opportunities to promote technical and scientific cooperation for the effective implementation of the Convention.</w:t>
      </w:r>
    </w:p>
    <w:p w14:paraId="66CF7794" w14:textId="77777777" w:rsidR="008C379F" w:rsidRPr="00981752" w:rsidRDefault="008C379F" w:rsidP="00606510">
      <w:pPr>
        <w:pStyle w:val="heading2notforTOC"/>
        <w:outlineLvl w:val="9"/>
        <w:rPr>
          <w:rFonts w:asciiTheme="majorBidi" w:hAnsiTheme="majorBidi" w:cstheme="majorBidi"/>
          <w:b/>
          <w:i w:val="0"/>
          <w:iCs w:val="0"/>
          <w:snapToGrid w:val="0"/>
          <w:szCs w:val="22"/>
        </w:rPr>
      </w:pPr>
      <w:bookmarkStart w:id="115" w:name="_Toc57214915"/>
      <w:r w:rsidRPr="00981752">
        <w:rPr>
          <w:rFonts w:asciiTheme="majorBidi" w:hAnsiTheme="majorBidi" w:cstheme="majorBidi"/>
          <w:b/>
          <w:i w:val="0"/>
          <w:iCs w:val="0"/>
          <w:snapToGrid w:val="0"/>
          <w:szCs w:val="22"/>
        </w:rPr>
        <w:t>B.</w:t>
      </w:r>
      <w:r w:rsidRPr="00981752">
        <w:rPr>
          <w:rFonts w:asciiTheme="majorBidi" w:hAnsiTheme="majorBidi" w:cstheme="majorBidi"/>
          <w:b/>
          <w:i w:val="0"/>
          <w:iCs w:val="0"/>
          <w:snapToGrid w:val="0"/>
          <w:szCs w:val="22"/>
        </w:rPr>
        <w:tab/>
        <w:t>Purpose</w:t>
      </w:r>
      <w:bookmarkEnd w:id="115"/>
    </w:p>
    <w:p w14:paraId="402B6346"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4.</w:t>
      </w:r>
      <w:r w:rsidRPr="00B7059E">
        <w:rPr>
          <w:rFonts w:asciiTheme="majorBidi" w:hAnsiTheme="majorBidi" w:cstheme="majorBidi"/>
          <w:snapToGrid w:val="0"/>
          <w:kern w:val="22"/>
          <w:lang w:val="en-GB" w:eastAsia="en-CA"/>
        </w:rPr>
        <w:tab/>
        <w:t>The Informal Advisory Group on Technical and Scientific Cooperation will provide advice and guidance to the Executive Secretary of the Convention on Biological Diversity</w:t>
      </w:r>
      <w:r>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 and </w:t>
      </w:r>
      <w:r>
        <w:rPr>
          <w:rFonts w:asciiTheme="majorBidi" w:hAnsiTheme="majorBidi" w:cstheme="majorBidi"/>
          <w:snapToGrid w:val="0"/>
          <w:kern w:val="22"/>
          <w:lang w:val="en-GB" w:eastAsia="en-CA"/>
        </w:rPr>
        <w:t xml:space="preserve">to </w:t>
      </w:r>
      <w:r w:rsidRPr="00B7059E">
        <w:rPr>
          <w:rFonts w:asciiTheme="majorBidi" w:hAnsiTheme="majorBidi" w:cstheme="majorBidi"/>
          <w:snapToGrid w:val="0"/>
          <w:kern w:val="22"/>
          <w:lang w:val="en-GB" w:eastAsia="en-CA"/>
        </w:rPr>
        <w:t>other relevant bodies and stakeholders</w:t>
      </w:r>
      <w:r>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 on ways and means to promote and facilitate technical and scientific cooperation, technology transfer, capacity</w:t>
      </w:r>
      <w:r>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building and development, knowledge management, and the clearing-house mechanism in support of the </w:t>
      </w:r>
      <w:r>
        <w:rPr>
          <w:rFonts w:asciiTheme="majorBidi" w:hAnsiTheme="majorBidi" w:cstheme="majorBidi"/>
          <w:snapToGrid w:val="0"/>
          <w:kern w:val="22"/>
          <w:lang w:val="en-GB" w:eastAsia="en-CA"/>
        </w:rPr>
        <w:t>Kunming-Montreal G</w:t>
      </w:r>
      <w:r w:rsidRPr="00B7059E">
        <w:rPr>
          <w:rFonts w:asciiTheme="majorBidi" w:hAnsiTheme="majorBidi" w:cstheme="majorBidi"/>
          <w:snapToGrid w:val="0"/>
          <w:kern w:val="22"/>
          <w:lang w:val="en-GB" w:eastAsia="en-CA"/>
        </w:rPr>
        <w:t xml:space="preserve">lobal </w:t>
      </w:r>
      <w:r>
        <w:rPr>
          <w:rFonts w:asciiTheme="majorBidi" w:hAnsiTheme="majorBidi" w:cstheme="majorBidi"/>
          <w:snapToGrid w:val="0"/>
          <w:kern w:val="22"/>
          <w:lang w:val="en-GB" w:eastAsia="en-CA"/>
        </w:rPr>
        <w:t>B</w:t>
      </w:r>
      <w:r w:rsidRPr="00B7059E">
        <w:rPr>
          <w:rFonts w:asciiTheme="majorBidi" w:hAnsiTheme="majorBidi" w:cstheme="majorBidi"/>
          <w:snapToGrid w:val="0"/>
          <w:kern w:val="22"/>
          <w:lang w:val="en-GB" w:eastAsia="en-CA"/>
        </w:rPr>
        <w:t xml:space="preserve">iodiversity </w:t>
      </w:r>
      <w:r>
        <w:rPr>
          <w:rFonts w:asciiTheme="majorBidi" w:hAnsiTheme="majorBidi" w:cstheme="majorBidi"/>
          <w:snapToGrid w:val="0"/>
          <w:kern w:val="22"/>
          <w:lang w:val="en-GB" w:eastAsia="en-CA"/>
        </w:rPr>
        <w:t>F</w:t>
      </w:r>
      <w:r w:rsidRPr="00B7059E">
        <w:rPr>
          <w:rFonts w:asciiTheme="majorBidi" w:hAnsiTheme="majorBidi" w:cstheme="majorBidi"/>
          <w:snapToGrid w:val="0"/>
          <w:kern w:val="22"/>
          <w:lang w:val="en-GB" w:eastAsia="en-CA"/>
        </w:rPr>
        <w:t>ramework,</w:t>
      </w:r>
      <w:r w:rsidRPr="00B7059E">
        <w:rPr>
          <w:rFonts w:asciiTheme="majorBidi" w:hAnsiTheme="majorBidi" w:cstheme="majorBidi"/>
          <w:lang w:val="en-GB"/>
        </w:rPr>
        <w:t xml:space="preserve"> </w:t>
      </w:r>
      <w:r w:rsidRPr="00B7059E">
        <w:rPr>
          <w:rFonts w:asciiTheme="majorBidi" w:hAnsiTheme="majorBidi" w:cstheme="majorBidi"/>
          <w:lang w:val="en-GB" w:eastAsia="en-CA"/>
        </w:rPr>
        <w:t xml:space="preserve">in line with the three objectives of the Convention. </w:t>
      </w:r>
      <w:r w:rsidRPr="00B7059E">
        <w:rPr>
          <w:rFonts w:asciiTheme="majorBidi" w:hAnsiTheme="majorBidi" w:cstheme="majorBidi"/>
          <w:snapToGrid w:val="0"/>
          <w:kern w:val="22"/>
          <w:lang w:val="en-GB" w:eastAsia="en-CA"/>
        </w:rPr>
        <w:t>In particular, the Informal Advisory Group will provide advice, guidance and recommendations on:</w:t>
      </w:r>
    </w:p>
    <w:p w14:paraId="5B8C4D98"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snapToGrid/>
        </w:rPr>
      </w:pPr>
      <w:bookmarkStart w:id="116" w:name="_Hlk15470906"/>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rPr>
        <w:t>Practical measures and approaches to promote technical and scientific cooperation for the effective implementation of the Convention;</w:t>
      </w:r>
    </w:p>
    <w:p w14:paraId="30899FE7"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lastRenderedPageBreak/>
        <w:t>(b)</w:t>
      </w:r>
      <w:r w:rsidRPr="00B7059E">
        <w:rPr>
          <w:rFonts w:asciiTheme="majorBidi" w:hAnsiTheme="majorBidi" w:cstheme="majorBidi"/>
          <w:snapToGrid/>
        </w:rPr>
        <w:tab/>
      </w:r>
      <w:r w:rsidRPr="00B7059E">
        <w:rPr>
          <w:rFonts w:asciiTheme="majorBidi" w:hAnsiTheme="majorBidi" w:cstheme="majorBidi"/>
        </w:rPr>
        <w:t>Measures to address the technological, technical and institutional capability gaps identified in particular by developing countries;</w:t>
      </w:r>
    </w:p>
    <w:p w14:paraId="2AC83909"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t>Measures to enhance collaboration with other relevant international agreements, processes and organizations with respect to technical and scientific cooperation and technology transfer initiatives, in particular for developing country Parties;</w:t>
      </w:r>
    </w:p>
    <w:p w14:paraId="5E40D91F"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(d)</w:t>
      </w:r>
      <w:r w:rsidRPr="00B7059E">
        <w:rPr>
          <w:rFonts w:asciiTheme="majorBidi" w:hAnsiTheme="majorBidi" w:cstheme="majorBidi"/>
        </w:rPr>
        <w:tab/>
        <w:t>Strategic approaches to addressing the needs and priorities of Parties through programmatic implementation of relevant technical and scientific cooperation initiatives established under the Convention;</w:t>
      </w:r>
    </w:p>
    <w:p w14:paraId="78D665B5"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(e)</w:t>
      </w:r>
      <w:r w:rsidRPr="00B7059E">
        <w:rPr>
          <w:rFonts w:asciiTheme="majorBidi" w:hAnsiTheme="majorBidi" w:cstheme="majorBidi"/>
        </w:rPr>
        <w:tab/>
        <w:t xml:space="preserve">Monitoring the </w:t>
      </w:r>
      <w:r w:rsidRPr="003130BA">
        <w:rPr>
          <w:rFonts w:asciiTheme="majorBidi" w:hAnsiTheme="majorBidi" w:cstheme="majorBidi"/>
        </w:rPr>
        <w:t>implementation of strategies and mechanisms on technical</w:t>
      </w:r>
      <w:r w:rsidRPr="00B7059E">
        <w:rPr>
          <w:rFonts w:asciiTheme="majorBidi" w:hAnsiTheme="majorBidi" w:cstheme="majorBidi"/>
        </w:rPr>
        <w:t xml:space="preserve"> and scientific cooperation, capacity</w:t>
      </w:r>
      <w:r>
        <w:rPr>
          <w:rFonts w:asciiTheme="majorBidi" w:hAnsiTheme="majorBidi" w:cstheme="majorBidi"/>
        </w:rPr>
        <w:t>-</w:t>
      </w:r>
      <w:r w:rsidRPr="00B7059E">
        <w:rPr>
          <w:rFonts w:asciiTheme="majorBidi" w:hAnsiTheme="majorBidi" w:cstheme="majorBidi"/>
        </w:rPr>
        <w:t>building and development</w:t>
      </w:r>
      <w:r>
        <w:rPr>
          <w:rFonts w:asciiTheme="majorBidi" w:hAnsiTheme="majorBidi" w:cstheme="majorBidi"/>
        </w:rPr>
        <w:t>,</w:t>
      </w:r>
      <w:r w:rsidRPr="00B7059E">
        <w:rPr>
          <w:rFonts w:asciiTheme="majorBidi" w:hAnsiTheme="majorBidi" w:cstheme="majorBidi"/>
        </w:rPr>
        <w:t xml:space="preserve"> and knowledge management in support of the </w:t>
      </w:r>
      <w:r>
        <w:rPr>
          <w:rFonts w:asciiTheme="majorBidi" w:hAnsiTheme="majorBidi" w:cstheme="majorBidi"/>
        </w:rPr>
        <w:t>Kunming-Montreal G</w:t>
      </w:r>
      <w:r w:rsidRPr="00B7059E">
        <w:rPr>
          <w:rFonts w:asciiTheme="majorBidi" w:hAnsiTheme="majorBidi" w:cstheme="majorBidi"/>
        </w:rPr>
        <w:t xml:space="preserve">lobal </w:t>
      </w:r>
      <w:r>
        <w:rPr>
          <w:rFonts w:asciiTheme="majorBidi" w:hAnsiTheme="majorBidi" w:cstheme="majorBidi"/>
        </w:rPr>
        <w:t>B</w:t>
      </w:r>
      <w:r w:rsidRPr="00B7059E">
        <w:rPr>
          <w:rFonts w:asciiTheme="majorBidi" w:hAnsiTheme="majorBidi" w:cstheme="majorBidi"/>
        </w:rPr>
        <w:t xml:space="preserve">iodiversity </w:t>
      </w:r>
      <w:r>
        <w:rPr>
          <w:rFonts w:asciiTheme="majorBidi" w:hAnsiTheme="majorBidi" w:cstheme="majorBidi"/>
        </w:rPr>
        <w:t>F</w:t>
      </w:r>
      <w:r w:rsidRPr="00B7059E">
        <w:rPr>
          <w:rFonts w:asciiTheme="majorBidi" w:hAnsiTheme="majorBidi" w:cstheme="majorBidi"/>
        </w:rPr>
        <w:t>ramework to ensure coherence and consistency;</w:t>
      </w:r>
    </w:p>
    <w:p w14:paraId="5408BCBA"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(f)</w:t>
      </w:r>
      <w:r w:rsidRPr="00B7059E">
        <w:rPr>
          <w:rFonts w:asciiTheme="majorBidi" w:hAnsiTheme="majorBidi" w:cstheme="majorBidi"/>
        </w:rPr>
        <w:tab/>
        <w:t>Development and implementation of tools and mechanisms for promoting and facilitating technical and scientific cooperation, capacity</w:t>
      </w:r>
      <w:r>
        <w:rPr>
          <w:rFonts w:asciiTheme="majorBidi" w:hAnsiTheme="majorBidi" w:cstheme="majorBidi"/>
        </w:rPr>
        <w:t>-</w:t>
      </w:r>
      <w:r w:rsidRPr="00B7059E">
        <w:rPr>
          <w:rFonts w:asciiTheme="majorBidi" w:hAnsiTheme="majorBidi" w:cstheme="majorBidi"/>
        </w:rPr>
        <w:t>building and development</w:t>
      </w:r>
      <w:r>
        <w:rPr>
          <w:rFonts w:asciiTheme="majorBidi" w:hAnsiTheme="majorBidi" w:cstheme="majorBidi"/>
        </w:rPr>
        <w:t>,</w:t>
      </w:r>
      <w:r w:rsidRPr="00B7059E">
        <w:rPr>
          <w:rFonts w:asciiTheme="majorBidi" w:hAnsiTheme="majorBidi" w:cstheme="majorBidi"/>
        </w:rPr>
        <w:t xml:space="preserve"> and knowledge management;</w:t>
      </w:r>
    </w:p>
    <w:p w14:paraId="6E3CFBAB"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(g)</w:t>
      </w:r>
      <w:r w:rsidRPr="00B7059E">
        <w:rPr>
          <w:rFonts w:asciiTheme="majorBidi" w:hAnsiTheme="majorBidi" w:cstheme="majorBidi"/>
        </w:rPr>
        <w:tab/>
        <w:t>Matters relating to the clearing-house mechanism and, in particular, on how to improve its effectiveness as a mechanism for promoting and facilitating technical and scientific cooperation and exchange of information;</w:t>
      </w:r>
    </w:p>
    <w:p w14:paraId="348FAFA1"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(h)</w:t>
      </w:r>
      <w:r w:rsidRPr="00B7059E">
        <w:rPr>
          <w:rFonts w:asciiTheme="majorBidi" w:hAnsiTheme="majorBidi" w:cstheme="majorBidi"/>
        </w:rPr>
        <w:tab/>
        <w:t>Potential opportunities for mobilizing technical and financial resources to promote and sustain technical and scientific cooperation activities on a long-term and predictable basis;</w:t>
      </w:r>
      <w:bookmarkEnd w:id="116"/>
    </w:p>
    <w:p w14:paraId="07518B88"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(i)</w:t>
      </w:r>
      <w:r w:rsidRPr="00B7059E">
        <w:rPr>
          <w:rFonts w:asciiTheme="majorBidi" w:hAnsiTheme="majorBidi" w:cstheme="majorBidi"/>
        </w:rPr>
        <w:tab/>
        <w:t>Identification, mapping and promotion of existing collaboration activities, in the context of Article 18 of the Convention;</w:t>
      </w:r>
    </w:p>
    <w:p w14:paraId="5E62A44A"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(j)</w:t>
      </w:r>
      <w:r w:rsidRPr="00B7059E">
        <w:rPr>
          <w:rFonts w:asciiTheme="majorBidi" w:hAnsiTheme="majorBidi" w:cstheme="majorBidi"/>
        </w:rPr>
        <w:tab/>
        <w:t>Development of indicators for capacity</w:t>
      </w:r>
      <w:r>
        <w:rPr>
          <w:rFonts w:asciiTheme="majorBidi" w:hAnsiTheme="majorBidi" w:cstheme="majorBidi"/>
        </w:rPr>
        <w:t>-</w:t>
      </w:r>
      <w:r w:rsidRPr="00B7059E">
        <w:rPr>
          <w:rFonts w:asciiTheme="majorBidi" w:hAnsiTheme="majorBidi" w:cstheme="majorBidi"/>
        </w:rPr>
        <w:t xml:space="preserve">building and development and technology transfer related to monitoring the </w:t>
      </w:r>
      <w:r>
        <w:rPr>
          <w:rFonts w:asciiTheme="majorBidi" w:hAnsiTheme="majorBidi" w:cstheme="majorBidi"/>
        </w:rPr>
        <w:t>Kunming-Montreal</w:t>
      </w:r>
      <w:r w:rsidRPr="00B7059E">
        <w:rPr>
          <w:rFonts w:asciiTheme="majorBidi" w:hAnsiTheme="majorBidi" w:cstheme="majorBidi"/>
        </w:rPr>
        <w:t xml:space="preserve"> </w:t>
      </w:r>
      <w:r>
        <w:rPr>
          <w:rFonts w:asciiTheme="majorBidi" w:hAnsiTheme="majorBidi" w:cstheme="majorBidi"/>
        </w:rPr>
        <w:t>G</w:t>
      </w:r>
      <w:r w:rsidRPr="00B7059E">
        <w:rPr>
          <w:rFonts w:asciiTheme="majorBidi" w:hAnsiTheme="majorBidi" w:cstheme="majorBidi"/>
        </w:rPr>
        <w:t xml:space="preserve">lobal </w:t>
      </w:r>
      <w:r>
        <w:rPr>
          <w:rFonts w:asciiTheme="majorBidi" w:hAnsiTheme="majorBidi" w:cstheme="majorBidi"/>
        </w:rPr>
        <w:t>B</w:t>
      </w:r>
      <w:r w:rsidRPr="00B7059E">
        <w:rPr>
          <w:rFonts w:asciiTheme="majorBidi" w:hAnsiTheme="majorBidi" w:cstheme="majorBidi"/>
        </w:rPr>
        <w:t xml:space="preserve">iodiversity </w:t>
      </w:r>
      <w:r>
        <w:rPr>
          <w:rFonts w:asciiTheme="majorBidi" w:hAnsiTheme="majorBidi" w:cstheme="majorBidi"/>
        </w:rPr>
        <w:t>F</w:t>
      </w:r>
      <w:r w:rsidRPr="00B7059E">
        <w:rPr>
          <w:rFonts w:asciiTheme="majorBidi" w:hAnsiTheme="majorBidi" w:cstheme="majorBidi"/>
        </w:rPr>
        <w:t>ramework at the request of the Ad Hoc Technical Expert Group on Indicators</w:t>
      </w:r>
      <w:r>
        <w:rPr>
          <w:rFonts w:asciiTheme="majorBidi" w:hAnsiTheme="majorBidi" w:cstheme="majorBidi"/>
        </w:rPr>
        <w:t>;</w:t>
      </w:r>
    </w:p>
    <w:p w14:paraId="09459A74"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5.</w:t>
      </w:r>
      <w:r w:rsidRPr="00B7059E">
        <w:rPr>
          <w:rFonts w:asciiTheme="majorBidi" w:hAnsiTheme="majorBidi" w:cstheme="majorBidi"/>
          <w:snapToGrid w:val="0"/>
          <w:kern w:val="22"/>
          <w:lang w:val="en-GB" w:eastAsia="en-CA"/>
        </w:rPr>
        <w:tab/>
        <w:t xml:space="preserve">The Secretariat of the Convention on Biological Diversity will support the work of the Informal Advisory Group, including through the provision of </w:t>
      </w:r>
      <w:r>
        <w:rPr>
          <w:rFonts w:asciiTheme="majorBidi" w:hAnsiTheme="majorBidi" w:cstheme="majorBidi"/>
          <w:snapToGrid w:val="0"/>
          <w:kern w:val="22"/>
          <w:lang w:val="en-GB" w:eastAsia="en-CA"/>
        </w:rPr>
        <w:t xml:space="preserve">the </w:t>
      </w:r>
      <w:r w:rsidRPr="00B7059E">
        <w:rPr>
          <w:rFonts w:asciiTheme="majorBidi" w:hAnsiTheme="majorBidi" w:cstheme="majorBidi"/>
          <w:snapToGrid w:val="0"/>
          <w:kern w:val="22"/>
          <w:lang w:val="en-GB" w:eastAsia="en-CA"/>
        </w:rPr>
        <w:t>necessary logistical and secretarial support.</w:t>
      </w:r>
    </w:p>
    <w:p w14:paraId="4E431960" w14:textId="77777777" w:rsidR="008C379F" w:rsidRPr="00981752" w:rsidRDefault="008C379F" w:rsidP="00606510">
      <w:pPr>
        <w:pStyle w:val="heading2notforTOC"/>
        <w:outlineLvl w:val="9"/>
        <w:rPr>
          <w:rFonts w:asciiTheme="majorBidi" w:hAnsiTheme="majorBidi" w:cstheme="majorBidi"/>
          <w:b/>
          <w:i w:val="0"/>
          <w:iCs w:val="0"/>
          <w:snapToGrid w:val="0"/>
          <w:szCs w:val="22"/>
        </w:rPr>
      </w:pPr>
      <w:bookmarkStart w:id="117" w:name="_Toc57214916"/>
      <w:r w:rsidRPr="00981752">
        <w:rPr>
          <w:rFonts w:asciiTheme="majorBidi" w:hAnsiTheme="majorBidi" w:cstheme="majorBidi"/>
          <w:b/>
          <w:i w:val="0"/>
          <w:iCs w:val="0"/>
          <w:snapToGrid w:val="0"/>
          <w:szCs w:val="22"/>
        </w:rPr>
        <w:t>C.</w:t>
      </w:r>
      <w:r w:rsidRPr="00981752">
        <w:rPr>
          <w:rFonts w:asciiTheme="majorBidi" w:hAnsiTheme="majorBidi" w:cstheme="majorBidi"/>
          <w:b/>
          <w:i w:val="0"/>
          <w:iCs w:val="0"/>
          <w:snapToGrid w:val="0"/>
          <w:szCs w:val="22"/>
        </w:rPr>
        <w:tab/>
        <w:t>Membership</w:t>
      </w:r>
      <w:bookmarkEnd w:id="117"/>
    </w:p>
    <w:p w14:paraId="7F314B6B"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6.</w:t>
      </w:r>
      <w:r w:rsidRPr="00B7059E">
        <w:rPr>
          <w:rFonts w:asciiTheme="majorBidi" w:hAnsiTheme="majorBidi" w:cstheme="majorBidi"/>
          <w:snapToGrid w:val="0"/>
          <w:kern w:val="22"/>
          <w:lang w:val="en-GB" w:eastAsia="en-CA"/>
        </w:rPr>
        <w:tab/>
        <w:t xml:space="preserve">The Informal Advisory Group will be composed of experts nominated by Parties, with due regard to equitable regional representation and gender balance, </w:t>
      </w:r>
      <w:r>
        <w:rPr>
          <w:rFonts w:asciiTheme="majorBidi" w:hAnsiTheme="majorBidi" w:cstheme="majorBidi"/>
          <w:snapToGrid w:val="0"/>
          <w:kern w:val="22"/>
          <w:lang w:val="en-GB" w:eastAsia="en-CA"/>
        </w:rPr>
        <w:t xml:space="preserve">and by </w:t>
      </w:r>
      <w:r w:rsidRPr="00B7059E">
        <w:rPr>
          <w:rFonts w:asciiTheme="majorBidi" w:hAnsiTheme="majorBidi" w:cstheme="majorBidi"/>
          <w:snapToGrid w:val="0"/>
          <w:kern w:val="22"/>
          <w:lang w:val="en-GB" w:eastAsia="en-CA"/>
        </w:rPr>
        <w:t>indigenous peoples and local communities</w:t>
      </w:r>
      <w:r w:rsidRPr="00B7059E">
        <w:rPr>
          <w:rFonts w:asciiTheme="majorBidi" w:hAnsiTheme="majorBidi" w:cstheme="majorBidi"/>
          <w:lang w:val="en-GB" w:eastAsia="en-CA"/>
        </w:rPr>
        <w:t>, the scientific community,</w:t>
      </w:r>
      <w:r w:rsidRPr="00B7059E">
        <w:rPr>
          <w:rFonts w:asciiTheme="majorBidi" w:hAnsiTheme="majorBidi" w:cstheme="majorBidi"/>
          <w:snapToGrid w:val="0"/>
          <w:kern w:val="22"/>
          <w:lang w:val="en-GB" w:eastAsia="en-CA"/>
        </w:rPr>
        <w:t xml:space="preserve"> and relevant organizations including those representing women and youth. The number of experts from organizations will not exceed the number of experts nominated by Parties. </w:t>
      </w:r>
      <w:r w:rsidRPr="00B7059E">
        <w:rPr>
          <w:rFonts w:asciiTheme="majorBidi" w:hAnsiTheme="majorBidi" w:cstheme="majorBidi"/>
          <w:lang w:val="en-GB" w:eastAsia="en-CA"/>
        </w:rPr>
        <w:t>The membership will reflect</w:t>
      </w:r>
      <w:r w:rsidRPr="00B7059E">
        <w:rPr>
          <w:rFonts w:asciiTheme="majorBidi" w:hAnsiTheme="majorBidi" w:cstheme="majorBidi"/>
          <w:color w:val="FF0000"/>
          <w:lang w:val="en-GB" w:eastAsia="en-CA"/>
        </w:rPr>
        <w:t xml:space="preserve"> </w:t>
      </w:r>
      <w:r w:rsidRPr="00B7059E">
        <w:rPr>
          <w:rFonts w:asciiTheme="majorBidi" w:hAnsiTheme="majorBidi" w:cstheme="majorBidi"/>
          <w:lang w:val="en-GB" w:eastAsia="en-CA"/>
        </w:rPr>
        <w:t xml:space="preserve">a balanced representation of experts on matters regarding the three objectives of the Convention. </w:t>
      </w:r>
      <w:r w:rsidRPr="00B7059E">
        <w:rPr>
          <w:rFonts w:asciiTheme="majorBidi" w:hAnsiTheme="majorBidi" w:cstheme="majorBidi"/>
          <w:snapToGrid w:val="0"/>
          <w:kern w:val="22"/>
          <w:lang w:val="en-GB" w:eastAsia="en-CA"/>
        </w:rPr>
        <w:t>Members will be selected on the basis of the following criteria, as evidenced in their curriculum vitae:</w:t>
      </w:r>
    </w:p>
    <w:p w14:paraId="21273605"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snapToGrid/>
        </w:rPr>
      </w:pPr>
      <w:r w:rsidRPr="00B7059E">
        <w:rPr>
          <w:rFonts w:asciiTheme="majorBidi" w:hAnsiTheme="majorBidi" w:cstheme="majorBidi"/>
          <w:snapToGrid/>
        </w:rPr>
        <w:t>(a)</w:t>
      </w:r>
      <w:r w:rsidRPr="00B7059E">
        <w:rPr>
          <w:rFonts w:asciiTheme="majorBidi" w:hAnsiTheme="majorBidi" w:cstheme="majorBidi"/>
          <w:snapToGrid/>
        </w:rPr>
        <w:tab/>
      </w:r>
      <w:r w:rsidRPr="00B7059E">
        <w:rPr>
          <w:rFonts w:asciiTheme="majorBidi" w:hAnsiTheme="majorBidi" w:cstheme="majorBidi"/>
          <w:lang w:eastAsia="en-CA"/>
        </w:rPr>
        <w:t xml:space="preserve">At </w:t>
      </w:r>
      <w:r w:rsidRPr="00B7059E">
        <w:rPr>
          <w:rFonts w:asciiTheme="majorBidi" w:hAnsiTheme="majorBidi" w:cstheme="majorBidi"/>
        </w:rPr>
        <w:t>least five years of working experience on technical and scientific issues related to the implementation of the Convention on Biological Diversity and/or other relevant international agreements and processes;</w:t>
      </w:r>
    </w:p>
    <w:p w14:paraId="785011E3"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(b)</w:t>
      </w:r>
      <w:r w:rsidRPr="00B7059E">
        <w:rPr>
          <w:rFonts w:asciiTheme="majorBidi" w:hAnsiTheme="majorBidi" w:cstheme="majorBidi"/>
        </w:rPr>
        <w:tab/>
        <w:t>Expertise relevant to technical and scientific cooperation, capacity</w:t>
      </w:r>
      <w:r>
        <w:rPr>
          <w:rFonts w:asciiTheme="majorBidi" w:hAnsiTheme="majorBidi" w:cstheme="majorBidi"/>
        </w:rPr>
        <w:t>-</w:t>
      </w:r>
      <w:r w:rsidRPr="00B7059E">
        <w:rPr>
          <w:rFonts w:asciiTheme="majorBidi" w:hAnsiTheme="majorBidi" w:cstheme="majorBidi"/>
        </w:rPr>
        <w:t>building and development, and knowledge management and the clearing-house mechanism or similar online information-sharing platforms;</w:t>
      </w:r>
    </w:p>
    <w:p w14:paraId="32CB3AE2" w14:textId="77777777" w:rsidR="008C379F" w:rsidRPr="00B7059E" w:rsidRDefault="008C379F" w:rsidP="00A30041">
      <w:pPr>
        <w:pStyle w:val="Para1"/>
        <w:numPr>
          <w:ilvl w:val="0"/>
          <w:numId w:val="0"/>
        </w:numPr>
        <w:suppressLineNumbers/>
        <w:tabs>
          <w:tab w:val="left" w:pos="720"/>
        </w:tabs>
        <w:suppressAutoHyphens/>
        <w:kinsoku w:val="0"/>
        <w:adjustRightInd w:val="0"/>
        <w:ind w:firstLine="720"/>
        <w:rPr>
          <w:rFonts w:asciiTheme="majorBidi" w:hAnsiTheme="majorBidi" w:cstheme="majorBidi"/>
        </w:rPr>
      </w:pPr>
      <w:r w:rsidRPr="00B7059E">
        <w:rPr>
          <w:rFonts w:asciiTheme="majorBidi" w:hAnsiTheme="majorBidi" w:cstheme="majorBidi"/>
        </w:rPr>
        <w:t>(c)</w:t>
      </w:r>
      <w:r w:rsidRPr="00B7059E">
        <w:rPr>
          <w:rFonts w:asciiTheme="majorBidi" w:hAnsiTheme="majorBidi" w:cstheme="majorBidi"/>
        </w:rPr>
        <w:tab/>
        <w:t>Demonstrated</w:t>
      </w:r>
      <w:r w:rsidRPr="00B7059E">
        <w:rPr>
          <w:rFonts w:asciiTheme="majorBidi" w:hAnsiTheme="majorBidi" w:cstheme="majorBidi"/>
          <w:lang w:eastAsia="en-CA"/>
        </w:rPr>
        <w:t xml:space="preserve"> experience with regional or international cooperation processes and programmes related to biodiversity</w:t>
      </w:r>
      <w:r w:rsidRPr="00B7059E">
        <w:rPr>
          <w:rFonts w:asciiTheme="majorBidi" w:hAnsiTheme="majorBidi" w:cstheme="majorBidi"/>
        </w:rPr>
        <w:t xml:space="preserve"> </w:t>
      </w:r>
      <w:r w:rsidRPr="00B7059E">
        <w:rPr>
          <w:rFonts w:asciiTheme="majorBidi" w:hAnsiTheme="majorBidi" w:cstheme="majorBidi"/>
          <w:lang w:eastAsia="en-CA"/>
        </w:rPr>
        <w:t>and/or the environment.</w:t>
      </w:r>
    </w:p>
    <w:p w14:paraId="399ECF09"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7.</w:t>
      </w:r>
      <w:r w:rsidRPr="00B7059E">
        <w:rPr>
          <w:rFonts w:asciiTheme="majorBidi" w:hAnsiTheme="majorBidi" w:cstheme="majorBidi"/>
          <w:snapToGrid w:val="0"/>
          <w:kern w:val="22"/>
          <w:lang w:val="en-GB" w:eastAsia="en-CA"/>
        </w:rPr>
        <w:tab/>
        <w:t>The co-chairs of the Consortium of Scientific Partners on Biodiversity will be invited as ex officio members.</w:t>
      </w:r>
    </w:p>
    <w:p w14:paraId="1C796B6E"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lastRenderedPageBreak/>
        <w:t>8.</w:t>
      </w:r>
      <w:r w:rsidRPr="00B7059E">
        <w:rPr>
          <w:rFonts w:asciiTheme="majorBidi" w:hAnsiTheme="majorBidi" w:cstheme="majorBidi"/>
          <w:snapToGrid w:val="0"/>
          <w:kern w:val="22"/>
          <w:lang w:val="en-GB" w:eastAsia="en-CA"/>
        </w:rPr>
        <w:tab/>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791B28A9"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9</w:t>
      </w:r>
      <w:r w:rsidRPr="00B7059E">
        <w:rPr>
          <w:rFonts w:asciiTheme="majorBidi" w:hAnsiTheme="majorBidi" w:cstheme="majorBidi"/>
          <w:snapToGrid w:val="0"/>
          <w:kern w:val="22"/>
          <w:lang w:val="en-GB" w:eastAsia="en-CA"/>
        </w:rPr>
        <w:tab/>
        <w:t>Members of the Informal Advisory Group will serve for a term of two years, with a possibility of renewal for one additional two</w:t>
      </w:r>
      <w:r w:rsidRPr="00B7059E">
        <w:rPr>
          <w:rFonts w:asciiTheme="majorBidi" w:hAnsiTheme="majorBidi" w:cstheme="majorBidi"/>
          <w:lang w:val="en-GB" w:eastAsia="en-CA"/>
        </w:rPr>
        <w:t>-</w:t>
      </w:r>
      <w:r w:rsidRPr="00B7059E">
        <w:rPr>
          <w:rFonts w:asciiTheme="majorBidi" w:hAnsiTheme="majorBidi" w:cstheme="majorBidi"/>
          <w:snapToGrid w:val="0"/>
          <w:kern w:val="22"/>
          <w:lang w:val="en-GB" w:eastAsia="en-CA"/>
        </w:rPr>
        <w:t>year term.</w:t>
      </w:r>
    </w:p>
    <w:p w14:paraId="21F3C319" w14:textId="77777777" w:rsidR="008C379F" w:rsidRPr="00981752" w:rsidRDefault="008C379F" w:rsidP="00606510">
      <w:pPr>
        <w:pStyle w:val="heading2notforTOC"/>
        <w:outlineLvl w:val="9"/>
        <w:rPr>
          <w:rFonts w:asciiTheme="majorBidi" w:hAnsiTheme="majorBidi" w:cstheme="majorBidi"/>
          <w:b/>
          <w:i w:val="0"/>
          <w:iCs w:val="0"/>
          <w:snapToGrid w:val="0"/>
          <w:szCs w:val="22"/>
        </w:rPr>
      </w:pPr>
      <w:bookmarkStart w:id="118" w:name="_Toc57214917"/>
      <w:r w:rsidRPr="00981752">
        <w:rPr>
          <w:rFonts w:asciiTheme="majorBidi" w:hAnsiTheme="majorBidi" w:cstheme="majorBidi"/>
          <w:b/>
          <w:i w:val="0"/>
          <w:iCs w:val="0"/>
          <w:snapToGrid w:val="0"/>
          <w:szCs w:val="22"/>
        </w:rPr>
        <w:t>D.</w:t>
      </w:r>
      <w:r w:rsidRPr="00981752">
        <w:rPr>
          <w:rFonts w:asciiTheme="majorBidi" w:hAnsiTheme="majorBidi" w:cstheme="majorBidi"/>
          <w:b/>
          <w:i w:val="0"/>
          <w:iCs w:val="0"/>
          <w:snapToGrid w:val="0"/>
          <w:szCs w:val="22"/>
        </w:rPr>
        <w:tab/>
        <w:t>Modus operandi</w:t>
      </w:r>
      <w:bookmarkEnd w:id="118"/>
    </w:p>
    <w:p w14:paraId="1F90588C"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10.</w:t>
      </w:r>
      <w:r w:rsidRPr="00B7059E">
        <w:rPr>
          <w:rFonts w:asciiTheme="majorBidi" w:hAnsiTheme="majorBidi" w:cstheme="majorBidi"/>
          <w:snapToGrid w:val="0"/>
          <w:kern w:val="22"/>
          <w:lang w:val="en-GB" w:eastAsia="en-CA"/>
        </w:rPr>
        <w:tab/>
        <w:t xml:space="preserve">The Informal Advisory Group will meet at least once per year, subject to the availability </w:t>
      </w:r>
      <w:r w:rsidRPr="00F712D6">
        <w:rPr>
          <w:rFonts w:asciiTheme="majorBidi" w:hAnsiTheme="majorBidi" w:cstheme="majorBidi"/>
          <w:snapToGrid w:val="0"/>
          <w:kern w:val="22"/>
          <w:lang w:val="en-GB" w:eastAsia="en-CA"/>
        </w:rPr>
        <w:t>of resources,</w:t>
      </w:r>
      <w:r w:rsidRPr="00B7059E">
        <w:rPr>
          <w:rFonts w:asciiTheme="majorBidi" w:hAnsiTheme="majorBidi" w:cstheme="majorBidi"/>
          <w:snapToGrid w:val="0"/>
          <w:kern w:val="22"/>
          <w:lang w:val="en-GB" w:eastAsia="en-CA"/>
        </w:rPr>
        <w:t xml:space="preserve"> wherever possible in the margins of other meetings. The frequency of meetings may be adjusted by the members as the need arises. The</w:t>
      </w:r>
      <w:r>
        <w:rPr>
          <w:rFonts w:asciiTheme="majorBidi" w:hAnsiTheme="majorBidi" w:cstheme="majorBidi"/>
          <w:snapToGrid w:val="0"/>
          <w:kern w:val="22"/>
          <w:lang w:val="en-GB" w:eastAsia="en-CA"/>
        </w:rPr>
        <w:t xml:space="preserve"> Informal</w:t>
      </w:r>
      <w:r w:rsidRPr="00B7059E">
        <w:rPr>
          <w:rFonts w:asciiTheme="majorBidi" w:hAnsiTheme="majorBidi" w:cstheme="majorBidi"/>
          <w:snapToGrid w:val="0"/>
          <w:kern w:val="22"/>
          <w:lang w:val="en-GB" w:eastAsia="en-CA"/>
        </w:rPr>
        <w:t xml:space="preserve"> Advisory Group may work face-to-face or remotely via electronic means, as appropriate.</w:t>
      </w:r>
    </w:p>
    <w:p w14:paraId="7FA1AAC1" w14:textId="77777777" w:rsidR="008C379F" w:rsidRPr="00B7059E" w:rsidRDefault="008C379F" w:rsidP="00B64EEF">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lang w:val="en-GB"/>
        </w:rPr>
      </w:pPr>
      <w:r w:rsidRPr="00B7059E">
        <w:rPr>
          <w:rFonts w:asciiTheme="majorBidi" w:hAnsiTheme="majorBidi" w:cstheme="majorBidi"/>
          <w:snapToGrid w:val="0"/>
          <w:kern w:val="22"/>
          <w:lang w:val="en-GB" w:eastAsia="en-CA"/>
        </w:rPr>
        <w:t>11.</w:t>
      </w:r>
      <w:r w:rsidRPr="00B7059E">
        <w:rPr>
          <w:rFonts w:asciiTheme="majorBidi" w:hAnsiTheme="majorBidi" w:cstheme="majorBidi"/>
          <w:snapToGrid w:val="0"/>
          <w:kern w:val="22"/>
          <w:lang w:val="en-GB" w:eastAsia="en-CA"/>
        </w:rPr>
        <w:tab/>
        <w:t>The Informal Advisory Group may, as appropriate, establish subcommittees to support it in addressing specific issues or thematic areas and co-opt relevant experts to assist.</w:t>
      </w:r>
    </w:p>
    <w:p w14:paraId="78209B48"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12.</w:t>
      </w:r>
      <w:r w:rsidRPr="00B7059E">
        <w:rPr>
          <w:rFonts w:asciiTheme="majorBidi" w:hAnsiTheme="majorBidi" w:cstheme="majorBidi"/>
          <w:snapToGrid w:val="0"/>
          <w:kern w:val="22"/>
          <w:lang w:val="en-GB" w:eastAsia="en-CA"/>
        </w:rPr>
        <w:tab/>
        <w:t xml:space="preserve">The Informal Advisory Group members shall not receive any honorarium, fee or other remuneration from the United Nations. However, costs </w:t>
      </w:r>
      <w:r w:rsidRPr="00B320FB">
        <w:rPr>
          <w:rFonts w:asciiTheme="majorBidi" w:hAnsiTheme="majorBidi" w:cstheme="majorBidi"/>
          <w:snapToGrid w:val="0"/>
          <w:kern w:val="22"/>
          <w:lang w:val="en-GB" w:eastAsia="en-CA"/>
        </w:rPr>
        <w:t>for</w:t>
      </w:r>
      <w:r w:rsidRPr="00B7059E">
        <w:rPr>
          <w:rFonts w:asciiTheme="majorBidi" w:hAnsiTheme="majorBidi" w:cstheme="majorBidi"/>
          <w:snapToGrid w:val="0"/>
          <w:kern w:val="22"/>
          <w:lang w:val="en-GB" w:eastAsia="en-CA"/>
        </w:rPr>
        <w:t xml:space="preserve"> the participation of members </w:t>
      </w:r>
      <w:r>
        <w:rPr>
          <w:rFonts w:asciiTheme="majorBidi" w:hAnsiTheme="majorBidi" w:cstheme="majorBidi"/>
          <w:snapToGrid w:val="0"/>
          <w:kern w:val="22"/>
          <w:lang w:val="en-GB" w:eastAsia="en-CA"/>
        </w:rPr>
        <w:t xml:space="preserve">of the Informal </w:t>
      </w:r>
      <w:r w:rsidRPr="00B7059E">
        <w:rPr>
          <w:rFonts w:asciiTheme="majorBidi" w:hAnsiTheme="majorBidi" w:cstheme="majorBidi"/>
          <w:snapToGrid w:val="0"/>
          <w:kern w:val="22"/>
          <w:lang w:val="en-GB" w:eastAsia="en-CA"/>
        </w:rPr>
        <w:t>Advisory Group nominated by developing country Parties and Parties with economies in transition will be covered, in line with the rules and regulations of the United Nations.</w:t>
      </w:r>
    </w:p>
    <w:p w14:paraId="15F20C06"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lang w:val="en-GB" w:eastAsia="en-CA"/>
        </w:rPr>
      </w:pPr>
      <w:r w:rsidRPr="00B7059E">
        <w:rPr>
          <w:rFonts w:asciiTheme="majorBidi" w:hAnsiTheme="majorBidi" w:cstheme="majorBidi"/>
          <w:snapToGrid w:val="0"/>
          <w:spacing w:val="-2"/>
          <w:kern w:val="22"/>
          <w:lang w:val="en-GB" w:eastAsia="en-CA"/>
        </w:rPr>
        <w:t>13.</w:t>
      </w:r>
      <w:r w:rsidRPr="00B7059E">
        <w:rPr>
          <w:rFonts w:asciiTheme="majorBidi" w:hAnsiTheme="majorBidi" w:cstheme="majorBidi"/>
          <w:snapToGrid w:val="0"/>
          <w:spacing w:val="-2"/>
          <w:kern w:val="22"/>
          <w:lang w:val="en-GB" w:eastAsia="en-CA"/>
        </w:rPr>
        <w:tab/>
        <w:t>The Informal Advisory Group will elect two co-chairs and a rapporteur to serve for a two-year period.</w:t>
      </w:r>
    </w:p>
    <w:p w14:paraId="01C40731" w14:textId="77777777" w:rsidR="008C379F" w:rsidRPr="00B7059E" w:rsidRDefault="008C379F"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lang w:val="en-GB"/>
        </w:rPr>
      </w:pPr>
      <w:r w:rsidRPr="00B7059E">
        <w:rPr>
          <w:rFonts w:asciiTheme="majorBidi" w:hAnsiTheme="majorBidi" w:cstheme="majorBidi"/>
          <w:snapToGrid w:val="0"/>
          <w:kern w:val="22"/>
          <w:lang w:val="en-GB"/>
        </w:rPr>
        <w:t>14.</w:t>
      </w:r>
      <w:r w:rsidRPr="00B7059E">
        <w:rPr>
          <w:rFonts w:asciiTheme="majorBidi" w:hAnsiTheme="majorBidi" w:cstheme="majorBidi"/>
          <w:snapToGrid w:val="0"/>
          <w:kern w:val="22"/>
          <w:lang w:val="en-GB"/>
        </w:rPr>
        <w:tab/>
      </w:r>
      <w:r w:rsidRPr="00B7059E">
        <w:rPr>
          <w:rFonts w:asciiTheme="majorBidi" w:hAnsiTheme="majorBidi" w:cstheme="majorBidi"/>
          <w:snapToGrid w:val="0"/>
          <w:kern w:val="22"/>
          <w:lang w:val="en-GB" w:eastAsia="en-CA"/>
        </w:rPr>
        <w:t>The working language of the Informal Advisory Group will be English.</w:t>
      </w:r>
    </w:p>
    <w:p w14:paraId="1457E25F" w14:textId="77777777" w:rsidR="0000159D" w:rsidRDefault="0000159D" w:rsidP="00541EA7">
      <w:pPr>
        <w:jc w:val="center"/>
        <w:sectPr w:rsidR="0000159D" w:rsidSect="00441700">
          <w:footnotePr>
            <w:numRestart w:val="eachSect"/>
          </w:footnotePr>
          <w:pgSz w:w="12240" w:h="15840"/>
          <w:pgMar w:top="567" w:right="1440" w:bottom="1134" w:left="1440" w:header="709" w:footer="709" w:gutter="0"/>
          <w:cols w:space="708"/>
          <w:docGrid w:linePitch="360"/>
        </w:sectPr>
      </w:pPr>
    </w:p>
    <w:p w14:paraId="03E4E3B8" w14:textId="77777777" w:rsidR="0000159D" w:rsidRPr="00EE2CAF" w:rsidRDefault="0000159D" w:rsidP="00B15E4F">
      <w:pPr>
        <w:pStyle w:val="decision"/>
        <w:spacing w:before="0"/>
        <w:rPr>
          <w:caps/>
        </w:rPr>
      </w:pPr>
      <w:bookmarkStart w:id="119" w:name="_Toc150438807"/>
      <w:bookmarkStart w:id="120" w:name="_Toc150670507"/>
      <w:bookmarkStart w:id="121" w:name="_Toc150670617"/>
      <w:bookmarkStart w:id="122" w:name="_Toc150761119"/>
      <w:r>
        <w:lastRenderedPageBreak/>
        <w:t>15/9.</w:t>
      </w:r>
      <w:r>
        <w:tab/>
        <w:t>Digital sequence information on genetic resources</w:t>
      </w:r>
      <w:bookmarkEnd w:id="119"/>
      <w:bookmarkEnd w:id="120"/>
      <w:bookmarkEnd w:id="121"/>
      <w:bookmarkEnd w:id="122"/>
    </w:p>
    <w:p w14:paraId="7F00C389" w14:textId="77777777" w:rsidR="0000159D" w:rsidRPr="00EE2CAF" w:rsidRDefault="0000159D" w:rsidP="00EE2CAF">
      <w:pPr>
        <w:spacing w:before="120" w:after="120"/>
        <w:ind w:firstLine="720"/>
        <w:rPr>
          <w:rFonts w:asciiTheme="majorBidi" w:hAnsiTheme="majorBidi" w:cstheme="majorBidi"/>
          <w:i/>
        </w:rPr>
      </w:pPr>
      <w:r w:rsidRPr="00EE2CAF">
        <w:rPr>
          <w:rFonts w:asciiTheme="majorBidi" w:hAnsiTheme="majorBidi" w:cstheme="majorBidi"/>
          <w:i/>
        </w:rPr>
        <w:t>The Conference of the Parties,</w:t>
      </w:r>
    </w:p>
    <w:p w14:paraId="5B5A59BA" w14:textId="77777777" w:rsidR="0000159D" w:rsidRPr="00EE2CAF" w:rsidRDefault="0000159D" w:rsidP="00EE2CAF">
      <w:pPr>
        <w:spacing w:before="120" w:after="120"/>
        <w:rPr>
          <w:rFonts w:asciiTheme="majorBidi" w:hAnsiTheme="majorBidi" w:cstheme="majorBidi"/>
        </w:rPr>
      </w:pPr>
      <w:r w:rsidRPr="00EE2CAF">
        <w:rPr>
          <w:rFonts w:asciiTheme="majorBidi" w:hAnsiTheme="majorBidi" w:cstheme="majorBidi"/>
        </w:rPr>
        <w:tab/>
      </w:r>
      <w:r w:rsidRPr="00EE2CAF">
        <w:rPr>
          <w:rFonts w:asciiTheme="majorBidi" w:hAnsiTheme="majorBidi" w:cstheme="majorBidi"/>
          <w:i/>
        </w:rPr>
        <w:t>Recalling</w:t>
      </w:r>
      <w:r w:rsidRPr="00EE2CAF">
        <w:rPr>
          <w:rFonts w:asciiTheme="majorBidi" w:hAnsiTheme="majorBidi" w:cstheme="majorBidi"/>
        </w:rPr>
        <w:t xml:space="preserve"> that </w:t>
      </w:r>
      <w:r w:rsidRPr="00863800">
        <w:rPr>
          <w:rFonts w:asciiTheme="majorBidi" w:hAnsiTheme="majorBidi" w:cstheme="majorBidi"/>
        </w:rPr>
        <w:t>the Convention on Biological Diversity and the Nagoya Protocol and other access and benefit-sharing instruments provide the legal framework for access to genetic resources and the fair and equitable sharing of the benefits</w:t>
      </w:r>
      <w:r w:rsidRPr="00EE2CAF">
        <w:rPr>
          <w:rFonts w:asciiTheme="majorBidi" w:hAnsiTheme="majorBidi" w:cstheme="majorBidi"/>
        </w:rPr>
        <w:t xml:space="preserve"> arising from their utilization, </w:t>
      </w:r>
    </w:p>
    <w:p w14:paraId="34311142"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rPr>
        <w:t>Recalling</w:t>
      </w:r>
      <w:r w:rsidRPr="00EE2CAF">
        <w:rPr>
          <w:rFonts w:asciiTheme="majorBidi" w:hAnsiTheme="majorBidi" w:cstheme="majorBidi"/>
        </w:rPr>
        <w:t xml:space="preserve"> </w:t>
      </w:r>
      <w:r>
        <w:rPr>
          <w:rFonts w:asciiTheme="majorBidi" w:hAnsiTheme="majorBidi" w:cstheme="majorBidi"/>
          <w:i/>
          <w:iCs/>
        </w:rPr>
        <w:t xml:space="preserve">also </w:t>
      </w:r>
      <w:r w:rsidRPr="00EE2CAF">
        <w:rPr>
          <w:rFonts w:asciiTheme="majorBidi" w:hAnsiTheme="majorBidi" w:cstheme="majorBidi"/>
        </w:rPr>
        <w:t>decision 14/20,</w:t>
      </w:r>
    </w:p>
    <w:p w14:paraId="596FDEE7" w14:textId="77777777" w:rsidR="0000159D" w:rsidRPr="00EE2CAF" w:rsidRDefault="0000159D" w:rsidP="00EE2CAF">
      <w:pPr>
        <w:spacing w:before="120" w:after="120"/>
        <w:rPr>
          <w:rFonts w:asciiTheme="majorBidi" w:hAnsiTheme="majorBidi" w:cstheme="majorBidi"/>
        </w:rPr>
      </w:pPr>
      <w:r w:rsidRPr="00EE2CAF">
        <w:rPr>
          <w:rFonts w:asciiTheme="majorBidi" w:hAnsiTheme="majorBidi" w:cstheme="majorBidi"/>
          <w:i/>
        </w:rPr>
        <w:tab/>
        <w:t>Noting</w:t>
      </w:r>
      <w:r w:rsidRPr="00EE2CAF">
        <w:rPr>
          <w:rFonts w:asciiTheme="majorBidi" w:hAnsiTheme="majorBidi" w:cstheme="majorBidi"/>
        </w:rPr>
        <w:t xml:space="preserve"> the outcomes of the science- and policy-based process on digital sequence information on genetic resources established in decision 14/20,</w:t>
      </w:r>
      <w:r w:rsidRPr="00610646">
        <w:rPr>
          <w:rStyle w:val="FootnoteReference"/>
        </w:rPr>
        <w:footnoteReference w:id="83"/>
      </w:r>
      <w:r w:rsidRPr="00EE2CAF">
        <w:rPr>
          <w:rFonts w:asciiTheme="majorBidi" w:hAnsiTheme="majorBidi" w:cstheme="majorBidi"/>
        </w:rPr>
        <w:t xml:space="preserve"> </w:t>
      </w:r>
    </w:p>
    <w:p w14:paraId="33C71A29"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rPr>
        <w:t>Noting also</w:t>
      </w:r>
      <w:r w:rsidRPr="00EE2CAF">
        <w:rPr>
          <w:rFonts w:asciiTheme="majorBidi" w:hAnsiTheme="majorBidi" w:cstheme="majorBidi"/>
        </w:rPr>
        <w:t xml:space="preserve"> the Informal Co-Chairs’ Advisory Group on digital sequence information on genetic resources established by the Co-Chairs of the Open-</w:t>
      </w:r>
      <w:r>
        <w:rPr>
          <w:rFonts w:asciiTheme="majorBidi" w:hAnsiTheme="majorBidi" w:cstheme="majorBidi"/>
        </w:rPr>
        <w:t>e</w:t>
      </w:r>
      <w:r w:rsidRPr="00EE2CAF">
        <w:rPr>
          <w:rFonts w:asciiTheme="majorBidi" w:hAnsiTheme="majorBidi" w:cstheme="majorBidi"/>
        </w:rPr>
        <w:t>nded Working Group on the Post-2020 Global Biodiversity Framework and the Executive Secretary, and the work on digital sequence information on genetic resources undertaken by the Advisory Group, including consideration of policy options,</w:t>
      </w:r>
      <w:r w:rsidRPr="00610646">
        <w:rPr>
          <w:rStyle w:val="FootnoteReference"/>
        </w:rPr>
        <w:footnoteReference w:id="84"/>
      </w:r>
    </w:p>
    <w:p w14:paraId="7843735A" w14:textId="77777777" w:rsidR="0000159D" w:rsidRPr="00EE2CAF" w:rsidRDefault="0000159D" w:rsidP="00EE2CAF">
      <w:pPr>
        <w:spacing w:before="120" w:after="120"/>
        <w:ind w:firstLine="720"/>
        <w:rPr>
          <w:rFonts w:asciiTheme="majorBidi" w:hAnsiTheme="majorBidi" w:cstheme="majorBidi"/>
        </w:rPr>
      </w:pPr>
      <w:bookmarkStart w:id="123" w:name="OLE_LINK3"/>
      <w:r>
        <w:rPr>
          <w:rFonts w:asciiTheme="majorBidi" w:hAnsiTheme="majorBidi" w:cstheme="majorBidi"/>
          <w:i/>
        </w:rPr>
        <w:t>N</w:t>
      </w:r>
      <w:r w:rsidRPr="00EE2CAF">
        <w:rPr>
          <w:rFonts w:asciiTheme="majorBidi" w:hAnsiTheme="majorBidi" w:cstheme="majorBidi"/>
          <w:i/>
        </w:rPr>
        <w:t>oting</w:t>
      </w:r>
      <w:r>
        <w:rPr>
          <w:rFonts w:asciiTheme="majorBidi" w:hAnsiTheme="majorBidi" w:cstheme="majorBidi"/>
          <w:i/>
        </w:rPr>
        <w:t xml:space="preserve"> further</w:t>
      </w:r>
      <w:r w:rsidRPr="00EE2CAF">
        <w:rPr>
          <w:rFonts w:asciiTheme="majorBidi" w:hAnsiTheme="majorBidi" w:cstheme="majorBidi"/>
          <w:i/>
        </w:rPr>
        <w:t xml:space="preserve"> </w:t>
      </w:r>
      <w:r w:rsidRPr="00EE2CAF">
        <w:rPr>
          <w:rFonts w:asciiTheme="majorBidi" w:hAnsiTheme="majorBidi" w:cstheme="majorBidi"/>
        </w:rPr>
        <w:t xml:space="preserve">the work of the </w:t>
      </w:r>
      <w:bookmarkStart w:id="124" w:name="_Hlk126164447"/>
      <w:r w:rsidRPr="00EE2CAF">
        <w:rPr>
          <w:rFonts w:asciiTheme="majorBidi" w:hAnsiTheme="majorBidi" w:cstheme="majorBidi"/>
        </w:rPr>
        <w:t>Open-</w:t>
      </w:r>
      <w:r>
        <w:rPr>
          <w:rFonts w:asciiTheme="majorBidi" w:hAnsiTheme="majorBidi" w:cstheme="majorBidi"/>
        </w:rPr>
        <w:t>e</w:t>
      </w:r>
      <w:r w:rsidRPr="00EE2CAF">
        <w:rPr>
          <w:rFonts w:asciiTheme="majorBidi" w:hAnsiTheme="majorBidi" w:cstheme="majorBidi"/>
        </w:rPr>
        <w:t xml:space="preserve">nded Working Group on the </w:t>
      </w:r>
      <w:r>
        <w:rPr>
          <w:rFonts w:asciiTheme="majorBidi" w:hAnsiTheme="majorBidi" w:cstheme="majorBidi"/>
        </w:rPr>
        <w:t>P</w:t>
      </w:r>
      <w:r w:rsidRPr="00EE2CAF">
        <w:rPr>
          <w:rFonts w:asciiTheme="majorBidi" w:hAnsiTheme="majorBidi" w:cstheme="majorBidi"/>
        </w:rPr>
        <w:t>ost-2020 Global Biodiversity Framework</w:t>
      </w:r>
      <w:bookmarkEnd w:id="124"/>
      <w:r w:rsidRPr="00EE2CAF">
        <w:rPr>
          <w:rFonts w:asciiTheme="majorBidi" w:hAnsiTheme="majorBidi" w:cstheme="majorBidi"/>
        </w:rPr>
        <w:t>,</w:t>
      </w:r>
      <w:r w:rsidRPr="00610646">
        <w:rPr>
          <w:rStyle w:val="FootnoteReference"/>
        </w:rPr>
        <w:footnoteReference w:id="85"/>
      </w:r>
      <w:r w:rsidRPr="00EE2CAF">
        <w:rPr>
          <w:rFonts w:asciiTheme="majorBidi" w:hAnsiTheme="majorBidi" w:cstheme="majorBidi"/>
        </w:rPr>
        <w:t xml:space="preserve"> </w:t>
      </w:r>
      <w:r>
        <w:rPr>
          <w:rFonts w:asciiTheme="majorBidi" w:hAnsiTheme="majorBidi" w:cstheme="majorBidi"/>
        </w:rPr>
        <w:t>and</w:t>
      </w:r>
      <w:r w:rsidRPr="00EE2CAF">
        <w:rPr>
          <w:rFonts w:asciiTheme="majorBidi" w:hAnsiTheme="majorBidi" w:cstheme="majorBidi"/>
        </w:rPr>
        <w:t xml:space="preserve"> the information in the note by the Executive Secretary on digital sequence information on genetic resources,</w:t>
      </w:r>
      <w:r w:rsidRPr="007938B5">
        <w:rPr>
          <w:rFonts w:asciiTheme="majorBidi" w:hAnsiTheme="majorBidi" w:cstheme="majorBidi"/>
        </w:rPr>
        <w:t xml:space="preserve"> </w:t>
      </w:r>
      <w:bookmarkEnd w:id="123"/>
      <w:r w:rsidRPr="00610646">
        <w:rPr>
          <w:rStyle w:val="FootnoteReference"/>
        </w:rPr>
        <w:footnoteReference w:id="86"/>
      </w:r>
    </w:p>
    <w:p w14:paraId="4EAD4971"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iCs/>
        </w:rPr>
        <w:t>Recognizing</w:t>
      </w:r>
      <w:r w:rsidRPr="00EE2CAF">
        <w:rPr>
          <w:rFonts w:asciiTheme="majorBidi" w:hAnsiTheme="majorBidi" w:cstheme="majorBidi"/>
        </w:rPr>
        <w:t xml:space="preserve"> that there are divergent views on digital sequence information on genetic resources </w:t>
      </w:r>
      <w:r>
        <w:rPr>
          <w:rFonts w:asciiTheme="majorBidi" w:hAnsiTheme="majorBidi" w:cstheme="majorBidi"/>
        </w:rPr>
        <w:t>with regard to its scope under</w:t>
      </w:r>
      <w:r w:rsidRPr="00EE2CAF">
        <w:rPr>
          <w:rFonts w:asciiTheme="majorBidi" w:hAnsiTheme="majorBidi" w:cstheme="majorBidi"/>
        </w:rPr>
        <w:t xml:space="preserve"> the Convention on Biological Diversity,</w:t>
      </w:r>
    </w:p>
    <w:p w14:paraId="68E756BB" w14:textId="77777777" w:rsidR="0000159D" w:rsidRPr="00EE2CAF" w:rsidRDefault="0000159D" w:rsidP="00EE2CAF">
      <w:pPr>
        <w:spacing w:before="120" w:after="120"/>
        <w:ind w:firstLine="720"/>
        <w:rPr>
          <w:rFonts w:asciiTheme="majorBidi" w:hAnsiTheme="majorBidi" w:cstheme="majorBidi"/>
        </w:rPr>
      </w:pPr>
      <w:r>
        <w:rPr>
          <w:rFonts w:asciiTheme="majorBidi" w:hAnsiTheme="majorBidi" w:cstheme="majorBidi"/>
          <w:i/>
        </w:rPr>
        <w:t>R</w:t>
      </w:r>
      <w:r w:rsidRPr="00EE2CAF">
        <w:rPr>
          <w:rFonts w:asciiTheme="majorBidi" w:hAnsiTheme="majorBidi" w:cstheme="majorBidi"/>
          <w:i/>
        </w:rPr>
        <w:t>ecognizing</w:t>
      </w:r>
      <w:r w:rsidRPr="00EE2CAF">
        <w:rPr>
          <w:rFonts w:asciiTheme="majorBidi" w:hAnsiTheme="majorBidi" w:cstheme="majorBidi"/>
        </w:rPr>
        <w:t xml:space="preserve"> </w:t>
      </w:r>
      <w:r>
        <w:rPr>
          <w:rFonts w:asciiTheme="majorBidi" w:hAnsiTheme="majorBidi" w:cstheme="majorBidi"/>
          <w:i/>
        </w:rPr>
        <w:t>also</w:t>
      </w:r>
      <w:r w:rsidRPr="0081017C">
        <w:rPr>
          <w:rFonts w:asciiTheme="majorBidi" w:hAnsiTheme="majorBidi"/>
          <w:i/>
        </w:rPr>
        <w:t xml:space="preserve"> </w:t>
      </w:r>
      <w:r w:rsidRPr="00EE2CAF">
        <w:rPr>
          <w:rFonts w:asciiTheme="majorBidi" w:hAnsiTheme="majorBidi" w:cstheme="majorBidi"/>
        </w:rPr>
        <w:t>that digital sequence information on genetic resources is under consideration in other United Nations bodies and instruments,</w:t>
      </w:r>
    </w:p>
    <w:p w14:paraId="0DF7263E" w14:textId="77777777" w:rsidR="0000159D" w:rsidRPr="00EE2CAF" w:rsidRDefault="0000159D" w:rsidP="00EE2CAF">
      <w:pPr>
        <w:spacing w:before="120" w:after="120"/>
        <w:ind w:firstLine="720"/>
        <w:rPr>
          <w:rFonts w:asciiTheme="majorBidi" w:hAnsiTheme="majorBidi" w:cstheme="majorBidi"/>
        </w:rPr>
      </w:pPr>
      <w:r>
        <w:rPr>
          <w:rFonts w:asciiTheme="majorBidi" w:hAnsiTheme="majorBidi" w:cstheme="majorBidi"/>
          <w:i/>
        </w:rPr>
        <w:t>R</w:t>
      </w:r>
      <w:r w:rsidRPr="00EE2CAF">
        <w:rPr>
          <w:rFonts w:asciiTheme="majorBidi" w:hAnsiTheme="majorBidi" w:cstheme="majorBidi"/>
          <w:i/>
        </w:rPr>
        <w:t>ecognizing</w:t>
      </w:r>
      <w:r>
        <w:rPr>
          <w:rFonts w:asciiTheme="majorBidi" w:hAnsiTheme="majorBidi" w:cstheme="majorBidi"/>
          <w:i/>
        </w:rPr>
        <w:t xml:space="preserve"> further</w:t>
      </w:r>
      <w:r w:rsidRPr="00EE2CAF">
        <w:rPr>
          <w:rFonts w:asciiTheme="majorBidi" w:hAnsiTheme="majorBidi" w:cstheme="majorBidi"/>
          <w:i/>
        </w:rPr>
        <w:t xml:space="preserve"> </w:t>
      </w:r>
      <w:r w:rsidRPr="00EE2CAF">
        <w:rPr>
          <w:rFonts w:asciiTheme="majorBidi" w:hAnsiTheme="majorBidi" w:cstheme="majorBidi"/>
        </w:rPr>
        <w:t xml:space="preserve">that any solution for the fair and equitable sharing of benefits from the use of digital sequence information on genetic resources should be mutually supportive of and adaptable to other instruments and fora while </w:t>
      </w:r>
      <w:r w:rsidRPr="00B7637D">
        <w:rPr>
          <w:rFonts w:asciiTheme="majorBidi" w:hAnsiTheme="majorBidi"/>
          <w:iCs/>
        </w:rPr>
        <w:t>recognizing</w:t>
      </w:r>
      <w:r w:rsidRPr="00EE2CAF">
        <w:rPr>
          <w:rFonts w:asciiTheme="majorBidi" w:hAnsiTheme="majorBidi" w:cstheme="majorBidi"/>
        </w:rPr>
        <w:t xml:space="preserve"> </w:t>
      </w:r>
      <w:r>
        <w:rPr>
          <w:rFonts w:asciiTheme="majorBidi" w:hAnsiTheme="majorBidi" w:cstheme="majorBidi"/>
        </w:rPr>
        <w:t>that other fora</w:t>
      </w:r>
      <w:r w:rsidRPr="00EE2CAF">
        <w:rPr>
          <w:rFonts w:asciiTheme="majorBidi" w:hAnsiTheme="majorBidi" w:cstheme="majorBidi"/>
        </w:rPr>
        <w:t xml:space="preserve"> may develop </w:t>
      </w:r>
      <w:r>
        <w:rPr>
          <w:rFonts w:asciiTheme="majorBidi" w:hAnsiTheme="majorBidi" w:cstheme="majorBidi"/>
        </w:rPr>
        <w:t>specialized</w:t>
      </w:r>
      <w:r w:rsidRPr="00EE2CAF">
        <w:rPr>
          <w:rFonts w:asciiTheme="majorBidi" w:hAnsiTheme="majorBidi" w:cstheme="majorBidi"/>
        </w:rPr>
        <w:t xml:space="preserve"> approaches,</w:t>
      </w:r>
    </w:p>
    <w:p w14:paraId="5D82D7FC"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rPr>
        <w:t>Acknowledging</w:t>
      </w:r>
      <w:r w:rsidRPr="00EE2CAF">
        <w:rPr>
          <w:rFonts w:asciiTheme="majorBidi" w:hAnsiTheme="majorBidi" w:cstheme="majorBidi"/>
        </w:rPr>
        <w:t xml:space="preserve"> that</w:t>
      </w:r>
      <w:r>
        <w:rPr>
          <w:rFonts w:asciiTheme="majorBidi" w:hAnsiTheme="majorBidi" w:cstheme="majorBidi"/>
        </w:rPr>
        <w:t xml:space="preserve"> the</w:t>
      </w:r>
      <w:r w:rsidRPr="00EE2CAF">
        <w:rPr>
          <w:rFonts w:asciiTheme="majorBidi" w:hAnsiTheme="majorBidi" w:cstheme="majorBidi"/>
        </w:rPr>
        <w:t xml:space="preserve"> generation of, access to, and use of digital sequence information on genetic resources</w:t>
      </w:r>
      <w:r>
        <w:rPr>
          <w:rFonts w:asciiTheme="majorBidi" w:hAnsiTheme="majorBidi" w:cstheme="majorBidi"/>
        </w:rPr>
        <w:t xml:space="preserve"> together</w:t>
      </w:r>
      <w:r w:rsidRPr="00EE2CAF">
        <w:rPr>
          <w:rFonts w:asciiTheme="majorBidi" w:hAnsiTheme="majorBidi" w:cstheme="majorBidi"/>
        </w:rPr>
        <w:t xml:space="preserve"> with the fair and equitable sharing of benefits arising from </w:t>
      </w:r>
      <w:r>
        <w:rPr>
          <w:rFonts w:asciiTheme="majorBidi" w:hAnsiTheme="majorBidi" w:cstheme="majorBidi"/>
        </w:rPr>
        <w:t>its</w:t>
      </w:r>
      <w:r w:rsidRPr="00EE2CAF">
        <w:rPr>
          <w:rFonts w:asciiTheme="majorBidi" w:hAnsiTheme="majorBidi" w:cstheme="majorBidi"/>
        </w:rPr>
        <w:t xml:space="preserve"> use </w:t>
      </w:r>
      <w:r>
        <w:rPr>
          <w:rFonts w:asciiTheme="majorBidi" w:hAnsiTheme="majorBidi" w:cstheme="majorBidi"/>
        </w:rPr>
        <w:t xml:space="preserve">would </w:t>
      </w:r>
      <w:r w:rsidRPr="00EE2CAF">
        <w:rPr>
          <w:rFonts w:asciiTheme="majorBidi" w:hAnsiTheme="majorBidi" w:cstheme="majorBidi"/>
        </w:rPr>
        <w:t>support research and innovation</w:t>
      </w:r>
      <w:r>
        <w:rPr>
          <w:rFonts w:asciiTheme="majorBidi" w:hAnsiTheme="majorBidi" w:cstheme="majorBidi"/>
        </w:rPr>
        <w:t xml:space="preserve"> </w:t>
      </w:r>
      <w:r w:rsidRPr="00EE2CAF">
        <w:rPr>
          <w:rFonts w:asciiTheme="majorBidi" w:hAnsiTheme="majorBidi" w:cstheme="majorBidi"/>
        </w:rPr>
        <w:t xml:space="preserve">and contribute to achieving the three objectives of the Convention and sustainable development, </w:t>
      </w:r>
    </w:p>
    <w:p w14:paraId="7FA4D8FA"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rPr>
        <w:t xml:space="preserve">Emphasizing </w:t>
      </w:r>
      <w:r w:rsidRPr="00EE2CAF">
        <w:rPr>
          <w:rFonts w:asciiTheme="majorBidi" w:hAnsiTheme="majorBidi" w:cstheme="majorBidi"/>
        </w:rPr>
        <w:t>the importance of capacity-building and development, technology transfer and technical and scientific cooperation to support generation of, access to, and use of digital sequence information on genetic resources,</w:t>
      </w:r>
    </w:p>
    <w:p w14:paraId="7224E761" w14:textId="77777777" w:rsidR="0000159D" w:rsidRPr="00EE2CAF" w:rsidRDefault="0000159D" w:rsidP="00EE2CAF">
      <w:pPr>
        <w:spacing w:before="120" w:after="120"/>
        <w:ind w:firstLine="720"/>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 xml:space="preserve">the importance of digital sequence information on genetic resources for the </w:t>
      </w:r>
      <w:r>
        <w:rPr>
          <w:rFonts w:asciiTheme="majorBidi" w:hAnsiTheme="majorBidi" w:cstheme="majorBidi"/>
        </w:rPr>
        <w:t>Kunming</w:t>
      </w:r>
      <w:r>
        <w:rPr>
          <w:rFonts w:asciiTheme="majorBidi" w:hAnsiTheme="majorBidi" w:cstheme="majorBidi"/>
        </w:rPr>
        <w:noBreakHyphen/>
        <w:t>Montreal</w:t>
      </w:r>
      <w:r w:rsidRPr="00EE2CAF">
        <w:rPr>
          <w:rFonts w:asciiTheme="majorBidi" w:hAnsiTheme="majorBidi" w:cstheme="majorBidi"/>
        </w:rPr>
        <w:t xml:space="preserve"> </w:t>
      </w:r>
      <w:r>
        <w:rPr>
          <w:rFonts w:asciiTheme="majorBidi" w:hAnsiTheme="majorBidi" w:cstheme="majorBidi"/>
        </w:rPr>
        <w:t>G</w:t>
      </w:r>
      <w:r w:rsidRPr="00EE2CAF">
        <w:rPr>
          <w:rFonts w:asciiTheme="majorBidi" w:hAnsiTheme="majorBidi" w:cstheme="majorBidi"/>
        </w:rPr>
        <w:t xml:space="preserve">lobal </w:t>
      </w:r>
      <w:r>
        <w:rPr>
          <w:rFonts w:asciiTheme="majorBidi" w:hAnsiTheme="majorBidi" w:cstheme="majorBidi"/>
        </w:rPr>
        <w:t>B</w:t>
      </w:r>
      <w:r w:rsidRPr="00EE2CAF">
        <w:rPr>
          <w:rFonts w:asciiTheme="majorBidi" w:hAnsiTheme="majorBidi" w:cstheme="majorBidi"/>
        </w:rPr>
        <w:t xml:space="preserve">iodiversity </w:t>
      </w:r>
      <w:r>
        <w:rPr>
          <w:rFonts w:asciiTheme="majorBidi" w:hAnsiTheme="majorBidi" w:cstheme="majorBidi"/>
        </w:rPr>
        <w:t>F</w:t>
      </w:r>
      <w:r w:rsidRPr="00EE2CAF">
        <w:rPr>
          <w:rFonts w:asciiTheme="majorBidi" w:hAnsiTheme="majorBidi" w:cstheme="majorBidi"/>
        </w:rPr>
        <w:t>ramework,</w:t>
      </w:r>
      <w:r w:rsidRPr="00610646">
        <w:rPr>
          <w:rStyle w:val="FootnoteReference"/>
        </w:rPr>
        <w:footnoteReference w:id="87"/>
      </w:r>
    </w:p>
    <w:p w14:paraId="0CCD581F" w14:textId="77777777" w:rsidR="0000159D" w:rsidRPr="00EE2CAF" w:rsidRDefault="0000159D" w:rsidP="00EE2CAF">
      <w:pPr>
        <w:spacing w:before="120" w:after="120"/>
        <w:rPr>
          <w:rFonts w:asciiTheme="majorBidi" w:hAnsiTheme="majorBidi" w:cstheme="majorBidi"/>
        </w:rPr>
      </w:pPr>
      <w:r w:rsidRPr="00EE2CAF">
        <w:rPr>
          <w:rFonts w:asciiTheme="majorBidi" w:hAnsiTheme="majorBidi" w:cstheme="majorBidi"/>
        </w:rPr>
        <w:tab/>
      </w:r>
      <w:r>
        <w:rPr>
          <w:rFonts w:asciiTheme="majorBidi" w:hAnsiTheme="majorBidi" w:cstheme="majorBidi"/>
          <w:i/>
          <w:iCs/>
        </w:rPr>
        <w:t>R</w:t>
      </w:r>
      <w:r w:rsidRPr="00EE2CAF">
        <w:rPr>
          <w:rFonts w:asciiTheme="majorBidi" w:hAnsiTheme="majorBidi" w:cstheme="majorBidi"/>
          <w:i/>
        </w:rPr>
        <w:t>ecognizing</w:t>
      </w:r>
      <w:r w:rsidRPr="00EE2CAF">
        <w:rPr>
          <w:rFonts w:asciiTheme="majorBidi" w:hAnsiTheme="majorBidi" w:cstheme="majorBidi"/>
        </w:rPr>
        <w:t xml:space="preserve"> </w:t>
      </w:r>
      <w:r>
        <w:rPr>
          <w:rFonts w:asciiTheme="majorBidi" w:hAnsiTheme="majorBidi" w:cstheme="majorBidi"/>
          <w:i/>
        </w:rPr>
        <w:t>also</w:t>
      </w:r>
      <w:r w:rsidRPr="0081017C">
        <w:rPr>
          <w:rFonts w:asciiTheme="majorBidi" w:hAnsiTheme="majorBidi"/>
          <w:i/>
        </w:rPr>
        <w:t xml:space="preserve"> </w:t>
      </w:r>
      <w:r w:rsidRPr="00EE2CAF">
        <w:rPr>
          <w:rFonts w:asciiTheme="majorBidi" w:hAnsiTheme="majorBidi" w:cstheme="majorBidi"/>
        </w:rPr>
        <w:t>that a solution for benefit-sharing from the use of digital sequence information on genetic resources is also a wide-ranging solution for the mobilization of resources to support the conservation and sustainable use of biological diversity,</w:t>
      </w:r>
    </w:p>
    <w:p w14:paraId="3CBA55AF" w14:textId="77777777" w:rsidR="0000159D" w:rsidRPr="00EE2CAF" w:rsidRDefault="0000159D" w:rsidP="00EE2CAF">
      <w:pPr>
        <w:spacing w:before="120" w:after="120"/>
        <w:ind w:firstLine="720"/>
        <w:rPr>
          <w:rFonts w:asciiTheme="majorBidi" w:hAnsiTheme="majorBidi" w:cstheme="majorBidi"/>
          <w:i/>
        </w:rPr>
      </w:pPr>
      <w:r>
        <w:rPr>
          <w:rFonts w:asciiTheme="majorBidi" w:hAnsiTheme="majorBidi" w:cstheme="majorBidi"/>
          <w:i/>
          <w:iCs/>
        </w:rPr>
        <w:t>R</w:t>
      </w:r>
      <w:r w:rsidRPr="00EE2CAF">
        <w:rPr>
          <w:rFonts w:asciiTheme="majorBidi" w:hAnsiTheme="majorBidi" w:cstheme="majorBidi"/>
          <w:i/>
          <w:iCs/>
        </w:rPr>
        <w:t>ecognizing</w:t>
      </w:r>
      <w:r>
        <w:rPr>
          <w:rFonts w:asciiTheme="majorBidi" w:hAnsiTheme="majorBidi" w:cstheme="majorBidi"/>
          <w:i/>
          <w:iCs/>
        </w:rPr>
        <w:t xml:space="preserve"> further</w:t>
      </w:r>
      <w:r w:rsidRPr="00EE2CAF">
        <w:rPr>
          <w:rFonts w:asciiTheme="majorBidi" w:hAnsiTheme="majorBidi" w:cstheme="majorBidi"/>
        </w:rPr>
        <w:t xml:space="preserve"> the value of depositing data in public databases</w:t>
      </w:r>
      <w:r w:rsidRPr="00627E86">
        <w:rPr>
          <w:rFonts w:asciiTheme="majorBidi" w:hAnsiTheme="majorBidi" w:cstheme="majorBidi"/>
          <w:iCs/>
        </w:rPr>
        <w:t>,</w:t>
      </w:r>
    </w:p>
    <w:p w14:paraId="5375EBCC"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i/>
        </w:rPr>
        <w:t>Welcoming</w:t>
      </w:r>
      <w:r w:rsidRPr="00EE2CAF">
        <w:rPr>
          <w:rFonts w:asciiTheme="majorBidi" w:hAnsiTheme="majorBidi" w:cstheme="majorBidi"/>
        </w:rPr>
        <w:t xml:space="preserve"> the efforts of databases, including the International Nucleotide Sequence Database Collaboration, to encourage the tagging of records with information on geographical origin,</w:t>
      </w:r>
    </w:p>
    <w:p w14:paraId="6DE3C70D" w14:textId="77777777" w:rsidR="0000159D" w:rsidRPr="00EE2CAF" w:rsidRDefault="0000159D" w:rsidP="00441D54">
      <w:pPr>
        <w:spacing w:before="120" w:after="120"/>
        <w:ind w:firstLine="720"/>
        <w:rPr>
          <w:rFonts w:asciiTheme="majorBidi" w:hAnsiTheme="majorBidi" w:cstheme="majorBidi"/>
        </w:rPr>
      </w:pPr>
      <w:r>
        <w:rPr>
          <w:rFonts w:asciiTheme="majorBidi" w:hAnsiTheme="majorBidi" w:cstheme="majorBidi"/>
          <w:i/>
          <w:iCs/>
        </w:rPr>
        <w:lastRenderedPageBreak/>
        <w:t>Acknowledging</w:t>
      </w:r>
      <w:r w:rsidRPr="00EE2CAF">
        <w:rPr>
          <w:rFonts w:asciiTheme="majorBidi" w:hAnsiTheme="majorBidi" w:cstheme="majorBidi"/>
        </w:rPr>
        <w:t xml:space="preserve"> the FAIR</w:t>
      </w:r>
      <w:r w:rsidRPr="00610646">
        <w:rPr>
          <w:rStyle w:val="FootnoteReference"/>
        </w:rPr>
        <w:footnoteReference w:id="88"/>
      </w:r>
      <w:r w:rsidRPr="00EE2CAF">
        <w:rPr>
          <w:rFonts w:asciiTheme="majorBidi" w:hAnsiTheme="majorBidi" w:cstheme="majorBidi"/>
        </w:rPr>
        <w:t xml:space="preserve"> and CARE</w:t>
      </w:r>
      <w:r w:rsidRPr="00610646">
        <w:rPr>
          <w:rStyle w:val="FootnoteReference"/>
        </w:rPr>
        <w:footnoteReference w:id="89"/>
      </w:r>
      <w:r w:rsidRPr="00EE2CAF">
        <w:rPr>
          <w:rFonts w:asciiTheme="majorBidi" w:hAnsiTheme="majorBidi" w:cstheme="majorBidi"/>
        </w:rPr>
        <w:t xml:space="preserve"> principles, the framework for data governance provided by the Organisation for Economic Co-operation and Development </w:t>
      </w:r>
      <w:r>
        <w:rPr>
          <w:rFonts w:asciiTheme="majorBidi" w:hAnsiTheme="majorBidi" w:cstheme="majorBidi"/>
        </w:rPr>
        <w:t>“R</w:t>
      </w:r>
      <w:r w:rsidRPr="00EE2CAF">
        <w:rPr>
          <w:rFonts w:asciiTheme="majorBidi" w:hAnsiTheme="majorBidi" w:cstheme="majorBidi"/>
        </w:rPr>
        <w:t xml:space="preserve">ecommendation on </w:t>
      </w:r>
      <w:r>
        <w:rPr>
          <w:rFonts w:asciiTheme="majorBidi" w:hAnsiTheme="majorBidi" w:cstheme="majorBidi"/>
        </w:rPr>
        <w:t>E</w:t>
      </w:r>
      <w:r w:rsidRPr="00EE2CAF">
        <w:rPr>
          <w:rFonts w:asciiTheme="majorBidi" w:hAnsiTheme="majorBidi" w:cstheme="majorBidi"/>
        </w:rPr>
        <w:t xml:space="preserve">nhancing </w:t>
      </w:r>
      <w:r>
        <w:rPr>
          <w:rFonts w:asciiTheme="majorBidi" w:hAnsiTheme="majorBidi" w:cstheme="majorBidi"/>
        </w:rPr>
        <w:t>A</w:t>
      </w:r>
      <w:r w:rsidRPr="00EE2CAF">
        <w:rPr>
          <w:rFonts w:asciiTheme="majorBidi" w:hAnsiTheme="majorBidi" w:cstheme="majorBidi"/>
        </w:rPr>
        <w:t xml:space="preserve">ccess to and </w:t>
      </w:r>
      <w:r>
        <w:rPr>
          <w:rFonts w:asciiTheme="majorBidi" w:hAnsiTheme="majorBidi" w:cstheme="majorBidi"/>
        </w:rPr>
        <w:t>S</w:t>
      </w:r>
      <w:r w:rsidRPr="00EE2CAF">
        <w:rPr>
          <w:rFonts w:asciiTheme="majorBidi" w:hAnsiTheme="majorBidi" w:cstheme="majorBidi"/>
        </w:rPr>
        <w:t xml:space="preserve">haring of </w:t>
      </w:r>
      <w:r>
        <w:rPr>
          <w:rFonts w:asciiTheme="majorBidi" w:hAnsiTheme="majorBidi" w:cstheme="majorBidi"/>
        </w:rPr>
        <w:t>D</w:t>
      </w:r>
      <w:r w:rsidRPr="00EE2CAF">
        <w:rPr>
          <w:rFonts w:asciiTheme="majorBidi" w:hAnsiTheme="majorBidi" w:cstheme="majorBidi"/>
        </w:rPr>
        <w:t>ata</w:t>
      </w:r>
      <w:r>
        <w:rPr>
          <w:rFonts w:asciiTheme="majorBidi" w:hAnsiTheme="majorBidi" w:cstheme="majorBidi"/>
        </w:rPr>
        <w:t>”</w:t>
      </w:r>
      <w:r w:rsidRPr="00EE2CAF">
        <w:rPr>
          <w:rFonts w:asciiTheme="majorBidi" w:hAnsiTheme="majorBidi" w:cstheme="majorBidi"/>
        </w:rPr>
        <w:t>,</w:t>
      </w:r>
      <w:r w:rsidRPr="00610646">
        <w:rPr>
          <w:rStyle w:val="FootnoteReference"/>
        </w:rPr>
        <w:footnoteReference w:id="90"/>
      </w:r>
      <w:r w:rsidRPr="00EE2CAF">
        <w:rPr>
          <w:rFonts w:asciiTheme="majorBidi" w:hAnsiTheme="majorBidi" w:cstheme="majorBidi"/>
        </w:rPr>
        <w:t xml:space="preserve"> and the recommendations set out in the United Nations Educational, Scientific and Cultural Organization </w:t>
      </w:r>
      <w:r>
        <w:rPr>
          <w:rFonts w:asciiTheme="majorBidi" w:hAnsiTheme="majorBidi" w:cstheme="majorBidi"/>
        </w:rPr>
        <w:t>“</w:t>
      </w:r>
      <w:r w:rsidRPr="00EE2CAF">
        <w:rPr>
          <w:rFonts w:asciiTheme="majorBidi" w:hAnsiTheme="majorBidi" w:cstheme="majorBidi"/>
        </w:rPr>
        <w:t>Recommendation on Open Science</w:t>
      </w:r>
      <w:r>
        <w:rPr>
          <w:rFonts w:asciiTheme="majorBidi" w:hAnsiTheme="majorBidi" w:cstheme="majorBidi"/>
        </w:rPr>
        <w:t>”</w:t>
      </w:r>
      <w:r w:rsidRPr="00EE2CAF">
        <w:rPr>
          <w:rFonts w:asciiTheme="majorBidi" w:hAnsiTheme="majorBidi" w:cstheme="majorBidi"/>
        </w:rPr>
        <w:t>,</w:t>
      </w:r>
      <w:r w:rsidRPr="007938B5">
        <w:rPr>
          <w:rFonts w:asciiTheme="majorBidi" w:hAnsiTheme="majorBidi" w:cstheme="majorBidi"/>
        </w:rPr>
        <w:t xml:space="preserve"> </w:t>
      </w:r>
      <w:r w:rsidRPr="00610646">
        <w:rPr>
          <w:rStyle w:val="FootnoteReference"/>
        </w:rPr>
        <w:footnoteReference w:id="91"/>
      </w:r>
    </w:p>
    <w:p w14:paraId="565824AC"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that a solution on benefit-sharing from the use of digital sequence information on genetic resources may include innovative revenue generation measures,</w:t>
      </w:r>
    </w:p>
    <w:p w14:paraId="0E83CA81"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i/>
        </w:rPr>
        <w:t>Noting</w:t>
      </w:r>
      <w:r w:rsidRPr="00EE2CAF">
        <w:rPr>
          <w:rFonts w:asciiTheme="majorBidi" w:hAnsiTheme="majorBidi" w:cstheme="majorBidi"/>
        </w:rPr>
        <w:t xml:space="preserve"> that the differences between public and private databases should be considered in the </w:t>
      </w:r>
      <w:r w:rsidRPr="001F5FAD">
        <w:rPr>
          <w:rFonts w:asciiTheme="majorBidi" w:hAnsiTheme="majorBidi" w:cstheme="majorBidi"/>
        </w:rPr>
        <w:t>development of a solution on benefit-sharing from the use of digital sequence information on genetic resources,</w:t>
      </w:r>
    </w:p>
    <w:p w14:paraId="70FC7F8B"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i/>
        </w:rPr>
        <w:t>Recognizing</w:t>
      </w:r>
      <w:r w:rsidRPr="00EE2CAF">
        <w:rPr>
          <w:rFonts w:asciiTheme="majorBidi" w:hAnsiTheme="majorBidi" w:cstheme="majorBidi"/>
        </w:rPr>
        <w:t xml:space="preserve"> </w:t>
      </w:r>
      <w:r>
        <w:rPr>
          <w:rFonts w:asciiTheme="majorBidi" w:hAnsiTheme="majorBidi" w:cstheme="majorBidi"/>
        </w:rPr>
        <w:t>the</w:t>
      </w:r>
      <w:r w:rsidRPr="00EE2CAF">
        <w:rPr>
          <w:rFonts w:asciiTheme="majorBidi" w:hAnsiTheme="majorBidi" w:cstheme="majorBidi"/>
        </w:rPr>
        <w:t xml:space="preserve"> different understandings of the concept and scope of digital sequence information on genetic resources, and the range of views regarding the need to define such concept and scope, </w:t>
      </w:r>
    </w:p>
    <w:p w14:paraId="21B5D8AE"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rPr>
        <w:t>1.</w:t>
      </w:r>
      <w:r w:rsidRPr="00EE2CAF">
        <w:rPr>
          <w:rFonts w:asciiTheme="majorBidi" w:hAnsiTheme="majorBidi" w:cstheme="majorBidi"/>
        </w:rPr>
        <w:tab/>
      </w:r>
      <w:r w:rsidRPr="00EE2CAF">
        <w:rPr>
          <w:rFonts w:asciiTheme="majorBidi" w:hAnsiTheme="majorBidi" w:cstheme="majorBidi"/>
          <w:i/>
          <w:iCs/>
        </w:rPr>
        <w:t xml:space="preserve">Agrees </w:t>
      </w:r>
      <w:r w:rsidRPr="0081017C">
        <w:rPr>
          <w:rFonts w:asciiTheme="majorBidi" w:hAnsiTheme="majorBidi"/>
        </w:rPr>
        <w:t>on</w:t>
      </w:r>
      <w:r w:rsidRPr="00EE2CAF">
        <w:rPr>
          <w:rFonts w:asciiTheme="majorBidi" w:hAnsiTheme="majorBidi" w:cstheme="majorBidi"/>
          <w:i/>
          <w:iCs/>
        </w:rPr>
        <w:t xml:space="preserve"> </w:t>
      </w:r>
      <w:r w:rsidRPr="00EE2CAF">
        <w:rPr>
          <w:rFonts w:asciiTheme="majorBidi" w:hAnsiTheme="majorBidi" w:cstheme="majorBidi"/>
        </w:rPr>
        <w:t xml:space="preserve">the continuing use of the term </w:t>
      </w:r>
      <w:r>
        <w:rPr>
          <w:rFonts w:asciiTheme="majorBidi" w:hAnsiTheme="majorBidi" w:cstheme="majorBidi"/>
          <w:lang w:val="en-US"/>
        </w:rPr>
        <w:t>“</w:t>
      </w:r>
      <w:r w:rsidRPr="00EE2CAF">
        <w:rPr>
          <w:rFonts w:asciiTheme="majorBidi" w:hAnsiTheme="majorBidi" w:cstheme="majorBidi"/>
        </w:rPr>
        <w:t>digital sequence information</w:t>
      </w:r>
      <w:r>
        <w:rPr>
          <w:rFonts w:asciiTheme="majorBidi" w:hAnsiTheme="majorBidi" w:cstheme="majorBidi"/>
        </w:rPr>
        <w:t xml:space="preserve">” </w:t>
      </w:r>
      <w:r w:rsidRPr="00EE2CAF">
        <w:rPr>
          <w:rFonts w:asciiTheme="majorBidi" w:hAnsiTheme="majorBidi" w:cstheme="majorBidi"/>
        </w:rPr>
        <w:t>for further discussion</w:t>
      </w:r>
      <w:r>
        <w:rPr>
          <w:rFonts w:asciiTheme="majorBidi" w:hAnsiTheme="majorBidi" w:cstheme="majorBidi"/>
        </w:rPr>
        <w:t>s</w:t>
      </w:r>
      <w:r w:rsidRPr="00E659BA">
        <w:rPr>
          <w:rFonts w:asciiTheme="majorBidi" w:hAnsiTheme="majorBidi" w:cstheme="majorBidi"/>
        </w:rPr>
        <w:t>;</w:t>
      </w:r>
    </w:p>
    <w:p w14:paraId="58465550"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2.</w:t>
      </w:r>
      <w:r w:rsidRPr="00EE2CAF">
        <w:rPr>
          <w:rFonts w:asciiTheme="majorBidi" w:hAnsiTheme="majorBidi" w:cstheme="majorBidi"/>
        </w:rPr>
        <w:tab/>
      </w:r>
      <w:r w:rsidRPr="00EE2CAF">
        <w:rPr>
          <w:rFonts w:asciiTheme="majorBidi" w:hAnsiTheme="majorBidi" w:cstheme="majorBidi"/>
          <w:i/>
          <w:iCs/>
        </w:rPr>
        <w:t>A</w:t>
      </w:r>
      <w:r>
        <w:rPr>
          <w:rFonts w:asciiTheme="majorBidi" w:hAnsiTheme="majorBidi" w:cstheme="majorBidi"/>
          <w:i/>
          <w:iCs/>
        </w:rPr>
        <w:t>lso a</w:t>
      </w:r>
      <w:r w:rsidRPr="00EE2CAF">
        <w:rPr>
          <w:rFonts w:asciiTheme="majorBidi" w:hAnsiTheme="majorBidi" w:cstheme="majorBidi"/>
          <w:i/>
          <w:iCs/>
        </w:rPr>
        <w:t>grees</w:t>
      </w:r>
      <w:r w:rsidRPr="00EE2CAF">
        <w:rPr>
          <w:rFonts w:asciiTheme="majorBidi" w:hAnsiTheme="majorBidi" w:cstheme="majorBidi"/>
        </w:rPr>
        <w:t xml:space="preserve"> that the benefits from the use of digital sequence information on genetic resources should be shared fairly and equitably;</w:t>
      </w:r>
    </w:p>
    <w:p w14:paraId="1D43D08E"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3.</w:t>
      </w:r>
      <w:r w:rsidRPr="00EE2CAF">
        <w:rPr>
          <w:rFonts w:asciiTheme="majorBidi" w:hAnsiTheme="majorBidi" w:cstheme="majorBidi"/>
        </w:rPr>
        <w:tab/>
      </w:r>
      <w:r w:rsidRPr="00EE2CAF">
        <w:rPr>
          <w:rFonts w:asciiTheme="majorBidi" w:hAnsiTheme="majorBidi" w:cstheme="majorBidi"/>
          <w:i/>
          <w:iCs/>
        </w:rPr>
        <w:t>Considers</w:t>
      </w:r>
      <w:r w:rsidRPr="0081017C">
        <w:rPr>
          <w:rFonts w:asciiTheme="majorBidi" w:hAnsiTheme="majorBidi"/>
        </w:rPr>
        <w:t xml:space="preserve"> </w:t>
      </w:r>
      <w:r w:rsidRPr="00EE2CAF">
        <w:rPr>
          <w:rFonts w:asciiTheme="majorBidi" w:hAnsiTheme="majorBidi" w:cstheme="majorBidi"/>
        </w:rPr>
        <w:t xml:space="preserve">that the distribution of digital sequence information on genetic resources and distinctive practices in </w:t>
      </w:r>
      <w:r>
        <w:rPr>
          <w:rFonts w:asciiTheme="majorBidi" w:hAnsiTheme="majorBidi" w:cstheme="majorBidi"/>
        </w:rPr>
        <w:t>its</w:t>
      </w:r>
      <w:r w:rsidRPr="00EE2CAF">
        <w:rPr>
          <w:rFonts w:asciiTheme="majorBidi" w:hAnsiTheme="majorBidi" w:cstheme="majorBidi"/>
        </w:rPr>
        <w:t xml:space="preserve"> use require a distinctive solution for benefit-sharing;</w:t>
      </w:r>
    </w:p>
    <w:p w14:paraId="4DA4A00B"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rPr>
        <w:t>4.</w:t>
      </w:r>
      <w:r w:rsidRPr="00EE2CAF">
        <w:rPr>
          <w:rFonts w:asciiTheme="majorBidi" w:hAnsiTheme="majorBidi" w:cstheme="majorBidi"/>
        </w:rPr>
        <w:tab/>
      </w:r>
      <w:r w:rsidRPr="00EE2CAF">
        <w:rPr>
          <w:rFonts w:asciiTheme="majorBidi" w:hAnsiTheme="majorBidi" w:cstheme="majorBidi"/>
          <w:i/>
          <w:iCs/>
        </w:rPr>
        <w:t xml:space="preserve">Encourages </w:t>
      </w:r>
      <w:r w:rsidRPr="00EE2CAF">
        <w:rPr>
          <w:rFonts w:asciiTheme="majorBidi" w:hAnsiTheme="majorBidi" w:cstheme="majorBidi"/>
        </w:rPr>
        <w:t>the depositing of more digital sequence information on genetic resources, with appropriate information on geographical origin and other relevant metadata</w:t>
      </w:r>
      <w:r>
        <w:rPr>
          <w:rFonts w:asciiTheme="majorBidi" w:hAnsiTheme="majorBidi" w:cstheme="majorBidi"/>
        </w:rPr>
        <w:t xml:space="preserve">, </w:t>
      </w:r>
      <w:r w:rsidRPr="00EE2CAF">
        <w:rPr>
          <w:rFonts w:asciiTheme="majorBidi" w:hAnsiTheme="majorBidi" w:cstheme="majorBidi"/>
        </w:rPr>
        <w:t>in public databases;</w:t>
      </w:r>
    </w:p>
    <w:p w14:paraId="3F9C9246"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5.</w:t>
      </w:r>
      <w:r w:rsidRPr="00EE2CAF">
        <w:rPr>
          <w:rFonts w:asciiTheme="majorBidi" w:hAnsiTheme="majorBidi" w:cstheme="majorBidi"/>
        </w:rPr>
        <w:tab/>
      </w:r>
      <w:r w:rsidRPr="00EE2CAF">
        <w:rPr>
          <w:rFonts w:asciiTheme="majorBidi" w:hAnsiTheme="majorBidi" w:cstheme="majorBidi"/>
          <w:i/>
          <w:iCs/>
        </w:rPr>
        <w:t xml:space="preserve">Recognizes </w:t>
      </w:r>
      <w:r w:rsidRPr="00EE2CAF">
        <w:rPr>
          <w:rFonts w:asciiTheme="majorBidi" w:hAnsiTheme="majorBidi" w:cstheme="majorBidi"/>
        </w:rPr>
        <w:t>that tracking and tracing of all digital sequence information on genetic resources is not practical</w:t>
      </w:r>
      <w:r w:rsidRPr="00BB45B8">
        <w:rPr>
          <w:rFonts w:asciiTheme="majorBidi" w:hAnsiTheme="majorBidi" w:cstheme="majorBidi"/>
        </w:rPr>
        <w:t>;</w:t>
      </w:r>
    </w:p>
    <w:p w14:paraId="74A45DD2"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6.</w:t>
      </w:r>
      <w:r w:rsidRPr="00EE2CAF">
        <w:rPr>
          <w:rFonts w:asciiTheme="majorBidi" w:hAnsiTheme="majorBidi" w:cstheme="majorBidi"/>
        </w:rPr>
        <w:tab/>
      </w:r>
      <w:r>
        <w:rPr>
          <w:rFonts w:asciiTheme="majorBidi" w:hAnsiTheme="majorBidi" w:cstheme="majorBidi"/>
          <w:i/>
          <w:iCs/>
        </w:rPr>
        <w:t>Also r</w:t>
      </w:r>
      <w:r w:rsidRPr="00EE2CAF">
        <w:rPr>
          <w:rFonts w:asciiTheme="majorBidi" w:hAnsiTheme="majorBidi" w:cstheme="majorBidi"/>
          <w:i/>
        </w:rPr>
        <w:t>ecognizes</w:t>
      </w:r>
      <w:r w:rsidRPr="00EE2CAF">
        <w:rPr>
          <w:rFonts w:asciiTheme="majorBidi" w:hAnsiTheme="majorBidi" w:cstheme="majorBidi"/>
          <w:iCs/>
        </w:rPr>
        <w:t xml:space="preserve"> that a multilateral approach on the sharing of the benefits arising from the use of </w:t>
      </w:r>
      <w:r w:rsidRPr="00EE2CAF">
        <w:rPr>
          <w:rFonts w:asciiTheme="majorBidi" w:hAnsiTheme="majorBidi" w:cstheme="majorBidi"/>
        </w:rPr>
        <w:t xml:space="preserve">digital sequence information on genetic resources </w:t>
      </w:r>
      <w:r w:rsidRPr="00EE2CAF">
        <w:rPr>
          <w:rFonts w:asciiTheme="majorBidi" w:hAnsiTheme="majorBidi" w:cstheme="majorBidi"/>
          <w:iCs/>
        </w:rPr>
        <w:t xml:space="preserve">has the potential to meet the criteria identified in </w:t>
      </w:r>
      <w:r w:rsidRPr="00F665BD">
        <w:rPr>
          <w:rFonts w:asciiTheme="majorBidi" w:hAnsiTheme="majorBidi" w:cstheme="majorBidi"/>
        </w:rPr>
        <w:t>paragraph</w:t>
      </w:r>
      <w:r w:rsidRPr="00F665BD">
        <w:rPr>
          <w:rFonts w:asciiTheme="majorBidi" w:hAnsiTheme="majorBidi" w:cstheme="majorBidi"/>
          <w:iCs/>
        </w:rPr>
        <w:t xml:space="preserve"> </w:t>
      </w:r>
      <w:r w:rsidRPr="00F665BD">
        <w:rPr>
          <w:rFonts w:asciiTheme="majorBidi" w:hAnsiTheme="majorBidi" w:cstheme="majorBidi"/>
        </w:rPr>
        <w:t>9</w:t>
      </w:r>
      <w:r>
        <w:rPr>
          <w:rFonts w:asciiTheme="majorBidi" w:hAnsiTheme="majorBidi" w:cstheme="majorBidi"/>
        </w:rPr>
        <w:t xml:space="preserve"> of the present decision</w:t>
      </w:r>
      <w:r w:rsidRPr="00F665BD">
        <w:rPr>
          <w:rFonts w:asciiTheme="majorBidi" w:hAnsiTheme="majorBidi" w:cstheme="majorBidi"/>
          <w:iCs/>
        </w:rPr>
        <w:t>;</w:t>
      </w:r>
    </w:p>
    <w:p w14:paraId="60B02BB0"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7.</w:t>
      </w:r>
      <w:r w:rsidRPr="00EE2CAF">
        <w:rPr>
          <w:rFonts w:asciiTheme="majorBidi" w:hAnsiTheme="majorBidi" w:cstheme="majorBidi"/>
        </w:rPr>
        <w:tab/>
      </w:r>
      <w:r>
        <w:rPr>
          <w:rFonts w:asciiTheme="majorBidi" w:hAnsiTheme="majorBidi" w:cstheme="majorBidi"/>
          <w:i/>
        </w:rPr>
        <w:t>Further</w:t>
      </w:r>
      <w:r w:rsidRPr="00EE2CAF">
        <w:rPr>
          <w:rFonts w:asciiTheme="majorBidi" w:hAnsiTheme="majorBidi" w:cstheme="majorBidi"/>
          <w:i/>
        </w:rPr>
        <w:t xml:space="preserve"> recognizes</w:t>
      </w:r>
      <w:r w:rsidRPr="00EE2CAF">
        <w:rPr>
          <w:rFonts w:asciiTheme="majorBidi" w:hAnsiTheme="majorBidi" w:cstheme="majorBidi"/>
          <w:iCs/>
        </w:rPr>
        <w:t xml:space="preserve"> that in the course of further analysis, exceptions to </w:t>
      </w:r>
      <w:r w:rsidRPr="00EE2CAF">
        <w:rPr>
          <w:rFonts w:asciiTheme="majorBidi" w:hAnsiTheme="majorBidi" w:cstheme="majorBidi"/>
        </w:rPr>
        <w:t>paragraph</w:t>
      </w:r>
      <w:r w:rsidRPr="00EE2CAF">
        <w:rPr>
          <w:rFonts w:asciiTheme="majorBidi" w:hAnsiTheme="majorBidi" w:cstheme="majorBidi"/>
          <w:iCs/>
        </w:rPr>
        <w:t xml:space="preserve"> 6 </w:t>
      </w:r>
      <w:r>
        <w:rPr>
          <w:rFonts w:asciiTheme="majorBidi" w:hAnsiTheme="majorBidi" w:cstheme="majorBidi"/>
          <w:iCs/>
        </w:rPr>
        <w:t xml:space="preserve">above </w:t>
      </w:r>
      <w:r w:rsidRPr="00EE2CAF">
        <w:rPr>
          <w:rFonts w:asciiTheme="majorBidi" w:hAnsiTheme="majorBidi" w:cstheme="majorBidi"/>
          <w:iCs/>
        </w:rPr>
        <w:t xml:space="preserve">may be identified; </w:t>
      </w:r>
    </w:p>
    <w:p w14:paraId="6188D614"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8.</w:t>
      </w:r>
      <w:r w:rsidRPr="00EE2CAF">
        <w:rPr>
          <w:rFonts w:asciiTheme="majorBidi" w:hAnsiTheme="majorBidi" w:cstheme="majorBidi"/>
        </w:rPr>
        <w:tab/>
      </w:r>
      <w:r>
        <w:rPr>
          <w:rFonts w:asciiTheme="majorBidi" w:hAnsiTheme="majorBidi" w:cstheme="majorBidi"/>
          <w:i/>
          <w:iCs/>
        </w:rPr>
        <w:t>Agrees</w:t>
      </w:r>
      <w:r w:rsidRPr="00EE2CAF">
        <w:rPr>
          <w:rFonts w:asciiTheme="majorBidi" w:hAnsiTheme="majorBidi" w:cstheme="majorBidi"/>
        </w:rPr>
        <w:t xml:space="preserve"> to develop a solution for the sharing of benefits arising from the use of digital sequence information on genetic resources;</w:t>
      </w:r>
    </w:p>
    <w:p w14:paraId="5989A09F"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9.</w:t>
      </w:r>
      <w:r w:rsidRPr="00EE2CAF">
        <w:rPr>
          <w:rFonts w:asciiTheme="majorBidi" w:hAnsiTheme="majorBidi" w:cstheme="majorBidi"/>
        </w:rPr>
        <w:tab/>
      </w:r>
      <w:r w:rsidRPr="0095262A">
        <w:rPr>
          <w:rFonts w:asciiTheme="majorBidi" w:hAnsiTheme="majorBidi" w:cstheme="majorBidi"/>
          <w:i/>
          <w:iCs/>
        </w:rPr>
        <w:t>Also agrees</w:t>
      </w:r>
      <w:r w:rsidRPr="00EE2CAF">
        <w:rPr>
          <w:rFonts w:asciiTheme="majorBidi" w:hAnsiTheme="majorBidi" w:cstheme="majorBidi"/>
        </w:rPr>
        <w:t xml:space="preserve"> </w:t>
      </w:r>
      <w:r w:rsidRPr="008F37D2">
        <w:rPr>
          <w:rFonts w:asciiTheme="majorBidi" w:hAnsiTheme="majorBidi" w:cstheme="majorBidi"/>
        </w:rPr>
        <w:t>that a solution for fair and equitable benefit-sharing on digital sequence information on genetic resources should, inter alia:</w:t>
      </w:r>
      <w:r w:rsidRPr="00EE2CAF">
        <w:rPr>
          <w:rFonts w:asciiTheme="majorBidi" w:hAnsiTheme="majorBidi" w:cstheme="majorBidi"/>
        </w:rPr>
        <w:t xml:space="preserve"> </w:t>
      </w:r>
    </w:p>
    <w:p w14:paraId="0FE3C80F"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(a)</w:t>
      </w:r>
      <w:r w:rsidRPr="00EE2CAF">
        <w:rPr>
          <w:rFonts w:asciiTheme="majorBidi" w:hAnsiTheme="majorBidi" w:cstheme="majorBidi"/>
        </w:rPr>
        <w:tab/>
        <w:t xml:space="preserve">Be efficient, feasible and practical; </w:t>
      </w:r>
    </w:p>
    <w:p w14:paraId="307EA830"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(b)</w:t>
      </w:r>
      <w:r w:rsidRPr="00EE2CAF">
        <w:rPr>
          <w:rFonts w:asciiTheme="majorBidi" w:hAnsiTheme="majorBidi" w:cstheme="majorBidi"/>
        </w:rPr>
        <w:tab/>
        <w:t xml:space="preserve">Generate more benefits, including both monetary and non-monetary, than costs; </w:t>
      </w:r>
    </w:p>
    <w:p w14:paraId="060710E2"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(c)</w:t>
      </w:r>
      <w:r w:rsidRPr="00EE2CAF">
        <w:rPr>
          <w:rFonts w:asciiTheme="majorBidi" w:hAnsiTheme="majorBidi" w:cstheme="majorBidi"/>
        </w:rPr>
        <w:tab/>
        <w:t xml:space="preserve">Be effective; </w:t>
      </w:r>
    </w:p>
    <w:p w14:paraId="581F609A"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(d)</w:t>
      </w:r>
      <w:r w:rsidRPr="00EE2CAF">
        <w:rPr>
          <w:rFonts w:asciiTheme="majorBidi" w:hAnsiTheme="majorBidi" w:cstheme="majorBidi"/>
        </w:rPr>
        <w:tab/>
        <w:t xml:space="preserve">Provide certainty and legal clarity for providers and users of digital sequence information on genetic resources; </w:t>
      </w:r>
    </w:p>
    <w:p w14:paraId="46C9DE1E"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(e)</w:t>
      </w:r>
      <w:r w:rsidRPr="00EE2CAF">
        <w:rPr>
          <w:rFonts w:asciiTheme="majorBidi" w:hAnsiTheme="majorBidi" w:cstheme="majorBidi"/>
        </w:rPr>
        <w:tab/>
        <w:t xml:space="preserve">Not hinder research and innovation; </w:t>
      </w:r>
    </w:p>
    <w:p w14:paraId="495B0D80"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(f)</w:t>
      </w:r>
      <w:r w:rsidRPr="00EE2CAF">
        <w:rPr>
          <w:rFonts w:asciiTheme="majorBidi" w:hAnsiTheme="majorBidi" w:cstheme="majorBidi"/>
        </w:rPr>
        <w:tab/>
        <w:t xml:space="preserve">Be consistent with open access to data; </w:t>
      </w:r>
    </w:p>
    <w:p w14:paraId="4521B0DB"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(g)</w:t>
      </w:r>
      <w:r w:rsidRPr="00EE2CAF">
        <w:rPr>
          <w:rFonts w:asciiTheme="majorBidi" w:hAnsiTheme="majorBidi" w:cstheme="majorBidi"/>
        </w:rPr>
        <w:tab/>
        <w:t xml:space="preserve">Not be incompatible with international legal obligations; </w:t>
      </w:r>
    </w:p>
    <w:p w14:paraId="388A94BB"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lastRenderedPageBreak/>
        <w:t>(h)</w:t>
      </w:r>
      <w:r w:rsidRPr="00EE2CAF">
        <w:rPr>
          <w:rFonts w:asciiTheme="majorBidi" w:hAnsiTheme="majorBidi" w:cstheme="majorBidi"/>
        </w:rPr>
        <w:tab/>
        <w:t xml:space="preserve">Be mutually supportive of other access and benefit-sharing instruments; </w:t>
      </w:r>
    </w:p>
    <w:p w14:paraId="3778953D"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(i)</w:t>
      </w:r>
      <w:r w:rsidRPr="00EE2CAF">
        <w:rPr>
          <w:rFonts w:asciiTheme="majorBidi" w:hAnsiTheme="majorBidi" w:cstheme="majorBidi"/>
        </w:rPr>
        <w:tab/>
        <w:t>Take into account the rights of indigenous peoples and local communities, including with respect to the traditional knowledge associated with genetic resources that they hold;</w:t>
      </w:r>
    </w:p>
    <w:p w14:paraId="28020DB1"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10.</w:t>
      </w:r>
      <w:r w:rsidRPr="00EE2CAF">
        <w:rPr>
          <w:rFonts w:asciiTheme="majorBidi" w:hAnsiTheme="majorBidi" w:cstheme="majorBidi"/>
        </w:rPr>
        <w:tab/>
      </w:r>
      <w:r w:rsidRPr="00EE2CAF">
        <w:rPr>
          <w:rFonts w:asciiTheme="majorBidi" w:hAnsiTheme="majorBidi" w:cstheme="majorBidi"/>
          <w:i/>
          <w:iCs/>
        </w:rPr>
        <w:t>Recognizes</w:t>
      </w:r>
      <w:r w:rsidRPr="00EE2CAF">
        <w:rPr>
          <w:rFonts w:asciiTheme="majorBidi" w:hAnsiTheme="majorBidi" w:cstheme="majorBidi"/>
        </w:rPr>
        <w:t xml:space="preserve"> that the monetary and non-monetary benefits arising from the use of digital sequence information on genetic resources should, in particular, be used to support conservation and sustainable use of </w:t>
      </w:r>
      <w:r>
        <w:rPr>
          <w:rFonts w:asciiTheme="majorBidi" w:hAnsiTheme="majorBidi" w:cstheme="majorBidi"/>
        </w:rPr>
        <w:t>biological diversity</w:t>
      </w:r>
      <w:r w:rsidRPr="00EE2CAF">
        <w:rPr>
          <w:rFonts w:asciiTheme="majorBidi" w:hAnsiTheme="majorBidi" w:cstheme="majorBidi"/>
        </w:rPr>
        <w:t xml:space="preserve"> and</w:t>
      </w:r>
      <w:r>
        <w:rPr>
          <w:rFonts w:asciiTheme="majorBidi" w:hAnsiTheme="majorBidi" w:cstheme="majorBidi"/>
        </w:rPr>
        <w:t>,</w:t>
      </w:r>
      <w:r w:rsidRPr="00EE2CAF">
        <w:rPr>
          <w:rFonts w:asciiTheme="majorBidi" w:hAnsiTheme="majorBidi" w:cstheme="majorBidi"/>
        </w:rPr>
        <w:t xml:space="preserve"> inter alia</w:t>
      </w:r>
      <w:r>
        <w:rPr>
          <w:rFonts w:asciiTheme="majorBidi" w:hAnsiTheme="majorBidi" w:cstheme="majorBidi"/>
        </w:rPr>
        <w:t>,</w:t>
      </w:r>
      <w:r w:rsidRPr="00EE2CAF">
        <w:rPr>
          <w:rFonts w:asciiTheme="majorBidi" w:hAnsiTheme="majorBidi" w:cstheme="majorBidi"/>
        </w:rPr>
        <w:t xml:space="preserve"> benefit indigenous peoples and local communities;</w:t>
      </w:r>
    </w:p>
    <w:p w14:paraId="71D4128B" w14:textId="77777777" w:rsidR="0000159D" w:rsidRPr="00EE2CAF" w:rsidRDefault="0000159D" w:rsidP="00441D54">
      <w:pPr>
        <w:spacing w:before="120" w:after="120"/>
        <w:ind w:firstLine="709"/>
        <w:rPr>
          <w:rFonts w:asciiTheme="majorBidi" w:hAnsiTheme="majorBidi" w:cstheme="majorBidi"/>
          <w:i/>
        </w:rPr>
      </w:pPr>
      <w:r w:rsidRPr="00EE2CAF">
        <w:rPr>
          <w:rFonts w:asciiTheme="majorBidi" w:hAnsiTheme="majorBidi" w:cstheme="majorBidi"/>
        </w:rPr>
        <w:t>11.</w:t>
      </w:r>
      <w:r w:rsidRPr="00EE2CAF">
        <w:rPr>
          <w:rFonts w:asciiTheme="majorBidi" w:hAnsiTheme="majorBidi" w:cstheme="majorBidi"/>
        </w:rPr>
        <w:tab/>
      </w:r>
      <w:r w:rsidRPr="00EE2CAF">
        <w:rPr>
          <w:rFonts w:asciiTheme="majorBidi" w:hAnsiTheme="majorBidi" w:cstheme="majorBidi"/>
          <w:i/>
          <w:iCs/>
        </w:rPr>
        <w:t>Agrees</w:t>
      </w:r>
      <w:r w:rsidRPr="00EE2CAF">
        <w:rPr>
          <w:rFonts w:asciiTheme="majorBidi" w:hAnsiTheme="majorBidi" w:cstheme="majorBidi"/>
          <w:i/>
        </w:rPr>
        <w:t xml:space="preserve"> </w:t>
      </w:r>
      <w:r w:rsidRPr="00EE2CAF">
        <w:rPr>
          <w:rFonts w:asciiTheme="majorBidi" w:hAnsiTheme="majorBidi" w:cstheme="majorBidi"/>
        </w:rPr>
        <w:t xml:space="preserve">that the approach to fair and equitable benefit-sharing </w:t>
      </w:r>
      <w:r w:rsidRPr="00C45697">
        <w:rPr>
          <w:rFonts w:asciiTheme="majorBidi" w:hAnsiTheme="majorBidi" w:cstheme="majorBidi"/>
        </w:rPr>
        <w:t>from</w:t>
      </w:r>
      <w:r w:rsidRPr="00EE2CAF">
        <w:rPr>
          <w:rFonts w:asciiTheme="majorBidi" w:hAnsiTheme="majorBidi" w:cstheme="majorBidi"/>
        </w:rPr>
        <w:t xml:space="preserve"> the use of digital sequence information on genetic resources </w:t>
      </w:r>
      <w:r>
        <w:rPr>
          <w:rFonts w:asciiTheme="majorBidi" w:hAnsiTheme="majorBidi" w:cstheme="majorBidi"/>
        </w:rPr>
        <w:t xml:space="preserve">set out in the present decision </w:t>
      </w:r>
      <w:r w:rsidRPr="00EE2CAF">
        <w:rPr>
          <w:rFonts w:asciiTheme="majorBidi" w:hAnsiTheme="majorBidi" w:cstheme="majorBidi"/>
        </w:rPr>
        <w:t>does not affect existing rights and obligations under the Convention and the Nagoya Protocol, including, as applicable, those related to traditional knowledge and the rights of indigenous peoples and local communities, and is without prejudice to national access and benefit-sharing measures;</w:t>
      </w:r>
    </w:p>
    <w:p w14:paraId="6FD85721" w14:textId="77777777" w:rsidR="0000159D" w:rsidRPr="00EE2CAF" w:rsidRDefault="0000159D" w:rsidP="00441D54">
      <w:pPr>
        <w:spacing w:before="120" w:after="120"/>
        <w:ind w:firstLine="709"/>
        <w:rPr>
          <w:rFonts w:asciiTheme="majorBidi" w:hAnsiTheme="majorBidi" w:cstheme="majorBidi"/>
          <w:i/>
        </w:rPr>
      </w:pPr>
      <w:r w:rsidRPr="00832305">
        <w:rPr>
          <w:rFonts w:asciiTheme="majorBidi" w:hAnsiTheme="majorBidi" w:cstheme="majorBidi"/>
        </w:rPr>
        <w:t>12.</w:t>
      </w:r>
      <w:r w:rsidRPr="00832305">
        <w:rPr>
          <w:rFonts w:asciiTheme="majorBidi" w:hAnsiTheme="majorBidi" w:cstheme="majorBidi"/>
        </w:rPr>
        <w:tab/>
      </w:r>
      <w:r w:rsidRPr="00832305">
        <w:rPr>
          <w:rFonts w:asciiTheme="majorBidi" w:hAnsiTheme="majorBidi" w:cstheme="majorBidi"/>
          <w:i/>
          <w:iCs/>
        </w:rPr>
        <w:t>Welcomes</w:t>
      </w:r>
      <w:r w:rsidRPr="00832305">
        <w:rPr>
          <w:rFonts w:asciiTheme="majorBidi" w:hAnsiTheme="majorBidi" w:cstheme="majorBidi"/>
          <w:i/>
        </w:rPr>
        <w:t xml:space="preserve"> </w:t>
      </w:r>
      <w:r w:rsidRPr="00832305">
        <w:rPr>
          <w:rFonts w:asciiTheme="majorBidi" w:hAnsiTheme="majorBidi" w:cstheme="majorBidi"/>
        </w:rPr>
        <w:t>section I of the Kunming-Montreal Global Biodiversity Framework, the long-term strategic framework for capacity-building and development,</w:t>
      </w:r>
      <w:r w:rsidRPr="00610646">
        <w:rPr>
          <w:rStyle w:val="FootnoteReference"/>
        </w:rPr>
        <w:footnoteReference w:id="92"/>
      </w:r>
      <w:r w:rsidRPr="00832305">
        <w:rPr>
          <w:rFonts w:asciiTheme="majorBidi" w:hAnsiTheme="majorBidi" w:cstheme="majorBidi"/>
        </w:rPr>
        <w:t xml:space="preserve"> and the strengthening of technical and scientific cooperation in support of the Kunming-Montreal Global Biodiversity Framework;</w:t>
      </w:r>
    </w:p>
    <w:p w14:paraId="599377E9" w14:textId="77777777" w:rsidR="0000159D" w:rsidRDefault="0000159D" w:rsidP="00441D54">
      <w:pPr>
        <w:spacing w:before="120" w:after="120"/>
        <w:ind w:firstLine="709"/>
        <w:rPr>
          <w:rFonts w:asciiTheme="majorBidi" w:hAnsiTheme="majorBidi" w:cstheme="majorBidi"/>
        </w:rPr>
      </w:pPr>
      <w:r w:rsidRPr="00EE2CAF">
        <w:rPr>
          <w:rFonts w:asciiTheme="majorBidi" w:hAnsiTheme="majorBidi" w:cstheme="majorBidi"/>
        </w:rPr>
        <w:t>13</w:t>
      </w:r>
      <w:r w:rsidRPr="0010295D">
        <w:rPr>
          <w:rFonts w:asciiTheme="majorBidi" w:hAnsiTheme="majorBidi" w:cstheme="majorBidi"/>
        </w:rPr>
        <w:t>.</w:t>
      </w:r>
      <w:r w:rsidRPr="0010295D">
        <w:rPr>
          <w:rFonts w:asciiTheme="majorBidi" w:hAnsiTheme="majorBidi" w:cstheme="majorBidi"/>
        </w:rPr>
        <w:tab/>
      </w:r>
      <w:r w:rsidRPr="0010295D">
        <w:rPr>
          <w:rFonts w:asciiTheme="majorBidi" w:hAnsiTheme="majorBidi" w:cstheme="majorBidi"/>
          <w:i/>
          <w:iCs/>
        </w:rPr>
        <w:t>Calls</w:t>
      </w:r>
      <w:r w:rsidRPr="0010295D">
        <w:rPr>
          <w:rFonts w:asciiTheme="majorBidi" w:hAnsiTheme="majorBidi" w:cstheme="majorBidi"/>
        </w:rPr>
        <w:t xml:space="preserve"> </w:t>
      </w:r>
      <w:r w:rsidRPr="0010295D">
        <w:rPr>
          <w:rFonts w:asciiTheme="majorBidi" w:hAnsiTheme="majorBidi" w:cstheme="majorBidi"/>
          <w:i/>
          <w:iCs/>
        </w:rPr>
        <w:t>for</w:t>
      </w:r>
      <w:r w:rsidRPr="0010295D">
        <w:rPr>
          <w:rFonts w:asciiTheme="majorBidi" w:hAnsiTheme="majorBidi" w:cstheme="majorBidi"/>
        </w:rPr>
        <w:t xml:space="preserve"> specific and targeted capacity-building and development, technology transfer, according to </w:t>
      </w:r>
      <w:r>
        <w:rPr>
          <w:rFonts w:asciiTheme="majorBidi" w:hAnsiTheme="majorBidi" w:cstheme="majorBidi"/>
        </w:rPr>
        <w:t>A</w:t>
      </w:r>
      <w:r w:rsidRPr="0010295D">
        <w:rPr>
          <w:rFonts w:asciiTheme="majorBidi" w:hAnsiTheme="majorBidi" w:cstheme="majorBidi"/>
        </w:rPr>
        <w:t xml:space="preserve">rticle 16, and technical and scientific cooperation, according to </w:t>
      </w:r>
      <w:r>
        <w:rPr>
          <w:rFonts w:asciiTheme="majorBidi" w:hAnsiTheme="majorBidi" w:cstheme="majorBidi"/>
        </w:rPr>
        <w:t>A</w:t>
      </w:r>
      <w:r w:rsidRPr="0010295D">
        <w:rPr>
          <w:rFonts w:asciiTheme="majorBidi" w:hAnsiTheme="majorBidi" w:cstheme="majorBidi"/>
        </w:rPr>
        <w:t>rticle 18 and, as appropriate, support for developing countries, in particular the least developed countries and small islands developing States among them, and</w:t>
      </w:r>
      <w:r w:rsidRPr="00EE2CAF">
        <w:rPr>
          <w:rFonts w:asciiTheme="majorBidi" w:hAnsiTheme="majorBidi" w:cstheme="majorBidi"/>
        </w:rPr>
        <w:t xml:space="preserve"> Parties with economies in transition, to generate</w:t>
      </w:r>
      <w:r>
        <w:rPr>
          <w:rFonts w:asciiTheme="majorBidi" w:hAnsiTheme="majorBidi" w:cstheme="majorBidi"/>
        </w:rPr>
        <w:t>,</w:t>
      </w:r>
      <w:r w:rsidRPr="00EE2CAF">
        <w:rPr>
          <w:rFonts w:asciiTheme="majorBidi" w:hAnsiTheme="majorBidi" w:cstheme="majorBidi"/>
        </w:rPr>
        <w:t xml:space="preserve"> access</w:t>
      </w:r>
      <w:r>
        <w:rPr>
          <w:rFonts w:asciiTheme="majorBidi" w:hAnsiTheme="majorBidi" w:cstheme="majorBidi"/>
        </w:rPr>
        <w:t xml:space="preserve"> and</w:t>
      </w:r>
      <w:r w:rsidRPr="00EE2CAF">
        <w:rPr>
          <w:rFonts w:asciiTheme="majorBidi" w:hAnsiTheme="majorBidi" w:cstheme="majorBidi"/>
        </w:rPr>
        <w:t xml:space="preserve"> use digital sequence information on genetic resources for research and innovation, taking into account</w:t>
      </w:r>
      <w:r>
        <w:rPr>
          <w:rFonts w:asciiTheme="majorBidi" w:hAnsiTheme="majorBidi" w:cstheme="majorBidi"/>
        </w:rPr>
        <w:t xml:space="preserve"> the key areas for potential capacity-building and modalities for capacity-building activities as identified by the Ad Hoc Technical Expert Group on D</w:t>
      </w:r>
      <w:r w:rsidRPr="00EE2CAF">
        <w:rPr>
          <w:rFonts w:asciiTheme="majorBidi" w:hAnsiTheme="majorBidi" w:cstheme="majorBidi"/>
        </w:rPr>
        <w:t xml:space="preserve">igital </w:t>
      </w:r>
      <w:r>
        <w:rPr>
          <w:rFonts w:asciiTheme="majorBidi" w:hAnsiTheme="majorBidi" w:cstheme="majorBidi"/>
        </w:rPr>
        <w:t>S</w:t>
      </w:r>
      <w:r w:rsidRPr="00EE2CAF">
        <w:rPr>
          <w:rFonts w:asciiTheme="majorBidi" w:hAnsiTheme="majorBidi" w:cstheme="majorBidi"/>
        </w:rPr>
        <w:t xml:space="preserve">equence </w:t>
      </w:r>
      <w:r>
        <w:rPr>
          <w:rFonts w:asciiTheme="majorBidi" w:hAnsiTheme="majorBidi" w:cstheme="majorBidi"/>
        </w:rPr>
        <w:t>I</w:t>
      </w:r>
      <w:r w:rsidRPr="00EE2CAF">
        <w:rPr>
          <w:rFonts w:asciiTheme="majorBidi" w:hAnsiTheme="majorBidi" w:cstheme="majorBidi"/>
        </w:rPr>
        <w:t xml:space="preserve">nformation on </w:t>
      </w:r>
      <w:r>
        <w:rPr>
          <w:rFonts w:asciiTheme="majorBidi" w:hAnsiTheme="majorBidi" w:cstheme="majorBidi"/>
        </w:rPr>
        <w:t>G</w:t>
      </w:r>
      <w:r w:rsidRPr="00EE2CAF">
        <w:rPr>
          <w:rFonts w:asciiTheme="majorBidi" w:hAnsiTheme="majorBidi" w:cstheme="majorBidi"/>
        </w:rPr>
        <w:t xml:space="preserve">enetic </w:t>
      </w:r>
      <w:r>
        <w:rPr>
          <w:rFonts w:asciiTheme="majorBidi" w:hAnsiTheme="majorBidi" w:cstheme="majorBidi"/>
        </w:rPr>
        <w:t>R</w:t>
      </w:r>
      <w:r w:rsidRPr="00EE2CAF">
        <w:rPr>
          <w:rFonts w:asciiTheme="majorBidi" w:hAnsiTheme="majorBidi" w:cstheme="majorBidi"/>
        </w:rPr>
        <w:t>esources</w:t>
      </w:r>
      <w:r>
        <w:rPr>
          <w:rFonts w:asciiTheme="majorBidi" w:hAnsiTheme="majorBidi" w:cstheme="majorBidi"/>
        </w:rPr>
        <w:t>;</w:t>
      </w:r>
      <w:r w:rsidRPr="00610646">
        <w:rPr>
          <w:rStyle w:val="FootnoteReference"/>
        </w:rPr>
        <w:footnoteReference w:id="93"/>
      </w:r>
      <w:r w:rsidRPr="00EE2CAF">
        <w:rPr>
          <w:rFonts w:asciiTheme="majorBidi" w:hAnsiTheme="majorBidi" w:cstheme="majorBidi"/>
        </w:rPr>
        <w:t xml:space="preserve"> </w:t>
      </w:r>
    </w:p>
    <w:p w14:paraId="096C0748" w14:textId="77777777" w:rsidR="0000159D" w:rsidRPr="00CC3D3D" w:rsidRDefault="0000159D" w:rsidP="00441D54">
      <w:pPr>
        <w:spacing w:before="120" w:after="120"/>
        <w:ind w:firstLine="709"/>
        <w:rPr>
          <w:rFonts w:asciiTheme="majorBidi" w:hAnsiTheme="majorBidi" w:cstheme="majorBidi"/>
        </w:rPr>
      </w:pPr>
      <w:r>
        <w:rPr>
          <w:rFonts w:asciiTheme="majorBidi" w:hAnsiTheme="majorBidi" w:cstheme="majorBidi"/>
        </w:rPr>
        <w:t xml:space="preserve">14. </w:t>
      </w:r>
      <w:r>
        <w:rPr>
          <w:rFonts w:asciiTheme="majorBidi" w:hAnsiTheme="majorBidi" w:cstheme="majorBidi"/>
        </w:rPr>
        <w:tab/>
      </w:r>
      <w:r w:rsidRPr="003875E5">
        <w:rPr>
          <w:rFonts w:asciiTheme="majorBidi" w:hAnsiTheme="majorBidi" w:cstheme="majorBidi"/>
          <w:i/>
          <w:iCs/>
        </w:rPr>
        <w:t>Encourages</w:t>
      </w:r>
      <w:r>
        <w:rPr>
          <w:rFonts w:asciiTheme="majorBidi" w:hAnsiTheme="majorBidi" w:cstheme="majorBidi"/>
        </w:rPr>
        <w:t xml:space="preserve"> P</w:t>
      </w:r>
      <w:r w:rsidRPr="00EE2CAF">
        <w:rPr>
          <w:rFonts w:asciiTheme="majorBidi" w:hAnsiTheme="majorBidi" w:cstheme="majorBidi"/>
        </w:rPr>
        <w:t xml:space="preserve">arties </w:t>
      </w:r>
      <w:r>
        <w:rPr>
          <w:rFonts w:asciiTheme="majorBidi" w:hAnsiTheme="majorBidi" w:cstheme="majorBidi"/>
        </w:rPr>
        <w:t>to</w:t>
      </w:r>
      <w:r w:rsidRPr="00EE2CAF">
        <w:rPr>
          <w:rFonts w:asciiTheme="majorBidi" w:hAnsiTheme="majorBidi" w:cstheme="majorBidi"/>
        </w:rPr>
        <w:t xml:space="preserve"> support the capacity needs and priorities, as appropriate, of indigenous peoples and local communities and relevant stakeholders, as identified by them, emphasizing the capacity needs and priorities of women; </w:t>
      </w:r>
    </w:p>
    <w:p w14:paraId="105FFC46" w14:textId="77777777" w:rsidR="0000159D" w:rsidRPr="00EE2CAF" w:rsidRDefault="0000159D" w:rsidP="00441D54">
      <w:pPr>
        <w:spacing w:before="120" w:after="120"/>
        <w:ind w:firstLine="709"/>
        <w:rPr>
          <w:rFonts w:asciiTheme="majorBidi" w:hAnsiTheme="majorBidi" w:cstheme="majorBidi"/>
          <w:i/>
        </w:rPr>
      </w:pPr>
      <w:r w:rsidRPr="00EE2CAF">
        <w:rPr>
          <w:rFonts w:asciiTheme="majorBidi" w:hAnsiTheme="majorBidi" w:cstheme="majorBidi"/>
        </w:rPr>
        <w:t>1</w:t>
      </w:r>
      <w:r>
        <w:rPr>
          <w:rFonts w:asciiTheme="majorBidi" w:hAnsiTheme="majorBidi" w:cstheme="majorBidi"/>
        </w:rPr>
        <w:t>5</w:t>
      </w:r>
      <w:r w:rsidRPr="00EE2CAF">
        <w:rPr>
          <w:rFonts w:asciiTheme="majorBidi" w:hAnsiTheme="majorBidi" w:cstheme="majorBidi"/>
        </w:rPr>
        <w:t>.</w:t>
      </w:r>
      <w:r w:rsidRPr="00EE2CAF">
        <w:rPr>
          <w:rFonts w:asciiTheme="majorBidi" w:hAnsiTheme="majorBidi" w:cstheme="majorBidi"/>
        </w:rPr>
        <w:tab/>
      </w:r>
      <w:r w:rsidRPr="00EE2CAF">
        <w:rPr>
          <w:rFonts w:asciiTheme="majorBidi" w:hAnsiTheme="majorBidi" w:cstheme="majorBidi"/>
          <w:i/>
          <w:iCs/>
        </w:rPr>
        <w:t>Recalls</w:t>
      </w:r>
      <w:r w:rsidRPr="00EE2CAF">
        <w:rPr>
          <w:rFonts w:asciiTheme="majorBidi" w:hAnsiTheme="majorBidi" w:cstheme="majorBidi"/>
          <w:i/>
        </w:rPr>
        <w:t xml:space="preserve"> </w:t>
      </w:r>
      <w:r w:rsidRPr="00EE2CAF">
        <w:rPr>
          <w:rFonts w:asciiTheme="majorBidi" w:hAnsiTheme="majorBidi" w:cstheme="majorBidi"/>
        </w:rPr>
        <w:t>the proposed policy options for a solution on benefit-sharing from the use of digital sequence information on genetic resources as contained in the annex to recommendation 5/2</w:t>
      </w:r>
      <w:r>
        <w:rPr>
          <w:rFonts w:asciiTheme="majorBidi" w:hAnsiTheme="majorBidi" w:cstheme="majorBidi"/>
        </w:rPr>
        <w:t xml:space="preserve"> of the Open-ended Working Group on the Post-2020 Global Biodiversity Framework</w:t>
      </w:r>
      <w:r w:rsidRPr="00EE2CAF">
        <w:rPr>
          <w:rFonts w:asciiTheme="majorBidi" w:hAnsiTheme="majorBidi" w:cstheme="majorBidi"/>
        </w:rPr>
        <w:t>;</w:t>
      </w:r>
    </w:p>
    <w:p w14:paraId="4D5DB5DD" w14:textId="77777777" w:rsidR="0000159D" w:rsidRPr="00EE2CAF" w:rsidRDefault="0000159D" w:rsidP="00441D54">
      <w:pPr>
        <w:spacing w:before="120" w:after="120"/>
        <w:ind w:firstLine="709"/>
        <w:rPr>
          <w:rFonts w:asciiTheme="majorBidi" w:hAnsiTheme="majorBidi" w:cstheme="majorBidi"/>
          <w:i/>
          <w:iCs/>
        </w:rPr>
      </w:pPr>
      <w:r w:rsidRPr="00EE2CAF">
        <w:rPr>
          <w:rFonts w:asciiTheme="majorBidi" w:hAnsiTheme="majorBidi" w:cstheme="majorBidi"/>
          <w:iCs/>
        </w:rPr>
        <w:t>1</w:t>
      </w:r>
      <w:r>
        <w:rPr>
          <w:rFonts w:asciiTheme="majorBidi" w:hAnsiTheme="majorBidi" w:cstheme="majorBidi"/>
          <w:iCs/>
        </w:rPr>
        <w:t>6</w:t>
      </w:r>
      <w:r w:rsidRPr="00EE2CAF">
        <w:rPr>
          <w:rFonts w:asciiTheme="majorBidi" w:hAnsiTheme="majorBidi" w:cstheme="majorBidi"/>
          <w:iCs/>
        </w:rPr>
        <w:t>.</w:t>
      </w:r>
      <w:r w:rsidRPr="00EE2CAF">
        <w:rPr>
          <w:rFonts w:asciiTheme="majorBidi" w:hAnsiTheme="majorBidi" w:cstheme="majorBidi"/>
          <w:iCs/>
        </w:rPr>
        <w:tab/>
      </w:r>
      <w:r w:rsidRPr="00EE2CAF">
        <w:rPr>
          <w:rFonts w:asciiTheme="majorBidi" w:hAnsiTheme="majorBidi" w:cstheme="majorBidi"/>
          <w:i/>
          <w:iCs/>
        </w:rPr>
        <w:t>Decides</w:t>
      </w:r>
      <w:r w:rsidRPr="00EE2CAF">
        <w:rPr>
          <w:rFonts w:asciiTheme="majorBidi" w:hAnsiTheme="majorBidi" w:cstheme="majorBidi"/>
        </w:rPr>
        <w:t xml:space="preserve"> to establish, as part of the </w:t>
      </w:r>
      <w:r>
        <w:rPr>
          <w:rFonts w:asciiTheme="majorBidi" w:hAnsiTheme="majorBidi" w:cstheme="majorBidi"/>
        </w:rPr>
        <w:t>Kunming-Montreal</w:t>
      </w:r>
      <w:r w:rsidRPr="00EE2CAF">
        <w:rPr>
          <w:rFonts w:asciiTheme="majorBidi" w:hAnsiTheme="majorBidi" w:cstheme="majorBidi"/>
        </w:rPr>
        <w:t xml:space="preserve"> </w:t>
      </w:r>
      <w:r>
        <w:rPr>
          <w:rFonts w:asciiTheme="majorBidi" w:hAnsiTheme="majorBidi" w:cstheme="majorBidi"/>
        </w:rPr>
        <w:t>G</w:t>
      </w:r>
      <w:r w:rsidRPr="00EE2CAF">
        <w:rPr>
          <w:rFonts w:asciiTheme="majorBidi" w:hAnsiTheme="majorBidi" w:cstheme="majorBidi"/>
        </w:rPr>
        <w:t xml:space="preserve">lobal </w:t>
      </w:r>
      <w:r>
        <w:rPr>
          <w:rFonts w:asciiTheme="majorBidi" w:hAnsiTheme="majorBidi" w:cstheme="majorBidi"/>
        </w:rPr>
        <w:t>B</w:t>
      </w:r>
      <w:r w:rsidRPr="00EE2CAF">
        <w:rPr>
          <w:rFonts w:asciiTheme="majorBidi" w:hAnsiTheme="majorBidi" w:cstheme="majorBidi"/>
        </w:rPr>
        <w:t xml:space="preserve">iodiversity </w:t>
      </w:r>
      <w:r>
        <w:rPr>
          <w:rFonts w:asciiTheme="majorBidi" w:hAnsiTheme="majorBidi" w:cstheme="majorBidi"/>
        </w:rPr>
        <w:t>F</w:t>
      </w:r>
      <w:r w:rsidRPr="00EE2CAF">
        <w:rPr>
          <w:rFonts w:asciiTheme="majorBidi" w:hAnsiTheme="majorBidi" w:cstheme="majorBidi"/>
        </w:rPr>
        <w:t xml:space="preserve">ramework, a </w:t>
      </w:r>
      <w:r>
        <w:rPr>
          <w:rFonts w:asciiTheme="majorBidi" w:hAnsiTheme="majorBidi" w:cstheme="majorBidi"/>
        </w:rPr>
        <w:t>multilateral</w:t>
      </w:r>
      <w:r w:rsidRPr="00EE2CAF">
        <w:rPr>
          <w:rFonts w:asciiTheme="majorBidi" w:hAnsiTheme="majorBidi" w:cstheme="majorBidi"/>
        </w:rPr>
        <w:t xml:space="preserve"> mechanism for benefit</w:t>
      </w:r>
      <w:r>
        <w:rPr>
          <w:rFonts w:asciiTheme="majorBidi" w:hAnsiTheme="majorBidi" w:cstheme="majorBidi"/>
        </w:rPr>
        <w:t>-</w:t>
      </w:r>
      <w:r w:rsidRPr="00EE2CAF">
        <w:rPr>
          <w:rFonts w:asciiTheme="majorBidi" w:hAnsiTheme="majorBidi" w:cstheme="majorBidi"/>
        </w:rPr>
        <w:t xml:space="preserve">sharing from the use of digital sequence information on </w:t>
      </w:r>
      <w:r w:rsidRPr="00FD2290">
        <w:rPr>
          <w:rFonts w:asciiTheme="majorBidi" w:hAnsiTheme="majorBidi" w:cstheme="majorBidi"/>
        </w:rPr>
        <w:t xml:space="preserve">genetic resources, including a </w:t>
      </w:r>
      <w:r>
        <w:rPr>
          <w:rFonts w:asciiTheme="majorBidi" w:hAnsiTheme="majorBidi" w:cstheme="majorBidi"/>
        </w:rPr>
        <w:t>global</w:t>
      </w:r>
      <w:r w:rsidRPr="00FD2290">
        <w:rPr>
          <w:rFonts w:asciiTheme="majorBidi" w:hAnsiTheme="majorBidi" w:cstheme="majorBidi"/>
        </w:rPr>
        <w:t xml:space="preserve"> fund</w:t>
      </w:r>
      <w:r>
        <w:rPr>
          <w:rFonts w:asciiTheme="majorBidi" w:hAnsiTheme="majorBidi" w:cstheme="majorBidi"/>
        </w:rPr>
        <w:t>;</w:t>
      </w:r>
      <w:r w:rsidRPr="00610646">
        <w:rPr>
          <w:rStyle w:val="FootnoteReference"/>
        </w:rPr>
        <w:footnoteReference w:id="94"/>
      </w:r>
    </w:p>
    <w:p w14:paraId="1F16AE1D"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1</w:t>
      </w:r>
      <w:r>
        <w:rPr>
          <w:rFonts w:asciiTheme="majorBidi" w:hAnsiTheme="majorBidi" w:cstheme="majorBidi"/>
        </w:rPr>
        <w:t>7</w:t>
      </w:r>
      <w:r w:rsidRPr="00EE2CAF">
        <w:rPr>
          <w:rFonts w:asciiTheme="majorBidi" w:hAnsiTheme="majorBidi" w:cstheme="majorBidi"/>
        </w:rPr>
        <w:t>.</w:t>
      </w:r>
      <w:r w:rsidRPr="00EE2CAF">
        <w:rPr>
          <w:rFonts w:asciiTheme="majorBidi" w:hAnsiTheme="majorBidi" w:cstheme="majorBidi"/>
        </w:rPr>
        <w:tab/>
      </w:r>
      <w:r w:rsidRPr="0081017C">
        <w:rPr>
          <w:rFonts w:asciiTheme="majorBidi" w:hAnsiTheme="majorBidi"/>
          <w:i/>
        </w:rPr>
        <w:t>Also decides</w:t>
      </w:r>
      <w:r w:rsidRPr="00EE2CAF">
        <w:rPr>
          <w:rFonts w:asciiTheme="majorBidi" w:hAnsiTheme="majorBidi" w:cstheme="majorBidi"/>
        </w:rPr>
        <w:t xml:space="preserve"> to establish a fair, transparent, inclusive, participatory and time-bound process to further develop and </w:t>
      </w:r>
      <w:r>
        <w:rPr>
          <w:rFonts w:asciiTheme="majorBidi" w:hAnsiTheme="majorBidi" w:cstheme="majorBidi"/>
        </w:rPr>
        <w:t>operationalize the</w:t>
      </w:r>
      <w:r w:rsidRPr="00EE2CAF">
        <w:rPr>
          <w:rFonts w:asciiTheme="majorBidi" w:hAnsiTheme="majorBidi" w:cstheme="majorBidi"/>
        </w:rPr>
        <w:t xml:space="preserve"> mechanism, as outlined in paragraphs </w:t>
      </w:r>
      <w:r>
        <w:rPr>
          <w:rFonts w:asciiTheme="majorBidi" w:hAnsiTheme="majorBidi" w:cstheme="majorBidi"/>
        </w:rPr>
        <w:t>18 and 20</w:t>
      </w:r>
      <w:r w:rsidRPr="00EE2CAF">
        <w:rPr>
          <w:rFonts w:asciiTheme="majorBidi" w:hAnsiTheme="majorBidi" w:cstheme="majorBidi"/>
        </w:rPr>
        <w:t xml:space="preserve"> to </w:t>
      </w:r>
      <w:r>
        <w:rPr>
          <w:rFonts w:asciiTheme="majorBidi" w:hAnsiTheme="majorBidi" w:cstheme="majorBidi"/>
        </w:rPr>
        <w:t>22</w:t>
      </w:r>
      <w:r w:rsidRPr="00EE2CAF">
        <w:rPr>
          <w:rFonts w:asciiTheme="majorBidi" w:hAnsiTheme="majorBidi" w:cstheme="majorBidi"/>
        </w:rPr>
        <w:t xml:space="preserve"> below, to be finalized at </w:t>
      </w:r>
      <w:r>
        <w:rPr>
          <w:rFonts w:asciiTheme="majorBidi" w:hAnsiTheme="majorBidi" w:cstheme="majorBidi"/>
        </w:rPr>
        <w:t>the sixteenth meeting of the Conference of the Parties</w:t>
      </w:r>
      <w:r w:rsidRPr="00EE2CAF">
        <w:rPr>
          <w:rFonts w:asciiTheme="majorBidi" w:hAnsiTheme="majorBidi" w:cstheme="majorBidi"/>
        </w:rPr>
        <w:t>;</w:t>
      </w:r>
    </w:p>
    <w:p w14:paraId="4422454F"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1</w:t>
      </w:r>
      <w:r>
        <w:rPr>
          <w:rFonts w:asciiTheme="majorBidi" w:hAnsiTheme="majorBidi" w:cstheme="majorBidi"/>
        </w:rPr>
        <w:t>8</w:t>
      </w:r>
      <w:r w:rsidRPr="00EE2CAF">
        <w:rPr>
          <w:rFonts w:asciiTheme="majorBidi" w:hAnsiTheme="majorBidi" w:cstheme="majorBidi"/>
        </w:rPr>
        <w:t>.</w:t>
      </w:r>
      <w:r w:rsidRPr="00EE2CAF">
        <w:rPr>
          <w:rFonts w:asciiTheme="majorBidi" w:hAnsiTheme="majorBidi" w:cstheme="majorBidi"/>
        </w:rPr>
        <w:tab/>
      </w:r>
      <w:r w:rsidRPr="00EE2CAF">
        <w:rPr>
          <w:rFonts w:asciiTheme="majorBidi" w:hAnsiTheme="majorBidi" w:cstheme="majorBidi"/>
          <w:i/>
          <w:iCs/>
        </w:rPr>
        <w:t xml:space="preserve">Establishes </w:t>
      </w:r>
      <w:r w:rsidRPr="00EE2CAF">
        <w:rPr>
          <w:rFonts w:asciiTheme="majorBidi" w:hAnsiTheme="majorBidi" w:cstheme="majorBidi"/>
        </w:rPr>
        <w:t xml:space="preserve">an </w:t>
      </w:r>
      <w:r>
        <w:rPr>
          <w:rFonts w:asciiTheme="majorBidi" w:hAnsiTheme="majorBidi" w:cstheme="majorBidi"/>
        </w:rPr>
        <w:t>a</w:t>
      </w:r>
      <w:r w:rsidRPr="00EE2CAF">
        <w:rPr>
          <w:rFonts w:asciiTheme="majorBidi" w:hAnsiTheme="majorBidi" w:cstheme="majorBidi"/>
        </w:rPr>
        <w:t xml:space="preserve">d </w:t>
      </w:r>
      <w:r>
        <w:rPr>
          <w:rFonts w:asciiTheme="majorBidi" w:hAnsiTheme="majorBidi" w:cstheme="majorBidi"/>
        </w:rPr>
        <w:t>h</w:t>
      </w:r>
      <w:r w:rsidRPr="00EE2CAF">
        <w:rPr>
          <w:rFonts w:asciiTheme="majorBidi" w:hAnsiTheme="majorBidi" w:cstheme="majorBidi"/>
        </w:rPr>
        <w:t xml:space="preserve">oc </w:t>
      </w:r>
      <w:r>
        <w:rPr>
          <w:rFonts w:asciiTheme="majorBidi" w:hAnsiTheme="majorBidi" w:cstheme="majorBidi"/>
        </w:rPr>
        <w:t>o</w:t>
      </w:r>
      <w:r w:rsidRPr="00EE2CAF">
        <w:rPr>
          <w:rFonts w:asciiTheme="majorBidi" w:hAnsiTheme="majorBidi" w:cstheme="majorBidi"/>
        </w:rPr>
        <w:t>pen-</w:t>
      </w:r>
      <w:r>
        <w:rPr>
          <w:rFonts w:asciiTheme="majorBidi" w:hAnsiTheme="majorBidi" w:cstheme="majorBidi"/>
        </w:rPr>
        <w:t>e</w:t>
      </w:r>
      <w:r w:rsidRPr="00EE2CAF">
        <w:rPr>
          <w:rFonts w:asciiTheme="majorBidi" w:hAnsiTheme="majorBidi" w:cstheme="majorBidi"/>
        </w:rPr>
        <w:t xml:space="preserve">nded </w:t>
      </w:r>
      <w:r>
        <w:rPr>
          <w:rFonts w:asciiTheme="majorBidi" w:hAnsiTheme="majorBidi" w:cstheme="majorBidi"/>
        </w:rPr>
        <w:t>w</w:t>
      </w:r>
      <w:r w:rsidRPr="00EE2CAF">
        <w:rPr>
          <w:rFonts w:asciiTheme="majorBidi" w:hAnsiTheme="majorBidi" w:cstheme="majorBidi"/>
        </w:rPr>
        <w:t xml:space="preserve">orking </w:t>
      </w:r>
      <w:r>
        <w:rPr>
          <w:rFonts w:asciiTheme="majorBidi" w:hAnsiTheme="majorBidi" w:cstheme="majorBidi"/>
        </w:rPr>
        <w:t>g</w:t>
      </w:r>
      <w:r w:rsidRPr="00EE2CAF">
        <w:rPr>
          <w:rFonts w:asciiTheme="majorBidi" w:hAnsiTheme="majorBidi" w:cstheme="majorBidi"/>
        </w:rPr>
        <w:t xml:space="preserve">roup on </w:t>
      </w:r>
      <w:r>
        <w:rPr>
          <w:rFonts w:asciiTheme="majorBidi" w:hAnsiTheme="majorBidi" w:cstheme="majorBidi"/>
        </w:rPr>
        <w:t xml:space="preserve">benefit-sharing from the use of digital sequence information on genetic resources </w:t>
      </w:r>
      <w:r w:rsidRPr="00EE2CAF">
        <w:rPr>
          <w:rFonts w:asciiTheme="majorBidi" w:hAnsiTheme="majorBidi" w:cstheme="majorBidi"/>
        </w:rPr>
        <w:t xml:space="preserve">to undertake further development of the </w:t>
      </w:r>
      <w:r>
        <w:rPr>
          <w:rFonts w:asciiTheme="majorBidi" w:hAnsiTheme="majorBidi" w:cstheme="majorBidi"/>
        </w:rPr>
        <w:t>multilateral</w:t>
      </w:r>
      <w:r w:rsidRPr="00EE2CAF">
        <w:rPr>
          <w:rFonts w:asciiTheme="majorBidi" w:hAnsiTheme="majorBidi" w:cstheme="majorBidi"/>
        </w:rPr>
        <w:t xml:space="preserve"> mechanism, including the elements identified in </w:t>
      </w:r>
      <w:r>
        <w:rPr>
          <w:rFonts w:asciiTheme="majorBidi" w:hAnsiTheme="majorBidi" w:cstheme="majorBidi"/>
        </w:rPr>
        <w:t>the a</w:t>
      </w:r>
      <w:r w:rsidRPr="00EE2CAF">
        <w:rPr>
          <w:rFonts w:asciiTheme="majorBidi" w:hAnsiTheme="majorBidi" w:cstheme="majorBidi"/>
        </w:rPr>
        <w:t>nnex</w:t>
      </w:r>
      <w:r>
        <w:rPr>
          <w:rFonts w:asciiTheme="majorBidi" w:hAnsiTheme="majorBidi" w:cstheme="majorBidi"/>
        </w:rPr>
        <w:t>, and to make recommendations to the Conference of the Parties at its sixteenth meeting</w:t>
      </w:r>
      <w:r w:rsidRPr="00EE2CAF">
        <w:rPr>
          <w:rFonts w:asciiTheme="majorBidi" w:hAnsiTheme="majorBidi" w:cstheme="majorBidi"/>
        </w:rPr>
        <w:t>;</w:t>
      </w:r>
    </w:p>
    <w:p w14:paraId="71C9B912" w14:textId="77777777" w:rsidR="0000159D" w:rsidRPr="00EE2CAF" w:rsidRDefault="0000159D" w:rsidP="00441D54">
      <w:pPr>
        <w:spacing w:before="120" w:after="120"/>
        <w:ind w:firstLine="709"/>
        <w:rPr>
          <w:rFonts w:asciiTheme="majorBidi" w:hAnsiTheme="majorBidi" w:cstheme="majorBidi"/>
        </w:rPr>
      </w:pPr>
      <w:r w:rsidRPr="00EE2CAF">
        <w:rPr>
          <w:rFonts w:asciiTheme="majorBidi" w:hAnsiTheme="majorBidi" w:cstheme="majorBidi"/>
        </w:rPr>
        <w:t>1</w:t>
      </w:r>
      <w:r>
        <w:rPr>
          <w:rFonts w:asciiTheme="majorBidi" w:hAnsiTheme="majorBidi" w:cstheme="majorBidi"/>
        </w:rPr>
        <w:t>9</w:t>
      </w:r>
      <w:r w:rsidRPr="00EE2CAF">
        <w:rPr>
          <w:rFonts w:asciiTheme="majorBidi" w:hAnsiTheme="majorBidi" w:cstheme="majorBidi"/>
        </w:rPr>
        <w:t>.</w:t>
      </w:r>
      <w:r w:rsidRPr="00EE2CAF">
        <w:rPr>
          <w:rFonts w:asciiTheme="majorBidi" w:hAnsiTheme="majorBidi" w:cstheme="majorBidi"/>
        </w:rPr>
        <w:tab/>
      </w:r>
      <w:r>
        <w:rPr>
          <w:rFonts w:asciiTheme="majorBidi" w:hAnsiTheme="majorBidi" w:cstheme="majorBidi"/>
          <w:i/>
          <w:iCs/>
        </w:rPr>
        <w:t>D</w:t>
      </w:r>
      <w:r w:rsidRPr="00EE2CAF">
        <w:rPr>
          <w:rFonts w:asciiTheme="majorBidi" w:hAnsiTheme="majorBidi" w:cstheme="majorBidi"/>
          <w:i/>
          <w:iCs/>
        </w:rPr>
        <w:t>ecides</w:t>
      </w:r>
      <w:r w:rsidRPr="00EE2CAF">
        <w:rPr>
          <w:rFonts w:asciiTheme="majorBidi" w:hAnsiTheme="majorBidi" w:cstheme="majorBidi"/>
        </w:rPr>
        <w:t xml:space="preserve"> to review the effectiveness of the </w:t>
      </w:r>
      <w:r>
        <w:rPr>
          <w:rFonts w:asciiTheme="majorBidi" w:hAnsiTheme="majorBidi" w:cstheme="majorBidi"/>
        </w:rPr>
        <w:t>multilateral</w:t>
      </w:r>
      <w:r w:rsidRPr="00EE2CAF">
        <w:rPr>
          <w:rFonts w:asciiTheme="majorBidi" w:hAnsiTheme="majorBidi" w:cstheme="majorBidi"/>
        </w:rPr>
        <w:t xml:space="preserve"> mechanism at </w:t>
      </w:r>
      <w:r>
        <w:rPr>
          <w:rFonts w:asciiTheme="majorBidi" w:hAnsiTheme="majorBidi" w:cstheme="majorBidi"/>
        </w:rPr>
        <w:t>the eighteenth meeting of the Conference of the Parties</w:t>
      </w:r>
      <w:r w:rsidRPr="00EE2CAF">
        <w:rPr>
          <w:rFonts w:asciiTheme="majorBidi" w:hAnsiTheme="majorBidi" w:cstheme="majorBidi"/>
        </w:rPr>
        <w:t>, including, inter alia, the criteria laid out in paragraph</w:t>
      </w:r>
      <w:r>
        <w:rPr>
          <w:rFonts w:asciiTheme="majorBidi" w:hAnsiTheme="majorBidi" w:cstheme="majorBidi"/>
        </w:rPr>
        <w:t>s</w:t>
      </w:r>
      <w:r w:rsidRPr="00EE2CAF">
        <w:rPr>
          <w:rFonts w:asciiTheme="majorBidi" w:hAnsiTheme="majorBidi" w:cstheme="majorBidi"/>
        </w:rPr>
        <w:t xml:space="preserve"> 9 and 10</w:t>
      </w:r>
      <w:r>
        <w:rPr>
          <w:rFonts w:asciiTheme="majorBidi" w:hAnsiTheme="majorBidi" w:cstheme="majorBidi"/>
        </w:rPr>
        <w:t xml:space="preserve"> of the present decision</w:t>
      </w:r>
      <w:r w:rsidRPr="00EE2CAF">
        <w:rPr>
          <w:rFonts w:asciiTheme="majorBidi" w:hAnsiTheme="majorBidi" w:cstheme="majorBidi"/>
        </w:rPr>
        <w:t>;</w:t>
      </w:r>
    </w:p>
    <w:p w14:paraId="62CDCB6B" w14:textId="77777777" w:rsidR="0000159D" w:rsidRPr="00EE2CAF" w:rsidRDefault="0000159D" w:rsidP="00441D54">
      <w:pPr>
        <w:spacing w:before="120" w:after="120"/>
        <w:ind w:firstLine="709"/>
        <w:rPr>
          <w:rFonts w:asciiTheme="majorBidi" w:hAnsiTheme="majorBidi" w:cstheme="majorBidi"/>
        </w:rPr>
      </w:pPr>
      <w:r>
        <w:rPr>
          <w:rFonts w:asciiTheme="majorBidi" w:hAnsiTheme="majorBidi" w:cstheme="majorBidi"/>
        </w:rPr>
        <w:lastRenderedPageBreak/>
        <w:t>20</w:t>
      </w:r>
      <w:r w:rsidRPr="00EE2CAF">
        <w:rPr>
          <w:rFonts w:asciiTheme="majorBidi" w:hAnsiTheme="majorBidi" w:cstheme="majorBidi"/>
        </w:rPr>
        <w:t>.</w:t>
      </w:r>
      <w:r w:rsidRPr="00EE2CAF">
        <w:rPr>
          <w:rFonts w:asciiTheme="majorBidi" w:hAnsiTheme="majorBidi" w:cstheme="majorBidi"/>
        </w:rPr>
        <w:tab/>
      </w:r>
      <w:r w:rsidRPr="00EE2CAF">
        <w:rPr>
          <w:rFonts w:asciiTheme="majorBidi" w:hAnsiTheme="majorBidi" w:cstheme="majorBidi"/>
          <w:i/>
        </w:rPr>
        <w:t>Invites</w:t>
      </w:r>
      <w:r w:rsidRPr="00EE2CAF">
        <w:rPr>
          <w:rFonts w:asciiTheme="majorBidi" w:hAnsiTheme="majorBidi" w:cstheme="majorBidi"/>
        </w:rPr>
        <w:t xml:space="preserve"> Parties, other Governments, indigenous people and local communities and relevant organizations to submit views on the issues set out in </w:t>
      </w:r>
      <w:r>
        <w:rPr>
          <w:rFonts w:asciiTheme="majorBidi" w:hAnsiTheme="majorBidi" w:cstheme="majorBidi"/>
        </w:rPr>
        <w:t>the a</w:t>
      </w:r>
      <w:r w:rsidRPr="00EE2CAF">
        <w:rPr>
          <w:rFonts w:asciiTheme="majorBidi" w:hAnsiTheme="majorBidi" w:cstheme="majorBidi"/>
        </w:rPr>
        <w:t>nnex</w:t>
      </w:r>
      <w:r>
        <w:rPr>
          <w:rFonts w:asciiTheme="majorBidi" w:hAnsiTheme="majorBidi" w:cstheme="majorBidi"/>
        </w:rPr>
        <w:t xml:space="preserve"> to the present decision</w:t>
      </w:r>
      <w:r w:rsidRPr="00EE2CAF">
        <w:rPr>
          <w:rFonts w:asciiTheme="majorBidi" w:hAnsiTheme="majorBidi" w:cstheme="majorBidi"/>
        </w:rPr>
        <w:t>;</w:t>
      </w:r>
    </w:p>
    <w:p w14:paraId="0C01A6A9" w14:textId="77777777" w:rsidR="0000159D" w:rsidRPr="00EE2CAF" w:rsidRDefault="0000159D" w:rsidP="00441D54">
      <w:pPr>
        <w:spacing w:before="120" w:after="120"/>
        <w:ind w:firstLine="709"/>
        <w:rPr>
          <w:rFonts w:asciiTheme="majorBidi" w:hAnsiTheme="majorBidi" w:cstheme="majorBidi"/>
        </w:rPr>
      </w:pPr>
      <w:r>
        <w:rPr>
          <w:rFonts w:asciiTheme="majorBidi" w:hAnsiTheme="majorBidi" w:cstheme="majorBidi"/>
        </w:rPr>
        <w:t>21</w:t>
      </w:r>
      <w:r w:rsidRPr="00EE2CAF">
        <w:rPr>
          <w:rFonts w:asciiTheme="majorBidi" w:hAnsiTheme="majorBidi" w:cstheme="majorBidi"/>
        </w:rPr>
        <w:t>.</w:t>
      </w:r>
      <w:r w:rsidRPr="00EE2CAF">
        <w:rPr>
          <w:rFonts w:asciiTheme="majorBidi" w:hAnsiTheme="majorBidi" w:cstheme="majorBidi"/>
        </w:rPr>
        <w:tab/>
      </w:r>
      <w:r w:rsidRPr="00EE2CAF">
        <w:rPr>
          <w:rFonts w:asciiTheme="majorBidi" w:hAnsiTheme="majorBidi" w:cstheme="majorBidi"/>
          <w:i/>
        </w:rPr>
        <w:t>Requests</w:t>
      </w:r>
      <w:r w:rsidRPr="00EE2CAF">
        <w:rPr>
          <w:rFonts w:asciiTheme="majorBidi" w:hAnsiTheme="majorBidi" w:cstheme="majorBidi"/>
        </w:rPr>
        <w:t xml:space="preserve"> the Executive Secretary to </w:t>
      </w:r>
      <w:r w:rsidRPr="007B77DE">
        <w:rPr>
          <w:rFonts w:asciiTheme="majorBidi" w:hAnsiTheme="majorBidi" w:cstheme="majorBidi"/>
        </w:rPr>
        <w:t xml:space="preserve">compile and synthesize the views submitted pursuant to paragraph 20 above and make them available to the </w:t>
      </w:r>
      <w:r>
        <w:rPr>
          <w:rFonts w:asciiTheme="majorBidi" w:hAnsiTheme="majorBidi" w:cstheme="majorBidi"/>
        </w:rPr>
        <w:t>A</w:t>
      </w:r>
      <w:r w:rsidRPr="007B77DE">
        <w:rPr>
          <w:rFonts w:asciiTheme="majorBidi" w:hAnsiTheme="majorBidi" w:cstheme="majorBidi"/>
        </w:rPr>
        <w:t xml:space="preserve">d </w:t>
      </w:r>
      <w:r>
        <w:rPr>
          <w:rFonts w:asciiTheme="majorBidi" w:hAnsiTheme="majorBidi" w:cstheme="majorBidi"/>
        </w:rPr>
        <w:t>H</w:t>
      </w:r>
      <w:r w:rsidRPr="007B77DE">
        <w:rPr>
          <w:rFonts w:asciiTheme="majorBidi" w:hAnsiTheme="majorBidi" w:cstheme="majorBidi"/>
        </w:rPr>
        <w:t xml:space="preserve">oc </w:t>
      </w:r>
      <w:r>
        <w:rPr>
          <w:rFonts w:asciiTheme="majorBidi" w:hAnsiTheme="majorBidi" w:cstheme="majorBidi"/>
        </w:rPr>
        <w:t>O</w:t>
      </w:r>
      <w:r w:rsidRPr="007B77DE">
        <w:rPr>
          <w:rFonts w:asciiTheme="majorBidi" w:hAnsiTheme="majorBidi" w:cstheme="majorBidi"/>
        </w:rPr>
        <w:t xml:space="preserve">pen-ended </w:t>
      </w:r>
      <w:r>
        <w:rPr>
          <w:rFonts w:asciiTheme="majorBidi" w:hAnsiTheme="majorBidi" w:cstheme="majorBidi"/>
        </w:rPr>
        <w:t>W</w:t>
      </w:r>
      <w:r w:rsidRPr="007B77DE">
        <w:rPr>
          <w:rFonts w:asciiTheme="majorBidi" w:hAnsiTheme="majorBidi" w:cstheme="majorBidi"/>
        </w:rPr>
        <w:t xml:space="preserve">orking </w:t>
      </w:r>
      <w:r>
        <w:rPr>
          <w:rFonts w:asciiTheme="majorBidi" w:hAnsiTheme="majorBidi" w:cstheme="majorBidi"/>
        </w:rPr>
        <w:t>G</w:t>
      </w:r>
      <w:r w:rsidRPr="007B77DE">
        <w:rPr>
          <w:rFonts w:asciiTheme="majorBidi" w:hAnsiTheme="majorBidi" w:cstheme="majorBidi"/>
        </w:rPr>
        <w:t xml:space="preserve">roup </w:t>
      </w:r>
      <w:r w:rsidRPr="00EE2CAF">
        <w:rPr>
          <w:rFonts w:asciiTheme="majorBidi" w:hAnsiTheme="majorBidi" w:cstheme="majorBidi"/>
        </w:rPr>
        <w:t xml:space="preserve">on </w:t>
      </w:r>
      <w:r>
        <w:rPr>
          <w:rFonts w:asciiTheme="majorBidi" w:hAnsiTheme="majorBidi" w:cstheme="majorBidi"/>
        </w:rPr>
        <w:t>Benefit-sharing from the Use of Digital Sequence Information on Genetic Resources</w:t>
      </w:r>
      <w:r w:rsidRPr="00FB5314">
        <w:rPr>
          <w:rFonts w:asciiTheme="majorBidi" w:hAnsiTheme="majorBidi" w:cstheme="majorBidi"/>
        </w:rPr>
        <w:t>;</w:t>
      </w:r>
    </w:p>
    <w:p w14:paraId="36634C41" w14:textId="77777777" w:rsidR="0000159D" w:rsidRPr="00EE2CAF" w:rsidRDefault="0000159D" w:rsidP="00441D54">
      <w:pPr>
        <w:spacing w:before="120" w:after="120"/>
        <w:ind w:firstLine="709"/>
        <w:rPr>
          <w:rFonts w:asciiTheme="majorBidi" w:hAnsiTheme="majorBidi" w:cstheme="majorBidi"/>
        </w:rPr>
      </w:pPr>
      <w:r>
        <w:rPr>
          <w:rFonts w:asciiTheme="majorBidi" w:hAnsiTheme="majorBidi" w:cstheme="majorBidi"/>
        </w:rPr>
        <w:t>22</w:t>
      </w:r>
      <w:r w:rsidRPr="00EE2CAF">
        <w:rPr>
          <w:rFonts w:asciiTheme="majorBidi" w:hAnsiTheme="majorBidi" w:cstheme="majorBidi"/>
        </w:rPr>
        <w:t>.</w:t>
      </w:r>
      <w:r w:rsidRPr="00EE2CAF">
        <w:rPr>
          <w:rFonts w:asciiTheme="majorBidi" w:hAnsiTheme="majorBidi" w:cstheme="majorBidi"/>
        </w:rPr>
        <w:tab/>
      </w:r>
      <w:r>
        <w:rPr>
          <w:rFonts w:asciiTheme="majorBidi" w:hAnsiTheme="majorBidi" w:cstheme="majorBidi"/>
          <w:i/>
        </w:rPr>
        <w:t>Also r</w:t>
      </w:r>
      <w:r w:rsidRPr="00EE2CAF">
        <w:rPr>
          <w:rFonts w:asciiTheme="majorBidi" w:hAnsiTheme="majorBidi" w:cstheme="majorBidi"/>
          <w:i/>
        </w:rPr>
        <w:t>equests</w:t>
      </w:r>
      <w:r w:rsidRPr="00EE2CAF">
        <w:rPr>
          <w:rFonts w:asciiTheme="majorBidi" w:hAnsiTheme="majorBidi" w:cstheme="majorBidi"/>
        </w:rPr>
        <w:t xml:space="preserve"> the Executive Secretary, subject to the availability of resources, to</w:t>
      </w:r>
      <w:r>
        <w:rPr>
          <w:rFonts w:asciiTheme="majorBidi" w:hAnsiTheme="majorBidi" w:cstheme="majorBidi"/>
        </w:rPr>
        <w:t>:</w:t>
      </w:r>
      <w:r w:rsidRPr="00EE2CAF">
        <w:rPr>
          <w:rFonts w:asciiTheme="majorBidi" w:hAnsiTheme="majorBidi" w:cstheme="majorBidi"/>
        </w:rPr>
        <w:t xml:space="preserve"> </w:t>
      </w:r>
    </w:p>
    <w:p w14:paraId="1A712F8F" w14:textId="77777777" w:rsidR="0000159D" w:rsidRPr="00EE2CAF" w:rsidRDefault="0000159D">
      <w:pPr>
        <w:spacing w:before="120" w:after="120"/>
        <w:ind w:firstLine="709"/>
        <w:rPr>
          <w:rFonts w:asciiTheme="majorBidi" w:hAnsiTheme="majorBidi" w:cstheme="majorBidi"/>
        </w:rPr>
      </w:pPr>
      <w:r w:rsidRPr="00EE2CAF">
        <w:rPr>
          <w:rFonts w:asciiTheme="majorBidi" w:hAnsiTheme="majorBidi" w:cstheme="majorBidi"/>
        </w:rPr>
        <w:t>(a)</w:t>
      </w:r>
      <w:r w:rsidRPr="00EE2CAF">
        <w:rPr>
          <w:rFonts w:asciiTheme="majorBidi" w:hAnsiTheme="majorBidi" w:cstheme="majorBidi"/>
        </w:rPr>
        <w:tab/>
      </w:r>
      <w:r>
        <w:rPr>
          <w:rFonts w:asciiTheme="majorBidi" w:hAnsiTheme="majorBidi" w:cstheme="majorBidi"/>
        </w:rPr>
        <w:t>Compile</w:t>
      </w:r>
      <w:r w:rsidRPr="00EE2CAF">
        <w:rPr>
          <w:rFonts w:asciiTheme="majorBidi" w:hAnsiTheme="majorBidi" w:cstheme="majorBidi"/>
        </w:rPr>
        <w:t xml:space="preserve"> lessons learned from other international funding mechanisms, such as the Benefit</w:t>
      </w:r>
      <w:r>
        <w:rPr>
          <w:rFonts w:asciiTheme="majorBidi" w:hAnsiTheme="majorBidi" w:cstheme="majorBidi"/>
        </w:rPr>
        <w:noBreakHyphen/>
        <w:t>s</w:t>
      </w:r>
      <w:r w:rsidRPr="00EE2CAF">
        <w:rPr>
          <w:rFonts w:asciiTheme="majorBidi" w:hAnsiTheme="majorBidi" w:cstheme="majorBidi"/>
        </w:rPr>
        <w:t>haring Fund of the International Treaty on Plant Genetic Resources for Food and Agriculture, the World Health Organization Pandemic Influenza Preparedness Framework, and the Small Grants Programme of the Global Environment Facility;</w:t>
      </w:r>
    </w:p>
    <w:p w14:paraId="033A418B" w14:textId="77777777" w:rsidR="0000159D" w:rsidRPr="00EE2CAF" w:rsidRDefault="0000159D" w:rsidP="00441D54">
      <w:pPr>
        <w:spacing w:before="120" w:after="120"/>
        <w:ind w:firstLine="720"/>
        <w:rPr>
          <w:rFonts w:asciiTheme="majorBidi" w:hAnsiTheme="majorBidi" w:cstheme="majorBidi"/>
        </w:rPr>
      </w:pPr>
      <w:r w:rsidRPr="00EE2CAF">
        <w:rPr>
          <w:rFonts w:asciiTheme="majorBidi" w:hAnsiTheme="majorBidi" w:cstheme="majorBidi"/>
        </w:rPr>
        <w:t>(b)</w:t>
      </w:r>
      <w:r w:rsidRPr="00EE2CAF">
        <w:rPr>
          <w:rFonts w:asciiTheme="majorBidi" w:hAnsiTheme="majorBidi" w:cstheme="majorBidi"/>
        </w:rPr>
        <w:tab/>
      </w:r>
      <w:r>
        <w:rPr>
          <w:rFonts w:asciiTheme="majorBidi" w:hAnsiTheme="majorBidi" w:cstheme="majorBidi"/>
        </w:rPr>
        <w:t>C</w:t>
      </w:r>
      <w:r w:rsidRPr="00EE2CAF">
        <w:rPr>
          <w:rFonts w:asciiTheme="majorBidi" w:hAnsiTheme="majorBidi" w:cstheme="majorBidi"/>
        </w:rPr>
        <w:t xml:space="preserve">ommission a study to analyse and model the extent to which a </w:t>
      </w:r>
      <w:r>
        <w:rPr>
          <w:rFonts w:asciiTheme="majorBidi" w:hAnsiTheme="majorBidi" w:cstheme="majorBidi"/>
        </w:rPr>
        <w:t>multilateral</w:t>
      </w:r>
      <w:r w:rsidRPr="00EE2CAF">
        <w:rPr>
          <w:rFonts w:asciiTheme="majorBidi" w:hAnsiTheme="majorBidi" w:cstheme="majorBidi"/>
        </w:rPr>
        <w:t xml:space="preserve"> mechanism for </w:t>
      </w:r>
      <w:r w:rsidRPr="00D1064D">
        <w:rPr>
          <w:rFonts w:asciiTheme="majorBidi" w:hAnsiTheme="majorBidi" w:cstheme="majorBidi"/>
        </w:rPr>
        <w:t xml:space="preserve">benefit-sharing from the use of digital sequence information on genetic resources, and any other options the </w:t>
      </w:r>
      <w:r>
        <w:rPr>
          <w:rFonts w:asciiTheme="majorBidi" w:hAnsiTheme="majorBidi" w:cstheme="majorBidi"/>
        </w:rPr>
        <w:t>A</w:t>
      </w:r>
      <w:r w:rsidRPr="00D1064D">
        <w:rPr>
          <w:rFonts w:asciiTheme="majorBidi" w:hAnsiTheme="majorBidi" w:cstheme="majorBidi"/>
        </w:rPr>
        <w:t>d</w:t>
      </w:r>
      <w:r>
        <w:rPr>
          <w:rFonts w:asciiTheme="majorBidi" w:hAnsiTheme="majorBidi" w:cstheme="majorBidi"/>
        </w:rPr>
        <w:t xml:space="preserve"> H</w:t>
      </w:r>
      <w:r w:rsidRPr="00D1064D">
        <w:rPr>
          <w:rFonts w:asciiTheme="majorBidi" w:hAnsiTheme="majorBidi" w:cstheme="majorBidi"/>
        </w:rPr>
        <w:t xml:space="preserve">oc </w:t>
      </w:r>
      <w:r>
        <w:rPr>
          <w:rFonts w:asciiTheme="majorBidi" w:hAnsiTheme="majorBidi" w:cstheme="majorBidi"/>
        </w:rPr>
        <w:t>O</w:t>
      </w:r>
      <w:r w:rsidRPr="00D1064D">
        <w:rPr>
          <w:rFonts w:asciiTheme="majorBidi" w:hAnsiTheme="majorBidi" w:cstheme="majorBidi"/>
        </w:rPr>
        <w:t xml:space="preserve">pen-ended </w:t>
      </w:r>
      <w:r>
        <w:rPr>
          <w:rFonts w:asciiTheme="majorBidi" w:hAnsiTheme="majorBidi" w:cstheme="majorBidi"/>
        </w:rPr>
        <w:t>W</w:t>
      </w:r>
      <w:r w:rsidRPr="00D1064D">
        <w:rPr>
          <w:rFonts w:asciiTheme="majorBidi" w:hAnsiTheme="majorBidi" w:cstheme="majorBidi"/>
        </w:rPr>
        <w:t xml:space="preserve">orking </w:t>
      </w:r>
      <w:r>
        <w:rPr>
          <w:rFonts w:asciiTheme="majorBidi" w:hAnsiTheme="majorBidi" w:cstheme="majorBidi"/>
        </w:rPr>
        <w:t>G</w:t>
      </w:r>
      <w:r w:rsidRPr="00D1064D">
        <w:rPr>
          <w:rFonts w:asciiTheme="majorBidi" w:hAnsiTheme="majorBidi" w:cstheme="majorBidi"/>
        </w:rPr>
        <w:t>roup may</w:t>
      </w:r>
      <w:r w:rsidRPr="00EE2CAF">
        <w:rPr>
          <w:rFonts w:asciiTheme="majorBidi" w:hAnsiTheme="majorBidi" w:cstheme="majorBidi"/>
        </w:rPr>
        <w:t xml:space="preserve"> decide, meets the criteria in paragraphs 9 and 10 of th</w:t>
      </w:r>
      <w:r>
        <w:rPr>
          <w:rFonts w:asciiTheme="majorBidi" w:hAnsiTheme="majorBidi" w:cstheme="majorBidi"/>
        </w:rPr>
        <w:t>e present</w:t>
      </w:r>
      <w:r w:rsidRPr="00EE2CAF">
        <w:rPr>
          <w:rFonts w:asciiTheme="majorBidi" w:hAnsiTheme="majorBidi" w:cstheme="majorBidi"/>
        </w:rPr>
        <w:t xml:space="preserve"> decision;</w:t>
      </w:r>
    </w:p>
    <w:p w14:paraId="6CF114A3" w14:textId="77777777" w:rsidR="0000159D" w:rsidRPr="0081017C" w:rsidRDefault="0000159D" w:rsidP="00B15E4F">
      <w:pPr>
        <w:spacing w:before="120"/>
        <w:ind w:firstLine="720"/>
        <w:rPr>
          <w:rFonts w:asciiTheme="majorBidi" w:hAnsiTheme="majorBidi" w:cstheme="majorBidi"/>
        </w:rPr>
      </w:pPr>
      <w:r w:rsidRPr="00EE2CAF">
        <w:rPr>
          <w:rFonts w:asciiTheme="majorBidi" w:hAnsiTheme="majorBidi" w:cstheme="majorBidi"/>
        </w:rPr>
        <w:t>(</w:t>
      </w:r>
      <w:r>
        <w:rPr>
          <w:rFonts w:asciiTheme="majorBidi" w:hAnsiTheme="majorBidi" w:cstheme="majorBidi"/>
        </w:rPr>
        <w:t>c</w:t>
      </w:r>
      <w:r w:rsidRPr="00EE2CAF">
        <w:rPr>
          <w:rFonts w:asciiTheme="majorBidi" w:hAnsiTheme="majorBidi" w:cstheme="majorBidi"/>
        </w:rPr>
        <w:t>)</w:t>
      </w:r>
      <w:r w:rsidRPr="00EE2CAF">
        <w:rPr>
          <w:rFonts w:asciiTheme="majorBidi" w:hAnsiTheme="majorBidi" w:cstheme="majorBidi"/>
        </w:rPr>
        <w:tab/>
      </w:r>
      <w:r>
        <w:rPr>
          <w:rFonts w:asciiTheme="majorBidi" w:hAnsiTheme="majorBidi" w:cstheme="majorBidi"/>
        </w:rPr>
        <w:t xml:space="preserve">Commission a study on the options for revenue-generating measures at different points along the value chain, the feasibility of their implementation and their costs relative to their potential revenue. </w:t>
      </w:r>
    </w:p>
    <w:p w14:paraId="77B19252" w14:textId="77777777" w:rsidR="0000159D" w:rsidRPr="00EE2CAF" w:rsidRDefault="0000159D" w:rsidP="00E663EF">
      <w:pPr>
        <w:keepNext/>
        <w:keepLines/>
        <w:spacing w:after="120"/>
        <w:jc w:val="center"/>
        <w:rPr>
          <w:rFonts w:asciiTheme="majorBidi" w:hAnsiTheme="majorBidi" w:cstheme="majorBidi"/>
          <w:i/>
        </w:rPr>
      </w:pPr>
      <w:r w:rsidRPr="00EE2CAF">
        <w:rPr>
          <w:rFonts w:asciiTheme="majorBidi" w:hAnsiTheme="majorBidi" w:cstheme="majorBidi"/>
          <w:i/>
        </w:rPr>
        <w:t>Annex</w:t>
      </w:r>
    </w:p>
    <w:p w14:paraId="7247544A" w14:textId="77777777" w:rsidR="0000159D" w:rsidRPr="00B7637D" w:rsidRDefault="0000159D" w:rsidP="00B15E4F">
      <w:pPr>
        <w:keepNext/>
        <w:keepLines/>
        <w:spacing w:after="120"/>
        <w:jc w:val="center"/>
        <w:rPr>
          <w:rFonts w:asciiTheme="majorBidi" w:hAnsiTheme="majorBidi" w:cstheme="majorBidi"/>
          <w:b/>
          <w:bCs/>
        </w:rPr>
      </w:pPr>
      <w:r w:rsidRPr="00506941">
        <w:rPr>
          <w:rFonts w:asciiTheme="majorBidi" w:hAnsiTheme="majorBidi" w:cstheme="majorBidi"/>
          <w:b/>
          <w:bCs/>
        </w:rPr>
        <w:t>ISSUES FOR FURTHER CONSIDERATION</w:t>
      </w:r>
    </w:p>
    <w:p w14:paraId="35798881" w14:textId="77777777" w:rsidR="0000159D" w:rsidRPr="00EE2CAF" w:rsidRDefault="0000159D" w:rsidP="00E663EF">
      <w:pPr>
        <w:keepNext/>
        <w:keepLines/>
        <w:spacing w:after="120"/>
        <w:ind w:firstLine="709"/>
        <w:rPr>
          <w:rFonts w:asciiTheme="majorBidi" w:hAnsiTheme="majorBidi" w:cstheme="majorBidi"/>
        </w:rPr>
      </w:pPr>
      <w:r w:rsidRPr="00EE2CAF">
        <w:rPr>
          <w:rFonts w:asciiTheme="majorBidi" w:hAnsiTheme="majorBidi" w:cstheme="majorBidi"/>
        </w:rPr>
        <w:t>(a)</w:t>
      </w:r>
      <w:r w:rsidRPr="00EE2CAF">
        <w:rPr>
          <w:rFonts w:asciiTheme="majorBidi" w:hAnsiTheme="majorBidi" w:cstheme="majorBidi"/>
        </w:rPr>
        <w:tab/>
        <w:t>Governance of the fund;</w:t>
      </w:r>
    </w:p>
    <w:p w14:paraId="12768CD1" w14:textId="77777777" w:rsidR="0000159D" w:rsidRPr="00EE2CAF" w:rsidRDefault="0000159D" w:rsidP="00E663EF">
      <w:pPr>
        <w:keepNext/>
        <w:keepLines/>
        <w:spacing w:after="120"/>
        <w:ind w:firstLine="709"/>
        <w:rPr>
          <w:rFonts w:asciiTheme="majorBidi" w:hAnsiTheme="majorBidi" w:cstheme="majorBidi"/>
        </w:rPr>
      </w:pPr>
      <w:r w:rsidRPr="00EE2CAF">
        <w:rPr>
          <w:rFonts w:asciiTheme="majorBidi" w:hAnsiTheme="majorBidi" w:cstheme="majorBidi"/>
        </w:rPr>
        <w:t>(b)</w:t>
      </w:r>
      <w:r w:rsidRPr="00EE2CAF">
        <w:rPr>
          <w:rFonts w:asciiTheme="majorBidi" w:hAnsiTheme="majorBidi" w:cstheme="majorBidi"/>
        </w:rPr>
        <w:tab/>
        <w:t>Triggering points for benefit-sharing;</w:t>
      </w:r>
    </w:p>
    <w:p w14:paraId="6904DA22" w14:textId="77777777" w:rsidR="0000159D" w:rsidRPr="00EE2CAF" w:rsidRDefault="0000159D" w:rsidP="00E663EF">
      <w:pPr>
        <w:keepNext/>
        <w:keepLines/>
        <w:spacing w:after="120"/>
        <w:ind w:firstLine="709"/>
        <w:rPr>
          <w:rFonts w:asciiTheme="majorBidi" w:hAnsiTheme="majorBidi" w:cstheme="majorBidi"/>
        </w:rPr>
      </w:pPr>
      <w:r w:rsidRPr="00EE2CAF">
        <w:rPr>
          <w:rFonts w:asciiTheme="majorBidi" w:hAnsiTheme="majorBidi" w:cstheme="majorBidi"/>
        </w:rPr>
        <w:t>(c)</w:t>
      </w:r>
      <w:r w:rsidRPr="00EE2CAF">
        <w:rPr>
          <w:rFonts w:asciiTheme="majorBidi" w:hAnsiTheme="majorBidi" w:cstheme="majorBidi"/>
        </w:rPr>
        <w:tab/>
        <w:t>Contributions to the fund;</w:t>
      </w:r>
    </w:p>
    <w:p w14:paraId="7A312AA2" w14:textId="77777777" w:rsidR="0000159D" w:rsidRDefault="0000159D" w:rsidP="00E663EF">
      <w:pPr>
        <w:spacing w:after="120"/>
        <w:ind w:firstLine="709"/>
        <w:rPr>
          <w:rFonts w:asciiTheme="majorBidi" w:hAnsiTheme="majorBidi" w:cstheme="majorBidi"/>
        </w:rPr>
      </w:pPr>
      <w:r w:rsidRPr="00EE2CAF">
        <w:rPr>
          <w:rFonts w:asciiTheme="majorBidi" w:hAnsiTheme="majorBidi" w:cstheme="majorBidi"/>
        </w:rPr>
        <w:t>(d)</w:t>
      </w:r>
      <w:r w:rsidRPr="00EE2CAF">
        <w:rPr>
          <w:rFonts w:asciiTheme="majorBidi" w:hAnsiTheme="majorBidi" w:cstheme="majorBidi"/>
        </w:rPr>
        <w:tab/>
        <w:t>Potential to voluntarily extend the multilateral</w:t>
      </w:r>
      <w:r>
        <w:rPr>
          <w:rFonts w:asciiTheme="majorBidi" w:hAnsiTheme="majorBidi" w:cstheme="majorBidi"/>
        </w:rPr>
        <w:t xml:space="preserve"> mechanism</w:t>
      </w:r>
      <w:r w:rsidRPr="00EE2CAF">
        <w:rPr>
          <w:rFonts w:asciiTheme="majorBidi" w:hAnsiTheme="majorBidi" w:cstheme="majorBidi"/>
        </w:rPr>
        <w:t xml:space="preserve"> to genetic resources</w:t>
      </w:r>
      <w:r>
        <w:rPr>
          <w:rFonts w:asciiTheme="majorBidi" w:hAnsiTheme="majorBidi" w:cstheme="majorBidi"/>
        </w:rPr>
        <w:t xml:space="preserve"> or biological diversity</w:t>
      </w:r>
      <w:r w:rsidRPr="00EE2CAF">
        <w:rPr>
          <w:rFonts w:asciiTheme="majorBidi" w:hAnsiTheme="majorBidi" w:cstheme="majorBidi"/>
        </w:rPr>
        <w:t>;</w:t>
      </w:r>
    </w:p>
    <w:p w14:paraId="4B3D725A" w14:textId="77777777" w:rsidR="0000159D" w:rsidRPr="00EE2CAF" w:rsidRDefault="0000159D" w:rsidP="00E663EF">
      <w:pPr>
        <w:spacing w:after="120"/>
        <w:ind w:firstLine="709"/>
        <w:rPr>
          <w:rFonts w:asciiTheme="majorBidi" w:hAnsiTheme="majorBidi" w:cstheme="majorBidi"/>
        </w:rPr>
      </w:pPr>
      <w:r>
        <w:rPr>
          <w:rFonts w:asciiTheme="majorBidi" w:hAnsiTheme="majorBidi" w:cstheme="majorBidi"/>
        </w:rPr>
        <w:t>(e)</w:t>
      </w:r>
      <w:r>
        <w:rPr>
          <w:rFonts w:asciiTheme="majorBidi" w:hAnsiTheme="majorBidi" w:cstheme="majorBidi"/>
        </w:rPr>
        <w:tab/>
      </w:r>
      <w:r w:rsidRPr="00EE2CAF">
        <w:rPr>
          <w:rFonts w:asciiTheme="majorBidi" w:hAnsiTheme="majorBidi" w:cstheme="majorBidi"/>
        </w:rPr>
        <w:t>Disbursement of monetary benefits, including information on geographical origin as one of the criteria;</w:t>
      </w:r>
    </w:p>
    <w:p w14:paraId="0F58B6F2" w14:textId="77777777" w:rsidR="0000159D"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f</w:t>
      </w:r>
      <w:r w:rsidRPr="00EE2CAF">
        <w:rPr>
          <w:rFonts w:asciiTheme="majorBidi" w:hAnsiTheme="majorBidi" w:cstheme="majorBidi"/>
        </w:rPr>
        <w:t>)</w:t>
      </w:r>
      <w:r w:rsidRPr="00EE2CAF">
        <w:rPr>
          <w:rFonts w:asciiTheme="majorBidi" w:hAnsiTheme="majorBidi" w:cstheme="majorBidi"/>
        </w:rPr>
        <w:tab/>
        <w:t>Non-monetary benefit-sharing, including information on geographical origin as one of the criteria;</w:t>
      </w:r>
    </w:p>
    <w:p w14:paraId="596F29FE" w14:textId="77777777" w:rsidR="0000159D" w:rsidRPr="00EE2CAF" w:rsidRDefault="0000159D" w:rsidP="00E663EF">
      <w:pPr>
        <w:spacing w:after="120"/>
        <w:ind w:firstLine="709"/>
        <w:rPr>
          <w:rFonts w:asciiTheme="majorBidi" w:hAnsiTheme="majorBidi" w:cstheme="majorBidi"/>
        </w:rPr>
      </w:pPr>
      <w:r>
        <w:rPr>
          <w:rFonts w:asciiTheme="majorBidi" w:hAnsiTheme="majorBidi" w:cstheme="majorBidi"/>
        </w:rPr>
        <w:t>(g)</w:t>
      </w:r>
      <w:r>
        <w:rPr>
          <w:rFonts w:asciiTheme="majorBidi" w:hAnsiTheme="majorBidi" w:cstheme="majorBidi"/>
        </w:rPr>
        <w:tab/>
        <w:t>Other policy options for the sharing of benefits from the use of digital sequence information on genetic resources, including as identified through further analysis, as referred to in paragraphs 6 and 7 of the present decision;</w:t>
      </w:r>
    </w:p>
    <w:p w14:paraId="18AAEB70"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h</w:t>
      </w:r>
      <w:r w:rsidRPr="00EE2CAF">
        <w:rPr>
          <w:rFonts w:asciiTheme="majorBidi" w:hAnsiTheme="majorBidi" w:cstheme="majorBidi"/>
        </w:rPr>
        <w:t>)</w:t>
      </w:r>
      <w:r w:rsidRPr="00EE2CAF">
        <w:rPr>
          <w:rFonts w:asciiTheme="majorBidi" w:hAnsiTheme="majorBidi" w:cstheme="majorBidi"/>
        </w:rPr>
        <w:tab/>
        <w:t>Capacity development and technology transfer;</w:t>
      </w:r>
    </w:p>
    <w:p w14:paraId="7016EC52"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i</w:t>
      </w:r>
      <w:r w:rsidRPr="00EE2CAF">
        <w:rPr>
          <w:rFonts w:asciiTheme="majorBidi" w:hAnsiTheme="majorBidi" w:cstheme="majorBidi"/>
        </w:rPr>
        <w:t>)</w:t>
      </w:r>
      <w:r w:rsidRPr="00EE2CAF">
        <w:rPr>
          <w:rFonts w:asciiTheme="majorBidi" w:hAnsiTheme="majorBidi" w:cstheme="majorBidi"/>
        </w:rPr>
        <w:tab/>
        <w:t>Monitoring and evaluation and review of effectiveness;</w:t>
      </w:r>
    </w:p>
    <w:p w14:paraId="3A74EE51" w14:textId="77777777" w:rsidR="0000159D" w:rsidRPr="001F3AC6"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j</w:t>
      </w:r>
      <w:r w:rsidRPr="00EE2CAF">
        <w:rPr>
          <w:rFonts w:asciiTheme="majorBidi" w:hAnsiTheme="majorBidi" w:cstheme="majorBidi"/>
        </w:rPr>
        <w:t>)</w:t>
      </w:r>
      <w:r w:rsidRPr="00EE2CAF">
        <w:rPr>
          <w:rFonts w:asciiTheme="majorBidi" w:hAnsiTheme="majorBidi" w:cstheme="majorBidi"/>
        </w:rPr>
        <w:tab/>
        <w:t>Adaptability of the mechanism to other resource mobilization instruments or funds</w:t>
      </w:r>
      <w:r>
        <w:rPr>
          <w:rFonts w:asciiTheme="majorBidi" w:hAnsiTheme="majorBidi" w:cstheme="majorBidi"/>
        </w:rPr>
        <w:t>;</w:t>
      </w:r>
    </w:p>
    <w:p w14:paraId="32E75BE3" w14:textId="77777777" w:rsidR="0000159D" w:rsidRDefault="0000159D" w:rsidP="00E663EF">
      <w:pPr>
        <w:spacing w:after="120"/>
        <w:ind w:firstLine="709"/>
        <w:rPr>
          <w:rFonts w:asciiTheme="majorBidi" w:hAnsiTheme="majorBidi" w:cstheme="majorBidi"/>
        </w:rPr>
      </w:pPr>
      <w:r>
        <w:rPr>
          <w:rFonts w:asciiTheme="majorBidi" w:hAnsiTheme="majorBidi" w:cstheme="majorBidi"/>
        </w:rPr>
        <w:t>(k)</w:t>
      </w:r>
      <w:r>
        <w:rPr>
          <w:rFonts w:asciiTheme="majorBidi" w:hAnsiTheme="majorBidi" w:cstheme="majorBidi"/>
        </w:rPr>
        <w:tab/>
        <w:t>Interface between n</w:t>
      </w:r>
      <w:r w:rsidRPr="00EE2CAF">
        <w:rPr>
          <w:rFonts w:asciiTheme="majorBidi" w:hAnsiTheme="majorBidi" w:cstheme="majorBidi"/>
        </w:rPr>
        <w:t>ational systems</w:t>
      </w:r>
      <w:r>
        <w:rPr>
          <w:rFonts w:asciiTheme="majorBidi" w:hAnsiTheme="majorBidi" w:cstheme="majorBidi"/>
        </w:rPr>
        <w:t xml:space="preserve"> and the multilateral mechanism on benefit-sharing</w:t>
      </w:r>
      <w:r w:rsidRPr="00EE2CAF">
        <w:rPr>
          <w:rFonts w:asciiTheme="majorBidi" w:hAnsiTheme="majorBidi" w:cstheme="majorBidi"/>
        </w:rPr>
        <w:t>;</w:t>
      </w:r>
    </w:p>
    <w:p w14:paraId="70BCF1B9"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l</w:t>
      </w:r>
      <w:r w:rsidRPr="00EE2CAF">
        <w:rPr>
          <w:rFonts w:asciiTheme="majorBidi" w:hAnsiTheme="majorBidi" w:cstheme="majorBidi"/>
        </w:rPr>
        <w:t>)</w:t>
      </w:r>
      <w:r w:rsidRPr="00EE2CAF">
        <w:rPr>
          <w:rFonts w:asciiTheme="majorBidi" w:hAnsiTheme="majorBidi" w:cstheme="majorBidi"/>
        </w:rPr>
        <w:tab/>
        <w:t>Relationship with the Nagoya Protocol;</w:t>
      </w:r>
    </w:p>
    <w:p w14:paraId="1B923361"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m</w:t>
      </w:r>
      <w:r w:rsidRPr="00EE2CAF">
        <w:rPr>
          <w:rFonts w:asciiTheme="majorBidi" w:hAnsiTheme="majorBidi" w:cstheme="majorBidi"/>
        </w:rPr>
        <w:t>)</w:t>
      </w:r>
      <w:r w:rsidRPr="00EE2CAF">
        <w:rPr>
          <w:rFonts w:asciiTheme="majorBidi" w:hAnsiTheme="majorBidi" w:cstheme="majorBidi"/>
        </w:rPr>
        <w:tab/>
        <w:t>Role, rights and interests of indigenous peoples and local communities, including associated traditional knowledge;</w:t>
      </w:r>
    </w:p>
    <w:p w14:paraId="52C9DCBD"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n</w:t>
      </w:r>
      <w:r w:rsidRPr="00EE2CAF">
        <w:rPr>
          <w:rFonts w:asciiTheme="majorBidi" w:hAnsiTheme="majorBidi" w:cstheme="majorBidi"/>
        </w:rPr>
        <w:t>)</w:t>
      </w:r>
      <w:r w:rsidRPr="00EE2CAF">
        <w:rPr>
          <w:rFonts w:asciiTheme="majorBidi" w:hAnsiTheme="majorBidi" w:cstheme="majorBidi"/>
        </w:rPr>
        <w:tab/>
        <w:t>Role and interests of industry and academia;</w:t>
      </w:r>
    </w:p>
    <w:p w14:paraId="252629F6" w14:textId="77777777" w:rsidR="0000159D" w:rsidRPr="00EE2CAF" w:rsidRDefault="0000159D" w:rsidP="00E663EF">
      <w:pPr>
        <w:spacing w:after="120"/>
        <w:ind w:firstLine="709"/>
        <w:rPr>
          <w:rFonts w:asciiTheme="majorBidi" w:hAnsiTheme="majorBidi" w:cstheme="majorBidi"/>
        </w:rPr>
      </w:pPr>
      <w:r w:rsidRPr="00EE2CAF">
        <w:rPr>
          <w:rFonts w:asciiTheme="majorBidi" w:hAnsiTheme="majorBidi" w:cstheme="majorBidi"/>
        </w:rPr>
        <w:t>(</w:t>
      </w:r>
      <w:r>
        <w:rPr>
          <w:rFonts w:asciiTheme="majorBidi" w:hAnsiTheme="majorBidi" w:cstheme="majorBidi"/>
        </w:rPr>
        <w:t>o</w:t>
      </w:r>
      <w:r w:rsidRPr="00EE2CAF">
        <w:rPr>
          <w:rFonts w:asciiTheme="majorBidi" w:hAnsiTheme="majorBidi" w:cstheme="majorBidi"/>
        </w:rPr>
        <w:t>)</w:t>
      </w:r>
      <w:r w:rsidRPr="00EE2CAF">
        <w:rPr>
          <w:rFonts w:asciiTheme="majorBidi" w:hAnsiTheme="majorBidi" w:cstheme="majorBidi"/>
        </w:rPr>
        <w:tab/>
      </w:r>
      <w:r>
        <w:rPr>
          <w:rFonts w:asciiTheme="majorBidi" w:hAnsiTheme="majorBidi" w:cstheme="majorBidi"/>
        </w:rPr>
        <w:t>Linkages between r</w:t>
      </w:r>
      <w:r w:rsidRPr="00EE2CAF">
        <w:rPr>
          <w:rFonts w:asciiTheme="majorBidi" w:hAnsiTheme="majorBidi" w:cstheme="majorBidi"/>
        </w:rPr>
        <w:t>esearch and technology</w:t>
      </w:r>
      <w:r>
        <w:rPr>
          <w:rFonts w:asciiTheme="majorBidi" w:hAnsiTheme="majorBidi" w:cstheme="majorBidi"/>
        </w:rPr>
        <w:t xml:space="preserve"> and the multilateral mechanism on benefit</w:t>
      </w:r>
      <w:r>
        <w:rPr>
          <w:rFonts w:asciiTheme="majorBidi" w:hAnsiTheme="majorBidi" w:cstheme="majorBidi"/>
        </w:rPr>
        <w:noBreakHyphen/>
        <w:t>sharing</w:t>
      </w:r>
      <w:r w:rsidRPr="00EE2CAF">
        <w:rPr>
          <w:rFonts w:asciiTheme="majorBidi" w:hAnsiTheme="majorBidi" w:cstheme="majorBidi"/>
        </w:rPr>
        <w:t>;</w:t>
      </w:r>
    </w:p>
    <w:p w14:paraId="44247A0A" w14:textId="77777777" w:rsidR="0000159D" w:rsidRPr="00EE2CAF" w:rsidRDefault="0000159D" w:rsidP="00B15E4F">
      <w:pPr>
        <w:ind w:firstLine="709"/>
        <w:rPr>
          <w:rFonts w:asciiTheme="majorBidi" w:hAnsiTheme="majorBidi" w:cstheme="majorBidi"/>
        </w:rPr>
      </w:pPr>
      <w:r w:rsidRPr="00EE2CAF">
        <w:rPr>
          <w:rFonts w:asciiTheme="majorBidi" w:hAnsiTheme="majorBidi" w:cstheme="majorBidi"/>
        </w:rPr>
        <w:lastRenderedPageBreak/>
        <w:t>(</w:t>
      </w:r>
      <w:r>
        <w:rPr>
          <w:rFonts w:asciiTheme="majorBidi" w:hAnsiTheme="majorBidi" w:cstheme="majorBidi"/>
        </w:rPr>
        <w:t>p</w:t>
      </w:r>
      <w:r w:rsidRPr="00EE2CAF">
        <w:rPr>
          <w:rFonts w:asciiTheme="majorBidi" w:hAnsiTheme="majorBidi" w:cstheme="majorBidi"/>
        </w:rPr>
        <w:t>)</w:t>
      </w:r>
      <w:r>
        <w:rPr>
          <w:rFonts w:asciiTheme="majorBidi" w:hAnsiTheme="majorBidi" w:cstheme="majorBidi"/>
        </w:rPr>
        <w:tab/>
      </w:r>
      <w:r w:rsidRPr="00EE2CAF">
        <w:rPr>
          <w:rFonts w:asciiTheme="majorBidi" w:hAnsiTheme="majorBidi" w:cstheme="majorBidi"/>
        </w:rPr>
        <w:t>Principles of data governance</w:t>
      </w:r>
      <w:r>
        <w:rPr>
          <w:rFonts w:asciiTheme="majorBidi" w:hAnsiTheme="majorBidi" w:cstheme="majorBidi"/>
        </w:rPr>
        <w:t>.</w:t>
      </w:r>
    </w:p>
    <w:p w14:paraId="466AA9E6" w14:textId="77777777" w:rsidR="0000159D" w:rsidRPr="00EE2CAF" w:rsidRDefault="0000159D" w:rsidP="00EE2CAF">
      <w:pPr>
        <w:pStyle w:val="ListParagraph"/>
        <w:ind w:left="0"/>
        <w:rPr>
          <w:rFonts w:asciiTheme="majorBidi" w:hAnsiTheme="majorBidi" w:cstheme="majorBidi"/>
          <w:lang w:val="en-CA"/>
        </w:rPr>
      </w:pPr>
    </w:p>
    <w:p w14:paraId="1FFA88F2" w14:textId="77777777" w:rsidR="00FE6115" w:rsidRDefault="00FE6115" w:rsidP="0000159D">
      <w:pPr>
        <w:jc w:val="center"/>
        <w:rPr>
          <w:rFonts w:asciiTheme="majorBidi" w:hAnsiTheme="majorBidi" w:cstheme="majorBidi"/>
        </w:rPr>
        <w:sectPr w:rsidR="00FE6115" w:rsidSect="00441700">
          <w:footnotePr>
            <w:numRestart w:val="eachSect"/>
          </w:footnotePr>
          <w:pgSz w:w="12240" w:h="15840"/>
          <w:pgMar w:top="567" w:right="1440" w:bottom="1134" w:left="1440" w:header="709" w:footer="709" w:gutter="0"/>
          <w:cols w:space="708"/>
          <w:docGrid w:linePitch="360"/>
        </w:sectPr>
      </w:pPr>
    </w:p>
    <w:p w14:paraId="054E1F9F" w14:textId="77777777" w:rsidR="00FE6115" w:rsidRPr="00F17B24" w:rsidRDefault="00FE6115" w:rsidP="008049CC">
      <w:pPr>
        <w:pStyle w:val="decision"/>
        <w:ind w:left="1134" w:right="429" w:hanging="850"/>
        <w:jc w:val="left"/>
        <w:rPr>
          <w:rFonts w:ascii="Segoe UI" w:hAnsi="Segoe UI" w:cs="Segoe UI"/>
          <w:b w:val="0"/>
          <w:bCs/>
          <w:sz w:val="18"/>
          <w:szCs w:val="18"/>
          <w:lang w:val="en-US" w:eastAsia="zh-CN"/>
        </w:rPr>
      </w:pPr>
      <w:bookmarkStart w:id="125" w:name="_Toc150438808"/>
      <w:bookmarkStart w:id="126" w:name="_Toc150670508"/>
      <w:bookmarkStart w:id="127" w:name="_Toc150670618"/>
      <w:bookmarkStart w:id="128" w:name="_Toc150761120"/>
      <w:r w:rsidRPr="00F17B24">
        <w:rPr>
          <w:rStyle w:val="Heading2Char"/>
          <w:rFonts w:eastAsia="Malgun Gothic"/>
          <w:b/>
          <w:bCs w:val="0"/>
        </w:rPr>
        <w:lastRenderedPageBreak/>
        <w:t>15/10.</w:t>
      </w:r>
      <w:r w:rsidRPr="00F17B24">
        <w:rPr>
          <w:rStyle w:val="Heading2Char"/>
          <w:rFonts w:eastAsia="Malgun Gothic"/>
          <w:b/>
          <w:bCs w:val="0"/>
        </w:rPr>
        <w:tab/>
        <w:t>Development of a new programme of work and institutional arrangements on Article 8(j) and other provisions of the Convention related to indigenous peoples and local communities</w:t>
      </w:r>
      <w:bookmarkEnd w:id="125"/>
      <w:bookmarkEnd w:id="126"/>
      <w:bookmarkEnd w:id="127"/>
      <w:bookmarkEnd w:id="128"/>
    </w:p>
    <w:p w14:paraId="211FC1C6" w14:textId="77777777" w:rsidR="00FE6115" w:rsidRPr="00A46DF0" w:rsidRDefault="00FE6115" w:rsidP="0048113D">
      <w:pPr>
        <w:keepNext/>
        <w:suppressLineNumbers/>
        <w:suppressAutoHyphens/>
        <w:spacing w:before="240" w:after="120"/>
        <w:ind w:firstLine="720"/>
        <w:rPr>
          <w:i/>
          <w:kern w:val="22"/>
          <w:szCs w:val="22"/>
        </w:rPr>
      </w:pPr>
      <w:r w:rsidRPr="00A46DF0">
        <w:rPr>
          <w:i/>
          <w:kern w:val="22"/>
          <w:szCs w:val="22"/>
        </w:rPr>
        <w:t>The Conference of the Parties,</w:t>
      </w:r>
    </w:p>
    <w:p w14:paraId="5A598672" w14:textId="77777777" w:rsidR="00FE6115" w:rsidRDefault="00FE6115" w:rsidP="00190177">
      <w:pPr>
        <w:suppressLineNumbers/>
        <w:suppressAutoHyphens/>
        <w:spacing w:before="120" w:after="120"/>
        <w:ind w:firstLine="720"/>
        <w:rPr>
          <w:kern w:val="22"/>
          <w:szCs w:val="22"/>
        </w:rPr>
      </w:pPr>
      <w:r w:rsidRPr="00A46DF0">
        <w:rPr>
          <w:i/>
          <w:kern w:val="22"/>
          <w:szCs w:val="22"/>
        </w:rPr>
        <w:t>Recalling</w:t>
      </w:r>
      <w:r w:rsidRPr="00A46DF0">
        <w:rPr>
          <w:kern w:val="22"/>
          <w:szCs w:val="22"/>
        </w:rPr>
        <w:t xml:space="preserve"> decision V/16, in which it established the programme of work on Article 8(j) and related provisions, and decision X/43,</w:t>
      </w:r>
      <w:r w:rsidRPr="00610646">
        <w:rPr>
          <w:rStyle w:val="FootnoteReference"/>
        </w:rPr>
        <w:footnoteReference w:id="95"/>
      </w:r>
      <w:r w:rsidRPr="00A46DF0">
        <w:rPr>
          <w:kern w:val="22"/>
          <w:szCs w:val="22"/>
        </w:rPr>
        <w:t xml:space="preserve"> in which it revised the multi-year programme of work for 2010</w:t>
      </w:r>
      <w:r>
        <w:rPr>
          <w:kern w:val="22"/>
          <w:szCs w:val="22"/>
        </w:rPr>
        <w:t>–</w:t>
      </w:r>
      <w:r w:rsidRPr="00A46DF0">
        <w:rPr>
          <w:kern w:val="22"/>
          <w:szCs w:val="22"/>
        </w:rPr>
        <w:t>2020,</w:t>
      </w:r>
    </w:p>
    <w:p w14:paraId="3787A220" w14:textId="77777777" w:rsidR="00FE6115" w:rsidRPr="00E7482C" w:rsidRDefault="00FE6115" w:rsidP="00190177">
      <w:pPr>
        <w:suppressLineNumbers/>
        <w:suppressAutoHyphens/>
        <w:spacing w:before="120" w:after="120"/>
        <w:ind w:firstLine="720"/>
        <w:rPr>
          <w:kern w:val="22"/>
          <w:szCs w:val="22"/>
        </w:rPr>
      </w:pPr>
      <w:r>
        <w:rPr>
          <w:i/>
          <w:iCs/>
          <w:kern w:val="22"/>
          <w:szCs w:val="22"/>
        </w:rPr>
        <w:t>R</w:t>
      </w:r>
      <w:r w:rsidRPr="002C6284">
        <w:rPr>
          <w:i/>
          <w:kern w:val="22"/>
          <w:szCs w:val="22"/>
        </w:rPr>
        <w:t>ecalling</w:t>
      </w:r>
      <w:r>
        <w:rPr>
          <w:i/>
          <w:kern w:val="22"/>
          <w:szCs w:val="22"/>
        </w:rPr>
        <w:t xml:space="preserve"> also</w:t>
      </w:r>
      <w:r w:rsidRPr="002929A4">
        <w:rPr>
          <w:kern w:val="22"/>
          <w:szCs w:val="22"/>
        </w:rPr>
        <w:t xml:space="preserve"> decision 14/17,</w:t>
      </w:r>
    </w:p>
    <w:p w14:paraId="69636FE0" w14:textId="77777777" w:rsidR="00FE6115" w:rsidRPr="00A46DF0" w:rsidRDefault="00FE6115" w:rsidP="00190177">
      <w:pPr>
        <w:suppressLineNumbers/>
        <w:suppressAutoHyphens/>
        <w:spacing w:before="120" w:after="120"/>
        <w:ind w:firstLine="720"/>
        <w:rPr>
          <w:kern w:val="22"/>
          <w:szCs w:val="22"/>
        </w:rPr>
      </w:pPr>
      <w:r w:rsidRPr="00A46DF0">
        <w:rPr>
          <w:i/>
          <w:smallCaps/>
          <w:kern w:val="22"/>
          <w:szCs w:val="22"/>
        </w:rPr>
        <w:t>R</w:t>
      </w:r>
      <w:r w:rsidRPr="00A46DF0">
        <w:rPr>
          <w:i/>
          <w:kern w:val="22"/>
          <w:szCs w:val="22"/>
        </w:rPr>
        <w:t>ecognizing</w:t>
      </w:r>
      <w:r w:rsidRPr="00A46DF0">
        <w:rPr>
          <w:kern w:val="22"/>
          <w:szCs w:val="22"/>
        </w:rPr>
        <w:t xml:space="preserve"> the need for a more holistic, forward-looking and integrated programme of work, taking into account the Sustainable Development Goals,</w:t>
      </w:r>
      <w:r w:rsidRPr="00610646">
        <w:rPr>
          <w:rStyle w:val="FootnoteReference"/>
        </w:rPr>
        <w:footnoteReference w:id="96"/>
      </w:r>
      <w:r w:rsidRPr="00A46DF0">
        <w:rPr>
          <w:kern w:val="22"/>
          <w:szCs w:val="22"/>
        </w:rPr>
        <w:t xml:space="preserve"> the Paris Agreement</w:t>
      </w:r>
      <w:r w:rsidRPr="00610646">
        <w:rPr>
          <w:rStyle w:val="FootnoteReference"/>
        </w:rPr>
        <w:footnoteReference w:id="97"/>
      </w:r>
      <w:r w:rsidRPr="00A46DF0">
        <w:rPr>
          <w:kern w:val="22"/>
          <w:szCs w:val="22"/>
        </w:rPr>
        <w:t xml:space="preserve"> and the post-2020 arrangements for the Convention,</w:t>
      </w:r>
    </w:p>
    <w:p w14:paraId="26C7E4CE" w14:textId="77777777" w:rsidR="00FE6115" w:rsidRPr="00A46DF0" w:rsidRDefault="00FE6115" w:rsidP="00190177">
      <w:pPr>
        <w:suppressLineNumbers/>
        <w:suppressAutoHyphens/>
        <w:spacing w:before="120" w:after="120"/>
        <w:ind w:firstLine="720"/>
        <w:rPr>
          <w:kern w:val="22"/>
          <w:szCs w:val="22"/>
        </w:rPr>
      </w:pPr>
      <w:r w:rsidRPr="00A46DF0">
        <w:rPr>
          <w:i/>
          <w:kern w:val="22"/>
          <w:szCs w:val="22"/>
        </w:rPr>
        <w:t xml:space="preserve">Building </w:t>
      </w:r>
      <w:r w:rsidRPr="00A46DF0">
        <w:rPr>
          <w:kern w:val="22"/>
          <w:szCs w:val="22"/>
        </w:rPr>
        <w:t>on the composite report on the status and trends of traditional knowledge and the voluntary guidelines, standards and other tools already developed by the Ad Hoc Open-ended Inter-sessional Working Group on Article 8(j) and Related Provisions and adopted by the Conference of the Parties,</w:t>
      </w:r>
      <w:r w:rsidRPr="00610646">
        <w:rPr>
          <w:rStyle w:val="FootnoteReference"/>
        </w:rPr>
        <w:footnoteReference w:id="98"/>
      </w:r>
    </w:p>
    <w:p w14:paraId="5DA1730C" w14:textId="77777777" w:rsidR="00FE6115" w:rsidRPr="002C6284" w:rsidRDefault="00FE6115" w:rsidP="00190177">
      <w:pPr>
        <w:suppressLineNumbers/>
        <w:suppressAutoHyphens/>
        <w:spacing w:before="120" w:after="120"/>
        <w:ind w:firstLine="720"/>
        <w:rPr>
          <w:kern w:val="22"/>
          <w:szCs w:val="22"/>
          <w:lang w:val="en-US"/>
        </w:rPr>
      </w:pPr>
      <w:r w:rsidRPr="00A46DF0">
        <w:rPr>
          <w:i/>
          <w:kern w:val="22"/>
          <w:szCs w:val="22"/>
        </w:rPr>
        <w:t>Emphasizing</w:t>
      </w:r>
      <w:r w:rsidRPr="00A46DF0">
        <w:rPr>
          <w:kern w:val="22"/>
          <w:szCs w:val="22"/>
        </w:rPr>
        <w:t xml:space="preserve"> the need for the effective implementation in accordance with national legislation and circumstances and international obligations, as appropriate, of the voluntary guidelines and standards related to Article 8(j) and related provisions at the national level</w:t>
      </w:r>
      <w:r>
        <w:rPr>
          <w:kern w:val="22"/>
          <w:szCs w:val="22"/>
        </w:rPr>
        <w:t>,</w:t>
      </w:r>
      <w:r w:rsidRPr="00A46DF0">
        <w:rPr>
          <w:kern w:val="22"/>
          <w:szCs w:val="22"/>
        </w:rPr>
        <w:t xml:space="preserve"> in order to build on the progress made towards Aichi Biodiversity Target 18 of the Strategic Plan for Biodiversity 2011</w:t>
      </w:r>
      <w:r>
        <w:rPr>
          <w:kern w:val="22"/>
          <w:szCs w:val="22"/>
        </w:rPr>
        <w:t>–</w:t>
      </w:r>
      <w:r w:rsidRPr="00A46DF0">
        <w:rPr>
          <w:kern w:val="22"/>
          <w:szCs w:val="22"/>
        </w:rPr>
        <w:t xml:space="preserve">2020, and to contribute to the corresponding elements in the </w:t>
      </w:r>
      <w:r>
        <w:rPr>
          <w:kern w:val="22"/>
          <w:szCs w:val="22"/>
        </w:rPr>
        <w:t>Kunming-Montreal Global Biodiversity Framework</w:t>
      </w:r>
      <w:r w:rsidRPr="00A46DF0">
        <w:rPr>
          <w:kern w:val="22"/>
          <w:szCs w:val="22"/>
        </w:rPr>
        <w:t>,</w:t>
      </w:r>
      <w:r>
        <w:rPr>
          <w:kern w:val="22"/>
          <w:szCs w:val="22"/>
        </w:rPr>
        <w:t xml:space="preserve"> </w:t>
      </w:r>
    </w:p>
    <w:p w14:paraId="15C786C0" w14:textId="77777777" w:rsidR="00FE6115" w:rsidRPr="00A46DF0" w:rsidRDefault="00FE6115" w:rsidP="00190177">
      <w:pPr>
        <w:suppressLineNumbers/>
        <w:suppressAutoHyphens/>
        <w:spacing w:before="120" w:after="120"/>
        <w:ind w:firstLine="720"/>
        <w:rPr>
          <w:kern w:val="22"/>
          <w:szCs w:val="22"/>
        </w:rPr>
      </w:pPr>
      <w:r w:rsidRPr="00A46DF0">
        <w:rPr>
          <w:kern w:val="22"/>
          <w:szCs w:val="22"/>
        </w:rPr>
        <w:t>1.</w:t>
      </w:r>
      <w:r w:rsidRPr="00A46DF0">
        <w:rPr>
          <w:i/>
          <w:kern w:val="22"/>
          <w:szCs w:val="22"/>
        </w:rPr>
        <w:tab/>
        <w:t>Decides</w:t>
      </w:r>
      <w:r w:rsidRPr="00A46DF0">
        <w:rPr>
          <w:kern w:val="22"/>
          <w:szCs w:val="22"/>
        </w:rPr>
        <w:t xml:space="preserve"> to develop a new programme of work on Article 8(j) and other provisions of the Convention related to indigenous peoples and local communities aligned with the </w:t>
      </w:r>
      <w:r>
        <w:rPr>
          <w:kern w:val="22"/>
          <w:szCs w:val="22"/>
        </w:rPr>
        <w:t>Kunming-Montreal Global Biodiversity Framework</w:t>
      </w:r>
      <w:r w:rsidRPr="00A46DF0">
        <w:rPr>
          <w:kern w:val="22"/>
          <w:szCs w:val="22"/>
        </w:rPr>
        <w:t>, with the full and effective participation of indigenous peoples and local communities, on the basis of annex</w:t>
      </w:r>
      <w:r>
        <w:rPr>
          <w:kern w:val="22"/>
          <w:szCs w:val="22"/>
        </w:rPr>
        <w:t>es</w:t>
      </w:r>
      <w:r w:rsidRPr="00A46DF0">
        <w:rPr>
          <w:kern w:val="22"/>
          <w:szCs w:val="22"/>
        </w:rPr>
        <w:t xml:space="preserve"> I and II</w:t>
      </w:r>
      <w:r w:rsidRPr="00610646">
        <w:rPr>
          <w:rStyle w:val="FootnoteReference"/>
          <w:rFonts w:eastAsiaTheme="majorEastAsia"/>
        </w:rPr>
        <w:footnoteReference w:id="99"/>
      </w:r>
      <w:r w:rsidRPr="00A46DF0">
        <w:rPr>
          <w:kern w:val="22"/>
          <w:szCs w:val="22"/>
        </w:rPr>
        <w:t xml:space="preserve"> to the present decision;</w:t>
      </w:r>
    </w:p>
    <w:p w14:paraId="2289431A" w14:textId="77777777" w:rsidR="00FE6115" w:rsidRPr="00A46DF0" w:rsidRDefault="00FE6115" w:rsidP="00190177">
      <w:pPr>
        <w:suppressLineNumbers/>
        <w:suppressAutoHyphens/>
        <w:spacing w:before="120" w:after="120"/>
        <w:ind w:firstLine="720"/>
        <w:rPr>
          <w:kern w:val="22"/>
          <w:szCs w:val="22"/>
        </w:rPr>
      </w:pPr>
      <w:r w:rsidRPr="00A46DF0">
        <w:rPr>
          <w:kern w:val="22"/>
          <w:szCs w:val="22"/>
        </w:rPr>
        <w:t>2.</w:t>
      </w:r>
      <w:r w:rsidRPr="00A46DF0">
        <w:rPr>
          <w:i/>
          <w:kern w:val="22"/>
          <w:szCs w:val="22"/>
        </w:rPr>
        <w:tab/>
        <w:t>Also decides</w:t>
      </w:r>
      <w:r w:rsidRPr="00A46DF0">
        <w:rPr>
          <w:kern w:val="22"/>
          <w:szCs w:val="22"/>
        </w:rPr>
        <w:t xml:space="preserve"> to keep under review the programme of work on Article 8(j) and related provisions</w:t>
      </w:r>
      <w:r>
        <w:rPr>
          <w:kern w:val="22"/>
          <w:szCs w:val="22"/>
        </w:rPr>
        <w:t>,</w:t>
      </w:r>
      <w:r w:rsidRPr="00A46DF0">
        <w:rPr>
          <w:kern w:val="22"/>
          <w:szCs w:val="22"/>
        </w:rPr>
        <w:t xml:space="preserve"> as needed, and </w:t>
      </w:r>
      <w:r>
        <w:rPr>
          <w:kern w:val="22"/>
          <w:szCs w:val="22"/>
        </w:rPr>
        <w:t xml:space="preserve">to </w:t>
      </w:r>
      <w:r w:rsidRPr="00A46DF0">
        <w:rPr>
          <w:kern w:val="22"/>
          <w:szCs w:val="22"/>
        </w:rPr>
        <w:t xml:space="preserve">reprioritize elements and tasks in order to ensure a programme of work supportive of a human rights approach and coherent with the priorities of the </w:t>
      </w:r>
      <w:r>
        <w:rPr>
          <w:kern w:val="22"/>
          <w:szCs w:val="22"/>
        </w:rPr>
        <w:t>Kunming-Montreal Global Biodiversity F</w:t>
      </w:r>
      <w:r w:rsidRPr="00A46DF0">
        <w:rPr>
          <w:kern w:val="22"/>
          <w:szCs w:val="22"/>
        </w:rPr>
        <w:t xml:space="preserve">ramework, </w:t>
      </w:r>
      <w:r>
        <w:rPr>
          <w:kern w:val="22"/>
          <w:szCs w:val="22"/>
        </w:rPr>
        <w:t xml:space="preserve">and one </w:t>
      </w:r>
      <w:r w:rsidRPr="00C91A1D">
        <w:rPr>
          <w:kern w:val="22"/>
          <w:szCs w:val="22"/>
        </w:rPr>
        <w:t>which takes into account</w:t>
      </w:r>
      <w:r w:rsidRPr="00A46DF0">
        <w:rPr>
          <w:kern w:val="22"/>
          <w:szCs w:val="22"/>
        </w:rPr>
        <w:t xml:space="preserve"> developments in other relevant international forums and organizations;</w:t>
      </w:r>
    </w:p>
    <w:p w14:paraId="06DFFDA3" w14:textId="77777777" w:rsidR="00FE6115" w:rsidRPr="003B78A8" w:rsidRDefault="00FE6115" w:rsidP="00190177">
      <w:pPr>
        <w:suppressLineNumbers/>
        <w:suppressAutoHyphens/>
        <w:spacing w:before="120" w:after="120"/>
        <w:ind w:firstLine="720"/>
        <w:rPr>
          <w:kern w:val="22"/>
          <w:szCs w:val="22"/>
        </w:rPr>
      </w:pPr>
      <w:r w:rsidRPr="00A46DF0">
        <w:rPr>
          <w:kern w:val="22"/>
          <w:szCs w:val="22"/>
        </w:rPr>
        <w:t>3.</w:t>
      </w:r>
      <w:r w:rsidRPr="00A46DF0">
        <w:rPr>
          <w:i/>
          <w:kern w:val="22"/>
          <w:szCs w:val="22"/>
        </w:rPr>
        <w:tab/>
        <w:t xml:space="preserve">Encourages </w:t>
      </w:r>
      <w:r w:rsidRPr="00A46DF0">
        <w:rPr>
          <w:kern w:val="22"/>
          <w:szCs w:val="22"/>
        </w:rPr>
        <w:t>Parties, according to national legislation</w:t>
      </w:r>
      <w:r>
        <w:rPr>
          <w:kern w:val="22"/>
          <w:szCs w:val="22"/>
        </w:rPr>
        <w:t xml:space="preserve"> and international obligations</w:t>
      </w:r>
      <w:r w:rsidRPr="00A46DF0">
        <w:rPr>
          <w:kern w:val="22"/>
          <w:szCs w:val="22"/>
        </w:rPr>
        <w:t>, to increase efforts to facilitate the full and effective participation of indigenous peoples and local communities as on-the-ground partners in the implementation of the Convention, including by recognizing, supporting and valuing their customary laws, collective actions</w:t>
      </w:r>
      <w:r>
        <w:rPr>
          <w:kern w:val="22"/>
          <w:szCs w:val="22"/>
        </w:rPr>
        <w:t>, cosmocentric worldviews and diverse values</w:t>
      </w:r>
      <w:r w:rsidRPr="00A46DF0">
        <w:rPr>
          <w:kern w:val="22"/>
          <w:szCs w:val="22"/>
        </w:rPr>
        <w:t xml:space="preserve">, </w:t>
      </w:r>
      <w:r w:rsidRPr="00ED6535">
        <w:rPr>
          <w:kern w:val="22"/>
          <w:szCs w:val="22"/>
        </w:rPr>
        <w:t>including the efforts</w:t>
      </w:r>
      <w:r w:rsidRPr="00A46DF0">
        <w:rPr>
          <w:kern w:val="22"/>
          <w:szCs w:val="22"/>
        </w:rPr>
        <w:t xml:space="preserve"> </w:t>
      </w:r>
      <w:r>
        <w:rPr>
          <w:kern w:val="22"/>
          <w:szCs w:val="22"/>
        </w:rPr>
        <w:t xml:space="preserve">of indigenous peoples and local communities </w:t>
      </w:r>
      <w:r w:rsidRPr="00171E3D">
        <w:rPr>
          <w:kern w:val="22"/>
          <w:szCs w:val="22"/>
        </w:rPr>
        <w:t>to protect and conserve lands and waters that they traditionally occupy or use towards the goals of the Convention,</w:t>
      </w:r>
      <w:r w:rsidRPr="00A46DF0">
        <w:rPr>
          <w:kern w:val="22"/>
          <w:szCs w:val="22"/>
        </w:rPr>
        <w:t xml:space="preserve"> and engaging them, as appropriate, in the preparation of national reports, in the revision and implementation of national biodiversity </w:t>
      </w:r>
      <w:r w:rsidRPr="003B78A8">
        <w:rPr>
          <w:kern w:val="22"/>
          <w:szCs w:val="22"/>
        </w:rPr>
        <w:t>strategies and action plans, and in the process for implementing the Kunming-Montreal Global Biodiversity Framework;</w:t>
      </w:r>
    </w:p>
    <w:p w14:paraId="5A120ABD" w14:textId="77777777" w:rsidR="00FE6115" w:rsidRPr="00A46DF0" w:rsidRDefault="00FE6115" w:rsidP="00190177">
      <w:pPr>
        <w:suppressLineNumbers/>
        <w:suppressAutoHyphens/>
        <w:spacing w:before="120" w:after="120"/>
        <w:ind w:firstLine="720"/>
        <w:rPr>
          <w:kern w:val="22"/>
          <w:szCs w:val="22"/>
        </w:rPr>
      </w:pPr>
      <w:r w:rsidRPr="003B78A8">
        <w:rPr>
          <w:kern w:val="22"/>
          <w:szCs w:val="22"/>
        </w:rPr>
        <w:lastRenderedPageBreak/>
        <w:t>4</w:t>
      </w:r>
      <w:r w:rsidRPr="003B78A8">
        <w:rPr>
          <w:i/>
          <w:kern w:val="22"/>
          <w:szCs w:val="22"/>
        </w:rPr>
        <w:t>.</w:t>
      </w:r>
      <w:r w:rsidRPr="003B78A8">
        <w:rPr>
          <w:i/>
          <w:kern w:val="22"/>
          <w:szCs w:val="22"/>
        </w:rPr>
        <w:tab/>
        <w:t>Requests</w:t>
      </w:r>
      <w:r w:rsidRPr="003B78A8">
        <w:rPr>
          <w:kern w:val="22"/>
          <w:szCs w:val="22"/>
        </w:rPr>
        <w:t xml:space="preserve"> Parties and other Governments to report on the implementation of the current programme of work on Article 8(j) and </w:t>
      </w:r>
      <w:r>
        <w:rPr>
          <w:kern w:val="22"/>
          <w:szCs w:val="22"/>
        </w:rPr>
        <w:t>related</w:t>
      </w:r>
      <w:r w:rsidRPr="003B78A8">
        <w:rPr>
          <w:kern w:val="22"/>
          <w:szCs w:val="22"/>
        </w:rPr>
        <w:t xml:space="preserve"> provisions</w:t>
      </w:r>
      <w:r>
        <w:rPr>
          <w:kern w:val="22"/>
          <w:szCs w:val="22"/>
        </w:rPr>
        <w:t>, and once adopted, of the new programme of work on Article 8(j) and other provisions</w:t>
      </w:r>
      <w:r w:rsidRPr="003B78A8">
        <w:rPr>
          <w:kern w:val="22"/>
          <w:szCs w:val="22"/>
        </w:rPr>
        <w:t xml:space="preserve"> of the Convention related to indigenous peoples and local communities, as well as on the application of the various voluntary guidelines and standards developed under the aegis of the Ad Hoc Open-ended Inter-sessional Working Group on Article 8(j) and Related Provisions and adopted by the Conference of the Parties, as appropriate, through national reports, and to relevant subsidiary bodies, in order to determine progress made;</w:t>
      </w:r>
    </w:p>
    <w:p w14:paraId="0132DB2B" w14:textId="77777777" w:rsidR="00FE6115" w:rsidRPr="00E7482C" w:rsidRDefault="00FE6115" w:rsidP="00190177">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5</w:t>
      </w:r>
      <w:r w:rsidRPr="00E7482C">
        <w:rPr>
          <w:i/>
          <w:kern w:val="22"/>
          <w:szCs w:val="22"/>
        </w:rPr>
        <w:t>.</w:t>
      </w:r>
      <w:r w:rsidRPr="00E7482C">
        <w:rPr>
          <w:i/>
          <w:kern w:val="22"/>
          <w:szCs w:val="22"/>
        </w:rPr>
        <w:tab/>
        <w:t>Invites</w:t>
      </w:r>
      <w:r w:rsidRPr="00E7482C">
        <w:rPr>
          <w:b/>
          <w:i/>
          <w:kern w:val="22"/>
          <w:szCs w:val="22"/>
        </w:rPr>
        <w:t xml:space="preserve"> </w:t>
      </w:r>
      <w:r w:rsidRPr="00E7482C">
        <w:rPr>
          <w:kern w:val="22"/>
          <w:szCs w:val="22"/>
        </w:rPr>
        <w:t>Parties, as per decision X/40 B, paragraph 7,</w:t>
      </w:r>
      <w:r w:rsidRPr="00E7482C">
        <w:rPr>
          <w:i/>
          <w:kern w:val="22"/>
          <w:szCs w:val="22"/>
        </w:rPr>
        <w:t xml:space="preserve"> </w:t>
      </w:r>
      <w:r w:rsidRPr="00E7482C">
        <w:rPr>
          <w:kern w:val="22"/>
          <w:szCs w:val="22"/>
        </w:rPr>
        <w:t xml:space="preserve">to consider designating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for Article 8(j) and related provisions in support of existing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to facilitate and disseminate culturally appropriate communications with indigenous peoples and local community organizations, and to promote the effective development and implementation of the </w:t>
      </w:r>
      <w:r w:rsidRPr="00A46DF0">
        <w:rPr>
          <w:kern w:val="22"/>
          <w:szCs w:val="22"/>
        </w:rPr>
        <w:t>p</w:t>
      </w:r>
      <w:r w:rsidRPr="00E7482C">
        <w:rPr>
          <w:kern w:val="22"/>
          <w:szCs w:val="22"/>
        </w:rPr>
        <w:t xml:space="preserve">rogramme of </w:t>
      </w:r>
      <w:r w:rsidRPr="00A46DF0">
        <w:rPr>
          <w:kern w:val="22"/>
          <w:szCs w:val="22"/>
        </w:rPr>
        <w:t>w</w:t>
      </w:r>
      <w:r w:rsidRPr="00E7482C">
        <w:rPr>
          <w:kern w:val="22"/>
          <w:szCs w:val="22"/>
        </w:rPr>
        <w:t>ork on Article 8(j) and related provisions</w:t>
      </w:r>
      <w:r w:rsidRPr="00A46DF0">
        <w:rPr>
          <w:kern w:val="22"/>
          <w:szCs w:val="22"/>
        </w:rPr>
        <w:t>;</w:t>
      </w:r>
      <w:r w:rsidRPr="00610646">
        <w:rPr>
          <w:rStyle w:val="FootnoteReference"/>
        </w:rPr>
        <w:footnoteReference w:id="100"/>
      </w:r>
    </w:p>
    <w:p w14:paraId="170EA052" w14:textId="77777777" w:rsidR="00FE6115" w:rsidRPr="00E7482C" w:rsidRDefault="00FE6115" w:rsidP="00190177">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6.</w:t>
      </w:r>
      <w:r w:rsidRPr="00E7482C">
        <w:rPr>
          <w:i/>
          <w:kern w:val="22"/>
          <w:szCs w:val="22"/>
        </w:rPr>
        <w:tab/>
        <w:t>Requests</w:t>
      </w:r>
      <w:r w:rsidRPr="00E7482C">
        <w:rPr>
          <w:kern w:val="22"/>
          <w:szCs w:val="22"/>
        </w:rPr>
        <w:t xml:space="preserve"> the Executive Secretary, subject to the availability of resources, </w:t>
      </w:r>
      <w:r w:rsidRPr="00E7482C" w:rsidDel="00353E2F">
        <w:rPr>
          <w:kern w:val="22"/>
          <w:szCs w:val="22"/>
        </w:rPr>
        <w:t xml:space="preserve">to </w:t>
      </w:r>
      <w:r w:rsidRPr="00E7482C">
        <w:rPr>
          <w:kern w:val="22"/>
          <w:szCs w:val="22"/>
        </w:rPr>
        <w:t xml:space="preserve">strengthen and support the network of national focal points </w:t>
      </w:r>
      <w:r>
        <w:rPr>
          <w:kern w:val="22"/>
          <w:szCs w:val="22"/>
        </w:rPr>
        <w:t>for Article 8(j) and related provisions</w:t>
      </w:r>
      <w:r w:rsidRPr="00E7482C">
        <w:rPr>
          <w:kern w:val="22"/>
          <w:szCs w:val="22"/>
        </w:rPr>
        <w:t xml:space="preserve">, </w:t>
      </w:r>
      <w:r>
        <w:rPr>
          <w:kern w:val="22"/>
          <w:szCs w:val="22"/>
        </w:rPr>
        <w:t xml:space="preserve">as well as of the national focal points to the Convention on Biological Diversity, </w:t>
      </w:r>
      <w:r w:rsidRPr="00E7482C">
        <w:rPr>
          <w:kern w:val="22"/>
          <w:szCs w:val="22"/>
        </w:rPr>
        <w:t xml:space="preserve">enabling them to play a key role at the national level in such areas as (a) national and subnational arrangements for the full and effective participation of </w:t>
      </w:r>
      <w:r w:rsidRPr="00A46DF0">
        <w:rPr>
          <w:kern w:val="22"/>
          <w:szCs w:val="22"/>
        </w:rPr>
        <w:t>indigenous peoples and local communities</w:t>
      </w:r>
      <w:r w:rsidRPr="00E7482C">
        <w:rPr>
          <w:kern w:val="22"/>
          <w:szCs w:val="22"/>
        </w:rPr>
        <w:t>, (b) national arrangements for the protection, preservation and promotion of traditional knowledge and customary sustainable use, with the</w:t>
      </w:r>
      <w:r>
        <w:rPr>
          <w:kern w:val="22"/>
          <w:szCs w:val="22"/>
        </w:rPr>
        <w:t xml:space="preserve"> </w:t>
      </w:r>
      <w:r w:rsidRPr="00E7482C">
        <w:rPr>
          <w:kern w:val="22"/>
          <w:szCs w:val="22"/>
        </w:rPr>
        <w:t>free, prior and informed consent</w:t>
      </w:r>
      <w:r w:rsidRPr="00610646">
        <w:rPr>
          <w:rStyle w:val="FootnoteReference"/>
        </w:rPr>
        <w:footnoteReference w:id="101"/>
      </w:r>
      <w:r>
        <w:rPr>
          <w:kern w:val="22"/>
          <w:szCs w:val="22"/>
        </w:rPr>
        <w:t xml:space="preserve"> </w:t>
      </w:r>
      <w:r w:rsidRPr="00E7482C">
        <w:rPr>
          <w:kern w:val="22"/>
          <w:szCs w:val="22"/>
        </w:rPr>
        <w:t xml:space="preserve">of the holders of that knowledge, (c) facilitating </w:t>
      </w:r>
      <w:r w:rsidRPr="00A46DF0">
        <w:rPr>
          <w:kern w:val="22"/>
          <w:szCs w:val="22"/>
        </w:rPr>
        <w:t xml:space="preserve">the </w:t>
      </w:r>
      <w:r w:rsidRPr="00E7482C">
        <w:rPr>
          <w:kern w:val="22"/>
          <w:szCs w:val="22"/>
        </w:rPr>
        <w:t xml:space="preserve">input of </w:t>
      </w:r>
      <w:r w:rsidRPr="00A46DF0">
        <w:rPr>
          <w:kern w:val="22"/>
          <w:szCs w:val="22"/>
        </w:rPr>
        <w:t>indigenous peoples and local communities</w:t>
      </w:r>
      <w:r w:rsidRPr="00E7482C">
        <w:rPr>
          <w:kern w:val="22"/>
          <w:szCs w:val="22"/>
        </w:rPr>
        <w:t xml:space="preserve"> into the drafting of national reports, and (d) promoting capacity</w:t>
      </w:r>
      <w:r w:rsidRPr="00E7482C">
        <w:rPr>
          <w:kern w:val="22"/>
          <w:szCs w:val="22"/>
        </w:rPr>
        <w:noBreakHyphen/>
        <w:t xml:space="preserve">building </w:t>
      </w:r>
      <w:r>
        <w:rPr>
          <w:kern w:val="22"/>
          <w:szCs w:val="22"/>
        </w:rPr>
        <w:t xml:space="preserve">and development </w:t>
      </w:r>
      <w:r w:rsidRPr="00E7482C">
        <w:rPr>
          <w:kern w:val="22"/>
          <w:szCs w:val="22"/>
        </w:rPr>
        <w:t>for indigenous peoples and local communities at the national and local levels, on issues related to the Convention;</w:t>
      </w:r>
    </w:p>
    <w:p w14:paraId="272916E6" w14:textId="77777777" w:rsidR="00FE6115" w:rsidRPr="00A46DF0" w:rsidRDefault="00FE6115" w:rsidP="00190177">
      <w:pPr>
        <w:suppressLineNumbers/>
        <w:suppressAutoHyphens/>
        <w:spacing w:before="120" w:after="120"/>
        <w:ind w:firstLine="720"/>
        <w:rPr>
          <w:kern w:val="22"/>
          <w:szCs w:val="22"/>
        </w:rPr>
      </w:pPr>
      <w:bookmarkStart w:id="129" w:name="_Hlk21611670"/>
      <w:r w:rsidRPr="00A46DF0">
        <w:rPr>
          <w:kern w:val="22"/>
          <w:szCs w:val="22"/>
        </w:rPr>
        <w:t>7.</w:t>
      </w:r>
      <w:r w:rsidRPr="00A46DF0">
        <w:rPr>
          <w:kern w:val="22"/>
          <w:szCs w:val="22"/>
        </w:rPr>
        <w:tab/>
      </w:r>
      <w:r w:rsidRPr="008D51D8">
        <w:rPr>
          <w:i/>
          <w:kern w:val="22"/>
          <w:szCs w:val="22"/>
        </w:rPr>
        <w:t>R</w:t>
      </w:r>
      <w:r w:rsidRPr="002C6284">
        <w:rPr>
          <w:i/>
          <w:kern w:val="22"/>
          <w:szCs w:val="22"/>
        </w:rPr>
        <w:t>equests</w:t>
      </w:r>
      <w:r w:rsidRPr="008D51D8">
        <w:rPr>
          <w:kern w:val="22"/>
          <w:szCs w:val="22"/>
        </w:rPr>
        <w:t xml:space="preserve"> the Executive Secretary to convene </w:t>
      </w:r>
      <w:r w:rsidRPr="00527575">
        <w:rPr>
          <w:kern w:val="22"/>
          <w:szCs w:val="22"/>
        </w:rPr>
        <w:t xml:space="preserve">an ad hoc technical expert group on indigenous peoples and local communities, and the </w:t>
      </w:r>
      <w:r w:rsidRPr="002C6284">
        <w:rPr>
          <w:kern w:val="22"/>
          <w:szCs w:val="22"/>
        </w:rPr>
        <w:t>Kunming-Montreal</w:t>
      </w:r>
      <w:r w:rsidRPr="00527575">
        <w:rPr>
          <w:kern w:val="22"/>
          <w:szCs w:val="22"/>
        </w:rPr>
        <w:t xml:space="preserve"> </w:t>
      </w:r>
      <w:r w:rsidRPr="002C6284">
        <w:rPr>
          <w:kern w:val="22"/>
          <w:szCs w:val="22"/>
        </w:rPr>
        <w:t>G</w:t>
      </w:r>
      <w:r w:rsidRPr="00527575">
        <w:rPr>
          <w:kern w:val="22"/>
          <w:szCs w:val="22"/>
        </w:rPr>
        <w:t xml:space="preserve">lobal </w:t>
      </w:r>
      <w:r w:rsidRPr="002C6284">
        <w:rPr>
          <w:kern w:val="22"/>
          <w:szCs w:val="22"/>
        </w:rPr>
        <w:t>B</w:t>
      </w:r>
      <w:r w:rsidRPr="00527575">
        <w:rPr>
          <w:kern w:val="22"/>
          <w:szCs w:val="22"/>
        </w:rPr>
        <w:t xml:space="preserve">iodiversity </w:t>
      </w:r>
      <w:r w:rsidRPr="002C6284">
        <w:rPr>
          <w:kern w:val="22"/>
          <w:szCs w:val="22"/>
        </w:rPr>
        <w:t>F</w:t>
      </w:r>
      <w:r w:rsidRPr="00527575">
        <w:rPr>
          <w:kern w:val="22"/>
          <w:szCs w:val="22"/>
        </w:rPr>
        <w:t>ramework</w:t>
      </w:r>
      <w:r w:rsidRPr="008D51D8">
        <w:rPr>
          <w:kern w:val="22"/>
          <w:szCs w:val="22"/>
        </w:rPr>
        <w:t>, subject to availability of financial resources, which should meet prior to the twelfth meeting of the Ad Hoc Open-ended Inter-sessional Working Group on Article 8(j) and Related Provisions, with terms of reference as contained in annex III to the present decision, to provide advice on the further elaboration of the new programme of work on, and the possible institutional arrangements for</w:t>
      </w:r>
      <w:r>
        <w:rPr>
          <w:kern w:val="22"/>
          <w:szCs w:val="22"/>
        </w:rPr>
        <w:t>,</w:t>
      </w:r>
      <w:r w:rsidRPr="008D51D8">
        <w:rPr>
          <w:kern w:val="22"/>
          <w:szCs w:val="22"/>
        </w:rPr>
        <w:t xml:space="preserve"> Article 8(j) and other provisions of the Convention related</w:t>
      </w:r>
      <w:r>
        <w:rPr>
          <w:kern w:val="22"/>
          <w:szCs w:val="22"/>
        </w:rPr>
        <w:t xml:space="preserve"> to indigenous peoples and local communities, including the future modus operandi for the implementation of Article 8(j), considering the possible establishment of a subsidiary body, continuing the working group, or other arrangements</w:t>
      </w:r>
      <w:r w:rsidRPr="00A46DF0">
        <w:rPr>
          <w:kern w:val="22"/>
          <w:szCs w:val="22"/>
        </w:rPr>
        <w:t>;</w:t>
      </w:r>
    </w:p>
    <w:p w14:paraId="6E6041DE" w14:textId="77777777" w:rsidR="00FE6115" w:rsidRPr="00281BA5" w:rsidRDefault="00FE6115" w:rsidP="00190177">
      <w:pPr>
        <w:keepNext/>
        <w:suppressLineNumbers/>
        <w:suppressAutoHyphens/>
        <w:spacing w:before="120" w:after="120"/>
        <w:ind w:firstLine="720"/>
        <w:rPr>
          <w:kern w:val="22"/>
          <w:szCs w:val="22"/>
        </w:rPr>
      </w:pPr>
      <w:r w:rsidRPr="00A46DF0">
        <w:rPr>
          <w:kern w:val="22"/>
          <w:szCs w:val="22"/>
        </w:rPr>
        <w:t>8.</w:t>
      </w:r>
      <w:r w:rsidRPr="00A46DF0">
        <w:rPr>
          <w:kern w:val="22"/>
          <w:szCs w:val="22"/>
        </w:rPr>
        <w:tab/>
      </w:r>
      <w:r w:rsidRPr="00A46DF0">
        <w:rPr>
          <w:i/>
          <w:kern w:val="22"/>
          <w:szCs w:val="22"/>
        </w:rPr>
        <w:t>Requests</w:t>
      </w:r>
      <w:r w:rsidRPr="00A46DF0">
        <w:rPr>
          <w:kern w:val="22"/>
          <w:szCs w:val="22"/>
        </w:rPr>
        <w:t xml:space="preserve"> the Executive Secretary, in consultation with relevant organizations, to support the work of </w:t>
      </w:r>
      <w:r w:rsidRPr="00281BA5">
        <w:rPr>
          <w:kern w:val="22"/>
          <w:szCs w:val="22"/>
        </w:rPr>
        <w:t>the Ad Hoc Technical Expert Group as outlined in paragraph 7;</w:t>
      </w:r>
    </w:p>
    <w:p w14:paraId="7DCBCEB4" w14:textId="77777777" w:rsidR="00FE6115" w:rsidRPr="00A46DF0" w:rsidRDefault="00FE6115" w:rsidP="00190177">
      <w:pPr>
        <w:keepNext/>
        <w:suppressLineNumbers/>
        <w:suppressAutoHyphens/>
        <w:spacing w:before="120" w:after="120"/>
        <w:ind w:firstLine="720"/>
        <w:rPr>
          <w:kern w:val="22"/>
          <w:szCs w:val="22"/>
        </w:rPr>
      </w:pPr>
      <w:r w:rsidRPr="00281BA5">
        <w:rPr>
          <w:kern w:val="22"/>
          <w:szCs w:val="22"/>
        </w:rPr>
        <w:t>9.</w:t>
      </w:r>
      <w:r w:rsidRPr="00281BA5">
        <w:rPr>
          <w:kern w:val="22"/>
          <w:szCs w:val="22"/>
        </w:rPr>
        <w:tab/>
      </w:r>
      <w:r w:rsidRPr="00281BA5">
        <w:rPr>
          <w:i/>
          <w:kern w:val="22"/>
          <w:szCs w:val="22"/>
        </w:rPr>
        <w:t>Decides</w:t>
      </w:r>
      <w:r w:rsidRPr="00281BA5">
        <w:rPr>
          <w:kern w:val="22"/>
          <w:szCs w:val="22"/>
        </w:rPr>
        <w:t xml:space="preserve"> </w:t>
      </w:r>
      <w:r w:rsidRPr="00C05A30">
        <w:rPr>
          <w:kern w:val="22"/>
          <w:szCs w:val="22"/>
        </w:rPr>
        <w:t>to continue</w:t>
      </w:r>
      <w:r w:rsidRPr="00281BA5">
        <w:rPr>
          <w:kern w:val="22"/>
          <w:szCs w:val="22"/>
        </w:rPr>
        <w:t xml:space="preserve"> the </w:t>
      </w:r>
      <w:r w:rsidRPr="00281BA5">
        <w:rPr>
          <w:rFonts w:eastAsia="Batang"/>
          <w:kern w:val="22"/>
          <w:szCs w:val="22"/>
          <w:lang w:eastAsia="ko-KR"/>
        </w:rPr>
        <w:t>Ad Hoc Open-ended Working Group on Article 8(j) and Related Provisions</w:t>
      </w:r>
      <w:r w:rsidRPr="00281BA5">
        <w:rPr>
          <w:kern w:val="22"/>
          <w:szCs w:val="22"/>
        </w:rPr>
        <w:t xml:space="preserve"> until the sixteenth meeting of the Conference of the Parties with the intention to subsequently decide on institutional arrangements</w:t>
      </w:r>
      <w:r>
        <w:rPr>
          <w:kern w:val="22"/>
          <w:szCs w:val="22"/>
        </w:rPr>
        <w:t xml:space="preserve"> and future modus </w:t>
      </w:r>
      <w:r w:rsidRPr="008D51D8">
        <w:rPr>
          <w:kern w:val="22"/>
          <w:szCs w:val="22"/>
        </w:rPr>
        <w:t>operandi for Article 8(j) and other provisions of the Convention related to indigenous peoples and local communities at the sixteenth meeting of the Conference of the Parties;</w:t>
      </w:r>
    </w:p>
    <w:bookmarkEnd w:id="129"/>
    <w:p w14:paraId="550793FC" w14:textId="02943A25" w:rsidR="00FE6115" w:rsidRPr="00A46DF0" w:rsidRDefault="00FE6115" w:rsidP="008049CC">
      <w:pPr>
        <w:suppressLineNumbers/>
        <w:suppressAutoHyphens/>
        <w:spacing w:before="120" w:after="120"/>
        <w:ind w:firstLine="720"/>
        <w:rPr>
          <w:kern w:val="22"/>
          <w:szCs w:val="22"/>
        </w:rPr>
      </w:pPr>
      <w:r w:rsidRPr="00A46DF0">
        <w:rPr>
          <w:kern w:val="22"/>
          <w:szCs w:val="22"/>
        </w:rPr>
        <w:t>10.</w:t>
      </w:r>
      <w:r w:rsidRPr="00A46DF0">
        <w:rPr>
          <w:kern w:val="22"/>
          <w:szCs w:val="22"/>
        </w:rPr>
        <w:tab/>
      </w:r>
      <w:r w:rsidRPr="00A46DF0">
        <w:rPr>
          <w:i/>
          <w:kern w:val="22"/>
          <w:szCs w:val="22"/>
        </w:rPr>
        <w:t>Requests</w:t>
      </w:r>
      <w:r w:rsidRPr="00A46DF0">
        <w:rPr>
          <w:kern w:val="22"/>
          <w:szCs w:val="22"/>
        </w:rPr>
        <w:t xml:space="preserve"> the Ad Hoc Open-ended Working Group on Article 8(j) and Related Provisions</w:t>
      </w:r>
      <w:r>
        <w:rPr>
          <w:kern w:val="22"/>
          <w:szCs w:val="22"/>
        </w:rPr>
        <w:t>,</w:t>
      </w:r>
      <w:r w:rsidRPr="00A46DF0">
        <w:rPr>
          <w:kern w:val="22"/>
          <w:szCs w:val="22"/>
        </w:rPr>
        <w:t xml:space="preserve"> at its twelfth meeting</w:t>
      </w:r>
      <w:r>
        <w:rPr>
          <w:kern w:val="22"/>
          <w:szCs w:val="22"/>
        </w:rPr>
        <w:t>,</w:t>
      </w:r>
      <w:r w:rsidRPr="00A46DF0">
        <w:rPr>
          <w:kern w:val="22"/>
          <w:szCs w:val="22"/>
        </w:rPr>
        <w:t xml:space="preserve"> to further elaborate the </w:t>
      </w:r>
      <w:r w:rsidRPr="00981B0C">
        <w:rPr>
          <w:kern w:val="22"/>
          <w:szCs w:val="22"/>
        </w:rPr>
        <w:t>new</w:t>
      </w:r>
      <w:r w:rsidRPr="00A46DF0">
        <w:rPr>
          <w:kern w:val="22"/>
          <w:szCs w:val="22"/>
        </w:rPr>
        <w:t xml:space="preserve"> programme of work on Article 8(j) and other provisions of the Convention related to indigenous peoples and local communities, taking into account the recommendations of the </w:t>
      </w:r>
      <w:r>
        <w:rPr>
          <w:kern w:val="22"/>
          <w:szCs w:val="22"/>
        </w:rPr>
        <w:t>A</w:t>
      </w:r>
      <w:r w:rsidRPr="00A46DF0">
        <w:rPr>
          <w:kern w:val="22"/>
          <w:szCs w:val="22"/>
        </w:rPr>
        <w:t xml:space="preserve">d </w:t>
      </w:r>
      <w:r>
        <w:rPr>
          <w:kern w:val="22"/>
          <w:szCs w:val="22"/>
        </w:rPr>
        <w:t>H</w:t>
      </w:r>
      <w:r w:rsidRPr="00A46DF0">
        <w:rPr>
          <w:kern w:val="22"/>
          <w:szCs w:val="22"/>
        </w:rPr>
        <w:t xml:space="preserve">oc </w:t>
      </w:r>
      <w:r>
        <w:rPr>
          <w:kern w:val="22"/>
          <w:szCs w:val="22"/>
        </w:rPr>
        <w:t>T</w:t>
      </w:r>
      <w:r w:rsidRPr="00A46DF0">
        <w:rPr>
          <w:kern w:val="22"/>
          <w:szCs w:val="22"/>
        </w:rPr>
        <w:t xml:space="preserve">echnical </w:t>
      </w:r>
      <w:r>
        <w:rPr>
          <w:kern w:val="22"/>
          <w:szCs w:val="22"/>
        </w:rPr>
        <w:t>E</w:t>
      </w:r>
      <w:r w:rsidRPr="00A46DF0">
        <w:rPr>
          <w:kern w:val="22"/>
          <w:szCs w:val="22"/>
        </w:rPr>
        <w:t xml:space="preserve">xpert </w:t>
      </w:r>
      <w:r>
        <w:rPr>
          <w:kern w:val="22"/>
          <w:szCs w:val="22"/>
        </w:rPr>
        <w:t>G</w:t>
      </w:r>
      <w:r w:rsidRPr="00A46DF0">
        <w:rPr>
          <w:kern w:val="22"/>
          <w:szCs w:val="22"/>
        </w:rPr>
        <w:t>roup</w:t>
      </w:r>
      <w:r>
        <w:rPr>
          <w:kern w:val="22"/>
          <w:szCs w:val="22"/>
        </w:rPr>
        <w:t>, for consideration by the Conference of Parties</w:t>
      </w:r>
      <w:r w:rsidRPr="00BD4862">
        <w:rPr>
          <w:kern w:val="22"/>
          <w:szCs w:val="22"/>
        </w:rPr>
        <w:t xml:space="preserve"> </w:t>
      </w:r>
      <w:r>
        <w:rPr>
          <w:kern w:val="22"/>
          <w:szCs w:val="22"/>
        </w:rPr>
        <w:t>at its sixteenth meeting</w:t>
      </w:r>
      <w:r w:rsidRPr="00A46DF0">
        <w:rPr>
          <w:kern w:val="22"/>
          <w:szCs w:val="22"/>
        </w:rPr>
        <w:t>.</w:t>
      </w:r>
    </w:p>
    <w:p w14:paraId="064C06E4" w14:textId="77777777" w:rsidR="00FE6115" w:rsidRPr="002C6284" w:rsidRDefault="00FE6115" w:rsidP="008049CC">
      <w:pPr>
        <w:keepNext/>
        <w:keepLines/>
        <w:suppressLineNumbers/>
        <w:suppressAutoHyphens/>
        <w:jc w:val="center"/>
        <w:rPr>
          <w:i/>
          <w:kern w:val="22"/>
          <w:szCs w:val="22"/>
        </w:rPr>
      </w:pPr>
      <w:bookmarkStart w:id="130" w:name="_Toc118354977"/>
      <w:r w:rsidRPr="002C6284">
        <w:rPr>
          <w:i/>
          <w:kern w:val="22"/>
          <w:szCs w:val="22"/>
        </w:rPr>
        <w:lastRenderedPageBreak/>
        <w:t>Annex I</w:t>
      </w:r>
      <w:bookmarkEnd w:id="130"/>
    </w:p>
    <w:p w14:paraId="2DB1191E" w14:textId="77777777" w:rsidR="00FE6115" w:rsidRPr="002C6284" w:rsidRDefault="00FE6115" w:rsidP="00D04C80">
      <w:pPr>
        <w:pStyle w:val="HEADINGNOTFORTOC"/>
        <w:keepLines/>
        <w:spacing w:before="120"/>
        <w:outlineLvl w:val="9"/>
        <w:rPr>
          <w:bCs/>
          <w:szCs w:val="22"/>
        </w:rPr>
      </w:pPr>
      <w:bookmarkStart w:id="131" w:name="_Toc118354978"/>
      <w:r w:rsidRPr="002C6284">
        <w:rPr>
          <w:szCs w:val="22"/>
        </w:rPr>
        <w:t xml:space="preserve">Draft objectives, general principles, and elements </w:t>
      </w:r>
      <w:sdt>
        <w:sdtPr>
          <w:rPr>
            <w:szCs w:val="22"/>
          </w:rPr>
          <w:tag w:val="goog_rdk_187"/>
          <w:id w:val="1469787831"/>
        </w:sdtPr>
        <w:sdtEndPr/>
        <w:sdtContent>
          <w:r w:rsidRPr="002C6284">
            <w:rPr>
              <w:szCs w:val="22"/>
            </w:rPr>
            <w:t xml:space="preserve">of work </w:t>
          </w:r>
        </w:sdtContent>
      </w:sdt>
      <w:r w:rsidRPr="002C6284">
        <w:rPr>
          <w:szCs w:val="22"/>
        </w:rPr>
        <w:t>for the new programme of work on Article 8(j) and other provisions of the Convention related to indigenous peoples and local communities</w:t>
      </w:r>
      <w:r w:rsidRPr="002C6284">
        <w:rPr>
          <w:bCs/>
          <w:szCs w:val="22"/>
        </w:rPr>
        <w:t xml:space="preserve"> 2020</w:t>
      </w:r>
      <w:r w:rsidRPr="002C6284">
        <w:rPr>
          <w:bCs/>
          <w:szCs w:val="22"/>
        </w:rPr>
        <w:noBreakHyphen/>
        <w:t>2050</w:t>
      </w:r>
      <w:bookmarkEnd w:id="131"/>
    </w:p>
    <w:p w14:paraId="7E1D67E4" w14:textId="77777777" w:rsidR="00FE6115" w:rsidRPr="002C6284" w:rsidRDefault="00FE6115" w:rsidP="00190177">
      <w:pPr>
        <w:keepNext/>
        <w:suppressLineNumbers/>
        <w:tabs>
          <w:tab w:val="left" w:pos="426"/>
        </w:tabs>
        <w:suppressAutoHyphens/>
        <w:spacing w:before="120" w:after="120"/>
        <w:jc w:val="center"/>
        <w:rPr>
          <w:b/>
          <w:kern w:val="22"/>
          <w:szCs w:val="22"/>
        </w:rPr>
      </w:pPr>
      <w:r w:rsidRPr="002C6284">
        <w:rPr>
          <w:b/>
          <w:kern w:val="22"/>
          <w:szCs w:val="22"/>
        </w:rPr>
        <w:t>I.</w:t>
      </w:r>
      <w:r w:rsidRPr="002C6284">
        <w:rPr>
          <w:b/>
          <w:kern w:val="22"/>
          <w:szCs w:val="22"/>
        </w:rPr>
        <w:tab/>
        <w:t>OBJECTIVE</w:t>
      </w:r>
    </w:p>
    <w:p w14:paraId="4927876B" w14:textId="77777777" w:rsidR="00FE6115" w:rsidRPr="002C6284" w:rsidRDefault="00FE6115" w:rsidP="00190177">
      <w:pPr>
        <w:suppressLineNumbers/>
        <w:suppressAutoHyphens/>
        <w:spacing w:before="120" w:after="120"/>
        <w:rPr>
          <w:kern w:val="22"/>
          <w:szCs w:val="22"/>
        </w:rPr>
      </w:pPr>
      <w:r w:rsidRPr="002C6284">
        <w:rPr>
          <w:kern w:val="22"/>
          <w:szCs w:val="22"/>
        </w:rPr>
        <w:t>1.</w:t>
      </w:r>
      <w:r w:rsidRPr="002C6284">
        <w:rPr>
          <w:kern w:val="22"/>
          <w:szCs w:val="22"/>
        </w:rPr>
        <w:tab/>
        <w:t>The objective of this programme of work is to promote, within the framework of the Convention, a just implementation of Article 8(j) and related provisions at the local, national, regional and international levels and to ensure the full and effective participation of indigenous peoples and local communities at all stages and levels of its implementation, ensuring an ongoing recognition of the unique association that indigenous peoples and local communities have with the Convention and its Protocols.</w:t>
      </w:r>
    </w:p>
    <w:p w14:paraId="0C82FBCD" w14:textId="77777777" w:rsidR="00FE6115" w:rsidRPr="002C6284" w:rsidRDefault="00FE6115" w:rsidP="00190177">
      <w:pPr>
        <w:pStyle w:val="ListParagraph"/>
        <w:keepNext/>
        <w:suppressLineNumbers/>
        <w:tabs>
          <w:tab w:val="left" w:pos="426"/>
        </w:tabs>
        <w:suppressAutoHyphens/>
        <w:spacing w:before="120" w:after="120"/>
        <w:ind w:left="0"/>
        <w:contextualSpacing w:val="0"/>
        <w:jc w:val="center"/>
        <w:rPr>
          <w:b/>
          <w:kern w:val="22"/>
          <w:szCs w:val="22"/>
        </w:rPr>
      </w:pPr>
      <w:r w:rsidRPr="002C6284">
        <w:rPr>
          <w:b/>
          <w:kern w:val="22"/>
          <w:szCs w:val="22"/>
        </w:rPr>
        <w:t>II.</w:t>
      </w:r>
      <w:r w:rsidRPr="002C6284">
        <w:rPr>
          <w:b/>
          <w:kern w:val="22"/>
          <w:szCs w:val="22"/>
        </w:rPr>
        <w:tab/>
        <w:t>GENERAL PRINCIPLES</w:t>
      </w:r>
    </w:p>
    <w:p w14:paraId="1802987B" w14:textId="77777777" w:rsidR="00FE6115" w:rsidRPr="002C6284" w:rsidRDefault="00FE6115" w:rsidP="00190177">
      <w:pPr>
        <w:suppressLineNumbers/>
        <w:suppressAutoHyphens/>
        <w:spacing w:before="120" w:after="120"/>
        <w:rPr>
          <w:kern w:val="22"/>
          <w:szCs w:val="22"/>
        </w:rPr>
      </w:pPr>
      <w:r w:rsidRPr="002C6284">
        <w:rPr>
          <w:kern w:val="22"/>
          <w:szCs w:val="22"/>
        </w:rPr>
        <w:t>2.</w:t>
      </w:r>
      <w:r w:rsidRPr="002C6284">
        <w:rPr>
          <w:kern w:val="22"/>
          <w:szCs w:val="22"/>
        </w:rPr>
        <w:tab/>
        <w:t>Full and effective participation of indigenous peoples and local communities in all stages of the identification and implementation of the elements of the programme of work. Full and effective participation of women and girls from indigenous peoples and local communities in all activities of the programme of work.</w:t>
      </w:r>
    </w:p>
    <w:p w14:paraId="36A05238" w14:textId="77777777" w:rsidR="00FE6115" w:rsidRPr="002C6284" w:rsidRDefault="00FE6115" w:rsidP="00190177">
      <w:pPr>
        <w:suppressLineNumbers/>
        <w:suppressAutoHyphens/>
        <w:spacing w:before="120" w:after="120"/>
        <w:rPr>
          <w:kern w:val="22"/>
          <w:szCs w:val="22"/>
        </w:rPr>
      </w:pPr>
      <w:r w:rsidRPr="002C6284">
        <w:rPr>
          <w:kern w:val="22"/>
          <w:szCs w:val="22"/>
        </w:rPr>
        <w:t>3.</w:t>
      </w:r>
      <w:r w:rsidRPr="002C6284">
        <w:rPr>
          <w:kern w:val="22"/>
          <w:szCs w:val="22"/>
        </w:rPr>
        <w:tab/>
        <w:t xml:space="preserve">Traditional knowledge, innovations and practices should be valued, given the same respect and considered as useful and necessary as other forms of knowledge. </w:t>
      </w:r>
      <w:r w:rsidRPr="002C6284">
        <w:rPr>
          <w:bCs/>
          <w:kern w:val="22"/>
          <w:szCs w:val="22"/>
        </w:rPr>
        <w:t>Genuine collaborations and co-production of knowledge in ways that respect the knowledge generation processes and the integrity of each knowledge system should be promoted. The inclusion of knowledge from the diversity of knowledge systems and practices should be mainstreamed in the development and implementation of biodiversity policies.</w:t>
      </w:r>
    </w:p>
    <w:p w14:paraId="3F7EF646" w14:textId="77777777" w:rsidR="00FE6115" w:rsidRPr="002C6284" w:rsidRDefault="00FE6115" w:rsidP="00190177">
      <w:pPr>
        <w:suppressLineNumbers/>
        <w:suppressAutoHyphens/>
        <w:spacing w:before="120" w:after="120"/>
        <w:rPr>
          <w:kern w:val="22"/>
          <w:szCs w:val="22"/>
        </w:rPr>
      </w:pPr>
      <w:r w:rsidRPr="002C6284">
        <w:rPr>
          <w:kern w:val="22"/>
          <w:szCs w:val="22"/>
        </w:rPr>
        <w:t>4.</w:t>
      </w:r>
      <w:r w:rsidRPr="002C6284">
        <w:rPr>
          <w:kern w:val="22"/>
          <w:szCs w:val="22"/>
        </w:rPr>
        <w:tab/>
        <w:t>A</w:t>
      </w:r>
      <w:r>
        <w:rPr>
          <w:kern w:val="22"/>
          <w:szCs w:val="22"/>
        </w:rPr>
        <w:t>n</w:t>
      </w:r>
      <w:r w:rsidRPr="002C6284">
        <w:rPr>
          <w:kern w:val="22"/>
          <w:szCs w:val="22"/>
        </w:rPr>
        <w:t xml:space="preserve"> holistic approach consistent with the spiritual and cultural values and customary practices of the indigenous peoples and local communities </w:t>
      </w:r>
      <w:r w:rsidRPr="002C6284">
        <w:rPr>
          <w:bCs/>
          <w:kern w:val="22"/>
          <w:szCs w:val="22"/>
        </w:rPr>
        <w:t>recognizing the connection to their territories</w:t>
      </w:r>
      <w:r w:rsidRPr="002C6284">
        <w:rPr>
          <w:kern w:val="22"/>
          <w:szCs w:val="22"/>
        </w:rPr>
        <w:t xml:space="preserve"> and their rights, in accordance with relevant national legislation, to have control over their traditional knowledge, innovations and practices.</w:t>
      </w:r>
    </w:p>
    <w:p w14:paraId="04BAC3A9" w14:textId="77777777" w:rsidR="00FE6115" w:rsidRPr="002C6284" w:rsidRDefault="00FE6115" w:rsidP="00190177">
      <w:pPr>
        <w:suppressLineNumbers/>
        <w:suppressAutoHyphens/>
        <w:spacing w:before="120" w:after="120"/>
        <w:rPr>
          <w:kern w:val="22"/>
          <w:szCs w:val="22"/>
        </w:rPr>
      </w:pPr>
      <w:r w:rsidRPr="002C6284">
        <w:rPr>
          <w:kern w:val="22"/>
          <w:szCs w:val="22"/>
        </w:rPr>
        <w:t>5.</w:t>
      </w:r>
      <w:r w:rsidRPr="002C6284">
        <w:rPr>
          <w:kern w:val="22"/>
          <w:szCs w:val="22"/>
        </w:rPr>
        <w:tab/>
        <w:t>The ecosystem approach is a strategy for the integrated management of land, water and living resources that promotes conservation and sustainable use of biological diversity in an equitable way.</w:t>
      </w:r>
    </w:p>
    <w:p w14:paraId="0BF0D0E9" w14:textId="77777777" w:rsidR="00FE6115" w:rsidRPr="002C6284" w:rsidRDefault="00FE6115" w:rsidP="00190177">
      <w:pPr>
        <w:suppressLineNumbers/>
        <w:suppressAutoHyphens/>
        <w:spacing w:before="120" w:after="120"/>
        <w:rPr>
          <w:kern w:val="22"/>
          <w:szCs w:val="22"/>
        </w:rPr>
      </w:pPr>
      <w:r w:rsidRPr="002C6284">
        <w:rPr>
          <w:kern w:val="22"/>
          <w:szCs w:val="22"/>
        </w:rPr>
        <w:t>6.</w:t>
      </w:r>
      <w:r w:rsidRPr="002C6284">
        <w:rPr>
          <w:kern w:val="22"/>
          <w:szCs w:val="22"/>
        </w:rPr>
        <w:tab/>
        <w:t>Access to traditional knowledge, innovations and practices held by indigenous peoples and local communities should be subject to free, prior and informed consent</w:t>
      </w:r>
      <w:r w:rsidRPr="00610646">
        <w:rPr>
          <w:rStyle w:val="FootnoteReference"/>
        </w:rPr>
        <w:footnoteReference w:id="102"/>
      </w:r>
      <w:r w:rsidRPr="002C6284">
        <w:rPr>
          <w:kern w:val="22"/>
          <w:szCs w:val="22"/>
        </w:rPr>
        <w:t xml:space="preserve"> of indigenous peoples and local communities, depending on national circumstances, and on a fair and equitable sharing of benefits arising from the use and application of such knowledge, innovations and practise based on mutually agreed terms and in accordance with domestic law.</w:t>
      </w:r>
    </w:p>
    <w:p w14:paraId="7A51E072" w14:textId="77777777" w:rsidR="00D04C80" w:rsidRDefault="00FE6115" w:rsidP="002C6284">
      <w:pPr>
        <w:suppressLineNumbers/>
        <w:suppressAutoHyphens/>
        <w:spacing w:before="120" w:after="120"/>
        <w:rPr>
          <w:kern w:val="22"/>
          <w:szCs w:val="22"/>
        </w:rPr>
      </w:pPr>
      <w:r w:rsidRPr="002C6284">
        <w:rPr>
          <w:kern w:val="22"/>
          <w:szCs w:val="22"/>
        </w:rPr>
        <w:t>7.</w:t>
      </w:r>
      <w:r w:rsidRPr="002C6284">
        <w:rPr>
          <w:kern w:val="22"/>
          <w:szCs w:val="22"/>
        </w:rPr>
        <w:tab/>
        <w:t>The implementation of the new programme of work on Article 8(j) will be monitored continuously through the indicators for status and trends in traditional knowledge,</w:t>
      </w:r>
      <w:r w:rsidRPr="00610646">
        <w:rPr>
          <w:rStyle w:val="FootnoteReference"/>
          <w:rFonts w:eastAsiaTheme="majorEastAsia"/>
        </w:rPr>
        <w:footnoteReference w:id="103"/>
      </w:r>
      <w:r w:rsidRPr="002C6284">
        <w:rPr>
          <w:kern w:val="22"/>
          <w:szCs w:val="22"/>
        </w:rPr>
        <w:t xml:space="preserve"> adopted under the earlier programme of work, and their further operationalization will also be continued under the renewed joint programme of work on the links between biological and cultural diversity,</w:t>
      </w:r>
      <w:r w:rsidRPr="00610646">
        <w:rPr>
          <w:rStyle w:val="FootnoteReference"/>
        </w:rPr>
        <w:footnoteReference w:id="104"/>
      </w:r>
      <w:r w:rsidRPr="002C6284">
        <w:rPr>
          <w:kern w:val="22"/>
          <w:szCs w:val="22"/>
        </w:rPr>
        <w:t xml:space="preserve"> including in partnership with the United Nations Educational, Scientific and Cultural Organization, Food and Agriculture Organization of the United Nations (FAO),and other relevant bodies.</w:t>
      </w:r>
      <w:bookmarkStart w:id="132" w:name="_heading=h.2et92p0" w:colFirst="0" w:colLast="0"/>
      <w:bookmarkStart w:id="133" w:name="_Toc118354979"/>
      <w:bookmarkEnd w:id="132"/>
    </w:p>
    <w:p w14:paraId="688BD4E0" w14:textId="77777777" w:rsidR="00FE6115" w:rsidRPr="002C6284" w:rsidRDefault="00FE6115" w:rsidP="00D04C80">
      <w:pPr>
        <w:keepNext/>
        <w:suppressLineNumbers/>
        <w:suppressAutoHyphens/>
        <w:spacing w:before="240"/>
        <w:jc w:val="center"/>
        <w:rPr>
          <w:i/>
          <w:smallCaps/>
          <w:kern w:val="22"/>
          <w:szCs w:val="22"/>
        </w:rPr>
      </w:pPr>
      <w:r w:rsidRPr="002C6284">
        <w:rPr>
          <w:i/>
          <w:smallCaps/>
          <w:kern w:val="22"/>
          <w:szCs w:val="22"/>
        </w:rPr>
        <w:lastRenderedPageBreak/>
        <w:t>A</w:t>
      </w:r>
      <w:r w:rsidRPr="002C6284">
        <w:rPr>
          <w:i/>
          <w:kern w:val="22"/>
          <w:szCs w:val="22"/>
        </w:rPr>
        <w:t>nnex II</w:t>
      </w:r>
      <w:bookmarkEnd w:id="133"/>
    </w:p>
    <w:p w14:paraId="577295E0" w14:textId="77777777" w:rsidR="00FE6115" w:rsidRPr="002C6284" w:rsidRDefault="00FE6115" w:rsidP="00D04C80">
      <w:pPr>
        <w:pStyle w:val="HEADINGNOTFORTOC"/>
        <w:outlineLvl w:val="9"/>
        <w:rPr>
          <w:szCs w:val="22"/>
        </w:rPr>
      </w:pPr>
      <w:bookmarkStart w:id="134" w:name="_Toc118354980"/>
      <w:r w:rsidRPr="002C6284">
        <w:rPr>
          <w:szCs w:val="22"/>
        </w:rPr>
        <w:t>Draft possible elements of the new programme of work on Article 8(j) and other provisions of the Convention related to indigenous peoples and local communities</w:t>
      </w:r>
      <w:bookmarkEnd w:id="134"/>
    </w:p>
    <w:p w14:paraId="61EC9FEB" w14:textId="231A404C" w:rsidR="00FE6115" w:rsidRPr="008E3266" w:rsidRDefault="008E3266" w:rsidP="008E3266">
      <w:pPr>
        <w:pStyle w:val="BodyText"/>
        <w:jc w:val="center"/>
        <w:rPr>
          <w:b/>
          <w:bCs/>
          <w:snapToGrid w:val="0"/>
        </w:rPr>
      </w:pPr>
      <w:r w:rsidRPr="008E3266">
        <w:rPr>
          <w:b/>
          <w:bCs/>
          <w:snapToGrid w:val="0"/>
        </w:rPr>
        <w:t>I.</w:t>
      </w:r>
      <w:r w:rsidRPr="008E3266">
        <w:rPr>
          <w:b/>
          <w:bCs/>
          <w:snapToGrid w:val="0"/>
        </w:rPr>
        <w:tab/>
        <w:t>SUSTAINABLE USE</w:t>
      </w:r>
    </w:p>
    <w:p w14:paraId="4DBFE9A4" w14:textId="77777777" w:rsidR="00FE6115" w:rsidRPr="002C6284" w:rsidRDefault="00FE6115" w:rsidP="00190177">
      <w:pPr>
        <w:suppressLineNumbers/>
        <w:suppressAutoHyphens/>
        <w:spacing w:before="120" w:after="120"/>
        <w:rPr>
          <w:i/>
          <w:kern w:val="22"/>
          <w:szCs w:val="22"/>
        </w:rPr>
      </w:pPr>
      <w:r w:rsidRPr="002C6284">
        <w:rPr>
          <w:i/>
          <w:kern w:val="22"/>
          <w:szCs w:val="22"/>
        </w:rPr>
        <w:t>[To promote the sustainable use of biological diversity, including the customary sustainable use of wildlife and traditional food production practices and agriculture systems</w:t>
      </w:r>
    </w:p>
    <w:p w14:paraId="5673084D" w14:textId="77777777" w:rsidR="00FE6115" w:rsidRPr="002C6284" w:rsidRDefault="00FE6115" w:rsidP="00190177">
      <w:pPr>
        <w:suppressLineNumbers/>
        <w:suppressAutoHyphens/>
        <w:spacing w:before="120" w:after="120"/>
        <w:ind w:hanging="2"/>
        <w:jc w:val="left"/>
        <w:rPr>
          <w:kern w:val="22"/>
          <w:szCs w:val="22"/>
        </w:rPr>
      </w:pPr>
      <w:r w:rsidRPr="002C6284">
        <w:rPr>
          <w:kern w:val="22"/>
          <w:szCs w:val="22"/>
        </w:rPr>
        <w:t>Suggested activities:</w:t>
      </w:r>
    </w:p>
    <w:p w14:paraId="16125601" w14:textId="77777777" w:rsidR="00FE6115" w:rsidRPr="002C6284" w:rsidRDefault="00FE6115" w:rsidP="00190177">
      <w:pPr>
        <w:suppressLineNumbers/>
        <w:suppressAutoHyphens/>
        <w:spacing w:before="120" w:after="120"/>
        <w:ind w:left="426" w:hanging="426"/>
        <w:rPr>
          <w:rFonts w:eastAsia="Calibri"/>
          <w:kern w:val="22"/>
          <w:szCs w:val="22"/>
        </w:rPr>
      </w:pPr>
      <w:r w:rsidRPr="002C6284">
        <w:rPr>
          <w:kern w:val="22"/>
          <w:szCs w:val="22"/>
        </w:rPr>
        <w:t>1.1</w:t>
      </w:r>
      <w:r w:rsidRPr="002C6284">
        <w:rPr>
          <w:rFonts w:eastAsia="Calibri"/>
          <w:kern w:val="22"/>
          <w:szCs w:val="22"/>
        </w:rPr>
        <w:tab/>
        <w:t>Develop voluntary guidelines to incorporate customary sustainable use practices or policies, with the full and effective participation of indigenous peoples and local communities</w:t>
      </w:r>
      <w:r>
        <w:rPr>
          <w:rFonts w:eastAsia="Calibri"/>
          <w:kern w:val="22"/>
          <w:szCs w:val="22"/>
        </w:rPr>
        <w:t>,</w:t>
      </w:r>
      <w:r w:rsidRPr="002C6284">
        <w:rPr>
          <w:rFonts w:eastAsia="Calibri"/>
          <w:kern w:val="22"/>
          <w:szCs w:val="22"/>
        </w:rPr>
        <w:t xml:space="preserve"> as appropriate, into national biodiversity strategies and action plans.</w:t>
      </w:r>
    </w:p>
    <w:p w14:paraId="587A2AA5" w14:textId="77777777" w:rsidR="00FE6115" w:rsidRPr="002C6284" w:rsidRDefault="00FE6115" w:rsidP="00190177">
      <w:pPr>
        <w:suppressLineNumbers/>
        <w:suppressAutoHyphens/>
        <w:spacing w:before="120" w:after="120"/>
        <w:ind w:left="426" w:hanging="426"/>
        <w:rPr>
          <w:rFonts w:eastAsia="Calibri"/>
          <w:kern w:val="22"/>
          <w:szCs w:val="22"/>
        </w:rPr>
      </w:pPr>
      <w:r w:rsidRPr="002C6284">
        <w:rPr>
          <w:kern w:val="22"/>
          <w:szCs w:val="22"/>
        </w:rPr>
        <w:t>1.2</w:t>
      </w:r>
      <w:r w:rsidRPr="002C6284">
        <w:rPr>
          <w:kern w:val="22"/>
          <w:szCs w:val="22"/>
        </w:rPr>
        <w:tab/>
        <w:t>Develop voluntary guidelines to p</w:t>
      </w:r>
      <w:r w:rsidRPr="002C6284">
        <w:rPr>
          <w:rFonts w:eastAsia="Calibri"/>
          <w:kern w:val="22"/>
          <w:szCs w:val="22"/>
        </w:rPr>
        <w:t>romote and strengthen community-based initiatives that support and contribute to the implementation of Article 10(c) and enhance customary sustainable use of biological diversity.</w:t>
      </w:r>
    </w:p>
    <w:p w14:paraId="61C2E451"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1.3</w:t>
      </w:r>
      <w:r w:rsidRPr="002C6284">
        <w:rPr>
          <w:rFonts w:eastAsia="Calibri"/>
          <w:kern w:val="22"/>
          <w:szCs w:val="22"/>
        </w:rPr>
        <w:tab/>
        <w:t xml:space="preserve">Identify </w:t>
      </w:r>
      <w:r w:rsidRPr="002C6284">
        <w:rPr>
          <w:kern w:val="22"/>
          <w:szCs w:val="22"/>
        </w:rPr>
        <w:t xml:space="preserve">and promote </w:t>
      </w:r>
      <w:r w:rsidRPr="002C6284">
        <w:rPr>
          <w:rFonts w:eastAsia="Calibri"/>
          <w:kern w:val="22"/>
          <w:szCs w:val="22"/>
        </w:rPr>
        <w:t>best practices (e.g. case studies, mechanisms, legislation and other appropriate initiatives).</w:t>
      </w:r>
    </w:p>
    <w:p w14:paraId="0CBDD23E"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1.4.</w:t>
      </w:r>
      <w:r w:rsidRPr="002C6284">
        <w:rPr>
          <w:kern w:val="22"/>
          <w:szCs w:val="22"/>
        </w:rPr>
        <w:tab/>
        <w:t>Develop proposals to support indigenous peoples and local communities in on-farm and in situ conservation.</w:t>
      </w:r>
    </w:p>
    <w:p w14:paraId="69374DB1"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1.5</w:t>
      </w:r>
      <w:r w:rsidRPr="002C6284">
        <w:rPr>
          <w:kern w:val="22"/>
          <w:szCs w:val="22"/>
        </w:rPr>
        <w:tab/>
        <w:t>Develop communication, education and public awareness materials on the value and contributions of indigenous, local and traditional food systems, and on these systems and their products and their advantages for human health and biodiversity.</w:t>
      </w:r>
    </w:p>
    <w:p w14:paraId="09AC6FD9"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1.6</w:t>
      </w:r>
      <w:r w:rsidRPr="002C6284">
        <w:rPr>
          <w:kern w:val="22"/>
          <w:szCs w:val="22"/>
        </w:rPr>
        <w:tab/>
        <w:t>In accordance with national legislation and international obligations, encourage indigenous peoples and local communities to register their existing practices with the appropriate international mechanisms and initiatives, such as the Globally Important Agricultural Heritage Systems (GIAHS) of the Food and Agriculture Organization of the United Nations (FAO), as well as the programmes implemented by the United Nations Educational, Scientific and Cultural Organization (UNESCO), and the Satoyama Initiative, to assist in transmission to future generations in appropriate and respectful ways.</w:t>
      </w:r>
    </w:p>
    <w:p w14:paraId="374B8491"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1.7</w:t>
      </w:r>
      <w:r w:rsidRPr="002C6284">
        <w:rPr>
          <w:kern w:val="22"/>
          <w:szCs w:val="22"/>
        </w:rPr>
        <w:tab/>
        <w:t>Develop guidance to promote indigenous concepts of diverse agroforestry systems in areas adjacent to protected areas.]</w:t>
      </w:r>
    </w:p>
    <w:p w14:paraId="67297302" w14:textId="77777777" w:rsidR="00FE6115" w:rsidRPr="002C6284" w:rsidRDefault="00FE6115"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II.</w:t>
      </w:r>
      <w:r w:rsidRPr="002C6284">
        <w:rPr>
          <w:rFonts w:ascii="Times New Roman Bold" w:hAnsi="Times New Roman Bold" w:cs="Times New Roman Bold"/>
          <w:b/>
          <w:bCs/>
          <w:caps/>
          <w:snapToGrid w:val="0"/>
          <w:szCs w:val="22"/>
        </w:rPr>
        <w:tab/>
        <w:t>Conservation and restoration</w:t>
      </w:r>
    </w:p>
    <w:p w14:paraId="3C2E06BE" w14:textId="77777777" w:rsidR="00FE6115" w:rsidRPr="002C6284" w:rsidRDefault="00FE6115" w:rsidP="00190177">
      <w:pPr>
        <w:suppressLineNumbers/>
        <w:suppressAutoHyphens/>
        <w:spacing w:before="120" w:after="120"/>
        <w:rPr>
          <w:i/>
          <w:kern w:val="22"/>
          <w:szCs w:val="22"/>
        </w:rPr>
      </w:pPr>
      <w:r w:rsidRPr="002C6284">
        <w:rPr>
          <w:i/>
          <w:kern w:val="22"/>
          <w:szCs w:val="22"/>
        </w:rPr>
        <w:t>[To promote and support the conservation, protection and restoration of biological diversity by indigenous peoples and local communities</w:t>
      </w:r>
    </w:p>
    <w:p w14:paraId="4CC579E5" w14:textId="77777777" w:rsidR="00FE6115" w:rsidRPr="002C6284" w:rsidRDefault="00FE6115" w:rsidP="00190177">
      <w:pPr>
        <w:suppressLineNumbers/>
        <w:suppressAutoHyphens/>
        <w:spacing w:before="120" w:after="120"/>
        <w:ind w:hanging="2"/>
        <w:jc w:val="left"/>
        <w:rPr>
          <w:kern w:val="22"/>
          <w:szCs w:val="22"/>
        </w:rPr>
      </w:pPr>
      <w:r w:rsidRPr="002C6284">
        <w:rPr>
          <w:kern w:val="22"/>
          <w:szCs w:val="22"/>
        </w:rPr>
        <w:t>Suggested activities:</w:t>
      </w:r>
    </w:p>
    <w:p w14:paraId="4EE21BFC" w14:textId="77777777" w:rsidR="00FE6115" w:rsidRPr="002C6284" w:rsidRDefault="00FE6115" w:rsidP="00190177">
      <w:pPr>
        <w:suppressLineNumbers/>
        <w:suppressAutoHyphens/>
        <w:spacing w:before="120" w:after="120"/>
        <w:ind w:left="425" w:hanging="425"/>
        <w:rPr>
          <w:kern w:val="22"/>
          <w:szCs w:val="22"/>
        </w:rPr>
      </w:pPr>
      <w:r w:rsidRPr="002C6284">
        <w:rPr>
          <w:kern w:val="22"/>
          <w:szCs w:val="22"/>
        </w:rPr>
        <w:t>2.1</w:t>
      </w:r>
      <w:r w:rsidRPr="002C6284">
        <w:rPr>
          <w:kern w:val="22"/>
          <w:szCs w:val="22"/>
        </w:rPr>
        <w:tab/>
        <w:t>Develop voluntary guidelines, with the full and effective participation of indigenous peoples and local communities to strengthen the policy framework for community-based conservation, protection and restoration practices led by indigenous peoples and local communities, such as indigenous and community conserved areas (ICCAs) or traditional sacred sites.</w:t>
      </w:r>
    </w:p>
    <w:p w14:paraId="53586B90" w14:textId="77777777" w:rsidR="00FE6115" w:rsidRPr="002C6284" w:rsidRDefault="00FE6115" w:rsidP="00190177">
      <w:pPr>
        <w:suppressLineNumbers/>
        <w:suppressAutoHyphens/>
        <w:spacing w:before="120" w:after="120"/>
        <w:ind w:left="425" w:hanging="425"/>
        <w:rPr>
          <w:kern w:val="22"/>
          <w:szCs w:val="22"/>
        </w:rPr>
      </w:pPr>
      <w:r w:rsidRPr="002C6284">
        <w:rPr>
          <w:kern w:val="22"/>
          <w:szCs w:val="22"/>
        </w:rPr>
        <w:t>2.2</w:t>
      </w:r>
      <w:r w:rsidRPr="002C6284">
        <w:rPr>
          <w:kern w:val="22"/>
          <w:szCs w:val="22"/>
        </w:rPr>
        <w:tab/>
        <w:t>Develop voluntary guidelines to facilitate, as appropriate, the integration of ICCAs into national networks of protected areas by appropriately recognizing ICCA territories and strive for the full and effective participation of indigenous peoples and local communities in protected area management.</w:t>
      </w:r>
    </w:p>
    <w:p w14:paraId="02234510" w14:textId="77777777" w:rsidR="00FE6115" w:rsidRPr="002C6284" w:rsidRDefault="00FE6115" w:rsidP="00190177">
      <w:pPr>
        <w:suppressLineNumbers/>
        <w:suppressAutoHyphens/>
        <w:spacing w:before="120" w:after="120"/>
        <w:ind w:left="425" w:hanging="425"/>
        <w:rPr>
          <w:kern w:val="22"/>
          <w:szCs w:val="22"/>
        </w:rPr>
      </w:pPr>
      <w:r w:rsidRPr="002C6284">
        <w:rPr>
          <w:kern w:val="22"/>
          <w:szCs w:val="22"/>
        </w:rPr>
        <w:t>2.3</w:t>
      </w:r>
      <w:r w:rsidRPr="002C6284">
        <w:rPr>
          <w:kern w:val="22"/>
          <w:szCs w:val="22"/>
        </w:rPr>
        <w:tab/>
        <w:t>Develop voluntary guidelines to promote and support, subject to national legislation, traditional land</w:t>
      </w:r>
      <w:r>
        <w:rPr>
          <w:kern w:val="22"/>
          <w:szCs w:val="22"/>
        </w:rPr>
        <w:noBreakHyphen/>
      </w:r>
      <w:r w:rsidRPr="002C6284">
        <w:rPr>
          <w:kern w:val="22"/>
          <w:szCs w:val="22"/>
        </w:rPr>
        <w:t xml:space="preserve">use change and land tenure by indigenous peoples and local communities and identify and </w:t>
      </w:r>
      <w:r w:rsidRPr="002C6284">
        <w:rPr>
          <w:kern w:val="22"/>
          <w:szCs w:val="22"/>
        </w:rPr>
        <w:lastRenderedPageBreak/>
        <w:t>promote best practices (e.g. case studies, mechanisms, legislation and other appropriate initiatives) and their implementation.</w:t>
      </w:r>
    </w:p>
    <w:p w14:paraId="1E1D30CF" w14:textId="77777777" w:rsidR="00FE6115" w:rsidRPr="002C6284" w:rsidRDefault="00FE6115" w:rsidP="00190177">
      <w:pPr>
        <w:suppressLineNumbers/>
        <w:suppressAutoHyphens/>
        <w:spacing w:before="120" w:after="120"/>
        <w:ind w:left="425" w:hanging="425"/>
        <w:rPr>
          <w:kern w:val="22"/>
          <w:szCs w:val="22"/>
        </w:rPr>
      </w:pPr>
      <w:r w:rsidRPr="002C6284">
        <w:rPr>
          <w:kern w:val="22"/>
          <w:szCs w:val="22"/>
        </w:rPr>
        <w:t>2.4</w:t>
      </w:r>
      <w:r w:rsidRPr="002C6284">
        <w:rPr>
          <w:kern w:val="22"/>
          <w:szCs w:val="22"/>
        </w:rPr>
        <w:tab/>
        <w:t>Promote indigenous peoples and local communities without formal access to land to partner in the conservation, protection and restoration of biodiversity.</w:t>
      </w:r>
    </w:p>
    <w:p w14:paraId="60E63F4E" w14:textId="58302ACE" w:rsidR="00FE6115" w:rsidRPr="002C6284" w:rsidRDefault="00FE6115" w:rsidP="00190177">
      <w:pPr>
        <w:suppressLineNumbers/>
        <w:suppressAutoHyphens/>
        <w:spacing w:before="120" w:after="120"/>
        <w:ind w:left="425" w:hanging="425"/>
        <w:rPr>
          <w:kern w:val="22"/>
          <w:szCs w:val="22"/>
        </w:rPr>
      </w:pPr>
      <w:r w:rsidRPr="002C6284">
        <w:rPr>
          <w:kern w:val="22"/>
          <w:szCs w:val="22"/>
        </w:rPr>
        <w:t>2.5</w:t>
      </w:r>
      <w:r w:rsidRPr="002C6284">
        <w:rPr>
          <w:kern w:val="22"/>
          <w:szCs w:val="22"/>
        </w:rPr>
        <w:tab/>
        <w:t xml:space="preserve">Develop voluntary guidelines to operationalize the indicator on </w:t>
      </w:r>
      <w:hyperlink r:id="rId24" w:history="1">
        <w:r w:rsidRPr="002C6284">
          <w:rPr>
            <w:kern w:val="22"/>
            <w:szCs w:val="22"/>
            <w:lang w:eastAsia="en-GB"/>
          </w:rPr>
          <w:t>land-use change and land tenure</w:t>
        </w:r>
        <w:r w:rsidRPr="00610646">
          <w:rPr>
            <w:rStyle w:val="FootnoteReference"/>
            <w:rFonts w:eastAsiaTheme="majorEastAsia"/>
          </w:rPr>
          <w:footnoteReference w:id="105"/>
        </w:r>
        <w:r w:rsidRPr="002C6284">
          <w:rPr>
            <w:kern w:val="22"/>
            <w:szCs w:val="22"/>
            <w:lang w:eastAsia="en-GB"/>
          </w:rPr>
          <w:t xml:space="preserve"> in the lands and waters of indigenous peoples and local communities</w:t>
        </w:r>
      </w:hyperlink>
      <w:r w:rsidRPr="002C6284">
        <w:rPr>
          <w:kern w:val="22"/>
          <w:szCs w:val="22"/>
        </w:rPr>
        <w:t>, traditionally used or occupied as appropriate, including by mapping existing ICCAs, documenting legislation and recognition of indigenous peoples land tenure rights and collective actions of indigenous peoples and local communities contributing to the protection of biodiversity, and report on progress made.]</w:t>
      </w:r>
    </w:p>
    <w:p w14:paraId="7C177676" w14:textId="77777777" w:rsidR="00FE6115" w:rsidRPr="002C6284" w:rsidRDefault="00FE6115"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III.</w:t>
      </w:r>
      <w:r w:rsidRPr="002C6284">
        <w:rPr>
          <w:rFonts w:ascii="Times New Roman Bold" w:hAnsi="Times New Roman Bold" w:cs="Times New Roman Bold"/>
          <w:b/>
          <w:bCs/>
          <w:caps/>
          <w:snapToGrid w:val="0"/>
          <w:szCs w:val="22"/>
        </w:rPr>
        <w:tab/>
        <w:t>Sharing of benefits from genetic resources</w:t>
      </w:r>
    </w:p>
    <w:p w14:paraId="2B2898FC" w14:textId="77777777" w:rsidR="00FE6115" w:rsidRPr="002C6284" w:rsidRDefault="00FE6115" w:rsidP="00190177">
      <w:pPr>
        <w:suppressLineNumbers/>
        <w:suppressAutoHyphens/>
        <w:spacing w:before="120" w:after="120"/>
        <w:rPr>
          <w:i/>
          <w:kern w:val="22"/>
          <w:szCs w:val="22"/>
        </w:rPr>
      </w:pPr>
      <w:r w:rsidRPr="002C6284">
        <w:rPr>
          <w:i/>
          <w:kern w:val="22"/>
          <w:szCs w:val="22"/>
        </w:rPr>
        <w:t>[To promote the fair and equitable sharing of benefits arising from the use of genetic resources associated with traditional knowledge</w:t>
      </w:r>
    </w:p>
    <w:p w14:paraId="4F81C8CC" w14:textId="77777777" w:rsidR="00FE6115" w:rsidRPr="002C6284" w:rsidRDefault="00FE6115" w:rsidP="00190177">
      <w:pPr>
        <w:suppressLineNumbers/>
        <w:suppressAutoHyphens/>
        <w:spacing w:before="120" w:after="120"/>
        <w:ind w:hanging="2"/>
        <w:jc w:val="left"/>
        <w:rPr>
          <w:kern w:val="22"/>
          <w:szCs w:val="22"/>
        </w:rPr>
      </w:pPr>
      <w:r w:rsidRPr="002C6284">
        <w:rPr>
          <w:kern w:val="22"/>
          <w:szCs w:val="22"/>
        </w:rPr>
        <w:t>Suggested activities:</w:t>
      </w:r>
    </w:p>
    <w:p w14:paraId="41011E5D"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3.1</w:t>
      </w:r>
      <w:r w:rsidRPr="002C6284">
        <w:rPr>
          <w:kern w:val="22"/>
          <w:szCs w:val="22"/>
        </w:rPr>
        <w:tab/>
        <w:t>Develop voluntary guidelines and mechanisms to support Parties</w:t>
      </w:r>
      <w:r>
        <w:rPr>
          <w:kern w:val="22"/>
          <w:szCs w:val="22"/>
        </w:rPr>
        <w:t>,</w:t>
      </w:r>
      <w:r w:rsidRPr="002C6284">
        <w:rPr>
          <w:kern w:val="22"/>
          <w:szCs w:val="22"/>
        </w:rPr>
        <w:t xml:space="preserve"> as appropriate, in the implementation of the Nagoya Protocol on Access to Genetic Resources and the Fair and Equitable Sharing of Benefits Arising from their Utilization to the Convention on Biological Diversity, regarding the traditional knowledge of indigenous peoples and local communities through capacity-building (regarding prior and informed consent (PIC), mutually agreed terms (MAT), and equitable sharing of benefits and biocultural community protocols</w:t>
      </w:r>
      <w:r>
        <w:rPr>
          <w:kern w:val="22"/>
          <w:szCs w:val="22"/>
        </w:rPr>
        <w:t>,</w:t>
      </w:r>
      <w:r w:rsidRPr="002C6284">
        <w:rPr>
          <w:kern w:val="22"/>
          <w:szCs w:val="22"/>
        </w:rPr>
        <w:t xml:space="preserve"> as well as through legal, policy, or technical assistance, in accordance with national legislation.</w:t>
      </w:r>
    </w:p>
    <w:p w14:paraId="62F6B0F9"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3.2</w:t>
      </w:r>
      <w:r w:rsidRPr="002C6284">
        <w:rPr>
          <w:kern w:val="22"/>
          <w:szCs w:val="22"/>
        </w:rPr>
        <w:tab/>
        <w:t xml:space="preserve">Promote and strengthen programmes aimed at </w:t>
      </w:r>
      <w:r w:rsidRPr="002C6284">
        <w:rPr>
          <w:kern w:val="22"/>
          <w:szCs w:val="22"/>
          <w:lang w:val="en-US"/>
        </w:rPr>
        <w:t>valorization</w:t>
      </w:r>
      <w:r w:rsidRPr="002C6284">
        <w:rPr>
          <w:kern w:val="22"/>
          <w:szCs w:val="22"/>
        </w:rPr>
        <w:t xml:space="preserve"> of genetic resources associated with traditional knowledge.</w:t>
      </w:r>
    </w:p>
    <w:p w14:paraId="2CF01C78"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3.3</w:t>
      </w:r>
      <w:r w:rsidRPr="002C6284">
        <w:rPr>
          <w:kern w:val="22"/>
          <w:szCs w:val="22"/>
        </w:rPr>
        <w:tab/>
        <w:t>Promote and support programmes aimed at ensuring the development of databanks/databases on the use of genetic resources associated with traditional knowledge.</w:t>
      </w:r>
    </w:p>
    <w:p w14:paraId="12810389"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3.4</w:t>
      </w:r>
      <w:r w:rsidRPr="002C6284">
        <w:rPr>
          <w:kern w:val="22"/>
          <w:szCs w:val="22"/>
        </w:rPr>
        <w:tab/>
        <w:t>Promote programmes that encourage collaboration and partnerships between indigenous peoples and local communities and the users of genetic resources associated with traditional knowledge.</w:t>
      </w:r>
    </w:p>
    <w:p w14:paraId="7A714D5F"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3.5</w:t>
      </w:r>
      <w:r w:rsidRPr="002C6284">
        <w:rPr>
          <w:kern w:val="22"/>
          <w:szCs w:val="22"/>
        </w:rPr>
        <w:tab/>
        <w:t xml:space="preserve">Identify opportunities for capacity development for indigenous peoples and local communities and for dialogue with external stakeholders, taking into account the cultural and organizational contexts, and adjusted to </w:t>
      </w:r>
      <w:r w:rsidRPr="002C6284">
        <w:rPr>
          <w:iCs/>
          <w:kern w:val="22"/>
          <w:szCs w:val="22"/>
        </w:rPr>
        <w:t>sui generis</w:t>
      </w:r>
      <w:r w:rsidRPr="002C6284">
        <w:rPr>
          <w:kern w:val="22"/>
          <w:szCs w:val="22"/>
        </w:rPr>
        <w:t xml:space="preserve"> governance structures.</w:t>
      </w:r>
    </w:p>
    <w:p w14:paraId="67B234F6"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3.6</w:t>
      </w:r>
      <w:r w:rsidRPr="002C6284">
        <w:rPr>
          <w:kern w:val="22"/>
          <w:szCs w:val="22"/>
        </w:rPr>
        <w:tab/>
        <w:t>Identify opportunities for capacity development for indigenous peoples and local communities, and create platforms for information exchange between indigenous peoples and local communities and Parties, as well as for dialogue with external stakeholders.]</w:t>
      </w:r>
    </w:p>
    <w:p w14:paraId="3AA6C085" w14:textId="77777777" w:rsidR="00FE6115" w:rsidRPr="002C6284" w:rsidRDefault="00FE6115"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IV.</w:t>
      </w:r>
      <w:r w:rsidRPr="002C6284">
        <w:rPr>
          <w:rFonts w:ascii="Times New Roman Bold" w:hAnsi="Times New Roman Bold" w:cs="Times New Roman Bold"/>
          <w:b/>
          <w:bCs/>
          <w:caps/>
          <w:snapToGrid w:val="0"/>
          <w:szCs w:val="22"/>
        </w:rPr>
        <w:tab/>
        <w:t>Knowledge and culture</w:t>
      </w:r>
    </w:p>
    <w:p w14:paraId="2A349186" w14:textId="77777777" w:rsidR="00FE6115" w:rsidRPr="002C6284" w:rsidRDefault="00FE6115" w:rsidP="00190177">
      <w:pPr>
        <w:suppressLineNumbers/>
        <w:suppressAutoHyphens/>
        <w:spacing w:before="120" w:after="120"/>
        <w:rPr>
          <w:i/>
          <w:kern w:val="22"/>
          <w:szCs w:val="22"/>
        </w:rPr>
      </w:pPr>
      <w:r w:rsidRPr="002C6284">
        <w:rPr>
          <w:i/>
          <w:kern w:val="22"/>
          <w:szCs w:val="22"/>
        </w:rPr>
        <w:t>[To support the transmission of traditional knowledge and ensure that traditional knowledge and other knowledge systems are valued equally</w:t>
      </w:r>
    </w:p>
    <w:p w14:paraId="3DBF880A" w14:textId="77777777" w:rsidR="00FE6115" w:rsidRPr="002C6284" w:rsidRDefault="00FE6115" w:rsidP="00190177">
      <w:pPr>
        <w:suppressLineNumbers/>
        <w:suppressAutoHyphens/>
        <w:spacing w:before="120" w:after="120"/>
        <w:jc w:val="left"/>
        <w:rPr>
          <w:kern w:val="22"/>
          <w:szCs w:val="22"/>
        </w:rPr>
      </w:pPr>
      <w:r w:rsidRPr="002C6284">
        <w:rPr>
          <w:kern w:val="22"/>
          <w:szCs w:val="22"/>
        </w:rPr>
        <w:t>Suggested activities:</w:t>
      </w:r>
    </w:p>
    <w:p w14:paraId="77D2B09C"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4.1</w:t>
      </w:r>
      <w:r w:rsidRPr="002C6284">
        <w:rPr>
          <w:kern w:val="22"/>
          <w:szCs w:val="22"/>
        </w:rPr>
        <w:tab/>
        <w:t xml:space="preserve">Develop proposals to support indigenous peoples and local communities, to strengthen the transmission and use of traditional knowledge, including by enabling them to explore collection, recording, documentation, storage and ways and means for the dissemination of indigenous and local knowledge, through secure indigenous knowledge systems’ documentation centres, and strengthen the use and transmission of traditional knowledge to future generations, including for the goals of the Convention and to contribute to other international processes, with “prior and informed consent”, </w:t>
      </w:r>
      <w:r w:rsidRPr="002C6284">
        <w:rPr>
          <w:kern w:val="22"/>
          <w:szCs w:val="22"/>
        </w:rPr>
        <w:lastRenderedPageBreak/>
        <w:t>“free, prior and informed consent”, or “approval and involvement” of indigenous peoples and local communities depending on national circumstances.</w:t>
      </w:r>
    </w:p>
    <w:p w14:paraId="68CE4DBA"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4.2</w:t>
      </w:r>
      <w:r w:rsidRPr="002C6284">
        <w:rPr>
          <w:kern w:val="22"/>
          <w:szCs w:val="22"/>
        </w:rPr>
        <w:tab/>
        <w:t>Promote the Joint Programme of Work on the Links Between Biological and Cultural Diversity (nature and cultures).</w:t>
      </w:r>
      <w:r w:rsidRPr="00610646">
        <w:rPr>
          <w:rStyle w:val="FootnoteReference"/>
        </w:rPr>
        <w:footnoteReference w:id="106"/>
      </w:r>
    </w:p>
    <w:p w14:paraId="4D88B88E"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4.3</w:t>
      </w:r>
      <w:r w:rsidRPr="002C6284">
        <w:rPr>
          <w:kern w:val="22"/>
          <w:szCs w:val="22"/>
        </w:rPr>
        <w:tab/>
        <w:t>Promote the inclusion of traditional knowledge and indigenous and local knowledge systems as equally valid in the work of the Subsidiary Body on Scientific, Technical and Technological Advice.</w:t>
      </w:r>
    </w:p>
    <w:p w14:paraId="111CED37"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4.4</w:t>
      </w:r>
      <w:r w:rsidRPr="002C6284">
        <w:rPr>
          <w:kern w:val="22"/>
          <w:szCs w:val="22"/>
        </w:rPr>
        <w:tab/>
        <w:t>Develop voluntary guidelines to promote the mainstreaming of inclusion of traditional knowledge, as an equally valid part of the broader mainstreaming of biodiversity across society and sectors of production, as well as other relevant global processes, including the Sustainable Development Goals.]</w:t>
      </w:r>
    </w:p>
    <w:p w14:paraId="1DC5115A" w14:textId="77777777" w:rsidR="00FE6115" w:rsidRPr="002C6284" w:rsidRDefault="00FE6115" w:rsidP="00190177">
      <w:pPr>
        <w:keepNext/>
        <w:spacing w:before="120" w:after="120"/>
        <w:ind w:left="1418" w:right="289" w:hanging="709"/>
        <w:jc w:val="left"/>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V.</w:t>
      </w:r>
      <w:r w:rsidRPr="002C6284">
        <w:rPr>
          <w:rFonts w:ascii="Times New Roman Bold" w:hAnsi="Times New Roman Bold" w:cs="Times New Roman Bold"/>
          <w:b/>
          <w:bCs/>
          <w:caps/>
          <w:snapToGrid w:val="0"/>
          <w:szCs w:val="22"/>
        </w:rPr>
        <w:tab/>
        <w:t>Protection of indigenous peoples and local communities and traditional knowledge innovations and practices, including through application of guidelines and standards, and further advancement of Article 8(j) and related provisions</w:t>
      </w:r>
    </w:p>
    <w:p w14:paraId="2C377048"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[5.1</w:t>
      </w:r>
      <w:r w:rsidRPr="002C6284">
        <w:rPr>
          <w:kern w:val="22"/>
          <w:szCs w:val="22"/>
        </w:rPr>
        <w:tab/>
        <w:t>In accordance with national legislation and with the full and effective participation of indigenous peoples and local communities</w:t>
      </w:r>
      <w:r>
        <w:rPr>
          <w:kern w:val="22"/>
          <w:szCs w:val="22"/>
        </w:rPr>
        <w:t>,</w:t>
      </w:r>
      <w:r w:rsidRPr="002C6284">
        <w:rPr>
          <w:kern w:val="22"/>
          <w:szCs w:val="22"/>
        </w:rPr>
        <w:t xml:space="preserve"> promote the application and monitoring of the following:</w:t>
      </w:r>
    </w:p>
    <w:p w14:paraId="65DB31AD" w14:textId="77777777" w:rsidR="00FE6115" w:rsidRPr="002C6284" w:rsidRDefault="00FE6115" w:rsidP="00190177">
      <w:pPr>
        <w:suppressLineNumbers/>
        <w:suppressAutoHyphens/>
        <w:spacing w:before="120" w:after="120"/>
        <w:ind w:left="992" w:hanging="425"/>
        <w:rPr>
          <w:kern w:val="22"/>
          <w:szCs w:val="22"/>
        </w:rPr>
      </w:pPr>
      <w:r w:rsidRPr="002C6284">
        <w:rPr>
          <w:kern w:val="22"/>
          <w:szCs w:val="22"/>
        </w:rPr>
        <w:t>(a)</w:t>
      </w:r>
      <w:r w:rsidRPr="002C6284">
        <w:rPr>
          <w:kern w:val="22"/>
          <w:szCs w:val="22"/>
        </w:rPr>
        <w:tab/>
        <w:t>The Akwé: Kon Voluntary Guidelines for the conduct of cultural, environmental and social impact assessments regarding developments proposed to take place on, or which are likely to impact on, sacred sites and lands and waters traditionally occupied or used by indigenous and local communities;</w:t>
      </w:r>
      <w:r w:rsidRPr="00610646">
        <w:rPr>
          <w:rStyle w:val="FootnoteReference"/>
        </w:rPr>
        <w:footnoteReference w:id="107"/>
      </w:r>
    </w:p>
    <w:p w14:paraId="250DAA8B" w14:textId="77777777" w:rsidR="00FE6115" w:rsidRPr="002C6284" w:rsidRDefault="00FE6115" w:rsidP="00190177">
      <w:pPr>
        <w:suppressLineNumbers/>
        <w:suppressAutoHyphens/>
        <w:spacing w:before="120" w:after="120"/>
        <w:ind w:left="992" w:hanging="425"/>
        <w:rPr>
          <w:kern w:val="22"/>
          <w:szCs w:val="22"/>
        </w:rPr>
      </w:pPr>
      <w:r w:rsidRPr="002C6284">
        <w:rPr>
          <w:kern w:val="22"/>
          <w:szCs w:val="22"/>
        </w:rPr>
        <w:t>(b)</w:t>
      </w:r>
      <w:r w:rsidRPr="002C6284">
        <w:rPr>
          <w:kern w:val="22"/>
          <w:szCs w:val="22"/>
        </w:rPr>
        <w:tab/>
        <w:t>The Tkarihwaié: ri Code of Ethical Conduct to Ensure Respect for the Cultural and Intellectual Heritage of Indigenous and Local Communities;</w:t>
      </w:r>
      <w:r w:rsidRPr="00610646">
        <w:rPr>
          <w:rStyle w:val="FootnoteReference"/>
        </w:rPr>
        <w:footnoteReference w:id="108"/>
      </w:r>
    </w:p>
    <w:p w14:paraId="1854512B" w14:textId="77777777" w:rsidR="00FE6115" w:rsidRPr="002C6284" w:rsidRDefault="00FE6115" w:rsidP="00190177">
      <w:pPr>
        <w:suppressLineNumbers/>
        <w:suppressAutoHyphens/>
        <w:spacing w:before="120" w:after="120"/>
        <w:ind w:left="992" w:hanging="425"/>
        <w:rPr>
          <w:kern w:val="22"/>
          <w:szCs w:val="22"/>
        </w:rPr>
      </w:pPr>
      <w:r w:rsidRPr="002C6284">
        <w:rPr>
          <w:kern w:val="22"/>
          <w:szCs w:val="22"/>
        </w:rPr>
        <w:t>(c)</w:t>
      </w:r>
      <w:r w:rsidRPr="002C6284">
        <w:rPr>
          <w:kern w:val="22"/>
          <w:szCs w:val="22"/>
        </w:rPr>
        <w:tab/>
        <w:t>The Global Plan of Action on the Customary Sustainable Use of Biological Diversity;</w:t>
      </w:r>
      <w:r w:rsidRPr="00610646">
        <w:rPr>
          <w:rStyle w:val="FootnoteReference"/>
        </w:rPr>
        <w:footnoteReference w:id="109"/>
      </w:r>
    </w:p>
    <w:p w14:paraId="75BA9AB6" w14:textId="77777777" w:rsidR="00FE6115" w:rsidRPr="002C6284" w:rsidRDefault="00FE6115" w:rsidP="00190177">
      <w:pPr>
        <w:suppressLineNumbers/>
        <w:suppressAutoHyphens/>
        <w:spacing w:before="120" w:after="120"/>
        <w:ind w:left="992" w:hanging="425"/>
        <w:rPr>
          <w:kern w:val="22"/>
          <w:szCs w:val="22"/>
        </w:rPr>
      </w:pPr>
      <w:r w:rsidRPr="002C6284">
        <w:rPr>
          <w:kern w:val="22"/>
          <w:szCs w:val="22"/>
        </w:rPr>
        <w:t>(d)</w:t>
      </w:r>
      <w:r w:rsidRPr="002C6284">
        <w:rPr>
          <w:kern w:val="22"/>
          <w:szCs w:val="22"/>
        </w:rPr>
        <w:tab/>
        <w:t>The Mo’otz kuxtal</w:t>
      </w:r>
      <w:r w:rsidRPr="00610646">
        <w:rPr>
          <w:rStyle w:val="FootnoteReference"/>
        </w:rPr>
        <w:footnoteReference w:id="110"/>
      </w:r>
      <w:r w:rsidRPr="002C6284">
        <w:rPr>
          <w:smallCaps/>
          <w:kern w:val="22"/>
          <w:szCs w:val="22"/>
        </w:rPr>
        <w:t xml:space="preserve"> </w:t>
      </w:r>
      <w:r w:rsidRPr="002C6284">
        <w:rPr>
          <w:kern w:val="22"/>
          <w:szCs w:val="22"/>
        </w:rPr>
        <w:t>Voluntary Guidelines</w:t>
      </w:r>
      <w:r w:rsidRPr="002C6284">
        <w:rPr>
          <w:smallCaps/>
          <w:kern w:val="22"/>
          <w:szCs w:val="22"/>
        </w:rPr>
        <w:t xml:space="preserve"> </w:t>
      </w:r>
      <w:r w:rsidRPr="002C6284">
        <w:rPr>
          <w:kern w:val="22"/>
          <w:szCs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610646">
        <w:rPr>
          <w:rStyle w:val="FootnoteReference"/>
        </w:rPr>
        <w:footnoteReference w:id="111"/>
      </w:r>
      <w:r w:rsidRPr="002C6284">
        <w:rPr>
          <w:kern w:val="22"/>
          <w:szCs w:val="22"/>
        </w:rPr>
        <w:t xml:space="preserve"> for accessing their knowledge, innovations and practices, for fair and equitable sharing of benefits</w:t>
      </w:r>
      <w:r w:rsidRPr="002C6284">
        <w:rPr>
          <w:smallCaps/>
          <w:kern w:val="22"/>
          <w:szCs w:val="22"/>
        </w:rPr>
        <w:t xml:space="preserve"> </w:t>
      </w:r>
      <w:r w:rsidRPr="002C6284">
        <w:rPr>
          <w:kern w:val="22"/>
          <w:szCs w:val="22"/>
        </w:rPr>
        <w:t>arising from the use of their knowledge, innovations and</w:t>
      </w:r>
      <w:r w:rsidRPr="002C6284">
        <w:rPr>
          <w:smallCaps/>
          <w:kern w:val="22"/>
          <w:szCs w:val="22"/>
        </w:rPr>
        <w:t xml:space="preserve"> </w:t>
      </w:r>
      <w:r w:rsidRPr="002C6284">
        <w:rPr>
          <w:kern w:val="22"/>
          <w:szCs w:val="22"/>
        </w:rPr>
        <w:t>practices relevant for the conservation and sustainable use</w:t>
      </w:r>
      <w:r w:rsidRPr="002C6284">
        <w:rPr>
          <w:smallCaps/>
          <w:kern w:val="22"/>
          <w:szCs w:val="22"/>
        </w:rPr>
        <w:t xml:space="preserve"> </w:t>
      </w:r>
      <w:r w:rsidRPr="002C6284">
        <w:rPr>
          <w:kern w:val="22"/>
          <w:szCs w:val="22"/>
        </w:rPr>
        <w:t>of</w:t>
      </w:r>
      <w:r w:rsidRPr="002C6284">
        <w:rPr>
          <w:smallCaps/>
          <w:kern w:val="22"/>
          <w:szCs w:val="22"/>
        </w:rPr>
        <w:t xml:space="preserve"> </w:t>
      </w:r>
      <w:r w:rsidRPr="002C6284">
        <w:rPr>
          <w:kern w:val="22"/>
          <w:szCs w:val="22"/>
        </w:rPr>
        <w:t>biological diversity, and for reporting and preventing unlawful</w:t>
      </w:r>
      <w:r w:rsidRPr="002C6284">
        <w:rPr>
          <w:smallCaps/>
          <w:kern w:val="22"/>
          <w:szCs w:val="22"/>
        </w:rPr>
        <w:t xml:space="preserve"> </w:t>
      </w:r>
      <w:r w:rsidRPr="002C6284">
        <w:rPr>
          <w:kern w:val="22"/>
          <w:szCs w:val="22"/>
        </w:rPr>
        <w:t>appropriation of traditional knowledge;</w:t>
      </w:r>
      <w:r w:rsidRPr="00610646">
        <w:rPr>
          <w:rStyle w:val="FootnoteReference"/>
        </w:rPr>
        <w:footnoteReference w:id="112"/>
      </w:r>
    </w:p>
    <w:p w14:paraId="12CE2BE2" w14:textId="77777777" w:rsidR="00FE6115" w:rsidRPr="002C6284" w:rsidRDefault="00FE6115" w:rsidP="00190177">
      <w:pPr>
        <w:suppressLineNumbers/>
        <w:suppressAutoHyphens/>
        <w:spacing w:before="120" w:after="120"/>
        <w:ind w:left="992" w:hanging="425"/>
        <w:rPr>
          <w:kern w:val="22"/>
          <w:szCs w:val="22"/>
        </w:rPr>
      </w:pPr>
      <w:r w:rsidRPr="002C6284">
        <w:rPr>
          <w:kern w:val="22"/>
          <w:szCs w:val="22"/>
        </w:rPr>
        <w:t>(e)</w:t>
      </w:r>
      <w:r w:rsidRPr="002C6284">
        <w:rPr>
          <w:kern w:val="22"/>
          <w:szCs w:val="22"/>
        </w:rPr>
        <w:tab/>
        <w:t>The Rutzolijirisaxik Voluntary Guidelines for the Repatriation of Traditional Knowledge Relevant for the Conservation and Sustainable Use of Biological Diversity.</w:t>
      </w:r>
      <w:r w:rsidRPr="00610646">
        <w:rPr>
          <w:rStyle w:val="FootnoteReference"/>
        </w:rPr>
        <w:footnoteReference w:id="113"/>
      </w:r>
    </w:p>
    <w:p w14:paraId="0A764902" w14:textId="77777777" w:rsidR="00FE6115" w:rsidRPr="002C6284" w:rsidRDefault="00FE6115" w:rsidP="00190177">
      <w:pPr>
        <w:suppressLineNumbers/>
        <w:suppressAutoHyphens/>
        <w:spacing w:before="120" w:after="120"/>
        <w:ind w:left="425"/>
        <w:rPr>
          <w:kern w:val="22"/>
          <w:szCs w:val="22"/>
        </w:rPr>
      </w:pPr>
      <w:r w:rsidRPr="002C6284">
        <w:rPr>
          <w:kern w:val="22"/>
          <w:szCs w:val="22"/>
        </w:rPr>
        <w:lastRenderedPageBreak/>
        <w:t>Consider the promotion of other principles, standards and guidelines within the context of the Convention on Biological Diversity.</w:t>
      </w:r>
    </w:p>
    <w:p w14:paraId="76DB8546"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5.2</w:t>
      </w:r>
      <w:r w:rsidRPr="002C6284">
        <w:rPr>
          <w:kern w:val="22"/>
          <w:szCs w:val="22"/>
        </w:rPr>
        <w:tab/>
        <w:t>Promote the implementation of the Gender Plan of Action, as appropriate, emphasizing the effective participation of indigenous peoples and local communities, and taking into account the special role of gender in the generation, transmission and protection of traditional knowledge, in accordance with national realities, circumstances and capacities.</w:t>
      </w:r>
      <w:r w:rsidRPr="00610646">
        <w:rPr>
          <w:rStyle w:val="FootnoteReference"/>
          <w:rFonts w:eastAsiaTheme="majorEastAsia"/>
        </w:rPr>
        <w:footnoteReference w:id="114"/>
      </w:r>
    </w:p>
    <w:p w14:paraId="5E94CD6E"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5.3</w:t>
      </w:r>
      <w:r w:rsidRPr="002C6284">
        <w:rPr>
          <w:kern w:val="22"/>
          <w:szCs w:val="22"/>
        </w:rPr>
        <w:tab/>
        <w:t>Explore, in collaboration with the United Nations Inter-Agency Support Group on Indigenous Peoples’ Issues and appropriate agencies, ways to recognize, support and promote, as appropriate, traditional land tenure and secure land tenure for indigenous peoples and local communities.</w:t>
      </w:r>
      <w:r w:rsidRPr="00610646">
        <w:rPr>
          <w:rStyle w:val="FootnoteReference"/>
        </w:rPr>
        <w:footnoteReference w:id="115"/>
      </w:r>
    </w:p>
    <w:p w14:paraId="0D99F0AC"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5.4</w:t>
      </w:r>
      <w:r w:rsidRPr="002C6284">
        <w:rPr>
          <w:kern w:val="22"/>
          <w:szCs w:val="22"/>
        </w:rPr>
        <w:tab/>
        <w:t>Explore, in collaboration with the United Nations Inter-Agency Support Group on Indigenous Peoples’ Issues and appropriate agencies, ways to promote a human rights-based approach in conservation efforts.</w:t>
      </w:r>
    </w:p>
    <w:p w14:paraId="65B2A5B0"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 xml:space="preserve">5.5 </w:t>
      </w:r>
      <w:r w:rsidRPr="002C6284">
        <w:rPr>
          <w:kern w:val="22"/>
          <w:szCs w:val="22"/>
        </w:rPr>
        <w:tab/>
        <w:t>Explore, in collaboration with the United Nations Inter-Agency Support Group on Indigenous Peoples’ Issues and appropriate agencies, ways to protect environmental defenders from arbitrary persecution, through appropriate mechanisms at the national and international levels.</w:t>
      </w:r>
      <w:r w:rsidRPr="00610646">
        <w:rPr>
          <w:rStyle w:val="FootnoteReference"/>
        </w:rPr>
        <w:footnoteReference w:id="116"/>
      </w:r>
    </w:p>
    <w:p w14:paraId="118B3B6A" w14:textId="77777777" w:rsidR="00FE6115" w:rsidRPr="002C6284" w:rsidRDefault="00FE6115" w:rsidP="00190177">
      <w:pPr>
        <w:suppressLineNumbers/>
        <w:suppressAutoHyphens/>
        <w:spacing w:before="120" w:after="120"/>
        <w:ind w:left="426" w:hanging="426"/>
        <w:rPr>
          <w:spacing w:val="-2"/>
          <w:kern w:val="22"/>
          <w:szCs w:val="22"/>
        </w:rPr>
      </w:pPr>
      <w:r w:rsidRPr="002C6284">
        <w:rPr>
          <w:spacing w:val="-2"/>
          <w:kern w:val="22"/>
          <w:szCs w:val="22"/>
        </w:rPr>
        <w:t>5.6</w:t>
      </w:r>
      <w:r w:rsidRPr="002C6284">
        <w:rPr>
          <w:spacing w:val="-2"/>
          <w:kern w:val="22"/>
          <w:szCs w:val="22"/>
        </w:rPr>
        <w:tab/>
        <w:t>Building on the guidelines and standards</w:t>
      </w:r>
      <w:r w:rsidRPr="00610646">
        <w:rPr>
          <w:rStyle w:val="FootnoteReference"/>
          <w:rFonts w:eastAsiaTheme="majorEastAsia"/>
        </w:rPr>
        <w:footnoteReference w:id="117"/>
      </w:r>
      <w:r w:rsidRPr="002C6284">
        <w:rPr>
          <w:spacing w:val="-2"/>
          <w:kern w:val="22"/>
          <w:szCs w:val="22"/>
        </w:rPr>
        <w:t xml:space="preserve"> aimed at the national level, the previous work on sui generis systems, and taking into account the safeguards framework, the Ad Hoc Open-ended Working Group on  Article 8(j) and Related Provisions, to develop a comprehensive safeguards framework (decisions XII/3 and 14/15) for indigenous peoples and local communities and the promotion and management of their traditional knowledge, innovations and practices related to the conservation of biological diversity and the sustainable use of its components with the effective participation of indigenous peoples and local communities.]</w:t>
      </w:r>
    </w:p>
    <w:p w14:paraId="25730942" w14:textId="77777777" w:rsidR="00FE6115" w:rsidRPr="002C6284" w:rsidRDefault="00FE6115" w:rsidP="00190177">
      <w:pPr>
        <w:keepNext/>
        <w:spacing w:before="120" w:after="120"/>
        <w:ind w:left="1134" w:right="289" w:hanging="708"/>
        <w:jc w:val="left"/>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VI.</w:t>
      </w:r>
      <w:r w:rsidRPr="002C6284">
        <w:rPr>
          <w:rFonts w:ascii="Times New Roman Bold" w:hAnsi="Times New Roman Bold" w:cs="Times New Roman Bold"/>
          <w:b/>
          <w:bCs/>
          <w:caps/>
          <w:snapToGrid w:val="0"/>
          <w:szCs w:val="22"/>
        </w:rPr>
        <w:tab/>
        <w:t>Full and effective participation of indigenous peoples and local communities</w:t>
      </w:r>
    </w:p>
    <w:p w14:paraId="4936E1D9"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[6.1</w:t>
      </w:r>
      <w:r w:rsidRPr="002C6284">
        <w:rPr>
          <w:kern w:val="22"/>
          <w:szCs w:val="22"/>
        </w:rPr>
        <w:tab/>
        <w:t>Facilitate the full and effective participation of indigenous peoples and local communities in the work of the Convention on Biological Diversity, regarding their traditional knowledge, innovations and practices relevant for the conservation and sustainable use of biological diversity including through implementing the enhanced participation mechanisms used by the Ad Hoc Open-ended Working Group on Article 8(j) and Related Provisions</w:t>
      </w:r>
      <w:r>
        <w:rPr>
          <w:kern w:val="22"/>
          <w:szCs w:val="22"/>
        </w:rPr>
        <w:t>,</w:t>
      </w:r>
      <w:r w:rsidRPr="002C6284">
        <w:rPr>
          <w:kern w:val="22"/>
          <w:szCs w:val="22"/>
        </w:rPr>
        <w:t xml:space="preserve"> and by maintaining the voluntary funding mechanism to support their effective participation in meetings held under the Convention and its Protocols.</w:t>
      </w:r>
    </w:p>
    <w:p w14:paraId="59831680"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6.2</w:t>
      </w:r>
      <w:r w:rsidRPr="002C6284">
        <w:rPr>
          <w:kern w:val="22"/>
          <w:szCs w:val="22"/>
        </w:rPr>
        <w:tab/>
        <w:t>Parties, according to the national legislation, to promote full and effective participation and engagement of indigenous peoples and local communities in the development of national reports, and in the development, revision and implementation of national biodiversity strategies and action plans (NBSAPs), and to strengthen partnerships with indigenous peoples and local communities, recognizing their collective actions, for implementation of the Convention.</w:t>
      </w:r>
    </w:p>
    <w:p w14:paraId="15031015"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6.3</w:t>
      </w:r>
      <w:r w:rsidRPr="002C6284">
        <w:rPr>
          <w:kern w:val="22"/>
          <w:szCs w:val="22"/>
        </w:rPr>
        <w:tab/>
        <w:t xml:space="preserve">Collaborate with other relevant global processes, including but not limited to the United Nations Permanent Forum on Indigenous Issues (UNPFII), the United Nations Expert Mechanism on the Rights of Indigenous Peoples (EMRIP), the World Intellectual Property Organization (WIPO), the United Nations Educational, Scientific and Cultural Organization (UNESCO), the Intergovernmental Science-Policy Platform on Biodiversity and Ecosystem Services (IPBES), the Intergovernmental Panel on Climate Change (IPCC), and the United Nations Framework Convention on Climate Change </w:t>
      </w:r>
      <w:r w:rsidRPr="002C6284">
        <w:rPr>
          <w:kern w:val="22"/>
          <w:szCs w:val="22"/>
        </w:rPr>
        <w:lastRenderedPageBreak/>
        <w:t>(UNFCCC) with its recently established Local Communities and Indigenous Peoples Platform, as well as the International Union for Conservation of Nature (IUCN).</w:t>
      </w:r>
    </w:p>
    <w:p w14:paraId="318CB877" w14:textId="1DF16512" w:rsidR="00FE6115" w:rsidRPr="002C6284" w:rsidRDefault="00FE6115" w:rsidP="00190177">
      <w:pPr>
        <w:suppressLineNumbers/>
        <w:suppressAutoHyphens/>
        <w:spacing w:before="120" w:after="120"/>
        <w:ind w:left="426" w:hanging="426"/>
        <w:rPr>
          <w:spacing w:val="-4"/>
          <w:kern w:val="22"/>
          <w:szCs w:val="22"/>
        </w:rPr>
      </w:pPr>
      <w:r w:rsidRPr="002C6284">
        <w:rPr>
          <w:spacing w:val="-4"/>
          <w:kern w:val="22"/>
          <w:szCs w:val="22"/>
        </w:rPr>
        <w:t>6.4</w:t>
      </w:r>
      <w:r w:rsidRPr="002C6284">
        <w:rPr>
          <w:spacing w:val="-4"/>
          <w:kern w:val="22"/>
          <w:szCs w:val="22"/>
        </w:rPr>
        <w:tab/>
        <w:t>Report to the Secretary-General of the United Nations on matters falling within the mandate of the Convention on Biological Diversity in accordance with the</w:t>
      </w:r>
      <w:r w:rsidRPr="002C6284">
        <w:rPr>
          <w:rStyle w:val="Hyperlink"/>
          <w:color w:val="3366FF"/>
          <w:spacing w:val="-4"/>
          <w:kern w:val="22"/>
          <w:sz w:val="22"/>
          <w:szCs w:val="22"/>
        </w:rPr>
        <w:t xml:space="preserve"> </w:t>
      </w:r>
      <w:hyperlink r:id="rId25" w:history="1">
        <w:r w:rsidRPr="002C6284">
          <w:rPr>
            <w:rStyle w:val="Hyperlink"/>
            <w:color w:val="3366FF"/>
            <w:spacing w:val="-4"/>
            <w:kern w:val="22"/>
            <w:sz w:val="22"/>
            <w:szCs w:val="22"/>
          </w:rPr>
          <w:t>System-Wide Action Plan for ensuring a coherent approach to achieving the ends of the United Nations Declaration on the Rights of Indigenous Peoples</w:t>
        </w:r>
      </w:hyperlink>
      <w:r w:rsidRPr="002C6284">
        <w:rPr>
          <w:rStyle w:val="Hyperlink"/>
          <w:color w:val="3366FF"/>
          <w:spacing w:val="-4"/>
          <w:kern w:val="22"/>
          <w:sz w:val="22"/>
          <w:szCs w:val="22"/>
        </w:rPr>
        <w:t xml:space="preserve"> (</w:t>
      </w:r>
      <w:hyperlink r:id="rId26" w:history="1">
        <w:r w:rsidRPr="002C6284">
          <w:rPr>
            <w:rStyle w:val="Hyperlink"/>
            <w:spacing w:val="-4"/>
            <w:kern w:val="22"/>
            <w:sz w:val="22"/>
            <w:szCs w:val="22"/>
          </w:rPr>
          <w:t>E/C.19/2016/5</w:t>
        </w:r>
      </w:hyperlink>
      <w:r w:rsidRPr="002C6284">
        <w:rPr>
          <w:rStyle w:val="Hyperlink"/>
          <w:color w:val="3366FF"/>
          <w:spacing w:val="-4"/>
          <w:kern w:val="22"/>
          <w:sz w:val="22"/>
          <w:szCs w:val="22"/>
        </w:rPr>
        <w:t>)</w:t>
      </w:r>
      <w:r w:rsidRPr="002C6284">
        <w:rPr>
          <w:spacing w:val="-4"/>
          <w:kern w:val="22"/>
          <w:szCs w:val="22"/>
        </w:rPr>
        <w:t>.</w:t>
      </w:r>
    </w:p>
    <w:p w14:paraId="7E8D87F7" w14:textId="50BF12F8" w:rsidR="00FE6115" w:rsidRPr="002C6284" w:rsidRDefault="00FE6115" w:rsidP="00190177">
      <w:pPr>
        <w:suppressLineNumbers/>
        <w:suppressAutoHyphens/>
        <w:spacing w:before="120" w:after="120"/>
        <w:ind w:left="426" w:hanging="426"/>
        <w:rPr>
          <w:kern w:val="22"/>
          <w:szCs w:val="22"/>
        </w:rPr>
      </w:pPr>
      <w:r w:rsidRPr="002C6284">
        <w:rPr>
          <w:kern w:val="22"/>
          <w:szCs w:val="22"/>
        </w:rPr>
        <w:t>6.5</w:t>
      </w:r>
      <w:r w:rsidRPr="002C6284">
        <w:rPr>
          <w:kern w:val="22"/>
          <w:szCs w:val="22"/>
        </w:rPr>
        <w:tab/>
        <w:t xml:space="preserve">Explore, in collaboration with Parties and indigenous peoples and local communities and other engaged actors, how the methodological guidance for identifying, monitoring and assessing the contribution of the collective actions of indigenous peoples and local communities, through the resource mobilization reporting framework, can best be applied, including the use of qualitative values and methods as requested by the Conference of the Parties in </w:t>
      </w:r>
      <w:hyperlink r:id="rId27" w:history="1">
        <w:r w:rsidRPr="002C6284">
          <w:rPr>
            <w:rStyle w:val="Hyperlink"/>
            <w:color w:val="3366FF"/>
            <w:kern w:val="22"/>
            <w:sz w:val="22"/>
            <w:szCs w:val="22"/>
          </w:rPr>
          <w:t>decision 14/16</w:t>
        </w:r>
      </w:hyperlink>
      <w:r w:rsidRPr="002C6284">
        <w:rPr>
          <w:kern w:val="22"/>
          <w:szCs w:val="22"/>
        </w:rPr>
        <w:t>;</w:t>
      </w:r>
    </w:p>
    <w:p w14:paraId="16A60DA9" w14:textId="77777777" w:rsidR="00FE6115" w:rsidRPr="002C6284" w:rsidRDefault="00FE6115" w:rsidP="00190177">
      <w:pPr>
        <w:suppressLineNumbers/>
        <w:suppressAutoHyphens/>
        <w:spacing w:before="120" w:after="120"/>
        <w:ind w:left="426" w:hanging="426"/>
        <w:rPr>
          <w:kern w:val="22"/>
          <w:szCs w:val="22"/>
        </w:rPr>
      </w:pPr>
      <w:r w:rsidRPr="002C6284">
        <w:rPr>
          <w:kern w:val="22"/>
          <w:szCs w:val="22"/>
        </w:rPr>
        <w:t>6.6</w:t>
      </w:r>
      <w:r w:rsidRPr="002C6284">
        <w:rPr>
          <w:kern w:val="22"/>
          <w:szCs w:val="22"/>
        </w:rPr>
        <w:tab/>
        <w:t>Explore ways and means, partnerships and opportunities to mobilize financial resources for on-the-ground implementation of the Convention by indigenous peoples and local communities, as well as to contribute to other international processes.]</w:t>
      </w:r>
    </w:p>
    <w:p w14:paraId="33E67121" w14:textId="77777777" w:rsidR="00FE6115" w:rsidRPr="002C6284" w:rsidRDefault="00FE6115" w:rsidP="00471DDC">
      <w:pPr>
        <w:keepNext/>
        <w:keepLines/>
        <w:suppressLineNumbers/>
        <w:suppressAutoHyphens/>
        <w:spacing w:after="120"/>
        <w:jc w:val="center"/>
        <w:rPr>
          <w:i/>
          <w:kern w:val="22"/>
          <w:szCs w:val="22"/>
        </w:rPr>
      </w:pPr>
      <w:bookmarkStart w:id="135" w:name="_Toc118354981"/>
      <w:r w:rsidRPr="002C6284">
        <w:rPr>
          <w:i/>
          <w:kern w:val="22"/>
          <w:szCs w:val="22"/>
        </w:rPr>
        <w:t>Annex III</w:t>
      </w:r>
      <w:bookmarkEnd w:id="135"/>
    </w:p>
    <w:p w14:paraId="2A8EBEC1" w14:textId="77777777" w:rsidR="00FE6115" w:rsidRPr="002C6284" w:rsidRDefault="00FE6115" w:rsidP="00D60F7C">
      <w:pPr>
        <w:keepNext/>
        <w:keepLines/>
        <w:suppressLineNumbers/>
        <w:suppressAutoHyphens/>
        <w:spacing w:before="120" w:after="120"/>
        <w:jc w:val="center"/>
        <w:rPr>
          <w:rFonts w:ascii="Times New Roman Bold" w:hAnsi="Times New Roman Bold"/>
          <w:b/>
          <w:caps/>
          <w:kern w:val="22"/>
          <w:szCs w:val="22"/>
        </w:rPr>
      </w:pPr>
      <w:bookmarkStart w:id="136" w:name="_Toc118354982"/>
      <w:r w:rsidRPr="002C6284">
        <w:rPr>
          <w:rFonts w:ascii="Times New Roman Bold" w:hAnsi="Times New Roman Bold"/>
          <w:b/>
          <w:caps/>
          <w:kern w:val="22"/>
          <w:szCs w:val="22"/>
          <w:lang w:eastAsia="x-none"/>
        </w:rPr>
        <w:t xml:space="preserve">Terms of reference for the Ad Hoc Technical Expert Group on </w:t>
      </w:r>
      <w:r w:rsidRPr="002C6284">
        <w:rPr>
          <w:rFonts w:ascii="Times New Roman Bold" w:hAnsi="Times New Roman Bold"/>
          <w:b/>
          <w:caps/>
          <w:kern w:val="22"/>
          <w:szCs w:val="22"/>
          <w:lang w:val="en-US"/>
        </w:rPr>
        <w:t xml:space="preserve">the </w:t>
      </w:r>
      <w:r w:rsidRPr="002C6284">
        <w:rPr>
          <w:rFonts w:ascii="Times New Roman Bold" w:hAnsi="Times New Roman Bold"/>
          <w:b/>
          <w:caps/>
          <w:kern w:val="22"/>
          <w:szCs w:val="22"/>
        </w:rPr>
        <w:t>New Programme of Work and Institutional Arrangements on Article</w:t>
      </w:r>
      <w:r w:rsidRPr="002C6284">
        <w:rPr>
          <w:rFonts w:ascii="Times New Roman Bold" w:hAnsi="Times New Roman Bold" w:hint="eastAsia"/>
          <w:b/>
          <w:caps/>
          <w:kern w:val="22"/>
          <w:szCs w:val="22"/>
        </w:rPr>
        <w:t> </w:t>
      </w:r>
      <w:r w:rsidRPr="002C6284">
        <w:rPr>
          <w:rFonts w:ascii="Times New Roman Bold" w:hAnsi="Times New Roman Bold"/>
          <w:b/>
          <w:caps/>
          <w:kern w:val="22"/>
          <w:szCs w:val="22"/>
        </w:rPr>
        <w:t>8(j) and</w:t>
      </w:r>
      <w:r w:rsidRPr="002C6284">
        <w:rPr>
          <w:rFonts w:ascii="Times New Roman Bold" w:hAnsi="Times New Roman Bold" w:hint="eastAsia"/>
          <w:b/>
          <w:caps/>
          <w:kern w:val="22"/>
          <w:szCs w:val="22"/>
        </w:rPr>
        <w:t> </w:t>
      </w:r>
      <w:r>
        <w:rPr>
          <w:rFonts w:ascii="Times New Roman Bold" w:hAnsi="Times New Roman Bold"/>
          <w:b/>
          <w:caps/>
          <w:kern w:val="22"/>
          <w:szCs w:val="22"/>
        </w:rPr>
        <w:t>OTHER PROVISIONS OF THE CONVENTION RELATED TO</w:t>
      </w:r>
      <w:r w:rsidRPr="002C6284">
        <w:rPr>
          <w:rFonts w:ascii="Times New Roman Bold" w:hAnsi="Times New Roman Bold"/>
          <w:b/>
          <w:caps/>
          <w:kern w:val="22"/>
          <w:szCs w:val="22"/>
        </w:rPr>
        <w:t xml:space="preserve"> </w:t>
      </w:r>
      <w:r>
        <w:rPr>
          <w:rFonts w:ascii="Times New Roman Bold" w:hAnsi="Times New Roman Bold"/>
          <w:b/>
          <w:caps/>
          <w:kern w:val="22"/>
          <w:szCs w:val="22"/>
        </w:rPr>
        <w:t>INDIGENOUS PEOPLES AND LOCAL COMMUNITIES</w:t>
      </w:r>
      <w:r w:rsidRPr="002C6284">
        <w:rPr>
          <w:rFonts w:ascii="Times New Roman Bold" w:hAnsi="Times New Roman Bold"/>
          <w:b/>
          <w:caps/>
          <w:kern w:val="22"/>
          <w:szCs w:val="22"/>
        </w:rPr>
        <w:t xml:space="preserve"> </w:t>
      </w:r>
      <w:bookmarkEnd w:id="136"/>
    </w:p>
    <w:p w14:paraId="4138BBB1" w14:textId="77777777" w:rsidR="00FE6115" w:rsidRPr="002C6284" w:rsidRDefault="00FE6115" w:rsidP="00190177">
      <w:pPr>
        <w:suppressLineNumbers/>
        <w:suppressAutoHyphens/>
        <w:spacing w:before="120" w:after="120"/>
        <w:rPr>
          <w:caps/>
          <w:kern w:val="22"/>
          <w:szCs w:val="22"/>
        </w:rPr>
      </w:pPr>
      <w:r w:rsidRPr="002C6284">
        <w:rPr>
          <w:kern w:val="22"/>
          <w:szCs w:val="22"/>
          <w:lang w:eastAsia="x-none"/>
        </w:rPr>
        <w:t>1.</w:t>
      </w:r>
      <w:r w:rsidRPr="002C6284">
        <w:rPr>
          <w:kern w:val="22"/>
          <w:szCs w:val="22"/>
          <w:lang w:eastAsia="x-none"/>
        </w:rPr>
        <w:tab/>
        <w:t xml:space="preserve">The </w:t>
      </w:r>
      <w:r w:rsidRPr="008F6437">
        <w:rPr>
          <w:kern w:val="22"/>
          <w:szCs w:val="22"/>
          <w:lang w:eastAsia="x-none"/>
        </w:rPr>
        <w:t>A</w:t>
      </w:r>
      <w:r w:rsidRPr="002C6284">
        <w:rPr>
          <w:kern w:val="22"/>
          <w:szCs w:val="22"/>
          <w:lang w:eastAsia="x-none"/>
        </w:rPr>
        <w:t xml:space="preserve">d </w:t>
      </w:r>
      <w:r w:rsidRPr="008F6437">
        <w:rPr>
          <w:kern w:val="22"/>
          <w:szCs w:val="22"/>
          <w:lang w:eastAsia="x-none"/>
        </w:rPr>
        <w:t>H</w:t>
      </w:r>
      <w:r w:rsidRPr="002C6284">
        <w:rPr>
          <w:kern w:val="22"/>
          <w:szCs w:val="22"/>
          <w:lang w:eastAsia="x-none"/>
        </w:rPr>
        <w:t xml:space="preserve">oc </w:t>
      </w:r>
      <w:r w:rsidRPr="008F6437">
        <w:rPr>
          <w:kern w:val="22"/>
          <w:szCs w:val="22"/>
          <w:lang w:eastAsia="x-none"/>
        </w:rPr>
        <w:t>T</w:t>
      </w:r>
      <w:r w:rsidRPr="002C6284">
        <w:rPr>
          <w:kern w:val="22"/>
          <w:szCs w:val="22"/>
          <w:lang w:eastAsia="x-none"/>
        </w:rPr>
        <w:t xml:space="preserve">echnical </w:t>
      </w:r>
      <w:r w:rsidRPr="008F6437">
        <w:rPr>
          <w:kern w:val="22"/>
          <w:szCs w:val="22"/>
          <w:lang w:eastAsia="x-none"/>
        </w:rPr>
        <w:t>E</w:t>
      </w:r>
      <w:r w:rsidRPr="002C6284">
        <w:rPr>
          <w:kern w:val="22"/>
          <w:szCs w:val="22"/>
          <w:lang w:eastAsia="x-none"/>
        </w:rPr>
        <w:t xml:space="preserve">xpert </w:t>
      </w:r>
      <w:r w:rsidRPr="008F6437">
        <w:rPr>
          <w:kern w:val="22"/>
          <w:szCs w:val="22"/>
          <w:lang w:eastAsia="x-none"/>
        </w:rPr>
        <w:t>G</w:t>
      </w:r>
      <w:r w:rsidRPr="002C6284">
        <w:rPr>
          <w:kern w:val="22"/>
          <w:szCs w:val="22"/>
          <w:lang w:eastAsia="x-none"/>
        </w:rPr>
        <w:t xml:space="preserve">roup on </w:t>
      </w:r>
      <w:r w:rsidRPr="002C6284">
        <w:rPr>
          <w:kern w:val="22"/>
          <w:szCs w:val="22"/>
        </w:rPr>
        <w:t xml:space="preserve">the </w:t>
      </w:r>
      <w:r w:rsidRPr="008F6437">
        <w:rPr>
          <w:kern w:val="22"/>
          <w:szCs w:val="22"/>
        </w:rPr>
        <w:t>N</w:t>
      </w:r>
      <w:r w:rsidRPr="002C6284">
        <w:rPr>
          <w:kern w:val="22"/>
          <w:szCs w:val="22"/>
        </w:rPr>
        <w:t xml:space="preserve">ew </w:t>
      </w:r>
      <w:r w:rsidRPr="008F6437">
        <w:rPr>
          <w:kern w:val="22"/>
          <w:szCs w:val="22"/>
        </w:rPr>
        <w:t>P</w:t>
      </w:r>
      <w:r w:rsidRPr="002C6284">
        <w:rPr>
          <w:kern w:val="22"/>
          <w:szCs w:val="22"/>
        </w:rPr>
        <w:t xml:space="preserve">rogramme of </w:t>
      </w:r>
      <w:r w:rsidRPr="008F6437">
        <w:rPr>
          <w:kern w:val="22"/>
          <w:szCs w:val="22"/>
        </w:rPr>
        <w:t>W</w:t>
      </w:r>
      <w:r w:rsidRPr="002C6284">
        <w:rPr>
          <w:kern w:val="22"/>
          <w:szCs w:val="22"/>
        </w:rPr>
        <w:t xml:space="preserve">ork and </w:t>
      </w:r>
      <w:r w:rsidRPr="003B4FF0">
        <w:rPr>
          <w:kern w:val="22"/>
          <w:szCs w:val="22"/>
        </w:rPr>
        <w:t>I</w:t>
      </w:r>
      <w:r w:rsidRPr="002C6284">
        <w:rPr>
          <w:kern w:val="22"/>
          <w:szCs w:val="22"/>
        </w:rPr>
        <w:t xml:space="preserve">nstitutional </w:t>
      </w:r>
      <w:r w:rsidRPr="003B4FF0">
        <w:rPr>
          <w:kern w:val="22"/>
          <w:szCs w:val="22"/>
        </w:rPr>
        <w:t>A</w:t>
      </w:r>
      <w:r w:rsidRPr="002C6284">
        <w:rPr>
          <w:kern w:val="22"/>
          <w:szCs w:val="22"/>
        </w:rPr>
        <w:t xml:space="preserve">rrangements on Article 8(j) and Other </w:t>
      </w:r>
      <w:r w:rsidRPr="003B4FF0">
        <w:rPr>
          <w:kern w:val="22"/>
          <w:szCs w:val="22"/>
        </w:rPr>
        <w:t xml:space="preserve">Provisions </w:t>
      </w:r>
      <w:r w:rsidRPr="002C6284">
        <w:rPr>
          <w:kern w:val="22"/>
          <w:szCs w:val="22"/>
        </w:rPr>
        <w:t>of the Convention R</w:t>
      </w:r>
      <w:r w:rsidRPr="002C6284">
        <w:rPr>
          <w:kern w:val="22"/>
          <w:szCs w:val="22"/>
          <w:lang w:eastAsia="x-none"/>
        </w:rPr>
        <w:t>elated to Indigenous Peoples and Local Communities shall:</w:t>
      </w:r>
    </w:p>
    <w:p w14:paraId="38855D61" w14:textId="77777777" w:rsidR="00FE6115" w:rsidRPr="002C6284" w:rsidRDefault="00FE6115" w:rsidP="00190177">
      <w:pPr>
        <w:suppressLineNumbers/>
        <w:suppressAutoHyphens/>
        <w:kinsoku w:val="0"/>
        <w:overflowPunct w:val="0"/>
        <w:autoSpaceDE w:val="0"/>
        <w:autoSpaceDN w:val="0"/>
        <w:snapToGrid w:val="0"/>
        <w:spacing w:before="120" w:after="120"/>
        <w:ind w:firstLine="720"/>
        <w:rPr>
          <w:kern w:val="22"/>
          <w:szCs w:val="22"/>
          <w:lang w:val="en-US"/>
        </w:rPr>
      </w:pPr>
      <w:r w:rsidRPr="002C6284">
        <w:rPr>
          <w:kern w:val="22"/>
          <w:szCs w:val="22"/>
        </w:rPr>
        <w:t>(a)</w:t>
      </w:r>
      <w:r w:rsidRPr="002C6284">
        <w:rPr>
          <w:kern w:val="22"/>
          <w:szCs w:val="22"/>
        </w:rPr>
        <w:tab/>
        <w:t xml:space="preserve">Further elaborate possible elements, tasks and actors of a new programme of work on Article 8(j) and other provisions related to indigenous peoples and local communities based on </w:t>
      </w:r>
      <w:r w:rsidRPr="002C6284">
        <w:rPr>
          <w:kern w:val="22"/>
          <w:szCs w:val="22"/>
          <w:lang w:val="en-US"/>
        </w:rPr>
        <w:t xml:space="preserve">annexes I and II </w:t>
      </w:r>
      <w:r>
        <w:rPr>
          <w:kern w:val="22"/>
          <w:szCs w:val="22"/>
          <w:lang w:val="en-US"/>
        </w:rPr>
        <w:t>to</w:t>
      </w:r>
      <w:r w:rsidRPr="002C6284">
        <w:rPr>
          <w:kern w:val="22"/>
          <w:szCs w:val="22"/>
          <w:lang w:val="en-US"/>
        </w:rPr>
        <w:t xml:space="preserve"> the present </w:t>
      </w:r>
      <w:r>
        <w:rPr>
          <w:kern w:val="22"/>
          <w:szCs w:val="22"/>
          <w:lang w:val="en-US"/>
        </w:rPr>
        <w:t>decision</w:t>
      </w:r>
      <w:r w:rsidRPr="002C6284">
        <w:rPr>
          <w:kern w:val="22"/>
          <w:szCs w:val="22"/>
          <w:lang w:val="en-US"/>
        </w:rPr>
        <w:t>, as well as the results of the peer review referred to in recommendation 11/2 of the Ad Hoc Open-ended Working Group on Article 8(j) and Related Provisions</w:t>
      </w:r>
      <w:r>
        <w:rPr>
          <w:kern w:val="22"/>
          <w:szCs w:val="22"/>
          <w:lang w:val="en-US"/>
        </w:rPr>
        <w:t>,</w:t>
      </w:r>
      <w:r w:rsidRPr="002C6284">
        <w:rPr>
          <w:kern w:val="22"/>
          <w:szCs w:val="22"/>
          <w:lang w:val="en-US"/>
        </w:rPr>
        <w:t xml:space="preserve"> ensuring alignment with the </w:t>
      </w:r>
      <w:r>
        <w:rPr>
          <w:kern w:val="22"/>
          <w:szCs w:val="22"/>
          <w:lang w:val="en-US"/>
        </w:rPr>
        <w:t>Kunming-Montreal Global Biodiversity Framework</w:t>
      </w:r>
      <w:r w:rsidRPr="002C6284">
        <w:rPr>
          <w:kern w:val="22"/>
          <w:szCs w:val="22"/>
          <w:lang w:val="en-US"/>
        </w:rPr>
        <w:t>;</w:t>
      </w:r>
    </w:p>
    <w:p w14:paraId="6F5C112D" w14:textId="77777777" w:rsidR="00FE6115" w:rsidRPr="002C6284" w:rsidRDefault="00FE6115" w:rsidP="00190177">
      <w:pPr>
        <w:suppressLineNumbers/>
        <w:suppressAutoHyphens/>
        <w:kinsoku w:val="0"/>
        <w:overflowPunct w:val="0"/>
        <w:autoSpaceDE w:val="0"/>
        <w:autoSpaceDN w:val="0"/>
        <w:snapToGrid w:val="0"/>
        <w:spacing w:before="120" w:after="120"/>
        <w:ind w:firstLine="720"/>
        <w:rPr>
          <w:kern w:val="22"/>
          <w:szCs w:val="22"/>
        </w:rPr>
      </w:pPr>
      <w:r w:rsidRPr="002C6284">
        <w:rPr>
          <w:kern w:val="22"/>
          <w:szCs w:val="22"/>
          <w:lang w:eastAsia="x-none"/>
        </w:rPr>
        <w:t>(b)</w:t>
      </w:r>
      <w:r w:rsidRPr="002C6284">
        <w:rPr>
          <w:kern w:val="22"/>
          <w:szCs w:val="22"/>
          <w:lang w:eastAsia="x-none"/>
        </w:rPr>
        <w:tab/>
        <w:t xml:space="preserve">Elaborate options for </w:t>
      </w:r>
      <w:r w:rsidRPr="002C6284">
        <w:rPr>
          <w:kern w:val="22"/>
          <w:szCs w:val="22"/>
        </w:rPr>
        <w:t>institutional arrangements and their modus operandi that would allow for the full and effective participation of indigenous peoples and local communities in the work of the Convention, including but not limited to those options contained in paragraph 9 of decision 14/17, including information on legal, organizational and financial implications of each option</w:t>
      </w:r>
      <w:r>
        <w:rPr>
          <w:kern w:val="22"/>
          <w:szCs w:val="22"/>
        </w:rPr>
        <w:t>,</w:t>
      </w:r>
      <w:r w:rsidRPr="002C6284">
        <w:rPr>
          <w:kern w:val="22"/>
          <w:szCs w:val="22"/>
        </w:rPr>
        <w:t xml:space="preserve"> and taking into consideration the rules of procedure of the Convention;</w:t>
      </w:r>
    </w:p>
    <w:p w14:paraId="3A0BDB5E" w14:textId="77777777" w:rsidR="00FE6115" w:rsidRPr="002C6284" w:rsidRDefault="00FE6115" w:rsidP="00190177">
      <w:pPr>
        <w:suppressLineNumbers/>
        <w:suppressAutoHyphens/>
        <w:kinsoku w:val="0"/>
        <w:overflowPunct w:val="0"/>
        <w:autoSpaceDE w:val="0"/>
        <w:autoSpaceDN w:val="0"/>
        <w:snapToGrid w:val="0"/>
        <w:spacing w:before="120" w:after="120"/>
        <w:ind w:firstLine="720"/>
        <w:rPr>
          <w:snapToGrid w:val="0"/>
          <w:kern w:val="22"/>
          <w:szCs w:val="22"/>
        </w:rPr>
      </w:pPr>
      <w:r w:rsidRPr="002C6284">
        <w:rPr>
          <w:snapToGrid w:val="0"/>
          <w:kern w:val="22"/>
          <w:szCs w:val="22"/>
          <w:lang w:eastAsia="x-none"/>
        </w:rPr>
        <w:t>(c)</w:t>
      </w:r>
      <w:r w:rsidRPr="002C6284">
        <w:rPr>
          <w:snapToGrid w:val="0"/>
          <w:kern w:val="22"/>
          <w:szCs w:val="22"/>
          <w:lang w:eastAsia="x-none"/>
        </w:rPr>
        <w:tab/>
      </w:r>
      <w:r w:rsidRPr="002C6284">
        <w:rPr>
          <w:snapToGrid w:val="0"/>
          <w:kern w:val="22"/>
          <w:szCs w:val="22"/>
        </w:rPr>
        <w:t>Prepare a report on the outcomes of its work for consideration by</w:t>
      </w:r>
      <w:r w:rsidRPr="002C6284">
        <w:rPr>
          <w:snapToGrid w:val="0"/>
          <w:kern w:val="22"/>
          <w:szCs w:val="22"/>
          <w:lang w:val="en-US"/>
        </w:rPr>
        <w:t xml:space="preserve"> the Ad Hoc Open-ended Working Group on Article 8(j) and Related Provisions of the Convention on Biological Diversity at its twelfth meeting.</w:t>
      </w:r>
    </w:p>
    <w:p w14:paraId="73EB6DE7" w14:textId="77777777" w:rsidR="00FE6115" w:rsidRPr="002C6284" w:rsidRDefault="00FE6115" w:rsidP="00190177">
      <w:pPr>
        <w:suppressLineNumbers/>
        <w:suppressAutoHyphens/>
        <w:spacing w:before="120" w:after="120"/>
        <w:rPr>
          <w:kern w:val="22"/>
          <w:szCs w:val="22"/>
          <w:lang w:val="en-US"/>
        </w:rPr>
      </w:pPr>
      <w:r w:rsidRPr="002C6284">
        <w:rPr>
          <w:kern w:val="22"/>
          <w:szCs w:val="22"/>
          <w:lang w:eastAsia="x-none"/>
        </w:rPr>
        <w:t>2.</w:t>
      </w:r>
      <w:r w:rsidRPr="002C6284">
        <w:rPr>
          <w:kern w:val="22"/>
          <w:szCs w:val="22"/>
          <w:lang w:eastAsia="x-none"/>
        </w:rPr>
        <w:tab/>
        <w:t xml:space="preserve">The </w:t>
      </w:r>
      <w:r>
        <w:rPr>
          <w:kern w:val="22"/>
          <w:szCs w:val="22"/>
          <w:lang w:eastAsia="x-none"/>
        </w:rPr>
        <w:t>A</w:t>
      </w:r>
      <w:r w:rsidRPr="002C6284">
        <w:rPr>
          <w:kern w:val="22"/>
          <w:szCs w:val="22"/>
          <w:lang w:eastAsia="x-none"/>
        </w:rPr>
        <w:t xml:space="preserve">d </w:t>
      </w:r>
      <w:r>
        <w:rPr>
          <w:kern w:val="22"/>
          <w:szCs w:val="22"/>
          <w:lang w:eastAsia="x-none"/>
        </w:rPr>
        <w:t>H</w:t>
      </w:r>
      <w:r w:rsidRPr="002C6284">
        <w:rPr>
          <w:kern w:val="22"/>
          <w:szCs w:val="22"/>
          <w:lang w:eastAsia="x-none"/>
        </w:rPr>
        <w:t xml:space="preserve">oc </w:t>
      </w:r>
      <w:r>
        <w:rPr>
          <w:kern w:val="22"/>
          <w:szCs w:val="22"/>
          <w:lang w:eastAsia="x-none"/>
        </w:rPr>
        <w:t>T</w:t>
      </w:r>
      <w:r w:rsidRPr="002C6284">
        <w:rPr>
          <w:kern w:val="22"/>
          <w:szCs w:val="22"/>
          <w:lang w:eastAsia="x-none"/>
        </w:rPr>
        <w:t xml:space="preserve">echnical </w:t>
      </w:r>
      <w:r>
        <w:rPr>
          <w:kern w:val="22"/>
          <w:szCs w:val="22"/>
          <w:lang w:eastAsia="x-none"/>
        </w:rPr>
        <w:t>E</w:t>
      </w:r>
      <w:r w:rsidRPr="002C6284">
        <w:rPr>
          <w:kern w:val="22"/>
          <w:szCs w:val="22"/>
          <w:lang w:eastAsia="x-none"/>
        </w:rPr>
        <w:t xml:space="preserve">xpert </w:t>
      </w:r>
      <w:r>
        <w:rPr>
          <w:kern w:val="22"/>
          <w:szCs w:val="22"/>
          <w:lang w:eastAsia="x-none"/>
        </w:rPr>
        <w:t>G</w:t>
      </w:r>
      <w:r w:rsidRPr="002C6284">
        <w:rPr>
          <w:kern w:val="22"/>
          <w:szCs w:val="22"/>
          <w:lang w:eastAsia="x-none"/>
        </w:rPr>
        <w:t xml:space="preserve">roup </w:t>
      </w:r>
      <w:r w:rsidRPr="002C6284">
        <w:rPr>
          <w:kern w:val="22"/>
          <w:szCs w:val="22"/>
        </w:rPr>
        <w:t xml:space="preserve">will be constituted according to the modus operandi of the Subsidiary Body on Scientific, Technical and Technological Advice, adjusted to ensure full participation </w:t>
      </w:r>
      <w:r w:rsidRPr="002C6284">
        <w:rPr>
          <w:kern w:val="22"/>
          <w:szCs w:val="22"/>
          <w:lang w:val="en-US"/>
        </w:rPr>
        <w:t xml:space="preserve">of indigenous peoples and local communities respectively, including three experts </w:t>
      </w:r>
      <w:r w:rsidRPr="002C6284">
        <w:rPr>
          <w:kern w:val="22"/>
          <w:szCs w:val="22"/>
        </w:rPr>
        <w:t>per region</w:t>
      </w:r>
      <w:r w:rsidRPr="002C6284">
        <w:rPr>
          <w:kern w:val="22"/>
          <w:szCs w:val="22"/>
          <w:lang w:val="en-US"/>
        </w:rPr>
        <w:t xml:space="preserve"> nominated by</w:t>
      </w:r>
      <w:r w:rsidRPr="002C6284">
        <w:rPr>
          <w:kern w:val="22"/>
          <w:szCs w:val="22"/>
        </w:rPr>
        <w:t xml:space="preserve"> </w:t>
      </w:r>
      <w:r w:rsidRPr="002C6284">
        <w:rPr>
          <w:kern w:val="22"/>
          <w:szCs w:val="22"/>
          <w:lang w:val="en-US"/>
        </w:rPr>
        <w:t>P</w:t>
      </w:r>
      <w:r w:rsidRPr="002C6284">
        <w:rPr>
          <w:kern w:val="22"/>
          <w:szCs w:val="22"/>
        </w:rPr>
        <w:t>arties</w:t>
      </w:r>
      <w:r w:rsidRPr="002C6284">
        <w:rPr>
          <w:kern w:val="22"/>
          <w:szCs w:val="22"/>
          <w:lang w:val="en-US"/>
        </w:rPr>
        <w:t xml:space="preserve">, two representatives of indigenous peoples and local communities from each of the seven sociocultural regions recognized by the United Nations Permanent Forum on Indigenous Issues, as well no more than six other </w:t>
      </w:r>
      <w:r w:rsidRPr="002C6284">
        <w:rPr>
          <w:kern w:val="22"/>
          <w:szCs w:val="22"/>
        </w:rPr>
        <w:t>organizations</w:t>
      </w:r>
      <w:r w:rsidRPr="002C6284">
        <w:rPr>
          <w:kern w:val="22"/>
          <w:szCs w:val="22"/>
          <w:lang w:val="en-US"/>
        </w:rPr>
        <w:t>.</w:t>
      </w:r>
    </w:p>
    <w:p w14:paraId="29E41F12" w14:textId="77777777" w:rsidR="00FE6115" w:rsidRPr="002C6284" w:rsidRDefault="00FE6115" w:rsidP="00F6586C">
      <w:pPr>
        <w:pStyle w:val="Para1"/>
        <w:numPr>
          <w:ilvl w:val="0"/>
          <w:numId w:val="0"/>
        </w:numPr>
        <w:rPr>
          <w:lang w:val="en-US"/>
        </w:rPr>
      </w:pPr>
    </w:p>
    <w:p w14:paraId="59C17AAB" w14:textId="77777777" w:rsidR="00FE6115" w:rsidRDefault="00FE6115" w:rsidP="00562979">
      <w:pPr>
        <w:jc w:val="center"/>
        <w:sectPr w:rsidR="00FE6115" w:rsidSect="00441700">
          <w:footnotePr>
            <w:numRestart w:val="eachSect"/>
          </w:footnotePr>
          <w:pgSz w:w="12240" w:h="15840"/>
          <w:pgMar w:top="567" w:right="1440" w:bottom="1134" w:left="1440" w:header="709" w:footer="709" w:gutter="0"/>
          <w:cols w:space="708"/>
          <w:docGrid w:linePitch="360"/>
        </w:sectPr>
      </w:pPr>
    </w:p>
    <w:p w14:paraId="0C54655D" w14:textId="77777777" w:rsidR="00FE6115" w:rsidRPr="00D60F7C" w:rsidRDefault="00FE6115" w:rsidP="00D60F7C">
      <w:pPr>
        <w:pStyle w:val="decision"/>
        <w:rPr>
          <w:b w:val="0"/>
          <w:bCs/>
          <w:caps/>
        </w:rPr>
      </w:pPr>
      <w:bookmarkStart w:id="137" w:name="_Toc150438809"/>
      <w:bookmarkStart w:id="138" w:name="_Toc150670509"/>
      <w:bookmarkStart w:id="139" w:name="_Toc150670619"/>
      <w:bookmarkStart w:id="140" w:name="_Toc150761121"/>
      <w:r w:rsidRPr="00D60F7C">
        <w:rPr>
          <w:rStyle w:val="Heading2Char"/>
          <w:rFonts w:eastAsia="Malgun Gothic"/>
          <w:b/>
          <w:bCs w:val="0"/>
        </w:rPr>
        <w:lastRenderedPageBreak/>
        <w:t>15/11.</w:t>
      </w:r>
      <w:r w:rsidRPr="00D60F7C">
        <w:rPr>
          <w:rStyle w:val="Heading2Char"/>
          <w:rFonts w:eastAsia="Malgun Gothic"/>
          <w:b/>
          <w:bCs w:val="0"/>
        </w:rPr>
        <w:tab/>
        <w:t>Gender Plan of Action</w:t>
      </w:r>
      <w:bookmarkEnd w:id="137"/>
      <w:bookmarkEnd w:id="138"/>
      <w:bookmarkEnd w:id="139"/>
      <w:bookmarkEnd w:id="140"/>
      <w:r w:rsidRPr="00D60F7C">
        <w:rPr>
          <w:b w:val="0"/>
          <w:bCs/>
          <w:caps/>
        </w:rPr>
        <w:t xml:space="preserve"> </w:t>
      </w:r>
    </w:p>
    <w:p w14:paraId="1CC152FD" w14:textId="77777777" w:rsidR="00FE6115" w:rsidRPr="0000011D" w:rsidRDefault="00FE6115" w:rsidP="00737611">
      <w:pPr>
        <w:keepNext/>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The Conference of the Parties,</w:t>
      </w:r>
    </w:p>
    <w:p w14:paraId="3F998236" w14:textId="77777777" w:rsidR="00FE6115" w:rsidRPr="0000011D" w:rsidRDefault="00FE6115" w:rsidP="00737611">
      <w:pPr>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Recalling</w:t>
      </w:r>
      <w:r w:rsidRPr="0000011D">
        <w:rPr>
          <w:kern w:val="22"/>
          <w:szCs w:val="22"/>
        </w:rPr>
        <w:t xml:space="preserve"> decisions XII/7 and IX/24, welcoming earlier versions of a gender plan of action for the Convention,</w:t>
      </w:r>
    </w:p>
    <w:p w14:paraId="7F252456" w14:textId="77777777" w:rsidR="00FE6115" w:rsidRDefault="00FE6115" w:rsidP="00A73205">
      <w:pPr>
        <w:suppressLineNumbers/>
        <w:suppressAutoHyphens/>
        <w:kinsoku w:val="0"/>
        <w:overflowPunct w:val="0"/>
        <w:autoSpaceDE w:val="0"/>
        <w:autoSpaceDN w:val="0"/>
        <w:adjustRightInd w:val="0"/>
        <w:snapToGrid w:val="0"/>
        <w:spacing w:before="120" w:after="120"/>
        <w:ind w:firstLine="720"/>
        <w:rPr>
          <w:kern w:val="22"/>
          <w:szCs w:val="22"/>
        </w:rPr>
      </w:pPr>
      <w:r w:rsidRPr="0000011D">
        <w:rPr>
          <w:i/>
          <w:iCs/>
          <w:kern w:val="22"/>
          <w:szCs w:val="22"/>
        </w:rPr>
        <w:t>Recognizing</w:t>
      </w:r>
      <w:r w:rsidRPr="008C2F31">
        <w:rPr>
          <w:i/>
          <w:iCs/>
          <w:kern w:val="22"/>
          <w:szCs w:val="22"/>
        </w:rPr>
        <w:t xml:space="preserve"> </w:t>
      </w:r>
      <w:r w:rsidRPr="004D2547">
        <w:rPr>
          <w:kern w:val="22"/>
          <w:szCs w:val="22"/>
        </w:rPr>
        <w:t xml:space="preserve">the importance of advancing efforts to achieve gender equality and women’s and girl’s empowerment to ensure the effective implementation of the </w:t>
      </w:r>
      <w:r>
        <w:rPr>
          <w:kern w:val="22"/>
          <w:szCs w:val="22"/>
        </w:rPr>
        <w:t>Kunming-Montreal</w:t>
      </w:r>
      <w:r w:rsidRPr="004D2547">
        <w:rPr>
          <w:kern w:val="22"/>
          <w:szCs w:val="22"/>
        </w:rPr>
        <w:t xml:space="preserve"> </w:t>
      </w:r>
      <w:r>
        <w:rPr>
          <w:kern w:val="22"/>
          <w:szCs w:val="22"/>
        </w:rPr>
        <w:t>G</w:t>
      </w:r>
      <w:r w:rsidRPr="004D2547">
        <w:rPr>
          <w:kern w:val="22"/>
          <w:szCs w:val="22"/>
        </w:rPr>
        <w:t xml:space="preserve">lobal </w:t>
      </w:r>
      <w:r>
        <w:rPr>
          <w:kern w:val="22"/>
          <w:szCs w:val="22"/>
        </w:rPr>
        <w:t>B</w:t>
      </w:r>
      <w:r w:rsidRPr="004D2547">
        <w:rPr>
          <w:kern w:val="22"/>
          <w:szCs w:val="22"/>
        </w:rPr>
        <w:t xml:space="preserve">iodiversity </w:t>
      </w:r>
      <w:r>
        <w:rPr>
          <w:kern w:val="22"/>
          <w:szCs w:val="22"/>
        </w:rPr>
        <w:t>F</w:t>
      </w:r>
      <w:r w:rsidRPr="004D2547">
        <w:rPr>
          <w:kern w:val="22"/>
          <w:szCs w:val="22"/>
        </w:rPr>
        <w:t>ramework,</w:t>
      </w:r>
      <w:r w:rsidRPr="00610646">
        <w:rPr>
          <w:rStyle w:val="FootnoteReference"/>
        </w:rPr>
        <w:footnoteReference w:id="118"/>
      </w:r>
    </w:p>
    <w:p w14:paraId="4EEFE576" w14:textId="77777777" w:rsidR="00FE6115" w:rsidRPr="0000011D" w:rsidRDefault="00FE6115" w:rsidP="00E42F7E">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R</w:t>
      </w:r>
      <w:r w:rsidRPr="0000011D">
        <w:rPr>
          <w:i/>
          <w:iCs/>
          <w:kern w:val="22"/>
          <w:szCs w:val="22"/>
        </w:rPr>
        <w:t>ecognizing</w:t>
      </w:r>
      <w:r>
        <w:rPr>
          <w:i/>
          <w:iCs/>
          <w:kern w:val="22"/>
          <w:szCs w:val="22"/>
        </w:rPr>
        <w:t xml:space="preserve"> also</w:t>
      </w:r>
      <w:r w:rsidRPr="0000011D">
        <w:rPr>
          <w:kern w:val="22"/>
          <w:szCs w:val="22"/>
        </w:rPr>
        <w:t xml:space="preserve"> that the full and effective participation and leadership of women in all aspects </w:t>
      </w:r>
      <w:r w:rsidRPr="00D35581">
        <w:rPr>
          <w:kern w:val="22"/>
          <w:szCs w:val="22"/>
        </w:rPr>
        <w:t xml:space="preserve">of </w:t>
      </w:r>
      <w:r w:rsidRPr="003530CF">
        <w:rPr>
          <w:kern w:val="22"/>
          <w:szCs w:val="22"/>
        </w:rPr>
        <w:t>C</w:t>
      </w:r>
      <w:r w:rsidRPr="001D19D0">
        <w:rPr>
          <w:kern w:val="22"/>
          <w:szCs w:val="22"/>
        </w:rPr>
        <w:t>onvention processes, particularly</w:t>
      </w:r>
      <w:r w:rsidRPr="0000011D">
        <w:rPr>
          <w:kern w:val="22"/>
          <w:szCs w:val="22"/>
        </w:rPr>
        <w:t xml:space="preserve"> in policy and action at national and local levels, is vital for achieving long-term biodiversity goals and the 2050 Vision of </w:t>
      </w:r>
      <w:r>
        <w:rPr>
          <w:kern w:val="22"/>
          <w:szCs w:val="22"/>
        </w:rPr>
        <w:t>l</w:t>
      </w:r>
      <w:r w:rsidRPr="0000011D">
        <w:rPr>
          <w:kern w:val="22"/>
          <w:szCs w:val="22"/>
        </w:rPr>
        <w:t xml:space="preserve">iving in </w:t>
      </w:r>
      <w:r>
        <w:rPr>
          <w:kern w:val="22"/>
          <w:szCs w:val="22"/>
        </w:rPr>
        <w:t>h</w:t>
      </w:r>
      <w:r w:rsidRPr="0000011D">
        <w:rPr>
          <w:kern w:val="22"/>
          <w:szCs w:val="22"/>
        </w:rPr>
        <w:t xml:space="preserve">armony with </w:t>
      </w:r>
      <w:r>
        <w:rPr>
          <w:kern w:val="22"/>
          <w:szCs w:val="22"/>
        </w:rPr>
        <w:t>n</w:t>
      </w:r>
      <w:r w:rsidRPr="0000011D">
        <w:rPr>
          <w:kern w:val="22"/>
          <w:szCs w:val="22"/>
        </w:rPr>
        <w:t>ature,</w:t>
      </w:r>
    </w:p>
    <w:p w14:paraId="6442C132" w14:textId="77777777" w:rsidR="00FE6115" w:rsidRPr="0000011D" w:rsidRDefault="00FE6115"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1.</w:t>
      </w:r>
      <w:r w:rsidRPr="0000011D">
        <w:rPr>
          <w:kern w:val="22"/>
          <w:szCs w:val="22"/>
        </w:rPr>
        <w:tab/>
      </w:r>
      <w:r w:rsidRPr="0000011D">
        <w:rPr>
          <w:i/>
          <w:iCs/>
          <w:kern w:val="22"/>
          <w:szCs w:val="22"/>
        </w:rPr>
        <w:t>Adopts</w:t>
      </w:r>
      <w:r w:rsidRPr="0000011D">
        <w:rPr>
          <w:kern w:val="22"/>
          <w:szCs w:val="22"/>
        </w:rPr>
        <w:t xml:space="preserve"> the </w:t>
      </w:r>
      <w:r>
        <w:rPr>
          <w:kern w:val="22"/>
          <w:szCs w:val="22"/>
        </w:rPr>
        <w:t>G</w:t>
      </w:r>
      <w:r w:rsidRPr="0000011D">
        <w:rPr>
          <w:kern w:val="22"/>
          <w:szCs w:val="22"/>
        </w:rPr>
        <w:t xml:space="preserve">ender </w:t>
      </w:r>
      <w:r>
        <w:rPr>
          <w:kern w:val="22"/>
          <w:szCs w:val="22"/>
        </w:rPr>
        <w:t>P</w:t>
      </w:r>
      <w:r w:rsidRPr="0000011D">
        <w:rPr>
          <w:kern w:val="22"/>
          <w:szCs w:val="22"/>
        </w:rPr>
        <w:t xml:space="preserve">lan of </w:t>
      </w:r>
      <w:r>
        <w:rPr>
          <w:kern w:val="22"/>
          <w:szCs w:val="22"/>
        </w:rPr>
        <w:t>A</w:t>
      </w:r>
      <w:r w:rsidRPr="0000011D">
        <w:rPr>
          <w:kern w:val="22"/>
          <w:szCs w:val="22"/>
        </w:rPr>
        <w:t>ction</w:t>
      </w:r>
      <w:r>
        <w:rPr>
          <w:kern w:val="22"/>
          <w:szCs w:val="22"/>
        </w:rPr>
        <w:t xml:space="preserve"> contained in the annex to the present decision</w:t>
      </w:r>
      <w:r w:rsidRPr="0000011D">
        <w:rPr>
          <w:kern w:val="22"/>
          <w:szCs w:val="22"/>
        </w:rPr>
        <w:t>;</w:t>
      </w:r>
    </w:p>
    <w:p w14:paraId="6FFA997E" w14:textId="77777777" w:rsidR="00FE6115" w:rsidRPr="0000011D" w:rsidRDefault="00FE6115" w:rsidP="00737611">
      <w:pPr>
        <w:suppressLineNumbers/>
        <w:suppressAutoHyphens/>
        <w:kinsoku w:val="0"/>
        <w:overflowPunct w:val="0"/>
        <w:autoSpaceDE w:val="0"/>
        <w:autoSpaceDN w:val="0"/>
        <w:spacing w:before="120" w:after="120"/>
        <w:ind w:firstLine="720"/>
        <w:rPr>
          <w:kern w:val="22"/>
          <w:szCs w:val="22"/>
        </w:rPr>
      </w:pPr>
      <w:r w:rsidRPr="00BD4AAD">
        <w:rPr>
          <w:kern w:val="22"/>
          <w:szCs w:val="22"/>
        </w:rPr>
        <w:t>2.</w:t>
      </w:r>
      <w:r w:rsidRPr="00BD4AAD">
        <w:rPr>
          <w:kern w:val="22"/>
          <w:szCs w:val="22"/>
        </w:rPr>
        <w:tab/>
      </w:r>
      <w:r w:rsidRPr="00580600">
        <w:rPr>
          <w:i/>
          <w:iCs/>
          <w:kern w:val="22"/>
          <w:szCs w:val="22"/>
        </w:rPr>
        <w:t>Urges</w:t>
      </w:r>
      <w:r w:rsidRPr="00580600">
        <w:rPr>
          <w:kern w:val="22"/>
          <w:szCs w:val="22"/>
        </w:rPr>
        <w:t xml:space="preserve"> </w:t>
      </w:r>
      <w:r w:rsidRPr="00BD4AAD">
        <w:rPr>
          <w:kern w:val="22"/>
          <w:szCs w:val="22"/>
        </w:rPr>
        <w:t xml:space="preserve">Parties, </w:t>
      </w:r>
      <w:r>
        <w:rPr>
          <w:kern w:val="22"/>
          <w:szCs w:val="22"/>
        </w:rPr>
        <w:t xml:space="preserve">and </w:t>
      </w:r>
      <w:r w:rsidRPr="001D19D0">
        <w:rPr>
          <w:kern w:val="22"/>
          <w:szCs w:val="22"/>
        </w:rPr>
        <w:t>invites</w:t>
      </w:r>
      <w:r>
        <w:rPr>
          <w:b/>
          <w:bCs/>
          <w:i/>
          <w:iCs/>
          <w:kern w:val="22"/>
          <w:szCs w:val="22"/>
        </w:rPr>
        <w:t xml:space="preserve"> </w:t>
      </w:r>
      <w:r w:rsidRPr="00BD4AAD">
        <w:rPr>
          <w:kern w:val="22"/>
          <w:szCs w:val="22"/>
        </w:rPr>
        <w:t>other Governments</w:t>
      </w:r>
      <w:r w:rsidRPr="006E07A1">
        <w:rPr>
          <w:kern w:val="22"/>
          <w:szCs w:val="22"/>
        </w:rPr>
        <w:t xml:space="preserve">, </w:t>
      </w:r>
      <w:r w:rsidRPr="00580600">
        <w:rPr>
          <w:kern w:val="22"/>
          <w:szCs w:val="22"/>
        </w:rPr>
        <w:t>subnational governments, cities and other local authorities,</w:t>
      </w:r>
      <w:r w:rsidRPr="00BD4AAD">
        <w:rPr>
          <w:kern w:val="22"/>
          <w:szCs w:val="22"/>
        </w:rPr>
        <w:t xml:space="preserve"> and relevant organizations to </w:t>
      </w:r>
      <w:r w:rsidRPr="006A0037">
        <w:rPr>
          <w:kern w:val="22"/>
          <w:szCs w:val="22"/>
        </w:rPr>
        <w:t>implement</w:t>
      </w:r>
      <w:r w:rsidRPr="00BD4AAD">
        <w:rPr>
          <w:kern w:val="22"/>
          <w:szCs w:val="22"/>
        </w:rPr>
        <w:t xml:space="preserve"> the </w:t>
      </w:r>
      <w:r>
        <w:rPr>
          <w:kern w:val="22"/>
          <w:szCs w:val="22"/>
        </w:rPr>
        <w:t>G</w:t>
      </w:r>
      <w:r w:rsidRPr="00BD4AAD">
        <w:rPr>
          <w:kern w:val="22"/>
          <w:szCs w:val="22"/>
        </w:rPr>
        <w:t xml:space="preserve">ender </w:t>
      </w:r>
      <w:r>
        <w:rPr>
          <w:kern w:val="22"/>
          <w:szCs w:val="22"/>
        </w:rPr>
        <w:t>P</w:t>
      </w:r>
      <w:r w:rsidRPr="00BD4AAD">
        <w:rPr>
          <w:kern w:val="22"/>
          <w:szCs w:val="22"/>
        </w:rPr>
        <w:t xml:space="preserve">lan of </w:t>
      </w:r>
      <w:r>
        <w:rPr>
          <w:kern w:val="22"/>
          <w:szCs w:val="22"/>
        </w:rPr>
        <w:t>A</w:t>
      </w:r>
      <w:r w:rsidRPr="00BD4AAD">
        <w:rPr>
          <w:kern w:val="22"/>
          <w:szCs w:val="22"/>
        </w:rPr>
        <w:t xml:space="preserve">ction to support and advance </w:t>
      </w:r>
      <w:r w:rsidRPr="00E5660A">
        <w:rPr>
          <w:kern w:val="22"/>
          <w:szCs w:val="22"/>
        </w:rPr>
        <w:t>gender mainstreaming and</w:t>
      </w:r>
      <w:r w:rsidRPr="00BD4AAD">
        <w:rPr>
          <w:kern w:val="22"/>
          <w:szCs w:val="22"/>
        </w:rPr>
        <w:t xml:space="preserve"> gender responsive</w:t>
      </w:r>
      <w:r>
        <w:rPr>
          <w:kern w:val="22"/>
          <w:szCs w:val="22"/>
        </w:rPr>
        <w:t xml:space="preserve"> </w:t>
      </w:r>
      <w:r w:rsidRPr="00BD4AAD">
        <w:rPr>
          <w:kern w:val="22"/>
          <w:szCs w:val="22"/>
        </w:rPr>
        <w:t xml:space="preserve">implementation of the </w:t>
      </w:r>
      <w:r>
        <w:rPr>
          <w:kern w:val="22"/>
          <w:szCs w:val="22"/>
        </w:rPr>
        <w:t>Kunming-Montreal</w:t>
      </w:r>
      <w:r w:rsidRPr="004D2547">
        <w:rPr>
          <w:kern w:val="22"/>
          <w:szCs w:val="22"/>
        </w:rPr>
        <w:t xml:space="preserve"> </w:t>
      </w:r>
      <w:r>
        <w:rPr>
          <w:kern w:val="22"/>
          <w:szCs w:val="22"/>
        </w:rPr>
        <w:t>G</w:t>
      </w:r>
      <w:r w:rsidRPr="00BD4AAD">
        <w:rPr>
          <w:kern w:val="22"/>
          <w:szCs w:val="22"/>
        </w:rPr>
        <w:t xml:space="preserve">lobal </w:t>
      </w:r>
      <w:r>
        <w:rPr>
          <w:kern w:val="22"/>
          <w:szCs w:val="22"/>
        </w:rPr>
        <w:t>B</w:t>
      </w:r>
      <w:r w:rsidRPr="00BD4AAD">
        <w:rPr>
          <w:kern w:val="22"/>
          <w:szCs w:val="22"/>
        </w:rPr>
        <w:t xml:space="preserve">iodiversity </w:t>
      </w:r>
      <w:r>
        <w:rPr>
          <w:kern w:val="22"/>
          <w:szCs w:val="22"/>
        </w:rPr>
        <w:t>F</w:t>
      </w:r>
      <w:r w:rsidRPr="00BD4AAD">
        <w:rPr>
          <w:kern w:val="22"/>
          <w:szCs w:val="22"/>
        </w:rPr>
        <w:t>ramework;</w:t>
      </w:r>
    </w:p>
    <w:p w14:paraId="7BDF5A0D" w14:textId="77777777" w:rsidR="00FE6115" w:rsidRPr="0000011D" w:rsidRDefault="00FE6115"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3.</w:t>
      </w:r>
      <w:r w:rsidRPr="0000011D">
        <w:rPr>
          <w:kern w:val="22"/>
          <w:szCs w:val="22"/>
        </w:rPr>
        <w:tab/>
      </w:r>
      <w:r>
        <w:rPr>
          <w:i/>
          <w:iCs/>
          <w:kern w:val="22"/>
          <w:szCs w:val="22"/>
        </w:rPr>
        <w:t>I</w:t>
      </w:r>
      <w:r w:rsidRPr="0000011D">
        <w:rPr>
          <w:i/>
          <w:iCs/>
          <w:kern w:val="22"/>
          <w:szCs w:val="22"/>
        </w:rPr>
        <w:t>nvites</w:t>
      </w:r>
      <w:r w:rsidRPr="0000011D">
        <w:rPr>
          <w:kern w:val="22"/>
          <w:szCs w:val="22"/>
        </w:rPr>
        <w:t xml:space="preserve"> relevant organizations of the United Nations family and other international organizations and initiatives to support coherent gender responsive implementation of the </w:t>
      </w:r>
      <w:r>
        <w:rPr>
          <w:kern w:val="22"/>
          <w:szCs w:val="22"/>
        </w:rPr>
        <w:t>Kunming</w:t>
      </w:r>
      <w:r>
        <w:rPr>
          <w:kern w:val="22"/>
          <w:szCs w:val="22"/>
        </w:rPr>
        <w:noBreakHyphen/>
        <w:t>Montreal</w:t>
      </w:r>
      <w:r w:rsidRPr="004D2547">
        <w:rPr>
          <w:kern w:val="22"/>
          <w:szCs w:val="22"/>
        </w:rPr>
        <w:t xml:space="preserve"> </w:t>
      </w:r>
      <w:r>
        <w:rPr>
          <w:kern w:val="22"/>
          <w:szCs w:val="22"/>
        </w:rPr>
        <w:t>G</w:t>
      </w:r>
      <w:r w:rsidRPr="0000011D">
        <w:rPr>
          <w:kern w:val="22"/>
          <w:szCs w:val="22"/>
        </w:rPr>
        <w:t xml:space="preserve">lobal </w:t>
      </w:r>
      <w:r>
        <w:rPr>
          <w:kern w:val="22"/>
          <w:szCs w:val="22"/>
        </w:rPr>
        <w:t>B</w:t>
      </w:r>
      <w:r w:rsidRPr="0000011D">
        <w:rPr>
          <w:kern w:val="22"/>
          <w:szCs w:val="22"/>
        </w:rPr>
        <w:t xml:space="preserve">iodiversity </w:t>
      </w:r>
      <w:r>
        <w:rPr>
          <w:kern w:val="22"/>
          <w:szCs w:val="22"/>
        </w:rPr>
        <w:t>F</w:t>
      </w:r>
      <w:r w:rsidRPr="0000011D">
        <w:rPr>
          <w:kern w:val="22"/>
          <w:szCs w:val="22"/>
        </w:rPr>
        <w:t>ramework, through identifying synergies and drawing on relevant experience from related processes;</w:t>
      </w:r>
    </w:p>
    <w:p w14:paraId="428E987D" w14:textId="77777777" w:rsidR="00FE6115" w:rsidRDefault="00FE6115"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4.</w:t>
      </w:r>
      <w:r w:rsidRPr="0000011D">
        <w:rPr>
          <w:i/>
          <w:iCs/>
          <w:kern w:val="22"/>
          <w:szCs w:val="22"/>
        </w:rPr>
        <w:tab/>
        <w:t>Urges</w:t>
      </w:r>
      <w:r>
        <w:rPr>
          <w:b/>
          <w:bCs/>
          <w:i/>
          <w:iCs/>
          <w:kern w:val="22"/>
          <w:szCs w:val="22"/>
        </w:rPr>
        <w:t xml:space="preserve"> </w:t>
      </w:r>
      <w:r w:rsidRPr="0000011D">
        <w:rPr>
          <w:kern w:val="22"/>
          <w:szCs w:val="22"/>
        </w:rPr>
        <w:t xml:space="preserve">Parties and </w:t>
      </w:r>
      <w:r w:rsidRPr="001D19D0">
        <w:rPr>
          <w:kern w:val="22"/>
          <w:szCs w:val="22"/>
        </w:rPr>
        <w:t>invites</w:t>
      </w:r>
      <w:r>
        <w:rPr>
          <w:kern w:val="22"/>
          <w:szCs w:val="22"/>
        </w:rPr>
        <w:t xml:space="preserve"> </w:t>
      </w:r>
      <w:r w:rsidRPr="008C605D">
        <w:rPr>
          <w:kern w:val="22"/>
          <w:szCs w:val="22"/>
        </w:rPr>
        <w:t>where appropriate</w:t>
      </w:r>
      <w:r>
        <w:rPr>
          <w:kern w:val="22"/>
          <w:szCs w:val="22"/>
        </w:rPr>
        <w:t>,</w:t>
      </w:r>
      <w:r w:rsidRPr="0000011D">
        <w:rPr>
          <w:i/>
          <w:iCs/>
          <w:kern w:val="22"/>
          <w:szCs w:val="22"/>
        </w:rPr>
        <w:t xml:space="preserve"> </w:t>
      </w:r>
      <w:r w:rsidRPr="0000011D">
        <w:rPr>
          <w:kern w:val="22"/>
          <w:szCs w:val="22"/>
        </w:rPr>
        <w:t xml:space="preserve">relevant organizations to </w:t>
      </w:r>
      <w:r w:rsidRPr="008C605D">
        <w:rPr>
          <w:kern w:val="22"/>
          <w:szCs w:val="22"/>
        </w:rPr>
        <w:t>incorporate</w:t>
      </w:r>
      <w:r>
        <w:rPr>
          <w:kern w:val="22"/>
          <w:szCs w:val="22"/>
        </w:rPr>
        <w:t xml:space="preserve"> </w:t>
      </w:r>
      <w:r w:rsidRPr="0000011D">
        <w:rPr>
          <w:kern w:val="22"/>
          <w:szCs w:val="22"/>
        </w:rPr>
        <w:t xml:space="preserve">the </w:t>
      </w:r>
      <w:r>
        <w:rPr>
          <w:kern w:val="22"/>
          <w:szCs w:val="22"/>
        </w:rPr>
        <w:t>G</w:t>
      </w:r>
      <w:r w:rsidRPr="0000011D">
        <w:rPr>
          <w:kern w:val="22"/>
          <w:szCs w:val="22"/>
        </w:rPr>
        <w:t xml:space="preserve">ender </w:t>
      </w:r>
      <w:r>
        <w:rPr>
          <w:kern w:val="22"/>
          <w:szCs w:val="22"/>
        </w:rPr>
        <w:t>P</w:t>
      </w:r>
      <w:r w:rsidRPr="0000011D">
        <w:rPr>
          <w:kern w:val="22"/>
          <w:szCs w:val="22"/>
        </w:rPr>
        <w:t xml:space="preserve">lan of </w:t>
      </w:r>
      <w:r>
        <w:rPr>
          <w:kern w:val="22"/>
          <w:szCs w:val="22"/>
        </w:rPr>
        <w:t>A</w:t>
      </w:r>
      <w:r w:rsidRPr="0000011D">
        <w:rPr>
          <w:kern w:val="22"/>
          <w:szCs w:val="22"/>
        </w:rPr>
        <w:t>ction in national biodiversity strategies and action plans, and to include gender</w:t>
      </w:r>
      <w:r>
        <w:rPr>
          <w:kern w:val="22"/>
          <w:szCs w:val="22"/>
        </w:rPr>
        <w:noBreakHyphen/>
      </w:r>
      <w:r w:rsidRPr="0000011D">
        <w:rPr>
          <w:kern w:val="22"/>
          <w:szCs w:val="22"/>
        </w:rPr>
        <w:t>specific indicators in the development of national indicators, collecting data disaggregated by sex, age and other demographic factors</w:t>
      </w:r>
      <w:r>
        <w:rPr>
          <w:kern w:val="22"/>
          <w:szCs w:val="22"/>
        </w:rPr>
        <w:t xml:space="preserve"> and gender indicators</w:t>
      </w:r>
      <w:r w:rsidRPr="0000011D">
        <w:rPr>
          <w:kern w:val="22"/>
          <w:szCs w:val="22"/>
        </w:rPr>
        <w:t>, where possible;</w:t>
      </w:r>
      <w:r>
        <w:rPr>
          <w:kern w:val="22"/>
          <w:szCs w:val="22"/>
        </w:rPr>
        <w:t xml:space="preserve"> </w:t>
      </w:r>
    </w:p>
    <w:p w14:paraId="737CBF4F" w14:textId="77777777" w:rsidR="00FE6115" w:rsidRPr="00F177A2" w:rsidRDefault="00FE6115" w:rsidP="00737611">
      <w:pPr>
        <w:suppressLineNumbers/>
        <w:suppressAutoHyphens/>
        <w:kinsoku w:val="0"/>
        <w:overflowPunct w:val="0"/>
        <w:autoSpaceDE w:val="0"/>
        <w:autoSpaceDN w:val="0"/>
        <w:spacing w:before="120" w:after="120"/>
        <w:ind w:firstLine="720"/>
        <w:rPr>
          <w:kern w:val="22"/>
          <w:szCs w:val="22"/>
          <w:lang w:val="en-US"/>
        </w:rPr>
      </w:pPr>
      <w:r>
        <w:rPr>
          <w:kern w:val="22"/>
          <w:szCs w:val="22"/>
          <w:lang w:val="en-US"/>
        </w:rPr>
        <w:t>5</w:t>
      </w:r>
      <w:r w:rsidRPr="00F177A2">
        <w:rPr>
          <w:kern w:val="22"/>
          <w:szCs w:val="22"/>
          <w:lang w:val="en-US"/>
        </w:rPr>
        <w:t>.</w:t>
      </w:r>
      <w:r>
        <w:rPr>
          <w:i/>
          <w:iCs/>
          <w:kern w:val="22"/>
          <w:szCs w:val="22"/>
          <w:lang w:val="en-US"/>
        </w:rPr>
        <w:tab/>
      </w:r>
      <w:r w:rsidRPr="00565516">
        <w:rPr>
          <w:i/>
          <w:iCs/>
          <w:kern w:val="22"/>
          <w:szCs w:val="22"/>
          <w:lang w:val="en-US"/>
        </w:rPr>
        <w:t>Invites</w:t>
      </w:r>
      <w:r w:rsidRPr="00F177A2">
        <w:rPr>
          <w:kern w:val="22"/>
          <w:szCs w:val="22"/>
          <w:lang w:val="en-US"/>
        </w:rPr>
        <w:t xml:space="preserve"> Parties to implement the </w:t>
      </w:r>
      <w:r>
        <w:rPr>
          <w:kern w:val="22"/>
          <w:szCs w:val="22"/>
          <w:lang w:val="en-US"/>
        </w:rPr>
        <w:t>G</w:t>
      </w:r>
      <w:r w:rsidRPr="00F177A2">
        <w:rPr>
          <w:kern w:val="22"/>
          <w:szCs w:val="22"/>
          <w:lang w:val="en-US"/>
        </w:rPr>
        <w:t xml:space="preserve">ender </w:t>
      </w:r>
      <w:r>
        <w:rPr>
          <w:kern w:val="22"/>
          <w:szCs w:val="22"/>
          <w:lang w:val="en-US"/>
        </w:rPr>
        <w:t>P</w:t>
      </w:r>
      <w:r w:rsidRPr="00F177A2">
        <w:rPr>
          <w:kern w:val="22"/>
          <w:szCs w:val="22"/>
          <w:lang w:val="en-US"/>
        </w:rPr>
        <w:t xml:space="preserve">lan of </w:t>
      </w:r>
      <w:r>
        <w:rPr>
          <w:kern w:val="22"/>
          <w:szCs w:val="22"/>
          <w:lang w:val="en-US"/>
        </w:rPr>
        <w:t>A</w:t>
      </w:r>
      <w:r w:rsidRPr="00F177A2">
        <w:rPr>
          <w:kern w:val="22"/>
          <w:szCs w:val="22"/>
          <w:lang w:val="en-US"/>
        </w:rPr>
        <w:t>ction in synergy with gender plans or strategies developed under other relevant multilateral environmental agreements or related multilateral processes, as appropriate;</w:t>
      </w:r>
    </w:p>
    <w:p w14:paraId="13C439FB" w14:textId="77777777" w:rsidR="00FE6115" w:rsidRPr="0000011D" w:rsidRDefault="00FE6115" w:rsidP="00737611">
      <w:pPr>
        <w:spacing w:before="120" w:after="120"/>
        <w:ind w:firstLine="720"/>
        <w:rPr>
          <w:kern w:val="22"/>
          <w:szCs w:val="22"/>
        </w:rPr>
      </w:pPr>
      <w:r>
        <w:rPr>
          <w:kern w:val="22"/>
          <w:szCs w:val="22"/>
        </w:rPr>
        <w:t>6</w:t>
      </w:r>
      <w:r w:rsidRPr="0000011D">
        <w:rPr>
          <w:kern w:val="22"/>
          <w:szCs w:val="22"/>
        </w:rPr>
        <w:t>.</w:t>
      </w:r>
      <w:r w:rsidRPr="0000011D">
        <w:rPr>
          <w:i/>
          <w:iCs/>
          <w:kern w:val="22"/>
          <w:szCs w:val="22"/>
        </w:rPr>
        <w:tab/>
      </w:r>
      <w:r w:rsidRPr="00C326CF">
        <w:rPr>
          <w:i/>
          <w:iCs/>
          <w:kern w:val="22"/>
          <w:szCs w:val="22"/>
        </w:rPr>
        <w:t>Encourages</w:t>
      </w:r>
      <w:r w:rsidRPr="00C326CF">
        <w:rPr>
          <w:kern w:val="22"/>
          <w:szCs w:val="22"/>
        </w:rPr>
        <w:t xml:space="preserve"> </w:t>
      </w:r>
      <w:r w:rsidRPr="0000011D">
        <w:rPr>
          <w:kern w:val="22"/>
          <w:szCs w:val="22"/>
        </w:rPr>
        <w:t xml:space="preserve">Parties to submit information </w:t>
      </w:r>
      <w:r w:rsidRPr="00C91C9F">
        <w:rPr>
          <w:kern w:val="22"/>
          <w:szCs w:val="22"/>
        </w:rPr>
        <w:t>on efforts and steps taken</w:t>
      </w:r>
      <w:r w:rsidRPr="0000011D">
        <w:rPr>
          <w:kern w:val="22"/>
          <w:szCs w:val="22"/>
        </w:rPr>
        <w:t xml:space="preserve"> to implement the </w:t>
      </w:r>
      <w:r>
        <w:rPr>
          <w:kern w:val="22"/>
          <w:szCs w:val="22"/>
        </w:rPr>
        <w:t>G</w:t>
      </w:r>
      <w:r w:rsidRPr="0000011D">
        <w:rPr>
          <w:kern w:val="22"/>
          <w:szCs w:val="22"/>
        </w:rPr>
        <w:t xml:space="preserve">ender </w:t>
      </w:r>
      <w:r>
        <w:rPr>
          <w:kern w:val="22"/>
          <w:szCs w:val="22"/>
        </w:rPr>
        <w:t>P</w:t>
      </w:r>
      <w:r w:rsidRPr="0000011D">
        <w:rPr>
          <w:kern w:val="22"/>
          <w:szCs w:val="22"/>
        </w:rPr>
        <w:t xml:space="preserve">lan of </w:t>
      </w:r>
      <w:r>
        <w:rPr>
          <w:kern w:val="22"/>
          <w:szCs w:val="22"/>
        </w:rPr>
        <w:t>A</w:t>
      </w:r>
      <w:r w:rsidRPr="0000011D">
        <w:rPr>
          <w:kern w:val="22"/>
          <w:szCs w:val="22"/>
        </w:rPr>
        <w:t>ction in their national reporting, including sex-disaggregated data;</w:t>
      </w:r>
    </w:p>
    <w:p w14:paraId="69F10475" w14:textId="77777777" w:rsidR="00FE6115" w:rsidRPr="0000011D" w:rsidRDefault="00FE6115" w:rsidP="00737611">
      <w:pPr>
        <w:spacing w:before="120" w:after="120"/>
        <w:ind w:firstLine="720"/>
        <w:rPr>
          <w:kern w:val="22"/>
          <w:szCs w:val="22"/>
        </w:rPr>
      </w:pPr>
      <w:r>
        <w:rPr>
          <w:kern w:val="22"/>
          <w:szCs w:val="22"/>
        </w:rPr>
        <w:t>7</w:t>
      </w:r>
      <w:r w:rsidRPr="0000011D">
        <w:rPr>
          <w:kern w:val="22"/>
          <w:szCs w:val="22"/>
        </w:rPr>
        <w:t>.</w:t>
      </w:r>
      <w:r w:rsidRPr="0000011D">
        <w:rPr>
          <w:i/>
          <w:iCs/>
          <w:kern w:val="22"/>
          <w:szCs w:val="22"/>
        </w:rPr>
        <w:tab/>
      </w:r>
      <w:r>
        <w:rPr>
          <w:i/>
          <w:iCs/>
          <w:kern w:val="22"/>
          <w:szCs w:val="22"/>
        </w:rPr>
        <w:t>Also e</w:t>
      </w:r>
      <w:r w:rsidRPr="0000011D">
        <w:rPr>
          <w:i/>
          <w:iCs/>
          <w:kern w:val="22"/>
          <w:szCs w:val="22"/>
        </w:rPr>
        <w:t xml:space="preserve">ncourages </w:t>
      </w:r>
      <w:r w:rsidRPr="0000011D">
        <w:rPr>
          <w:kern w:val="22"/>
          <w:szCs w:val="22"/>
        </w:rPr>
        <w:t>Parties to appoint and provide support for a national gender and biodiversity focal point for biodiversity negotiations, implementation and monitoring;</w:t>
      </w:r>
    </w:p>
    <w:p w14:paraId="5E44F822" w14:textId="77777777" w:rsidR="00FE6115" w:rsidRPr="0000011D" w:rsidRDefault="00FE6115" w:rsidP="00737611">
      <w:pPr>
        <w:spacing w:before="120" w:after="120"/>
        <w:ind w:firstLine="720"/>
        <w:rPr>
          <w:kern w:val="22"/>
          <w:szCs w:val="22"/>
        </w:rPr>
      </w:pPr>
      <w:r>
        <w:rPr>
          <w:kern w:val="22"/>
          <w:szCs w:val="22"/>
        </w:rPr>
        <w:t>8</w:t>
      </w:r>
      <w:r w:rsidRPr="0000011D">
        <w:rPr>
          <w:kern w:val="22"/>
          <w:szCs w:val="22"/>
        </w:rPr>
        <w:t>.</w:t>
      </w:r>
      <w:r w:rsidRPr="0000011D">
        <w:rPr>
          <w:i/>
          <w:iCs/>
          <w:kern w:val="22"/>
          <w:szCs w:val="22"/>
        </w:rPr>
        <w:tab/>
        <w:t xml:space="preserve">Requests </w:t>
      </w:r>
      <w:r w:rsidRPr="0000011D">
        <w:rPr>
          <w:kern w:val="22"/>
          <w:szCs w:val="22"/>
        </w:rPr>
        <w:t>the Executive Secretary, in collaboration with Parties</w:t>
      </w:r>
      <w:r>
        <w:rPr>
          <w:kern w:val="22"/>
          <w:szCs w:val="22"/>
        </w:rPr>
        <w:t xml:space="preserve">, indigenous peoples and local communities, </w:t>
      </w:r>
      <w:r w:rsidRPr="0062610F">
        <w:rPr>
          <w:kern w:val="22"/>
          <w:szCs w:val="22"/>
        </w:rPr>
        <w:t>women’s and youth</w:t>
      </w:r>
      <w:r>
        <w:rPr>
          <w:kern w:val="22"/>
          <w:szCs w:val="22"/>
        </w:rPr>
        <w:t xml:space="preserve"> organizations, </w:t>
      </w:r>
      <w:r w:rsidRPr="0000011D">
        <w:rPr>
          <w:kern w:val="22"/>
          <w:szCs w:val="22"/>
        </w:rPr>
        <w:t xml:space="preserve">and other relevant </w:t>
      </w:r>
      <w:r w:rsidRPr="00C326CF">
        <w:rPr>
          <w:kern w:val="22"/>
          <w:szCs w:val="22"/>
        </w:rPr>
        <w:t>stakeholders,</w:t>
      </w:r>
      <w:r w:rsidRPr="0000011D">
        <w:rPr>
          <w:kern w:val="22"/>
          <w:szCs w:val="22"/>
        </w:rPr>
        <w:t xml:space="preserve"> to facilitate outreach and capacity</w:t>
      </w:r>
      <w:r w:rsidRPr="0000011D">
        <w:rPr>
          <w:kern w:val="22"/>
          <w:szCs w:val="22"/>
        </w:rPr>
        <w:noBreakHyphen/>
        <w:t xml:space="preserve">building </w:t>
      </w:r>
      <w:r w:rsidRPr="00DF4F16">
        <w:rPr>
          <w:kern w:val="22"/>
          <w:szCs w:val="22"/>
        </w:rPr>
        <w:t>and development</w:t>
      </w:r>
      <w:r>
        <w:rPr>
          <w:kern w:val="22"/>
          <w:szCs w:val="22"/>
        </w:rPr>
        <w:t xml:space="preserve"> </w:t>
      </w:r>
      <w:r w:rsidRPr="0000011D">
        <w:rPr>
          <w:kern w:val="22"/>
          <w:szCs w:val="22"/>
        </w:rPr>
        <w:t>activities with a view to exchang</w:t>
      </w:r>
      <w:r w:rsidRPr="00425D43">
        <w:rPr>
          <w:kern w:val="22"/>
          <w:szCs w:val="22"/>
        </w:rPr>
        <w:t>ing</w:t>
      </w:r>
      <w:r w:rsidRPr="0000011D">
        <w:rPr>
          <w:kern w:val="22"/>
          <w:szCs w:val="22"/>
        </w:rPr>
        <w:t xml:space="preserve"> experiences, good practices, and lessons learned, to support the implementation of the </w:t>
      </w:r>
      <w:r>
        <w:rPr>
          <w:kern w:val="22"/>
          <w:szCs w:val="22"/>
        </w:rPr>
        <w:t>G</w:t>
      </w:r>
      <w:r w:rsidRPr="0000011D">
        <w:rPr>
          <w:kern w:val="22"/>
          <w:szCs w:val="22"/>
        </w:rPr>
        <w:t xml:space="preserve">ender </w:t>
      </w:r>
      <w:r>
        <w:rPr>
          <w:kern w:val="22"/>
          <w:szCs w:val="22"/>
        </w:rPr>
        <w:t>P</w:t>
      </w:r>
      <w:r w:rsidRPr="0000011D">
        <w:rPr>
          <w:kern w:val="22"/>
          <w:szCs w:val="22"/>
        </w:rPr>
        <w:t xml:space="preserve">lan of </w:t>
      </w:r>
      <w:r>
        <w:rPr>
          <w:kern w:val="22"/>
          <w:szCs w:val="22"/>
        </w:rPr>
        <w:t>A</w:t>
      </w:r>
      <w:r w:rsidRPr="0000011D">
        <w:rPr>
          <w:kern w:val="22"/>
          <w:szCs w:val="22"/>
        </w:rPr>
        <w:t>ction;</w:t>
      </w:r>
    </w:p>
    <w:p w14:paraId="16F02551" w14:textId="77777777" w:rsidR="00FE6115" w:rsidRPr="0000011D" w:rsidRDefault="00FE6115" w:rsidP="00737611">
      <w:pPr>
        <w:spacing w:before="120" w:after="120"/>
        <w:ind w:firstLine="720"/>
        <w:rPr>
          <w:i/>
          <w:iCs/>
          <w:kern w:val="22"/>
          <w:szCs w:val="22"/>
        </w:rPr>
      </w:pPr>
      <w:r>
        <w:rPr>
          <w:kern w:val="22"/>
          <w:szCs w:val="22"/>
        </w:rPr>
        <w:t>9</w:t>
      </w:r>
      <w:r w:rsidRPr="0000011D">
        <w:rPr>
          <w:kern w:val="22"/>
          <w:szCs w:val="22"/>
        </w:rPr>
        <w:t>.</w:t>
      </w:r>
      <w:r w:rsidRPr="0000011D">
        <w:rPr>
          <w:i/>
          <w:iCs/>
          <w:kern w:val="22"/>
          <w:szCs w:val="22"/>
        </w:rPr>
        <w:tab/>
        <w:t>Also requests</w:t>
      </w:r>
      <w:r w:rsidRPr="0000011D">
        <w:rPr>
          <w:kern w:val="22"/>
          <w:szCs w:val="22"/>
        </w:rPr>
        <w:t xml:space="preserve"> the Executive Secretary, based inter alia on the information received pursuant to paragraph </w:t>
      </w:r>
      <w:r>
        <w:rPr>
          <w:kern w:val="22"/>
          <w:szCs w:val="22"/>
        </w:rPr>
        <w:t>6</w:t>
      </w:r>
      <w:r w:rsidRPr="0000011D">
        <w:rPr>
          <w:kern w:val="22"/>
          <w:szCs w:val="22"/>
        </w:rPr>
        <w:t xml:space="preserve"> above and with the support of relevant partners, to undertake a mid-term review of implementation of the </w:t>
      </w:r>
      <w:r>
        <w:rPr>
          <w:kern w:val="22"/>
          <w:szCs w:val="22"/>
        </w:rPr>
        <w:t>G</w:t>
      </w:r>
      <w:r w:rsidRPr="0000011D">
        <w:rPr>
          <w:kern w:val="22"/>
          <w:szCs w:val="22"/>
        </w:rPr>
        <w:t xml:space="preserve">ender </w:t>
      </w:r>
      <w:r>
        <w:rPr>
          <w:kern w:val="22"/>
          <w:szCs w:val="22"/>
        </w:rPr>
        <w:t>P</w:t>
      </w:r>
      <w:r w:rsidRPr="0000011D">
        <w:rPr>
          <w:kern w:val="22"/>
          <w:szCs w:val="22"/>
        </w:rPr>
        <w:t xml:space="preserve">lan of </w:t>
      </w:r>
      <w:r>
        <w:rPr>
          <w:kern w:val="22"/>
          <w:szCs w:val="22"/>
        </w:rPr>
        <w:t>A</w:t>
      </w:r>
      <w:r w:rsidRPr="0000011D">
        <w:rPr>
          <w:kern w:val="22"/>
          <w:szCs w:val="22"/>
        </w:rPr>
        <w:t>ction,</w:t>
      </w:r>
      <w:r>
        <w:rPr>
          <w:kern w:val="22"/>
          <w:szCs w:val="22"/>
        </w:rPr>
        <w:t xml:space="preserve"> </w:t>
      </w:r>
      <w:r w:rsidRPr="0000011D">
        <w:rPr>
          <w:kern w:val="22"/>
          <w:szCs w:val="22"/>
        </w:rPr>
        <w:t xml:space="preserve">identifying progress, lessons learned, and further work to be undertaken for consideration </w:t>
      </w:r>
      <w:r w:rsidRPr="00425D43">
        <w:rPr>
          <w:kern w:val="22"/>
          <w:szCs w:val="22"/>
        </w:rPr>
        <w:t>by</w:t>
      </w:r>
      <w:r w:rsidRPr="0000011D">
        <w:rPr>
          <w:kern w:val="22"/>
          <w:szCs w:val="22"/>
        </w:rPr>
        <w:t xml:space="preserve"> the Subsidiary Body on Implementation at </w:t>
      </w:r>
      <w:r>
        <w:rPr>
          <w:kern w:val="22"/>
          <w:szCs w:val="22"/>
        </w:rPr>
        <w:t xml:space="preserve">a </w:t>
      </w:r>
      <w:r w:rsidRPr="0000011D">
        <w:rPr>
          <w:kern w:val="22"/>
          <w:szCs w:val="22"/>
        </w:rPr>
        <w:t>meeting</w:t>
      </w:r>
      <w:r>
        <w:rPr>
          <w:kern w:val="22"/>
          <w:szCs w:val="22"/>
        </w:rPr>
        <w:t xml:space="preserve"> held before the seventeenth meeting of the Conference of the Parties</w:t>
      </w:r>
      <w:r w:rsidRPr="0000011D">
        <w:rPr>
          <w:kern w:val="22"/>
          <w:szCs w:val="22"/>
        </w:rPr>
        <w:t>;</w:t>
      </w:r>
    </w:p>
    <w:p w14:paraId="15D45CA9" w14:textId="77777777" w:rsidR="00FE6115" w:rsidRPr="0000011D" w:rsidRDefault="00FE6115" w:rsidP="00737611">
      <w:pPr>
        <w:spacing w:before="120" w:after="120"/>
        <w:ind w:firstLine="720"/>
        <w:rPr>
          <w:kern w:val="22"/>
          <w:szCs w:val="22"/>
        </w:rPr>
      </w:pPr>
      <w:r>
        <w:rPr>
          <w:kern w:val="22"/>
          <w:szCs w:val="22"/>
        </w:rPr>
        <w:t>10</w:t>
      </w:r>
      <w:r w:rsidRPr="00560086">
        <w:rPr>
          <w:kern w:val="22"/>
          <w:szCs w:val="22"/>
        </w:rPr>
        <w:t>.</w:t>
      </w:r>
      <w:r w:rsidRPr="0000011D">
        <w:rPr>
          <w:i/>
          <w:iCs/>
          <w:kern w:val="22"/>
          <w:szCs w:val="22"/>
        </w:rPr>
        <w:tab/>
      </w:r>
      <w:r w:rsidRPr="00BE422A">
        <w:rPr>
          <w:i/>
          <w:iCs/>
          <w:kern w:val="22"/>
          <w:szCs w:val="22"/>
        </w:rPr>
        <w:t>Invites</w:t>
      </w:r>
      <w:r>
        <w:rPr>
          <w:b/>
          <w:bCs/>
          <w:i/>
          <w:iCs/>
          <w:kern w:val="22"/>
          <w:szCs w:val="22"/>
        </w:rPr>
        <w:t xml:space="preserve"> </w:t>
      </w:r>
      <w:r w:rsidRPr="00BC10D7">
        <w:rPr>
          <w:kern w:val="22"/>
          <w:szCs w:val="22"/>
        </w:rPr>
        <w:t>the</w:t>
      </w:r>
      <w:r>
        <w:rPr>
          <w:i/>
          <w:iCs/>
          <w:kern w:val="22"/>
          <w:szCs w:val="22"/>
        </w:rPr>
        <w:t xml:space="preserve"> </w:t>
      </w:r>
      <w:r w:rsidRPr="00BE422A">
        <w:rPr>
          <w:kern w:val="22"/>
          <w:szCs w:val="22"/>
        </w:rPr>
        <w:t>Global Environment Facility</w:t>
      </w:r>
      <w:r w:rsidRPr="00BC10D7">
        <w:rPr>
          <w:kern w:val="22"/>
          <w:szCs w:val="22"/>
        </w:rPr>
        <w:t xml:space="preserve"> </w:t>
      </w:r>
      <w:r>
        <w:rPr>
          <w:kern w:val="22"/>
          <w:szCs w:val="22"/>
        </w:rPr>
        <w:t xml:space="preserve">and </w:t>
      </w:r>
      <w:r w:rsidRPr="00BE422A">
        <w:rPr>
          <w:kern w:val="22"/>
          <w:szCs w:val="22"/>
        </w:rPr>
        <w:t>relevant bilateral and multilateral funding organizations to provide technical and financial support</w:t>
      </w:r>
      <w:r>
        <w:rPr>
          <w:kern w:val="22"/>
          <w:szCs w:val="22"/>
        </w:rPr>
        <w:t>,</w:t>
      </w:r>
      <w:r w:rsidRPr="00BE422A">
        <w:rPr>
          <w:kern w:val="22"/>
          <w:szCs w:val="22"/>
        </w:rPr>
        <w:t xml:space="preserve"> as well as capacity</w:t>
      </w:r>
      <w:r w:rsidRPr="00560086">
        <w:rPr>
          <w:kern w:val="22"/>
          <w:szCs w:val="22"/>
        </w:rPr>
        <w:noBreakHyphen/>
        <w:t>building</w:t>
      </w:r>
      <w:r w:rsidRPr="000A455C">
        <w:rPr>
          <w:kern w:val="22"/>
          <w:szCs w:val="22"/>
        </w:rPr>
        <w:t xml:space="preserve"> </w:t>
      </w:r>
      <w:r w:rsidRPr="00BC10D7">
        <w:rPr>
          <w:kern w:val="22"/>
          <w:szCs w:val="22"/>
        </w:rPr>
        <w:t>and development</w:t>
      </w:r>
      <w:r w:rsidRPr="00BE422A">
        <w:rPr>
          <w:kern w:val="22"/>
          <w:szCs w:val="22"/>
        </w:rPr>
        <w:t xml:space="preserve">, for implementation of the </w:t>
      </w:r>
      <w:r>
        <w:rPr>
          <w:kern w:val="22"/>
          <w:szCs w:val="22"/>
        </w:rPr>
        <w:t>G</w:t>
      </w:r>
      <w:r w:rsidRPr="00BE422A">
        <w:rPr>
          <w:kern w:val="22"/>
          <w:szCs w:val="22"/>
        </w:rPr>
        <w:t xml:space="preserve">ender </w:t>
      </w:r>
      <w:r>
        <w:rPr>
          <w:kern w:val="22"/>
          <w:szCs w:val="22"/>
        </w:rPr>
        <w:t>P</w:t>
      </w:r>
      <w:r w:rsidRPr="00BE422A">
        <w:rPr>
          <w:kern w:val="22"/>
          <w:szCs w:val="22"/>
        </w:rPr>
        <w:t xml:space="preserve">lan of </w:t>
      </w:r>
      <w:r>
        <w:rPr>
          <w:kern w:val="22"/>
          <w:szCs w:val="22"/>
        </w:rPr>
        <w:t>A</w:t>
      </w:r>
      <w:r w:rsidRPr="00BE422A">
        <w:rPr>
          <w:kern w:val="22"/>
          <w:szCs w:val="22"/>
        </w:rPr>
        <w:t>ction;</w:t>
      </w:r>
    </w:p>
    <w:p w14:paraId="0EF376C5" w14:textId="4D478D1C" w:rsidR="00FE6115" w:rsidRPr="00281F65" w:rsidRDefault="00FE6115" w:rsidP="00737611">
      <w:pPr>
        <w:spacing w:before="120" w:after="120"/>
        <w:ind w:firstLine="720"/>
        <w:rPr>
          <w:szCs w:val="22"/>
        </w:rPr>
      </w:pPr>
      <w:r w:rsidRPr="00CD5383">
        <w:rPr>
          <w:szCs w:val="22"/>
        </w:rPr>
        <w:lastRenderedPageBreak/>
        <w:t>1</w:t>
      </w:r>
      <w:r>
        <w:rPr>
          <w:szCs w:val="22"/>
        </w:rPr>
        <w:t>1</w:t>
      </w:r>
      <w:r w:rsidRPr="00CD5383">
        <w:rPr>
          <w:szCs w:val="22"/>
        </w:rPr>
        <w:t>.</w:t>
      </w:r>
      <w:r>
        <w:rPr>
          <w:i/>
          <w:iCs/>
          <w:szCs w:val="22"/>
        </w:rPr>
        <w:tab/>
        <w:t>Encourages</w:t>
      </w:r>
      <w:r w:rsidRPr="00565516">
        <w:rPr>
          <w:szCs w:val="22"/>
        </w:rPr>
        <w:t xml:space="preserve"> Parties</w:t>
      </w:r>
      <w:r w:rsidRPr="00281F65">
        <w:rPr>
          <w:szCs w:val="22"/>
        </w:rPr>
        <w:t xml:space="preserve"> to increase representation of women in their delegations to meetings</w:t>
      </w:r>
      <w:r>
        <w:rPr>
          <w:szCs w:val="22"/>
        </w:rPr>
        <w:t xml:space="preserve"> of the Convention on Biological Diversity</w:t>
      </w:r>
      <w:r w:rsidRPr="00281F65">
        <w:rPr>
          <w:szCs w:val="22"/>
        </w:rPr>
        <w:t xml:space="preserve">, with a view to achieving gender </w:t>
      </w:r>
      <w:r>
        <w:rPr>
          <w:szCs w:val="22"/>
        </w:rPr>
        <w:t>equality</w:t>
      </w:r>
      <w:r w:rsidRPr="00281F65">
        <w:rPr>
          <w:szCs w:val="22"/>
        </w:rPr>
        <w:t xml:space="preserve">, including through requests for support for participation </w:t>
      </w:r>
      <w:r w:rsidRPr="00565516">
        <w:rPr>
          <w:szCs w:val="22"/>
        </w:rPr>
        <w:t>through</w:t>
      </w:r>
      <w:r w:rsidRPr="00281F65">
        <w:rPr>
          <w:szCs w:val="22"/>
        </w:rPr>
        <w:t xml:space="preserve"> the </w:t>
      </w:r>
      <w:r w:rsidRPr="00CD5383">
        <w:rPr>
          <w:szCs w:val="22"/>
        </w:rPr>
        <w:t>Special Voluntary Trust Fund (BZ),</w:t>
      </w:r>
      <w:r w:rsidRPr="00281F65">
        <w:rPr>
          <w:szCs w:val="22"/>
        </w:rPr>
        <w:t xml:space="preserve"> </w:t>
      </w:r>
      <w:r>
        <w:rPr>
          <w:szCs w:val="22"/>
        </w:rPr>
        <w:t>where</w:t>
      </w:r>
      <w:r w:rsidRPr="00281F65">
        <w:rPr>
          <w:szCs w:val="22"/>
        </w:rPr>
        <w:t xml:space="preserve"> applicable; </w:t>
      </w:r>
    </w:p>
    <w:p w14:paraId="2D201FF6" w14:textId="77777777" w:rsidR="00FE6115" w:rsidRPr="0000011D" w:rsidRDefault="00FE6115" w:rsidP="00737611">
      <w:pPr>
        <w:suppressLineNumbers/>
        <w:suppressAutoHyphens/>
        <w:kinsoku w:val="0"/>
        <w:overflowPunct w:val="0"/>
        <w:autoSpaceDE w:val="0"/>
        <w:autoSpaceDN w:val="0"/>
        <w:spacing w:before="120" w:after="120"/>
        <w:ind w:firstLine="720"/>
        <w:rPr>
          <w:kern w:val="22"/>
          <w:szCs w:val="22"/>
        </w:rPr>
      </w:pPr>
      <w:r w:rsidRPr="0000011D">
        <w:rPr>
          <w:kern w:val="22"/>
          <w:szCs w:val="22"/>
        </w:rPr>
        <w:t>1</w:t>
      </w:r>
      <w:r>
        <w:rPr>
          <w:kern w:val="22"/>
          <w:szCs w:val="22"/>
        </w:rPr>
        <w:t>2</w:t>
      </w:r>
      <w:r w:rsidRPr="0000011D">
        <w:rPr>
          <w:kern w:val="22"/>
          <w:szCs w:val="22"/>
        </w:rPr>
        <w:t>.</w:t>
      </w:r>
      <w:r w:rsidRPr="0000011D">
        <w:rPr>
          <w:kern w:val="22"/>
          <w:szCs w:val="22"/>
        </w:rPr>
        <w:tab/>
      </w:r>
      <w:r>
        <w:rPr>
          <w:i/>
          <w:iCs/>
          <w:kern w:val="22"/>
          <w:szCs w:val="22"/>
        </w:rPr>
        <w:t>I</w:t>
      </w:r>
      <w:r w:rsidRPr="0000011D">
        <w:rPr>
          <w:i/>
          <w:iCs/>
          <w:kern w:val="22"/>
          <w:szCs w:val="22"/>
        </w:rPr>
        <w:t xml:space="preserve">nvites </w:t>
      </w:r>
      <w:r w:rsidRPr="0000011D">
        <w:rPr>
          <w:kern w:val="22"/>
          <w:szCs w:val="22"/>
        </w:rPr>
        <w:t>Parties, and relevant public and private entities,</w:t>
      </w:r>
      <w:r>
        <w:rPr>
          <w:kern w:val="22"/>
          <w:szCs w:val="22"/>
        </w:rPr>
        <w:t xml:space="preserve"> </w:t>
      </w:r>
      <w:r w:rsidRPr="0000011D">
        <w:rPr>
          <w:kern w:val="22"/>
          <w:szCs w:val="22"/>
        </w:rPr>
        <w:t>to increase the gender responsiveness</w:t>
      </w:r>
      <w:r>
        <w:rPr>
          <w:kern w:val="22"/>
          <w:szCs w:val="22"/>
        </w:rPr>
        <w:t xml:space="preserve"> </w:t>
      </w:r>
      <w:r w:rsidRPr="0000011D">
        <w:rPr>
          <w:kern w:val="22"/>
          <w:szCs w:val="22"/>
        </w:rPr>
        <w:t xml:space="preserve">of biodiversity capacity-building </w:t>
      </w:r>
      <w:r w:rsidRPr="00DE393E">
        <w:rPr>
          <w:kern w:val="22"/>
          <w:szCs w:val="22"/>
        </w:rPr>
        <w:t>and development</w:t>
      </w:r>
      <w:r>
        <w:rPr>
          <w:kern w:val="22"/>
          <w:szCs w:val="22"/>
        </w:rPr>
        <w:t xml:space="preserve">, technical and scientific cooperation and </w:t>
      </w:r>
      <w:r w:rsidRPr="00DE393E">
        <w:rPr>
          <w:kern w:val="22"/>
          <w:szCs w:val="22"/>
        </w:rPr>
        <w:t>technology transfer,</w:t>
      </w:r>
      <w:r w:rsidRPr="0000011D">
        <w:rPr>
          <w:kern w:val="22"/>
          <w:szCs w:val="22"/>
        </w:rPr>
        <w:t xml:space="preserve"> provision of financial resources</w:t>
      </w:r>
      <w:r>
        <w:rPr>
          <w:kern w:val="22"/>
          <w:szCs w:val="22"/>
        </w:rPr>
        <w:t xml:space="preserve">, </w:t>
      </w:r>
      <w:r w:rsidRPr="0000011D">
        <w:rPr>
          <w:kern w:val="22"/>
          <w:szCs w:val="22"/>
        </w:rPr>
        <w:t xml:space="preserve">and other means of implementation, with </w:t>
      </w:r>
      <w:r w:rsidRPr="001D19D0">
        <w:rPr>
          <w:kern w:val="22"/>
          <w:szCs w:val="22"/>
        </w:rPr>
        <w:t>the aim of strengthening the support</w:t>
      </w:r>
      <w:r w:rsidRPr="0000011D">
        <w:rPr>
          <w:kern w:val="22"/>
          <w:szCs w:val="22"/>
        </w:rPr>
        <w:t xml:space="preserve"> for </w:t>
      </w:r>
      <w:r>
        <w:rPr>
          <w:kern w:val="22"/>
          <w:szCs w:val="22"/>
        </w:rPr>
        <w:t xml:space="preserve">the </w:t>
      </w:r>
      <w:r w:rsidRPr="0000011D">
        <w:rPr>
          <w:kern w:val="22"/>
          <w:szCs w:val="22"/>
        </w:rPr>
        <w:t>full and effective participation</w:t>
      </w:r>
      <w:r>
        <w:rPr>
          <w:kern w:val="22"/>
          <w:szCs w:val="22"/>
        </w:rPr>
        <w:t xml:space="preserve"> of </w:t>
      </w:r>
      <w:r w:rsidRPr="0000011D">
        <w:rPr>
          <w:kern w:val="22"/>
          <w:szCs w:val="22"/>
        </w:rPr>
        <w:t xml:space="preserve">women </w:t>
      </w:r>
      <w:r w:rsidRPr="00DE393E">
        <w:rPr>
          <w:kern w:val="22"/>
          <w:szCs w:val="22"/>
        </w:rPr>
        <w:t>and girl</w:t>
      </w:r>
      <w:r>
        <w:rPr>
          <w:kern w:val="22"/>
          <w:szCs w:val="22"/>
        </w:rPr>
        <w:t>s</w:t>
      </w:r>
      <w:r w:rsidRPr="0000011D">
        <w:rPr>
          <w:kern w:val="22"/>
          <w:szCs w:val="22"/>
        </w:rPr>
        <w:t>.</w:t>
      </w:r>
    </w:p>
    <w:p w14:paraId="1FF9FC80" w14:textId="77777777" w:rsidR="00FE6115" w:rsidRPr="006E07A1" w:rsidRDefault="00FE6115" w:rsidP="00790F2A">
      <w:pPr>
        <w:spacing w:before="120" w:after="120"/>
        <w:jc w:val="center"/>
        <w:rPr>
          <w:b/>
          <w:i/>
          <w:iCs/>
          <w:szCs w:val="22"/>
        </w:rPr>
      </w:pPr>
      <w:r w:rsidRPr="006E07A1">
        <w:rPr>
          <w:i/>
          <w:iCs/>
          <w:szCs w:val="22"/>
        </w:rPr>
        <w:t>Annex</w:t>
      </w:r>
    </w:p>
    <w:p w14:paraId="54588EF1" w14:textId="77777777" w:rsidR="00FE6115" w:rsidRPr="006E07A1" w:rsidRDefault="00FE6115" w:rsidP="00265970">
      <w:pPr>
        <w:spacing w:before="120" w:after="120"/>
        <w:jc w:val="center"/>
        <w:rPr>
          <w:rFonts w:eastAsia="Malgun Gothic"/>
          <w:b/>
          <w:bCs/>
          <w:szCs w:val="22"/>
        </w:rPr>
      </w:pPr>
      <w:r w:rsidRPr="006E07A1">
        <w:rPr>
          <w:b/>
          <w:bCs/>
          <w:szCs w:val="22"/>
        </w:rPr>
        <w:t>GENDER PLAN OF ACTION (2023-2030)</w:t>
      </w:r>
    </w:p>
    <w:p w14:paraId="6470A896" w14:textId="77777777" w:rsidR="00FE6115" w:rsidRPr="006E07A1" w:rsidRDefault="00FE6115" w:rsidP="003F10F8">
      <w:pPr>
        <w:keepNext/>
        <w:tabs>
          <w:tab w:val="left" w:pos="567"/>
        </w:tabs>
        <w:spacing w:before="120" w:after="120"/>
        <w:ind w:right="289"/>
        <w:jc w:val="center"/>
        <w:rPr>
          <w:b/>
          <w:bCs/>
          <w:snapToGrid w:val="0"/>
          <w:szCs w:val="22"/>
        </w:rPr>
      </w:pPr>
      <w:r w:rsidRPr="006E07A1">
        <w:rPr>
          <w:b/>
          <w:bCs/>
          <w:snapToGrid w:val="0"/>
          <w:szCs w:val="22"/>
        </w:rPr>
        <w:t>I.</w:t>
      </w:r>
      <w:r w:rsidRPr="006E07A1">
        <w:rPr>
          <w:b/>
          <w:bCs/>
          <w:snapToGrid w:val="0"/>
          <w:szCs w:val="22"/>
        </w:rPr>
        <w:tab/>
        <w:t>PURPOSE</w:t>
      </w:r>
    </w:p>
    <w:p w14:paraId="5100780E" w14:textId="2E212F19" w:rsidR="00FE6115" w:rsidRPr="006E07A1" w:rsidRDefault="00FE6115" w:rsidP="00737611">
      <w:pPr>
        <w:pStyle w:val="Para1"/>
        <w:suppressLineNumbers/>
        <w:shd w:val="clear" w:color="auto" w:fill="FFFFFF" w:themeFill="background1"/>
        <w:tabs>
          <w:tab w:val="left" w:pos="0"/>
        </w:tabs>
        <w:suppressAutoHyphens/>
        <w:kinsoku w:val="0"/>
        <w:adjustRightInd w:val="0"/>
        <w:rPr>
          <w:rFonts w:eastAsia="Malgun Gothic"/>
        </w:rPr>
      </w:pPr>
      <w:r w:rsidRPr="006E07A1">
        <w:t xml:space="preserve">The purpose of the </w:t>
      </w:r>
      <w:r>
        <w:t>G</w:t>
      </w:r>
      <w:r w:rsidRPr="006E07A1">
        <w:t xml:space="preserve">ender </w:t>
      </w:r>
      <w:r>
        <w:t>P</w:t>
      </w:r>
      <w:r w:rsidRPr="006E07A1">
        <w:t xml:space="preserve">lan of </w:t>
      </w:r>
      <w:r>
        <w:t>A</w:t>
      </w:r>
      <w:r w:rsidRPr="006E07A1">
        <w:t>ction is to support and promote the gender responsive</w:t>
      </w:r>
      <w:r w:rsidRPr="006E07A1">
        <w:rPr>
          <w:strike/>
        </w:rPr>
        <w:t xml:space="preserve"> </w:t>
      </w:r>
      <w:r w:rsidRPr="006E07A1">
        <w:t xml:space="preserve">implementation of the </w:t>
      </w:r>
      <w:r>
        <w:t>Kunming-Montreal</w:t>
      </w:r>
      <w:r w:rsidRPr="006E07A1">
        <w:t xml:space="preserve"> </w:t>
      </w:r>
      <w:r>
        <w:t>G</w:t>
      </w:r>
      <w:r w:rsidRPr="006E07A1">
        <w:t xml:space="preserve">lobal </w:t>
      </w:r>
      <w:r>
        <w:t>B</w:t>
      </w:r>
      <w:r w:rsidRPr="006E07A1">
        <w:t xml:space="preserve">iodiversity </w:t>
      </w:r>
      <w:r>
        <w:t>F</w:t>
      </w:r>
      <w:r w:rsidRPr="006E07A1">
        <w:t xml:space="preserve">ramework. The </w:t>
      </w:r>
      <w:r>
        <w:t>P</w:t>
      </w:r>
      <w:r w:rsidRPr="006E07A1">
        <w:t xml:space="preserve">lan </w:t>
      </w:r>
      <w:r>
        <w:t xml:space="preserve">of Action </w:t>
      </w:r>
      <w:r w:rsidRPr="006E07A1">
        <w:t xml:space="preserve">will also support a gender responsive approach to applying the implementation mechanisms associated with the </w:t>
      </w:r>
      <w:r>
        <w:t>F</w:t>
      </w:r>
      <w:r w:rsidRPr="006E07A1">
        <w:t>ramework.</w:t>
      </w:r>
    </w:p>
    <w:p w14:paraId="1A0A8AB4" w14:textId="77777777" w:rsidR="00FE6115" w:rsidRPr="006E07A1" w:rsidRDefault="00FE6115" w:rsidP="003F10F8">
      <w:pPr>
        <w:keepNext/>
        <w:tabs>
          <w:tab w:val="left" w:pos="567"/>
        </w:tabs>
        <w:spacing w:before="120" w:after="120"/>
        <w:ind w:right="289"/>
        <w:jc w:val="center"/>
        <w:rPr>
          <w:b/>
          <w:bCs/>
          <w:snapToGrid w:val="0"/>
          <w:szCs w:val="22"/>
        </w:rPr>
      </w:pPr>
      <w:r w:rsidRPr="006E07A1">
        <w:rPr>
          <w:b/>
          <w:bCs/>
          <w:snapToGrid w:val="0"/>
          <w:szCs w:val="22"/>
        </w:rPr>
        <w:t>II.</w:t>
      </w:r>
      <w:r w:rsidRPr="006E07A1">
        <w:rPr>
          <w:b/>
          <w:bCs/>
          <w:snapToGrid w:val="0"/>
          <w:szCs w:val="22"/>
        </w:rPr>
        <w:tab/>
        <w:t>MODALITIES</w:t>
      </w:r>
    </w:p>
    <w:p w14:paraId="2177D829" w14:textId="7A24F171" w:rsidR="00FE6115" w:rsidRPr="006E07A1" w:rsidRDefault="00FE6115" w:rsidP="00737611">
      <w:pPr>
        <w:pStyle w:val="Para1"/>
        <w:suppressLineNumbers/>
        <w:shd w:val="clear" w:color="auto" w:fill="FFFFFF" w:themeFill="background1"/>
        <w:tabs>
          <w:tab w:val="left" w:pos="0"/>
        </w:tabs>
        <w:suppressAutoHyphens/>
        <w:kinsoku w:val="0"/>
        <w:adjustRightInd w:val="0"/>
      </w:pPr>
      <w:r w:rsidRPr="006E07A1">
        <w:rPr>
          <w:rFonts w:eastAsiaTheme="minorHAnsi"/>
        </w:rPr>
        <w:t xml:space="preserve">The implementation of the </w:t>
      </w:r>
      <w:r>
        <w:rPr>
          <w:rFonts w:eastAsiaTheme="minorHAnsi"/>
        </w:rPr>
        <w:t>G</w:t>
      </w:r>
      <w:r w:rsidRPr="006E07A1">
        <w:rPr>
          <w:rFonts w:eastAsiaTheme="minorHAnsi"/>
        </w:rPr>
        <w:t xml:space="preserve">ender </w:t>
      </w:r>
      <w:r>
        <w:rPr>
          <w:rFonts w:eastAsiaTheme="minorHAnsi"/>
        </w:rPr>
        <w:t>P</w:t>
      </w:r>
      <w:r w:rsidRPr="006E07A1">
        <w:rPr>
          <w:rFonts w:eastAsiaTheme="minorHAnsi"/>
        </w:rPr>
        <w:t xml:space="preserve">lan of </w:t>
      </w:r>
      <w:r>
        <w:rPr>
          <w:rFonts w:eastAsiaTheme="minorHAnsi"/>
        </w:rPr>
        <w:t>A</w:t>
      </w:r>
      <w:r w:rsidRPr="006E07A1">
        <w:rPr>
          <w:rFonts w:eastAsiaTheme="minorHAnsi"/>
        </w:rPr>
        <w:t>ction and its proposed expected outcomes, objectives, and actions,</w:t>
      </w:r>
      <w:r w:rsidRPr="00610646">
        <w:rPr>
          <w:rStyle w:val="FootnoteReference"/>
          <w:rFonts w:eastAsiaTheme="minorHAnsi"/>
        </w:rPr>
        <w:footnoteReference w:id="119"/>
      </w:r>
      <w:r w:rsidRPr="006E07A1">
        <w:rPr>
          <w:rFonts w:eastAsiaTheme="minorHAnsi"/>
        </w:rPr>
        <w:t xml:space="preserve"> are based on the following modalities:</w:t>
      </w:r>
    </w:p>
    <w:p w14:paraId="0DAC5C4A" w14:textId="77777777" w:rsidR="00FE6115" w:rsidRPr="006E07A1" w:rsidRDefault="00FE6115" w:rsidP="003F10F8">
      <w:pPr>
        <w:pStyle w:val="Para1"/>
        <w:numPr>
          <w:ilvl w:val="0"/>
          <w:numId w:val="0"/>
        </w:numPr>
        <w:suppressLineNumbers/>
        <w:suppressAutoHyphens/>
        <w:kinsoku w:val="0"/>
        <w:adjustRightInd w:val="0"/>
        <w:ind w:firstLine="709"/>
        <w:rPr>
          <w:rFonts w:eastAsiaTheme="minorHAnsi"/>
          <w:b/>
          <w:bCs/>
        </w:rPr>
      </w:pPr>
      <w:r w:rsidRPr="006E07A1">
        <w:rPr>
          <w:rFonts w:eastAsiaTheme="minorHAnsi"/>
        </w:rPr>
        <w:t>(a)</w:t>
      </w:r>
      <w:r w:rsidRPr="006E07A1">
        <w:rPr>
          <w:rFonts w:eastAsiaTheme="minorHAnsi"/>
        </w:rPr>
        <w:tab/>
        <w:t xml:space="preserve">Maximizing synergies between gender equality and the conservation, sustainable use and the fair and equitable sharing of benefits arising </w:t>
      </w:r>
      <w:r>
        <w:rPr>
          <w:rFonts w:eastAsiaTheme="minorHAnsi"/>
        </w:rPr>
        <w:t>from</w:t>
      </w:r>
      <w:r w:rsidRPr="006E07A1">
        <w:rPr>
          <w:rFonts w:eastAsiaTheme="minorHAnsi"/>
        </w:rPr>
        <w:t xml:space="preserve"> the utilization of genetic resources</w:t>
      </w:r>
      <w:r>
        <w:rPr>
          <w:rFonts w:eastAsiaTheme="minorHAnsi"/>
        </w:rPr>
        <w:t>,</w:t>
      </w:r>
      <w:r w:rsidRPr="006E07A1">
        <w:rPr>
          <w:rFonts w:eastAsiaTheme="minorHAnsi"/>
          <w:b/>
          <w:bCs/>
        </w:rPr>
        <w:t xml:space="preserve"> </w:t>
      </w:r>
      <w:r w:rsidRPr="006E07A1">
        <w:rPr>
          <w:rFonts w:eastAsiaTheme="minorHAnsi"/>
        </w:rPr>
        <w:t>considering</w:t>
      </w:r>
      <w:r w:rsidRPr="006E07A1">
        <w:rPr>
          <w:rFonts w:eastAsiaTheme="minorHAnsi"/>
          <w:b/>
          <w:bCs/>
        </w:rPr>
        <w:t xml:space="preserve"> </w:t>
      </w:r>
      <w:r w:rsidRPr="006E07A1">
        <w:rPr>
          <w:rFonts w:eastAsiaTheme="minorHAnsi"/>
        </w:rPr>
        <w:t>also the consequences of climate change and land and sea</w:t>
      </w:r>
      <w:r w:rsidRPr="006E07A1">
        <w:rPr>
          <w:rFonts w:eastAsiaTheme="minorHAnsi"/>
        </w:rPr>
        <w:noBreakHyphen/>
        <w:t xml:space="preserve">use change as drivers of biodiversity loss. </w:t>
      </w:r>
      <w:r w:rsidRPr="006E07A1">
        <w:t xml:space="preserve">Recognizing the links between gender equality and key environmental concerns, the implementation of the </w:t>
      </w:r>
      <w:r>
        <w:t>G</w:t>
      </w:r>
      <w:r w:rsidRPr="006E07A1">
        <w:t xml:space="preserve">ender </w:t>
      </w:r>
      <w:r>
        <w:t>P</w:t>
      </w:r>
      <w:r w:rsidRPr="006E07A1">
        <w:t xml:space="preserve">lan of </w:t>
      </w:r>
      <w:r>
        <w:t>A</w:t>
      </w:r>
      <w:r w:rsidRPr="006E07A1">
        <w:t xml:space="preserve">ction aims to mainstream gender equality and contribute to maximizing synergies between these areas, towards meeting shared objectives and supporting the implementation of the </w:t>
      </w:r>
      <w:r>
        <w:t>Kunming</w:t>
      </w:r>
      <w:r>
        <w:noBreakHyphen/>
        <w:t>Montreal</w:t>
      </w:r>
      <w:r w:rsidRPr="006A227D">
        <w:t xml:space="preserve"> </w:t>
      </w:r>
      <w:r>
        <w:t>G</w:t>
      </w:r>
      <w:r w:rsidRPr="006E07A1">
        <w:t xml:space="preserve">lobal </w:t>
      </w:r>
      <w:r>
        <w:t>B</w:t>
      </w:r>
      <w:r w:rsidRPr="006E07A1">
        <w:t xml:space="preserve">iodiversity </w:t>
      </w:r>
      <w:r>
        <w:t>F</w:t>
      </w:r>
      <w:r w:rsidRPr="006E07A1">
        <w:t>ramework;</w:t>
      </w:r>
    </w:p>
    <w:p w14:paraId="285D299F" w14:textId="77777777" w:rsidR="00FE6115" w:rsidRPr="006E07A1" w:rsidRDefault="00FE6115" w:rsidP="003F10F8">
      <w:pPr>
        <w:pStyle w:val="Para1"/>
        <w:numPr>
          <w:ilvl w:val="0"/>
          <w:numId w:val="0"/>
        </w:numPr>
        <w:suppressLineNumbers/>
        <w:suppressAutoHyphens/>
        <w:kinsoku w:val="0"/>
        <w:adjustRightInd w:val="0"/>
        <w:ind w:firstLine="709"/>
      </w:pPr>
      <w:r w:rsidRPr="006E07A1">
        <w:t xml:space="preserve">(b) </w:t>
      </w:r>
      <w:r w:rsidRPr="006E07A1">
        <w:tab/>
        <w:t xml:space="preserve">Ensuring coherence and coordination with the 2030 Agenda for Sustainable Development. The 2030 Agenda for Sustainable Development and its Sustainable Development Goals include gender equality as both a standalone goal and critical cross-cutting component, and emphasize the indivisibility of the different goals and targets. The </w:t>
      </w:r>
      <w:r>
        <w:t>G</w:t>
      </w:r>
      <w:r w:rsidRPr="006E07A1">
        <w:t xml:space="preserve">ender </w:t>
      </w:r>
      <w:r>
        <w:t>P</w:t>
      </w:r>
      <w:r w:rsidRPr="006E07A1">
        <w:t xml:space="preserve">lan of </w:t>
      </w:r>
      <w:r>
        <w:t>A</w:t>
      </w:r>
      <w:r w:rsidRPr="006E07A1">
        <w:t xml:space="preserve">ction is intended to complement and support the implementation of the different Sustainable Development Goals, in line with the biodiversity agenda and the implementation of the </w:t>
      </w:r>
      <w:r>
        <w:t>Kunming-Montreal</w:t>
      </w:r>
      <w:r w:rsidRPr="006A227D">
        <w:t xml:space="preserve"> </w:t>
      </w:r>
      <w:r>
        <w:t>G</w:t>
      </w:r>
      <w:r w:rsidRPr="006E07A1">
        <w:t xml:space="preserve">lobal </w:t>
      </w:r>
      <w:r>
        <w:t>B</w:t>
      </w:r>
      <w:r w:rsidRPr="006E07A1">
        <w:t xml:space="preserve">iodiversity </w:t>
      </w:r>
      <w:r>
        <w:t>F</w:t>
      </w:r>
      <w:r w:rsidRPr="006E07A1">
        <w:t xml:space="preserve">ramework;  </w:t>
      </w:r>
    </w:p>
    <w:p w14:paraId="19128F15" w14:textId="77777777" w:rsidR="00FE6115" w:rsidRPr="006E07A1" w:rsidRDefault="00FE6115" w:rsidP="003F10F8">
      <w:pPr>
        <w:pStyle w:val="Para1"/>
        <w:numPr>
          <w:ilvl w:val="0"/>
          <w:numId w:val="0"/>
        </w:numPr>
        <w:ind w:firstLine="709"/>
      </w:pPr>
      <w:r w:rsidRPr="006E07A1">
        <w:t>(c)</w:t>
      </w:r>
      <w:r w:rsidRPr="006E07A1">
        <w:tab/>
        <w:t xml:space="preserve">Applying a human rights-based approach to advancing gender equality in the conservation and sustainable use of biodiversity and the fair and equitable sharing of benefits arising </w:t>
      </w:r>
      <w:r>
        <w:t>from</w:t>
      </w:r>
      <w:r w:rsidRPr="006E07A1">
        <w:t xml:space="preserve"> the utilization of genetic resources, and noting that </w:t>
      </w:r>
      <w:r>
        <w:t>r</w:t>
      </w:r>
      <w:r w:rsidRPr="006E07A1">
        <w:t xml:space="preserve">esolution A/RES/76/300 adopted by the United Nations General Assembly </w:t>
      </w:r>
      <w:r w:rsidRPr="006E07A1">
        <w:rPr>
          <w:iCs/>
        </w:rPr>
        <w:t>recognized</w:t>
      </w:r>
      <w:r w:rsidRPr="006E07A1">
        <w:rPr>
          <w:i/>
          <w:iCs/>
        </w:rPr>
        <w:t xml:space="preserve"> </w:t>
      </w:r>
      <w:r w:rsidRPr="006E07A1">
        <w:t>the right to a clean, healthy and sustainable environment as a human right. International human rights instruments and mechanisms, including the Convention for the Elimination of All Forms of Discrimination Against Women</w:t>
      </w:r>
      <w:r>
        <w:t>,</w:t>
      </w:r>
      <w:r w:rsidRPr="006E07A1">
        <w:t xml:space="preserve"> and the committee of experts it establishes, offer critical guidance for gender responsive environmental action that benefits both people and planet;</w:t>
      </w:r>
    </w:p>
    <w:p w14:paraId="7807D5B1" w14:textId="77777777" w:rsidR="00FE6115" w:rsidRPr="006E07A1" w:rsidRDefault="00FE6115" w:rsidP="003F10F8">
      <w:pPr>
        <w:pStyle w:val="Para1"/>
        <w:numPr>
          <w:ilvl w:val="0"/>
          <w:numId w:val="0"/>
        </w:numPr>
        <w:suppressLineNumbers/>
        <w:suppressAutoHyphens/>
        <w:kinsoku w:val="0"/>
        <w:adjustRightInd w:val="0"/>
        <w:ind w:firstLine="709"/>
      </w:pPr>
      <w:r w:rsidRPr="006E07A1">
        <w:t>(d)</w:t>
      </w:r>
      <w:r w:rsidRPr="006E07A1">
        <w:tab/>
        <w:t>Addressing the intersecting ways in which gender inequalities may be amplified for all women and girls. Women and men</w:t>
      </w:r>
      <w:r>
        <w:t>,</w:t>
      </w:r>
      <w:r w:rsidRPr="006E07A1">
        <w:t xml:space="preserve"> and boys and girls around the world experience marginalization in different, multiple and intersecting ways depending on their ethnicity, social status, caste, age, and environment, among other factors. Recognizing the structural barriers and power imbalances that hamper inclusiveness of the whole of society, the implementation of the </w:t>
      </w:r>
      <w:r>
        <w:t>G</w:t>
      </w:r>
      <w:r w:rsidRPr="006E07A1">
        <w:t xml:space="preserve">ender </w:t>
      </w:r>
      <w:r>
        <w:t>P</w:t>
      </w:r>
      <w:r w:rsidRPr="006E07A1">
        <w:t xml:space="preserve">lan of </w:t>
      </w:r>
      <w:r>
        <w:t>A</w:t>
      </w:r>
      <w:r w:rsidRPr="006E07A1">
        <w:t xml:space="preserve">ction will take an intersectional approach, prioritizing the needs and interests of all women and girls, with particular attention </w:t>
      </w:r>
      <w:r w:rsidRPr="006E07A1">
        <w:lastRenderedPageBreak/>
        <w:t xml:space="preserve">to those facing all forms of discrimination. The implementation of the </w:t>
      </w:r>
      <w:r>
        <w:t>G</w:t>
      </w:r>
      <w:r w:rsidRPr="006E07A1">
        <w:t xml:space="preserve">ender </w:t>
      </w:r>
      <w:r>
        <w:t>P</w:t>
      </w:r>
      <w:r w:rsidRPr="006E07A1">
        <w:t xml:space="preserve">lan of </w:t>
      </w:r>
      <w:r>
        <w:t>A</w:t>
      </w:r>
      <w:r w:rsidRPr="006E07A1">
        <w:t>ction will also seek to ensure the engagement of men and boys, to ensure a collaborative and supportive approach towards achieving gender equality in the conservation and sustainable use of biodiversity and the fair and equitable sharing of benefits arising out of the utilization of genetic resources;</w:t>
      </w:r>
    </w:p>
    <w:p w14:paraId="5F9DE8ED" w14:textId="77777777" w:rsidR="00FE6115" w:rsidRPr="006E07A1" w:rsidRDefault="00FE6115" w:rsidP="003F10F8">
      <w:pPr>
        <w:pStyle w:val="Para1"/>
        <w:numPr>
          <w:ilvl w:val="0"/>
          <w:numId w:val="0"/>
        </w:numPr>
        <w:suppressLineNumbers/>
        <w:suppressAutoHyphens/>
        <w:kinsoku w:val="0"/>
        <w:adjustRightInd w:val="0"/>
        <w:ind w:firstLine="709"/>
      </w:pPr>
      <w:r w:rsidRPr="006E07A1">
        <w:t>(e)</w:t>
      </w:r>
      <w:r w:rsidRPr="006E07A1">
        <w:tab/>
        <w:t>Ensuring meaningful and effective engagement and empowerment of women and girls from indigenous peoples and local communities. Indigenous women and girls</w:t>
      </w:r>
      <w:r>
        <w:t>,</w:t>
      </w:r>
      <w:r w:rsidRPr="006E07A1">
        <w:t xml:space="preserve"> and those from local communities</w:t>
      </w:r>
      <w:r>
        <w:t>,</w:t>
      </w:r>
      <w:r w:rsidRPr="006E07A1">
        <w:t xml:space="preserve"> are integrally involved in the conservation and sustainable use of biodiversity, and yet continue to face discrimination and remain marginalized in decision-making processes, access and ownership over resources including land. As such, it is proposed that implementation of the </w:t>
      </w:r>
      <w:r>
        <w:t>G</w:t>
      </w:r>
      <w:r w:rsidRPr="006E07A1">
        <w:t xml:space="preserve">ender </w:t>
      </w:r>
      <w:r>
        <w:t>P</w:t>
      </w:r>
      <w:r w:rsidRPr="006E07A1">
        <w:t xml:space="preserve">lan of </w:t>
      </w:r>
      <w:r>
        <w:t>A</w:t>
      </w:r>
      <w:r w:rsidRPr="006E07A1">
        <w:t xml:space="preserve">ction include a focus on empowering and supporting the meaningful, informed and effective engagement of women and girls from indigenous peoples and local communities to address their rights, needs and interests, and to recognize and value their traditional knowledge, innovations, practices, technologies and cultures and their related rights in support of the conservation and sustainable use of biodiversity, and in the fair and equitable sharing of benefits. </w:t>
      </w:r>
    </w:p>
    <w:p w14:paraId="47FDAF3A" w14:textId="12342914" w:rsidR="00FE6115" w:rsidRPr="006E07A1" w:rsidRDefault="00FE6115" w:rsidP="00737611">
      <w:pPr>
        <w:pStyle w:val="Para1"/>
        <w:suppressLineNumbers/>
        <w:suppressAutoHyphens/>
        <w:kinsoku w:val="0"/>
        <w:adjustRightInd w:val="0"/>
        <w:ind w:firstLine="16"/>
      </w:pPr>
      <w:r w:rsidRPr="006E07A1">
        <w:t xml:space="preserve">The </w:t>
      </w:r>
      <w:r>
        <w:t>G</w:t>
      </w:r>
      <w:r w:rsidRPr="006E07A1">
        <w:t xml:space="preserve">ender </w:t>
      </w:r>
      <w:r>
        <w:t>P</w:t>
      </w:r>
      <w:r w:rsidRPr="006E07A1">
        <w:t xml:space="preserve">lan of </w:t>
      </w:r>
      <w:r>
        <w:t>A</w:t>
      </w:r>
      <w:r w:rsidRPr="006E07A1">
        <w:t>ction includes a focus on supporting the effective engagement of women and girls from indigenous peoples and local communities, and those facing all forms of discrimination, in all actions.  The references to “women and girls” in the expected outcomes, objectives and actions should thus be understood to include all women and girls, including from indigenous peoples and local communities and those facing all forms of discrimination. When consulting women and girls from indigenous peoples and local communities</w:t>
      </w:r>
      <w:r>
        <w:t>,</w:t>
      </w:r>
      <w:r w:rsidRPr="006E07A1">
        <w:t xml:space="preserve"> it should be done under the principle of free, prior and informed consent.</w:t>
      </w:r>
    </w:p>
    <w:p w14:paraId="6A3829D2" w14:textId="77777777" w:rsidR="00FE6115" w:rsidRPr="006E07A1" w:rsidRDefault="00FE6115" w:rsidP="00F758A6">
      <w:pPr>
        <w:keepNext/>
        <w:tabs>
          <w:tab w:val="left" w:pos="567"/>
        </w:tabs>
        <w:spacing w:before="120" w:after="120"/>
        <w:ind w:right="289"/>
        <w:jc w:val="center"/>
        <w:rPr>
          <w:b/>
          <w:bCs/>
          <w:snapToGrid w:val="0"/>
          <w:szCs w:val="22"/>
        </w:rPr>
      </w:pPr>
      <w:r w:rsidRPr="006E07A1">
        <w:rPr>
          <w:b/>
          <w:bCs/>
          <w:snapToGrid w:val="0"/>
          <w:szCs w:val="22"/>
        </w:rPr>
        <w:t>III.</w:t>
      </w:r>
      <w:r w:rsidRPr="006E07A1">
        <w:rPr>
          <w:b/>
          <w:bCs/>
          <w:snapToGrid w:val="0"/>
          <w:szCs w:val="22"/>
        </w:rPr>
        <w:tab/>
        <w:t>EXPECTED OUTCOMES AND OBJECTIVES</w:t>
      </w:r>
    </w:p>
    <w:p w14:paraId="07A950C2" w14:textId="23F6B7E8" w:rsidR="00FE6115" w:rsidRPr="006E07A1" w:rsidRDefault="00FE6115" w:rsidP="00737611">
      <w:pPr>
        <w:pStyle w:val="Para1"/>
        <w:suppressLineNumbers/>
        <w:shd w:val="clear" w:color="auto" w:fill="FFFFFF" w:themeFill="background1"/>
        <w:tabs>
          <w:tab w:val="left" w:pos="0"/>
        </w:tabs>
        <w:suppressAutoHyphens/>
        <w:kinsoku w:val="0"/>
        <w:adjustRightInd w:val="0"/>
        <w:rPr>
          <w:rFonts w:eastAsia="Malgun Gothic"/>
        </w:rPr>
      </w:pPr>
      <w:r w:rsidRPr="006E07A1">
        <w:rPr>
          <w:rFonts w:eastAsia="Malgun Gothic"/>
        </w:rPr>
        <w:t xml:space="preserve">The </w:t>
      </w:r>
      <w:r>
        <w:rPr>
          <w:rFonts w:eastAsia="Malgun Gothic"/>
        </w:rPr>
        <w:t>G</w:t>
      </w:r>
      <w:r w:rsidRPr="006E07A1">
        <w:rPr>
          <w:rFonts w:eastAsia="Malgun Gothic"/>
        </w:rPr>
        <w:t xml:space="preserve">ender </w:t>
      </w:r>
      <w:r>
        <w:rPr>
          <w:rFonts w:eastAsia="Malgun Gothic"/>
        </w:rPr>
        <w:t>P</w:t>
      </w:r>
      <w:r w:rsidRPr="006E07A1">
        <w:rPr>
          <w:rFonts w:eastAsia="Malgun Gothic"/>
        </w:rPr>
        <w:t xml:space="preserve">lan of </w:t>
      </w:r>
      <w:r>
        <w:rPr>
          <w:rFonts w:eastAsia="Malgun Gothic"/>
        </w:rPr>
        <w:t>A</w:t>
      </w:r>
      <w:r w:rsidRPr="006E07A1">
        <w:rPr>
          <w:rFonts w:eastAsia="Malgun Gothic"/>
        </w:rPr>
        <w:t xml:space="preserve">ction contains three expected outcomes, under which are grouped a series of indicative objectives and actions and associated deliverables and timelines, as provided in the table below. The expected outcomes, objectives and actions of the </w:t>
      </w:r>
      <w:r>
        <w:rPr>
          <w:rFonts w:eastAsia="Malgun Gothic"/>
        </w:rPr>
        <w:t>P</w:t>
      </w:r>
      <w:r w:rsidRPr="006E07A1">
        <w:rPr>
          <w:rFonts w:eastAsia="Malgun Gothic"/>
        </w:rPr>
        <w:t xml:space="preserve">lan of </w:t>
      </w:r>
      <w:r>
        <w:rPr>
          <w:rFonts w:eastAsia="Malgun Gothic"/>
        </w:rPr>
        <w:t>A</w:t>
      </w:r>
      <w:r w:rsidRPr="006E07A1">
        <w:rPr>
          <w:rFonts w:eastAsia="Malgun Gothic"/>
        </w:rPr>
        <w:t xml:space="preserve">ction are put forward with the aim of supporting the achievement of all the goals and targets of the </w:t>
      </w:r>
      <w:r>
        <w:t>Kunming-Montreal</w:t>
      </w:r>
      <w:r w:rsidRPr="006A227D">
        <w:t xml:space="preserve"> </w:t>
      </w:r>
      <w:r>
        <w:rPr>
          <w:rFonts w:eastAsia="Malgun Gothic"/>
        </w:rPr>
        <w:t>G</w:t>
      </w:r>
      <w:r w:rsidRPr="006E07A1">
        <w:rPr>
          <w:rFonts w:eastAsia="Malgun Gothic"/>
        </w:rPr>
        <w:t xml:space="preserve">lobal </w:t>
      </w:r>
      <w:r>
        <w:rPr>
          <w:rFonts w:eastAsia="Malgun Gothic"/>
        </w:rPr>
        <w:t>B</w:t>
      </w:r>
      <w:r w:rsidRPr="006E07A1">
        <w:rPr>
          <w:rFonts w:eastAsia="Malgun Gothic"/>
        </w:rPr>
        <w:t xml:space="preserve">iodiversity </w:t>
      </w:r>
      <w:r>
        <w:rPr>
          <w:rFonts w:eastAsia="Malgun Gothic"/>
        </w:rPr>
        <w:t>F</w:t>
      </w:r>
      <w:r w:rsidRPr="006E07A1">
        <w:rPr>
          <w:rFonts w:eastAsia="Malgun Gothic"/>
        </w:rPr>
        <w:t>ramework in a gender responsive manner, recognizing that effective action on biodiversity requires all members of society to be fully engaged.</w:t>
      </w:r>
      <w:r w:rsidRPr="00610646">
        <w:rPr>
          <w:rStyle w:val="FootnoteReference"/>
          <w:rFonts w:eastAsia="Malgun Gothic"/>
        </w:rPr>
        <w:footnoteReference w:id="120"/>
      </w:r>
    </w:p>
    <w:p w14:paraId="058BD26F" w14:textId="61573F59" w:rsidR="00FE6115" w:rsidRPr="006E07A1" w:rsidRDefault="00FE6115" w:rsidP="00737611">
      <w:pPr>
        <w:pStyle w:val="Para1"/>
        <w:suppressLineNumbers/>
        <w:shd w:val="clear" w:color="auto" w:fill="FFFFFF" w:themeFill="background1"/>
        <w:tabs>
          <w:tab w:val="left" w:pos="0"/>
        </w:tabs>
        <w:suppressAutoHyphens/>
        <w:kinsoku w:val="0"/>
        <w:adjustRightInd w:val="0"/>
        <w:rPr>
          <w:rFonts w:eastAsia="Malgun Gothic"/>
        </w:rPr>
      </w:pPr>
      <w:r w:rsidRPr="006E07A1">
        <w:rPr>
          <w:rFonts w:eastAsia="Malgun Gothic"/>
        </w:rPr>
        <w:t>The indicative actions are intended to guide efforts to achieve the objectives of the plan, through a variety of measures directed at developing capacity and knowledge, preparing and applying guidance and relevant recommendations, fostering engagement, and facilitating and strengthening financing, among others. These actions are proposed as areas for which particular attention is needed, recognizing that other actions may be required both to complement and further define the efforts to achieve the associated objectives at national, subnational, as well as regional and international levels. Possible deliverables and proposed timelines are put forward to guide the implementation of the different actions.</w:t>
      </w:r>
    </w:p>
    <w:p w14:paraId="6014A964" w14:textId="5B9FCC05" w:rsidR="00FE6115" w:rsidRDefault="00FE6115" w:rsidP="00737611">
      <w:pPr>
        <w:pStyle w:val="Para1"/>
        <w:suppressLineNumbers/>
        <w:shd w:val="clear" w:color="auto" w:fill="FFFFFF" w:themeFill="background1"/>
        <w:tabs>
          <w:tab w:val="left" w:pos="0"/>
        </w:tabs>
        <w:suppressAutoHyphens/>
        <w:kinsoku w:val="0"/>
        <w:adjustRightInd w:val="0"/>
      </w:pPr>
      <w:r w:rsidRPr="006E07A1">
        <w:rPr>
          <w:rFonts w:eastAsia="Malgun Gothic"/>
        </w:rPr>
        <w:t xml:space="preserve">The process for developing a gender plan of action is based on the understanding that all relevant actors have a role to play in implementing the Convention and supporting the objectives of gender mainstreaming. Taking a gender-responsive approach to the implementation of the </w:t>
      </w:r>
      <w:r>
        <w:t>Kunming-Montreal</w:t>
      </w:r>
      <w:r w:rsidRPr="006A227D">
        <w:t xml:space="preserve"> </w:t>
      </w:r>
      <w:r>
        <w:t>G</w:t>
      </w:r>
      <w:r w:rsidRPr="006A227D">
        <w:t xml:space="preserve">lobal </w:t>
      </w:r>
      <w:r>
        <w:t>B</w:t>
      </w:r>
      <w:r w:rsidRPr="006A227D">
        <w:t xml:space="preserve">iodiversity </w:t>
      </w:r>
      <w:r>
        <w:t>F</w:t>
      </w:r>
      <w:r w:rsidRPr="006A227D">
        <w:t>ramework</w:t>
      </w:r>
      <w:r w:rsidRPr="006E07A1">
        <w:rPr>
          <w:rFonts w:eastAsia="Malgun Gothic"/>
        </w:rPr>
        <w:t xml:space="preserve"> and </w:t>
      </w:r>
      <w:r>
        <w:rPr>
          <w:rFonts w:eastAsia="Malgun Gothic"/>
        </w:rPr>
        <w:t xml:space="preserve">of </w:t>
      </w:r>
      <w:r w:rsidRPr="006E07A1">
        <w:rPr>
          <w:rFonts w:eastAsia="Malgun Gothic"/>
        </w:rPr>
        <w:t>the Convention entails a participatory</w:t>
      </w:r>
      <w:r>
        <w:rPr>
          <w:rFonts w:eastAsia="Malgun Gothic"/>
        </w:rPr>
        <w:t xml:space="preserve"> and</w:t>
      </w:r>
      <w:r w:rsidRPr="006E07A1">
        <w:rPr>
          <w:rFonts w:eastAsia="Malgun Gothic"/>
        </w:rPr>
        <w:t xml:space="preserve"> inclusive process. As such, Parties, together with subnational </w:t>
      </w:r>
      <w:r w:rsidRPr="006E07A1">
        <w:t xml:space="preserve">governments, cities and other local authorities, international and United Nations system entities, indigenous peoples and local communities, women’s groups, youth, the private sector and other relevant stakeholders are invited to support the effective implementation of the </w:t>
      </w:r>
      <w:r>
        <w:t>Kunming-Montreal</w:t>
      </w:r>
      <w:r w:rsidRPr="006A227D">
        <w:t xml:space="preserve"> </w:t>
      </w:r>
      <w:r>
        <w:t>G</w:t>
      </w:r>
      <w:r w:rsidRPr="006E07A1">
        <w:t xml:space="preserve">lobal </w:t>
      </w:r>
      <w:r>
        <w:t>B</w:t>
      </w:r>
      <w:r w:rsidRPr="006E07A1">
        <w:t xml:space="preserve">iodiversity </w:t>
      </w:r>
      <w:r>
        <w:t>F</w:t>
      </w:r>
      <w:r w:rsidRPr="006E07A1">
        <w:t xml:space="preserve">ramework, including the </w:t>
      </w:r>
      <w:r>
        <w:t>G</w:t>
      </w:r>
      <w:r w:rsidRPr="006E07A1">
        <w:t xml:space="preserve">ender </w:t>
      </w:r>
      <w:r>
        <w:t>P</w:t>
      </w:r>
      <w:r w:rsidRPr="006E07A1">
        <w:t xml:space="preserve">lan of </w:t>
      </w:r>
      <w:r>
        <w:t>A</w:t>
      </w:r>
      <w:r w:rsidRPr="006E07A1">
        <w:t>ction.</w:t>
      </w:r>
    </w:p>
    <w:p w14:paraId="12B75602" w14:textId="77777777" w:rsidR="002305F2" w:rsidRPr="006E07A1" w:rsidRDefault="002305F2" w:rsidP="002305F2">
      <w:pPr>
        <w:pStyle w:val="Para1"/>
        <w:numPr>
          <w:ilvl w:val="0"/>
          <w:numId w:val="0"/>
        </w:numPr>
        <w:suppressLineNumbers/>
        <w:shd w:val="clear" w:color="auto" w:fill="FFFFFF" w:themeFill="background1"/>
        <w:tabs>
          <w:tab w:val="left" w:pos="0"/>
        </w:tabs>
        <w:suppressAutoHyphens/>
        <w:kinsoku w:val="0"/>
        <w:adjustRightInd w:val="0"/>
      </w:pPr>
    </w:p>
    <w:p w14:paraId="13B33C98" w14:textId="77777777" w:rsidR="00FE6115" w:rsidRPr="00187CE1" w:rsidRDefault="00FE6115" w:rsidP="00737611">
      <w:pPr>
        <w:pStyle w:val="Para1"/>
        <w:suppressLineNumbers/>
        <w:shd w:val="clear" w:color="auto" w:fill="FFFFFF" w:themeFill="background1"/>
        <w:tabs>
          <w:tab w:val="left" w:pos="0"/>
        </w:tabs>
        <w:suppressAutoHyphens/>
        <w:kinsoku w:val="0"/>
        <w:adjustRightInd w:val="0"/>
        <w:sectPr w:rsidR="00FE6115" w:rsidRPr="00187CE1" w:rsidSect="00410EE1">
          <w:headerReference w:type="even" r:id="rId28"/>
          <w:headerReference w:type="default" r:id="rId29"/>
          <w:footnotePr>
            <w:numRestart w:val="eachSect"/>
          </w:footnotePr>
          <w:pgSz w:w="12240" w:h="15840"/>
          <w:pgMar w:top="567" w:right="1440" w:bottom="1134" w:left="1440" w:header="709" w:footer="709" w:gutter="0"/>
          <w:cols w:space="708"/>
          <w:docGrid w:linePitch="360"/>
        </w:sectPr>
      </w:pPr>
    </w:p>
    <w:p w14:paraId="5E284FD6" w14:textId="77777777" w:rsidR="00FE6115" w:rsidRPr="006E07A1" w:rsidRDefault="00FE6115" w:rsidP="00982FED">
      <w:pPr>
        <w:keepNext/>
        <w:spacing w:before="120" w:after="120"/>
        <w:ind w:right="289"/>
        <w:jc w:val="center"/>
        <w:rPr>
          <w:b/>
          <w:bCs/>
          <w:snapToGrid w:val="0"/>
          <w:szCs w:val="22"/>
        </w:rPr>
      </w:pPr>
      <w:bookmarkStart w:id="141" w:name="_Toc118354974"/>
      <w:r w:rsidRPr="006E07A1">
        <w:rPr>
          <w:b/>
          <w:bCs/>
          <w:snapToGrid w:val="0"/>
          <w:szCs w:val="22"/>
        </w:rPr>
        <w:lastRenderedPageBreak/>
        <w:t>GENDER PLAN OF ACTION: OBJECTIVES, ACTIONS, DELIVERABLES, TIMELINES AND ACTORS</w:t>
      </w:r>
      <w:bookmarkEnd w:id="141"/>
    </w:p>
    <w:tbl>
      <w:tblPr>
        <w:tblStyle w:val="TableGrid1"/>
        <w:tblW w:w="4965" w:type="pct"/>
        <w:tblLayout w:type="fixed"/>
        <w:tblLook w:val="04A0" w:firstRow="1" w:lastRow="0" w:firstColumn="1" w:lastColumn="0" w:noHBand="0" w:noVBand="1"/>
      </w:tblPr>
      <w:tblGrid>
        <w:gridCol w:w="3258"/>
        <w:gridCol w:w="4394"/>
        <w:gridCol w:w="3117"/>
        <w:gridCol w:w="1276"/>
        <w:gridCol w:w="1985"/>
      </w:tblGrid>
      <w:tr w:rsidR="00FE6115" w:rsidRPr="00F26E42" w14:paraId="51902279" w14:textId="77777777" w:rsidTr="006E07A1">
        <w:trPr>
          <w:tblHeader/>
        </w:trPr>
        <w:tc>
          <w:tcPr>
            <w:tcW w:w="3257" w:type="dxa"/>
            <w:tcBorders>
              <w:top w:val="single" w:sz="12" w:space="0" w:color="auto"/>
            </w:tcBorders>
            <w:shd w:val="clear" w:color="auto" w:fill="D9D9D9" w:themeFill="background1" w:themeFillShade="D9"/>
          </w:tcPr>
          <w:p w14:paraId="4B8B9C8F" w14:textId="77777777" w:rsidR="00FE6115" w:rsidRPr="006E07A1" w:rsidRDefault="00FE6115"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Objectives</w:t>
            </w:r>
          </w:p>
        </w:tc>
        <w:tc>
          <w:tcPr>
            <w:tcW w:w="4394" w:type="dxa"/>
            <w:tcBorders>
              <w:top w:val="single" w:sz="12" w:space="0" w:color="auto"/>
            </w:tcBorders>
            <w:shd w:val="clear" w:color="auto" w:fill="D9D9D9" w:themeFill="background1" w:themeFillShade="D9"/>
          </w:tcPr>
          <w:p w14:paraId="4601EF4B" w14:textId="77777777" w:rsidR="00FE6115" w:rsidRPr="006E07A1" w:rsidRDefault="00FE6115"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Indicative actions</w:t>
            </w:r>
          </w:p>
        </w:tc>
        <w:tc>
          <w:tcPr>
            <w:tcW w:w="3117" w:type="dxa"/>
            <w:tcBorders>
              <w:top w:val="single" w:sz="12" w:space="0" w:color="auto"/>
            </w:tcBorders>
            <w:shd w:val="clear" w:color="auto" w:fill="D9D9D9" w:themeFill="background1" w:themeFillShade="D9"/>
          </w:tcPr>
          <w:p w14:paraId="5345E5D0" w14:textId="77777777" w:rsidR="00FE6115" w:rsidRPr="006E07A1" w:rsidRDefault="00FE6115" w:rsidP="005F0753">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Possible deliverables</w:t>
            </w:r>
          </w:p>
        </w:tc>
        <w:tc>
          <w:tcPr>
            <w:tcW w:w="1276" w:type="dxa"/>
            <w:tcBorders>
              <w:top w:val="single" w:sz="12" w:space="0" w:color="auto"/>
            </w:tcBorders>
            <w:shd w:val="clear" w:color="auto" w:fill="D9D9D9" w:themeFill="background1" w:themeFillShade="D9"/>
          </w:tcPr>
          <w:p w14:paraId="3B8E4709" w14:textId="77777777" w:rsidR="00FE6115" w:rsidRPr="006E07A1" w:rsidRDefault="00FE6115"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Proposed timelines</w:t>
            </w:r>
          </w:p>
        </w:tc>
        <w:tc>
          <w:tcPr>
            <w:tcW w:w="1985" w:type="dxa"/>
            <w:tcBorders>
              <w:top w:val="single" w:sz="12" w:space="0" w:color="auto"/>
            </w:tcBorders>
            <w:shd w:val="clear" w:color="auto" w:fill="D9D9D9" w:themeFill="background1" w:themeFillShade="D9"/>
          </w:tcPr>
          <w:p w14:paraId="5C480261" w14:textId="77777777" w:rsidR="00FE6115" w:rsidRPr="006E07A1" w:rsidRDefault="00FE6115" w:rsidP="006E07A1">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rPr>
            </w:pPr>
            <w:r w:rsidRPr="006E07A1">
              <w:rPr>
                <w:rFonts w:ascii="Times New Roman Bold" w:hAnsi="Times New Roman Bold" w:cs="Times New Roman Bold"/>
                <w:b/>
                <w:bCs/>
                <w:kern w:val="22"/>
                <w:szCs w:val="21"/>
              </w:rPr>
              <w:t>Responsible actors</w:t>
            </w:r>
          </w:p>
        </w:tc>
      </w:tr>
      <w:tr w:rsidR="00FE6115" w:rsidRPr="00187CE1" w14:paraId="5F2CEDB4" w14:textId="77777777" w:rsidTr="006E07A1">
        <w:trPr>
          <w:trHeight w:val="398"/>
        </w:trPr>
        <w:tc>
          <w:tcPr>
            <w:tcW w:w="14029" w:type="dxa"/>
            <w:gridSpan w:val="5"/>
          </w:tcPr>
          <w:p w14:paraId="218750A1" w14:textId="77777777" w:rsidR="00FE6115" w:rsidRPr="006E07A1" w:rsidRDefault="00FE6115" w:rsidP="005F0753">
            <w:pPr>
              <w:suppressLineNumbers/>
              <w:suppressAutoHyphens/>
              <w:kinsoku w:val="0"/>
              <w:overflowPunct w:val="0"/>
              <w:autoSpaceDE w:val="0"/>
              <w:autoSpaceDN w:val="0"/>
              <w:adjustRightInd w:val="0"/>
              <w:snapToGrid w:val="0"/>
              <w:rPr>
                <w:kern w:val="22"/>
              </w:rPr>
            </w:pPr>
            <w:r w:rsidRPr="006E07A1">
              <w:rPr>
                <w:b/>
                <w:bCs/>
                <w:kern w:val="22"/>
              </w:rPr>
              <w:t>Expected outcome 1</w:t>
            </w:r>
            <w:r w:rsidRPr="006E07A1">
              <w:rPr>
                <w:kern w:val="22"/>
              </w:rPr>
              <w:t>: All people in particular all women and girls, have equal opportunity and capacity to contribute to the three objectives of the Convention</w:t>
            </w:r>
          </w:p>
        </w:tc>
      </w:tr>
      <w:tr w:rsidR="00FE6115" w:rsidRPr="00187CE1" w14:paraId="562B72F1" w14:textId="77777777" w:rsidTr="006E07A1">
        <w:tc>
          <w:tcPr>
            <w:tcW w:w="3257" w:type="dxa"/>
            <w:vMerge w:val="restart"/>
          </w:tcPr>
          <w:p w14:paraId="59A7FB9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1.1 Increase all women and girls’ </w:t>
            </w:r>
            <w:r w:rsidRPr="006E07A1">
              <w:t>rights to ownership and control over land and access to natural resources and to water,</w:t>
            </w:r>
            <w:r w:rsidRPr="006E07A1">
              <w:rPr>
                <w:kern w:val="22"/>
              </w:rPr>
              <w:t xml:space="preserve"> to support the conservation and sustainable use of biodiversity</w:t>
            </w:r>
          </w:p>
          <w:p w14:paraId="1C6BAA99" w14:textId="77777777" w:rsidR="00FE6115" w:rsidRPr="006E07A1" w:rsidRDefault="00FE6115" w:rsidP="006E07A1">
            <w:pPr>
              <w:tabs>
                <w:tab w:val="left" w:pos="2030"/>
              </w:tabs>
              <w:jc w:val="left"/>
            </w:pPr>
          </w:p>
        </w:tc>
        <w:tc>
          <w:tcPr>
            <w:tcW w:w="4394" w:type="dxa"/>
          </w:tcPr>
          <w:p w14:paraId="697C61C8" w14:textId="77777777" w:rsidR="00FE6115" w:rsidRPr="006E07A1" w:rsidRDefault="00FE6115" w:rsidP="006E07A1">
            <w:pPr>
              <w:pStyle w:val="ListParagraph"/>
              <w:suppressLineNumbers/>
              <w:suppressAutoHyphens/>
              <w:kinsoku w:val="0"/>
              <w:overflowPunct w:val="0"/>
              <w:autoSpaceDE w:val="0"/>
              <w:autoSpaceDN w:val="0"/>
              <w:adjustRightInd w:val="0"/>
              <w:snapToGrid w:val="0"/>
              <w:spacing w:before="60" w:after="60"/>
              <w:ind w:left="32"/>
              <w:jc w:val="left"/>
              <w:rPr>
                <w:kern w:val="22"/>
              </w:rPr>
            </w:pPr>
            <w:r>
              <w:rPr>
                <w:kern w:val="22"/>
              </w:rPr>
              <w:t xml:space="preserve">1.1.1 </w:t>
            </w:r>
            <w:r w:rsidRPr="006E07A1">
              <w:rPr>
                <w:kern w:val="22"/>
              </w:rPr>
              <w:t>Compile baseline data and research on the relationship between conservation interventions, sustainable use and all women and girls’</w:t>
            </w:r>
            <w:r w:rsidRPr="006E07A1">
              <w:t xml:space="preserve"> rights to ownership and control over land and access to natural resources and to water, </w:t>
            </w:r>
            <w:r w:rsidRPr="006E07A1">
              <w:rPr>
                <w:kern w:val="22"/>
              </w:rPr>
              <w:t>and prepare guidance for national-level action</w:t>
            </w:r>
          </w:p>
          <w:p w14:paraId="63C02A51"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3117" w:type="dxa"/>
          </w:tcPr>
          <w:p w14:paraId="5E245E82" w14:textId="77777777" w:rsidR="00FE6115" w:rsidRPr="006E07A1" w:rsidRDefault="00FE6115" w:rsidP="008F4A01">
            <w:pPr>
              <w:spacing w:before="60" w:after="60"/>
              <w:jc w:val="left"/>
              <w:rPr>
                <w:rFonts w:eastAsia="Montserrat"/>
                <w:kern w:val="22"/>
              </w:rPr>
            </w:pPr>
            <w:r w:rsidRPr="006E07A1">
              <w:rPr>
                <w:rFonts w:eastAsia="Montserrat"/>
                <w:kern w:val="22"/>
              </w:rPr>
              <w:t xml:space="preserve">Baseline data, research and guidance on all women and girls’ </w:t>
            </w:r>
            <w:r w:rsidRPr="006E07A1">
              <w:t>rights to ownership and control over land and access to natural resources and to water</w:t>
            </w:r>
            <w:r w:rsidRPr="006E07A1">
              <w:rPr>
                <w:kern w:val="22"/>
              </w:rPr>
              <w:t xml:space="preserve"> </w:t>
            </w:r>
            <w:r w:rsidRPr="006E07A1">
              <w:rPr>
                <w:rFonts w:eastAsia="Montserrat"/>
                <w:kern w:val="22"/>
              </w:rPr>
              <w:t>in the context of biodiversity conservation and sustainable use made available to Parties for SBI</w:t>
            </w:r>
            <w:r>
              <w:rPr>
                <w:rFonts w:eastAsia="Montserrat"/>
                <w:kern w:val="22"/>
              </w:rPr>
              <w:noBreakHyphen/>
            </w:r>
            <w:r w:rsidRPr="006E07A1">
              <w:rPr>
                <w:rFonts w:eastAsia="Montserrat"/>
                <w:kern w:val="22"/>
              </w:rPr>
              <w:t xml:space="preserve">4 </w:t>
            </w:r>
          </w:p>
        </w:tc>
        <w:tc>
          <w:tcPr>
            <w:tcW w:w="1276" w:type="dxa"/>
          </w:tcPr>
          <w:p w14:paraId="344A8F72" w14:textId="77777777" w:rsidR="00FE6115" w:rsidRPr="006E07A1" w:rsidRDefault="00FE6115" w:rsidP="006E07A1">
            <w:pPr>
              <w:spacing w:before="60" w:after="60"/>
              <w:jc w:val="left"/>
              <w:rPr>
                <w:rFonts w:eastAsia="Montserrat"/>
                <w:kern w:val="22"/>
              </w:rPr>
            </w:pPr>
            <w:r w:rsidRPr="006E07A1">
              <w:rPr>
                <w:rFonts w:eastAsia="Montserrat"/>
                <w:i/>
                <w:iCs/>
                <w:kern w:val="22"/>
              </w:rPr>
              <w:t>Timeframe:</w:t>
            </w:r>
            <w:r w:rsidRPr="006E07A1">
              <w:rPr>
                <w:rFonts w:eastAsia="Montserrat"/>
                <w:kern w:val="22"/>
              </w:rPr>
              <w:t xml:space="preserve"> </w:t>
            </w:r>
          </w:p>
          <w:p w14:paraId="2B6DE9AC" w14:textId="77777777" w:rsidR="00FE6115" w:rsidRPr="006E07A1" w:rsidRDefault="00FE6115" w:rsidP="006E07A1">
            <w:pPr>
              <w:spacing w:before="60" w:after="60"/>
              <w:jc w:val="left"/>
              <w:rPr>
                <w:i/>
                <w:iCs/>
                <w:kern w:val="22"/>
              </w:rPr>
            </w:pPr>
            <w:r w:rsidRPr="006E07A1">
              <w:rPr>
                <w:rFonts w:eastAsia="Montserrat"/>
                <w:kern w:val="22"/>
              </w:rPr>
              <w:t>2024</w:t>
            </w:r>
          </w:p>
        </w:tc>
        <w:tc>
          <w:tcPr>
            <w:tcW w:w="1985" w:type="dxa"/>
          </w:tcPr>
          <w:p w14:paraId="32AA3C7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Secretariat, relevant organizations </w:t>
            </w:r>
          </w:p>
          <w:p w14:paraId="47DF2216"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Parties</w:t>
            </w:r>
          </w:p>
        </w:tc>
      </w:tr>
      <w:tr w:rsidR="00FE6115" w:rsidRPr="00187CE1" w14:paraId="70EC361A" w14:textId="77777777" w:rsidTr="006E07A1">
        <w:tc>
          <w:tcPr>
            <w:tcW w:w="3257" w:type="dxa"/>
            <w:vMerge/>
          </w:tcPr>
          <w:p w14:paraId="5BE5764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0CF806E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1.1.2</w:t>
            </w:r>
            <w:r>
              <w:rPr>
                <w:kern w:val="22"/>
              </w:rPr>
              <w:tab/>
            </w:r>
            <w:r w:rsidRPr="006E07A1">
              <w:rPr>
                <w:kern w:val="22"/>
              </w:rPr>
              <w:t>Take measures to update national legislation so that all women and girls have equitable access to ownership and control over biological resources, as well as land and waters</w:t>
            </w:r>
          </w:p>
        </w:tc>
        <w:tc>
          <w:tcPr>
            <w:tcW w:w="3117" w:type="dxa"/>
          </w:tcPr>
          <w:p w14:paraId="222E3FE3" w14:textId="77777777" w:rsidR="00FE6115" w:rsidRPr="006E07A1" w:rsidRDefault="00FE6115" w:rsidP="008F4A01">
            <w:pPr>
              <w:spacing w:before="60" w:after="60"/>
              <w:jc w:val="left"/>
              <w:rPr>
                <w:rFonts w:eastAsia="Montserrat"/>
                <w:kern w:val="22"/>
              </w:rPr>
            </w:pPr>
            <w:r w:rsidRPr="006E07A1">
              <w:rPr>
                <w:rFonts w:eastAsia="Montserrat"/>
                <w:kern w:val="22"/>
              </w:rPr>
              <w:t xml:space="preserve">Created or updated legislation that provides equal rights of access, ownership and control of land and waters for women and men </w:t>
            </w:r>
          </w:p>
        </w:tc>
        <w:tc>
          <w:tcPr>
            <w:tcW w:w="1276" w:type="dxa"/>
          </w:tcPr>
          <w:p w14:paraId="6355AB20" w14:textId="77777777" w:rsidR="00FE6115" w:rsidRPr="006E07A1" w:rsidRDefault="00FE6115" w:rsidP="006E07A1">
            <w:pPr>
              <w:spacing w:before="60" w:after="60"/>
              <w:jc w:val="left"/>
              <w:rPr>
                <w:rFonts w:eastAsia="Montserrat"/>
                <w:kern w:val="22"/>
              </w:rPr>
            </w:pPr>
            <w:r w:rsidRPr="006E07A1">
              <w:rPr>
                <w:rFonts w:eastAsia="Montserrat"/>
                <w:i/>
                <w:iCs/>
                <w:kern w:val="22"/>
              </w:rPr>
              <w:t>Timeframe:</w:t>
            </w:r>
            <w:r w:rsidRPr="006E07A1">
              <w:rPr>
                <w:rFonts w:eastAsia="Montserrat"/>
                <w:kern w:val="22"/>
              </w:rPr>
              <w:t xml:space="preserve"> </w:t>
            </w:r>
          </w:p>
          <w:p w14:paraId="6892C549" w14:textId="77777777" w:rsidR="00FE6115" w:rsidRPr="006E07A1" w:rsidRDefault="00FE6115" w:rsidP="006E07A1">
            <w:pPr>
              <w:spacing w:before="60" w:after="60"/>
              <w:jc w:val="left"/>
              <w:rPr>
                <w:rFonts w:eastAsia="Montserrat"/>
                <w:i/>
                <w:iCs/>
                <w:kern w:val="22"/>
              </w:rPr>
            </w:pPr>
            <w:r w:rsidRPr="006E07A1">
              <w:rPr>
                <w:rFonts w:eastAsia="Montserrat"/>
                <w:kern w:val="22"/>
              </w:rPr>
              <w:t>2030</w:t>
            </w:r>
          </w:p>
        </w:tc>
        <w:tc>
          <w:tcPr>
            <w:tcW w:w="1985" w:type="dxa"/>
          </w:tcPr>
          <w:p w14:paraId="61A7797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Leading:</w:t>
            </w:r>
            <w:r w:rsidRPr="006E07A1">
              <w:rPr>
                <w:kern w:val="22"/>
              </w:rPr>
              <w:t xml:space="preserve"> Parties, relevant organizations</w:t>
            </w:r>
          </w:p>
        </w:tc>
      </w:tr>
      <w:tr w:rsidR="00FE6115" w:rsidRPr="00187CE1" w14:paraId="7EA3F6EA" w14:textId="77777777" w:rsidTr="006E07A1">
        <w:tc>
          <w:tcPr>
            <w:tcW w:w="3257" w:type="dxa"/>
            <w:vMerge/>
          </w:tcPr>
          <w:p w14:paraId="30E47C28"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487BD5F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Pr>
                <w:rFonts w:asciiTheme="majorBidi" w:hAnsiTheme="majorBidi" w:cstheme="majorBidi"/>
                <w:kern w:val="22"/>
              </w:rPr>
              <w:t>1.1.3</w:t>
            </w:r>
            <w:r>
              <w:rPr>
                <w:rFonts w:asciiTheme="majorBidi" w:hAnsiTheme="majorBidi" w:cstheme="majorBidi"/>
                <w:kern w:val="22"/>
              </w:rPr>
              <w:tab/>
            </w:r>
            <w:r w:rsidRPr="006E07A1">
              <w:rPr>
                <w:rFonts w:asciiTheme="majorBidi" w:hAnsiTheme="majorBidi" w:cstheme="majorBidi"/>
                <w:kern w:val="22"/>
              </w:rPr>
              <w:t>Support women’s organizations and networks to have equal opportunities to lead or participate in decision-making on policies relating to the three objectives of the Convention, including related to</w:t>
            </w:r>
            <w:r w:rsidRPr="006E07A1">
              <w:t xml:space="preserve"> </w:t>
            </w:r>
            <w:r w:rsidRPr="006E07A1">
              <w:rPr>
                <w:rFonts w:asciiTheme="majorBidi" w:hAnsiTheme="majorBidi" w:cstheme="majorBidi"/>
                <w:kern w:val="22"/>
              </w:rPr>
              <w:t>land and waters, land tenure and property reforms through inter alia, consultation of women, in accordance with national law, and the provision of financial support</w:t>
            </w:r>
          </w:p>
        </w:tc>
        <w:tc>
          <w:tcPr>
            <w:tcW w:w="3117" w:type="dxa"/>
          </w:tcPr>
          <w:p w14:paraId="51CCFB03" w14:textId="77777777" w:rsidR="00FE6115" w:rsidRPr="006E07A1" w:rsidRDefault="00FE6115" w:rsidP="008F4A01">
            <w:pPr>
              <w:suppressLineNumbers/>
              <w:suppressAutoHyphens/>
              <w:kinsoku w:val="0"/>
              <w:overflowPunct w:val="0"/>
              <w:autoSpaceDE w:val="0"/>
              <w:autoSpaceDN w:val="0"/>
              <w:adjustRightInd w:val="0"/>
              <w:snapToGrid w:val="0"/>
              <w:spacing w:before="60" w:after="60"/>
              <w:jc w:val="left"/>
              <w:rPr>
                <w:kern w:val="22"/>
              </w:rPr>
            </w:pPr>
            <w:r w:rsidRPr="006E07A1">
              <w:rPr>
                <w:kern w:val="22"/>
              </w:rPr>
              <w:t>Consultations that included effective engagement of women and girls’ organizations/networks; Financial and other relevant support provided to women and girls’ organizations/networks to strengthen their capacity</w:t>
            </w:r>
          </w:p>
        </w:tc>
        <w:tc>
          <w:tcPr>
            <w:tcW w:w="1276" w:type="dxa"/>
          </w:tcPr>
          <w:p w14:paraId="3FC69375" w14:textId="77777777" w:rsidR="00FE6115" w:rsidRPr="006E07A1" w:rsidRDefault="00FE6115" w:rsidP="006E07A1">
            <w:pPr>
              <w:spacing w:before="60" w:after="60"/>
              <w:jc w:val="left"/>
              <w:rPr>
                <w:rFonts w:eastAsia="Montserrat"/>
                <w:kern w:val="22"/>
              </w:rPr>
            </w:pPr>
            <w:r w:rsidRPr="006E07A1">
              <w:rPr>
                <w:rFonts w:eastAsia="Montserrat"/>
                <w:i/>
                <w:iCs/>
                <w:kern w:val="22"/>
              </w:rPr>
              <w:t>Timeframe:</w:t>
            </w:r>
            <w:r w:rsidRPr="006E07A1">
              <w:rPr>
                <w:rFonts w:eastAsia="Montserrat"/>
                <w:kern w:val="22"/>
              </w:rPr>
              <w:t xml:space="preserve"> </w:t>
            </w:r>
          </w:p>
          <w:p w14:paraId="4013C286"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rFonts w:eastAsia="Montserrat"/>
                <w:kern w:val="22"/>
              </w:rPr>
              <w:t>2030</w:t>
            </w:r>
          </w:p>
        </w:tc>
        <w:tc>
          <w:tcPr>
            <w:tcW w:w="1985" w:type="dxa"/>
          </w:tcPr>
          <w:p w14:paraId="511A7269"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b/>
                <w:bCs/>
                <w:kern w:val="22"/>
              </w:rPr>
            </w:pPr>
            <w:r w:rsidRPr="006E07A1">
              <w:rPr>
                <w:i/>
                <w:iCs/>
                <w:kern w:val="22"/>
              </w:rPr>
              <w:t>Leading:</w:t>
            </w:r>
            <w:r w:rsidRPr="006E07A1">
              <w:rPr>
                <w:kern w:val="22"/>
              </w:rPr>
              <w:t xml:space="preserve"> Parties, relevant organizations</w:t>
            </w:r>
          </w:p>
        </w:tc>
      </w:tr>
      <w:tr w:rsidR="00FE6115" w:rsidRPr="00187CE1" w14:paraId="08014FA9" w14:textId="77777777" w:rsidTr="006E07A1">
        <w:tc>
          <w:tcPr>
            <w:tcW w:w="3257" w:type="dxa"/>
            <w:vMerge w:val="restart"/>
          </w:tcPr>
          <w:p w14:paraId="734467DD"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1.2 Ensure equal access for all women and girls to resources, services and technologies to support their engagement in the governance, conservation and sustainable use of biodiversity </w:t>
            </w:r>
            <w:r w:rsidRPr="006E07A1">
              <w:rPr>
                <w:kern w:val="22"/>
              </w:rPr>
              <w:lastRenderedPageBreak/>
              <w:t>(including financial services, credit, education, training and relevant information among others)</w:t>
            </w:r>
          </w:p>
        </w:tc>
        <w:tc>
          <w:tcPr>
            <w:tcW w:w="4394" w:type="dxa"/>
          </w:tcPr>
          <w:p w14:paraId="2251890A"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highlight w:val="yellow"/>
              </w:rPr>
            </w:pPr>
            <w:r>
              <w:rPr>
                <w:kern w:val="22"/>
              </w:rPr>
              <w:lastRenderedPageBreak/>
              <w:t>1.2.1</w:t>
            </w:r>
            <w:r>
              <w:rPr>
                <w:kern w:val="22"/>
              </w:rPr>
              <w:tab/>
            </w:r>
            <w:r w:rsidRPr="006E07A1">
              <w:rPr>
                <w:kern w:val="22"/>
              </w:rPr>
              <w:t>Conduct participatory assessments with baselines to identify gender gaps and effective measures to enable equal access to resources, services and technologies relevant for the governance, conservation and sustainable use of biodiversity</w:t>
            </w:r>
          </w:p>
        </w:tc>
        <w:tc>
          <w:tcPr>
            <w:tcW w:w="3117" w:type="dxa"/>
          </w:tcPr>
          <w:p w14:paraId="2D0312EF"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rPr>
              <w:t>Assessments undertaken and compilation shared through side events and on webpages of the Convention</w:t>
            </w:r>
          </w:p>
        </w:tc>
        <w:tc>
          <w:tcPr>
            <w:tcW w:w="1276" w:type="dxa"/>
          </w:tcPr>
          <w:p w14:paraId="69FA2D8B" w14:textId="77777777" w:rsidR="00FE6115" w:rsidRPr="006E07A1" w:rsidRDefault="00FE6115" w:rsidP="006E07A1">
            <w:pPr>
              <w:spacing w:before="60" w:after="60"/>
              <w:jc w:val="left"/>
              <w:rPr>
                <w:i/>
                <w:iCs/>
                <w:kern w:val="22"/>
              </w:rPr>
            </w:pPr>
            <w:r w:rsidRPr="006E07A1">
              <w:rPr>
                <w:rFonts w:eastAsia="Montserrat"/>
                <w:i/>
                <w:iCs/>
                <w:kern w:val="22"/>
              </w:rPr>
              <w:t>Timeframe:</w:t>
            </w:r>
            <w:r w:rsidRPr="006E07A1">
              <w:rPr>
                <w:rFonts w:eastAsia="Montserrat"/>
                <w:kern w:val="22"/>
              </w:rPr>
              <w:t xml:space="preserve">  2026</w:t>
            </w:r>
          </w:p>
        </w:tc>
        <w:tc>
          <w:tcPr>
            <w:tcW w:w="1985" w:type="dxa"/>
          </w:tcPr>
          <w:p w14:paraId="3DB21BB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 </w:t>
            </w:r>
          </w:p>
          <w:p w14:paraId="74DE1CB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Secretariat</w:t>
            </w:r>
          </w:p>
        </w:tc>
      </w:tr>
      <w:tr w:rsidR="00FE6115" w:rsidRPr="00187CE1" w14:paraId="0E39DB02" w14:textId="77777777" w:rsidTr="006E07A1">
        <w:tc>
          <w:tcPr>
            <w:tcW w:w="3257" w:type="dxa"/>
            <w:vMerge/>
          </w:tcPr>
          <w:p w14:paraId="3559C782"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0479A25"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r>
              <w:rPr>
                <w:kern w:val="22"/>
              </w:rPr>
              <w:t>1.2.2</w:t>
            </w:r>
            <w:r>
              <w:rPr>
                <w:kern w:val="22"/>
              </w:rPr>
              <w:tab/>
            </w:r>
            <w:r w:rsidRPr="006E07A1">
              <w:rPr>
                <w:kern w:val="22"/>
              </w:rPr>
              <w:t>Take targeted measures to facilitate equal access of women to financial services and credit, and of all women and girls to education, training, information, among other relevant resources, services and technologies relevant for their engagement in the governance, conservation and sustainable use of biodiversity and the fair and equitable sharing of benefits arising out of the utilization of genetic resources</w:t>
            </w:r>
          </w:p>
        </w:tc>
        <w:tc>
          <w:tcPr>
            <w:tcW w:w="3117" w:type="dxa"/>
          </w:tcPr>
          <w:p w14:paraId="65F16810"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Initiatives/programmes established or enhanced to facilitate equal access of women to financial services and credit, and of all women and girls to training, information and other relevant measures </w:t>
            </w:r>
          </w:p>
        </w:tc>
        <w:tc>
          <w:tcPr>
            <w:tcW w:w="1276" w:type="dxa"/>
          </w:tcPr>
          <w:p w14:paraId="793219DB" w14:textId="77777777" w:rsidR="00FE6115" w:rsidRPr="006E07A1" w:rsidRDefault="00FE6115" w:rsidP="006E07A1">
            <w:pPr>
              <w:spacing w:before="60" w:after="60"/>
              <w:jc w:val="left"/>
              <w:rPr>
                <w:rFonts w:eastAsia="Montserrat"/>
                <w:kern w:val="22"/>
              </w:rPr>
            </w:pPr>
            <w:r w:rsidRPr="006E07A1">
              <w:rPr>
                <w:rFonts w:eastAsia="Montserrat"/>
                <w:i/>
                <w:iCs/>
                <w:kern w:val="22"/>
              </w:rPr>
              <w:t>Timeframe:</w:t>
            </w:r>
            <w:r w:rsidRPr="006E07A1">
              <w:rPr>
                <w:rFonts w:eastAsia="Montserrat"/>
                <w:kern w:val="22"/>
              </w:rPr>
              <w:t xml:space="preserve"> 2030</w:t>
            </w:r>
          </w:p>
        </w:tc>
        <w:tc>
          <w:tcPr>
            <w:tcW w:w="1985" w:type="dxa"/>
          </w:tcPr>
          <w:p w14:paraId="1216E3E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w:t>
            </w:r>
          </w:p>
          <w:p w14:paraId="13325D81"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Secretariat</w:t>
            </w:r>
          </w:p>
        </w:tc>
      </w:tr>
      <w:tr w:rsidR="00FE6115" w:rsidRPr="00187CE1" w14:paraId="49AE559F" w14:textId="77777777" w:rsidTr="006E07A1">
        <w:tc>
          <w:tcPr>
            <w:tcW w:w="3257" w:type="dxa"/>
          </w:tcPr>
          <w:p w14:paraId="5C939798"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252B8114" w14:textId="77777777" w:rsidR="00FE6115" w:rsidRPr="006E07A1" w:rsidRDefault="00FE6115" w:rsidP="00801DF1">
            <w:pPr>
              <w:spacing w:before="60" w:after="60"/>
              <w:jc w:val="left"/>
              <w:rPr>
                <w:rFonts w:asciiTheme="majorBidi" w:hAnsiTheme="majorBidi" w:cstheme="majorBidi"/>
                <w:lang w:val="en-US"/>
              </w:rPr>
            </w:pPr>
            <w:r>
              <w:rPr>
                <w:rFonts w:asciiTheme="majorBidi" w:hAnsiTheme="majorBidi" w:cstheme="majorBidi"/>
                <w:lang w:val="en-US"/>
              </w:rPr>
              <w:t>1.2.3</w:t>
            </w:r>
            <w:r>
              <w:rPr>
                <w:rFonts w:asciiTheme="majorBidi" w:hAnsiTheme="majorBidi" w:cstheme="majorBidi"/>
                <w:lang w:val="en-US"/>
              </w:rPr>
              <w:tab/>
            </w:r>
            <w:r w:rsidRPr="006E07A1">
              <w:rPr>
                <w:rFonts w:asciiTheme="majorBidi" w:hAnsiTheme="majorBidi" w:cstheme="majorBidi"/>
                <w:lang w:val="en-US"/>
              </w:rPr>
              <w:t>Take specific measures to respect, preserve and maintain the traditional knowledge, innovations and practices of all women and girls from indigenous peoples and local communities, as well as their corresponding rights relevant to the conservation and sustainable use of biological diversity</w:t>
            </w:r>
          </w:p>
        </w:tc>
        <w:tc>
          <w:tcPr>
            <w:tcW w:w="3117" w:type="dxa"/>
          </w:tcPr>
          <w:p w14:paraId="1103B476"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kern w:val="22"/>
              </w:rPr>
              <w:t>Assessment and case studies undertaken on specific measures and policies to respect, preserve and maintain traditional knowledge, innovations and practices of all women and girls from indigenous peoples and local communities</w:t>
            </w:r>
          </w:p>
        </w:tc>
        <w:tc>
          <w:tcPr>
            <w:tcW w:w="1276" w:type="dxa"/>
          </w:tcPr>
          <w:p w14:paraId="562EBE53" w14:textId="77777777" w:rsidR="00FE6115" w:rsidRPr="006E07A1" w:rsidRDefault="00FE6115" w:rsidP="006E07A1">
            <w:pPr>
              <w:spacing w:before="60" w:after="60"/>
              <w:ind w:left="-102"/>
              <w:jc w:val="left"/>
              <w:rPr>
                <w:kern w:val="22"/>
              </w:rPr>
            </w:pPr>
            <w:r w:rsidRPr="006E07A1">
              <w:rPr>
                <w:i/>
                <w:iCs/>
                <w:kern w:val="22"/>
              </w:rPr>
              <w:t>Timeframe:</w:t>
            </w:r>
            <w:r w:rsidRPr="006E07A1">
              <w:rPr>
                <w:kern w:val="22"/>
              </w:rPr>
              <w:t xml:space="preserve"> </w:t>
            </w:r>
          </w:p>
          <w:p w14:paraId="5A485D7A" w14:textId="77777777" w:rsidR="00FE6115" w:rsidRPr="006E07A1" w:rsidRDefault="00FE6115" w:rsidP="006E07A1">
            <w:pPr>
              <w:spacing w:before="60" w:after="60"/>
              <w:jc w:val="left"/>
              <w:rPr>
                <w:rFonts w:eastAsia="Montserrat"/>
                <w:i/>
                <w:iCs/>
                <w:kern w:val="22"/>
              </w:rPr>
            </w:pPr>
            <w:r w:rsidRPr="006E07A1">
              <w:rPr>
                <w:kern w:val="22"/>
              </w:rPr>
              <w:t xml:space="preserve">2030 </w:t>
            </w:r>
          </w:p>
        </w:tc>
        <w:tc>
          <w:tcPr>
            <w:tcW w:w="1985" w:type="dxa"/>
          </w:tcPr>
          <w:p w14:paraId="2536FDAB" w14:textId="77777777" w:rsidR="00FE6115" w:rsidRPr="006E07A1" w:rsidRDefault="00FE6115" w:rsidP="00801DF1">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i/>
                <w:iCs/>
                <w:kern w:val="22"/>
              </w:rPr>
              <w:t xml:space="preserve">Leading: </w:t>
            </w:r>
            <w:r w:rsidRPr="006E07A1">
              <w:rPr>
                <w:rFonts w:asciiTheme="majorBidi" w:hAnsiTheme="majorBidi" w:cstheme="majorBidi"/>
                <w:kern w:val="22"/>
              </w:rPr>
              <w:t xml:space="preserve">Parties, </w:t>
            </w:r>
            <w:r>
              <w:rPr>
                <w:rFonts w:asciiTheme="majorBidi" w:hAnsiTheme="majorBidi" w:cstheme="majorBidi"/>
                <w:kern w:val="22"/>
              </w:rPr>
              <w:t>indigenous peoples and local communities</w:t>
            </w:r>
            <w:r w:rsidRPr="006E07A1">
              <w:rPr>
                <w:rFonts w:asciiTheme="majorBidi" w:hAnsiTheme="majorBidi" w:cstheme="majorBidi"/>
                <w:kern w:val="22"/>
              </w:rPr>
              <w:t xml:space="preserve">, relevant organizations, the research community, Secretariat </w:t>
            </w:r>
          </w:p>
        </w:tc>
      </w:tr>
      <w:tr w:rsidR="00FE6115" w:rsidRPr="00187CE1" w14:paraId="65E1F945" w14:textId="77777777" w:rsidTr="006E07A1">
        <w:tc>
          <w:tcPr>
            <w:tcW w:w="3257" w:type="dxa"/>
          </w:tcPr>
          <w:p w14:paraId="4017A00F"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1.3 Ensure gender equitable access in relation to access and benefit</w:t>
            </w:r>
            <w:r w:rsidRPr="006E07A1">
              <w:rPr>
                <w:kern w:val="22"/>
              </w:rPr>
              <w:noBreakHyphen/>
              <w:t xml:space="preserve">sharing instruments, as appropriate </w:t>
            </w:r>
          </w:p>
        </w:tc>
        <w:tc>
          <w:tcPr>
            <w:tcW w:w="4394" w:type="dxa"/>
          </w:tcPr>
          <w:p w14:paraId="65643D7B"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Pr>
                <w:kern w:val="22"/>
              </w:rPr>
              <w:t>1.3.1</w:t>
            </w:r>
            <w:r>
              <w:rPr>
                <w:kern w:val="22"/>
              </w:rPr>
              <w:tab/>
            </w:r>
            <w:r w:rsidRPr="006E07A1">
              <w:rPr>
                <w:kern w:val="22"/>
              </w:rPr>
              <w:t xml:space="preserve">Develop, test and promote relevant methodologies to mainstream gender perspectives in access and benefit-sharing instruments, as appropriate  </w:t>
            </w:r>
          </w:p>
        </w:tc>
        <w:tc>
          <w:tcPr>
            <w:tcW w:w="3117" w:type="dxa"/>
          </w:tcPr>
          <w:p w14:paraId="51979650"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Guidance on mainstreaming gender equality in relation to access and benefit</w:t>
            </w:r>
            <w:r w:rsidRPr="006E07A1">
              <w:rPr>
                <w:kern w:val="22"/>
              </w:rPr>
              <w:noBreakHyphen/>
              <w:t>sharing instruments made available to Parties</w:t>
            </w:r>
          </w:p>
        </w:tc>
        <w:tc>
          <w:tcPr>
            <w:tcW w:w="1276" w:type="dxa"/>
          </w:tcPr>
          <w:p w14:paraId="3F6E53DA"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Timeframe:</w:t>
            </w:r>
            <w:r w:rsidRPr="006E07A1">
              <w:rPr>
                <w:kern w:val="22"/>
              </w:rPr>
              <w:t xml:space="preserve"> 2026</w:t>
            </w:r>
          </w:p>
        </w:tc>
        <w:tc>
          <w:tcPr>
            <w:tcW w:w="1985" w:type="dxa"/>
          </w:tcPr>
          <w:p w14:paraId="0693B567"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Relevant organizations, the research community, Secretariat</w:t>
            </w:r>
          </w:p>
          <w:p w14:paraId="6BA2F6C6"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Parties</w:t>
            </w:r>
          </w:p>
        </w:tc>
      </w:tr>
      <w:tr w:rsidR="00FE6115" w:rsidRPr="00187CE1" w14:paraId="647D7297" w14:textId="77777777" w:rsidTr="006E07A1">
        <w:tc>
          <w:tcPr>
            <w:tcW w:w="3257" w:type="dxa"/>
            <w:vMerge w:val="restart"/>
          </w:tcPr>
          <w:p w14:paraId="2924C946"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rPr>
            </w:pPr>
            <w:r w:rsidRPr="006E07A1">
              <w:rPr>
                <w:rFonts w:asciiTheme="majorBidi" w:hAnsiTheme="majorBidi" w:cstheme="majorBidi"/>
                <w:kern w:val="22"/>
              </w:rPr>
              <w:t>1.4</w:t>
            </w:r>
            <w:r w:rsidRPr="006E07A1">
              <w:rPr>
                <w:kern w:val="22"/>
              </w:rPr>
              <w:t xml:space="preserve"> </w:t>
            </w:r>
            <w:r w:rsidRPr="006E07A1">
              <w:rPr>
                <w:rFonts w:asciiTheme="majorBidi" w:hAnsiTheme="majorBidi" w:cstheme="majorBidi"/>
                <w:kern w:val="22"/>
              </w:rPr>
              <w:t xml:space="preserve">Promote women’s empowerment and entrepreneurial opportunities in biodiversity-based supply chains and sectors, </w:t>
            </w:r>
            <w:bookmarkStart w:id="142" w:name="_Hlk98869728"/>
            <w:r w:rsidRPr="006E07A1">
              <w:rPr>
                <w:rFonts w:asciiTheme="majorBidi" w:hAnsiTheme="majorBidi" w:cstheme="majorBidi"/>
                <w:kern w:val="22"/>
              </w:rPr>
              <w:t xml:space="preserve">that support sustainable </w:t>
            </w:r>
            <w:r w:rsidRPr="006E07A1">
              <w:rPr>
                <w:rFonts w:asciiTheme="majorBidi" w:hAnsiTheme="majorBidi" w:cstheme="majorBidi"/>
                <w:kern w:val="22"/>
              </w:rPr>
              <w:lastRenderedPageBreak/>
              <w:t>management and production practices</w:t>
            </w:r>
            <w:bookmarkEnd w:id="142"/>
          </w:p>
          <w:p w14:paraId="034A49EA"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402546C"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Pr>
                <w:kern w:val="22"/>
              </w:rPr>
              <w:lastRenderedPageBreak/>
              <w:t>1.4.1</w:t>
            </w:r>
            <w:r>
              <w:rPr>
                <w:kern w:val="22"/>
              </w:rPr>
              <w:tab/>
            </w:r>
            <w:r w:rsidRPr="006E07A1">
              <w:rPr>
                <w:kern w:val="22"/>
              </w:rPr>
              <w:t xml:space="preserve">Conduct assessments on </w:t>
            </w:r>
            <w:r w:rsidRPr="006E07A1">
              <w:rPr>
                <w:color w:val="000000"/>
                <w:kern w:val="22"/>
              </w:rPr>
              <w:t>gender roles across biodiversity-based supply chains and sectors to determine gende</w:t>
            </w:r>
            <w:r w:rsidRPr="006E07A1">
              <w:rPr>
                <w:kern w:val="22"/>
              </w:rPr>
              <w:t xml:space="preserve">r gaps </w:t>
            </w:r>
            <w:r w:rsidRPr="006E07A1">
              <w:rPr>
                <w:rFonts w:asciiTheme="majorBidi" w:hAnsiTheme="majorBidi" w:cstheme="majorBidi"/>
              </w:rPr>
              <w:t>and make use of assessments already undertaken in this regard</w:t>
            </w:r>
            <w:r w:rsidRPr="006E07A1" w:rsidDel="00CF6857">
              <w:rPr>
                <w:kern w:val="22"/>
              </w:rPr>
              <w:t xml:space="preserve"> </w:t>
            </w:r>
          </w:p>
        </w:tc>
        <w:tc>
          <w:tcPr>
            <w:tcW w:w="3117" w:type="dxa"/>
          </w:tcPr>
          <w:p w14:paraId="786D98D6"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Assessments and case studies inform decision</w:t>
            </w:r>
            <w:r>
              <w:rPr>
                <w:kern w:val="22"/>
              </w:rPr>
              <w:noBreakHyphen/>
            </w:r>
            <w:r w:rsidRPr="006E07A1">
              <w:rPr>
                <w:kern w:val="22"/>
              </w:rPr>
              <w:t>making and are shared through webinars and side events</w:t>
            </w:r>
          </w:p>
        </w:tc>
        <w:tc>
          <w:tcPr>
            <w:tcW w:w="1276" w:type="dxa"/>
          </w:tcPr>
          <w:p w14:paraId="1F8D4646"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p>
          <w:p w14:paraId="09CDC114"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kern w:val="22"/>
              </w:rPr>
              <w:t>2026</w:t>
            </w:r>
          </w:p>
        </w:tc>
        <w:tc>
          <w:tcPr>
            <w:tcW w:w="1985" w:type="dxa"/>
          </w:tcPr>
          <w:p w14:paraId="3574C0FB"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Private sector, Parties, relevant organizations</w:t>
            </w:r>
          </w:p>
          <w:p w14:paraId="5B1C372C"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Secretariat</w:t>
            </w:r>
          </w:p>
        </w:tc>
      </w:tr>
      <w:tr w:rsidR="00FE6115" w:rsidRPr="00187CE1" w14:paraId="1950C573" w14:textId="77777777" w:rsidTr="006E07A1">
        <w:tc>
          <w:tcPr>
            <w:tcW w:w="3257" w:type="dxa"/>
            <w:vMerge/>
          </w:tcPr>
          <w:p w14:paraId="3BA2025E" w14:textId="77777777" w:rsidR="00FE6115" w:rsidRPr="006E07A1" w:rsidRDefault="00FE6115" w:rsidP="005F0753">
            <w:pPr>
              <w:suppressLineNumbers/>
              <w:suppressAutoHyphens/>
              <w:kinsoku w:val="0"/>
              <w:overflowPunct w:val="0"/>
              <w:autoSpaceDE w:val="0"/>
              <w:autoSpaceDN w:val="0"/>
              <w:adjustRightInd w:val="0"/>
              <w:snapToGrid w:val="0"/>
              <w:jc w:val="left"/>
              <w:rPr>
                <w:kern w:val="22"/>
              </w:rPr>
            </w:pPr>
          </w:p>
        </w:tc>
        <w:tc>
          <w:tcPr>
            <w:tcW w:w="4394" w:type="dxa"/>
          </w:tcPr>
          <w:p w14:paraId="51419F1F" w14:textId="77777777" w:rsidR="00FE6115" w:rsidRPr="006E07A1" w:rsidRDefault="00FE6115" w:rsidP="005F0753">
            <w:pPr>
              <w:suppressLineNumbers/>
              <w:suppressAutoHyphens/>
              <w:kinsoku w:val="0"/>
              <w:overflowPunct w:val="0"/>
              <w:autoSpaceDE w:val="0"/>
              <w:autoSpaceDN w:val="0"/>
              <w:adjustRightInd w:val="0"/>
              <w:snapToGrid w:val="0"/>
              <w:jc w:val="left"/>
              <w:rPr>
                <w:kern w:val="22"/>
              </w:rPr>
            </w:pPr>
            <w:r>
              <w:rPr>
                <w:kern w:val="22"/>
              </w:rPr>
              <w:t>1.4.2</w:t>
            </w:r>
            <w:r>
              <w:rPr>
                <w:kern w:val="22"/>
              </w:rPr>
              <w:tab/>
            </w:r>
            <w:r w:rsidRPr="006E07A1">
              <w:rPr>
                <w:kern w:val="22"/>
              </w:rPr>
              <w:t>Implement supportive interventions to promote women’s empowerment and entrepreneurial opportunities in biodiversity-based supply chains and sectors that support sustainable management and production practices</w:t>
            </w:r>
          </w:p>
          <w:p w14:paraId="5D825355" w14:textId="77777777" w:rsidR="00FE6115" w:rsidRPr="006E07A1" w:rsidRDefault="00FE6115" w:rsidP="005F0753">
            <w:pPr>
              <w:suppressLineNumbers/>
              <w:suppressAutoHyphens/>
              <w:kinsoku w:val="0"/>
              <w:overflowPunct w:val="0"/>
              <w:autoSpaceDE w:val="0"/>
              <w:autoSpaceDN w:val="0"/>
              <w:adjustRightInd w:val="0"/>
              <w:snapToGrid w:val="0"/>
              <w:jc w:val="left"/>
              <w:rPr>
                <w:kern w:val="22"/>
              </w:rPr>
            </w:pPr>
          </w:p>
        </w:tc>
        <w:tc>
          <w:tcPr>
            <w:tcW w:w="3117" w:type="dxa"/>
          </w:tcPr>
          <w:p w14:paraId="6BC3D35F" w14:textId="77777777" w:rsidR="00FE6115" w:rsidRPr="006E07A1" w:rsidRDefault="00FE6115" w:rsidP="005F0753">
            <w:pPr>
              <w:suppressLineNumbers/>
              <w:suppressAutoHyphens/>
              <w:kinsoku w:val="0"/>
              <w:overflowPunct w:val="0"/>
              <w:autoSpaceDE w:val="0"/>
              <w:autoSpaceDN w:val="0"/>
              <w:adjustRightInd w:val="0"/>
              <w:snapToGrid w:val="0"/>
              <w:jc w:val="left"/>
              <w:rPr>
                <w:strike/>
                <w:kern w:val="22"/>
              </w:rPr>
            </w:pPr>
            <w:r w:rsidRPr="006E07A1">
              <w:rPr>
                <w:rFonts w:asciiTheme="majorBidi" w:hAnsiTheme="majorBidi" w:cstheme="majorBidi"/>
                <w:kern w:val="22"/>
              </w:rPr>
              <w:t>Capacity</w:t>
            </w:r>
            <w:r w:rsidRPr="006E07A1">
              <w:rPr>
                <w:rFonts w:asciiTheme="majorBidi" w:hAnsiTheme="majorBidi" w:cstheme="majorBidi"/>
                <w:kern w:val="22"/>
              </w:rPr>
              <w:noBreakHyphen/>
              <w:t>building and development workshops and training sessions carried out for women focused on empowerment and entrepreneurial opportunities relevant to biodiversity-based supply chains and sectors</w:t>
            </w:r>
          </w:p>
        </w:tc>
        <w:tc>
          <w:tcPr>
            <w:tcW w:w="1276" w:type="dxa"/>
          </w:tcPr>
          <w:p w14:paraId="5290C824" w14:textId="77777777" w:rsidR="00FE6115" w:rsidRPr="006E07A1" w:rsidRDefault="00FE6115" w:rsidP="005F0753">
            <w:pPr>
              <w:suppressLineNumbers/>
              <w:suppressAutoHyphens/>
              <w:kinsoku w:val="0"/>
              <w:overflowPunct w:val="0"/>
              <w:autoSpaceDE w:val="0"/>
              <w:autoSpaceDN w:val="0"/>
              <w:adjustRightInd w:val="0"/>
              <w:snapToGrid w:val="0"/>
              <w:spacing w:after="60"/>
              <w:jc w:val="left"/>
              <w:rPr>
                <w:i/>
                <w:iCs/>
                <w:kern w:val="22"/>
              </w:rPr>
            </w:pPr>
            <w:r w:rsidRPr="006E07A1">
              <w:rPr>
                <w:i/>
                <w:iCs/>
                <w:kern w:val="22"/>
              </w:rPr>
              <w:t>Timeframe:</w:t>
            </w:r>
          </w:p>
          <w:p w14:paraId="175AE4D2" w14:textId="77777777" w:rsidR="00FE6115" w:rsidRPr="006E07A1" w:rsidRDefault="00FE6115" w:rsidP="005F0753">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rPr>
            </w:pPr>
            <w:r w:rsidRPr="006E07A1">
              <w:rPr>
                <w:rFonts w:asciiTheme="majorBidi" w:hAnsiTheme="majorBidi" w:cstheme="majorBidi"/>
                <w:kern w:val="22"/>
              </w:rPr>
              <w:t>Ongoing</w:t>
            </w:r>
          </w:p>
        </w:tc>
        <w:tc>
          <w:tcPr>
            <w:tcW w:w="1985" w:type="dxa"/>
          </w:tcPr>
          <w:p w14:paraId="15091AAB" w14:textId="77777777" w:rsidR="00FE6115" w:rsidRPr="006E07A1" w:rsidRDefault="00FE6115" w:rsidP="005F0753">
            <w:pPr>
              <w:suppressLineNumbers/>
              <w:suppressAutoHyphens/>
              <w:kinsoku w:val="0"/>
              <w:overflowPunct w:val="0"/>
              <w:autoSpaceDE w:val="0"/>
              <w:autoSpaceDN w:val="0"/>
              <w:adjustRightInd w:val="0"/>
              <w:snapToGrid w:val="0"/>
              <w:jc w:val="left"/>
              <w:rPr>
                <w:rFonts w:asciiTheme="majorBidi" w:hAnsiTheme="majorBidi" w:cstheme="majorBidi"/>
                <w:i/>
                <w:iCs/>
                <w:strike/>
                <w:kern w:val="22"/>
              </w:rPr>
            </w:pPr>
            <w:r w:rsidRPr="006E07A1">
              <w:rPr>
                <w:rFonts w:asciiTheme="majorBidi" w:hAnsiTheme="majorBidi" w:cstheme="majorBidi"/>
                <w:i/>
                <w:iCs/>
                <w:kern w:val="22"/>
              </w:rPr>
              <w:t>Leading:</w:t>
            </w:r>
            <w:r w:rsidRPr="006E07A1">
              <w:rPr>
                <w:rFonts w:asciiTheme="majorBidi" w:hAnsiTheme="majorBidi" w:cstheme="majorBidi"/>
                <w:kern w:val="22"/>
              </w:rPr>
              <w:t xml:space="preserve"> Private sector, Parties, relevant organizations</w:t>
            </w:r>
          </w:p>
        </w:tc>
      </w:tr>
      <w:tr w:rsidR="00FE6115" w:rsidRPr="00187CE1" w14:paraId="0C53A642" w14:textId="77777777" w:rsidTr="006E07A1">
        <w:tc>
          <w:tcPr>
            <w:tcW w:w="3257" w:type="dxa"/>
          </w:tcPr>
          <w:p w14:paraId="4AB39083"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1.5 Identify and eliminate, prevent and respond to all forms of gender-based discrimination and violence</w:t>
            </w:r>
            <w:r>
              <w:rPr>
                <w:kern w:val="22"/>
              </w:rPr>
              <w:t>,</w:t>
            </w:r>
            <w:r w:rsidRPr="006E07A1">
              <w:rPr>
                <w:kern w:val="22"/>
              </w:rPr>
              <w:t xml:space="preserve"> in particular in relation to control, ownership and access to sustainable use and conservation of biodiversity, including protecting women environmental human rights defenders and park rangers</w:t>
            </w:r>
          </w:p>
        </w:tc>
        <w:tc>
          <w:tcPr>
            <w:tcW w:w="4394" w:type="dxa"/>
          </w:tcPr>
          <w:p w14:paraId="65BBD338"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Pr>
                <w:kern w:val="22"/>
              </w:rPr>
              <w:t>1.5.1</w:t>
            </w:r>
            <w:r>
              <w:rPr>
                <w:kern w:val="22"/>
              </w:rPr>
              <w:tab/>
            </w:r>
            <w:r w:rsidRPr="006E07A1">
              <w:rPr>
                <w:kern w:val="22"/>
              </w:rPr>
              <w:t>Develop and deploy data, tools and strategies to understand and address gender-based violence and biodiversity linkages, including with a focus on the protection of women environmental human rights defenders, to support biodiversity policy and programming development and implementation</w:t>
            </w:r>
          </w:p>
        </w:tc>
        <w:tc>
          <w:tcPr>
            <w:tcW w:w="3117" w:type="dxa"/>
          </w:tcPr>
          <w:p w14:paraId="71A2FF2E" w14:textId="77777777" w:rsidR="00FE6115" w:rsidRPr="006E07A1" w:rsidRDefault="00FE6115" w:rsidP="005F0753">
            <w:pPr>
              <w:spacing w:before="60" w:after="60"/>
              <w:jc w:val="left"/>
              <w:rPr>
                <w:kern w:val="22"/>
              </w:rPr>
            </w:pPr>
            <w:r w:rsidRPr="006E07A1">
              <w:rPr>
                <w:color w:val="000000"/>
                <w:kern w:val="22"/>
                <w:lang w:eastAsia="zh-CN"/>
              </w:rPr>
              <w:t>Data and/or knowledge products, campaigns, tools, webinars, on the links between gender-based violence and biodiversity, produced and made available to Parties and stakeholders</w:t>
            </w:r>
          </w:p>
        </w:tc>
        <w:tc>
          <w:tcPr>
            <w:tcW w:w="1276" w:type="dxa"/>
          </w:tcPr>
          <w:p w14:paraId="152480DF"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rFonts w:eastAsia="Montserrat"/>
                <w:i/>
                <w:iCs/>
                <w:kern w:val="22"/>
              </w:rPr>
            </w:pPr>
            <w:r w:rsidRPr="006E07A1">
              <w:rPr>
                <w:rFonts w:eastAsia="Montserrat"/>
                <w:i/>
                <w:iCs/>
                <w:kern w:val="22"/>
              </w:rPr>
              <w:t>Timeframe:</w:t>
            </w:r>
          </w:p>
          <w:p w14:paraId="3470B9EA"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rFonts w:eastAsia="Montserrat"/>
                <w:kern w:val="22"/>
              </w:rPr>
              <w:t>2026</w:t>
            </w:r>
          </w:p>
        </w:tc>
        <w:tc>
          <w:tcPr>
            <w:tcW w:w="1985" w:type="dxa"/>
          </w:tcPr>
          <w:p w14:paraId="639903BF"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Relevant organizations, Secretariat</w:t>
            </w:r>
          </w:p>
          <w:p w14:paraId="0031AA01"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Contributing:</w:t>
            </w:r>
            <w:r w:rsidRPr="006E07A1">
              <w:rPr>
                <w:kern w:val="22"/>
              </w:rPr>
              <w:t xml:space="preserve">  Parties</w:t>
            </w:r>
          </w:p>
        </w:tc>
      </w:tr>
      <w:tr w:rsidR="00FE6115" w:rsidRPr="00187CE1" w14:paraId="641AFA26" w14:textId="77777777" w:rsidTr="006E07A1">
        <w:tc>
          <w:tcPr>
            <w:tcW w:w="3257" w:type="dxa"/>
          </w:tcPr>
          <w:p w14:paraId="001DE6CF"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162C30DD"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rFonts w:asciiTheme="majorBidi" w:eastAsia="Arial" w:hAnsiTheme="majorBidi" w:cstheme="majorBidi"/>
                <w:color w:val="000000"/>
              </w:rPr>
              <w:t>1.5.2.</w:t>
            </w:r>
            <w:r>
              <w:rPr>
                <w:rFonts w:asciiTheme="majorBidi" w:eastAsia="Arial" w:hAnsiTheme="majorBidi" w:cstheme="majorBidi"/>
                <w:color w:val="000000"/>
              </w:rPr>
              <w:tab/>
            </w:r>
            <w:r w:rsidRPr="006E07A1">
              <w:rPr>
                <w:rFonts w:asciiTheme="majorBidi" w:eastAsia="Arial" w:hAnsiTheme="majorBidi" w:cstheme="majorBidi"/>
                <w:color w:val="000000"/>
              </w:rPr>
              <w:t>Effective measures are taken to</w:t>
            </w:r>
            <w:r w:rsidRPr="006E07A1">
              <w:rPr>
                <w:rFonts w:asciiTheme="majorBidi" w:eastAsia="Arial" w:hAnsiTheme="majorBidi" w:cstheme="majorBidi"/>
                <w:b/>
                <w:bCs/>
                <w:color w:val="000000"/>
              </w:rPr>
              <w:t xml:space="preserve"> </w:t>
            </w:r>
            <w:r w:rsidRPr="006E07A1">
              <w:rPr>
                <w:kern w:val="22"/>
              </w:rPr>
              <w:t>eliminate, prevent and respond to all forms of gender-based discrimination and violence</w:t>
            </w:r>
            <w:r>
              <w:rPr>
                <w:kern w:val="22"/>
              </w:rPr>
              <w:t>,</w:t>
            </w:r>
            <w:r w:rsidRPr="006E07A1">
              <w:rPr>
                <w:kern w:val="22"/>
              </w:rPr>
              <w:t xml:space="preserve"> in particular in relation to control, ownership and access to sustainable use and conservation of biodiversity, including protecting women environmental human rights defenders and park rangers</w:t>
            </w:r>
            <w:r w:rsidRPr="006E07A1">
              <w:rPr>
                <w:b/>
                <w:bCs/>
                <w:kern w:val="22"/>
              </w:rPr>
              <w:t xml:space="preserve"> </w:t>
            </w:r>
          </w:p>
        </w:tc>
        <w:tc>
          <w:tcPr>
            <w:tcW w:w="3117" w:type="dxa"/>
          </w:tcPr>
          <w:p w14:paraId="385B562C" w14:textId="77777777" w:rsidR="00FE6115" w:rsidRPr="006E07A1" w:rsidRDefault="00FE6115" w:rsidP="005F0753">
            <w:pPr>
              <w:spacing w:before="60" w:after="60"/>
              <w:jc w:val="left"/>
              <w:rPr>
                <w:color w:val="000000"/>
                <w:kern w:val="22"/>
                <w:highlight w:val="yellow"/>
                <w:lang w:eastAsia="zh-CN"/>
              </w:rPr>
            </w:pPr>
            <w:r w:rsidRPr="006E07A1">
              <w:rPr>
                <w:rFonts w:asciiTheme="majorBidi" w:hAnsiTheme="majorBidi" w:cstheme="majorBidi"/>
                <w:color w:val="000000"/>
                <w:kern w:val="22"/>
                <w:lang w:eastAsia="zh-CN"/>
              </w:rPr>
              <w:t>Case studies are compiled and shared on implementing measures to eliminate, prevent and respond to all forms of gender-based discrimination and violence related to control, ownership, and access to sustainable use and conservation of biodiversity, including protecting women environmental human rights defenders and park rangers</w:t>
            </w:r>
            <w:r w:rsidRPr="006E07A1">
              <w:rPr>
                <w:color w:val="000000"/>
                <w:kern w:val="22"/>
                <w:highlight w:val="yellow"/>
                <w:lang w:eastAsia="zh-CN"/>
              </w:rPr>
              <w:t xml:space="preserve">   </w:t>
            </w:r>
          </w:p>
        </w:tc>
        <w:tc>
          <w:tcPr>
            <w:tcW w:w="1276" w:type="dxa"/>
          </w:tcPr>
          <w:p w14:paraId="2305A6AA" w14:textId="77777777" w:rsidR="00FE6115" w:rsidRPr="006E07A1" w:rsidRDefault="00FE6115" w:rsidP="006E07A1">
            <w:pPr>
              <w:suppressLineNumbers/>
              <w:suppressAutoHyphens/>
              <w:kinsoku w:val="0"/>
              <w:overflowPunct w:val="0"/>
              <w:autoSpaceDE w:val="0"/>
              <w:autoSpaceDN w:val="0"/>
              <w:adjustRightInd w:val="0"/>
              <w:snapToGrid w:val="0"/>
              <w:spacing w:before="60" w:after="60"/>
              <w:rPr>
                <w:rFonts w:eastAsia="Montserrat"/>
                <w:i/>
                <w:iCs/>
                <w:kern w:val="22"/>
              </w:rPr>
            </w:pPr>
            <w:r w:rsidRPr="006E07A1">
              <w:rPr>
                <w:rFonts w:eastAsia="Montserrat"/>
                <w:i/>
                <w:iCs/>
                <w:kern w:val="22"/>
              </w:rPr>
              <w:t>Timeframe:</w:t>
            </w:r>
          </w:p>
          <w:p w14:paraId="2AD79B28"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rFonts w:eastAsia="Montserrat"/>
                <w:i/>
                <w:iCs/>
                <w:kern w:val="22"/>
              </w:rPr>
            </w:pPr>
            <w:r w:rsidRPr="006E07A1">
              <w:rPr>
                <w:rFonts w:eastAsia="Montserrat"/>
                <w:kern w:val="22"/>
              </w:rPr>
              <w:t>2026</w:t>
            </w:r>
          </w:p>
        </w:tc>
        <w:tc>
          <w:tcPr>
            <w:tcW w:w="1985" w:type="dxa"/>
          </w:tcPr>
          <w:p w14:paraId="2C680761"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rPr>
            </w:pPr>
            <w:r w:rsidRPr="006E07A1">
              <w:rPr>
                <w:rFonts w:asciiTheme="majorBidi" w:hAnsiTheme="majorBidi" w:cstheme="majorBidi"/>
                <w:i/>
                <w:iCs/>
                <w:kern w:val="22"/>
              </w:rPr>
              <w:t>Leading:</w:t>
            </w:r>
          </w:p>
          <w:p w14:paraId="2DEFD068" w14:textId="77777777" w:rsidR="00FE6115" w:rsidRPr="006E07A1" w:rsidRDefault="00FE6115" w:rsidP="005F0753">
            <w:pPr>
              <w:suppressLineNumbers/>
              <w:suppressAutoHyphens/>
              <w:kinsoku w:val="0"/>
              <w:overflowPunct w:val="0"/>
              <w:autoSpaceDE w:val="0"/>
              <w:autoSpaceDN w:val="0"/>
              <w:adjustRightInd w:val="0"/>
              <w:snapToGrid w:val="0"/>
              <w:jc w:val="left"/>
              <w:rPr>
                <w:rFonts w:asciiTheme="majorBidi" w:hAnsiTheme="majorBidi" w:cstheme="majorBidi"/>
                <w:kern w:val="22"/>
              </w:rPr>
            </w:pPr>
            <w:r w:rsidRPr="006E07A1">
              <w:rPr>
                <w:rFonts w:asciiTheme="majorBidi" w:hAnsiTheme="majorBidi" w:cstheme="majorBidi"/>
                <w:kern w:val="22"/>
              </w:rPr>
              <w:t>Parties, relevant organizations, the research community</w:t>
            </w:r>
          </w:p>
        </w:tc>
      </w:tr>
      <w:tr w:rsidR="00FE6115" w:rsidRPr="00187CE1" w14:paraId="3E4C71B2" w14:textId="77777777" w:rsidTr="006E07A1">
        <w:tc>
          <w:tcPr>
            <w:tcW w:w="14029" w:type="dxa"/>
            <w:gridSpan w:val="5"/>
            <w:tcBorders>
              <w:top w:val="single" w:sz="12" w:space="0" w:color="auto"/>
            </w:tcBorders>
            <w:shd w:val="clear" w:color="auto" w:fill="FFFFFF" w:themeFill="background1"/>
          </w:tcPr>
          <w:p w14:paraId="79FB71DF" w14:textId="77777777" w:rsidR="00FE6115" w:rsidRPr="006E07A1" w:rsidRDefault="00FE6115" w:rsidP="005F0753">
            <w:pPr>
              <w:keepNext/>
              <w:suppressLineNumbers/>
              <w:suppressAutoHyphens/>
              <w:kinsoku w:val="0"/>
              <w:overflowPunct w:val="0"/>
              <w:autoSpaceDE w:val="0"/>
              <w:autoSpaceDN w:val="0"/>
              <w:adjustRightInd w:val="0"/>
              <w:snapToGrid w:val="0"/>
              <w:spacing w:before="60" w:after="60"/>
              <w:jc w:val="left"/>
              <w:rPr>
                <w:kern w:val="22"/>
              </w:rPr>
            </w:pPr>
            <w:r w:rsidRPr="006E07A1">
              <w:rPr>
                <w:b/>
                <w:bCs/>
                <w:kern w:val="22"/>
              </w:rPr>
              <w:lastRenderedPageBreak/>
              <w:t>Expected outcome 2</w:t>
            </w:r>
            <w:r w:rsidRPr="006E07A1">
              <w:rPr>
                <w:kern w:val="22"/>
              </w:rPr>
              <w:t>: Biodiversity policy, planning and programming decisions address equally the perspectives, interests, needs and human rights</w:t>
            </w:r>
            <w:r w:rsidRPr="006E07A1">
              <w:rPr>
                <w:rFonts w:asciiTheme="majorBidi" w:hAnsiTheme="majorBidi" w:cstheme="majorBidi"/>
                <w:kern w:val="22"/>
              </w:rPr>
              <w:t xml:space="preserve"> of all people, in particular of all women and girls</w:t>
            </w:r>
          </w:p>
        </w:tc>
      </w:tr>
      <w:tr w:rsidR="00FE6115" w:rsidRPr="00187CE1" w14:paraId="45C39212" w14:textId="77777777" w:rsidTr="006E07A1">
        <w:tc>
          <w:tcPr>
            <w:tcW w:w="3257" w:type="dxa"/>
            <w:vMerge w:val="restart"/>
          </w:tcPr>
          <w:p w14:paraId="15B292E8"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2.1 Increase opportunities and strengthen the meaningful and effective participation and leadership of women at all levels of action, engagement and decision-making related to the three objectives of the Convention</w:t>
            </w:r>
            <w:r w:rsidRPr="006E07A1">
              <w:rPr>
                <w:b/>
                <w:bCs/>
                <w:kern w:val="22"/>
              </w:rPr>
              <w:t xml:space="preserve"> </w:t>
            </w:r>
          </w:p>
        </w:tc>
        <w:tc>
          <w:tcPr>
            <w:tcW w:w="4394" w:type="dxa"/>
          </w:tcPr>
          <w:p w14:paraId="7EBA8E91"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2.1.1</w:t>
            </w:r>
            <w:r>
              <w:rPr>
                <w:kern w:val="22"/>
              </w:rPr>
              <w:tab/>
            </w:r>
            <w:r w:rsidRPr="006E07A1">
              <w:rPr>
                <w:kern w:val="22"/>
              </w:rPr>
              <w:t>Convene an expert group meeting</w:t>
            </w:r>
            <w:r w:rsidRPr="006E07A1">
              <w:rPr>
                <w:rFonts w:asciiTheme="majorBidi" w:eastAsia="Arial" w:hAnsiTheme="majorBidi" w:cstheme="majorBidi"/>
                <w:color w:val="000000"/>
              </w:rPr>
              <w:t xml:space="preserve">, including women environmental human rights defenders, </w:t>
            </w:r>
            <w:r w:rsidRPr="006E07A1">
              <w:rPr>
                <w:kern w:val="22"/>
              </w:rPr>
              <w:t xml:space="preserve">to develop guidance and recommendations to </w:t>
            </w:r>
            <w:r w:rsidRPr="006E07A1">
              <w:rPr>
                <w:rFonts w:asciiTheme="majorBidi" w:eastAsia="Arial" w:hAnsiTheme="majorBidi" w:cstheme="majorBidi"/>
                <w:color w:val="000000"/>
              </w:rPr>
              <w:t>aimed at eliminating gender disparities in the participation and leadership of women and decision-making related to</w:t>
            </w:r>
            <w:r w:rsidRPr="006E07A1">
              <w:rPr>
                <w:kern w:val="22"/>
              </w:rPr>
              <w:t xml:space="preserve"> the three objectives of the Convention</w:t>
            </w:r>
          </w:p>
        </w:tc>
        <w:tc>
          <w:tcPr>
            <w:tcW w:w="3117" w:type="dxa"/>
          </w:tcPr>
          <w:p w14:paraId="55FC4B08" w14:textId="77777777" w:rsidR="00FE6115" w:rsidRPr="006E07A1" w:rsidRDefault="00FE6115" w:rsidP="00DB3AED">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Report of Expert Group meeting and recommendations made available to Parties and stakeholders </w:t>
            </w:r>
          </w:p>
        </w:tc>
        <w:tc>
          <w:tcPr>
            <w:tcW w:w="1276" w:type="dxa"/>
          </w:tcPr>
          <w:p w14:paraId="4AD7639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r w:rsidRPr="006E07A1">
              <w:rPr>
                <w:kern w:val="22"/>
              </w:rPr>
              <w:t xml:space="preserve"> 2024</w:t>
            </w:r>
          </w:p>
        </w:tc>
        <w:tc>
          <w:tcPr>
            <w:tcW w:w="1985" w:type="dxa"/>
          </w:tcPr>
          <w:p w14:paraId="4413C6E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Secretariat, relevant organizations, Parties</w:t>
            </w:r>
          </w:p>
        </w:tc>
      </w:tr>
      <w:tr w:rsidR="00FE6115" w:rsidRPr="00187CE1" w14:paraId="64735375" w14:textId="77777777" w:rsidTr="006E07A1">
        <w:tc>
          <w:tcPr>
            <w:tcW w:w="3257" w:type="dxa"/>
            <w:vMerge/>
          </w:tcPr>
          <w:p w14:paraId="7AC78EC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4BE85F9"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2.1.2</w:t>
            </w:r>
            <w:r>
              <w:rPr>
                <w:kern w:val="22"/>
              </w:rPr>
              <w:tab/>
            </w:r>
            <w:r w:rsidRPr="006E07A1">
              <w:rPr>
                <w:kern w:val="22"/>
              </w:rPr>
              <w:t xml:space="preserve">Apply guidance and recommendations to ensure </w:t>
            </w:r>
            <w:r>
              <w:rPr>
                <w:kern w:val="22"/>
              </w:rPr>
              <w:t>the</w:t>
            </w:r>
            <w:r w:rsidRPr="006E07A1">
              <w:rPr>
                <w:kern w:val="22"/>
              </w:rPr>
              <w:t xml:space="preserve"> informed and effective participation and equal leadership </w:t>
            </w:r>
            <w:r>
              <w:rPr>
                <w:kern w:val="22"/>
              </w:rPr>
              <w:t xml:space="preserve">of women </w:t>
            </w:r>
            <w:r w:rsidRPr="006E07A1">
              <w:rPr>
                <w:kern w:val="22"/>
              </w:rPr>
              <w:t xml:space="preserve">in governance bodies at all levels related to the three objectives of the Convention </w:t>
            </w:r>
          </w:p>
        </w:tc>
        <w:tc>
          <w:tcPr>
            <w:tcW w:w="3117" w:type="dxa"/>
          </w:tcPr>
          <w:p w14:paraId="2C267527" w14:textId="77777777" w:rsidR="00FE6115" w:rsidRPr="006E07A1" w:rsidRDefault="00FE6115" w:rsidP="00DB3AED">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Data/information on women’s participation and leadership in biodiversity-related governance bodies </w:t>
            </w:r>
            <w:r>
              <w:rPr>
                <w:kern w:val="22"/>
              </w:rPr>
              <w:t>is</w:t>
            </w:r>
            <w:r w:rsidRPr="006E07A1">
              <w:rPr>
                <w:kern w:val="22"/>
              </w:rPr>
              <w:t xml:space="preserve"> included in national reports under the Convention on Biological Diversity</w:t>
            </w:r>
          </w:p>
        </w:tc>
        <w:tc>
          <w:tcPr>
            <w:tcW w:w="1276" w:type="dxa"/>
          </w:tcPr>
          <w:p w14:paraId="5A692EE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r w:rsidRPr="006E07A1">
              <w:rPr>
                <w:kern w:val="22"/>
              </w:rPr>
              <w:t xml:space="preserve"> 2026</w:t>
            </w:r>
          </w:p>
        </w:tc>
        <w:tc>
          <w:tcPr>
            <w:tcW w:w="1985" w:type="dxa"/>
          </w:tcPr>
          <w:p w14:paraId="10388C8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Leading:</w:t>
            </w:r>
            <w:r w:rsidRPr="006E07A1">
              <w:rPr>
                <w:kern w:val="22"/>
              </w:rPr>
              <w:t xml:space="preserve"> Parties, relevant organizations</w:t>
            </w:r>
          </w:p>
        </w:tc>
      </w:tr>
      <w:tr w:rsidR="00FE6115" w:rsidRPr="00187CE1" w14:paraId="4AFFE98B" w14:textId="77777777" w:rsidTr="006E07A1">
        <w:tc>
          <w:tcPr>
            <w:tcW w:w="3257" w:type="dxa"/>
            <w:vMerge w:val="restart"/>
          </w:tcPr>
          <w:p w14:paraId="37558F7D"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2.2 Enhance the meaningful and effective participation and leadership of women in processes under the Convention on Biological Diversity, including through the engagement of women’s groups and women delegates</w:t>
            </w:r>
          </w:p>
        </w:tc>
        <w:tc>
          <w:tcPr>
            <w:tcW w:w="4394" w:type="dxa"/>
          </w:tcPr>
          <w:p w14:paraId="686E7C09"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2.2.1</w:t>
            </w:r>
            <w:r>
              <w:rPr>
                <w:kern w:val="22"/>
              </w:rPr>
              <w:tab/>
            </w:r>
            <w:r w:rsidRPr="006E07A1">
              <w:rPr>
                <w:kern w:val="22"/>
              </w:rPr>
              <w:t>Support capacity development in leadership, negotiation and facilitation for women delegates, including through webinars and in</w:t>
            </w:r>
            <w:r>
              <w:rPr>
                <w:kern w:val="22"/>
              </w:rPr>
              <w:noBreakHyphen/>
            </w:r>
            <w:r w:rsidRPr="006E07A1">
              <w:rPr>
                <w:kern w:val="22"/>
              </w:rPr>
              <w:t>session training, through remote and in</w:t>
            </w:r>
            <w:r>
              <w:rPr>
                <w:kern w:val="22"/>
              </w:rPr>
              <w:noBreakHyphen/>
            </w:r>
            <w:r w:rsidRPr="006E07A1">
              <w:rPr>
                <w:kern w:val="22"/>
              </w:rPr>
              <w:t>person modalities</w:t>
            </w:r>
          </w:p>
        </w:tc>
        <w:tc>
          <w:tcPr>
            <w:tcW w:w="3117" w:type="dxa"/>
          </w:tcPr>
          <w:p w14:paraId="71994600"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Webinars, in-session training, active engagement of representatives in the Friends of Gender Equality Group under the Convention on Biological Diversity</w:t>
            </w:r>
          </w:p>
        </w:tc>
        <w:tc>
          <w:tcPr>
            <w:tcW w:w="1276" w:type="dxa"/>
          </w:tcPr>
          <w:p w14:paraId="201F5AF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 xml:space="preserve">Timeframe: </w:t>
            </w:r>
            <w:r w:rsidRPr="006E07A1">
              <w:rPr>
                <w:kern w:val="22"/>
              </w:rPr>
              <w:t>2026</w:t>
            </w:r>
          </w:p>
        </w:tc>
        <w:tc>
          <w:tcPr>
            <w:tcW w:w="1985" w:type="dxa"/>
          </w:tcPr>
          <w:p w14:paraId="6DF0D3F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Secretariat, relevant organizations</w:t>
            </w:r>
          </w:p>
        </w:tc>
      </w:tr>
      <w:tr w:rsidR="00FE6115" w:rsidRPr="00187CE1" w14:paraId="748820BE" w14:textId="77777777" w:rsidTr="006E07A1">
        <w:tc>
          <w:tcPr>
            <w:tcW w:w="3257" w:type="dxa"/>
            <w:vMerge/>
          </w:tcPr>
          <w:p w14:paraId="56AF526F"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1EFA5D78"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2.2.2</w:t>
            </w:r>
            <w:r>
              <w:rPr>
                <w:kern w:val="22"/>
              </w:rPr>
              <w:tab/>
            </w:r>
            <w:r w:rsidRPr="006E07A1">
              <w:rPr>
                <w:kern w:val="22"/>
              </w:rPr>
              <w:t>Ensure gender expertise included in all advisory and expert bodies under the Convention on Biological Diversity</w:t>
            </w:r>
          </w:p>
        </w:tc>
        <w:tc>
          <w:tcPr>
            <w:tcW w:w="3117" w:type="dxa"/>
          </w:tcPr>
          <w:p w14:paraId="05E082B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Gender experts/women’s group representatives are included in all advisory and expert bodies/meetings under the Convention on Biological Diversity</w:t>
            </w:r>
          </w:p>
        </w:tc>
        <w:tc>
          <w:tcPr>
            <w:tcW w:w="1276" w:type="dxa"/>
          </w:tcPr>
          <w:p w14:paraId="110349D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 xml:space="preserve">Timeframe: </w:t>
            </w:r>
            <w:r w:rsidRPr="006E07A1">
              <w:rPr>
                <w:kern w:val="22"/>
              </w:rPr>
              <w:t>2026</w:t>
            </w:r>
          </w:p>
        </w:tc>
        <w:tc>
          <w:tcPr>
            <w:tcW w:w="1985" w:type="dxa"/>
          </w:tcPr>
          <w:p w14:paraId="4634D97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Secretariat</w:t>
            </w:r>
          </w:p>
        </w:tc>
      </w:tr>
      <w:tr w:rsidR="00FE6115" w:rsidRPr="00187CE1" w14:paraId="073F4214" w14:textId="77777777" w:rsidTr="006E07A1">
        <w:tc>
          <w:tcPr>
            <w:tcW w:w="3257" w:type="dxa"/>
            <w:vMerge/>
          </w:tcPr>
          <w:p w14:paraId="255D09CB"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7D4D727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2.2.3</w:t>
            </w:r>
            <w:r>
              <w:rPr>
                <w:kern w:val="22"/>
              </w:rPr>
              <w:tab/>
            </w:r>
            <w:r w:rsidRPr="006E07A1">
              <w:rPr>
                <w:kern w:val="22"/>
              </w:rPr>
              <w:t xml:space="preserve">Undertake assessments to determine measures to enable women’s meaningful, informed and effective participation in the new </w:t>
            </w:r>
            <w:r w:rsidRPr="006E07A1">
              <w:rPr>
                <w:kern w:val="22"/>
              </w:rPr>
              <w:lastRenderedPageBreak/>
              <w:t>programme of work on Article 8(j) and analyse gender considerations to be addressed in this work programme</w:t>
            </w:r>
          </w:p>
        </w:tc>
        <w:tc>
          <w:tcPr>
            <w:tcW w:w="3117" w:type="dxa"/>
          </w:tcPr>
          <w:p w14:paraId="1F2CD7C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lastRenderedPageBreak/>
              <w:t xml:space="preserve">Measures to enable women’s meaningful, informed and effective participation and </w:t>
            </w:r>
            <w:r w:rsidRPr="006E07A1">
              <w:rPr>
                <w:kern w:val="22"/>
              </w:rPr>
              <w:lastRenderedPageBreak/>
              <w:t>gender considerations are incorporated in the new programme of work on Article 8(j)</w:t>
            </w:r>
          </w:p>
        </w:tc>
        <w:tc>
          <w:tcPr>
            <w:tcW w:w="1276" w:type="dxa"/>
          </w:tcPr>
          <w:p w14:paraId="165FE9D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lastRenderedPageBreak/>
              <w:t xml:space="preserve">Timeframe: </w:t>
            </w:r>
            <w:r w:rsidRPr="006E07A1">
              <w:rPr>
                <w:kern w:val="22"/>
              </w:rPr>
              <w:t>2024</w:t>
            </w:r>
          </w:p>
        </w:tc>
        <w:tc>
          <w:tcPr>
            <w:tcW w:w="1985" w:type="dxa"/>
          </w:tcPr>
          <w:p w14:paraId="789B3F3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 xml:space="preserve">Leading: </w:t>
            </w:r>
            <w:r w:rsidRPr="006E07A1">
              <w:rPr>
                <w:kern w:val="22"/>
              </w:rPr>
              <w:t xml:space="preserve">Indigenous peoples and local </w:t>
            </w:r>
            <w:r w:rsidRPr="006E07A1">
              <w:rPr>
                <w:kern w:val="22"/>
              </w:rPr>
              <w:lastRenderedPageBreak/>
              <w:t>communities, Parties, relevant organizations</w:t>
            </w:r>
          </w:p>
          <w:p w14:paraId="76D5E85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Secretariat</w:t>
            </w:r>
          </w:p>
        </w:tc>
      </w:tr>
      <w:tr w:rsidR="00FE6115" w:rsidRPr="00187CE1" w14:paraId="3AB60AFD" w14:textId="77777777" w:rsidTr="006E07A1">
        <w:tc>
          <w:tcPr>
            <w:tcW w:w="3257" w:type="dxa"/>
            <w:vMerge w:val="restart"/>
          </w:tcPr>
          <w:p w14:paraId="20D69F1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lastRenderedPageBreak/>
              <w:t>2.3 Integrate human rights and gender equality considerations into national biodiversity strategies and action plans (NBSAPs)</w:t>
            </w:r>
          </w:p>
        </w:tc>
        <w:tc>
          <w:tcPr>
            <w:tcW w:w="4394" w:type="dxa"/>
          </w:tcPr>
          <w:p w14:paraId="64A29E3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2.3.1</w:t>
            </w:r>
            <w:r>
              <w:rPr>
                <w:kern w:val="22"/>
              </w:rPr>
              <w:tab/>
            </w:r>
            <w:r w:rsidRPr="006E07A1">
              <w:rPr>
                <w:kern w:val="22"/>
              </w:rPr>
              <w:t>Provide capacity-building and development opportunities for governments at all levels and other relevant stakeholders on gender responsive development, planning, implementation, budgeting, monitoring, evaluation and reporting of NBSAPs</w:t>
            </w:r>
          </w:p>
        </w:tc>
        <w:tc>
          <w:tcPr>
            <w:tcW w:w="3117" w:type="dxa"/>
          </w:tcPr>
          <w:p w14:paraId="4D9D2BF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Capacity</w:t>
            </w:r>
            <w:r w:rsidRPr="006E07A1">
              <w:rPr>
                <w:b/>
                <w:bCs/>
                <w:kern w:val="22"/>
              </w:rPr>
              <w:t>-</w:t>
            </w:r>
            <w:r w:rsidRPr="006E07A1">
              <w:rPr>
                <w:kern w:val="22"/>
              </w:rPr>
              <w:t>building and development initiatives undertaken, templates, guides and toolkits developed</w:t>
            </w:r>
          </w:p>
        </w:tc>
        <w:tc>
          <w:tcPr>
            <w:tcW w:w="1276" w:type="dxa"/>
          </w:tcPr>
          <w:p w14:paraId="21AC0669"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p>
          <w:p w14:paraId="5F7EAAA8" w14:textId="3A8D524B"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Ongoing</w:t>
            </w:r>
            <w:r w:rsidR="00745C34">
              <w:rPr>
                <w:rStyle w:val="FootnoteReference"/>
                <w:kern w:val="22"/>
              </w:rPr>
              <w:footnoteReference w:customMarkFollows="1" w:id="121"/>
              <w:t>4</w:t>
            </w:r>
          </w:p>
          <w:p w14:paraId="1965D7E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p>
        </w:tc>
        <w:tc>
          <w:tcPr>
            <w:tcW w:w="1985" w:type="dxa"/>
          </w:tcPr>
          <w:p w14:paraId="7319AAB0"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Relevant organizations, Parties, Secretariat</w:t>
            </w:r>
          </w:p>
        </w:tc>
      </w:tr>
      <w:tr w:rsidR="00FE6115" w:rsidRPr="00187CE1" w14:paraId="0AA044C5" w14:textId="77777777" w:rsidTr="006E07A1">
        <w:tc>
          <w:tcPr>
            <w:tcW w:w="3257" w:type="dxa"/>
            <w:vMerge/>
          </w:tcPr>
          <w:p w14:paraId="74D058D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77EDDEA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2.3.2</w:t>
            </w:r>
            <w:r>
              <w:rPr>
                <w:kern w:val="22"/>
              </w:rPr>
              <w:tab/>
            </w:r>
            <w:r w:rsidRPr="006E07A1">
              <w:rPr>
                <w:kern w:val="22"/>
              </w:rPr>
              <w:t>Appoint national gender-biodiversity focal points to support knowledge exchange, sharing experiences and best practices, peer-to-peer learning, mentoring and coaching</w:t>
            </w:r>
          </w:p>
        </w:tc>
        <w:tc>
          <w:tcPr>
            <w:tcW w:w="3117" w:type="dxa"/>
          </w:tcPr>
          <w:p w14:paraId="7B840B9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National gender-biodiversity focal points nominated, learning activities conducted, recommendations for support prepared, and an awareness raising/knowledge sharing plan developed</w:t>
            </w:r>
          </w:p>
        </w:tc>
        <w:tc>
          <w:tcPr>
            <w:tcW w:w="1276" w:type="dxa"/>
          </w:tcPr>
          <w:p w14:paraId="13BD154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 xml:space="preserve">Timeframe: </w:t>
            </w:r>
          </w:p>
          <w:p w14:paraId="57E6A0B5"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rPr>
              <w:t>2024</w:t>
            </w:r>
          </w:p>
        </w:tc>
        <w:tc>
          <w:tcPr>
            <w:tcW w:w="1985" w:type="dxa"/>
          </w:tcPr>
          <w:p w14:paraId="45B01E0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w:t>
            </w:r>
          </w:p>
          <w:p w14:paraId="107C464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Contributing:</w:t>
            </w:r>
            <w:r w:rsidRPr="006E07A1">
              <w:rPr>
                <w:kern w:val="22"/>
              </w:rPr>
              <w:t xml:space="preserve"> Secretariat, relevant organizations</w:t>
            </w:r>
          </w:p>
        </w:tc>
      </w:tr>
      <w:tr w:rsidR="00FE6115" w:rsidRPr="00187CE1" w14:paraId="2B7D33F2" w14:textId="77777777" w:rsidTr="006E07A1">
        <w:tc>
          <w:tcPr>
            <w:tcW w:w="3257" w:type="dxa"/>
            <w:vMerge/>
          </w:tcPr>
          <w:p w14:paraId="417AF788"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2576FE90"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2.3.3</w:t>
            </w:r>
            <w:r>
              <w:rPr>
                <w:kern w:val="22"/>
              </w:rPr>
              <w:tab/>
            </w:r>
            <w:r w:rsidRPr="006E07A1">
              <w:rPr>
                <w:kern w:val="22"/>
              </w:rPr>
              <w:t>Engage all relevant stakeholders, particularly women’s groups, gender institutions and gender experts</w:t>
            </w:r>
            <w:r>
              <w:rPr>
                <w:kern w:val="22"/>
              </w:rPr>
              <w:t>,</w:t>
            </w:r>
            <w:r w:rsidRPr="006E07A1">
              <w:rPr>
                <w:kern w:val="22"/>
              </w:rPr>
              <w:t xml:space="preserve"> and indigenous peoples and local communities, in the process of developing and updating NBSAPs and related biodiversity policies, plans, and strategies at all levels</w:t>
            </w:r>
          </w:p>
        </w:tc>
        <w:tc>
          <w:tcPr>
            <w:tcW w:w="3117" w:type="dxa"/>
          </w:tcPr>
          <w:p w14:paraId="6110B23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Gender responsive NBSAPs</w:t>
            </w:r>
          </w:p>
        </w:tc>
        <w:tc>
          <w:tcPr>
            <w:tcW w:w="1276" w:type="dxa"/>
          </w:tcPr>
          <w:p w14:paraId="5891513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p>
          <w:p w14:paraId="59E50956"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rPr>
              <w:t>2026</w:t>
            </w:r>
          </w:p>
        </w:tc>
        <w:tc>
          <w:tcPr>
            <w:tcW w:w="1985" w:type="dxa"/>
          </w:tcPr>
          <w:p w14:paraId="42A4131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w:t>
            </w:r>
          </w:p>
        </w:tc>
      </w:tr>
      <w:tr w:rsidR="00FE6115" w:rsidRPr="00187CE1" w14:paraId="64FBCC09" w14:textId="77777777" w:rsidTr="006E07A1">
        <w:tc>
          <w:tcPr>
            <w:tcW w:w="14029" w:type="dxa"/>
            <w:gridSpan w:val="5"/>
            <w:tcBorders>
              <w:top w:val="single" w:sz="12" w:space="0" w:color="auto"/>
            </w:tcBorders>
            <w:shd w:val="clear" w:color="auto" w:fill="FFFFFF" w:themeFill="background1"/>
          </w:tcPr>
          <w:p w14:paraId="7D3E958A"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r w:rsidRPr="006E07A1">
              <w:rPr>
                <w:b/>
                <w:bCs/>
                <w:kern w:val="22"/>
              </w:rPr>
              <w:t>Expected outcome 3</w:t>
            </w:r>
            <w:r w:rsidRPr="006E07A1">
              <w:rPr>
                <w:kern w:val="22"/>
              </w:rPr>
              <w:t xml:space="preserve">: Enabling conditions are created to ensure gender responsive implementation of the </w:t>
            </w:r>
            <w:r>
              <w:rPr>
                <w:kern w:val="22"/>
              </w:rPr>
              <w:t>Kunming-Montreal</w:t>
            </w:r>
            <w:r w:rsidRPr="006E07A1">
              <w:rPr>
                <w:kern w:val="22"/>
              </w:rPr>
              <w:t xml:space="preserve"> </w:t>
            </w:r>
            <w:r>
              <w:rPr>
                <w:kern w:val="22"/>
              </w:rPr>
              <w:t>G</w:t>
            </w:r>
            <w:r w:rsidRPr="006E07A1">
              <w:rPr>
                <w:kern w:val="22"/>
              </w:rPr>
              <w:t xml:space="preserve">lobal </w:t>
            </w:r>
            <w:r>
              <w:rPr>
                <w:kern w:val="22"/>
              </w:rPr>
              <w:t>B</w:t>
            </w:r>
            <w:r w:rsidRPr="006E07A1">
              <w:rPr>
                <w:kern w:val="22"/>
              </w:rPr>
              <w:t xml:space="preserve">iodiversity </w:t>
            </w:r>
            <w:r>
              <w:rPr>
                <w:kern w:val="22"/>
              </w:rPr>
              <w:t>F</w:t>
            </w:r>
            <w:r w:rsidRPr="006E07A1">
              <w:rPr>
                <w:kern w:val="22"/>
              </w:rPr>
              <w:t>ramework</w:t>
            </w:r>
          </w:p>
        </w:tc>
      </w:tr>
      <w:tr w:rsidR="00FE6115" w:rsidRPr="00187CE1" w14:paraId="60431133" w14:textId="77777777" w:rsidTr="006E07A1">
        <w:tc>
          <w:tcPr>
            <w:tcW w:w="3257" w:type="dxa"/>
            <w:vMerge w:val="restart"/>
          </w:tcPr>
          <w:p w14:paraId="2ACF6DAE"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3.1 Develop national capacity to produce and use gender and biodiversity data, including </w:t>
            </w:r>
            <w:r w:rsidRPr="006E07A1">
              <w:rPr>
                <w:kern w:val="22"/>
              </w:rPr>
              <w:lastRenderedPageBreak/>
              <w:t>relevant data disaggregation (e.g. sex, age, ethnicity and other demographic factors)</w:t>
            </w:r>
          </w:p>
        </w:tc>
        <w:tc>
          <w:tcPr>
            <w:tcW w:w="4394" w:type="dxa"/>
          </w:tcPr>
          <w:p w14:paraId="72AF821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lastRenderedPageBreak/>
              <w:t>3.1.1</w:t>
            </w:r>
            <w:r>
              <w:rPr>
                <w:kern w:val="22"/>
              </w:rPr>
              <w:tab/>
            </w:r>
            <w:r w:rsidRPr="006E07A1">
              <w:rPr>
                <w:kern w:val="22"/>
              </w:rPr>
              <w:t>Build knowledge and capacity of national statistical offices to ensure the systematic collection of sex</w:t>
            </w:r>
            <w:r>
              <w:rPr>
                <w:kern w:val="22"/>
              </w:rPr>
              <w:t>-</w:t>
            </w:r>
            <w:r w:rsidRPr="006E07A1">
              <w:rPr>
                <w:kern w:val="22"/>
              </w:rPr>
              <w:t xml:space="preserve">disaggregated </w:t>
            </w:r>
            <w:r w:rsidRPr="006E07A1">
              <w:rPr>
                <w:kern w:val="22"/>
              </w:rPr>
              <w:lastRenderedPageBreak/>
              <w:t>biodiversity data and the development and use of relevant gender-specific indicators</w:t>
            </w:r>
          </w:p>
        </w:tc>
        <w:tc>
          <w:tcPr>
            <w:tcW w:w="3117" w:type="dxa"/>
          </w:tcPr>
          <w:p w14:paraId="521E193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lastRenderedPageBreak/>
              <w:t xml:space="preserve">Training tools developed and capacity development support </w:t>
            </w:r>
            <w:r w:rsidRPr="006E07A1">
              <w:rPr>
                <w:kern w:val="22"/>
              </w:rPr>
              <w:lastRenderedPageBreak/>
              <w:t xml:space="preserve">provided, available data disaggregated by sex  </w:t>
            </w:r>
          </w:p>
        </w:tc>
        <w:tc>
          <w:tcPr>
            <w:tcW w:w="1276" w:type="dxa"/>
          </w:tcPr>
          <w:p w14:paraId="67BB79F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lastRenderedPageBreak/>
              <w:t>Timeframe:</w:t>
            </w:r>
          </w:p>
          <w:p w14:paraId="1E4246F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kern w:val="22"/>
              </w:rPr>
              <w:t>2026</w:t>
            </w:r>
          </w:p>
        </w:tc>
        <w:tc>
          <w:tcPr>
            <w:tcW w:w="1985" w:type="dxa"/>
          </w:tcPr>
          <w:p w14:paraId="6FA9CDA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w:t>
            </w:r>
          </w:p>
        </w:tc>
      </w:tr>
      <w:tr w:rsidR="00FE6115" w:rsidRPr="00187CE1" w14:paraId="7F3E96C6" w14:textId="77777777" w:rsidTr="006E07A1">
        <w:tc>
          <w:tcPr>
            <w:tcW w:w="3257" w:type="dxa"/>
            <w:vMerge/>
          </w:tcPr>
          <w:p w14:paraId="07F7BEDA"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b/>
                <w:bCs/>
                <w:kern w:val="22"/>
              </w:rPr>
            </w:pPr>
          </w:p>
        </w:tc>
        <w:tc>
          <w:tcPr>
            <w:tcW w:w="4394" w:type="dxa"/>
          </w:tcPr>
          <w:p w14:paraId="4661653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3.1.2</w:t>
            </w:r>
            <w:r>
              <w:rPr>
                <w:kern w:val="22"/>
              </w:rPr>
              <w:tab/>
            </w:r>
            <w:r w:rsidRPr="006E07A1">
              <w:rPr>
                <w:kern w:val="22"/>
              </w:rPr>
              <w:t>Share sample indicators, data, best practices and relevant guidance on developing and monitoring data disaggregated by sex and other demographic factors, per sector</w:t>
            </w:r>
          </w:p>
        </w:tc>
        <w:tc>
          <w:tcPr>
            <w:tcW w:w="3117" w:type="dxa"/>
          </w:tcPr>
          <w:p w14:paraId="21740B41"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Webinars, in-session workshops, prepare report highlighting best practices</w:t>
            </w:r>
          </w:p>
        </w:tc>
        <w:tc>
          <w:tcPr>
            <w:tcW w:w="1276" w:type="dxa"/>
          </w:tcPr>
          <w:p w14:paraId="7BE0792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Timeframe:</w:t>
            </w:r>
            <w:r w:rsidRPr="006E07A1">
              <w:rPr>
                <w:kern w:val="22"/>
              </w:rPr>
              <w:t xml:space="preserve"> 2026</w:t>
            </w:r>
          </w:p>
        </w:tc>
        <w:tc>
          <w:tcPr>
            <w:tcW w:w="1985" w:type="dxa"/>
          </w:tcPr>
          <w:p w14:paraId="6D94C460"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Secretariat, relevant organizations</w:t>
            </w:r>
          </w:p>
        </w:tc>
      </w:tr>
      <w:tr w:rsidR="00FE6115" w:rsidRPr="00187CE1" w14:paraId="6FEE0D6A" w14:textId="77777777" w:rsidTr="006E07A1">
        <w:tc>
          <w:tcPr>
            <w:tcW w:w="3257" w:type="dxa"/>
          </w:tcPr>
          <w:p w14:paraId="1F2B2C88"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3.2 Strengthen the evidence base, understanding and analysis of the gender-related impacts of the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 xml:space="preserve">ramework </w:t>
            </w:r>
            <w:r w:rsidRPr="006E07A1">
              <w:rPr>
                <w:kern w:val="22"/>
              </w:rPr>
              <w:t>and the role of all women and girls as agents of change in achieving its goals and targets, including insights from traditional knowledge of all women and girls from indigenous peoples and local communities</w:t>
            </w:r>
          </w:p>
        </w:tc>
        <w:tc>
          <w:tcPr>
            <w:tcW w:w="4394" w:type="dxa"/>
          </w:tcPr>
          <w:p w14:paraId="565827F5"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3.2.1</w:t>
            </w:r>
            <w:r>
              <w:rPr>
                <w:kern w:val="22"/>
              </w:rPr>
              <w:tab/>
            </w:r>
            <w:r w:rsidRPr="006E07A1">
              <w:rPr>
                <w:kern w:val="22"/>
              </w:rPr>
              <w:t xml:space="preserve">Undertake research and analysis, and collect and apply information and data, including gender-differentiated traditional knowledge, on the gender-differentiated impacts of the implementation of the </w:t>
            </w:r>
            <w:r>
              <w:rPr>
                <w:kern w:val="22"/>
              </w:rPr>
              <w:t>Kunming-Montreal</w:t>
            </w:r>
            <w:r w:rsidRPr="006E07A1">
              <w:rPr>
                <w:kern w:val="22"/>
              </w:rPr>
              <w:t xml:space="preserve"> </w:t>
            </w:r>
            <w:r>
              <w:rPr>
                <w:kern w:val="22"/>
              </w:rPr>
              <w:t>G</w:t>
            </w:r>
            <w:r w:rsidRPr="006E07A1">
              <w:rPr>
                <w:kern w:val="22"/>
              </w:rPr>
              <w:t xml:space="preserve">lobal </w:t>
            </w:r>
            <w:r>
              <w:rPr>
                <w:kern w:val="22"/>
              </w:rPr>
              <w:t>B</w:t>
            </w:r>
            <w:r w:rsidRPr="006E07A1">
              <w:rPr>
                <w:kern w:val="22"/>
              </w:rPr>
              <w:t xml:space="preserve">iodiversity </w:t>
            </w:r>
            <w:r>
              <w:rPr>
                <w:kern w:val="22"/>
              </w:rPr>
              <w:t>F</w:t>
            </w:r>
            <w:r w:rsidRPr="006E07A1">
              <w:rPr>
                <w:kern w:val="22"/>
              </w:rPr>
              <w:t>ramework and the role of all women and girls as agents of change</w:t>
            </w:r>
          </w:p>
        </w:tc>
        <w:tc>
          <w:tcPr>
            <w:tcW w:w="3117" w:type="dxa"/>
          </w:tcPr>
          <w:p w14:paraId="0F01D7F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Information materials, available data sources/databases, reports and compilation documents shared through webinars, side</w:t>
            </w:r>
            <w:r>
              <w:rPr>
                <w:kern w:val="22"/>
              </w:rPr>
              <w:t>-</w:t>
            </w:r>
            <w:r w:rsidRPr="006E07A1">
              <w:rPr>
                <w:kern w:val="22"/>
              </w:rPr>
              <w:t>events at meetings of Convention bodies, social media and the web</w:t>
            </w:r>
            <w:r w:rsidRPr="00176D05">
              <w:rPr>
                <w:kern w:val="22"/>
              </w:rPr>
              <w:t>site</w:t>
            </w:r>
            <w:r w:rsidRPr="006E07A1">
              <w:rPr>
                <w:kern w:val="22"/>
              </w:rPr>
              <w:t xml:space="preserve"> of the Convention</w:t>
            </w:r>
          </w:p>
        </w:tc>
        <w:tc>
          <w:tcPr>
            <w:tcW w:w="1276" w:type="dxa"/>
          </w:tcPr>
          <w:p w14:paraId="54C60EA4"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rPr>
              <w:t>Timeframe:</w:t>
            </w:r>
            <w:r w:rsidRPr="006E07A1">
              <w:rPr>
                <w:kern w:val="22"/>
              </w:rPr>
              <w:t xml:space="preserve"> 2026</w:t>
            </w:r>
          </w:p>
        </w:tc>
        <w:tc>
          <w:tcPr>
            <w:tcW w:w="1985" w:type="dxa"/>
          </w:tcPr>
          <w:p w14:paraId="4D2C9E77"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rPr>
              <w:t>Leading:</w:t>
            </w:r>
            <w:r w:rsidRPr="006E07A1">
              <w:rPr>
                <w:kern w:val="22"/>
              </w:rPr>
              <w:t xml:space="preserve"> Parties, relevant organizations</w:t>
            </w:r>
          </w:p>
          <w:p w14:paraId="43C822DB"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rPr>
              <w:t>Contributing:</w:t>
            </w:r>
            <w:r w:rsidRPr="006E07A1">
              <w:rPr>
                <w:kern w:val="22"/>
              </w:rPr>
              <w:t xml:space="preserve"> Secretariat</w:t>
            </w:r>
          </w:p>
        </w:tc>
      </w:tr>
      <w:tr w:rsidR="00FE6115" w:rsidRPr="00187CE1" w14:paraId="7A3AA419" w14:textId="77777777" w:rsidTr="006E07A1">
        <w:tc>
          <w:tcPr>
            <w:tcW w:w="3257" w:type="dxa"/>
          </w:tcPr>
          <w:p w14:paraId="1A857DE4"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3.3 Support access to information and public participation of women and girls’ organizations, networks, leaders and gender experts in the resourcing, implementation, monitoring and reporting on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p>
        </w:tc>
        <w:tc>
          <w:tcPr>
            <w:tcW w:w="4394" w:type="dxa"/>
          </w:tcPr>
          <w:p w14:paraId="0E3B5A5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3.3.1</w:t>
            </w:r>
            <w:r>
              <w:rPr>
                <w:kern w:val="22"/>
              </w:rPr>
              <w:tab/>
            </w:r>
            <w:r w:rsidRPr="006E07A1">
              <w:rPr>
                <w:kern w:val="22"/>
              </w:rPr>
              <w:t xml:space="preserve">Organize capacity-building and development workshops and prepare guidelines to enhance the capacity of women and girls’ organizations, networks and gender experts to support planning, implementation and reporting on </w:t>
            </w:r>
            <w:r>
              <w:rPr>
                <w:kern w:val="22"/>
              </w:rPr>
              <w:t>NBSAPs</w:t>
            </w:r>
            <w:r w:rsidRPr="006E07A1">
              <w:rPr>
                <w:kern w:val="22"/>
              </w:rPr>
              <w:t xml:space="preserve"> and related activities, including integration of gender considerations into all biodiversity programming at all levels</w:t>
            </w:r>
          </w:p>
        </w:tc>
        <w:tc>
          <w:tcPr>
            <w:tcW w:w="3117" w:type="dxa"/>
          </w:tcPr>
          <w:p w14:paraId="16056C29"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Capacity-building and development workshops undertaken, and guidelines prepared</w:t>
            </w:r>
          </w:p>
          <w:p w14:paraId="69132F58"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t>Reporting on capacity</w:t>
            </w:r>
            <w:r w:rsidRPr="006E07A1">
              <w:rPr>
                <w:kern w:val="22"/>
              </w:rPr>
              <w:noBreakHyphen/>
              <w:t>building and development initiatives and engagement of women’s organizations, networks and gender experts included in national reports under the Convention on Biological Diversity</w:t>
            </w:r>
          </w:p>
        </w:tc>
        <w:tc>
          <w:tcPr>
            <w:tcW w:w="1276" w:type="dxa"/>
          </w:tcPr>
          <w:p w14:paraId="200C23A1"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Timeframe: 2026</w:t>
            </w:r>
          </w:p>
          <w:p w14:paraId="0CBF971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p w14:paraId="2D14A274" w14:textId="77777777" w:rsidR="00FE6115" w:rsidRPr="006E07A1" w:rsidRDefault="00FE6115" w:rsidP="006E07A1">
            <w:pPr>
              <w:suppressLineNumbers/>
              <w:suppressAutoHyphens/>
              <w:kinsoku w:val="0"/>
              <w:overflowPunct w:val="0"/>
              <w:autoSpaceDE w:val="0"/>
              <w:autoSpaceDN w:val="0"/>
              <w:adjustRightInd w:val="0"/>
              <w:snapToGrid w:val="0"/>
              <w:spacing w:before="360" w:after="60"/>
              <w:jc w:val="left"/>
              <w:rPr>
                <w:kern w:val="22"/>
              </w:rPr>
            </w:pPr>
            <w:r w:rsidRPr="006E07A1">
              <w:rPr>
                <w:kern w:val="22"/>
              </w:rPr>
              <w:t>Timeframe: 2030</w:t>
            </w:r>
          </w:p>
        </w:tc>
        <w:tc>
          <w:tcPr>
            <w:tcW w:w="1985" w:type="dxa"/>
          </w:tcPr>
          <w:p w14:paraId="0BA90619" w14:textId="77777777" w:rsidR="00FE6115" w:rsidRPr="006E07A1" w:rsidRDefault="00FE6115" w:rsidP="006E07A1">
            <w:pPr>
              <w:suppressLineNumbers/>
              <w:suppressAutoHyphens/>
              <w:kinsoku w:val="0"/>
              <w:overflowPunct w:val="0"/>
              <w:autoSpaceDE w:val="0"/>
              <w:autoSpaceDN w:val="0"/>
              <w:adjustRightInd w:val="0"/>
              <w:snapToGrid w:val="0"/>
              <w:jc w:val="left"/>
              <w:rPr>
                <w:kern w:val="22"/>
              </w:rPr>
            </w:pPr>
            <w:r w:rsidRPr="006E07A1">
              <w:rPr>
                <w:i/>
                <w:iCs/>
                <w:kern w:val="22"/>
              </w:rPr>
              <w:t>Leading:</w:t>
            </w:r>
            <w:r w:rsidRPr="006E07A1">
              <w:rPr>
                <w:kern w:val="22"/>
              </w:rPr>
              <w:t xml:space="preserve"> Secretariat, relevant organizations </w:t>
            </w:r>
          </w:p>
          <w:p w14:paraId="6E5BAB45" w14:textId="77777777" w:rsidR="00FE6115" w:rsidRPr="006E07A1" w:rsidRDefault="00FE6115" w:rsidP="006E07A1">
            <w:pPr>
              <w:suppressLineNumbers/>
              <w:suppressAutoHyphens/>
              <w:kinsoku w:val="0"/>
              <w:overflowPunct w:val="0"/>
              <w:autoSpaceDE w:val="0"/>
              <w:autoSpaceDN w:val="0"/>
              <w:adjustRightInd w:val="0"/>
              <w:snapToGrid w:val="0"/>
              <w:jc w:val="left"/>
              <w:rPr>
                <w:i/>
                <w:iCs/>
                <w:kern w:val="22"/>
              </w:rPr>
            </w:pPr>
            <w:r w:rsidRPr="006E07A1">
              <w:rPr>
                <w:i/>
                <w:iCs/>
                <w:kern w:val="22"/>
              </w:rPr>
              <w:t>Contributing:</w:t>
            </w:r>
            <w:r w:rsidRPr="006E07A1">
              <w:rPr>
                <w:kern w:val="22"/>
              </w:rPr>
              <w:t xml:space="preserve"> Parties</w:t>
            </w:r>
          </w:p>
          <w:p w14:paraId="4DC66D20"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w:t>
            </w:r>
          </w:p>
          <w:p w14:paraId="50555697" w14:textId="77777777" w:rsidR="00FE6115" w:rsidRPr="006E07A1" w:rsidRDefault="00FE6115" w:rsidP="006E07A1">
            <w:pPr>
              <w:suppressLineNumbers/>
              <w:suppressAutoHyphens/>
              <w:kinsoku w:val="0"/>
              <w:overflowPunct w:val="0"/>
              <w:autoSpaceDE w:val="0"/>
              <w:autoSpaceDN w:val="0"/>
              <w:adjustRightInd w:val="0"/>
              <w:snapToGrid w:val="0"/>
              <w:spacing w:before="60"/>
              <w:jc w:val="left"/>
              <w:rPr>
                <w:i/>
                <w:iCs/>
                <w:kern w:val="22"/>
              </w:rPr>
            </w:pPr>
            <w:r w:rsidRPr="006E07A1">
              <w:rPr>
                <w:i/>
                <w:iCs/>
                <w:kern w:val="22"/>
              </w:rPr>
              <w:t>Contributing:</w:t>
            </w:r>
          </w:p>
          <w:p w14:paraId="74E7C342" w14:textId="77777777" w:rsidR="00FE6115" w:rsidRPr="006E07A1" w:rsidRDefault="00FE6115" w:rsidP="006E07A1">
            <w:pPr>
              <w:suppressLineNumbers/>
              <w:suppressAutoHyphens/>
              <w:kinsoku w:val="0"/>
              <w:overflowPunct w:val="0"/>
              <w:autoSpaceDE w:val="0"/>
              <w:autoSpaceDN w:val="0"/>
              <w:adjustRightInd w:val="0"/>
              <w:snapToGrid w:val="0"/>
              <w:spacing w:after="60"/>
              <w:jc w:val="left"/>
              <w:rPr>
                <w:kern w:val="22"/>
              </w:rPr>
            </w:pPr>
            <w:r w:rsidRPr="006E07A1">
              <w:rPr>
                <w:kern w:val="22"/>
              </w:rPr>
              <w:t>Secretariat</w:t>
            </w:r>
          </w:p>
        </w:tc>
      </w:tr>
      <w:tr w:rsidR="00FE6115" w:rsidRPr="00187CE1" w14:paraId="749AA5E7" w14:textId="77777777" w:rsidTr="006E07A1">
        <w:tc>
          <w:tcPr>
            <w:tcW w:w="3257" w:type="dxa"/>
            <w:vMerge w:val="restart"/>
          </w:tcPr>
          <w:p w14:paraId="36B64D4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3.4 Ensure coherent gender responsive implementation of the </w:t>
            </w:r>
            <w:r>
              <w:rPr>
                <w:kern w:val="22"/>
              </w:rPr>
              <w:lastRenderedPageBreak/>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rPr>
              <w:t xml:space="preserve"> through identifying synergies and drawing on relevant experience from related United Nations and international processes </w:t>
            </w:r>
          </w:p>
        </w:tc>
        <w:tc>
          <w:tcPr>
            <w:tcW w:w="4394" w:type="dxa"/>
          </w:tcPr>
          <w:p w14:paraId="0ABFF39E"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lastRenderedPageBreak/>
              <w:t>3.4.1</w:t>
            </w:r>
            <w:r>
              <w:rPr>
                <w:kern w:val="22"/>
              </w:rPr>
              <w:tab/>
            </w:r>
            <w:r w:rsidRPr="006E07A1">
              <w:rPr>
                <w:kern w:val="22"/>
              </w:rPr>
              <w:t xml:space="preserve">Promote gender-biodiversity linkages in relevant tools, information and activities of </w:t>
            </w:r>
            <w:r w:rsidRPr="006E07A1">
              <w:rPr>
                <w:kern w:val="22"/>
              </w:rPr>
              <w:lastRenderedPageBreak/>
              <w:t xml:space="preserve">United Nations and international processes, and undertake joint activities with </w:t>
            </w:r>
            <w:r>
              <w:rPr>
                <w:kern w:val="22"/>
              </w:rPr>
              <w:t xml:space="preserve">the </w:t>
            </w:r>
            <w:r w:rsidRPr="006E07A1">
              <w:rPr>
                <w:kern w:val="22"/>
              </w:rPr>
              <w:t>Rio conventions, United Nations and international gender partners</w:t>
            </w:r>
          </w:p>
        </w:tc>
        <w:tc>
          <w:tcPr>
            <w:tcW w:w="3117" w:type="dxa"/>
          </w:tcPr>
          <w:p w14:paraId="00F19ED0"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lastRenderedPageBreak/>
              <w:t xml:space="preserve">Relevant linkages with United Nations and international </w:t>
            </w:r>
            <w:r w:rsidRPr="006E07A1">
              <w:rPr>
                <w:kern w:val="22"/>
              </w:rPr>
              <w:lastRenderedPageBreak/>
              <w:t>processes promoted, joint activities, including high-level events at major international meetings</w:t>
            </w:r>
          </w:p>
        </w:tc>
        <w:tc>
          <w:tcPr>
            <w:tcW w:w="1276" w:type="dxa"/>
          </w:tcPr>
          <w:p w14:paraId="50663DB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lastRenderedPageBreak/>
              <w:t>Timeframe:</w:t>
            </w:r>
            <w:r w:rsidRPr="006E07A1">
              <w:rPr>
                <w:kern w:val="22"/>
              </w:rPr>
              <w:t xml:space="preserve"> 2030</w:t>
            </w:r>
          </w:p>
        </w:tc>
        <w:tc>
          <w:tcPr>
            <w:tcW w:w="1985" w:type="dxa"/>
          </w:tcPr>
          <w:p w14:paraId="7D59AEF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Secretariat, United </w:t>
            </w:r>
            <w:r w:rsidRPr="006E07A1">
              <w:rPr>
                <w:kern w:val="22"/>
              </w:rPr>
              <w:lastRenderedPageBreak/>
              <w:t>Nations and international partners</w:t>
            </w:r>
          </w:p>
        </w:tc>
      </w:tr>
      <w:tr w:rsidR="00FE6115" w:rsidRPr="00187CE1" w14:paraId="44DAA6BB" w14:textId="77777777" w:rsidTr="006E07A1">
        <w:tc>
          <w:tcPr>
            <w:tcW w:w="3257" w:type="dxa"/>
            <w:vMerge/>
          </w:tcPr>
          <w:p w14:paraId="6BDB7D2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5E5C890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3.4.2</w:t>
            </w:r>
            <w:r>
              <w:rPr>
                <w:kern w:val="22"/>
              </w:rPr>
              <w:tab/>
            </w:r>
            <w:r w:rsidRPr="006E07A1">
              <w:rPr>
                <w:kern w:val="22"/>
              </w:rPr>
              <w:t xml:space="preserve">Establish coordination mechanisms among women and girls’ organizations/networks, ministries or other institutions </w:t>
            </w:r>
            <w:r w:rsidRPr="006E07A1">
              <w:rPr>
                <w:rFonts w:asciiTheme="majorBidi" w:hAnsiTheme="majorBidi" w:cstheme="majorBidi"/>
                <w:kern w:val="22"/>
              </w:rPr>
              <w:t>responsible for gender and those responsible for the environment, relevant focal points, and local partners to strengthen coherent program</w:t>
            </w:r>
            <w:r w:rsidRPr="006E07A1">
              <w:rPr>
                <w:kern w:val="22"/>
              </w:rPr>
              <w:t>ming on gender and biodiversity-related issues</w:t>
            </w:r>
          </w:p>
        </w:tc>
        <w:tc>
          <w:tcPr>
            <w:tcW w:w="3117" w:type="dxa"/>
          </w:tcPr>
          <w:p w14:paraId="1F026967"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t>National-level gender-biodiversity/environment working groups/coordination mechanisms established, reports on progress provided; In-session workshop / side event to exchange experiences and discuss gaps, challenges</w:t>
            </w:r>
          </w:p>
        </w:tc>
        <w:tc>
          <w:tcPr>
            <w:tcW w:w="1276" w:type="dxa"/>
          </w:tcPr>
          <w:p w14:paraId="3A92584E"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r w:rsidRPr="006E07A1">
              <w:rPr>
                <w:kern w:val="22"/>
              </w:rPr>
              <w:t xml:space="preserve"> 2026</w:t>
            </w:r>
          </w:p>
        </w:tc>
        <w:tc>
          <w:tcPr>
            <w:tcW w:w="1985" w:type="dxa"/>
          </w:tcPr>
          <w:p w14:paraId="1B52718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Leading:</w:t>
            </w:r>
            <w:r w:rsidRPr="006E07A1">
              <w:rPr>
                <w:kern w:val="22"/>
              </w:rPr>
              <w:t xml:space="preserve"> Parties, relevant organizations</w:t>
            </w:r>
          </w:p>
        </w:tc>
      </w:tr>
      <w:tr w:rsidR="00FE6115" w:rsidRPr="00187CE1" w14:paraId="41C8C92B" w14:textId="77777777" w:rsidTr="006E07A1">
        <w:tc>
          <w:tcPr>
            <w:tcW w:w="3257" w:type="dxa"/>
            <w:vMerge w:val="restart"/>
          </w:tcPr>
          <w:p w14:paraId="133B277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3.5 Ensure that national reports and submissions under the Convention on Biological Diversity provide information on the implementation of the </w:t>
            </w:r>
            <w:r>
              <w:rPr>
                <w:kern w:val="22"/>
              </w:rPr>
              <w:t>G</w:t>
            </w:r>
            <w:r w:rsidRPr="006E07A1">
              <w:rPr>
                <w:kern w:val="22"/>
              </w:rPr>
              <w:t xml:space="preserve">ender </w:t>
            </w:r>
            <w:r>
              <w:rPr>
                <w:kern w:val="22"/>
              </w:rPr>
              <w:t>P</w:t>
            </w:r>
            <w:r w:rsidRPr="006E07A1">
              <w:rPr>
                <w:kern w:val="22"/>
              </w:rPr>
              <w:t xml:space="preserve">lan of </w:t>
            </w:r>
            <w:r>
              <w:rPr>
                <w:kern w:val="22"/>
              </w:rPr>
              <w:t>A</w:t>
            </w:r>
            <w:r w:rsidRPr="006E07A1">
              <w:rPr>
                <w:kern w:val="22"/>
              </w:rPr>
              <w:t xml:space="preserve">ction and 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p>
        </w:tc>
        <w:tc>
          <w:tcPr>
            <w:tcW w:w="4394" w:type="dxa"/>
          </w:tcPr>
          <w:p w14:paraId="5F666177"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3.5.1</w:t>
            </w:r>
            <w:r>
              <w:rPr>
                <w:kern w:val="22"/>
              </w:rPr>
              <w:tab/>
            </w:r>
            <w:r w:rsidRPr="006E07A1">
              <w:rPr>
                <w:kern w:val="22"/>
              </w:rPr>
              <w:t>Identify and compile best practices, lessons learned and gaps in gender responsive implementation, monitoring and reporting, with the engagement of women’s organizations and networks, and gender experts</w:t>
            </w:r>
          </w:p>
        </w:tc>
        <w:tc>
          <w:tcPr>
            <w:tcW w:w="3117" w:type="dxa"/>
          </w:tcPr>
          <w:p w14:paraId="75B5EC84"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t>Best practices, lessons learned and identified gaps presented in in-session meetings or side events and shared on the website of the Convention on Biological Diversity</w:t>
            </w:r>
          </w:p>
        </w:tc>
        <w:tc>
          <w:tcPr>
            <w:tcW w:w="1276" w:type="dxa"/>
          </w:tcPr>
          <w:p w14:paraId="5F3F7F6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r w:rsidRPr="006E07A1">
              <w:rPr>
                <w:kern w:val="22"/>
              </w:rPr>
              <w:t xml:space="preserve"> 2026</w:t>
            </w:r>
          </w:p>
        </w:tc>
        <w:tc>
          <w:tcPr>
            <w:tcW w:w="1985" w:type="dxa"/>
          </w:tcPr>
          <w:p w14:paraId="2208AC5A"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women’s groups/</w:t>
            </w:r>
            <w:r>
              <w:rPr>
                <w:kern w:val="22"/>
              </w:rPr>
              <w:t xml:space="preserve"> </w:t>
            </w:r>
            <w:r w:rsidRPr="006E07A1">
              <w:rPr>
                <w:kern w:val="22"/>
              </w:rPr>
              <w:t>networks, relevant organizations, Secretariat</w:t>
            </w:r>
          </w:p>
        </w:tc>
      </w:tr>
      <w:tr w:rsidR="00FE6115" w:rsidRPr="00187CE1" w14:paraId="378A1451" w14:textId="77777777" w:rsidTr="006E07A1">
        <w:tc>
          <w:tcPr>
            <w:tcW w:w="3257" w:type="dxa"/>
            <w:vMerge/>
          </w:tcPr>
          <w:p w14:paraId="4EDA539B"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28C64B1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3.5.2</w:t>
            </w:r>
            <w:r>
              <w:rPr>
                <w:kern w:val="22"/>
              </w:rPr>
              <w:tab/>
            </w:r>
            <w:r w:rsidRPr="006E07A1">
              <w:rPr>
                <w:kern w:val="22"/>
              </w:rPr>
              <w:t xml:space="preserve">Use gender-specific indicators and data disaggregated by sex in reporting on progress towards implementation of the goals and targets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rPr>
              <w:t xml:space="preserve">, and report on progress in implementation of the </w:t>
            </w:r>
            <w:r>
              <w:rPr>
                <w:kern w:val="22"/>
              </w:rPr>
              <w:t>G</w:t>
            </w:r>
            <w:r w:rsidRPr="006E07A1">
              <w:rPr>
                <w:kern w:val="22"/>
              </w:rPr>
              <w:t xml:space="preserve">ender </w:t>
            </w:r>
            <w:r>
              <w:rPr>
                <w:kern w:val="22"/>
              </w:rPr>
              <w:t>P</w:t>
            </w:r>
            <w:r w:rsidRPr="006E07A1">
              <w:rPr>
                <w:kern w:val="22"/>
              </w:rPr>
              <w:t xml:space="preserve">lan of </w:t>
            </w:r>
            <w:r>
              <w:rPr>
                <w:kern w:val="22"/>
              </w:rPr>
              <w:t>A</w:t>
            </w:r>
            <w:r w:rsidRPr="006E07A1">
              <w:rPr>
                <w:kern w:val="22"/>
              </w:rPr>
              <w:t>ction</w:t>
            </w:r>
          </w:p>
        </w:tc>
        <w:tc>
          <w:tcPr>
            <w:tcW w:w="3117" w:type="dxa"/>
          </w:tcPr>
          <w:p w14:paraId="5A3C36EE"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National reports under the Convention on Biological Diversity include reporting on implementation of the </w:t>
            </w:r>
            <w:r>
              <w:rPr>
                <w:kern w:val="22"/>
              </w:rPr>
              <w:t>G</w:t>
            </w:r>
            <w:r w:rsidRPr="006E07A1">
              <w:rPr>
                <w:kern w:val="22"/>
              </w:rPr>
              <w:t xml:space="preserve">ender </w:t>
            </w:r>
            <w:r>
              <w:rPr>
                <w:kern w:val="22"/>
              </w:rPr>
              <w:t>P</w:t>
            </w:r>
            <w:r w:rsidRPr="006E07A1">
              <w:rPr>
                <w:kern w:val="22"/>
              </w:rPr>
              <w:t xml:space="preserve">lan of </w:t>
            </w:r>
            <w:r>
              <w:rPr>
                <w:kern w:val="22"/>
              </w:rPr>
              <w:t>A</w:t>
            </w:r>
            <w:r w:rsidRPr="006E07A1">
              <w:rPr>
                <w:kern w:val="22"/>
              </w:rPr>
              <w:t>ction and include gender-specific indicators and sex-disaggregated data</w:t>
            </w:r>
          </w:p>
        </w:tc>
        <w:tc>
          <w:tcPr>
            <w:tcW w:w="1276" w:type="dxa"/>
          </w:tcPr>
          <w:p w14:paraId="5314266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t>Timeframe:</w:t>
            </w:r>
            <w:r w:rsidRPr="006E07A1">
              <w:rPr>
                <w:kern w:val="22"/>
              </w:rPr>
              <w:t xml:space="preserve"> 2030</w:t>
            </w:r>
          </w:p>
        </w:tc>
        <w:tc>
          <w:tcPr>
            <w:tcW w:w="1985" w:type="dxa"/>
          </w:tcPr>
          <w:p w14:paraId="4712CE88"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w:t>
            </w:r>
          </w:p>
        </w:tc>
      </w:tr>
      <w:tr w:rsidR="00FE6115" w:rsidRPr="00187CE1" w14:paraId="265FADBC" w14:textId="77777777" w:rsidTr="006E07A1">
        <w:tc>
          <w:tcPr>
            <w:tcW w:w="3257" w:type="dxa"/>
            <w:vMerge/>
          </w:tcPr>
          <w:p w14:paraId="473A4A4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p>
        </w:tc>
        <w:tc>
          <w:tcPr>
            <w:tcW w:w="4394" w:type="dxa"/>
          </w:tcPr>
          <w:p w14:paraId="223F8FDC"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3.5.3</w:t>
            </w:r>
            <w:r>
              <w:rPr>
                <w:kern w:val="22"/>
              </w:rPr>
              <w:tab/>
            </w:r>
            <w:r w:rsidRPr="006E07A1">
              <w:rPr>
                <w:kern w:val="22"/>
              </w:rPr>
              <w:t>Integrate reporting on women’s and girl’s contributions to the conservation and sustainable use of biodiversity, and on the mainstreaming of gender considerations into NBSAPs, including their implementation, budgeting and reporting, in existing national reporting mechanisms</w:t>
            </w:r>
          </w:p>
        </w:tc>
        <w:tc>
          <w:tcPr>
            <w:tcW w:w="3117" w:type="dxa"/>
          </w:tcPr>
          <w:p w14:paraId="7B7EA224" w14:textId="77777777" w:rsidR="00FE6115" w:rsidRPr="006E07A1" w:rsidRDefault="00FE6115" w:rsidP="00DB2426">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National reports under the Convention on Biological Diversity include reporting on women’s and girl’s contributions to the conservation and sustainable use of biodiversity, and on the mainstreaming of </w:t>
            </w:r>
            <w:r w:rsidRPr="006E07A1">
              <w:rPr>
                <w:kern w:val="22"/>
              </w:rPr>
              <w:lastRenderedPageBreak/>
              <w:t>gender considerations into NBSAPs, including their implementation, budgeting and reporting</w:t>
            </w:r>
          </w:p>
        </w:tc>
        <w:tc>
          <w:tcPr>
            <w:tcW w:w="1276" w:type="dxa"/>
          </w:tcPr>
          <w:p w14:paraId="441F3A43"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i/>
                <w:iCs/>
                <w:kern w:val="22"/>
              </w:rPr>
            </w:pPr>
            <w:r w:rsidRPr="006E07A1">
              <w:rPr>
                <w:i/>
                <w:iCs/>
                <w:kern w:val="22"/>
              </w:rPr>
              <w:lastRenderedPageBreak/>
              <w:t>Timeframe:</w:t>
            </w:r>
            <w:r w:rsidRPr="006E07A1">
              <w:rPr>
                <w:kern w:val="22"/>
              </w:rPr>
              <w:t xml:space="preserve"> 2030</w:t>
            </w:r>
          </w:p>
        </w:tc>
        <w:tc>
          <w:tcPr>
            <w:tcW w:w="1985" w:type="dxa"/>
          </w:tcPr>
          <w:p w14:paraId="7D0AE77D"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relevant organizations</w:t>
            </w:r>
          </w:p>
        </w:tc>
      </w:tr>
      <w:tr w:rsidR="00FE6115" w:rsidRPr="00187CE1" w14:paraId="0B9AB211" w14:textId="77777777" w:rsidTr="006E07A1">
        <w:tc>
          <w:tcPr>
            <w:tcW w:w="3257" w:type="dxa"/>
            <w:vMerge w:val="restart"/>
          </w:tcPr>
          <w:p w14:paraId="3F98BA9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kern w:val="22"/>
              </w:rPr>
              <w:t xml:space="preserve">3.6 Allocate adequate human and financial resources to support </w:t>
            </w:r>
            <w:r w:rsidRPr="006E07A1">
              <w:rPr>
                <w:rFonts w:asciiTheme="majorBidi" w:hAnsiTheme="majorBidi" w:cstheme="majorBidi"/>
                <w:kern w:val="22"/>
              </w:rPr>
              <w:t xml:space="preserve">rights-based </w:t>
            </w:r>
            <w:r w:rsidRPr="006E07A1">
              <w:rPr>
                <w:kern w:val="22"/>
              </w:rPr>
              <w:t xml:space="preserve">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rPr>
              <w:t>, including by tracking and reporting resource allocations for gender initiatives, and applying gender-responsive budgeting</w:t>
            </w:r>
          </w:p>
        </w:tc>
        <w:tc>
          <w:tcPr>
            <w:tcW w:w="4394" w:type="dxa"/>
          </w:tcPr>
          <w:p w14:paraId="613A527F"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3.6.1</w:t>
            </w:r>
            <w:r>
              <w:rPr>
                <w:kern w:val="22"/>
              </w:rPr>
              <w:tab/>
            </w:r>
            <w:r w:rsidRPr="006E07A1">
              <w:rPr>
                <w:kern w:val="22"/>
              </w:rPr>
              <w:t>Raise awareness of the financial and technical support available for promoting gender responsive approaches to biodiversity-related policies, plans, strategies and action, including good practices to facilitate access to finance for grass-roots women’s organizations</w:t>
            </w:r>
            <w:r>
              <w:rPr>
                <w:kern w:val="22"/>
              </w:rPr>
              <w:t xml:space="preserve"> and</w:t>
            </w:r>
            <w:r w:rsidRPr="006E07A1">
              <w:rPr>
                <w:kern w:val="22"/>
              </w:rPr>
              <w:t xml:space="preserve"> indigenous peoples and local communities</w:t>
            </w:r>
          </w:p>
        </w:tc>
        <w:tc>
          <w:tcPr>
            <w:tcW w:w="3117" w:type="dxa"/>
          </w:tcPr>
          <w:p w14:paraId="157BBBB7"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Webinars, communication materials, in-session workshops</w:t>
            </w:r>
          </w:p>
        </w:tc>
        <w:tc>
          <w:tcPr>
            <w:tcW w:w="1276" w:type="dxa"/>
          </w:tcPr>
          <w:p w14:paraId="46DD0C55"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rPr>
              <w:t>Timeframe:</w:t>
            </w:r>
            <w:r w:rsidRPr="006E07A1">
              <w:rPr>
                <w:kern w:val="22"/>
              </w:rPr>
              <w:t xml:space="preserve"> 2024, 2026</w:t>
            </w:r>
          </w:p>
        </w:tc>
        <w:tc>
          <w:tcPr>
            <w:tcW w:w="1985" w:type="dxa"/>
          </w:tcPr>
          <w:p w14:paraId="292F0334"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r w:rsidRPr="006E07A1">
              <w:rPr>
                <w:i/>
                <w:iCs/>
                <w:kern w:val="22"/>
              </w:rPr>
              <w:t>Leading:</w:t>
            </w:r>
            <w:r w:rsidRPr="006E07A1">
              <w:rPr>
                <w:kern w:val="22"/>
              </w:rPr>
              <w:t xml:space="preserve"> Secretariat, relevant organizations</w:t>
            </w:r>
          </w:p>
        </w:tc>
      </w:tr>
      <w:tr w:rsidR="00FE6115" w:rsidRPr="00187CE1" w14:paraId="0D297996" w14:textId="77777777" w:rsidTr="006E07A1">
        <w:tc>
          <w:tcPr>
            <w:tcW w:w="3257" w:type="dxa"/>
            <w:vMerge/>
          </w:tcPr>
          <w:p w14:paraId="48ADF74A"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kern w:val="22"/>
              </w:rPr>
            </w:pPr>
          </w:p>
        </w:tc>
        <w:tc>
          <w:tcPr>
            <w:tcW w:w="4394" w:type="dxa"/>
          </w:tcPr>
          <w:p w14:paraId="54F4A5CD"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Pr>
                <w:kern w:val="22"/>
              </w:rPr>
              <w:t>3.6.2</w:t>
            </w:r>
            <w:r>
              <w:rPr>
                <w:kern w:val="22"/>
              </w:rPr>
              <w:tab/>
            </w:r>
            <w:r w:rsidRPr="006E07A1">
              <w:rPr>
                <w:kern w:val="22"/>
              </w:rPr>
              <w:t xml:space="preserve">Establish targeted funding programmes or budget lines to support gender-responsive implementation of the </w:t>
            </w:r>
            <w:r>
              <w:rPr>
                <w:kern w:val="22"/>
              </w:rPr>
              <w:t>Kunming-Montreal</w:t>
            </w:r>
            <w:r w:rsidRPr="006A227D">
              <w:rPr>
                <w:kern w:val="22"/>
              </w:rPr>
              <w:t xml:space="preserve"> </w:t>
            </w:r>
            <w:r>
              <w:rPr>
                <w:kern w:val="22"/>
              </w:rPr>
              <w:t>G</w:t>
            </w:r>
            <w:r w:rsidRPr="006A227D">
              <w:rPr>
                <w:kern w:val="22"/>
              </w:rPr>
              <w:t xml:space="preserve">lobal </w:t>
            </w:r>
            <w:r>
              <w:rPr>
                <w:kern w:val="22"/>
              </w:rPr>
              <w:t>B</w:t>
            </w:r>
            <w:r w:rsidRPr="006A227D">
              <w:rPr>
                <w:kern w:val="22"/>
              </w:rPr>
              <w:t xml:space="preserve">iodiversity </w:t>
            </w:r>
            <w:r>
              <w:rPr>
                <w:kern w:val="22"/>
              </w:rPr>
              <w:t>F</w:t>
            </w:r>
            <w:r w:rsidRPr="006A227D">
              <w:rPr>
                <w:kern w:val="22"/>
              </w:rPr>
              <w:t>ramework</w:t>
            </w:r>
            <w:r w:rsidRPr="006E07A1">
              <w:rPr>
                <w:kern w:val="22"/>
              </w:rPr>
              <w:t xml:space="preserve"> and </w:t>
            </w:r>
            <w:r>
              <w:rPr>
                <w:kern w:val="22"/>
              </w:rPr>
              <w:t xml:space="preserve">of </w:t>
            </w:r>
            <w:r w:rsidRPr="006E07A1">
              <w:rPr>
                <w:kern w:val="22"/>
              </w:rPr>
              <w:t xml:space="preserve">the </w:t>
            </w:r>
            <w:r>
              <w:rPr>
                <w:kern w:val="22"/>
              </w:rPr>
              <w:t>G</w:t>
            </w:r>
            <w:r w:rsidRPr="006E07A1">
              <w:rPr>
                <w:kern w:val="22"/>
              </w:rPr>
              <w:t xml:space="preserve">ender </w:t>
            </w:r>
            <w:r>
              <w:rPr>
                <w:kern w:val="22"/>
              </w:rPr>
              <w:t>P</w:t>
            </w:r>
            <w:r w:rsidRPr="006E07A1">
              <w:rPr>
                <w:kern w:val="22"/>
              </w:rPr>
              <w:t xml:space="preserve">lan of </w:t>
            </w:r>
            <w:r>
              <w:rPr>
                <w:kern w:val="22"/>
              </w:rPr>
              <w:t>A</w:t>
            </w:r>
            <w:r w:rsidRPr="006E07A1">
              <w:rPr>
                <w:kern w:val="22"/>
              </w:rPr>
              <w:t>ction</w:t>
            </w:r>
          </w:p>
        </w:tc>
        <w:tc>
          <w:tcPr>
            <w:tcW w:w="3117" w:type="dxa"/>
          </w:tcPr>
          <w:p w14:paraId="48899418" w14:textId="77777777" w:rsidR="00FE6115" w:rsidRPr="006E07A1" w:rsidRDefault="00FE6115" w:rsidP="005F0753">
            <w:pPr>
              <w:suppressLineNumbers/>
              <w:suppressAutoHyphens/>
              <w:kinsoku w:val="0"/>
              <w:overflowPunct w:val="0"/>
              <w:autoSpaceDE w:val="0"/>
              <w:autoSpaceDN w:val="0"/>
              <w:adjustRightInd w:val="0"/>
              <w:snapToGrid w:val="0"/>
              <w:spacing w:before="60" w:after="60"/>
              <w:jc w:val="left"/>
              <w:rPr>
                <w:kern w:val="22"/>
              </w:rPr>
            </w:pPr>
            <w:r w:rsidRPr="006E07A1">
              <w:rPr>
                <w:kern w:val="22"/>
              </w:rPr>
              <w:t>Targeted funding programmes and budget lines</w:t>
            </w:r>
          </w:p>
        </w:tc>
        <w:tc>
          <w:tcPr>
            <w:tcW w:w="1276" w:type="dxa"/>
          </w:tcPr>
          <w:p w14:paraId="610348C3" w14:textId="77777777" w:rsidR="00FE6115" w:rsidRPr="006E07A1" w:rsidRDefault="00FE6115" w:rsidP="005F0753">
            <w:pPr>
              <w:suppressLineNumbers/>
              <w:suppressAutoHyphens/>
              <w:kinsoku w:val="0"/>
              <w:overflowPunct w:val="0"/>
              <w:autoSpaceDE w:val="0"/>
              <w:autoSpaceDN w:val="0"/>
              <w:adjustRightInd w:val="0"/>
              <w:snapToGrid w:val="0"/>
              <w:spacing w:before="60" w:after="60"/>
              <w:rPr>
                <w:i/>
                <w:iCs/>
                <w:kern w:val="22"/>
              </w:rPr>
            </w:pPr>
            <w:r w:rsidRPr="006E07A1">
              <w:rPr>
                <w:i/>
                <w:iCs/>
                <w:kern w:val="22"/>
              </w:rPr>
              <w:t>Timeframe:</w:t>
            </w:r>
            <w:r w:rsidRPr="006E07A1">
              <w:rPr>
                <w:kern w:val="22"/>
              </w:rPr>
              <w:t xml:space="preserve"> 2026</w:t>
            </w:r>
          </w:p>
        </w:tc>
        <w:tc>
          <w:tcPr>
            <w:tcW w:w="1985" w:type="dxa"/>
          </w:tcPr>
          <w:p w14:paraId="560B5E32" w14:textId="77777777" w:rsidR="00FE6115" w:rsidRPr="006E07A1" w:rsidRDefault="00FE6115" w:rsidP="006E07A1">
            <w:pPr>
              <w:suppressLineNumbers/>
              <w:suppressAutoHyphens/>
              <w:kinsoku w:val="0"/>
              <w:overflowPunct w:val="0"/>
              <w:autoSpaceDE w:val="0"/>
              <w:autoSpaceDN w:val="0"/>
              <w:adjustRightInd w:val="0"/>
              <w:snapToGrid w:val="0"/>
              <w:spacing w:before="60" w:after="60"/>
              <w:jc w:val="left"/>
              <w:rPr>
                <w:kern w:val="22"/>
              </w:rPr>
            </w:pPr>
            <w:r w:rsidRPr="006E07A1">
              <w:rPr>
                <w:i/>
                <w:iCs/>
                <w:kern w:val="22"/>
              </w:rPr>
              <w:t>Leading:</w:t>
            </w:r>
            <w:r w:rsidRPr="006E07A1">
              <w:rPr>
                <w:kern w:val="22"/>
              </w:rPr>
              <w:t xml:space="preserve"> Parties, Global Environment Facility, and other relevant organizations</w:t>
            </w:r>
          </w:p>
        </w:tc>
      </w:tr>
    </w:tbl>
    <w:p w14:paraId="0B2A25AB" w14:textId="7D1EA4B7" w:rsidR="00FE6115" w:rsidRPr="006E07A1" w:rsidRDefault="00FE6115" w:rsidP="001927FC">
      <w:pPr>
        <w:jc w:val="center"/>
        <w:rPr>
          <w:szCs w:val="22"/>
        </w:rPr>
      </w:pPr>
    </w:p>
    <w:p w14:paraId="1BA1F24D" w14:textId="77777777" w:rsidR="0094446B" w:rsidRDefault="0094446B" w:rsidP="00562979">
      <w:pPr>
        <w:jc w:val="center"/>
        <w:sectPr w:rsidR="0094446B" w:rsidSect="00982FED">
          <w:headerReference w:type="even" r:id="rId30"/>
          <w:pgSz w:w="15840" w:h="12240" w:orient="landscape"/>
          <w:pgMar w:top="1440" w:right="567" w:bottom="1440" w:left="1134" w:header="709" w:footer="709" w:gutter="0"/>
          <w:cols w:space="708"/>
          <w:docGrid w:linePitch="360"/>
        </w:sectPr>
      </w:pPr>
    </w:p>
    <w:p w14:paraId="275B1639" w14:textId="77777777" w:rsidR="0094446B" w:rsidRDefault="0094446B" w:rsidP="00F758A6">
      <w:pPr>
        <w:pStyle w:val="decision"/>
        <w:rPr>
          <w:bCs/>
          <w:i/>
          <w:iCs/>
        </w:rPr>
      </w:pPr>
      <w:bookmarkStart w:id="143" w:name="_Toc150438810"/>
      <w:bookmarkStart w:id="144" w:name="_Toc150670510"/>
      <w:bookmarkStart w:id="145" w:name="_Toc150670620"/>
      <w:bookmarkStart w:id="146" w:name="_Toc150761122"/>
      <w:r>
        <w:lastRenderedPageBreak/>
        <w:t>15/12.</w:t>
      </w:r>
      <w:r>
        <w:tab/>
      </w:r>
      <w:r w:rsidRPr="00FC4EF0">
        <w:t xml:space="preserve">Engagement with subnational governments, cities and other local authorities to enhance implementation of the </w:t>
      </w:r>
      <w:r>
        <w:t>Kunming-Montreal</w:t>
      </w:r>
      <w:r w:rsidRPr="00FC4EF0">
        <w:t xml:space="preserve"> </w:t>
      </w:r>
      <w:r>
        <w:t>G</w:t>
      </w:r>
      <w:r w:rsidRPr="00FC4EF0">
        <w:t xml:space="preserve">lobal </w:t>
      </w:r>
      <w:r>
        <w:t>B</w:t>
      </w:r>
      <w:r w:rsidRPr="00FC4EF0">
        <w:t xml:space="preserve">iodiversity </w:t>
      </w:r>
      <w:r>
        <w:t>F</w:t>
      </w:r>
      <w:r w:rsidRPr="00FC4EF0">
        <w:t>ramework</w:t>
      </w:r>
      <w:bookmarkEnd w:id="143"/>
      <w:bookmarkEnd w:id="144"/>
      <w:bookmarkEnd w:id="145"/>
      <w:bookmarkEnd w:id="146"/>
      <w:r w:rsidRPr="00F854FF">
        <w:t xml:space="preserve"> </w:t>
      </w:r>
    </w:p>
    <w:p w14:paraId="6C704BD7" w14:textId="77777777" w:rsidR="0094446B" w:rsidRPr="008022A0" w:rsidRDefault="0094446B"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The Conference of the Parties</w:t>
      </w:r>
      <w:r w:rsidRPr="008022A0">
        <w:rPr>
          <w:kern w:val="22"/>
          <w:szCs w:val="22"/>
          <w14:cntxtAlts/>
        </w:rPr>
        <w:t>,</w:t>
      </w:r>
    </w:p>
    <w:p w14:paraId="2B1A6DB8" w14:textId="2A16E3BB" w:rsidR="0094446B" w:rsidRDefault="0094446B" w:rsidP="00F854FF">
      <w:pPr>
        <w:pStyle w:val="StylePara1Kernat11pt"/>
        <w:suppressLineNumbers/>
        <w:suppressAutoHyphens/>
        <w:kinsoku w:val="0"/>
        <w:overflowPunct w:val="0"/>
        <w:autoSpaceDE w:val="0"/>
        <w:autoSpaceDN w:val="0"/>
        <w:adjustRightInd w:val="0"/>
        <w:ind w:firstLine="720"/>
        <w:jc w:val="both"/>
        <w:rPr>
          <w:i/>
          <w:iCs/>
          <w:sz w:val="22"/>
          <w:szCs w:val="22"/>
        </w:rPr>
      </w:pPr>
      <w:r w:rsidRPr="001F147F">
        <w:rPr>
          <w:i/>
          <w:iCs/>
          <w:sz w:val="22"/>
          <w:szCs w:val="22"/>
          <w:lang w:val="en-GB"/>
        </w:rPr>
        <w:t>Recalling</w:t>
      </w:r>
      <w:r w:rsidRPr="001F147F">
        <w:rPr>
          <w:iCs/>
          <w:sz w:val="22"/>
          <w:szCs w:val="22"/>
          <w:lang w:val="en-GB"/>
        </w:rPr>
        <w:t xml:space="preserve"> decisions </w:t>
      </w:r>
      <w:hyperlink r:id="rId31" w:history="1">
        <w:r w:rsidRPr="001F147F">
          <w:rPr>
            <w:rStyle w:val="Hyperlink"/>
            <w:iCs/>
            <w:sz w:val="22"/>
            <w:szCs w:val="22"/>
            <w:lang w:val="en-GB"/>
          </w:rPr>
          <w:t>X/22</w:t>
        </w:r>
      </w:hyperlink>
      <w:r w:rsidRPr="001F147F">
        <w:rPr>
          <w:iCs/>
          <w:sz w:val="22"/>
          <w:szCs w:val="22"/>
          <w:lang w:val="en-GB"/>
        </w:rPr>
        <w:t xml:space="preserve"> and </w:t>
      </w:r>
      <w:hyperlink r:id="rId32" w:history="1">
        <w:r w:rsidRPr="001F147F">
          <w:rPr>
            <w:rStyle w:val="Hyperlink"/>
            <w:iCs/>
            <w:sz w:val="22"/>
            <w:szCs w:val="22"/>
            <w:lang w:val="en-GB"/>
          </w:rPr>
          <w:t>XII/9</w:t>
        </w:r>
      </w:hyperlink>
      <w:r w:rsidRPr="001F147F">
        <w:rPr>
          <w:iCs/>
          <w:sz w:val="22"/>
          <w:szCs w:val="22"/>
          <w:lang w:val="en-GB"/>
        </w:rPr>
        <w:t>,</w:t>
      </w:r>
    </w:p>
    <w:p w14:paraId="2FEFF400" w14:textId="77777777" w:rsidR="0094446B" w:rsidRPr="00EE76F3" w:rsidRDefault="0094446B" w:rsidP="00F854FF">
      <w:pPr>
        <w:pStyle w:val="StylePara1Kernat11pt"/>
        <w:suppressLineNumbers/>
        <w:suppressAutoHyphens/>
        <w:kinsoku w:val="0"/>
        <w:overflowPunct w:val="0"/>
        <w:autoSpaceDE w:val="0"/>
        <w:autoSpaceDN w:val="0"/>
        <w:adjustRightInd w:val="0"/>
        <w:ind w:firstLine="720"/>
        <w:jc w:val="both"/>
        <w:rPr>
          <w:sz w:val="22"/>
          <w:szCs w:val="22"/>
        </w:rPr>
      </w:pPr>
      <w:r w:rsidRPr="00EE76F3">
        <w:rPr>
          <w:rFonts w:asciiTheme="majorBidi" w:hAnsiTheme="majorBidi" w:cstheme="majorBidi"/>
          <w:i/>
          <w:sz w:val="22"/>
          <w:szCs w:val="22"/>
        </w:rPr>
        <w:t>Recalling</w:t>
      </w:r>
      <w:r>
        <w:rPr>
          <w:rFonts w:asciiTheme="majorBidi" w:hAnsiTheme="majorBidi" w:cstheme="majorBidi"/>
          <w:i/>
          <w:sz w:val="22"/>
          <w:szCs w:val="22"/>
        </w:rPr>
        <w:t xml:space="preserve"> also</w:t>
      </w:r>
      <w:r w:rsidRPr="00EE76F3">
        <w:rPr>
          <w:rFonts w:asciiTheme="majorBidi" w:hAnsiTheme="majorBidi" w:cstheme="majorBidi"/>
          <w:i/>
          <w:sz w:val="22"/>
          <w:szCs w:val="22"/>
        </w:rPr>
        <w:t xml:space="preserve"> </w:t>
      </w:r>
      <w:r w:rsidRPr="00EE76F3">
        <w:rPr>
          <w:rFonts w:asciiTheme="majorBidi" w:hAnsiTheme="majorBidi" w:cstheme="majorBidi"/>
          <w:sz w:val="22"/>
          <w:szCs w:val="22"/>
        </w:rPr>
        <w:t xml:space="preserve">the Plan of Action on Subnational Governments, Cities and Other Local Authorities for </w:t>
      </w:r>
      <w:r w:rsidRPr="00EE76F3">
        <w:rPr>
          <w:sz w:val="22"/>
          <w:szCs w:val="22"/>
        </w:rPr>
        <w:t>Biodiversity</w:t>
      </w:r>
      <w:r>
        <w:rPr>
          <w:sz w:val="22"/>
          <w:szCs w:val="22"/>
        </w:rPr>
        <w:t xml:space="preserve"> (</w:t>
      </w:r>
      <w:r w:rsidRPr="00EE76F3">
        <w:rPr>
          <w:rFonts w:asciiTheme="majorBidi" w:hAnsiTheme="majorBidi" w:cstheme="majorBidi"/>
          <w:sz w:val="22"/>
          <w:szCs w:val="22"/>
        </w:rPr>
        <w:t>2011-2020</w:t>
      </w:r>
      <w:r>
        <w:rPr>
          <w:rFonts w:asciiTheme="majorBidi" w:hAnsiTheme="majorBidi" w:cstheme="majorBidi"/>
          <w:sz w:val="22"/>
          <w:szCs w:val="22"/>
        </w:rPr>
        <w:t>)</w:t>
      </w:r>
      <w:r w:rsidRPr="00EE76F3">
        <w:rPr>
          <w:rFonts w:asciiTheme="majorBidi" w:hAnsiTheme="majorBidi" w:cstheme="majorBidi"/>
          <w:sz w:val="22"/>
          <w:szCs w:val="22"/>
        </w:rPr>
        <w:t>,</w:t>
      </w:r>
      <w:r w:rsidRPr="00610646">
        <w:rPr>
          <w:rStyle w:val="FootnoteReference"/>
        </w:rPr>
        <w:footnoteReference w:id="122"/>
      </w:r>
      <w:r w:rsidRPr="00EE76F3">
        <w:rPr>
          <w:rFonts w:asciiTheme="majorBidi" w:hAnsiTheme="majorBidi" w:cstheme="majorBidi"/>
          <w:sz w:val="22"/>
          <w:szCs w:val="22"/>
        </w:rPr>
        <w:t xml:space="preserve"> and welcoming progres</w:t>
      </w:r>
      <w:r w:rsidRPr="00EE76F3">
        <w:rPr>
          <w:rFonts w:asciiTheme="majorBidi" w:hAnsiTheme="majorBidi" w:cstheme="majorBidi"/>
          <w:i/>
          <w:sz w:val="22"/>
          <w:szCs w:val="22"/>
        </w:rPr>
        <w:t xml:space="preserve">s </w:t>
      </w:r>
      <w:r w:rsidRPr="00EE76F3">
        <w:rPr>
          <w:rFonts w:asciiTheme="majorBidi" w:hAnsiTheme="majorBidi" w:cstheme="majorBidi"/>
          <w:sz w:val="22"/>
          <w:szCs w:val="22"/>
        </w:rPr>
        <w:t>in its successful implementation</w:t>
      </w:r>
      <w:r w:rsidRPr="00EE76F3">
        <w:rPr>
          <w:rFonts w:asciiTheme="majorBidi" w:hAnsiTheme="majorBidi" w:cstheme="majorBidi"/>
          <w:i/>
          <w:sz w:val="22"/>
          <w:szCs w:val="22"/>
        </w:rPr>
        <w:t>,</w:t>
      </w:r>
    </w:p>
    <w:p w14:paraId="23707AC5"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5E2D95">
        <w:rPr>
          <w:i/>
          <w:iCs/>
          <w:sz w:val="22"/>
          <w:szCs w:val="22"/>
        </w:rPr>
        <w:t xml:space="preserve">Noting </w:t>
      </w:r>
      <w:r w:rsidRPr="005E2D95">
        <w:rPr>
          <w:sz w:val="22"/>
          <w:szCs w:val="22"/>
        </w:rPr>
        <w:t xml:space="preserve">that, while responsibilities for implementation of the Convention rest with the Parties, there are multiple reasons for promoting the engagement of </w:t>
      </w:r>
      <w:r>
        <w:rPr>
          <w:sz w:val="22"/>
          <w:szCs w:val="22"/>
        </w:rPr>
        <w:t xml:space="preserve">subnational governments, </w:t>
      </w:r>
      <w:r w:rsidRPr="005E2D95">
        <w:rPr>
          <w:sz w:val="22"/>
          <w:szCs w:val="22"/>
        </w:rPr>
        <w:t xml:space="preserve">cities and </w:t>
      </w:r>
      <w:r>
        <w:rPr>
          <w:sz w:val="22"/>
          <w:szCs w:val="22"/>
        </w:rPr>
        <w:t xml:space="preserve">other </w:t>
      </w:r>
      <w:r w:rsidRPr="005E2D95">
        <w:rPr>
          <w:sz w:val="22"/>
          <w:szCs w:val="22"/>
        </w:rPr>
        <w:t>local authorities in the implementation of the Convention,</w:t>
      </w:r>
    </w:p>
    <w:p w14:paraId="2D229815"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Pr>
          <w:i/>
          <w:sz w:val="22"/>
          <w:szCs w:val="22"/>
          <w:lang w:val="en-GB"/>
        </w:rPr>
        <w:t>N</w:t>
      </w:r>
      <w:r w:rsidRPr="001F147F">
        <w:rPr>
          <w:i/>
          <w:sz w:val="22"/>
          <w:szCs w:val="22"/>
          <w:lang w:val="en-GB"/>
        </w:rPr>
        <w:t>oting</w:t>
      </w:r>
      <w:r>
        <w:rPr>
          <w:i/>
          <w:sz w:val="22"/>
          <w:szCs w:val="22"/>
          <w:lang w:val="en-GB"/>
        </w:rPr>
        <w:t xml:space="preserve"> also</w:t>
      </w:r>
      <w:r w:rsidRPr="001F147F">
        <w:rPr>
          <w:i/>
          <w:sz w:val="22"/>
          <w:szCs w:val="22"/>
          <w:lang w:val="en-GB"/>
        </w:rPr>
        <w:t xml:space="preserve"> </w:t>
      </w:r>
      <w:r w:rsidRPr="001F147F">
        <w:rPr>
          <w:sz w:val="22"/>
          <w:szCs w:val="22"/>
          <w:lang w:val="en-GB"/>
        </w:rPr>
        <w:t>that subnational governments</w:t>
      </w:r>
      <w:r w:rsidRPr="001F147F">
        <w:rPr>
          <w:iCs/>
          <w:sz w:val="22"/>
          <w:szCs w:val="22"/>
          <w:lang w:val="en-GB"/>
        </w:rPr>
        <w:t>, cities and other local authorities</w:t>
      </w:r>
      <w:r w:rsidRPr="001F147F">
        <w:rPr>
          <w:sz w:val="22"/>
          <w:szCs w:val="22"/>
          <w:lang w:val="en-GB"/>
        </w:rPr>
        <w:t xml:space="preserve"> are a constituent part of many Parties and other Governments, </w:t>
      </w:r>
      <w:r w:rsidRPr="001F147F">
        <w:rPr>
          <w:iCs/>
          <w:sz w:val="22"/>
          <w:szCs w:val="22"/>
          <w:lang w:val="en-GB"/>
        </w:rPr>
        <w:t xml:space="preserve">and that the implementation and monitoring of the </w:t>
      </w:r>
      <w:r w:rsidRPr="008123B7">
        <w:rPr>
          <w:sz w:val="22"/>
          <w:szCs w:val="22"/>
        </w:rPr>
        <w:t>Kunming-Montreal</w:t>
      </w:r>
      <w:r w:rsidRPr="00B936AE">
        <w:rPr>
          <w:sz w:val="22"/>
          <w:szCs w:val="22"/>
        </w:rPr>
        <w:t xml:space="preserve"> </w:t>
      </w:r>
      <w:r w:rsidRPr="008123B7">
        <w:rPr>
          <w:sz w:val="22"/>
          <w:szCs w:val="22"/>
        </w:rPr>
        <w:t>G</w:t>
      </w:r>
      <w:r w:rsidRPr="00B936AE">
        <w:rPr>
          <w:sz w:val="22"/>
          <w:szCs w:val="22"/>
        </w:rPr>
        <w:t xml:space="preserve">lobal </w:t>
      </w:r>
      <w:r w:rsidRPr="008123B7">
        <w:rPr>
          <w:sz w:val="22"/>
          <w:szCs w:val="22"/>
        </w:rPr>
        <w:t>B</w:t>
      </w:r>
      <w:r w:rsidRPr="00B936AE">
        <w:rPr>
          <w:sz w:val="22"/>
          <w:szCs w:val="22"/>
        </w:rPr>
        <w:t xml:space="preserve">iodiversity </w:t>
      </w:r>
      <w:r w:rsidRPr="008123B7">
        <w:rPr>
          <w:sz w:val="22"/>
          <w:szCs w:val="22"/>
        </w:rPr>
        <w:t>F</w:t>
      </w:r>
      <w:r w:rsidRPr="00B936AE">
        <w:rPr>
          <w:sz w:val="22"/>
          <w:szCs w:val="22"/>
        </w:rPr>
        <w:t xml:space="preserve">ramework </w:t>
      </w:r>
      <w:r w:rsidRPr="00B936AE">
        <w:rPr>
          <w:iCs/>
          <w:sz w:val="22"/>
          <w:szCs w:val="22"/>
          <w:lang w:val="en-GB"/>
        </w:rPr>
        <w:t>needs to in</w:t>
      </w:r>
      <w:r w:rsidRPr="001F147F">
        <w:rPr>
          <w:iCs/>
          <w:sz w:val="22"/>
          <w:szCs w:val="22"/>
          <w:lang w:val="en-GB"/>
        </w:rPr>
        <w:t>volve all levels of government as appropriate,</w:t>
      </w:r>
    </w:p>
    <w:p w14:paraId="2331202B"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sz w:val="22"/>
          <w:szCs w:val="22"/>
          <w:lang w:val="en-GB"/>
        </w:rPr>
      </w:pPr>
      <w:r w:rsidRPr="001F147F">
        <w:rPr>
          <w:i/>
          <w:sz w:val="22"/>
          <w:szCs w:val="22"/>
          <w:lang w:val="en-GB"/>
        </w:rPr>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cities and other local authorities</w:t>
      </w:r>
      <w:r w:rsidRPr="001F147F">
        <w:rPr>
          <w:sz w:val="22"/>
          <w:szCs w:val="22"/>
          <w:lang w:val="en-GB"/>
        </w:rPr>
        <w:t xml:space="preserve"> in the implementation </w:t>
      </w:r>
      <w:r>
        <w:rPr>
          <w:sz w:val="22"/>
          <w:szCs w:val="22"/>
          <w:lang w:val="en-GB"/>
        </w:rPr>
        <w:t>o</w:t>
      </w:r>
      <w:r w:rsidRPr="001F147F">
        <w:rPr>
          <w:sz w:val="22"/>
          <w:szCs w:val="22"/>
          <w:lang w:val="en-GB"/>
        </w:rPr>
        <w:t xml:space="preserve">f </w:t>
      </w:r>
      <w:r>
        <w:rPr>
          <w:sz w:val="22"/>
          <w:szCs w:val="22"/>
          <w:lang w:val="en-GB"/>
        </w:rPr>
        <w:t>the objectives of the Convention on Biological Diversity,</w:t>
      </w:r>
      <w:r w:rsidRPr="001F147F">
        <w:rPr>
          <w:sz w:val="22"/>
          <w:szCs w:val="22"/>
          <w:lang w:val="en-GB"/>
        </w:rPr>
        <w:t xml:space="preserve"> </w:t>
      </w:r>
      <w:r>
        <w:rPr>
          <w:sz w:val="22"/>
          <w:szCs w:val="22"/>
          <w:lang w:val="en-GB"/>
        </w:rPr>
        <w:t xml:space="preserve">as well as </w:t>
      </w:r>
      <w:r w:rsidRPr="001F147F">
        <w:rPr>
          <w:sz w:val="22"/>
          <w:szCs w:val="22"/>
          <w:lang w:val="en-GB"/>
        </w:rPr>
        <w:t xml:space="preserve">monitoring and reporting, mainstreaming, resource mobilization, capacity-building and communication, education and public awareness, social </w:t>
      </w:r>
      <w:r w:rsidRPr="001F147F">
        <w:rPr>
          <w:bCs/>
          <w:iCs/>
          <w:sz w:val="22"/>
          <w:szCs w:val="22"/>
        </w:rPr>
        <w:t>participation and public access to information,</w:t>
      </w:r>
    </w:p>
    <w:p w14:paraId="2EABD07D" w14:textId="77777777" w:rsidR="0094446B" w:rsidRPr="000C21E6"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
          <w:sz w:val="22"/>
          <w:szCs w:val="22"/>
          <w:lang w:val="en-GB"/>
        </w:rPr>
        <w:t>Recalling</w:t>
      </w:r>
      <w:r w:rsidRPr="000C21E6">
        <w:rPr>
          <w:iCs/>
          <w:sz w:val="22"/>
          <w:szCs w:val="22"/>
          <w:lang w:val="en-GB"/>
        </w:rPr>
        <w:t xml:space="preserve"> pr</w:t>
      </w:r>
      <w:r w:rsidRPr="00226437">
        <w:rPr>
          <w:iCs/>
          <w:sz w:val="22"/>
          <w:szCs w:val="22"/>
          <w:lang w:val="en-GB"/>
        </w:rPr>
        <w:t>i</w:t>
      </w:r>
      <w:r w:rsidRPr="000C21E6">
        <w:rPr>
          <w:iCs/>
          <w:sz w:val="22"/>
          <w:szCs w:val="22"/>
          <w:lang w:val="en-GB"/>
        </w:rPr>
        <w:t>ncip</w:t>
      </w:r>
      <w:r w:rsidRPr="00226437">
        <w:rPr>
          <w:iCs/>
          <w:sz w:val="22"/>
          <w:szCs w:val="22"/>
          <w:lang w:val="en-GB"/>
        </w:rPr>
        <w:t>l</w:t>
      </w:r>
      <w:r w:rsidRPr="000C21E6">
        <w:rPr>
          <w:iCs/>
          <w:sz w:val="22"/>
          <w:szCs w:val="22"/>
          <w:lang w:val="en-GB"/>
        </w:rPr>
        <w:t xml:space="preserve">e 2 of the </w:t>
      </w:r>
      <w:r>
        <w:rPr>
          <w:iCs/>
          <w:sz w:val="22"/>
          <w:szCs w:val="22"/>
          <w:lang w:val="en-GB"/>
        </w:rPr>
        <w:t>ecosystem approach</w:t>
      </w:r>
      <w:r w:rsidRPr="000C21E6">
        <w:rPr>
          <w:iCs/>
          <w:sz w:val="22"/>
          <w:szCs w:val="22"/>
          <w:lang w:val="en-GB"/>
        </w:rPr>
        <w:t xml:space="preserve"> adopted in d</w:t>
      </w:r>
      <w:r w:rsidRPr="00226437">
        <w:rPr>
          <w:iCs/>
          <w:sz w:val="22"/>
          <w:szCs w:val="22"/>
          <w:lang w:val="en-GB"/>
        </w:rPr>
        <w:t>eci</w:t>
      </w:r>
      <w:r w:rsidRPr="000C21E6">
        <w:rPr>
          <w:iCs/>
          <w:sz w:val="22"/>
          <w:szCs w:val="22"/>
          <w:lang w:val="en-GB"/>
        </w:rPr>
        <w:t xml:space="preserve">sion </w:t>
      </w:r>
      <w:r w:rsidRPr="00226437">
        <w:rPr>
          <w:iCs/>
          <w:sz w:val="22"/>
          <w:szCs w:val="22"/>
          <w:lang w:val="en-GB"/>
        </w:rPr>
        <w:t>V</w:t>
      </w:r>
      <w:r w:rsidRPr="000C21E6">
        <w:rPr>
          <w:iCs/>
          <w:sz w:val="22"/>
          <w:szCs w:val="22"/>
          <w:lang w:val="en-GB"/>
        </w:rPr>
        <w:t>/</w:t>
      </w:r>
      <w:r>
        <w:rPr>
          <w:iCs/>
          <w:sz w:val="22"/>
          <w:szCs w:val="22"/>
          <w:lang w:val="en-GB"/>
        </w:rPr>
        <w:t>6,</w:t>
      </w:r>
      <w:r w:rsidRPr="00610646">
        <w:rPr>
          <w:rStyle w:val="FootnoteReference"/>
        </w:rPr>
        <w:footnoteReference w:id="123"/>
      </w:r>
    </w:p>
    <w:p w14:paraId="106A0E19" w14:textId="77777777" w:rsidR="0094446B" w:rsidRPr="00226437"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Cs/>
          <w:sz w:val="22"/>
          <w:szCs w:val="22"/>
          <w:lang w:val="en-GB"/>
        </w:rPr>
        <w:t>1.</w:t>
      </w:r>
      <w:r w:rsidRPr="00226437">
        <w:rPr>
          <w:iCs/>
          <w:sz w:val="22"/>
          <w:szCs w:val="22"/>
          <w:lang w:val="en-GB"/>
        </w:rPr>
        <w:tab/>
      </w:r>
      <w:r w:rsidRPr="001F147F">
        <w:rPr>
          <w:i/>
          <w:iCs/>
          <w:sz w:val="22"/>
          <w:szCs w:val="22"/>
          <w:lang w:val="en-GB"/>
        </w:rPr>
        <w:t>Adopts</w:t>
      </w:r>
      <w:r w:rsidRPr="001F147F">
        <w:rPr>
          <w:iCs/>
          <w:sz w:val="22"/>
          <w:szCs w:val="22"/>
          <w:lang w:val="en-GB"/>
        </w:rPr>
        <w:t xml:space="preserve"> the updated </w:t>
      </w:r>
      <w:r>
        <w:rPr>
          <w:iCs/>
          <w:sz w:val="22"/>
          <w:szCs w:val="22"/>
          <w:lang w:val="en-GB"/>
        </w:rPr>
        <w:t>P</w:t>
      </w:r>
      <w:r w:rsidRPr="001F147F">
        <w:rPr>
          <w:iCs/>
          <w:sz w:val="22"/>
          <w:szCs w:val="22"/>
          <w:lang w:val="en-GB"/>
        </w:rPr>
        <w:t xml:space="preserve">lan of </w:t>
      </w:r>
      <w:r>
        <w:rPr>
          <w:iCs/>
          <w:sz w:val="22"/>
          <w:szCs w:val="22"/>
          <w:lang w:val="en-GB"/>
        </w:rPr>
        <w:t>A</w:t>
      </w:r>
      <w:r w:rsidRPr="001F147F">
        <w:rPr>
          <w:iCs/>
          <w:sz w:val="22"/>
          <w:szCs w:val="22"/>
          <w:lang w:val="en-GB"/>
        </w:rPr>
        <w:t xml:space="preserve">ction on </w:t>
      </w:r>
      <w:r>
        <w:rPr>
          <w:iCs/>
          <w:sz w:val="22"/>
          <w:szCs w:val="22"/>
          <w:lang w:val="en-GB"/>
        </w:rPr>
        <w:t>S</w:t>
      </w:r>
      <w:r w:rsidRPr="001F147F">
        <w:rPr>
          <w:iCs/>
          <w:sz w:val="22"/>
          <w:szCs w:val="22"/>
          <w:lang w:val="en-GB"/>
        </w:rPr>
        <w:t xml:space="preserve">ubnational </w:t>
      </w:r>
      <w:r>
        <w:rPr>
          <w:iCs/>
          <w:sz w:val="22"/>
          <w:szCs w:val="22"/>
          <w:lang w:val="en-GB"/>
        </w:rPr>
        <w:t>G</w:t>
      </w:r>
      <w:r w:rsidRPr="001F147F">
        <w:rPr>
          <w:iCs/>
          <w:sz w:val="22"/>
          <w:szCs w:val="22"/>
          <w:lang w:val="en-GB"/>
        </w:rPr>
        <w:t xml:space="preserve">overnments, </w:t>
      </w:r>
      <w:r>
        <w:rPr>
          <w:iCs/>
          <w:sz w:val="22"/>
          <w:szCs w:val="22"/>
          <w:lang w:val="en-GB"/>
        </w:rPr>
        <w:t>C</w:t>
      </w:r>
      <w:r w:rsidRPr="001F147F">
        <w:rPr>
          <w:iCs/>
          <w:sz w:val="22"/>
          <w:szCs w:val="22"/>
          <w:lang w:val="en-GB"/>
        </w:rPr>
        <w:t xml:space="preserve">ities and </w:t>
      </w:r>
      <w:r>
        <w:rPr>
          <w:iCs/>
          <w:sz w:val="22"/>
          <w:szCs w:val="22"/>
          <w:lang w:val="en-GB"/>
        </w:rPr>
        <w:t>O</w:t>
      </w:r>
      <w:r w:rsidRPr="001F147F">
        <w:rPr>
          <w:iCs/>
          <w:sz w:val="22"/>
          <w:szCs w:val="22"/>
          <w:lang w:val="en-GB"/>
        </w:rPr>
        <w:t xml:space="preserve">ther </w:t>
      </w:r>
      <w:r>
        <w:rPr>
          <w:iCs/>
          <w:sz w:val="22"/>
          <w:szCs w:val="22"/>
          <w:lang w:val="en-GB"/>
        </w:rPr>
        <w:t>L</w:t>
      </w:r>
      <w:r w:rsidRPr="001F147F">
        <w:rPr>
          <w:iCs/>
          <w:sz w:val="22"/>
          <w:szCs w:val="22"/>
          <w:lang w:val="en-GB"/>
        </w:rPr>
        <w:t xml:space="preserve">ocal </w:t>
      </w:r>
      <w:r>
        <w:rPr>
          <w:iCs/>
          <w:sz w:val="22"/>
          <w:szCs w:val="22"/>
          <w:lang w:val="en-GB"/>
        </w:rPr>
        <w:t>A</w:t>
      </w:r>
      <w:r w:rsidRPr="001F147F">
        <w:rPr>
          <w:iCs/>
          <w:sz w:val="22"/>
          <w:szCs w:val="22"/>
          <w:lang w:val="en-GB"/>
        </w:rPr>
        <w:t xml:space="preserve">uthorities for </w:t>
      </w:r>
      <w:r>
        <w:rPr>
          <w:iCs/>
          <w:sz w:val="22"/>
          <w:szCs w:val="22"/>
          <w:lang w:val="en-GB"/>
        </w:rPr>
        <w:t>B</w:t>
      </w:r>
      <w:r w:rsidRPr="001F147F">
        <w:rPr>
          <w:iCs/>
          <w:sz w:val="22"/>
          <w:szCs w:val="22"/>
          <w:lang w:val="en-GB"/>
        </w:rPr>
        <w:t>iodiversity, as set out in the annex</w:t>
      </w:r>
      <w:r>
        <w:rPr>
          <w:iCs/>
          <w:sz w:val="22"/>
          <w:szCs w:val="22"/>
          <w:lang w:val="en-GB"/>
        </w:rPr>
        <w:t xml:space="preserve"> to the present decision</w:t>
      </w:r>
      <w:r w:rsidRPr="001F147F">
        <w:rPr>
          <w:iCs/>
          <w:sz w:val="22"/>
          <w:szCs w:val="22"/>
          <w:lang w:val="en-GB"/>
        </w:rPr>
        <w:t xml:space="preserve">, </w:t>
      </w:r>
      <w:r w:rsidRPr="005E2D95">
        <w:rPr>
          <w:sz w:val="22"/>
          <w:szCs w:val="22"/>
        </w:rPr>
        <w:t>as a flexible framework to support Parties in accordance with national legislation</w:t>
      </w:r>
      <w:r w:rsidRPr="001F147F">
        <w:rPr>
          <w:iCs/>
          <w:sz w:val="22"/>
          <w:szCs w:val="22"/>
          <w:lang w:val="en-GB"/>
        </w:rPr>
        <w:t>;</w:t>
      </w:r>
    </w:p>
    <w:p w14:paraId="4FABA1E2" w14:textId="77777777" w:rsidR="0094446B" w:rsidRPr="00DD6807"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DD6807">
        <w:rPr>
          <w:iCs/>
          <w:sz w:val="22"/>
          <w:szCs w:val="22"/>
          <w:lang w:val="en-GB"/>
        </w:rPr>
        <w:t>2.</w:t>
      </w:r>
      <w:r w:rsidRPr="00DD6807">
        <w:rPr>
          <w:iCs/>
          <w:sz w:val="22"/>
          <w:szCs w:val="22"/>
          <w:lang w:val="en-GB"/>
        </w:rPr>
        <w:tab/>
      </w:r>
      <w:r w:rsidRPr="00DD6807">
        <w:rPr>
          <w:i/>
          <w:iCs/>
          <w:sz w:val="22"/>
          <w:szCs w:val="22"/>
          <w:lang w:val="en-GB"/>
        </w:rPr>
        <w:t>Invites</w:t>
      </w:r>
      <w:r w:rsidRPr="00DD6807">
        <w:rPr>
          <w:iCs/>
          <w:sz w:val="22"/>
          <w:szCs w:val="22"/>
          <w:lang w:val="en-GB"/>
        </w:rPr>
        <w:t xml:space="preserve"> Parties</w:t>
      </w:r>
      <w:r>
        <w:rPr>
          <w:iCs/>
          <w:sz w:val="22"/>
          <w:szCs w:val="22"/>
          <w:lang w:val="en-GB"/>
        </w:rPr>
        <w:t>, other Governments</w:t>
      </w:r>
      <w:r w:rsidRPr="00E44A77">
        <w:rPr>
          <w:iCs/>
          <w:sz w:val="22"/>
          <w:szCs w:val="22"/>
          <w:lang w:val="en-GB"/>
        </w:rPr>
        <w:t xml:space="preserve"> </w:t>
      </w:r>
      <w:r w:rsidRPr="00DD6807">
        <w:rPr>
          <w:iCs/>
          <w:sz w:val="22"/>
          <w:szCs w:val="22"/>
          <w:lang w:val="en-GB"/>
        </w:rPr>
        <w:t xml:space="preserve">and relevant organizations </w:t>
      </w:r>
      <w:r>
        <w:rPr>
          <w:iCs/>
          <w:sz w:val="22"/>
          <w:szCs w:val="22"/>
          <w:lang w:val="en-GB"/>
        </w:rPr>
        <w:t>t</w:t>
      </w:r>
      <w:r w:rsidRPr="00FC4EF0">
        <w:rPr>
          <w:iCs/>
          <w:color w:val="000000" w:themeColor="text1"/>
          <w:sz w:val="22"/>
          <w:szCs w:val="22"/>
          <w:lang w:val="en-GB"/>
        </w:rPr>
        <w:t>o</w:t>
      </w:r>
      <w:r w:rsidRPr="00DD6807">
        <w:rPr>
          <w:iCs/>
          <w:sz w:val="22"/>
          <w:szCs w:val="22"/>
          <w:lang w:val="en-GB"/>
        </w:rPr>
        <w:t xml:space="preserve"> facilitate, as appropriate, the implementation of the updated </w:t>
      </w:r>
      <w:r>
        <w:rPr>
          <w:iCs/>
          <w:sz w:val="22"/>
          <w:szCs w:val="22"/>
          <w:lang w:val="en-GB"/>
        </w:rPr>
        <w:t>P</w:t>
      </w:r>
      <w:r w:rsidRPr="00DD6807">
        <w:rPr>
          <w:iCs/>
          <w:sz w:val="22"/>
          <w:szCs w:val="22"/>
          <w:lang w:val="en-GB"/>
        </w:rPr>
        <w:t xml:space="preserve">lan of </w:t>
      </w:r>
      <w:r>
        <w:rPr>
          <w:iCs/>
          <w:sz w:val="22"/>
          <w:szCs w:val="22"/>
          <w:lang w:val="en-GB"/>
        </w:rPr>
        <w:t>A</w:t>
      </w:r>
      <w:r w:rsidRPr="00DD6807">
        <w:rPr>
          <w:iCs/>
          <w:sz w:val="22"/>
          <w:szCs w:val="22"/>
          <w:lang w:val="en-GB"/>
        </w:rPr>
        <w:t>ction referred to in paragraph 1 above, according to national legislation, including by:</w:t>
      </w:r>
    </w:p>
    <w:p w14:paraId="066E3BEA"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(a)</w:t>
      </w:r>
      <w:r w:rsidRPr="001F147F">
        <w:rPr>
          <w:iCs/>
          <w:sz w:val="22"/>
          <w:szCs w:val="22"/>
          <w:lang w:val="en-GB"/>
        </w:rPr>
        <w:tab/>
        <w:t xml:space="preserve">Involving subnational governments, cities and other local authorities in the revision, implementation and update of their national biodiversity strategies and action plans, </w:t>
      </w:r>
      <w:r w:rsidRPr="001F147F">
        <w:rPr>
          <w:bCs/>
          <w:iCs/>
          <w:sz w:val="22"/>
          <w:szCs w:val="22"/>
        </w:rPr>
        <w:t>respecting the competencies of each level of government</w:t>
      </w:r>
      <w:r w:rsidRPr="001F147F">
        <w:rPr>
          <w:bCs/>
          <w:iCs/>
          <w:sz w:val="22"/>
          <w:szCs w:val="22"/>
          <w:lang w:val="en-GB"/>
        </w:rPr>
        <w:t>;</w:t>
      </w:r>
    </w:p>
    <w:p w14:paraId="4DFD2732" w14:textId="77777777" w:rsidR="0094446B" w:rsidRPr="005E2D95" w:rsidRDefault="0094446B" w:rsidP="00F854FF">
      <w:pPr>
        <w:pStyle w:val="StylePara1Kernat11pt"/>
        <w:suppressLineNumbers/>
        <w:suppressAutoHyphens/>
        <w:kinsoku w:val="0"/>
        <w:overflowPunct w:val="0"/>
        <w:autoSpaceDE w:val="0"/>
        <w:autoSpaceDN w:val="0"/>
        <w:adjustRightInd w:val="0"/>
        <w:ind w:firstLine="720"/>
        <w:jc w:val="both"/>
        <w:rPr>
          <w:bCs/>
          <w:szCs w:val="22"/>
        </w:rPr>
      </w:pPr>
      <w:r w:rsidRPr="005E2D95">
        <w:rPr>
          <w:bCs/>
          <w:szCs w:val="22"/>
        </w:rPr>
        <w:t>(b)</w:t>
      </w:r>
      <w:r w:rsidRPr="005E2D95">
        <w:rPr>
          <w:bCs/>
          <w:szCs w:val="22"/>
        </w:rPr>
        <w:tab/>
      </w:r>
      <w:r w:rsidRPr="005E2D95">
        <w:rPr>
          <w:bCs/>
          <w:sz w:val="22"/>
          <w:szCs w:val="22"/>
        </w:rPr>
        <w:t>Supporting subnational governments, cities and other local authorities to develop, implement and evaluate their local biodiversity strategies and action plans, in accordance with national biodiversity strategies and action plans and global commitments;</w:t>
      </w:r>
    </w:p>
    <w:p w14:paraId="03D582EF"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(c)</w:t>
      </w:r>
      <w:r w:rsidRPr="001F147F">
        <w:rPr>
          <w:iCs/>
          <w:sz w:val="22"/>
          <w:szCs w:val="22"/>
          <w:lang w:val="en-GB"/>
        </w:rPr>
        <w:tab/>
        <w:t xml:space="preserve">Ensuring the engagement of subnational governments, cities and other local authorities in the mainstreaming of biodiversity, in line with the long-term </w:t>
      </w:r>
      <w:r w:rsidRPr="004E600F">
        <w:rPr>
          <w:iCs/>
          <w:sz w:val="22"/>
          <w:szCs w:val="22"/>
          <w:lang w:val="en-GB"/>
        </w:rPr>
        <w:t>strategic</w:t>
      </w:r>
      <w:r>
        <w:rPr>
          <w:iCs/>
          <w:sz w:val="22"/>
          <w:szCs w:val="22"/>
          <w:lang w:val="en-GB"/>
        </w:rPr>
        <w:t xml:space="preserve"> </w:t>
      </w:r>
      <w:r w:rsidRPr="001F147F">
        <w:rPr>
          <w:iCs/>
          <w:sz w:val="22"/>
          <w:szCs w:val="22"/>
          <w:lang w:val="en-GB"/>
        </w:rPr>
        <w:t>approach to mainstreaming</w:t>
      </w:r>
      <w:r>
        <w:rPr>
          <w:iCs/>
          <w:sz w:val="22"/>
          <w:szCs w:val="22"/>
          <w:lang w:val="en-GB"/>
        </w:rPr>
        <w:t xml:space="preserve"> within and across sectors guided</w:t>
      </w:r>
      <w:r w:rsidRPr="001F147F">
        <w:rPr>
          <w:iCs/>
          <w:sz w:val="22"/>
          <w:szCs w:val="22"/>
          <w:lang w:val="en-GB"/>
        </w:rPr>
        <w:t xml:space="preserve"> by the Conference of the Parties in decision 15/</w:t>
      </w:r>
      <w:r>
        <w:rPr>
          <w:iCs/>
          <w:sz w:val="22"/>
          <w:szCs w:val="22"/>
          <w:lang w:val="en-GB"/>
        </w:rPr>
        <w:t>17</w:t>
      </w:r>
      <w:r w:rsidRPr="001F147F">
        <w:rPr>
          <w:iCs/>
          <w:sz w:val="22"/>
          <w:szCs w:val="22"/>
          <w:lang w:val="en-GB"/>
        </w:rPr>
        <w:t>;</w:t>
      </w:r>
    </w:p>
    <w:p w14:paraId="310CAF2A" w14:textId="77777777" w:rsidR="0094446B" w:rsidRPr="00226437"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US"/>
        </w:rPr>
      </w:pPr>
      <w:r w:rsidRPr="00226437">
        <w:rPr>
          <w:iCs/>
          <w:sz w:val="22"/>
          <w:szCs w:val="22"/>
          <w:lang w:val="en-US"/>
        </w:rPr>
        <w:t>(d)</w:t>
      </w:r>
      <w:r w:rsidRPr="00226437">
        <w:rPr>
          <w:iCs/>
          <w:sz w:val="22"/>
          <w:szCs w:val="22"/>
          <w:lang w:val="en-US"/>
        </w:rPr>
        <w:tab/>
      </w:r>
      <w:r w:rsidRPr="001F147F">
        <w:rPr>
          <w:iCs/>
          <w:sz w:val="22"/>
          <w:szCs w:val="22"/>
          <w:lang w:val="en-GB"/>
        </w:rPr>
        <w:t>Allocating human, technical and financial resources, as appropriate</w:t>
      </w:r>
      <w:r>
        <w:rPr>
          <w:iCs/>
          <w:sz w:val="22"/>
          <w:szCs w:val="22"/>
          <w:lang w:val="en-GB"/>
        </w:rPr>
        <w:t xml:space="preserve"> to national circumstances</w:t>
      </w:r>
      <w:r w:rsidRPr="001F147F">
        <w:rPr>
          <w:iCs/>
          <w:sz w:val="22"/>
          <w:szCs w:val="22"/>
          <w:lang w:val="en-GB"/>
        </w:rPr>
        <w:t>, and in a manner supportive of principle 2 of the ecosystem approach</w:t>
      </w:r>
      <w:r>
        <w:rPr>
          <w:iCs/>
          <w:sz w:val="22"/>
          <w:szCs w:val="22"/>
          <w:lang w:val="en-GB"/>
        </w:rPr>
        <w:t>;</w:t>
      </w:r>
      <w:r w:rsidRPr="00610646">
        <w:rPr>
          <w:rStyle w:val="FootnoteReference"/>
        </w:rPr>
        <w:footnoteReference w:id="124"/>
      </w:r>
      <w:r w:rsidRPr="001F147F">
        <w:rPr>
          <w:iCs/>
          <w:sz w:val="22"/>
          <w:szCs w:val="22"/>
          <w:lang w:val="en-GB"/>
        </w:rPr>
        <w:t xml:space="preserve"> ;</w:t>
      </w:r>
    </w:p>
    <w:p w14:paraId="4EA8BBC5"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3.</w:t>
      </w:r>
      <w:r w:rsidRPr="001F147F">
        <w:rPr>
          <w:iCs/>
          <w:sz w:val="22"/>
          <w:szCs w:val="22"/>
          <w:lang w:val="en-GB"/>
        </w:rPr>
        <w:tab/>
      </w:r>
      <w:r w:rsidRPr="001F147F">
        <w:rPr>
          <w:i/>
          <w:iCs/>
          <w:sz w:val="22"/>
          <w:szCs w:val="22"/>
          <w:lang w:val="en-GB"/>
        </w:rPr>
        <w:t>Invites</w:t>
      </w:r>
      <w:r w:rsidRPr="001F147F">
        <w:rPr>
          <w:iCs/>
          <w:sz w:val="22"/>
          <w:szCs w:val="22"/>
          <w:lang w:val="en-GB"/>
        </w:rPr>
        <w:t xml:space="preserve"> Parties to </w:t>
      </w:r>
      <w:r>
        <w:rPr>
          <w:iCs/>
          <w:sz w:val="22"/>
          <w:szCs w:val="22"/>
          <w:lang w:val="en-GB"/>
        </w:rPr>
        <w:t xml:space="preserve">communicate and </w:t>
      </w:r>
      <w:r w:rsidRPr="001F147F">
        <w:rPr>
          <w:iCs/>
          <w:sz w:val="22"/>
          <w:szCs w:val="22"/>
          <w:lang w:val="en-GB"/>
        </w:rPr>
        <w:t>report on the implementation of the updated Plan of Action on Subnational Governments, Cities and Local Authorities for Biodiversity, as appropriate, in their national reports under the Convention;</w:t>
      </w:r>
    </w:p>
    <w:p w14:paraId="3A38426B"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lastRenderedPageBreak/>
        <w:t>4.</w:t>
      </w:r>
      <w:r w:rsidRPr="001F147F">
        <w:rPr>
          <w:iCs/>
          <w:sz w:val="22"/>
          <w:szCs w:val="22"/>
          <w:lang w:val="en-GB"/>
        </w:rPr>
        <w:tab/>
      </w:r>
      <w:r w:rsidRPr="001F147F">
        <w:rPr>
          <w:i/>
          <w:iCs/>
          <w:sz w:val="22"/>
          <w:szCs w:val="22"/>
          <w:lang w:val="en-GB"/>
        </w:rPr>
        <w:t xml:space="preserve">Encourages </w:t>
      </w:r>
      <w:r w:rsidRPr="001F147F">
        <w:rPr>
          <w:iCs/>
          <w:sz w:val="22"/>
          <w:szCs w:val="22"/>
          <w:lang w:val="en-GB"/>
        </w:rPr>
        <w:t xml:space="preserve">Parties, and </w:t>
      </w:r>
      <w:r w:rsidRPr="004E600F">
        <w:rPr>
          <w:sz w:val="22"/>
          <w:szCs w:val="22"/>
          <w:lang w:val="en-GB"/>
        </w:rPr>
        <w:t>invites</w:t>
      </w:r>
      <w:r w:rsidRPr="001F147F">
        <w:rPr>
          <w:iCs/>
          <w:sz w:val="22"/>
          <w:szCs w:val="22"/>
          <w:lang w:val="en-GB"/>
        </w:rPr>
        <w:t xml:space="preserve"> other stakeholders, including entities engaged in development finance, to invest resources</w:t>
      </w:r>
      <w:r>
        <w:rPr>
          <w:iCs/>
          <w:sz w:val="22"/>
          <w:szCs w:val="22"/>
          <w:lang w:val="en-GB"/>
        </w:rPr>
        <w:t xml:space="preserve">, support technology and knowledge transfer, </w:t>
      </w:r>
      <w:r w:rsidRPr="001F147F">
        <w:rPr>
          <w:iCs/>
          <w:sz w:val="22"/>
          <w:szCs w:val="22"/>
          <w:lang w:val="en-GB"/>
        </w:rPr>
        <w:t>and build capacity</w:t>
      </w:r>
      <w:r w:rsidRPr="005E2D95">
        <w:rPr>
          <w:rStyle w:val="Hyperlink"/>
          <w:iCs/>
          <w:color w:val="auto"/>
          <w:sz w:val="22"/>
          <w:szCs w:val="22"/>
          <w:u w:val="none"/>
          <w:lang w:val="en-GB"/>
        </w:rPr>
        <w:t xml:space="preserve">, </w:t>
      </w:r>
      <w:r w:rsidRPr="001F147F">
        <w:rPr>
          <w:iCs/>
          <w:sz w:val="22"/>
          <w:szCs w:val="22"/>
          <w:lang w:val="en-GB"/>
        </w:rPr>
        <w:t>at the level of governance where they can be most effective;</w:t>
      </w:r>
    </w:p>
    <w:p w14:paraId="1B58D226" w14:textId="77777777" w:rsidR="0094446B" w:rsidRPr="001F147F" w:rsidRDefault="0094446B"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5.</w:t>
      </w:r>
      <w:r w:rsidRPr="001F147F">
        <w:rPr>
          <w:iCs/>
          <w:sz w:val="22"/>
          <w:szCs w:val="22"/>
          <w:lang w:val="en-GB"/>
        </w:rPr>
        <w:tab/>
      </w:r>
      <w:r w:rsidRPr="005E2D95">
        <w:rPr>
          <w:bCs/>
          <w:i/>
          <w:sz w:val="22"/>
          <w:szCs w:val="22"/>
        </w:rPr>
        <w:t>Urges</w:t>
      </w:r>
      <w:r w:rsidRPr="005E2D95">
        <w:rPr>
          <w:bCs/>
          <w:sz w:val="22"/>
          <w:szCs w:val="22"/>
        </w:rPr>
        <w:t xml:space="preserve"> Parties to support subnational governments, cities and local authorities in strengthening their capacities to improve the implementation of the </w:t>
      </w:r>
      <w:r>
        <w:rPr>
          <w:bCs/>
          <w:sz w:val="22"/>
          <w:szCs w:val="22"/>
        </w:rPr>
        <w:t>Kunming-Montreal Global Biodiversity Framework</w:t>
      </w:r>
      <w:r w:rsidRPr="005E2D95">
        <w:rPr>
          <w:bCs/>
          <w:sz w:val="22"/>
          <w:szCs w:val="22"/>
        </w:rPr>
        <w:t>;</w:t>
      </w:r>
    </w:p>
    <w:p w14:paraId="3982B606" w14:textId="77777777" w:rsidR="0094446B" w:rsidRPr="00F854FF" w:rsidRDefault="0094446B"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6.</w:t>
      </w:r>
      <w:r w:rsidRPr="001F147F">
        <w:rPr>
          <w:iCs/>
          <w:sz w:val="22"/>
          <w:szCs w:val="22"/>
          <w:lang w:val="en-GB"/>
        </w:rPr>
        <w:tab/>
      </w:r>
      <w:r w:rsidRPr="001F147F">
        <w:rPr>
          <w:i/>
          <w:iCs/>
          <w:sz w:val="22"/>
          <w:szCs w:val="22"/>
          <w:lang w:val="en-GB"/>
        </w:rPr>
        <w:t xml:space="preserve">Invites </w:t>
      </w:r>
      <w:r w:rsidRPr="001F147F">
        <w:rPr>
          <w:sz w:val="22"/>
          <w:szCs w:val="22"/>
          <w:lang w:val="en-GB"/>
        </w:rPr>
        <w:t>the Global Environment Facility to consider</w:t>
      </w:r>
      <w:r w:rsidRPr="001F147F">
        <w:rPr>
          <w:iCs/>
          <w:sz w:val="22"/>
          <w:szCs w:val="22"/>
          <w:lang w:val="en-GB"/>
        </w:rPr>
        <w:t xml:space="preserve"> further expanding and strengthening its sustainable </w:t>
      </w:r>
      <w:r w:rsidRPr="00F854FF">
        <w:rPr>
          <w:iCs/>
          <w:sz w:val="22"/>
          <w:szCs w:val="22"/>
          <w:lang w:val="en-GB"/>
        </w:rPr>
        <w:t xml:space="preserve">cities initiatives in its future replenishments, and piloting land- and seascape level initiatives targeted at subnational and local governance, infrastructure, biodiversity-inclusive spatial and land-use planning, and urban-rural linkages, </w:t>
      </w:r>
      <w:r w:rsidRPr="00F854FF">
        <w:rPr>
          <w:sz w:val="22"/>
          <w:szCs w:val="22"/>
        </w:rPr>
        <w:t>in accordance with the priorities identified in national biodiversity strategies and action plans;</w:t>
      </w:r>
    </w:p>
    <w:p w14:paraId="668DE330" w14:textId="77777777" w:rsidR="0094446B" w:rsidRDefault="0094446B"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F854FF">
        <w:rPr>
          <w:sz w:val="22"/>
          <w:szCs w:val="22"/>
          <w:lang w:val="en-GB"/>
        </w:rPr>
        <w:t>7.</w:t>
      </w:r>
      <w:r w:rsidRPr="00F854FF">
        <w:rPr>
          <w:sz w:val="22"/>
          <w:szCs w:val="22"/>
          <w:lang w:val="en-GB"/>
        </w:rPr>
        <w:tab/>
      </w:r>
      <w:r w:rsidRPr="00F854FF">
        <w:rPr>
          <w:i/>
          <w:sz w:val="22"/>
          <w:szCs w:val="22"/>
          <w:lang w:val="en-GB"/>
        </w:rPr>
        <w:t xml:space="preserve">Requests </w:t>
      </w:r>
      <w:r w:rsidRPr="00F854FF">
        <w:rPr>
          <w:iCs/>
          <w:sz w:val="22"/>
          <w:szCs w:val="22"/>
          <w:lang w:val="en-GB"/>
        </w:rPr>
        <w:t xml:space="preserve">the Executive Secretary, subject to availability of resources, to undertake a review of </w:t>
      </w:r>
      <w:r>
        <w:rPr>
          <w:iCs/>
          <w:sz w:val="22"/>
          <w:szCs w:val="22"/>
          <w:lang w:val="en-GB"/>
        </w:rPr>
        <w:t xml:space="preserve">the </w:t>
      </w:r>
      <w:r w:rsidRPr="00F854FF">
        <w:rPr>
          <w:iCs/>
          <w:sz w:val="22"/>
          <w:szCs w:val="22"/>
          <w:lang w:val="en-GB"/>
        </w:rPr>
        <w:t xml:space="preserve">role of subnational governments, cities and other local authorities in the implementation of the objectives of the Convention and its Protocols and the </w:t>
      </w:r>
      <w:r>
        <w:rPr>
          <w:bCs/>
          <w:sz w:val="22"/>
          <w:szCs w:val="22"/>
        </w:rPr>
        <w:t>Kunming-Montreal Global Biodiversity Framework</w:t>
      </w:r>
      <w:r w:rsidRPr="00F854FF">
        <w:rPr>
          <w:iCs/>
          <w:sz w:val="22"/>
          <w:szCs w:val="22"/>
          <w:lang w:val="en-GB"/>
        </w:rPr>
        <w:t>, and to submit the report to the Subsidiary Body on Implementation</w:t>
      </w:r>
      <w:r>
        <w:rPr>
          <w:iCs/>
          <w:sz w:val="22"/>
          <w:szCs w:val="22"/>
          <w:lang w:val="en-GB"/>
        </w:rPr>
        <w:t xml:space="preserve"> for consideration at a meeting held before the seventeenth meeting of the Conference of the Parties;</w:t>
      </w:r>
    </w:p>
    <w:p w14:paraId="6C518E90" w14:textId="77777777" w:rsidR="0094446B" w:rsidRPr="00F854FF" w:rsidRDefault="0094446B"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Pr>
          <w:iCs/>
          <w:sz w:val="22"/>
          <w:szCs w:val="22"/>
          <w:lang w:val="en-GB"/>
        </w:rPr>
        <w:t>8</w:t>
      </w:r>
      <w:r w:rsidRPr="00F854FF">
        <w:rPr>
          <w:iCs/>
          <w:sz w:val="22"/>
          <w:szCs w:val="22"/>
          <w:lang w:val="en-GB"/>
        </w:rPr>
        <w:t xml:space="preserve">. </w:t>
      </w:r>
      <w:r w:rsidRPr="005B532B">
        <w:rPr>
          <w:iCs/>
          <w:sz w:val="22"/>
          <w:szCs w:val="22"/>
          <w:lang w:val="en-GB"/>
        </w:rPr>
        <w:tab/>
      </w:r>
      <w:r>
        <w:rPr>
          <w:i/>
          <w:sz w:val="22"/>
          <w:szCs w:val="22"/>
          <w:lang w:val="en-GB"/>
        </w:rPr>
        <w:t>Also</w:t>
      </w:r>
      <w:r w:rsidRPr="005B532B">
        <w:rPr>
          <w:i/>
          <w:sz w:val="22"/>
          <w:szCs w:val="22"/>
          <w:lang w:val="en-GB"/>
        </w:rPr>
        <w:t xml:space="preserve"> requests</w:t>
      </w:r>
      <w:r w:rsidRPr="005B532B">
        <w:rPr>
          <w:iCs/>
          <w:sz w:val="22"/>
          <w:szCs w:val="22"/>
          <w:lang w:val="en-GB"/>
        </w:rPr>
        <w:t xml:space="preserve"> the Executive Secretary, subject to the availability of resources, to facilitate the work of the </w:t>
      </w:r>
      <w:r w:rsidRPr="005B532B">
        <w:rPr>
          <w:sz w:val="22"/>
          <w:szCs w:val="22"/>
        </w:rPr>
        <w:t>Global Partnership on</w:t>
      </w:r>
      <w:r w:rsidRPr="00F854FF">
        <w:rPr>
          <w:sz w:val="22"/>
          <w:szCs w:val="22"/>
        </w:rPr>
        <w:t xml:space="preserve"> Subnational and Local Governments for Biodiversity</w:t>
      </w:r>
      <w:r w:rsidRPr="00F854FF">
        <w:rPr>
          <w:iCs/>
          <w:sz w:val="22"/>
          <w:szCs w:val="22"/>
          <w:lang w:val="en-GB"/>
        </w:rPr>
        <w:t xml:space="preserve"> for the implementation of the </w:t>
      </w:r>
      <w:r>
        <w:rPr>
          <w:iCs/>
          <w:sz w:val="22"/>
          <w:szCs w:val="22"/>
          <w:lang w:val="en-GB"/>
        </w:rPr>
        <w:t>p</w:t>
      </w:r>
      <w:r w:rsidRPr="00F854FF">
        <w:rPr>
          <w:iCs/>
          <w:sz w:val="22"/>
          <w:szCs w:val="22"/>
          <w:lang w:val="en-GB"/>
        </w:rPr>
        <w:t xml:space="preserve">lan of </w:t>
      </w:r>
      <w:r>
        <w:rPr>
          <w:iCs/>
          <w:sz w:val="22"/>
          <w:szCs w:val="22"/>
          <w:lang w:val="en-GB"/>
        </w:rPr>
        <w:t>a</w:t>
      </w:r>
      <w:r w:rsidRPr="00F854FF">
        <w:rPr>
          <w:iCs/>
          <w:sz w:val="22"/>
          <w:szCs w:val="22"/>
          <w:lang w:val="en-GB"/>
        </w:rPr>
        <w:t xml:space="preserve">ction as adopted below. </w:t>
      </w:r>
    </w:p>
    <w:p w14:paraId="0A4107F6" w14:textId="77777777" w:rsidR="0094446B" w:rsidRPr="006816DD" w:rsidRDefault="0094446B" w:rsidP="00F854FF">
      <w:pPr>
        <w:jc w:val="center"/>
        <w:rPr>
          <w:rFonts w:eastAsia="MS Mincho"/>
          <w:b/>
          <w:i/>
          <w:iCs/>
          <w:sz w:val="20"/>
          <w:szCs w:val="20"/>
          <w:lang w:eastAsia="ja-JP"/>
        </w:rPr>
      </w:pPr>
      <w:r w:rsidRPr="006816DD">
        <w:rPr>
          <w:rFonts w:eastAsia="MS Mincho"/>
          <w:i/>
          <w:iCs/>
          <w:sz w:val="20"/>
          <w:szCs w:val="20"/>
          <w:lang w:eastAsia="ja-JP"/>
        </w:rPr>
        <w:t>Annex</w:t>
      </w:r>
    </w:p>
    <w:p w14:paraId="7BDB31DE" w14:textId="77777777" w:rsidR="0094446B" w:rsidRPr="008123B7" w:rsidRDefault="0094446B" w:rsidP="00C955E5">
      <w:pPr>
        <w:pStyle w:val="HEADINGNOTFORTOC"/>
        <w:outlineLvl w:val="9"/>
        <w:rPr>
          <w:rFonts w:eastAsia="MS Mincho"/>
          <w:szCs w:val="22"/>
          <w:lang w:eastAsia="ja-JP"/>
        </w:rPr>
      </w:pPr>
      <w:bookmarkStart w:id="147" w:name="_Toc118355033"/>
      <w:r w:rsidRPr="008123B7">
        <w:rPr>
          <w:rFonts w:eastAsia="MS Mincho"/>
          <w:szCs w:val="22"/>
          <w:lang w:eastAsia="ja-JP"/>
        </w:rPr>
        <w:t>Plan of Action on Subnational Governments, Cities and Other Local Authorities for Biodiversity (2023</w:t>
      </w:r>
      <w:r>
        <w:rPr>
          <w:rFonts w:eastAsia="MS Mincho"/>
          <w:szCs w:val="22"/>
          <w:lang w:eastAsia="ja-JP"/>
        </w:rPr>
        <w:t>–</w:t>
      </w:r>
      <w:r w:rsidRPr="008123B7">
        <w:rPr>
          <w:rFonts w:eastAsia="MS Mincho"/>
          <w:szCs w:val="22"/>
          <w:lang w:eastAsia="ja-JP"/>
        </w:rPr>
        <w:t>2030)</w:t>
      </w:r>
      <w:bookmarkEnd w:id="147"/>
    </w:p>
    <w:p w14:paraId="2315191F" w14:textId="77777777" w:rsidR="0094446B" w:rsidRPr="008123B7" w:rsidRDefault="0094446B" w:rsidP="00F854FF">
      <w:pPr>
        <w:pStyle w:val="Para1"/>
        <w:keepNext/>
        <w:numPr>
          <w:ilvl w:val="0"/>
          <w:numId w:val="0"/>
        </w:numPr>
        <w:suppressLineNumbers/>
        <w:tabs>
          <w:tab w:val="left" w:pos="1134"/>
        </w:tabs>
        <w:suppressAutoHyphens/>
        <w:adjustRightInd w:val="0"/>
        <w:jc w:val="center"/>
        <w:rPr>
          <w:rFonts w:asciiTheme="majorBidi" w:hAnsiTheme="majorBidi" w:cstheme="majorBidi"/>
          <w:b/>
          <w:iCs/>
          <w:lang w:eastAsia="en-CA"/>
        </w:rPr>
      </w:pPr>
      <w:r w:rsidRPr="008123B7">
        <w:rPr>
          <w:rFonts w:asciiTheme="majorBidi" w:hAnsiTheme="majorBidi" w:cstheme="majorBidi"/>
          <w:b/>
          <w:iCs/>
          <w:lang w:eastAsia="en-CA"/>
        </w:rPr>
        <w:t>A.</w:t>
      </w:r>
      <w:r w:rsidRPr="008123B7">
        <w:rPr>
          <w:rFonts w:asciiTheme="majorBidi" w:hAnsiTheme="majorBidi" w:cstheme="majorBidi"/>
          <w:b/>
          <w:iCs/>
          <w:lang w:eastAsia="en-CA"/>
        </w:rPr>
        <w:tab/>
        <w:t>Background</w:t>
      </w:r>
    </w:p>
    <w:p w14:paraId="7B717D52" w14:textId="77777777" w:rsidR="0094446B" w:rsidRPr="008123B7" w:rsidRDefault="0094446B" w:rsidP="00F854FF">
      <w:pPr>
        <w:pStyle w:val="CharChar12"/>
        <w:suppressLineNumbers/>
        <w:suppressAutoHyphens/>
        <w:adjustRightInd w:val="0"/>
        <w:snapToGrid w:val="0"/>
        <w:spacing w:before="120" w:after="120"/>
        <w:rPr>
          <w:rFonts w:eastAsia="MS Mincho"/>
          <w:kern w:val="22"/>
          <w:szCs w:val="22"/>
          <w:lang w:eastAsia="ja-JP"/>
        </w:rPr>
      </w:pPr>
      <w:r w:rsidRPr="008123B7">
        <w:rPr>
          <w:rFonts w:eastAsia="MS Mincho"/>
          <w:kern w:val="22"/>
          <w:szCs w:val="22"/>
          <w:lang w:eastAsia="ja-JP"/>
        </w:rPr>
        <w:t>1.</w:t>
      </w:r>
      <w:r w:rsidRPr="008123B7">
        <w:rPr>
          <w:rFonts w:eastAsia="MS Mincho"/>
          <w:kern w:val="22"/>
          <w:szCs w:val="22"/>
          <w:lang w:eastAsia="ja-JP"/>
        </w:rPr>
        <w:tab/>
      </w:r>
      <w:r w:rsidRPr="008123B7">
        <w:rPr>
          <w:kern w:val="22"/>
          <w:szCs w:val="22"/>
        </w:rPr>
        <w:t>The Plan of Action on Subnational Governments, Cities and Other Local Authorities for Biodiversity under the Convention on Biological Diversity (2023–2030) is intended to support Parties, subnational governments</w:t>
      </w:r>
      <w:r w:rsidRPr="008123B7">
        <w:rPr>
          <w:iCs/>
          <w:kern w:val="22"/>
          <w:szCs w:val="22"/>
        </w:rPr>
        <w:t>, cities and other local authorities</w:t>
      </w:r>
      <w:r w:rsidRPr="008123B7">
        <w:rPr>
          <w:kern w:val="22"/>
          <w:szCs w:val="22"/>
        </w:rPr>
        <w:t xml:space="preserve"> and their partners in implementing the </w:t>
      </w:r>
      <w:r>
        <w:rPr>
          <w:bCs/>
          <w:szCs w:val="22"/>
        </w:rPr>
        <w:t>Kunming</w:t>
      </w:r>
      <w:r>
        <w:rPr>
          <w:bCs/>
          <w:szCs w:val="22"/>
        </w:rPr>
        <w:noBreakHyphen/>
        <w:t>Montreal Global Biodiversity Framework</w:t>
      </w:r>
      <w:r w:rsidRPr="008123B7">
        <w:rPr>
          <w:kern w:val="22"/>
          <w:szCs w:val="22"/>
        </w:rPr>
        <w:t xml:space="preserve">. </w:t>
      </w:r>
      <w:r w:rsidRPr="008123B7">
        <w:rPr>
          <w:szCs w:val="22"/>
        </w:rPr>
        <w:t xml:space="preserve">The </w:t>
      </w:r>
      <w:r w:rsidRPr="002A3F47">
        <w:rPr>
          <w:sz w:val="20"/>
          <w:szCs w:val="20"/>
        </w:rPr>
        <w:t xml:space="preserve">Plan of Action </w:t>
      </w:r>
      <w:r w:rsidRPr="008123B7">
        <w:rPr>
          <w:szCs w:val="22"/>
        </w:rPr>
        <w:t xml:space="preserve">is intended to be implemented in accordance with national legislation. </w:t>
      </w:r>
      <w:r w:rsidRPr="008123B7">
        <w:rPr>
          <w:kern w:val="22"/>
          <w:szCs w:val="22"/>
        </w:rPr>
        <w:t xml:space="preserve">The elements contained in the updated </w:t>
      </w:r>
      <w:r w:rsidRPr="006953DE">
        <w:rPr>
          <w:kern w:val="22"/>
          <w:sz w:val="20"/>
          <w:szCs w:val="20"/>
        </w:rPr>
        <w:t xml:space="preserve">Plan of Action </w:t>
      </w:r>
      <w:r w:rsidRPr="008123B7">
        <w:rPr>
          <w:kern w:val="22"/>
          <w:szCs w:val="22"/>
        </w:rPr>
        <w:t>have been identified through a series of consultations with Parties, subnational governments</w:t>
      </w:r>
      <w:r w:rsidRPr="008123B7">
        <w:rPr>
          <w:iCs/>
          <w:kern w:val="22"/>
          <w:szCs w:val="22"/>
        </w:rPr>
        <w:t>, cities and other local authorities</w:t>
      </w:r>
      <w:r>
        <w:rPr>
          <w:iCs/>
          <w:kern w:val="22"/>
          <w:szCs w:val="22"/>
        </w:rPr>
        <w:t>,</w:t>
      </w:r>
      <w:r w:rsidRPr="008123B7">
        <w:rPr>
          <w:kern w:val="22"/>
          <w:szCs w:val="22"/>
        </w:rPr>
        <w:t xml:space="preserve"> and their networks and stakeholders, including the “Edinburgh Process”, and culminating with the 7th Global Biodiversity Summit of Cities and Subnational Governments.</w:t>
      </w:r>
      <w:r w:rsidRPr="00610646">
        <w:rPr>
          <w:rStyle w:val="FootnoteReference"/>
        </w:rPr>
        <w:footnoteReference w:id="125"/>
      </w:r>
    </w:p>
    <w:p w14:paraId="4BE1A26F" w14:textId="77777777" w:rsidR="0094446B" w:rsidRPr="008123B7" w:rsidRDefault="0094446B" w:rsidP="00F854FF">
      <w:pPr>
        <w:pStyle w:val="Para1"/>
        <w:keepNext/>
        <w:numPr>
          <w:ilvl w:val="0"/>
          <w:numId w:val="0"/>
        </w:numPr>
        <w:suppressLineNumbers/>
        <w:tabs>
          <w:tab w:val="left" w:pos="1134"/>
        </w:tabs>
        <w:suppressAutoHyphens/>
        <w:adjustRightInd w:val="0"/>
        <w:jc w:val="center"/>
        <w:rPr>
          <w:b/>
          <w:iCs/>
          <w:lang w:eastAsia="en-CA"/>
        </w:rPr>
      </w:pPr>
      <w:r w:rsidRPr="008123B7">
        <w:rPr>
          <w:b/>
          <w:iCs/>
          <w:lang w:eastAsia="en-CA"/>
        </w:rPr>
        <w:t>B.</w:t>
      </w:r>
      <w:r w:rsidRPr="008123B7">
        <w:rPr>
          <w:b/>
          <w:iCs/>
          <w:lang w:eastAsia="en-CA"/>
        </w:rPr>
        <w:tab/>
        <w:t>Objectives</w:t>
      </w:r>
    </w:p>
    <w:p w14:paraId="2A2148AE" w14:textId="77777777" w:rsidR="0094446B" w:rsidRPr="008123B7" w:rsidRDefault="0094446B" w:rsidP="00F854FF">
      <w:pPr>
        <w:pStyle w:val="CharChar12"/>
        <w:suppressLineNumbers/>
        <w:suppressAutoHyphens/>
        <w:adjustRightInd w:val="0"/>
        <w:snapToGrid w:val="0"/>
        <w:spacing w:before="120" w:after="120"/>
        <w:rPr>
          <w:i/>
          <w:snapToGrid w:val="0"/>
          <w:kern w:val="22"/>
          <w:szCs w:val="22"/>
          <w:lang w:eastAsia="en-CA"/>
        </w:rPr>
      </w:pPr>
      <w:r w:rsidRPr="008123B7">
        <w:rPr>
          <w:snapToGrid w:val="0"/>
          <w:kern w:val="22"/>
          <w:szCs w:val="22"/>
          <w:lang w:eastAsia="en-CA"/>
        </w:rPr>
        <w:t>2.</w:t>
      </w:r>
      <w:r w:rsidRPr="008123B7">
        <w:rPr>
          <w:snapToGrid w:val="0"/>
          <w:kern w:val="22"/>
          <w:szCs w:val="22"/>
          <w:lang w:eastAsia="en-CA"/>
        </w:rPr>
        <w:tab/>
      </w:r>
      <w:r w:rsidRPr="008123B7">
        <w:rPr>
          <w:snapToGrid w:val="0"/>
          <w:kern w:val="22"/>
          <w:szCs w:val="22"/>
        </w:rPr>
        <w:t xml:space="preserve">The </w:t>
      </w:r>
      <w:r w:rsidRPr="006953DE">
        <w:rPr>
          <w:kern w:val="22"/>
          <w:sz w:val="20"/>
          <w:szCs w:val="20"/>
        </w:rPr>
        <w:t>Plan</w:t>
      </w:r>
      <w:r w:rsidRPr="006953DE">
        <w:rPr>
          <w:snapToGrid w:val="0"/>
          <w:kern w:val="22"/>
          <w:sz w:val="20"/>
          <w:szCs w:val="20"/>
        </w:rPr>
        <w:t xml:space="preserve"> of Action </w:t>
      </w:r>
      <w:r w:rsidRPr="008123B7">
        <w:rPr>
          <w:snapToGrid w:val="0"/>
          <w:kern w:val="22"/>
          <w:szCs w:val="22"/>
        </w:rPr>
        <w:t>has the following objectives:</w:t>
      </w:r>
    </w:p>
    <w:p w14:paraId="59EDF235" w14:textId="77777777" w:rsidR="0094446B" w:rsidRPr="008123B7" w:rsidRDefault="0094446B" w:rsidP="00F854FF">
      <w:pPr>
        <w:pStyle w:val="BodyText"/>
        <w:suppressLineNumbers/>
        <w:suppressAutoHyphens/>
        <w:adjustRightInd w:val="0"/>
        <w:snapToGrid w:val="0"/>
        <w:ind w:firstLine="709"/>
        <w:rPr>
          <w:kern w:val="22"/>
          <w:szCs w:val="22"/>
        </w:rPr>
      </w:pPr>
      <w:r w:rsidRPr="008123B7">
        <w:rPr>
          <w:kern w:val="22"/>
          <w:szCs w:val="22"/>
        </w:rPr>
        <w:t>(a)</w:t>
      </w:r>
      <w:r w:rsidRPr="008123B7">
        <w:rPr>
          <w:kern w:val="22"/>
          <w:szCs w:val="22"/>
        </w:rPr>
        <w:tab/>
        <w:t>To increase the engagement of subnational governments</w:t>
      </w:r>
      <w:r w:rsidRPr="008123B7">
        <w:rPr>
          <w:iCs w:val="0"/>
          <w:kern w:val="22"/>
          <w:szCs w:val="22"/>
        </w:rPr>
        <w:t>, cities and other local authorities</w:t>
      </w:r>
      <w:r w:rsidRPr="008123B7">
        <w:rPr>
          <w:kern w:val="22"/>
          <w:szCs w:val="22"/>
        </w:rPr>
        <w:t xml:space="preserve">, to support the successful implementation of, and reporting on, national biodiversity strategies and action plans, the </w:t>
      </w:r>
      <w:r>
        <w:rPr>
          <w:bCs/>
          <w:szCs w:val="22"/>
        </w:rPr>
        <w:t xml:space="preserve">Kunming-Montreal Global Biodiversity Framework </w:t>
      </w:r>
      <w:r w:rsidRPr="008123B7">
        <w:rPr>
          <w:kern w:val="22"/>
          <w:szCs w:val="22"/>
        </w:rPr>
        <w:t>and the programmes of work under the Convention on Biological Diversity;</w:t>
      </w:r>
    </w:p>
    <w:p w14:paraId="1871C189" w14:textId="77777777" w:rsidR="0094446B" w:rsidRPr="008123B7" w:rsidRDefault="0094446B" w:rsidP="00F854FF">
      <w:pPr>
        <w:pStyle w:val="BodyText"/>
        <w:suppressLineNumbers/>
        <w:suppressAutoHyphens/>
        <w:adjustRightInd w:val="0"/>
        <w:snapToGrid w:val="0"/>
        <w:ind w:firstLine="709"/>
        <w:rPr>
          <w:kern w:val="22"/>
          <w:szCs w:val="22"/>
        </w:rPr>
      </w:pPr>
      <w:r w:rsidRPr="008123B7">
        <w:rPr>
          <w:kern w:val="22"/>
          <w:szCs w:val="22"/>
        </w:rPr>
        <w:t>(b)</w:t>
      </w:r>
      <w:r w:rsidRPr="008123B7">
        <w:rPr>
          <w:kern w:val="22"/>
          <w:szCs w:val="22"/>
        </w:rPr>
        <w:tab/>
        <w:t>To improve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8123B7">
        <w:rPr>
          <w:iCs w:val="0"/>
          <w:kern w:val="22"/>
          <w:szCs w:val="22"/>
        </w:rPr>
        <w:t>, cities and other local authorities</w:t>
      </w:r>
      <w:r w:rsidRPr="008123B7">
        <w:rPr>
          <w:kern w:val="22"/>
          <w:szCs w:val="22"/>
        </w:rPr>
        <w:t xml:space="preserve"> to manage biodiversity sustainably, provide ecosystem services to citizens and integrate biodiversity concerns into urban and territorial planning and development;</w:t>
      </w:r>
    </w:p>
    <w:p w14:paraId="5F1A55EC" w14:textId="77777777" w:rsidR="0094446B" w:rsidRPr="008123B7" w:rsidRDefault="0094446B" w:rsidP="00F854FF">
      <w:pPr>
        <w:pStyle w:val="BodyText"/>
        <w:suppressLineNumbers/>
        <w:suppressAutoHyphens/>
        <w:adjustRightInd w:val="0"/>
        <w:snapToGrid w:val="0"/>
        <w:ind w:firstLine="709"/>
        <w:rPr>
          <w:kern w:val="22"/>
          <w:szCs w:val="22"/>
        </w:rPr>
      </w:pPr>
      <w:r w:rsidRPr="008123B7">
        <w:rPr>
          <w:kern w:val="22"/>
          <w:szCs w:val="22"/>
        </w:rPr>
        <w:lastRenderedPageBreak/>
        <w:t>(c)</w:t>
      </w:r>
      <w:r w:rsidRPr="008123B7">
        <w:rPr>
          <w:kern w:val="22"/>
          <w:szCs w:val="22"/>
        </w:rPr>
        <w:tab/>
        <w:t>To identify, enhance and disseminate policy tools, guidelines, financial mechanisms or instruments, and programmes that facilitate subnational and local action on biodiversity and build the capacity of subnational governments</w:t>
      </w:r>
      <w:r w:rsidRPr="008123B7">
        <w:rPr>
          <w:iCs w:val="0"/>
          <w:kern w:val="22"/>
          <w:szCs w:val="22"/>
        </w:rPr>
        <w:t>, cities and other local authorities</w:t>
      </w:r>
      <w:r w:rsidRPr="008123B7">
        <w:rPr>
          <w:kern w:val="22"/>
          <w:szCs w:val="22"/>
        </w:rPr>
        <w:t xml:space="preserve"> to support their national Governments in implementing the Convention on Biological Diversity, with respect to the competencies of each level of government;</w:t>
      </w:r>
    </w:p>
    <w:p w14:paraId="105F1E92" w14:textId="77777777" w:rsidR="0094446B" w:rsidRPr="008123B7" w:rsidRDefault="0094446B" w:rsidP="00F854FF">
      <w:pPr>
        <w:pStyle w:val="BodyText"/>
        <w:suppressLineNumbers/>
        <w:suppressAutoHyphens/>
        <w:adjustRightInd w:val="0"/>
        <w:snapToGrid w:val="0"/>
        <w:ind w:firstLine="709"/>
        <w:rPr>
          <w:kern w:val="22"/>
          <w:szCs w:val="22"/>
        </w:rPr>
      </w:pPr>
      <w:r w:rsidRPr="008123B7">
        <w:rPr>
          <w:kern w:val="22"/>
          <w:szCs w:val="22"/>
        </w:rPr>
        <w:t>(d)</w:t>
      </w:r>
      <w:r w:rsidRPr="008123B7">
        <w:rPr>
          <w:kern w:val="22"/>
          <w:szCs w:val="22"/>
        </w:rPr>
        <w:tab/>
        <w:t>To facilitate the development of awareness-raising programmes on biodiversity in line with communication, education and public awareness strategies.</w:t>
      </w:r>
    </w:p>
    <w:p w14:paraId="2C2486BB" w14:textId="77777777" w:rsidR="0094446B" w:rsidRPr="008123B7" w:rsidRDefault="0094446B" w:rsidP="00951193">
      <w:pPr>
        <w:pStyle w:val="Para1"/>
        <w:keepNext/>
        <w:numPr>
          <w:ilvl w:val="0"/>
          <w:numId w:val="0"/>
        </w:numPr>
        <w:suppressLineNumbers/>
        <w:tabs>
          <w:tab w:val="left" w:pos="851"/>
        </w:tabs>
        <w:suppressAutoHyphens/>
        <w:adjustRightInd w:val="0"/>
        <w:jc w:val="center"/>
        <w:rPr>
          <w:b/>
        </w:rPr>
      </w:pPr>
      <w:r w:rsidRPr="008123B7">
        <w:rPr>
          <w:b/>
        </w:rPr>
        <w:t>C.</w:t>
      </w:r>
      <w:r w:rsidRPr="008123B7">
        <w:rPr>
          <w:b/>
        </w:rPr>
        <w:tab/>
        <w:t>Activities to engage subnational government, cities and other local authorities</w:t>
      </w:r>
    </w:p>
    <w:p w14:paraId="1051768C" w14:textId="77777777" w:rsidR="0094446B" w:rsidRPr="008123B7" w:rsidRDefault="0094446B" w:rsidP="00F854FF">
      <w:pPr>
        <w:pStyle w:val="CharChar12"/>
        <w:suppressLineNumbers/>
        <w:suppressAutoHyphens/>
        <w:adjustRightInd w:val="0"/>
        <w:snapToGrid w:val="0"/>
        <w:spacing w:before="120" w:after="120"/>
        <w:rPr>
          <w:rFonts w:eastAsiaTheme="minorEastAsia"/>
          <w:kern w:val="22"/>
          <w:szCs w:val="22"/>
        </w:rPr>
      </w:pPr>
      <w:r w:rsidRPr="008123B7">
        <w:rPr>
          <w:rFonts w:eastAsiaTheme="minorEastAsia"/>
          <w:kern w:val="22"/>
          <w:szCs w:val="22"/>
        </w:rPr>
        <w:t>3.</w:t>
      </w:r>
      <w:r w:rsidRPr="008123B7">
        <w:rPr>
          <w:rFonts w:eastAsiaTheme="minorEastAsia"/>
          <w:kern w:val="22"/>
          <w:szCs w:val="22"/>
        </w:rPr>
        <w:tab/>
      </w:r>
      <w:r w:rsidRPr="008123B7">
        <w:rPr>
          <w:iCs/>
          <w:kern w:val="22"/>
          <w:szCs w:val="22"/>
        </w:rPr>
        <w:t xml:space="preserve">The catalogue of activities, grouped into seven interrelated and complementary action areas presented below provides a framework based on which Parties, their subnational governments, cities and other local authorities and all stakeholders can develop their own actions to implement the </w:t>
      </w:r>
      <w:r w:rsidRPr="002A3F47">
        <w:rPr>
          <w:iCs/>
          <w:kern w:val="22"/>
          <w:sz w:val="20"/>
          <w:szCs w:val="20"/>
        </w:rPr>
        <w:t>Plan of Action</w:t>
      </w:r>
      <w:r w:rsidRPr="008123B7">
        <w:rPr>
          <w:iCs/>
          <w:kern w:val="22"/>
          <w:szCs w:val="22"/>
        </w:rPr>
        <w:t xml:space="preserve">. As such, any activity is offered as a complement to their post-2020 biodiversity strategies, action plans and targets. </w:t>
      </w:r>
      <w:r w:rsidRPr="008123B7">
        <w:rPr>
          <w:kern w:val="22"/>
          <w:szCs w:val="22"/>
        </w:rPr>
        <w:t>It is understood that activities will be implemented with respect to the competencies of each level of government and according to each Party’s national and subnational context and circumstances.</w:t>
      </w:r>
    </w:p>
    <w:p w14:paraId="203D9EB2" w14:textId="77777777" w:rsidR="0094446B" w:rsidRPr="008123B7" w:rsidRDefault="0094446B" w:rsidP="008123B7">
      <w:pPr>
        <w:pStyle w:val="CharChar12"/>
        <w:keepNext/>
        <w:suppressLineNumbers/>
        <w:suppressAutoHyphens/>
        <w:adjustRightInd w:val="0"/>
        <w:snapToGrid w:val="0"/>
        <w:spacing w:before="120" w:after="120"/>
        <w:jc w:val="left"/>
        <w:rPr>
          <w:iCs/>
          <w:kern w:val="22"/>
          <w:szCs w:val="22"/>
        </w:rPr>
      </w:pPr>
      <w:r w:rsidRPr="008123B7">
        <w:rPr>
          <w:b/>
          <w:iCs/>
          <w:kern w:val="22"/>
          <w:szCs w:val="22"/>
        </w:rPr>
        <w:t>Action area 1</w:t>
      </w:r>
      <w:r w:rsidRPr="008123B7">
        <w:rPr>
          <w:b/>
          <w:iCs/>
          <w:kern w:val="22"/>
          <w:szCs w:val="22"/>
        </w:rPr>
        <w:br/>
        <w:t>Development and implementation of biodiversity strategies and action plans reflecting the involvement of subnational governments, cities and other local authorities</w:t>
      </w:r>
    </w:p>
    <w:p w14:paraId="76FDD13A"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Involve subnational governments, cities and other local authorities in the process to revise and update national biodiversity strategies and action plans, for alignment with the </w:t>
      </w:r>
      <w:r>
        <w:rPr>
          <w:bCs/>
          <w:szCs w:val="22"/>
        </w:rPr>
        <w:t>Kunming-Montreal Global Biodiversity Framework</w:t>
      </w:r>
      <w:r w:rsidRPr="008123B7">
        <w:rPr>
          <w:iCs/>
          <w:kern w:val="22"/>
          <w:szCs w:val="22"/>
        </w:rPr>
        <w:t xml:space="preserve"> and its subsequent implementation;</w:t>
      </w:r>
    </w:p>
    <w:p w14:paraId="0250919D"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 xml:space="preserve">Encourage subnational governments, cities and other local authorities to develop biodiversity strategies and action plans in harmony with national biodiversity strategies and action plans. </w:t>
      </w:r>
    </w:p>
    <w:p w14:paraId="67EEEB1B" w14:textId="77777777" w:rsidR="0094446B" w:rsidRPr="008123B7" w:rsidRDefault="0094446B" w:rsidP="00F854FF">
      <w:pPr>
        <w:pStyle w:val="CharChar12"/>
        <w:keepNext/>
        <w:suppressLineNumbers/>
        <w:suppressAutoHyphens/>
        <w:adjustRightInd w:val="0"/>
        <w:snapToGrid w:val="0"/>
        <w:spacing w:before="120" w:after="120"/>
        <w:jc w:val="left"/>
        <w:rPr>
          <w:iCs/>
          <w:kern w:val="22"/>
          <w:szCs w:val="22"/>
        </w:rPr>
      </w:pPr>
      <w:r w:rsidRPr="008123B7">
        <w:rPr>
          <w:b/>
          <w:kern w:val="22"/>
          <w:szCs w:val="22"/>
        </w:rPr>
        <w:t>Action area 2</w:t>
      </w:r>
      <w:r w:rsidRPr="008123B7">
        <w:rPr>
          <w:b/>
          <w:kern w:val="22"/>
          <w:szCs w:val="22"/>
        </w:rPr>
        <w:br/>
        <w:t>Collaboration between levels of government, and mainstreaming</w:t>
      </w:r>
    </w:p>
    <w:p w14:paraId="53BE580E"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Collaborate with subnational governments, cities and other local authorities to improve harmonization of strategic planning, coordination and implementation between levels of government;</w:t>
      </w:r>
    </w:p>
    <w:p w14:paraId="4844FB7C"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Collaborate with subnational governments, cities and other local authorities to support the implementation of measures to mainstream biodiversity in line with relevant decisions of the Conference of the Parties;</w:t>
      </w:r>
    </w:p>
    <w:p w14:paraId="19709B31"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(c)</w:t>
      </w:r>
      <w:r w:rsidRPr="008123B7">
        <w:rPr>
          <w:iCs/>
          <w:kern w:val="22"/>
          <w:szCs w:val="22"/>
        </w:rPr>
        <w:tab/>
        <w:t>Engage the Advisory Committee on Local Governments and Biodiversity and the Advisory Committee on Subnational Governments and Biodiversity</w:t>
      </w:r>
      <w:r w:rsidRPr="00610646">
        <w:rPr>
          <w:rStyle w:val="FootnoteReference"/>
        </w:rPr>
        <w:footnoteReference w:id="126"/>
      </w:r>
      <w:r w:rsidRPr="008123B7">
        <w:rPr>
          <w:iCs/>
          <w:kern w:val="22"/>
          <w:szCs w:val="22"/>
        </w:rPr>
        <w:t xml:space="preserve"> to provide input and support to the implementation of the </w:t>
      </w:r>
      <w:r w:rsidRPr="002A3F47">
        <w:rPr>
          <w:iCs/>
          <w:kern w:val="22"/>
          <w:sz w:val="20"/>
          <w:szCs w:val="20"/>
        </w:rPr>
        <w:t xml:space="preserve">Plan of Action </w:t>
      </w:r>
      <w:r w:rsidRPr="008123B7">
        <w:rPr>
          <w:iCs/>
          <w:kern w:val="22"/>
          <w:szCs w:val="22"/>
        </w:rPr>
        <w:t>from the point of view of local and subnational governments, cities and other local authorities.</w:t>
      </w:r>
    </w:p>
    <w:p w14:paraId="0FFE63CC" w14:textId="77777777" w:rsidR="0094446B" w:rsidRPr="008123B7" w:rsidRDefault="0094446B" w:rsidP="00F854FF">
      <w:pPr>
        <w:pStyle w:val="CharChar12"/>
        <w:suppressLineNumbers/>
        <w:suppressAutoHyphens/>
        <w:adjustRightInd w:val="0"/>
        <w:snapToGrid w:val="0"/>
        <w:spacing w:before="120" w:after="120"/>
        <w:jc w:val="left"/>
        <w:rPr>
          <w:iCs/>
          <w:kern w:val="22"/>
          <w:szCs w:val="22"/>
        </w:rPr>
      </w:pPr>
      <w:r w:rsidRPr="008123B7">
        <w:rPr>
          <w:b/>
          <w:iCs/>
          <w:kern w:val="22"/>
          <w:szCs w:val="22"/>
        </w:rPr>
        <w:t>Action area 3</w:t>
      </w:r>
      <w:r w:rsidRPr="008123B7">
        <w:rPr>
          <w:b/>
          <w:iCs/>
          <w:kern w:val="22"/>
          <w:szCs w:val="22"/>
        </w:rPr>
        <w:br/>
        <w:t>Resource mobilization</w:t>
      </w:r>
    </w:p>
    <w:p w14:paraId="2D47370B" w14:textId="77777777" w:rsidR="0094446B" w:rsidRPr="008123B7" w:rsidRDefault="0094446B" w:rsidP="00704E7B">
      <w:pPr>
        <w:pStyle w:val="CharChar12"/>
        <w:suppressLineNumbers/>
        <w:tabs>
          <w:tab w:val="left" w:pos="567"/>
        </w:tab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Collaborate with subnational governments, cities and other local authorities to support the application of </w:t>
      </w:r>
      <w:r>
        <w:rPr>
          <w:iCs/>
          <w:kern w:val="22"/>
          <w:szCs w:val="22"/>
        </w:rPr>
        <w:t>P</w:t>
      </w:r>
      <w:r w:rsidRPr="008123B7">
        <w:rPr>
          <w:iCs/>
          <w:kern w:val="22"/>
          <w:szCs w:val="22"/>
        </w:rPr>
        <w:t>rinciple 2 of the ecosystem approach in resource mobilization, where appropriate;</w:t>
      </w:r>
      <w:r w:rsidRPr="00610646">
        <w:rPr>
          <w:rStyle w:val="FootnoteReference"/>
        </w:rPr>
        <w:footnoteReference w:id="127"/>
      </w:r>
    </w:p>
    <w:p w14:paraId="201761BD" w14:textId="77777777" w:rsidR="0094446B" w:rsidRPr="008123B7" w:rsidRDefault="0094446B" w:rsidP="00704E7B">
      <w:pPr>
        <w:pStyle w:val="CharChar12"/>
        <w:suppressLineNumbers/>
        <w:tabs>
          <w:tab w:val="left" w:pos="567"/>
        </w:tabs>
        <w:suppressAutoHyphens/>
        <w:adjustRightInd w:val="0"/>
        <w:snapToGrid w:val="0"/>
        <w:spacing w:before="120" w:after="120"/>
        <w:rPr>
          <w:iCs/>
          <w:kern w:val="22"/>
          <w:szCs w:val="22"/>
        </w:rPr>
      </w:pPr>
      <w:r w:rsidRPr="008123B7">
        <w:rPr>
          <w:iCs/>
          <w:kern w:val="22"/>
          <w:szCs w:val="22"/>
        </w:rPr>
        <w:t>(b)</w:t>
      </w:r>
      <w:r w:rsidRPr="008123B7">
        <w:rPr>
          <w:iCs/>
          <w:kern w:val="22"/>
          <w:szCs w:val="22"/>
        </w:rPr>
        <w:tab/>
        <w:t>Collaborate with subnational governments, cities and other local authorities, to create enabling conditions for significantly increased private sector investment, and reforms that can introduce new revenue streams for biodiversity conservation and ecosystem restoration at the subnational and local levels.</w:t>
      </w:r>
    </w:p>
    <w:p w14:paraId="3C0D40BD" w14:textId="77777777" w:rsidR="0094446B" w:rsidRPr="008123B7" w:rsidRDefault="0094446B" w:rsidP="00F854FF">
      <w:pPr>
        <w:pStyle w:val="CharChar12"/>
        <w:keepNext/>
        <w:suppressLineNumbers/>
        <w:suppressAutoHyphens/>
        <w:adjustRightInd w:val="0"/>
        <w:snapToGrid w:val="0"/>
        <w:spacing w:before="120" w:after="120"/>
        <w:jc w:val="left"/>
        <w:rPr>
          <w:iCs/>
          <w:kern w:val="22"/>
          <w:szCs w:val="22"/>
        </w:rPr>
      </w:pPr>
      <w:r w:rsidRPr="008123B7">
        <w:rPr>
          <w:b/>
          <w:iCs/>
          <w:kern w:val="22"/>
          <w:szCs w:val="22"/>
        </w:rPr>
        <w:lastRenderedPageBreak/>
        <w:t>Action area 4</w:t>
      </w:r>
      <w:r w:rsidRPr="008123B7">
        <w:rPr>
          <w:b/>
          <w:iCs/>
          <w:kern w:val="22"/>
          <w:szCs w:val="22"/>
        </w:rPr>
        <w:br/>
        <w:t>Capacity development</w:t>
      </w:r>
    </w:p>
    <w:p w14:paraId="63796B86"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Support </w:t>
      </w:r>
      <w:r w:rsidRPr="008123B7">
        <w:rPr>
          <w:kern w:val="22"/>
          <w:szCs w:val="22"/>
        </w:rPr>
        <w:t>subnational governments</w:t>
      </w:r>
      <w:r w:rsidRPr="008123B7">
        <w:rPr>
          <w:iCs/>
          <w:kern w:val="22"/>
          <w:szCs w:val="22"/>
        </w:rPr>
        <w:t>, cities and other local authorities</w:t>
      </w:r>
      <w:r w:rsidRPr="008123B7">
        <w:rPr>
          <w:kern w:val="22"/>
          <w:szCs w:val="22"/>
        </w:rPr>
        <w:t xml:space="preserve"> in </w:t>
      </w:r>
      <w:r w:rsidRPr="008123B7">
        <w:rPr>
          <w:iCs/>
          <w:kern w:val="22"/>
          <w:szCs w:val="22"/>
        </w:rPr>
        <w:t xml:space="preserve">implementing capacity development and technology transfer initiatives that contribute to the implementation of biodiversity strategies and action plans and the </w:t>
      </w:r>
      <w:r>
        <w:rPr>
          <w:iCs/>
          <w:kern w:val="22"/>
          <w:szCs w:val="22"/>
        </w:rPr>
        <w:t>Kunming-Montreal</w:t>
      </w:r>
      <w:r w:rsidRPr="008123B7">
        <w:rPr>
          <w:iCs/>
          <w:kern w:val="22"/>
          <w:szCs w:val="22"/>
        </w:rPr>
        <w:t xml:space="preserve"> </w:t>
      </w:r>
      <w:r>
        <w:rPr>
          <w:iCs/>
          <w:kern w:val="22"/>
          <w:szCs w:val="22"/>
        </w:rPr>
        <w:t>G</w:t>
      </w:r>
      <w:r w:rsidRPr="008123B7">
        <w:rPr>
          <w:iCs/>
          <w:kern w:val="22"/>
          <w:szCs w:val="22"/>
        </w:rPr>
        <w:t xml:space="preserve">lobal </w:t>
      </w:r>
      <w:r>
        <w:rPr>
          <w:iCs/>
          <w:kern w:val="22"/>
          <w:szCs w:val="22"/>
        </w:rPr>
        <w:t>B</w:t>
      </w:r>
      <w:r w:rsidRPr="008123B7">
        <w:rPr>
          <w:iCs/>
          <w:kern w:val="22"/>
          <w:szCs w:val="22"/>
        </w:rPr>
        <w:t xml:space="preserve">iodiversity </w:t>
      </w:r>
      <w:r>
        <w:rPr>
          <w:iCs/>
          <w:kern w:val="22"/>
          <w:szCs w:val="22"/>
        </w:rPr>
        <w:t>F</w:t>
      </w:r>
      <w:r w:rsidRPr="008123B7">
        <w:rPr>
          <w:iCs/>
          <w:kern w:val="22"/>
          <w:szCs w:val="22"/>
        </w:rPr>
        <w:t>ramework.</w:t>
      </w:r>
    </w:p>
    <w:p w14:paraId="441EDDDA" w14:textId="77777777" w:rsidR="0094446B" w:rsidRPr="008123B7" w:rsidRDefault="0094446B" w:rsidP="00F854FF">
      <w:pPr>
        <w:pStyle w:val="CharChar12"/>
        <w:suppressLineNumbers/>
        <w:suppressAutoHyphens/>
        <w:adjustRightInd w:val="0"/>
        <w:snapToGrid w:val="0"/>
        <w:spacing w:before="120" w:after="120"/>
        <w:jc w:val="left"/>
        <w:rPr>
          <w:b/>
          <w:iCs/>
          <w:kern w:val="22"/>
          <w:szCs w:val="22"/>
        </w:rPr>
      </w:pPr>
      <w:r w:rsidRPr="008123B7">
        <w:rPr>
          <w:b/>
          <w:iCs/>
          <w:kern w:val="22"/>
          <w:szCs w:val="22"/>
        </w:rPr>
        <w:t>Action area 5</w:t>
      </w:r>
      <w:r w:rsidRPr="008123B7">
        <w:rPr>
          <w:b/>
          <w:iCs/>
          <w:kern w:val="22"/>
          <w:szCs w:val="22"/>
        </w:rPr>
        <w:br/>
        <w:t>Communication, education and public awareness</w:t>
      </w:r>
    </w:p>
    <w:p w14:paraId="6F31DCCB"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Support subnational governments, cities and other local authorities in developing inclusive and action-oriented communication, education and public awareness, public access to information and participation initiatives at the subnational and local levels, reconnecting nature and people in and around cities and regions.</w:t>
      </w:r>
    </w:p>
    <w:p w14:paraId="66F04776" w14:textId="77777777" w:rsidR="0094446B" w:rsidRPr="008123B7" w:rsidRDefault="0094446B" w:rsidP="008123B7">
      <w:pPr>
        <w:pStyle w:val="CharChar12"/>
        <w:keepNext/>
        <w:suppressLineNumbers/>
        <w:suppressAutoHyphens/>
        <w:adjustRightInd w:val="0"/>
        <w:snapToGrid w:val="0"/>
        <w:spacing w:before="120" w:after="120"/>
        <w:jc w:val="left"/>
        <w:rPr>
          <w:b/>
          <w:iCs/>
          <w:kern w:val="22"/>
          <w:szCs w:val="22"/>
        </w:rPr>
      </w:pPr>
      <w:r w:rsidRPr="008123B7">
        <w:rPr>
          <w:b/>
          <w:iCs/>
          <w:kern w:val="22"/>
          <w:szCs w:val="22"/>
        </w:rPr>
        <w:t>Action area 6</w:t>
      </w:r>
      <w:r w:rsidRPr="008123B7">
        <w:rPr>
          <w:b/>
          <w:iCs/>
          <w:kern w:val="22"/>
          <w:szCs w:val="22"/>
        </w:rPr>
        <w:br/>
        <w:t>Assessment and improved information for decision-making</w:t>
      </w:r>
    </w:p>
    <w:p w14:paraId="2AF2737A"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Invite the use of the Singapore Index on Cities’ Biodiversity as a self-assessment tool for city and local governments to benchmark and monitor the progress of their biodiversity conservation efforts against their own individual baselines;</w:t>
      </w:r>
    </w:p>
    <w:p w14:paraId="3244E198"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Support subnational governments, cities and other local authorities in co</w:t>
      </w:r>
      <w:r w:rsidRPr="008123B7">
        <w:rPr>
          <w:iCs/>
          <w:kern w:val="22"/>
          <w:szCs w:val="22"/>
        </w:rPr>
        <w:noBreakHyphen/>
        <w:t>producing data</w:t>
      </w:r>
      <w:r>
        <w:rPr>
          <w:iCs/>
          <w:kern w:val="22"/>
          <w:szCs w:val="22"/>
        </w:rPr>
        <w:t>,</w:t>
      </w:r>
      <w:r w:rsidRPr="008123B7">
        <w:rPr>
          <w:iCs/>
          <w:kern w:val="22"/>
          <w:szCs w:val="22"/>
        </w:rPr>
        <w:t xml:space="preserve"> and </w:t>
      </w:r>
      <w:r>
        <w:rPr>
          <w:iCs/>
          <w:kern w:val="22"/>
          <w:szCs w:val="22"/>
        </w:rPr>
        <w:t xml:space="preserve">in </w:t>
      </w:r>
      <w:r w:rsidRPr="008123B7">
        <w:rPr>
          <w:iCs/>
          <w:kern w:val="22"/>
          <w:szCs w:val="22"/>
        </w:rPr>
        <w:t>gaining and offering better access to data and scientific evidence and expertise to improve decision</w:t>
      </w:r>
      <w:r>
        <w:rPr>
          <w:iCs/>
          <w:kern w:val="22"/>
          <w:szCs w:val="22"/>
        </w:rPr>
        <w:noBreakHyphen/>
      </w:r>
      <w:r w:rsidRPr="008123B7">
        <w:rPr>
          <w:iCs/>
          <w:kern w:val="22"/>
          <w:szCs w:val="22"/>
        </w:rPr>
        <w:t>making, enabled by improved capturing, analysis and reporting of local and landscape-based biodiversity data.</w:t>
      </w:r>
    </w:p>
    <w:p w14:paraId="178F48A2" w14:textId="77777777" w:rsidR="0094446B" w:rsidRPr="008123B7" w:rsidRDefault="0094446B" w:rsidP="00F854FF">
      <w:pPr>
        <w:pStyle w:val="CharChar12"/>
        <w:keepNext/>
        <w:suppressLineNumbers/>
        <w:suppressAutoHyphens/>
        <w:adjustRightInd w:val="0"/>
        <w:snapToGrid w:val="0"/>
        <w:spacing w:before="120" w:after="120"/>
        <w:jc w:val="left"/>
        <w:rPr>
          <w:b/>
          <w:iCs/>
          <w:kern w:val="22"/>
          <w:szCs w:val="22"/>
        </w:rPr>
      </w:pPr>
      <w:r w:rsidRPr="008123B7">
        <w:rPr>
          <w:b/>
          <w:iCs/>
          <w:kern w:val="22"/>
          <w:szCs w:val="22"/>
        </w:rPr>
        <w:t>Action area 7</w:t>
      </w:r>
      <w:r w:rsidRPr="008123B7">
        <w:rPr>
          <w:b/>
          <w:iCs/>
          <w:kern w:val="22"/>
          <w:szCs w:val="22"/>
        </w:rPr>
        <w:br/>
        <w:t>Monitoring and reporting</w:t>
      </w:r>
    </w:p>
    <w:p w14:paraId="6EE21C1B"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(a)</w:t>
      </w:r>
      <w:r w:rsidRPr="008123B7">
        <w:rPr>
          <w:iCs/>
          <w:kern w:val="22"/>
          <w:szCs w:val="22"/>
        </w:rPr>
        <w:tab/>
        <w:t xml:space="preserve">Encourage subnational governments, cities and other local authorities to use online commitment and reporting platforms, such as </w:t>
      </w:r>
      <w:r w:rsidRPr="008123B7">
        <w:rPr>
          <w:i/>
          <w:kern w:val="22"/>
          <w:szCs w:val="22"/>
        </w:rPr>
        <w:t>RegionsWithNature</w:t>
      </w:r>
      <w:r w:rsidRPr="008123B7">
        <w:rPr>
          <w:iCs/>
          <w:kern w:val="22"/>
          <w:szCs w:val="22"/>
        </w:rPr>
        <w:t xml:space="preserve"> and </w:t>
      </w:r>
      <w:r w:rsidRPr="008123B7">
        <w:rPr>
          <w:i/>
          <w:kern w:val="22"/>
          <w:szCs w:val="22"/>
        </w:rPr>
        <w:t>CitiesWithNature</w:t>
      </w:r>
      <w:r w:rsidRPr="008123B7">
        <w:rPr>
          <w:iCs/>
          <w:kern w:val="22"/>
          <w:szCs w:val="22"/>
        </w:rPr>
        <w:t>,</w:t>
      </w:r>
      <w:r w:rsidRPr="00610646">
        <w:rPr>
          <w:rStyle w:val="FootnoteReference"/>
        </w:rPr>
        <w:footnoteReference w:id="128"/>
      </w:r>
      <w:r w:rsidRPr="008123B7">
        <w:rPr>
          <w:iCs/>
          <w:kern w:val="22"/>
          <w:szCs w:val="22"/>
        </w:rPr>
        <w:t xml:space="preserve"> where subnational governments can report on, and track progress against, their commitments to contributing to the implementation of the </w:t>
      </w:r>
      <w:r>
        <w:rPr>
          <w:iCs/>
          <w:kern w:val="22"/>
          <w:szCs w:val="22"/>
        </w:rPr>
        <w:t>Kunming-Montreal</w:t>
      </w:r>
      <w:r w:rsidRPr="008123B7">
        <w:rPr>
          <w:iCs/>
          <w:kern w:val="22"/>
          <w:szCs w:val="22"/>
        </w:rPr>
        <w:t xml:space="preserve"> </w:t>
      </w:r>
      <w:r>
        <w:rPr>
          <w:iCs/>
          <w:kern w:val="22"/>
          <w:szCs w:val="22"/>
        </w:rPr>
        <w:t>G</w:t>
      </w:r>
      <w:r w:rsidRPr="008123B7">
        <w:rPr>
          <w:iCs/>
          <w:kern w:val="22"/>
          <w:szCs w:val="22"/>
        </w:rPr>
        <w:t xml:space="preserve">lobal </w:t>
      </w:r>
      <w:r>
        <w:rPr>
          <w:iCs/>
          <w:kern w:val="22"/>
          <w:szCs w:val="22"/>
        </w:rPr>
        <w:t>B</w:t>
      </w:r>
      <w:r w:rsidRPr="008123B7">
        <w:rPr>
          <w:iCs/>
          <w:kern w:val="22"/>
          <w:szCs w:val="22"/>
        </w:rPr>
        <w:t xml:space="preserve">iodiversity </w:t>
      </w:r>
      <w:r>
        <w:rPr>
          <w:iCs/>
          <w:kern w:val="22"/>
          <w:szCs w:val="22"/>
        </w:rPr>
        <w:t>F</w:t>
      </w:r>
      <w:r w:rsidRPr="008123B7">
        <w:rPr>
          <w:iCs/>
          <w:kern w:val="22"/>
          <w:szCs w:val="22"/>
        </w:rPr>
        <w:t>ramework and national biodiversity strategies and action plans;</w:t>
      </w:r>
    </w:p>
    <w:p w14:paraId="735D2CEB"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(b)</w:t>
      </w:r>
      <w:r w:rsidRPr="008123B7">
        <w:rPr>
          <w:iCs/>
          <w:kern w:val="22"/>
          <w:szCs w:val="22"/>
        </w:rPr>
        <w:tab/>
        <w:t>Involve subnational governments, cities and other local authorities in the regular monitoring and review of progress against targets specified in national biodiversity strategies and action plans;</w:t>
      </w:r>
    </w:p>
    <w:p w14:paraId="58912FFA"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(c)</w:t>
      </w:r>
      <w:r w:rsidRPr="008123B7">
        <w:rPr>
          <w:iCs/>
          <w:kern w:val="22"/>
          <w:szCs w:val="22"/>
        </w:rPr>
        <w:tab/>
        <w:t>Include contributions made by subnational governments, cities and other local authorities in national reports under the Convention on Biological Diversity;</w:t>
      </w:r>
    </w:p>
    <w:p w14:paraId="54EA665B" w14:textId="77777777" w:rsidR="0094446B" w:rsidRPr="008123B7" w:rsidRDefault="0094446B" w:rsidP="00F854FF">
      <w:pPr>
        <w:pStyle w:val="CharChar12"/>
        <w:suppressLineNumbers/>
        <w:suppressAutoHyphens/>
        <w:adjustRightInd w:val="0"/>
        <w:snapToGrid w:val="0"/>
        <w:spacing w:before="120" w:after="120"/>
        <w:rPr>
          <w:iCs/>
          <w:kern w:val="22"/>
          <w:szCs w:val="22"/>
        </w:rPr>
      </w:pPr>
      <w:r w:rsidRPr="008123B7">
        <w:rPr>
          <w:iCs/>
          <w:kern w:val="22"/>
          <w:szCs w:val="22"/>
        </w:rPr>
        <w:t>(d)</w:t>
      </w:r>
      <w:r w:rsidRPr="008123B7">
        <w:rPr>
          <w:iCs/>
          <w:kern w:val="22"/>
          <w:szCs w:val="22"/>
        </w:rPr>
        <w:tab/>
      </w:r>
      <w:bookmarkStart w:id="148" w:name="_Hlk121407639"/>
      <w:r w:rsidRPr="008123B7">
        <w:rPr>
          <w:iCs/>
          <w:kern w:val="22"/>
          <w:szCs w:val="22"/>
        </w:rPr>
        <w:t xml:space="preserve">Coordinate inputs from subnational governments, cities and other local authorities on their contributions to achieving the objectives of the Convention and its Protocols and the </w:t>
      </w:r>
      <w:r>
        <w:rPr>
          <w:iCs/>
          <w:kern w:val="22"/>
          <w:szCs w:val="22"/>
        </w:rPr>
        <w:t>Kunming-Montreal</w:t>
      </w:r>
      <w:r w:rsidRPr="008123B7">
        <w:rPr>
          <w:iCs/>
          <w:kern w:val="22"/>
          <w:szCs w:val="22"/>
        </w:rPr>
        <w:t xml:space="preserve"> </w:t>
      </w:r>
      <w:r>
        <w:rPr>
          <w:iCs/>
          <w:kern w:val="22"/>
          <w:szCs w:val="22"/>
        </w:rPr>
        <w:t>G</w:t>
      </w:r>
      <w:r w:rsidRPr="008123B7">
        <w:rPr>
          <w:iCs/>
          <w:kern w:val="22"/>
          <w:szCs w:val="22"/>
        </w:rPr>
        <w:t xml:space="preserve">lobal </w:t>
      </w:r>
      <w:r>
        <w:rPr>
          <w:iCs/>
          <w:kern w:val="22"/>
          <w:szCs w:val="22"/>
        </w:rPr>
        <w:t>B</w:t>
      </w:r>
      <w:r w:rsidRPr="008123B7">
        <w:rPr>
          <w:iCs/>
          <w:kern w:val="22"/>
          <w:szCs w:val="22"/>
        </w:rPr>
        <w:t xml:space="preserve">iodiversity </w:t>
      </w:r>
      <w:r>
        <w:rPr>
          <w:iCs/>
          <w:kern w:val="22"/>
          <w:szCs w:val="22"/>
        </w:rPr>
        <w:t>F</w:t>
      </w:r>
      <w:r w:rsidRPr="008123B7">
        <w:rPr>
          <w:iCs/>
          <w:kern w:val="22"/>
          <w:szCs w:val="22"/>
        </w:rPr>
        <w:t xml:space="preserve">ramework </w:t>
      </w:r>
      <w:bookmarkEnd w:id="148"/>
      <w:r w:rsidRPr="008123B7">
        <w:rPr>
          <w:iCs/>
          <w:kern w:val="22"/>
          <w:szCs w:val="22"/>
        </w:rPr>
        <w:t>for the purposes of its mid-term review, including on the implementation of measures to mainstream biodiversity in line with relevant decisions of the Conference of the Parties.</w:t>
      </w:r>
    </w:p>
    <w:p w14:paraId="3F659769" w14:textId="77777777" w:rsidR="0094446B" w:rsidRPr="008123B7" w:rsidRDefault="0094446B" w:rsidP="00A64DEA">
      <w:pPr>
        <w:keepNext/>
        <w:suppressLineNumbers/>
        <w:tabs>
          <w:tab w:val="left" w:pos="1134"/>
        </w:tabs>
        <w:suppressAutoHyphens/>
        <w:adjustRightInd w:val="0"/>
        <w:snapToGrid w:val="0"/>
        <w:jc w:val="center"/>
        <w:rPr>
          <w:b/>
          <w:bCs/>
          <w:kern w:val="22"/>
          <w:szCs w:val="22"/>
        </w:rPr>
      </w:pPr>
      <w:r w:rsidRPr="008123B7">
        <w:rPr>
          <w:b/>
          <w:bCs/>
          <w:kern w:val="22"/>
          <w:szCs w:val="22"/>
        </w:rPr>
        <w:t>D.</w:t>
      </w:r>
      <w:r w:rsidRPr="008123B7">
        <w:rPr>
          <w:b/>
          <w:bCs/>
          <w:kern w:val="22"/>
          <w:szCs w:val="22"/>
        </w:rPr>
        <w:tab/>
        <w:t xml:space="preserve">Implementation of the </w:t>
      </w:r>
      <w:r w:rsidRPr="00A64DEA">
        <w:rPr>
          <w:b/>
          <w:bCs/>
          <w:kern w:val="22"/>
          <w:sz w:val="20"/>
          <w:szCs w:val="20"/>
        </w:rPr>
        <w:t>Plan of Action</w:t>
      </w:r>
    </w:p>
    <w:p w14:paraId="376E75A1" w14:textId="77777777" w:rsidR="0094446B" w:rsidRPr="008123B7" w:rsidRDefault="0094446B" w:rsidP="00F854FF">
      <w:pPr>
        <w:suppressLineNumbers/>
        <w:suppressAutoHyphens/>
        <w:adjustRightInd w:val="0"/>
        <w:snapToGrid w:val="0"/>
        <w:spacing w:before="120" w:after="120"/>
        <w:rPr>
          <w:kern w:val="22"/>
          <w:szCs w:val="22"/>
        </w:rPr>
      </w:pPr>
      <w:r w:rsidRPr="008123B7">
        <w:rPr>
          <w:kern w:val="22"/>
          <w:szCs w:val="22"/>
        </w:rPr>
        <w:t>4.</w:t>
      </w:r>
      <w:r w:rsidRPr="008123B7">
        <w:rPr>
          <w:kern w:val="22"/>
          <w:szCs w:val="22"/>
        </w:rPr>
        <w:tab/>
        <w:t xml:space="preserve">Parties and other Governments are urged to implement the </w:t>
      </w:r>
      <w:r w:rsidRPr="00A64DEA">
        <w:rPr>
          <w:kern w:val="22"/>
          <w:sz w:val="20"/>
          <w:szCs w:val="20"/>
        </w:rPr>
        <w:t>Plan of Action</w:t>
      </w:r>
      <w:r w:rsidRPr="008123B7">
        <w:rPr>
          <w:kern w:val="22"/>
          <w:szCs w:val="22"/>
        </w:rPr>
        <w:t>, as appropriate, with the support of the Secretariat of the Convention and other key partners that convene subnational governments</w:t>
      </w:r>
      <w:r w:rsidRPr="008123B7">
        <w:rPr>
          <w:iCs/>
          <w:kern w:val="22"/>
          <w:szCs w:val="22"/>
        </w:rPr>
        <w:t>, cities and other local authorities</w:t>
      </w:r>
      <w:r w:rsidRPr="008123B7">
        <w:rPr>
          <w:kern w:val="22"/>
          <w:szCs w:val="22"/>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23A37D34" w14:textId="77777777" w:rsidR="0094446B" w:rsidRPr="008123B7" w:rsidRDefault="0094446B" w:rsidP="00F854FF">
      <w:pPr>
        <w:suppressLineNumbers/>
        <w:suppressAutoHyphens/>
        <w:adjustRightInd w:val="0"/>
        <w:snapToGrid w:val="0"/>
        <w:spacing w:before="120" w:after="120"/>
        <w:rPr>
          <w:kern w:val="22"/>
          <w:szCs w:val="22"/>
        </w:rPr>
      </w:pPr>
      <w:r w:rsidRPr="008123B7">
        <w:rPr>
          <w:kern w:val="22"/>
          <w:szCs w:val="22"/>
        </w:rPr>
        <w:t>5.</w:t>
      </w:r>
      <w:r w:rsidRPr="008123B7">
        <w:rPr>
          <w:kern w:val="22"/>
          <w:szCs w:val="22"/>
        </w:rPr>
        <w:tab/>
        <w:t xml:space="preserve">Implementation of the </w:t>
      </w:r>
      <w:r w:rsidRPr="00A64DEA">
        <w:rPr>
          <w:kern w:val="22"/>
          <w:sz w:val="20"/>
          <w:szCs w:val="20"/>
        </w:rPr>
        <w:t xml:space="preserve">Plan of Action </w:t>
      </w:r>
      <w:r w:rsidRPr="008123B7">
        <w:rPr>
          <w:kern w:val="22"/>
          <w:szCs w:val="22"/>
        </w:rPr>
        <w:t xml:space="preserve">will also be supported by the Global Partnership on Subnational and Local Governments for Biodiversity, an informal cooperative platform composed of United </w:t>
      </w:r>
      <w:r w:rsidRPr="008123B7">
        <w:rPr>
          <w:kern w:val="22"/>
          <w:szCs w:val="22"/>
        </w:rPr>
        <w:lastRenderedPageBreak/>
        <w:t xml:space="preserve">Nations agencies and programmes, academic networks and institutions, and networks of subnational governments, cities and local authorities, and facilitated by the Secretariat of the </w:t>
      </w:r>
      <w:r w:rsidRPr="008123B7">
        <w:rPr>
          <w:kern w:val="22"/>
          <w:szCs w:val="22"/>
          <w:lang w:eastAsia="ja-JP"/>
        </w:rPr>
        <w:t>Convention on Biological Diversity</w:t>
      </w:r>
      <w:r w:rsidRPr="008123B7">
        <w:rPr>
          <w:kern w:val="22"/>
          <w:szCs w:val="22"/>
        </w:rPr>
        <w:t>.</w:t>
      </w:r>
    </w:p>
    <w:p w14:paraId="5206F3F4" w14:textId="77777777" w:rsidR="0094446B" w:rsidRPr="008123B7" w:rsidRDefault="0094446B" w:rsidP="00F854FF">
      <w:pPr>
        <w:suppressLineNumbers/>
        <w:suppressAutoHyphens/>
        <w:adjustRightInd w:val="0"/>
        <w:snapToGrid w:val="0"/>
        <w:spacing w:before="120" w:after="120"/>
        <w:rPr>
          <w:kern w:val="22"/>
          <w:szCs w:val="22"/>
        </w:rPr>
      </w:pPr>
      <w:bookmarkStart w:id="149" w:name="_Ref73136863"/>
      <w:r w:rsidRPr="008123B7">
        <w:rPr>
          <w:kern w:val="22"/>
          <w:szCs w:val="22"/>
        </w:rPr>
        <w:t>6.</w:t>
      </w:r>
      <w:r w:rsidRPr="008123B7">
        <w:rPr>
          <w:kern w:val="22"/>
          <w:szCs w:val="22"/>
        </w:rPr>
        <w:tab/>
        <w:t>The Advisory Committee on Local Governments and Biodiversity and the Advisory Committee on Subnational Governments and Biodiversity</w:t>
      </w:r>
      <w:r w:rsidRPr="003F2F46">
        <w:rPr>
          <w:kern w:val="22"/>
          <w:sz w:val="20"/>
          <w:szCs w:val="20"/>
        </w:rPr>
        <w:t xml:space="preserve"> </w:t>
      </w:r>
      <w:r w:rsidRPr="008123B7">
        <w:rPr>
          <w:kern w:val="22"/>
          <w:szCs w:val="22"/>
        </w:rPr>
        <w:t xml:space="preserve">will provide input and support to the </w:t>
      </w:r>
      <w:r w:rsidRPr="006F3F57">
        <w:rPr>
          <w:kern w:val="22"/>
          <w:sz w:val="20"/>
          <w:szCs w:val="20"/>
        </w:rPr>
        <w:t xml:space="preserve">Plan of Action </w:t>
      </w:r>
      <w:r w:rsidRPr="008123B7">
        <w:rPr>
          <w:kern w:val="22"/>
          <w:szCs w:val="22"/>
        </w:rPr>
        <w:t>from the points of view of cities and local authorities and subnational governments, respectively, in recognition of their critical, complementary and distinct role in the implementation of the Convention. Both committees, recognized in the Plan of Action</w:t>
      </w:r>
      <w:r>
        <w:rPr>
          <w:kern w:val="22"/>
          <w:szCs w:val="22"/>
        </w:rPr>
        <w:t xml:space="preserve"> </w:t>
      </w:r>
      <w:r w:rsidRPr="00EE76F3">
        <w:rPr>
          <w:rFonts w:asciiTheme="majorBidi" w:hAnsiTheme="majorBidi" w:cstheme="majorBidi"/>
          <w:szCs w:val="22"/>
        </w:rPr>
        <w:t xml:space="preserve">on Subnational Governments, Cities and Other Local Authorities for </w:t>
      </w:r>
      <w:r w:rsidRPr="00EE76F3">
        <w:rPr>
          <w:szCs w:val="22"/>
        </w:rPr>
        <w:t>Biodiversity</w:t>
      </w:r>
      <w:r w:rsidRPr="008123B7">
        <w:rPr>
          <w:kern w:val="22"/>
          <w:szCs w:val="22"/>
        </w:rPr>
        <w:t xml:space="preserve"> </w:t>
      </w:r>
      <w:r>
        <w:rPr>
          <w:kern w:val="22"/>
          <w:szCs w:val="22"/>
        </w:rPr>
        <w:t>(2011</w:t>
      </w:r>
      <w:r w:rsidRPr="008123B7">
        <w:rPr>
          <w:kern w:val="22"/>
          <w:szCs w:val="22"/>
        </w:rPr>
        <w:t>–</w:t>
      </w:r>
      <w:r>
        <w:rPr>
          <w:kern w:val="22"/>
          <w:szCs w:val="22"/>
        </w:rPr>
        <w:t xml:space="preserve">2020) </w:t>
      </w:r>
      <w:r w:rsidRPr="008123B7">
        <w:rPr>
          <w:kern w:val="22"/>
          <w:szCs w:val="22"/>
        </w:rPr>
        <w:t xml:space="preserve">are open and free platforms with the sole objective of coordinating the contribution and participation of government at these levels in processes under the </w:t>
      </w:r>
      <w:r w:rsidRPr="008123B7">
        <w:rPr>
          <w:kern w:val="22"/>
          <w:szCs w:val="22"/>
          <w:lang w:eastAsia="ja-JP"/>
        </w:rPr>
        <w:t>Convention on Biological Diversity</w:t>
      </w:r>
      <w:r w:rsidRPr="008123B7">
        <w:rPr>
          <w:kern w:val="22"/>
          <w:szCs w:val="22"/>
        </w:rPr>
        <w:t>.</w:t>
      </w:r>
      <w:bookmarkEnd w:id="149"/>
    </w:p>
    <w:p w14:paraId="6FC9BD17" w14:textId="77777777" w:rsidR="0094446B" w:rsidRPr="008123B7" w:rsidRDefault="0094446B" w:rsidP="00F854FF">
      <w:pPr>
        <w:suppressLineNumbers/>
        <w:suppressAutoHyphens/>
        <w:adjustRightInd w:val="0"/>
        <w:snapToGrid w:val="0"/>
        <w:spacing w:before="120" w:after="120"/>
        <w:rPr>
          <w:szCs w:val="22"/>
        </w:rPr>
      </w:pPr>
      <w:r w:rsidRPr="008123B7">
        <w:rPr>
          <w:kern w:val="22"/>
          <w:szCs w:val="22"/>
        </w:rPr>
        <w:t>7.</w:t>
      </w:r>
      <w:r w:rsidRPr="008123B7">
        <w:rPr>
          <w:kern w:val="22"/>
          <w:szCs w:val="22"/>
        </w:rPr>
        <w:tab/>
        <w:t xml:space="preserve">The </w:t>
      </w:r>
      <w:r w:rsidRPr="00C411E5">
        <w:rPr>
          <w:kern w:val="22"/>
          <w:sz w:val="20"/>
          <w:szCs w:val="20"/>
        </w:rPr>
        <w:t xml:space="preserve">Plan of Action </w:t>
      </w:r>
      <w:r w:rsidRPr="008123B7">
        <w:rPr>
          <w:kern w:val="22"/>
          <w:szCs w:val="22"/>
        </w:rPr>
        <w:t>recognizes the need to maintain flexibility in its approach to implementation in order to accommodate changing national, subnational and local priorities, as well as future decisions of the Conference of the Parties.</w:t>
      </w:r>
    </w:p>
    <w:p w14:paraId="3B7D5334" w14:textId="77777777" w:rsidR="0094446B" w:rsidRDefault="0094446B" w:rsidP="00F854FF">
      <w:pPr>
        <w:pStyle w:val="Para1"/>
        <w:numPr>
          <w:ilvl w:val="0"/>
          <w:numId w:val="0"/>
        </w:numPr>
        <w:jc w:val="center"/>
        <w:sectPr w:rsidR="0094446B" w:rsidSect="00441700">
          <w:footnotePr>
            <w:numRestart w:val="eachSect"/>
          </w:footnotePr>
          <w:pgSz w:w="12240" w:h="15840"/>
          <w:pgMar w:top="567" w:right="1440" w:bottom="1134" w:left="1440" w:header="709" w:footer="709" w:gutter="0"/>
          <w:cols w:space="708"/>
          <w:docGrid w:linePitch="360"/>
        </w:sectPr>
      </w:pPr>
    </w:p>
    <w:p w14:paraId="5A783B09" w14:textId="77777777" w:rsidR="0065659F" w:rsidRDefault="0065659F" w:rsidP="00250BF7">
      <w:pPr>
        <w:pStyle w:val="decision"/>
        <w:rPr>
          <w:caps/>
        </w:rPr>
      </w:pPr>
      <w:bookmarkStart w:id="150" w:name="_Toc150438811"/>
      <w:bookmarkStart w:id="151" w:name="_Toc150670511"/>
      <w:bookmarkStart w:id="152" w:name="_Toc150670621"/>
      <w:bookmarkStart w:id="153" w:name="_Toc150761123"/>
      <w:r>
        <w:lastRenderedPageBreak/>
        <w:t>15/13.</w:t>
      </w:r>
      <w:r>
        <w:tab/>
      </w:r>
      <w:r w:rsidRPr="00322D59">
        <w:t>Cooperation with other conventions and international organizations</w:t>
      </w:r>
      <w:bookmarkEnd w:id="150"/>
      <w:bookmarkEnd w:id="151"/>
      <w:bookmarkEnd w:id="152"/>
      <w:bookmarkEnd w:id="153"/>
    </w:p>
    <w:p w14:paraId="517DAB53" w14:textId="77777777" w:rsidR="0065659F" w:rsidRDefault="0065659F" w:rsidP="00986359">
      <w:pPr>
        <w:pStyle w:val="Para1"/>
        <w:numPr>
          <w:ilvl w:val="0"/>
          <w:numId w:val="0"/>
        </w:numPr>
        <w:shd w:val="clear" w:color="auto" w:fill="FFFFFF" w:themeFill="background1"/>
        <w:ind w:firstLine="709"/>
        <w:rPr>
          <w:i/>
        </w:rPr>
      </w:pPr>
      <w:r w:rsidRPr="00656A16">
        <w:rPr>
          <w:i/>
          <w:lang w:val="en-US"/>
        </w:rPr>
        <w:t>The Conference of the Parties,</w:t>
      </w:r>
      <w:r w:rsidRPr="00656A16">
        <w:rPr>
          <w:i/>
        </w:rPr>
        <w:t xml:space="preserve"> </w:t>
      </w:r>
    </w:p>
    <w:p w14:paraId="5D226DEF" w14:textId="77777777" w:rsidR="0065659F" w:rsidRDefault="0065659F" w:rsidP="0004654F">
      <w:pPr>
        <w:spacing w:before="120" w:after="120"/>
        <w:ind w:firstLine="851"/>
        <w:rPr>
          <w:color w:val="000000" w:themeColor="text1"/>
          <w:szCs w:val="22"/>
        </w:rPr>
      </w:pPr>
      <w:r w:rsidRPr="1E0835D0">
        <w:rPr>
          <w:i/>
          <w:iCs/>
          <w:color w:val="000000" w:themeColor="text1"/>
          <w:szCs w:val="22"/>
        </w:rPr>
        <w:t>Recalling</w:t>
      </w:r>
      <w:r w:rsidRPr="1E0835D0">
        <w:rPr>
          <w:color w:val="000000" w:themeColor="text1"/>
          <w:szCs w:val="22"/>
        </w:rPr>
        <w:t xml:space="preserve"> decisions XIII/24 and 14/30,</w:t>
      </w:r>
      <w:r>
        <w:rPr>
          <w:color w:val="000000" w:themeColor="text1"/>
          <w:szCs w:val="22"/>
        </w:rPr>
        <w:t xml:space="preserve"> </w:t>
      </w:r>
    </w:p>
    <w:p w14:paraId="0CE0616A" w14:textId="77777777" w:rsidR="0065659F" w:rsidRDefault="0065659F" w:rsidP="0004654F">
      <w:pPr>
        <w:spacing w:before="120" w:after="120"/>
        <w:ind w:firstLine="851"/>
        <w:rPr>
          <w:color w:val="000000" w:themeColor="text1"/>
          <w:szCs w:val="22"/>
        </w:rPr>
      </w:pPr>
      <w:r w:rsidRPr="1E0835D0">
        <w:rPr>
          <w:i/>
          <w:iCs/>
          <w:color w:val="000000" w:themeColor="text1"/>
          <w:szCs w:val="22"/>
        </w:rPr>
        <w:t xml:space="preserve">Recognizing </w:t>
      </w:r>
      <w:r w:rsidRPr="1E0835D0">
        <w:rPr>
          <w:color w:val="000000" w:themeColor="text1"/>
          <w:szCs w:val="22"/>
        </w:rPr>
        <w:t xml:space="preserve">the critical role of actions for the </w:t>
      </w:r>
      <w:r>
        <w:rPr>
          <w:color w:val="000000" w:themeColor="text1"/>
          <w:szCs w:val="22"/>
        </w:rPr>
        <w:t xml:space="preserve">restoration, </w:t>
      </w:r>
      <w:r w:rsidRPr="1E0835D0">
        <w:rPr>
          <w:color w:val="000000" w:themeColor="text1"/>
          <w:szCs w:val="22"/>
        </w:rPr>
        <w:t xml:space="preserve">conservation and sustainable use of biological diversity for </w:t>
      </w:r>
      <w:r>
        <w:rPr>
          <w:color w:val="000000" w:themeColor="text1"/>
          <w:szCs w:val="22"/>
        </w:rPr>
        <w:t xml:space="preserve">helping to </w:t>
      </w:r>
      <w:r w:rsidRPr="1E0835D0">
        <w:rPr>
          <w:color w:val="000000" w:themeColor="text1"/>
          <w:szCs w:val="22"/>
        </w:rPr>
        <w:t>address multiple global crises, including climate change and pollution</w:t>
      </w:r>
      <w:r>
        <w:rPr>
          <w:color w:val="000000" w:themeColor="text1"/>
          <w:szCs w:val="22"/>
        </w:rPr>
        <w:t xml:space="preserve">, as well as biodiversity loss simultaneously, </w:t>
      </w:r>
    </w:p>
    <w:p w14:paraId="1705CF17" w14:textId="77777777" w:rsidR="0065659F" w:rsidRDefault="0065659F" w:rsidP="0004654F">
      <w:pPr>
        <w:spacing w:before="120" w:after="120"/>
        <w:ind w:firstLine="851"/>
        <w:rPr>
          <w:color w:val="000000" w:themeColor="text1"/>
          <w:szCs w:val="22"/>
        </w:rPr>
      </w:pPr>
      <w:r w:rsidRPr="1E0835D0">
        <w:rPr>
          <w:i/>
          <w:iCs/>
          <w:color w:val="000000" w:themeColor="text1"/>
          <w:szCs w:val="22"/>
        </w:rPr>
        <w:t xml:space="preserve">Acknowledging </w:t>
      </w:r>
      <w:r w:rsidRPr="1E0835D0">
        <w:rPr>
          <w:color w:val="000000" w:themeColor="text1"/>
          <w:szCs w:val="22"/>
        </w:rPr>
        <w:t>the independent nature of the mandates of biodiversity-related conventions, other multilateral environmental agreements and international organizations, emphasizing the need to fully observe their respective mandates and</w:t>
      </w:r>
      <w:r w:rsidRPr="1E0835D0">
        <w:rPr>
          <w:i/>
          <w:iCs/>
          <w:color w:val="000000" w:themeColor="text1"/>
          <w:szCs w:val="22"/>
        </w:rPr>
        <w:t xml:space="preserve"> </w:t>
      </w:r>
      <w:r w:rsidRPr="1E0835D0">
        <w:rPr>
          <w:color w:val="000000" w:themeColor="text1"/>
          <w:szCs w:val="22"/>
        </w:rPr>
        <w:t xml:space="preserve">reaffirming that synergies in their implementation at the global, regional and national levels should be promoted on a Party-driven basis, in accordance with the priorities set out within each instrument and with national circumstances, capabilities and priorities, </w:t>
      </w:r>
    </w:p>
    <w:p w14:paraId="54E665F1" w14:textId="77777777" w:rsidR="0065659F" w:rsidRDefault="0065659F" w:rsidP="0004654F">
      <w:pPr>
        <w:spacing w:before="120" w:after="120"/>
        <w:ind w:firstLine="851"/>
        <w:rPr>
          <w:color w:val="000000" w:themeColor="text1"/>
          <w:szCs w:val="22"/>
        </w:rPr>
      </w:pPr>
      <w:r w:rsidRPr="1E0835D0">
        <w:rPr>
          <w:i/>
          <w:iCs/>
          <w:color w:val="000000" w:themeColor="text1"/>
          <w:szCs w:val="22"/>
        </w:rPr>
        <w:t xml:space="preserve">Reaffirming </w:t>
      </w:r>
      <w:r w:rsidRPr="1E0835D0">
        <w:rPr>
          <w:color w:val="000000" w:themeColor="text1"/>
          <w:szCs w:val="22"/>
        </w:rPr>
        <w:t>the importance of enhancing cooperation in the implementation of the Convention on Biological Diversity and its Protocols and other multilateral environmental agreements and initiatives, including but not limited to biodiversity-related conventions and agreements, chemicals and waste conventions, and the Rio conventions, at the global, regional, subregional, national and subnational levels, in a manner respectful of their respective mandates,</w:t>
      </w:r>
      <w:r>
        <w:rPr>
          <w:color w:val="000000" w:themeColor="text1"/>
          <w:szCs w:val="22"/>
        </w:rPr>
        <w:t xml:space="preserve"> </w:t>
      </w:r>
    </w:p>
    <w:p w14:paraId="25E1BE6C" w14:textId="77777777" w:rsidR="0065659F" w:rsidRDefault="0065659F" w:rsidP="0004654F">
      <w:pPr>
        <w:spacing w:before="120" w:after="120"/>
        <w:ind w:firstLine="851"/>
        <w:rPr>
          <w:color w:val="000000" w:themeColor="text1"/>
          <w:szCs w:val="22"/>
        </w:rPr>
      </w:pPr>
      <w:r w:rsidRPr="1E0835D0">
        <w:rPr>
          <w:i/>
          <w:iCs/>
          <w:color w:val="000000" w:themeColor="text1"/>
          <w:szCs w:val="22"/>
        </w:rPr>
        <w:t>Emphasizing</w:t>
      </w:r>
      <w:r w:rsidRPr="1E0835D0">
        <w:rPr>
          <w:color w:val="000000" w:themeColor="text1"/>
          <w:szCs w:val="22"/>
        </w:rPr>
        <w:t xml:space="preserve"> the importance of cooperation among all relevant conventions, organizations and initiatives to achieve the three objectives of the Convention and to implement and monitor progress in the implementation of the </w:t>
      </w:r>
      <w:r>
        <w:rPr>
          <w:color w:val="000000" w:themeColor="text1"/>
          <w:szCs w:val="22"/>
        </w:rPr>
        <w:t>Kunming-Montreal</w:t>
      </w:r>
      <w:r w:rsidRPr="1E0835D0">
        <w:rPr>
          <w:color w:val="000000" w:themeColor="text1"/>
          <w:szCs w:val="22"/>
        </w:rPr>
        <w:t xml:space="preserve"> Global Biodiversity Framework in an effective and timely manner in order to achieve its targets, goals</w:t>
      </w:r>
      <w:r>
        <w:rPr>
          <w:color w:val="000000" w:themeColor="text1"/>
          <w:szCs w:val="22"/>
        </w:rPr>
        <w:t>,</w:t>
      </w:r>
      <w:r w:rsidRPr="1E0835D0">
        <w:rPr>
          <w:color w:val="000000" w:themeColor="text1"/>
          <w:szCs w:val="22"/>
        </w:rPr>
        <w:t xml:space="preserve"> 2030 mission and 2050 Vision,</w:t>
      </w:r>
      <w:r>
        <w:rPr>
          <w:color w:val="000000" w:themeColor="text1"/>
          <w:szCs w:val="22"/>
        </w:rPr>
        <w:t xml:space="preserve"> </w:t>
      </w:r>
    </w:p>
    <w:p w14:paraId="6052EFFA" w14:textId="77777777" w:rsidR="0065659F" w:rsidRDefault="0065659F" w:rsidP="0004654F">
      <w:pPr>
        <w:spacing w:before="120" w:after="120"/>
        <w:ind w:firstLine="851"/>
        <w:rPr>
          <w:color w:val="000000" w:themeColor="text1"/>
          <w:szCs w:val="22"/>
        </w:rPr>
      </w:pPr>
      <w:r w:rsidRPr="1E0835D0">
        <w:rPr>
          <w:i/>
          <w:iCs/>
          <w:color w:val="000000" w:themeColor="text1"/>
          <w:szCs w:val="22"/>
        </w:rPr>
        <w:t xml:space="preserve">Taking note </w:t>
      </w:r>
      <w:r w:rsidRPr="1E0835D0">
        <w:rPr>
          <w:color w:val="000000" w:themeColor="text1"/>
          <w:szCs w:val="22"/>
        </w:rPr>
        <w:t>of the work conducted by the United Nations Environment Management Group and the United Nations System Chief Executives Board for Coordination to facilitate system-wide attention to biodiversity and the post-2020 global biodiversity framework,</w:t>
      </w:r>
      <w:r>
        <w:rPr>
          <w:color w:val="000000" w:themeColor="text1"/>
          <w:szCs w:val="22"/>
        </w:rPr>
        <w:t xml:space="preserve"> </w:t>
      </w:r>
    </w:p>
    <w:p w14:paraId="68CD333E" w14:textId="77777777" w:rsidR="0065659F" w:rsidRDefault="0065659F" w:rsidP="0004654F">
      <w:pPr>
        <w:spacing w:before="120" w:after="120"/>
        <w:ind w:firstLine="851"/>
        <w:rPr>
          <w:color w:val="000000" w:themeColor="text1"/>
          <w:szCs w:val="22"/>
        </w:rPr>
      </w:pPr>
      <w:r w:rsidRPr="1E0835D0">
        <w:rPr>
          <w:i/>
          <w:iCs/>
          <w:color w:val="000000" w:themeColor="text1"/>
          <w:szCs w:val="22"/>
          <w:lang w:val="en-US"/>
        </w:rPr>
        <w:t>Welcoming with appreciation</w:t>
      </w:r>
      <w:r w:rsidRPr="1E0835D0">
        <w:rPr>
          <w:color w:val="000000" w:themeColor="text1"/>
          <w:szCs w:val="22"/>
          <w:lang w:val="en-US"/>
        </w:rPr>
        <w:t xml:space="preserve"> the support provided by the Government of Switzerland for the organization of the consultation workshops of biodiversity-related conventions on the post-2020 global biodiversity framework (Bern I and II) and welcoming the reports of both workshops,</w:t>
      </w:r>
      <w:r w:rsidRPr="00610646">
        <w:rPr>
          <w:rStyle w:val="FootnoteReference"/>
        </w:rPr>
        <w:footnoteReference w:id="129"/>
      </w:r>
      <w:r>
        <w:rPr>
          <w:color w:val="000000" w:themeColor="text1"/>
          <w:szCs w:val="22"/>
          <w:lang w:val="en-US"/>
        </w:rPr>
        <w:t xml:space="preserve"> </w:t>
      </w:r>
    </w:p>
    <w:p w14:paraId="2333C12B" w14:textId="77777777" w:rsidR="0065659F" w:rsidRDefault="0065659F" w:rsidP="0004654F">
      <w:pPr>
        <w:spacing w:before="120" w:after="120"/>
        <w:ind w:firstLine="851"/>
        <w:rPr>
          <w:color w:val="000000" w:themeColor="text1"/>
          <w:szCs w:val="22"/>
        </w:rPr>
      </w:pPr>
      <w:r w:rsidRPr="1E0835D0">
        <w:rPr>
          <w:i/>
          <w:iCs/>
          <w:color w:val="000000" w:themeColor="text1"/>
          <w:szCs w:val="22"/>
        </w:rPr>
        <w:t>Also welcoming with appreciation</w:t>
      </w:r>
      <w:r w:rsidRPr="1E0835D0">
        <w:rPr>
          <w:color w:val="000000" w:themeColor="text1"/>
          <w:szCs w:val="22"/>
        </w:rPr>
        <w:t xml:space="preserve"> the support provided by the United Nations Environment Programme to the implementation of decisions XIII/24 and 14/30 with respect to enhancing synergies among biodiversity-related conventions, including in convening the Bern II workshop,</w:t>
      </w:r>
      <w:r>
        <w:rPr>
          <w:color w:val="000000" w:themeColor="text1"/>
          <w:szCs w:val="22"/>
        </w:rPr>
        <w:t xml:space="preserve"> </w:t>
      </w:r>
    </w:p>
    <w:p w14:paraId="13865AD4" w14:textId="77777777" w:rsidR="0065659F" w:rsidRDefault="0065659F" w:rsidP="0004654F">
      <w:pPr>
        <w:spacing w:before="120" w:after="120"/>
        <w:ind w:firstLine="851"/>
        <w:rPr>
          <w:color w:val="000000" w:themeColor="text1"/>
          <w:szCs w:val="22"/>
        </w:rPr>
      </w:pPr>
      <w:r>
        <w:rPr>
          <w:i/>
          <w:iCs/>
          <w:color w:val="000000" w:themeColor="text1"/>
          <w:szCs w:val="22"/>
        </w:rPr>
        <w:t>W</w:t>
      </w:r>
      <w:r w:rsidRPr="1E0835D0">
        <w:rPr>
          <w:i/>
          <w:iCs/>
          <w:color w:val="000000" w:themeColor="text1"/>
          <w:szCs w:val="22"/>
        </w:rPr>
        <w:t>elcoming</w:t>
      </w:r>
      <w:r w:rsidRPr="1E0835D0">
        <w:rPr>
          <w:color w:val="000000" w:themeColor="text1"/>
          <w:szCs w:val="22"/>
        </w:rPr>
        <w:t xml:space="preserve"> the contributions of other biodiversity-related conventions, multilateral agreements and international organizations and processes to the preparation of the </w:t>
      </w:r>
      <w:r>
        <w:rPr>
          <w:color w:val="000000" w:themeColor="text1"/>
          <w:szCs w:val="22"/>
        </w:rPr>
        <w:t>Kunming-Montreal</w:t>
      </w:r>
      <w:r w:rsidRPr="1E0835D0">
        <w:rPr>
          <w:color w:val="000000" w:themeColor="text1"/>
          <w:szCs w:val="22"/>
        </w:rPr>
        <w:t xml:space="preserve"> Global Biodiversity Framework, including through their active participation in the “Bern process”,</w:t>
      </w:r>
      <w:r>
        <w:rPr>
          <w:color w:val="000000" w:themeColor="text1"/>
          <w:szCs w:val="22"/>
        </w:rPr>
        <w:t xml:space="preserve"> </w:t>
      </w:r>
    </w:p>
    <w:p w14:paraId="24572014" w14:textId="77777777" w:rsidR="0065659F" w:rsidRDefault="0065659F" w:rsidP="0004654F">
      <w:pPr>
        <w:spacing w:before="120" w:after="120"/>
        <w:ind w:firstLine="851"/>
        <w:rPr>
          <w:color w:val="000000" w:themeColor="text1"/>
          <w:szCs w:val="22"/>
        </w:rPr>
      </w:pPr>
      <w:r w:rsidRPr="1E0835D0">
        <w:rPr>
          <w:i/>
          <w:iCs/>
          <w:color w:val="000000" w:themeColor="text1"/>
          <w:szCs w:val="22"/>
        </w:rPr>
        <w:t>Recognizing</w:t>
      </w:r>
      <w:r w:rsidRPr="1E0835D0">
        <w:rPr>
          <w:color w:val="000000" w:themeColor="text1"/>
          <w:szCs w:val="22"/>
        </w:rPr>
        <w:t xml:space="preserve"> that relevant multilateral environmental agreements have specific contributions to make in implementing elements of the </w:t>
      </w:r>
      <w:r>
        <w:rPr>
          <w:color w:val="000000" w:themeColor="text1"/>
          <w:szCs w:val="22"/>
        </w:rPr>
        <w:t>Kunming-Montreal</w:t>
      </w:r>
      <w:r w:rsidRPr="1E0835D0">
        <w:rPr>
          <w:color w:val="000000" w:themeColor="text1"/>
          <w:szCs w:val="22"/>
        </w:rPr>
        <w:t xml:space="preserve"> Global Biodiversity Framework, in line with their mandates,</w:t>
      </w:r>
      <w:r>
        <w:rPr>
          <w:color w:val="000000" w:themeColor="text1"/>
          <w:szCs w:val="22"/>
        </w:rPr>
        <w:t xml:space="preserve"> </w:t>
      </w:r>
    </w:p>
    <w:p w14:paraId="3D76676C" w14:textId="77777777" w:rsidR="0065659F" w:rsidRDefault="0065659F" w:rsidP="0004654F">
      <w:pPr>
        <w:spacing w:before="120" w:after="120"/>
        <w:ind w:firstLine="851"/>
        <w:rPr>
          <w:color w:val="000000" w:themeColor="text1"/>
          <w:szCs w:val="22"/>
        </w:rPr>
      </w:pPr>
      <w:r w:rsidRPr="1E0835D0">
        <w:rPr>
          <w:i/>
          <w:iCs/>
          <w:color w:val="000000" w:themeColor="text1"/>
          <w:szCs w:val="22"/>
        </w:rPr>
        <w:t>Welcoming with appreciation</w:t>
      </w:r>
      <w:r w:rsidRPr="1E0835D0">
        <w:rPr>
          <w:color w:val="000000" w:themeColor="text1"/>
          <w:szCs w:val="22"/>
        </w:rPr>
        <w:t xml:space="preserve"> the work conducted by other organizations to fulfil elements of decision 14/30, including the Food and Agriculture Organization of the United Nations, the United Nations Educational, Scientific and Cultural Organization, the International Tropical Timber Organization and the World Health Organization,</w:t>
      </w:r>
      <w:r>
        <w:rPr>
          <w:color w:val="000000" w:themeColor="text1"/>
          <w:szCs w:val="22"/>
        </w:rPr>
        <w:t xml:space="preserve"> </w:t>
      </w:r>
    </w:p>
    <w:p w14:paraId="026A7101" w14:textId="77777777" w:rsidR="0065659F" w:rsidRDefault="0065659F" w:rsidP="0004654F">
      <w:pPr>
        <w:spacing w:before="120" w:after="120"/>
        <w:ind w:firstLine="851"/>
        <w:rPr>
          <w:color w:val="000000" w:themeColor="text1"/>
          <w:szCs w:val="22"/>
        </w:rPr>
      </w:pPr>
      <w:r w:rsidRPr="1E0835D0">
        <w:rPr>
          <w:i/>
          <w:iCs/>
          <w:color w:val="000000" w:themeColor="text1"/>
          <w:szCs w:val="22"/>
        </w:rPr>
        <w:lastRenderedPageBreak/>
        <w:t>Also welcoming with appreciation</w:t>
      </w:r>
      <w:r w:rsidRPr="1E0835D0">
        <w:rPr>
          <w:color w:val="000000" w:themeColor="text1"/>
          <w:szCs w:val="22"/>
        </w:rPr>
        <w:t xml:space="preserve"> the work undertaken by the Global Partnership for Plant Conservation in promoting plant conservation and contributing to the </w:t>
      </w:r>
      <w:r w:rsidRPr="0031303E">
        <w:rPr>
          <w:color w:val="000000" w:themeColor="text1"/>
          <w:szCs w:val="22"/>
        </w:rPr>
        <w:t>2050 Vision for Biodiversity as</w:t>
      </w:r>
      <w:r w:rsidRPr="1E0835D0">
        <w:rPr>
          <w:color w:val="000000" w:themeColor="text1"/>
          <w:szCs w:val="22"/>
        </w:rPr>
        <w:t xml:space="preserve"> described in the fifth edition of the </w:t>
      </w:r>
      <w:r w:rsidRPr="1E0835D0">
        <w:rPr>
          <w:i/>
          <w:iCs/>
          <w:color w:val="000000" w:themeColor="text1"/>
          <w:szCs w:val="22"/>
        </w:rPr>
        <w:t>Global Biodiversity Outlook</w:t>
      </w:r>
      <w:r w:rsidRPr="00610646">
        <w:rPr>
          <w:rStyle w:val="FootnoteReference"/>
        </w:rPr>
        <w:footnoteReference w:id="130"/>
      </w:r>
      <w:r w:rsidRPr="1E0835D0">
        <w:rPr>
          <w:color w:val="000000" w:themeColor="text1"/>
          <w:szCs w:val="22"/>
        </w:rPr>
        <w:t xml:space="preserve"> and the 2020 Plant Conservation report,</w:t>
      </w:r>
      <w:r w:rsidRPr="00610646">
        <w:rPr>
          <w:rStyle w:val="FootnoteReference"/>
        </w:rPr>
        <w:footnoteReference w:id="131"/>
      </w:r>
      <w:r>
        <w:rPr>
          <w:color w:val="000000" w:themeColor="text1"/>
          <w:szCs w:val="22"/>
        </w:rPr>
        <w:t xml:space="preserve"> </w:t>
      </w:r>
    </w:p>
    <w:p w14:paraId="487DF3E0" w14:textId="77777777" w:rsidR="0065659F" w:rsidRDefault="0065659F" w:rsidP="00473492">
      <w:pPr>
        <w:spacing w:before="120" w:after="120"/>
        <w:ind w:firstLine="851"/>
        <w:rPr>
          <w:color w:val="000000" w:themeColor="text1"/>
          <w:szCs w:val="22"/>
        </w:rPr>
      </w:pPr>
      <w:r>
        <w:rPr>
          <w:i/>
          <w:iCs/>
          <w:color w:val="000000" w:themeColor="text1"/>
          <w:szCs w:val="22"/>
        </w:rPr>
        <w:t>N</w:t>
      </w:r>
      <w:r w:rsidRPr="00FA2B38">
        <w:rPr>
          <w:i/>
          <w:iCs/>
          <w:color w:val="000000" w:themeColor="text1"/>
          <w:szCs w:val="22"/>
        </w:rPr>
        <w:t>oting</w:t>
      </w:r>
      <w:r w:rsidRPr="00FA2B38">
        <w:rPr>
          <w:color w:val="000000" w:themeColor="text1"/>
          <w:szCs w:val="22"/>
        </w:rPr>
        <w:t xml:space="preserve"> the work to establish a </w:t>
      </w:r>
      <w:r>
        <w:rPr>
          <w:color w:val="000000" w:themeColor="text1"/>
          <w:szCs w:val="22"/>
        </w:rPr>
        <w:t>“</w:t>
      </w:r>
      <w:r w:rsidRPr="00FA2B38">
        <w:rPr>
          <w:color w:val="000000" w:themeColor="text1"/>
          <w:szCs w:val="22"/>
        </w:rPr>
        <w:t>World Coastal Forum</w:t>
      </w:r>
      <w:r>
        <w:rPr>
          <w:color w:val="000000" w:themeColor="text1"/>
          <w:szCs w:val="22"/>
        </w:rPr>
        <w:t>”</w:t>
      </w:r>
      <w:r w:rsidRPr="00FA2B38">
        <w:rPr>
          <w:color w:val="000000" w:themeColor="text1"/>
          <w:szCs w:val="22"/>
        </w:rPr>
        <w:t xml:space="preserve"> in response to paragraphs 15 and 16 of decision 14/30</w:t>
      </w:r>
      <w:r>
        <w:rPr>
          <w:color w:val="000000" w:themeColor="text1"/>
          <w:szCs w:val="22"/>
        </w:rPr>
        <w:t>,</w:t>
      </w:r>
      <w:r w:rsidRPr="00FA2B38">
        <w:rPr>
          <w:color w:val="000000" w:themeColor="text1"/>
          <w:szCs w:val="22"/>
        </w:rPr>
        <w:t xml:space="preserve"> as well as </w:t>
      </w:r>
      <w:r>
        <w:rPr>
          <w:color w:val="000000" w:themeColor="text1"/>
          <w:szCs w:val="22"/>
        </w:rPr>
        <w:t xml:space="preserve">related </w:t>
      </w:r>
      <w:r w:rsidRPr="005F511F">
        <w:rPr>
          <w:color w:val="000000" w:themeColor="text1"/>
          <w:szCs w:val="22"/>
        </w:rPr>
        <w:t>resolutions adopted by the Conference of the Contracting Parties to the Convention on Wetlands of International Importance especially as Waterfowl Habitat at its thirteenth meeting</w:t>
      </w:r>
      <w:r w:rsidRPr="00610646">
        <w:rPr>
          <w:rStyle w:val="FootnoteReference"/>
        </w:rPr>
        <w:footnoteReference w:id="132"/>
      </w:r>
      <w:r w:rsidRPr="005F511F">
        <w:rPr>
          <w:color w:val="000000" w:themeColor="text1"/>
          <w:szCs w:val="22"/>
        </w:rPr>
        <w:t xml:space="preserve"> and by the Conference of the Parties to the Convention on the Conservation of Migratory Species of Wild Animals at its twelfth meeting</w:t>
      </w:r>
      <w:r w:rsidRPr="00A40C30">
        <w:rPr>
          <w:color w:val="000000" w:themeColor="text1"/>
          <w:szCs w:val="22"/>
        </w:rPr>
        <w:t>,</w:t>
      </w:r>
      <w:r w:rsidRPr="00610646">
        <w:rPr>
          <w:rStyle w:val="FootnoteReference"/>
        </w:rPr>
        <w:footnoteReference w:id="133"/>
      </w:r>
      <w:r w:rsidRPr="005F511F">
        <w:rPr>
          <w:i/>
          <w:iCs/>
          <w:color w:val="000000" w:themeColor="text1"/>
          <w:szCs w:val="22"/>
        </w:rPr>
        <w:t xml:space="preserve"> </w:t>
      </w:r>
      <w:r w:rsidRPr="005F511F">
        <w:rPr>
          <w:color w:val="000000" w:themeColor="text1"/>
          <w:szCs w:val="22"/>
        </w:rPr>
        <w:t>which</w:t>
      </w:r>
      <w:r w:rsidRPr="00FA2B38">
        <w:rPr>
          <w:color w:val="000000" w:themeColor="text1"/>
          <w:szCs w:val="22"/>
        </w:rPr>
        <w:t xml:space="preserve"> call for increased focus on coastal ecosystems</w:t>
      </w:r>
      <w:r>
        <w:rPr>
          <w:color w:val="000000" w:themeColor="text1"/>
          <w:szCs w:val="22"/>
        </w:rPr>
        <w:t>,</w:t>
      </w:r>
    </w:p>
    <w:p w14:paraId="2301C147" w14:textId="77777777" w:rsidR="0065659F" w:rsidRDefault="0065659F" w:rsidP="0004654F">
      <w:pPr>
        <w:spacing w:before="120" w:after="120"/>
        <w:ind w:firstLine="851"/>
        <w:rPr>
          <w:color w:val="000000" w:themeColor="text1"/>
          <w:szCs w:val="22"/>
          <w:lang w:val="en-US"/>
        </w:rPr>
      </w:pPr>
      <w:r>
        <w:rPr>
          <w:i/>
          <w:iCs/>
          <w:color w:val="000000" w:themeColor="text1"/>
          <w:szCs w:val="22"/>
          <w:lang w:val="en-US"/>
        </w:rPr>
        <w:t>W</w:t>
      </w:r>
      <w:r w:rsidRPr="1E0835D0">
        <w:rPr>
          <w:i/>
          <w:iCs/>
          <w:color w:val="000000" w:themeColor="text1"/>
          <w:szCs w:val="22"/>
          <w:lang w:val="en-US"/>
        </w:rPr>
        <w:t xml:space="preserve">elcoming </w:t>
      </w:r>
      <w:r w:rsidRPr="1E0835D0">
        <w:rPr>
          <w:color w:val="000000" w:themeColor="text1"/>
          <w:szCs w:val="22"/>
          <w:lang w:val="en-US"/>
        </w:rPr>
        <w:t xml:space="preserve">the cooperative activities under the Rio conventions, </w:t>
      </w:r>
    </w:p>
    <w:p w14:paraId="156096AA" w14:textId="77777777" w:rsidR="0065659F" w:rsidRPr="00623953" w:rsidRDefault="0065659F" w:rsidP="0004654F">
      <w:pPr>
        <w:spacing w:before="120" w:after="120"/>
        <w:ind w:firstLine="851"/>
        <w:rPr>
          <w:color w:val="000000" w:themeColor="text1"/>
          <w:szCs w:val="22"/>
        </w:rPr>
      </w:pPr>
      <w:r w:rsidRPr="0022348C">
        <w:rPr>
          <w:i/>
          <w:iCs/>
        </w:rPr>
        <w:t>Taking note</w:t>
      </w:r>
      <w:r w:rsidRPr="0022348C">
        <w:t xml:space="preserve"> of United Nations Environment Assembly resolution 5/5</w:t>
      </w:r>
      <w:r>
        <w:t xml:space="preserve"> on nature-based solutions supporting sustainable development</w:t>
      </w:r>
      <w:r w:rsidRPr="0022348C">
        <w:t>,</w:t>
      </w:r>
      <w:r w:rsidRPr="00610646">
        <w:rPr>
          <w:rStyle w:val="FootnoteReference"/>
        </w:rPr>
        <w:footnoteReference w:id="134"/>
      </w:r>
      <w:r>
        <w:t xml:space="preserve"> </w:t>
      </w:r>
    </w:p>
    <w:p w14:paraId="3580B161" w14:textId="77777777" w:rsidR="0065659F" w:rsidRDefault="0065659F" w:rsidP="0004654F">
      <w:pPr>
        <w:spacing w:before="120" w:after="120"/>
        <w:ind w:firstLine="851"/>
        <w:rPr>
          <w:color w:val="000000" w:themeColor="text1"/>
          <w:szCs w:val="22"/>
        </w:rPr>
      </w:pPr>
      <w:r w:rsidRPr="1E0835D0">
        <w:rPr>
          <w:i/>
          <w:iCs/>
          <w:color w:val="000000" w:themeColor="text1"/>
          <w:szCs w:val="22"/>
          <w:lang w:val="en-US"/>
        </w:rPr>
        <w:t>Recognizing</w:t>
      </w:r>
      <w:r w:rsidRPr="1E0835D0">
        <w:rPr>
          <w:color w:val="000000" w:themeColor="text1"/>
          <w:szCs w:val="22"/>
          <w:lang w:val="en-US"/>
        </w:rPr>
        <w:t xml:space="preserve"> the rolling work programme up to 2030 of the </w:t>
      </w:r>
      <w:r w:rsidRPr="1E0835D0">
        <w:rPr>
          <w:color w:val="000000" w:themeColor="text1"/>
          <w:szCs w:val="22"/>
        </w:rPr>
        <w:t>Intergovernmental Science-Policy Platform on Biodiversity and Ecosystem Services,</w:t>
      </w:r>
      <w:r>
        <w:rPr>
          <w:color w:val="000000" w:themeColor="text1"/>
          <w:szCs w:val="22"/>
        </w:rPr>
        <w:t xml:space="preserve"> </w:t>
      </w:r>
    </w:p>
    <w:p w14:paraId="2521A3DE" w14:textId="77777777" w:rsidR="0065659F" w:rsidRDefault="0065659F" w:rsidP="0004654F">
      <w:pPr>
        <w:spacing w:before="120" w:after="120"/>
        <w:ind w:firstLine="851"/>
        <w:rPr>
          <w:color w:val="000000" w:themeColor="text1"/>
          <w:szCs w:val="22"/>
        </w:rPr>
      </w:pPr>
      <w:r w:rsidRPr="1E0835D0">
        <w:rPr>
          <w:i/>
          <w:iCs/>
          <w:color w:val="000000" w:themeColor="text1"/>
          <w:szCs w:val="22"/>
        </w:rPr>
        <w:t>Welcoming with appreciation</w:t>
      </w:r>
      <w:r w:rsidRPr="1E0835D0">
        <w:rPr>
          <w:color w:val="000000" w:themeColor="text1"/>
          <w:szCs w:val="22"/>
        </w:rPr>
        <w:t xml:space="preserve"> the resolution of the United Nations General Assembly proclaiming the United Nations Decade on Ecosystem Restoration 2021-2030 and the contribution that this may provide to objectives of the Convention and the </w:t>
      </w:r>
      <w:r>
        <w:rPr>
          <w:color w:val="000000" w:themeColor="text1"/>
          <w:szCs w:val="22"/>
        </w:rPr>
        <w:t>Kunming-Montreal</w:t>
      </w:r>
      <w:r w:rsidRPr="1E0835D0">
        <w:rPr>
          <w:color w:val="000000" w:themeColor="text1"/>
          <w:szCs w:val="22"/>
        </w:rPr>
        <w:t xml:space="preserve"> Global Biodiversity Framework,</w:t>
      </w:r>
      <w:r>
        <w:rPr>
          <w:color w:val="000000" w:themeColor="text1"/>
          <w:szCs w:val="22"/>
        </w:rPr>
        <w:t xml:space="preserve"> </w:t>
      </w:r>
    </w:p>
    <w:p w14:paraId="16983605" w14:textId="77777777" w:rsidR="0065659F" w:rsidRDefault="0065659F" w:rsidP="0004654F">
      <w:pPr>
        <w:spacing w:before="120" w:after="120"/>
        <w:ind w:firstLine="851"/>
        <w:rPr>
          <w:color w:val="000000" w:themeColor="text1"/>
          <w:szCs w:val="22"/>
        </w:rPr>
      </w:pPr>
      <w:r w:rsidRPr="1E0835D0">
        <w:rPr>
          <w:color w:val="000000" w:themeColor="text1"/>
          <w:szCs w:val="22"/>
        </w:rPr>
        <w:t>1.</w:t>
      </w:r>
      <w:r>
        <w:tab/>
      </w:r>
      <w:r w:rsidRPr="00684D5D">
        <w:rPr>
          <w:i/>
          <w:iCs/>
          <w:color w:val="000000" w:themeColor="text1"/>
          <w:szCs w:val="22"/>
        </w:rPr>
        <w:t>Welcomes</w:t>
      </w:r>
      <w:r w:rsidRPr="1E0835D0">
        <w:rPr>
          <w:color w:val="000000" w:themeColor="text1"/>
          <w:szCs w:val="22"/>
        </w:rPr>
        <w:t xml:space="preserve"> the contributions of other biodiversity-related conventions, multilateral agreements and international organizations and processes to enhancing synergies in the implementation of the </w:t>
      </w:r>
      <w:r>
        <w:rPr>
          <w:color w:val="000000" w:themeColor="text1"/>
          <w:szCs w:val="22"/>
        </w:rPr>
        <w:t>Kunming-Montreal</w:t>
      </w:r>
      <w:r w:rsidRPr="1E0835D0">
        <w:rPr>
          <w:color w:val="000000" w:themeColor="text1"/>
          <w:szCs w:val="22"/>
        </w:rPr>
        <w:t xml:space="preserve"> Global Biodiversity Framework;</w:t>
      </w:r>
      <w:r>
        <w:rPr>
          <w:color w:val="000000" w:themeColor="text1"/>
          <w:szCs w:val="22"/>
        </w:rPr>
        <w:t xml:space="preserve"> </w:t>
      </w:r>
    </w:p>
    <w:p w14:paraId="685D2466" w14:textId="77777777" w:rsidR="0065659F" w:rsidRDefault="0065659F" w:rsidP="0004654F">
      <w:pPr>
        <w:spacing w:before="120" w:after="120"/>
        <w:ind w:firstLine="851"/>
        <w:rPr>
          <w:color w:val="000000" w:themeColor="text1"/>
          <w:szCs w:val="22"/>
        </w:rPr>
      </w:pPr>
      <w:r w:rsidRPr="1E0835D0">
        <w:rPr>
          <w:color w:val="000000" w:themeColor="text1"/>
          <w:szCs w:val="22"/>
        </w:rPr>
        <w:t>2.</w:t>
      </w:r>
      <w:r>
        <w:tab/>
      </w:r>
      <w:r w:rsidRPr="00684D5D">
        <w:rPr>
          <w:i/>
          <w:iCs/>
          <w:color w:val="000000" w:themeColor="text1"/>
          <w:szCs w:val="22"/>
        </w:rPr>
        <w:t>Encourages</w:t>
      </w:r>
      <w:r w:rsidRPr="1E0835D0">
        <w:rPr>
          <w:color w:val="000000" w:themeColor="text1"/>
          <w:szCs w:val="22"/>
        </w:rPr>
        <w:t xml:space="preserve"> the strengthening of cooperation and synergies among relevant conventions and multilateral agreements by, as appropriate and in line with their respective mandates, legal authority and responsibilities, establishing or renewing cooperation frameworks</w:t>
      </w:r>
      <w:r>
        <w:rPr>
          <w:color w:val="000000" w:themeColor="text1"/>
          <w:szCs w:val="22"/>
        </w:rPr>
        <w:t>, as needed</w:t>
      </w:r>
      <w:r w:rsidRPr="1E0835D0">
        <w:rPr>
          <w:color w:val="000000" w:themeColor="text1"/>
          <w:szCs w:val="22"/>
        </w:rPr>
        <w:t>;</w:t>
      </w:r>
    </w:p>
    <w:p w14:paraId="584A3AF0" w14:textId="77777777" w:rsidR="0065659F" w:rsidRDefault="0065659F" w:rsidP="0004654F">
      <w:pPr>
        <w:spacing w:before="120" w:after="120"/>
        <w:ind w:firstLine="851"/>
        <w:rPr>
          <w:color w:val="000000" w:themeColor="text1"/>
          <w:szCs w:val="22"/>
        </w:rPr>
      </w:pPr>
      <w:r w:rsidRPr="1E0835D0">
        <w:rPr>
          <w:color w:val="000000" w:themeColor="text1"/>
          <w:szCs w:val="22"/>
        </w:rPr>
        <w:t>3.</w:t>
      </w:r>
      <w:r>
        <w:tab/>
      </w:r>
      <w:r w:rsidRPr="002A2503">
        <w:rPr>
          <w:i/>
          <w:iCs/>
          <w:color w:val="000000" w:themeColor="text1"/>
          <w:szCs w:val="22"/>
        </w:rPr>
        <w:t>Invites</w:t>
      </w:r>
      <w:r w:rsidRPr="1E0835D0">
        <w:rPr>
          <w:color w:val="000000" w:themeColor="text1"/>
          <w:szCs w:val="22"/>
        </w:rPr>
        <w:t xml:space="preserve"> the governing bodies of other biodiversity-related conventions and relevant multilateral environmental agreements, as well as international organizations and other relevant programmes, to </w:t>
      </w:r>
      <w:r>
        <w:rPr>
          <w:color w:val="000000" w:themeColor="text1"/>
          <w:szCs w:val="22"/>
        </w:rPr>
        <w:t>formally endorse</w:t>
      </w:r>
      <w:r w:rsidRPr="1E0835D0">
        <w:rPr>
          <w:color w:val="000000" w:themeColor="text1"/>
          <w:szCs w:val="22"/>
        </w:rPr>
        <w:t xml:space="preserve"> the </w:t>
      </w:r>
      <w:r>
        <w:rPr>
          <w:color w:val="000000" w:themeColor="text1"/>
          <w:szCs w:val="22"/>
        </w:rPr>
        <w:t>Kunming-Montreal</w:t>
      </w:r>
      <w:r w:rsidRPr="1E0835D0">
        <w:rPr>
          <w:color w:val="000000" w:themeColor="text1"/>
          <w:szCs w:val="22"/>
        </w:rPr>
        <w:t xml:space="preserve"> Global Biodiversity Framework through their own governance processes, as appropriate, in order to support its operationalization and contribute to the transparency and monitoring of progress in </w:t>
      </w:r>
      <w:r>
        <w:rPr>
          <w:color w:val="000000" w:themeColor="text1"/>
          <w:szCs w:val="22"/>
        </w:rPr>
        <w:t>its implementation</w:t>
      </w:r>
      <w:r w:rsidRPr="1E0835D0">
        <w:rPr>
          <w:color w:val="000000" w:themeColor="text1"/>
          <w:szCs w:val="22"/>
        </w:rPr>
        <w:t xml:space="preserve"> by, among others, using synergetic modular reporting tools such as the Data Reporting Tool for MEAs (DaRT); </w:t>
      </w:r>
    </w:p>
    <w:p w14:paraId="32C3F9E1" w14:textId="77777777" w:rsidR="0065659F" w:rsidRDefault="0065659F" w:rsidP="0004654F">
      <w:pPr>
        <w:spacing w:before="120" w:after="120"/>
        <w:ind w:firstLine="851"/>
        <w:rPr>
          <w:color w:val="000000" w:themeColor="text1"/>
          <w:szCs w:val="22"/>
        </w:rPr>
      </w:pPr>
      <w:r w:rsidRPr="1E0835D0">
        <w:rPr>
          <w:color w:val="000000" w:themeColor="text1"/>
          <w:szCs w:val="22"/>
        </w:rPr>
        <w:t>4.</w:t>
      </w:r>
      <w:r>
        <w:tab/>
      </w:r>
      <w:r w:rsidRPr="002A2503">
        <w:rPr>
          <w:i/>
          <w:iCs/>
          <w:color w:val="000000" w:themeColor="text1"/>
          <w:szCs w:val="22"/>
        </w:rPr>
        <w:t>Also invites</w:t>
      </w:r>
      <w:r w:rsidRPr="1E0835D0">
        <w:rPr>
          <w:color w:val="000000" w:themeColor="text1"/>
          <w:szCs w:val="22"/>
        </w:rPr>
        <w:t xml:space="preserve"> the governing bodies of biodiversity-related conventions and relevant multilateral environmental agreements, as well as international organizations and other relevant programmes, to contribute to the implementation and monitoring of the </w:t>
      </w:r>
      <w:r>
        <w:rPr>
          <w:color w:val="000000" w:themeColor="text1"/>
          <w:szCs w:val="22"/>
        </w:rPr>
        <w:t>Kunming-Montreal</w:t>
      </w:r>
      <w:r w:rsidRPr="1E0835D0">
        <w:rPr>
          <w:color w:val="000000" w:themeColor="text1"/>
          <w:szCs w:val="22"/>
        </w:rPr>
        <w:t xml:space="preserve"> Global Biodiversity Framework, in particular by further strengthening cooperation at the global level within their respective mandates and enhancing synergies among themselves, to encourage mutually supportive decisions, to</w:t>
      </w:r>
      <w:r>
        <w:rPr>
          <w:color w:val="000000" w:themeColor="text1"/>
          <w:szCs w:val="22"/>
        </w:rPr>
        <w:t xml:space="preserve"> coordinate </w:t>
      </w:r>
      <w:r w:rsidRPr="1E0835D0">
        <w:rPr>
          <w:color w:val="000000" w:themeColor="text1"/>
          <w:szCs w:val="22"/>
        </w:rPr>
        <w:t xml:space="preserve">their own strategies with the </w:t>
      </w:r>
      <w:r>
        <w:rPr>
          <w:color w:val="000000" w:themeColor="text1"/>
          <w:szCs w:val="22"/>
        </w:rPr>
        <w:t>Kunming-Montreal</w:t>
      </w:r>
      <w:r w:rsidRPr="1E0835D0">
        <w:rPr>
          <w:color w:val="000000" w:themeColor="text1"/>
          <w:szCs w:val="22"/>
        </w:rPr>
        <w:t xml:space="preserve"> Global Biodiversity Framework and to propose key issues for thematic discussions facilitated by the Liaison Group of Biodiversity-related Conventions, taking into account, where appropriate, the conclusions of the Bern II workshop included in document CBD/SBI/3/10;</w:t>
      </w:r>
      <w:r>
        <w:rPr>
          <w:color w:val="000000" w:themeColor="text1"/>
          <w:szCs w:val="22"/>
        </w:rPr>
        <w:t xml:space="preserve"> </w:t>
      </w:r>
    </w:p>
    <w:p w14:paraId="23560DC6" w14:textId="77777777" w:rsidR="0065659F" w:rsidRDefault="0065659F" w:rsidP="0004654F">
      <w:pPr>
        <w:spacing w:before="120" w:after="120"/>
        <w:ind w:firstLine="851"/>
        <w:rPr>
          <w:color w:val="000000" w:themeColor="text1"/>
          <w:szCs w:val="22"/>
        </w:rPr>
      </w:pPr>
      <w:r w:rsidRPr="1E0835D0">
        <w:rPr>
          <w:color w:val="000000" w:themeColor="text1"/>
          <w:szCs w:val="22"/>
        </w:rPr>
        <w:t>5.</w:t>
      </w:r>
      <w:r>
        <w:tab/>
      </w:r>
      <w:r w:rsidRPr="002A2503">
        <w:rPr>
          <w:i/>
          <w:iCs/>
          <w:color w:val="000000" w:themeColor="text1"/>
          <w:szCs w:val="22"/>
        </w:rPr>
        <w:t>Invites</w:t>
      </w:r>
      <w:r w:rsidRPr="1E0835D0">
        <w:rPr>
          <w:color w:val="000000" w:themeColor="text1"/>
          <w:szCs w:val="22"/>
        </w:rPr>
        <w:t xml:space="preserve"> the Liaison Group of Biodiversity-related Conventions, as well as the informal advisory group on synergies, to enhance cooperation, reduce inefficiencies and facilitate synergies between the heads of the secretariats of biodiversity-related conventions, including through thematic consultations, </w:t>
      </w:r>
      <w:r w:rsidRPr="1E0835D0">
        <w:rPr>
          <w:color w:val="000000" w:themeColor="text1"/>
          <w:szCs w:val="22"/>
        </w:rPr>
        <w:lastRenderedPageBreak/>
        <w:t xml:space="preserve">on key issues for the implementation of the </w:t>
      </w:r>
      <w:r>
        <w:rPr>
          <w:color w:val="000000" w:themeColor="text1"/>
          <w:szCs w:val="22"/>
        </w:rPr>
        <w:t>Kunming-Montreal</w:t>
      </w:r>
      <w:r w:rsidRPr="1E0835D0">
        <w:rPr>
          <w:color w:val="000000" w:themeColor="text1"/>
          <w:szCs w:val="22"/>
        </w:rPr>
        <w:t xml:space="preserve"> Global Biodiversity Framework and to provide common messages or draft recommendations to their respective governing bodies to act upon;</w:t>
      </w:r>
      <w:r>
        <w:rPr>
          <w:color w:val="000000" w:themeColor="text1"/>
          <w:szCs w:val="22"/>
        </w:rPr>
        <w:t xml:space="preserve"> </w:t>
      </w:r>
    </w:p>
    <w:p w14:paraId="375B2106" w14:textId="77777777" w:rsidR="0065659F" w:rsidRDefault="0065659F" w:rsidP="0004654F">
      <w:pPr>
        <w:spacing w:before="120" w:after="120"/>
        <w:ind w:firstLine="851"/>
        <w:rPr>
          <w:color w:val="000000" w:themeColor="text1"/>
          <w:szCs w:val="22"/>
        </w:rPr>
      </w:pPr>
      <w:r w:rsidRPr="1E0835D0">
        <w:rPr>
          <w:color w:val="000000" w:themeColor="text1"/>
          <w:szCs w:val="22"/>
        </w:rPr>
        <w:t>6.</w:t>
      </w:r>
      <w:r>
        <w:tab/>
      </w:r>
      <w:r w:rsidRPr="002A2503">
        <w:rPr>
          <w:i/>
          <w:iCs/>
          <w:color w:val="000000" w:themeColor="text1"/>
          <w:szCs w:val="22"/>
        </w:rPr>
        <w:t>Encourages</w:t>
      </w:r>
      <w:r w:rsidRPr="1E0835D0">
        <w:rPr>
          <w:color w:val="000000" w:themeColor="text1"/>
          <w:szCs w:val="22"/>
        </w:rPr>
        <w:t xml:space="preserve"> Parties</w:t>
      </w:r>
      <w:r>
        <w:rPr>
          <w:color w:val="000000" w:themeColor="text1"/>
          <w:szCs w:val="22"/>
        </w:rPr>
        <w:t xml:space="preserve"> and other Governments</w:t>
      </w:r>
      <w:r w:rsidRPr="1E0835D0">
        <w:rPr>
          <w:color w:val="000000" w:themeColor="text1"/>
          <w:szCs w:val="22"/>
        </w:rPr>
        <w:t xml:space="preserve"> to work together with all stakeholders to jointly implement the </w:t>
      </w:r>
      <w:r>
        <w:rPr>
          <w:color w:val="000000" w:themeColor="text1"/>
          <w:szCs w:val="22"/>
        </w:rPr>
        <w:t>Kunming-Montreal</w:t>
      </w:r>
      <w:r w:rsidRPr="1E0835D0">
        <w:rPr>
          <w:color w:val="000000" w:themeColor="text1"/>
          <w:szCs w:val="22"/>
        </w:rPr>
        <w:t xml:space="preserve"> Global Biodiversity Framework in a spirit of cooperation and mutual support, at global, regional, subregional, national and subnational levels, across areas and sectors, through bilateral joint work programmes where appropriate, and through existing global, regional, subregional, national and subnational instruments, mechanisms and processes;</w:t>
      </w:r>
      <w:r>
        <w:rPr>
          <w:color w:val="000000" w:themeColor="text1"/>
          <w:szCs w:val="22"/>
        </w:rPr>
        <w:t xml:space="preserve"> </w:t>
      </w:r>
    </w:p>
    <w:p w14:paraId="3E0EB095" w14:textId="5BAF345E" w:rsidR="0065659F" w:rsidRDefault="0065659F" w:rsidP="0004654F">
      <w:pPr>
        <w:spacing w:before="120" w:after="120"/>
        <w:ind w:firstLine="851"/>
        <w:rPr>
          <w:color w:val="000000" w:themeColor="text1"/>
          <w:szCs w:val="22"/>
        </w:rPr>
      </w:pPr>
      <w:r>
        <w:rPr>
          <w:color w:val="000000" w:themeColor="text1"/>
          <w:szCs w:val="22"/>
        </w:rPr>
        <w:t>7</w:t>
      </w:r>
      <w:r w:rsidRPr="1E0835D0">
        <w:rPr>
          <w:color w:val="000000" w:themeColor="text1"/>
          <w:szCs w:val="22"/>
        </w:rPr>
        <w:t>.</w:t>
      </w:r>
      <w:r>
        <w:tab/>
      </w:r>
      <w:r>
        <w:rPr>
          <w:i/>
          <w:iCs/>
          <w:color w:val="000000" w:themeColor="text1"/>
          <w:szCs w:val="22"/>
        </w:rPr>
        <w:t>I</w:t>
      </w:r>
      <w:r w:rsidRPr="002A2503">
        <w:rPr>
          <w:i/>
          <w:iCs/>
          <w:color w:val="000000" w:themeColor="text1"/>
          <w:szCs w:val="22"/>
        </w:rPr>
        <w:t>nvites</w:t>
      </w:r>
      <w:r w:rsidRPr="1E0835D0">
        <w:rPr>
          <w:color w:val="000000" w:themeColor="text1"/>
          <w:szCs w:val="22"/>
        </w:rPr>
        <w:t xml:space="preserve"> the United Nations Environment Programme</w:t>
      </w:r>
      <w:r>
        <w:rPr>
          <w:color w:val="000000" w:themeColor="text1"/>
          <w:szCs w:val="22"/>
        </w:rPr>
        <w:t xml:space="preserve">, and </w:t>
      </w:r>
      <w:r w:rsidRPr="00A40C30">
        <w:rPr>
          <w:color w:val="000000" w:themeColor="text1"/>
          <w:szCs w:val="22"/>
        </w:rPr>
        <w:t>encourages</w:t>
      </w:r>
      <w:r>
        <w:rPr>
          <w:color w:val="000000" w:themeColor="text1"/>
          <w:szCs w:val="22"/>
        </w:rPr>
        <w:t xml:space="preserve"> the United Nations Development Programme, the Food and Agriculture Organization of the United Nations, as well as other relevant international organizations,</w:t>
      </w:r>
      <w:r w:rsidRPr="1E0835D0">
        <w:rPr>
          <w:color w:val="000000" w:themeColor="text1"/>
          <w:szCs w:val="22"/>
        </w:rPr>
        <w:t xml:space="preserve"> </w:t>
      </w:r>
      <w:r>
        <w:rPr>
          <w:color w:val="000000" w:themeColor="text1"/>
          <w:szCs w:val="22"/>
        </w:rPr>
        <w:t>to support the Parties and</w:t>
      </w:r>
      <w:r w:rsidRPr="1E0835D0">
        <w:rPr>
          <w:color w:val="000000" w:themeColor="text1"/>
          <w:szCs w:val="22"/>
        </w:rPr>
        <w:t xml:space="preserve"> secretariats of the biodiversity</w:t>
      </w:r>
      <w:r>
        <w:rPr>
          <w:color w:val="000000" w:themeColor="text1"/>
          <w:szCs w:val="22"/>
        </w:rPr>
        <w:t>-</w:t>
      </w:r>
      <w:r w:rsidRPr="1E0835D0">
        <w:rPr>
          <w:color w:val="000000" w:themeColor="text1"/>
          <w:szCs w:val="22"/>
        </w:rPr>
        <w:t xml:space="preserve">related conventions and </w:t>
      </w:r>
      <w:r>
        <w:rPr>
          <w:color w:val="000000" w:themeColor="text1"/>
          <w:szCs w:val="22"/>
        </w:rPr>
        <w:t>agreements</w:t>
      </w:r>
      <w:r w:rsidRPr="1E0835D0">
        <w:rPr>
          <w:color w:val="000000" w:themeColor="text1"/>
          <w:szCs w:val="22"/>
        </w:rPr>
        <w:t xml:space="preserve"> to continue to </w:t>
      </w:r>
      <w:r>
        <w:rPr>
          <w:color w:val="000000" w:themeColor="text1"/>
          <w:szCs w:val="22"/>
        </w:rPr>
        <w:t xml:space="preserve">enhance synergies in areas of priority </w:t>
      </w:r>
      <w:r w:rsidRPr="00F23D82">
        <w:rPr>
          <w:color w:val="000000" w:themeColor="text1"/>
          <w:szCs w:val="22"/>
        </w:rPr>
        <w:t>established by their Parties</w:t>
      </w:r>
      <w:r>
        <w:rPr>
          <w:color w:val="000000" w:themeColor="text1"/>
          <w:szCs w:val="22"/>
        </w:rPr>
        <w:t xml:space="preserve">, including by </w:t>
      </w:r>
      <w:r w:rsidRPr="1E0835D0">
        <w:rPr>
          <w:color w:val="000000" w:themeColor="text1"/>
          <w:szCs w:val="22"/>
        </w:rPr>
        <w:t>facilitat</w:t>
      </w:r>
      <w:r>
        <w:rPr>
          <w:color w:val="000000" w:themeColor="text1"/>
          <w:szCs w:val="22"/>
        </w:rPr>
        <w:t>ing</w:t>
      </w:r>
      <w:r w:rsidRPr="1E0835D0">
        <w:rPr>
          <w:color w:val="000000" w:themeColor="text1"/>
          <w:szCs w:val="22"/>
        </w:rPr>
        <w:t xml:space="preserve"> and implement</w:t>
      </w:r>
      <w:r>
        <w:rPr>
          <w:color w:val="000000" w:themeColor="text1"/>
          <w:szCs w:val="22"/>
        </w:rPr>
        <w:t>ing</w:t>
      </w:r>
      <w:r w:rsidRPr="1E0835D0">
        <w:rPr>
          <w:color w:val="000000" w:themeColor="text1"/>
          <w:szCs w:val="22"/>
        </w:rPr>
        <w:t xml:space="preserve"> </w:t>
      </w:r>
      <w:r w:rsidRPr="004208E7">
        <w:rPr>
          <w:color w:val="000000" w:themeColor="text1"/>
          <w:szCs w:val="22"/>
        </w:rPr>
        <w:t>key actions aimed</w:t>
      </w:r>
      <w:r w:rsidRPr="1E0835D0">
        <w:rPr>
          <w:color w:val="000000" w:themeColor="text1"/>
          <w:szCs w:val="22"/>
        </w:rPr>
        <w:t xml:space="preserve"> to enhance synergies</w:t>
      </w:r>
      <w:r>
        <w:rPr>
          <w:color w:val="000000" w:themeColor="text1"/>
          <w:szCs w:val="22"/>
        </w:rPr>
        <w:t xml:space="preserve"> </w:t>
      </w:r>
      <w:r w:rsidRPr="1E0835D0">
        <w:rPr>
          <w:color w:val="000000" w:themeColor="text1"/>
          <w:szCs w:val="22"/>
        </w:rPr>
        <w:t xml:space="preserve">at the national and </w:t>
      </w:r>
      <w:r>
        <w:rPr>
          <w:color w:val="000000" w:themeColor="text1"/>
          <w:szCs w:val="22"/>
        </w:rPr>
        <w:t>regional</w:t>
      </w:r>
      <w:r w:rsidRPr="1E0835D0">
        <w:rPr>
          <w:color w:val="000000" w:themeColor="text1"/>
          <w:szCs w:val="22"/>
        </w:rPr>
        <w:t xml:space="preserve"> levels outlined in decisions XIII/24 and 14/30, in particular regarding reporting and the use of supportive tools, such as DaRT, capacity</w:t>
      </w:r>
      <w:r>
        <w:rPr>
          <w:color w:val="000000" w:themeColor="text1"/>
          <w:szCs w:val="22"/>
        </w:rPr>
        <w:t>-</w:t>
      </w:r>
      <w:r w:rsidRPr="1E0835D0">
        <w:rPr>
          <w:color w:val="000000" w:themeColor="text1"/>
          <w:szCs w:val="22"/>
        </w:rPr>
        <w:t xml:space="preserve">building and development, and </w:t>
      </w:r>
      <w:r>
        <w:rPr>
          <w:color w:val="000000" w:themeColor="text1"/>
          <w:szCs w:val="22"/>
        </w:rPr>
        <w:t xml:space="preserve">by </w:t>
      </w:r>
      <w:r w:rsidRPr="1E0835D0">
        <w:rPr>
          <w:color w:val="000000" w:themeColor="text1"/>
          <w:szCs w:val="22"/>
        </w:rPr>
        <w:t>facilitating linkages between</w:t>
      </w:r>
      <w:r>
        <w:rPr>
          <w:color w:val="000000" w:themeColor="text1"/>
          <w:szCs w:val="22"/>
        </w:rPr>
        <w:t xml:space="preserve"> biodiversity-related conventions and</w:t>
      </w:r>
      <w:r w:rsidRPr="1E0835D0">
        <w:rPr>
          <w:color w:val="000000" w:themeColor="text1"/>
          <w:szCs w:val="22"/>
        </w:rPr>
        <w:t xml:space="preserve"> relevant multilateral environmental agreements</w:t>
      </w:r>
      <w:r>
        <w:rPr>
          <w:color w:val="000000" w:themeColor="text1"/>
          <w:szCs w:val="22"/>
        </w:rPr>
        <w:t>, in accordance with international rights and obligations</w:t>
      </w:r>
      <w:r w:rsidRPr="1E0835D0">
        <w:rPr>
          <w:color w:val="000000" w:themeColor="text1"/>
          <w:szCs w:val="22"/>
        </w:rPr>
        <w:t>;</w:t>
      </w:r>
    </w:p>
    <w:p w14:paraId="54990FF5" w14:textId="77777777" w:rsidR="0065659F" w:rsidRDefault="0065659F" w:rsidP="0004654F">
      <w:pPr>
        <w:spacing w:before="120" w:after="120"/>
        <w:ind w:firstLine="851"/>
        <w:rPr>
          <w:color w:val="000000" w:themeColor="text1"/>
          <w:szCs w:val="22"/>
        </w:rPr>
      </w:pPr>
      <w:r>
        <w:rPr>
          <w:color w:val="000000" w:themeColor="text1"/>
          <w:szCs w:val="22"/>
        </w:rPr>
        <w:t>8</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Food and Agriculture Organization of the United Nations and the United Nations Environment Programme to continue to liaise closely with the </w:t>
      </w:r>
      <w:r>
        <w:rPr>
          <w:color w:val="000000" w:themeColor="text1"/>
          <w:szCs w:val="22"/>
        </w:rPr>
        <w:t>s</w:t>
      </w:r>
      <w:r w:rsidRPr="1E0835D0">
        <w:rPr>
          <w:color w:val="000000" w:themeColor="text1"/>
          <w:szCs w:val="22"/>
        </w:rPr>
        <w:t>ecretariats of the Rio conventions and relevant partner organizations in the implementation of the United Nations Decade on Ecosystem Restoration</w:t>
      </w:r>
      <w:r>
        <w:rPr>
          <w:color w:val="000000" w:themeColor="text1"/>
          <w:szCs w:val="22"/>
        </w:rPr>
        <w:t>,</w:t>
      </w:r>
      <w:r w:rsidRPr="1E0835D0">
        <w:rPr>
          <w:color w:val="000000" w:themeColor="text1"/>
          <w:szCs w:val="22"/>
        </w:rPr>
        <w:t xml:space="preserve"> and to provide a report on its progress </w:t>
      </w:r>
      <w:r>
        <w:rPr>
          <w:color w:val="000000" w:themeColor="text1"/>
          <w:szCs w:val="22"/>
        </w:rPr>
        <w:t xml:space="preserve">to </w:t>
      </w:r>
      <w:r w:rsidRPr="1E0835D0">
        <w:rPr>
          <w:color w:val="000000" w:themeColor="text1"/>
          <w:szCs w:val="22"/>
        </w:rPr>
        <w:t xml:space="preserve">the Conference of the Parties </w:t>
      </w:r>
      <w:r>
        <w:rPr>
          <w:color w:val="000000" w:themeColor="text1"/>
          <w:szCs w:val="22"/>
        </w:rPr>
        <w:t xml:space="preserve">for consideration </w:t>
      </w:r>
      <w:r w:rsidRPr="1E0835D0">
        <w:rPr>
          <w:color w:val="000000" w:themeColor="text1"/>
          <w:szCs w:val="22"/>
        </w:rPr>
        <w:t xml:space="preserve">at </w:t>
      </w:r>
      <w:r>
        <w:rPr>
          <w:color w:val="000000" w:themeColor="text1"/>
          <w:szCs w:val="22"/>
        </w:rPr>
        <w:t>its</w:t>
      </w:r>
      <w:r w:rsidRPr="1E0835D0">
        <w:rPr>
          <w:color w:val="000000" w:themeColor="text1"/>
          <w:szCs w:val="22"/>
        </w:rPr>
        <w:t xml:space="preserve"> sixteenth meeting;</w:t>
      </w:r>
      <w:r>
        <w:rPr>
          <w:color w:val="000000" w:themeColor="text1"/>
          <w:szCs w:val="22"/>
        </w:rPr>
        <w:t xml:space="preserve"> </w:t>
      </w:r>
    </w:p>
    <w:p w14:paraId="0F05FCF4" w14:textId="77777777" w:rsidR="0065659F" w:rsidRDefault="0065659F" w:rsidP="0004654F">
      <w:pPr>
        <w:spacing w:before="120" w:after="120"/>
        <w:ind w:firstLine="851"/>
        <w:rPr>
          <w:color w:val="000000" w:themeColor="text1"/>
          <w:szCs w:val="22"/>
        </w:rPr>
      </w:pPr>
      <w:r>
        <w:rPr>
          <w:color w:val="000000" w:themeColor="text1"/>
          <w:szCs w:val="22"/>
        </w:rPr>
        <w:t>9</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United Nations Environment Management Group to facilitate United Nations system-wide coordination towards the objectives of the Convention, its Protocols and the </w:t>
      </w:r>
      <w:r>
        <w:rPr>
          <w:color w:val="000000" w:themeColor="text1"/>
          <w:szCs w:val="22"/>
        </w:rPr>
        <w:t>Kunming-Montreal</w:t>
      </w:r>
      <w:r w:rsidRPr="1E0835D0">
        <w:rPr>
          <w:color w:val="000000" w:themeColor="text1"/>
          <w:szCs w:val="22"/>
        </w:rPr>
        <w:t xml:space="preserve"> Global Biodiversity Framework, in a manner fully respectful of the mandates of different multilateral environmental agreements and international organizations;</w:t>
      </w:r>
      <w:r>
        <w:rPr>
          <w:color w:val="000000" w:themeColor="text1"/>
          <w:szCs w:val="22"/>
        </w:rPr>
        <w:t xml:space="preserve"> </w:t>
      </w:r>
    </w:p>
    <w:p w14:paraId="73C5D309" w14:textId="77777777" w:rsidR="0065659F" w:rsidRDefault="0065659F" w:rsidP="0022348C">
      <w:pPr>
        <w:ind w:firstLine="851"/>
        <w:rPr>
          <w:color w:val="000000" w:themeColor="text1"/>
          <w:szCs w:val="22"/>
        </w:rPr>
      </w:pPr>
      <w:r w:rsidRPr="1E0835D0">
        <w:rPr>
          <w:color w:val="000000" w:themeColor="text1"/>
          <w:szCs w:val="22"/>
        </w:rPr>
        <w:t>1</w:t>
      </w:r>
      <w:r>
        <w:rPr>
          <w:color w:val="000000" w:themeColor="text1"/>
          <w:szCs w:val="22"/>
        </w:rPr>
        <w:t>0</w:t>
      </w:r>
      <w:r w:rsidRPr="1E0835D0">
        <w:rPr>
          <w:color w:val="000000" w:themeColor="text1"/>
          <w:szCs w:val="22"/>
        </w:rPr>
        <w:t>.</w:t>
      </w:r>
      <w:r>
        <w:tab/>
      </w:r>
      <w:r w:rsidRPr="002A2503">
        <w:rPr>
          <w:i/>
          <w:iCs/>
          <w:color w:val="000000" w:themeColor="text1"/>
          <w:szCs w:val="22"/>
        </w:rPr>
        <w:t>Urges</w:t>
      </w:r>
      <w:r w:rsidRPr="1E0835D0">
        <w:rPr>
          <w:color w:val="000000" w:themeColor="text1"/>
          <w:szCs w:val="22"/>
        </w:rPr>
        <w:t xml:space="preserve"> Parties, invites other Governments and invites non-governmental organizations, indigenous peoples and local communities, subnational governments, cities and other local authorities, women’s groups, youth groups, the business and finance community, the scientific community, academia, faith-based organizations,</w:t>
      </w:r>
      <w:r>
        <w:rPr>
          <w:color w:val="000000" w:themeColor="text1"/>
          <w:szCs w:val="22"/>
        </w:rPr>
        <w:t xml:space="preserve"> the media,</w:t>
      </w:r>
      <w:r w:rsidRPr="1E0835D0">
        <w:rPr>
          <w:color w:val="000000" w:themeColor="text1"/>
          <w:szCs w:val="22"/>
        </w:rPr>
        <w:t xml:space="preserve"> representatives of sectors related to or dependent on biodiversity, among others, to reinforce actions to enhance synergies in the implementation of the </w:t>
      </w:r>
      <w:r>
        <w:rPr>
          <w:color w:val="000000" w:themeColor="text1"/>
          <w:szCs w:val="22"/>
        </w:rPr>
        <w:t>Kunming-Montreal</w:t>
      </w:r>
      <w:r w:rsidRPr="1E0835D0">
        <w:rPr>
          <w:color w:val="000000" w:themeColor="text1"/>
          <w:szCs w:val="22"/>
        </w:rPr>
        <w:t xml:space="preserve"> Global Biodiversity Framework, the Sustainable Development Goals, the biodiversity-related conventions, the Rio conventions and other relevant multilateral agreements and initiatives at the national level, including through their national coordination, planning, review and reporting processes, including through existing common and voluntary reporting platforms such as DaRT, in line with </w:t>
      </w:r>
      <w:r w:rsidRPr="009E5D41">
        <w:rPr>
          <w:color w:val="000000" w:themeColor="text1"/>
          <w:szCs w:val="22"/>
        </w:rPr>
        <w:t>the options</w:t>
      </w:r>
      <w:r w:rsidRPr="1E0835D0">
        <w:rPr>
          <w:color w:val="000000" w:themeColor="text1"/>
          <w:szCs w:val="22"/>
        </w:rPr>
        <w:t xml:space="preserve"> for action at the national level provided in </w:t>
      </w:r>
      <w:r>
        <w:rPr>
          <w:color w:val="000000" w:themeColor="text1"/>
          <w:szCs w:val="22"/>
        </w:rPr>
        <w:t xml:space="preserve">annex I of </w:t>
      </w:r>
      <w:r w:rsidRPr="1E0835D0">
        <w:rPr>
          <w:color w:val="000000" w:themeColor="text1"/>
          <w:szCs w:val="22"/>
        </w:rPr>
        <w:t>decision XIII/24,</w:t>
      </w:r>
      <w:r w:rsidRPr="00FF6DF5">
        <w:rPr>
          <w:rFonts w:eastAsia="MS Mincho"/>
          <w:szCs w:val="22"/>
          <w:lang w:val="en-US" w:eastAsia="zh-CN"/>
        </w:rPr>
        <w:t xml:space="preserve"> </w:t>
      </w:r>
      <w:r w:rsidRPr="1E0835D0">
        <w:rPr>
          <w:color w:val="000000" w:themeColor="text1"/>
          <w:szCs w:val="22"/>
        </w:rPr>
        <w:t>and in accordance with national circumstances and priorities;</w:t>
      </w:r>
      <w:r>
        <w:rPr>
          <w:color w:val="000000" w:themeColor="text1"/>
          <w:szCs w:val="22"/>
        </w:rPr>
        <w:t xml:space="preserve"> </w:t>
      </w:r>
    </w:p>
    <w:p w14:paraId="073DFB88" w14:textId="77777777" w:rsidR="0065659F" w:rsidRDefault="0065659F" w:rsidP="0004654F">
      <w:pPr>
        <w:spacing w:before="120" w:after="120"/>
        <w:ind w:firstLine="851"/>
        <w:rPr>
          <w:color w:val="000000" w:themeColor="text1"/>
          <w:szCs w:val="22"/>
        </w:rPr>
      </w:pPr>
      <w:r w:rsidRPr="1E0835D0">
        <w:rPr>
          <w:color w:val="000000" w:themeColor="text1"/>
          <w:szCs w:val="22"/>
        </w:rPr>
        <w:t>1</w:t>
      </w:r>
      <w:r>
        <w:rPr>
          <w:color w:val="000000" w:themeColor="text1"/>
          <w:szCs w:val="22"/>
        </w:rPr>
        <w:t>1</w:t>
      </w:r>
      <w:r w:rsidRPr="1E0835D0">
        <w:rPr>
          <w:color w:val="000000" w:themeColor="text1"/>
          <w:szCs w:val="22"/>
        </w:rPr>
        <w:t>.</w:t>
      </w:r>
      <w:r>
        <w:tab/>
      </w:r>
      <w:r w:rsidRPr="002A2503">
        <w:rPr>
          <w:i/>
          <w:iCs/>
          <w:color w:val="000000" w:themeColor="text1"/>
          <w:szCs w:val="22"/>
        </w:rPr>
        <w:t>Encourages</w:t>
      </w:r>
      <w:r w:rsidRPr="1E0835D0">
        <w:rPr>
          <w:color w:val="000000" w:themeColor="text1"/>
          <w:szCs w:val="22"/>
        </w:rPr>
        <w:t xml:space="preserve"> Parties to implement the Convention and other biodiversity-related conventions and multilateral agreements to which they are party, in a complementary manner, including in reviewing and updating their national biodiversity strategies and action plans, in order to enable the effective implementation of the </w:t>
      </w:r>
      <w:r>
        <w:rPr>
          <w:color w:val="000000" w:themeColor="text1"/>
          <w:szCs w:val="22"/>
        </w:rPr>
        <w:t>Kunming-Montreal</w:t>
      </w:r>
      <w:r w:rsidRPr="1E0835D0">
        <w:rPr>
          <w:color w:val="000000" w:themeColor="text1"/>
          <w:szCs w:val="22"/>
        </w:rPr>
        <w:t xml:space="preserve"> Global Biodiversity Framework;</w:t>
      </w:r>
      <w:r>
        <w:rPr>
          <w:color w:val="000000" w:themeColor="text1"/>
          <w:szCs w:val="22"/>
        </w:rPr>
        <w:t xml:space="preserve"> </w:t>
      </w:r>
    </w:p>
    <w:p w14:paraId="6FE73C3D" w14:textId="77777777" w:rsidR="0065659F" w:rsidRDefault="0065659F" w:rsidP="0004654F">
      <w:pPr>
        <w:spacing w:before="120" w:after="120"/>
        <w:ind w:firstLine="851"/>
        <w:rPr>
          <w:color w:val="000000" w:themeColor="text1"/>
          <w:szCs w:val="22"/>
        </w:rPr>
      </w:pPr>
      <w:r w:rsidRPr="1E0835D0">
        <w:rPr>
          <w:color w:val="000000" w:themeColor="text1"/>
          <w:szCs w:val="22"/>
        </w:rPr>
        <w:t>1</w:t>
      </w:r>
      <w:r>
        <w:rPr>
          <w:color w:val="000000" w:themeColor="text1"/>
          <w:szCs w:val="22"/>
        </w:rPr>
        <w:t>2</w:t>
      </w:r>
      <w:r w:rsidRPr="1E0835D0">
        <w:rPr>
          <w:color w:val="000000" w:themeColor="text1"/>
          <w:szCs w:val="22"/>
        </w:rPr>
        <w:t>.</w:t>
      </w:r>
      <w:r>
        <w:tab/>
      </w:r>
      <w:r w:rsidRPr="002A2503">
        <w:rPr>
          <w:i/>
          <w:iCs/>
          <w:color w:val="000000" w:themeColor="text1"/>
          <w:szCs w:val="22"/>
        </w:rPr>
        <w:t>Invites</w:t>
      </w:r>
      <w:r w:rsidRPr="1E0835D0">
        <w:rPr>
          <w:color w:val="000000" w:themeColor="text1"/>
          <w:szCs w:val="22"/>
        </w:rPr>
        <w:t xml:space="preserve"> the Global Partnership on Plant Conservation, with the support of the Secretariat, to prepare a set of complementary actions related to plant conservation to support the implementation of the </w:t>
      </w:r>
      <w:r>
        <w:rPr>
          <w:color w:val="000000" w:themeColor="text1"/>
          <w:szCs w:val="22"/>
        </w:rPr>
        <w:t>Kunming-Montreal</w:t>
      </w:r>
      <w:r w:rsidRPr="1E0835D0">
        <w:rPr>
          <w:color w:val="000000" w:themeColor="text1"/>
          <w:szCs w:val="22"/>
        </w:rPr>
        <w:t xml:space="preserve"> Global Biodiversity Framework aligned with the final version of the framework, other relevant decisions adopted by the Conference of the Parties at its fifteenth meeting, as well as previous experiences with the implementation of the Global Strategy for Plant Conservation as described in the fifth edition of the </w:t>
      </w:r>
      <w:r w:rsidRPr="1E0835D0">
        <w:rPr>
          <w:i/>
          <w:iCs/>
          <w:color w:val="000000" w:themeColor="text1"/>
          <w:szCs w:val="22"/>
        </w:rPr>
        <w:t>Global Biodiversity Outlook</w:t>
      </w:r>
      <w:r w:rsidRPr="1E0835D0">
        <w:rPr>
          <w:color w:val="000000" w:themeColor="text1"/>
          <w:szCs w:val="22"/>
        </w:rPr>
        <w:t xml:space="preserve"> and the 2020 Plant Conservation report, to be considered by a meeting of the Subsidiary Body on Scientific, Technical and Technological Advice following the fifteenth meeting of the Conference of the Parties;</w:t>
      </w:r>
      <w:r>
        <w:rPr>
          <w:color w:val="000000" w:themeColor="text1"/>
          <w:szCs w:val="22"/>
        </w:rPr>
        <w:t xml:space="preserve"> </w:t>
      </w:r>
    </w:p>
    <w:p w14:paraId="14FED3F8" w14:textId="77777777" w:rsidR="0065659F" w:rsidRDefault="0065659F" w:rsidP="0004654F">
      <w:pPr>
        <w:spacing w:before="120" w:after="120"/>
        <w:ind w:firstLine="851"/>
        <w:rPr>
          <w:color w:val="000000" w:themeColor="text1"/>
          <w:szCs w:val="22"/>
        </w:rPr>
      </w:pPr>
      <w:r>
        <w:rPr>
          <w:color w:val="000000" w:themeColor="text1"/>
          <w:szCs w:val="22"/>
        </w:rPr>
        <w:lastRenderedPageBreak/>
        <w:t>13.</w:t>
      </w:r>
      <w:r w:rsidRPr="002F3027">
        <w:rPr>
          <w:i/>
          <w:iCs/>
          <w:color w:val="000000" w:themeColor="text1"/>
          <w:szCs w:val="22"/>
        </w:rPr>
        <w:tab/>
        <w:t>Invites</w:t>
      </w:r>
      <w:r w:rsidRPr="00FA2B38">
        <w:rPr>
          <w:color w:val="000000" w:themeColor="text1"/>
          <w:szCs w:val="22"/>
        </w:rPr>
        <w:t xml:space="preserve"> the United Nations Environment Programme to build on the Bern Process and continue to strengthen cooperation and collaboration among biodiversity-related conventions</w:t>
      </w:r>
      <w:r>
        <w:rPr>
          <w:color w:val="000000" w:themeColor="text1"/>
          <w:szCs w:val="22"/>
        </w:rPr>
        <w:t>,</w:t>
      </w:r>
      <w:r w:rsidRPr="00FA2B38">
        <w:rPr>
          <w:color w:val="000000" w:themeColor="text1"/>
          <w:szCs w:val="22"/>
        </w:rPr>
        <w:t xml:space="preserve"> contributing to effective and efficient implementation of the </w:t>
      </w:r>
      <w:r>
        <w:rPr>
          <w:color w:val="000000" w:themeColor="text1"/>
          <w:szCs w:val="22"/>
        </w:rPr>
        <w:t>Kunming-Montreal</w:t>
      </w:r>
      <w:r w:rsidRPr="1E0835D0">
        <w:rPr>
          <w:color w:val="000000" w:themeColor="text1"/>
          <w:szCs w:val="22"/>
        </w:rPr>
        <w:t xml:space="preserve"> </w:t>
      </w:r>
      <w:r w:rsidRPr="00FA2B38">
        <w:rPr>
          <w:color w:val="000000" w:themeColor="text1"/>
          <w:szCs w:val="22"/>
        </w:rPr>
        <w:t>Global Biodiversity Framework by facilitating a process for cooperation among Parties to the relevant biodiversity-related conventions</w:t>
      </w:r>
      <w:r>
        <w:rPr>
          <w:color w:val="000000" w:themeColor="text1"/>
          <w:szCs w:val="22"/>
        </w:rPr>
        <w:t xml:space="preserve">; </w:t>
      </w:r>
    </w:p>
    <w:p w14:paraId="0F16827A" w14:textId="77777777" w:rsidR="0065659F" w:rsidRDefault="0065659F" w:rsidP="0004654F">
      <w:pPr>
        <w:spacing w:before="120" w:after="120"/>
        <w:ind w:firstLine="851"/>
        <w:rPr>
          <w:color w:val="000000" w:themeColor="text1"/>
          <w:szCs w:val="22"/>
        </w:rPr>
      </w:pPr>
      <w:r>
        <w:rPr>
          <w:color w:val="000000" w:themeColor="text1"/>
          <w:szCs w:val="22"/>
        </w:rPr>
        <w:t>14.</w:t>
      </w:r>
      <w:r w:rsidRPr="002F3027">
        <w:rPr>
          <w:i/>
          <w:iCs/>
          <w:color w:val="000000" w:themeColor="text1"/>
          <w:szCs w:val="22"/>
        </w:rPr>
        <w:tab/>
      </w:r>
      <w:r w:rsidRPr="002F3027">
        <w:rPr>
          <w:i/>
          <w:iCs/>
          <w:color w:val="000000" w:themeColor="text1"/>
          <w:szCs w:val="22"/>
          <w:lang w:val="en-US"/>
        </w:rPr>
        <w:t>Requests</w:t>
      </w:r>
      <w:r w:rsidRPr="00FA2B38">
        <w:rPr>
          <w:color w:val="000000" w:themeColor="text1"/>
          <w:szCs w:val="22"/>
          <w:lang w:val="en-US"/>
        </w:rPr>
        <w:t xml:space="preserve"> the Executive Secretary and encourages Parties to actively engage in the Bern process on cooperation among Parties to the various biodiversity-related conventions facilitated by </w:t>
      </w:r>
      <w:r>
        <w:rPr>
          <w:color w:val="000000" w:themeColor="text1"/>
          <w:szCs w:val="22"/>
          <w:lang w:val="en-US"/>
        </w:rPr>
        <w:t xml:space="preserve">the </w:t>
      </w:r>
      <w:r w:rsidRPr="00FA2B38">
        <w:rPr>
          <w:color w:val="000000" w:themeColor="text1"/>
          <w:szCs w:val="22"/>
          <w:lang w:val="en-US"/>
        </w:rPr>
        <w:t>U</w:t>
      </w:r>
      <w:r>
        <w:rPr>
          <w:color w:val="000000" w:themeColor="text1"/>
          <w:szCs w:val="22"/>
          <w:lang w:val="en-US"/>
        </w:rPr>
        <w:t>nited Nations Environment Program</w:t>
      </w:r>
      <w:r w:rsidRPr="00057EC2">
        <w:rPr>
          <w:color w:val="000000" w:themeColor="text1"/>
          <w:szCs w:val="22"/>
          <w:lang w:val="en-US"/>
        </w:rPr>
        <w:t>me,</w:t>
      </w:r>
      <w:r w:rsidRPr="00FA2B38">
        <w:rPr>
          <w:color w:val="000000" w:themeColor="text1"/>
          <w:szCs w:val="22"/>
          <w:lang w:val="en-US"/>
        </w:rPr>
        <w:t xml:space="preserve"> </w:t>
      </w:r>
      <w:r w:rsidRPr="00397F6F">
        <w:rPr>
          <w:color w:val="000000" w:themeColor="text1"/>
          <w:szCs w:val="22"/>
          <w:lang w:val="en-US"/>
        </w:rPr>
        <w:t>contributing</w:t>
      </w:r>
      <w:r w:rsidRPr="00FA2B38">
        <w:rPr>
          <w:color w:val="000000" w:themeColor="text1"/>
          <w:szCs w:val="22"/>
          <w:lang w:val="en-US"/>
        </w:rPr>
        <w:t xml:space="preserve"> to effective and efficient implementation of the </w:t>
      </w:r>
      <w:r>
        <w:rPr>
          <w:color w:val="000000" w:themeColor="text1"/>
          <w:szCs w:val="22"/>
        </w:rPr>
        <w:t>Kunming-Montreal</w:t>
      </w:r>
      <w:r w:rsidRPr="00FA2B38">
        <w:rPr>
          <w:color w:val="000000" w:themeColor="text1"/>
          <w:szCs w:val="22"/>
          <w:lang w:val="en-US"/>
        </w:rPr>
        <w:t xml:space="preserve"> </w:t>
      </w:r>
      <w:r>
        <w:rPr>
          <w:color w:val="000000" w:themeColor="text1"/>
          <w:szCs w:val="22"/>
          <w:lang w:val="en-US"/>
        </w:rPr>
        <w:t>G</w:t>
      </w:r>
      <w:r w:rsidRPr="00FA2B38">
        <w:rPr>
          <w:color w:val="000000" w:themeColor="text1"/>
          <w:szCs w:val="22"/>
          <w:lang w:val="en-US"/>
        </w:rPr>
        <w:t xml:space="preserve">lobal </w:t>
      </w:r>
      <w:r>
        <w:rPr>
          <w:color w:val="000000" w:themeColor="text1"/>
          <w:szCs w:val="22"/>
          <w:lang w:val="en-US"/>
        </w:rPr>
        <w:t>B</w:t>
      </w:r>
      <w:r w:rsidRPr="00FA2B38">
        <w:rPr>
          <w:color w:val="000000" w:themeColor="text1"/>
          <w:szCs w:val="22"/>
          <w:lang w:val="en-US"/>
        </w:rPr>
        <w:t xml:space="preserve">iodiversity </w:t>
      </w:r>
      <w:r>
        <w:rPr>
          <w:color w:val="000000" w:themeColor="text1"/>
          <w:szCs w:val="22"/>
          <w:lang w:val="en-US"/>
        </w:rPr>
        <w:t>F</w:t>
      </w:r>
      <w:r w:rsidRPr="00FA2B38">
        <w:rPr>
          <w:color w:val="000000" w:themeColor="text1"/>
          <w:szCs w:val="22"/>
          <w:lang w:val="en-US"/>
        </w:rPr>
        <w:t>ramework</w:t>
      </w:r>
      <w:r>
        <w:rPr>
          <w:color w:val="000000" w:themeColor="text1"/>
          <w:szCs w:val="22"/>
          <w:lang w:val="en-US"/>
        </w:rPr>
        <w:t xml:space="preserve">; </w:t>
      </w:r>
    </w:p>
    <w:p w14:paraId="6D982A54" w14:textId="77777777" w:rsidR="0065659F" w:rsidRDefault="0065659F" w:rsidP="0004654F">
      <w:pPr>
        <w:spacing w:before="120" w:after="120"/>
        <w:ind w:firstLine="851"/>
        <w:rPr>
          <w:color w:val="000000" w:themeColor="text1"/>
          <w:szCs w:val="22"/>
        </w:rPr>
      </w:pPr>
      <w:r w:rsidRPr="1E0835D0">
        <w:rPr>
          <w:color w:val="000000" w:themeColor="text1"/>
          <w:szCs w:val="22"/>
        </w:rPr>
        <w:t>1</w:t>
      </w:r>
      <w:r>
        <w:rPr>
          <w:color w:val="000000" w:themeColor="text1"/>
          <w:szCs w:val="22"/>
        </w:rPr>
        <w:t>5</w:t>
      </w:r>
      <w:r w:rsidRPr="1E0835D0">
        <w:rPr>
          <w:color w:val="000000" w:themeColor="text1"/>
          <w:szCs w:val="22"/>
        </w:rPr>
        <w:t>.</w:t>
      </w:r>
      <w:r>
        <w:tab/>
      </w:r>
      <w:r w:rsidRPr="002A2503">
        <w:rPr>
          <w:i/>
          <w:iCs/>
          <w:color w:val="000000" w:themeColor="text1"/>
          <w:szCs w:val="22"/>
        </w:rPr>
        <w:t>Requests</w:t>
      </w:r>
      <w:r w:rsidRPr="1E0835D0">
        <w:rPr>
          <w:color w:val="000000" w:themeColor="text1"/>
          <w:szCs w:val="22"/>
        </w:rPr>
        <w:t xml:space="preserve"> the Executive Secretary, subject to the availability of resources: </w:t>
      </w:r>
    </w:p>
    <w:p w14:paraId="019CD892" w14:textId="77777777" w:rsidR="0065659F" w:rsidRDefault="0065659F" w:rsidP="0004654F">
      <w:pPr>
        <w:spacing w:before="120" w:after="120"/>
        <w:ind w:firstLine="851"/>
        <w:rPr>
          <w:color w:val="000000" w:themeColor="text1"/>
          <w:szCs w:val="22"/>
        </w:rPr>
      </w:pPr>
      <w:r w:rsidRPr="1E0835D0">
        <w:rPr>
          <w:color w:val="000000" w:themeColor="text1"/>
          <w:szCs w:val="22"/>
        </w:rPr>
        <w:t>(a)</w:t>
      </w:r>
      <w:r>
        <w:tab/>
      </w:r>
      <w:r w:rsidRPr="1E0835D0">
        <w:rPr>
          <w:color w:val="000000" w:themeColor="text1"/>
          <w:szCs w:val="22"/>
        </w:rPr>
        <w:t xml:space="preserve">To identify, develop and provide </w:t>
      </w:r>
      <w:r>
        <w:rPr>
          <w:color w:val="000000" w:themeColor="text1"/>
          <w:szCs w:val="22"/>
        </w:rPr>
        <w:t>information</w:t>
      </w:r>
      <w:r w:rsidRPr="1E0835D0">
        <w:rPr>
          <w:color w:val="000000" w:themeColor="text1"/>
          <w:szCs w:val="22"/>
        </w:rPr>
        <w:t xml:space="preserve"> and technical support that will help to encourage and assist other biodiversity-related conventions, multilateral environmental agreements, international organizations and other relevant programmes in contributing to the implementation of the </w:t>
      </w:r>
      <w:r>
        <w:rPr>
          <w:color w:val="000000" w:themeColor="text1"/>
          <w:szCs w:val="22"/>
        </w:rPr>
        <w:t>Kunming-Montreal</w:t>
      </w:r>
      <w:r w:rsidRPr="1E0835D0">
        <w:rPr>
          <w:color w:val="000000" w:themeColor="text1"/>
          <w:szCs w:val="22"/>
        </w:rPr>
        <w:t xml:space="preserve"> Global Biodiversity Framework and, in consultation with their secretariats, identify opportunities to cooperate with biodiversity-related conventions and other relevant multilateral environmental agreements and organizations specifically to help achieve the goals and targets of the Framework</w:t>
      </w:r>
      <w:r>
        <w:rPr>
          <w:color w:val="000000" w:themeColor="text1"/>
          <w:szCs w:val="22"/>
        </w:rPr>
        <w:t>,</w:t>
      </w:r>
      <w:r w:rsidRPr="1E0835D0">
        <w:rPr>
          <w:color w:val="000000" w:themeColor="text1"/>
          <w:szCs w:val="22"/>
        </w:rPr>
        <w:t xml:space="preserve"> and provide a list of relevant initiatives and action plans for review by the Subsidiary Body on Implementation at its fourth meeting;</w:t>
      </w:r>
      <w:r>
        <w:rPr>
          <w:color w:val="000000" w:themeColor="text1"/>
          <w:szCs w:val="22"/>
        </w:rPr>
        <w:t xml:space="preserve"> </w:t>
      </w:r>
    </w:p>
    <w:p w14:paraId="792D1CD9" w14:textId="77777777" w:rsidR="0065659F" w:rsidRDefault="0065659F" w:rsidP="0004654F">
      <w:pPr>
        <w:spacing w:before="120" w:after="120"/>
        <w:ind w:firstLine="851"/>
        <w:rPr>
          <w:color w:val="000000" w:themeColor="text1"/>
          <w:szCs w:val="22"/>
        </w:rPr>
      </w:pPr>
      <w:r w:rsidRPr="1E0835D0">
        <w:rPr>
          <w:color w:val="000000" w:themeColor="text1"/>
          <w:szCs w:val="22"/>
        </w:rPr>
        <w:t>(b)</w:t>
      </w:r>
      <w:r>
        <w:tab/>
      </w:r>
      <w:r w:rsidRPr="1E0835D0">
        <w:rPr>
          <w:color w:val="000000" w:themeColor="text1"/>
          <w:szCs w:val="22"/>
        </w:rPr>
        <w:t>In consultation with Parties and the secretariats of the biodiversity-related conventions, other multilateral agreements and international organizations and processes, building wherever possible on existing mechanisms, to continue to implement key actions outlined in decisions 14/30 and XIII/24 to enhance synergies among biodiversity-related conventions and to cooperate with other relevant multilateral agreements at the international level, in a manner consistent with their mandates;</w:t>
      </w:r>
      <w:r>
        <w:rPr>
          <w:color w:val="000000" w:themeColor="text1"/>
          <w:szCs w:val="22"/>
        </w:rPr>
        <w:t xml:space="preserve"> </w:t>
      </w:r>
    </w:p>
    <w:p w14:paraId="52B8996F" w14:textId="77777777" w:rsidR="0065659F" w:rsidRDefault="0065659F" w:rsidP="00EC5114">
      <w:pPr>
        <w:spacing w:before="120" w:after="120"/>
        <w:ind w:firstLine="851"/>
        <w:rPr>
          <w:color w:val="000000" w:themeColor="text1"/>
          <w:szCs w:val="22"/>
        </w:rPr>
      </w:pPr>
      <w:r w:rsidRPr="1E0835D0">
        <w:rPr>
          <w:color w:val="000000" w:themeColor="text1"/>
          <w:szCs w:val="22"/>
          <w:lang w:val="en-US"/>
        </w:rPr>
        <w:t>(</w:t>
      </w:r>
      <w:r>
        <w:rPr>
          <w:color w:val="000000" w:themeColor="text1"/>
          <w:szCs w:val="22"/>
          <w:lang w:val="en-US"/>
        </w:rPr>
        <w:t>c</w:t>
      </w:r>
      <w:r w:rsidRPr="1E0835D0">
        <w:rPr>
          <w:color w:val="000000" w:themeColor="text1"/>
          <w:szCs w:val="22"/>
          <w:lang w:val="en-US"/>
        </w:rPr>
        <w:t xml:space="preserve">) </w:t>
      </w:r>
      <w:r>
        <w:tab/>
      </w:r>
      <w:r w:rsidRPr="1E0835D0">
        <w:rPr>
          <w:color w:val="000000" w:themeColor="text1"/>
          <w:szCs w:val="22"/>
          <w:lang w:val="en-US"/>
        </w:rPr>
        <w:t>To continue working with the Permanent Forum on Indigenous Issues and the Permanent Forum on People of African Descent on topics related to biodiversity and traditional knowledge</w:t>
      </w:r>
      <w:r>
        <w:rPr>
          <w:color w:val="000000" w:themeColor="text1"/>
          <w:szCs w:val="22"/>
          <w:lang w:val="en-US"/>
        </w:rPr>
        <w:t xml:space="preserve">. </w:t>
      </w:r>
    </w:p>
    <w:p w14:paraId="0EE30C39" w14:textId="77777777" w:rsidR="0065659F" w:rsidRDefault="0065659F" w:rsidP="0004654F">
      <w:pPr>
        <w:spacing w:before="120" w:after="120"/>
        <w:ind w:firstLine="851"/>
        <w:rPr>
          <w:color w:val="000000" w:themeColor="text1"/>
          <w:szCs w:val="22"/>
        </w:rPr>
      </w:pPr>
      <w:r w:rsidRPr="1E0835D0">
        <w:rPr>
          <w:color w:val="000000" w:themeColor="text1"/>
          <w:szCs w:val="22"/>
          <w:lang w:val="en-US"/>
        </w:rPr>
        <w:t>1</w:t>
      </w:r>
      <w:r>
        <w:rPr>
          <w:color w:val="000000" w:themeColor="text1"/>
          <w:szCs w:val="22"/>
          <w:lang w:val="en-US"/>
        </w:rPr>
        <w:t>6</w:t>
      </w:r>
      <w:r w:rsidRPr="1E0835D0">
        <w:rPr>
          <w:color w:val="000000" w:themeColor="text1"/>
          <w:szCs w:val="22"/>
          <w:lang w:val="en-US"/>
        </w:rPr>
        <w:t>.</w:t>
      </w:r>
      <w:r>
        <w:tab/>
      </w:r>
      <w:r w:rsidRPr="002A2503">
        <w:rPr>
          <w:i/>
          <w:iCs/>
          <w:color w:val="000000" w:themeColor="text1"/>
          <w:szCs w:val="22"/>
          <w:lang w:val="en-US"/>
        </w:rPr>
        <w:t>Also requests</w:t>
      </w:r>
      <w:r w:rsidRPr="1E0835D0">
        <w:rPr>
          <w:color w:val="000000" w:themeColor="text1"/>
          <w:szCs w:val="22"/>
          <w:lang w:val="en-US"/>
        </w:rPr>
        <w:t xml:space="preserve"> </w:t>
      </w:r>
      <w:r w:rsidRPr="1E0835D0">
        <w:rPr>
          <w:color w:val="000000" w:themeColor="text1"/>
          <w:szCs w:val="22"/>
        </w:rPr>
        <w:t xml:space="preserve">the Executive Secretary and invites the United Nations Educational, Scientific and Cultural Organization and the International Union for Conservation of </w:t>
      </w:r>
      <w:r w:rsidRPr="00057EC2">
        <w:rPr>
          <w:color w:val="000000" w:themeColor="text1"/>
          <w:szCs w:val="22"/>
        </w:rPr>
        <w:t>Nature, subject to the availability of resources, to advance the Joint Programme of Work on the Links between Biological and Cultural Diversity, where appropriate in cooperation with relevant initiatives of Parties, other Governments and other organizations, such as the Intergovernmental</w:t>
      </w:r>
      <w:r w:rsidRPr="1E0835D0">
        <w:rPr>
          <w:color w:val="000000" w:themeColor="text1"/>
          <w:szCs w:val="22"/>
        </w:rPr>
        <w:t xml:space="preserve"> Science-Policy Platform on Biodiversity and Ecosystem Services, and to report on progress to the Subsidiary Body on Implementation and other mechanisms, as appropriate;</w:t>
      </w:r>
      <w:r>
        <w:rPr>
          <w:color w:val="000000" w:themeColor="text1"/>
          <w:szCs w:val="22"/>
        </w:rPr>
        <w:t xml:space="preserve"> </w:t>
      </w:r>
    </w:p>
    <w:p w14:paraId="37589277" w14:textId="77777777" w:rsidR="0065659F" w:rsidRDefault="0065659F" w:rsidP="0037418A">
      <w:pPr>
        <w:ind w:firstLine="851"/>
      </w:pPr>
      <w:r w:rsidRPr="1E0835D0">
        <w:rPr>
          <w:color w:val="000000" w:themeColor="text1"/>
          <w:szCs w:val="22"/>
          <w:lang w:val="en-US"/>
        </w:rPr>
        <w:t>1</w:t>
      </w:r>
      <w:r>
        <w:rPr>
          <w:color w:val="000000" w:themeColor="text1"/>
          <w:szCs w:val="22"/>
          <w:lang w:val="en-US"/>
        </w:rPr>
        <w:t>7</w:t>
      </w:r>
      <w:r w:rsidRPr="1E0835D0">
        <w:rPr>
          <w:color w:val="000000" w:themeColor="text1"/>
          <w:szCs w:val="22"/>
          <w:lang w:val="en-US"/>
        </w:rPr>
        <w:t>.</w:t>
      </w:r>
      <w:r>
        <w:tab/>
      </w:r>
      <w:r w:rsidRPr="00D17C66">
        <w:rPr>
          <w:i/>
          <w:iCs/>
        </w:rPr>
        <w:t xml:space="preserve">Further </w:t>
      </w:r>
      <w:r w:rsidRPr="002A2503">
        <w:rPr>
          <w:i/>
          <w:iCs/>
          <w:color w:val="000000" w:themeColor="text1"/>
          <w:szCs w:val="22"/>
          <w:lang w:val="en-US"/>
        </w:rPr>
        <w:t>requests</w:t>
      </w:r>
      <w:r w:rsidRPr="1E0835D0">
        <w:rPr>
          <w:color w:val="000000" w:themeColor="text1"/>
          <w:szCs w:val="22"/>
          <w:lang w:val="en-US"/>
        </w:rPr>
        <w:t xml:space="preserve"> the Executive Secretary</w:t>
      </w:r>
      <w:r>
        <w:rPr>
          <w:color w:val="000000" w:themeColor="text1"/>
          <w:szCs w:val="22"/>
          <w:lang w:val="en-US"/>
        </w:rPr>
        <w:t>,</w:t>
      </w:r>
      <w:r w:rsidRPr="1E0835D0">
        <w:rPr>
          <w:color w:val="000000" w:themeColor="text1"/>
          <w:szCs w:val="22"/>
          <w:lang w:val="en-US"/>
        </w:rPr>
        <w:t xml:space="preserve"> subject to the availability of resources, </w:t>
      </w:r>
      <w:r>
        <w:rPr>
          <w:color w:val="000000" w:themeColor="text1"/>
          <w:szCs w:val="22"/>
          <w:lang w:val="en-US"/>
        </w:rPr>
        <w:t xml:space="preserve">to exchange information with the World Health Organization on </w:t>
      </w:r>
      <w:r w:rsidRPr="1E0835D0">
        <w:rPr>
          <w:color w:val="000000" w:themeColor="text1"/>
          <w:szCs w:val="22"/>
          <w:lang w:val="en-US"/>
        </w:rPr>
        <w:t xml:space="preserve">access to pathogens and the fair and equitable sharing of the benefits arising from the utilization of genetic resources in </w:t>
      </w:r>
      <w:r>
        <w:rPr>
          <w:color w:val="000000" w:themeColor="text1"/>
          <w:szCs w:val="22"/>
          <w:lang w:val="en-US"/>
        </w:rPr>
        <w:t>the context of</w:t>
      </w:r>
      <w:r w:rsidRPr="1E0835D0">
        <w:rPr>
          <w:color w:val="000000" w:themeColor="text1"/>
          <w:szCs w:val="22"/>
          <w:lang w:val="en-US"/>
        </w:rPr>
        <w:t xml:space="preserve"> ongoing work </w:t>
      </w:r>
      <w:r>
        <w:rPr>
          <w:color w:val="000000" w:themeColor="text1"/>
          <w:szCs w:val="22"/>
          <w:lang w:val="en-US"/>
        </w:rPr>
        <w:t xml:space="preserve">under the World Health Organization </w:t>
      </w:r>
      <w:r w:rsidRPr="1E0835D0">
        <w:rPr>
          <w:color w:val="000000" w:themeColor="text1"/>
          <w:szCs w:val="22"/>
          <w:lang w:val="en-US"/>
        </w:rPr>
        <w:t>on pandemic prevention, preparedness and response.</w:t>
      </w:r>
      <w:r>
        <w:rPr>
          <w:color w:val="000000" w:themeColor="text1"/>
          <w:szCs w:val="22"/>
          <w:lang w:val="en-US"/>
        </w:rPr>
        <w:t xml:space="preserve"> </w:t>
      </w:r>
    </w:p>
    <w:p w14:paraId="56DE69E3" w14:textId="77777777" w:rsidR="00DA0273" w:rsidRDefault="00DA0273" w:rsidP="0037418A">
      <w:pPr>
        <w:pStyle w:val="Para1"/>
        <w:numPr>
          <w:ilvl w:val="0"/>
          <w:numId w:val="0"/>
        </w:numPr>
        <w:shd w:val="clear" w:color="auto" w:fill="FFFFFF" w:themeFill="background1"/>
        <w:jc w:val="center"/>
        <w:sectPr w:rsidR="00DA0273" w:rsidSect="00441700">
          <w:footnotePr>
            <w:numRestart w:val="eachSect"/>
          </w:footnotePr>
          <w:pgSz w:w="12240" w:h="15840"/>
          <w:pgMar w:top="567" w:right="1440" w:bottom="1134" w:left="1440" w:header="709" w:footer="709" w:gutter="0"/>
          <w:cols w:space="708"/>
          <w:docGrid w:linePitch="360"/>
        </w:sectPr>
      </w:pPr>
    </w:p>
    <w:p w14:paraId="3A7CC6FB" w14:textId="77777777" w:rsidR="00DA0273" w:rsidRPr="00060F33" w:rsidRDefault="00DA0273" w:rsidP="00DF7281">
      <w:pPr>
        <w:pStyle w:val="decision"/>
      </w:pPr>
      <w:bookmarkStart w:id="154" w:name="_Toc150438812"/>
      <w:bookmarkStart w:id="155" w:name="_Toc150670512"/>
      <w:bookmarkStart w:id="156" w:name="_Toc150670622"/>
      <w:bookmarkStart w:id="157" w:name="_Toc150761124"/>
      <w:bookmarkStart w:id="158" w:name="_Hlk122214014"/>
      <w:r w:rsidRPr="00710E25">
        <w:lastRenderedPageBreak/>
        <w:t>15/14.</w:t>
      </w:r>
      <w:r w:rsidRPr="00710E25">
        <w:tab/>
        <w:t>Communication</w:t>
      </w:r>
      <w:bookmarkEnd w:id="154"/>
      <w:bookmarkEnd w:id="155"/>
      <w:bookmarkEnd w:id="156"/>
      <w:bookmarkEnd w:id="157"/>
    </w:p>
    <w:p w14:paraId="5FEA689E" w14:textId="77777777" w:rsidR="00DA0273" w:rsidRPr="00060F33" w:rsidRDefault="00DA0273" w:rsidP="00CB2DB9">
      <w:pPr>
        <w:pStyle w:val="Style1"/>
        <w:ind w:firstLine="709"/>
        <w:jc w:val="both"/>
        <w:outlineLvl w:val="9"/>
        <w:rPr>
          <w:b w:val="0"/>
          <w:bCs w:val="0"/>
          <w:i w:val="0"/>
          <w:iCs/>
        </w:rPr>
      </w:pPr>
      <w:bookmarkStart w:id="159" w:name="_Hlk122214358"/>
      <w:r w:rsidRPr="00060F33">
        <w:rPr>
          <w:b w:val="0"/>
          <w:bCs w:val="0"/>
        </w:rPr>
        <w:t>The Conference of the Parties</w:t>
      </w:r>
    </w:p>
    <w:p w14:paraId="3EBC62A5" w14:textId="77777777" w:rsidR="00DA0273" w:rsidRPr="00C928FA"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snapToGrid w:val="0"/>
        </w:rPr>
      </w:pPr>
      <w:r>
        <w:rPr>
          <w:i/>
          <w:iCs/>
          <w:snapToGrid w:val="0"/>
          <w:sz w:val="22"/>
          <w:szCs w:val="22"/>
          <w:lang w:val="en-GB"/>
        </w:rPr>
        <w:t>Adopts</w:t>
      </w:r>
      <w:r w:rsidRPr="00060F33">
        <w:rPr>
          <w:snapToGrid w:val="0"/>
          <w:sz w:val="22"/>
          <w:szCs w:val="22"/>
          <w:lang w:val="en-GB"/>
        </w:rPr>
        <w:t xml:space="preserve"> the communications strategy to support the implementation of the </w:t>
      </w:r>
      <w:r>
        <w:rPr>
          <w:snapToGrid w:val="0"/>
          <w:sz w:val="22"/>
          <w:szCs w:val="22"/>
          <w:lang w:val="en-GB"/>
        </w:rPr>
        <w:t>Kunming-Montreal</w:t>
      </w:r>
      <w:r w:rsidRPr="00060F33">
        <w:rPr>
          <w:snapToGrid w:val="0"/>
          <w:sz w:val="22"/>
          <w:szCs w:val="22"/>
          <w:lang w:val="en-GB"/>
        </w:rPr>
        <w:t xml:space="preserve"> </w:t>
      </w:r>
      <w:r>
        <w:rPr>
          <w:snapToGrid w:val="0"/>
          <w:sz w:val="22"/>
          <w:szCs w:val="22"/>
          <w:lang w:val="en-GB"/>
        </w:rPr>
        <w:t>G</w:t>
      </w:r>
      <w:r w:rsidRPr="00060F33">
        <w:rPr>
          <w:snapToGrid w:val="0"/>
          <w:sz w:val="22"/>
          <w:szCs w:val="22"/>
          <w:lang w:val="en-GB"/>
        </w:rPr>
        <w:t xml:space="preserve">lobal </w:t>
      </w:r>
      <w:r>
        <w:rPr>
          <w:snapToGrid w:val="0"/>
          <w:sz w:val="22"/>
          <w:szCs w:val="22"/>
          <w:lang w:val="en-GB"/>
        </w:rPr>
        <w:t>B</w:t>
      </w:r>
      <w:r w:rsidRPr="00060F33">
        <w:rPr>
          <w:snapToGrid w:val="0"/>
          <w:sz w:val="22"/>
          <w:szCs w:val="22"/>
          <w:lang w:val="en-GB"/>
        </w:rPr>
        <w:t xml:space="preserve">iodiversity </w:t>
      </w:r>
      <w:r w:rsidRPr="00A04EFD">
        <w:rPr>
          <w:snapToGrid w:val="0"/>
          <w:sz w:val="22"/>
          <w:szCs w:val="22"/>
          <w:lang w:val="en-GB"/>
        </w:rPr>
        <w:t xml:space="preserve">Framework </w:t>
      </w:r>
      <w:r>
        <w:rPr>
          <w:snapToGrid w:val="0"/>
          <w:sz w:val="22"/>
          <w:szCs w:val="22"/>
          <w:lang w:val="en-GB"/>
        </w:rPr>
        <w:t xml:space="preserve">contained in the </w:t>
      </w:r>
      <w:r w:rsidRPr="00A04EFD">
        <w:rPr>
          <w:snapToGrid w:val="0"/>
          <w:sz w:val="22"/>
          <w:szCs w:val="22"/>
          <w:lang w:val="en-GB"/>
        </w:rPr>
        <w:t>annex</w:t>
      </w:r>
      <w:r w:rsidRPr="00156E77">
        <w:rPr>
          <w:snapToGrid w:val="0"/>
          <w:sz w:val="22"/>
          <w:szCs w:val="22"/>
          <w:lang w:val="en-GB"/>
        </w:rPr>
        <w:t xml:space="preserve"> to the present decision;</w:t>
      </w:r>
      <w:r w:rsidRPr="00C928FA" w:rsidDel="00E24389">
        <w:rPr>
          <w:snapToGrid w:val="0"/>
          <w:sz w:val="22"/>
          <w:szCs w:val="22"/>
          <w:lang w:val="en-GB"/>
        </w:rPr>
        <w:t xml:space="preserve"> </w:t>
      </w:r>
    </w:p>
    <w:p w14:paraId="5C212756"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C928FA">
        <w:rPr>
          <w:i/>
          <w:snapToGrid w:val="0"/>
          <w:sz w:val="22"/>
          <w:szCs w:val="22"/>
          <w:lang w:val="en-GB"/>
        </w:rPr>
        <w:t>Decides</w:t>
      </w:r>
      <w:r w:rsidRPr="00C928FA">
        <w:rPr>
          <w:iCs/>
          <w:snapToGrid w:val="0"/>
          <w:sz w:val="22"/>
          <w:szCs w:val="22"/>
          <w:lang w:val="en-GB"/>
        </w:rPr>
        <w:t xml:space="preserve"> to renew the mandate of the Informal Advisory Committee</w:t>
      </w:r>
      <w:r w:rsidRPr="00060F33">
        <w:rPr>
          <w:iCs/>
          <w:snapToGrid w:val="0"/>
          <w:sz w:val="22"/>
          <w:szCs w:val="22"/>
          <w:lang w:val="en-GB"/>
        </w:rPr>
        <w:t xml:space="preserve"> on Communication, Education and Public Awareness</w:t>
      </w:r>
      <w:r w:rsidRPr="00610646">
        <w:rPr>
          <w:rStyle w:val="FootnoteReference"/>
        </w:rPr>
        <w:footnoteReference w:id="135"/>
      </w:r>
      <w:r w:rsidRPr="00060F33">
        <w:rPr>
          <w:iCs/>
          <w:snapToGrid w:val="0"/>
          <w:sz w:val="22"/>
          <w:szCs w:val="22"/>
          <w:lang w:val="en-GB"/>
        </w:rPr>
        <w:t xml:space="preserve"> until 2030, with members nominated by Parties, considering regional balance, and indigenous peoples and local communities, and ensuring continued representation of youth organizations and other relevant organizations;</w:t>
      </w:r>
    </w:p>
    <w:p w14:paraId="7EEEEE72"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09"/>
        <w:jc w:val="both"/>
        <w:rPr>
          <w:iCs/>
          <w:snapToGrid w:val="0"/>
          <w:sz w:val="22"/>
          <w:szCs w:val="22"/>
          <w:lang w:val="en-GB"/>
        </w:rPr>
      </w:pPr>
      <w:r w:rsidRPr="00A75878">
        <w:rPr>
          <w:i/>
          <w:snapToGrid w:val="0"/>
          <w:sz w:val="22"/>
          <w:szCs w:val="22"/>
          <w:lang w:val="en-GB"/>
        </w:rPr>
        <w:t>Requests</w:t>
      </w:r>
      <w:r w:rsidRPr="00A75878">
        <w:rPr>
          <w:iCs/>
          <w:snapToGrid w:val="0"/>
          <w:sz w:val="22"/>
          <w:szCs w:val="22"/>
          <w:lang w:val="en-GB"/>
        </w:rPr>
        <w:t xml:space="preserve"> the Informal Advisory Committee on Communication, Education and Public Awareness to (a) further develop action-oriented key messages of the communications strategy to inform and mobilize action from all actors, private and public, (b) revise the communications strategy to align it with decision 15/4 on the </w:t>
      </w:r>
      <w:r w:rsidRPr="00A75878">
        <w:rPr>
          <w:snapToGrid w:val="0"/>
          <w:sz w:val="22"/>
          <w:szCs w:val="22"/>
          <w:lang w:val="en-GB"/>
        </w:rPr>
        <w:t>Kunming-Montreal Global Biodiversity Framework</w:t>
      </w:r>
      <w:r w:rsidRPr="00BA6A7B">
        <w:rPr>
          <w:iCs/>
          <w:snapToGrid w:val="0"/>
          <w:sz w:val="22"/>
          <w:szCs w:val="22"/>
          <w:lang w:val="en-GB"/>
        </w:rPr>
        <w:t>, and (c) advise the Executive Secretary regarding the implementation of the communications</w:t>
      </w:r>
      <w:r w:rsidRPr="00060F33">
        <w:rPr>
          <w:iCs/>
          <w:snapToGrid w:val="0"/>
          <w:sz w:val="22"/>
          <w:szCs w:val="22"/>
          <w:lang w:val="en-GB"/>
        </w:rPr>
        <w:t xml:space="preserve"> strategy in accordance with the timeline set out in the annex </w:t>
      </w:r>
      <w:r>
        <w:rPr>
          <w:iCs/>
          <w:snapToGrid w:val="0"/>
          <w:sz w:val="22"/>
          <w:szCs w:val="22"/>
          <w:lang w:val="en-GB"/>
        </w:rPr>
        <w:t>to the present decision</w:t>
      </w:r>
      <w:r w:rsidRPr="00060F33">
        <w:rPr>
          <w:iCs/>
          <w:snapToGrid w:val="0"/>
          <w:sz w:val="22"/>
          <w:szCs w:val="22"/>
          <w:lang w:val="en-GB"/>
        </w:rPr>
        <w:t xml:space="preserve">; </w:t>
      </w:r>
    </w:p>
    <w:p w14:paraId="2F3E944F"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Encourages</w:t>
      </w:r>
      <w:r w:rsidRPr="00060F33">
        <w:rPr>
          <w:iCs/>
          <w:snapToGrid w:val="0"/>
          <w:sz w:val="22"/>
          <w:szCs w:val="22"/>
          <w:lang w:val="en-GB"/>
        </w:rPr>
        <w:t xml:space="preserve"> Parties and invites all stakeholders to share and make use of the communications messages through relevant media channels and social media, especially action-oriented messages, in order to inform and mobilize action from all actors, private and public, and </w:t>
      </w:r>
      <w:r>
        <w:rPr>
          <w:iCs/>
          <w:snapToGrid w:val="0"/>
          <w:sz w:val="22"/>
          <w:szCs w:val="22"/>
          <w:lang w:val="en-GB"/>
        </w:rPr>
        <w:t xml:space="preserve">to </w:t>
      </w:r>
      <w:r w:rsidRPr="00060F33">
        <w:rPr>
          <w:iCs/>
          <w:snapToGrid w:val="0"/>
          <w:sz w:val="22"/>
          <w:szCs w:val="22"/>
          <w:lang w:val="en-GB"/>
        </w:rPr>
        <w:t>endeavour to mobilize adequate human and financial resources to carry out these tasks;</w:t>
      </w:r>
    </w:p>
    <w:p w14:paraId="0ECC6F26"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Invites</w:t>
      </w:r>
      <w:r w:rsidRPr="00060F33">
        <w:rPr>
          <w:iCs/>
          <w:snapToGrid w:val="0"/>
          <w:sz w:val="22"/>
          <w:szCs w:val="22"/>
          <w:lang w:val="en-GB"/>
        </w:rPr>
        <w:t xml:space="preserve"> other international organizations, businesses, civil society and other relevant stakeholders to support the implementation of the communications strategy; </w:t>
      </w:r>
    </w:p>
    <w:p w14:paraId="53D0AD1D"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Welcomes</w:t>
      </w:r>
      <w:r w:rsidRPr="00060F33">
        <w:rPr>
          <w:iCs/>
          <w:snapToGrid w:val="0"/>
          <w:sz w:val="22"/>
          <w:szCs w:val="22"/>
          <w:lang w:val="en-GB"/>
        </w:rPr>
        <w:t xml:space="preserve"> the efforts by Parties, other Governments, indigenous peoples and local communities</w:t>
      </w:r>
      <w:r>
        <w:rPr>
          <w:iCs/>
          <w:snapToGrid w:val="0"/>
          <w:sz w:val="22"/>
          <w:szCs w:val="22"/>
          <w:lang w:val="en-GB"/>
        </w:rPr>
        <w:t>,</w:t>
      </w:r>
      <w:r w:rsidRPr="00060F33">
        <w:rPr>
          <w:iCs/>
          <w:snapToGrid w:val="0"/>
          <w:sz w:val="22"/>
          <w:szCs w:val="22"/>
          <w:lang w:val="en-GB"/>
        </w:rPr>
        <w:t xml:space="preserve"> and stakeholders to foster wide public support for a strong </w:t>
      </w:r>
      <w:r>
        <w:rPr>
          <w:snapToGrid w:val="0"/>
          <w:sz w:val="22"/>
          <w:szCs w:val="22"/>
          <w:lang w:val="en-GB"/>
        </w:rPr>
        <w:t>Kunming-Montreal</w:t>
      </w:r>
      <w:r w:rsidRPr="00060F33">
        <w:rPr>
          <w:snapToGrid w:val="0"/>
          <w:sz w:val="22"/>
          <w:szCs w:val="22"/>
          <w:lang w:val="en-GB"/>
        </w:rPr>
        <w:t xml:space="preserve"> </w:t>
      </w:r>
      <w:r>
        <w:rPr>
          <w:snapToGrid w:val="0"/>
          <w:sz w:val="22"/>
          <w:szCs w:val="22"/>
          <w:lang w:val="en-GB"/>
        </w:rPr>
        <w:t>G</w:t>
      </w:r>
      <w:r w:rsidRPr="00060F33">
        <w:rPr>
          <w:snapToGrid w:val="0"/>
          <w:sz w:val="22"/>
          <w:szCs w:val="22"/>
          <w:lang w:val="en-GB"/>
        </w:rPr>
        <w:t xml:space="preserve">lobal </w:t>
      </w:r>
      <w:r>
        <w:rPr>
          <w:snapToGrid w:val="0"/>
          <w:sz w:val="22"/>
          <w:szCs w:val="22"/>
          <w:lang w:val="en-GB"/>
        </w:rPr>
        <w:t>B</w:t>
      </w:r>
      <w:r w:rsidRPr="00060F33">
        <w:rPr>
          <w:snapToGrid w:val="0"/>
          <w:sz w:val="22"/>
          <w:szCs w:val="22"/>
          <w:lang w:val="en-GB"/>
        </w:rPr>
        <w:t xml:space="preserve">iodiversity </w:t>
      </w:r>
      <w:r>
        <w:rPr>
          <w:snapToGrid w:val="0"/>
          <w:sz w:val="22"/>
          <w:szCs w:val="22"/>
          <w:lang w:val="en-GB"/>
        </w:rPr>
        <w:t>F</w:t>
      </w:r>
      <w:r w:rsidRPr="00060F33">
        <w:rPr>
          <w:snapToGrid w:val="0"/>
          <w:sz w:val="22"/>
          <w:szCs w:val="22"/>
          <w:lang w:val="en-GB"/>
        </w:rPr>
        <w:t>ramework</w:t>
      </w:r>
      <w:r w:rsidRPr="00060F33">
        <w:rPr>
          <w:iCs/>
          <w:snapToGrid w:val="0"/>
          <w:sz w:val="22"/>
          <w:szCs w:val="22"/>
          <w:lang w:val="en-GB"/>
        </w:rPr>
        <w:t>;</w:t>
      </w:r>
    </w:p>
    <w:p w14:paraId="078E271A" w14:textId="77777777" w:rsidR="00DA0273" w:rsidRPr="00060F33"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060F33">
        <w:rPr>
          <w:i/>
          <w:snapToGrid w:val="0"/>
          <w:sz w:val="22"/>
          <w:szCs w:val="22"/>
          <w:lang w:val="en-GB"/>
        </w:rPr>
        <w:t>Requests</w:t>
      </w:r>
      <w:r w:rsidRPr="00060F33">
        <w:rPr>
          <w:iCs/>
          <w:snapToGrid w:val="0"/>
          <w:sz w:val="22"/>
          <w:szCs w:val="22"/>
          <w:lang w:val="en-GB"/>
        </w:rPr>
        <w:t xml:space="preserve"> the Executive Secretary:</w:t>
      </w:r>
    </w:p>
    <w:p w14:paraId="737EC3B2" w14:textId="77777777" w:rsidR="00DA0273" w:rsidRPr="00060F33" w:rsidRDefault="00DA0273" w:rsidP="00950BE4">
      <w:pPr>
        <w:pStyle w:val="StylePara1Kernat11pt"/>
        <w:numPr>
          <w:ilvl w:val="1"/>
          <w:numId w:val="51"/>
        </w:numPr>
        <w:suppressLineNumbers/>
        <w:suppressAutoHyphens/>
        <w:kinsoku w:val="0"/>
        <w:overflowPunct w:val="0"/>
        <w:autoSpaceDE w:val="0"/>
        <w:autoSpaceDN w:val="0"/>
        <w:adjustRightInd w:val="0"/>
        <w:ind w:left="0" w:firstLine="709"/>
        <w:jc w:val="both"/>
        <w:rPr>
          <w:iCs/>
          <w:snapToGrid w:val="0"/>
          <w:sz w:val="22"/>
          <w:szCs w:val="22"/>
          <w:lang w:val="en-GB"/>
        </w:rPr>
      </w:pPr>
      <w:r w:rsidRPr="00060F33">
        <w:rPr>
          <w:iCs/>
          <w:snapToGrid w:val="0"/>
          <w:sz w:val="22"/>
          <w:szCs w:val="22"/>
          <w:lang w:val="en-GB"/>
        </w:rPr>
        <w:t>To convene, subject to the availability of resources, one in-person meeting of the Informal Advisory Committee on Communication</w:t>
      </w:r>
      <w:r>
        <w:rPr>
          <w:iCs/>
          <w:snapToGrid w:val="0"/>
          <w:sz w:val="22"/>
          <w:szCs w:val="22"/>
          <w:lang w:val="en-GB"/>
        </w:rPr>
        <w:t>,</w:t>
      </w:r>
      <w:r w:rsidRPr="00060F33">
        <w:rPr>
          <w:iCs/>
          <w:snapToGrid w:val="0"/>
          <w:sz w:val="22"/>
          <w:szCs w:val="22"/>
          <w:lang w:val="en-GB"/>
        </w:rPr>
        <w:t xml:space="preserve"> Education and Public Awareness during each intersessional period, and meetings through virtual means when needed;</w:t>
      </w:r>
    </w:p>
    <w:p w14:paraId="612666CB" w14:textId="77777777" w:rsidR="00DA0273" w:rsidRPr="00060F33" w:rsidRDefault="00DA0273" w:rsidP="00950BE4">
      <w:pPr>
        <w:pStyle w:val="StylePara1Kernat11pt"/>
        <w:numPr>
          <w:ilvl w:val="1"/>
          <w:numId w:val="51"/>
        </w:numPr>
        <w:suppressLineNumbers/>
        <w:suppressAutoHyphens/>
        <w:kinsoku w:val="0"/>
        <w:overflowPunct w:val="0"/>
        <w:autoSpaceDE w:val="0"/>
        <w:autoSpaceDN w:val="0"/>
        <w:adjustRightInd w:val="0"/>
        <w:ind w:left="0" w:firstLine="709"/>
        <w:jc w:val="both"/>
        <w:rPr>
          <w:iCs/>
          <w:snapToGrid w:val="0"/>
          <w:sz w:val="22"/>
          <w:szCs w:val="22"/>
          <w:lang w:val="en-GB"/>
        </w:rPr>
      </w:pPr>
      <w:r w:rsidRPr="00060F33">
        <w:rPr>
          <w:iCs/>
          <w:snapToGrid w:val="0"/>
          <w:sz w:val="22"/>
          <w:szCs w:val="22"/>
          <w:lang w:val="en-GB"/>
        </w:rPr>
        <w:t xml:space="preserve">To support the implementation of the communications strategy for the </w:t>
      </w:r>
      <w:r>
        <w:rPr>
          <w:snapToGrid w:val="0"/>
          <w:sz w:val="22"/>
          <w:szCs w:val="22"/>
          <w:lang w:val="en-GB"/>
        </w:rPr>
        <w:t>Kunming-Montreal</w:t>
      </w:r>
      <w:r w:rsidRPr="00060F33">
        <w:rPr>
          <w:snapToGrid w:val="0"/>
          <w:sz w:val="22"/>
          <w:szCs w:val="22"/>
          <w:lang w:val="en-GB"/>
        </w:rPr>
        <w:t xml:space="preserve"> </w:t>
      </w:r>
      <w:r>
        <w:rPr>
          <w:snapToGrid w:val="0"/>
          <w:sz w:val="22"/>
          <w:szCs w:val="22"/>
          <w:lang w:val="en-GB"/>
        </w:rPr>
        <w:t>G</w:t>
      </w:r>
      <w:r w:rsidRPr="00060F33">
        <w:rPr>
          <w:snapToGrid w:val="0"/>
          <w:sz w:val="22"/>
          <w:szCs w:val="22"/>
          <w:lang w:val="en-GB"/>
        </w:rPr>
        <w:t xml:space="preserve">lobal </w:t>
      </w:r>
      <w:r>
        <w:rPr>
          <w:snapToGrid w:val="0"/>
          <w:sz w:val="22"/>
          <w:szCs w:val="22"/>
          <w:lang w:val="en-GB"/>
        </w:rPr>
        <w:t>B</w:t>
      </w:r>
      <w:r w:rsidRPr="00060F33">
        <w:rPr>
          <w:snapToGrid w:val="0"/>
          <w:sz w:val="22"/>
          <w:szCs w:val="22"/>
          <w:lang w:val="en-GB"/>
        </w:rPr>
        <w:t xml:space="preserve">iodiversity </w:t>
      </w:r>
      <w:r>
        <w:rPr>
          <w:snapToGrid w:val="0"/>
          <w:sz w:val="22"/>
          <w:szCs w:val="22"/>
          <w:lang w:val="en-GB"/>
        </w:rPr>
        <w:t>F</w:t>
      </w:r>
      <w:r w:rsidRPr="00060F33">
        <w:rPr>
          <w:snapToGrid w:val="0"/>
          <w:sz w:val="22"/>
          <w:szCs w:val="22"/>
          <w:lang w:val="en-GB"/>
        </w:rPr>
        <w:t>ramework</w:t>
      </w:r>
      <w:r w:rsidRPr="00060F33">
        <w:rPr>
          <w:iCs/>
          <w:snapToGrid w:val="0"/>
          <w:sz w:val="22"/>
          <w:szCs w:val="22"/>
          <w:lang w:val="en-GB"/>
        </w:rPr>
        <w:t xml:space="preserve">, with advice from the Informal Advisory Committee on Communication, Education and Public Awareness; </w:t>
      </w:r>
    </w:p>
    <w:p w14:paraId="19425F94" w14:textId="77777777" w:rsidR="00DA0273" w:rsidRPr="00226C8F" w:rsidRDefault="00DA0273" w:rsidP="00950BE4">
      <w:pPr>
        <w:pStyle w:val="StylePara1Kernat11pt"/>
        <w:numPr>
          <w:ilvl w:val="0"/>
          <w:numId w:val="52"/>
        </w:numPr>
        <w:suppressLineNumbers/>
        <w:suppressAutoHyphens/>
        <w:kinsoku w:val="0"/>
        <w:overflowPunct w:val="0"/>
        <w:autoSpaceDE w:val="0"/>
        <w:autoSpaceDN w:val="0"/>
        <w:adjustRightInd w:val="0"/>
        <w:ind w:left="0" w:firstLine="720"/>
        <w:jc w:val="both"/>
        <w:rPr>
          <w:iCs/>
          <w:snapToGrid w:val="0"/>
          <w:sz w:val="22"/>
          <w:szCs w:val="22"/>
          <w:lang w:val="en-GB"/>
        </w:rPr>
      </w:pPr>
      <w:r w:rsidRPr="00226C8F">
        <w:rPr>
          <w:i/>
          <w:snapToGrid w:val="0"/>
          <w:sz w:val="22"/>
          <w:szCs w:val="22"/>
          <w:lang w:val="en-GB"/>
        </w:rPr>
        <w:t>Also requests</w:t>
      </w:r>
      <w:r w:rsidRPr="00226C8F">
        <w:rPr>
          <w:iCs/>
          <w:snapToGrid w:val="0"/>
          <w:sz w:val="22"/>
          <w:szCs w:val="22"/>
          <w:lang w:val="en-GB"/>
        </w:rPr>
        <w:t xml:space="preserve"> the Executive Secretary, within available resources and in coordination with Parties and stakeholders, to support the range of communications activities needed for the following initiatives in the upcoming biennium:</w:t>
      </w:r>
    </w:p>
    <w:p w14:paraId="22595E79" w14:textId="77777777" w:rsidR="00DA0273" w:rsidRPr="00226C8F" w:rsidRDefault="00DA0273"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(a)</w:t>
      </w:r>
      <w:r w:rsidRPr="00226C8F">
        <w:rPr>
          <w:iCs/>
          <w:snapToGrid w:val="0"/>
          <w:sz w:val="22"/>
          <w:szCs w:val="22"/>
          <w:lang w:val="en-GB"/>
        </w:rPr>
        <w:tab/>
        <w:t>Continue to work on the activities listed in the note by the Executive Secretary,</w:t>
      </w:r>
      <w:r w:rsidRPr="00610646">
        <w:rPr>
          <w:rStyle w:val="FootnoteReference"/>
        </w:rPr>
        <w:footnoteReference w:id="136"/>
      </w:r>
      <w:r w:rsidRPr="00226C8F">
        <w:rPr>
          <w:iCs/>
          <w:snapToGrid w:val="0"/>
          <w:sz w:val="22"/>
          <w:szCs w:val="22"/>
          <w:lang w:val="en-GB"/>
        </w:rPr>
        <w:t xml:space="preserve"> including the annual celebrations of the International Day for Biological Diversity, the CEPA Fair, the development of social media and communication platforms for engagement with stakeholders and partners, and further develop these activities;</w:t>
      </w:r>
    </w:p>
    <w:p w14:paraId="598A1A27" w14:textId="77777777" w:rsidR="00DA0273" w:rsidRPr="00226C8F" w:rsidRDefault="00DA0273"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(b)</w:t>
      </w:r>
      <w:r w:rsidRPr="00226C8F">
        <w:rPr>
          <w:iCs/>
          <w:snapToGrid w:val="0"/>
          <w:sz w:val="22"/>
          <w:szCs w:val="22"/>
          <w:lang w:val="en-GB"/>
        </w:rPr>
        <w:tab/>
        <w:t xml:space="preserve">Continue to develop corporate communications for the Secretariat, including support for a dynamic and growing use of social media, traditional media outreach, continued work to redesign the website, and development of new and ongoing communications campaigns; </w:t>
      </w:r>
    </w:p>
    <w:p w14:paraId="221A2DF9" w14:textId="77777777" w:rsidR="00DA0273" w:rsidRPr="00226C8F" w:rsidRDefault="00DA0273" w:rsidP="00CB2DB9">
      <w:pPr>
        <w:pStyle w:val="StylePara1Kernat11pt"/>
        <w:suppressLineNumbers/>
        <w:suppressAutoHyphens/>
        <w:kinsoku w:val="0"/>
        <w:overflowPunct w:val="0"/>
        <w:autoSpaceDE w:val="0"/>
        <w:autoSpaceDN w:val="0"/>
        <w:adjustRightInd w:val="0"/>
        <w:ind w:firstLine="709"/>
        <w:jc w:val="both"/>
        <w:rPr>
          <w:iCs/>
          <w:snapToGrid w:val="0"/>
          <w:sz w:val="22"/>
          <w:szCs w:val="22"/>
          <w:lang w:val="en-GB"/>
        </w:rPr>
      </w:pPr>
      <w:r w:rsidRPr="00226C8F">
        <w:rPr>
          <w:iCs/>
          <w:snapToGrid w:val="0"/>
          <w:sz w:val="22"/>
          <w:szCs w:val="22"/>
          <w:lang w:val="en-GB"/>
        </w:rPr>
        <w:t>(c)</w:t>
      </w:r>
      <w:r w:rsidRPr="00226C8F">
        <w:rPr>
          <w:iCs/>
          <w:snapToGrid w:val="0"/>
          <w:sz w:val="22"/>
          <w:szCs w:val="22"/>
          <w:lang w:val="en-GB"/>
        </w:rPr>
        <w:tab/>
        <w:t xml:space="preserve">Update the programme of work on communication, education and public awareness for the Convention on Biological Diversity, in collaboration with the Informal Advisory Committee on </w:t>
      </w:r>
      <w:r w:rsidRPr="00226C8F">
        <w:rPr>
          <w:iCs/>
          <w:snapToGrid w:val="0"/>
          <w:sz w:val="22"/>
          <w:szCs w:val="22"/>
          <w:lang w:val="en-GB"/>
        </w:rPr>
        <w:lastRenderedPageBreak/>
        <w:t xml:space="preserve">Communication, Education and Public Awareness, and develop further guidance for implementation at the national, subnational and local levels; </w:t>
      </w:r>
    </w:p>
    <w:p w14:paraId="61628132" w14:textId="77777777" w:rsidR="00DA0273" w:rsidRPr="00060F33" w:rsidRDefault="00DA0273" w:rsidP="00CB2DB9">
      <w:pPr>
        <w:pStyle w:val="StylePara1Kernat11pt"/>
        <w:suppressLineNumbers/>
        <w:suppressAutoHyphens/>
        <w:kinsoku w:val="0"/>
        <w:overflowPunct w:val="0"/>
        <w:autoSpaceDE w:val="0"/>
        <w:autoSpaceDN w:val="0"/>
        <w:adjustRightInd w:val="0"/>
        <w:ind w:firstLine="709"/>
        <w:jc w:val="both"/>
      </w:pPr>
      <w:r w:rsidRPr="00226C8F">
        <w:rPr>
          <w:iCs/>
          <w:snapToGrid w:val="0"/>
          <w:sz w:val="22"/>
          <w:szCs w:val="22"/>
          <w:lang w:val="en-GB"/>
        </w:rPr>
        <w:t>(d)</w:t>
      </w:r>
      <w:r w:rsidRPr="00226C8F">
        <w:rPr>
          <w:iCs/>
          <w:snapToGrid w:val="0"/>
          <w:sz w:val="22"/>
          <w:szCs w:val="22"/>
          <w:lang w:val="en-GB"/>
        </w:rPr>
        <w:tab/>
        <w:t>Submit</w:t>
      </w:r>
      <w:r w:rsidRPr="00226C8F">
        <w:rPr>
          <w:iCs/>
          <w:snapToGrid w:val="0"/>
          <w:sz w:val="22"/>
          <w:szCs w:val="22"/>
        </w:rPr>
        <w:t xml:space="preserve"> a progress report</w:t>
      </w:r>
      <w:r w:rsidRPr="000C06A5">
        <w:rPr>
          <w:iCs/>
          <w:snapToGrid w:val="0"/>
          <w:sz w:val="22"/>
          <w:szCs w:val="22"/>
        </w:rPr>
        <w:t xml:space="preserve"> on activities (a) and (b) above, and the updated programme of work on communication, education and public awareness for the Convention on Biological Diversity, for</w:t>
      </w:r>
      <w:r w:rsidRPr="000C06A5">
        <w:rPr>
          <w:iCs/>
          <w:snapToGrid w:val="0"/>
          <w:sz w:val="22"/>
          <w:szCs w:val="22"/>
          <w:lang w:val="en-GB"/>
        </w:rPr>
        <w:t xml:space="preserve"> consideration by the Subsidiary Body on Implementation at its fourth meeting</w:t>
      </w:r>
      <w:r w:rsidRPr="00060F33">
        <w:rPr>
          <w:iCs/>
          <w:snapToGrid w:val="0"/>
          <w:sz w:val="22"/>
          <w:szCs w:val="22"/>
          <w:lang w:val="en-GB"/>
        </w:rPr>
        <w:t xml:space="preserve"> and for subsequent consideration by the Conference of the Parties at its sixteenth meeting.</w:t>
      </w:r>
      <w:bookmarkStart w:id="160" w:name="_Toc118354972"/>
    </w:p>
    <w:p w14:paraId="691D2A9B" w14:textId="77777777" w:rsidR="00DA0273" w:rsidRPr="000C06A5" w:rsidRDefault="00DA0273" w:rsidP="00535E6B">
      <w:pPr>
        <w:pStyle w:val="Style1"/>
        <w:outlineLvl w:val="9"/>
        <w:rPr>
          <w:b w:val="0"/>
        </w:rPr>
      </w:pPr>
      <w:bookmarkStart w:id="161" w:name="_Toc129621617"/>
      <w:r w:rsidRPr="000C06A5">
        <w:rPr>
          <w:b w:val="0"/>
        </w:rPr>
        <w:t>Annex</w:t>
      </w:r>
      <w:bookmarkEnd w:id="160"/>
      <w:bookmarkEnd w:id="161"/>
    </w:p>
    <w:p w14:paraId="1EF86669" w14:textId="77777777" w:rsidR="00DA0273" w:rsidRPr="000C06A5" w:rsidRDefault="00DA0273" w:rsidP="00535E6B">
      <w:pPr>
        <w:pStyle w:val="Style1"/>
        <w:tabs>
          <w:tab w:val="left" w:pos="0"/>
        </w:tabs>
        <w:outlineLvl w:val="9"/>
        <w:rPr>
          <w:rFonts w:ascii="Times New Roman Bold" w:hAnsi="Times New Roman Bold"/>
          <w:bCs w:val="0"/>
          <w:i w:val="0"/>
          <w:iCs/>
          <w:caps/>
        </w:rPr>
      </w:pPr>
      <w:bookmarkStart w:id="162" w:name="_Toc118354973"/>
      <w:bookmarkStart w:id="163" w:name="_Toc129621618"/>
      <w:r w:rsidRPr="000C06A5">
        <w:rPr>
          <w:rFonts w:ascii="Times New Roman Bold" w:hAnsi="Times New Roman Bold"/>
          <w:bCs w:val="0"/>
          <w:i w:val="0"/>
          <w:caps/>
        </w:rPr>
        <w:t>Communications strategy to support the implementation of the Kunming-Montreal Global Biodiversity Framework</w:t>
      </w:r>
      <w:bookmarkEnd w:id="162"/>
      <w:bookmarkEnd w:id="163"/>
    </w:p>
    <w:p w14:paraId="3A7D856A" w14:textId="77777777" w:rsidR="00DA0273" w:rsidRPr="000C06A5" w:rsidRDefault="00DA0273" w:rsidP="00535E6B">
      <w:pPr>
        <w:pStyle w:val="ListParagraph"/>
        <w:keepNext/>
        <w:spacing w:before="240" w:after="120"/>
        <w:ind w:left="0"/>
        <w:contextualSpacing w:val="0"/>
        <w:jc w:val="center"/>
        <w:rPr>
          <w:b/>
          <w:bCs/>
          <w:snapToGrid w:val="0"/>
          <w:szCs w:val="22"/>
        </w:rPr>
      </w:pPr>
      <w:bookmarkStart w:id="164" w:name="_Toc129621619"/>
      <w:r w:rsidRPr="000C06A5">
        <w:rPr>
          <w:b/>
          <w:bCs/>
          <w:snapToGrid w:val="0"/>
          <w:szCs w:val="22"/>
        </w:rPr>
        <w:t>I.</w:t>
      </w:r>
      <w:r w:rsidRPr="000C06A5">
        <w:rPr>
          <w:b/>
          <w:bCs/>
          <w:snapToGrid w:val="0"/>
          <w:szCs w:val="22"/>
        </w:rPr>
        <w:tab/>
      </w:r>
      <w:r w:rsidRPr="000C06A5">
        <w:rPr>
          <w:b/>
          <w:bCs/>
          <w:caps/>
          <w:snapToGrid w:val="0"/>
          <w:szCs w:val="22"/>
        </w:rPr>
        <w:t>Background</w:t>
      </w:r>
      <w:bookmarkEnd w:id="164"/>
    </w:p>
    <w:p w14:paraId="7C7400FB" w14:textId="4B2B470A" w:rsidR="00DA0273" w:rsidRPr="00CB210F"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decision </w:t>
      </w:r>
      <w:hyperlink r:id="rId33">
        <w:r w:rsidRPr="00060F33">
          <w:rPr>
            <w:snapToGrid w:val="0"/>
            <w:color w:val="0000FF"/>
            <w:kern w:val="22"/>
            <w:szCs w:val="22"/>
            <w:u w:val="single"/>
          </w:rPr>
          <w:t>14/34</w:t>
        </w:r>
      </w:hyperlink>
      <w:r w:rsidRPr="00060F33">
        <w:rPr>
          <w:snapToGrid w:val="0"/>
          <w:color w:val="000000"/>
          <w:kern w:val="22"/>
          <w:szCs w:val="22"/>
        </w:rPr>
        <w:t xml:space="preserve">, the Conference of the Parties decided that the post-2020 global biodiversity framework should be accompanied by an inspirational and motivating 2030 mission as a stepping stone </w:t>
      </w:r>
      <w:r w:rsidRPr="00CB210F">
        <w:rPr>
          <w:snapToGrid w:val="0"/>
          <w:color w:val="000000"/>
          <w:kern w:val="22"/>
          <w:szCs w:val="22"/>
        </w:rPr>
        <w:t>towards the 2050 Vision of living in harmony with nature, which would be supported by a coherent, comprehensive and innovative communication strategy</w:t>
      </w:r>
      <w:r w:rsidRPr="00CB210F">
        <w:rPr>
          <w:snapToGrid w:val="0"/>
          <w:kern w:val="22"/>
          <w:szCs w:val="22"/>
        </w:rPr>
        <w:t>.</w:t>
      </w:r>
      <w:r w:rsidRPr="00CB210F">
        <w:rPr>
          <w:snapToGrid w:val="0"/>
          <w:color w:val="000000"/>
          <w:spacing w:val="-2"/>
          <w:kern w:val="22"/>
          <w:szCs w:val="22"/>
        </w:rPr>
        <w:t xml:space="preserve"> </w:t>
      </w:r>
    </w:p>
    <w:p w14:paraId="09569659" w14:textId="565116C2" w:rsidR="00DA0273" w:rsidRPr="00CB210F"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CB210F">
        <w:rPr>
          <w:snapToGrid w:val="0"/>
          <w:color w:val="000000"/>
          <w:kern w:val="22"/>
          <w:szCs w:val="22"/>
        </w:rPr>
        <w:t>The</w:t>
      </w:r>
      <w:r w:rsidRPr="00CB210F">
        <w:rPr>
          <w:snapToGrid w:val="0"/>
          <w:color w:val="000000"/>
          <w:spacing w:val="-2"/>
          <w:kern w:val="22"/>
          <w:szCs w:val="22"/>
        </w:rPr>
        <w:t xml:space="preserve"> present document sets out the communications strategy to support the implementation of the Kunming-Montreal Global Biodiversity Framework and is meant to complement decision </w:t>
      </w:r>
      <w:hyperlink r:id="rId34" w:history="1">
        <w:r w:rsidRPr="00CB210F">
          <w:rPr>
            <w:rStyle w:val="Hyperlink"/>
            <w:snapToGrid w:val="0"/>
            <w:spacing w:val="-2"/>
            <w:kern w:val="22"/>
            <w:sz w:val="22"/>
            <w:szCs w:val="22"/>
          </w:rPr>
          <w:t>XIII/22</w:t>
        </w:r>
      </w:hyperlink>
      <w:r w:rsidRPr="00CB210F">
        <w:rPr>
          <w:snapToGrid w:val="0"/>
          <w:color w:val="000000"/>
          <w:spacing w:val="-2"/>
          <w:kern w:val="22"/>
          <w:szCs w:val="22"/>
        </w:rPr>
        <w:t xml:space="preserve"> on a framework for a communications strategy.</w:t>
      </w:r>
    </w:p>
    <w:p w14:paraId="59D27CDE" w14:textId="77777777" w:rsidR="00DA0273" w:rsidRPr="00CB210F" w:rsidRDefault="00DA0273" w:rsidP="00535E6B">
      <w:pPr>
        <w:keepNext/>
        <w:pBdr>
          <w:top w:val="nil"/>
          <w:left w:val="nil"/>
          <w:bottom w:val="nil"/>
          <w:right w:val="nil"/>
          <w:between w:val="nil"/>
        </w:pBdr>
        <w:spacing w:before="120" w:after="120"/>
        <w:jc w:val="center"/>
        <w:rPr>
          <w:b/>
          <w:bCs/>
          <w:snapToGrid w:val="0"/>
          <w:szCs w:val="22"/>
        </w:rPr>
      </w:pPr>
      <w:bookmarkStart w:id="165" w:name="_Toc129621620"/>
      <w:r w:rsidRPr="00CB210F">
        <w:rPr>
          <w:b/>
          <w:bCs/>
          <w:snapToGrid w:val="0"/>
          <w:szCs w:val="22"/>
        </w:rPr>
        <w:t>II.</w:t>
      </w:r>
      <w:r w:rsidRPr="00CB210F">
        <w:rPr>
          <w:b/>
          <w:bCs/>
          <w:snapToGrid w:val="0"/>
          <w:szCs w:val="22"/>
        </w:rPr>
        <w:tab/>
      </w:r>
      <w:r w:rsidRPr="00CB210F">
        <w:rPr>
          <w:rFonts w:ascii="Times New Roman Bold" w:hAnsi="Times New Roman Bold"/>
          <w:b/>
          <w:bCs/>
          <w:caps/>
          <w:snapToGrid w:val="0"/>
          <w:szCs w:val="22"/>
        </w:rPr>
        <w:t>Communication, access to information, and awareness</w:t>
      </w:r>
      <w:bookmarkEnd w:id="165"/>
    </w:p>
    <w:p w14:paraId="7B0D34C0"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CB210F">
        <w:rPr>
          <w:snapToGrid w:val="0"/>
          <w:color w:val="000000"/>
          <w:kern w:val="22"/>
          <w:szCs w:val="22"/>
        </w:rPr>
        <w:t>The</w:t>
      </w:r>
      <w:r w:rsidRPr="00CB210F">
        <w:rPr>
          <w:snapToGrid w:val="0"/>
          <w:kern w:val="22"/>
          <w:szCs w:val="22"/>
        </w:rPr>
        <w:t xml:space="preserve"> importance of communication and awareness for the achievement of the 2050 Vision for </w:t>
      </w:r>
      <w:r w:rsidRPr="00F03EE2">
        <w:rPr>
          <w:snapToGrid w:val="0"/>
          <w:kern w:val="22"/>
          <w:szCs w:val="22"/>
        </w:rPr>
        <w:t>b</w:t>
      </w:r>
      <w:r w:rsidRPr="00CB210F">
        <w:rPr>
          <w:snapToGrid w:val="0"/>
          <w:kern w:val="22"/>
          <w:szCs w:val="22"/>
        </w:rPr>
        <w:t>iodiversity was highlighted in Aichi Bio</w:t>
      </w:r>
      <w:r w:rsidRPr="00E44392">
        <w:rPr>
          <w:snapToGrid w:val="0"/>
          <w:kern w:val="22"/>
          <w:szCs w:val="22"/>
        </w:rPr>
        <w:t>diversity Target 1: “By 2020, at the latest, people are aware of the values of b</w:t>
      </w:r>
      <w:r w:rsidRPr="00060F33">
        <w:rPr>
          <w:snapToGrid w:val="0"/>
          <w:kern w:val="22"/>
          <w:szCs w:val="22"/>
        </w:rPr>
        <w:t xml:space="preserve">iodiversity and the steps they can take to conserve and use it sustainably.” </w:t>
      </w:r>
      <w:r w:rsidRPr="00060F33">
        <w:rPr>
          <w:snapToGrid w:val="0"/>
          <w:color w:val="000000"/>
          <w:kern w:val="22"/>
          <w:szCs w:val="22"/>
        </w:rPr>
        <w:t xml:space="preserve">As noted in </w:t>
      </w:r>
      <w:r w:rsidRPr="00060F33">
        <w:rPr>
          <w:i/>
          <w:iCs/>
          <w:snapToGrid w:val="0"/>
          <w:color w:val="000000"/>
          <w:kern w:val="22"/>
          <w:szCs w:val="22"/>
        </w:rPr>
        <w:t>Communication, Education and Public Awareness (CEPA): A Toolkit for National Focal Points and NBSAP Coordinators</w:t>
      </w:r>
      <w:r w:rsidRPr="00060F33">
        <w:rPr>
          <w:snapToGrid w:val="0"/>
          <w:color w:val="000000"/>
          <w:kern w:val="22"/>
          <w:szCs w:val="22"/>
        </w:rPr>
        <w:t>,</w:t>
      </w:r>
      <w:r w:rsidRPr="00610646">
        <w:rPr>
          <w:rStyle w:val="FootnoteReference"/>
        </w:rPr>
        <w:footnoteReference w:id="137"/>
      </w:r>
      <w:r w:rsidRPr="00060F33">
        <w:rPr>
          <w:snapToGrid w:val="0"/>
          <w:color w:val="000000"/>
          <w:kern w:val="22"/>
          <w:szCs w:val="22"/>
        </w:rPr>
        <w:t xml:space="preserve"> public awareness is “a first step in developing understanding and concern, to help people know of the issue, to make the issue part of the public discourse or put the issue on the agenda”. In turn, education “develops understanding, clarifies values, develops attitudes of concern for the environment and develops the motivation and skills to act for the environment”.</w:t>
      </w:r>
    </w:p>
    <w:p w14:paraId="44AD9D5D"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There is obvious evidence of progress o</w:t>
      </w:r>
      <w:r w:rsidRPr="00060F33">
        <w:rPr>
          <w:snapToGrid w:val="0"/>
          <w:kern w:val="22"/>
          <w:szCs w:val="22"/>
        </w:rPr>
        <w:t>ver the course of the decade 2011</w:t>
      </w:r>
      <w:r>
        <w:rPr>
          <w:snapToGrid w:val="0"/>
          <w:kern w:val="22"/>
          <w:szCs w:val="22"/>
        </w:rPr>
        <w:t>–</w:t>
      </w:r>
      <w:r w:rsidRPr="00060F33">
        <w:rPr>
          <w:snapToGrid w:val="0"/>
          <w:kern w:val="22"/>
          <w:szCs w:val="22"/>
        </w:rPr>
        <w:t xml:space="preserve">2020, as reported, for instance, in the fifth edition of the </w:t>
      </w:r>
      <w:r w:rsidRPr="00060F33">
        <w:rPr>
          <w:i/>
          <w:iCs/>
          <w:snapToGrid w:val="0"/>
          <w:kern w:val="22"/>
          <w:szCs w:val="22"/>
        </w:rPr>
        <w:t>Global Biodiversity Outlook</w:t>
      </w:r>
      <w:r w:rsidRPr="00610646">
        <w:rPr>
          <w:rStyle w:val="FootnoteReference"/>
        </w:rPr>
        <w:footnoteReference w:id="138"/>
      </w:r>
      <w:r w:rsidRPr="00060F33">
        <w:rPr>
          <w:snapToGrid w:val="0"/>
          <w:kern w:val="22"/>
          <w:szCs w:val="22"/>
        </w:rPr>
        <w:t xml:space="preserve"> and in the awareness tracker of “On the Edge Conservation”.</w:t>
      </w:r>
      <w:r w:rsidRPr="00610646">
        <w:rPr>
          <w:rStyle w:val="FootnoteReference"/>
        </w:rPr>
        <w:footnoteReference w:id="139"/>
      </w:r>
      <w:r w:rsidRPr="00060F33">
        <w:rPr>
          <w:snapToGrid w:val="0"/>
          <w:kern w:val="22"/>
          <w:szCs w:val="22"/>
        </w:rPr>
        <w:t xml:space="preserve"> Other recent reports and initiatives also show increases in awareness:</w:t>
      </w:r>
    </w:p>
    <w:p w14:paraId="537ADD1D" w14:textId="77777777" w:rsidR="00DA0273" w:rsidRPr="00060F33" w:rsidRDefault="00DA0273" w:rsidP="00CB2DB9">
      <w:pPr>
        <w:spacing w:before="120" w:after="120"/>
        <w:ind w:firstLine="720"/>
        <w:rPr>
          <w:snapToGrid w:val="0"/>
          <w:kern w:val="22"/>
          <w:szCs w:val="22"/>
        </w:rPr>
      </w:pPr>
      <w:r w:rsidRPr="00060F33">
        <w:rPr>
          <w:snapToGrid w:val="0"/>
          <w:kern w:val="22"/>
          <w:szCs w:val="22"/>
        </w:rPr>
        <w:t>(a)</w:t>
      </w:r>
      <w:r w:rsidRPr="00060F33">
        <w:rPr>
          <w:snapToGrid w:val="0"/>
          <w:kern w:val="22"/>
          <w:szCs w:val="22"/>
        </w:rPr>
        <w:tab/>
      </w:r>
      <w:r w:rsidRPr="00060F33">
        <w:rPr>
          <w:snapToGrid w:val="0"/>
          <w:color w:val="000000"/>
          <w:kern w:val="22"/>
          <w:szCs w:val="22"/>
        </w:rPr>
        <w:t>The “Biodiversity Barometer” of the Union for Ethical BioTrade (UEBT) found that, in the core group of countries surveyed in 2020,</w:t>
      </w:r>
      <w:r w:rsidRPr="00610646">
        <w:rPr>
          <w:rStyle w:val="FootnoteReference"/>
        </w:rPr>
        <w:footnoteReference w:id="140"/>
      </w:r>
      <w:r w:rsidRPr="00060F33">
        <w:rPr>
          <w:snapToGrid w:val="0"/>
          <w:color w:val="000000"/>
          <w:kern w:val="22"/>
          <w:szCs w:val="22"/>
        </w:rPr>
        <w:t xml:space="preserve"> 78 per cent of respondents said that they had heard about biodiversity, up from 67 per cent in 2010;</w:t>
      </w:r>
      <w:r w:rsidRPr="00610646">
        <w:rPr>
          <w:rStyle w:val="FootnoteReference"/>
        </w:rPr>
        <w:footnoteReference w:id="141"/>
      </w:r>
    </w:p>
    <w:p w14:paraId="2B8183B1" w14:textId="77777777" w:rsidR="00DA0273" w:rsidRPr="00060F33" w:rsidRDefault="00DA0273" w:rsidP="00CB2DB9">
      <w:pPr>
        <w:spacing w:before="120" w:after="120"/>
        <w:ind w:firstLine="720"/>
        <w:rPr>
          <w:snapToGrid w:val="0"/>
          <w:kern w:val="22"/>
          <w:szCs w:val="22"/>
        </w:rPr>
      </w:pPr>
      <w:r w:rsidRPr="00060F33">
        <w:rPr>
          <w:snapToGrid w:val="0"/>
          <w:kern w:val="22"/>
          <w:szCs w:val="22"/>
        </w:rPr>
        <w:t>(b)</w:t>
      </w:r>
      <w:r w:rsidRPr="00060F33">
        <w:rPr>
          <w:snapToGrid w:val="0"/>
          <w:kern w:val="22"/>
          <w:szCs w:val="22"/>
        </w:rPr>
        <w:tab/>
      </w:r>
      <w:r w:rsidRPr="00060F33">
        <w:rPr>
          <w:snapToGrid w:val="0"/>
          <w:color w:val="000000"/>
          <w:kern w:val="22"/>
          <w:szCs w:val="22"/>
        </w:rPr>
        <w:t xml:space="preserve">The recent “Eco-Wakening” report by </w:t>
      </w:r>
      <w:r w:rsidRPr="003E3964">
        <w:rPr>
          <w:snapToGrid w:val="0"/>
          <w:color w:val="000000"/>
          <w:kern w:val="22"/>
          <w:szCs w:val="22"/>
        </w:rPr>
        <w:t>t</w:t>
      </w:r>
      <w:r w:rsidRPr="00F03EE2">
        <w:rPr>
          <w:snapToGrid w:val="0"/>
          <w:color w:val="000000"/>
          <w:kern w:val="22"/>
          <w:szCs w:val="22"/>
        </w:rPr>
        <w:t>he Economist Intelligence Unit</w:t>
      </w:r>
      <w:r w:rsidRPr="00610646">
        <w:rPr>
          <w:rStyle w:val="FootnoteReference"/>
        </w:rPr>
        <w:footnoteReference w:id="142"/>
      </w:r>
      <w:r w:rsidRPr="00060F33">
        <w:rPr>
          <w:snapToGrid w:val="0"/>
          <w:color w:val="000000"/>
          <w:kern w:val="22"/>
          <w:szCs w:val="22"/>
        </w:rPr>
        <w:t xml:space="preserve"> shows a dramatic rise in the number of people concerned about nature loss, with the most dramatic growth in concern occurring in emerging and developing economies;</w:t>
      </w:r>
    </w:p>
    <w:p w14:paraId="22A5F53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rate of the increase identified in these reports is heterogeneous and not monitored in all countries. This apparent increased awareness has also not translated into actions sufficient to reverse biodiversity loss, as evidenced by the failure to achieve the Aichi Biodiversity Targets. The changes required </w:t>
      </w:r>
      <w:r w:rsidRPr="00060F33">
        <w:rPr>
          <w:snapToGrid w:val="0"/>
          <w:color w:val="000000"/>
          <w:kern w:val="22"/>
          <w:szCs w:val="22"/>
        </w:rPr>
        <w:lastRenderedPageBreak/>
        <w:t>to solve the challenge of biodiversity loss make it necessary for this increase in awareness to be matched by actions by all people, be they decision makers in the policy domain, investors, consumers, businesses, citizens, educators or others.</w:t>
      </w:r>
      <w:r w:rsidRPr="00060F33">
        <w:rPr>
          <w:snapToGrid w:val="0"/>
        </w:rPr>
        <w:t xml:space="preserve"> </w:t>
      </w:r>
    </w:p>
    <w:p w14:paraId="53BC351D"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rPr>
        <w:t xml:space="preserve">Extensive scientific evidence shows that being aware of the problem of biodiversity loss is not sufficient. In order to achieve the goals and targets of the </w:t>
      </w:r>
      <w:r>
        <w:rPr>
          <w:snapToGrid w:val="0"/>
        </w:rPr>
        <w:t>Kunming-Montreal</w:t>
      </w:r>
      <w:r w:rsidRPr="00060F33">
        <w:rPr>
          <w:snapToGrid w:val="0"/>
        </w:rPr>
        <w:t xml:space="preserve"> </w:t>
      </w:r>
      <w:r>
        <w:rPr>
          <w:snapToGrid w:val="0"/>
        </w:rPr>
        <w:t>G</w:t>
      </w:r>
      <w:r w:rsidRPr="00060F33">
        <w:rPr>
          <w:snapToGrid w:val="0"/>
        </w:rPr>
        <w:t xml:space="preserve">lobal </w:t>
      </w:r>
      <w:r>
        <w:rPr>
          <w:snapToGrid w:val="0"/>
        </w:rPr>
        <w:t>B</w:t>
      </w:r>
      <w:r w:rsidRPr="00060F33">
        <w:rPr>
          <w:snapToGrid w:val="0"/>
        </w:rPr>
        <w:t xml:space="preserve">iodiversity </w:t>
      </w:r>
      <w:r>
        <w:rPr>
          <w:snapToGrid w:val="0"/>
        </w:rPr>
        <w:t>F</w:t>
      </w:r>
      <w:r w:rsidRPr="00060F33">
        <w:rPr>
          <w:snapToGrid w:val="0"/>
        </w:rPr>
        <w:t>ramework and promote sustainable development and lifestyles in harmony with nature, supporting mechanisms, including communication, must be differentiated for each stage and tailored for specific target-groups and their life circumstances (</w:t>
      </w:r>
      <w:r>
        <w:rPr>
          <w:snapToGrid w:val="0"/>
        </w:rPr>
        <w:t>e.g.,</w:t>
      </w:r>
      <w:r w:rsidRPr="00060F33">
        <w:rPr>
          <w:snapToGrid w:val="0"/>
        </w:rPr>
        <w:t xml:space="preserve"> youth, political decision makers, the socially </w:t>
      </w:r>
      <w:r>
        <w:rPr>
          <w:snapToGrid w:val="0"/>
        </w:rPr>
        <w:t>vulnerable</w:t>
      </w:r>
      <w:r w:rsidRPr="00060F33">
        <w:rPr>
          <w:snapToGrid w:val="0"/>
        </w:rPr>
        <w:t xml:space="preserve"> and high-income earners). Communication must be used to more effectively strengthen the interlinkages between biodiversity and the 2030 Agenda </w:t>
      </w:r>
      <w:r>
        <w:rPr>
          <w:snapToGrid w:val="0"/>
        </w:rPr>
        <w:t xml:space="preserve">for Sustainable Development </w:t>
      </w:r>
      <w:r w:rsidRPr="00060F33">
        <w:rPr>
          <w:snapToGrid w:val="0"/>
        </w:rPr>
        <w:t xml:space="preserve">and its Sustainable Development Goals, to highlight the importance of addressing the social, economic and environmental dimensions of sustainable development. This has implications for any communications strategy in support of the </w:t>
      </w:r>
      <w:r>
        <w:rPr>
          <w:snapToGrid w:val="0"/>
        </w:rPr>
        <w:t>Kunming-Montreal</w:t>
      </w:r>
      <w:r w:rsidRPr="00060F33">
        <w:rPr>
          <w:snapToGrid w:val="0"/>
        </w:rPr>
        <w:t xml:space="preserve"> </w:t>
      </w:r>
      <w:r>
        <w:rPr>
          <w:snapToGrid w:val="0"/>
        </w:rPr>
        <w:t>G</w:t>
      </w:r>
      <w:r w:rsidRPr="00060F33">
        <w:rPr>
          <w:snapToGrid w:val="0"/>
        </w:rPr>
        <w:t xml:space="preserve">lobal </w:t>
      </w:r>
      <w:r>
        <w:rPr>
          <w:snapToGrid w:val="0"/>
        </w:rPr>
        <w:t>B</w:t>
      </w:r>
      <w:r w:rsidRPr="00060F33">
        <w:rPr>
          <w:snapToGrid w:val="0"/>
        </w:rPr>
        <w:t xml:space="preserve">iodiversity </w:t>
      </w:r>
      <w:r>
        <w:rPr>
          <w:snapToGrid w:val="0"/>
        </w:rPr>
        <w:t>F</w:t>
      </w:r>
      <w:r w:rsidRPr="00060F33">
        <w:rPr>
          <w:snapToGrid w:val="0"/>
        </w:rPr>
        <w:t>ramework.</w:t>
      </w:r>
      <w:r w:rsidRPr="00060F33">
        <w:rPr>
          <w:snapToGrid w:val="0"/>
          <w:color w:val="000000"/>
          <w:kern w:val="22"/>
          <w:szCs w:val="22"/>
        </w:rPr>
        <w:t xml:space="preserve"> </w:t>
      </w:r>
    </w:p>
    <w:p w14:paraId="764E6AFB" w14:textId="77777777" w:rsidR="00DA0273" w:rsidRPr="00EF0BEE"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communications strategy will need to raise awareness and trigger change. The strategy needs to be designed in such a way </w:t>
      </w:r>
      <w:r>
        <w:rPr>
          <w:snapToGrid w:val="0"/>
          <w:color w:val="000000"/>
          <w:kern w:val="22"/>
          <w:szCs w:val="22"/>
        </w:rPr>
        <w:t xml:space="preserve">as </w:t>
      </w:r>
      <w:r w:rsidRPr="00060F33">
        <w:rPr>
          <w:snapToGrid w:val="0"/>
          <w:color w:val="000000"/>
          <w:kern w:val="22"/>
          <w:szCs w:val="22"/>
        </w:rPr>
        <w:t>to build up content gradually and allow data</w:t>
      </w:r>
      <w:r>
        <w:rPr>
          <w:snapToGrid w:val="0"/>
          <w:color w:val="000000"/>
          <w:kern w:val="22"/>
          <w:szCs w:val="22"/>
        </w:rPr>
        <w:t>-</w:t>
      </w:r>
      <w:r w:rsidRPr="00060F33">
        <w:rPr>
          <w:snapToGrid w:val="0"/>
          <w:color w:val="000000"/>
          <w:kern w:val="22"/>
          <w:szCs w:val="22"/>
        </w:rPr>
        <w:t>sharing among people deploying the strategy in the short term, while developing ongoing research and evaluation in the medium and long term. This process should focus on better understanding of social actors, their intentions, attitudes and norms</w:t>
      </w:r>
      <w:r>
        <w:rPr>
          <w:snapToGrid w:val="0"/>
          <w:color w:val="000000"/>
          <w:kern w:val="22"/>
          <w:szCs w:val="22"/>
        </w:rPr>
        <w:t>,</w:t>
      </w:r>
      <w:r w:rsidRPr="00060F33">
        <w:rPr>
          <w:snapToGrid w:val="0"/>
          <w:color w:val="000000"/>
          <w:kern w:val="22"/>
          <w:szCs w:val="22"/>
        </w:rPr>
        <w:t xml:space="preserve"> as well as their beliefs, perceptions </w:t>
      </w:r>
      <w:r w:rsidRPr="00EF0BEE">
        <w:rPr>
          <w:snapToGrid w:val="0"/>
          <w:color w:val="000000"/>
          <w:kern w:val="22"/>
          <w:szCs w:val="22"/>
        </w:rPr>
        <w:t xml:space="preserve">and choices. This understanding should be used to monitor success and adjust the strategy as time goes on. </w:t>
      </w:r>
    </w:p>
    <w:p w14:paraId="396B0A08" w14:textId="77777777" w:rsidR="00DA0273" w:rsidRPr="00EF0BEE"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EF0BEE">
        <w:rPr>
          <w:snapToGrid w:val="0"/>
          <w:color w:val="000000"/>
          <w:kern w:val="22"/>
          <w:szCs w:val="22"/>
        </w:rPr>
        <w:t xml:space="preserve">The </w:t>
      </w:r>
      <w:r w:rsidRPr="00EF0BEE">
        <w:rPr>
          <w:snapToGrid w:val="0"/>
        </w:rPr>
        <w:t>Kunming-Montreal Global Biodiversity Framework</w:t>
      </w:r>
      <w:r w:rsidRPr="00EF0BEE">
        <w:rPr>
          <w:snapToGrid w:val="0"/>
          <w:color w:val="000000"/>
          <w:kern w:val="22"/>
          <w:szCs w:val="22"/>
        </w:rPr>
        <w:t xml:space="preserve"> provides an occasion for renewed and updated communication, building on the achievements of the United Nations Decade on Biodiversity and in the context of the United Nations Decade of Action to deliver the Sustainable Development Goals. Communications management will require an ongoing understanding and evaluation of the state of achievement of the Framework, and it will need to reflect the relationship between climate change and biodiversity. This process will facilitate the creation of content for the communications strategy, while providing continuity and support to ongoing initiatives and to the monitoring of results.</w:t>
      </w:r>
    </w:p>
    <w:p w14:paraId="5A6CAFA5" w14:textId="77777777" w:rsidR="00DA0273" w:rsidRPr="00060F33" w:rsidRDefault="00DA0273" w:rsidP="00535E6B">
      <w:pPr>
        <w:keepNext/>
        <w:spacing w:before="120" w:after="120"/>
        <w:jc w:val="center"/>
        <w:rPr>
          <w:b/>
          <w:bCs/>
          <w:snapToGrid w:val="0"/>
          <w:szCs w:val="22"/>
        </w:rPr>
      </w:pPr>
      <w:bookmarkStart w:id="166" w:name="_Toc129621621"/>
      <w:r w:rsidRPr="00060F33">
        <w:rPr>
          <w:b/>
          <w:bCs/>
          <w:snapToGrid w:val="0"/>
          <w:szCs w:val="22"/>
        </w:rPr>
        <w:t>III.</w:t>
      </w:r>
      <w:r w:rsidRPr="00060F33">
        <w:rPr>
          <w:b/>
          <w:bCs/>
          <w:snapToGrid w:val="0"/>
          <w:szCs w:val="22"/>
        </w:rPr>
        <w:tab/>
      </w:r>
      <w:r w:rsidRPr="00DC59BE">
        <w:rPr>
          <w:rFonts w:ascii="Times New Roman Bold" w:hAnsi="Times New Roman Bold"/>
          <w:b/>
          <w:bCs/>
          <w:caps/>
          <w:snapToGrid w:val="0"/>
          <w:szCs w:val="22"/>
        </w:rPr>
        <w:t>Scope and purpose of the strategy</w:t>
      </w:r>
      <w:bookmarkEnd w:id="166"/>
    </w:p>
    <w:p w14:paraId="169B258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rPr>
          <w:snapToGrid w:val="0"/>
          <w:color w:val="000000"/>
          <w:kern w:val="22"/>
          <w:szCs w:val="22"/>
        </w:rPr>
      </w:pPr>
      <w:r w:rsidRPr="00060F33">
        <w:rPr>
          <w:snapToGrid w:val="0"/>
          <w:color w:val="000000"/>
          <w:kern w:val="22"/>
          <w:szCs w:val="22"/>
        </w:rPr>
        <w:t>The strategy is meant to be used for communications efforts by the Executive Secretary, and to support communications efforts by all others, including Parties, indigenous peoples and local communities</w:t>
      </w:r>
      <w:r>
        <w:rPr>
          <w:snapToGrid w:val="0"/>
          <w:color w:val="000000"/>
          <w:kern w:val="22"/>
          <w:szCs w:val="22"/>
        </w:rPr>
        <w:t>,</w:t>
      </w:r>
      <w:r w:rsidRPr="00060F33">
        <w:rPr>
          <w:snapToGrid w:val="0"/>
          <w:color w:val="000000"/>
          <w:kern w:val="22"/>
          <w:szCs w:val="22"/>
        </w:rPr>
        <w:t xml:space="preserve"> stakeholders, United Nations system actors and others:</w:t>
      </w:r>
    </w:p>
    <w:p w14:paraId="58FABA87"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By providing a structure for coordination and collaboration among relevant actors; increased and magnified effectiveness is the goal;</w:t>
      </w:r>
    </w:p>
    <w:p w14:paraId="25D29FC4"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As initial guidance to inform the development of specific strategies and action plans at the global, regional, national and subnational levels, by political decision makers, social entrepreneurs, businesses, citizens, youth, and by indigenous peoples and local communities, as appropriate;</w:t>
      </w:r>
    </w:p>
    <w:p w14:paraId="1C47EA10" w14:textId="77777777" w:rsidR="00DA0273" w:rsidRPr="00BA31FB"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To promote awareness in support of the conservation of biological diversity, the sustainable use of its components, and the fair and equitable sharing of benefits arising from the utilization of genetic resources, and transformative change </w:t>
      </w:r>
      <w:r w:rsidRPr="00BA31FB">
        <w:rPr>
          <w:snapToGrid w:val="0"/>
          <w:color w:val="000000"/>
          <w:kern w:val="22"/>
          <w:szCs w:val="22"/>
        </w:rPr>
        <w:t xml:space="preserve">towards the 2050 Vision for </w:t>
      </w:r>
      <w:r w:rsidRPr="00FB58BC">
        <w:rPr>
          <w:snapToGrid w:val="0"/>
          <w:color w:val="000000"/>
          <w:kern w:val="22"/>
          <w:szCs w:val="22"/>
        </w:rPr>
        <w:t>b</w:t>
      </w:r>
      <w:r w:rsidRPr="00BA31FB">
        <w:rPr>
          <w:snapToGrid w:val="0"/>
          <w:color w:val="000000"/>
          <w:kern w:val="22"/>
          <w:szCs w:val="22"/>
        </w:rPr>
        <w:t>iodiversity;</w:t>
      </w:r>
    </w:p>
    <w:p w14:paraId="0DEB22B6"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BA31FB">
        <w:rPr>
          <w:snapToGrid w:val="0"/>
          <w:color w:val="000000"/>
          <w:kern w:val="22"/>
          <w:szCs w:val="22"/>
        </w:rPr>
        <w:t>The communications strategy will need to be implemented and further developed in a participatory, iterative and flexible manner, assisted by experts in communication, and</w:t>
      </w:r>
      <w:r w:rsidRPr="00060F33">
        <w:rPr>
          <w:snapToGrid w:val="0"/>
          <w:color w:val="000000"/>
          <w:kern w:val="22"/>
          <w:szCs w:val="22"/>
        </w:rPr>
        <w:t xml:space="preserve"> other relevant disciplines, including a strong participation of indigenous peoples and local communities, women and youth. Its further development should be led by advice and consultations at the international level, led by the Executive Secretary, which then inform further consultations. Throughout the consultations, the active participation of indigenous peoples and local communities, education experts, youth, and representatives of various socioeconomic and sociocultural backgrounds is important, as is the need to ensure the full incorporation of intra- and intergenerational, intercultural and gender considerations. At the global level, immediate to long-term adjustments of the strategy will be coordinated through </w:t>
      </w:r>
      <w:r w:rsidRPr="00201A86">
        <w:rPr>
          <w:snapToGrid w:val="0"/>
          <w:color w:val="000000"/>
          <w:kern w:val="22"/>
          <w:szCs w:val="22"/>
        </w:rPr>
        <w:t xml:space="preserve">an open-source coordination </w:t>
      </w:r>
      <w:r w:rsidRPr="00F324F1">
        <w:rPr>
          <w:snapToGrid w:val="0"/>
          <w:color w:val="000000"/>
          <w:kern w:val="22"/>
          <w:szCs w:val="22"/>
        </w:rPr>
        <w:t>mechanism, outlined</w:t>
      </w:r>
      <w:r w:rsidRPr="00201A86">
        <w:rPr>
          <w:snapToGrid w:val="0"/>
          <w:color w:val="000000"/>
          <w:kern w:val="22"/>
          <w:szCs w:val="22"/>
        </w:rPr>
        <w:t xml:space="preserve"> below.</w:t>
      </w:r>
    </w:p>
    <w:p w14:paraId="109F4AC1" w14:textId="77777777" w:rsidR="00DA0273" w:rsidRPr="002F3C48"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lastRenderedPageBreak/>
        <w:t xml:space="preserve">The communications strategy will be kept under review by the Conference of the Parties, with input from the Informal Advisory Committee on Communication, Education and Public </w:t>
      </w:r>
      <w:r w:rsidRPr="002F3C48">
        <w:rPr>
          <w:snapToGrid w:val="0"/>
          <w:color w:val="000000"/>
          <w:kern w:val="22"/>
          <w:szCs w:val="22"/>
        </w:rPr>
        <w:t>Awareness, and other relevant processes.</w:t>
      </w:r>
    </w:p>
    <w:p w14:paraId="4A038F27"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elements for </w:t>
      </w:r>
      <w:r w:rsidRPr="00201A86">
        <w:rPr>
          <w:snapToGrid w:val="0"/>
          <w:color w:val="000000"/>
          <w:kern w:val="22"/>
          <w:szCs w:val="22"/>
        </w:rPr>
        <w:t>such a review would</w:t>
      </w:r>
      <w:r w:rsidRPr="00060F33">
        <w:rPr>
          <w:snapToGrid w:val="0"/>
          <w:color w:val="000000"/>
          <w:kern w:val="22"/>
          <w:szCs w:val="22"/>
        </w:rPr>
        <w:t xml:space="preserve"> be as follows:</w:t>
      </w:r>
    </w:p>
    <w:p w14:paraId="05979820"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A meeting of the Informal Advisory Committee on Communication, Education and Public Awareness, to be held after the fifteenth meeting </w:t>
      </w:r>
      <w:r w:rsidRPr="00E141EB">
        <w:rPr>
          <w:snapToGrid w:val="0"/>
          <w:color w:val="000000"/>
          <w:kern w:val="22"/>
          <w:szCs w:val="22"/>
        </w:rPr>
        <w:t>of the Conference of the Parties, to elaborate the final details of the communication strategy;</w:t>
      </w:r>
    </w:p>
    <w:p w14:paraId="23B3A5A5"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A biennial evaluation of the activities that have been carried out, seeking to identify best practices, changes in awareness, impact and effectiveness, to be reviewed by the Subsidiary Body on Implementation;</w:t>
      </w:r>
    </w:p>
    <w:p w14:paraId="3DE67040"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Identification of new areas for communication and learning, or the need to adjust existing strategies;</w:t>
      </w:r>
    </w:p>
    <w:p w14:paraId="4C6D21C3"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r>
      <w:r w:rsidRPr="00D31CC0">
        <w:rPr>
          <w:snapToGrid w:val="0"/>
          <w:color w:val="000000"/>
          <w:kern w:val="22"/>
          <w:szCs w:val="22"/>
        </w:rPr>
        <w:t>Track communication, education and awareness-raising activities against progress on targets, goals and the 2030 mission;</w:t>
      </w:r>
    </w:p>
    <w:p w14:paraId="11B51FDE"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Identification of new actors or partners to be approached;</w:t>
      </w:r>
    </w:p>
    <w:p w14:paraId="6C943BF2"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(f)</w:t>
      </w:r>
      <w:r w:rsidRPr="00060F33">
        <w:rPr>
          <w:snapToGrid w:val="0"/>
          <w:color w:val="000000"/>
          <w:kern w:val="22"/>
          <w:szCs w:val="22"/>
        </w:rPr>
        <w:tab/>
        <w:t>Identification of resource needs.</w:t>
      </w:r>
    </w:p>
    <w:p w14:paraId="0DCCAAE1" w14:textId="77777777" w:rsidR="00DA0273" w:rsidRPr="000D212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zCs w:val="22"/>
        </w:rPr>
        <w:t xml:space="preserve">Parties are invited to start implementing the elements of the </w:t>
      </w:r>
      <w:r>
        <w:rPr>
          <w:snapToGrid w:val="0"/>
        </w:rPr>
        <w:t>Kunming-Montreal</w:t>
      </w:r>
      <w:r w:rsidRPr="00060F33">
        <w:rPr>
          <w:snapToGrid w:val="0"/>
        </w:rPr>
        <w:t xml:space="preserve"> </w:t>
      </w:r>
      <w:r>
        <w:rPr>
          <w:snapToGrid w:val="0"/>
        </w:rPr>
        <w:t>G</w:t>
      </w:r>
      <w:r w:rsidRPr="00060F33">
        <w:rPr>
          <w:snapToGrid w:val="0"/>
        </w:rPr>
        <w:t xml:space="preserve">lobal </w:t>
      </w:r>
      <w:r>
        <w:rPr>
          <w:snapToGrid w:val="0"/>
        </w:rPr>
        <w:t>B</w:t>
      </w:r>
      <w:r w:rsidRPr="00060F33">
        <w:rPr>
          <w:snapToGrid w:val="0"/>
        </w:rPr>
        <w:t xml:space="preserve">iodiversity </w:t>
      </w:r>
      <w:r>
        <w:rPr>
          <w:snapToGrid w:val="0"/>
        </w:rPr>
        <w:t>F</w:t>
      </w:r>
      <w:r w:rsidRPr="00060F33">
        <w:rPr>
          <w:snapToGrid w:val="0"/>
        </w:rPr>
        <w:t>ramework</w:t>
      </w:r>
      <w:r w:rsidRPr="00060F33" w:rsidDel="001D512F">
        <w:rPr>
          <w:szCs w:val="22"/>
        </w:rPr>
        <w:t xml:space="preserve"> </w:t>
      </w:r>
      <w:r w:rsidRPr="00060F33">
        <w:rPr>
          <w:szCs w:val="22"/>
        </w:rPr>
        <w:t xml:space="preserve">relating to </w:t>
      </w:r>
      <w:r w:rsidRPr="000D2123">
        <w:rPr>
          <w:szCs w:val="22"/>
        </w:rPr>
        <w:t>communication in an expeditious manner. To this end, Parties are invited to integrate communications components into their national biodiversity strategies and action plans (NBSAPs) while updating them in line with the Framework, or to develop</w:t>
      </w:r>
      <w:r w:rsidRPr="000D2123">
        <w:rPr>
          <w:snapToGrid w:val="0"/>
          <w:color w:val="000000"/>
          <w:kern w:val="22"/>
          <w:szCs w:val="22"/>
        </w:rPr>
        <w:t xml:space="preserve"> national or regional communications strategies that support the goals below.</w:t>
      </w:r>
    </w:p>
    <w:p w14:paraId="7FC425DE" w14:textId="77777777" w:rsidR="00DA0273" w:rsidRPr="002D4712"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2D4712">
        <w:rPr>
          <w:snapToGrid w:val="0"/>
          <w:color w:val="000000"/>
          <w:kern w:val="22"/>
          <w:szCs w:val="22"/>
        </w:rPr>
        <w:t>Table 1 outlines some of the timelines for activities under the strategy.</w:t>
      </w:r>
    </w:p>
    <w:p w14:paraId="22EDB554" w14:textId="77777777" w:rsidR="00DA0273" w:rsidRPr="002D4712" w:rsidRDefault="00DA0273" w:rsidP="00332A0C">
      <w:pPr>
        <w:keepNext/>
        <w:pBdr>
          <w:top w:val="nil"/>
          <w:left w:val="nil"/>
          <w:bottom w:val="nil"/>
          <w:right w:val="nil"/>
          <w:between w:val="nil"/>
        </w:pBdr>
        <w:spacing w:before="240" w:after="120"/>
        <w:rPr>
          <w:b/>
          <w:bCs/>
          <w:snapToGrid w:val="0"/>
          <w:color w:val="000000"/>
          <w:kern w:val="22"/>
          <w:szCs w:val="22"/>
        </w:rPr>
      </w:pPr>
      <w:bookmarkStart w:id="167" w:name="_Toc129621622"/>
      <w:r w:rsidRPr="002D4712">
        <w:rPr>
          <w:b/>
          <w:bCs/>
          <w:snapToGrid w:val="0"/>
          <w:color w:val="000000"/>
          <w:kern w:val="22"/>
          <w:szCs w:val="22"/>
        </w:rPr>
        <w:t>Table 1. Timeline for activities</w:t>
      </w:r>
      <w:bookmarkEnd w:id="167"/>
      <w:r w:rsidRPr="002D4712">
        <w:rPr>
          <w:b/>
          <w:bCs/>
          <w:snapToGrid w:val="0"/>
          <w:color w:val="000000"/>
          <w:kern w:val="22"/>
          <w:szCs w:val="22"/>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7"/>
        <w:gridCol w:w="4015"/>
        <w:gridCol w:w="2912"/>
      </w:tblGrid>
      <w:tr w:rsidR="00DA0273" w:rsidRPr="008A445E" w14:paraId="326A9818" w14:textId="77777777" w:rsidTr="00F03EE2">
        <w:trPr>
          <w:tblHeader/>
          <w:jc w:val="center"/>
        </w:trPr>
        <w:tc>
          <w:tcPr>
            <w:tcW w:w="2427" w:type="dxa"/>
          </w:tcPr>
          <w:p w14:paraId="14521EC7" w14:textId="77777777" w:rsidR="00DA0273" w:rsidRPr="008A445E" w:rsidRDefault="00DA0273" w:rsidP="00CB2DB9">
            <w:pPr>
              <w:spacing w:before="120" w:after="120"/>
              <w:jc w:val="center"/>
              <w:rPr>
                <w:i/>
                <w:iCs/>
                <w:snapToGrid w:val="0"/>
                <w:color w:val="000000"/>
                <w:kern w:val="22"/>
                <w:szCs w:val="22"/>
              </w:rPr>
            </w:pPr>
            <w:r w:rsidRPr="008A445E">
              <w:rPr>
                <w:i/>
                <w:iCs/>
                <w:snapToGrid w:val="0"/>
                <w:color w:val="000000"/>
                <w:kern w:val="22"/>
                <w:szCs w:val="22"/>
              </w:rPr>
              <w:t>Date</w:t>
            </w:r>
          </w:p>
        </w:tc>
        <w:tc>
          <w:tcPr>
            <w:tcW w:w="4015" w:type="dxa"/>
          </w:tcPr>
          <w:p w14:paraId="2D7361CE" w14:textId="77777777" w:rsidR="00DA0273" w:rsidRPr="008A445E" w:rsidRDefault="00DA0273" w:rsidP="00CB2DB9">
            <w:pPr>
              <w:spacing w:before="120" w:after="120"/>
              <w:jc w:val="center"/>
              <w:rPr>
                <w:i/>
                <w:iCs/>
                <w:snapToGrid w:val="0"/>
                <w:color w:val="000000"/>
                <w:kern w:val="22"/>
                <w:szCs w:val="22"/>
              </w:rPr>
            </w:pPr>
            <w:r w:rsidRPr="008A445E">
              <w:rPr>
                <w:i/>
                <w:iCs/>
                <w:snapToGrid w:val="0"/>
                <w:color w:val="000000"/>
                <w:kern w:val="22"/>
                <w:szCs w:val="22"/>
              </w:rPr>
              <w:t>Executive Secretary</w:t>
            </w:r>
          </w:p>
        </w:tc>
        <w:tc>
          <w:tcPr>
            <w:tcW w:w="2912" w:type="dxa"/>
          </w:tcPr>
          <w:p w14:paraId="3E7BE770" w14:textId="77777777" w:rsidR="00DA0273" w:rsidRPr="008A445E" w:rsidRDefault="00DA0273" w:rsidP="00CB2DB9">
            <w:pPr>
              <w:spacing w:before="120" w:after="120"/>
              <w:jc w:val="center"/>
              <w:rPr>
                <w:i/>
                <w:iCs/>
                <w:snapToGrid w:val="0"/>
                <w:color w:val="000000"/>
                <w:kern w:val="22"/>
                <w:szCs w:val="22"/>
              </w:rPr>
            </w:pPr>
            <w:r w:rsidRPr="008A445E">
              <w:rPr>
                <w:i/>
                <w:iCs/>
                <w:snapToGrid w:val="0"/>
                <w:color w:val="000000"/>
                <w:kern w:val="22"/>
                <w:szCs w:val="22"/>
              </w:rPr>
              <w:t>National level</w:t>
            </w:r>
          </w:p>
        </w:tc>
      </w:tr>
      <w:tr w:rsidR="00DA0273" w:rsidRPr="008A445E" w14:paraId="70D7A9B5" w14:textId="77777777" w:rsidTr="00F03EE2">
        <w:trPr>
          <w:jc w:val="center"/>
        </w:trPr>
        <w:tc>
          <w:tcPr>
            <w:tcW w:w="2427" w:type="dxa"/>
          </w:tcPr>
          <w:p w14:paraId="3E59937B"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As soon as possible following the fifteenth meeting of the Conference of the Parties</w:t>
            </w:r>
          </w:p>
        </w:tc>
        <w:tc>
          <w:tcPr>
            <w:tcW w:w="4015" w:type="dxa"/>
          </w:tcPr>
          <w:p w14:paraId="0D7BA975"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Convene a meeting of the Informal Advisory Committee</w:t>
            </w:r>
            <w:r w:rsidRPr="002A7CC3">
              <w:rPr>
                <w:snapToGrid w:val="0"/>
                <w:color w:val="000000"/>
                <w:kern w:val="22"/>
                <w:szCs w:val="22"/>
              </w:rPr>
              <w:t xml:space="preserve"> </w:t>
            </w:r>
            <w:r w:rsidRPr="008A445E">
              <w:rPr>
                <w:snapToGrid w:val="0"/>
                <w:color w:val="000000"/>
                <w:kern w:val="22"/>
                <w:szCs w:val="22"/>
              </w:rPr>
              <w:t>on Communication, Education and Public Awareness</w:t>
            </w:r>
            <w:r w:rsidRPr="002A7CC3">
              <w:rPr>
                <w:snapToGrid w:val="0"/>
                <w:color w:val="000000"/>
                <w:kern w:val="22"/>
                <w:szCs w:val="22"/>
              </w:rPr>
              <w:t xml:space="preserve"> (</w:t>
            </w:r>
            <w:r w:rsidRPr="008A445E">
              <w:rPr>
                <w:snapToGrid w:val="0"/>
                <w:color w:val="000000"/>
                <w:kern w:val="22"/>
                <w:szCs w:val="22"/>
              </w:rPr>
              <w:t>CEPA-IAC) to update the present strategy for consideration by the Subsidiary Body on Implementation at its fourth meeting and to develop further guidance for implementation at the national, subnational and local levels</w:t>
            </w:r>
          </w:p>
          <w:p w14:paraId="5C20A3D3"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Create website</w:t>
            </w:r>
          </w:p>
          <w:p w14:paraId="6B39C9F0"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Convene informal coordination mechanism for regular coordination</w:t>
            </w:r>
          </w:p>
          <w:p w14:paraId="2304F8CC"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Communicate a voluntary guidance document</w:t>
            </w:r>
          </w:p>
        </w:tc>
        <w:tc>
          <w:tcPr>
            <w:tcW w:w="2912" w:type="dxa"/>
          </w:tcPr>
          <w:p w14:paraId="10C96049"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Encourage existing and/or establish new national and subnational partnerships to deliver the activities of the strategy.</w:t>
            </w:r>
          </w:p>
          <w:p w14:paraId="187F9083" w14:textId="77777777" w:rsidR="00DA0273" w:rsidRPr="008A445E" w:rsidRDefault="00DA0273" w:rsidP="00CB2DB9">
            <w:pPr>
              <w:spacing w:before="120" w:after="120"/>
              <w:jc w:val="left"/>
              <w:rPr>
                <w:snapToGrid w:val="0"/>
                <w:color w:val="000000"/>
                <w:kern w:val="22"/>
                <w:szCs w:val="22"/>
                <w:lang w:val="en-CA"/>
              </w:rPr>
            </w:pPr>
            <w:r w:rsidRPr="008A445E">
              <w:rPr>
                <w:snapToGrid w:val="0"/>
                <w:color w:val="000000"/>
                <w:kern w:val="22"/>
                <w:szCs w:val="22"/>
                <w:lang w:val="en-CA"/>
              </w:rPr>
              <w:t>Endeavour, as appropriate, to integrate relevant actions from the communications strategy in their planning and reporting mechanisms.</w:t>
            </w:r>
          </w:p>
        </w:tc>
      </w:tr>
      <w:tr w:rsidR="00DA0273" w:rsidRPr="008A445E" w14:paraId="61601174" w14:textId="77777777" w:rsidTr="00F03EE2">
        <w:trPr>
          <w:trHeight w:val="769"/>
          <w:jc w:val="center"/>
        </w:trPr>
        <w:tc>
          <w:tcPr>
            <w:tcW w:w="2427" w:type="dxa"/>
          </w:tcPr>
          <w:p w14:paraId="1C9686D5"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2022</w:t>
            </w:r>
            <w:r>
              <w:rPr>
                <w:snapToGrid w:val="0"/>
                <w:kern w:val="22"/>
                <w:szCs w:val="22"/>
              </w:rPr>
              <w:t>–</w:t>
            </w:r>
            <w:r w:rsidRPr="008A445E">
              <w:rPr>
                <w:snapToGrid w:val="0"/>
                <w:color w:val="000000"/>
                <w:kern w:val="22"/>
                <w:szCs w:val="22"/>
              </w:rPr>
              <w:t>2024</w:t>
            </w:r>
          </w:p>
        </w:tc>
        <w:tc>
          <w:tcPr>
            <w:tcW w:w="4015" w:type="dxa"/>
          </w:tcPr>
          <w:p w14:paraId="55BF5971"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Create international partnerships in support of the strategy</w:t>
            </w:r>
          </w:p>
        </w:tc>
        <w:tc>
          <w:tcPr>
            <w:tcW w:w="2912" w:type="dxa"/>
          </w:tcPr>
          <w:p w14:paraId="28D72981" w14:textId="77777777" w:rsidR="00DA0273" w:rsidRPr="008A445E" w:rsidRDefault="00DA0273" w:rsidP="00CB2DB9">
            <w:pPr>
              <w:tabs>
                <w:tab w:val="left" w:pos="972"/>
              </w:tabs>
              <w:rPr>
                <w:szCs w:val="22"/>
              </w:rPr>
            </w:pPr>
          </w:p>
        </w:tc>
      </w:tr>
      <w:tr w:rsidR="00DA0273" w:rsidRPr="008A445E" w14:paraId="31589395" w14:textId="77777777" w:rsidTr="00F03EE2">
        <w:trPr>
          <w:cantSplit/>
          <w:jc w:val="center"/>
        </w:trPr>
        <w:tc>
          <w:tcPr>
            <w:tcW w:w="2427" w:type="dxa"/>
          </w:tcPr>
          <w:p w14:paraId="3D8A75F1"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lastRenderedPageBreak/>
              <w:t>By the fourth meeting of the Subsidiary Body on Implementation, to be negotiated by the Conference of the Parties at its sixteenth meeting (2024)</w:t>
            </w:r>
            <w:r w:rsidRPr="00610646">
              <w:rPr>
                <w:rStyle w:val="FootnoteReference"/>
              </w:rPr>
              <w:footnoteReference w:id="143"/>
            </w:r>
          </w:p>
        </w:tc>
        <w:tc>
          <w:tcPr>
            <w:tcW w:w="4015" w:type="dxa"/>
          </w:tcPr>
          <w:p w14:paraId="03DB807C"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In collaboration with CEPA-IAC and other relevant actors, review and report on activities and their impact, and further update the strategy, if needed</w:t>
            </w:r>
          </w:p>
        </w:tc>
        <w:tc>
          <w:tcPr>
            <w:tcW w:w="2912" w:type="dxa"/>
          </w:tcPr>
          <w:p w14:paraId="16DCD809" w14:textId="77777777" w:rsidR="00DA0273" w:rsidRPr="008A445E" w:rsidRDefault="00DA0273" w:rsidP="00CB2DB9">
            <w:pPr>
              <w:spacing w:before="120" w:after="120"/>
              <w:jc w:val="left"/>
              <w:rPr>
                <w:snapToGrid w:val="0"/>
                <w:color w:val="000000"/>
                <w:kern w:val="22"/>
                <w:szCs w:val="22"/>
                <w:lang w:val="en-CA"/>
              </w:rPr>
            </w:pPr>
            <w:r w:rsidRPr="008A445E">
              <w:rPr>
                <w:snapToGrid w:val="0"/>
                <w:color w:val="000000"/>
                <w:kern w:val="22"/>
                <w:szCs w:val="22"/>
                <w:lang w:val="en-CA"/>
              </w:rPr>
              <w:t>Endeavour, as appropriate, to integrate relevant actions from the communications strategy in their planning and reporting mechanisms.</w:t>
            </w:r>
          </w:p>
        </w:tc>
      </w:tr>
      <w:tr w:rsidR="00DA0273" w:rsidRPr="008A445E" w14:paraId="45BA9D0C" w14:textId="77777777" w:rsidTr="00F03EE2">
        <w:trPr>
          <w:jc w:val="center"/>
        </w:trPr>
        <w:tc>
          <w:tcPr>
            <w:tcW w:w="2427" w:type="dxa"/>
          </w:tcPr>
          <w:p w14:paraId="2E228B74"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By the fifth meeting of the Subsidiary Body on Implementation, to be negotiated by the Conference of the Parties at its seventeenth meeting (2026)</w:t>
            </w:r>
          </w:p>
        </w:tc>
        <w:tc>
          <w:tcPr>
            <w:tcW w:w="4015" w:type="dxa"/>
          </w:tcPr>
          <w:p w14:paraId="5F10137A" w14:textId="78514A5C" w:rsidR="00DA0273" w:rsidRPr="008A445E" w:rsidRDefault="00DA0273" w:rsidP="00567E24">
            <w:pPr>
              <w:spacing w:before="120" w:after="120"/>
              <w:jc w:val="left"/>
              <w:rPr>
                <w:snapToGrid w:val="0"/>
                <w:color w:val="000000"/>
                <w:kern w:val="22"/>
                <w:szCs w:val="22"/>
              </w:rPr>
            </w:pPr>
            <w:r w:rsidRPr="008A445E">
              <w:rPr>
                <w:snapToGrid w:val="0"/>
                <w:color w:val="000000"/>
                <w:kern w:val="22"/>
                <w:szCs w:val="22"/>
              </w:rPr>
              <w:t>In collaboration with CEPA-IAC and other relevant actors, conduct mid-decade review and report on activities and their impact, update the communications strategy based on advice from the Conference of the Parties</w:t>
            </w:r>
          </w:p>
        </w:tc>
        <w:tc>
          <w:tcPr>
            <w:tcW w:w="2912" w:type="dxa"/>
          </w:tcPr>
          <w:p w14:paraId="06C81AD9" w14:textId="77777777" w:rsidR="00DA0273" w:rsidRPr="008A445E" w:rsidRDefault="00DA0273" w:rsidP="00CB2DB9">
            <w:pPr>
              <w:spacing w:before="120" w:after="120"/>
              <w:jc w:val="left"/>
              <w:rPr>
                <w:snapToGrid w:val="0"/>
                <w:color w:val="000000"/>
                <w:kern w:val="22"/>
                <w:szCs w:val="22"/>
                <w:lang w:val="en-CA"/>
              </w:rPr>
            </w:pPr>
            <w:r w:rsidRPr="008A445E">
              <w:rPr>
                <w:snapToGrid w:val="0"/>
                <w:color w:val="000000"/>
                <w:kern w:val="22"/>
                <w:szCs w:val="22"/>
              </w:rPr>
              <w:t>Report on activities in the seventh national report, if appropriate during the biennium, and share relevant information through the CHM, national Bioland CHM sites and adjust as appropriate.</w:t>
            </w:r>
          </w:p>
        </w:tc>
      </w:tr>
      <w:tr w:rsidR="00DA0273" w:rsidRPr="008A445E" w14:paraId="6C6A39E1" w14:textId="77777777" w:rsidTr="00F03EE2">
        <w:trPr>
          <w:jc w:val="center"/>
        </w:trPr>
        <w:tc>
          <w:tcPr>
            <w:tcW w:w="2427" w:type="dxa"/>
          </w:tcPr>
          <w:p w14:paraId="2327A144"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By the sixth meeting of the Subsidiary Body on Implementation, to be negotiated by the Conference of the Parties at its eighteenth meeting (2028)</w:t>
            </w:r>
          </w:p>
        </w:tc>
        <w:tc>
          <w:tcPr>
            <w:tcW w:w="4015" w:type="dxa"/>
          </w:tcPr>
          <w:p w14:paraId="42626141"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In collaboration with CEPA-IAC and other relevant actors, review and report on activities and their impact, and update the communications strategy based on advice from the Conference of the Parties</w:t>
            </w:r>
          </w:p>
        </w:tc>
        <w:tc>
          <w:tcPr>
            <w:tcW w:w="2912" w:type="dxa"/>
          </w:tcPr>
          <w:p w14:paraId="5339D341"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lang w:val="en-CA"/>
              </w:rPr>
              <w:t>Endeavour, as appropriate, to integrate relevant actions from the communications strategy in their planning and reporting mechanisms.</w:t>
            </w:r>
          </w:p>
        </w:tc>
      </w:tr>
      <w:tr w:rsidR="00DA0273" w:rsidRPr="00060F33" w14:paraId="24A50FC9" w14:textId="77777777" w:rsidTr="00F03EE2">
        <w:trPr>
          <w:jc w:val="center"/>
        </w:trPr>
        <w:tc>
          <w:tcPr>
            <w:tcW w:w="2427" w:type="dxa"/>
          </w:tcPr>
          <w:p w14:paraId="423B61B4"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By the seventh meeting of the Subsidiary Body on Implementation, to be negotiated by the Conference of the Parties at its nineteenth meeting (2030)</w:t>
            </w:r>
          </w:p>
        </w:tc>
        <w:tc>
          <w:tcPr>
            <w:tcW w:w="4015" w:type="dxa"/>
          </w:tcPr>
          <w:p w14:paraId="7B1FFEB1" w14:textId="77777777" w:rsidR="00DA0273" w:rsidRPr="008A445E" w:rsidRDefault="00DA0273" w:rsidP="00CB2DB9">
            <w:pPr>
              <w:spacing w:before="120" w:after="120"/>
              <w:jc w:val="left"/>
              <w:rPr>
                <w:snapToGrid w:val="0"/>
                <w:color w:val="000000"/>
                <w:kern w:val="22"/>
                <w:szCs w:val="22"/>
              </w:rPr>
            </w:pPr>
            <w:r w:rsidRPr="008A445E">
              <w:rPr>
                <w:snapToGrid w:val="0"/>
                <w:color w:val="000000"/>
                <w:kern w:val="22"/>
                <w:szCs w:val="22"/>
              </w:rPr>
              <w:t xml:space="preserve">Create final report on activities, including any observed changes in the perception of biodiversity conservation to contribute to the second stocktaking </w:t>
            </w:r>
          </w:p>
        </w:tc>
        <w:tc>
          <w:tcPr>
            <w:tcW w:w="2912" w:type="dxa"/>
          </w:tcPr>
          <w:p w14:paraId="157AD75F" w14:textId="77777777" w:rsidR="00DA0273" w:rsidRPr="00060F33" w:rsidRDefault="00DA0273" w:rsidP="00CB2DB9">
            <w:pPr>
              <w:spacing w:before="120" w:after="120"/>
              <w:jc w:val="left"/>
              <w:rPr>
                <w:snapToGrid w:val="0"/>
                <w:color w:val="000000"/>
                <w:kern w:val="22"/>
                <w:szCs w:val="22"/>
                <w:lang w:val="en-CA"/>
              </w:rPr>
            </w:pPr>
            <w:r w:rsidRPr="008A445E">
              <w:rPr>
                <w:snapToGrid w:val="0"/>
                <w:color w:val="000000"/>
                <w:kern w:val="22"/>
                <w:szCs w:val="22"/>
                <w:lang w:val="en-CA"/>
              </w:rPr>
              <w:t>Endeavour, as appropriate, to integrate relevant actions from the communications strategy in their planning and reporting mechanisms.</w:t>
            </w:r>
          </w:p>
        </w:tc>
      </w:tr>
    </w:tbl>
    <w:p w14:paraId="6B5B554E" w14:textId="77777777" w:rsidR="00DA0273" w:rsidRPr="00060F33" w:rsidRDefault="00DA0273" w:rsidP="00CF4F84">
      <w:pPr>
        <w:keepNext/>
        <w:spacing w:before="240" w:after="120"/>
        <w:jc w:val="center"/>
        <w:rPr>
          <w:b/>
          <w:bCs/>
          <w:snapToGrid w:val="0"/>
          <w:szCs w:val="22"/>
        </w:rPr>
      </w:pPr>
      <w:bookmarkStart w:id="168" w:name="_Toc129621623"/>
      <w:r w:rsidRPr="00060F33">
        <w:rPr>
          <w:b/>
          <w:bCs/>
          <w:snapToGrid w:val="0"/>
          <w:szCs w:val="22"/>
        </w:rPr>
        <w:t>IV.</w:t>
      </w:r>
      <w:r w:rsidRPr="00060F33">
        <w:rPr>
          <w:b/>
          <w:bCs/>
          <w:snapToGrid w:val="0"/>
          <w:szCs w:val="22"/>
        </w:rPr>
        <w:tab/>
      </w:r>
      <w:r w:rsidRPr="00F03EE2">
        <w:rPr>
          <w:rFonts w:ascii="Times New Roman Bold" w:hAnsi="Times New Roman Bold"/>
          <w:b/>
          <w:bCs/>
          <w:caps/>
          <w:snapToGrid w:val="0"/>
          <w:szCs w:val="22"/>
        </w:rPr>
        <w:t>Goals</w:t>
      </w:r>
      <w:bookmarkEnd w:id="168"/>
    </w:p>
    <w:p w14:paraId="29E46F86"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Communication, education and awareness-raising efforts in the context of this strategy need to support actions throughout the whole</w:t>
      </w:r>
      <w:r>
        <w:rPr>
          <w:snapToGrid w:val="0"/>
          <w:color w:val="000000"/>
          <w:kern w:val="22"/>
          <w:szCs w:val="22"/>
        </w:rPr>
        <w:t xml:space="preserve"> </w:t>
      </w:r>
      <w:r w:rsidRPr="00060F33">
        <w:rPr>
          <w:snapToGrid w:val="0"/>
          <w:color w:val="000000"/>
          <w:kern w:val="22"/>
          <w:szCs w:val="22"/>
        </w:rPr>
        <w:t>of</w:t>
      </w:r>
      <w:r>
        <w:rPr>
          <w:snapToGrid w:val="0"/>
          <w:color w:val="000000"/>
          <w:kern w:val="22"/>
          <w:szCs w:val="22"/>
        </w:rPr>
        <w:t xml:space="preserve"> </w:t>
      </w:r>
      <w:r w:rsidRPr="00060F33">
        <w:rPr>
          <w:snapToGrid w:val="0"/>
          <w:color w:val="000000"/>
          <w:kern w:val="22"/>
          <w:szCs w:val="22"/>
        </w:rPr>
        <w:t xml:space="preserve">society towards the </w:t>
      </w:r>
      <w:r>
        <w:rPr>
          <w:snapToGrid w:val="0"/>
        </w:rPr>
        <w:t>Kunming-Montreal</w:t>
      </w:r>
      <w:r w:rsidRPr="00060F33">
        <w:rPr>
          <w:snapToGrid w:val="0"/>
        </w:rPr>
        <w:t xml:space="preserve"> </w:t>
      </w:r>
      <w:r>
        <w:rPr>
          <w:snapToGrid w:val="0"/>
        </w:rPr>
        <w:t>G</w:t>
      </w:r>
      <w:r w:rsidRPr="00060F33">
        <w:rPr>
          <w:snapToGrid w:val="0"/>
        </w:rPr>
        <w:t xml:space="preserve">lobal </w:t>
      </w:r>
      <w:r>
        <w:rPr>
          <w:snapToGrid w:val="0"/>
        </w:rPr>
        <w:t>B</w:t>
      </w:r>
      <w:r w:rsidRPr="00060F33">
        <w:rPr>
          <w:snapToGrid w:val="0"/>
        </w:rPr>
        <w:t xml:space="preserve">iodiversity </w:t>
      </w:r>
      <w:r>
        <w:rPr>
          <w:snapToGrid w:val="0"/>
        </w:rPr>
        <w:t>F</w:t>
      </w:r>
      <w:r w:rsidRPr="00060F33">
        <w:rPr>
          <w:snapToGrid w:val="0"/>
        </w:rPr>
        <w:t>ramework</w:t>
      </w:r>
      <w:r w:rsidRPr="00060F33">
        <w:rPr>
          <w:snapToGrid w:val="0"/>
          <w:color w:val="000000"/>
          <w:kern w:val="22"/>
          <w:szCs w:val="22"/>
        </w:rPr>
        <w:t>. Overall, the strateg</w:t>
      </w:r>
      <w:r w:rsidRPr="00E34509">
        <w:rPr>
          <w:snapToGrid w:val="0"/>
          <w:color w:val="000000"/>
          <w:kern w:val="22"/>
          <w:szCs w:val="22"/>
        </w:rPr>
        <w:t xml:space="preserve">y is meant to support the realization not only of the 2030 mission, but also of the 2050 Vision for </w:t>
      </w:r>
      <w:r w:rsidRPr="00F03EE2">
        <w:rPr>
          <w:snapToGrid w:val="0"/>
          <w:color w:val="000000"/>
          <w:kern w:val="22"/>
          <w:szCs w:val="22"/>
        </w:rPr>
        <w:t>b</w:t>
      </w:r>
      <w:r w:rsidRPr="00E34509">
        <w:rPr>
          <w:snapToGrid w:val="0"/>
          <w:color w:val="000000"/>
          <w:kern w:val="22"/>
          <w:szCs w:val="22"/>
        </w:rPr>
        <w:t>iodiversity.</w:t>
      </w:r>
    </w:p>
    <w:p w14:paraId="3B972798" w14:textId="77777777" w:rsidR="00DA0273" w:rsidRPr="00F03EE2"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CE31DF">
        <w:rPr>
          <w:color w:val="000000" w:themeColor="text1"/>
          <w:szCs w:val="22"/>
        </w:rPr>
        <w:t>Enhancing</w:t>
      </w:r>
      <w:r w:rsidRPr="00CE31DF">
        <w:rPr>
          <w:color w:val="000000" w:themeColor="text1"/>
          <w:kern w:val="22"/>
          <w:szCs w:val="22"/>
        </w:rPr>
        <w:t xml:space="preserve"> communication, education, and awareness on biodiversity and the uptake of the </w:t>
      </w:r>
      <w:r w:rsidRPr="00CE31DF">
        <w:rPr>
          <w:szCs w:val="22"/>
        </w:rPr>
        <w:t>Kunming-Montreal Global Biodiversity</w:t>
      </w:r>
      <w:r w:rsidRPr="00CE31DF">
        <w:rPr>
          <w:color w:val="000000" w:themeColor="text1"/>
          <w:kern w:val="22"/>
          <w:szCs w:val="22"/>
        </w:rPr>
        <w:t xml:space="preserve"> Framework by all actors is essential to achieve its effective implementation and behavioural change, and to promote sustainable lifestyles and biodiversity values, including by</w:t>
      </w:r>
      <w:r w:rsidRPr="00060F33">
        <w:rPr>
          <w:snapToGrid w:val="0"/>
          <w:kern w:val="22"/>
          <w:szCs w:val="22"/>
        </w:rPr>
        <w:t>:</w:t>
      </w:r>
    </w:p>
    <w:p w14:paraId="30D6C9BC"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(a)</w:t>
      </w:r>
      <w:r w:rsidRPr="005E3681">
        <w:rPr>
          <w:snapToGrid w:val="0"/>
          <w:color w:val="000000"/>
          <w:kern w:val="22"/>
          <w:szCs w:val="22"/>
        </w:rPr>
        <w:tab/>
      </w:r>
      <w:r w:rsidRPr="00F03EE2">
        <w:rPr>
          <w:snapToGrid w:val="0"/>
          <w:kern w:val="22"/>
          <w:szCs w:val="22"/>
        </w:rPr>
        <w:t>Increasing</w:t>
      </w:r>
      <w:r w:rsidRPr="005E3681">
        <w:rPr>
          <w:snapToGrid w:val="0"/>
          <w:color w:val="000000"/>
          <w:kern w:val="22"/>
          <w:szCs w:val="22"/>
        </w:rPr>
        <w:t xml:space="preserve"> awareness, understanding and appreciation of the knowledge systems, diverse values of biodiversity and nature’s contributions to people, including ecosystems functions and services and traditional knowledge and worldviews of indigenous peoples and local communities as well as of biodiversity’s contribution to sustainable development;</w:t>
      </w:r>
    </w:p>
    <w:p w14:paraId="3B061121"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lastRenderedPageBreak/>
        <w:t>(b)</w:t>
      </w:r>
      <w:r w:rsidRPr="005E3681">
        <w:rPr>
          <w:snapToGrid w:val="0"/>
          <w:color w:val="000000"/>
          <w:kern w:val="22"/>
          <w:szCs w:val="22"/>
        </w:rPr>
        <w:tab/>
        <w:t xml:space="preserve">Increasing </w:t>
      </w:r>
      <w:r w:rsidRPr="00F03EE2">
        <w:rPr>
          <w:snapToGrid w:val="0"/>
          <w:kern w:val="22"/>
          <w:szCs w:val="22"/>
        </w:rPr>
        <w:t>awareness</w:t>
      </w:r>
      <w:r w:rsidRPr="005E3681">
        <w:rPr>
          <w:snapToGrid w:val="0"/>
          <w:color w:val="000000"/>
          <w:kern w:val="22"/>
          <w:szCs w:val="22"/>
        </w:rPr>
        <w:t xml:space="preserve"> on the importance of conservation and sustainable use of biodiversity and of the fair and equitable sharing of the benefits arising from the utilization of genetic resources for sustainable development, including improving sustainable livelihoods and poverty eradication efforts and its overall contribution to global and/or national sustainable development strategies;</w:t>
      </w:r>
    </w:p>
    <w:p w14:paraId="72CC050A"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(c)</w:t>
      </w:r>
      <w:r w:rsidRPr="005E3681">
        <w:rPr>
          <w:snapToGrid w:val="0"/>
          <w:color w:val="000000"/>
          <w:kern w:val="22"/>
          <w:szCs w:val="22"/>
        </w:rPr>
        <w:tab/>
        <w:t xml:space="preserve">Raising </w:t>
      </w:r>
      <w:r w:rsidRPr="00F03EE2">
        <w:rPr>
          <w:snapToGrid w:val="0"/>
          <w:kern w:val="22"/>
          <w:szCs w:val="22"/>
        </w:rPr>
        <w:t>awareness</w:t>
      </w:r>
      <w:r w:rsidRPr="005E3681">
        <w:rPr>
          <w:snapToGrid w:val="0"/>
          <w:color w:val="000000"/>
          <w:kern w:val="22"/>
          <w:szCs w:val="22"/>
        </w:rPr>
        <w:t xml:space="preserve"> among all sectors and actors of the need for urgent action to implement the Framework, while enabling their active engagement in the implementation and monitoring of progress towards the achievement of its goals and targets;</w:t>
      </w:r>
    </w:p>
    <w:p w14:paraId="17EA399C"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(d)</w:t>
      </w:r>
      <w:r w:rsidRPr="005E3681">
        <w:rPr>
          <w:snapToGrid w:val="0"/>
          <w:color w:val="000000"/>
          <w:kern w:val="22"/>
          <w:szCs w:val="22"/>
        </w:rPr>
        <w:tab/>
        <w:t>Facilitating understanding of the Framework, including by targeted communication, adapting the language used, level of complexity and thematic content to relevant groups of actors, considering their socioeconomic and cultural context, including by developing material that can be translated into indigenous and local languages;</w:t>
      </w:r>
    </w:p>
    <w:p w14:paraId="0FB0DB95"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(e)</w:t>
      </w:r>
      <w:r w:rsidRPr="005E3681">
        <w:rPr>
          <w:snapToGrid w:val="0"/>
          <w:color w:val="000000"/>
          <w:kern w:val="22"/>
          <w:szCs w:val="22"/>
        </w:rPr>
        <w:tab/>
        <w:t>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biodiversity;</w:t>
      </w:r>
    </w:p>
    <w:p w14:paraId="0EE4A8AA" w14:textId="77777777" w:rsidR="00DA0273" w:rsidRPr="005E3681" w:rsidRDefault="00DA0273" w:rsidP="00F03EE2">
      <w:pPr>
        <w:pBdr>
          <w:top w:val="nil"/>
          <w:left w:val="nil"/>
          <w:bottom w:val="nil"/>
          <w:right w:val="nil"/>
          <w:between w:val="nil"/>
        </w:pBdr>
        <w:spacing w:before="120" w:after="120"/>
        <w:ind w:firstLine="720"/>
        <w:rPr>
          <w:snapToGrid w:val="0"/>
          <w:color w:val="000000"/>
          <w:kern w:val="22"/>
          <w:szCs w:val="22"/>
        </w:rPr>
      </w:pPr>
      <w:r w:rsidRPr="005E3681">
        <w:rPr>
          <w:snapToGrid w:val="0"/>
          <w:color w:val="000000"/>
          <w:kern w:val="22"/>
          <w:szCs w:val="22"/>
        </w:rPr>
        <w:t>(f)</w:t>
      </w:r>
      <w:r w:rsidRPr="005E3681">
        <w:rPr>
          <w:snapToGrid w:val="0"/>
          <w:color w:val="000000"/>
          <w:kern w:val="22"/>
          <w:szCs w:val="22"/>
        </w:rPr>
        <w:tab/>
        <w:t xml:space="preserve">Integrating </w:t>
      </w:r>
      <w:r w:rsidRPr="00F03EE2">
        <w:rPr>
          <w:snapToGrid w:val="0"/>
          <w:kern w:val="22"/>
          <w:szCs w:val="22"/>
        </w:rPr>
        <w:t>transformative</w:t>
      </w:r>
      <w:r w:rsidRPr="005E3681">
        <w:rPr>
          <w:snapToGrid w:val="0"/>
          <w:color w:val="000000"/>
          <w:kern w:val="22"/>
          <w:szCs w:val="22"/>
        </w:rPr>
        <w:t xml:space="preserve"> education on biodiversity into formal, non-formal and informal educational programmes, promoting curriculum on biodiversity conservation and sustainable use in educational institutions, and promoting knowledge, attitudes, values, behaviours and lifestyles that are consistent with living in harmony with nature;</w:t>
      </w:r>
    </w:p>
    <w:p w14:paraId="75274ACF" w14:textId="77777777" w:rsidR="00DA0273" w:rsidRPr="00F03EE2" w:rsidRDefault="00DA0273" w:rsidP="00F03EE2">
      <w:pPr>
        <w:pBdr>
          <w:top w:val="nil"/>
          <w:left w:val="nil"/>
          <w:bottom w:val="nil"/>
          <w:right w:val="nil"/>
          <w:between w:val="nil"/>
        </w:pBdr>
        <w:spacing w:before="120" w:after="120"/>
        <w:ind w:firstLine="720"/>
        <w:rPr>
          <w:snapToGrid w:val="0"/>
          <w:kern w:val="22"/>
          <w:szCs w:val="22"/>
          <w:lang w:val="en-CA"/>
        </w:rPr>
      </w:pPr>
      <w:r w:rsidRPr="005E3681">
        <w:rPr>
          <w:snapToGrid w:val="0"/>
          <w:color w:val="000000"/>
          <w:kern w:val="22"/>
          <w:szCs w:val="22"/>
        </w:rPr>
        <w:t>(g)</w:t>
      </w:r>
      <w:r w:rsidRPr="005E3681">
        <w:rPr>
          <w:snapToGrid w:val="0"/>
          <w:color w:val="000000"/>
          <w:kern w:val="22"/>
          <w:szCs w:val="22"/>
        </w:rPr>
        <w:tab/>
        <w:t xml:space="preserve">Raising awareness </w:t>
      </w:r>
      <w:r w:rsidRPr="00F03EE2">
        <w:rPr>
          <w:snapToGrid w:val="0"/>
          <w:kern w:val="22"/>
          <w:szCs w:val="22"/>
        </w:rPr>
        <w:t>on</w:t>
      </w:r>
      <w:r w:rsidRPr="005E3681">
        <w:rPr>
          <w:snapToGrid w:val="0"/>
          <w:color w:val="000000"/>
          <w:kern w:val="22"/>
          <w:szCs w:val="22"/>
        </w:rPr>
        <w:t xml:space="preserve"> the critical role of science, technology and innovation to strengthen scientific and technical capacities to monitor biodiversity, address knowledge gaps and develop innovative solutions to improve the conservation and sustainable use of biodiversity.</w:t>
      </w:r>
    </w:p>
    <w:p w14:paraId="7F6DEB38" w14:textId="77777777" w:rsidR="00DA0273" w:rsidRPr="00872BF8"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872BF8">
        <w:rPr>
          <w:snapToGrid w:val="0"/>
          <w:color w:val="000000"/>
          <w:kern w:val="22"/>
          <w:szCs w:val="22"/>
        </w:rPr>
        <w:t>Within this context, the following are the main goals of the communications strategy:</w:t>
      </w:r>
    </w:p>
    <w:p w14:paraId="36E5C5A5" w14:textId="77777777" w:rsidR="00DA0273" w:rsidRPr="00060F33" w:rsidRDefault="00DA0273" w:rsidP="00CF4F84">
      <w:pPr>
        <w:pStyle w:val="ListParagraph"/>
        <w:keepNext/>
        <w:keepLines/>
        <w:pBdr>
          <w:top w:val="nil"/>
          <w:left w:val="nil"/>
          <w:bottom w:val="nil"/>
          <w:right w:val="nil"/>
          <w:between w:val="nil"/>
        </w:pBdr>
        <w:spacing w:before="120" w:after="120"/>
        <w:ind w:left="0"/>
        <w:contextualSpacing w:val="0"/>
        <w:rPr>
          <w:b/>
          <w:bCs/>
          <w:snapToGrid w:val="0"/>
          <w:kern w:val="22"/>
          <w:szCs w:val="22"/>
        </w:rPr>
      </w:pPr>
      <w:bookmarkStart w:id="169" w:name="_Toc129621624"/>
      <w:r w:rsidRPr="00060F33">
        <w:rPr>
          <w:b/>
          <w:bCs/>
          <w:snapToGrid w:val="0"/>
          <w:kern w:val="22"/>
          <w:szCs w:val="22"/>
        </w:rPr>
        <w:t xml:space="preserve">Goal A – </w:t>
      </w:r>
      <w:r w:rsidRPr="0084069D">
        <w:rPr>
          <w:b/>
          <w:bCs/>
          <w:snapToGrid w:val="0"/>
          <w:kern w:val="22"/>
          <w:szCs w:val="22"/>
        </w:rPr>
        <w:t>Increase understanding, awareness and appreciation of the different visions and approaches to achieve sustainable development and</w:t>
      </w:r>
      <w:r w:rsidRPr="00060F33">
        <w:rPr>
          <w:b/>
          <w:bCs/>
          <w:snapToGrid w:val="0"/>
          <w:kern w:val="22"/>
          <w:szCs w:val="22"/>
        </w:rPr>
        <w:t xml:space="preserve"> the multiple values of biodiversity, including the associated systems of knowledge, values and approaches used by indigenous peoples and local communities</w:t>
      </w:r>
      <w:bookmarkEnd w:id="169"/>
      <w:r w:rsidRPr="00060F33">
        <w:rPr>
          <w:b/>
          <w:bCs/>
          <w:snapToGrid w:val="0"/>
          <w:kern w:val="22"/>
          <w:szCs w:val="22"/>
        </w:rPr>
        <w:t xml:space="preserve"> </w:t>
      </w:r>
    </w:p>
    <w:p w14:paraId="27DC1FFD" w14:textId="77777777" w:rsidR="00DA0273" w:rsidRPr="00F6510B"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This goal continues to support the work conducted under Aichi </w:t>
      </w:r>
      <w:r>
        <w:rPr>
          <w:snapToGrid w:val="0"/>
          <w:kern w:val="22"/>
          <w:szCs w:val="22"/>
        </w:rPr>
        <w:t xml:space="preserve">Biodiversity </w:t>
      </w:r>
      <w:r w:rsidRPr="00060F33">
        <w:rPr>
          <w:snapToGrid w:val="0"/>
          <w:kern w:val="22"/>
          <w:szCs w:val="22"/>
        </w:rPr>
        <w:t xml:space="preserve">Target 1 during the previous decade but has important distinctions. This goal will require some of the </w:t>
      </w:r>
      <w:r w:rsidRPr="00F6510B">
        <w:rPr>
          <w:snapToGrid w:val="0"/>
          <w:kern w:val="22"/>
          <w:szCs w:val="22"/>
        </w:rPr>
        <w:t>following activities to support its realization:</w:t>
      </w:r>
    </w:p>
    <w:p w14:paraId="42C3E69B" w14:textId="77777777" w:rsidR="00DA0273" w:rsidRPr="00060F33"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t>Recognition and awareness</w:t>
      </w:r>
      <w:r w:rsidRPr="00060F33">
        <w:rPr>
          <w:snapToGrid w:val="0"/>
          <w:kern w:val="22"/>
          <w:szCs w:val="22"/>
        </w:rPr>
        <w:noBreakHyphen/>
        <w:t xml:space="preserve">raising of different visions, approaches and knowledge systems, including those of indigenous peoples and local communities to live in harmony with nature </w:t>
      </w:r>
      <w:r w:rsidRPr="00060F33">
        <w:rPr>
          <w:snapToGrid w:val="0"/>
          <w:color w:val="000000"/>
          <w:kern w:val="22"/>
          <w:szCs w:val="22"/>
        </w:rPr>
        <w:t>and, as recognized in some cultures and countries, Mother Earth</w:t>
      </w:r>
      <w:r w:rsidRPr="00060F33">
        <w:rPr>
          <w:snapToGrid w:val="0"/>
          <w:kern w:val="22"/>
          <w:szCs w:val="22"/>
        </w:rPr>
        <w:t>;</w:t>
      </w:r>
      <w:r w:rsidRPr="00610646">
        <w:rPr>
          <w:rStyle w:val="FootnoteReference"/>
        </w:rPr>
        <w:footnoteReference w:id="144"/>
      </w:r>
    </w:p>
    <w:p w14:paraId="70729CE6" w14:textId="77777777" w:rsidR="00DA0273" w:rsidRPr="008A445E"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t xml:space="preserve">Creation of </w:t>
      </w:r>
      <w:r w:rsidRPr="008A445E">
        <w:rPr>
          <w:snapToGrid w:val="0"/>
          <w:kern w:val="22"/>
          <w:szCs w:val="22"/>
        </w:rPr>
        <w:t>awareness-raising campaigns that show the values of biodiversity;</w:t>
      </w:r>
    </w:p>
    <w:p w14:paraId="77FA2687" w14:textId="77777777" w:rsidR="00DA0273" w:rsidRPr="008A445E"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B56FDA">
        <w:rPr>
          <w:snapToGrid w:val="0"/>
          <w:kern w:val="22"/>
          <w:szCs w:val="22"/>
        </w:rPr>
        <w:t>Products and</w:t>
      </w:r>
      <w:r w:rsidRPr="008A445E">
        <w:rPr>
          <w:snapToGrid w:val="0"/>
          <w:kern w:val="22"/>
          <w:szCs w:val="22"/>
        </w:rPr>
        <w:t xml:space="preserve"> research that integrate and communicate the values of biodiversity represented in the traditional knowledge and practices of indigenous peoples and local communities;</w:t>
      </w:r>
    </w:p>
    <w:p w14:paraId="52A4F65D" w14:textId="77777777" w:rsidR="00DA0273" w:rsidRPr="00060F33"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8A445E">
        <w:rPr>
          <w:snapToGrid w:val="0"/>
          <w:kern w:val="22"/>
          <w:szCs w:val="22"/>
        </w:rPr>
        <w:t>Support to media</w:t>
      </w:r>
      <w:r w:rsidRPr="00060F33">
        <w:rPr>
          <w:snapToGrid w:val="0"/>
          <w:kern w:val="22"/>
          <w:szCs w:val="22"/>
        </w:rPr>
        <w:t xml:space="preserve"> and film projects that create multimedia stories and narratives about biodiversity and its values;</w:t>
      </w:r>
    </w:p>
    <w:p w14:paraId="1D8C283A" w14:textId="77777777" w:rsidR="00DA0273" w:rsidRPr="00060F33"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060F33">
        <w:rPr>
          <w:snapToGrid w:val="0"/>
          <w:color w:val="000000"/>
          <w:kern w:val="22"/>
          <w:szCs w:val="22"/>
        </w:rPr>
        <w:t>Development and/or distribution of education content to education institutions to help spread the values of biodiversity;</w:t>
      </w:r>
    </w:p>
    <w:p w14:paraId="24EFF5C4" w14:textId="77777777" w:rsidR="00DA0273" w:rsidRPr="00060F33"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060F33">
        <w:rPr>
          <w:snapToGrid w:val="0"/>
          <w:color w:val="000000"/>
          <w:kern w:val="22"/>
          <w:szCs w:val="22"/>
        </w:rPr>
        <w:t>Revision of education curricula to include biodiversity values and the importance of a reconnection with nature;</w:t>
      </w:r>
    </w:p>
    <w:p w14:paraId="24B418A0" w14:textId="77777777" w:rsidR="00DA0273" w:rsidRPr="00060F33" w:rsidRDefault="00DA0273" w:rsidP="00950BE4">
      <w:pPr>
        <w:pStyle w:val="ListParagraph"/>
        <w:numPr>
          <w:ilvl w:val="0"/>
          <w:numId w:val="53"/>
        </w:numPr>
        <w:pBdr>
          <w:top w:val="nil"/>
          <w:left w:val="nil"/>
          <w:bottom w:val="nil"/>
          <w:right w:val="nil"/>
          <w:between w:val="nil"/>
        </w:pBdr>
        <w:spacing w:before="120" w:after="120"/>
        <w:ind w:left="0" w:firstLine="709"/>
        <w:contextualSpacing w:val="0"/>
        <w:rPr>
          <w:snapToGrid w:val="0"/>
          <w:kern w:val="22"/>
          <w:szCs w:val="22"/>
        </w:rPr>
      </w:pPr>
      <w:r w:rsidRPr="00060F33">
        <w:rPr>
          <w:snapToGrid w:val="0"/>
          <w:kern w:val="22"/>
          <w:szCs w:val="22"/>
        </w:rPr>
        <w:lastRenderedPageBreak/>
        <w:t xml:space="preserve">Promotion of reconnection with nature through </w:t>
      </w:r>
      <w:r w:rsidRPr="008A445E">
        <w:rPr>
          <w:snapToGrid w:val="0"/>
          <w:kern w:val="22"/>
          <w:szCs w:val="22"/>
        </w:rPr>
        <w:t>formal and informal education, in line with Sustainable Development Goals 4.7 and 12.8 to promote sustainable lifestyles and ensure that people have the relevant information and awareness for sustainable development and lifestyles in harmony</w:t>
      </w:r>
      <w:r w:rsidRPr="00060F33">
        <w:rPr>
          <w:snapToGrid w:val="0"/>
          <w:kern w:val="22"/>
          <w:szCs w:val="22"/>
        </w:rPr>
        <w:t xml:space="preserve"> with nature.</w:t>
      </w:r>
    </w:p>
    <w:p w14:paraId="2C218359" w14:textId="77777777" w:rsidR="00DA0273" w:rsidRPr="00060F33" w:rsidRDefault="00DA0273" w:rsidP="00001405">
      <w:pPr>
        <w:pStyle w:val="ListParagraph"/>
        <w:keepNext/>
        <w:pBdr>
          <w:top w:val="nil"/>
          <w:left w:val="nil"/>
          <w:bottom w:val="nil"/>
          <w:right w:val="nil"/>
          <w:between w:val="nil"/>
        </w:pBdr>
        <w:spacing w:before="120" w:after="120"/>
        <w:ind w:left="0"/>
        <w:contextualSpacing w:val="0"/>
        <w:jc w:val="left"/>
        <w:rPr>
          <w:b/>
          <w:bCs/>
          <w:snapToGrid w:val="0"/>
          <w:kern w:val="22"/>
          <w:szCs w:val="22"/>
        </w:rPr>
      </w:pPr>
      <w:bookmarkStart w:id="170" w:name="_Toc129621625"/>
      <w:r w:rsidRPr="00060F33">
        <w:rPr>
          <w:b/>
          <w:bCs/>
          <w:snapToGrid w:val="0"/>
          <w:kern w:val="22"/>
          <w:szCs w:val="22"/>
        </w:rPr>
        <w:t xml:space="preserve">Goal B – Raise awareness among all actors of the existence of the goals and targets of the </w:t>
      </w:r>
      <w:r>
        <w:rPr>
          <w:b/>
          <w:bCs/>
          <w:snapToGrid w:val="0"/>
          <w:kern w:val="22"/>
          <w:szCs w:val="22"/>
        </w:rPr>
        <w:t>Kunming-Montreal</w:t>
      </w:r>
      <w:r w:rsidRPr="00060F33">
        <w:rPr>
          <w:b/>
          <w:bCs/>
          <w:snapToGrid w:val="0"/>
          <w:kern w:val="22"/>
          <w:szCs w:val="22"/>
        </w:rPr>
        <w:t xml:space="preserve"> </w:t>
      </w:r>
      <w:r>
        <w:rPr>
          <w:b/>
          <w:bCs/>
          <w:snapToGrid w:val="0"/>
          <w:kern w:val="22"/>
          <w:szCs w:val="22"/>
        </w:rPr>
        <w:t>G</w:t>
      </w:r>
      <w:r w:rsidRPr="00060F33">
        <w:rPr>
          <w:b/>
          <w:bCs/>
          <w:snapToGrid w:val="0"/>
          <w:kern w:val="22"/>
          <w:szCs w:val="22"/>
        </w:rPr>
        <w:t xml:space="preserve">lobal </w:t>
      </w:r>
      <w:r>
        <w:rPr>
          <w:b/>
          <w:bCs/>
          <w:snapToGrid w:val="0"/>
          <w:kern w:val="22"/>
          <w:szCs w:val="22"/>
        </w:rPr>
        <w:t>B</w:t>
      </w:r>
      <w:r w:rsidRPr="00060F33">
        <w:rPr>
          <w:b/>
          <w:bCs/>
          <w:snapToGrid w:val="0"/>
          <w:kern w:val="22"/>
          <w:szCs w:val="22"/>
        </w:rPr>
        <w:t xml:space="preserve">iodiversity </w:t>
      </w:r>
      <w:r>
        <w:rPr>
          <w:b/>
          <w:bCs/>
          <w:snapToGrid w:val="0"/>
          <w:kern w:val="22"/>
          <w:szCs w:val="22"/>
        </w:rPr>
        <w:t>F</w:t>
      </w:r>
      <w:r w:rsidRPr="00060F33">
        <w:rPr>
          <w:b/>
          <w:bCs/>
          <w:snapToGrid w:val="0"/>
          <w:kern w:val="22"/>
          <w:szCs w:val="22"/>
        </w:rPr>
        <w:t>ramework and progress made towards their achievement</w:t>
      </w:r>
      <w:bookmarkEnd w:id="170"/>
    </w:p>
    <w:p w14:paraId="1CB8C347" w14:textId="77777777" w:rsidR="00DA0273" w:rsidRPr="00CB6C6B"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color w:val="000000"/>
          <w:kern w:val="22"/>
          <w:szCs w:val="22"/>
        </w:rPr>
        <w:t xml:space="preserve">Awareness-raising needs to be linked to transformations of intentions and actions. The goal mandates a broad range of communications actions to support </w:t>
      </w:r>
      <w:r>
        <w:rPr>
          <w:bCs/>
          <w:snapToGrid w:val="0"/>
          <w:color w:val="000000"/>
          <w:kern w:val="22"/>
          <w:szCs w:val="22"/>
        </w:rPr>
        <w:t xml:space="preserve">the </w:t>
      </w:r>
      <w:r w:rsidRPr="00060F33">
        <w:rPr>
          <w:bCs/>
          <w:snapToGrid w:val="0"/>
          <w:color w:val="000000"/>
          <w:kern w:val="22"/>
          <w:szCs w:val="22"/>
        </w:rPr>
        <w:t xml:space="preserve">visibility of the </w:t>
      </w:r>
      <w:r>
        <w:rPr>
          <w:snapToGrid w:val="0"/>
          <w:color w:val="000000"/>
          <w:kern w:val="22"/>
          <w:szCs w:val="22"/>
        </w:rPr>
        <w:t>Framework</w:t>
      </w:r>
      <w:r w:rsidRPr="00060F33">
        <w:rPr>
          <w:bCs/>
          <w:snapToGrid w:val="0"/>
          <w:color w:val="000000"/>
          <w:kern w:val="22"/>
          <w:szCs w:val="22"/>
        </w:rPr>
        <w:t xml:space="preserve"> at all levels, and its relevance to all stakeholders. It also supports ongoing efforts to show progress, and to highlight implementation that provides inspiration for further action towards </w:t>
      </w:r>
      <w:r w:rsidRPr="00CB6C6B">
        <w:rPr>
          <w:bCs/>
          <w:snapToGrid w:val="0"/>
          <w:color w:val="000000"/>
          <w:kern w:val="22"/>
          <w:szCs w:val="22"/>
        </w:rPr>
        <w:t xml:space="preserve">the 2050 Vision for </w:t>
      </w:r>
      <w:r w:rsidRPr="00F03EE2">
        <w:rPr>
          <w:bCs/>
          <w:snapToGrid w:val="0"/>
          <w:color w:val="000000"/>
          <w:kern w:val="22"/>
          <w:szCs w:val="22"/>
        </w:rPr>
        <w:t>b</w:t>
      </w:r>
      <w:r w:rsidRPr="00CB6C6B">
        <w:rPr>
          <w:bCs/>
          <w:snapToGrid w:val="0"/>
          <w:color w:val="000000"/>
          <w:kern w:val="22"/>
          <w:szCs w:val="22"/>
        </w:rPr>
        <w:t>iodiversity.</w:t>
      </w:r>
    </w:p>
    <w:p w14:paraId="77283B61"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 xml:space="preserve">Communications also need to promote additional actions related to those goals and targets of the </w:t>
      </w:r>
      <w:r>
        <w:rPr>
          <w:snapToGrid w:val="0"/>
          <w:color w:val="000000"/>
          <w:kern w:val="22"/>
          <w:szCs w:val="22"/>
        </w:rPr>
        <w:t>F</w:t>
      </w:r>
      <w:r w:rsidRPr="00060F33">
        <w:rPr>
          <w:snapToGrid w:val="0"/>
          <w:color w:val="000000"/>
          <w:kern w:val="22"/>
          <w:szCs w:val="22"/>
        </w:rPr>
        <w:t xml:space="preserve">ramework where there has not been sufficient progress. </w:t>
      </w:r>
      <w:r w:rsidRPr="00060F33">
        <w:rPr>
          <w:snapToGrid w:val="0"/>
          <w:kern w:val="22"/>
          <w:szCs w:val="22"/>
        </w:rPr>
        <w:t>Communications should promote positive results-driven action by supporting efforts in a positive way, offering cautions as to the consequences of failure, or demonstrating ways in which action in other domains can be emulated to produce progress towards the mission</w:t>
      </w:r>
      <w:r w:rsidRPr="00060F33">
        <w:rPr>
          <w:snapToGrid w:val="0"/>
          <w:color w:val="000000"/>
          <w:kern w:val="22"/>
          <w:szCs w:val="22"/>
        </w:rPr>
        <w:t>.</w:t>
      </w:r>
    </w:p>
    <w:p w14:paraId="5D7AE81B" w14:textId="77777777" w:rsidR="00DA0273" w:rsidRPr="00060F33" w:rsidRDefault="00DA0273" w:rsidP="00001405">
      <w:pPr>
        <w:pStyle w:val="ListParagraph"/>
        <w:keepNext/>
        <w:pBdr>
          <w:top w:val="nil"/>
          <w:left w:val="nil"/>
          <w:bottom w:val="nil"/>
          <w:right w:val="nil"/>
          <w:between w:val="nil"/>
        </w:pBdr>
        <w:spacing w:before="120" w:after="120"/>
        <w:ind w:left="0"/>
        <w:contextualSpacing w:val="0"/>
        <w:rPr>
          <w:b/>
          <w:bCs/>
          <w:snapToGrid w:val="0"/>
          <w:kern w:val="22"/>
          <w:szCs w:val="22"/>
        </w:rPr>
      </w:pPr>
      <w:bookmarkStart w:id="171" w:name="_Toc129621626"/>
      <w:r w:rsidRPr="00060F33">
        <w:rPr>
          <w:b/>
          <w:bCs/>
          <w:snapToGrid w:val="0"/>
          <w:kern w:val="22"/>
          <w:szCs w:val="22"/>
        </w:rPr>
        <w:t xml:space="preserve">Goal C </w:t>
      </w:r>
      <w:r w:rsidRPr="008C599C">
        <w:rPr>
          <w:b/>
          <w:bCs/>
          <w:snapToGrid w:val="0"/>
          <w:kern w:val="22"/>
          <w:szCs w:val="22"/>
        </w:rPr>
        <w:t xml:space="preserve">– </w:t>
      </w:r>
      <w:r w:rsidRPr="007E0905">
        <w:rPr>
          <w:b/>
          <w:bCs/>
          <w:snapToGrid w:val="0"/>
          <w:kern w:val="22"/>
          <w:szCs w:val="22"/>
        </w:rPr>
        <w:t>Develop and promote</w:t>
      </w:r>
      <w:r w:rsidRPr="008C599C">
        <w:rPr>
          <w:b/>
          <w:bCs/>
          <w:snapToGrid w:val="0"/>
          <w:kern w:val="22"/>
          <w:szCs w:val="22"/>
        </w:rPr>
        <w:t xml:space="preserve"> platforms</w:t>
      </w:r>
      <w:r w:rsidRPr="00060F33">
        <w:rPr>
          <w:b/>
          <w:bCs/>
          <w:snapToGrid w:val="0"/>
          <w:kern w:val="22"/>
          <w:szCs w:val="22"/>
        </w:rPr>
        <w:t xml:space="preserve"> and partnerships, including with media, educators and civil society, to share information on successes, lessons learned and experiences in acting for biodiversity</w:t>
      </w:r>
      <w:bookmarkEnd w:id="171"/>
    </w:p>
    <w:p w14:paraId="4F2734FD"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Data on these should be made available in a format that can be easily accessed by media and educators, both traditional and online, and then processed for media articles and educational resources. Partnerships with media outlets and educators that are experts in this regard are important ways forward. Data sources and the rationale for all indicators should be easily available and explained in both technical and non-technical ways and linked to the monitoring framework.</w:t>
      </w:r>
    </w:p>
    <w:p w14:paraId="2E28BE4E"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Communications related to the monitoring element should</w:t>
      </w:r>
      <w:r>
        <w:rPr>
          <w:snapToGrid w:val="0"/>
          <w:kern w:val="22"/>
          <w:szCs w:val="22"/>
        </w:rPr>
        <w:t xml:space="preserve"> be aligned with national reporting periods.</w:t>
      </w:r>
      <w:r w:rsidRPr="00060F33">
        <w:rPr>
          <w:snapToGrid w:val="0"/>
          <w:kern w:val="22"/>
          <w:szCs w:val="22"/>
        </w:rPr>
        <w:t xml:space="preserve"> </w:t>
      </w:r>
    </w:p>
    <w:p w14:paraId="6C197B7E"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Other actors should be encouraged to publish reports that support lessons learned or successes, where appropriate in coordination with the Executive Secretary. </w:t>
      </w:r>
    </w:p>
    <w:p w14:paraId="28A383B7"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Joint communication actions with the Harmony with Mother Earth Interactive Dialogue of the General Assembly of the United Nations may be sought to enhance the outreach and visibility of the </w:t>
      </w:r>
      <w:r>
        <w:rPr>
          <w:snapToGrid w:val="0"/>
          <w:kern w:val="22"/>
          <w:szCs w:val="22"/>
        </w:rPr>
        <w:t>Kunming-Montreal</w:t>
      </w:r>
      <w:r w:rsidRPr="00060F33">
        <w:rPr>
          <w:snapToGrid w:val="0"/>
          <w:kern w:val="22"/>
          <w:szCs w:val="22"/>
        </w:rPr>
        <w:t xml:space="preserve"> </w:t>
      </w:r>
      <w:r>
        <w:rPr>
          <w:snapToGrid w:val="0"/>
          <w:kern w:val="22"/>
          <w:szCs w:val="22"/>
        </w:rPr>
        <w:t>G</w:t>
      </w:r>
      <w:r w:rsidRPr="00060F33">
        <w:rPr>
          <w:snapToGrid w:val="0"/>
          <w:kern w:val="22"/>
          <w:szCs w:val="22"/>
        </w:rPr>
        <w:t xml:space="preserve">lobal </w:t>
      </w:r>
      <w:r>
        <w:rPr>
          <w:snapToGrid w:val="0"/>
          <w:kern w:val="22"/>
          <w:szCs w:val="22"/>
        </w:rPr>
        <w:t>B</w:t>
      </w:r>
      <w:r w:rsidRPr="00060F33">
        <w:rPr>
          <w:snapToGrid w:val="0"/>
          <w:kern w:val="22"/>
          <w:szCs w:val="22"/>
        </w:rPr>
        <w:t xml:space="preserve">iodiversity </w:t>
      </w:r>
      <w:r>
        <w:rPr>
          <w:snapToGrid w:val="0"/>
          <w:kern w:val="22"/>
          <w:szCs w:val="22"/>
        </w:rPr>
        <w:t>F</w:t>
      </w:r>
      <w:r w:rsidRPr="00060F33">
        <w:rPr>
          <w:snapToGrid w:val="0"/>
          <w:kern w:val="22"/>
          <w:szCs w:val="22"/>
        </w:rPr>
        <w:t>ramework.</w:t>
      </w:r>
    </w:p>
    <w:p w14:paraId="2400CF89"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Collaboration is needed to promote and develop ways to integrate biodiversity into the education system in order to equip and empower learners with the knowledge, skills, values and attitudes to act for biodiversity and the </w:t>
      </w:r>
      <w:r w:rsidRPr="00F324F1">
        <w:rPr>
          <w:snapToGrid w:val="0"/>
          <w:kern w:val="22"/>
          <w:szCs w:val="22"/>
        </w:rPr>
        <w:t>planet, building on synergies with Sustainable Development Goals 4.7 and 12.8. This can be done by creating and promoting “learning ecosystems” connecting families, schools, community actors, public</w:t>
      </w:r>
      <w:r w:rsidRPr="00F03EE2">
        <w:rPr>
          <w:snapToGrid w:val="0"/>
          <w:kern w:val="22"/>
          <w:szCs w:val="22"/>
        </w:rPr>
        <w:t>-facing</w:t>
      </w:r>
      <w:r w:rsidRPr="00F324F1">
        <w:rPr>
          <w:snapToGrid w:val="0"/>
          <w:kern w:val="22"/>
          <w:szCs w:val="22"/>
        </w:rPr>
        <w:t xml:space="preserve"> institutions </w:t>
      </w:r>
      <w:r w:rsidRPr="00F03EE2">
        <w:rPr>
          <w:snapToGrid w:val="0"/>
          <w:kern w:val="22"/>
          <w:szCs w:val="22"/>
        </w:rPr>
        <w:t xml:space="preserve">such </w:t>
      </w:r>
      <w:r w:rsidRPr="00F324F1">
        <w:rPr>
          <w:snapToGrid w:val="0"/>
          <w:kern w:val="22"/>
          <w:szCs w:val="22"/>
        </w:rPr>
        <w:t>as zoos, aquariums</w:t>
      </w:r>
      <w:r w:rsidRPr="00FD2C6B">
        <w:rPr>
          <w:snapToGrid w:val="0"/>
          <w:kern w:val="22"/>
          <w:szCs w:val="22"/>
        </w:rPr>
        <w:t xml:space="preserve">, museums, botanical gardens and libraries, and businesses and </w:t>
      </w:r>
      <w:r w:rsidRPr="00FD2C6B">
        <w:rPr>
          <w:snapToGrid w:val="0"/>
          <w:color w:val="000000"/>
          <w:kern w:val="22"/>
          <w:szCs w:val="22"/>
        </w:rPr>
        <w:t>non-governmental organizations (</w:t>
      </w:r>
      <w:r w:rsidRPr="00FD2C6B">
        <w:rPr>
          <w:snapToGrid w:val="0"/>
          <w:kern w:val="22"/>
          <w:szCs w:val="22"/>
        </w:rPr>
        <w:t>NGO</w:t>
      </w:r>
      <w:r w:rsidRPr="00060F33">
        <w:rPr>
          <w:snapToGrid w:val="0"/>
          <w:kern w:val="22"/>
          <w:szCs w:val="22"/>
        </w:rPr>
        <w:t>s), which allow for direct translation of biodiversity awareness and knowledge into action on the ground.</w:t>
      </w:r>
    </w:p>
    <w:p w14:paraId="4E267C42" w14:textId="77777777" w:rsidR="00DA0273" w:rsidRPr="008C4F4C"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It is also possible to promote personal and societal transformative action in </w:t>
      </w:r>
      <w:r w:rsidRPr="008C4F4C">
        <w:rPr>
          <w:snapToGrid w:val="0"/>
          <w:kern w:val="22"/>
          <w:szCs w:val="22"/>
        </w:rPr>
        <w:t>learners of all ages by providing them with the tools to design new sustainable systems and ways of living. Educational work needs to be coordinated with the United Nations Educational, Scientific and Cultural Organization (UNESCO), to assist in engagement with educators in formal, informal and non-formal settings.</w:t>
      </w:r>
    </w:p>
    <w:p w14:paraId="3579C060" w14:textId="77777777" w:rsidR="00DA0273" w:rsidRPr="00060F33" w:rsidRDefault="00DA0273" w:rsidP="00001405">
      <w:pPr>
        <w:pStyle w:val="ListParagraph"/>
        <w:keepNext/>
        <w:pBdr>
          <w:top w:val="nil"/>
          <w:left w:val="nil"/>
          <w:bottom w:val="nil"/>
          <w:right w:val="nil"/>
          <w:between w:val="nil"/>
        </w:pBdr>
        <w:spacing w:before="120" w:after="120"/>
        <w:ind w:left="0"/>
        <w:contextualSpacing w:val="0"/>
        <w:rPr>
          <w:b/>
          <w:bCs/>
          <w:snapToGrid w:val="0"/>
          <w:kern w:val="22"/>
          <w:szCs w:val="22"/>
        </w:rPr>
      </w:pPr>
      <w:bookmarkStart w:id="172" w:name="_Toc129621627"/>
      <w:r w:rsidRPr="00060F33">
        <w:rPr>
          <w:b/>
          <w:bCs/>
          <w:snapToGrid w:val="0"/>
          <w:kern w:val="22"/>
          <w:szCs w:val="22"/>
        </w:rPr>
        <w:t xml:space="preserve">Goal D – Demonstrate the relevance of the </w:t>
      </w:r>
      <w:r w:rsidRPr="00F01FD4">
        <w:rPr>
          <w:b/>
          <w:bCs/>
          <w:snapToGrid w:val="0"/>
          <w:kern w:val="22"/>
          <w:szCs w:val="22"/>
        </w:rPr>
        <w:t>Kunming-Montreal Global Biodiversity Framework</w:t>
      </w:r>
      <w:r w:rsidRPr="00F01FD4" w:rsidDel="00F01FD4">
        <w:rPr>
          <w:b/>
          <w:bCs/>
          <w:snapToGrid w:val="0"/>
          <w:kern w:val="22"/>
          <w:szCs w:val="22"/>
        </w:rPr>
        <w:t xml:space="preserve"> </w:t>
      </w:r>
      <w:r w:rsidRPr="00060F33">
        <w:rPr>
          <w:b/>
          <w:bCs/>
          <w:snapToGrid w:val="0"/>
          <w:kern w:val="22"/>
          <w:szCs w:val="22"/>
        </w:rPr>
        <w:t>to poverty eradication, climate change, land degradation, human health, human rights, equity and sustainable development</w:t>
      </w:r>
      <w:bookmarkEnd w:id="172"/>
    </w:p>
    <w:p w14:paraId="1AD5F8E5"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Communication efforts will show the interlinkages between biodiversity and a variety of key issues:</w:t>
      </w:r>
    </w:p>
    <w:p w14:paraId="1DBA30C0"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 xml:space="preserve">The Sustainable Development Goals. The close linkage of the Convention and its </w:t>
      </w:r>
      <w:r>
        <w:rPr>
          <w:snapToGrid w:val="0"/>
          <w:kern w:val="22"/>
          <w:szCs w:val="22"/>
        </w:rPr>
        <w:t>Kunming-Montreal</w:t>
      </w:r>
      <w:r w:rsidRPr="00060F33">
        <w:rPr>
          <w:snapToGrid w:val="0"/>
          <w:kern w:val="22"/>
          <w:szCs w:val="22"/>
        </w:rPr>
        <w:t xml:space="preserve"> </w:t>
      </w:r>
      <w:r>
        <w:rPr>
          <w:snapToGrid w:val="0"/>
          <w:kern w:val="22"/>
          <w:szCs w:val="22"/>
        </w:rPr>
        <w:t>G</w:t>
      </w:r>
      <w:r w:rsidRPr="00060F33">
        <w:rPr>
          <w:snapToGrid w:val="0"/>
          <w:kern w:val="22"/>
          <w:szCs w:val="22"/>
        </w:rPr>
        <w:t xml:space="preserve">lobal </w:t>
      </w:r>
      <w:r>
        <w:rPr>
          <w:snapToGrid w:val="0"/>
          <w:kern w:val="22"/>
          <w:szCs w:val="22"/>
        </w:rPr>
        <w:t>B</w:t>
      </w:r>
      <w:r w:rsidRPr="00060F33">
        <w:rPr>
          <w:snapToGrid w:val="0"/>
          <w:kern w:val="22"/>
          <w:szCs w:val="22"/>
        </w:rPr>
        <w:t xml:space="preserve">iodiversity </w:t>
      </w:r>
      <w:r>
        <w:rPr>
          <w:snapToGrid w:val="0"/>
          <w:kern w:val="22"/>
          <w:szCs w:val="22"/>
        </w:rPr>
        <w:t>F</w:t>
      </w:r>
      <w:r w:rsidRPr="00060F33">
        <w:rPr>
          <w:snapToGrid w:val="0"/>
          <w:kern w:val="22"/>
          <w:szCs w:val="22"/>
        </w:rPr>
        <w:t>ramework</w:t>
      </w:r>
      <w:r w:rsidRPr="00060F33">
        <w:rPr>
          <w:snapToGrid w:val="0"/>
          <w:color w:val="000000"/>
          <w:kern w:val="22"/>
          <w:szCs w:val="22"/>
        </w:rPr>
        <w:t xml:space="preserve"> with the goals of the 2030 Agenda for Sustainable </w:t>
      </w:r>
      <w:r w:rsidRPr="00060F33">
        <w:rPr>
          <w:snapToGrid w:val="0"/>
          <w:color w:val="000000"/>
          <w:kern w:val="22"/>
          <w:szCs w:val="22"/>
        </w:rPr>
        <w:lastRenderedPageBreak/>
        <w:t>Development</w:t>
      </w:r>
      <w:r w:rsidRPr="00610646">
        <w:rPr>
          <w:rStyle w:val="FootnoteReference"/>
        </w:rPr>
        <w:footnoteReference w:id="145"/>
      </w:r>
      <w:r w:rsidRPr="00060F33">
        <w:rPr>
          <w:snapToGrid w:val="0"/>
          <w:color w:val="000000"/>
          <w:kern w:val="22"/>
          <w:szCs w:val="22"/>
        </w:rPr>
        <w:t xml:space="preserve"> will be an important point for realizing synergy in messaging. The close alignment of these two agendas will make this a more straightforward effort, highlighting the importance of sustainable use and of access and benefit-sharing for poverty eradication efforts;</w:t>
      </w:r>
    </w:p>
    <w:p w14:paraId="0AECFB23" w14:textId="77777777" w:rsidR="00DA0273" w:rsidRPr="00A03DB9"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It will be important to develop messaging on the relationship between climate change and biodiversity and the synergies between the </w:t>
      </w:r>
      <w:r w:rsidRPr="00B0164C">
        <w:rPr>
          <w:snapToGrid w:val="0"/>
          <w:color w:val="000000"/>
          <w:kern w:val="22"/>
          <w:szCs w:val="22"/>
        </w:rPr>
        <w:t>Kunming-Montreal Global Biodiversity Framework</w:t>
      </w:r>
      <w:r w:rsidRPr="00B0164C" w:rsidDel="00B0164C">
        <w:rPr>
          <w:snapToGrid w:val="0"/>
          <w:color w:val="000000"/>
          <w:kern w:val="22"/>
          <w:szCs w:val="22"/>
        </w:rPr>
        <w:t xml:space="preserve"> </w:t>
      </w:r>
      <w:r w:rsidRPr="00060F33">
        <w:rPr>
          <w:snapToGrid w:val="0"/>
          <w:color w:val="000000"/>
          <w:kern w:val="22"/>
          <w:szCs w:val="22"/>
        </w:rPr>
        <w:t xml:space="preserve">and the commitments adopted under the United Nations Framework Convention on Climate Change, its Kyoto Protocol and the Paris Agreement, in line with </w:t>
      </w:r>
      <w:r w:rsidRPr="00E61DA0">
        <w:rPr>
          <w:snapToGrid w:val="0"/>
          <w:color w:val="000000"/>
          <w:kern w:val="22"/>
          <w:szCs w:val="22"/>
        </w:rPr>
        <w:t xml:space="preserve">their respective mandates. The messaging may also include ecosystem-based approaches to climate change and collective action, </w:t>
      </w:r>
      <w:r w:rsidRPr="00A03DB9">
        <w:rPr>
          <w:snapToGrid w:val="0"/>
          <w:color w:val="000000"/>
          <w:kern w:val="22"/>
          <w:szCs w:val="22"/>
        </w:rPr>
        <w:t>including those by indigenous peoples and local communities;</w:t>
      </w:r>
    </w:p>
    <w:p w14:paraId="406B28D5"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A03DB9">
        <w:rPr>
          <w:snapToGrid w:val="0"/>
          <w:color w:val="000000"/>
          <w:kern w:val="22"/>
          <w:szCs w:val="22"/>
        </w:rPr>
        <w:t>(c)</w:t>
      </w:r>
      <w:r w:rsidRPr="00A03DB9">
        <w:rPr>
          <w:snapToGrid w:val="0"/>
          <w:color w:val="000000"/>
          <w:kern w:val="22"/>
          <w:szCs w:val="22"/>
        </w:rPr>
        <w:tab/>
        <w:t>Similarly, the strategy will need to show how the work</w:t>
      </w:r>
      <w:r w:rsidRPr="00060F33">
        <w:rPr>
          <w:snapToGrid w:val="0"/>
          <w:color w:val="000000"/>
          <w:kern w:val="22"/>
          <w:szCs w:val="22"/>
        </w:rPr>
        <w:t xml:space="preserve"> under the </w:t>
      </w:r>
      <w:r w:rsidRPr="00B0164C">
        <w:rPr>
          <w:snapToGrid w:val="0"/>
          <w:color w:val="000000"/>
          <w:kern w:val="22"/>
          <w:szCs w:val="22"/>
        </w:rPr>
        <w:t>Kunming-Montreal Global Biodiversity Framework</w:t>
      </w:r>
      <w:r w:rsidRPr="00060F33">
        <w:rPr>
          <w:snapToGrid w:val="0"/>
          <w:color w:val="000000"/>
          <w:kern w:val="22"/>
          <w:szCs w:val="22"/>
        </w:rPr>
        <w:t xml:space="preserve"> contributes to the United Nations Convention to Combat Desertification. Links with land degradation neutrality as well as the goals of the United Nations Decade on Ecosystem Restoration will be highlighted.</w:t>
      </w:r>
    </w:p>
    <w:p w14:paraId="6A0A5947" w14:textId="77777777" w:rsidR="00DA0273" w:rsidRPr="007C2466"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The importance of marine and coastal areas will also need to be captured, including synergy with the United Nations Decade of Ocean Science for Sustainable Development</w:t>
      </w:r>
      <w:r w:rsidRPr="00610646">
        <w:rPr>
          <w:rStyle w:val="FootnoteReference"/>
        </w:rPr>
        <w:footnoteReference w:id="146"/>
      </w:r>
      <w:r w:rsidRPr="00060F33">
        <w:rPr>
          <w:snapToGrid w:val="0"/>
          <w:color w:val="000000"/>
          <w:kern w:val="22"/>
          <w:szCs w:val="22"/>
        </w:rPr>
        <w:t xml:space="preserve"> and the United Nations Convention on the Law of the Sea, for the conservation and sustainable </w:t>
      </w:r>
      <w:r w:rsidRPr="007C2466">
        <w:rPr>
          <w:snapToGrid w:val="0"/>
          <w:color w:val="000000"/>
          <w:kern w:val="22"/>
          <w:szCs w:val="22"/>
        </w:rPr>
        <w:t>use of marine biological diversity of areas beyond national jurisdiction.</w:t>
      </w:r>
    </w:p>
    <w:p w14:paraId="2A0FFA3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Human health and biodiversity also represent a key area in which the contribution of implementation of the framework needs to be highlighted, taking into account health-biodiversity linkages, including the contribution of the One Health approach and other holistic approaches. </w:t>
      </w:r>
    </w:p>
    <w:p w14:paraId="41FE1E3D" w14:textId="77777777" w:rsidR="00DA0273" w:rsidRPr="001E0287"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1E0287">
        <w:rPr>
          <w:snapToGrid w:val="0"/>
          <w:color w:val="000000"/>
          <w:kern w:val="22"/>
          <w:szCs w:val="22"/>
        </w:rPr>
        <w:t>Human rights and biodiversity is another area for messaging, including by drawing upon elements in r</w:t>
      </w:r>
      <w:r w:rsidRPr="001E0287">
        <w:t>esolution 76/300, adopted by the United Nations General Assembly, on the human right to a clean, healthy and sustainable environment</w:t>
      </w:r>
      <w:r w:rsidRPr="001E0287">
        <w:rPr>
          <w:snapToGrid w:val="0"/>
          <w:color w:val="000000"/>
          <w:kern w:val="22"/>
          <w:szCs w:val="22"/>
        </w:rPr>
        <w:t>.</w:t>
      </w:r>
    </w:p>
    <w:p w14:paraId="4CDAEE57" w14:textId="77777777" w:rsidR="00DA0273" w:rsidRPr="00060F33" w:rsidRDefault="00DA0273" w:rsidP="005C2995">
      <w:pPr>
        <w:keepNext/>
        <w:spacing w:before="120" w:after="120"/>
        <w:ind w:left="142"/>
        <w:jc w:val="center"/>
        <w:rPr>
          <w:b/>
          <w:bCs/>
          <w:caps/>
          <w:snapToGrid w:val="0"/>
          <w:szCs w:val="22"/>
        </w:rPr>
      </w:pPr>
      <w:bookmarkStart w:id="173" w:name="_Toc129621628"/>
      <w:r w:rsidRPr="00060F33">
        <w:rPr>
          <w:b/>
          <w:bCs/>
          <w:caps/>
          <w:snapToGrid w:val="0"/>
          <w:szCs w:val="22"/>
        </w:rPr>
        <w:t>V.</w:t>
      </w:r>
      <w:r w:rsidRPr="00060F33">
        <w:rPr>
          <w:b/>
          <w:bCs/>
          <w:caps/>
          <w:snapToGrid w:val="0"/>
          <w:szCs w:val="22"/>
        </w:rPr>
        <w:tab/>
        <w:t>Audiences</w:t>
      </w:r>
      <w:bookmarkEnd w:id="173"/>
    </w:p>
    <w:p w14:paraId="05F653D4"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Given the global audience for the Convention, it is important to identify audience segments and to link communications with each of these to the different goals of the strategy and design messages accordingly, taking into account cultural differences in terms of tone and visuals. For the audience groups below, it is important to note that they will be both audiences receiving messages and groups that transform and/or transmit messages to other subsidiary target groups.</w:t>
      </w:r>
    </w:p>
    <w:p w14:paraId="55FAA5C9"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Note that some of these audiences are multipliers of the messages and will need to adapt the strategy to their needs. Other audiences are the objects of communications activities.</w:t>
      </w:r>
    </w:p>
    <w:p w14:paraId="0BB6EB96" w14:textId="77777777" w:rsidR="00DA0273" w:rsidRPr="00060F33" w:rsidRDefault="00DA0273" w:rsidP="005C2995">
      <w:pPr>
        <w:spacing w:before="120" w:after="120"/>
        <w:ind w:left="1122" w:right="289" w:hanging="561"/>
        <w:rPr>
          <w:b/>
          <w:bCs/>
          <w:snapToGrid w:val="0"/>
          <w:szCs w:val="22"/>
        </w:rPr>
      </w:pPr>
      <w:bookmarkStart w:id="174" w:name="_Toc129621629"/>
      <w:r w:rsidRPr="00060F33">
        <w:rPr>
          <w:b/>
          <w:bCs/>
          <w:snapToGrid w:val="0"/>
          <w:szCs w:val="22"/>
        </w:rPr>
        <w:t>A.</w:t>
      </w:r>
      <w:r w:rsidRPr="00060F33">
        <w:rPr>
          <w:b/>
          <w:bCs/>
          <w:snapToGrid w:val="0"/>
          <w:szCs w:val="22"/>
        </w:rPr>
        <w:tab/>
        <w:t>Parties to the Convention on Biological Diversity and its Protocols and other relevant multilateral environmental agreements</w:t>
      </w:r>
      <w:bookmarkEnd w:id="174"/>
    </w:p>
    <w:p w14:paraId="03788BA0" w14:textId="77777777" w:rsidR="00DA0273" w:rsidRPr="007C2466"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Convention is implemented at the national level by national Governments, and therefore the work of the Executive Secretary for this audience is to provide tools for use by focal points to the Convention and its Protocols as they </w:t>
      </w:r>
      <w:r w:rsidRPr="007C2466">
        <w:rPr>
          <w:snapToGrid w:val="0"/>
          <w:color w:val="000000"/>
          <w:kern w:val="22"/>
          <w:szCs w:val="22"/>
        </w:rPr>
        <w:t xml:space="preserve">develop their strategies to reach out to ministries and government departments and build regional or national communication and education coalitions. This is to ensure mainstreaming of biodiversity into the work of other sectors, including formal, non-formal and informal education. </w:t>
      </w:r>
    </w:p>
    <w:p w14:paraId="42911A18" w14:textId="77777777" w:rsidR="00DA0273" w:rsidRPr="00055591"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7C2466">
        <w:rPr>
          <w:snapToGrid w:val="0"/>
          <w:color w:val="000000"/>
          <w:kern w:val="22"/>
          <w:szCs w:val="22"/>
        </w:rPr>
        <w:t>Subnational governments, cities and oth</w:t>
      </w:r>
      <w:r w:rsidRPr="00060F33">
        <w:rPr>
          <w:snapToGrid w:val="0"/>
          <w:color w:val="000000"/>
          <w:kern w:val="22"/>
          <w:szCs w:val="22"/>
        </w:rPr>
        <w:t xml:space="preserve">er local authorities that plan, coordinate, regulate, monitor and enforce patterns of production and consumption will need to deliver on the biodiversity targets set out in the </w:t>
      </w:r>
      <w:r w:rsidRPr="003745C0">
        <w:rPr>
          <w:snapToGrid w:val="0"/>
          <w:color w:val="000000"/>
          <w:kern w:val="22"/>
          <w:szCs w:val="22"/>
        </w:rPr>
        <w:t>Kunming-Montreal Global Biodiversity Framework</w:t>
      </w:r>
      <w:r w:rsidRPr="00060F33">
        <w:rPr>
          <w:snapToGrid w:val="0"/>
          <w:color w:val="000000"/>
          <w:kern w:val="22"/>
          <w:szCs w:val="22"/>
        </w:rPr>
        <w:t>. It is at the local level where subnational governments and other local authorities, including cities</w:t>
      </w:r>
      <w:r>
        <w:rPr>
          <w:snapToGrid w:val="0"/>
          <w:color w:val="000000"/>
          <w:kern w:val="22"/>
          <w:szCs w:val="22"/>
        </w:rPr>
        <w:t>,</w:t>
      </w:r>
      <w:r w:rsidRPr="00060F33">
        <w:rPr>
          <w:snapToGrid w:val="0"/>
          <w:color w:val="000000"/>
          <w:kern w:val="22"/>
          <w:szCs w:val="22"/>
        </w:rPr>
        <w:t xml:space="preserve"> have </w:t>
      </w:r>
      <w:r w:rsidRPr="00055591">
        <w:rPr>
          <w:snapToGrid w:val="0"/>
          <w:color w:val="000000"/>
          <w:kern w:val="22"/>
          <w:szCs w:val="22"/>
        </w:rPr>
        <w:t xml:space="preserve">the demonstrated capacity to undertake </w:t>
      </w:r>
      <w:r w:rsidRPr="00055591">
        <w:rPr>
          <w:snapToGrid w:val="0"/>
          <w:color w:val="000000"/>
          <w:kern w:val="22"/>
          <w:szCs w:val="22"/>
        </w:rPr>
        <w:lastRenderedPageBreak/>
        <w:t>implementation and ensure transformative change. They are both an important audience, but also essential transmitters of information to their residents.</w:t>
      </w:r>
    </w:p>
    <w:p w14:paraId="53A2E18F"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Parties should shape national versions of communication and education activities to support access to information and awareness that is consonant with the policies needed to implement the </w:t>
      </w:r>
      <w:r w:rsidRPr="00380218">
        <w:rPr>
          <w:snapToGrid w:val="0"/>
          <w:color w:val="000000"/>
          <w:kern w:val="22"/>
          <w:szCs w:val="22"/>
        </w:rPr>
        <w:t>Kunming-Montreal Global Biodiversity Framework</w:t>
      </w:r>
      <w:r w:rsidRPr="00380218" w:rsidDel="00380218">
        <w:rPr>
          <w:snapToGrid w:val="0"/>
          <w:color w:val="000000"/>
          <w:kern w:val="22"/>
          <w:szCs w:val="22"/>
        </w:rPr>
        <w:t xml:space="preserve"> </w:t>
      </w:r>
      <w:r w:rsidRPr="00060F33">
        <w:rPr>
          <w:snapToGrid w:val="0"/>
          <w:color w:val="000000"/>
          <w:kern w:val="22"/>
          <w:szCs w:val="22"/>
        </w:rPr>
        <w:t xml:space="preserve">at the national level. Therefore, all the messaging and structure will need to be aligned with national priorities. </w:t>
      </w:r>
    </w:p>
    <w:p w14:paraId="2AB418CC" w14:textId="77777777" w:rsidR="00DA0273" w:rsidRPr="00060F33" w:rsidRDefault="00DA0273" w:rsidP="005C2995">
      <w:pPr>
        <w:spacing w:before="120" w:after="120"/>
        <w:ind w:right="289"/>
        <w:jc w:val="center"/>
        <w:rPr>
          <w:b/>
          <w:bCs/>
          <w:snapToGrid w:val="0"/>
          <w:szCs w:val="22"/>
        </w:rPr>
      </w:pPr>
      <w:bookmarkStart w:id="175" w:name="_Toc129621630"/>
      <w:r w:rsidRPr="00060F33">
        <w:rPr>
          <w:b/>
          <w:bCs/>
          <w:snapToGrid w:val="0"/>
          <w:szCs w:val="22"/>
        </w:rPr>
        <w:t>B.</w:t>
      </w:r>
      <w:r w:rsidRPr="00060F33">
        <w:rPr>
          <w:b/>
          <w:bCs/>
          <w:snapToGrid w:val="0"/>
          <w:szCs w:val="22"/>
        </w:rPr>
        <w:tab/>
        <w:t>Specialized audiences of the Convention</w:t>
      </w:r>
      <w:bookmarkEnd w:id="175"/>
    </w:p>
    <w:p w14:paraId="5A280886"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kern w:val="22"/>
          <w:szCs w:val="22"/>
        </w:rPr>
        <w:t>Whil</w:t>
      </w:r>
      <w:r w:rsidRPr="00060F33">
        <w:rPr>
          <w:snapToGrid w:val="0"/>
          <w:color w:val="000000"/>
          <w:kern w:val="22"/>
          <w:szCs w:val="22"/>
        </w:rPr>
        <w:t xml:space="preserve">e Parties are the primary focus of the Convention, there are a number of other actors and stakeholders that provide supportive roles to Parties or also have a role to play in </w:t>
      </w:r>
      <w:r>
        <w:rPr>
          <w:snapToGrid w:val="0"/>
          <w:color w:val="000000"/>
          <w:kern w:val="22"/>
          <w:szCs w:val="22"/>
        </w:rPr>
        <w:t xml:space="preserve">the </w:t>
      </w:r>
      <w:r w:rsidRPr="00060F33">
        <w:rPr>
          <w:snapToGrid w:val="0"/>
          <w:color w:val="000000"/>
          <w:kern w:val="22"/>
          <w:szCs w:val="22"/>
        </w:rPr>
        <w:t>implementation of the Convention. Because these actors are not Parties, communications addressed to them will have a different character. At the same time, when these actors carry out supportive activities at the national or regional level, they may be included in these campaigns.</w:t>
      </w:r>
    </w:p>
    <w:p w14:paraId="4CDBE248"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United Nations system partners that are involved in the work of the Convention, as well as other regional organizations, are also important. These actors will not only transmit the work of the Convention to others, but also will use the opportunity to promote their own work and its relevance to the sustainable development agenda. Lessons are to be learned from previous United Nations campaigns such as #GenerationRestoration, #CleanSeas, #DontChooseExtinction, etc. The United Nations Department of Global Communications will be invited to create a biodiversity communications group, which will work with the Executive Secretary to coordinate communications across the system. The Communications Division of </w:t>
      </w:r>
      <w:r>
        <w:rPr>
          <w:snapToGrid w:val="0"/>
          <w:color w:val="000000"/>
          <w:kern w:val="22"/>
          <w:szCs w:val="22"/>
        </w:rPr>
        <w:t>the United Nations Environment Programme (</w:t>
      </w:r>
      <w:r w:rsidRPr="00060F33">
        <w:rPr>
          <w:snapToGrid w:val="0"/>
          <w:color w:val="000000"/>
          <w:kern w:val="22"/>
          <w:szCs w:val="22"/>
        </w:rPr>
        <w:t>UNEP</w:t>
      </w:r>
      <w:r>
        <w:rPr>
          <w:snapToGrid w:val="0"/>
          <w:color w:val="000000"/>
          <w:kern w:val="22"/>
          <w:szCs w:val="22"/>
        </w:rPr>
        <w:t>)</w:t>
      </w:r>
      <w:r w:rsidRPr="00060F33">
        <w:rPr>
          <w:snapToGrid w:val="0"/>
          <w:color w:val="000000"/>
          <w:kern w:val="22"/>
          <w:szCs w:val="22"/>
        </w:rPr>
        <w:t xml:space="preserve"> will also be invited to create a dedicated communications focal point. UNESCO will be invited to contribute its expertise in education, science and culture.</w:t>
      </w:r>
    </w:p>
    <w:p w14:paraId="2A84C9B0" w14:textId="77777777" w:rsidR="00DA0273" w:rsidRPr="00887E72"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Multilateral environmental agreements, both those directly related to biodiversity and those that deal with other issues, will be important multipliers and places for coordination. To this end, the Joint Liaison Group</w:t>
      </w:r>
      <w:r w:rsidRPr="00DC65D8">
        <w:rPr>
          <w:kern w:val="22"/>
          <w:szCs w:val="22"/>
        </w:rPr>
        <w:t xml:space="preserve"> of the Rio </w:t>
      </w:r>
      <w:r w:rsidRPr="00497660">
        <w:rPr>
          <w:kern w:val="22"/>
          <w:szCs w:val="22"/>
        </w:rPr>
        <w:t>Conventions</w:t>
      </w:r>
      <w:r w:rsidRPr="00497660">
        <w:rPr>
          <w:snapToGrid w:val="0"/>
          <w:color w:val="000000"/>
          <w:kern w:val="22"/>
          <w:szCs w:val="22"/>
        </w:rPr>
        <w:t xml:space="preserve"> and</w:t>
      </w:r>
      <w:r w:rsidRPr="00060F33">
        <w:rPr>
          <w:snapToGrid w:val="0"/>
          <w:color w:val="000000"/>
          <w:kern w:val="22"/>
          <w:szCs w:val="22"/>
        </w:rPr>
        <w:t xml:space="preserve"> the Liaison Group of Biodiversity-related Conventions</w:t>
      </w:r>
      <w:r w:rsidRPr="00610646">
        <w:rPr>
          <w:rStyle w:val="FootnoteReference"/>
        </w:rPr>
        <w:footnoteReference w:id="147"/>
      </w:r>
      <w:r w:rsidRPr="00060F33">
        <w:rPr>
          <w:snapToGrid w:val="0"/>
          <w:color w:val="000000"/>
          <w:kern w:val="22"/>
          <w:szCs w:val="22"/>
        </w:rPr>
        <w:t xml:space="preserve"> should be invited to ensure that communication is a permanent item on their annual </w:t>
      </w:r>
      <w:r w:rsidRPr="00887E72">
        <w:rPr>
          <w:snapToGrid w:val="0"/>
          <w:color w:val="000000"/>
          <w:kern w:val="22"/>
          <w:szCs w:val="22"/>
        </w:rPr>
        <w:t>agendas and focal points should be named.</w:t>
      </w:r>
    </w:p>
    <w:p w14:paraId="433A1D2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Natural history and science museums, botanical gardens and national protected areas systems, and zoos and aquariums are other groups whose work is key </w:t>
      </w:r>
      <w:r w:rsidRPr="00FB1700">
        <w:rPr>
          <w:snapToGrid w:val="0"/>
          <w:color w:val="000000"/>
          <w:kern w:val="22"/>
          <w:szCs w:val="22"/>
        </w:rPr>
        <w:t>to the Convention, both in terms of specific conservation actions</w:t>
      </w:r>
      <w:r w:rsidRPr="001A1087">
        <w:rPr>
          <w:snapToGrid w:val="0"/>
          <w:color w:val="000000"/>
          <w:kern w:val="22"/>
          <w:szCs w:val="22"/>
        </w:rPr>
        <w:t xml:space="preserve"> and</w:t>
      </w:r>
      <w:r w:rsidRPr="00FB1700">
        <w:rPr>
          <w:snapToGrid w:val="0"/>
          <w:color w:val="000000"/>
          <w:kern w:val="22"/>
          <w:szCs w:val="22"/>
        </w:rPr>
        <w:t xml:space="preserve"> research and in raising awareness about biodiversity. Bringing together these institutions and organizations, as well as research centres and universities, natural reserves</w:t>
      </w:r>
      <w:r w:rsidRPr="00060F33">
        <w:rPr>
          <w:snapToGrid w:val="0"/>
          <w:color w:val="000000"/>
          <w:kern w:val="22"/>
          <w:szCs w:val="22"/>
        </w:rPr>
        <w:t xml:space="preserve"> and protected areas visitor centres, and museums can help show the importance of nature for humanity.</w:t>
      </w:r>
    </w:p>
    <w:p w14:paraId="277C8409"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Large international NGOs that have national chapters are also important stakeholders for work. </w:t>
      </w:r>
      <w:r w:rsidRPr="00060F33">
        <w:rPr>
          <w:snapToGrid w:val="0"/>
          <w:kern w:val="22"/>
          <w:szCs w:val="22"/>
        </w:rPr>
        <w:t xml:space="preserve">They can retransmit the messages of the strategy and can provide models of reference for promoting good practices related to conservation, sustainable use and equitable sharing of benefits. </w:t>
      </w:r>
      <w:r w:rsidRPr="00060F33">
        <w:rPr>
          <w:snapToGrid w:val="0"/>
          <w:color w:val="000000"/>
          <w:kern w:val="22"/>
          <w:szCs w:val="22"/>
        </w:rPr>
        <w:t xml:space="preserve">The Secretariat and the Parties to the Convention have an extensive history of working with such organizations. </w:t>
      </w:r>
    </w:p>
    <w:p w14:paraId="6EE20936"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finance and business communities are extremely important audiences to target with communications efforts. As important users of biodiversity and ecosystem services </w:t>
      </w:r>
      <w:r w:rsidRPr="00060F33">
        <w:rPr>
          <w:snapToGrid w:val="0"/>
          <w:kern w:val="22"/>
          <w:szCs w:val="22"/>
        </w:rPr>
        <w:t>whose operations have direct and indirect impacts on biodiversity</w:t>
      </w:r>
      <w:r w:rsidRPr="00060F33">
        <w:rPr>
          <w:snapToGrid w:val="0"/>
          <w:color w:val="000000"/>
          <w:kern w:val="22"/>
          <w:szCs w:val="22"/>
        </w:rPr>
        <w:t xml:space="preserve">, the ability of business to support sustainable consumption and production will be crucial for </w:t>
      </w:r>
      <w:r>
        <w:rPr>
          <w:snapToGrid w:val="0"/>
          <w:color w:val="000000"/>
          <w:kern w:val="22"/>
          <w:szCs w:val="22"/>
        </w:rPr>
        <w:t xml:space="preserve">the </w:t>
      </w:r>
      <w:r w:rsidRPr="00060F33">
        <w:rPr>
          <w:snapToGrid w:val="0"/>
          <w:color w:val="000000"/>
          <w:kern w:val="22"/>
          <w:szCs w:val="22"/>
        </w:rPr>
        <w:t>achievement of the goals of the Convention. In this context:</w:t>
      </w:r>
    </w:p>
    <w:p w14:paraId="70884271"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The linkage of biodiversity conservation and sustainable use for environmental, social and governance (ESG) criteria is important;</w:t>
      </w:r>
    </w:p>
    <w:p w14:paraId="3669E38F"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lastRenderedPageBreak/>
        <w:t>(b)</w:t>
      </w:r>
      <w:r w:rsidRPr="00060F33">
        <w:rPr>
          <w:snapToGrid w:val="0"/>
          <w:color w:val="000000"/>
          <w:kern w:val="22"/>
          <w:szCs w:val="22"/>
        </w:rPr>
        <w:tab/>
        <w:t>A strong basis for communication is the business and financial case for biodiversity action;</w:t>
      </w:r>
    </w:p>
    <w:p w14:paraId="174BBE31"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The role of business as a user of genetic resources in the context of the Nagoya Protocol on </w:t>
      </w:r>
      <w:r>
        <w:rPr>
          <w:snapToGrid w:val="0"/>
          <w:color w:val="000000"/>
          <w:kern w:val="22"/>
          <w:szCs w:val="22"/>
        </w:rPr>
        <w:t>A</w:t>
      </w:r>
      <w:r w:rsidRPr="00060F33">
        <w:rPr>
          <w:snapToGrid w:val="0"/>
          <w:color w:val="000000"/>
          <w:kern w:val="22"/>
          <w:szCs w:val="22"/>
        </w:rPr>
        <w:t xml:space="preserve">ccess and </w:t>
      </w:r>
      <w:r>
        <w:rPr>
          <w:snapToGrid w:val="0"/>
          <w:color w:val="000000"/>
          <w:kern w:val="22"/>
          <w:szCs w:val="22"/>
        </w:rPr>
        <w:t>B</w:t>
      </w:r>
      <w:r w:rsidRPr="00060F33">
        <w:rPr>
          <w:snapToGrid w:val="0"/>
          <w:color w:val="000000"/>
          <w:kern w:val="22"/>
          <w:szCs w:val="22"/>
        </w:rPr>
        <w:t>enefit-sharing is also an important element;</w:t>
      </w:r>
    </w:p>
    <w:p w14:paraId="4FCC1E17"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t>Existing business-led initiatives, business associations, coalitions and networks will be key multipliers to reach out to these audiences.</w:t>
      </w:r>
    </w:p>
    <w:p w14:paraId="64AB2C59" w14:textId="77777777" w:rsidR="00DA0273" w:rsidRPr="00834AEE"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Global, regional and national </w:t>
      </w:r>
      <w:r w:rsidRPr="00834AEE">
        <w:rPr>
          <w:snapToGrid w:val="0"/>
          <w:color w:val="000000"/>
          <w:kern w:val="22"/>
          <w:szCs w:val="22"/>
        </w:rPr>
        <w:t>organizations that are dealing with or responsible for education and learning, like environmental education, education for sustainability, nature education, education for conservation and sustainable use, and global education, play a key role in learning. Therefore, education organizations, from schools to universities, but also permanent and continuing education institutions, authorities and decision makers are relevant stakeholders in achieving the goals of the Convention.</w:t>
      </w:r>
    </w:p>
    <w:p w14:paraId="15D143ED" w14:textId="77777777" w:rsidR="00DA0273" w:rsidRPr="00060F33" w:rsidRDefault="00DA0273" w:rsidP="005C2995">
      <w:pPr>
        <w:keepNext/>
        <w:spacing w:before="120" w:after="120"/>
        <w:ind w:right="289"/>
        <w:jc w:val="center"/>
        <w:rPr>
          <w:b/>
          <w:bCs/>
          <w:snapToGrid w:val="0"/>
          <w:szCs w:val="22"/>
        </w:rPr>
      </w:pPr>
      <w:bookmarkStart w:id="176" w:name="_Toc129621631"/>
      <w:r w:rsidRPr="00834AEE">
        <w:rPr>
          <w:b/>
          <w:bCs/>
          <w:snapToGrid w:val="0"/>
          <w:szCs w:val="22"/>
        </w:rPr>
        <w:t>C.</w:t>
      </w:r>
      <w:r w:rsidRPr="00834AEE">
        <w:rPr>
          <w:b/>
          <w:bCs/>
          <w:snapToGrid w:val="0"/>
          <w:szCs w:val="22"/>
        </w:rPr>
        <w:tab/>
        <w:t>Indigenous peoples and local communities</w:t>
      </w:r>
      <w:bookmarkEnd w:id="176"/>
    </w:p>
    <w:p w14:paraId="18279CA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It is very important to work with indigenous peoples and local communities to ensure communication of their role in the conservation and sustainable use of biodiversity, recognizing different visions and approaches in relation to nature and Mother Earth, as appropriate, and to show how their activities contribute to the implementation of the Convention and other biodiversity-related conventions based on their own systems of knowledge. In this regard, communication should enable indigenous peoples and local communities to share their perceptions of nature and Mother Earth, and to highlight their traditional knowledge and practices related to the conservation of biodiversity in the context of regional and national implementation of the Convention. </w:t>
      </w:r>
    </w:p>
    <w:p w14:paraId="42B1D6C3"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work of indigenous peoples and local communities should also be seen as an important source for practices and educational approaches for the conservation and sustainable use of biodiversity, and the fair and equitable sharing of benefits arising from the utilization of genetic resources. In this regard, communication should seek to </w:t>
      </w:r>
      <w:r w:rsidRPr="00060F33">
        <w:rPr>
          <w:snapToGrid w:val="0"/>
          <w:color w:val="000000" w:themeColor="text1"/>
          <w:kern w:val="22"/>
          <w:szCs w:val="22"/>
        </w:rPr>
        <w:t xml:space="preserve">celebrate, promote and communicate different visions and approaches, traditional systems of knowledge related to the conservation and sustainable use of biodiversity at the local, national, regional and global levels, </w:t>
      </w:r>
      <w:r>
        <w:rPr>
          <w:snapToGrid w:val="0"/>
          <w:color w:val="000000" w:themeColor="text1"/>
          <w:kern w:val="22"/>
          <w:szCs w:val="22"/>
        </w:rPr>
        <w:t xml:space="preserve">including living well and in harmony with Mother Earth. </w:t>
      </w:r>
      <w:r w:rsidRPr="00060F33">
        <w:rPr>
          <w:snapToGrid w:val="0"/>
          <w:color w:val="000000" w:themeColor="text1"/>
          <w:kern w:val="22"/>
          <w:szCs w:val="22"/>
        </w:rPr>
        <w:t xml:space="preserve">This should </w:t>
      </w:r>
      <w:r w:rsidRPr="00060F33">
        <w:rPr>
          <w:snapToGrid w:val="0"/>
          <w:color w:val="000000"/>
          <w:kern w:val="22"/>
          <w:szCs w:val="22"/>
        </w:rPr>
        <w:t>be done in coordination with indigenous peoples and local communities representatives and through consultation with the view of obtaining prior and informed consent, free, prior and informed consent, or approval and involvement of indigenous peoples and local communities, and with respect for the terms of use for all traditional knowledge and practices.</w:t>
      </w:r>
    </w:p>
    <w:p w14:paraId="3B88C8BD" w14:textId="77777777" w:rsidR="00DA0273" w:rsidRPr="00337B49"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this regard, the global and national strategies should work to develop </w:t>
      </w:r>
      <w:r w:rsidRPr="00337B49">
        <w:rPr>
          <w:snapToGrid w:val="0"/>
          <w:color w:val="000000"/>
          <w:kern w:val="22"/>
          <w:szCs w:val="22"/>
        </w:rPr>
        <w:t>components of this strategy, including tools and messages that can be translated into indigenous and local languages and contexts.</w:t>
      </w:r>
    </w:p>
    <w:p w14:paraId="0989C298" w14:textId="77777777" w:rsidR="00DA0273" w:rsidRPr="00337B49" w:rsidRDefault="00DA0273" w:rsidP="00A21D0D">
      <w:pPr>
        <w:keepNext/>
        <w:spacing w:before="120" w:after="120"/>
        <w:ind w:right="289"/>
        <w:jc w:val="center"/>
        <w:rPr>
          <w:b/>
          <w:bCs/>
          <w:snapToGrid w:val="0"/>
          <w:szCs w:val="22"/>
        </w:rPr>
      </w:pPr>
      <w:bookmarkStart w:id="177" w:name="_Toc129621632"/>
      <w:r w:rsidRPr="00337B49">
        <w:rPr>
          <w:b/>
          <w:bCs/>
          <w:snapToGrid w:val="0"/>
          <w:szCs w:val="22"/>
        </w:rPr>
        <w:t>D.</w:t>
      </w:r>
      <w:r w:rsidRPr="00337B49">
        <w:rPr>
          <w:b/>
          <w:bCs/>
          <w:snapToGrid w:val="0"/>
          <w:szCs w:val="22"/>
        </w:rPr>
        <w:tab/>
        <w:t>Women</w:t>
      </w:r>
      <w:bookmarkEnd w:id="177"/>
    </w:p>
    <w:p w14:paraId="04FB0316" w14:textId="77777777" w:rsidR="00DA0273" w:rsidRPr="00337B49"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zCs w:val="22"/>
        </w:rPr>
      </w:pPr>
      <w:r w:rsidRPr="00337B49">
        <w:rPr>
          <w:snapToGrid w:val="0"/>
          <w:color w:val="000000"/>
          <w:kern w:val="22"/>
          <w:szCs w:val="22"/>
        </w:rPr>
        <w:t>As women are key stakeholders in both conservation and sustainable use of resources, special focus should be made in mainstreaming gender in all engagements. The work in the communication strategy should complement and draw upon the Gender Plan of Action adopted under the Convention on Biological Diversity in decision 15/11</w:t>
      </w:r>
      <w:r>
        <w:rPr>
          <w:snapToGrid w:val="0"/>
          <w:color w:val="000000"/>
          <w:kern w:val="22"/>
          <w:szCs w:val="22"/>
        </w:rPr>
        <w:t>.</w:t>
      </w:r>
      <w:r w:rsidRPr="00337B49">
        <w:rPr>
          <w:snapToGrid w:val="0"/>
          <w:color w:val="000000"/>
          <w:kern w:val="22"/>
          <w:szCs w:val="22"/>
        </w:rPr>
        <w:t xml:space="preserve"> The United Nations Entity for Gender Equality and the Empowerment of Women (UN-Women) is an important actor with which collaboration and coordination can be undertaken at the international level. Gender considerations need to be mainstreamed in all materials and messages.</w:t>
      </w:r>
    </w:p>
    <w:p w14:paraId="2CB20982" w14:textId="77777777" w:rsidR="00DA0273" w:rsidRPr="00060F33" w:rsidRDefault="00DA0273" w:rsidP="00A21D0D">
      <w:pPr>
        <w:keepNext/>
        <w:spacing w:before="120" w:after="120"/>
        <w:ind w:right="289"/>
        <w:jc w:val="center"/>
        <w:rPr>
          <w:b/>
          <w:bCs/>
          <w:snapToGrid w:val="0"/>
          <w:szCs w:val="22"/>
        </w:rPr>
      </w:pPr>
      <w:bookmarkStart w:id="178" w:name="_Toc129621633"/>
      <w:r w:rsidRPr="00060F33">
        <w:rPr>
          <w:b/>
          <w:bCs/>
          <w:snapToGrid w:val="0"/>
          <w:szCs w:val="22"/>
        </w:rPr>
        <w:t>E.</w:t>
      </w:r>
      <w:r w:rsidRPr="00060F33">
        <w:rPr>
          <w:b/>
          <w:bCs/>
          <w:snapToGrid w:val="0"/>
          <w:szCs w:val="22"/>
        </w:rPr>
        <w:tab/>
        <w:t>Youth</w:t>
      </w:r>
      <w:bookmarkEnd w:id="178"/>
    </w:p>
    <w:p w14:paraId="452381A4"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zCs w:val="22"/>
        </w:rPr>
      </w:pPr>
      <w:r w:rsidRPr="00060F33">
        <w:rPr>
          <w:snapToGrid w:val="0"/>
          <w:color w:val="000000"/>
          <w:kern w:val="22"/>
          <w:szCs w:val="22"/>
        </w:rPr>
        <w:t>Youth, including their organizations and representatives, are both key audiences and powerful partners in creating and delivering the activities of a communications strategy. These important actors can be reached via work through United Nations system-wide activities related to youth, including YOUNGO</w:t>
      </w:r>
      <w:r>
        <w:rPr>
          <w:snapToGrid w:val="0"/>
          <w:color w:val="000000"/>
          <w:kern w:val="22"/>
          <w:szCs w:val="22"/>
        </w:rPr>
        <w:t>,</w:t>
      </w:r>
      <w:r w:rsidRPr="00610646">
        <w:rPr>
          <w:rStyle w:val="FootnoteReference"/>
        </w:rPr>
        <w:footnoteReference w:id="148"/>
      </w:r>
      <w:r w:rsidRPr="00060F33">
        <w:rPr>
          <w:snapToGrid w:val="0"/>
          <w:color w:val="000000"/>
          <w:kern w:val="22"/>
          <w:szCs w:val="22"/>
        </w:rPr>
        <w:t xml:space="preserve"> through the Global Youth Biodiversity Network and its national chapters, and through other initiatives, such </w:t>
      </w:r>
      <w:r w:rsidRPr="00060F33">
        <w:rPr>
          <w:snapToGrid w:val="0"/>
          <w:color w:val="000000"/>
          <w:kern w:val="22"/>
          <w:szCs w:val="22"/>
        </w:rPr>
        <w:lastRenderedPageBreak/>
        <w:t>as the United Nations Decade on Ecosystem Restoration and the United Nations Secretary-General Youth Advisory Group on Climate Change.</w:t>
      </w:r>
    </w:p>
    <w:p w14:paraId="7E313A01" w14:textId="77777777" w:rsidR="00DA0273" w:rsidRPr="00060F33" w:rsidRDefault="00DA0273" w:rsidP="00A21D0D">
      <w:pPr>
        <w:keepNext/>
        <w:spacing w:before="120" w:after="120"/>
        <w:ind w:right="289"/>
        <w:jc w:val="center"/>
        <w:rPr>
          <w:b/>
          <w:bCs/>
          <w:snapToGrid w:val="0"/>
          <w:szCs w:val="22"/>
        </w:rPr>
      </w:pPr>
      <w:bookmarkStart w:id="179" w:name="_Toc129621634"/>
      <w:r w:rsidRPr="00060F33">
        <w:rPr>
          <w:b/>
          <w:bCs/>
          <w:snapToGrid w:val="0"/>
          <w:szCs w:val="22"/>
        </w:rPr>
        <w:t>F.</w:t>
      </w:r>
      <w:r w:rsidRPr="00060F33">
        <w:rPr>
          <w:b/>
          <w:bCs/>
          <w:snapToGrid w:val="0"/>
          <w:szCs w:val="22"/>
        </w:rPr>
        <w:tab/>
        <w:t>The public</w:t>
      </w:r>
      <w:bookmarkEnd w:id="179"/>
    </w:p>
    <w:p w14:paraId="418B38DE"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While it is true that the audience for communications is a global one and should encompass everyone, it is also clear that the notion that a single public to whom all messages could be directed is overly simplistic and hides some important differences between audience segments. The so-called “public” is a number of different audience segments distinguished by country, culture, gender, socioeconomic level, education, experience, age, and languages, each requiring a targeted approach.</w:t>
      </w:r>
    </w:p>
    <w:p w14:paraId="151163E8"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The most important segmentation for the public remains at the national level. An understanding of biodiversity, environmental functions and ecosystem services and their relevance to the general public is very much shaped by national and subnational circumstances and national “narratives” about people and nature and how biodiversity provides them with values. Therefore, attempts to engage the public need to be crafted at the national level, based on an overarching narrative.</w:t>
      </w:r>
    </w:p>
    <w:p w14:paraId="57328B27"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Important ways to reach the public are through awareness campaigns, education and the media – radio, television and print forms, and social media in particular. In this way, the media should be seen as a multiplier and a channel, as is indicated below.</w:t>
      </w:r>
    </w:p>
    <w:p w14:paraId="4911492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It is important to involve the arts and cultural sector, to stimulate new forms of creativity and human imagination that can promote the kind of transformational change needed. Art and new cultural paradigms can become powerful tools for the transformation of intentions.</w:t>
      </w:r>
    </w:p>
    <w:p w14:paraId="372F81C2" w14:textId="77777777" w:rsidR="00DA0273" w:rsidRPr="00060F33" w:rsidRDefault="00DA0273" w:rsidP="00F87291">
      <w:pPr>
        <w:keepNext/>
        <w:spacing w:before="120" w:after="120"/>
        <w:ind w:right="289"/>
        <w:jc w:val="center"/>
        <w:rPr>
          <w:b/>
          <w:bCs/>
          <w:snapToGrid w:val="0"/>
          <w:szCs w:val="22"/>
        </w:rPr>
      </w:pPr>
      <w:bookmarkStart w:id="180" w:name="_Toc129621635"/>
      <w:bookmarkStart w:id="181" w:name="_Hlk88391151"/>
      <w:r w:rsidRPr="00060F33">
        <w:rPr>
          <w:b/>
          <w:bCs/>
          <w:snapToGrid w:val="0"/>
          <w:szCs w:val="22"/>
        </w:rPr>
        <w:t>G.</w:t>
      </w:r>
      <w:r w:rsidRPr="00060F33">
        <w:rPr>
          <w:b/>
          <w:bCs/>
          <w:snapToGrid w:val="0"/>
          <w:szCs w:val="22"/>
        </w:rPr>
        <w:tab/>
        <w:t>The media</w:t>
      </w:r>
      <w:bookmarkEnd w:id="180"/>
    </w:p>
    <w:bookmarkEnd w:id="181"/>
    <w:p w14:paraId="3491B23D" w14:textId="77777777" w:rsidR="00DA0273" w:rsidRPr="007578F1"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varied platforms, organizations and representatives of the media are key. Media from all regions must be addressed. The large “wire services</w:t>
      </w:r>
      <w:r>
        <w:rPr>
          <w:snapToGrid w:val="0"/>
          <w:kern w:val="22"/>
          <w:szCs w:val="22"/>
        </w:rPr>
        <w:t>”</w:t>
      </w:r>
      <w:r w:rsidRPr="00060F33">
        <w:rPr>
          <w:snapToGrid w:val="0"/>
          <w:kern w:val="22"/>
          <w:szCs w:val="22"/>
        </w:rPr>
        <w:t xml:space="preserve">, national newspaper chains, and large media conglomerates need to be engaged. Media partnerships should be explored at the international and national levels. The work of such partnerships could include creation of a package of regular news features and </w:t>
      </w:r>
      <w:r w:rsidRPr="007578F1">
        <w:rPr>
          <w:snapToGrid w:val="0"/>
          <w:kern w:val="22"/>
          <w:szCs w:val="22"/>
        </w:rPr>
        <w:t>capsules; and creation of a shared library of “B-roll” footage, with open-source rights.</w:t>
      </w:r>
    </w:p>
    <w:p w14:paraId="546FA1EE"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7578F1">
        <w:rPr>
          <w:snapToGrid w:val="0"/>
          <w:color w:val="000000"/>
          <w:kern w:val="22"/>
          <w:szCs w:val="22"/>
        </w:rPr>
        <w:t>Engagement with journalist associations that focus on biodiversity and</w:t>
      </w:r>
      <w:r w:rsidRPr="00B300EC">
        <w:rPr>
          <w:snapToGrid w:val="0"/>
          <w:color w:val="000000"/>
          <w:kern w:val="22"/>
          <w:szCs w:val="22"/>
        </w:rPr>
        <w:t xml:space="preserve"> other environmental issues should be a priority, including the Earth Journalism Network and the Society of Environmental Journalists. In working with journalists, particular emphasis should be given to working with journalists that represent indigenous peoples and local communities, youth and women</w:t>
      </w:r>
      <w:r w:rsidRPr="00060F33">
        <w:rPr>
          <w:snapToGrid w:val="0"/>
          <w:color w:val="000000"/>
          <w:kern w:val="22"/>
          <w:szCs w:val="22"/>
        </w:rPr>
        <w:t>.</w:t>
      </w:r>
    </w:p>
    <w:p w14:paraId="59A40425"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 addition to news organizations, work with film and television production </w:t>
      </w:r>
      <w:r w:rsidRPr="00E2268F">
        <w:rPr>
          <w:snapToGrid w:val="0"/>
          <w:color w:val="000000"/>
          <w:kern w:val="22"/>
          <w:szCs w:val="22"/>
        </w:rPr>
        <w:t xml:space="preserve">organizations should be explored. Work should be done to encourage the production of films for television and streaming platforms that highlight the different issues under the Kunming-Montreal Global </w:t>
      </w:r>
      <w:r w:rsidRPr="00F03EE2">
        <w:rPr>
          <w:snapToGrid w:val="0"/>
          <w:color w:val="000000"/>
          <w:kern w:val="22"/>
          <w:szCs w:val="22"/>
        </w:rPr>
        <w:t>B</w:t>
      </w:r>
      <w:r w:rsidRPr="00E2268F">
        <w:rPr>
          <w:snapToGrid w:val="0"/>
          <w:color w:val="000000"/>
          <w:kern w:val="22"/>
          <w:szCs w:val="22"/>
        </w:rPr>
        <w:t xml:space="preserve">iodiversity </w:t>
      </w:r>
      <w:r w:rsidRPr="00F03EE2">
        <w:rPr>
          <w:snapToGrid w:val="0"/>
          <w:color w:val="000000"/>
          <w:kern w:val="22"/>
          <w:szCs w:val="22"/>
        </w:rPr>
        <w:t>F</w:t>
      </w:r>
      <w:r w:rsidRPr="00E2268F">
        <w:rPr>
          <w:snapToGrid w:val="0"/>
          <w:color w:val="000000"/>
          <w:kern w:val="22"/>
          <w:szCs w:val="22"/>
        </w:rPr>
        <w:t xml:space="preserve">ramework. In exchange for coverage, agencies can be given freedom to use branding from the </w:t>
      </w:r>
      <w:r w:rsidRPr="00F03EE2">
        <w:rPr>
          <w:snapToGrid w:val="0"/>
          <w:color w:val="000000"/>
          <w:kern w:val="22"/>
          <w:szCs w:val="22"/>
        </w:rPr>
        <w:t>F</w:t>
      </w:r>
      <w:r w:rsidRPr="00E2268F">
        <w:rPr>
          <w:snapToGrid w:val="0"/>
          <w:color w:val="000000"/>
          <w:kern w:val="22"/>
          <w:szCs w:val="22"/>
        </w:rPr>
        <w:t>ramework. Im</w:t>
      </w:r>
      <w:r w:rsidRPr="00060F33">
        <w:rPr>
          <w:snapToGrid w:val="0"/>
          <w:color w:val="000000"/>
          <w:kern w:val="22"/>
          <w:szCs w:val="22"/>
        </w:rPr>
        <w:t>portant global production houses, such as Amazon, BBC Natural History, Disney Nature, Icon Productions, National Geographic and Netflix, should be explored. In addition, regional production houses should be approached, among others.</w:t>
      </w:r>
    </w:p>
    <w:p w14:paraId="043FF3BC"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color w:val="000000"/>
          <w:kern w:val="22"/>
          <w:szCs w:val="22"/>
        </w:rPr>
        <w:t xml:space="preserve">Film festivals should be encouraged around the world. Jackson Wild (formerly the Jackson Hole Wildlife Film Festival), the International Wildlife Film Festival and Wildscreen could have films about the </w:t>
      </w:r>
      <w:bookmarkStart w:id="182" w:name="_Hlk125994922"/>
      <w:r>
        <w:rPr>
          <w:snapToGrid w:val="0"/>
          <w:color w:val="000000"/>
          <w:kern w:val="22"/>
          <w:szCs w:val="22"/>
        </w:rPr>
        <w:t>Kunming-Montreal</w:t>
      </w:r>
      <w:r w:rsidRPr="00060F33">
        <w:rPr>
          <w:snapToGrid w:val="0"/>
          <w:color w:val="000000"/>
          <w:kern w:val="22"/>
          <w:szCs w:val="22"/>
        </w:rPr>
        <w:t xml:space="preserve"> </w:t>
      </w:r>
      <w:r>
        <w:rPr>
          <w:snapToGrid w:val="0"/>
          <w:color w:val="000000"/>
          <w:kern w:val="22"/>
          <w:szCs w:val="22"/>
        </w:rPr>
        <w:t>G</w:t>
      </w:r>
      <w:r w:rsidRPr="00060F33">
        <w:rPr>
          <w:snapToGrid w:val="0"/>
          <w:color w:val="000000"/>
          <w:kern w:val="22"/>
          <w:szCs w:val="22"/>
        </w:rPr>
        <w:t xml:space="preserve">lobal </w:t>
      </w:r>
      <w:r>
        <w:rPr>
          <w:snapToGrid w:val="0"/>
          <w:color w:val="000000"/>
          <w:kern w:val="22"/>
          <w:szCs w:val="22"/>
        </w:rPr>
        <w:t>B</w:t>
      </w:r>
      <w:r w:rsidRPr="00060F33">
        <w:rPr>
          <w:snapToGrid w:val="0"/>
          <w:color w:val="000000"/>
          <w:kern w:val="22"/>
          <w:szCs w:val="22"/>
        </w:rPr>
        <w:t xml:space="preserve">iodiversity </w:t>
      </w:r>
      <w:r>
        <w:rPr>
          <w:snapToGrid w:val="0"/>
          <w:color w:val="000000"/>
          <w:kern w:val="22"/>
          <w:szCs w:val="22"/>
        </w:rPr>
        <w:t>F</w:t>
      </w:r>
      <w:r w:rsidRPr="00060F33">
        <w:rPr>
          <w:snapToGrid w:val="0"/>
          <w:color w:val="000000"/>
          <w:kern w:val="22"/>
          <w:szCs w:val="22"/>
        </w:rPr>
        <w:t>ramework</w:t>
      </w:r>
      <w:bookmarkEnd w:id="182"/>
      <w:r w:rsidRPr="00060F33">
        <w:rPr>
          <w:snapToGrid w:val="0"/>
          <w:color w:val="000000"/>
          <w:kern w:val="22"/>
          <w:szCs w:val="22"/>
        </w:rPr>
        <w:t>. Other international and regional film festivals in all United Nations regions should be encouraged to create categories of films relating to action that support nature. The possibility of holding a film festival at each meeting of the Conference of the Parties should be considered. A film festival to coincide with the annual celebrations of the International Day for Biodiversity should also be considered.</w:t>
      </w:r>
    </w:p>
    <w:p w14:paraId="2476232E" w14:textId="77777777" w:rsidR="00DA0273" w:rsidRPr="00060F33" w:rsidRDefault="00DA0273" w:rsidP="00EE7D55">
      <w:pPr>
        <w:keepNext/>
        <w:spacing w:before="120" w:after="120"/>
        <w:jc w:val="center"/>
        <w:rPr>
          <w:b/>
          <w:bCs/>
          <w:caps/>
          <w:snapToGrid w:val="0"/>
          <w:szCs w:val="22"/>
        </w:rPr>
      </w:pPr>
      <w:bookmarkStart w:id="183" w:name="_Toc129621636"/>
      <w:r w:rsidRPr="00060F33">
        <w:rPr>
          <w:b/>
          <w:bCs/>
          <w:caps/>
          <w:snapToGrid w:val="0"/>
          <w:szCs w:val="22"/>
        </w:rPr>
        <w:t>VI.</w:t>
      </w:r>
      <w:r w:rsidRPr="00060F33">
        <w:rPr>
          <w:b/>
          <w:bCs/>
          <w:caps/>
          <w:snapToGrid w:val="0"/>
          <w:szCs w:val="22"/>
        </w:rPr>
        <w:tab/>
        <w:t>Branding</w:t>
      </w:r>
      <w:bookmarkEnd w:id="183"/>
    </w:p>
    <w:p w14:paraId="633051CF"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 xml:space="preserve">The </w:t>
      </w:r>
      <w:r w:rsidRPr="00273B22">
        <w:rPr>
          <w:snapToGrid w:val="0"/>
          <w:kern w:val="22"/>
          <w:szCs w:val="22"/>
        </w:rPr>
        <w:t>Kunming-Montreal Global Biodiversity Framework</w:t>
      </w:r>
      <w:r w:rsidRPr="00273B22" w:rsidDel="00273B22">
        <w:rPr>
          <w:snapToGrid w:val="0"/>
          <w:kern w:val="22"/>
          <w:szCs w:val="22"/>
        </w:rPr>
        <w:t xml:space="preserve"> </w:t>
      </w:r>
      <w:r w:rsidRPr="00060F33">
        <w:rPr>
          <w:snapToGrid w:val="0"/>
          <w:kern w:val="22"/>
          <w:szCs w:val="22"/>
        </w:rPr>
        <w:t xml:space="preserve">should be accompanied by a clear global brand that is extendable to other contexts (national, subnational, local), with easy terms for use and </w:t>
      </w:r>
      <w:r w:rsidRPr="00060F33">
        <w:rPr>
          <w:snapToGrid w:val="0"/>
          <w:kern w:val="22"/>
          <w:szCs w:val="22"/>
        </w:rPr>
        <w:lastRenderedPageBreak/>
        <w:t>licensing. Branding can be presented according to the dimensions of brand voice, identity, promise, values, targeting and positioning, as shown in table 2.</w:t>
      </w:r>
    </w:p>
    <w:p w14:paraId="4FBF5195" w14:textId="77777777" w:rsidR="00DA0273" w:rsidRPr="00060F33" w:rsidRDefault="00DA0273" w:rsidP="0019488A">
      <w:pPr>
        <w:keepNext/>
        <w:pBdr>
          <w:top w:val="nil"/>
          <w:left w:val="nil"/>
          <w:bottom w:val="nil"/>
          <w:right w:val="nil"/>
          <w:between w:val="nil"/>
        </w:pBdr>
        <w:spacing w:before="240" w:after="120"/>
        <w:rPr>
          <w:b/>
          <w:bCs/>
          <w:snapToGrid w:val="0"/>
          <w:kern w:val="22"/>
          <w:szCs w:val="22"/>
        </w:rPr>
      </w:pPr>
      <w:bookmarkStart w:id="184" w:name="_Toc129621637"/>
      <w:r w:rsidRPr="00060F33">
        <w:rPr>
          <w:b/>
          <w:bCs/>
          <w:snapToGrid w:val="0"/>
          <w:kern w:val="22"/>
          <w:szCs w:val="22"/>
        </w:rPr>
        <w:t>Table 2. Elements for branding</w:t>
      </w:r>
      <w:bookmarkEnd w:id="18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DA0273" w:rsidRPr="00060F33" w14:paraId="709EB6DF" w14:textId="77777777" w:rsidTr="009756D4">
        <w:tc>
          <w:tcPr>
            <w:tcW w:w="1973" w:type="dxa"/>
          </w:tcPr>
          <w:p w14:paraId="79A9A3BB" w14:textId="77777777" w:rsidR="00DA0273" w:rsidRPr="00060F33" w:rsidRDefault="00DA0273" w:rsidP="00CB2DB9">
            <w:pPr>
              <w:spacing w:before="120" w:after="120"/>
              <w:rPr>
                <w:snapToGrid w:val="0"/>
                <w:kern w:val="22"/>
                <w:szCs w:val="22"/>
              </w:rPr>
            </w:pPr>
            <w:r w:rsidRPr="00060F33">
              <w:rPr>
                <w:snapToGrid w:val="0"/>
                <w:color w:val="202124"/>
                <w:kern w:val="22"/>
                <w:szCs w:val="22"/>
              </w:rPr>
              <w:t>Voice</w:t>
            </w:r>
          </w:p>
        </w:tc>
        <w:tc>
          <w:tcPr>
            <w:tcW w:w="7367" w:type="dxa"/>
          </w:tcPr>
          <w:p w14:paraId="7BFB3EA2" w14:textId="77777777" w:rsidR="00DA0273" w:rsidRPr="00060F33" w:rsidRDefault="00DA0273" w:rsidP="00CB2DB9">
            <w:pPr>
              <w:spacing w:before="120" w:after="120"/>
              <w:rPr>
                <w:snapToGrid w:val="0"/>
                <w:kern w:val="22"/>
                <w:szCs w:val="22"/>
              </w:rPr>
            </w:pPr>
            <w:r w:rsidRPr="00060F33">
              <w:rPr>
                <w:snapToGrid w:val="0"/>
                <w:kern w:val="22"/>
                <w:szCs w:val="22"/>
              </w:rPr>
              <w:t xml:space="preserve">The </w:t>
            </w:r>
            <w:r w:rsidRPr="003840ED">
              <w:rPr>
                <w:snapToGrid w:val="0"/>
                <w:color w:val="000000"/>
                <w:kern w:val="22"/>
                <w:szCs w:val="22"/>
              </w:rPr>
              <w:t>Kunming-Montreal Global Biodiversity Framework</w:t>
            </w:r>
            <w:r w:rsidRPr="003840ED" w:rsidDel="003840ED">
              <w:rPr>
                <w:snapToGrid w:val="0"/>
                <w:color w:val="000000"/>
                <w:kern w:val="22"/>
                <w:szCs w:val="22"/>
              </w:rPr>
              <w:t xml:space="preserve"> </w:t>
            </w:r>
            <w:r w:rsidRPr="00060F33">
              <w:rPr>
                <w:snapToGrid w:val="0"/>
                <w:kern w:val="22"/>
                <w:szCs w:val="22"/>
              </w:rPr>
              <w:t>is the effort and wishes of the global community to realize a future of life in harmony with nature.</w:t>
            </w:r>
          </w:p>
        </w:tc>
      </w:tr>
      <w:tr w:rsidR="00DA0273" w:rsidRPr="00060F33" w14:paraId="6210BA9D" w14:textId="77777777" w:rsidTr="009756D4">
        <w:tc>
          <w:tcPr>
            <w:tcW w:w="1973" w:type="dxa"/>
          </w:tcPr>
          <w:p w14:paraId="13DA8A1E" w14:textId="77777777" w:rsidR="00DA0273" w:rsidRPr="00060F33" w:rsidRDefault="00DA0273" w:rsidP="00CB2DB9">
            <w:pPr>
              <w:spacing w:before="120" w:after="120"/>
              <w:rPr>
                <w:snapToGrid w:val="0"/>
                <w:kern w:val="22"/>
                <w:szCs w:val="22"/>
              </w:rPr>
            </w:pPr>
            <w:r w:rsidRPr="00060F33">
              <w:rPr>
                <w:snapToGrid w:val="0"/>
                <w:color w:val="202124"/>
                <w:kern w:val="22"/>
                <w:szCs w:val="22"/>
              </w:rPr>
              <w:t>Identity</w:t>
            </w:r>
          </w:p>
        </w:tc>
        <w:tc>
          <w:tcPr>
            <w:tcW w:w="7367" w:type="dxa"/>
          </w:tcPr>
          <w:p w14:paraId="41F1532D" w14:textId="77777777" w:rsidR="00DA0273" w:rsidRPr="00AB18E7" w:rsidRDefault="00DA0273" w:rsidP="00CB2DB9">
            <w:pPr>
              <w:spacing w:before="120" w:after="120"/>
              <w:rPr>
                <w:snapToGrid w:val="0"/>
                <w:kern w:val="22"/>
                <w:szCs w:val="22"/>
              </w:rPr>
            </w:pPr>
            <w:r w:rsidRPr="00AB18E7">
              <w:rPr>
                <w:snapToGrid w:val="0"/>
                <w:kern w:val="22"/>
                <w:szCs w:val="22"/>
              </w:rPr>
              <w:t>The visual look, including palette, logo, fonts and visual rules, will need to reflect the voice, the variety of life, and include human representations and align with cultural preferences. The identity should be used throughout the period of implementation of the Kunming-Montreal Global Biodiversity Framework.</w:t>
            </w:r>
          </w:p>
        </w:tc>
      </w:tr>
      <w:tr w:rsidR="00DA0273" w:rsidRPr="00060F33" w14:paraId="613F5B2B" w14:textId="77777777" w:rsidTr="009756D4">
        <w:tc>
          <w:tcPr>
            <w:tcW w:w="1973" w:type="dxa"/>
          </w:tcPr>
          <w:p w14:paraId="36D40E00" w14:textId="77777777" w:rsidR="00DA0273" w:rsidRPr="00060F33" w:rsidRDefault="00DA0273" w:rsidP="00CB2DB9">
            <w:pPr>
              <w:spacing w:before="120" w:after="120"/>
              <w:rPr>
                <w:snapToGrid w:val="0"/>
                <w:kern w:val="22"/>
                <w:szCs w:val="22"/>
              </w:rPr>
            </w:pPr>
            <w:r w:rsidRPr="00060F33">
              <w:rPr>
                <w:snapToGrid w:val="0"/>
                <w:color w:val="202124"/>
                <w:kern w:val="22"/>
                <w:szCs w:val="22"/>
              </w:rPr>
              <w:t>Promise</w:t>
            </w:r>
          </w:p>
        </w:tc>
        <w:tc>
          <w:tcPr>
            <w:tcW w:w="7367" w:type="dxa"/>
          </w:tcPr>
          <w:p w14:paraId="0029DE3C" w14:textId="77777777" w:rsidR="00DA0273" w:rsidRPr="00AB18E7" w:rsidRDefault="00DA0273" w:rsidP="00CB2DB9">
            <w:pPr>
              <w:spacing w:before="120" w:after="120"/>
              <w:rPr>
                <w:snapToGrid w:val="0"/>
                <w:kern w:val="22"/>
                <w:szCs w:val="22"/>
              </w:rPr>
            </w:pPr>
            <w:r w:rsidRPr="00AB18E7">
              <w:rPr>
                <w:snapToGrid w:val="0"/>
                <w:kern w:val="22"/>
                <w:szCs w:val="22"/>
              </w:rPr>
              <w:t xml:space="preserve">The 2050 Vision for </w:t>
            </w:r>
            <w:r w:rsidRPr="00F03EE2">
              <w:rPr>
                <w:snapToGrid w:val="0"/>
                <w:kern w:val="22"/>
                <w:szCs w:val="22"/>
              </w:rPr>
              <w:t>b</w:t>
            </w:r>
            <w:r w:rsidRPr="00AB18E7">
              <w:rPr>
                <w:snapToGrid w:val="0"/>
                <w:kern w:val="22"/>
                <w:szCs w:val="22"/>
              </w:rPr>
              <w:t>iodiversity and the 2030 mission represent the promise of the brand.</w:t>
            </w:r>
          </w:p>
        </w:tc>
      </w:tr>
      <w:tr w:rsidR="00DA0273" w:rsidRPr="00060F33" w14:paraId="1CF2D1AF" w14:textId="77777777" w:rsidTr="009756D4">
        <w:tc>
          <w:tcPr>
            <w:tcW w:w="1973" w:type="dxa"/>
          </w:tcPr>
          <w:p w14:paraId="56996361" w14:textId="77777777" w:rsidR="00DA0273" w:rsidRPr="00060F33" w:rsidRDefault="00DA0273" w:rsidP="00CB2DB9">
            <w:pPr>
              <w:spacing w:before="120" w:after="120"/>
              <w:rPr>
                <w:snapToGrid w:val="0"/>
                <w:kern w:val="22"/>
                <w:szCs w:val="22"/>
              </w:rPr>
            </w:pPr>
            <w:r w:rsidRPr="00060F33">
              <w:rPr>
                <w:snapToGrid w:val="0"/>
                <w:color w:val="202124"/>
                <w:kern w:val="22"/>
                <w:szCs w:val="22"/>
              </w:rPr>
              <w:t>Values</w:t>
            </w:r>
          </w:p>
        </w:tc>
        <w:tc>
          <w:tcPr>
            <w:tcW w:w="7367" w:type="dxa"/>
          </w:tcPr>
          <w:p w14:paraId="55865189" w14:textId="77777777" w:rsidR="00DA0273" w:rsidRPr="00060F33" w:rsidRDefault="00DA0273" w:rsidP="00CB2DB9">
            <w:pPr>
              <w:spacing w:before="120" w:after="120"/>
              <w:rPr>
                <w:snapToGrid w:val="0"/>
                <w:kern w:val="22"/>
                <w:szCs w:val="22"/>
              </w:rPr>
            </w:pPr>
            <w:r w:rsidRPr="00060F33">
              <w:rPr>
                <w:snapToGrid w:val="0"/>
                <w:kern w:val="22"/>
                <w:szCs w:val="22"/>
              </w:rPr>
              <w:t>The brand values will reflect the objectives of the Convention and the principles of the United Nations.</w:t>
            </w:r>
          </w:p>
        </w:tc>
      </w:tr>
      <w:tr w:rsidR="00DA0273" w:rsidRPr="00060F33" w14:paraId="3A21FCF6" w14:textId="77777777" w:rsidTr="009756D4">
        <w:tc>
          <w:tcPr>
            <w:tcW w:w="1973" w:type="dxa"/>
          </w:tcPr>
          <w:p w14:paraId="2A62E30B" w14:textId="77777777" w:rsidR="00DA0273" w:rsidRPr="00060F33" w:rsidRDefault="00DA0273" w:rsidP="00CB2DB9">
            <w:pPr>
              <w:spacing w:before="120" w:after="120"/>
              <w:rPr>
                <w:snapToGrid w:val="0"/>
                <w:kern w:val="22"/>
                <w:szCs w:val="22"/>
              </w:rPr>
            </w:pPr>
            <w:r w:rsidRPr="00060F33">
              <w:rPr>
                <w:snapToGrid w:val="0"/>
                <w:color w:val="202124"/>
                <w:kern w:val="22"/>
                <w:szCs w:val="22"/>
              </w:rPr>
              <w:t>Targeting</w:t>
            </w:r>
          </w:p>
        </w:tc>
        <w:tc>
          <w:tcPr>
            <w:tcW w:w="7367" w:type="dxa"/>
          </w:tcPr>
          <w:p w14:paraId="2EACE6E0" w14:textId="77777777" w:rsidR="00DA0273" w:rsidRPr="00060F33" w:rsidRDefault="00DA0273" w:rsidP="00CB2DB9">
            <w:pPr>
              <w:spacing w:before="120" w:after="120"/>
              <w:rPr>
                <w:snapToGrid w:val="0"/>
                <w:kern w:val="22"/>
                <w:szCs w:val="22"/>
              </w:rPr>
            </w:pPr>
            <w:r w:rsidRPr="00060F33">
              <w:rPr>
                <w:snapToGrid w:val="0"/>
                <w:kern w:val="22"/>
                <w:szCs w:val="22"/>
              </w:rPr>
              <w:t xml:space="preserve">As the overall reach of the </w:t>
            </w:r>
            <w:r w:rsidRPr="003840ED">
              <w:rPr>
                <w:snapToGrid w:val="0"/>
                <w:kern w:val="22"/>
                <w:szCs w:val="22"/>
              </w:rPr>
              <w:t>Kunming-Montreal Global Biodiversity Framework</w:t>
            </w:r>
            <w:r w:rsidRPr="003840ED" w:rsidDel="003840ED">
              <w:rPr>
                <w:snapToGrid w:val="0"/>
                <w:kern w:val="22"/>
                <w:szCs w:val="22"/>
              </w:rPr>
              <w:t xml:space="preserve"> </w:t>
            </w:r>
            <w:r w:rsidRPr="00060F33">
              <w:rPr>
                <w:snapToGrid w:val="0"/>
                <w:kern w:val="22"/>
                <w:szCs w:val="22"/>
              </w:rPr>
              <w:t>is global, there will need to be specific articulations of the brand for different audiences.</w:t>
            </w:r>
          </w:p>
        </w:tc>
      </w:tr>
      <w:tr w:rsidR="00DA0273" w:rsidRPr="00060F33" w14:paraId="24C6BBD1" w14:textId="77777777" w:rsidTr="009756D4">
        <w:tc>
          <w:tcPr>
            <w:tcW w:w="1973" w:type="dxa"/>
          </w:tcPr>
          <w:p w14:paraId="44F23E30" w14:textId="77777777" w:rsidR="00DA0273" w:rsidRPr="00060F33" w:rsidRDefault="00DA0273" w:rsidP="00CB2DB9">
            <w:pPr>
              <w:spacing w:before="120" w:after="120"/>
              <w:rPr>
                <w:snapToGrid w:val="0"/>
                <w:kern w:val="22"/>
                <w:szCs w:val="22"/>
              </w:rPr>
            </w:pPr>
            <w:r w:rsidRPr="00060F33">
              <w:rPr>
                <w:snapToGrid w:val="0"/>
                <w:color w:val="202124"/>
                <w:kern w:val="22"/>
                <w:szCs w:val="22"/>
              </w:rPr>
              <w:t>Positioning</w:t>
            </w:r>
          </w:p>
        </w:tc>
        <w:tc>
          <w:tcPr>
            <w:tcW w:w="7367" w:type="dxa"/>
          </w:tcPr>
          <w:p w14:paraId="1C488298" w14:textId="77777777" w:rsidR="00DA0273" w:rsidRPr="00060F33" w:rsidRDefault="00DA0273" w:rsidP="00CB2DB9">
            <w:pPr>
              <w:spacing w:before="120" w:after="120"/>
              <w:rPr>
                <w:snapToGrid w:val="0"/>
                <w:kern w:val="22"/>
                <w:szCs w:val="22"/>
              </w:rPr>
            </w:pPr>
            <w:r w:rsidRPr="00060F33">
              <w:rPr>
                <w:snapToGrid w:val="0"/>
                <w:kern w:val="22"/>
                <w:szCs w:val="22"/>
              </w:rPr>
              <w:t xml:space="preserve">The </w:t>
            </w:r>
            <w:r w:rsidRPr="003840ED">
              <w:rPr>
                <w:snapToGrid w:val="0"/>
                <w:color w:val="000000"/>
                <w:kern w:val="22"/>
                <w:szCs w:val="22"/>
              </w:rPr>
              <w:t>Kunming-Montreal Global Biodiversity Framework</w:t>
            </w:r>
            <w:r w:rsidRPr="003840ED" w:rsidDel="003840ED">
              <w:rPr>
                <w:snapToGrid w:val="0"/>
                <w:color w:val="000000"/>
                <w:kern w:val="22"/>
                <w:szCs w:val="22"/>
              </w:rPr>
              <w:t xml:space="preserve"> </w:t>
            </w:r>
            <w:r w:rsidRPr="00060F33">
              <w:rPr>
                <w:snapToGrid w:val="0"/>
                <w:kern w:val="22"/>
                <w:szCs w:val="22"/>
              </w:rPr>
              <w:t xml:space="preserve">will be presented as a framework relevant to multiple initiatives on biodiversity, supportive of the 2030 Agenda </w:t>
            </w:r>
            <w:r w:rsidRPr="00801C0E">
              <w:rPr>
                <w:snapToGrid w:val="0"/>
                <w:kern w:val="22"/>
                <w:szCs w:val="22"/>
              </w:rPr>
              <w:t xml:space="preserve">for Sustainable Development </w:t>
            </w:r>
            <w:r w:rsidRPr="00060F33">
              <w:rPr>
                <w:snapToGrid w:val="0"/>
                <w:kern w:val="22"/>
                <w:szCs w:val="22"/>
              </w:rPr>
              <w:t xml:space="preserve">and its </w:t>
            </w:r>
            <w:r w:rsidRPr="00060F33">
              <w:rPr>
                <w:snapToGrid w:val="0"/>
                <w:color w:val="000000"/>
                <w:kern w:val="22"/>
                <w:szCs w:val="22"/>
              </w:rPr>
              <w:t>Sustainable Development Goal</w:t>
            </w:r>
            <w:r w:rsidRPr="00060F33">
              <w:rPr>
                <w:snapToGrid w:val="0"/>
                <w:kern w:val="22"/>
                <w:szCs w:val="22"/>
              </w:rPr>
              <w:t>s, the United Nations Decade of Action to deliver the Sustainable Development Goals, the United Nations Decade on Ecosystem Restoration, the biodiversity-related conventions, the</w:t>
            </w:r>
            <w:r w:rsidRPr="00060F33">
              <w:rPr>
                <w:szCs w:val="22"/>
              </w:rPr>
              <w:t xml:space="preserve"> </w:t>
            </w:r>
            <w:r w:rsidRPr="00060F33">
              <w:rPr>
                <w:snapToGrid w:val="0"/>
                <w:kern w:val="22"/>
                <w:szCs w:val="22"/>
              </w:rPr>
              <w:t>United Nations Framework Convention on Climate Change and the United Nations Convention to Combat Desertification</w:t>
            </w:r>
          </w:p>
        </w:tc>
      </w:tr>
    </w:tbl>
    <w:p w14:paraId="771FF60C"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creation of the brand will be done after the</w:t>
      </w:r>
      <w:r>
        <w:rPr>
          <w:snapToGrid w:val="0"/>
          <w:kern w:val="22"/>
          <w:szCs w:val="22"/>
        </w:rPr>
        <w:t xml:space="preserve"> adoption</w:t>
      </w:r>
      <w:r w:rsidRPr="00060F33">
        <w:rPr>
          <w:snapToGrid w:val="0"/>
          <w:kern w:val="22"/>
          <w:szCs w:val="22"/>
        </w:rPr>
        <w:t xml:space="preserve"> of the </w:t>
      </w:r>
      <w:r w:rsidRPr="00AC1D28">
        <w:rPr>
          <w:snapToGrid w:val="0"/>
          <w:kern w:val="22"/>
          <w:szCs w:val="22"/>
        </w:rPr>
        <w:t>Kunming-Montreal Global Biodiversity Framework</w:t>
      </w:r>
      <w:r w:rsidRPr="00060F33">
        <w:rPr>
          <w:snapToGrid w:val="0"/>
          <w:kern w:val="22"/>
          <w:szCs w:val="22"/>
        </w:rPr>
        <w:t xml:space="preserve">. It will be led by the Executive Secretary, in consultation with </w:t>
      </w:r>
      <w:r>
        <w:rPr>
          <w:snapToGrid w:val="0"/>
          <w:kern w:val="22"/>
          <w:szCs w:val="22"/>
        </w:rPr>
        <w:t xml:space="preserve">the </w:t>
      </w:r>
      <w:r w:rsidRPr="00060F33">
        <w:rPr>
          <w:snapToGrid w:val="0"/>
          <w:color w:val="000000"/>
          <w:kern w:val="22"/>
          <w:szCs w:val="22"/>
        </w:rPr>
        <w:t>Informal Advisory Committee on Communication, Education and Public Awareness</w:t>
      </w:r>
      <w:r w:rsidRPr="00060F33">
        <w:rPr>
          <w:snapToGrid w:val="0"/>
          <w:kern w:val="22"/>
          <w:szCs w:val="22"/>
        </w:rPr>
        <w:t xml:space="preserve">, the United Nations Department of Global Communications, the UNEP Communications Division, </w:t>
      </w:r>
      <w:r w:rsidRPr="00C05B7D">
        <w:rPr>
          <w:snapToGrid w:val="0"/>
          <w:kern w:val="22"/>
          <w:szCs w:val="22"/>
        </w:rPr>
        <w:t>and the open-source coordination mechanism articulated below. A marketing company with global reach should be contracted to assist in this.</w:t>
      </w:r>
      <w:r w:rsidRPr="00060F33">
        <w:rPr>
          <w:snapToGrid w:val="0"/>
          <w:kern w:val="22"/>
          <w:szCs w:val="22"/>
        </w:rPr>
        <w:t xml:space="preserve"> </w:t>
      </w:r>
    </w:p>
    <w:p w14:paraId="202F223F" w14:textId="77777777" w:rsidR="00DA0273" w:rsidRPr="00060F33" w:rsidRDefault="00DA0273" w:rsidP="00BA5FF6">
      <w:pPr>
        <w:keepNext/>
        <w:spacing w:before="120" w:after="120"/>
        <w:ind w:left="1412" w:hanging="851"/>
        <w:jc w:val="left"/>
        <w:rPr>
          <w:b/>
          <w:bCs/>
          <w:caps/>
          <w:snapToGrid w:val="0"/>
          <w:szCs w:val="22"/>
        </w:rPr>
      </w:pPr>
      <w:bookmarkStart w:id="185" w:name="_Toc129621638"/>
      <w:r w:rsidRPr="00060F33">
        <w:rPr>
          <w:b/>
          <w:bCs/>
          <w:caps/>
          <w:snapToGrid w:val="0"/>
          <w:szCs w:val="22"/>
        </w:rPr>
        <w:t>VII.</w:t>
      </w:r>
      <w:r w:rsidRPr="00060F33">
        <w:rPr>
          <w:b/>
          <w:bCs/>
          <w:caps/>
          <w:snapToGrid w:val="0"/>
          <w:szCs w:val="22"/>
        </w:rPr>
        <w:tab/>
        <w:t>Open-source coordination mechanism, and channels and multipliers</w:t>
      </w:r>
      <w:bookmarkEnd w:id="185"/>
    </w:p>
    <w:p w14:paraId="4B419657"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While the broad outlines of the strategy will be kept under review as per the terms of reference outlined in section III above, implementation of the communications strategy at the global level will best be realized through an open-source coordination mechanism. Such a mechanism needs a low cost of participation, with members free to participate in some elements and not others. The principle of open source should govern the products shared by the group, with inclusivity, transparency and neutrality as important elements.</w:t>
      </w:r>
    </w:p>
    <w:p w14:paraId="2E315E13"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Participation in the </w:t>
      </w:r>
      <w:r w:rsidRPr="008901E3">
        <w:rPr>
          <w:snapToGrid w:val="0"/>
          <w:color w:val="000000"/>
          <w:kern w:val="22"/>
          <w:szCs w:val="22"/>
        </w:rPr>
        <w:t>mechanism will be voluntary, open to all actors who commit to transparent participation and adherence to the principle of open-source work, and who will contribute to the implementation of the Kunming-Montreal Global Biodiversity Framework. Representatives of national and subnational governments are encouraged to participate, as are representatives of intergovernmental organizations, NGOs and other civil society actors, business, youth, indigenous peoples and local communities, and women. The mechanism will not have formal decision-making</w:t>
      </w:r>
      <w:r w:rsidRPr="00060F33">
        <w:rPr>
          <w:snapToGrid w:val="0"/>
          <w:color w:val="000000"/>
          <w:kern w:val="22"/>
          <w:szCs w:val="22"/>
        </w:rPr>
        <w:t xml:space="preserve"> power.</w:t>
      </w:r>
    </w:p>
    <w:p w14:paraId="36F2C9E8"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kern w:val="22"/>
          <w:szCs w:val="22"/>
        </w:rPr>
        <w:lastRenderedPageBreak/>
        <w:t xml:space="preserve">At the national level, Parties will be free to create mechanisms as appropriate. These mechanisms should be inclusive and transparent and should ensure the full and effective participation of all relevant actors and stakeholders, including </w:t>
      </w:r>
      <w:r w:rsidRPr="00060F33">
        <w:rPr>
          <w:snapToGrid w:val="0"/>
          <w:color w:val="000000"/>
          <w:kern w:val="22"/>
          <w:szCs w:val="22"/>
        </w:rPr>
        <w:t>indigenous peoples and local communitie</w:t>
      </w:r>
      <w:r w:rsidRPr="00060F33">
        <w:rPr>
          <w:snapToGrid w:val="0"/>
          <w:kern w:val="22"/>
          <w:szCs w:val="22"/>
        </w:rPr>
        <w:t>s, youth, and women.</w:t>
      </w:r>
    </w:p>
    <w:p w14:paraId="1B389C4E" w14:textId="77777777" w:rsidR="00DA0273" w:rsidRPr="00060F33"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86" w:name="_Toc129621639"/>
      <w:r w:rsidRPr="00060F33">
        <w:rPr>
          <w:b/>
          <w:bCs/>
          <w:snapToGrid w:val="0"/>
          <w:color w:val="000000"/>
          <w:kern w:val="22"/>
          <w:szCs w:val="22"/>
        </w:rPr>
        <w:t>A.</w:t>
      </w:r>
      <w:r w:rsidRPr="00060F33">
        <w:rPr>
          <w:b/>
          <w:bCs/>
          <w:snapToGrid w:val="0"/>
          <w:color w:val="000000"/>
          <w:kern w:val="22"/>
          <w:szCs w:val="22"/>
        </w:rPr>
        <w:tab/>
        <w:t>Social media</w:t>
      </w:r>
      <w:bookmarkEnd w:id="186"/>
    </w:p>
    <w:p w14:paraId="65D119B3" w14:textId="77777777" w:rsidR="00DA0273" w:rsidRPr="00EB4842"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strategy will need to take advantage of existing social media and new technologies. An exhaustive list of the technologies to use is not appropriate, given that the platforms for these vary across regions and that the pace of change in the field of social media is such that certain platforms are rendered irrelevant over time. Nevertheless, implementation of this strategy should seek to incorporate the most up-to-date platforms and technologies, including through corporate partnerships. The security of data, and protection of all rights to privacy of users, as covered in </w:t>
      </w:r>
      <w:r w:rsidRPr="00EB4842">
        <w:rPr>
          <w:snapToGrid w:val="0"/>
          <w:color w:val="000000"/>
          <w:kern w:val="22"/>
          <w:szCs w:val="22"/>
        </w:rPr>
        <w:t>different legislation, needs to be taken into account.</w:t>
      </w:r>
    </w:p>
    <w:p w14:paraId="21D3DF2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EB4842">
        <w:rPr>
          <w:snapToGrid w:val="0"/>
          <w:color w:val="000000"/>
          <w:kern w:val="22"/>
          <w:szCs w:val="22"/>
        </w:rPr>
        <w:t xml:space="preserve">A list of agreed hashtags and common tagging words needs to be created, for each platform, to properly aggregate conversations in support of the Kunming-Montreal Global Biodiversity Framework. These should be aligned with the messaging </w:t>
      </w:r>
      <w:r w:rsidRPr="000309BE">
        <w:rPr>
          <w:snapToGrid w:val="0"/>
          <w:color w:val="000000"/>
          <w:kern w:val="22"/>
          <w:szCs w:val="22"/>
        </w:rPr>
        <w:t>outlined in table 3 and translated into other languages. This list should be created by the first coordination meeting, immediat</w:t>
      </w:r>
      <w:r w:rsidRPr="00EB4842">
        <w:rPr>
          <w:snapToGrid w:val="0"/>
          <w:color w:val="000000"/>
          <w:kern w:val="22"/>
          <w:szCs w:val="22"/>
        </w:rPr>
        <w:t>ely after the fifteenth meeting of the Conference of the Parties.</w:t>
      </w:r>
    </w:p>
    <w:p w14:paraId="582520C1"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Partnerships with social media organizations, such as Google, Meta, WeChat, Weibo, Twitter and LinkedIn, should be secured, with the goal of highlighting the messages and progress of the </w:t>
      </w:r>
      <w:r w:rsidRPr="004861B7">
        <w:rPr>
          <w:snapToGrid w:val="0"/>
          <w:color w:val="000000"/>
          <w:kern w:val="22"/>
          <w:szCs w:val="22"/>
        </w:rPr>
        <w:t>Kunming-Montreal Global Biodiversity Framework</w:t>
      </w:r>
      <w:r w:rsidRPr="004861B7" w:rsidDel="004861B7">
        <w:rPr>
          <w:snapToGrid w:val="0"/>
          <w:color w:val="000000"/>
          <w:kern w:val="22"/>
          <w:szCs w:val="22"/>
        </w:rPr>
        <w:t xml:space="preserve"> </w:t>
      </w:r>
      <w:r w:rsidRPr="00060F33">
        <w:rPr>
          <w:snapToGrid w:val="0"/>
          <w:color w:val="000000"/>
          <w:kern w:val="22"/>
          <w:szCs w:val="22"/>
        </w:rPr>
        <w:t>in campaigns and other promotions.</w:t>
      </w:r>
    </w:p>
    <w:p w14:paraId="2366656E" w14:textId="77777777" w:rsidR="00DA0273" w:rsidRPr="00060F33"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87" w:name="_Toc129621640"/>
      <w:r w:rsidRPr="00060F33">
        <w:rPr>
          <w:b/>
          <w:bCs/>
          <w:snapToGrid w:val="0"/>
          <w:color w:val="000000"/>
          <w:kern w:val="22"/>
          <w:szCs w:val="22"/>
        </w:rPr>
        <w:t>B.</w:t>
      </w:r>
      <w:r w:rsidRPr="00060F33">
        <w:rPr>
          <w:b/>
          <w:bCs/>
          <w:snapToGrid w:val="0"/>
          <w:color w:val="000000"/>
          <w:kern w:val="22"/>
          <w:szCs w:val="22"/>
        </w:rPr>
        <w:tab/>
        <w:t>Events</w:t>
      </w:r>
      <w:bookmarkEnd w:id="187"/>
    </w:p>
    <w:p w14:paraId="2A4DF438"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Events represent important communications opportunities, where messages can be disseminated to a variety of audiences, in a setting which is usually media-rich and of interest to a variety of communities. These include, among others, the meetings of the following:</w:t>
      </w:r>
    </w:p>
    <w:p w14:paraId="0B9ED839"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The Conference of the Parties to the Convention on Biological Diversity;</w:t>
      </w:r>
    </w:p>
    <w:p w14:paraId="67D9A7F2" w14:textId="77777777" w:rsidR="00DA0273" w:rsidRPr="00060F33" w:rsidRDefault="00DA0273" w:rsidP="00CB2DB9">
      <w:pPr>
        <w:pBdr>
          <w:top w:val="nil"/>
          <w:left w:val="nil"/>
          <w:bottom w:val="nil"/>
          <w:right w:val="nil"/>
          <w:between w:val="nil"/>
        </w:pBdr>
        <w:spacing w:before="120" w:after="120"/>
        <w:ind w:firstLine="720"/>
        <w:rPr>
          <w:snapToGrid w:val="0"/>
          <w:color w:val="000000"/>
          <w:spacing w:val="-5"/>
          <w:kern w:val="22"/>
          <w:szCs w:val="22"/>
        </w:rPr>
      </w:pPr>
      <w:r w:rsidRPr="00060F33">
        <w:rPr>
          <w:snapToGrid w:val="0"/>
          <w:color w:val="000000"/>
          <w:spacing w:val="-5"/>
          <w:kern w:val="22"/>
          <w:szCs w:val="22"/>
        </w:rPr>
        <w:t>(b)</w:t>
      </w:r>
      <w:r w:rsidRPr="00060F33">
        <w:rPr>
          <w:snapToGrid w:val="0"/>
          <w:color w:val="000000"/>
          <w:spacing w:val="-5"/>
          <w:kern w:val="22"/>
          <w:szCs w:val="22"/>
        </w:rPr>
        <w:tab/>
        <w:t>The Conference of the Parties to the United Nations Framework Convention on Climate Change;</w:t>
      </w:r>
    </w:p>
    <w:p w14:paraId="240CD352"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(c)</w:t>
      </w:r>
      <w:r w:rsidRPr="00060F33">
        <w:rPr>
          <w:snapToGrid w:val="0"/>
          <w:color w:val="000000"/>
          <w:kern w:val="22"/>
          <w:szCs w:val="22"/>
        </w:rPr>
        <w:tab/>
        <w:t xml:space="preserve">The Conference of the Parties to the United Nations Convention to Combat Desertification; </w:t>
      </w:r>
    </w:p>
    <w:p w14:paraId="1B13B38E"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(d)</w:t>
      </w:r>
      <w:r w:rsidRPr="00060F33">
        <w:rPr>
          <w:snapToGrid w:val="0"/>
          <w:color w:val="000000"/>
          <w:kern w:val="22"/>
          <w:szCs w:val="22"/>
        </w:rPr>
        <w:tab/>
        <w:t>The Intergovernmental Oceanographic Commission of UNESCO;</w:t>
      </w:r>
    </w:p>
    <w:p w14:paraId="5DDBFBFE"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The Conference of the Parties to the other biodiversity-related conventions;</w:t>
      </w:r>
    </w:p>
    <w:p w14:paraId="5B5F1BF5" w14:textId="77777777" w:rsidR="00DA0273" w:rsidRPr="00060F33" w:rsidRDefault="00DA0273" w:rsidP="00CB2DB9">
      <w:pPr>
        <w:pBdr>
          <w:top w:val="nil"/>
          <w:left w:val="nil"/>
          <w:bottom w:val="nil"/>
          <w:right w:val="nil"/>
          <w:between w:val="nil"/>
        </w:pBdr>
        <w:spacing w:before="120" w:after="120"/>
        <w:ind w:firstLine="720"/>
        <w:rPr>
          <w:snapToGrid w:val="0"/>
          <w:color w:val="000000"/>
          <w:spacing w:val="-8"/>
          <w:kern w:val="22"/>
          <w:szCs w:val="22"/>
        </w:rPr>
      </w:pPr>
      <w:r w:rsidRPr="00060F33">
        <w:rPr>
          <w:snapToGrid w:val="0"/>
          <w:color w:val="000000"/>
          <w:spacing w:val="-8"/>
          <w:kern w:val="22"/>
          <w:szCs w:val="22"/>
        </w:rPr>
        <w:t>(f)</w:t>
      </w:r>
      <w:r w:rsidRPr="00060F33">
        <w:rPr>
          <w:snapToGrid w:val="0"/>
          <w:color w:val="000000"/>
          <w:spacing w:val="-8"/>
          <w:kern w:val="22"/>
          <w:szCs w:val="22"/>
        </w:rPr>
        <w:tab/>
        <w:t>The Intergovernmental Science-Policy Platform on Biodiversity and Ecosystem Services (IPBES);</w:t>
      </w:r>
    </w:p>
    <w:p w14:paraId="6AC07A4A"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(g)</w:t>
      </w:r>
      <w:r w:rsidRPr="00060F33">
        <w:rPr>
          <w:snapToGrid w:val="0"/>
          <w:color w:val="000000"/>
          <w:kern w:val="22"/>
          <w:szCs w:val="22"/>
        </w:rPr>
        <w:tab/>
        <w:t>The United Nations General Assembly;</w:t>
      </w:r>
    </w:p>
    <w:p w14:paraId="7520657C"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(h)</w:t>
      </w:r>
      <w:r w:rsidRPr="00060F33">
        <w:rPr>
          <w:snapToGrid w:val="0"/>
          <w:color w:val="000000"/>
          <w:kern w:val="22"/>
          <w:szCs w:val="22"/>
        </w:rPr>
        <w:tab/>
        <w:t>The United Nations High-level Political Forum on Sustainable Development;</w:t>
      </w:r>
    </w:p>
    <w:p w14:paraId="76E248DE"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(j)</w:t>
      </w:r>
      <w:r w:rsidRPr="00060F33">
        <w:rPr>
          <w:snapToGrid w:val="0"/>
          <w:color w:val="000000"/>
          <w:kern w:val="22"/>
          <w:szCs w:val="22"/>
        </w:rPr>
        <w:tab/>
        <w:t>The United Nations Environment Assembly;</w:t>
      </w:r>
    </w:p>
    <w:p w14:paraId="6212728B"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(k)</w:t>
      </w:r>
      <w:r w:rsidRPr="00060F33">
        <w:rPr>
          <w:snapToGrid w:val="0"/>
          <w:color w:val="000000"/>
          <w:kern w:val="22"/>
          <w:szCs w:val="22"/>
        </w:rPr>
        <w:tab/>
        <w:t>The World Economic Forum</w:t>
      </w:r>
      <w:r w:rsidRPr="00060F33">
        <w:rPr>
          <w:snapToGrid w:val="0"/>
          <w:kern w:val="22"/>
          <w:szCs w:val="22"/>
        </w:rPr>
        <w:t>;</w:t>
      </w:r>
    </w:p>
    <w:p w14:paraId="78C12F1C" w14:textId="77777777" w:rsidR="00DA0273" w:rsidRPr="00060F33" w:rsidRDefault="00DA0273" w:rsidP="00CB2DB9">
      <w:pPr>
        <w:pBdr>
          <w:top w:val="nil"/>
          <w:left w:val="nil"/>
          <w:bottom w:val="nil"/>
          <w:right w:val="nil"/>
          <w:between w:val="nil"/>
        </w:pBdr>
        <w:spacing w:before="120" w:after="120"/>
        <w:ind w:firstLine="720"/>
        <w:rPr>
          <w:snapToGrid w:val="0"/>
          <w:kern w:val="22"/>
          <w:szCs w:val="22"/>
        </w:rPr>
      </w:pPr>
      <w:r w:rsidRPr="00060F33">
        <w:rPr>
          <w:snapToGrid w:val="0"/>
          <w:kern w:val="22"/>
          <w:szCs w:val="22"/>
        </w:rPr>
        <w:t>(l)</w:t>
      </w:r>
      <w:r w:rsidRPr="00060F33">
        <w:rPr>
          <w:snapToGrid w:val="0"/>
          <w:kern w:val="22"/>
          <w:szCs w:val="22"/>
        </w:rPr>
        <w:tab/>
        <w:t>The G7 and G20.</w:t>
      </w:r>
    </w:p>
    <w:p w14:paraId="2639459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National events that may be related to the biodiversity agenda, but are distinct from it, represent important communications opportunities as well. National cultural celebrations or celebrations of independence could also be used to show the linkages of biodiversity with national identity.</w:t>
      </w:r>
    </w:p>
    <w:p w14:paraId="7E2FE54E" w14:textId="77777777" w:rsidR="00DA0273" w:rsidRPr="00EB4842"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International days of the United Nations and others also represent important events during which the work of the Convention can be noted and celebrated. For these international days, messaging should be aligned in a way that shows how implementation of the Convention can contribute to the goals for each day. Some of the most important days to consider include the following: World Wetlands Day, World Wildlife Day, World Water Day, International Day of Forests, International Women’s Day, World Health Day, Earth Hour, Oceans Day, Earth Day, Mother Earth Day, Earth Overshoot Day, World Environment Day, World Day to Combat Desertification, World Cities </w:t>
      </w:r>
      <w:r w:rsidRPr="00EB4842">
        <w:rPr>
          <w:snapToGrid w:val="0"/>
          <w:color w:val="000000"/>
          <w:kern w:val="22"/>
          <w:szCs w:val="22"/>
        </w:rPr>
        <w:t>Day, World Soil Day and World Food Day.</w:t>
      </w:r>
    </w:p>
    <w:p w14:paraId="0E7CE2A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EB4842">
        <w:rPr>
          <w:snapToGrid w:val="0"/>
          <w:color w:val="000000"/>
          <w:kern w:val="22"/>
          <w:szCs w:val="22"/>
        </w:rPr>
        <w:lastRenderedPageBreak/>
        <w:t>The International Day for Biological Diversity, celebrated on 22 May of each year, should also be an extremely important event for any communications. Guided by the theme determined by the Executive Secretary, national-level actors should use the day as an opportunit</w:t>
      </w:r>
      <w:r w:rsidRPr="00060F33">
        <w:rPr>
          <w:snapToGrid w:val="0"/>
          <w:color w:val="000000"/>
          <w:kern w:val="22"/>
          <w:szCs w:val="22"/>
        </w:rPr>
        <w:t>y to articulate national visions and responses.</w:t>
      </w:r>
    </w:p>
    <w:p w14:paraId="68105B03" w14:textId="77777777" w:rsidR="00DA0273" w:rsidRPr="00060F33"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88" w:name="_Toc129621641"/>
      <w:r w:rsidRPr="00060F33">
        <w:rPr>
          <w:b/>
          <w:bCs/>
          <w:snapToGrid w:val="0"/>
          <w:color w:val="000000"/>
          <w:kern w:val="22"/>
          <w:szCs w:val="22"/>
        </w:rPr>
        <w:t>C.</w:t>
      </w:r>
      <w:r w:rsidRPr="00060F33">
        <w:rPr>
          <w:b/>
          <w:bCs/>
          <w:snapToGrid w:val="0"/>
          <w:color w:val="000000"/>
          <w:kern w:val="22"/>
          <w:szCs w:val="22"/>
        </w:rPr>
        <w:tab/>
        <w:t>Champions, Messengers of Peace and Goodwill Ambassadors</w:t>
      </w:r>
      <w:bookmarkEnd w:id="188"/>
    </w:p>
    <w:p w14:paraId="56807853"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kern w:val="22"/>
          <w:szCs w:val="22"/>
        </w:rPr>
        <w:t xml:space="preserve">A programme of “Champions for the </w:t>
      </w:r>
      <w:r w:rsidRPr="00251B53">
        <w:rPr>
          <w:bCs/>
          <w:snapToGrid w:val="0"/>
          <w:kern w:val="22"/>
          <w:szCs w:val="22"/>
        </w:rPr>
        <w:t>Kunming-Montreal Global Biodiversity Framework</w:t>
      </w:r>
      <w:r w:rsidRPr="00060F33">
        <w:rPr>
          <w:bCs/>
          <w:snapToGrid w:val="0"/>
          <w:kern w:val="22"/>
          <w:szCs w:val="22"/>
        </w:rPr>
        <w:t xml:space="preserve">” should be created that celebrates successes and inspiring actions in support of the </w:t>
      </w:r>
      <w:r>
        <w:rPr>
          <w:bCs/>
          <w:snapToGrid w:val="0"/>
          <w:kern w:val="22"/>
          <w:szCs w:val="22"/>
        </w:rPr>
        <w:t>F</w:t>
      </w:r>
      <w:r w:rsidRPr="00060F33">
        <w:rPr>
          <w:bCs/>
          <w:snapToGrid w:val="0"/>
          <w:kern w:val="22"/>
          <w:szCs w:val="22"/>
        </w:rPr>
        <w:t xml:space="preserve">ramework. The Champions programme should have awards, for example for individuals, youth, organizations, businesses, and governments. The programme would declare awards annually on the International Day for Biodiversity. A sponsor which could offer financial resources for the award should be identified, as should a global media partner. The prizes would be awarded according to the recommendations by a panel that includes representatives of UNEP, the Food and Agriculture Organization of the United Nations, </w:t>
      </w:r>
      <w:r>
        <w:rPr>
          <w:bCs/>
          <w:snapToGrid w:val="0"/>
          <w:kern w:val="22"/>
          <w:szCs w:val="22"/>
        </w:rPr>
        <w:t xml:space="preserve">the United Nations Development </w:t>
      </w:r>
      <w:r w:rsidRPr="00706703">
        <w:rPr>
          <w:bCs/>
          <w:snapToGrid w:val="0"/>
          <w:kern w:val="22"/>
          <w:szCs w:val="22"/>
        </w:rPr>
        <w:t>Programme (UNDP), IPBES</w:t>
      </w:r>
      <w:r w:rsidRPr="00060F33">
        <w:rPr>
          <w:bCs/>
          <w:snapToGrid w:val="0"/>
          <w:kern w:val="22"/>
          <w:szCs w:val="22"/>
        </w:rPr>
        <w:t xml:space="preserve">, </w:t>
      </w:r>
      <w:r>
        <w:rPr>
          <w:bCs/>
          <w:snapToGrid w:val="0"/>
          <w:kern w:val="22"/>
          <w:szCs w:val="22"/>
        </w:rPr>
        <w:t xml:space="preserve">and </w:t>
      </w:r>
      <w:r w:rsidRPr="00060F33">
        <w:rPr>
          <w:bCs/>
          <w:snapToGrid w:val="0"/>
          <w:kern w:val="22"/>
          <w:szCs w:val="22"/>
        </w:rPr>
        <w:t xml:space="preserve">the </w:t>
      </w:r>
      <w:r w:rsidRPr="00060F33">
        <w:rPr>
          <w:snapToGrid w:val="0"/>
          <w:kern w:val="22"/>
          <w:szCs w:val="22"/>
        </w:rPr>
        <w:t>World Economic Forum</w:t>
      </w:r>
      <w:r w:rsidRPr="00060F33">
        <w:rPr>
          <w:bCs/>
          <w:snapToGrid w:val="0"/>
          <w:kern w:val="22"/>
          <w:szCs w:val="22"/>
        </w:rPr>
        <w:t>, among others, as well as the Executive Secretary. Nominations would be delivered to the Executive Secretary.</w:t>
      </w:r>
    </w:p>
    <w:p w14:paraId="1994FA1F"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bCs/>
          <w:snapToGrid w:val="0"/>
          <w:kern w:val="22"/>
          <w:szCs w:val="22"/>
        </w:rPr>
      </w:pPr>
      <w:r w:rsidRPr="00060F33">
        <w:rPr>
          <w:bCs/>
          <w:snapToGrid w:val="0"/>
          <w:kern w:val="22"/>
          <w:szCs w:val="22"/>
        </w:rPr>
        <w:t xml:space="preserve">The United Nations should be invited to create a </w:t>
      </w:r>
      <w:r w:rsidRPr="00060F33">
        <w:rPr>
          <w:snapToGrid w:val="0"/>
          <w:kern w:val="22"/>
          <w:szCs w:val="22"/>
        </w:rPr>
        <w:t>Messenger of Peace</w:t>
      </w:r>
      <w:r w:rsidRPr="00060F33">
        <w:rPr>
          <w:bCs/>
          <w:snapToGrid w:val="0"/>
          <w:kern w:val="22"/>
          <w:szCs w:val="22"/>
        </w:rPr>
        <w:t xml:space="preserve"> for the </w:t>
      </w:r>
      <w:r w:rsidRPr="00620E07">
        <w:rPr>
          <w:bCs/>
          <w:snapToGrid w:val="0"/>
          <w:kern w:val="22"/>
          <w:szCs w:val="22"/>
        </w:rPr>
        <w:t>Kunming-Montreal Global Biodiversity Framework</w:t>
      </w:r>
      <w:r w:rsidRPr="00060F33">
        <w:rPr>
          <w:bCs/>
          <w:snapToGrid w:val="0"/>
          <w:kern w:val="22"/>
          <w:szCs w:val="22"/>
        </w:rPr>
        <w:t xml:space="preserve">, and also </w:t>
      </w:r>
      <w:r>
        <w:rPr>
          <w:bCs/>
          <w:snapToGrid w:val="0"/>
          <w:kern w:val="22"/>
          <w:szCs w:val="22"/>
        </w:rPr>
        <w:t xml:space="preserve">to </w:t>
      </w:r>
      <w:r w:rsidRPr="00060F33">
        <w:rPr>
          <w:bCs/>
          <w:snapToGrid w:val="0"/>
          <w:kern w:val="22"/>
          <w:szCs w:val="22"/>
        </w:rPr>
        <w:t xml:space="preserve">name </w:t>
      </w:r>
      <w:r w:rsidRPr="00060F33">
        <w:rPr>
          <w:snapToGrid w:val="0"/>
          <w:kern w:val="22"/>
          <w:szCs w:val="22"/>
        </w:rPr>
        <w:t>Goodwill Ambassadors</w:t>
      </w:r>
      <w:r w:rsidRPr="00060F33">
        <w:rPr>
          <w:bCs/>
          <w:snapToGrid w:val="0"/>
          <w:kern w:val="22"/>
          <w:szCs w:val="22"/>
        </w:rPr>
        <w:t xml:space="preserve"> for each of the United Nations regions to support the </w:t>
      </w:r>
      <w:r w:rsidRPr="00620E07">
        <w:rPr>
          <w:bCs/>
          <w:snapToGrid w:val="0"/>
          <w:kern w:val="22"/>
          <w:szCs w:val="22"/>
        </w:rPr>
        <w:t>Kunming-Montreal Global Biodiversity Framewor</w:t>
      </w:r>
      <w:r>
        <w:rPr>
          <w:bCs/>
          <w:snapToGrid w:val="0"/>
          <w:kern w:val="22"/>
          <w:szCs w:val="22"/>
        </w:rPr>
        <w:t>k</w:t>
      </w:r>
      <w:r w:rsidRPr="00060F33">
        <w:rPr>
          <w:bCs/>
          <w:snapToGrid w:val="0"/>
          <w:kern w:val="22"/>
          <w:szCs w:val="22"/>
        </w:rPr>
        <w:t xml:space="preserve">. These Ambassadors will provide support and messages for the </w:t>
      </w:r>
      <w:r>
        <w:rPr>
          <w:snapToGrid w:val="0"/>
          <w:color w:val="000000"/>
          <w:kern w:val="22"/>
          <w:szCs w:val="22"/>
        </w:rPr>
        <w:t>F</w:t>
      </w:r>
      <w:r w:rsidRPr="00060F33">
        <w:rPr>
          <w:snapToGrid w:val="0"/>
          <w:color w:val="000000"/>
          <w:kern w:val="22"/>
          <w:szCs w:val="22"/>
        </w:rPr>
        <w:t>ramework</w:t>
      </w:r>
      <w:r w:rsidRPr="00060F33">
        <w:rPr>
          <w:bCs/>
          <w:snapToGrid w:val="0"/>
          <w:kern w:val="22"/>
          <w:szCs w:val="22"/>
        </w:rPr>
        <w:t xml:space="preserve">. </w:t>
      </w:r>
    </w:p>
    <w:p w14:paraId="034C354E" w14:textId="77777777" w:rsidR="00DA0273" w:rsidRPr="0089447E"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89" w:name="_Toc129621642"/>
      <w:r w:rsidRPr="0089447E">
        <w:rPr>
          <w:b/>
          <w:bCs/>
          <w:snapToGrid w:val="0"/>
          <w:color w:val="000000"/>
          <w:kern w:val="22"/>
          <w:szCs w:val="22"/>
        </w:rPr>
        <w:t>D.</w:t>
      </w:r>
      <w:r w:rsidRPr="0089447E">
        <w:rPr>
          <w:b/>
          <w:bCs/>
          <w:snapToGrid w:val="0"/>
          <w:color w:val="000000"/>
          <w:kern w:val="22"/>
          <w:szCs w:val="22"/>
        </w:rPr>
        <w:tab/>
        <w:t>Website in support of the Kunming-Montreal Global Biodiversity Framework</w:t>
      </w:r>
      <w:bookmarkEnd w:id="189"/>
      <w:r w:rsidRPr="0089447E" w:rsidDel="0068359F">
        <w:rPr>
          <w:b/>
          <w:bCs/>
          <w:snapToGrid w:val="0"/>
          <w:color w:val="000000"/>
          <w:kern w:val="22"/>
          <w:szCs w:val="22"/>
        </w:rPr>
        <w:t xml:space="preserve"> </w:t>
      </w:r>
    </w:p>
    <w:p w14:paraId="1DA5B419"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A dedicated website should be established, with a unique URL and identity, consistent with the branding above. This would be different from the main website of the Convention with the aim of reaching a global audience. Such a website would reflect efforts to capture audiences and directing them to the resources tailored to their needs. The website would be linked to matching social-media campaigns.</w:t>
      </w:r>
    </w:p>
    <w:p w14:paraId="78FAF6D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This would require early and ongoing focus on search engine optimization, accessibility, social media campaigns alignment, analytics, and bidirectional interoperability with other information sources both within the Convention (main Convention website, national and central clearing-house mechanisms, and others), through InforMEA, and with both institutional and thematic partners. Country-specific mailing lists may need to be developed.</w:t>
      </w:r>
    </w:p>
    <w:p w14:paraId="4EDCFCE2"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kern w:val="22"/>
          <w:szCs w:val="22"/>
        </w:rPr>
      </w:pPr>
      <w:r w:rsidRPr="00060F33">
        <w:rPr>
          <w:snapToGrid w:val="0"/>
          <w:kern w:val="22"/>
          <w:szCs w:val="22"/>
        </w:rPr>
        <w:t>The website can also serve as the media hub for reusable media material, including both public and partner-only resources. Such resources can also include links to exhibitions of museums, botanical gardens and zoos and aquariums.</w:t>
      </w:r>
    </w:p>
    <w:p w14:paraId="0EDE5554" w14:textId="77777777" w:rsidR="00DA0273" w:rsidRPr="00060F33" w:rsidRDefault="00DA0273" w:rsidP="0089447E">
      <w:pPr>
        <w:keepNext/>
        <w:spacing w:before="120" w:after="120"/>
        <w:jc w:val="center"/>
        <w:rPr>
          <w:b/>
          <w:bCs/>
          <w:caps/>
          <w:snapToGrid w:val="0"/>
          <w:szCs w:val="22"/>
        </w:rPr>
      </w:pPr>
      <w:bookmarkStart w:id="190" w:name="_Toc129621643"/>
      <w:r w:rsidRPr="00060F33">
        <w:rPr>
          <w:b/>
          <w:bCs/>
          <w:caps/>
          <w:snapToGrid w:val="0"/>
          <w:szCs w:val="22"/>
        </w:rPr>
        <w:t>VIII.</w:t>
      </w:r>
      <w:r w:rsidRPr="00060F33">
        <w:rPr>
          <w:b/>
          <w:bCs/>
          <w:caps/>
          <w:snapToGrid w:val="0"/>
          <w:szCs w:val="22"/>
        </w:rPr>
        <w:tab/>
        <w:t>Key messaging</w:t>
      </w:r>
      <w:bookmarkEnd w:id="190"/>
    </w:p>
    <w:p w14:paraId="027C2839" w14:textId="77777777" w:rsidR="00DA0273" w:rsidRPr="007C2466"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AB18E7">
        <w:rPr>
          <w:snapToGrid w:val="0"/>
          <w:color w:val="000000"/>
          <w:kern w:val="22"/>
          <w:szCs w:val="22"/>
        </w:rPr>
        <w:t>Messaging for the Kunming-Montreal Global Biodiversity Framework</w:t>
      </w:r>
      <w:r w:rsidRPr="00AB18E7" w:rsidDel="0068359F">
        <w:rPr>
          <w:snapToGrid w:val="0"/>
          <w:color w:val="000000"/>
          <w:kern w:val="22"/>
          <w:szCs w:val="22"/>
        </w:rPr>
        <w:t xml:space="preserve"> </w:t>
      </w:r>
      <w:r w:rsidRPr="00AB18E7">
        <w:rPr>
          <w:snapToGrid w:val="0"/>
          <w:color w:val="000000"/>
          <w:kern w:val="22"/>
          <w:szCs w:val="22"/>
        </w:rPr>
        <w:t>needs to be consistent with previously developed messaging, in line with decision XIII/22. This includes the messaging for the 2050</w:t>
      </w:r>
      <w:r w:rsidRPr="00F03EE2">
        <w:rPr>
          <w:snapToGrid w:val="0"/>
          <w:color w:val="000000"/>
          <w:kern w:val="22"/>
          <w:szCs w:val="22"/>
        </w:rPr>
        <w:t> </w:t>
      </w:r>
      <w:r w:rsidRPr="00AB18E7">
        <w:rPr>
          <w:snapToGrid w:val="0"/>
          <w:color w:val="000000"/>
          <w:kern w:val="22"/>
          <w:szCs w:val="22"/>
        </w:rPr>
        <w:t xml:space="preserve">Vision for </w:t>
      </w:r>
      <w:r w:rsidRPr="00F03EE2">
        <w:rPr>
          <w:snapToGrid w:val="0"/>
          <w:color w:val="000000"/>
          <w:kern w:val="22"/>
          <w:szCs w:val="22"/>
        </w:rPr>
        <w:t>b</w:t>
      </w:r>
      <w:r w:rsidRPr="00AB18E7">
        <w:rPr>
          <w:snapToGrid w:val="0"/>
          <w:color w:val="000000"/>
          <w:kern w:val="22"/>
          <w:szCs w:val="22"/>
        </w:rPr>
        <w:t>iodiversity,</w:t>
      </w:r>
      <w:r w:rsidRPr="00060F33">
        <w:rPr>
          <w:snapToGrid w:val="0"/>
          <w:color w:val="000000"/>
          <w:kern w:val="22"/>
          <w:szCs w:val="22"/>
        </w:rPr>
        <w:t xml:space="preserve"> the 2030 Agenda </w:t>
      </w:r>
      <w:r w:rsidRPr="00D16B9C">
        <w:rPr>
          <w:snapToGrid w:val="0"/>
          <w:color w:val="000000"/>
          <w:kern w:val="22"/>
          <w:szCs w:val="22"/>
        </w:rPr>
        <w:t xml:space="preserve">for Sustainable Development </w:t>
      </w:r>
      <w:r w:rsidRPr="00060F33">
        <w:rPr>
          <w:snapToGrid w:val="0"/>
          <w:color w:val="000000"/>
          <w:kern w:val="22"/>
          <w:szCs w:val="22"/>
        </w:rPr>
        <w:t xml:space="preserve">and its Sustainable Development Goals, the United Nations Decade on Ecosystem Restoration, </w:t>
      </w:r>
      <w:r>
        <w:rPr>
          <w:snapToGrid w:val="0"/>
          <w:color w:val="000000"/>
          <w:kern w:val="22"/>
          <w:szCs w:val="22"/>
        </w:rPr>
        <w:t>t</w:t>
      </w:r>
      <w:r w:rsidRPr="00060F33">
        <w:rPr>
          <w:snapToGrid w:val="0"/>
          <w:color w:val="000000"/>
          <w:kern w:val="22"/>
          <w:szCs w:val="22"/>
        </w:rPr>
        <w:t>he United Nations Decade of Action to deliver the Sustainable Development Goals</w:t>
      </w:r>
      <w:r>
        <w:rPr>
          <w:snapToGrid w:val="0"/>
          <w:color w:val="000000"/>
          <w:kern w:val="22"/>
          <w:szCs w:val="22"/>
        </w:rPr>
        <w:t>,</w:t>
      </w:r>
      <w:r w:rsidRPr="00060F33">
        <w:rPr>
          <w:snapToGrid w:val="0"/>
          <w:color w:val="000000"/>
          <w:kern w:val="22"/>
          <w:szCs w:val="22"/>
        </w:rPr>
        <w:t xml:space="preserve"> the United Nations Decade of Ocean Science for Sustainable Development, the conclusions of the fifth edition of the </w:t>
      </w:r>
      <w:r w:rsidRPr="00060F33">
        <w:rPr>
          <w:i/>
          <w:snapToGrid w:val="0"/>
          <w:color w:val="000000"/>
          <w:kern w:val="22"/>
          <w:szCs w:val="22"/>
        </w:rPr>
        <w:t>Global Biodiversity Outlook</w:t>
      </w:r>
      <w:r w:rsidRPr="00060F33">
        <w:rPr>
          <w:iCs/>
          <w:snapToGrid w:val="0"/>
          <w:color w:val="000000"/>
          <w:kern w:val="22"/>
          <w:szCs w:val="22"/>
        </w:rPr>
        <w:t>,</w:t>
      </w:r>
      <w:r w:rsidRPr="00060F33">
        <w:rPr>
          <w:snapToGrid w:val="0"/>
          <w:color w:val="000000"/>
          <w:kern w:val="22"/>
          <w:szCs w:val="22"/>
        </w:rPr>
        <w:t xml:space="preserve"> the second edition of the </w:t>
      </w:r>
      <w:r w:rsidRPr="00060F33">
        <w:rPr>
          <w:i/>
          <w:iCs/>
          <w:snapToGrid w:val="0"/>
          <w:color w:val="000000"/>
          <w:kern w:val="22"/>
          <w:szCs w:val="22"/>
        </w:rPr>
        <w:t>Local Biodiversity Outlooks</w:t>
      </w:r>
      <w:r w:rsidRPr="00F03EE2">
        <w:rPr>
          <w:snapToGrid w:val="0"/>
          <w:color w:val="000000"/>
          <w:kern w:val="22"/>
          <w:szCs w:val="22"/>
        </w:rPr>
        <w:t>,</w:t>
      </w:r>
      <w:r w:rsidRPr="00B06B22">
        <w:rPr>
          <w:snapToGrid w:val="0"/>
          <w:color w:val="000000"/>
          <w:kern w:val="22"/>
          <w:szCs w:val="22"/>
        </w:rPr>
        <w:t xml:space="preserve"> </w:t>
      </w:r>
      <w:r w:rsidRPr="007C2466">
        <w:rPr>
          <w:snapToGrid w:val="0"/>
          <w:color w:val="000000"/>
          <w:kern w:val="22"/>
          <w:szCs w:val="22"/>
        </w:rPr>
        <w:t>and the overall messaging for the Convention.</w:t>
      </w:r>
    </w:p>
    <w:p w14:paraId="701FC8BA"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7C2466">
        <w:rPr>
          <w:snapToGrid w:val="0"/>
          <w:color w:val="000000"/>
          <w:kern w:val="22"/>
          <w:szCs w:val="22"/>
        </w:rPr>
        <w:t>Messaging needs to be evidence-based and scientifically credible, drawing upon the work of IPBES and its global assessments, among others. It also needs to be consistent with different knowledge systems, including the relevant traditional knowledge</w:t>
      </w:r>
      <w:r w:rsidRPr="00060F33">
        <w:rPr>
          <w:snapToGrid w:val="0"/>
          <w:color w:val="000000"/>
          <w:kern w:val="22"/>
          <w:szCs w:val="22"/>
        </w:rPr>
        <w:t xml:space="preserve"> systems of indigenous peoples and local communities.</w:t>
      </w:r>
    </w:p>
    <w:p w14:paraId="0E64865B" w14:textId="77777777" w:rsidR="00DA0273" w:rsidRPr="00FA320D"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Messages need to be adapted and translated into </w:t>
      </w:r>
      <w:r>
        <w:rPr>
          <w:snapToGrid w:val="0"/>
          <w:color w:val="000000"/>
          <w:kern w:val="22"/>
          <w:szCs w:val="22"/>
        </w:rPr>
        <w:t xml:space="preserve">indigenous and </w:t>
      </w:r>
      <w:r w:rsidRPr="00060F33">
        <w:rPr>
          <w:snapToGrid w:val="0"/>
          <w:color w:val="000000"/>
          <w:kern w:val="22"/>
          <w:szCs w:val="22"/>
        </w:rPr>
        <w:t xml:space="preserve">local languages, with resources </w:t>
      </w:r>
      <w:r w:rsidRPr="00FA320D">
        <w:rPr>
          <w:snapToGrid w:val="0"/>
          <w:color w:val="000000"/>
          <w:kern w:val="22"/>
          <w:szCs w:val="22"/>
        </w:rPr>
        <w:t>made available for this purpose.</w:t>
      </w:r>
    </w:p>
    <w:p w14:paraId="41830223" w14:textId="77777777" w:rsidR="00DA0273" w:rsidRPr="00FA320D"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FA320D">
        <w:rPr>
          <w:snapToGrid w:val="0"/>
          <w:kern w:val="22"/>
          <w:szCs w:val="22"/>
        </w:rPr>
        <w:t xml:space="preserve">Communicating the importance of awareness and change to promote sustainable development and lifestyles in harmony with nature will be a key element to support the implementation of the </w:t>
      </w:r>
      <w:r w:rsidRPr="00016958">
        <w:rPr>
          <w:snapToGrid w:val="0"/>
          <w:kern w:val="22"/>
          <w:szCs w:val="22"/>
        </w:rPr>
        <w:t>Kunming-</w:t>
      </w:r>
      <w:r w:rsidRPr="00016958">
        <w:rPr>
          <w:snapToGrid w:val="0"/>
          <w:kern w:val="22"/>
          <w:szCs w:val="22"/>
        </w:rPr>
        <w:lastRenderedPageBreak/>
        <w:t>Montreal Global Biodiversity Framework</w:t>
      </w:r>
      <w:r w:rsidRPr="00FA320D">
        <w:rPr>
          <w:snapToGrid w:val="0"/>
          <w:kern w:val="22"/>
          <w:szCs w:val="22"/>
        </w:rPr>
        <w:t>. In order to foster transformative change, key messages will take into account scientific evidence, and, at the national level, they may also address norms, attitudes and consumption choices.</w:t>
      </w:r>
    </w:p>
    <w:p w14:paraId="59F5D194" w14:textId="77777777" w:rsidR="00DA0273" w:rsidRPr="00FA320D"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FA320D">
        <w:rPr>
          <w:snapToGrid w:val="0"/>
          <w:color w:val="000000"/>
          <w:kern w:val="22"/>
          <w:szCs w:val="22"/>
        </w:rPr>
        <w:t>Elements for messaging will be the following:</w:t>
      </w:r>
    </w:p>
    <w:p w14:paraId="467604F0"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(a)</w:t>
      </w:r>
      <w:r w:rsidRPr="00060F33">
        <w:rPr>
          <w:snapToGrid w:val="0"/>
          <w:color w:val="000000"/>
          <w:kern w:val="22"/>
          <w:szCs w:val="22"/>
        </w:rPr>
        <w:tab/>
        <w:t>Overall, messages should communicate general elements about the connections of people to biodiversity and show how people are connected to biodiversity in almost all aspects of their lives;</w:t>
      </w:r>
    </w:p>
    <w:p w14:paraId="38A853CA" w14:textId="77777777" w:rsidR="00DA0273" w:rsidRPr="00E25E2B"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(b)</w:t>
      </w:r>
      <w:r w:rsidRPr="00060F33">
        <w:rPr>
          <w:snapToGrid w:val="0"/>
          <w:color w:val="000000"/>
          <w:kern w:val="22"/>
          <w:szCs w:val="22"/>
        </w:rPr>
        <w:tab/>
        <w:t xml:space="preserve">Messages should promote </w:t>
      </w:r>
      <w:r w:rsidRPr="007C2466">
        <w:rPr>
          <w:snapToGrid w:val="0"/>
          <w:color w:val="000000"/>
          <w:kern w:val="22"/>
          <w:szCs w:val="22"/>
        </w:rPr>
        <w:t xml:space="preserve">immediate </w:t>
      </w:r>
      <w:r w:rsidRPr="0099300B">
        <w:rPr>
          <w:snapToGrid w:val="0"/>
          <w:color w:val="000000"/>
          <w:kern w:val="22"/>
          <w:szCs w:val="22"/>
        </w:rPr>
        <w:t xml:space="preserve">action to halt </w:t>
      </w:r>
      <w:r w:rsidRPr="00F03EE2">
        <w:rPr>
          <w:snapToGrid w:val="0"/>
          <w:color w:val="000000"/>
          <w:kern w:val="22"/>
          <w:szCs w:val="22"/>
        </w:rPr>
        <w:t xml:space="preserve">and reverse </w:t>
      </w:r>
      <w:r w:rsidRPr="0099300B">
        <w:rPr>
          <w:snapToGrid w:val="0"/>
          <w:color w:val="000000"/>
          <w:kern w:val="22"/>
          <w:szCs w:val="22"/>
        </w:rPr>
        <w:t>biodiversity loss, and</w:t>
      </w:r>
      <w:r w:rsidRPr="007C2466">
        <w:rPr>
          <w:snapToGrid w:val="0"/>
          <w:color w:val="000000"/>
          <w:kern w:val="22"/>
          <w:szCs w:val="22"/>
        </w:rPr>
        <w:t xml:space="preserve"> encourage action by stakeholders in the context of the Kun</w:t>
      </w:r>
      <w:r w:rsidRPr="007B3178">
        <w:rPr>
          <w:snapToGrid w:val="0"/>
          <w:color w:val="000000"/>
          <w:kern w:val="22"/>
          <w:szCs w:val="22"/>
        </w:rPr>
        <w:t>ming-</w:t>
      </w:r>
      <w:r w:rsidRPr="00E25E2B">
        <w:rPr>
          <w:snapToGrid w:val="0"/>
          <w:color w:val="000000"/>
          <w:kern w:val="22"/>
          <w:szCs w:val="22"/>
        </w:rPr>
        <w:t>Montreal Global Biodiversity Framework</w:t>
      </w:r>
      <w:r w:rsidRPr="00E25E2B" w:rsidDel="007B3178">
        <w:rPr>
          <w:snapToGrid w:val="0"/>
          <w:color w:val="000000"/>
          <w:kern w:val="22"/>
          <w:szCs w:val="22"/>
        </w:rPr>
        <w:t xml:space="preserve"> </w:t>
      </w:r>
      <w:r w:rsidRPr="00E25E2B">
        <w:rPr>
          <w:snapToGrid w:val="0"/>
          <w:color w:val="000000"/>
          <w:kern w:val="22"/>
          <w:szCs w:val="22"/>
        </w:rPr>
        <w:t>as a means to achieve this goal;</w:t>
      </w:r>
    </w:p>
    <w:p w14:paraId="2CA335BD" w14:textId="77777777" w:rsidR="00DA0273" w:rsidRPr="00AB18E7" w:rsidRDefault="00DA0273" w:rsidP="00CB2DB9">
      <w:pPr>
        <w:pBdr>
          <w:top w:val="nil"/>
          <w:left w:val="nil"/>
          <w:bottom w:val="nil"/>
          <w:right w:val="nil"/>
          <w:between w:val="nil"/>
        </w:pBdr>
        <w:spacing w:before="120" w:after="120"/>
        <w:ind w:firstLine="720"/>
        <w:rPr>
          <w:snapToGrid w:val="0"/>
          <w:color w:val="000000"/>
          <w:kern w:val="22"/>
          <w:szCs w:val="22"/>
        </w:rPr>
      </w:pPr>
      <w:r w:rsidRPr="00E25E2B">
        <w:rPr>
          <w:snapToGrid w:val="0"/>
          <w:color w:val="000000"/>
          <w:kern w:val="22"/>
          <w:szCs w:val="22"/>
        </w:rPr>
        <w:t>(c)</w:t>
      </w:r>
      <w:r w:rsidRPr="00E25E2B">
        <w:rPr>
          <w:snapToGrid w:val="0"/>
          <w:color w:val="000000"/>
          <w:kern w:val="22"/>
          <w:szCs w:val="22"/>
        </w:rPr>
        <w:tab/>
        <w:t xml:space="preserve">The messages should also highlight the longer time horizon, including the 2050 Vision for </w:t>
      </w:r>
      <w:r w:rsidRPr="00F03EE2">
        <w:rPr>
          <w:snapToGrid w:val="0"/>
          <w:color w:val="000000"/>
          <w:kern w:val="22"/>
          <w:szCs w:val="22"/>
        </w:rPr>
        <w:t>b</w:t>
      </w:r>
      <w:r w:rsidRPr="00E25E2B">
        <w:rPr>
          <w:snapToGrid w:val="0"/>
          <w:color w:val="000000"/>
          <w:kern w:val="22"/>
          <w:szCs w:val="22"/>
        </w:rPr>
        <w:t>iodiversity,</w:t>
      </w:r>
      <w:r w:rsidRPr="00610646">
        <w:rPr>
          <w:rStyle w:val="FootnoteReference"/>
        </w:rPr>
        <w:footnoteReference w:id="149"/>
      </w:r>
      <w:r w:rsidRPr="00E25E2B">
        <w:rPr>
          <w:snapToGrid w:val="0"/>
          <w:color w:val="000000"/>
          <w:kern w:val="22"/>
          <w:szCs w:val="22"/>
        </w:rPr>
        <w:t xml:space="preserve"> and the 2030 Agenda for Sustainable Development, and should include linkages to climate-related targets;</w:t>
      </w:r>
    </w:p>
    <w:p w14:paraId="0C5166D6"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AB18E7">
        <w:rPr>
          <w:snapToGrid w:val="0"/>
          <w:color w:val="000000"/>
          <w:kern w:val="22"/>
          <w:szCs w:val="22"/>
        </w:rPr>
        <w:t>(d)</w:t>
      </w:r>
      <w:r w:rsidRPr="00AB18E7">
        <w:rPr>
          <w:snapToGrid w:val="0"/>
          <w:color w:val="000000"/>
          <w:kern w:val="22"/>
          <w:szCs w:val="22"/>
        </w:rPr>
        <w:tab/>
        <w:t xml:space="preserve">The importance of applying a human rights-based approach for achieving the 2050 Vision for </w:t>
      </w:r>
      <w:r w:rsidRPr="00F03EE2">
        <w:rPr>
          <w:snapToGrid w:val="0"/>
          <w:color w:val="000000"/>
          <w:kern w:val="22"/>
          <w:szCs w:val="22"/>
        </w:rPr>
        <w:t>b</w:t>
      </w:r>
      <w:r w:rsidRPr="00AB18E7">
        <w:rPr>
          <w:snapToGrid w:val="0"/>
          <w:color w:val="000000"/>
          <w:kern w:val="22"/>
          <w:szCs w:val="22"/>
        </w:rPr>
        <w:t>iodiversity;</w:t>
      </w:r>
    </w:p>
    <w:p w14:paraId="29E2C4AF"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(e)</w:t>
      </w:r>
      <w:r w:rsidRPr="00060F33">
        <w:rPr>
          <w:snapToGrid w:val="0"/>
          <w:color w:val="000000"/>
          <w:kern w:val="22"/>
          <w:szCs w:val="22"/>
        </w:rPr>
        <w:tab/>
        <w:t>Messages should also link the goals of the framework with specific national development priorities, as well as with the important roles of local and subnational governments in delivering said priorities, demonstrating how achieving sustainable development at the national level requires integration of biodiversity into these activities;</w:t>
      </w:r>
    </w:p>
    <w:p w14:paraId="7BA0361A"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(f)</w:t>
      </w:r>
      <w:r w:rsidRPr="00060F33">
        <w:rPr>
          <w:snapToGrid w:val="0"/>
          <w:color w:val="000000"/>
          <w:kern w:val="22"/>
          <w:szCs w:val="22"/>
        </w:rPr>
        <w:tab/>
        <w:t>Specific messages and campaigns should be sensitive to the values of the target audience and should express biodiversity and actions to conserve and sustainably use it in the context of these values. Therefore, audience research is a key element to any message customization;</w:t>
      </w:r>
    </w:p>
    <w:p w14:paraId="4C487D0E"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(g)</w:t>
      </w:r>
      <w:r w:rsidRPr="00060F33">
        <w:rPr>
          <w:snapToGrid w:val="0"/>
          <w:color w:val="000000"/>
          <w:kern w:val="22"/>
          <w:szCs w:val="22"/>
        </w:rPr>
        <w:tab/>
        <w:t xml:space="preserve">Messages need to be translated into </w:t>
      </w:r>
      <w:r>
        <w:rPr>
          <w:snapToGrid w:val="0"/>
          <w:color w:val="000000"/>
          <w:kern w:val="22"/>
          <w:szCs w:val="22"/>
        </w:rPr>
        <w:t xml:space="preserve">indigenous and </w:t>
      </w:r>
      <w:r w:rsidRPr="00060F33">
        <w:rPr>
          <w:snapToGrid w:val="0"/>
          <w:color w:val="000000"/>
          <w:kern w:val="22"/>
          <w:szCs w:val="22"/>
        </w:rPr>
        <w:t>local languages, including a sensitivity to the social and cultural context in which local languages are embedded;</w:t>
      </w:r>
    </w:p>
    <w:p w14:paraId="13F2546F"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(h)</w:t>
      </w:r>
      <w:r w:rsidRPr="00060F33">
        <w:rPr>
          <w:snapToGrid w:val="0"/>
          <w:color w:val="000000"/>
          <w:kern w:val="22"/>
          <w:szCs w:val="22"/>
        </w:rPr>
        <w:tab/>
        <w:t xml:space="preserve">Messages need to be gender-inclusive and in line with the principles of the </w:t>
      </w:r>
      <w:r>
        <w:rPr>
          <w:snapToGrid w:val="0"/>
          <w:color w:val="000000"/>
          <w:kern w:val="22"/>
          <w:szCs w:val="22"/>
        </w:rPr>
        <w:t>G</w:t>
      </w:r>
      <w:r w:rsidRPr="00060F33">
        <w:rPr>
          <w:snapToGrid w:val="0"/>
          <w:color w:val="000000"/>
          <w:kern w:val="22"/>
          <w:szCs w:val="22"/>
        </w:rPr>
        <w:t xml:space="preserve">ender </w:t>
      </w:r>
      <w:r>
        <w:rPr>
          <w:snapToGrid w:val="0"/>
          <w:color w:val="000000"/>
          <w:kern w:val="22"/>
          <w:szCs w:val="22"/>
        </w:rPr>
        <w:t>P</w:t>
      </w:r>
      <w:r w:rsidRPr="00060F33">
        <w:rPr>
          <w:snapToGrid w:val="0"/>
          <w:color w:val="000000"/>
          <w:kern w:val="22"/>
          <w:szCs w:val="22"/>
        </w:rPr>
        <w:t xml:space="preserve">lan of </w:t>
      </w:r>
      <w:r w:rsidRPr="00FA3FE8">
        <w:rPr>
          <w:snapToGrid w:val="0"/>
          <w:color w:val="000000"/>
          <w:kern w:val="22"/>
          <w:szCs w:val="22"/>
        </w:rPr>
        <w:t>Action;</w:t>
      </w:r>
      <w:r w:rsidRPr="00610646">
        <w:rPr>
          <w:rStyle w:val="FootnoteReference"/>
        </w:rPr>
        <w:footnoteReference w:id="150"/>
      </w:r>
    </w:p>
    <w:p w14:paraId="529DF1B4"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(i)</w:t>
      </w:r>
      <w:r w:rsidRPr="00060F33">
        <w:rPr>
          <w:snapToGrid w:val="0"/>
          <w:color w:val="000000"/>
          <w:kern w:val="22"/>
          <w:szCs w:val="22"/>
        </w:rPr>
        <w:tab/>
        <w:t xml:space="preserve">The message </w:t>
      </w:r>
      <w:r w:rsidRPr="00CE3748">
        <w:rPr>
          <w:snapToGrid w:val="0"/>
          <w:color w:val="000000"/>
          <w:kern w:val="22"/>
          <w:szCs w:val="22"/>
        </w:rPr>
        <w:t>structure presented in table 3 below is meant to suggest the direction of messages. An overall umbrella set of messages which could apply to public mobilization and advocacy campaigns, is suggested to be used by all actors;</w:t>
      </w:r>
    </w:p>
    <w:p w14:paraId="104E55E5"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(j)</w:t>
      </w:r>
      <w:r w:rsidRPr="00060F33">
        <w:rPr>
          <w:snapToGrid w:val="0"/>
          <w:color w:val="000000"/>
          <w:kern w:val="22"/>
          <w:szCs w:val="22"/>
        </w:rPr>
        <w:tab/>
        <w:t>Sector-specific messages will be tailored for specific audiences. These will be developed by organizations which are engaged with these sectors;</w:t>
      </w:r>
    </w:p>
    <w:p w14:paraId="2841DAF4" w14:textId="77777777" w:rsidR="00DA0273" w:rsidRPr="00060F33"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(k)</w:t>
      </w:r>
      <w:r w:rsidRPr="00060F33">
        <w:rPr>
          <w:snapToGrid w:val="0"/>
          <w:color w:val="000000"/>
          <w:kern w:val="22"/>
          <w:szCs w:val="22"/>
        </w:rPr>
        <w:tab/>
        <w:t>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levels;</w:t>
      </w:r>
    </w:p>
    <w:p w14:paraId="0179954A" w14:textId="77777777" w:rsidR="00DA0273" w:rsidRPr="007C2466" w:rsidRDefault="00DA0273" w:rsidP="00CB2DB9">
      <w:pPr>
        <w:pBdr>
          <w:top w:val="nil"/>
          <w:left w:val="nil"/>
          <w:bottom w:val="nil"/>
          <w:right w:val="nil"/>
          <w:between w:val="nil"/>
        </w:pBdr>
        <w:spacing w:before="120" w:after="120"/>
        <w:ind w:firstLine="720"/>
        <w:rPr>
          <w:snapToGrid w:val="0"/>
          <w:color w:val="000000"/>
          <w:kern w:val="22"/>
          <w:szCs w:val="22"/>
        </w:rPr>
      </w:pPr>
      <w:r w:rsidRPr="00060F33">
        <w:rPr>
          <w:snapToGrid w:val="0"/>
          <w:color w:val="000000"/>
          <w:kern w:val="22"/>
          <w:szCs w:val="22"/>
        </w:rPr>
        <w:t>(l)</w:t>
      </w:r>
      <w:r w:rsidRPr="00060F33">
        <w:rPr>
          <w:snapToGrid w:val="0"/>
          <w:color w:val="000000"/>
          <w:kern w:val="22"/>
          <w:szCs w:val="22"/>
        </w:rPr>
        <w:tab/>
        <w:t xml:space="preserve">Parties, subnational governments, cities and local governments and other relevant organizations are invited to hold national workshops for the creation of </w:t>
      </w:r>
      <w:r w:rsidRPr="007C2466">
        <w:rPr>
          <w:snapToGrid w:val="0"/>
          <w:color w:val="000000"/>
          <w:kern w:val="22"/>
          <w:szCs w:val="22"/>
        </w:rPr>
        <w:t>messages.</w:t>
      </w:r>
    </w:p>
    <w:p w14:paraId="3060F8C6" w14:textId="77777777" w:rsidR="00DA0273" w:rsidRPr="007C2466" w:rsidRDefault="00DA0273" w:rsidP="0019488A">
      <w:pPr>
        <w:keepNext/>
        <w:pBdr>
          <w:top w:val="nil"/>
          <w:left w:val="nil"/>
          <w:bottom w:val="nil"/>
          <w:right w:val="nil"/>
          <w:between w:val="nil"/>
        </w:pBdr>
        <w:spacing w:before="120" w:after="120"/>
        <w:rPr>
          <w:b/>
          <w:bCs/>
          <w:snapToGrid w:val="0"/>
          <w:color w:val="000000"/>
          <w:kern w:val="22"/>
          <w:szCs w:val="22"/>
        </w:rPr>
      </w:pPr>
      <w:bookmarkStart w:id="191" w:name="_Toc129621644"/>
      <w:r w:rsidRPr="007C2466">
        <w:rPr>
          <w:b/>
          <w:bCs/>
          <w:snapToGrid w:val="0"/>
          <w:color w:val="000000"/>
          <w:kern w:val="22"/>
          <w:szCs w:val="22"/>
        </w:rPr>
        <w:lastRenderedPageBreak/>
        <w:t>Table 3. Themes for messaging</w:t>
      </w:r>
      <w:bookmarkEnd w:id="191"/>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DA0273" w:rsidRPr="007C2466" w14:paraId="60905A09" w14:textId="77777777" w:rsidTr="009756D4">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3482F3" w14:textId="77777777" w:rsidR="00DA0273" w:rsidRPr="007C2466" w:rsidRDefault="00DA0273" w:rsidP="001F0CCB">
            <w:pPr>
              <w:keepNext/>
              <w:pBdr>
                <w:top w:val="nil"/>
                <w:left w:val="nil"/>
                <w:bottom w:val="nil"/>
                <w:right w:val="nil"/>
                <w:between w:val="nil"/>
              </w:pBdr>
              <w:spacing w:before="60" w:after="60"/>
              <w:jc w:val="left"/>
              <w:rPr>
                <w:snapToGrid w:val="0"/>
                <w:color w:val="000000"/>
                <w:kern w:val="22"/>
                <w:szCs w:val="22"/>
                <w:lang w:val="en-CA"/>
              </w:rPr>
            </w:pPr>
            <w:r w:rsidRPr="007C2466">
              <w:rPr>
                <w:b/>
                <w:bCs/>
                <w:snapToGrid w:val="0"/>
                <w:color w:val="000000"/>
                <w:kern w:val="22"/>
                <w:szCs w:val="22"/>
              </w:rPr>
              <w:t>Top-line message</w:t>
            </w:r>
            <w:r w:rsidRPr="007C2466">
              <w:rPr>
                <w:b/>
                <w:bCs/>
                <w:snapToGrid w:val="0"/>
                <w:color w:val="000000"/>
                <w:kern w:val="22"/>
                <w:szCs w:val="22"/>
                <w:lang w:val="en-CA"/>
              </w:rPr>
              <w:t xml:space="preserve">: </w:t>
            </w:r>
            <w:r w:rsidRPr="007C2466">
              <w:rPr>
                <w:snapToGrid w:val="0"/>
                <w:color w:val="000000"/>
                <w:kern w:val="22"/>
                <w:szCs w:val="22"/>
                <w:lang w:val="en-CA"/>
              </w:rPr>
              <w:t xml:space="preserve">By acting for nature/biodiversity, we can all create a just, healthier and more sustainable world </w:t>
            </w:r>
          </w:p>
        </w:tc>
      </w:tr>
      <w:tr w:rsidR="00DA0273" w:rsidRPr="007C2466" w14:paraId="4B720F6E" w14:textId="77777777" w:rsidTr="009756D4">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DB04D8" w14:textId="77777777" w:rsidR="00DA0273" w:rsidRPr="007C2466" w:rsidRDefault="00DA0273"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General theme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9558E1D" w14:textId="77777777" w:rsidR="00DA0273" w:rsidRPr="007C2466" w:rsidRDefault="00DA0273"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Public message</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239B87E" w14:textId="77777777" w:rsidR="00DA0273" w:rsidRPr="007C2466" w:rsidRDefault="00DA0273" w:rsidP="001F0CCB">
            <w:pPr>
              <w:keepNext/>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6777F6" w14:textId="77777777" w:rsidR="00DA0273" w:rsidRPr="007C2466" w:rsidRDefault="00DA0273" w:rsidP="001F0CCB">
            <w:pPr>
              <w:keepNext/>
              <w:pBdr>
                <w:top w:val="nil"/>
                <w:left w:val="nil"/>
                <w:bottom w:val="nil"/>
                <w:right w:val="nil"/>
                <w:between w:val="nil"/>
              </w:pBdr>
              <w:spacing w:before="60" w:after="60"/>
              <w:jc w:val="left"/>
              <w:rPr>
                <w:b/>
                <w:bCs/>
                <w:snapToGrid w:val="0"/>
                <w:color w:val="000000"/>
                <w:kern w:val="22"/>
                <w:szCs w:val="22"/>
                <w:lang w:val="en-CA"/>
              </w:rPr>
            </w:pPr>
            <w:r w:rsidRPr="007C2466">
              <w:rPr>
                <w:b/>
                <w:bCs/>
                <w:snapToGrid w:val="0"/>
                <w:color w:val="000000"/>
                <w:kern w:val="22"/>
                <w:szCs w:val="22"/>
                <w:lang w:val="en-CA"/>
              </w:rPr>
              <w:t>Policy message</w:t>
            </w:r>
          </w:p>
        </w:tc>
      </w:tr>
      <w:tr w:rsidR="00DA0273" w:rsidRPr="00060F33" w14:paraId="13FA0385"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C6D17D" w14:textId="77777777" w:rsidR="00DA0273" w:rsidRPr="007C2466" w:rsidRDefault="00DA0273"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We need to halt and reverse biodiversity loss and ensure sustainable development for all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35FA324" w14:textId="77777777" w:rsidR="00DA0273" w:rsidRPr="007C2466" w:rsidRDefault="00DA0273"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To be determined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7028A4C" w14:textId="77777777" w:rsidR="00DA0273" w:rsidRPr="007C2466"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8066F0"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7C2466">
              <w:rPr>
                <w:snapToGrid w:val="0"/>
                <w:color w:val="000000"/>
                <w:kern w:val="22"/>
                <w:szCs w:val="22"/>
                <w:lang w:val="en-CA"/>
              </w:rPr>
              <w:t>TBD</w:t>
            </w:r>
          </w:p>
        </w:tc>
      </w:tr>
      <w:tr w:rsidR="00DA0273" w:rsidRPr="00060F33" w14:paraId="5D925C71" w14:textId="77777777" w:rsidTr="009756D4">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65C261"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Nature/biodiversity is essential for our survival on the planet. It</w:t>
            </w:r>
            <w:r>
              <w:rPr>
                <w:snapToGrid w:val="0"/>
                <w:color w:val="000000"/>
                <w:kern w:val="22"/>
                <w:szCs w:val="22"/>
                <w:lang w:val="en-CA"/>
              </w:rPr>
              <w:t> </w:t>
            </w:r>
            <w:r w:rsidRPr="00060F33">
              <w:rPr>
                <w:snapToGrid w:val="0"/>
                <w:color w:val="000000"/>
                <w:kern w:val="22"/>
                <w:szCs w:val="22"/>
                <w:lang w:val="en-CA"/>
              </w:rPr>
              <w:t>matters for our prosperity, happiness and well-being and for sustainable development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FDF04DD"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 xml:space="preserve">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9CA756A"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074943"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1A80AE80" w14:textId="77777777" w:rsidTr="009756D4">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F1315E"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Nature/biodiversity has intrinsic value as well as multiple other values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9FFC695"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471F70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1EAA87"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04BDFDAA" w14:textId="77777777" w:rsidTr="009756D4">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B3137B"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The nature/biodiversity crisis poses a threat to humankind and needs to be addressed urgently and in a coherent manner</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1FF2B40"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52B20B9"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933752"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22878D39"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B91111"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Innovative approaches to the conservation and sustainable use of biodiversity</w:t>
            </w:r>
            <w:r w:rsidRPr="00060F33" w:rsidDel="0089044A">
              <w:rPr>
                <w:snapToGrid w:val="0"/>
                <w:color w:val="000000"/>
                <w:kern w:val="22"/>
                <w:szCs w:val="22"/>
                <w:lang w:val="en-CA"/>
              </w:rPr>
              <w:t xml:space="preserve"> </w:t>
            </w:r>
            <w:r w:rsidRPr="00060F33">
              <w:rPr>
                <w:snapToGrid w:val="0"/>
                <w:color w:val="000000"/>
                <w:kern w:val="22"/>
                <w:szCs w:val="22"/>
                <w:lang w:val="en-CA"/>
              </w:rPr>
              <w:t>hold the key to support poverty eradication efforts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1D07664"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55AC38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60BECC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2C0A930B"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419202"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Protecting nature should leave no one behind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F8B2972"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8C1E8A3"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206702F"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779320F9"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CB7C9EA"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The world needs to cooperate to tackle the loss of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1C9E356"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9231F1A"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36CFF83"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5540CBA9"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64EF3C"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Action for people underpins action for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53AB786"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89F6AA4"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6CB030D"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75FF0229" w14:textId="77777777" w:rsidTr="009756D4">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D1E63E"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Plans to affect the future of our planet need to be fair, inclusive and equitable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C7A95D0"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5D23CBA"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D70A88D"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275F086C" w14:textId="77777777" w:rsidTr="009756D4">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02D009"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 xml:space="preserve">Economies and societies need transformational change to achieve </w:t>
            </w:r>
            <w:r w:rsidRPr="00060F33">
              <w:rPr>
                <w:snapToGrid w:val="0"/>
                <w:kern w:val="22"/>
                <w:szCs w:val="22"/>
              </w:rPr>
              <w:t>sustainable development and lifestyles in harmony with nature</w:t>
            </w:r>
            <w:r w:rsidRPr="00060F33">
              <w:rPr>
                <w:snapToGrid w:val="0"/>
                <w:color w:val="000000"/>
                <w:kern w:val="22"/>
                <w:szCs w:val="22"/>
                <w:lang w:val="en-CA"/>
              </w:rPr>
              <w:t xml:space="preserve">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F3CDE6" w14:textId="77777777" w:rsidR="00DA0273" w:rsidRPr="00060F33" w:rsidRDefault="00DA0273" w:rsidP="001F0CCB">
            <w:pP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D2EC83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6C3FA1E"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365B9ED4" w14:textId="77777777" w:rsidTr="009756D4">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D2E191"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Our relationship with nature/biodiversity can increase the risk of infections</w:t>
            </w:r>
            <w:r>
              <w:rPr>
                <w:snapToGrid w:val="0"/>
                <w:color w:val="000000"/>
                <w:kern w:val="22"/>
                <w:szCs w:val="22"/>
                <w:lang w:val="en-CA"/>
              </w:rPr>
              <w:t xml:space="preserve"> and spread</w:t>
            </w:r>
            <w:r w:rsidRPr="00060F33">
              <w:rPr>
                <w:snapToGrid w:val="0"/>
                <w:color w:val="000000"/>
                <w:kern w:val="22"/>
                <w:szCs w:val="22"/>
                <w:lang w:val="en-CA"/>
              </w:rPr>
              <w:t xml:space="preserve"> of diseases of zoonotic origin</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C24325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3AC3C6D"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96EF00"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0E24D054"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E8FDF5"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Immediate action is required to protect the health of our people and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C63A321"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575FE09"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A9F58F7"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719299B7"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58DCC4"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We are all accountable for our actions to protect the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1A1229"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C378942"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998510"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sidRPr="00060F33">
              <w:rPr>
                <w:snapToGrid w:val="0"/>
                <w:color w:val="000000"/>
                <w:kern w:val="22"/>
                <w:szCs w:val="22"/>
                <w:lang w:val="en-CA"/>
              </w:rPr>
              <w:t>TBD</w:t>
            </w:r>
          </w:p>
        </w:tc>
      </w:tr>
      <w:tr w:rsidR="00DA0273" w:rsidRPr="00060F33" w14:paraId="186A737F" w14:textId="77777777" w:rsidTr="009756D4">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01FF8B2"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 xml:space="preserve">Living well and in harmony with Mother </w:t>
            </w:r>
            <w:r w:rsidRPr="00D63577">
              <w:rPr>
                <w:snapToGrid w:val="0"/>
                <w:color w:val="000000"/>
                <w:kern w:val="22"/>
                <w:szCs w:val="22"/>
                <w:lang w:val="en-CA"/>
              </w:rPr>
              <w:t>Earth, aimed at the conservation and sustainable use of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59477D8"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BC64F45"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DBCD93" w14:textId="77777777" w:rsidR="00DA0273" w:rsidRPr="00060F33" w:rsidRDefault="00DA0273" w:rsidP="001F0CCB">
            <w:pPr>
              <w:pBdr>
                <w:top w:val="nil"/>
                <w:left w:val="nil"/>
                <w:bottom w:val="nil"/>
                <w:right w:val="nil"/>
                <w:between w:val="nil"/>
              </w:pBdr>
              <w:spacing w:before="60" w:after="60"/>
              <w:jc w:val="left"/>
              <w:rPr>
                <w:snapToGrid w:val="0"/>
                <w:color w:val="000000"/>
                <w:kern w:val="22"/>
                <w:szCs w:val="22"/>
                <w:lang w:val="en-CA"/>
              </w:rPr>
            </w:pPr>
            <w:r>
              <w:rPr>
                <w:snapToGrid w:val="0"/>
                <w:color w:val="000000"/>
                <w:kern w:val="22"/>
                <w:szCs w:val="22"/>
                <w:lang w:val="en-CA"/>
              </w:rPr>
              <w:t>TBD</w:t>
            </w:r>
          </w:p>
        </w:tc>
      </w:tr>
    </w:tbl>
    <w:p w14:paraId="46DD829D" w14:textId="77777777" w:rsidR="00DA0273" w:rsidRPr="00060F33" w:rsidRDefault="00DA0273" w:rsidP="0089447E">
      <w:pPr>
        <w:keepNext/>
        <w:spacing w:before="240" w:after="120"/>
        <w:jc w:val="center"/>
        <w:rPr>
          <w:b/>
          <w:bCs/>
          <w:caps/>
          <w:snapToGrid w:val="0"/>
          <w:szCs w:val="22"/>
        </w:rPr>
      </w:pPr>
      <w:bookmarkStart w:id="192" w:name="_Toc129621645"/>
      <w:r w:rsidRPr="00060F33">
        <w:rPr>
          <w:b/>
          <w:bCs/>
          <w:caps/>
          <w:snapToGrid w:val="0"/>
          <w:szCs w:val="22"/>
        </w:rPr>
        <w:t>IX.</w:t>
      </w:r>
      <w:r w:rsidRPr="00060F33">
        <w:rPr>
          <w:b/>
          <w:bCs/>
          <w:caps/>
          <w:snapToGrid w:val="0"/>
          <w:szCs w:val="22"/>
        </w:rPr>
        <w:tab/>
        <w:t>Measuring progress</w:t>
      </w:r>
      <w:bookmarkEnd w:id="192"/>
    </w:p>
    <w:p w14:paraId="3AE892B5"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assessment of progress for the strategy needs to be linked with progress in achieving the goals and targets of the </w:t>
      </w:r>
      <w:r w:rsidRPr="00771E73">
        <w:rPr>
          <w:snapToGrid w:val="0"/>
          <w:color w:val="000000"/>
          <w:kern w:val="22"/>
          <w:szCs w:val="22"/>
        </w:rPr>
        <w:t>Kunming-Montreal Global Biodiversity Framework</w:t>
      </w:r>
      <w:r w:rsidRPr="00060F33">
        <w:rPr>
          <w:snapToGrid w:val="0"/>
          <w:color w:val="000000"/>
          <w:kern w:val="22"/>
          <w:szCs w:val="22"/>
        </w:rPr>
        <w:t xml:space="preserve">, as well as traditional metrics for </w:t>
      </w:r>
      <w:r w:rsidRPr="00060F33">
        <w:rPr>
          <w:snapToGrid w:val="0"/>
          <w:color w:val="000000"/>
          <w:kern w:val="22"/>
          <w:szCs w:val="22"/>
        </w:rPr>
        <w:lastRenderedPageBreak/>
        <w:t>reach and impact. Assessment also needs to capture important changes over time and to assess progress towards access to relevant information, and increased awareness and willingness to act for biodiversity.</w:t>
      </w:r>
    </w:p>
    <w:p w14:paraId="07510326" w14:textId="77777777" w:rsidR="00DA0273" w:rsidRPr="00060F33"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93" w:name="_Toc129621646"/>
      <w:r w:rsidRPr="00060F33">
        <w:rPr>
          <w:b/>
          <w:bCs/>
          <w:snapToGrid w:val="0"/>
          <w:color w:val="000000"/>
          <w:kern w:val="22"/>
          <w:szCs w:val="22"/>
        </w:rPr>
        <w:t>A.</w:t>
      </w:r>
      <w:r w:rsidRPr="00060F33">
        <w:rPr>
          <w:b/>
          <w:bCs/>
          <w:snapToGrid w:val="0"/>
          <w:color w:val="000000"/>
          <w:kern w:val="22"/>
          <w:szCs w:val="22"/>
        </w:rPr>
        <w:tab/>
        <w:t>Campaigns, and media reach</w:t>
      </w:r>
      <w:bookmarkEnd w:id="193"/>
    </w:p>
    <w:p w14:paraId="49F270AB"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At the global level, partners to the coordination mechanism should report results of campaigns, and media reach (including social media reach), to the Executive Secretary. Initiatives can be captured by an aggregator tool, such as the People for our Planet Aggregator.</w:t>
      </w:r>
      <w:r w:rsidRPr="00610646">
        <w:rPr>
          <w:rStyle w:val="FootnoteReference"/>
        </w:rPr>
        <w:footnoteReference w:id="151"/>
      </w:r>
      <w:r w:rsidRPr="00060F33">
        <w:rPr>
          <w:snapToGrid w:val="0"/>
          <w:color w:val="000000"/>
          <w:kern w:val="22"/>
          <w:szCs w:val="22"/>
        </w:rPr>
        <w:t xml:space="preserve"> </w:t>
      </w:r>
    </w:p>
    <w:p w14:paraId="74D91BDF"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At the national level, Parties to the Convention should also gather the above data for inclusion in their national reporting.</w:t>
      </w:r>
    </w:p>
    <w:p w14:paraId="480F2C5A" w14:textId="77777777" w:rsidR="00DA0273" w:rsidRPr="00060F33" w:rsidRDefault="00DA0273" w:rsidP="008944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194" w:name="_Toc129621647"/>
      <w:r w:rsidRPr="00060F33">
        <w:rPr>
          <w:b/>
          <w:bCs/>
          <w:snapToGrid w:val="0"/>
          <w:color w:val="000000"/>
          <w:kern w:val="22"/>
          <w:szCs w:val="22"/>
        </w:rPr>
        <w:t>B.</w:t>
      </w:r>
      <w:r w:rsidRPr="00060F33">
        <w:rPr>
          <w:b/>
          <w:bCs/>
          <w:snapToGrid w:val="0"/>
          <w:color w:val="000000"/>
          <w:kern w:val="22"/>
          <w:szCs w:val="22"/>
        </w:rPr>
        <w:tab/>
        <w:t>Linkage with the targets</w:t>
      </w:r>
      <w:bookmarkEnd w:id="194"/>
    </w:p>
    <w:p w14:paraId="092559BB" w14:textId="77777777" w:rsidR="00DA0273" w:rsidRPr="009C5145"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060F33">
        <w:rPr>
          <w:snapToGrid w:val="0"/>
          <w:color w:val="000000"/>
          <w:kern w:val="22"/>
          <w:szCs w:val="22"/>
        </w:rPr>
        <w:t xml:space="preserve">The strategy will communicate progress in the </w:t>
      </w:r>
      <w:r w:rsidRPr="009C5145">
        <w:rPr>
          <w:snapToGrid w:val="0"/>
          <w:color w:val="000000"/>
          <w:kern w:val="22"/>
          <w:szCs w:val="22"/>
        </w:rPr>
        <w:t>implementation of the Kunming-Montreal Global Biodiversity Framework</w:t>
      </w:r>
      <w:r w:rsidRPr="009C5145" w:rsidDel="00184B11">
        <w:rPr>
          <w:snapToGrid w:val="0"/>
          <w:color w:val="000000"/>
          <w:kern w:val="22"/>
          <w:szCs w:val="22"/>
        </w:rPr>
        <w:t xml:space="preserve"> </w:t>
      </w:r>
      <w:r w:rsidRPr="009C5145">
        <w:rPr>
          <w:snapToGrid w:val="0"/>
          <w:color w:val="000000"/>
          <w:kern w:val="22"/>
          <w:szCs w:val="22"/>
        </w:rPr>
        <w:t>using the agreed-upon set of indicators under the monitoring and reporting framework.</w:t>
      </w:r>
      <w:r w:rsidRPr="00610646">
        <w:rPr>
          <w:rStyle w:val="FootnoteReference"/>
        </w:rPr>
        <w:footnoteReference w:id="152"/>
      </w:r>
      <w:r w:rsidRPr="009C5145">
        <w:rPr>
          <w:snapToGrid w:val="0"/>
          <w:color w:val="000000"/>
          <w:kern w:val="22"/>
          <w:szCs w:val="22"/>
        </w:rPr>
        <w:t xml:space="preserve"> Innovative and multi-channel ways of communicating the information will be developed, with modalities suitable for different Parties.</w:t>
      </w:r>
    </w:p>
    <w:p w14:paraId="78F01706"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color w:val="000000"/>
          <w:kern w:val="22"/>
          <w:szCs w:val="22"/>
        </w:rPr>
      </w:pPr>
      <w:r w:rsidRPr="009C5145">
        <w:rPr>
          <w:snapToGrid w:val="0"/>
          <w:color w:val="000000"/>
          <w:kern w:val="22"/>
          <w:szCs w:val="22"/>
        </w:rPr>
        <w:t>Reports by other bodies and organizations should also p</w:t>
      </w:r>
      <w:r w:rsidRPr="00060F33">
        <w:rPr>
          <w:snapToGrid w:val="0"/>
          <w:color w:val="000000"/>
          <w:kern w:val="22"/>
          <w:szCs w:val="22"/>
        </w:rPr>
        <w:t xml:space="preserve">rovide additional outreach on progress. The WWF </w:t>
      </w:r>
      <w:r w:rsidRPr="00060F33">
        <w:rPr>
          <w:i/>
          <w:iCs/>
          <w:snapToGrid w:val="0"/>
          <w:color w:val="000000"/>
          <w:kern w:val="22"/>
          <w:szCs w:val="22"/>
        </w:rPr>
        <w:t>Living Planet Report</w:t>
      </w:r>
      <w:r w:rsidRPr="00060F33">
        <w:rPr>
          <w:snapToGrid w:val="0"/>
          <w:color w:val="000000"/>
          <w:kern w:val="22"/>
          <w:szCs w:val="22"/>
        </w:rPr>
        <w:t xml:space="preserve">, the publications of the </w:t>
      </w:r>
      <w:r w:rsidRPr="00060F33">
        <w:rPr>
          <w:snapToGrid w:val="0"/>
          <w:kern w:val="22"/>
          <w:szCs w:val="22"/>
        </w:rPr>
        <w:t>World Economic Forum</w:t>
      </w:r>
      <w:r w:rsidRPr="00060F33">
        <w:rPr>
          <w:snapToGrid w:val="0"/>
          <w:color w:val="000000"/>
          <w:kern w:val="22"/>
          <w:szCs w:val="22"/>
        </w:rPr>
        <w:t xml:space="preserve">, the </w:t>
      </w:r>
      <w:r w:rsidRPr="00060F33">
        <w:rPr>
          <w:i/>
          <w:iCs/>
          <w:snapToGrid w:val="0"/>
          <w:color w:val="000000"/>
          <w:kern w:val="22"/>
          <w:szCs w:val="22"/>
        </w:rPr>
        <w:t>Human Development Report</w:t>
      </w:r>
      <w:r w:rsidRPr="00060F33">
        <w:rPr>
          <w:snapToGrid w:val="0"/>
          <w:color w:val="000000"/>
          <w:kern w:val="22"/>
          <w:szCs w:val="22"/>
        </w:rPr>
        <w:t xml:space="preserve"> published by UNDP, and the UNEP </w:t>
      </w:r>
      <w:r w:rsidRPr="00060F33">
        <w:rPr>
          <w:i/>
          <w:iCs/>
          <w:snapToGrid w:val="0"/>
          <w:color w:val="000000"/>
          <w:kern w:val="22"/>
          <w:szCs w:val="22"/>
        </w:rPr>
        <w:t>Global Environment Outlook</w:t>
      </w:r>
      <w:r w:rsidRPr="00060F33">
        <w:rPr>
          <w:snapToGrid w:val="0"/>
          <w:color w:val="000000"/>
          <w:kern w:val="22"/>
          <w:szCs w:val="22"/>
        </w:rPr>
        <w:t xml:space="preserve"> could all devote issues, during the period of the </w:t>
      </w:r>
      <w:r>
        <w:rPr>
          <w:snapToGrid w:val="0"/>
          <w:color w:val="000000"/>
          <w:kern w:val="22"/>
          <w:szCs w:val="22"/>
        </w:rPr>
        <w:t>Kunming-Montreal G</w:t>
      </w:r>
      <w:r w:rsidRPr="00060F33">
        <w:rPr>
          <w:snapToGrid w:val="0"/>
          <w:color w:val="000000"/>
          <w:kern w:val="22"/>
          <w:szCs w:val="22"/>
        </w:rPr>
        <w:t xml:space="preserve">lobal </w:t>
      </w:r>
      <w:r>
        <w:rPr>
          <w:snapToGrid w:val="0"/>
          <w:color w:val="000000"/>
          <w:kern w:val="22"/>
          <w:szCs w:val="22"/>
        </w:rPr>
        <w:t>B</w:t>
      </w:r>
      <w:r w:rsidRPr="00060F33">
        <w:rPr>
          <w:snapToGrid w:val="0"/>
          <w:color w:val="000000"/>
          <w:kern w:val="22"/>
          <w:szCs w:val="22"/>
        </w:rPr>
        <w:t xml:space="preserve">iodiversity </w:t>
      </w:r>
      <w:r>
        <w:rPr>
          <w:snapToGrid w:val="0"/>
          <w:color w:val="000000"/>
          <w:kern w:val="22"/>
          <w:szCs w:val="22"/>
        </w:rPr>
        <w:t>F</w:t>
      </w:r>
      <w:r w:rsidRPr="00060F33">
        <w:rPr>
          <w:snapToGrid w:val="0"/>
          <w:color w:val="000000"/>
          <w:kern w:val="22"/>
          <w:szCs w:val="22"/>
        </w:rPr>
        <w:t xml:space="preserve">ramework, to results under the </w:t>
      </w:r>
      <w:r>
        <w:rPr>
          <w:snapToGrid w:val="0"/>
          <w:color w:val="000000"/>
          <w:kern w:val="22"/>
          <w:szCs w:val="22"/>
        </w:rPr>
        <w:t>F</w:t>
      </w:r>
      <w:r w:rsidRPr="00060F33">
        <w:rPr>
          <w:snapToGrid w:val="0"/>
          <w:color w:val="000000"/>
          <w:kern w:val="22"/>
          <w:szCs w:val="22"/>
        </w:rPr>
        <w:t>ramework.</w:t>
      </w:r>
    </w:p>
    <w:p w14:paraId="2DB034F2" w14:textId="77777777" w:rsidR="00DA0273" w:rsidRPr="00060F33" w:rsidRDefault="00DA0273" w:rsidP="0089447E">
      <w:pPr>
        <w:keepNext/>
        <w:spacing w:before="120" w:after="120"/>
        <w:jc w:val="center"/>
        <w:rPr>
          <w:b/>
          <w:bCs/>
          <w:caps/>
          <w:snapToGrid w:val="0"/>
          <w:szCs w:val="22"/>
        </w:rPr>
      </w:pPr>
      <w:bookmarkStart w:id="195" w:name="_Toc129621648"/>
      <w:bookmarkStart w:id="196" w:name="_Hlk89089611"/>
      <w:r w:rsidRPr="00060F33">
        <w:rPr>
          <w:b/>
          <w:bCs/>
          <w:caps/>
          <w:snapToGrid w:val="0"/>
          <w:szCs w:val="22"/>
        </w:rPr>
        <w:t>X.</w:t>
      </w:r>
      <w:r w:rsidRPr="00060F33">
        <w:rPr>
          <w:b/>
          <w:bCs/>
          <w:caps/>
          <w:snapToGrid w:val="0"/>
          <w:szCs w:val="22"/>
        </w:rPr>
        <w:tab/>
        <w:t>Resources</w:t>
      </w:r>
      <w:bookmarkEnd w:id="195"/>
    </w:p>
    <w:bookmarkEnd w:id="196"/>
    <w:p w14:paraId="5BEBF3D1" w14:textId="77777777" w:rsidR="00DA0273" w:rsidRPr="00060F33" w:rsidRDefault="00DA0273" w:rsidP="00950BE4">
      <w:pPr>
        <w:pStyle w:val="ListParagraph"/>
        <w:numPr>
          <w:ilvl w:val="0"/>
          <w:numId w:val="54"/>
        </w:numPr>
        <w:pBdr>
          <w:top w:val="nil"/>
          <w:left w:val="nil"/>
          <w:bottom w:val="nil"/>
          <w:right w:val="nil"/>
          <w:between w:val="nil"/>
        </w:pBdr>
        <w:spacing w:before="120" w:after="120"/>
        <w:ind w:left="0" w:firstLine="0"/>
        <w:contextualSpacing w:val="0"/>
        <w:rPr>
          <w:snapToGrid w:val="0"/>
        </w:rPr>
      </w:pPr>
      <w:r w:rsidRPr="00060F33">
        <w:rPr>
          <w:snapToGrid w:val="0"/>
          <w:color w:val="000000"/>
          <w:kern w:val="22"/>
          <w:szCs w:val="22"/>
        </w:rPr>
        <w:t>Resources will be needed to support the Executive Secretary and at the national level, with an important focus on the needs of developing countries, especially small island developing States</w:t>
      </w:r>
      <w:r>
        <w:rPr>
          <w:snapToGrid w:val="0"/>
          <w:color w:val="000000"/>
          <w:kern w:val="22"/>
          <w:szCs w:val="22"/>
        </w:rPr>
        <w:t>,</w:t>
      </w:r>
      <w:r w:rsidRPr="00060F33">
        <w:rPr>
          <w:snapToGrid w:val="0"/>
          <w:color w:val="000000"/>
          <w:kern w:val="22"/>
          <w:szCs w:val="22"/>
        </w:rPr>
        <w:t xml:space="preserve"> and economies in transition. The level required will be determined as the communications strategy is further elaborated. </w:t>
      </w:r>
    </w:p>
    <w:bookmarkEnd w:id="158"/>
    <w:bookmarkEnd w:id="159"/>
    <w:p w14:paraId="11BDB70C" w14:textId="77777777" w:rsidR="00DA0273" w:rsidRDefault="00DA0273" w:rsidP="0037418A">
      <w:pPr>
        <w:pStyle w:val="Para1"/>
        <w:numPr>
          <w:ilvl w:val="0"/>
          <w:numId w:val="0"/>
        </w:numPr>
        <w:shd w:val="clear" w:color="auto" w:fill="FFFFFF" w:themeFill="background1"/>
        <w:jc w:val="center"/>
        <w:sectPr w:rsidR="00DA0273" w:rsidSect="00441700">
          <w:footnotePr>
            <w:numRestart w:val="eachSect"/>
          </w:footnotePr>
          <w:pgSz w:w="12240" w:h="15840"/>
          <w:pgMar w:top="567" w:right="1440" w:bottom="1134" w:left="1440" w:header="709" w:footer="709" w:gutter="0"/>
          <w:cols w:space="708"/>
          <w:docGrid w:linePitch="360"/>
        </w:sectPr>
      </w:pPr>
    </w:p>
    <w:p w14:paraId="2CA6C1C9" w14:textId="77777777" w:rsidR="00DA0273" w:rsidRPr="0089447E" w:rsidRDefault="00DA0273" w:rsidP="0089447E">
      <w:pPr>
        <w:pStyle w:val="decision"/>
        <w:rPr>
          <w:b w:val="0"/>
          <w:bCs/>
          <w:caps/>
        </w:rPr>
      </w:pPr>
      <w:bookmarkStart w:id="197" w:name="_Toc150438813"/>
      <w:bookmarkStart w:id="198" w:name="_Toc150670513"/>
      <w:bookmarkStart w:id="199" w:name="_Toc150670623"/>
      <w:bookmarkStart w:id="200" w:name="_Toc150761125"/>
      <w:r w:rsidRPr="0089447E">
        <w:rPr>
          <w:rStyle w:val="Heading2Char"/>
          <w:rFonts w:eastAsia="Malgun Gothic"/>
          <w:b/>
          <w:bCs w:val="0"/>
        </w:rPr>
        <w:lastRenderedPageBreak/>
        <w:t>15/15.</w:t>
      </w:r>
      <w:r w:rsidRPr="0089447E">
        <w:rPr>
          <w:rStyle w:val="Heading2Char"/>
          <w:rFonts w:eastAsia="Malgun Gothic"/>
          <w:b/>
          <w:bCs w:val="0"/>
        </w:rPr>
        <w:tab/>
        <w:t>Financial mechanism</w:t>
      </w:r>
      <w:bookmarkEnd w:id="197"/>
      <w:bookmarkEnd w:id="198"/>
      <w:bookmarkEnd w:id="199"/>
      <w:bookmarkEnd w:id="200"/>
      <w:r w:rsidRPr="0089447E">
        <w:rPr>
          <w:b w:val="0"/>
          <w:bCs/>
          <w:caps/>
        </w:rPr>
        <w:t xml:space="preserve"> </w:t>
      </w:r>
    </w:p>
    <w:p w14:paraId="1464F68B" w14:textId="77777777" w:rsidR="00DA0273" w:rsidRPr="00D71BEC" w:rsidRDefault="00DA0273"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The Conference of the Parties</w:t>
      </w:r>
      <w:r w:rsidRPr="00D71BEC">
        <w:rPr>
          <w:snapToGrid w:val="0"/>
          <w:kern w:val="22"/>
          <w:szCs w:val="22"/>
          <w:lang w:eastAsia="zh-CN"/>
        </w:rPr>
        <w:t>,</w:t>
      </w:r>
    </w:p>
    <w:p w14:paraId="0052E0A8" w14:textId="77777777" w:rsidR="00DA0273" w:rsidRDefault="00DA0273" w:rsidP="00FB5720">
      <w:pPr>
        <w:suppressLineNumbers/>
        <w:suppressAutoHyphens/>
        <w:adjustRightInd w:val="0"/>
        <w:snapToGrid w:val="0"/>
        <w:spacing w:before="120" w:after="120"/>
        <w:ind w:firstLine="720"/>
        <w:rPr>
          <w:snapToGrid w:val="0"/>
          <w:kern w:val="22"/>
          <w:szCs w:val="22"/>
          <w:lang w:val="en-US" w:eastAsia="zh-CN"/>
        </w:rPr>
      </w:pPr>
      <w:r w:rsidRPr="00D71BEC">
        <w:rPr>
          <w:i/>
          <w:iCs/>
          <w:snapToGrid w:val="0"/>
          <w:kern w:val="22"/>
          <w:szCs w:val="22"/>
          <w:lang w:val="en-US" w:eastAsia="zh-CN"/>
        </w:rPr>
        <w:t>Reaffirming</w:t>
      </w:r>
      <w:r w:rsidRPr="00D71BEC">
        <w:rPr>
          <w:snapToGrid w:val="0"/>
          <w:kern w:val="22"/>
          <w:szCs w:val="22"/>
          <w:lang w:val="en-US" w:eastAsia="zh-CN"/>
        </w:rPr>
        <w:t xml:space="preserve"> the importance of the full application of </w:t>
      </w:r>
      <w:r>
        <w:rPr>
          <w:snapToGrid w:val="0"/>
          <w:kern w:val="22"/>
          <w:szCs w:val="22"/>
          <w:lang w:val="en-US" w:eastAsia="zh-CN"/>
        </w:rPr>
        <w:t xml:space="preserve">the </w:t>
      </w:r>
      <w:r w:rsidRPr="00D71BEC">
        <w:rPr>
          <w:snapToGrid w:val="0"/>
          <w:kern w:val="22"/>
          <w:szCs w:val="22"/>
          <w:lang w:val="en-US" w:eastAsia="zh-CN"/>
        </w:rPr>
        <w:t xml:space="preserve">provisions of Article 21 </w:t>
      </w:r>
      <w:r w:rsidRPr="00855972">
        <w:rPr>
          <w:snapToGrid w:val="0"/>
          <w:kern w:val="22"/>
          <w:szCs w:val="22"/>
          <w:lang w:val="en-US" w:eastAsia="zh-CN"/>
        </w:rPr>
        <w:t>and of access</w:t>
      </w:r>
      <w:r w:rsidRPr="00D71BEC">
        <w:rPr>
          <w:snapToGrid w:val="0"/>
          <w:kern w:val="22"/>
          <w:szCs w:val="22"/>
          <w:lang w:val="en-US" w:eastAsia="zh-CN"/>
        </w:rPr>
        <w:t xml:space="preserve"> to the financial mechanism for all eligible Parties for the full implementation of the Convention,</w:t>
      </w:r>
      <w:r w:rsidRPr="00D71BEC">
        <w:rPr>
          <w:snapToGrid w:val="0"/>
          <w:kern w:val="22"/>
          <w:szCs w:val="22"/>
          <w:lang w:eastAsia="zh-CN"/>
        </w:rPr>
        <w:t xml:space="preserve"> and </w:t>
      </w:r>
      <w:r w:rsidRPr="000E778E">
        <w:rPr>
          <w:snapToGrid w:val="0"/>
          <w:kern w:val="22"/>
          <w:szCs w:val="22"/>
          <w:lang w:eastAsia="zh-CN"/>
        </w:rPr>
        <w:t>welcoming</w:t>
      </w:r>
      <w:r w:rsidRPr="00D71BEC">
        <w:rPr>
          <w:snapToGrid w:val="0"/>
          <w:kern w:val="22"/>
          <w:szCs w:val="22"/>
          <w:lang w:eastAsia="zh-CN"/>
        </w:rPr>
        <w:t xml:space="preserve"> the valuable role of the Global Environment Facility as the institutional structure operating the financial mechanism of the Convention on an interim and ongoing basis</w:t>
      </w:r>
      <w:r w:rsidRPr="00D71BEC">
        <w:rPr>
          <w:snapToGrid w:val="0"/>
          <w:kern w:val="22"/>
          <w:szCs w:val="22"/>
          <w:lang w:val="en-US" w:eastAsia="zh-CN"/>
        </w:rPr>
        <w:t>,</w:t>
      </w:r>
    </w:p>
    <w:p w14:paraId="06813C51" w14:textId="77777777" w:rsidR="00DA0273" w:rsidRPr="00D71BEC" w:rsidRDefault="00DA0273" w:rsidP="00E3358D">
      <w:pPr>
        <w:suppressLineNumbers/>
        <w:suppressAutoHyphens/>
        <w:adjustRightInd w:val="0"/>
        <w:snapToGrid w:val="0"/>
        <w:spacing w:before="120" w:after="120"/>
        <w:ind w:firstLine="720"/>
        <w:rPr>
          <w:snapToGrid w:val="0"/>
          <w:kern w:val="22"/>
          <w:szCs w:val="22"/>
          <w:lang w:eastAsia="zh-CN"/>
        </w:rPr>
      </w:pPr>
      <w:r w:rsidRPr="00410F56">
        <w:rPr>
          <w:i/>
          <w:iCs/>
          <w:snapToGrid w:val="0"/>
          <w:kern w:val="22"/>
          <w:szCs w:val="22"/>
          <w:lang w:eastAsia="zh-CN"/>
        </w:rPr>
        <w:t>Emphasizing</w:t>
      </w:r>
      <w:r>
        <w:rPr>
          <w:snapToGrid w:val="0"/>
          <w:kern w:val="22"/>
          <w:szCs w:val="22"/>
          <w:lang w:eastAsia="zh-CN"/>
        </w:rPr>
        <w:t xml:space="preserve"> the importance for </w:t>
      </w:r>
      <w:r w:rsidRPr="00E3358D">
        <w:rPr>
          <w:snapToGrid w:val="0"/>
          <w:kern w:val="22"/>
          <w:szCs w:val="22"/>
          <w:lang w:eastAsia="zh-CN"/>
        </w:rPr>
        <w:t>the Global Environment Facility, as appropriate, to ensure that its policies and procedures related to the consideration and review of funding proposals be duly followed in an efficient and transparent manner</w:t>
      </w:r>
      <w:r>
        <w:rPr>
          <w:snapToGrid w:val="0"/>
          <w:kern w:val="22"/>
          <w:szCs w:val="22"/>
          <w:lang w:eastAsia="zh-CN"/>
        </w:rPr>
        <w:t>,</w:t>
      </w:r>
    </w:p>
    <w:p w14:paraId="26F39425" w14:textId="77777777" w:rsidR="00DA0273" w:rsidRPr="00D71BEC" w:rsidRDefault="00DA0273" w:rsidP="00FB5720">
      <w:pPr>
        <w:suppressLineNumbers/>
        <w:suppressAutoHyphens/>
        <w:adjustRightInd w:val="0"/>
        <w:snapToGrid w:val="0"/>
        <w:spacing w:before="120" w:after="120"/>
        <w:ind w:firstLine="720"/>
        <w:rPr>
          <w:snapToGrid w:val="0"/>
          <w:kern w:val="22"/>
          <w:szCs w:val="22"/>
        </w:rPr>
      </w:pPr>
      <w:r w:rsidRPr="00D71BEC">
        <w:rPr>
          <w:i/>
          <w:snapToGrid w:val="0"/>
          <w:kern w:val="22"/>
          <w:szCs w:val="22"/>
        </w:rPr>
        <w:t xml:space="preserve">Recalling </w:t>
      </w:r>
      <w:r w:rsidRPr="00D71BEC">
        <w:rPr>
          <w:snapToGrid w:val="0"/>
          <w:kern w:val="22"/>
          <w:szCs w:val="22"/>
        </w:rPr>
        <w:t>Article 21, paragraph 3, of the Convention, providing that the Conference of the Parties shall review the effectiveness of the financial mechanism,</w:t>
      </w:r>
    </w:p>
    <w:p w14:paraId="69871170" w14:textId="77777777" w:rsidR="00DA0273" w:rsidRPr="00D71BEC" w:rsidRDefault="00DA0273" w:rsidP="00FB5720">
      <w:pPr>
        <w:suppressLineNumbers/>
        <w:suppressAutoHyphens/>
        <w:adjustRightInd w:val="0"/>
        <w:snapToGrid w:val="0"/>
        <w:spacing w:before="120" w:after="120"/>
        <w:ind w:firstLine="720"/>
        <w:rPr>
          <w:i/>
          <w:snapToGrid w:val="0"/>
          <w:kern w:val="22"/>
          <w:szCs w:val="22"/>
        </w:rPr>
      </w:pPr>
      <w:r w:rsidRPr="00D71BEC">
        <w:rPr>
          <w:i/>
          <w:snapToGrid w:val="0"/>
          <w:kern w:val="22"/>
          <w:szCs w:val="22"/>
        </w:rPr>
        <w:t xml:space="preserve">Reaffirming </w:t>
      </w:r>
      <w:r w:rsidRPr="00D71BEC">
        <w:rPr>
          <w:snapToGrid w:val="0"/>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D71BEC">
        <w:rPr>
          <w:snapToGrid w:val="0"/>
          <w:kern w:val="22"/>
          <w:szCs w:val="22"/>
          <w:lang w:eastAsia="zh-CN"/>
        </w:rPr>
        <w:t>decision III/8,</w:t>
      </w:r>
    </w:p>
    <w:p w14:paraId="7DB4DFF8" w14:textId="77777777" w:rsidR="00DA0273" w:rsidRPr="00D71BEC" w:rsidRDefault="00DA0273"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Reaffirming also</w:t>
      </w:r>
      <w:r w:rsidRPr="00D71BEC">
        <w:rPr>
          <w:snapToGrid w:val="0"/>
          <w:kern w:val="22"/>
          <w:szCs w:val="22"/>
          <w:lang w:eastAsia="zh-CN"/>
        </w:rPr>
        <w:t xml:space="preserve"> decision XI/5, paragraph 7, on the quadrennial arrangement for the review of the effectiveness of the financial mechanism,</w:t>
      </w:r>
    </w:p>
    <w:p w14:paraId="1F01335E" w14:textId="77777777" w:rsidR="00DA0273" w:rsidRPr="00D71BEC" w:rsidRDefault="00DA0273"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 xml:space="preserve">Recalling </w:t>
      </w:r>
      <w:r w:rsidRPr="00D71BEC">
        <w:rPr>
          <w:snapToGrid w:val="0"/>
          <w:kern w:val="22"/>
          <w:szCs w:val="22"/>
          <w:lang w:eastAsia="zh-CN"/>
        </w:rPr>
        <w:t>decision 14/23, paragraph 13, regarding the terms of reference for the sixth review of the effectiveness of the financial mechanism, for consideration by the Conference of the Parties at its fifteenth meeting,</w:t>
      </w:r>
    </w:p>
    <w:p w14:paraId="0C1C63CF" w14:textId="77777777" w:rsidR="00DA0273" w:rsidRPr="00D71BEC" w:rsidRDefault="00DA0273" w:rsidP="00FB5720">
      <w:pPr>
        <w:suppressLineNumbers/>
        <w:suppressAutoHyphens/>
        <w:adjustRightInd w:val="0"/>
        <w:snapToGrid w:val="0"/>
        <w:spacing w:before="120" w:after="120"/>
        <w:ind w:firstLine="720"/>
        <w:rPr>
          <w:snapToGrid w:val="0"/>
          <w:kern w:val="22"/>
          <w:szCs w:val="22"/>
          <w:lang w:eastAsia="zh-CN"/>
        </w:rPr>
      </w:pPr>
      <w:r w:rsidRPr="00D71BEC">
        <w:rPr>
          <w:i/>
          <w:snapToGrid w:val="0"/>
          <w:kern w:val="22"/>
          <w:szCs w:val="22"/>
          <w:lang w:eastAsia="zh-CN"/>
        </w:rPr>
        <w:t>Reaffirming</w:t>
      </w:r>
      <w:r w:rsidRPr="00D71BEC">
        <w:rPr>
          <w:snapToGrid w:val="0"/>
          <w:kern w:val="22"/>
          <w:szCs w:val="22"/>
          <w:lang w:eastAsia="zh-CN"/>
        </w:rPr>
        <w:t xml:space="preserve"> the importance of the review of the effectiveness of the financial mechanism in the implementation of the Convention and its Protocols, strategies and programmes,</w:t>
      </w:r>
    </w:p>
    <w:p w14:paraId="382DBAB1" w14:textId="77777777" w:rsidR="00DA0273" w:rsidRPr="00D71BEC" w:rsidRDefault="00DA0273" w:rsidP="00FB5720">
      <w:pPr>
        <w:suppressLineNumbers/>
        <w:suppressAutoHyphens/>
        <w:adjustRightInd w:val="0"/>
        <w:snapToGrid w:val="0"/>
        <w:spacing w:before="120" w:after="120"/>
        <w:ind w:firstLine="720"/>
        <w:rPr>
          <w:b/>
          <w:snapToGrid w:val="0"/>
          <w:kern w:val="22"/>
          <w:szCs w:val="22"/>
        </w:rPr>
      </w:pPr>
      <w:r w:rsidRPr="00D71BEC">
        <w:rPr>
          <w:snapToGrid w:val="0"/>
          <w:kern w:val="22"/>
          <w:szCs w:val="22"/>
          <w:lang w:eastAsia="zh-CN"/>
        </w:rPr>
        <w:t>1.</w:t>
      </w:r>
      <w:r w:rsidRPr="00D71BEC">
        <w:rPr>
          <w:i/>
          <w:snapToGrid w:val="0"/>
          <w:kern w:val="22"/>
          <w:szCs w:val="22"/>
          <w:lang w:eastAsia="zh-CN"/>
        </w:rPr>
        <w:tab/>
        <w:t>Welcomes</w:t>
      </w:r>
      <w:r w:rsidRPr="00D71BEC">
        <w:rPr>
          <w:snapToGrid w:val="0"/>
          <w:kern w:val="22"/>
          <w:szCs w:val="22"/>
          <w:lang w:eastAsia="zh-CN"/>
        </w:rPr>
        <w:t xml:space="preserve"> the </w:t>
      </w:r>
      <w:r w:rsidRPr="00D71BEC">
        <w:rPr>
          <w:snapToGrid w:val="0"/>
          <w:kern w:val="22"/>
          <w:szCs w:val="22"/>
        </w:rPr>
        <w:t xml:space="preserve">report of the Council of the Global Environment Facility to the Conference of </w:t>
      </w:r>
      <w:r w:rsidRPr="00D71BEC">
        <w:rPr>
          <w:snapToGrid w:val="0"/>
          <w:kern w:val="22"/>
          <w:szCs w:val="22"/>
          <w:lang w:eastAsia="zh-CN"/>
        </w:rPr>
        <w:t>the</w:t>
      </w:r>
      <w:r w:rsidRPr="00D71BEC">
        <w:rPr>
          <w:snapToGrid w:val="0"/>
          <w:kern w:val="22"/>
          <w:szCs w:val="22"/>
        </w:rPr>
        <w:t xml:space="preserve"> Parties at its fifteenth meeting;</w:t>
      </w:r>
      <w:r w:rsidRPr="00610646">
        <w:rPr>
          <w:rStyle w:val="FootnoteReference"/>
        </w:rPr>
        <w:footnoteReference w:id="153"/>
      </w:r>
    </w:p>
    <w:p w14:paraId="4D5FDE82" w14:textId="77777777" w:rsidR="00DA0273" w:rsidRPr="00D71BEC" w:rsidRDefault="00DA0273" w:rsidP="00FB5720">
      <w:pPr>
        <w:suppressLineNumbers/>
        <w:suppressAutoHyphens/>
        <w:adjustRightInd w:val="0"/>
        <w:snapToGrid w:val="0"/>
        <w:spacing w:before="120" w:after="120"/>
        <w:ind w:firstLine="720"/>
        <w:rPr>
          <w:snapToGrid w:val="0"/>
          <w:kern w:val="22"/>
          <w:szCs w:val="22"/>
        </w:rPr>
      </w:pPr>
      <w:r w:rsidRPr="00D71BEC">
        <w:rPr>
          <w:snapToGrid w:val="0"/>
          <w:kern w:val="22"/>
          <w:szCs w:val="22"/>
        </w:rPr>
        <w:t>2.</w:t>
      </w:r>
      <w:r w:rsidRPr="00D71BEC">
        <w:rPr>
          <w:i/>
          <w:snapToGrid w:val="0"/>
          <w:kern w:val="22"/>
          <w:szCs w:val="22"/>
        </w:rPr>
        <w:tab/>
        <w:t>Takes note</w:t>
      </w:r>
      <w:r w:rsidRPr="00D71BEC">
        <w:rPr>
          <w:snapToGrid w:val="0"/>
          <w:kern w:val="22"/>
          <w:szCs w:val="22"/>
        </w:rPr>
        <w:t xml:space="preserve"> of the </w:t>
      </w:r>
      <w:r w:rsidRPr="00855972">
        <w:rPr>
          <w:bCs/>
          <w:snapToGrid w:val="0"/>
          <w:kern w:val="22"/>
          <w:szCs w:val="22"/>
        </w:rPr>
        <w:t>importance of a realistic</w:t>
      </w:r>
      <w:r w:rsidRPr="00D71BEC">
        <w:rPr>
          <w:snapToGrid w:val="0"/>
          <w:kern w:val="22"/>
          <w:szCs w:val="22"/>
        </w:rPr>
        <w:t xml:space="preserve"> assessment of funding necessary and available for the implementation of the Convention and its Protocols for the eighth replenishment period of the Global Environment Facility, aligned with </w:t>
      </w:r>
      <w:r w:rsidRPr="00D71BEC">
        <w:rPr>
          <w:snapToGrid w:val="0"/>
          <w:kern w:val="22"/>
          <w:szCs w:val="22"/>
          <w:lang w:eastAsia="zh-CN"/>
        </w:rPr>
        <w:t>the</w:t>
      </w:r>
      <w:r w:rsidRPr="00D71BEC">
        <w:rPr>
          <w:snapToGrid w:val="0"/>
          <w:kern w:val="22"/>
          <w:szCs w:val="22"/>
        </w:rPr>
        <w:t xml:space="preserve"> draft post-2020 global biodiversity framework</w:t>
      </w:r>
      <w:r w:rsidRPr="00D71BEC">
        <w:rPr>
          <w:bCs/>
          <w:snapToGrid w:val="0"/>
          <w:kern w:val="22"/>
          <w:szCs w:val="22"/>
        </w:rPr>
        <w:t xml:space="preserve"> at the time of the </w:t>
      </w:r>
      <w:r>
        <w:rPr>
          <w:bCs/>
          <w:snapToGrid w:val="0"/>
          <w:kern w:val="22"/>
          <w:szCs w:val="22"/>
        </w:rPr>
        <w:t>conclusion</w:t>
      </w:r>
      <w:r w:rsidRPr="00D71BEC">
        <w:rPr>
          <w:bCs/>
          <w:snapToGrid w:val="0"/>
          <w:kern w:val="22"/>
          <w:szCs w:val="22"/>
        </w:rPr>
        <w:t xml:space="preserve"> of the eighth replenishment</w:t>
      </w:r>
      <w:r w:rsidRPr="00D71BEC">
        <w:rPr>
          <w:snapToGrid w:val="0"/>
          <w:kern w:val="22"/>
          <w:szCs w:val="22"/>
        </w:rPr>
        <w:t>;</w:t>
      </w:r>
      <w:r w:rsidRPr="00610646">
        <w:rPr>
          <w:rStyle w:val="FootnoteReference"/>
        </w:rPr>
        <w:footnoteReference w:id="154"/>
      </w:r>
    </w:p>
    <w:p w14:paraId="71E802A1" w14:textId="77777777" w:rsidR="00DA0273" w:rsidRPr="00D71BEC" w:rsidRDefault="00DA0273" w:rsidP="00FB5720">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3.</w:t>
      </w:r>
      <w:r w:rsidRPr="00D71BEC">
        <w:rPr>
          <w:bCs/>
          <w:snapToGrid w:val="0"/>
          <w:kern w:val="22"/>
          <w:szCs w:val="22"/>
        </w:rPr>
        <w:tab/>
      </w:r>
      <w:r w:rsidRPr="00D71BEC">
        <w:rPr>
          <w:bCs/>
          <w:i/>
          <w:iCs/>
          <w:snapToGrid w:val="0"/>
          <w:kern w:val="22"/>
          <w:szCs w:val="22"/>
        </w:rPr>
        <w:t>Requests</w:t>
      </w:r>
      <w:r w:rsidRPr="00D71BEC">
        <w:rPr>
          <w:bCs/>
          <w:snapToGrid w:val="0"/>
          <w:kern w:val="22"/>
          <w:szCs w:val="22"/>
        </w:rPr>
        <w:t xml:space="preserve"> the Global Environment Facility to include in its report to the Conference of the Parties and the Conference of the Parties serving as the meetings of the Parties to the Protocols an explanation of how the eighth replenishment period of the Global Environment Facility</w:t>
      </w:r>
      <w:r>
        <w:rPr>
          <w:bCs/>
          <w:snapToGrid w:val="0"/>
          <w:kern w:val="22"/>
          <w:szCs w:val="22"/>
        </w:rPr>
        <w:t>,</w:t>
      </w:r>
      <w:r w:rsidRPr="00610646">
        <w:rPr>
          <w:rStyle w:val="FootnoteReference"/>
        </w:rPr>
        <w:footnoteReference w:id="155"/>
      </w:r>
      <w:r w:rsidRPr="00D71BEC">
        <w:rPr>
          <w:bCs/>
          <w:snapToGrid w:val="0"/>
          <w:kern w:val="22"/>
          <w:szCs w:val="22"/>
        </w:rPr>
        <w:t xml:space="preserve"> through the elements of its programming directions is contributing to the implementation of the Convention and its Protocols and </w:t>
      </w:r>
      <w:r>
        <w:rPr>
          <w:bCs/>
          <w:snapToGrid w:val="0"/>
          <w:kern w:val="22"/>
          <w:szCs w:val="22"/>
        </w:rPr>
        <w:t xml:space="preserve">to </w:t>
      </w:r>
      <w:r w:rsidRPr="00D71BEC">
        <w:rPr>
          <w:bCs/>
          <w:snapToGrid w:val="0"/>
          <w:kern w:val="22"/>
          <w:szCs w:val="22"/>
        </w:rPr>
        <w:t xml:space="preserve">the goals and targets of the </w:t>
      </w:r>
      <w:r>
        <w:rPr>
          <w:kern w:val="22"/>
        </w:rPr>
        <w:t xml:space="preserve">Kunming-Montreal </w:t>
      </w:r>
      <w:r w:rsidRPr="00D71BEC">
        <w:rPr>
          <w:bCs/>
          <w:snapToGrid w:val="0"/>
          <w:kern w:val="22"/>
          <w:szCs w:val="22"/>
        </w:rPr>
        <w:t>Global Biodiversity Framework</w:t>
      </w:r>
      <w:r w:rsidRPr="00610646">
        <w:rPr>
          <w:rStyle w:val="FootnoteReference"/>
        </w:rPr>
        <w:footnoteReference w:id="156"/>
      </w:r>
      <w:r w:rsidRPr="00D71BEC">
        <w:rPr>
          <w:bCs/>
          <w:snapToGrid w:val="0"/>
          <w:kern w:val="22"/>
          <w:szCs w:val="22"/>
        </w:rPr>
        <w:t xml:space="preserve"> and its monitoring framework;</w:t>
      </w:r>
      <w:r w:rsidRPr="00610646">
        <w:rPr>
          <w:rStyle w:val="FootnoteReference"/>
        </w:rPr>
        <w:footnoteReference w:id="157"/>
      </w:r>
    </w:p>
    <w:p w14:paraId="6CB9DFC9" w14:textId="77777777" w:rsidR="00DA0273" w:rsidRPr="00D71BEC" w:rsidRDefault="00DA0273" w:rsidP="00FB5720">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4.</w:t>
      </w:r>
      <w:r w:rsidRPr="00D71BEC">
        <w:rPr>
          <w:bCs/>
          <w:snapToGrid w:val="0"/>
          <w:kern w:val="22"/>
          <w:szCs w:val="22"/>
        </w:rPr>
        <w:tab/>
      </w:r>
      <w:r w:rsidRPr="00D71BEC">
        <w:rPr>
          <w:bCs/>
          <w:i/>
          <w:iCs/>
          <w:snapToGrid w:val="0"/>
          <w:kern w:val="22"/>
          <w:szCs w:val="22"/>
        </w:rPr>
        <w:t>Urges</w:t>
      </w:r>
      <w:r w:rsidRPr="00D71BEC">
        <w:rPr>
          <w:bCs/>
          <w:snapToGrid w:val="0"/>
          <w:kern w:val="22"/>
          <w:szCs w:val="22"/>
        </w:rPr>
        <w:t xml:space="preserve"> the Global Environment Facility to support Parties in their effort to enhance policy coherence as part of biodiversity mainstreaming to facilitate the effective and efficient implementation of the </w:t>
      </w:r>
      <w:r>
        <w:rPr>
          <w:kern w:val="22"/>
        </w:rPr>
        <w:t xml:space="preserve">Kunming-Montreal </w:t>
      </w:r>
      <w:r w:rsidRPr="00D71BEC">
        <w:rPr>
          <w:bCs/>
          <w:snapToGrid w:val="0"/>
          <w:kern w:val="22"/>
          <w:szCs w:val="22"/>
        </w:rPr>
        <w:t>Global Biodiversity Framework;</w:t>
      </w:r>
    </w:p>
    <w:p w14:paraId="31CB0141" w14:textId="77777777" w:rsidR="00DA0273" w:rsidRPr="00D71BEC" w:rsidRDefault="00DA0273" w:rsidP="00FB5720">
      <w:pPr>
        <w:suppressLineNumbers/>
        <w:suppressAutoHyphens/>
        <w:adjustRightInd w:val="0"/>
        <w:snapToGrid w:val="0"/>
        <w:spacing w:before="120" w:after="120"/>
        <w:ind w:firstLine="720"/>
        <w:rPr>
          <w:snapToGrid w:val="0"/>
          <w:kern w:val="22"/>
          <w:szCs w:val="22"/>
        </w:rPr>
      </w:pPr>
      <w:r w:rsidRPr="00D71BEC">
        <w:rPr>
          <w:snapToGrid w:val="0"/>
          <w:kern w:val="22"/>
          <w:szCs w:val="22"/>
        </w:rPr>
        <w:t>5.</w:t>
      </w:r>
      <w:r w:rsidRPr="00D71BEC">
        <w:rPr>
          <w:i/>
          <w:snapToGrid w:val="0"/>
          <w:kern w:val="22"/>
          <w:szCs w:val="22"/>
        </w:rPr>
        <w:tab/>
        <w:t>Adopts</w:t>
      </w:r>
      <w:r w:rsidRPr="00D71BEC">
        <w:rPr>
          <w:snapToGrid w:val="0"/>
          <w:kern w:val="22"/>
          <w:szCs w:val="22"/>
        </w:rPr>
        <w:t xml:space="preserve"> the four-year outcome-oriented framework of programme priorities </w:t>
      </w:r>
      <w:r w:rsidRPr="00D71BEC">
        <w:rPr>
          <w:snapToGrid w:val="0"/>
          <w:szCs w:val="22"/>
        </w:rPr>
        <w:t>of the Convention on Biological Diversity</w:t>
      </w:r>
      <w:r w:rsidRPr="00D71BEC">
        <w:rPr>
          <w:snapToGrid w:val="0"/>
          <w:kern w:val="22"/>
          <w:szCs w:val="22"/>
        </w:rPr>
        <w:t xml:space="preserve"> for the eighth replenishment period (July 2022 to June 2026) of the Global Environment Facility, aligned with the </w:t>
      </w:r>
      <w:r>
        <w:rPr>
          <w:kern w:val="22"/>
        </w:rPr>
        <w:t xml:space="preserve">Kunming-Montreal </w:t>
      </w:r>
      <w:r w:rsidRPr="00D71BEC">
        <w:rPr>
          <w:bCs/>
          <w:snapToGrid w:val="0"/>
          <w:kern w:val="22"/>
          <w:szCs w:val="22"/>
        </w:rPr>
        <w:t>Global Biodiversity Framework</w:t>
      </w:r>
      <w:r w:rsidRPr="00D71BEC">
        <w:rPr>
          <w:snapToGrid w:val="0"/>
          <w:kern w:val="22"/>
          <w:szCs w:val="22"/>
        </w:rPr>
        <w:t>, contained in annex I to the present decision;</w:t>
      </w:r>
    </w:p>
    <w:p w14:paraId="53FBEF5B" w14:textId="77777777" w:rsidR="00DA0273" w:rsidRPr="00D71BEC" w:rsidRDefault="00DA0273"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lastRenderedPageBreak/>
        <w:t>6.</w:t>
      </w:r>
      <w:r w:rsidRPr="00D71BEC">
        <w:rPr>
          <w:bCs/>
          <w:snapToGrid w:val="0"/>
          <w:kern w:val="22"/>
          <w:szCs w:val="22"/>
        </w:rPr>
        <w:tab/>
      </w:r>
      <w:r w:rsidRPr="00D71BEC">
        <w:rPr>
          <w:bCs/>
          <w:i/>
          <w:iCs/>
          <w:snapToGrid w:val="0"/>
          <w:kern w:val="22"/>
          <w:szCs w:val="22"/>
        </w:rPr>
        <w:t>Welcomes</w:t>
      </w:r>
      <w:r w:rsidRPr="00D71BEC">
        <w:rPr>
          <w:bCs/>
          <w:snapToGrid w:val="0"/>
          <w:kern w:val="22"/>
          <w:szCs w:val="22"/>
        </w:rPr>
        <w:t xml:space="preserve"> the eighth replenishment of the Global Environment Facility and notes that its associated programming directions and strateg</w:t>
      </w:r>
      <w:r>
        <w:rPr>
          <w:bCs/>
          <w:snapToGrid w:val="0"/>
          <w:kern w:val="22"/>
          <w:szCs w:val="22"/>
        </w:rPr>
        <w:t>ies</w:t>
      </w:r>
      <w:r w:rsidRPr="00D71BEC">
        <w:rPr>
          <w:bCs/>
          <w:snapToGrid w:val="0"/>
          <w:kern w:val="22"/>
          <w:szCs w:val="22"/>
        </w:rPr>
        <w:t xml:space="preserve">, including for the biodiversity focal area, have taken into account the draft post-2020 global biodiversity framework at the time of the </w:t>
      </w:r>
      <w:r>
        <w:rPr>
          <w:bCs/>
          <w:snapToGrid w:val="0"/>
          <w:kern w:val="22"/>
          <w:szCs w:val="22"/>
        </w:rPr>
        <w:t>conclusion</w:t>
      </w:r>
      <w:r w:rsidRPr="00D71BEC">
        <w:rPr>
          <w:bCs/>
          <w:snapToGrid w:val="0"/>
          <w:kern w:val="22"/>
          <w:szCs w:val="22"/>
        </w:rPr>
        <w:t xml:space="preserve"> of the eighth replenishment; </w:t>
      </w:r>
    </w:p>
    <w:p w14:paraId="031A609C" w14:textId="77777777" w:rsidR="00DA0273" w:rsidRPr="00D71BEC" w:rsidRDefault="00DA0273"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7.</w:t>
      </w:r>
      <w:r w:rsidRPr="00D71BEC">
        <w:rPr>
          <w:bCs/>
          <w:snapToGrid w:val="0"/>
          <w:kern w:val="22"/>
          <w:szCs w:val="22"/>
        </w:rPr>
        <w:tab/>
      </w:r>
      <w:r w:rsidRPr="00D71BEC">
        <w:rPr>
          <w:bCs/>
          <w:i/>
          <w:iCs/>
          <w:snapToGrid w:val="0"/>
          <w:kern w:val="22"/>
          <w:szCs w:val="22"/>
        </w:rPr>
        <w:t>Urges</w:t>
      </w:r>
      <w:r w:rsidRPr="00D71BEC">
        <w:rPr>
          <w:bCs/>
          <w:snapToGrid w:val="0"/>
          <w:kern w:val="22"/>
          <w:szCs w:val="22"/>
        </w:rPr>
        <w:t xml:space="preserve"> relevant Parties to make prompt and full use of the programming directions and resource allocation for the eighth replenishment of the Global Environment Facility;</w:t>
      </w:r>
    </w:p>
    <w:p w14:paraId="25F8FF64" w14:textId="77777777" w:rsidR="00DA0273" w:rsidRPr="00D71BEC" w:rsidRDefault="00DA0273"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8.</w:t>
      </w:r>
      <w:r w:rsidRPr="00D71BEC">
        <w:rPr>
          <w:bCs/>
          <w:snapToGrid w:val="0"/>
          <w:kern w:val="22"/>
          <w:szCs w:val="22"/>
        </w:rPr>
        <w:tab/>
      </w:r>
      <w:r w:rsidRPr="00D71BEC">
        <w:rPr>
          <w:bCs/>
          <w:i/>
          <w:iCs/>
          <w:snapToGrid w:val="0"/>
          <w:kern w:val="22"/>
          <w:szCs w:val="22"/>
        </w:rPr>
        <w:t>Requests</w:t>
      </w:r>
      <w:r w:rsidRPr="00D71BEC">
        <w:rPr>
          <w:bCs/>
          <w:snapToGrid w:val="0"/>
          <w:kern w:val="22"/>
          <w:szCs w:val="22"/>
        </w:rPr>
        <w:t xml:space="preserve"> the Executive Secretary to collaborate with the Global Environment Facility and related agencies, as appropriate, in: </w:t>
      </w:r>
    </w:p>
    <w:p w14:paraId="5C6A5414" w14:textId="77777777" w:rsidR="00DA0273" w:rsidRPr="00D71BEC" w:rsidRDefault="00DA0273"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 xml:space="preserve">(a) </w:t>
      </w:r>
      <w:r w:rsidRPr="00D71BEC">
        <w:rPr>
          <w:bCs/>
          <w:snapToGrid w:val="0"/>
          <w:kern w:val="22"/>
          <w:szCs w:val="22"/>
        </w:rPr>
        <w:tab/>
        <w:t>The fast-</w:t>
      </w:r>
      <w:r w:rsidRPr="007C73D9">
        <w:rPr>
          <w:bCs/>
          <w:snapToGrid w:val="0"/>
          <w:kern w:val="22"/>
          <w:szCs w:val="22"/>
        </w:rPr>
        <w:t xml:space="preserve">tracking of the implementation of the </w:t>
      </w:r>
      <w:r w:rsidRPr="007C73D9">
        <w:rPr>
          <w:kern w:val="22"/>
        </w:rPr>
        <w:t>Kunming-Montreal Global Biodiversity Framework</w:t>
      </w:r>
      <w:r w:rsidRPr="007C73D9">
        <w:rPr>
          <w:bCs/>
          <w:snapToGrid w:val="0"/>
          <w:kern w:val="22"/>
          <w:szCs w:val="22"/>
        </w:rPr>
        <w:t>, in particular for the intermediate phase (2023</w:t>
      </w:r>
      <w:r>
        <w:rPr>
          <w:iCs/>
          <w:snapToGrid w:val="0"/>
          <w:kern w:val="22"/>
          <w:szCs w:val="22"/>
          <w:lang w:eastAsia="zh-CN"/>
        </w:rPr>
        <w:t>–</w:t>
      </w:r>
      <w:r w:rsidRPr="007C73D9">
        <w:rPr>
          <w:bCs/>
          <w:snapToGrid w:val="0"/>
          <w:kern w:val="22"/>
          <w:szCs w:val="22"/>
        </w:rPr>
        <w:t xml:space="preserve">2024) of the </w:t>
      </w:r>
      <w:r w:rsidRPr="008E5C31">
        <w:rPr>
          <w:bCs/>
          <w:snapToGrid w:val="0"/>
          <w:kern w:val="22"/>
          <w:szCs w:val="22"/>
        </w:rPr>
        <w:t>strategy for resource mobilization</w:t>
      </w:r>
      <w:r w:rsidRPr="007C73D9">
        <w:rPr>
          <w:bCs/>
          <w:snapToGrid w:val="0"/>
          <w:kern w:val="22"/>
          <w:szCs w:val="22"/>
        </w:rPr>
        <w:t xml:space="preserve"> and in the reporting of progress in the mobilization of new and additional resources to the Conference of the Parties at its sixteenth meeting;</w:t>
      </w:r>
      <w:r w:rsidRPr="00D71BEC">
        <w:rPr>
          <w:bCs/>
          <w:snapToGrid w:val="0"/>
          <w:kern w:val="22"/>
          <w:szCs w:val="22"/>
        </w:rPr>
        <w:t xml:space="preserve"> </w:t>
      </w:r>
    </w:p>
    <w:p w14:paraId="76286F4F" w14:textId="77777777" w:rsidR="00DA0273" w:rsidRPr="00D71BEC" w:rsidRDefault="00DA0273" w:rsidP="00092FE4">
      <w:pPr>
        <w:suppressLineNumbers/>
        <w:suppressAutoHyphens/>
        <w:adjustRightInd w:val="0"/>
        <w:snapToGrid w:val="0"/>
        <w:spacing w:before="120" w:after="120"/>
        <w:ind w:firstLine="709"/>
        <w:rPr>
          <w:bCs/>
          <w:snapToGrid w:val="0"/>
          <w:kern w:val="22"/>
          <w:szCs w:val="22"/>
        </w:rPr>
      </w:pPr>
      <w:r w:rsidRPr="00D71BEC">
        <w:rPr>
          <w:bCs/>
          <w:snapToGrid w:val="0"/>
          <w:kern w:val="22"/>
          <w:szCs w:val="22"/>
        </w:rPr>
        <w:t xml:space="preserve">(b) </w:t>
      </w:r>
      <w:r w:rsidRPr="00D71BEC">
        <w:rPr>
          <w:bCs/>
          <w:snapToGrid w:val="0"/>
          <w:kern w:val="22"/>
          <w:szCs w:val="22"/>
        </w:rPr>
        <w:tab/>
        <w:t>The development and implementation of the relevant integrated programmes and the country engagement strategy for the eighth replenishment period, promoting the involvement of biodiversity</w:t>
      </w:r>
      <w:r>
        <w:rPr>
          <w:bCs/>
          <w:snapToGrid w:val="0"/>
          <w:kern w:val="22"/>
          <w:szCs w:val="22"/>
        </w:rPr>
        <w:noBreakHyphen/>
      </w:r>
      <w:r w:rsidRPr="00D71BEC">
        <w:rPr>
          <w:bCs/>
          <w:snapToGrid w:val="0"/>
          <w:kern w:val="22"/>
          <w:szCs w:val="22"/>
        </w:rPr>
        <w:t>related conventions and instruments at national level, and promot</w:t>
      </w:r>
      <w:r>
        <w:rPr>
          <w:bCs/>
          <w:snapToGrid w:val="0"/>
          <w:kern w:val="22"/>
          <w:szCs w:val="22"/>
        </w:rPr>
        <w:t>ing</w:t>
      </w:r>
      <w:r w:rsidRPr="00D71BEC">
        <w:rPr>
          <w:bCs/>
          <w:snapToGrid w:val="0"/>
          <w:kern w:val="22"/>
          <w:szCs w:val="22"/>
        </w:rPr>
        <w:t xml:space="preserve"> synergies and complementarities with other relevant financial instruments, such as the Green Climate Fund, towards the effective implementation of the </w:t>
      </w:r>
      <w:r>
        <w:rPr>
          <w:bCs/>
          <w:snapToGrid w:val="0"/>
          <w:kern w:val="22"/>
          <w:szCs w:val="22"/>
        </w:rPr>
        <w:t>Kunming-Montreal</w:t>
      </w:r>
      <w:r w:rsidRPr="00D71BEC">
        <w:rPr>
          <w:bCs/>
          <w:snapToGrid w:val="0"/>
          <w:kern w:val="22"/>
          <w:szCs w:val="22"/>
        </w:rPr>
        <w:t xml:space="preserve"> </w:t>
      </w:r>
      <w:r>
        <w:rPr>
          <w:bCs/>
          <w:snapToGrid w:val="0"/>
          <w:kern w:val="22"/>
          <w:szCs w:val="22"/>
        </w:rPr>
        <w:t>G</w:t>
      </w:r>
      <w:r w:rsidRPr="00D71BEC">
        <w:rPr>
          <w:bCs/>
          <w:snapToGrid w:val="0"/>
          <w:kern w:val="22"/>
          <w:szCs w:val="22"/>
        </w:rPr>
        <w:t xml:space="preserve">lobal </w:t>
      </w:r>
      <w:r>
        <w:rPr>
          <w:bCs/>
          <w:snapToGrid w:val="0"/>
          <w:kern w:val="22"/>
          <w:szCs w:val="22"/>
        </w:rPr>
        <w:t>B</w:t>
      </w:r>
      <w:r w:rsidRPr="00D71BEC">
        <w:rPr>
          <w:bCs/>
          <w:snapToGrid w:val="0"/>
          <w:kern w:val="22"/>
          <w:szCs w:val="22"/>
        </w:rPr>
        <w:t xml:space="preserve">iodiversity </w:t>
      </w:r>
      <w:r>
        <w:rPr>
          <w:bCs/>
          <w:snapToGrid w:val="0"/>
          <w:kern w:val="22"/>
          <w:szCs w:val="22"/>
        </w:rPr>
        <w:t>F</w:t>
      </w:r>
      <w:r w:rsidRPr="00D71BEC">
        <w:rPr>
          <w:bCs/>
          <w:snapToGrid w:val="0"/>
          <w:kern w:val="22"/>
          <w:szCs w:val="22"/>
        </w:rPr>
        <w:t>ramework;</w:t>
      </w:r>
    </w:p>
    <w:p w14:paraId="0843270F" w14:textId="77777777" w:rsidR="00DA0273" w:rsidRPr="00D71BEC" w:rsidRDefault="00DA0273" w:rsidP="00FB5720">
      <w:pPr>
        <w:suppressLineNumbers/>
        <w:suppressAutoHyphens/>
        <w:adjustRightInd w:val="0"/>
        <w:snapToGrid w:val="0"/>
        <w:spacing w:before="120" w:after="120"/>
        <w:ind w:firstLine="720"/>
        <w:rPr>
          <w:b/>
          <w:snapToGrid w:val="0"/>
          <w:kern w:val="22"/>
          <w:szCs w:val="22"/>
        </w:rPr>
      </w:pPr>
      <w:r w:rsidRPr="00C26EDA">
        <w:rPr>
          <w:bCs/>
          <w:snapToGrid w:val="0"/>
          <w:kern w:val="22"/>
          <w:szCs w:val="22"/>
        </w:rPr>
        <w:t>9.</w:t>
      </w:r>
      <w:r w:rsidRPr="00C26EDA">
        <w:rPr>
          <w:bCs/>
          <w:snapToGrid w:val="0"/>
          <w:kern w:val="22"/>
          <w:szCs w:val="22"/>
        </w:rPr>
        <w:tab/>
      </w:r>
      <w:r w:rsidRPr="00C26EDA">
        <w:rPr>
          <w:bCs/>
          <w:i/>
          <w:iCs/>
          <w:snapToGrid w:val="0"/>
          <w:kern w:val="22"/>
          <w:szCs w:val="22"/>
        </w:rPr>
        <w:t>Adopts</w:t>
      </w:r>
      <w:r w:rsidRPr="00C26EDA">
        <w:rPr>
          <w:bCs/>
          <w:snapToGrid w:val="0"/>
          <w:kern w:val="22"/>
          <w:szCs w:val="22"/>
        </w:rPr>
        <w:t xml:space="preserve"> the consolidated previous guidance to the Global Environment Facility contained in annex II A to the present decision, decides to retire the previous decisions and elements of decisions, as related to the financial mechanism and limited only to those provisions related to the financial mechanism</w:t>
      </w:r>
      <w:r w:rsidRPr="00C26EDA">
        <w:rPr>
          <w:bCs/>
          <w:i/>
          <w:snapToGrid w:val="0"/>
          <w:kern w:val="22"/>
          <w:szCs w:val="22"/>
        </w:rPr>
        <w:t xml:space="preserve"> </w:t>
      </w:r>
      <w:r w:rsidRPr="00C26EDA">
        <w:rPr>
          <w:bCs/>
          <w:iCs/>
          <w:snapToGrid w:val="0"/>
          <w:kern w:val="22"/>
          <w:szCs w:val="22"/>
        </w:rPr>
        <w:t xml:space="preserve">and </w:t>
      </w:r>
      <w:r w:rsidRPr="000E778E">
        <w:rPr>
          <w:iCs/>
          <w:snapToGrid w:val="0"/>
          <w:kern w:val="22"/>
          <w:szCs w:val="22"/>
        </w:rPr>
        <w:t>also adopts</w:t>
      </w:r>
      <w:r w:rsidRPr="00C26EDA">
        <w:rPr>
          <w:i/>
          <w:snapToGrid w:val="0"/>
          <w:kern w:val="22"/>
          <w:szCs w:val="22"/>
        </w:rPr>
        <w:t xml:space="preserve"> </w:t>
      </w:r>
      <w:r w:rsidRPr="00C26EDA">
        <w:rPr>
          <w:snapToGrid w:val="0"/>
          <w:kern w:val="22"/>
          <w:szCs w:val="22"/>
        </w:rPr>
        <w:t>additional guidance to the Global Environment Facility contained in annex II B to the present decision;</w:t>
      </w:r>
    </w:p>
    <w:p w14:paraId="133E1995"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10.</w:t>
      </w:r>
      <w:r w:rsidRPr="00D71BEC">
        <w:rPr>
          <w:iCs/>
          <w:snapToGrid w:val="0"/>
          <w:kern w:val="22"/>
          <w:szCs w:val="22"/>
          <w:lang w:eastAsia="zh-CN"/>
        </w:rPr>
        <w:tab/>
      </w:r>
      <w:r w:rsidRPr="00D71BEC">
        <w:rPr>
          <w:i/>
          <w:snapToGrid w:val="0"/>
          <w:kern w:val="22"/>
          <w:szCs w:val="22"/>
          <w:lang w:eastAsia="zh-CN"/>
        </w:rPr>
        <w:t>Decides</w:t>
      </w:r>
      <w:r w:rsidRPr="00D71BEC">
        <w:rPr>
          <w:iCs/>
          <w:snapToGrid w:val="0"/>
          <w:kern w:val="22"/>
          <w:szCs w:val="22"/>
          <w:lang w:eastAsia="zh-CN"/>
        </w:rPr>
        <w:t xml:space="preserve"> </w:t>
      </w:r>
      <w:r w:rsidRPr="00AE2CF9">
        <w:rPr>
          <w:iCs/>
          <w:snapToGrid w:val="0"/>
          <w:kern w:val="22"/>
          <w:szCs w:val="22"/>
          <w:lang w:eastAsia="zh-CN"/>
        </w:rPr>
        <w:t>to adopt,</w:t>
      </w:r>
      <w:r w:rsidRPr="00D71BEC">
        <w:rPr>
          <w:iCs/>
          <w:snapToGrid w:val="0"/>
          <w:kern w:val="22"/>
          <w:szCs w:val="22"/>
          <w:lang w:eastAsia="zh-CN"/>
        </w:rPr>
        <w:t xml:space="preserve"> at its sixteenth meeting, a four-year outcome-oriented framework of programme priorities for the implementation of the Convention and its Protocols aligned with the </w:t>
      </w:r>
      <w:r>
        <w:rPr>
          <w:iCs/>
          <w:snapToGrid w:val="0"/>
          <w:kern w:val="22"/>
          <w:szCs w:val="22"/>
          <w:lang w:eastAsia="zh-CN"/>
        </w:rPr>
        <w:t>Kunming</w:t>
      </w:r>
      <w:r>
        <w:rPr>
          <w:iCs/>
          <w:snapToGrid w:val="0"/>
          <w:kern w:val="22"/>
          <w:szCs w:val="22"/>
          <w:lang w:eastAsia="zh-CN"/>
        </w:rPr>
        <w:noBreakHyphen/>
        <w:t>Montreal</w:t>
      </w:r>
      <w:r w:rsidRPr="00D71BEC">
        <w:rPr>
          <w:iCs/>
          <w:snapToGrid w:val="0"/>
          <w:kern w:val="22"/>
          <w:szCs w:val="22"/>
          <w:lang w:eastAsia="zh-CN"/>
        </w:rPr>
        <w:t xml:space="preserve"> </w:t>
      </w:r>
      <w:r>
        <w:rPr>
          <w:iCs/>
          <w:snapToGrid w:val="0"/>
          <w:kern w:val="22"/>
          <w:szCs w:val="22"/>
          <w:lang w:eastAsia="zh-CN"/>
        </w:rPr>
        <w:t>G</w:t>
      </w:r>
      <w:r w:rsidRPr="00D71BEC">
        <w:rPr>
          <w:iCs/>
          <w:snapToGrid w:val="0"/>
          <w:kern w:val="22"/>
          <w:szCs w:val="22"/>
          <w:lang w:eastAsia="zh-CN"/>
        </w:rPr>
        <w:t xml:space="preserve">lobal </w:t>
      </w:r>
      <w:r>
        <w:rPr>
          <w:iCs/>
          <w:snapToGrid w:val="0"/>
          <w:kern w:val="22"/>
          <w:szCs w:val="22"/>
          <w:lang w:eastAsia="zh-CN"/>
        </w:rPr>
        <w:t>B</w:t>
      </w:r>
      <w:r w:rsidRPr="00D71BEC">
        <w:rPr>
          <w:iCs/>
          <w:snapToGrid w:val="0"/>
          <w:kern w:val="22"/>
          <w:szCs w:val="22"/>
          <w:lang w:eastAsia="zh-CN"/>
        </w:rPr>
        <w:t xml:space="preserve">iodiversity </w:t>
      </w:r>
      <w:r>
        <w:rPr>
          <w:iCs/>
          <w:snapToGrid w:val="0"/>
          <w:kern w:val="22"/>
          <w:szCs w:val="22"/>
          <w:lang w:eastAsia="zh-CN"/>
        </w:rPr>
        <w:t>F</w:t>
      </w:r>
      <w:r w:rsidRPr="00D71BEC">
        <w:rPr>
          <w:iCs/>
          <w:snapToGrid w:val="0"/>
          <w:kern w:val="22"/>
          <w:szCs w:val="22"/>
          <w:lang w:eastAsia="zh-CN"/>
        </w:rPr>
        <w:t>ramework to inform the ninth replenishment of the Global Environment Facility Trust Fund (2026</w:t>
      </w:r>
      <w:r>
        <w:rPr>
          <w:iCs/>
          <w:snapToGrid w:val="0"/>
          <w:kern w:val="22"/>
          <w:szCs w:val="22"/>
          <w:lang w:eastAsia="zh-CN"/>
        </w:rPr>
        <w:t>–</w:t>
      </w:r>
      <w:r w:rsidRPr="00D71BEC">
        <w:rPr>
          <w:iCs/>
          <w:snapToGrid w:val="0"/>
          <w:kern w:val="22"/>
          <w:szCs w:val="22"/>
          <w:lang w:eastAsia="zh-CN"/>
        </w:rPr>
        <w:t>2030);</w:t>
      </w:r>
    </w:p>
    <w:p w14:paraId="50682645"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11.</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Executive Secretary to prepare elements of a draft four-year outcome-oriented framework of programme priorities for the implementation of the Convention and its Protocols aligned with the </w:t>
      </w:r>
      <w:r>
        <w:rPr>
          <w:iCs/>
          <w:snapToGrid w:val="0"/>
          <w:kern w:val="22"/>
          <w:szCs w:val="22"/>
          <w:lang w:eastAsia="zh-CN"/>
        </w:rPr>
        <w:t>Kunming-Montreal</w:t>
      </w:r>
      <w:r w:rsidRPr="00D71BEC">
        <w:rPr>
          <w:iCs/>
          <w:snapToGrid w:val="0"/>
          <w:kern w:val="22"/>
          <w:szCs w:val="22"/>
          <w:lang w:eastAsia="zh-CN"/>
        </w:rPr>
        <w:t xml:space="preserve"> </w:t>
      </w:r>
      <w:r>
        <w:rPr>
          <w:iCs/>
          <w:snapToGrid w:val="0"/>
          <w:kern w:val="22"/>
          <w:szCs w:val="22"/>
          <w:lang w:eastAsia="zh-CN"/>
        </w:rPr>
        <w:t>G</w:t>
      </w:r>
      <w:r w:rsidRPr="00D71BEC">
        <w:rPr>
          <w:iCs/>
          <w:snapToGrid w:val="0"/>
          <w:kern w:val="22"/>
          <w:szCs w:val="22"/>
          <w:lang w:eastAsia="zh-CN"/>
        </w:rPr>
        <w:t xml:space="preserve">lobal </w:t>
      </w:r>
      <w:r>
        <w:rPr>
          <w:iCs/>
          <w:snapToGrid w:val="0"/>
          <w:kern w:val="22"/>
          <w:szCs w:val="22"/>
          <w:lang w:eastAsia="zh-CN"/>
        </w:rPr>
        <w:t>B</w:t>
      </w:r>
      <w:r w:rsidRPr="00D71BEC">
        <w:rPr>
          <w:iCs/>
          <w:snapToGrid w:val="0"/>
          <w:kern w:val="22"/>
          <w:szCs w:val="22"/>
          <w:lang w:eastAsia="zh-CN"/>
        </w:rPr>
        <w:t xml:space="preserve">iodiversity </w:t>
      </w:r>
      <w:r>
        <w:rPr>
          <w:iCs/>
          <w:snapToGrid w:val="0"/>
          <w:kern w:val="22"/>
          <w:szCs w:val="22"/>
          <w:lang w:eastAsia="zh-CN"/>
        </w:rPr>
        <w:t>F</w:t>
      </w:r>
      <w:r w:rsidRPr="00D71BEC">
        <w:rPr>
          <w:iCs/>
          <w:snapToGrid w:val="0"/>
          <w:kern w:val="22"/>
          <w:szCs w:val="22"/>
          <w:lang w:eastAsia="zh-CN"/>
        </w:rPr>
        <w:t>ramework in anticipation of the ninth replenishment of the Global Environment Facility Trust Fund (2026</w:t>
      </w:r>
      <w:r>
        <w:rPr>
          <w:iCs/>
          <w:snapToGrid w:val="0"/>
          <w:kern w:val="22"/>
          <w:szCs w:val="22"/>
          <w:lang w:eastAsia="zh-CN"/>
        </w:rPr>
        <w:t>–</w:t>
      </w:r>
      <w:r w:rsidRPr="00D71BEC">
        <w:rPr>
          <w:iCs/>
          <w:snapToGrid w:val="0"/>
          <w:kern w:val="22"/>
          <w:szCs w:val="22"/>
          <w:lang w:eastAsia="zh-CN"/>
        </w:rPr>
        <w:t xml:space="preserve">2030), for consideration by the Subsidiary Body on Implementation at </w:t>
      </w:r>
      <w:r>
        <w:rPr>
          <w:iCs/>
          <w:snapToGrid w:val="0"/>
          <w:kern w:val="22"/>
          <w:szCs w:val="22"/>
          <w:lang w:eastAsia="zh-CN"/>
        </w:rPr>
        <w:t>a</w:t>
      </w:r>
      <w:r w:rsidRPr="00D71BEC">
        <w:rPr>
          <w:iCs/>
          <w:snapToGrid w:val="0"/>
          <w:kern w:val="22"/>
          <w:szCs w:val="22"/>
          <w:lang w:eastAsia="zh-CN"/>
        </w:rPr>
        <w:t xml:space="preserve"> meeting</w:t>
      </w:r>
      <w:r>
        <w:rPr>
          <w:iCs/>
          <w:snapToGrid w:val="0"/>
          <w:kern w:val="22"/>
          <w:szCs w:val="22"/>
          <w:lang w:eastAsia="zh-CN"/>
        </w:rPr>
        <w:t xml:space="preserve"> prior to the sixteenth meeting of the Conference of the Parties</w:t>
      </w:r>
      <w:r w:rsidRPr="00D71BEC">
        <w:rPr>
          <w:iCs/>
          <w:snapToGrid w:val="0"/>
          <w:kern w:val="22"/>
          <w:szCs w:val="22"/>
          <w:lang w:eastAsia="zh-CN"/>
        </w:rPr>
        <w:t>;</w:t>
      </w:r>
    </w:p>
    <w:p w14:paraId="4691074C"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12.</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Subsidiary Body on Implementation to prepare proposals for a draft four-year outcome-oriented framework of programme priorities for the implementation of the Convention and its Protocols aligned with the </w:t>
      </w:r>
      <w:r>
        <w:rPr>
          <w:iCs/>
          <w:snapToGrid w:val="0"/>
          <w:kern w:val="22"/>
          <w:szCs w:val="22"/>
          <w:lang w:eastAsia="zh-CN"/>
        </w:rPr>
        <w:t>Kunming-Montreal</w:t>
      </w:r>
      <w:r w:rsidRPr="00D71BEC">
        <w:rPr>
          <w:iCs/>
          <w:snapToGrid w:val="0"/>
          <w:kern w:val="22"/>
          <w:szCs w:val="22"/>
          <w:lang w:eastAsia="zh-CN"/>
        </w:rPr>
        <w:t xml:space="preserve"> </w:t>
      </w:r>
      <w:r>
        <w:rPr>
          <w:iCs/>
          <w:snapToGrid w:val="0"/>
          <w:kern w:val="22"/>
          <w:szCs w:val="22"/>
          <w:lang w:eastAsia="zh-CN"/>
        </w:rPr>
        <w:t>G</w:t>
      </w:r>
      <w:r w:rsidRPr="00D71BEC">
        <w:rPr>
          <w:iCs/>
          <w:snapToGrid w:val="0"/>
          <w:kern w:val="22"/>
          <w:szCs w:val="22"/>
          <w:lang w:eastAsia="zh-CN"/>
        </w:rPr>
        <w:t xml:space="preserve">lobal </w:t>
      </w:r>
      <w:r>
        <w:rPr>
          <w:iCs/>
          <w:snapToGrid w:val="0"/>
          <w:kern w:val="22"/>
          <w:szCs w:val="22"/>
          <w:lang w:eastAsia="zh-CN"/>
        </w:rPr>
        <w:t>B</w:t>
      </w:r>
      <w:r w:rsidRPr="00D71BEC">
        <w:rPr>
          <w:iCs/>
          <w:snapToGrid w:val="0"/>
          <w:kern w:val="22"/>
          <w:szCs w:val="22"/>
          <w:lang w:eastAsia="zh-CN"/>
        </w:rPr>
        <w:t xml:space="preserve">iodiversity </w:t>
      </w:r>
      <w:r>
        <w:rPr>
          <w:iCs/>
          <w:snapToGrid w:val="0"/>
          <w:kern w:val="22"/>
          <w:szCs w:val="22"/>
          <w:lang w:eastAsia="zh-CN"/>
        </w:rPr>
        <w:t>F</w:t>
      </w:r>
      <w:r w:rsidRPr="00D71BEC">
        <w:rPr>
          <w:iCs/>
          <w:snapToGrid w:val="0"/>
          <w:kern w:val="22"/>
          <w:szCs w:val="22"/>
          <w:lang w:eastAsia="zh-CN"/>
        </w:rPr>
        <w:t>ramework</w:t>
      </w:r>
      <w:r>
        <w:rPr>
          <w:iCs/>
          <w:snapToGrid w:val="0"/>
          <w:kern w:val="22"/>
          <w:szCs w:val="22"/>
          <w:lang w:eastAsia="zh-CN"/>
        </w:rPr>
        <w:t>,</w:t>
      </w:r>
      <w:r w:rsidRPr="00D71BEC">
        <w:rPr>
          <w:iCs/>
          <w:snapToGrid w:val="0"/>
          <w:kern w:val="22"/>
          <w:szCs w:val="22"/>
          <w:lang w:eastAsia="zh-CN"/>
        </w:rPr>
        <w:t xml:space="preserve"> in anticipation of the ninth replenishment of the Global Environment Facility Trust Fund (2026</w:t>
      </w:r>
      <w:r>
        <w:rPr>
          <w:iCs/>
          <w:snapToGrid w:val="0"/>
          <w:kern w:val="22"/>
          <w:szCs w:val="22"/>
          <w:lang w:eastAsia="zh-CN"/>
        </w:rPr>
        <w:t>–</w:t>
      </w:r>
      <w:r w:rsidRPr="00D71BEC">
        <w:rPr>
          <w:iCs/>
          <w:snapToGrid w:val="0"/>
          <w:kern w:val="22"/>
          <w:szCs w:val="22"/>
          <w:lang w:eastAsia="zh-CN"/>
        </w:rPr>
        <w:t>2030), for consideration by the Conference of the Parties at its sixteenth meeting;</w:t>
      </w:r>
    </w:p>
    <w:p w14:paraId="44D1CD78"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13.</w:t>
      </w:r>
      <w:r w:rsidRPr="00D71BEC">
        <w:rPr>
          <w:iCs/>
          <w:snapToGrid w:val="0"/>
          <w:kern w:val="22"/>
          <w:szCs w:val="22"/>
          <w:lang w:eastAsia="zh-CN"/>
        </w:rPr>
        <w:tab/>
      </w:r>
      <w:r w:rsidRPr="00D71BEC">
        <w:rPr>
          <w:i/>
          <w:snapToGrid w:val="0"/>
          <w:kern w:val="22"/>
          <w:szCs w:val="22"/>
          <w:lang w:eastAsia="zh-CN"/>
        </w:rPr>
        <w:t>Adopts</w:t>
      </w:r>
      <w:r w:rsidRPr="00D71BEC">
        <w:rPr>
          <w:iCs/>
          <w:snapToGrid w:val="0"/>
          <w:kern w:val="22"/>
          <w:szCs w:val="22"/>
          <w:lang w:eastAsia="zh-CN"/>
        </w:rPr>
        <w:t xml:space="preserve"> the terms of reference for a full assessment of the amount of funds that are necessary to assist developing countries and countries with economies in transition, in accordance with the guidance provided by the Conference of the Parties, in fulfilling their commitments under the Convention </w:t>
      </w:r>
      <w:r>
        <w:rPr>
          <w:iCs/>
          <w:snapToGrid w:val="0"/>
          <w:kern w:val="22"/>
          <w:szCs w:val="22"/>
          <w:lang w:eastAsia="zh-CN"/>
        </w:rPr>
        <w:t xml:space="preserve">and its Protocols </w:t>
      </w:r>
      <w:r w:rsidRPr="00D71BEC">
        <w:rPr>
          <w:iCs/>
          <w:snapToGrid w:val="0"/>
          <w:kern w:val="22"/>
          <w:szCs w:val="22"/>
          <w:lang w:eastAsia="zh-CN"/>
        </w:rPr>
        <w:t>for the ninth replenishment period of the Global Environment Facility</w:t>
      </w:r>
      <w:r w:rsidRPr="002C5C05">
        <w:rPr>
          <w:iCs/>
          <w:snapToGrid w:val="0"/>
          <w:kern w:val="22"/>
          <w:szCs w:val="22"/>
          <w:lang w:eastAsia="zh-CN"/>
        </w:rPr>
        <w:t xml:space="preserve">, as contained </w:t>
      </w:r>
      <w:r w:rsidRPr="008D4247">
        <w:rPr>
          <w:iCs/>
          <w:snapToGrid w:val="0"/>
          <w:kern w:val="22"/>
          <w:szCs w:val="22"/>
          <w:lang w:eastAsia="zh-CN"/>
        </w:rPr>
        <w:t>in annex III to</w:t>
      </w:r>
      <w:r w:rsidRPr="00D71BEC">
        <w:rPr>
          <w:iCs/>
          <w:snapToGrid w:val="0"/>
          <w:kern w:val="22"/>
          <w:szCs w:val="22"/>
          <w:lang w:eastAsia="zh-CN"/>
        </w:rPr>
        <w:t xml:space="preserve"> the present decision;</w:t>
      </w:r>
    </w:p>
    <w:p w14:paraId="3FC44CC9"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14.</w:t>
      </w:r>
      <w:r w:rsidRPr="00D71BEC">
        <w:rPr>
          <w:iCs/>
          <w:snapToGrid w:val="0"/>
          <w:kern w:val="22"/>
          <w:szCs w:val="22"/>
          <w:lang w:eastAsia="zh-CN"/>
        </w:rPr>
        <w:tab/>
      </w:r>
      <w:r w:rsidRPr="00D71BEC">
        <w:rPr>
          <w:i/>
          <w:snapToGrid w:val="0"/>
          <w:kern w:val="22"/>
          <w:szCs w:val="22"/>
          <w:lang w:eastAsia="zh-CN"/>
        </w:rPr>
        <w:t>Requests</w:t>
      </w:r>
      <w:r w:rsidRPr="00D71BEC">
        <w:rPr>
          <w:iCs/>
          <w:snapToGrid w:val="0"/>
          <w:kern w:val="22"/>
          <w:szCs w:val="22"/>
          <w:lang w:eastAsia="zh-CN"/>
        </w:rPr>
        <w:t xml:space="preserve"> the Executive Secretary to ensure completion of the assessment according to the terms of reference </w:t>
      </w:r>
      <w:r w:rsidRPr="00755D6F">
        <w:rPr>
          <w:iCs/>
          <w:snapToGrid w:val="0"/>
          <w:kern w:val="22"/>
          <w:szCs w:val="22"/>
          <w:lang w:eastAsia="zh-CN"/>
        </w:rPr>
        <w:t>set out in</w:t>
      </w:r>
      <w:r w:rsidRPr="00D71BEC">
        <w:rPr>
          <w:iCs/>
          <w:snapToGrid w:val="0"/>
          <w:kern w:val="22"/>
          <w:szCs w:val="22"/>
          <w:lang w:eastAsia="zh-CN"/>
        </w:rPr>
        <w:t xml:space="preserve"> </w:t>
      </w:r>
      <w:r w:rsidRPr="008D4247">
        <w:rPr>
          <w:iCs/>
          <w:snapToGrid w:val="0"/>
          <w:kern w:val="22"/>
          <w:szCs w:val="22"/>
          <w:lang w:eastAsia="zh-CN"/>
        </w:rPr>
        <w:t>annex III to</w:t>
      </w:r>
      <w:r>
        <w:rPr>
          <w:iCs/>
          <w:snapToGrid w:val="0"/>
          <w:kern w:val="22"/>
          <w:szCs w:val="22"/>
          <w:lang w:eastAsia="zh-CN"/>
        </w:rPr>
        <w:t xml:space="preserve"> the present decision</w:t>
      </w:r>
      <w:r w:rsidRPr="00D71BEC">
        <w:rPr>
          <w:iCs/>
          <w:snapToGrid w:val="0"/>
          <w:kern w:val="22"/>
          <w:szCs w:val="22"/>
          <w:lang w:eastAsia="zh-CN"/>
        </w:rPr>
        <w:t>, in time for consideration by the Subsidiary Body on Implementation, and subsequently by the Conference of the Parties at its sixteenth meeting;</w:t>
      </w:r>
    </w:p>
    <w:p w14:paraId="68C28CD7"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15.</w:t>
      </w:r>
      <w:r w:rsidRPr="00D71BEC">
        <w:rPr>
          <w:iCs/>
          <w:snapToGrid w:val="0"/>
          <w:kern w:val="22"/>
          <w:szCs w:val="22"/>
          <w:lang w:eastAsia="zh-CN"/>
        </w:rPr>
        <w:tab/>
      </w:r>
      <w:r w:rsidRPr="00D71BEC">
        <w:rPr>
          <w:i/>
          <w:snapToGrid w:val="0"/>
          <w:kern w:val="22"/>
          <w:szCs w:val="22"/>
          <w:lang w:eastAsia="zh-CN"/>
        </w:rPr>
        <w:t>Invites</w:t>
      </w:r>
      <w:r w:rsidRPr="00D71BEC">
        <w:rPr>
          <w:iCs/>
          <w:snapToGrid w:val="0"/>
          <w:kern w:val="22"/>
          <w:szCs w:val="22"/>
          <w:lang w:eastAsia="zh-CN"/>
        </w:rPr>
        <w:t xml:space="preserve"> developing country Parties and Parties with economies in transition to identify related national funding priorities, including nationally prioritized funding needs that could be considered </w:t>
      </w:r>
      <w:r w:rsidRPr="00D71BEC">
        <w:rPr>
          <w:iCs/>
          <w:snapToGrid w:val="0"/>
          <w:kern w:val="22"/>
          <w:szCs w:val="22"/>
          <w:lang w:eastAsia="zh-CN"/>
        </w:rPr>
        <w:lastRenderedPageBreak/>
        <w:t>as eligible for funding under the financial mechanism specifically for the period July 2026 to June 2030, and submit the results to the Executive Secretary for inclusion in the funding needs assessment;</w:t>
      </w:r>
    </w:p>
    <w:p w14:paraId="0AA1FB6F" w14:textId="77777777" w:rsidR="00DA0273" w:rsidRPr="00D71BEC" w:rsidRDefault="00DA0273" w:rsidP="00092FE4">
      <w:pPr>
        <w:suppressLineNumbers/>
        <w:suppressAutoHyphens/>
        <w:adjustRightInd w:val="0"/>
        <w:snapToGrid w:val="0"/>
        <w:spacing w:before="120" w:after="120"/>
        <w:ind w:firstLine="709"/>
        <w:rPr>
          <w:iCs/>
          <w:snapToGrid w:val="0"/>
          <w:kern w:val="22"/>
          <w:szCs w:val="22"/>
          <w:lang w:eastAsia="zh-CN"/>
        </w:rPr>
      </w:pPr>
      <w:r w:rsidRPr="00D71BEC">
        <w:rPr>
          <w:iCs/>
          <w:snapToGrid w:val="0"/>
          <w:kern w:val="22"/>
          <w:szCs w:val="22"/>
          <w:lang w:eastAsia="zh-CN"/>
        </w:rPr>
        <w:t>16.</w:t>
      </w:r>
      <w:r w:rsidRPr="00D71BEC">
        <w:rPr>
          <w:iCs/>
          <w:snapToGrid w:val="0"/>
          <w:kern w:val="22"/>
          <w:szCs w:val="22"/>
          <w:lang w:eastAsia="zh-CN"/>
        </w:rPr>
        <w:tab/>
      </w:r>
      <w:r w:rsidRPr="00D71BEC">
        <w:rPr>
          <w:i/>
          <w:snapToGrid w:val="0"/>
          <w:kern w:val="22"/>
          <w:szCs w:val="22"/>
          <w:lang w:eastAsia="zh-CN"/>
        </w:rPr>
        <w:t>Invites</w:t>
      </w:r>
      <w:r w:rsidRPr="00D71BEC">
        <w:rPr>
          <w:iCs/>
          <w:snapToGrid w:val="0"/>
          <w:kern w:val="22"/>
          <w:szCs w:val="22"/>
          <w:lang w:eastAsia="zh-CN"/>
        </w:rPr>
        <w:t xml:space="preserve"> the governing bodies of the various biodiversity-related conventions, further to paragraphs 2, 3 and 4 of decision XII/30</w:t>
      </w:r>
      <w:r>
        <w:rPr>
          <w:iCs/>
          <w:snapToGrid w:val="0"/>
          <w:kern w:val="22"/>
          <w:szCs w:val="22"/>
          <w:lang w:eastAsia="zh-CN"/>
        </w:rPr>
        <w:t>,</w:t>
      </w:r>
      <w:r w:rsidRPr="00D71BEC">
        <w:rPr>
          <w:iCs/>
          <w:snapToGrid w:val="0"/>
          <w:kern w:val="22"/>
          <w:szCs w:val="22"/>
          <w:lang w:eastAsia="zh-CN"/>
        </w:rPr>
        <w:t xml:space="preserve"> and paragraph 10 of decision XIII/21, to repeat the exercise described therein for the development of strategic guidance for the ninth replenishment of the Global Environment Facility in time for consideration by the Conference of the Parties at its sixteenth meeting;</w:t>
      </w:r>
    </w:p>
    <w:p w14:paraId="03379750" w14:textId="77777777" w:rsidR="00DA0273" w:rsidRPr="00D71BEC" w:rsidRDefault="00DA0273" w:rsidP="00FB5720">
      <w:pPr>
        <w:suppressLineNumbers/>
        <w:suppressAutoHyphens/>
        <w:adjustRightInd w:val="0"/>
        <w:snapToGrid w:val="0"/>
        <w:spacing w:before="120" w:after="120"/>
        <w:ind w:firstLine="720"/>
        <w:rPr>
          <w:snapToGrid w:val="0"/>
          <w:kern w:val="22"/>
          <w:szCs w:val="22"/>
          <w:lang w:eastAsia="zh-CN"/>
        </w:rPr>
      </w:pPr>
      <w:r w:rsidRPr="00D71BEC">
        <w:rPr>
          <w:iCs/>
          <w:snapToGrid w:val="0"/>
          <w:kern w:val="22"/>
          <w:szCs w:val="22"/>
          <w:lang w:eastAsia="zh-CN"/>
        </w:rPr>
        <w:t>1</w:t>
      </w:r>
      <w:r w:rsidRPr="00D71BEC">
        <w:rPr>
          <w:snapToGrid w:val="0"/>
          <w:kern w:val="22"/>
          <w:szCs w:val="22"/>
          <w:lang w:eastAsia="zh-CN"/>
        </w:rPr>
        <w:t>7.</w:t>
      </w:r>
      <w:r w:rsidRPr="00D71BEC">
        <w:rPr>
          <w:i/>
          <w:snapToGrid w:val="0"/>
          <w:kern w:val="22"/>
          <w:szCs w:val="22"/>
          <w:lang w:eastAsia="zh-CN"/>
        </w:rPr>
        <w:tab/>
      </w:r>
      <w:r>
        <w:rPr>
          <w:i/>
          <w:snapToGrid w:val="0"/>
          <w:kern w:val="22"/>
          <w:szCs w:val="22"/>
          <w:lang w:eastAsia="zh-CN"/>
        </w:rPr>
        <w:t>A</w:t>
      </w:r>
      <w:r w:rsidRPr="00D71BEC">
        <w:rPr>
          <w:i/>
          <w:snapToGrid w:val="0"/>
          <w:kern w:val="22"/>
          <w:szCs w:val="22"/>
          <w:lang w:eastAsia="zh-CN"/>
        </w:rPr>
        <w:t>dopts</w:t>
      </w:r>
      <w:r w:rsidRPr="00D71BEC">
        <w:rPr>
          <w:snapToGrid w:val="0"/>
          <w:kern w:val="22"/>
          <w:szCs w:val="22"/>
          <w:lang w:eastAsia="zh-CN"/>
        </w:rPr>
        <w:t xml:space="preserve"> the terms of reference for the sixth quadrennial review of the effectiveness of the financial </w:t>
      </w:r>
      <w:r w:rsidRPr="002C5C05">
        <w:rPr>
          <w:snapToGrid w:val="0"/>
          <w:kern w:val="22"/>
          <w:szCs w:val="22"/>
          <w:lang w:eastAsia="zh-CN"/>
        </w:rPr>
        <w:t xml:space="preserve">mechanism contained in </w:t>
      </w:r>
      <w:r w:rsidRPr="008D4247">
        <w:rPr>
          <w:snapToGrid w:val="0"/>
          <w:kern w:val="22"/>
          <w:szCs w:val="22"/>
          <w:lang w:eastAsia="zh-CN"/>
        </w:rPr>
        <w:t>annex IV to the present</w:t>
      </w:r>
      <w:r w:rsidRPr="00D71BEC">
        <w:rPr>
          <w:snapToGrid w:val="0"/>
          <w:kern w:val="22"/>
          <w:szCs w:val="22"/>
          <w:lang w:eastAsia="zh-CN"/>
        </w:rPr>
        <w:t xml:space="preserve"> decision, and requests the </w:t>
      </w:r>
      <w:r w:rsidRPr="00D71BEC">
        <w:rPr>
          <w:snapToGrid w:val="0"/>
          <w:kern w:val="22"/>
          <w:szCs w:val="22"/>
        </w:rPr>
        <w:t>Executive</w:t>
      </w:r>
      <w:r w:rsidRPr="00D71BEC">
        <w:rPr>
          <w:snapToGrid w:val="0"/>
          <w:kern w:val="22"/>
          <w:szCs w:val="22"/>
          <w:lang w:eastAsia="zh-CN"/>
        </w:rPr>
        <w:t xml:space="preserve"> Secretary to </w:t>
      </w:r>
      <w:r w:rsidRPr="006F496A">
        <w:rPr>
          <w:snapToGrid w:val="0"/>
          <w:kern w:val="22"/>
          <w:szCs w:val="22"/>
          <w:lang w:eastAsia="zh-CN"/>
        </w:rPr>
        <w:t xml:space="preserve">ensure </w:t>
      </w:r>
      <w:r w:rsidRPr="000E778E">
        <w:rPr>
          <w:snapToGrid w:val="0"/>
          <w:kern w:val="22"/>
          <w:szCs w:val="22"/>
          <w:lang w:eastAsia="zh-CN"/>
        </w:rPr>
        <w:t xml:space="preserve">that </w:t>
      </w:r>
      <w:r w:rsidRPr="006F496A">
        <w:rPr>
          <w:snapToGrid w:val="0"/>
          <w:kern w:val="22"/>
          <w:szCs w:val="22"/>
          <w:lang w:eastAsia="zh-CN"/>
        </w:rPr>
        <w:t xml:space="preserve">the report on the sixth quadrennial review of the effectiveness of the financial mechanism </w:t>
      </w:r>
      <w:r w:rsidRPr="000E778E">
        <w:rPr>
          <w:snapToGrid w:val="0"/>
          <w:kern w:val="22"/>
          <w:szCs w:val="22"/>
          <w:lang w:eastAsia="zh-CN"/>
        </w:rPr>
        <w:t>is</w:t>
      </w:r>
      <w:r w:rsidRPr="006F496A">
        <w:rPr>
          <w:snapToGrid w:val="0"/>
          <w:kern w:val="22"/>
          <w:szCs w:val="22"/>
          <w:lang w:eastAsia="zh-CN"/>
        </w:rPr>
        <w:t xml:space="preserve"> </w:t>
      </w:r>
      <w:r w:rsidRPr="000E778E">
        <w:rPr>
          <w:snapToGrid w:val="0"/>
          <w:kern w:val="22"/>
          <w:szCs w:val="22"/>
          <w:lang w:eastAsia="zh-CN"/>
        </w:rPr>
        <w:t>made available</w:t>
      </w:r>
      <w:r w:rsidRPr="006F496A">
        <w:rPr>
          <w:snapToGrid w:val="0"/>
          <w:kern w:val="22"/>
          <w:szCs w:val="22"/>
          <w:lang w:eastAsia="zh-CN"/>
        </w:rPr>
        <w:t xml:space="preserve"> three months </w:t>
      </w:r>
      <w:r w:rsidRPr="000E778E">
        <w:rPr>
          <w:snapToGrid w:val="0"/>
          <w:kern w:val="22"/>
          <w:szCs w:val="22"/>
          <w:lang w:eastAsia="zh-CN"/>
        </w:rPr>
        <w:t xml:space="preserve">prior to </w:t>
      </w:r>
      <w:r w:rsidRPr="006F496A">
        <w:rPr>
          <w:snapToGrid w:val="0"/>
          <w:kern w:val="22"/>
          <w:szCs w:val="22"/>
          <w:lang w:eastAsia="zh-CN"/>
        </w:rPr>
        <w:t xml:space="preserve">the </w:t>
      </w:r>
      <w:r w:rsidRPr="000E778E">
        <w:rPr>
          <w:snapToGrid w:val="0"/>
          <w:kern w:val="22"/>
          <w:szCs w:val="22"/>
          <w:lang w:eastAsia="zh-CN"/>
        </w:rPr>
        <w:t xml:space="preserve">sixteenth meeting of the </w:t>
      </w:r>
      <w:r w:rsidRPr="006F496A">
        <w:rPr>
          <w:snapToGrid w:val="0"/>
          <w:kern w:val="22"/>
          <w:szCs w:val="22"/>
          <w:lang w:eastAsia="zh-CN"/>
        </w:rPr>
        <w:t>Conference of the Parties</w:t>
      </w:r>
      <w:r w:rsidRPr="000E778E">
        <w:rPr>
          <w:snapToGrid w:val="0"/>
          <w:kern w:val="22"/>
          <w:szCs w:val="22"/>
          <w:lang w:eastAsia="zh-CN"/>
        </w:rPr>
        <w:t>;</w:t>
      </w:r>
    </w:p>
    <w:p w14:paraId="06B47E34" w14:textId="77777777" w:rsidR="00DA0273" w:rsidRPr="00D71BEC" w:rsidRDefault="00DA0273" w:rsidP="00E21EE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D71BEC">
        <w:rPr>
          <w:iCs/>
          <w:snapToGrid w:val="0"/>
          <w:kern w:val="22"/>
          <w:szCs w:val="22"/>
        </w:rPr>
        <w:t xml:space="preserve">18. </w:t>
      </w:r>
      <w:r w:rsidRPr="00D71BEC">
        <w:rPr>
          <w:iCs/>
          <w:snapToGrid w:val="0"/>
          <w:kern w:val="22"/>
          <w:szCs w:val="22"/>
        </w:rPr>
        <w:tab/>
      </w:r>
      <w:r w:rsidRPr="00D71BEC">
        <w:rPr>
          <w:i/>
          <w:snapToGrid w:val="0"/>
          <w:kern w:val="22"/>
          <w:szCs w:val="22"/>
        </w:rPr>
        <w:t>Calls upon</w:t>
      </w:r>
      <w:r w:rsidRPr="00D71BEC">
        <w:rPr>
          <w:iCs/>
          <w:snapToGrid w:val="0"/>
          <w:kern w:val="22"/>
          <w:szCs w:val="22"/>
        </w:rPr>
        <w:t xml:space="preserve"> the Global Environment Facility to further reform its operations to ensure adequacy, predictability, and the timely flow of funds by establishing easy and effective access modalities, including by scaling fast-track systems, and by facilitating new contributors</w:t>
      </w:r>
      <w:r>
        <w:rPr>
          <w:iCs/>
          <w:snapToGrid w:val="0"/>
          <w:kern w:val="22"/>
          <w:szCs w:val="22"/>
        </w:rPr>
        <w:t>;</w:t>
      </w:r>
    </w:p>
    <w:p w14:paraId="555A55D3" w14:textId="77777777" w:rsidR="00DA0273" w:rsidRPr="00D71BEC" w:rsidRDefault="00DA0273" w:rsidP="000E778E">
      <w:pPr>
        <w:pStyle w:val="BodyText"/>
        <w:spacing w:before="240"/>
        <w:ind w:right="117" w:firstLine="0"/>
        <w:rPr>
          <w:b/>
          <w:bCs/>
          <w:iCs w:val="0"/>
        </w:rPr>
      </w:pPr>
      <w:bookmarkStart w:id="202" w:name="_Hlk126231620"/>
      <w:r w:rsidRPr="00D71BEC">
        <w:rPr>
          <w:b/>
          <w:bCs/>
          <w:iCs w:val="0"/>
        </w:rPr>
        <w:t xml:space="preserve">Global Biodiversity Framework Fund </w:t>
      </w:r>
      <w:bookmarkEnd w:id="202"/>
    </w:p>
    <w:p w14:paraId="059B74AF" w14:textId="77777777" w:rsidR="00DA0273" w:rsidRPr="00D71BEC" w:rsidRDefault="00DA0273" w:rsidP="00463BD3">
      <w:pPr>
        <w:pStyle w:val="BodyText"/>
        <w:ind w:right="117" w:firstLine="630"/>
        <w:rPr>
          <w:iCs w:val="0"/>
        </w:rPr>
      </w:pPr>
      <w:r w:rsidRPr="00D71BEC">
        <w:rPr>
          <w:iCs w:val="0"/>
        </w:rPr>
        <w:t>19.</w:t>
      </w:r>
      <w:r w:rsidRPr="00D71BEC">
        <w:rPr>
          <w:iCs w:val="0"/>
        </w:rPr>
        <w:tab/>
      </w:r>
      <w:r w:rsidRPr="00D71BEC">
        <w:rPr>
          <w:i/>
        </w:rPr>
        <w:t>Recognizes</w:t>
      </w:r>
      <w:r w:rsidRPr="00D71BEC">
        <w:rPr>
          <w:iCs w:val="0"/>
        </w:rPr>
        <w:t xml:space="preserve"> the urgency to increase international biodiversity finance and to establish a dedicated and </w:t>
      </w:r>
      <w:r w:rsidRPr="006F496A">
        <w:rPr>
          <w:iCs w:val="0"/>
        </w:rPr>
        <w:t xml:space="preserve">accessible </w:t>
      </w:r>
      <w:r w:rsidRPr="00E129DD">
        <w:rPr>
          <w:iCs w:val="0"/>
        </w:rPr>
        <w:t>f</w:t>
      </w:r>
      <w:r w:rsidRPr="0064536A">
        <w:rPr>
          <w:iCs w:val="0"/>
        </w:rPr>
        <w:t>und</w:t>
      </w:r>
      <w:r>
        <w:rPr>
          <w:iCs w:val="0"/>
        </w:rPr>
        <w:t xml:space="preserve"> </w:t>
      </w:r>
      <w:r w:rsidRPr="00D71BEC">
        <w:rPr>
          <w:iCs w:val="0"/>
        </w:rPr>
        <w:t xml:space="preserve">in 2023 </w:t>
      </w:r>
      <w:r w:rsidRPr="001664EA">
        <w:rPr>
          <w:iCs w:val="0"/>
        </w:rPr>
        <w:t xml:space="preserve">for the </w:t>
      </w:r>
      <w:r w:rsidRPr="000E778E">
        <w:rPr>
          <w:iCs w:val="0"/>
        </w:rPr>
        <w:t xml:space="preserve">Kunming-Montreal </w:t>
      </w:r>
      <w:r w:rsidRPr="001664EA">
        <w:rPr>
          <w:iCs w:val="0"/>
        </w:rPr>
        <w:t>Global Biodiversity Framework</w:t>
      </w:r>
      <w:r w:rsidRPr="006F496A">
        <w:rPr>
          <w:iCs w:val="0"/>
        </w:rPr>
        <w:t xml:space="preserve"> </w:t>
      </w:r>
      <w:r w:rsidRPr="00D71BEC">
        <w:rPr>
          <w:iCs w:val="0"/>
        </w:rPr>
        <w:t xml:space="preserve">that can quickly mobilize and disburse new and additional resources from all sources, commensurate with the ambition of the </w:t>
      </w:r>
      <w:r>
        <w:rPr>
          <w:iCs w:val="0"/>
        </w:rPr>
        <w:t>F</w:t>
      </w:r>
      <w:r w:rsidRPr="00D71BEC">
        <w:rPr>
          <w:iCs w:val="0"/>
        </w:rPr>
        <w:t>ramework;</w:t>
      </w:r>
    </w:p>
    <w:p w14:paraId="37D81D7D" w14:textId="77777777" w:rsidR="00DA0273" w:rsidRPr="00D71BEC" w:rsidRDefault="00DA0273" w:rsidP="00463BD3">
      <w:pPr>
        <w:pStyle w:val="BodyText"/>
        <w:ind w:right="117" w:firstLine="630"/>
        <w:rPr>
          <w:iCs w:val="0"/>
        </w:rPr>
      </w:pPr>
      <w:r w:rsidRPr="00D71BEC">
        <w:rPr>
          <w:iCs w:val="0"/>
        </w:rPr>
        <w:t>20.</w:t>
      </w:r>
      <w:r w:rsidRPr="00D71BEC">
        <w:rPr>
          <w:iCs w:val="0"/>
        </w:rPr>
        <w:tab/>
      </w:r>
      <w:r w:rsidRPr="00D71BEC">
        <w:rPr>
          <w:i/>
        </w:rPr>
        <w:t>Requests</w:t>
      </w:r>
      <w:r w:rsidRPr="00D71BEC">
        <w:rPr>
          <w:iCs w:val="0"/>
        </w:rPr>
        <w:t xml:space="preserve"> the Global Environment Facility to establish, in 2023, and until 2030 unless the Conference of the Parties decides </w:t>
      </w:r>
      <w:r w:rsidRPr="00492FE3">
        <w:rPr>
          <w:iCs w:val="0"/>
        </w:rPr>
        <w:t xml:space="preserve">otherwise, a </w:t>
      </w:r>
      <w:r w:rsidRPr="000E778E">
        <w:rPr>
          <w:iCs w:val="0"/>
        </w:rPr>
        <w:t>s</w:t>
      </w:r>
      <w:r w:rsidRPr="00492FE3">
        <w:rPr>
          <w:iCs w:val="0"/>
        </w:rPr>
        <w:t xml:space="preserve">pecial </w:t>
      </w:r>
      <w:r w:rsidRPr="000E778E">
        <w:rPr>
          <w:iCs w:val="0"/>
        </w:rPr>
        <w:t>t</w:t>
      </w:r>
      <w:r w:rsidRPr="00492FE3">
        <w:rPr>
          <w:iCs w:val="0"/>
        </w:rPr>
        <w:t xml:space="preserve">rust </w:t>
      </w:r>
      <w:r w:rsidRPr="000E778E">
        <w:rPr>
          <w:iCs w:val="0"/>
        </w:rPr>
        <w:t>f</w:t>
      </w:r>
      <w:r w:rsidRPr="00492FE3">
        <w:rPr>
          <w:iCs w:val="0"/>
        </w:rPr>
        <w:t>und to support</w:t>
      </w:r>
      <w:r w:rsidRPr="00D71BEC">
        <w:rPr>
          <w:iCs w:val="0"/>
        </w:rPr>
        <w:t xml:space="preserve"> </w:t>
      </w:r>
      <w:r w:rsidRPr="00D71BEC">
        <w:rPr>
          <w:snapToGrid w:val="0"/>
          <w:kern w:val="20"/>
        </w:rPr>
        <w:t xml:space="preserve">the implementation of the </w:t>
      </w:r>
      <w:r w:rsidRPr="009626DB">
        <w:rPr>
          <w:snapToGrid w:val="0"/>
          <w:kern w:val="20"/>
        </w:rPr>
        <w:t>Kunming-Montreal Global Biodiversity Framework</w:t>
      </w:r>
      <w:r w:rsidRPr="009626DB">
        <w:rPr>
          <w:iCs w:val="0"/>
        </w:rPr>
        <w:t>, to</w:t>
      </w:r>
      <w:r w:rsidRPr="00D71BEC">
        <w:rPr>
          <w:iCs w:val="0"/>
        </w:rPr>
        <w:t xml:space="preserve"> complement existing support and scale up financing to ensure its timely implementation, taking into account the need for adequacy, predictability, and timely flow of funds;</w:t>
      </w:r>
    </w:p>
    <w:p w14:paraId="78F01BEC" w14:textId="77777777" w:rsidR="00DA0273" w:rsidRPr="00D71BEC" w:rsidRDefault="00DA0273" w:rsidP="00463BD3">
      <w:pPr>
        <w:pStyle w:val="BodyText"/>
        <w:ind w:right="117" w:firstLine="630"/>
        <w:rPr>
          <w:iCs w:val="0"/>
        </w:rPr>
      </w:pPr>
      <w:r w:rsidRPr="00D71BEC">
        <w:rPr>
          <w:iCs w:val="0"/>
        </w:rPr>
        <w:t>21.</w:t>
      </w:r>
      <w:r w:rsidRPr="00D71BEC">
        <w:rPr>
          <w:iCs w:val="0"/>
        </w:rPr>
        <w:tab/>
      </w:r>
      <w:r>
        <w:rPr>
          <w:i/>
        </w:rPr>
        <w:t>Also r</w:t>
      </w:r>
      <w:r w:rsidRPr="00D71BEC">
        <w:rPr>
          <w:i/>
        </w:rPr>
        <w:t>equests</w:t>
      </w:r>
      <w:r w:rsidRPr="00D71BEC">
        <w:rPr>
          <w:iCs w:val="0"/>
        </w:rPr>
        <w:t xml:space="preserve"> the Global Environmental Facility to prepare a decision to be considered by the Council</w:t>
      </w:r>
      <w:r>
        <w:rPr>
          <w:iCs w:val="0"/>
        </w:rPr>
        <w:t>,</w:t>
      </w:r>
      <w:r w:rsidRPr="00D71BEC">
        <w:rPr>
          <w:iCs w:val="0"/>
        </w:rPr>
        <w:t xml:space="preserve"> on the </w:t>
      </w:r>
      <w:r w:rsidRPr="00FA29C2">
        <w:rPr>
          <w:iCs w:val="0"/>
        </w:rPr>
        <w:t xml:space="preserve">approval of </w:t>
      </w:r>
      <w:r w:rsidRPr="000E778E">
        <w:rPr>
          <w:iCs w:val="0"/>
        </w:rPr>
        <w:t>the</w:t>
      </w:r>
      <w:r w:rsidRPr="0044733B">
        <w:rPr>
          <w:iCs w:val="0"/>
        </w:rPr>
        <w:t xml:space="preserve"> Global Biodiversity Framewor</w:t>
      </w:r>
      <w:r w:rsidRPr="00FA29C2">
        <w:rPr>
          <w:iCs w:val="0"/>
        </w:rPr>
        <w:t>k Fund</w:t>
      </w:r>
      <w:r w:rsidRPr="00D71BEC">
        <w:rPr>
          <w:iCs w:val="0"/>
        </w:rPr>
        <w:t xml:space="preserve">, with its own equitable governing body, to be dedicated exclusively to supporting the implementation of the goals and targets of the </w:t>
      </w:r>
      <w:r>
        <w:rPr>
          <w:iCs w:val="0"/>
          <w:snapToGrid w:val="0"/>
          <w:kern w:val="22"/>
          <w:szCs w:val="22"/>
          <w:lang w:eastAsia="zh-CN"/>
        </w:rPr>
        <w:t>Kunming-Montreal</w:t>
      </w:r>
      <w:r w:rsidRPr="00D71BEC">
        <w:rPr>
          <w:snapToGrid w:val="0"/>
          <w:kern w:val="22"/>
          <w:szCs w:val="22"/>
          <w:lang w:eastAsia="zh-CN"/>
        </w:rPr>
        <w:t xml:space="preserve"> </w:t>
      </w:r>
      <w:r>
        <w:rPr>
          <w:iCs w:val="0"/>
          <w:snapToGrid w:val="0"/>
          <w:kern w:val="22"/>
          <w:szCs w:val="22"/>
          <w:lang w:eastAsia="zh-CN"/>
        </w:rPr>
        <w:t>G</w:t>
      </w:r>
      <w:r w:rsidRPr="00D71BEC">
        <w:rPr>
          <w:snapToGrid w:val="0"/>
          <w:kern w:val="22"/>
          <w:szCs w:val="22"/>
          <w:lang w:eastAsia="zh-CN"/>
        </w:rPr>
        <w:t xml:space="preserve">lobal </w:t>
      </w:r>
      <w:r>
        <w:rPr>
          <w:iCs w:val="0"/>
          <w:snapToGrid w:val="0"/>
          <w:kern w:val="22"/>
          <w:szCs w:val="22"/>
          <w:lang w:eastAsia="zh-CN"/>
        </w:rPr>
        <w:t>B</w:t>
      </w:r>
      <w:r w:rsidRPr="00D71BEC">
        <w:rPr>
          <w:snapToGrid w:val="0"/>
          <w:kern w:val="22"/>
          <w:szCs w:val="22"/>
          <w:lang w:eastAsia="zh-CN"/>
        </w:rPr>
        <w:t xml:space="preserve">iodiversity </w:t>
      </w:r>
      <w:r>
        <w:rPr>
          <w:iCs w:val="0"/>
          <w:snapToGrid w:val="0"/>
          <w:kern w:val="22"/>
          <w:szCs w:val="22"/>
          <w:lang w:eastAsia="zh-CN"/>
        </w:rPr>
        <w:t>F</w:t>
      </w:r>
      <w:r w:rsidRPr="00D71BEC">
        <w:rPr>
          <w:snapToGrid w:val="0"/>
          <w:kern w:val="22"/>
          <w:szCs w:val="22"/>
          <w:lang w:eastAsia="zh-CN"/>
        </w:rPr>
        <w:t>ramework</w:t>
      </w:r>
      <w:r w:rsidRPr="00D71BEC">
        <w:rPr>
          <w:iCs w:val="0"/>
        </w:rPr>
        <w:t xml:space="preserve">; </w:t>
      </w:r>
    </w:p>
    <w:p w14:paraId="2E6C32EF" w14:textId="77777777" w:rsidR="00DA0273" w:rsidRPr="00D71BEC" w:rsidRDefault="00DA0273" w:rsidP="00463BD3">
      <w:pPr>
        <w:pStyle w:val="BodyText"/>
        <w:ind w:right="117" w:firstLine="630"/>
        <w:rPr>
          <w:iCs w:val="0"/>
        </w:rPr>
      </w:pPr>
      <w:r w:rsidRPr="00D71BEC">
        <w:rPr>
          <w:iCs w:val="0"/>
        </w:rPr>
        <w:t>22.</w:t>
      </w:r>
      <w:r w:rsidRPr="00D71BEC">
        <w:rPr>
          <w:iCs w:val="0"/>
        </w:rPr>
        <w:tab/>
      </w:r>
      <w:r>
        <w:rPr>
          <w:i/>
        </w:rPr>
        <w:t>Further r</w:t>
      </w:r>
      <w:r w:rsidRPr="00D71BEC">
        <w:rPr>
          <w:i/>
        </w:rPr>
        <w:t>equests</w:t>
      </w:r>
      <w:r w:rsidRPr="00D71BEC">
        <w:rPr>
          <w:iCs w:val="0"/>
        </w:rPr>
        <w:t xml:space="preserve"> the Global Environment Facility to advance the necessary institutional and governance arrangements to allow for th</w:t>
      </w:r>
      <w:r>
        <w:rPr>
          <w:iCs w:val="0"/>
        </w:rPr>
        <w:t>e</w:t>
      </w:r>
      <w:r w:rsidRPr="00D71BEC">
        <w:rPr>
          <w:iCs w:val="0"/>
        </w:rPr>
        <w:t xml:space="preserve"> </w:t>
      </w:r>
      <w:r w:rsidRPr="0044733B">
        <w:rPr>
          <w:iCs w:val="0"/>
        </w:rPr>
        <w:t>Global Biodiversity Framework Fund</w:t>
      </w:r>
      <w:r>
        <w:rPr>
          <w:iCs w:val="0"/>
        </w:rPr>
        <w:t xml:space="preserve"> </w:t>
      </w:r>
      <w:r w:rsidRPr="00D71BEC">
        <w:rPr>
          <w:iCs w:val="0"/>
        </w:rPr>
        <w:t xml:space="preserve">to receive </w:t>
      </w:r>
      <w:r w:rsidRPr="00FC0675">
        <w:rPr>
          <w:iCs w:val="0"/>
        </w:rPr>
        <w:t>financing</w:t>
      </w:r>
      <w:r w:rsidRPr="00D71BEC">
        <w:rPr>
          <w:iCs w:val="0"/>
        </w:rPr>
        <w:t xml:space="preserve"> from all sources</w:t>
      </w:r>
      <w:r>
        <w:rPr>
          <w:iCs w:val="0"/>
        </w:rPr>
        <w:t>,</w:t>
      </w:r>
      <w:r w:rsidRPr="00CC0F22">
        <w:rPr>
          <w:iCs w:val="0"/>
        </w:rPr>
        <w:t xml:space="preserve"> </w:t>
      </w:r>
      <w:r w:rsidRPr="00D71BEC">
        <w:rPr>
          <w:iCs w:val="0"/>
        </w:rPr>
        <w:t xml:space="preserve">in addition </w:t>
      </w:r>
      <w:r w:rsidRPr="00FC0675">
        <w:rPr>
          <w:iCs w:val="0"/>
        </w:rPr>
        <w:t xml:space="preserve">to </w:t>
      </w:r>
      <w:r>
        <w:rPr>
          <w:iCs w:val="0"/>
        </w:rPr>
        <w:t>o</w:t>
      </w:r>
      <w:r w:rsidRPr="00A83FA0">
        <w:rPr>
          <w:iCs w:val="0"/>
        </w:rPr>
        <w:t>fficial</w:t>
      </w:r>
      <w:r w:rsidRPr="00FC0675">
        <w:rPr>
          <w:iCs w:val="0"/>
        </w:rPr>
        <w:t xml:space="preserve"> </w:t>
      </w:r>
      <w:r>
        <w:rPr>
          <w:iCs w:val="0"/>
        </w:rPr>
        <w:t>d</w:t>
      </w:r>
      <w:r w:rsidRPr="00FC0675">
        <w:rPr>
          <w:iCs w:val="0"/>
        </w:rPr>
        <w:t xml:space="preserve">evelopment </w:t>
      </w:r>
      <w:r>
        <w:rPr>
          <w:iCs w:val="0"/>
        </w:rPr>
        <w:t>a</w:t>
      </w:r>
      <w:r w:rsidRPr="00FC0675">
        <w:rPr>
          <w:iCs w:val="0"/>
        </w:rPr>
        <w:t>ssistance</w:t>
      </w:r>
      <w:r w:rsidRPr="00D71BEC">
        <w:rPr>
          <w:iCs w:val="0"/>
        </w:rPr>
        <w:t xml:space="preserve">;  </w:t>
      </w:r>
    </w:p>
    <w:p w14:paraId="07EABA98" w14:textId="77777777" w:rsidR="00DA0273" w:rsidRPr="00D71BEC" w:rsidRDefault="00DA0273" w:rsidP="00463BD3">
      <w:pPr>
        <w:pStyle w:val="BodyText"/>
        <w:ind w:right="117" w:firstLine="630"/>
        <w:rPr>
          <w:iCs w:val="0"/>
        </w:rPr>
      </w:pPr>
      <w:r w:rsidRPr="00D71BEC">
        <w:rPr>
          <w:iCs w:val="0"/>
        </w:rPr>
        <w:t>23.</w:t>
      </w:r>
      <w:r w:rsidRPr="00D71BEC">
        <w:rPr>
          <w:iCs w:val="0"/>
        </w:rPr>
        <w:tab/>
      </w:r>
      <w:r w:rsidRPr="00D71BEC">
        <w:rPr>
          <w:i/>
        </w:rPr>
        <w:t>Requests</w:t>
      </w:r>
      <w:r w:rsidRPr="00D71BEC">
        <w:rPr>
          <w:iCs w:val="0"/>
        </w:rPr>
        <w:t xml:space="preserve"> the Global Environment Facility to design and implement a project cycle with a simple and effective application and approval process, providing easy and efficient access to resources of the </w:t>
      </w:r>
      <w:r w:rsidRPr="0044733B">
        <w:rPr>
          <w:iCs w:val="0"/>
        </w:rPr>
        <w:t xml:space="preserve">Global Biodiversity </w:t>
      </w:r>
      <w:r w:rsidRPr="00FA29C2">
        <w:rPr>
          <w:iCs w:val="0"/>
        </w:rPr>
        <w:t xml:space="preserve">Framework </w:t>
      </w:r>
      <w:r w:rsidRPr="000E778E">
        <w:rPr>
          <w:iCs w:val="0"/>
        </w:rPr>
        <w:t>F</w:t>
      </w:r>
      <w:r w:rsidRPr="00FA29C2">
        <w:rPr>
          <w:iCs w:val="0"/>
        </w:rPr>
        <w:t>und;</w:t>
      </w:r>
    </w:p>
    <w:p w14:paraId="5304FC6F" w14:textId="77777777" w:rsidR="00DA0273" w:rsidRPr="00D71BEC" w:rsidRDefault="00DA0273" w:rsidP="00463BD3">
      <w:pPr>
        <w:pStyle w:val="BodyText"/>
        <w:ind w:right="117" w:firstLine="630"/>
        <w:rPr>
          <w:iCs w:val="0"/>
        </w:rPr>
      </w:pPr>
      <w:r w:rsidRPr="00D71BEC">
        <w:rPr>
          <w:iCs w:val="0"/>
        </w:rPr>
        <w:t>24.</w:t>
      </w:r>
      <w:r w:rsidRPr="00D71BEC">
        <w:rPr>
          <w:iCs w:val="0"/>
        </w:rPr>
        <w:tab/>
      </w:r>
      <w:r w:rsidRPr="00D71BEC">
        <w:rPr>
          <w:i/>
        </w:rPr>
        <w:t>Calls upon</w:t>
      </w:r>
      <w:r w:rsidRPr="00D71BEC">
        <w:rPr>
          <w:iCs w:val="0"/>
        </w:rPr>
        <w:t xml:space="preserve"> the Global Environment Facility to approve these decisions at the next possible session of the Council and its ratification at the next possible session of the Assembly in 2023;</w:t>
      </w:r>
    </w:p>
    <w:p w14:paraId="01551667" w14:textId="77777777" w:rsidR="00DA0273" w:rsidRPr="00D71BEC" w:rsidRDefault="00DA0273" w:rsidP="00463BD3">
      <w:pPr>
        <w:pStyle w:val="BodyText"/>
        <w:ind w:right="117" w:firstLine="630"/>
        <w:rPr>
          <w:iCs w:val="0"/>
        </w:rPr>
      </w:pPr>
      <w:r w:rsidRPr="00D71BEC">
        <w:rPr>
          <w:iCs w:val="0"/>
        </w:rPr>
        <w:t>25.</w:t>
      </w:r>
      <w:r w:rsidRPr="00D71BEC">
        <w:rPr>
          <w:iCs w:val="0"/>
        </w:rPr>
        <w:tab/>
      </w:r>
      <w:r w:rsidRPr="00D71BEC">
        <w:rPr>
          <w:i/>
        </w:rPr>
        <w:t>Calls for</w:t>
      </w:r>
      <w:r w:rsidRPr="00D71BEC">
        <w:rPr>
          <w:iCs w:val="0"/>
        </w:rPr>
        <w:t xml:space="preserve"> immediate substantive contributions from all sources, in line with </w:t>
      </w:r>
      <w:r w:rsidRPr="006F2BC8">
        <w:rPr>
          <w:iCs w:val="0"/>
        </w:rPr>
        <w:t>Target 19</w:t>
      </w:r>
      <w:r w:rsidRPr="00D71BEC">
        <w:rPr>
          <w:iCs w:val="0"/>
        </w:rPr>
        <w:t xml:space="preserve"> of the </w:t>
      </w:r>
      <w:r>
        <w:rPr>
          <w:iCs w:val="0"/>
          <w:snapToGrid w:val="0"/>
          <w:kern w:val="22"/>
          <w:szCs w:val="22"/>
          <w:lang w:eastAsia="zh-CN"/>
        </w:rPr>
        <w:t>Kunming-Montreal</w:t>
      </w:r>
      <w:r w:rsidRPr="00D71BEC">
        <w:rPr>
          <w:snapToGrid w:val="0"/>
          <w:kern w:val="22"/>
          <w:szCs w:val="22"/>
          <w:lang w:eastAsia="zh-CN"/>
        </w:rPr>
        <w:t xml:space="preserve"> </w:t>
      </w:r>
      <w:r>
        <w:rPr>
          <w:iCs w:val="0"/>
          <w:snapToGrid w:val="0"/>
          <w:kern w:val="22"/>
          <w:szCs w:val="22"/>
          <w:lang w:eastAsia="zh-CN"/>
        </w:rPr>
        <w:t>G</w:t>
      </w:r>
      <w:r w:rsidRPr="00D71BEC">
        <w:rPr>
          <w:snapToGrid w:val="0"/>
          <w:kern w:val="22"/>
          <w:szCs w:val="22"/>
          <w:lang w:eastAsia="zh-CN"/>
        </w:rPr>
        <w:t xml:space="preserve">lobal </w:t>
      </w:r>
      <w:r>
        <w:rPr>
          <w:iCs w:val="0"/>
          <w:snapToGrid w:val="0"/>
          <w:kern w:val="22"/>
          <w:szCs w:val="22"/>
          <w:lang w:eastAsia="zh-CN"/>
        </w:rPr>
        <w:t>B</w:t>
      </w:r>
      <w:r w:rsidRPr="00D71BEC">
        <w:rPr>
          <w:snapToGrid w:val="0"/>
          <w:kern w:val="22"/>
          <w:szCs w:val="22"/>
          <w:lang w:eastAsia="zh-CN"/>
        </w:rPr>
        <w:t xml:space="preserve">iodiversity </w:t>
      </w:r>
      <w:r>
        <w:rPr>
          <w:iCs w:val="0"/>
          <w:snapToGrid w:val="0"/>
          <w:kern w:val="22"/>
          <w:szCs w:val="22"/>
          <w:lang w:eastAsia="zh-CN"/>
        </w:rPr>
        <w:t>F</w:t>
      </w:r>
      <w:r w:rsidRPr="00D71BEC">
        <w:rPr>
          <w:snapToGrid w:val="0"/>
          <w:kern w:val="22"/>
          <w:szCs w:val="22"/>
          <w:lang w:eastAsia="zh-CN"/>
        </w:rPr>
        <w:t>ramework</w:t>
      </w:r>
      <w:r w:rsidRPr="00D71BEC">
        <w:rPr>
          <w:iCs w:val="0"/>
        </w:rPr>
        <w:t>;</w:t>
      </w:r>
    </w:p>
    <w:p w14:paraId="38492C5C" w14:textId="77777777" w:rsidR="00DA0273" w:rsidRPr="00D71BEC" w:rsidRDefault="00DA0273" w:rsidP="00463BD3">
      <w:pPr>
        <w:pStyle w:val="BodyText"/>
        <w:ind w:right="117" w:firstLine="630"/>
        <w:rPr>
          <w:iCs w:val="0"/>
        </w:rPr>
      </w:pPr>
      <w:r w:rsidRPr="00D71BEC">
        <w:rPr>
          <w:iCs w:val="0"/>
        </w:rPr>
        <w:t>26.</w:t>
      </w:r>
      <w:r w:rsidRPr="00D71BEC">
        <w:rPr>
          <w:iCs w:val="0"/>
        </w:rPr>
        <w:tab/>
      </w:r>
      <w:r w:rsidRPr="00D71BEC">
        <w:rPr>
          <w:i/>
        </w:rPr>
        <w:t>Requests</w:t>
      </w:r>
      <w:r w:rsidRPr="00D71BEC">
        <w:rPr>
          <w:iCs w:val="0"/>
        </w:rPr>
        <w:t xml:space="preserve"> the Global Environmental Facility to engage all </w:t>
      </w:r>
      <w:r>
        <w:rPr>
          <w:iCs w:val="0"/>
        </w:rPr>
        <w:t>m</w:t>
      </w:r>
      <w:r w:rsidRPr="00D71BEC">
        <w:rPr>
          <w:iCs w:val="0"/>
        </w:rPr>
        <w:t xml:space="preserve">ultilateral </w:t>
      </w:r>
      <w:r>
        <w:rPr>
          <w:iCs w:val="0"/>
        </w:rPr>
        <w:t>d</w:t>
      </w:r>
      <w:r w:rsidRPr="00D71BEC">
        <w:rPr>
          <w:iCs w:val="0"/>
        </w:rPr>
        <w:t xml:space="preserve">evelopment </w:t>
      </w:r>
      <w:r>
        <w:rPr>
          <w:iCs w:val="0"/>
        </w:rPr>
        <w:t>b</w:t>
      </w:r>
      <w:r w:rsidRPr="00D71BEC">
        <w:rPr>
          <w:iCs w:val="0"/>
        </w:rPr>
        <w:t xml:space="preserve">anks </w:t>
      </w:r>
      <w:r w:rsidRPr="004D060A">
        <w:rPr>
          <w:iCs w:val="0"/>
        </w:rPr>
        <w:t xml:space="preserve">and other </w:t>
      </w:r>
      <w:r w:rsidRPr="000E778E">
        <w:rPr>
          <w:iCs w:val="0"/>
        </w:rPr>
        <w:t>i</w:t>
      </w:r>
      <w:r w:rsidRPr="004D060A">
        <w:rPr>
          <w:iCs w:val="0"/>
        </w:rPr>
        <w:t>nternational</w:t>
      </w:r>
      <w:r w:rsidRPr="00B94409">
        <w:rPr>
          <w:iCs w:val="0"/>
        </w:rPr>
        <w:t xml:space="preserve"> </w:t>
      </w:r>
      <w:r w:rsidRPr="000E778E">
        <w:rPr>
          <w:iCs w:val="0"/>
        </w:rPr>
        <w:t>f</w:t>
      </w:r>
      <w:r w:rsidRPr="00B94409">
        <w:rPr>
          <w:iCs w:val="0"/>
        </w:rPr>
        <w:t xml:space="preserve">inancial </w:t>
      </w:r>
      <w:r w:rsidRPr="000E778E">
        <w:rPr>
          <w:iCs w:val="0"/>
        </w:rPr>
        <w:t>i</w:t>
      </w:r>
      <w:r w:rsidRPr="00B94409">
        <w:rPr>
          <w:iCs w:val="0"/>
        </w:rPr>
        <w:t>nstitutions in</w:t>
      </w:r>
      <w:r w:rsidRPr="00D71BEC">
        <w:rPr>
          <w:iCs w:val="0"/>
        </w:rPr>
        <w:t xml:space="preserve"> the design and operationalization of the </w:t>
      </w:r>
      <w:r w:rsidRPr="0044733B">
        <w:rPr>
          <w:iCs w:val="0"/>
        </w:rPr>
        <w:t xml:space="preserve">Global Biodiversity </w:t>
      </w:r>
      <w:r w:rsidRPr="00FA29C2">
        <w:rPr>
          <w:iCs w:val="0"/>
        </w:rPr>
        <w:t xml:space="preserve">Framework </w:t>
      </w:r>
      <w:r w:rsidRPr="000E778E">
        <w:rPr>
          <w:iCs w:val="0"/>
        </w:rPr>
        <w:t>F</w:t>
      </w:r>
      <w:r w:rsidRPr="00FA29C2">
        <w:rPr>
          <w:iCs w:val="0"/>
        </w:rPr>
        <w:t>und, with</w:t>
      </w:r>
      <w:r w:rsidRPr="00D71BEC">
        <w:rPr>
          <w:iCs w:val="0"/>
        </w:rPr>
        <w:t xml:space="preserve"> the view of leveraging additional resources from and </w:t>
      </w:r>
      <w:r w:rsidRPr="00FA29C2">
        <w:rPr>
          <w:iCs w:val="0"/>
        </w:rPr>
        <w:t>for the Fund and</w:t>
      </w:r>
      <w:r w:rsidRPr="00D71BEC">
        <w:rPr>
          <w:iCs w:val="0"/>
        </w:rPr>
        <w:t xml:space="preserve"> channel them through new and existing biodiversity portfolios, which need to be aligned with the goals and targets of the </w:t>
      </w:r>
      <w:r>
        <w:rPr>
          <w:iCs w:val="0"/>
        </w:rPr>
        <w:t>Kunming-Montreal G</w:t>
      </w:r>
      <w:r w:rsidRPr="00D71BEC">
        <w:rPr>
          <w:iCs w:val="0"/>
        </w:rPr>
        <w:t xml:space="preserve">lobal </w:t>
      </w:r>
      <w:r>
        <w:rPr>
          <w:iCs w:val="0"/>
        </w:rPr>
        <w:t>B</w:t>
      </w:r>
      <w:r w:rsidRPr="00D71BEC">
        <w:rPr>
          <w:iCs w:val="0"/>
        </w:rPr>
        <w:t xml:space="preserve">iodiversity </w:t>
      </w:r>
      <w:r>
        <w:rPr>
          <w:iCs w:val="0"/>
        </w:rPr>
        <w:t>F</w:t>
      </w:r>
      <w:r w:rsidRPr="00D71BEC">
        <w:rPr>
          <w:iCs w:val="0"/>
        </w:rPr>
        <w:t>ramework;</w:t>
      </w:r>
    </w:p>
    <w:p w14:paraId="6A378F13" w14:textId="77777777" w:rsidR="00DA0273" w:rsidRPr="00D71BEC" w:rsidRDefault="00DA0273" w:rsidP="00463BD3">
      <w:pPr>
        <w:pStyle w:val="BodyText"/>
        <w:ind w:right="117" w:firstLine="630"/>
        <w:rPr>
          <w:iCs w:val="0"/>
        </w:rPr>
      </w:pPr>
      <w:r w:rsidRPr="00D71BEC">
        <w:rPr>
          <w:iCs w:val="0"/>
        </w:rPr>
        <w:t>27</w:t>
      </w:r>
      <w:r w:rsidRPr="00817192">
        <w:rPr>
          <w:iCs w:val="0"/>
        </w:rPr>
        <w:t>.</w:t>
      </w:r>
      <w:r w:rsidRPr="00817192">
        <w:rPr>
          <w:iCs w:val="0"/>
        </w:rPr>
        <w:tab/>
      </w:r>
      <w:r w:rsidRPr="00817192">
        <w:rPr>
          <w:i/>
        </w:rPr>
        <w:t>Also requests</w:t>
      </w:r>
      <w:r w:rsidRPr="00817192">
        <w:rPr>
          <w:iCs w:val="0"/>
        </w:rPr>
        <w:t xml:space="preserve"> the Global Environment Facility to report on the progress in establishing</w:t>
      </w:r>
      <w:r>
        <w:rPr>
          <w:iCs w:val="0"/>
        </w:rPr>
        <w:t>,</w:t>
      </w:r>
      <w:r w:rsidRPr="00817192">
        <w:rPr>
          <w:iCs w:val="0"/>
        </w:rPr>
        <w:t xml:space="preserve"> and on the operations and performance of</w:t>
      </w:r>
      <w:r>
        <w:rPr>
          <w:iCs w:val="0"/>
        </w:rPr>
        <w:t>,</w:t>
      </w:r>
      <w:r w:rsidRPr="00817192">
        <w:rPr>
          <w:iCs w:val="0"/>
        </w:rPr>
        <w:t xml:space="preserve"> the Global Biodiversity Framework </w:t>
      </w:r>
      <w:r w:rsidRPr="000E778E">
        <w:rPr>
          <w:iCs w:val="0"/>
        </w:rPr>
        <w:t>F</w:t>
      </w:r>
      <w:r w:rsidRPr="00817192">
        <w:rPr>
          <w:iCs w:val="0"/>
        </w:rPr>
        <w:t>und</w:t>
      </w:r>
      <w:r>
        <w:rPr>
          <w:iCs w:val="0"/>
        </w:rPr>
        <w:t>,</w:t>
      </w:r>
      <w:r w:rsidRPr="000E778E">
        <w:rPr>
          <w:iCs w:val="0"/>
        </w:rPr>
        <w:t xml:space="preserve"> to future meetings of the Conference of the Parties</w:t>
      </w:r>
      <w:r w:rsidRPr="00817192">
        <w:rPr>
          <w:iCs w:val="0"/>
        </w:rPr>
        <w:t>;</w:t>
      </w:r>
    </w:p>
    <w:p w14:paraId="7078C668" w14:textId="77777777" w:rsidR="00DA0273" w:rsidRPr="00D71BEC" w:rsidRDefault="00DA0273" w:rsidP="00463BD3">
      <w:pPr>
        <w:pStyle w:val="BodyText"/>
        <w:ind w:right="117" w:firstLine="630"/>
        <w:rPr>
          <w:iCs w:val="0"/>
        </w:rPr>
      </w:pPr>
      <w:r w:rsidRPr="00D71BEC">
        <w:rPr>
          <w:iCs w:val="0"/>
        </w:rPr>
        <w:lastRenderedPageBreak/>
        <w:t>28.</w:t>
      </w:r>
      <w:r w:rsidRPr="00D71BEC">
        <w:rPr>
          <w:iCs w:val="0"/>
        </w:rPr>
        <w:tab/>
      </w:r>
      <w:r w:rsidRPr="00D71BEC">
        <w:rPr>
          <w:i/>
        </w:rPr>
        <w:t>Decides</w:t>
      </w:r>
      <w:r w:rsidRPr="00D71BEC">
        <w:rPr>
          <w:iCs w:val="0"/>
        </w:rPr>
        <w:t xml:space="preserve"> to assess the progress made in establishing, and </w:t>
      </w:r>
      <w:r>
        <w:rPr>
          <w:iCs w:val="0"/>
        </w:rPr>
        <w:t xml:space="preserve">on </w:t>
      </w:r>
      <w:r w:rsidRPr="00D71BEC">
        <w:rPr>
          <w:iCs w:val="0"/>
        </w:rPr>
        <w:t xml:space="preserve">the operations and performance of, the </w:t>
      </w:r>
      <w:r w:rsidRPr="0044733B">
        <w:rPr>
          <w:iCs w:val="0"/>
        </w:rPr>
        <w:t xml:space="preserve">Global Biodiversity </w:t>
      </w:r>
      <w:r w:rsidRPr="00FA29C2">
        <w:rPr>
          <w:iCs w:val="0"/>
        </w:rPr>
        <w:t xml:space="preserve">Framework </w:t>
      </w:r>
      <w:r w:rsidRPr="000E778E">
        <w:rPr>
          <w:iCs w:val="0"/>
        </w:rPr>
        <w:t>F</w:t>
      </w:r>
      <w:r w:rsidRPr="00FA29C2">
        <w:rPr>
          <w:iCs w:val="0"/>
        </w:rPr>
        <w:t>und,</w:t>
      </w:r>
      <w:r w:rsidRPr="00D71BEC">
        <w:rPr>
          <w:iCs w:val="0"/>
        </w:rPr>
        <w:t xml:space="preserve"> and to consider and adopt further guidance to the Global Environment Facility and to the governing body referred to paragraph </w:t>
      </w:r>
      <w:r>
        <w:rPr>
          <w:iCs w:val="0"/>
        </w:rPr>
        <w:t>21</w:t>
      </w:r>
      <w:r w:rsidRPr="00D71BEC">
        <w:rPr>
          <w:iCs w:val="0"/>
        </w:rPr>
        <w:t xml:space="preserve"> above, on the modalities and operation of </w:t>
      </w:r>
      <w:r w:rsidRPr="00604C84">
        <w:rPr>
          <w:iCs w:val="0"/>
        </w:rPr>
        <w:t xml:space="preserve">the </w:t>
      </w:r>
      <w:r w:rsidRPr="001A0282">
        <w:rPr>
          <w:iCs w:val="0"/>
        </w:rPr>
        <w:t>Fund, at its future meetings;</w:t>
      </w:r>
    </w:p>
    <w:p w14:paraId="6460834F" w14:textId="77777777" w:rsidR="00DA0273" w:rsidRPr="00D71BEC" w:rsidRDefault="00DA0273" w:rsidP="00E21EEB">
      <w:pPr>
        <w:pStyle w:val="BodyText"/>
        <w:ind w:right="117" w:firstLine="630"/>
      </w:pPr>
      <w:r w:rsidRPr="00D71BEC">
        <w:rPr>
          <w:iCs w:val="0"/>
        </w:rPr>
        <w:t>29.</w:t>
      </w:r>
      <w:r w:rsidRPr="00D71BEC">
        <w:rPr>
          <w:iCs w:val="0"/>
        </w:rPr>
        <w:tab/>
      </w:r>
      <w:r>
        <w:rPr>
          <w:i/>
        </w:rPr>
        <w:t>Also d</w:t>
      </w:r>
      <w:r w:rsidRPr="00D71BEC">
        <w:rPr>
          <w:i/>
        </w:rPr>
        <w:t>ecides</w:t>
      </w:r>
      <w:r w:rsidRPr="00D71BEC">
        <w:rPr>
          <w:iCs w:val="0"/>
        </w:rPr>
        <w:t xml:space="preserve"> to undertake and act </w:t>
      </w:r>
      <w:r w:rsidRPr="009120D1">
        <w:rPr>
          <w:iCs w:val="0"/>
        </w:rPr>
        <w:t>upon, at its eighteenth meeting, a</w:t>
      </w:r>
      <w:r w:rsidRPr="00D71BEC">
        <w:rPr>
          <w:iCs w:val="0"/>
        </w:rPr>
        <w:t xml:space="preserve"> stocktake review on the operations and performance of the </w:t>
      </w:r>
      <w:r w:rsidRPr="0044733B">
        <w:rPr>
          <w:iCs w:val="0"/>
        </w:rPr>
        <w:t xml:space="preserve">Global Biodiversity </w:t>
      </w:r>
      <w:r w:rsidRPr="00604C84">
        <w:rPr>
          <w:iCs w:val="0"/>
        </w:rPr>
        <w:t xml:space="preserve">Framework </w:t>
      </w:r>
      <w:r w:rsidRPr="000E778E">
        <w:rPr>
          <w:iCs w:val="0"/>
        </w:rPr>
        <w:t>F</w:t>
      </w:r>
      <w:r w:rsidRPr="00604C84">
        <w:rPr>
          <w:iCs w:val="0"/>
        </w:rPr>
        <w:t>und</w:t>
      </w:r>
      <w:r>
        <w:rPr>
          <w:iCs w:val="0"/>
        </w:rPr>
        <w:t xml:space="preserve"> </w:t>
      </w:r>
      <w:r w:rsidRPr="00D71BEC">
        <w:rPr>
          <w:iCs w:val="0"/>
        </w:rPr>
        <w:t>regarding its scale, speed, accessibility, and future arrangements.</w:t>
      </w:r>
    </w:p>
    <w:p w14:paraId="6B9D4075" w14:textId="77777777" w:rsidR="00DA0273" w:rsidRPr="00853C76" w:rsidRDefault="00DA0273" w:rsidP="00D037D5">
      <w:pPr>
        <w:keepNext/>
        <w:keepLines/>
        <w:suppressLineNumbers/>
        <w:suppressAutoHyphens/>
        <w:adjustRightInd w:val="0"/>
        <w:snapToGrid w:val="0"/>
        <w:spacing w:before="120" w:after="120"/>
        <w:jc w:val="center"/>
        <w:rPr>
          <w:i/>
          <w:snapToGrid w:val="0"/>
          <w:kern w:val="22"/>
          <w:szCs w:val="22"/>
        </w:rPr>
      </w:pPr>
      <w:bookmarkStart w:id="203" w:name="_Toc118354994"/>
      <w:r w:rsidRPr="00853C76">
        <w:rPr>
          <w:i/>
          <w:snapToGrid w:val="0"/>
          <w:kern w:val="22"/>
          <w:szCs w:val="22"/>
        </w:rPr>
        <w:t>Annex I</w:t>
      </w:r>
      <w:bookmarkEnd w:id="203"/>
    </w:p>
    <w:p w14:paraId="0ABEB17B" w14:textId="77777777" w:rsidR="00DA0273" w:rsidRPr="006B08B1" w:rsidRDefault="00DA0273" w:rsidP="006B08B1">
      <w:pPr>
        <w:pStyle w:val="BodyText"/>
        <w:jc w:val="center"/>
        <w:rPr>
          <w:b/>
          <w:bCs/>
          <w:lang w:val="en-US" w:eastAsia="en-CA"/>
        </w:rPr>
      </w:pPr>
      <w:bookmarkStart w:id="204" w:name="_Toc118354995"/>
      <w:r w:rsidRPr="006B08B1">
        <w:rPr>
          <w:b/>
          <w:bCs/>
        </w:rPr>
        <w:t>FOUR-YEAR OUTCOME-ORIENTED FRAMEWORK OF PROGRAMME PRIORITIES OF THE CONVENTION ON BIOLOGICAL DIVERSITY FOR THE EIGHTH REPLENISHMENT PERIOD (2022–2026) OF THE GLOBAL ENVIRONMENT FACILITY TRUST FUND</w:t>
      </w:r>
      <w:bookmarkEnd w:id="204"/>
    </w:p>
    <w:p w14:paraId="50AB8197" w14:textId="77777777" w:rsidR="00DA0273" w:rsidRPr="006B08B1" w:rsidRDefault="00DA0273" w:rsidP="006B08B1">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6B08B1">
        <w:rPr>
          <w:b/>
          <w:bCs/>
          <w:snapToGrid w:val="0"/>
          <w:color w:val="000000"/>
          <w:kern w:val="22"/>
          <w:szCs w:val="22"/>
        </w:rPr>
        <w:t>A.</w:t>
      </w:r>
      <w:r w:rsidRPr="006B08B1">
        <w:rPr>
          <w:b/>
          <w:bCs/>
          <w:snapToGrid w:val="0"/>
          <w:color w:val="000000"/>
          <w:kern w:val="22"/>
          <w:szCs w:val="22"/>
        </w:rPr>
        <w:tab/>
        <w:t>Objective</w:t>
      </w:r>
    </w:p>
    <w:p w14:paraId="5E9769C0" w14:textId="77777777" w:rsidR="00DA0273" w:rsidRPr="00853C76" w:rsidRDefault="00DA0273" w:rsidP="00FB5720">
      <w:pPr>
        <w:tabs>
          <w:tab w:val="left" w:pos="720"/>
        </w:tabs>
        <w:snapToGrid w:val="0"/>
        <w:spacing w:before="120" w:after="120"/>
        <w:rPr>
          <w:iCs/>
          <w:szCs w:val="22"/>
        </w:rPr>
      </w:pPr>
      <w:r w:rsidRPr="00853C76">
        <w:rPr>
          <w:iCs/>
          <w:szCs w:val="22"/>
          <w:lang w:val="en-US"/>
        </w:rPr>
        <w:t>1.</w:t>
      </w:r>
      <w:bookmarkStart w:id="205" w:name="_Hlk94131801"/>
      <w:r w:rsidRPr="00853C76">
        <w:rPr>
          <w:iCs/>
          <w:szCs w:val="22"/>
          <w:lang w:val="en-US"/>
        </w:rPr>
        <w:tab/>
      </w:r>
      <w:bookmarkEnd w:id="205"/>
      <w:r w:rsidRPr="00853C76">
        <w:rPr>
          <w:iCs/>
          <w:szCs w:val="22"/>
          <w:lang w:val="en-US"/>
        </w:rPr>
        <w:t>Th</w:t>
      </w:r>
      <w:r>
        <w:rPr>
          <w:iCs/>
          <w:szCs w:val="22"/>
          <w:lang w:val="en-US"/>
        </w:rPr>
        <w:t>e present</w:t>
      </w:r>
      <w:r w:rsidRPr="00853C76">
        <w:rPr>
          <w:iCs/>
          <w:szCs w:val="22"/>
        </w:rPr>
        <w:t xml:space="preserve"> four-year outcome-oriented framework of programme priorities provides guidance to the Global Environment Facility (GEF) for the eighth replenishment period (GEF-8), 2022</w:t>
      </w:r>
      <w:r>
        <w:rPr>
          <w:b/>
          <w:bCs/>
          <w:iCs/>
          <w:szCs w:val="22"/>
        </w:rPr>
        <w:t>–</w:t>
      </w:r>
      <w:r w:rsidRPr="00853C76">
        <w:rPr>
          <w:iCs/>
          <w:szCs w:val="22"/>
        </w:rPr>
        <w:t xml:space="preserve">2026, and is within the context of the GEF mandate to provide resources to achieve global environmental benefits and the mandate provided to GEF by the Conference of the Parties. It utilizes the Convention </w:t>
      </w:r>
      <w:r>
        <w:rPr>
          <w:iCs/>
          <w:szCs w:val="22"/>
        </w:rPr>
        <w:t xml:space="preserve">and its Protocols, </w:t>
      </w:r>
      <w:r w:rsidRPr="00853C76">
        <w:rPr>
          <w:iCs/>
          <w:szCs w:val="22"/>
        </w:rPr>
        <w:t xml:space="preserve">and the </w:t>
      </w:r>
      <w:r w:rsidRPr="00853C76">
        <w:rPr>
          <w:iCs/>
          <w:snapToGrid w:val="0"/>
          <w:kern w:val="22"/>
          <w:szCs w:val="22"/>
          <w:lang w:eastAsia="zh-CN"/>
        </w:rPr>
        <w:t xml:space="preserve">Kunming-Montreal Global Biodiversity Framework </w:t>
      </w:r>
      <w:r w:rsidRPr="00853C76">
        <w:rPr>
          <w:iCs/>
          <w:szCs w:val="22"/>
        </w:rPr>
        <w:t xml:space="preserve">to set priorities for the financial mechanism. In particular, the goals and targets of the </w:t>
      </w:r>
      <w:r w:rsidRPr="000E778E">
        <w:rPr>
          <w:iCs/>
          <w:szCs w:val="22"/>
        </w:rPr>
        <w:t>Framework</w:t>
      </w:r>
      <w:r w:rsidRPr="00853C76">
        <w:rPr>
          <w:iCs/>
          <w:snapToGrid w:val="0"/>
          <w:kern w:val="22"/>
          <w:szCs w:val="22"/>
          <w:lang w:eastAsia="zh-CN"/>
        </w:rPr>
        <w:t xml:space="preserve"> </w:t>
      </w:r>
      <w:r w:rsidRPr="00853C76">
        <w:rPr>
          <w:iCs/>
          <w:szCs w:val="22"/>
        </w:rPr>
        <w:t>provide direction for the outcomes of this four-year framework, bearing in mind that GEF-8 and GEF-9 will together cover the expected eight years to the 2030 deadlines of the targets, while recognizing that the three objectives of the Convention should be considered by GEF when designing and implementing biodiver</w:t>
      </w:r>
      <w:r w:rsidRPr="00F544BE">
        <w:rPr>
          <w:iCs/>
          <w:szCs w:val="22"/>
        </w:rPr>
        <w:t>sity strategy and</w:t>
      </w:r>
      <w:r w:rsidRPr="00853C76">
        <w:rPr>
          <w:iCs/>
          <w:szCs w:val="22"/>
        </w:rPr>
        <w:t xml:space="preserve"> programming directions.</w:t>
      </w:r>
    </w:p>
    <w:p w14:paraId="71C0DA2A" w14:textId="77777777" w:rsidR="00DA0273" w:rsidRPr="00853C76" w:rsidRDefault="00DA0273" w:rsidP="00FB5720">
      <w:pPr>
        <w:tabs>
          <w:tab w:val="left" w:pos="720"/>
        </w:tabs>
        <w:snapToGrid w:val="0"/>
        <w:spacing w:before="120" w:after="120"/>
        <w:rPr>
          <w:rFonts w:eastAsia="Calibri"/>
          <w:b/>
          <w:bCs/>
          <w:iCs/>
          <w:szCs w:val="22"/>
        </w:rPr>
      </w:pPr>
      <w:r w:rsidRPr="00853C76">
        <w:rPr>
          <w:iCs/>
          <w:szCs w:val="22"/>
        </w:rPr>
        <w:t>2.</w:t>
      </w:r>
      <w:r w:rsidRPr="00853C76">
        <w:rPr>
          <w:iCs/>
          <w:szCs w:val="22"/>
        </w:rPr>
        <w:tab/>
        <w:t xml:space="preserve">In that regard, it is envisaged that following the adoption of the Kunming-Montreal Global Biodiversity Framework and the conclusion of the GEF-8 replenishment under their respective processes, </w:t>
      </w:r>
      <w:r w:rsidRPr="00853C76">
        <w:rPr>
          <w:iCs/>
          <w:szCs w:val="22"/>
          <w:lang w:val="en-US"/>
        </w:rPr>
        <w:t>GEF will include in its report to the Conference of the Parties an explanation on how GEF-8, through the elements of its programming directions, is contributing</w:t>
      </w:r>
      <w:r w:rsidRPr="00853C76">
        <w:rPr>
          <w:iCs/>
          <w:szCs w:val="22"/>
        </w:rPr>
        <w:t xml:space="preserve"> to the implementation of the Convention and its Protocols, and to each goal and target of the Framework and its monitoring framework.</w:t>
      </w:r>
    </w:p>
    <w:p w14:paraId="0E7E8149" w14:textId="77777777" w:rsidR="00DA0273" w:rsidRPr="00853C76" w:rsidRDefault="00DA0273" w:rsidP="00FB5720">
      <w:pPr>
        <w:tabs>
          <w:tab w:val="left" w:pos="720"/>
        </w:tabs>
        <w:snapToGrid w:val="0"/>
        <w:spacing w:before="120" w:after="120"/>
        <w:rPr>
          <w:iCs/>
          <w:szCs w:val="22"/>
        </w:rPr>
      </w:pPr>
      <w:r w:rsidRPr="00853C76">
        <w:rPr>
          <w:rFonts w:eastAsia="Calibri"/>
          <w:iCs/>
          <w:szCs w:val="22"/>
        </w:rPr>
        <w:t>3.</w:t>
      </w:r>
      <w:r w:rsidRPr="00853C76">
        <w:rPr>
          <w:rFonts w:eastAsia="Calibri"/>
          <w:iCs/>
          <w:szCs w:val="22"/>
        </w:rPr>
        <w:tab/>
        <w:t xml:space="preserve">This four-year outcome-oriented framework of programme priorities recognizes that the </w:t>
      </w:r>
      <w:r w:rsidRPr="00853C76">
        <w:rPr>
          <w:iCs/>
          <w:snapToGrid w:val="0"/>
          <w:kern w:val="22"/>
          <w:szCs w:val="22"/>
          <w:lang w:eastAsia="zh-CN"/>
        </w:rPr>
        <w:t xml:space="preserve">Kunming-Montreal Global Biodiversity </w:t>
      </w:r>
      <w:r w:rsidRPr="00853C76">
        <w:rPr>
          <w:rFonts w:eastAsia="Calibri"/>
          <w:iCs/>
          <w:szCs w:val="22"/>
        </w:rPr>
        <w:t>Framework is an overarching framework of high relevance to all biodiversity</w:t>
      </w:r>
      <w:r>
        <w:rPr>
          <w:rFonts w:eastAsia="Calibri"/>
          <w:iCs/>
          <w:szCs w:val="22"/>
        </w:rPr>
        <w:noBreakHyphen/>
      </w:r>
      <w:r w:rsidRPr="00853C76">
        <w:rPr>
          <w:rFonts w:eastAsia="Calibri"/>
          <w:iCs/>
          <w:szCs w:val="22"/>
        </w:rPr>
        <w:t xml:space="preserve">related conventions and agreements, and seeks to promote the implementation of complementary measures that may enhance programmatic synergies and efficiencies, among the Convention, its Protocols and other biodiversity-related conventions and agreements, relevant to the Kunming-Montreal Global Biodiversity Framework and </w:t>
      </w:r>
      <w:r>
        <w:rPr>
          <w:rFonts w:eastAsia="Calibri"/>
          <w:iCs/>
          <w:szCs w:val="22"/>
        </w:rPr>
        <w:t xml:space="preserve">the </w:t>
      </w:r>
      <w:r w:rsidRPr="00853C76">
        <w:rPr>
          <w:rFonts w:eastAsia="Calibri"/>
          <w:iCs/>
          <w:szCs w:val="22"/>
        </w:rPr>
        <w:t>mandate of the Global Environment Facility.</w:t>
      </w:r>
    </w:p>
    <w:p w14:paraId="26328318" w14:textId="77777777" w:rsidR="00DA0273" w:rsidRPr="000E778E" w:rsidRDefault="00DA0273" w:rsidP="006B08B1">
      <w:pPr>
        <w:keepNext/>
        <w:tabs>
          <w:tab w:val="left" w:pos="567"/>
        </w:tabs>
        <w:spacing w:before="120" w:after="120"/>
        <w:jc w:val="center"/>
        <w:rPr>
          <w:b/>
          <w:bCs/>
          <w:szCs w:val="22"/>
          <w:lang w:val="en-US"/>
        </w:rPr>
      </w:pPr>
      <w:r w:rsidRPr="000E778E">
        <w:rPr>
          <w:b/>
          <w:bCs/>
          <w:szCs w:val="22"/>
          <w:lang w:val="en-US"/>
        </w:rPr>
        <w:t>B.</w:t>
      </w:r>
      <w:r w:rsidRPr="000E778E">
        <w:rPr>
          <w:b/>
          <w:bCs/>
          <w:szCs w:val="22"/>
          <w:lang w:val="en-US"/>
        </w:rPr>
        <w:tab/>
        <w:t>Elements</w:t>
      </w:r>
    </w:p>
    <w:p w14:paraId="7ADC04AF"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4.</w:t>
      </w:r>
      <w:r w:rsidRPr="00853C76">
        <w:rPr>
          <w:iCs/>
          <w:szCs w:val="22"/>
          <w:lang w:val="en-US"/>
        </w:rPr>
        <w:tab/>
        <w:t>The four-year outcome-oriented framework of programme priorities for the period 2022–2026 consists of the following elements to which effective implementation support is to be provided:</w:t>
      </w:r>
    </w:p>
    <w:p w14:paraId="65ACAD06"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(a)</w:t>
      </w:r>
      <w:r w:rsidRPr="00853C76">
        <w:rPr>
          <w:iCs/>
          <w:szCs w:val="22"/>
          <w:lang w:val="en-US"/>
        </w:rPr>
        <w:tab/>
        <w:t>The Kunming-Montreal Global Biodiversity Framework, including its goals and targets which define the outcomes being sought;</w:t>
      </w:r>
    </w:p>
    <w:p w14:paraId="2C76BE56"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(b)</w:t>
      </w:r>
      <w:r w:rsidRPr="00853C76">
        <w:rPr>
          <w:iCs/>
          <w:szCs w:val="22"/>
          <w:lang w:val="en-US"/>
        </w:rPr>
        <w:tab/>
        <w:t xml:space="preserve">National biodiversity strategies and action plans (NBSAPs); </w:t>
      </w:r>
    </w:p>
    <w:p w14:paraId="6270A615"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(c)</w:t>
      </w:r>
      <w:r w:rsidRPr="00853C76">
        <w:rPr>
          <w:iCs/>
          <w:szCs w:val="22"/>
          <w:lang w:val="en-US"/>
        </w:rPr>
        <w:tab/>
        <w:t>National biodiversity finance plans;</w:t>
      </w:r>
    </w:p>
    <w:p w14:paraId="16A0605A"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 xml:space="preserve">(d) </w:t>
      </w:r>
      <w:r w:rsidRPr="00853C76">
        <w:rPr>
          <w:iCs/>
          <w:szCs w:val="22"/>
          <w:lang w:val="en-US"/>
        </w:rPr>
        <w:tab/>
        <w:t>The implementation of the three objectives of the Convention;</w:t>
      </w:r>
    </w:p>
    <w:p w14:paraId="219D25AD" w14:textId="77777777" w:rsidR="00DA0273" w:rsidRPr="00853C76" w:rsidRDefault="00DA0273" w:rsidP="00FB5720">
      <w:pPr>
        <w:tabs>
          <w:tab w:val="left" w:pos="720"/>
        </w:tabs>
        <w:snapToGrid w:val="0"/>
        <w:spacing w:before="120" w:after="120"/>
        <w:ind w:firstLine="709"/>
        <w:rPr>
          <w:bCs/>
          <w:iCs/>
          <w:szCs w:val="22"/>
          <w:lang w:val="en-US"/>
        </w:rPr>
      </w:pPr>
      <w:r w:rsidRPr="00853C76">
        <w:rPr>
          <w:bCs/>
          <w:iCs/>
          <w:szCs w:val="22"/>
        </w:rPr>
        <w:t>(e)</w:t>
      </w:r>
      <w:r w:rsidRPr="00853C76">
        <w:rPr>
          <w:bCs/>
          <w:iCs/>
          <w:szCs w:val="22"/>
        </w:rPr>
        <w:tab/>
        <w:t xml:space="preserve">The implementation support mechanisms adopted under the Convention associated with the </w:t>
      </w:r>
      <w:r>
        <w:rPr>
          <w:bCs/>
          <w:iCs/>
          <w:szCs w:val="22"/>
          <w:lang w:val="en-US"/>
        </w:rPr>
        <w:t>Kunming-Montreal</w:t>
      </w:r>
      <w:r w:rsidRPr="00853C76">
        <w:rPr>
          <w:bCs/>
          <w:iCs/>
          <w:szCs w:val="22"/>
          <w:lang w:val="en-US"/>
        </w:rPr>
        <w:t xml:space="preserve"> </w:t>
      </w:r>
      <w:r>
        <w:rPr>
          <w:bCs/>
          <w:iCs/>
          <w:szCs w:val="22"/>
          <w:lang w:val="en-US"/>
        </w:rPr>
        <w:t>G</w:t>
      </w:r>
      <w:r w:rsidRPr="00853C76">
        <w:rPr>
          <w:bCs/>
          <w:iCs/>
          <w:szCs w:val="22"/>
          <w:lang w:val="en-US"/>
        </w:rPr>
        <w:t xml:space="preserve">lobal </w:t>
      </w:r>
      <w:r>
        <w:rPr>
          <w:bCs/>
          <w:iCs/>
          <w:szCs w:val="22"/>
          <w:lang w:val="en-US"/>
        </w:rPr>
        <w:t>B</w:t>
      </w:r>
      <w:r w:rsidRPr="00853C76">
        <w:rPr>
          <w:bCs/>
          <w:iCs/>
          <w:szCs w:val="22"/>
          <w:lang w:val="en-US"/>
        </w:rPr>
        <w:t xml:space="preserve">iodiversity </w:t>
      </w:r>
      <w:r w:rsidRPr="00134919">
        <w:rPr>
          <w:bCs/>
          <w:iCs/>
          <w:szCs w:val="22"/>
          <w:lang w:val="en-US"/>
        </w:rPr>
        <w:t>Framework</w:t>
      </w:r>
      <w:r w:rsidRPr="000E778E" w:rsidDel="00134919">
        <w:rPr>
          <w:bCs/>
          <w:iCs/>
          <w:szCs w:val="22"/>
        </w:rPr>
        <w:t xml:space="preserve"> </w:t>
      </w:r>
      <w:r w:rsidRPr="00134919">
        <w:rPr>
          <w:bCs/>
          <w:iCs/>
          <w:szCs w:val="22"/>
        </w:rPr>
        <w:t>related</w:t>
      </w:r>
      <w:r w:rsidRPr="00853C76">
        <w:rPr>
          <w:bCs/>
          <w:iCs/>
          <w:szCs w:val="22"/>
        </w:rPr>
        <w:t xml:space="preserve"> to: mobilizing sufficient</w:t>
      </w:r>
      <w:r w:rsidRPr="000E778E">
        <w:rPr>
          <w:bCs/>
          <w:iCs/>
          <w:szCs w:val="22"/>
        </w:rPr>
        <w:t xml:space="preserve"> </w:t>
      </w:r>
      <w:r w:rsidRPr="00853C76">
        <w:rPr>
          <w:bCs/>
          <w:iCs/>
          <w:szCs w:val="22"/>
        </w:rPr>
        <w:t xml:space="preserve">resources from all sources towards implementing the </w:t>
      </w:r>
      <w:r>
        <w:rPr>
          <w:bCs/>
          <w:iCs/>
          <w:szCs w:val="22"/>
        </w:rPr>
        <w:t>F</w:t>
      </w:r>
      <w:r w:rsidRPr="00853C76">
        <w:rPr>
          <w:bCs/>
          <w:iCs/>
          <w:szCs w:val="22"/>
        </w:rPr>
        <w:t>ramework and achieving its goals and targets; mainstreaming; capacity</w:t>
      </w:r>
      <w:r>
        <w:rPr>
          <w:bCs/>
          <w:iCs/>
          <w:szCs w:val="22"/>
        </w:rPr>
        <w:noBreakHyphen/>
      </w:r>
      <w:r w:rsidRPr="00853C76">
        <w:rPr>
          <w:bCs/>
          <w:iCs/>
          <w:szCs w:val="22"/>
        </w:rPr>
        <w:t xml:space="preserve">building and development; generation, management and sharing of knowledge for effective </w:t>
      </w:r>
      <w:r w:rsidRPr="00853C76">
        <w:rPr>
          <w:bCs/>
          <w:iCs/>
          <w:szCs w:val="22"/>
        </w:rPr>
        <w:lastRenderedPageBreak/>
        <w:t>biodiversity planning, policy development and coherence, decision</w:t>
      </w:r>
      <w:r w:rsidRPr="00853C76">
        <w:rPr>
          <w:bCs/>
          <w:iCs/>
          <w:szCs w:val="22"/>
        </w:rPr>
        <w:noBreakHyphen/>
        <w:t>making and implementation; and technical and scientific cooperation, technology transfer and innovation. Examples include:</w:t>
      </w:r>
    </w:p>
    <w:p w14:paraId="24BB348B" w14:textId="77777777" w:rsidR="00DA0273" w:rsidRPr="00853C76" w:rsidRDefault="00DA0273" w:rsidP="000E778E">
      <w:pPr>
        <w:snapToGrid w:val="0"/>
        <w:spacing w:before="120" w:after="120"/>
        <w:ind w:left="2410" w:hanging="851"/>
        <w:rPr>
          <w:bCs/>
          <w:iCs/>
          <w:szCs w:val="22"/>
        </w:rPr>
      </w:pPr>
      <w:r w:rsidRPr="00853C76">
        <w:rPr>
          <w:bCs/>
          <w:iCs/>
          <w:szCs w:val="22"/>
        </w:rPr>
        <w:t>(i)</w:t>
      </w:r>
      <w:r w:rsidRPr="00853C76">
        <w:rPr>
          <w:bCs/>
          <w:iCs/>
          <w:szCs w:val="22"/>
        </w:rPr>
        <w:tab/>
        <w:t xml:space="preserve">The strategy </w:t>
      </w:r>
      <w:r>
        <w:rPr>
          <w:bCs/>
          <w:iCs/>
          <w:szCs w:val="22"/>
        </w:rPr>
        <w:t xml:space="preserve">for </w:t>
      </w:r>
      <w:r w:rsidRPr="00853C76">
        <w:rPr>
          <w:bCs/>
          <w:iCs/>
          <w:szCs w:val="22"/>
        </w:rPr>
        <w:t xml:space="preserve">resource mobilization, including the establishment </w:t>
      </w:r>
      <w:r w:rsidRPr="00A462EE">
        <w:rPr>
          <w:bCs/>
          <w:iCs/>
          <w:szCs w:val="22"/>
        </w:rPr>
        <w:t>of a global</w:t>
      </w:r>
      <w:r w:rsidRPr="00135B65">
        <w:rPr>
          <w:bCs/>
          <w:iCs/>
          <w:szCs w:val="22"/>
        </w:rPr>
        <w:t xml:space="preserve"> biodiversity framework fund by GEF;</w:t>
      </w:r>
      <w:r w:rsidRPr="00610646">
        <w:rPr>
          <w:rStyle w:val="FootnoteReference"/>
        </w:rPr>
        <w:footnoteReference w:id="158"/>
      </w:r>
    </w:p>
    <w:p w14:paraId="3CDB720B" w14:textId="77777777" w:rsidR="00DA0273" w:rsidRPr="00853C76" w:rsidRDefault="00DA0273" w:rsidP="000E778E">
      <w:pPr>
        <w:snapToGrid w:val="0"/>
        <w:spacing w:before="120" w:after="120"/>
        <w:ind w:left="2410" w:hanging="851"/>
        <w:rPr>
          <w:bCs/>
          <w:iCs/>
          <w:szCs w:val="22"/>
        </w:rPr>
      </w:pPr>
      <w:r w:rsidRPr="00853C76">
        <w:rPr>
          <w:bCs/>
          <w:iCs/>
          <w:szCs w:val="22"/>
        </w:rPr>
        <w:t>(ii)</w:t>
      </w:r>
      <w:r w:rsidRPr="00853C76">
        <w:rPr>
          <w:bCs/>
          <w:iCs/>
          <w:szCs w:val="22"/>
        </w:rPr>
        <w:tab/>
        <w:t>The long-term strategic framework for capacity-building and development;</w:t>
      </w:r>
      <w:r w:rsidRPr="00610646">
        <w:rPr>
          <w:rStyle w:val="FootnoteReference"/>
        </w:rPr>
        <w:footnoteReference w:id="159"/>
      </w:r>
    </w:p>
    <w:p w14:paraId="49B2D6A7" w14:textId="77777777" w:rsidR="00DA0273" w:rsidRPr="00853C76" w:rsidRDefault="00DA0273" w:rsidP="000E778E">
      <w:pPr>
        <w:snapToGrid w:val="0"/>
        <w:spacing w:before="120" w:after="120"/>
        <w:ind w:left="2410" w:hanging="851"/>
        <w:rPr>
          <w:bCs/>
          <w:iCs/>
          <w:szCs w:val="22"/>
        </w:rPr>
      </w:pPr>
      <w:r w:rsidRPr="00853C76">
        <w:rPr>
          <w:bCs/>
          <w:iCs/>
          <w:szCs w:val="22"/>
        </w:rPr>
        <w:t>(i</w:t>
      </w:r>
      <w:r>
        <w:rPr>
          <w:bCs/>
          <w:iCs/>
          <w:szCs w:val="22"/>
        </w:rPr>
        <w:t>ii</w:t>
      </w:r>
      <w:r w:rsidRPr="00853C76">
        <w:rPr>
          <w:bCs/>
          <w:iCs/>
          <w:szCs w:val="22"/>
        </w:rPr>
        <w:t>)</w:t>
      </w:r>
      <w:r w:rsidRPr="00853C76">
        <w:rPr>
          <w:bCs/>
          <w:iCs/>
          <w:szCs w:val="22"/>
        </w:rPr>
        <w:tab/>
        <w:t xml:space="preserve">The </w:t>
      </w:r>
      <w:r>
        <w:rPr>
          <w:bCs/>
          <w:iCs/>
          <w:szCs w:val="22"/>
        </w:rPr>
        <w:t>P</w:t>
      </w:r>
      <w:r w:rsidRPr="00853C76">
        <w:rPr>
          <w:bCs/>
          <w:iCs/>
          <w:szCs w:val="22"/>
        </w:rPr>
        <w:t xml:space="preserve">lan of </w:t>
      </w:r>
      <w:r>
        <w:rPr>
          <w:bCs/>
          <w:iCs/>
          <w:szCs w:val="22"/>
        </w:rPr>
        <w:t>A</w:t>
      </w:r>
      <w:r w:rsidRPr="00853C76">
        <w:rPr>
          <w:bCs/>
          <w:iCs/>
          <w:szCs w:val="22"/>
        </w:rPr>
        <w:t xml:space="preserve">ction on </w:t>
      </w:r>
      <w:r>
        <w:rPr>
          <w:bCs/>
          <w:iCs/>
          <w:szCs w:val="22"/>
        </w:rPr>
        <w:t>S</w:t>
      </w:r>
      <w:r w:rsidRPr="00853C76">
        <w:rPr>
          <w:bCs/>
          <w:iCs/>
          <w:szCs w:val="22"/>
        </w:rPr>
        <w:t>ubnational</w:t>
      </w:r>
      <w:r>
        <w:rPr>
          <w:bCs/>
          <w:iCs/>
          <w:szCs w:val="22"/>
        </w:rPr>
        <w:t xml:space="preserve"> G</w:t>
      </w:r>
      <w:r w:rsidRPr="00853C76">
        <w:rPr>
          <w:bCs/>
          <w:iCs/>
          <w:szCs w:val="22"/>
        </w:rPr>
        <w:t xml:space="preserve">overnments, </w:t>
      </w:r>
      <w:r>
        <w:rPr>
          <w:bCs/>
          <w:iCs/>
          <w:szCs w:val="22"/>
        </w:rPr>
        <w:t>C</w:t>
      </w:r>
      <w:r w:rsidRPr="00853C76">
        <w:rPr>
          <w:bCs/>
          <w:iCs/>
          <w:szCs w:val="22"/>
        </w:rPr>
        <w:t xml:space="preserve">ities and </w:t>
      </w:r>
      <w:r>
        <w:rPr>
          <w:bCs/>
          <w:iCs/>
          <w:szCs w:val="22"/>
        </w:rPr>
        <w:t>O</w:t>
      </w:r>
      <w:r w:rsidRPr="00853C76">
        <w:rPr>
          <w:bCs/>
          <w:iCs/>
          <w:szCs w:val="22"/>
        </w:rPr>
        <w:t xml:space="preserve">ther </w:t>
      </w:r>
      <w:r>
        <w:rPr>
          <w:bCs/>
          <w:iCs/>
          <w:szCs w:val="22"/>
        </w:rPr>
        <w:t>L</w:t>
      </w:r>
      <w:r w:rsidRPr="00853C76">
        <w:rPr>
          <w:bCs/>
          <w:iCs/>
          <w:szCs w:val="22"/>
        </w:rPr>
        <w:t xml:space="preserve">ocal </w:t>
      </w:r>
      <w:r>
        <w:rPr>
          <w:bCs/>
          <w:iCs/>
          <w:szCs w:val="22"/>
        </w:rPr>
        <w:t>A</w:t>
      </w:r>
      <w:r w:rsidRPr="00853C76">
        <w:rPr>
          <w:bCs/>
          <w:iCs/>
          <w:szCs w:val="22"/>
        </w:rPr>
        <w:t xml:space="preserve">uthorities for </w:t>
      </w:r>
      <w:r>
        <w:rPr>
          <w:bCs/>
          <w:iCs/>
          <w:szCs w:val="22"/>
        </w:rPr>
        <w:t>B</w:t>
      </w:r>
      <w:r w:rsidRPr="00853C76">
        <w:rPr>
          <w:bCs/>
          <w:iCs/>
          <w:szCs w:val="22"/>
        </w:rPr>
        <w:t>iodiversity</w:t>
      </w:r>
      <w:r>
        <w:rPr>
          <w:bCs/>
          <w:iCs/>
          <w:szCs w:val="22"/>
        </w:rPr>
        <w:t xml:space="preserve"> (2023–2030)</w:t>
      </w:r>
      <w:r w:rsidRPr="00853C76">
        <w:rPr>
          <w:bCs/>
          <w:iCs/>
          <w:szCs w:val="22"/>
        </w:rPr>
        <w:t>;</w:t>
      </w:r>
      <w:r w:rsidRPr="00610646">
        <w:rPr>
          <w:rStyle w:val="FootnoteReference"/>
        </w:rPr>
        <w:footnoteReference w:id="160"/>
      </w:r>
    </w:p>
    <w:p w14:paraId="6CE1A985" w14:textId="77777777" w:rsidR="00DA0273" w:rsidRPr="00853C76" w:rsidRDefault="00DA0273" w:rsidP="000E778E">
      <w:pPr>
        <w:snapToGrid w:val="0"/>
        <w:spacing w:before="120" w:after="120"/>
        <w:ind w:left="2410" w:hanging="851"/>
        <w:rPr>
          <w:bCs/>
          <w:iCs/>
          <w:szCs w:val="22"/>
        </w:rPr>
      </w:pPr>
      <w:r w:rsidRPr="00853C76">
        <w:rPr>
          <w:bCs/>
          <w:iCs/>
          <w:szCs w:val="22"/>
        </w:rPr>
        <w:t>(</w:t>
      </w:r>
      <w:r>
        <w:rPr>
          <w:bCs/>
          <w:iCs/>
          <w:szCs w:val="22"/>
        </w:rPr>
        <w:t>i</w:t>
      </w:r>
      <w:r w:rsidRPr="00853C76">
        <w:rPr>
          <w:bCs/>
          <w:iCs/>
          <w:szCs w:val="22"/>
        </w:rPr>
        <w:t>v)</w:t>
      </w:r>
      <w:r w:rsidRPr="00853C76">
        <w:rPr>
          <w:bCs/>
          <w:iCs/>
          <w:szCs w:val="22"/>
        </w:rPr>
        <w:tab/>
        <w:t xml:space="preserve">The </w:t>
      </w:r>
      <w:r>
        <w:rPr>
          <w:bCs/>
          <w:iCs/>
          <w:szCs w:val="22"/>
        </w:rPr>
        <w:t>G</w:t>
      </w:r>
      <w:r w:rsidRPr="00853C76">
        <w:rPr>
          <w:bCs/>
          <w:iCs/>
          <w:szCs w:val="22"/>
        </w:rPr>
        <w:t xml:space="preserve">ender </w:t>
      </w:r>
      <w:r>
        <w:rPr>
          <w:bCs/>
          <w:iCs/>
          <w:szCs w:val="22"/>
        </w:rPr>
        <w:t>P</w:t>
      </w:r>
      <w:r w:rsidRPr="00853C76">
        <w:rPr>
          <w:bCs/>
          <w:iCs/>
          <w:szCs w:val="22"/>
        </w:rPr>
        <w:t xml:space="preserve">lan of </w:t>
      </w:r>
      <w:r>
        <w:rPr>
          <w:bCs/>
          <w:iCs/>
          <w:szCs w:val="22"/>
        </w:rPr>
        <w:t>A</w:t>
      </w:r>
      <w:r w:rsidRPr="00853C76">
        <w:rPr>
          <w:bCs/>
          <w:iCs/>
          <w:szCs w:val="22"/>
        </w:rPr>
        <w:t xml:space="preserve">ction </w:t>
      </w:r>
      <w:r>
        <w:rPr>
          <w:bCs/>
          <w:iCs/>
          <w:szCs w:val="22"/>
        </w:rPr>
        <w:t>(2023-2030)</w:t>
      </w:r>
      <w:r w:rsidRPr="00853C76">
        <w:rPr>
          <w:bCs/>
          <w:iCs/>
          <w:szCs w:val="22"/>
        </w:rPr>
        <w:t>.</w:t>
      </w:r>
      <w:r w:rsidRPr="00610646">
        <w:rPr>
          <w:rStyle w:val="FootnoteReference"/>
        </w:rPr>
        <w:footnoteReference w:id="161"/>
      </w:r>
    </w:p>
    <w:p w14:paraId="28313FE4" w14:textId="77777777" w:rsidR="00DA0273" w:rsidRPr="000E778E" w:rsidRDefault="00DA0273" w:rsidP="0057467C">
      <w:pPr>
        <w:tabs>
          <w:tab w:val="left" w:pos="720"/>
        </w:tabs>
        <w:snapToGrid w:val="0"/>
        <w:spacing w:before="120" w:after="120"/>
        <w:ind w:firstLine="709"/>
        <w:rPr>
          <w:bCs/>
          <w:iCs/>
          <w:szCs w:val="22"/>
        </w:rPr>
      </w:pPr>
      <w:r w:rsidRPr="00853C76">
        <w:rPr>
          <w:bCs/>
          <w:iCs/>
          <w:szCs w:val="22"/>
          <w:lang w:val="en-US"/>
        </w:rPr>
        <w:t>(f)</w:t>
      </w:r>
      <w:r w:rsidRPr="00853C76">
        <w:rPr>
          <w:bCs/>
          <w:iCs/>
          <w:szCs w:val="22"/>
          <w:lang w:val="en-US"/>
        </w:rPr>
        <w:tab/>
      </w:r>
      <w:r w:rsidRPr="00853C76">
        <w:rPr>
          <w:bCs/>
          <w:iCs/>
          <w:szCs w:val="22"/>
        </w:rPr>
        <w:t>The mechanisms for planning, monitoring, reporting and review</w:t>
      </w:r>
      <w:r w:rsidRPr="00853C76">
        <w:rPr>
          <w:bCs/>
          <w:iCs/>
          <w:szCs w:val="22"/>
          <w:lang w:val="en-US"/>
        </w:rPr>
        <w:t>;</w:t>
      </w:r>
      <w:r w:rsidRPr="00610646">
        <w:rPr>
          <w:rStyle w:val="FootnoteReference"/>
        </w:rPr>
        <w:footnoteReference w:id="162"/>
      </w:r>
    </w:p>
    <w:p w14:paraId="046CC8F3" w14:textId="77777777" w:rsidR="00DA0273" w:rsidRPr="00853C76" w:rsidRDefault="00DA0273" w:rsidP="00FB5720">
      <w:pPr>
        <w:tabs>
          <w:tab w:val="left" w:pos="720"/>
        </w:tabs>
        <w:snapToGrid w:val="0"/>
        <w:spacing w:before="120" w:after="120"/>
        <w:ind w:firstLine="709"/>
        <w:rPr>
          <w:bCs/>
          <w:iCs/>
          <w:szCs w:val="22"/>
        </w:rPr>
      </w:pPr>
      <w:r w:rsidRPr="00853C76">
        <w:rPr>
          <w:bCs/>
          <w:iCs/>
          <w:szCs w:val="22"/>
        </w:rPr>
        <w:t>(g)</w:t>
      </w:r>
      <w:r w:rsidRPr="00853C76">
        <w:rPr>
          <w:bCs/>
          <w:iCs/>
          <w:szCs w:val="22"/>
        </w:rPr>
        <w:tab/>
        <w:t xml:space="preserve">The enabling conditions outlined in the </w:t>
      </w:r>
      <w:r>
        <w:rPr>
          <w:bCs/>
          <w:iCs/>
          <w:szCs w:val="22"/>
          <w:lang w:val="en-US"/>
        </w:rPr>
        <w:t>Kunming-Montreal</w:t>
      </w:r>
      <w:r w:rsidRPr="00853C76">
        <w:rPr>
          <w:bCs/>
          <w:iCs/>
          <w:szCs w:val="22"/>
          <w:lang w:val="en-US"/>
        </w:rPr>
        <w:t xml:space="preserve"> </w:t>
      </w:r>
      <w:r>
        <w:rPr>
          <w:bCs/>
          <w:iCs/>
          <w:szCs w:val="22"/>
          <w:lang w:val="en-US"/>
        </w:rPr>
        <w:t>G</w:t>
      </w:r>
      <w:r w:rsidRPr="00853C76">
        <w:rPr>
          <w:bCs/>
          <w:iCs/>
          <w:szCs w:val="22"/>
          <w:lang w:val="en-US"/>
        </w:rPr>
        <w:t xml:space="preserve">lobal </w:t>
      </w:r>
      <w:r>
        <w:rPr>
          <w:bCs/>
          <w:iCs/>
          <w:szCs w:val="22"/>
          <w:lang w:val="en-US"/>
        </w:rPr>
        <w:t>B</w:t>
      </w:r>
      <w:r w:rsidRPr="00853C76">
        <w:rPr>
          <w:bCs/>
          <w:iCs/>
          <w:szCs w:val="22"/>
          <w:lang w:val="en-US"/>
        </w:rPr>
        <w:t xml:space="preserve">iodiversity </w:t>
      </w:r>
      <w:r>
        <w:rPr>
          <w:bCs/>
          <w:iCs/>
          <w:szCs w:val="22"/>
          <w:lang w:val="en-US"/>
        </w:rPr>
        <w:t>F</w:t>
      </w:r>
      <w:r w:rsidRPr="00853C76">
        <w:rPr>
          <w:bCs/>
          <w:iCs/>
          <w:szCs w:val="22"/>
          <w:lang w:val="en-US"/>
        </w:rPr>
        <w:t>ramework</w:t>
      </w:r>
      <w:r w:rsidRPr="00853C76" w:rsidDel="000F2288">
        <w:rPr>
          <w:bCs/>
          <w:iCs/>
          <w:szCs w:val="22"/>
        </w:rPr>
        <w:t xml:space="preserve"> </w:t>
      </w:r>
      <w:r w:rsidRPr="00853C76">
        <w:rPr>
          <w:bCs/>
          <w:iCs/>
          <w:szCs w:val="22"/>
        </w:rPr>
        <w:t>required for its implementation;</w:t>
      </w:r>
    </w:p>
    <w:p w14:paraId="5C65D1D1"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(h)</w:t>
      </w:r>
      <w:r w:rsidRPr="00853C76">
        <w:rPr>
          <w:iCs/>
          <w:szCs w:val="22"/>
          <w:lang w:val="en-US"/>
        </w:rPr>
        <w:tab/>
        <w:t xml:space="preserve">The </w:t>
      </w:r>
      <w:r>
        <w:rPr>
          <w:iCs/>
          <w:szCs w:val="22"/>
        </w:rPr>
        <w:t>I</w:t>
      </w:r>
      <w:r w:rsidRPr="00853C76">
        <w:rPr>
          <w:iCs/>
          <w:szCs w:val="22"/>
        </w:rPr>
        <w:t xml:space="preserve">mplementation </w:t>
      </w:r>
      <w:r>
        <w:rPr>
          <w:iCs/>
          <w:szCs w:val="22"/>
        </w:rPr>
        <w:t>P</w:t>
      </w:r>
      <w:r w:rsidRPr="00853C76">
        <w:rPr>
          <w:iCs/>
          <w:szCs w:val="22"/>
        </w:rPr>
        <w:t>lan for the Cartagena Protocol</w:t>
      </w:r>
      <w:r w:rsidRPr="00853C76">
        <w:rPr>
          <w:iCs/>
          <w:szCs w:val="22"/>
          <w:lang w:val="en-US"/>
        </w:rPr>
        <w:t xml:space="preserve"> on Biosafety</w:t>
      </w:r>
      <w:r w:rsidRPr="00610646">
        <w:rPr>
          <w:rStyle w:val="FootnoteReference"/>
        </w:rPr>
        <w:footnoteReference w:id="163"/>
      </w:r>
      <w:r w:rsidRPr="00853C76">
        <w:rPr>
          <w:iCs/>
          <w:szCs w:val="22"/>
        </w:rPr>
        <w:t xml:space="preserve"> and the Capacity-building </w:t>
      </w:r>
      <w:r>
        <w:rPr>
          <w:iCs/>
          <w:szCs w:val="22"/>
        </w:rPr>
        <w:t>A</w:t>
      </w:r>
      <w:r w:rsidRPr="00853C76">
        <w:rPr>
          <w:iCs/>
          <w:szCs w:val="22"/>
        </w:rPr>
        <w:t xml:space="preserve">ction </w:t>
      </w:r>
      <w:r>
        <w:rPr>
          <w:iCs/>
          <w:szCs w:val="22"/>
        </w:rPr>
        <w:t>P</w:t>
      </w:r>
      <w:r w:rsidRPr="00853C76">
        <w:rPr>
          <w:iCs/>
          <w:szCs w:val="22"/>
        </w:rPr>
        <w:t>lan for the Cartagena Protocol</w:t>
      </w:r>
      <w:r w:rsidRPr="00853C76">
        <w:rPr>
          <w:iCs/>
          <w:szCs w:val="22"/>
          <w:lang w:val="en-US"/>
        </w:rPr>
        <w:t xml:space="preserve"> on Biosafety;</w:t>
      </w:r>
      <w:r w:rsidRPr="00610646">
        <w:rPr>
          <w:rStyle w:val="FootnoteReference"/>
        </w:rPr>
        <w:footnoteReference w:id="164"/>
      </w:r>
    </w:p>
    <w:p w14:paraId="492F19F7" w14:textId="77777777" w:rsidR="00DA0273" w:rsidRPr="00853C76" w:rsidRDefault="00DA0273" w:rsidP="00FB5720">
      <w:pPr>
        <w:tabs>
          <w:tab w:val="left" w:pos="720"/>
        </w:tabs>
        <w:snapToGrid w:val="0"/>
        <w:spacing w:before="120" w:after="120"/>
        <w:ind w:firstLine="709"/>
        <w:rPr>
          <w:iCs/>
          <w:szCs w:val="22"/>
          <w:lang w:val="en-US"/>
        </w:rPr>
      </w:pPr>
      <w:r w:rsidRPr="00853C76">
        <w:rPr>
          <w:iCs/>
          <w:szCs w:val="22"/>
          <w:lang w:val="en-US"/>
        </w:rPr>
        <w:t>(i)</w:t>
      </w:r>
      <w:r w:rsidRPr="00853C76">
        <w:rPr>
          <w:iCs/>
          <w:szCs w:val="22"/>
          <w:lang w:val="en-US"/>
        </w:rPr>
        <w:tab/>
        <w:t>The guidance to the Global Environment Facility on programme priorities to support the implementation of the Nagoya Protocol on Access and Benefit-sharing adopted by the Conference of the Parties serving as the meeting of the Parties to the Protocol at its fourth meeting, contained in appendix I</w:t>
      </w:r>
      <w:r>
        <w:rPr>
          <w:iCs/>
          <w:szCs w:val="22"/>
          <w:lang w:val="en-US"/>
        </w:rPr>
        <w:t>.</w:t>
      </w:r>
    </w:p>
    <w:p w14:paraId="2F03E6CF" w14:textId="77777777" w:rsidR="00DA0273" w:rsidRPr="006B08B1" w:rsidRDefault="00DA0273" w:rsidP="006B08B1">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6B08B1">
        <w:rPr>
          <w:b/>
          <w:bCs/>
          <w:snapToGrid w:val="0"/>
          <w:color w:val="000000"/>
          <w:kern w:val="22"/>
          <w:szCs w:val="22"/>
        </w:rPr>
        <w:t>C.</w:t>
      </w:r>
      <w:r w:rsidRPr="006B08B1">
        <w:rPr>
          <w:b/>
          <w:bCs/>
          <w:snapToGrid w:val="0"/>
          <w:color w:val="000000"/>
          <w:kern w:val="22"/>
          <w:szCs w:val="22"/>
        </w:rPr>
        <w:tab/>
        <w:t>Additional strategic considerations</w:t>
      </w:r>
    </w:p>
    <w:p w14:paraId="43BA5104"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5.</w:t>
      </w:r>
      <w:r w:rsidRPr="00853C76">
        <w:rPr>
          <w:iCs/>
          <w:szCs w:val="22"/>
          <w:lang w:val="en-US"/>
        </w:rPr>
        <w:tab/>
        <w:t xml:space="preserve">The GEF-8 biodiversity strategy and programming directions should support the rapid </w:t>
      </w:r>
      <w:r w:rsidRPr="00853C76">
        <w:rPr>
          <w:iCs/>
          <w:szCs w:val="22"/>
          <w:shd w:val="clear" w:color="auto" w:fill="FFFFFF"/>
          <w:lang w:val="en-US"/>
        </w:rPr>
        <w:t xml:space="preserve">and effective </w:t>
      </w:r>
      <w:r w:rsidRPr="00853C76">
        <w:rPr>
          <w:iCs/>
          <w:szCs w:val="22"/>
          <w:lang w:val="en-US"/>
        </w:rPr>
        <w:t xml:space="preserve">implementation of the </w:t>
      </w:r>
      <w:r>
        <w:rPr>
          <w:kern w:val="22"/>
        </w:rPr>
        <w:t xml:space="preserve">Kunming-Montreal </w:t>
      </w:r>
      <w:r w:rsidRPr="00D71BEC">
        <w:rPr>
          <w:bCs/>
          <w:snapToGrid w:val="0"/>
          <w:kern w:val="22"/>
          <w:szCs w:val="22"/>
        </w:rPr>
        <w:t>Global Biodiversity Framework</w:t>
      </w:r>
      <w:r w:rsidRPr="00853C76" w:rsidDel="00A24066">
        <w:rPr>
          <w:iCs/>
          <w:szCs w:val="22"/>
          <w:lang w:val="en-US"/>
        </w:rPr>
        <w:t xml:space="preserve"> </w:t>
      </w:r>
      <w:r w:rsidRPr="00853C76">
        <w:rPr>
          <w:iCs/>
          <w:szCs w:val="22"/>
          <w:shd w:val="clear" w:color="auto" w:fill="FFFFFF"/>
          <w:lang w:val="en-US"/>
        </w:rPr>
        <w:t xml:space="preserve">by contributing to resource mobilization from all sources, including through increased GEF funding, which is adequate, predictable, sustainable, timely and accessible </w:t>
      </w:r>
      <w:r w:rsidRPr="00853C76">
        <w:rPr>
          <w:iCs/>
          <w:szCs w:val="22"/>
          <w:lang w:val="en-US"/>
        </w:rPr>
        <w:t>and through allocations dedicated to the biodiversity focal area and co-benefits for biodiversity across other focal areas and global programmes, including integrated programmes, recognizing the need for streamlined programming and approval process to enable timely disbursement of resources.</w:t>
      </w:r>
      <w:r w:rsidRPr="00610646">
        <w:rPr>
          <w:rStyle w:val="FootnoteReference"/>
        </w:rPr>
        <w:footnoteReference w:id="165"/>
      </w:r>
      <w:r w:rsidRPr="00853C76">
        <w:rPr>
          <w:iCs/>
          <w:szCs w:val="22"/>
          <w:lang w:val="en-US"/>
        </w:rPr>
        <w:t xml:space="preserve"> </w:t>
      </w:r>
    </w:p>
    <w:p w14:paraId="5DC2DAAC"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6.</w:t>
      </w:r>
      <w:r w:rsidRPr="00853C76">
        <w:rPr>
          <w:iCs/>
          <w:szCs w:val="22"/>
          <w:lang w:val="en-US"/>
        </w:rPr>
        <w:tab/>
        <w:t xml:space="preserve">The GEF-8 biodiversity strategy and programming directions should recognize the contribution of multi-country, regional, transboundary and global projects, to the implementation of the objectives of the Convention, its Protocols and the </w:t>
      </w:r>
      <w:r>
        <w:rPr>
          <w:kern w:val="22"/>
        </w:rPr>
        <w:t xml:space="preserve">Kunming-Montreal </w:t>
      </w:r>
      <w:r w:rsidRPr="00D71BEC">
        <w:rPr>
          <w:bCs/>
          <w:snapToGrid w:val="0"/>
          <w:kern w:val="22"/>
          <w:szCs w:val="22"/>
        </w:rPr>
        <w:t>Global Biodiversity Framework</w:t>
      </w:r>
      <w:r w:rsidRPr="00853C76">
        <w:rPr>
          <w:iCs/>
          <w:szCs w:val="22"/>
          <w:lang w:val="en-US"/>
        </w:rPr>
        <w:t xml:space="preserve">, </w:t>
      </w:r>
      <w:r w:rsidRPr="009E4CD4">
        <w:rPr>
          <w:iCs/>
          <w:szCs w:val="22"/>
          <w:lang w:val="en-US"/>
        </w:rPr>
        <w:t>including to the implementation of global initiatives adopted under the Convention and its Protocols, and</w:t>
      </w:r>
      <w:r w:rsidRPr="00853C76">
        <w:rPr>
          <w:iCs/>
          <w:szCs w:val="22"/>
          <w:lang w:val="en-US"/>
        </w:rPr>
        <w:t xml:space="preserve"> multi-country, regional, transboundary and global initiatives that leverage contributions from biodiversity-related conventions and agreements.</w:t>
      </w:r>
    </w:p>
    <w:p w14:paraId="174BD89F"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7.</w:t>
      </w:r>
      <w:r w:rsidRPr="00853C76">
        <w:rPr>
          <w:iCs/>
          <w:szCs w:val="22"/>
          <w:lang w:val="en-US"/>
        </w:rPr>
        <w:tab/>
        <w:t xml:space="preserve">The GEF-8 biodiversity strategy and programming directions should recognize that the implementation of biodiversity-related conventions and agreements in the context of national biodiversity priorities and strategies will contribute to the three objectives of the Convention and its Protocols and the goals and targets of the </w:t>
      </w:r>
      <w:r>
        <w:rPr>
          <w:kern w:val="22"/>
        </w:rPr>
        <w:t xml:space="preserve">Kunming-Montreal </w:t>
      </w:r>
      <w:r w:rsidRPr="00D71BEC">
        <w:rPr>
          <w:bCs/>
          <w:snapToGrid w:val="0"/>
          <w:kern w:val="22"/>
          <w:szCs w:val="22"/>
        </w:rPr>
        <w:t>Global Biodiversity Framework</w:t>
      </w:r>
      <w:r w:rsidRPr="00853C76">
        <w:rPr>
          <w:iCs/>
          <w:szCs w:val="22"/>
          <w:lang w:val="en-US"/>
        </w:rPr>
        <w:t>.</w:t>
      </w:r>
    </w:p>
    <w:p w14:paraId="53C200F6"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8.</w:t>
      </w:r>
      <w:r w:rsidRPr="00853C76">
        <w:rPr>
          <w:iCs/>
          <w:szCs w:val="22"/>
          <w:lang w:val="en-US"/>
        </w:rPr>
        <w:tab/>
        <w:t xml:space="preserve">The GEF-8 biodiversity strategy and programming directions should take into account coherence with, and synergies among, country-driven programmes and priorities set out in national biodiversity strategies and action plans to support implementation of the </w:t>
      </w:r>
      <w:r>
        <w:rPr>
          <w:kern w:val="22"/>
        </w:rPr>
        <w:t xml:space="preserve">Kunming-Montreal </w:t>
      </w:r>
      <w:r w:rsidRPr="00D71BEC">
        <w:rPr>
          <w:bCs/>
          <w:snapToGrid w:val="0"/>
          <w:kern w:val="22"/>
          <w:szCs w:val="22"/>
        </w:rPr>
        <w:t>Global Biodiversity Framework</w:t>
      </w:r>
      <w:r w:rsidRPr="00853C76">
        <w:rPr>
          <w:iCs/>
          <w:szCs w:val="22"/>
          <w:lang w:val="en-US"/>
        </w:rPr>
        <w:t>.</w:t>
      </w:r>
    </w:p>
    <w:p w14:paraId="54ABB5DB"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lastRenderedPageBreak/>
        <w:t>9.</w:t>
      </w:r>
      <w:r w:rsidRPr="00853C76">
        <w:rPr>
          <w:iCs/>
          <w:szCs w:val="22"/>
          <w:lang w:val="en-US"/>
        </w:rPr>
        <w:tab/>
        <w:t xml:space="preserve">The GEF-8 biodiversity strategy and programming directions should be developed in a fully transparent and inclusive manner, with a view to ensuring that projects to be funded by GEF during its eighth </w:t>
      </w:r>
      <w:r w:rsidRPr="00441EDB">
        <w:rPr>
          <w:iCs/>
          <w:szCs w:val="22"/>
          <w:lang w:val="en-US"/>
        </w:rPr>
        <w:t>replenishment are to be</w:t>
      </w:r>
      <w:r w:rsidRPr="00853C76">
        <w:rPr>
          <w:iCs/>
          <w:szCs w:val="22"/>
          <w:lang w:val="en-US"/>
        </w:rPr>
        <w:t xml:space="preserve"> developed on a context-specific and country-driven basis, addressing the priority needs of recipient countries.</w:t>
      </w:r>
    </w:p>
    <w:p w14:paraId="5A6C8041"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10.</w:t>
      </w:r>
      <w:r w:rsidRPr="00853C76">
        <w:rPr>
          <w:iCs/>
          <w:szCs w:val="22"/>
          <w:lang w:val="en-US"/>
        </w:rPr>
        <w:tab/>
        <w:t>The GEF-8 biodiversity strategy and programming directions should promote</w:t>
      </w:r>
      <w:r w:rsidRPr="00853C76">
        <w:rPr>
          <w:szCs w:val="22"/>
          <w:lang w:val="en-US"/>
        </w:rPr>
        <w:t xml:space="preserve"> agreed global environmental benefits and </w:t>
      </w:r>
      <w:r w:rsidRPr="00853C76">
        <w:rPr>
          <w:iCs/>
          <w:szCs w:val="22"/>
          <w:lang w:val="en-US"/>
        </w:rPr>
        <w:t>development pathways that benefit biodiversity and are also carbon-neutral and pollution-free, including through coherence and synergies among the GEF integrated programmes and focal areas of biodiversity, land degradation, international waters, climate change (both mitigation and adaptation), and chemicals and waste, and within the context of country</w:t>
      </w:r>
      <w:r w:rsidRPr="00853C76">
        <w:rPr>
          <w:iCs/>
          <w:szCs w:val="22"/>
          <w:lang w:val="en-US"/>
        </w:rPr>
        <w:noBreakHyphen/>
        <w:t xml:space="preserve">driven programmes and priorities. </w:t>
      </w:r>
    </w:p>
    <w:p w14:paraId="0F811475" w14:textId="77777777" w:rsidR="00DA0273" w:rsidRPr="00853C76" w:rsidRDefault="00DA0273" w:rsidP="00A425B2">
      <w:pPr>
        <w:tabs>
          <w:tab w:val="left" w:pos="720"/>
        </w:tabs>
        <w:snapToGrid w:val="0"/>
        <w:spacing w:before="120" w:after="120"/>
        <w:rPr>
          <w:bCs/>
          <w:iCs/>
          <w:szCs w:val="22"/>
          <w:lang w:val="en-US"/>
        </w:rPr>
      </w:pPr>
      <w:r w:rsidRPr="00853C76">
        <w:rPr>
          <w:bCs/>
          <w:iCs/>
          <w:szCs w:val="22"/>
          <w:lang w:val="en-US"/>
        </w:rPr>
        <w:t>11.</w:t>
      </w:r>
      <w:r w:rsidRPr="00853C76">
        <w:rPr>
          <w:bCs/>
          <w:iCs/>
          <w:szCs w:val="22"/>
          <w:lang w:val="en-US"/>
        </w:rPr>
        <w:tab/>
      </w:r>
      <w:bookmarkStart w:id="206" w:name="_Hlk122272289"/>
      <w:r w:rsidRPr="00853C76">
        <w:rPr>
          <w:bCs/>
          <w:iCs/>
          <w:szCs w:val="22"/>
          <w:lang w:val="en-US"/>
        </w:rPr>
        <w:t xml:space="preserve">The GEF-8 biodiversity strategy and programming directions should promote </w:t>
      </w:r>
      <w:bookmarkEnd w:id="206"/>
      <w:r w:rsidRPr="00853C76">
        <w:rPr>
          <w:bCs/>
          <w:iCs/>
          <w:szCs w:val="22"/>
          <w:lang w:val="en-US"/>
        </w:rPr>
        <w:t>and implement, as appropriate, the ecosystem approach</w:t>
      </w:r>
      <w:r>
        <w:rPr>
          <w:bCs/>
          <w:iCs/>
          <w:szCs w:val="22"/>
          <w:lang w:val="en-US"/>
        </w:rPr>
        <w:t>,</w:t>
      </w:r>
      <w:r w:rsidRPr="00610646">
        <w:rPr>
          <w:rStyle w:val="FootnoteReference"/>
        </w:rPr>
        <w:footnoteReference w:id="166"/>
      </w:r>
      <w:r w:rsidRPr="00853C76">
        <w:rPr>
          <w:bCs/>
          <w:iCs/>
          <w:szCs w:val="22"/>
          <w:lang w:val="en-US"/>
        </w:rPr>
        <w:t xml:space="preserve"> and/or nature-based solutions </w:t>
      </w:r>
      <w:r w:rsidRPr="00853C76">
        <w:rPr>
          <w:bCs/>
          <w:szCs w:val="22"/>
        </w:rPr>
        <w:t>as defined by the United Nations Environment Assembly at its fifth session</w:t>
      </w:r>
      <w:r>
        <w:rPr>
          <w:bCs/>
          <w:szCs w:val="22"/>
        </w:rPr>
        <w:t>.</w:t>
      </w:r>
      <w:r w:rsidRPr="00610646">
        <w:rPr>
          <w:rStyle w:val="FootnoteReference"/>
        </w:rPr>
        <w:footnoteReference w:id="167"/>
      </w:r>
    </w:p>
    <w:p w14:paraId="65FA93FC"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12.</w:t>
      </w:r>
      <w:r w:rsidRPr="00853C76">
        <w:rPr>
          <w:iCs/>
          <w:szCs w:val="22"/>
          <w:lang w:val="en-US"/>
        </w:rPr>
        <w:tab/>
        <w:t xml:space="preserve">The GEF-8 biodiversity strategy and programming directions should promote, synergies, cooperation and complementarity in the implementation of the three objectives of the Convention with those of the other conventions served by GEF, as well as with other biodiversity-related conventions and agreements, recognizing the important contributions that these instruments can make to the objectives of the Convention on Biological Diversity, its Protocols and the </w:t>
      </w:r>
      <w:r>
        <w:rPr>
          <w:iCs/>
          <w:szCs w:val="22"/>
          <w:lang w:val="en-US"/>
        </w:rPr>
        <w:t>Kunming-Montreal</w:t>
      </w:r>
      <w:r w:rsidRPr="00853C76">
        <w:rPr>
          <w:iCs/>
          <w:szCs w:val="22"/>
          <w:lang w:val="en-US"/>
        </w:rPr>
        <w:t xml:space="preserve"> </w:t>
      </w:r>
      <w:r>
        <w:rPr>
          <w:iCs/>
          <w:szCs w:val="22"/>
          <w:lang w:val="en-US"/>
        </w:rPr>
        <w:t>G</w:t>
      </w:r>
      <w:r w:rsidRPr="00853C76">
        <w:rPr>
          <w:iCs/>
          <w:szCs w:val="22"/>
          <w:lang w:val="en-US"/>
        </w:rPr>
        <w:t xml:space="preserve">lobal </w:t>
      </w:r>
      <w:r>
        <w:rPr>
          <w:iCs/>
          <w:szCs w:val="22"/>
          <w:lang w:val="en-US"/>
        </w:rPr>
        <w:t>B</w:t>
      </w:r>
      <w:r w:rsidRPr="00853C76">
        <w:rPr>
          <w:iCs/>
          <w:szCs w:val="22"/>
          <w:lang w:val="en-US"/>
        </w:rPr>
        <w:t xml:space="preserve">iodiversity </w:t>
      </w:r>
      <w:r>
        <w:rPr>
          <w:iCs/>
          <w:szCs w:val="22"/>
          <w:lang w:val="en-US"/>
        </w:rPr>
        <w:t>F</w:t>
      </w:r>
      <w:r w:rsidRPr="00853C76">
        <w:rPr>
          <w:iCs/>
          <w:szCs w:val="22"/>
          <w:lang w:val="en-US"/>
        </w:rPr>
        <w:t>ramework, and vice versa.</w:t>
      </w:r>
    </w:p>
    <w:p w14:paraId="590C0F53"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 xml:space="preserve">13. </w:t>
      </w:r>
      <w:r w:rsidRPr="00853C76">
        <w:rPr>
          <w:iCs/>
          <w:szCs w:val="22"/>
          <w:lang w:val="en-US"/>
        </w:rPr>
        <w:tab/>
        <w:t xml:space="preserve">During the GEF-8 period, GEF should further interact and cooperate with multilateral development banks and other public and private financial institutions to integrate the objectives of the Convention on Biological Diversity and its Protocols and the </w:t>
      </w:r>
      <w:r>
        <w:rPr>
          <w:kern w:val="22"/>
        </w:rPr>
        <w:t xml:space="preserve">Kunming-Montreal </w:t>
      </w:r>
      <w:r w:rsidRPr="00D71BEC">
        <w:rPr>
          <w:bCs/>
          <w:snapToGrid w:val="0"/>
          <w:kern w:val="22"/>
          <w:szCs w:val="22"/>
        </w:rPr>
        <w:t>Global Biodiversity Framework</w:t>
      </w:r>
      <w:r w:rsidRPr="00853C76">
        <w:rPr>
          <w:iCs/>
          <w:szCs w:val="22"/>
          <w:lang w:val="en-US"/>
        </w:rPr>
        <w:t>, as well as the contributions of the other biodiversity-related conventions within their activities and report on funding contributing to their implementation.</w:t>
      </w:r>
    </w:p>
    <w:p w14:paraId="3EB4C8C1"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14.</w:t>
      </w:r>
      <w:r w:rsidRPr="00853C76">
        <w:rPr>
          <w:iCs/>
          <w:szCs w:val="22"/>
          <w:lang w:val="en-US"/>
        </w:rPr>
        <w:tab/>
      </w:r>
      <w:bookmarkStart w:id="207" w:name="_Hlk94282923"/>
      <w:r w:rsidRPr="00853C76">
        <w:rPr>
          <w:iCs/>
          <w:szCs w:val="22"/>
          <w:lang w:val="en-US"/>
        </w:rPr>
        <w:t xml:space="preserve">The GEF-8 outcome and impact indicators and associated monitoring processes should be effectively used to assess the contribution of the GEF-8 to the implementation of the three objectives of the Convention, </w:t>
      </w:r>
      <w:r>
        <w:rPr>
          <w:iCs/>
          <w:szCs w:val="22"/>
          <w:lang w:val="en-US"/>
        </w:rPr>
        <w:t>its</w:t>
      </w:r>
      <w:r w:rsidRPr="00853C76">
        <w:rPr>
          <w:iCs/>
          <w:szCs w:val="22"/>
          <w:lang w:val="en-US"/>
        </w:rPr>
        <w:t xml:space="preserve"> Protocols, and the </w:t>
      </w:r>
      <w:r>
        <w:rPr>
          <w:kern w:val="22"/>
        </w:rPr>
        <w:t xml:space="preserve">Kunming-Montreal </w:t>
      </w:r>
      <w:r w:rsidRPr="00D71BEC">
        <w:rPr>
          <w:bCs/>
          <w:snapToGrid w:val="0"/>
          <w:kern w:val="22"/>
          <w:szCs w:val="22"/>
        </w:rPr>
        <w:t>Global Biodiversity Framework</w:t>
      </w:r>
      <w:r w:rsidRPr="00853C76">
        <w:rPr>
          <w:iCs/>
          <w:szCs w:val="22"/>
          <w:lang w:val="en-US"/>
        </w:rPr>
        <w:t>, including through measuring the co-benefits for biodiversity across all relevant GEF activities.</w:t>
      </w:r>
      <w:bookmarkEnd w:id="207"/>
    </w:p>
    <w:p w14:paraId="388679A4" w14:textId="77777777" w:rsidR="00DA0273" w:rsidRPr="00853C76" w:rsidRDefault="00DA0273" w:rsidP="005930B9">
      <w:pPr>
        <w:tabs>
          <w:tab w:val="left" w:pos="720"/>
        </w:tabs>
        <w:snapToGrid w:val="0"/>
        <w:spacing w:before="120" w:after="120"/>
        <w:rPr>
          <w:iCs/>
          <w:szCs w:val="22"/>
          <w:lang w:val="en-US"/>
        </w:rPr>
      </w:pPr>
      <w:r w:rsidRPr="00853C76">
        <w:rPr>
          <w:rFonts w:eastAsia="MS Mincho"/>
          <w:iCs/>
          <w:szCs w:val="22"/>
          <w:lang w:val="en-US" w:eastAsia="ja-JP"/>
        </w:rPr>
        <w:t>15.</w:t>
      </w:r>
      <w:r w:rsidRPr="00853C76">
        <w:rPr>
          <w:rFonts w:eastAsia="MS Mincho"/>
          <w:iCs/>
          <w:szCs w:val="22"/>
          <w:lang w:val="en-US" w:eastAsia="ja-JP"/>
        </w:rPr>
        <w:tab/>
      </w:r>
      <w:r w:rsidRPr="00853C76">
        <w:rPr>
          <w:iCs/>
          <w:szCs w:val="22"/>
          <w:lang w:val="en-US"/>
        </w:rPr>
        <w:t>The GEF</w:t>
      </w:r>
      <w:r>
        <w:rPr>
          <w:iCs/>
          <w:szCs w:val="22"/>
          <w:lang w:val="en-US"/>
        </w:rPr>
        <w:t>,</w:t>
      </w:r>
      <w:r w:rsidRPr="00853C76">
        <w:rPr>
          <w:iCs/>
          <w:szCs w:val="22"/>
          <w:lang w:val="en-US"/>
        </w:rPr>
        <w:t xml:space="preserve"> in its eighth replenishment period</w:t>
      </w:r>
      <w:r>
        <w:rPr>
          <w:iCs/>
          <w:szCs w:val="22"/>
          <w:lang w:val="en-US"/>
        </w:rPr>
        <w:t>,</w:t>
      </w:r>
      <w:r w:rsidRPr="00853C76">
        <w:rPr>
          <w:iCs/>
          <w:szCs w:val="22"/>
          <w:lang w:val="en-US"/>
        </w:rPr>
        <w:t xml:space="preserve"> should explore ways to significantly improve the access to funding for all recipient countries</w:t>
      </w:r>
      <w:r>
        <w:rPr>
          <w:iCs/>
          <w:szCs w:val="22"/>
          <w:lang w:val="en-US"/>
        </w:rPr>
        <w:t>.</w:t>
      </w:r>
    </w:p>
    <w:p w14:paraId="19F56724"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 xml:space="preserve">16. </w:t>
      </w:r>
      <w:r w:rsidRPr="00853C76">
        <w:rPr>
          <w:iCs/>
          <w:szCs w:val="22"/>
          <w:lang w:val="en-US"/>
        </w:rPr>
        <w:tab/>
        <w:t>The GEF</w:t>
      </w:r>
      <w:r>
        <w:rPr>
          <w:iCs/>
          <w:szCs w:val="22"/>
          <w:lang w:val="en-US"/>
        </w:rPr>
        <w:t>,</w:t>
      </w:r>
      <w:r w:rsidRPr="00853C76">
        <w:rPr>
          <w:iCs/>
          <w:szCs w:val="22"/>
          <w:lang w:val="en-US"/>
        </w:rPr>
        <w:t xml:space="preserve"> in its eighth replenishment period</w:t>
      </w:r>
      <w:r>
        <w:rPr>
          <w:iCs/>
          <w:szCs w:val="22"/>
          <w:lang w:val="en-US"/>
        </w:rPr>
        <w:t>,</w:t>
      </w:r>
      <w:r w:rsidRPr="00853C76">
        <w:rPr>
          <w:iCs/>
          <w:szCs w:val="22"/>
          <w:lang w:val="en-US"/>
        </w:rPr>
        <w:t xml:space="preserve"> should explore ways to improve the access to funding for indigenous peoples and local communities.</w:t>
      </w:r>
    </w:p>
    <w:p w14:paraId="76828C64" w14:textId="77777777" w:rsidR="00DA0273" w:rsidRPr="00853C76" w:rsidRDefault="00DA0273" w:rsidP="00FB5720">
      <w:pPr>
        <w:tabs>
          <w:tab w:val="left" w:pos="720"/>
        </w:tabs>
        <w:snapToGrid w:val="0"/>
        <w:spacing w:before="120" w:after="120"/>
        <w:rPr>
          <w:szCs w:val="22"/>
          <w:lang w:val="en-US"/>
        </w:rPr>
      </w:pPr>
      <w:r w:rsidRPr="00853C76">
        <w:rPr>
          <w:iCs/>
          <w:szCs w:val="22"/>
          <w:lang w:val="en-US"/>
        </w:rPr>
        <w:t>17.</w:t>
      </w:r>
      <w:r w:rsidRPr="00853C76">
        <w:rPr>
          <w:iCs/>
          <w:szCs w:val="22"/>
          <w:lang w:val="en-US"/>
        </w:rPr>
        <w:tab/>
        <w:t xml:space="preserve">The GEF-8 biodiversity strategy and programming directions should promote </w:t>
      </w:r>
      <w:r w:rsidRPr="00853C76">
        <w:rPr>
          <w:szCs w:val="22"/>
          <w:lang w:val="en-US"/>
        </w:rPr>
        <w:t>engagement with recipient countries to support national resource mobilization and the development and implementation of national biodiversity finance plans.</w:t>
      </w:r>
    </w:p>
    <w:p w14:paraId="0950E100" w14:textId="77777777" w:rsidR="00DA0273" w:rsidRPr="00853C76" w:rsidRDefault="00DA0273" w:rsidP="00FB5720">
      <w:pPr>
        <w:tabs>
          <w:tab w:val="left" w:pos="720"/>
        </w:tabs>
        <w:snapToGrid w:val="0"/>
        <w:spacing w:before="120" w:after="120"/>
        <w:rPr>
          <w:iCs/>
          <w:szCs w:val="22"/>
          <w:lang w:val="en-US"/>
        </w:rPr>
      </w:pPr>
      <w:r w:rsidRPr="00853C76">
        <w:rPr>
          <w:iCs/>
          <w:szCs w:val="22"/>
          <w:lang w:val="en-US"/>
        </w:rPr>
        <w:t>18.</w:t>
      </w:r>
      <w:r w:rsidRPr="00853C76">
        <w:rPr>
          <w:iCs/>
          <w:szCs w:val="22"/>
          <w:lang w:val="en-US"/>
        </w:rPr>
        <w:tab/>
        <w:t>The GEF-8 biodiversity strategy, programming directions and policy recommendations should reinforce the GEF’s efforts to mobilize and engage with different stakeholders including the private sector.</w:t>
      </w:r>
    </w:p>
    <w:p w14:paraId="7ED47C76" w14:textId="77777777" w:rsidR="00DA0273" w:rsidRPr="00853C76" w:rsidRDefault="00DA0273" w:rsidP="0097293F">
      <w:pPr>
        <w:rPr>
          <w:szCs w:val="22"/>
          <w:lang w:val="en-US"/>
        </w:rPr>
      </w:pPr>
      <w:r w:rsidRPr="00853C76">
        <w:rPr>
          <w:iCs/>
          <w:szCs w:val="22"/>
          <w:lang w:val="en-US"/>
        </w:rPr>
        <w:t>19.</w:t>
      </w:r>
      <w:r w:rsidRPr="00853C76">
        <w:rPr>
          <w:iCs/>
          <w:szCs w:val="22"/>
          <w:lang w:val="en-US"/>
        </w:rPr>
        <w:tab/>
      </w:r>
      <w:r w:rsidRPr="00853C76">
        <w:rPr>
          <w:szCs w:val="22"/>
          <w:lang w:val="en-US"/>
        </w:rPr>
        <w:t>To improve its efficiency and effectiveness in delivering sustainable results during the GEF</w:t>
      </w:r>
      <w:r w:rsidRPr="00853C76">
        <w:rPr>
          <w:szCs w:val="22"/>
          <w:lang w:val="en-US"/>
        </w:rPr>
        <w:noBreakHyphen/>
        <w:t>8 replenishment period, GEF should continue to improve its policies regarding governance and the standards its implementing partners are held to.</w:t>
      </w:r>
    </w:p>
    <w:p w14:paraId="38B7B54D" w14:textId="77777777" w:rsidR="00DA0273" w:rsidRDefault="00DA0273" w:rsidP="00BC046B">
      <w:pPr>
        <w:keepNext/>
        <w:keepLines/>
        <w:suppressLineNumbers/>
        <w:suppressAutoHyphens/>
        <w:adjustRightInd w:val="0"/>
        <w:snapToGrid w:val="0"/>
        <w:spacing w:before="120" w:after="120"/>
        <w:jc w:val="center"/>
        <w:rPr>
          <w:i/>
          <w:iCs/>
          <w:szCs w:val="22"/>
          <w:lang w:val="en-US"/>
        </w:rPr>
      </w:pPr>
      <w:r w:rsidRPr="00853C76">
        <w:rPr>
          <w:i/>
          <w:snapToGrid w:val="0"/>
          <w:kern w:val="22"/>
          <w:szCs w:val="22"/>
        </w:rPr>
        <w:lastRenderedPageBreak/>
        <w:t>Appendix</w:t>
      </w:r>
      <w:r w:rsidRPr="00853C76">
        <w:rPr>
          <w:i/>
          <w:iCs/>
          <w:szCs w:val="22"/>
          <w:lang w:val="en-US"/>
        </w:rPr>
        <w:t xml:space="preserve"> I</w:t>
      </w:r>
    </w:p>
    <w:p w14:paraId="7AB31D51" w14:textId="6CB56492" w:rsidR="00DA0273" w:rsidRPr="00AF42B7" w:rsidRDefault="00AF42B7" w:rsidP="00BC046B">
      <w:pPr>
        <w:pStyle w:val="BodyText"/>
        <w:keepNext/>
        <w:keepLines/>
        <w:ind w:firstLine="0"/>
        <w:jc w:val="center"/>
        <w:rPr>
          <w:b/>
          <w:bCs/>
          <w:i/>
          <w:lang w:val="en-US"/>
        </w:rPr>
      </w:pPr>
      <w:r w:rsidRPr="00AF42B7">
        <w:rPr>
          <w:b/>
          <w:bCs/>
          <w:snapToGrid w:val="0"/>
        </w:rPr>
        <w:t>ELEMENTS FOR THE FOUR-YEAR OUTCOME-ORIENTED FRAMEWORK OF PROGRAMME PRIORITIES FOR THE EIGHTH REPLENISHMENT PERIOD OF THE GLOBAL ENVIRONMENT FACILITY TRUST FUND (2022</w:t>
      </w:r>
      <w:r w:rsidRPr="00AF42B7">
        <w:rPr>
          <w:b/>
          <w:bCs/>
        </w:rPr>
        <w:t>–</w:t>
      </w:r>
      <w:r w:rsidRPr="00AF42B7">
        <w:rPr>
          <w:b/>
          <w:bCs/>
          <w:snapToGrid w:val="0"/>
        </w:rPr>
        <w:t xml:space="preserve">2026) </w:t>
      </w:r>
      <w:r w:rsidRPr="00AF42B7">
        <w:rPr>
          <w:b/>
          <w:bCs/>
          <w:snapToGrid w:val="0"/>
          <w:lang w:val="en-US"/>
        </w:rPr>
        <w:t>TO SUPPORT THE IMPLEMENTATION OF THE NAGOYA PROTOCOL ON ACCESS AND BENEFIT-SHARING</w:t>
      </w:r>
    </w:p>
    <w:p w14:paraId="44789E2B" w14:textId="77777777" w:rsidR="00DA0273" w:rsidRPr="00853C76" w:rsidRDefault="00DA0273" w:rsidP="00EB3B78">
      <w:pPr>
        <w:spacing w:before="120" w:after="120"/>
        <w:ind w:firstLine="709"/>
        <w:rPr>
          <w:rFonts w:asciiTheme="majorBidi" w:hAnsiTheme="majorBidi" w:cstheme="majorBidi"/>
          <w:snapToGrid w:val="0"/>
          <w:kern w:val="22"/>
          <w:szCs w:val="22"/>
        </w:rPr>
      </w:pPr>
      <w:r w:rsidRPr="0043093F">
        <w:rPr>
          <w:rFonts w:asciiTheme="majorBidi" w:hAnsiTheme="majorBidi" w:cstheme="majorBidi"/>
          <w:snapToGrid w:val="0"/>
          <w:kern w:val="22"/>
          <w:szCs w:val="22"/>
        </w:rPr>
        <w:t>Elements for the four-year outcome-oriented framework of programme priorities for the eighth replenishment period of the Global Environment Facility Trust Fund (2022</w:t>
      </w:r>
      <w:r w:rsidRPr="0043093F">
        <w:rPr>
          <w:b/>
          <w:bCs/>
          <w:iCs/>
          <w:szCs w:val="22"/>
        </w:rPr>
        <w:t>–</w:t>
      </w:r>
      <w:r w:rsidRPr="0043093F">
        <w:rPr>
          <w:rFonts w:asciiTheme="majorBidi" w:hAnsiTheme="majorBidi" w:cstheme="majorBidi"/>
          <w:snapToGrid w:val="0"/>
          <w:kern w:val="22"/>
          <w:szCs w:val="22"/>
        </w:rPr>
        <w:t xml:space="preserve">2026) </w:t>
      </w:r>
      <w:r w:rsidRPr="0043093F">
        <w:rPr>
          <w:rFonts w:asciiTheme="majorBidi" w:hAnsiTheme="majorBidi" w:cstheme="majorBidi"/>
          <w:iCs/>
          <w:snapToGrid w:val="0"/>
          <w:kern w:val="22"/>
          <w:szCs w:val="22"/>
          <w:lang w:val="en-US"/>
        </w:rPr>
        <w:t>to support the implementation of the Nagoya Protocol on Access and Benefit-sharing, adopted by the Conference of the Parties serving as the meeting of the Parties to the Protocol at its fourth meeting</w:t>
      </w:r>
      <w:r>
        <w:rPr>
          <w:rFonts w:asciiTheme="majorBidi" w:hAnsiTheme="majorBidi" w:cstheme="majorBidi"/>
          <w:iCs/>
          <w:snapToGrid w:val="0"/>
          <w:kern w:val="22"/>
          <w:szCs w:val="22"/>
          <w:lang w:val="en-US"/>
        </w:rPr>
        <w:t xml:space="preserve">, </w:t>
      </w:r>
      <w:r w:rsidRPr="007F2F5D">
        <w:rPr>
          <w:rFonts w:asciiTheme="majorBidi" w:hAnsiTheme="majorBidi" w:cstheme="majorBidi"/>
          <w:iCs/>
          <w:snapToGrid w:val="0"/>
          <w:kern w:val="22"/>
          <w:szCs w:val="22"/>
          <w:lang w:val="en-US"/>
        </w:rPr>
        <w:t>include</w:t>
      </w:r>
      <w:r w:rsidRPr="007F2F5D">
        <w:rPr>
          <w:rFonts w:asciiTheme="majorBidi" w:hAnsiTheme="majorBidi" w:cstheme="majorBidi"/>
          <w:snapToGrid w:val="0"/>
          <w:kern w:val="22"/>
          <w:szCs w:val="22"/>
        </w:rPr>
        <w:t>:</w:t>
      </w:r>
      <w:r w:rsidRPr="00853C76">
        <w:rPr>
          <w:rFonts w:asciiTheme="majorBidi" w:hAnsiTheme="majorBidi" w:cstheme="majorBidi"/>
          <w:snapToGrid w:val="0"/>
          <w:kern w:val="22"/>
          <w:szCs w:val="22"/>
        </w:rPr>
        <w:t xml:space="preserve"> </w:t>
      </w:r>
    </w:p>
    <w:p w14:paraId="6258A745" w14:textId="77777777" w:rsidR="00DA0273" w:rsidRPr="00853C76" w:rsidRDefault="00DA0273" w:rsidP="00B07C20">
      <w:pPr>
        <w:spacing w:before="120" w:after="120"/>
        <w:ind w:firstLine="709"/>
        <w:rPr>
          <w:rFonts w:asciiTheme="majorBidi" w:hAnsiTheme="majorBidi" w:cstheme="majorBidi"/>
          <w:snapToGrid w:val="0"/>
          <w:kern w:val="22"/>
          <w:szCs w:val="22"/>
        </w:rPr>
      </w:pPr>
      <w:r w:rsidRPr="00853C76">
        <w:rPr>
          <w:snapToGrid w:val="0"/>
          <w:szCs w:val="22"/>
        </w:rPr>
        <w:t xml:space="preserve">(a) </w:t>
      </w:r>
      <w:r w:rsidRPr="00853C76">
        <w:rPr>
          <w:snapToGrid w:val="0"/>
          <w:szCs w:val="22"/>
        </w:rPr>
        <w:tab/>
        <w:t>Specific priorities for continued capacity-building to support the implementation of the Nagoya Protocol;</w:t>
      </w:r>
      <w:r w:rsidRPr="00610646">
        <w:rPr>
          <w:rStyle w:val="FootnoteReference"/>
        </w:rPr>
        <w:footnoteReference w:id="168"/>
      </w:r>
      <w:r w:rsidRPr="00853C76">
        <w:rPr>
          <w:snapToGrid w:val="0"/>
          <w:szCs w:val="22"/>
          <w:vertAlign w:val="superscript"/>
        </w:rPr>
        <w:t xml:space="preserve"> </w:t>
      </w:r>
    </w:p>
    <w:p w14:paraId="7E15DF20" w14:textId="77777777" w:rsidR="00DA0273" w:rsidRPr="00853C76" w:rsidRDefault="00DA0273" w:rsidP="00B07C20">
      <w:pPr>
        <w:spacing w:before="120" w:after="120"/>
        <w:ind w:firstLine="709"/>
        <w:rPr>
          <w:rFonts w:asciiTheme="majorBidi" w:hAnsiTheme="majorBidi" w:cstheme="majorBidi"/>
          <w:snapToGrid w:val="0"/>
          <w:kern w:val="22"/>
          <w:szCs w:val="22"/>
        </w:rPr>
      </w:pPr>
      <w:r w:rsidRPr="007F2F5D">
        <w:rPr>
          <w:rFonts w:asciiTheme="majorBidi" w:hAnsiTheme="majorBidi" w:cstheme="majorBidi"/>
          <w:snapToGrid w:val="0"/>
          <w:kern w:val="22"/>
          <w:szCs w:val="22"/>
        </w:rPr>
        <w:t xml:space="preserve">(b) </w:t>
      </w:r>
      <w:r w:rsidRPr="007F2F5D">
        <w:rPr>
          <w:rFonts w:asciiTheme="majorBidi" w:hAnsiTheme="majorBidi" w:cstheme="majorBidi"/>
          <w:snapToGrid w:val="0"/>
          <w:kern w:val="22"/>
          <w:szCs w:val="22"/>
        </w:rPr>
        <w:tab/>
        <w:t>Support for the integration and mainstreaming of access and benefit-sharing on genetic</w:t>
      </w:r>
      <w:r w:rsidRPr="00853C76">
        <w:rPr>
          <w:rFonts w:asciiTheme="majorBidi" w:hAnsiTheme="majorBidi" w:cstheme="majorBidi"/>
          <w:snapToGrid w:val="0"/>
          <w:kern w:val="22"/>
          <w:szCs w:val="22"/>
        </w:rPr>
        <w:t xml:space="preserve"> resources and traditional knowledge associated with genetic resources in </w:t>
      </w:r>
      <w:r>
        <w:rPr>
          <w:rFonts w:asciiTheme="majorBidi" w:hAnsiTheme="majorBidi" w:cstheme="majorBidi"/>
          <w:snapToGrid w:val="0"/>
          <w:kern w:val="22"/>
          <w:szCs w:val="22"/>
        </w:rPr>
        <w:t xml:space="preserve">policies and activities related to </w:t>
      </w:r>
      <w:r w:rsidRPr="00853C76">
        <w:rPr>
          <w:rFonts w:asciiTheme="majorBidi" w:hAnsiTheme="majorBidi" w:cstheme="majorBidi"/>
          <w:snapToGrid w:val="0"/>
          <w:kern w:val="22"/>
          <w:szCs w:val="22"/>
        </w:rPr>
        <w:t>biodiversity and sustainable development;</w:t>
      </w:r>
    </w:p>
    <w:p w14:paraId="18444768" w14:textId="25184E4E" w:rsidR="00DA0273" w:rsidRPr="00BC046B" w:rsidRDefault="00DA0273" w:rsidP="00BC046B">
      <w:pPr>
        <w:spacing w:before="120" w:after="120"/>
        <w:ind w:firstLine="709"/>
        <w:rPr>
          <w:rFonts w:asciiTheme="majorBidi" w:hAnsiTheme="majorBidi" w:cstheme="majorBidi"/>
          <w:snapToGrid w:val="0"/>
          <w:kern w:val="22"/>
          <w:szCs w:val="22"/>
        </w:rPr>
      </w:pPr>
      <w:r w:rsidRPr="00853C76">
        <w:rPr>
          <w:rFonts w:asciiTheme="majorBidi" w:hAnsiTheme="majorBidi" w:cstheme="majorBidi"/>
          <w:snapToGrid w:val="0"/>
          <w:kern w:val="22"/>
          <w:szCs w:val="22"/>
        </w:rPr>
        <w:t xml:space="preserve">(c) </w:t>
      </w:r>
      <w:r w:rsidRPr="00853C76">
        <w:rPr>
          <w:rFonts w:asciiTheme="majorBidi" w:hAnsiTheme="majorBidi" w:cstheme="majorBidi"/>
          <w:snapToGrid w:val="0"/>
          <w:kern w:val="22"/>
          <w:szCs w:val="22"/>
        </w:rPr>
        <w:tab/>
        <w:t>Support for the development and sustainment of long-term institutional capacities for managing, monitoring and evaluating national access and benefit-sharing frameworks</w:t>
      </w:r>
      <w:r>
        <w:rPr>
          <w:rFonts w:asciiTheme="majorBidi" w:hAnsiTheme="majorBidi" w:cstheme="majorBidi"/>
          <w:snapToGrid w:val="0"/>
          <w:kern w:val="22"/>
          <w:szCs w:val="22"/>
        </w:rPr>
        <w:t>.</w:t>
      </w:r>
    </w:p>
    <w:p w14:paraId="17F1C5DD" w14:textId="77777777" w:rsidR="00DA0273" w:rsidRPr="00853C76" w:rsidRDefault="00DA0273" w:rsidP="00BC046B">
      <w:pPr>
        <w:keepNext/>
        <w:suppressLineNumbers/>
        <w:suppressAutoHyphens/>
        <w:adjustRightInd w:val="0"/>
        <w:snapToGrid w:val="0"/>
        <w:spacing w:before="120" w:after="120"/>
        <w:jc w:val="center"/>
        <w:rPr>
          <w:i/>
          <w:snapToGrid w:val="0"/>
          <w:kern w:val="22"/>
          <w:szCs w:val="22"/>
        </w:rPr>
      </w:pPr>
      <w:bookmarkStart w:id="208" w:name="_Toc118354996"/>
      <w:r w:rsidRPr="00853C76">
        <w:rPr>
          <w:i/>
          <w:snapToGrid w:val="0"/>
          <w:kern w:val="22"/>
          <w:szCs w:val="22"/>
        </w:rPr>
        <w:t>Annex II A</w:t>
      </w:r>
      <w:bookmarkEnd w:id="208"/>
    </w:p>
    <w:p w14:paraId="314077F8" w14:textId="50D1057D" w:rsidR="00DA0273" w:rsidRPr="0081037E" w:rsidRDefault="0081037E" w:rsidP="0081037E">
      <w:pPr>
        <w:pStyle w:val="BodyText"/>
        <w:jc w:val="center"/>
        <w:rPr>
          <w:b/>
          <w:bCs/>
        </w:rPr>
      </w:pPr>
      <w:bookmarkStart w:id="209" w:name="_Toc118354997"/>
      <w:r w:rsidRPr="0081037E">
        <w:rPr>
          <w:b/>
          <w:bCs/>
        </w:rPr>
        <w:t>CONSOLIDATED PREVIOUS GUIDANCE TO THE GLOBAL ENVIRONMENT FACILITY (2022, THIRD EDITION)</w:t>
      </w:r>
      <w:bookmarkEnd w:id="209"/>
    </w:p>
    <w:p w14:paraId="11471FEA" w14:textId="77777777" w:rsidR="00DA0273" w:rsidRPr="00853C76" w:rsidRDefault="00DA0273" w:rsidP="00FB5720">
      <w:pPr>
        <w:spacing w:after="120"/>
        <w:rPr>
          <w:snapToGrid w:val="0"/>
          <w:kern w:val="22"/>
          <w:szCs w:val="22"/>
        </w:rPr>
      </w:pPr>
      <w:bookmarkStart w:id="210" w:name="_Toc259455678"/>
      <w:bookmarkStart w:id="211" w:name="_Toc260384328"/>
      <w:bookmarkStart w:id="212" w:name="_Toc263089318"/>
      <w:r w:rsidRPr="00853C76">
        <w:rPr>
          <w:snapToGrid w:val="0"/>
          <w:kern w:val="22"/>
          <w:szCs w:val="22"/>
        </w:rPr>
        <w:t>1.</w:t>
      </w:r>
      <w:r w:rsidRPr="00853C76">
        <w:rPr>
          <w:snapToGrid w:val="0"/>
          <w:kern w:val="22"/>
          <w:szCs w:val="22"/>
        </w:rPr>
        <w:tab/>
        <w:t>Guidance to the Global Environment Facility should be incorporated into a single decision, including the identification of priority issues which will provide support for cross-cutting issues and capacity-building, especially for developing countries and countries with economies in transition, in a manner that: (a) is transparent; (b) allows participation; and (c) allows full consideration of its other decisions.</w:t>
      </w:r>
      <w:r w:rsidRPr="00610646">
        <w:rPr>
          <w:rStyle w:val="FootnoteReference"/>
        </w:rPr>
        <w:footnoteReference w:id="169"/>
      </w:r>
    </w:p>
    <w:p w14:paraId="70A01E09" w14:textId="77777777" w:rsidR="00DA0273" w:rsidRPr="00853C76" w:rsidRDefault="00DA0273" w:rsidP="00931166">
      <w:pPr>
        <w:spacing w:after="120"/>
        <w:rPr>
          <w:snapToGrid w:val="0"/>
          <w:kern w:val="22"/>
          <w:szCs w:val="22"/>
        </w:rPr>
      </w:pPr>
      <w:r w:rsidRPr="00853C76">
        <w:rPr>
          <w:snapToGrid w:val="0"/>
          <w:kern w:val="22"/>
          <w:szCs w:val="22"/>
        </w:rPr>
        <w:t>2.</w:t>
      </w:r>
      <w:r w:rsidRPr="00853C76">
        <w:rPr>
          <w:snapToGrid w:val="0"/>
          <w:kern w:val="22"/>
          <w:szCs w:val="22"/>
        </w:rPr>
        <w:tab/>
        <w:t>Guidance to the Global Environment Facility, for a specific replenishment period, consists of a consolidated list of programme priorities that defines what to be financed, and an outcome-oriented framework, taking into account the strategies and plans under the Convention and its Protocols and associated indicators. With a view to further streamlining guidance to the Global Environment Facility, proposed new guidance will be reviewed to avoid or reduce repetitiveness, to consolidate previous guidance where appropriate</w:t>
      </w:r>
      <w:r>
        <w:rPr>
          <w:snapToGrid w:val="0"/>
          <w:kern w:val="22"/>
          <w:szCs w:val="22"/>
        </w:rPr>
        <w:t>,</w:t>
      </w:r>
      <w:r w:rsidRPr="00853C76">
        <w:rPr>
          <w:snapToGrid w:val="0"/>
          <w:kern w:val="22"/>
          <w:szCs w:val="22"/>
        </w:rPr>
        <w:t xml:space="preserve"> and to prioritize guidance in the context of the goals and targets of the </w:t>
      </w:r>
      <w:r>
        <w:rPr>
          <w:kern w:val="22"/>
        </w:rPr>
        <w:t xml:space="preserve">Kunming-Montreal </w:t>
      </w:r>
      <w:r w:rsidRPr="00D71BEC">
        <w:rPr>
          <w:bCs/>
          <w:snapToGrid w:val="0"/>
          <w:kern w:val="22"/>
          <w:szCs w:val="22"/>
        </w:rPr>
        <w:t>Global Biodiversity Framework</w:t>
      </w:r>
      <w:r w:rsidRPr="00853C76">
        <w:rPr>
          <w:snapToGrid w:val="0"/>
          <w:kern w:val="22"/>
          <w:szCs w:val="22"/>
        </w:rPr>
        <w:t>.</w:t>
      </w:r>
      <w:r w:rsidRPr="00610646">
        <w:rPr>
          <w:rStyle w:val="FootnoteReference"/>
        </w:rPr>
        <w:footnoteReference w:id="170"/>
      </w:r>
    </w:p>
    <w:p w14:paraId="49AD2ACB" w14:textId="77777777" w:rsidR="00DA0273" w:rsidRPr="0081037E" w:rsidRDefault="00DA0273" w:rsidP="0081037E">
      <w:pPr>
        <w:keepNext/>
        <w:pBdr>
          <w:top w:val="nil"/>
          <w:left w:val="nil"/>
          <w:bottom w:val="nil"/>
          <w:right w:val="nil"/>
          <w:between w:val="nil"/>
        </w:pBdr>
        <w:spacing w:before="120" w:after="120"/>
        <w:jc w:val="center"/>
        <w:rPr>
          <w:b/>
          <w:bCs/>
          <w:snapToGrid w:val="0"/>
          <w:color w:val="000000"/>
          <w:kern w:val="22"/>
          <w:szCs w:val="22"/>
        </w:rPr>
      </w:pPr>
      <w:r w:rsidRPr="0081037E">
        <w:rPr>
          <w:b/>
          <w:bCs/>
          <w:snapToGrid w:val="0"/>
          <w:color w:val="000000"/>
          <w:kern w:val="22"/>
          <w:szCs w:val="22"/>
        </w:rPr>
        <w:t>A.</w:t>
      </w:r>
      <w:r w:rsidRPr="0081037E">
        <w:rPr>
          <w:b/>
          <w:bCs/>
          <w:snapToGrid w:val="0"/>
          <w:color w:val="000000"/>
          <w:kern w:val="22"/>
          <w:szCs w:val="22"/>
        </w:rPr>
        <w:tab/>
        <w:t>Policy and strategy</w:t>
      </w:r>
      <w:bookmarkEnd w:id="210"/>
      <w:bookmarkEnd w:id="211"/>
      <w:bookmarkEnd w:id="212"/>
    </w:p>
    <w:p w14:paraId="134F7A67" w14:textId="77777777" w:rsidR="00DA0273" w:rsidRPr="00853C76" w:rsidRDefault="00DA0273" w:rsidP="00FB5720">
      <w:pPr>
        <w:spacing w:after="120"/>
        <w:rPr>
          <w:snapToGrid w:val="0"/>
          <w:kern w:val="22"/>
          <w:szCs w:val="22"/>
        </w:rPr>
      </w:pPr>
      <w:r w:rsidRPr="00853C76">
        <w:rPr>
          <w:snapToGrid w:val="0"/>
          <w:kern w:val="22"/>
          <w:szCs w:val="22"/>
        </w:rPr>
        <w:t>3.</w:t>
      </w:r>
      <w:r w:rsidRPr="00853C76">
        <w:rPr>
          <w:snapToGrid w:val="0"/>
          <w:kern w:val="22"/>
          <w:szCs w:val="22"/>
        </w:rPr>
        <w:tab/>
        <w:t>Financial resources should be allocated to projects that fulfil the eligibility criteria and are endorsed and promoted by the Parties concerned. Projects should contribute to the extent possible to build cooperation at the subregional, regional and international levels in the implementation of the Convention. Projects should promote the utilization of local and regional expertise. The conservation of biological diversity and sustainable use of its components is one of the key elements in achieving sustainable development and therefore contributing to combating poverty.</w:t>
      </w:r>
      <w:r w:rsidRPr="00610646">
        <w:rPr>
          <w:rStyle w:val="FootnoteReference"/>
        </w:rPr>
        <w:footnoteReference w:id="171"/>
      </w:r>
    </w:p>
    <w:p w14:paraId="6B176DEC" w14:textId="77777777" w:rsidR="00DA0273" w:rsidRPr="0081037E" w:rsidRDefault="00DA0273" w:rsidP="008103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213" w:name="_Toc260384331"/>
      <w:bookmarkStart w:id="214" w:name="_Toc263089321"/>
      <w:r w:rsidRPr="0081037E">
        <w:rPr>
          <w:b/>
          <w:bCs/>
          <w:snapToGrid w:val="0"/>
          <w:color w:val="000000"/>
          <w:kern w:val="22"/>
          <w:szCs w:val="22"/>
        </w:rPr>
        <w:t>B.</w:t>
      </w:r>
      <w:r w:rsidRPr="0081037E">
        <w:rPr>
          <w:b/>
          <w:bCs/>
          <w:snapToGrid w:val="0"/>
          <w:color w:val="000000"/>
          <w:kern w:val="22"/>
          <w:szCs w:val="22"/>
        </w:rPr>
        <w:tab/>
        <w:t>Programme priorities</w:t>
      </w:r>
      <w:bookmarkEnd w:id="213"/>
      <w:bookmarkEnd w:id="214"/>
    </w:p>
    <w:p w14:paraId="7CE0F2E3" w14:textId="77777777" w:rsidR="00DA0273" w:rsidRPr="00853C76" w:rsidRDefault="00DA0273" w:rsidP="00FB5720">
      <w:pPr>
        <w:spacing w:after="120"/>
        <w:rPr>
          <w:snapToGrid w:val="0"/>
          <w:kern w:val="22"/>
          <w:szCs w:val="22"/>
        </w:rPr>
      </w:pPr>
      <w:r w:rsidRPr="00853C76">
        <w:rPr>
          <w:snapToGrid w:val="0"/>
          <w:kern w:val="22"/>
          <w:szCs w:val="22"/>
        </w:rPr>
        <w:t>4.</w:t>
      </w:r>
      <w:r w:rsidRPr="00853C76">
        <w:rPr>
          <w:snapToGrid w:val="0"/>
          <w:kern w:val="22"/>
          <w:szCs w:val="22"/>
        </w:rPr>
        <w:tab/>
        <w:t xml:space="preserve">The Global Environment Facility should provide financial resources to developing country Parties, taking into account the special needs of the least developed countries and small island developing States, </w:t>
      </w:r>
      <w:r w:rsidRPr="00853C76">
        <w:rPr>
          <w:snapToGrid w:val="0"/>
          <w:kern w:val="22"/>
          <w:szCs w:val="22"/>
        </w:rPr>
        <w:lastRenderedPageBreak/>
        <w:t>as well as Parties with economies in transition, for country-driven activities and programmes, consistent with national priorities and objectives and in accordance with the following programme priorities, recognizing that economic and social development and poverty eradication are the first and overriding priorities of developing countries, and taking fully into consideration all relevant decisions from the Conference of the Parties.</w:t>
      </w:r>
      <w:r w:rsidRPr="00610646">
        <w:rPr>
          <w:rStyle w:val="FootnoteReference"/>
        </w:rPr>
        <w:footnoteReference w:id="172"/>
      </w:r>
    </w:p>
    <w:p w14:paraId="5CD2EDEB"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 Objectives</w:t>
      </w:r>
    </w:p>
    <w:p w14:paraId="22FE292A" w14:textId="77777777" w:rsidR="00DA0273" w:rsidRPr="00853C76" w:rsidRDefault="00DA0273" w:rsidP="00FB5720">
      <w:pPr>
        <w:spacing w:after="120"/>
        <w:rPr>
          <w:snapToGrid w:val="0"/>
          <w:kern w:val="22"/>
          <w:szCs w:val="22"/>
        </w:rPr>
      </w:pPr>
      <w:r w:rsidRPr="00853C76">
        <w:rPr>
          <w:snapToGrid w:val="0"/>
          <w:kern w:val="22"/>
          <w:szCs w:val="22"/>
        </w:rPr>
        <w:t>5.</w:t>
      </w:r>
      <w:r w:rsidRPr="00853C76">
        <w:rPr>
          <w:snapToGrid w:val="0"/>
          <w:kern w:val="22"/>
          <w:szCs w:val="22"/>
        </w:rPr>
        <w:tab/>
        <w:t>Projects that utilize the ecosystem approach, without prejudice to differing national needs and priorities which may require the application of approaches such as single species conservation programmes.</w:t>
      </w:r>
      <w:r w:rsidRPr="00610646">
        <w:rPr>
          <w:rStyle w:val="FootnoteReference"/>
        </w:rPr>
        <w:footnoteReference w:id="173"/>
      </w:r>
    </w:p>
    <w:p w14:paraId="0B7DED1A" w14:textId="77777777" w:rsidR="00DA0273" w:rsidRPr="00853C76" w:rsidRDefault="00DA0273" w:rsidP="00FB5720">
      <w:pPr>
        <w:spacing w:before="120" w:after="120"/>
        <w:rPr>
          <w:b/>
          <w:bCs/>
          <w:iCs/>
          <w:snapToGrid w:val="0"/>
          <w:szCs w:val="22"/>
        </w:rPr>
      </w:pPr>
      <w:r w:rsidRPr="00853C76">
        <w:rPr>
          <w:b/>
          <w:bCs/>
          <w:iCs/>
          <w:snapToGrid w:val="0"/>
          <w:szCs w:val="22"/>
        </w:rPr>
        <w:t>Ecosystem restoration</w:t>
      </w:r>
    </w:p>
    <w:p w14:paraId="78FDC4CD" w14:textId="77777777" w:rsidR="00DA0273" w:rsidRPr="00853C76" w:rsidRDefault="00DA0273" w:rsidP="00FB5720">
      <w:pPr>
        <w:autoSpaceDE w:val="0"/>
        <w:autoSpaceDN w:val="0"/>
        <w:spacing w:before="120" w:after="120"/>
        <w:rPr>
          <w:snapToGrid w:val="0"/>
          <w:kern w:val="22"/>
          <w:szCs w:val="22"/>
        </w:rPr>
      </w:pPr>
      <w:r w:rsidRPr="00853C76">
        <w:rPr>
          <w:snapToGrid w:val="0"/>
          <w:kern w:val="22"/>
          <w:szCs w:val="22"/>
        </w:rPr>
        <w:t>6.</w:t>
      </w:r>
      <w:r w:rsidRPr="00853C76">
        <w:rPr>
          <w:snapToGrid w:val="0"/>
          <w:kern w:val="22"/>
          <w:szCs w:val="22"/>
        </w:rPr>
        <w:tab/>
      </w:r>
      <w:r w:rsidRPr="00787BEF">
        <w:rPr>
          <w:snapToGrid w:val="0"/>
          <w:kern w:val="22"/>
          <w:szCs w:val="22"/>
        </w:rPr>
        <w:t xml:space="preserve">Ecosystem restoration activities, </w:t>
      </w:r>
      <w:r w:rsidRPr="00787BEF">
        <w:rPr>
          <w:snapToGrid w:val="0"/>
          <w:color w:val="000000"/>
          <w:kern w:val="22"/>
          <w:szCs w:val="22"/>
        </w:rPr>
        <w:t>as</w:t>
      </w:r>
      <w:r w:rsidRPr="00787BEF">
        <w:rPr>
          <w:snapToGrid w:val="0"/>
          <w:kern w:val="22"/>
          <w:szCs w:val="22"/>
        </w:rPr>
        <w:t xml:space="preserve"> well as monitoring processes as appropriate, and integrated where relevant into programmes and initiatives for sustainable development, food</w:t>
      </w:r>
      <w:r w:rsidRPr="00853C76">
        <w:rPr>
          <w:snapToGrid w:val="0"/>
          <w:kern w:val="22"/>
          <w:szCs w:val="22"/>
        </w:rPr>
        <w:t>, water and energy security, job creation, climate change mitigation, adaptation, disaster risk reduction, and poverty eradication;</w:t>
      </w:r>
      <w:r w:rsidRPr="00610646">
        <w:rPr>
          <w:rStyle w:val="FootnoteReference"/>
          <w:rFonts w:eastAsiaTheme="majorEastAsia"/>
        </w:rPr>
        <w:footnoteReference w:id="174"/>
      </w:r>
    </w:p>
    <w:p w14:paraId="3A73DBD1" w14:textId="77777777" w:rsidR="00DA0273" w:rsidRPr="00853C76" w:rsidRDefault="00DA0273" w:rsidP="000E778E">
      <w:pPr>
        <w:keepNext/>
        <w:spacing w:before="120" w:after="120"/>
        <w:rPr>
          <w:b/>
          <w:bCs/>
          <w:iCs/>
          <w:snapToGrid w:val="0"/>
          <w:szCs w:val="22"/>
        </w:rPr>
      </w:pPr>
      <w:r w:rsidRPr="00853C76">
        <w:rPr>
          <w:b/>
          <w:bCs/>
          <w:iCs/>
          <w:snapToGrid w:val="0"/>
          <w:szCs w:val="22"/>
        </w:rPr>
        <w:t>Ecosystem resilience and climate change</w:t>
      </w:r>
    </w:p>
    <w:p w14:paraId="09C4B7C5" w14:textId="77777777" w:rsidR="00DA0273" w:rsidRPr="00853C76" w:rsidRDefault="00DA0273" w:rsidP="00FB5720">
      <w:pPr>
        <w:spacing w:after="120"/>
        <w:rPr>
          <w:snapToGrid w:val="0"/>
          <w:kern w:val="22"/>
          <w:szCs w:val="22"/>
        </w:rPr>
      </w:pPr>
      <w:r w:rsidRPr="00853C76">
        <w:rPr>
          <w:snapToGrid w:val="0"/>
          <w:kern w:val="22"/>
          <w:szCs w:val="22"/>
        </w:rPr>
        <w:t>7.</w:t>
      </w:r>
      <w:r w:rsidRPr="00853C76">
        <w:rPr>
          <w:snapToGrid w:val="0"/>
          <w:kern w:val="22"/>
          <w:szCs w:val="22"/>
        </w:rPr>
        <w:tab/>
        <w:t>Ecosystem resilience and climate change:</w:t>
      </w:r>
      <w:r w:rsidRPr="00610646">
        <w:rPr>
          <w:rStyle w:val="FootnoteReference"/>
        </w:rPr>
        <w:footnoteReference w:id="175"/>
      </w:r>
    </w:p>
    <w:p w14:paraId="5ACAC80C" w14:textId="77777777" w:rsidR="00DA0273" w:rsidRPr="00853C76" w:rsidRDefault="00DA0273" w:rsidP="00950BE4">
      <w:pPr>
        <w:numPr>
          <w:ilvl w:val="0"/>
          <w:numId w:val="56"/>
        </w:numPr>
        <w:spacing w:after="200"/>
        <w:ind w:left="0" w:firstLine="698"/>
        <w:rPr>
          <w:snapToGrid w:val="0"/>
          <w:kern w:val="22"/>
          <w:szCs w:val="22"/>
        </w:rPr>
      </w:pPr>
      <w:r w:rsidRPr="00853C76">
        <w:rPr>
          <w:snapToGrid w:val="0"/>
          <w:kern w:val="22"/>
          <w:szCs w:val="22"/>
        </w:rPr>
        <w:t>Capacity-building with the aim of increasing the effectiveness in addressing environmental issues through their commitments under the Convention on Biological Diversity, the United Nations Framework Convention on Climate Change, and the United Nations Convention to Combat Desertification, inter alia, by applying the ecosystem approach;</w:t>
      </w:r>
    </w:p>
    <w:p w14:paraId="30695924" w14:textId="77777777" w:rsidR="00DA0273" w:rsidRPr="00853C76" w:rsidRDefault="00DA0273" w:rsidP="00950BE4">
      <w:pPr>
        <w:numPr>
          <w:ilvl w:val="0"/>
          <w:numId w:val="56"/>
        </w:numPr>
        <w:spacing w:after="200"/>
        <w:ind w:left="0" w:firstLine="698"/>
        <w:rPr>
          <w:snapToGrid w:val="0"/>
          <w:kern w:val="22"/>
          <w:szCs w:val="22"/>
        </w:rPr>
      </w:pPr>
      <w:r w:rsidRPr="00853C76">
        <w:rPr>
          <w:snapToGrid w:val="0"/>
          <w:kern w:val="22"/>
          <w:szCs w:val="22"/>
        </w:rPr>
        <w:t>Developing synergy-oriented programmes to conserve and sustainably manage all ecosystems, such as forests, wetlands and marine environments, that also contribute to poverty eradication;</w:t>
      </w:r>
    </w:p>
    <w:p w14:paraId="548D7951" w14:textId="77777777" w:rsidR="00DA0273" w:rsidRPr="00853C76" w:rsidRDefault="00DA0273" w:rsidP="00950BE4">
      <w:pPr>
        <w:numPr>
          <w:ilvl w:val="0"/>
          <w:numId w:val="56"/>
        </w:numPr>
        <w:spacing w:after="200"/>
        <w:ind w:left="0" w:firstLine="698"/>
        <w:rPr>
          <w:snapToGrid w:val="0"/>
          <w:kern w:val="22"/>
          <w:szCs w:val="22"/>
        </w:rPr>
      </w:pPr>
      <w:r w:rsidRPr="00853C76">
        <w:rPr>
          <w:snapToGrid w:val="0"/>
          <w:kern w:val="22"/>
          <w:szCs w:val="22"/>
        </w:rPr>
        <w:t>Country-driven activities, including pilot projects, aimed at projects related to ecosystem conservation, restoration of degraded lands and marine environments and overall ecosystem integrity that take into account impacts of climate change.</w:t>
      </w:r>
    </w:p>
    <w:p w14:paraId="5273FDF4" w14:textId="77777777" w:rsidR="00DA0273" w:rsidRPr="00853C76" w:rsidRDefault="00DA0273" w:rsidP="000E778E">
      <w:pPr>
        <w:keepNext/>
        <w:spacing w:before="120" w:after="120"/>
        <w:rPr>
          <w:b/>
          <w:bCs/>
          <w:iCs/>
          <w:snapToGrid w:val="0"/>
          <w:szCs w:val="22"/>
        </w:rPr>
      </w:pPr>
      <w:r w:rsidRPr="00853C76">
        <w:rPr>
          <w:b/>
          <w:bCs/>
          <w:iCs/>
          <w:snapToGrid w:val="0"/>
          <w:szCs w:val="22"/>
        </w:rPr>
        <w:t>Marine and coastal ecosystems</w:t>
      </w:r>
    </w:p>
    <w:p w14:paraId="46E25833" w14:textId="77777777" w:rsidR="00DA0273" w:rsidRPr="00853C76" w:rsidRDefault="00DA0273" w:rsidP="00FB5720">
      <w:pPr>
        <w:spacing w:after="120"/>
        <w:rPr>
          <w:snapToGrid w:val="0"/>
          <w:kern w:val="22"/>
          <w:szCs w:val="22"/>
        </w:rPr>
      </w:pPr>
      <w:r w:rsidRPr="00853C76">
        <w:rPr>
          <w:snapToGrid w:val="0"/>
          <w:kern w:val="22"/>
          <w:szCs w:val="22"/>
        </w:rPr>
        <w:t>8.</w:t>
      </w:r>
      <w:r w:rsidRPr="00853C76">
        <w:rPr>
          <w:snapToGrid w:val="0"/>
          <w:kern w:val="22"/>
          <w:szCs w:val="22"/>
        </w:rPr>
        <w:tab/>
        <w:t>Marine and coastal ecosystems:</w:t>
      </w:r>
      <w:r w:rsidRPr="00610646">
        <w:rPr>
          <w:rStyle w:val="FootnoteReference"/>
        </w:rPr>
        <w:footnoteReference w:id="176"/>
      </w:r>
    </w:p>
    <w:p w14:paraId="745E7F34" w14:textId="77777777" w:rsidR="00DA0273" w:rsidRPr="00853C76" w:rsidRDefault="00DA0273" w:rsidP="00950BE4">
      <w:pPr>
        <w:numPr>
          <w:ilvl w:val="0"/>
          <w:numId w:val="55"/>
        </w:numPr>
        <w:spacing w:after="200"/>
        <w:ind w:left="0" w:firstLine="709"/>
        <w:rPr>
          <w:snapToGrid w:val="0"/>
          <w:kern w:val="22"/>
          <w:szCs w:val="22"/>
        </w:rPr>
      </w:pPr>
      <w:r w:rsidRPr="00853C76">
        <w:rPr>
          <w:snapToGrid w:val="0"/>
          <w:kern w:val="22"/>
          <w:szCs w:val="22"/>
        </w:rPr>
        <w:t>Projects that promote the conservation and sustainable use of marine and coastal biodiversity under threat, and implement the elaborated programme of work on marine and coastal biodiversity and the programme of work on island biodiversity;</w:t>
      </w:r>
    </w:p>
    <w:p w14:paraId="6842F68F" w14:textId="77777777" w:rsidR="00DA0273" w:rsidRPr="00853C76" w:rsidRDefault="00DA0273" w:rsidP="00950BE4">
      <w:pPr>
        <w:numPr>
          <w:ilvl w:val="0"/>
          <w:numId w:val="55"/>
        </w:numPr>
        <w:spacing w:after="200"/>
        <w:ind w:left="0" w:firstLine="709"/>
        <w:rPr>
          <w:snapToGrid w:val="0"/>
          <w:kern w:val="22"/>
          <w:szCs w:val="22"/>
        </w:rPr>
      </w:pPr>
      <w:r w:rsidRPr="00853C76">
        <w:rPr>
          <w:snapToGrid w:val="0"/>
          <w:kern w:val="22"/>
          <w:szCs w:val="22"/>
        </w:rPr>
        <w:t>Country-driven activities aimed at enhancing capabilities to address the impacts of mortality related to coral bleaching and physical degradation and destruction of coral reefs, including developing rapid response capabilities to implement measures to address coral-reef degradation, mortality and subsequent recovery;</w:t>
      </w:r>
    </w:p>
    <w:p w14:paraId="6BF9B1C6" w14:textId="77777777" w:rsidR="00DA0273" w:rsidRPr="00853C76" w:rsidRDefault="00DA0273" w:rsidP="00950BE4">
      <w:pPr>
        <w:numPr>
          <w:ilvl w:val="0"/>
          <w:numId w:val="55"/>
        </w:numPr>
        <w:spacing w:after="200"/>
        <w:ind w:left="0" w:firstLine="709"/>
        <w:rPr>
          <w:snapToGrid w:val="0"/>
          <w:kern w:val="22"/>
          <w:szCs w:val="22"/>
        </w:rPr>
      </w:pPr>
      <w:r w:rsidRPr="00853C76">
        <w:rPr>
          <w:snapToGrid w:val="0"/>
          <w:kern w:val="22"/>
          <w:szCs w:val="22"/>
        </w:rPr>
        <w:t>Implementation of training and capacity</w:t>
      </w:r>
      <w:r w:rsidRPr="00853C76">
        <w:rPr>
          <w:snapToGrid w:val="0"/>
          <w:kern w:val="22"/>
          <w:szCs w:val="22"/>
        </w:rPr>
        <w:noBreakHyphen/>
        <w:t>building and other activities related to ecologically or biologically significant marine areas (EBSAs);</w:t>
      </w:r>
    </w:p>
    <w:p w14:paraId="6525F35C" w14:textId="77777777" w:rsidR="00DA0273" w:rsidRPr="00853C76" w:rsidRDefault="00DA0273" w:rsidP="00950BE4">
      <w:pPr>
        <w:numPr>
          <w:ilvl w:val="0"/>
          <w:numId w:val="55"/>
        </w:numPr>
        <w:spacing w:after="200"/>
        <w:ind w:left="0" w:firstLine="709"/>
        <w:rPr>
          <w:snapToGrid w:val="0"/>
          <w:kern w:val="22"/>
          <w:szCs w:val="22"/>
        </w:rPr>
      </w:pPr>
      <w:r w:rsidRPr="00853C76">
        <w:rPr>
          <w:snapToGrid w:val="0"/>
          <w:kern w:val="22"/>
          <w:szCs w:val="22"/>
        </w:rPr>
        <w:lastRenderedPageBreak/>
        <w:t xml:space="preserve">Support for capacity-building in order to further accelerate existing efforts towards achieving the goals and targets of the </w:t>
      </w:r>
      <w:r>
        <w:rPr>
          <w:kern w:val="22"/>
        </w:rPr>
        <w:t xml:space="preserve">Kunming-Montreal </w:t>
      </w:r>
      <w:r w:rsidRPr="00D71BEC">
        <w:rPr>
          <w:bCs/>
          <w:snapToGrid w:val="0"/>
          <w:kern w:val="22"/>
          <w:szCs w:val="22"/>
        </w:rPr>
        <w:t>Global Biodiversity Framework</w:t>
      </w:r>
      <w:r>
        <w:rPr>
          <w:bCs/>
          <w:snapToGrid w:val="0"/>
          <w:kern w:val="22"/>
          <w:szCs w:val="22"/>
        </w:rPr>
        <w:t xml:space="preserve"> </w:t>
      </w:r>
      <w:r w:rsidRPr="00853C76">
        <w:rPr>
          <w:snapToGrid w:val="0"/>
          <w:kern w:val="22"/>
          <w:szCs w:val="22"/>
        </w:rPr>
        <w:t>in marine and coastal areas.</w:t>
      </w:r>
    </w:p>
    <w:p w14:paraId="7BF60921" w14:textId="77777777" w:rsidR="00DA0273" w:rsidRPr="00853C76" w:rsidRDefault="00DA0273" w:rsidP="000E778E">
      <w:pPr>
        <w:keepNext/>
        <w:spacing w:before="120" w:after="120"/>
        <w:rPr>
          <w:b/>
          <w:bCs/>
          <w:iCs/>
          <w:snapToGrid w:val="0"/>
          <w:szCs w:val="22"/>
        </w:rPr>
      </w:pPr>
      <w:r w:rsidRPr="00853C76">
        <w:rPr>
          <w:b/>
          <w:bCs/>
          <w:iCs/>
          <w:snapToGrid w:val="0"/>
          <w:szCs w:val="22"/>
        </w:rPr>
        <w:t>Forest biological diversity</w:t>
      </w:r>
    </w:p>
    <w:p w14:paraId="28C928BB" w14:textId="77777777" w:rsidR="00DA0273" w:rsidRPr="00853C76" w:rsidRDefault="00DA0273" w:rsidP="00FB5720">
      <w:pPr>
        <w:spacing w:after="120"/>
        <w:rPr>
          <w:snapToGrid w:val="0"/>
          <w:kern w:val="22"/>
          <w:szCs w:val="22"/>
        </w:rPr>
      </w:pPr>
      <w:r w:rsidRPr="00853C76">
        <w:rPr>
          <w:snapToGrid w:val="0"/>
          <w:kern w:val="22"/>
          <w:szCs w:val="22"/>
        </w:rPr>
        <w:t>9.</w:t>
      </w:r>
      <w:r w:rsidRPr="00853C76">
        <w:rPr>
          <w:snapToGrid w:val="0"/>
          <w:kern w:val="22"/>
          <w:szCs w:val="22"/>
        </w:rPr>
        <w:tab/>
        <w:t>Projects focusing on the identified national priorities, as well as regional and international actions that assist the implementation of the expanded work programme on forest biological diversity considering conservation of biological diversity, sustainable use of its components and fair and equitable sharing of the benefits from genetic resources in a balanced way, underscoring the importance of ensuring long-term conservation, sustainable use, and benefit-sharing of native forests, and the use of the clearing-house mechanism to include activities that contribute to halting and addressing deforestation, basic assessments and monitoring of forest biological diversity, including taxonomic studies and inventories, focusing on forest species, other important components of forest biological diversity and ecosystems under threat.</w:t>
      </w:r>
      <w:r w:rsidRPr="00610646">
        <w:rPr>
          <w:rStyle w:val="FootnoteReference"/>
        </w:rPr>
        <w:footnoteReference w:id="177"/>
      </w:r>
    </w:p>
    <w:p w14:paraId="482C5D95" w14:textId="77777777" w:rsidR="00DA0273" w:rsidRPr="00853C76" w:rsidRDefault="00DA0273" w:rsidP="000E778E">
      <w:pPr>
        <w:keepNext/>
        <w:spacing w:before="120" w:after="120"/>
        <w:rPr>
          <w:b/>
          <w:bCs/>
          <w:iCs/>
          <w:snapToGrid w:val="0"/>
          <w:szCs w:val="22"/>
        </w:rPr>
      </w:pPr>
      <w:r w:rsidRPr="00853C76">
        <w:rPr>
          <w:b/>
          <w:bCs/>
          <w:iCs/>
          <w:snapToGrid w:val="0"/>
          <w:szCs w:val="22"/>
        </w:rPr>
        <w:t>Inland water ecosystems</w:t>
      </w:r>
    </w:p>
    <w:p w14:paraId="690EFA30" w14:textId="77777777" w:rsidR="00DA0273" w:rsidRPr="00853C76" w:rsidRDefault="00DA0273" w:rsidP="00FB5720">
      <w:pPr>
        <w:spacing w:after="120"/>
        <w:rPr>
          <w:snapToGrid w:val="0"/>
          <w:kern w:val="22"/>
          <w:szCs w:val="22"/>
        </w:rPr>
      </w:pPr>
      <w:r w:rsidRPr="00853C76">
        <w:rPr>
          <w:snapToGrid w:val="0"/>
          <w:kern w:val="22"/>
          <w:szCs w:val="22"/>
        </w:rPr>
        <w:t>10.</w:t>
      </w:r>
      <w:r w:rsidRPr="00853C76">
        <w:rPr>
          <w:snapToGrid w:val="0"/>
          <w:kern w:val="22"/>
          <w:szCs w:val="22"/>
        </w:rPr>
        <w:tab/>
        <w:t>Projects that assist with the implementation of the programme of work on biological diversity of inland water ecosystems, and which help Parties to develop and implement national, sectoral and cross-sectoral plans for the conservation and sustainable use of biological diversity of inland water ecosystems, including comprehensive assessments of the biological diversity of inland waters, and capacity-building programmes for monitoring the implementation of the programme of work and the trends in inland water biological diversity and for information gathering and dissemination among riparian communities.</w:t>
      </w:r>
      <w:r w:rsidRPr="00610646">
        <w:rPr>
          <w:rStyle w:val="FootnoteReference"/>
        </w:rPr>
        <w:footnoteReference w:id="178"/>
      </w:r>
    </w:p>
    <w:p w14:paraId="7EA0F433" w14:textId="77777777" w:rsidR="00DA0273" w:rsidRPr="00853C76" w:rsidRDefault="00DA0273" w:rsidP="000E778E">
      <w:pPr>
        <w:keepNext/>
        <w:spacing w:before="120" w:after="120"/>
        <w:rPr>
          <w:b/>
          <w:bCs/>
          <w:iCs/>
          <w:snapToGrid w:val="0"/>
          <w:szCs w:val="22"/>
        </w:rPr>
      </w:pPr>
      <w:r w:rsidRPr="00853C76">
        <w:rPr>
          <w:b/>
          <w:bCs/>
          <w:iCs/>
          <w:snapToGrid w:val="0"/>
          <w:szCs w:val="22"/>
        </w:rPr>
        <w:t>Arid and semi-arid areas</w:t>
      </w:r>
    </w:p>
    <w:p w14:paraId="7FC556E3" w14:textId="77777777" w:rsidR="00DA0273" w:rsidRPr="00853C76" w:rsidRDefault="00DA0273" w:rsidP="00FB5720">
      <w:pPr>
        <w:spacing w:after="120"/>
        <w:rPr>
          <w:snapToGrid w:val="0"/>
          <w:kern w:val="22"/>
          <w:szCs w:val="22"/>
        </w:rPr>
      </w:pPr>
      <w:r w:rsidRPr="00853C76">
        <w:rPr>
          <w:snapToGrid w:val="0"/>
          <w:kern w:val="22"/>
          <w:szCs w:val="22"/>
        </w:rPr>
        <w:t>11.</w:t>
      </w:r>
      <w:r w:rsidRPr="00853C76">
        <w:rPr>
          <w:snapToGrid w:val="0"/>
          <w:kern w:val="22"/>
          <w:szCs w:val="22"/>
        </w:rPr>
        <w:tab/>
        <w:t>Projects that promote the conservation and sustainable use of biological diversity in arid and semi-arid areas, including the implementation of the Convention’s programme of work on biodiversity of dry and sub-humid lands.</w:t>
      </w:r>
      <w:r w:rsidRPr="00610646">
        <w:rPr>
          <w:rStyle w:val="FootnoteReference"/>
        </w:rPr>
        <w:footnoteReference w:id="179"/>
      </w:r>
    </w:p>
    <w:p w14:paraId="50A3472A" w14:textId="77777777" w:rsidR="00DA0273" w:rsidRPr="00853C76" w:rsidRDefault="00DA0273" w:rsidP="00FB5720">
      <w:pPr>
        <w:keepNext/>
        <w:spacing w:before="120" w:after="120"/>
        <w:rPr>
          <w:b/>
          <w:bCs/>
          <w:iCs/>
          <w:snapToGrid w:val="0"/>
          <w:szCs w:val="22"/>
        </w:rPr>
      </w:pPr>
      <w:r w:rsidRPr="00853C76">
        <w:rPr>
          <w:b/>
          <w:bCs/>
          <w:iCs/>
          <w:snapToGrid w:val="0"/>
          <w:szCs w:val="22"/>
        </w:rPr>
        <w:t>Mountainous areas</w:t>
      </w:r>
    </w:p>
    <w:p w14:paraId="22EDE41C" w14:textId="77777777" w:rsidR="00DA0273" w:rsidRPr="00853C76" w:rsidRDefault="00DA0273" w:rsidP="00FB5720">
      <w:pPr>
        <w:spacing w:after="120"/>
        <w:rPr>
          <w:snapToGrid w:val="0"/>
          <w:kern w:val="22"/>
          <w:szCs w:val="22"/>
        </w:rPr>
      </w:pPr>
      <w:r w:rsidRPr="00853C76">
        <w:rPr>
          <w:snapToGrid w:val="0"/>
          <w:kern w:val="22"/>
          <w:szCs w:val="22"/>
        </w:rPr>
        <w:t>12.</w:t>
      </w:r>
      <w:r w:rsidRPr="00853C76">
        <w:rPr>
          <w:snapToGrid w:val="0"/>
          <w:kern w:val="22"/>
          <w:szCs w:val="22"/>
        </w:rPr>
        <w:tab/>
        <w:t>Projects which promote the conservation and sustainable use of biological diversity in mountainous areas.</w:t>
      </w:r>
      <w:r w:rsidRPr="00610646">
        <w:rPr>
          <w:rStyle w:val="FootnoteReference"/>
        </w:rPr>
        <w:footnoteReference w:id="180"/>
      </w:r>
    </w:p>
    <w:p w14:paraId="1B54D573" w14:textId="77777777" w:rsidR="00DA0273" w:rsidRPr="00853C76" w:rsidRDefault="00DA0273" w:rsidP="00FB5720">
      <w:pPr>
        <w:keepNext/>
        <w:spacing w:before="120" w:after="120"/>
        <w:rPr>
          <w:b/>
          <w:bCs/>
          <w:iCs/>
          <w:snapToGrid w:val="0"/>
          <w:szCs w:val="22"/>
        </w:rPr>
      </w:pPr>
      <w:r w:rsidRPr="00853C76">
        <w:rPr>
          <w:b/>
          <w:bCs/>
          <w:iCs/>
          <w:snapToGrid w:val="0"/>
          <w:szCs w:val="22"/>
        </w:rPr>
        <w:t>Agricultural biodiversity</w:t>
      </w:r>
    </w:p>
    <w:p w14:paraId="208D5700" w14:textId="77777777" w:rsidR="00DA0273" w:rsidRPr="00853C76" w:rsidRDefault="00DA0273" w:rsidP="00FB5720">
      <w:pPr>
        <w:spacing w:after="120"/>
        <w:rPr>
          <w:snapToGrid w:val="0"/>
          <w:kern w:val="22"/>
          <w:szCs w:val="22"/>
        </w:rPr>
      </w:pPr>
      <w:r w:rsidRPr="00853C76">
        <w:rPr>
          <w:snapToGrid w:val="0"/>
          <w:kern w:val="22"/>
          <w:szCs w:val="22"/>
        </w:rPr>
        <w:t>13.</w:t>
      </w:r>
      <w:r w:rsidRPr="00853C76">
        <w:rPr>
          <w:snapToGrid w:val="0"/>
          <w:kern w:val="22"/>
          <w:szCs w:val="22"/>
        </w:rPr>
        <w:tab/>
        <w:t>Projects which implement the Convention’s programme of work on agricultural biodiversity.</w:t>
      </w:r>
      <w:r w:rsidRPr="00610646">
        <w:rPr>
          <w:rStyle w:val="FootnoteReference"/>
        </w:rPr>
        <w:footnoteReference w:id="181"/>
      </w:r>
    </w:p>
    <w:p w14:paraId="694F53A5" w14:textId="77777777" w:rsidR="00DA0273" w:rsidRPr="00853C76" w:rsidRDefault="00DA0273" w:rsidP="00FB5720">
      <w:pPr>
        <w:kinsoku w:val="0"/>
        <w:overflowPunct w:val="0"/>
        <w:autoSpaceDE w:val="0"/>
        <w:autoSpaceDN w:val="0"/>
        <w:spacing w:before="120" w:after="120"/>
        <w:rPr>
          <w:snapToGrid w:val="0"/>
          <w:kern w:val="22"/>
          <w:szCs w:val="22"/>
        </w:rPr>
      </w:pPr>
      <w:r w:rsidRPr="00853C76">
        <w:rPr>
          <w:snapToGrid w:val="0"/>
          <w:kern w:val="22"/>
          <w:szCs w:val="22"/>
        </w:rPr>
        <w:t>14.</w:t>
      </w:r>
      <w:r w:rsidRPr="00853C76">
        <w:rPr>
          <w:snapToGrid w:val="0"/>
          <w:kern w:val="22"/>
          <w:szCs w:val="22"/>
        </w:rPr>
        <w:tab/>
        <w:t>National and regional projects that address the implementation of the Plan of Action 2018</w:t>
      </w:r>
      <w:r>
        <w:rPr>
          <w:b/>
          <w:bCs/>
          <w:iCs/>
          <w:szCs w:val="22"/>
        </w:rPr>
        <w:t>–</w:t>
      </w:r>
      <w:r w:rsidRPr="00853C76">
        <w:rPr>
          <w:snapToGrid w:val="0"/>
          <w:kern w:val="22"/>
          <w:szCs w:val="22"/>
        </w:rPr>
        <w:t>2030 for the International Initiative for the Conservation and Sustainable Use of Pollinators;</w:t>
      </w:r>
      <w:r w:rsidRPr="00610646">
        <w:rPr>
          <w:rStyle w:val="FootnoteReference"/>
          <w:rFonts w:eastAsiaTheme="majorEastAsia"/>
        </w:rPr>
        <w:footnoteReference w:id="182"/>
      </w:r>
    </w:p>
    <w:p w14:paraId="2348C712"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5. Cooperation</w:t>
      </w:r>
    </w:p>
    <w:p w14:paraId="3A09C71F" w14:textId="77777777" w:rsidR="00DA0273" w:rsidRPr="00853C76" w:rsidRDefault="00DA0273" w:rsidP="00FB5720">
      <w:pPr>
        <w:spacing w:after="120"/>
        <w:rPr>
          <w:snapToGrid w:val="0"/>
          <w:kern w:val="22"/>
          <w:szCs w:val="22"/>
        </w:rPr>
      </w:pPr>
      <w:r w:rsidRPr="0008440E">
        <w:rPr>
          <w:snapToGrid w:val="0"/>
          <w:kern w:val="22"/>
          <w:szCs w:val="22"/>
        </w:rPr>
        <w:t>15.</w:t>
      </w:r>
      <w:r w:rsidRPr="0008440E">
        <w:rPr>
          <w:snapToGrid w:val="0"/>
          <w:kern w:val="22"/>
          <w:szCs w:val="22"/>
        </w:rPr>
        <w:tab/>
        <w:t>Consideration of establishing a South-South biodiversity cooperation trust fund for the implementation of the Kunming-Montreal Global Biodiversity Framework based on voluntary contributions.</w:t>
      </w:r>
      <w:r w:rsidRPr="00610646">
        <w:rPr>
          <w:rStyle w:val="FootnoteReference"/>
        </w:rPr>
        <w:footnoteReference w:id="183"/>
      </w:r>
    </w:p>
    <w:p w14:paraId="2428B1FA"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lastRenderedPageBreak/>
        <w:t>Article 6. General measures for conservation and sustainable use</w:t>
      </w:r>
    </w:p>
    <w:p w14:paraId="484082C3" w14:textId="77777777" w:rsidR="00DA0273" w:rsidRPr="00853C76" w:rsidRDefault="00DA0273" w:rsidP="00FB5720">
      <w:pPr>
        <w:keepNext/>
        <w:spacing w:before="120" w:after="120"/>
        <w:rPr>
          <w:b/>
          <w:bCs/>
          <w:iCs/>
          <w:snapToGrid w:val="0"/>
          <w:szCs w:val="22"/>
        </w:rPr>
      </w:pPr>
      <w:r w:rsidRPr="00853C76">
        <w:rPr>
          <w:b/>
          <w:bCs/>
          <w:iCs/>
          <w:snapToGrid w:val="0"/>
          <w:szCs w:val="22"/>
        </w:rPr>
        <w:t>National biodiversity strategies and action plans</w:t>
      </w:r>
    </w:p>
    <w:p w14:paraId="6DE53C7E" w14:textId="77777777" w:rsidR="00DA0273" w:rsidRPr="00853C76" w:rsidRDefault="00DA0273" w:rsidP="00FB5720">
      <w:pPr>
        <w:spacing w:after="120"/>
        <w:rPr>
          <w:snapToGrid w:val="0"/>
          <w:kern w:val="22"/>
          <w:szCs w:val="22"/>
        </w:rPr>
      </w:pPr>
      <w:r w:rsidRPr="00853C76">
        <w:rPr>
          <w:snapToGrid w:val="0"/>
          <w:kern w:val="22"/>
          <w:szCs w:val="22"/>
        </w:rPr>
        <w:t>16.</w:t>
      </w:r>
      <w:r w:rsidRPr="00853C76">
        <w:rPr>
          <w:snapToGrid w:val="0"/>
          <w:kern w:val="22"/>
          <w:szCs w:val="22"/>
        </w:rPr>
        <w:tab/>
        <w:t>Review, revision, updating, and implementation of national biodiversity strategies and action plans.</w:t>
      </w:r>
      <w:r w:rsidRPr="00610646">
        <w:rPr>
          <w:rStyle w:val="FootnoteReference"/>
        </w:rPr>
        <w:footnoteReference w:id="184"/>
      </w:r>
    </w:p>
    <w:p w14:paraId="0E4E9CD2" w14:textId="77777777" w:rsidR="00DA0273" w:rsidRPr="00853C76" w:rsidRDefault="00DA0273" w:rsidP="00FB5720">
      <w:pPr>
        <w:autoSpaceDE w:val="0"/>
        <w:autoSpaceDN w:val="0"/>
        <w:spacing w:before="120" w:after="120"/>
        <w:rPr>
          <w:snapToGrid w:val="0"/>
          <w:kern w:val="22"/>
          <w:szCs w:val="22"/>
        </w:rPr>
      </w:pPr>
      <w:r w:rsidRPr="00853C76">
        <w:rPr>
          <w:snapToGrid w:val="0"/>
          <w:kern w:val="22"/>
          <w:szCs w:val="22"/>
        </w:rPr>
        <w:t>17.</w:t>
      </w:r>
      <w:r w:rsidRPr="00853C76">
        <w:rPr>
          <w:snapToGrid w:val="0"/>
          <w:kern w:val="22"/>
          <w:szCs w:val="22"/>
        </w:rPr>
        <w:tab/>
        <w:t>Development and implementation of national biodiversity strategies and action plans, in line with the strategy and targets for resource mobilization agreed to in decision XII/3.</w:t>
      </w:r>
      <w:r w:rsidRPr="00610646">
        <w:rPr>
          <w:rStyle w:val="FootnoteReference"/>
          <w:rFonts w:eastAsiaTheme="majorEastAsia"/>
        </w:rPr>
        <w:footnoteReference w:id="185"/>
      </w:r>
    </w:p>
    <w:p w14:paraId="78E2DF41" w14:textId="77777777" w:rsidR="00DA0273" w:rsidRPr="00853C76" w:rsidRDefault="00DA0273" w:rsidP="00FB5720">
      <w:pPr>
        <w:keepNext/>
        <w:spacing w:before="120" w:after="120"/>
        <w:rPr>
          <w:b/>
          <w:bCs/>
          <w:iCs/>
          <w:snapToGrid w:val="0"/>
          <w:szCs w:val="22"/>
        </w:rPr>
      </w:pPr>
      <w:r w:rsidRPr="00853C76">
        <w:rPr>
          <w:b/>
          <w:bCs/>
          <w:iCs/>
          <w:snapToGrid w:val="0"/>
          <w:szCs w:val="22"/>
        </w:rPr>
        <w:t>Mainstreaming and integration</w:t>
      </w:r>
    </w:p>
    <w:p w14:paraId="329BBEF2" w14:textId="77777777" w:rsidR="00DA0273" w:rsidRPr="00853C76" w:rsidRDefault="00DA0273" w:rsidP="00FB5720">
      <w:pPr>
        <w:spacing w:after="120"/>
        <w:rPr>
          <w:snapToGrid w:val="0"/>
          <w:kern w:val="22"/>
          <w:szCs w:val="22"/>
        </w:rPr>
      </w:pPr>
      <w:r w:rsidRPr="00853C76">
        <w:rPr>
          <w:snapToGrid w:val="0"/>
          <w:kern w:val="22"/>
          <w:szCs w:val="22"/>
        </w:rPr>
        <w:t>18.</w:t>
      </w:r>
      <w:r w:rsidRPr="00853C76">
        <w:rPr>
          <w:snapToGrid w:val="0"/>
          <w:kern w:val="22"/>
          <w:szCs w:val="22"/>
        </w:rPr>
        <w:tab/>
        <w:t>Further development of approaches on the integration of biodiversity into poverty eradication and development processes.</w:t>
      </w:r>
      <w:r w:rsidRPr="00610646">
        <w:rPr>
          <w:rStyle w:val="FootnoteReference"/>
        </w:rPr>
        <w:footnoteReference w:id="186"/>
      </w:r>
    </w:p>
    <w:p w14:paraId="1BF906FC" w14:textId="77777777" w:rsidR="00DA0273" w:rsidRPr="00853C76" w:rsidRDefault="00DA0273" w:rsidP="00FB5720">
      <w:pPr>
        <w:autoSpaceDE w:val="0"/>
        <w:autoSpaceDN w:val="0"/>
        <w:spacing w:before="120" w:after="120"/>
        <w:rPr>
          <w:snapToGrid w:val="0"/>
          <w:kern w:val="22"/>
          <w:szCs w:val="22"/>
        </w:rPr>
      </w:pPr>
      <w:r w:rsidRPr="00853C76">
        <w:rPr>
          <w:iCs/>
          <w:snapToGrid w:val="0"/>
          <w:kern w:val="22"/>
          <w:szCs w:val="22"/>
        </w:rPr>
        <w:t>19.</w:t>
      </w:r>
      <w:r w:rsidRPr="00853C76">
        <w:rPr>
          <w:iCs/>
          <w:snapToGrid w:val="0"/>
          <w:kern w:val="22"/>
          <w:szCs w:val="22"/>
        </w:rPr>
        <w:tab/>
        <w:t>C</w:t>
      </w:r>
      <w:r w:rsidRPr="00853C76">
        <w:rPr>
          <w:snapToGrid w:val="0"/>
          <w:kern w:val="22"/>
          <w:szCs w:val="22"/>
        </w:rPr>
        <w:t>ountry-driven projects that address cross-sectoral mainstreaming.</w:t>
      </w:r>
      <w:r w:rsidRPr="00610646">
        <w:rPr>
          <w:rStyle w:val="FootnoteReference"/>
          <w:rFonts w:eastAsiaTheme="majorEastAsia"/>
        </w:rPr>
        <w:footnoteReference w:id="187"/>
      </w:r>
    </w:p>
    <w:p w14:paraId="3B8DA672"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7. Identification and monitoring</w:t>
      </w:r>
    </w:p>
    <w:p w14:paraId="44374665" w14:textId="77777777" w:rsidR="00DA0273" w:rsidRPr="00853C76" w:rsidRDefault="00DA0273" w:rsidP="00FB5720">
      <w:pPr>
        <w:spacing w:after="120"/>
        <w:rPr>
          <w:snapToGrid w:val="0"/>
          <w:kern w:val="22"/>
          <w:szCs w:val="22"/>
        </w:rPr>
      </w:pPr>
      <w:r w:rsidRPr="00853C76">
        <w:rPr>
          <w:snapToGrid w:val="0"/>
          <w:kern w:val="22"/>
          <w:szCs w:val="22"/>
        </w:rPr>
        <w:t>20.</w:t>
      </w:r>
      <w:r w:rsidRPr="00853C76">
        <w:rPr>
          <w:snapToGrid w:val="0"/>
          <w:kern w:val="22"/>
          <w:szCs w:val="22"/>
        </w:rPr>
        <w:tab/>
        <w:t>Development and implementation of national biodiversity targets, indicator framework, and monitoring programmes.</w:t>
      </w:r>
      <w:r w:rsidRPr="00610646">
        <w:rPr>
          <w:rStyle w:val="FootnoteReference"/>
        </w:rPr>
        <w:footnoteReference w:id="188"/>
      </w:r>
    </w:p>
    <w:p w14:paraId="17946883"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8. In situ conservation</w:t>
      </w:r>
    </w:p>
    <w:p w14:paraId="337A1892" w14:textId="77777777" w:rsidR="00DA0273" w:rsidRPr="00853C76" w:rsidRDefault="00DA0273" w:rsidP="00FB5720">
      <w:pPr>
        <w:keepNext/>
        <w:spacing w:before="120" w:after="120"/>
        <w:rPr>
          <w:b/>
          <w:bCs/>
          <w:iCs/>
          <w:snapToGrid w:val="0"/>
          <w:szCs w:val="22"/>
        </w:rPr>
      </w:pPr>
      <w:r w:rsidRPr="00853C76">
        <w:rPr>
          <w:b/>
          <w:bCs/>
          <w:iCs/>
          <w:snapToGrid w:val="0"/>
          <w:szCs w:val="22"/>
        </w:rPr>
        <w:t>Area-based conservation</w:t>
      </w:r>
    </w:p>
    <w:p w14:paraId="6E0D6E9B" w14:textId="77777777" w:rsidR="00DA0273" w:rsidRPr="00853C76" w:rsidRDefault="00DA0273" w:rsidP="00FB5720">
      <w:pPr>
        <w:spacing w:after="120"/>
        <w:rPr>
          <w:snapToGrid w:val="0"/>
          <w:kern w:val="22"/>
          <w:szCs w:val="22"/>
        </w:rPr>
      </w:pPr>
      <w:r w:rsidRPr="00853C76">
        <w:rPr>
          <w:snapToGrid w:val="0"/>
          <w:kern w:val="22"/>
          <w:szCs w:val="22"/>
        </w:rPr>
        <w:t>21.</w:t>
      </w:r>
      <w:r w:rsidRPr="00853C76">
        <w:rPr>
          <w:snapToGrid w:val="0"/>
          <w:kern w:val="22"/>
          <w:szCs w:val="22"/>
        </w:rPr>
        <w:tab/>
        <w:t>Community conserved areas, national and regional systems of protected areas, further development of the portfolio on protected areas towards comprehensive, representative and effectively managed protected area systems addressing system wide needs, country driven early action activities of the programme of work on protected areas to enable its full implementation, projects that demonstrate the role-protected areas play in addressing climate change, and address the long-term financial sustainability of protected areas, including through different mechanisms and instruments.</w:t>
      </w:r>
      <w:r w:rsidRPr="00610646">
        <w:rPr>
          <w:rStyle w:val="FootnoteReference"/>
        </w:rPr>
        <w:footnoteReference w:id="189"/>
      </w:r>
    </w:p>
    <w:p w14:paraId="14591AC9" w14:textId="77777777" w:rsidR="00DA0273" w:rsidRPr="00853C76" w:rsidRDefault="00DA0273" w:rsidP="00FB5720">
      <w:pPr>
        <w:keepNext/>
        <w:spacing w:before="120" w:after="120"/>
        <w:rPr>
          <w:b/>
          <w:bCs/>
          <w:iCs/>
          <w:snapToGrid w:val="0"/>
          <w:szCs w:val="22"/>
        </w:rPr>
      </w:pPr>
      <w:r w:rsidRPr="00853C76">
        <w:rPr>
          <w:b/>
          <w:bCs/>
          <w:iCs/>
          <w:snapToGrid w:val="0"/>
          <w:szCs w:val="22"/>
        </w:rPr>
        <w:t>Diversity of species and genetic resources</w:t>
      </w:r>
    </w:p>
    <w:p w14:paraId="396548D8" w14:textId="77777777" w:rsidR="00DA0273" w:rsidRPr="00853C76" w:rsidRDefault="00DA0273" w:rsidP="00FB5720">
      <w:pPr>
        <w:spacing w:after="120"/>
        <w:rPr>
          <w:snapToGrid w:val="0"/>
          <w:kern w:val="22"/>
          <w:szCs w:val="22"/>
        </w:rPr>
      </w:pPr>
      <w:r w:rsidRPr="00853C76">
        <w:rPr>
          <w:snapToGrid w:val="0"/>
          <w:kern w:val="22"/>
          <w:szCs w:val="22"/>
        </w:rPr>
        <w:t>22.</w:t>
      </w:r>
      <w:r w:rsidRPr="00853C76">
        <w:rPr>
          <w:snapToGrid w:val="0"/>
          <w:kern w:val="22"/>
          <w:szCs w:val="22"/>
        </w:rPr>
        <w:tab/>
        <w:t>Projects that promote the conservation and/or sustainable use of endemic species</w:t>
      </w:r>
      <w:r>
        <w:rPr>
          <w:snapToGrid w:val="0"/>
          <w:kern w:val="22"/>
          <w:szCs w:val="22"/>
          <w:vertAlign w:val="superscript"/>
        </w:rPr>
        <w:t>.</w:t>
      </w:r>
      <w:r w:rsidRPr="00610646">
        <w:rPr>
          <w:rStyle w:val="FootnoteReference"/>
        </w:rPr>
        <w:footnoteReference w:id="190"/>
      </w:r>
    </w:p>
    <w:p w14:paraId="7DA8464E" w14:textId="77777777" w:rsidR="00DA0273" w:rsidRPr="00853C76" w:rsidRDefault="00DA0273" w:rsidP="00FB5720">
      <w:pPr>
        <w:spacing w:after="120"/>
        <w:rPr>
          <w:snapToGrid w:val="0"/>
          <w:kern w:val="22"/>
          <w:szCs w:val="22"/>
        </w:rPr>
      </w:pPr>
      <w:r w:rsidRPr="00853C76">
        <w:rPr>
          <w:snapToGrid w:val="0"/>
          <w:kern w:val="22"/>
          <w:szCs w:val="22"/>
        </w:rPr>
        <w:t>23.</w:t>
      </w:r>
      <w:r w:rsidRPr="00853C76">
        <w:rPr>
          <w:snapToGrid w:val="0"/>
          <w:kern w:val="22"/>
          <w:szCs w:val="22"/>
        </w:rPr>
        <w:tab/>
        <w:t>Implementation of the Global Strategy for Plant Conservation 2011</w:t>
      </w:r>
      <w:r>
        <w:rPr>
          <w:b/>
          <w:bCs/>
          <w:iCs/>
          <w:szCs w:val="22"/>
        </w:rPr>
        <w:t>–</w:t>
      </w:r>
      <w:r w:rsidRPr="00853C76">
        <w:rPr>
          <w:snapToGrid w:val="0"/>
          <w:kern w:val="22"/>
          <w:szCs w:val="22"/>
        </w:rPr>
        <w:t>2020</w:t>
      </w:r>
      <w:r>
        <w:rPr>
          <w:snapToGrid w:val="0"/>
          <w:kern w:val="22"/>
          <w:szCs w:val="22"/>
        </w:rPr>
        <w:t>.</w:t>
      </w:r>
      <w:r w:rsidRPr="00610646">
        <w:rPr>
          <w:rStyle w:val="FootnoteReference"/>
        </w:rPr>
        <w:footnoteReference w:id="191"/>
      </w:r>
    </w:p>
    <w:p w14:paraId="3B9E153F" w14:textId="77777777" w:rsidR="00DA0273" w:rsidRPr="00853C76" w:rsidRDefault="00DA0273" w:rsidP="00FB5720">
      <w:pPr>
        <w:spacing w:after="120"/>
        <w:rPr>
          <w:snapToGrid w:val="0"/>
          <w:kern w:val="22"/>
          <w:szCs w:val="22"/>
        </w:rPr>
      </w:pPr>
      <w:r w:rsidRPr="00853C76">
        <w:rPr>
          <w:snapToGrid w:val="0"/>
          <w:kern w:val="22"/>
          <w:szCs w:val="22"/>
        </w:rPr>
        <w:t>24.</w:t>
      </w:r>
      <w:r w:rsidRPr="00853C76">
        <w:rPr>
          <w:snapToGrid w:val="0"/>
          <w:kern w:val="22"/>
          <w:szCs w:val="22"/>
        </w:rPr>
        <w:tab/>
        <w:t>National and regional taxonomic capacity-building activities for the Global Taxonomy Initiative, and project components that address taxonomic needs in the achievement of the Convention’s objectives</w:t>
      </w:r>
      <w:r>
        <w:rPr>
          <w:snapToGrid w:val="0"/>
          <w:kern w:val="22"/>
          <w:szCs w:val="22"/>
        </w:rPr>
        <w:t>.</w:t>
      </w:r>
      <w:r w:rsidRPr="00610646">
        <w:rPr>
          <w:rStyle w:val="FootnoteReference"/>
        </w:rPr>
        <w:footnoteReference w:id="192"/>
      </w:r>
    </w:p>
    <w:p w14:paraId="3AA1F5EB" w14:textId="77777777" w:rsidR="00DA0273" w:rsidRPr="00853C76" w:rsidRDefault="00DA0273" w:rsidP="00FB5720">
      <w:pPr>
        <w:keepNext/>
        <w:spacing w:before="120" w:after="120"/>
        <w:rPr>
          <w:b/>
          <w:bCs/>
          <w:iCs/>
          <w:snapToGrid w:val="0"/>
          <w:szCs w:val="22"/>
        </w:rPr>
      </w:pPr>
      <w:r w:rsidRPr="00853C76">
        <w:rPr>
          <w:b/>
          <w:bCs/>
          <w:iCs/>
          <w:snapToGrid w:val="0"/>
          <w:szCs w:val="22"/>
        </w:rPr>
        <w:t>Invasive alien species</w:t>
      </w:r>
    </w:p>
    <w:p w14:paraId="7263FEA7" w14:textId="77777777" w:rsidR="00DA0273" w:rsidRPr="00853C76" w:rsidRDefault="00DA0273" w:rsidP="00FB5720">
      <w:pPr>
        <w:spacing w:after="120"/>
        <w:rPr>
          <w:snapToGrid w:val="0"/>
          <w:kern w:val="22"/>
          <w:szCs w:val="22"/>
        </w:rPr>
      </w:pPr>
      <w:r w:rsidRPr="00853C76">
        <w:rPr>
          <w:snapToGrid w:val="0"/>
          <w:kern w:val="22"/>
          <w:szCs w:val="22"/>
        </w:rPr>
        <w:t>25.</w:t>
      </w:r>
      <w:r w:rsidRPr="00853C76">
        <w:rPr>
          <w:snapToGrid w:val="0"/>
          <w:kern w:val="22"/>
          <w:szCs w:val="22"/>
        </w:rPr>
        <w:tab/>
        <w:t>Projects that assist with the development and implementation, at national and regional levels, of invasive alien species strategies and action plans, in particular those strategies and actions related to geographically and evolutionarily isolated ecosystems, capacity-building to prevent or minimize the risks of the dispersal and establishment of invasive alien species, improved prevention, rapid response and management measures to address threats of alien invasive species.</w:t>
      </w:r>
      <w:r w:rsidRPr="00610646">
        <w:rPr>
          <w:rStyle w:val="FootnoteReference"/>
        </w:rPr>
        <w:footnoteReference w:id="193"/>
      </w:r>
    </w:p>
    <w:p w14:paraId="012D350C" w14:textId="77777777" w:rsidR="00DA0273" w:rsidRPr="00853C76" w:rsidRDefault="00DA0273" w:rsidP="00FB5720">
      <w:pPr>
        <w:keepNext/>
        <w:spacing w:before="120" w:after="120"/>
        <w:rPr>
          <w:b/>
          <w:bCs/>
          <w:iCs/>
          <w:snapToGrid w:val="0"/>
          <w:szCs w:val="22"/>
        </w:rPr>
      </w:pPr>
      <w:r w:rsidRPr="00853C76">
        <w:rPr>
          <w:b/>
          <w:bCs/>
          <w:iCs/>
          <w:snapToGrid w:val="0"/>
          <w:szCs w:val="22"/>
        </w:rPr>
        <w:lastRenderedPageBreak/>
        <w:t>Article 8(j) and related provisions</w:t>
      </w:r>
    </w:p>
    <w:p w14:paraId="3E58C1E2" w14:textId="77777777" w:rsidR="00DA0273" w:rsidRPr="00853C76" w:rsidRDefault="00DA0273" w:rsidP="00FB5720">
      <w:pPr>
        <w:spacing w:after="200"/>
        <w:rPr>
          <w:snapToGrid w:val="0"/>
          <w:kern w:val="22"/>
          <w:szCs w:val="22"/>
        </w:rPr>
      </w:pPr>
      <w:r w:rsidRPr="00853C76">
        <w:rPr>
          <w:rFonts w:eastAsia="SimSun"/>
          <w:snapToGrid w:val="0"/>
          <w:kern w:val="22"/>
          <w:szCs w:val="22"/>
          <w:lang w:eastAsia="zh-CN"/>
        </w:rPr>
        <w:t>26.</w:t>
      </w:r>
      <w:r w:rsidRPr="00853C76">
        <w:rPr>
          <w:rFonts w:eastAsia="SimSun"/>
          <w:snapToGrid w:val="0"/>
          <w:kern w:val="22"/>
          <w:szCs w:val="22"/>
          <w:lang w:eastAsia="zh-CN"/>
        </w:rPr>
        <w:tab/>
        <w:t>Inclusion of</w:t>
      </w:r>
      <w:r w:rsidRPr="00853C76">
        <w:rPr>
          <w:snapToGrid w:val="0"/>
          <w:kern w:val="22"/>
          <w:szCs w:val="22"/>
        </w:rPr>
        <w:t xml:space="preserve"> perspectives of indigenous peoples and local communities</w:t>
      </w:r>
      <w:r w:rsidRPr="00853C76">
        <w:rPr>
          <w:rFonts w:eastAsia="SimSun"/>
          <w:snapToGrid w:val="0"/>
          <w:kern w:val="22"/>
          <w:szCs w:val="22"/>
          <w:lang w:eastAsia="zh-CN"/>
        </w:rPr>
        <w:t>, particularly women,</w:t>
      </w:r>
      <w:r w:rsidRPr="00853C76">
        <w:rPr>
          <w:snapToGrid w:val="0"/>
          <w:kern w:val="22"/>
          <w:szCs w:val="22"/>
        </w:rPr>
        <w:t xml:space="preserve"> in the financing of biodiversity and ecosystem services</w:t>
      </w:r>
      <w:r w:rsidRPr="000E778E">
        <w:rPr>
          <w:snapToGrid w:val="0"/>
          <w:szCs w:val="22"/>
        </w:rPr>
        <w:t>.</w:t>
      </w:r>
      <w:r w:rsidRPr="00610646">
        <w:rPr>
          <w:rStyle w:val="FootnoteReference"/>
        </w:rPr>
        <w:footnoteReference w:id="194"/>
      </w:r>
    </w:p>
    <w:p w14:paraId="6E12E19A" w14:textId="77777777" w:rsidR="00DA0273" w:rsidRPr="00853C76" w:rsidRDefault="00DA0273" w:rsidP="00FB5720">
      <w:pPr>
        <w:spacing w:after="120"/>
        <w:rPr>
          <w:snapToGrid w:val="0"/>
          <w:kern w:val="22"/>
          <w:szCs w:val="22"/>
        </w:rPr>
      </w:pPr>
      <w:r w:rsidRPr="00853C76">
        <w:rPr>
          <w:snapToGrid w:val="0"/>
          <w:kern w:val="22"/>
          <w:szCs w:val="22"/>
          <w:lang w:eastAsia="zh-CN"/>
        </w:rPr>
        <w:t>27.</w:t>
      </w:r>
      <w:r w:rsidRPr="00853C76">
        <w:rPr>
          <w:snapToGrid w:val="0"/>
          <w:kern w:val="22"/>
          <w:szCs w:val="22"/>
          <w:lang w:eastAsia="zh-CN"/>
        </w:rPr>
        <w:tab/>
      </w:r>
      <w:r w:rsidRPr="00853C76">
        <w:rPr>
          <w:snapToGrid w:val="0"/>
          <w:kern w:val="22"/>
          <w:szCs w:val="22"/>
        </w:rPr>
        <w:t>Implementation of programmes and projects that strengthen the involvement of indigenous peoples and local communities, advance community conservation, promote customary sustainable use of biological diversity</w:t>
      </w:r>
      <w:r w:rsidRPr="000E778E">
        <w:rPr>
          <w:snapToGrid w:val="0"/>
          <w:szCs w:val="22"/>
        </w:rPr>
        <w:t>.</w:t>
      </w:r>
      <w:r w:rsidRPr="00610646">
        <w:rPr>
          <w:rStyle w:val="FootnoteReference"/>
        </w:rPr>
        <w:footnoteReference w:id="195"/>
      </w:r>
    </w:p>
    <w:p w14:paraId="6565C8D4" w14:textId="77777777" w:rsidR="00DA0273" w:rsidRPr="00853C76" w:rsidRDefault="00DA0273" w:rsidP="00FB5720">
      <w:pPr>
        <w:spacing w:after="120"/>
        <w:rPr>
          <w:snapToGrid w:val="0"/>
          <w:kern w:val="22"/>
          <w:szCs w:val="22"/>
        </w:rPr>
      </w:pPr>
      <w:r w:rsidRPr="00853C76">
        <w:rPr>
          <w:snapToGrid w:val="0"/>
          <w:kern w:val="22"/>
          <w:szCs w:val="22"/>
        </w:rPr>
        <w:t>28.</w:t>
      </w:r>
      <w:r w:rsidRPr="00853C76">
        <w:rPr>
          <w:snapToGrid w:val="0"/>
          <w:kern w:val="22"/>
          <w:szCs w:val="22"/>
        </w:rPr>
        <w:tab/>
        <w:t xml:space="preserve">Raising awareness and building capacity relevant to the implementation of the </w:t>
      </w:r>
      <w:r w:rsidRPr="00853C76">
        <w:rPr>
          <w:noProof/>
          <w:snapToGrid w:val="0"/>
          <w:kern w:val="22"/>
          <w:szCs w:val="22"/>
        </w:rPr>
        <w:t>Rutzolijirisaxik</w:t>
      </w:r>
      <w:r w:rsidRPr="00853C76">
        <w:rPr>
          <w:snapToGrid w:val="0"/>
          <w:color w:val="333333"/>
          <w:kern w:val="22"/>
          <w:szCs w:val="22"/>
        </w:rPr>
        <w:t xml:space="preserve"> Voluntary Guidelines for the Repatriation of Traditional Knowledge of Indigenous Peoples and Local Communities Relevant for the Conservation and Sustainable Use of Biological Diversity</w:t>
      </w:r>
      <w:r w:rsidRPr="00853C76">
        <w:rPr>
          <w:snapToGrid w:val="0"/>
          <w:kern w:val="22"/>
          <w:szCs w:val="22"/>
        </w:rPr>
        <w:t>, and developing, as appropriate, community protocols or processes for “prior and informed consent” or “free, prior and informed consent”, depending on national circumstances, or “approval and involvement”, and fair and equitable benefit-sharing.</w:t>
      </w:r>
      <w:r w:rsidRPr="00610646">
        <w:rPr>
          <w:rStyle w:val="FootnoteReference"/>
          <w:rFonts w:eastAsiaTheme="majorEastAsia"/>
        </w:rPr>
        <w:footnoteReference w:id="196"/>
      </w:r>
    </w:p>
    <w:p w14:paraId="0CD65ED6" w14:textId="77777777" w:rsidR="00DA0273" w:rsidRPr="00853C76" w:rsidRDefault="00DA0273" w:rsidP="00FB5720">
      <w:pPr>
        <w:kinsoku w:val="0"/>
        <w:overflowPunct w:val="0"/>
        <w:autoSpaceDE w:val="0"/>
        <w:autoSpaceDN w:val="0"/>
        <w:spacing w:before="120" w:after="120"/>
        <w:rPr>
          <w:snapToGrid w:val="0"/>
          <w:kern w:val="22"/>
          <w:szCs w:val="22"/>
        </w:rPr>
      </w:pPr>
      <w:r w:rsidRPr="00853C76">
        <w:rPr>
          <w:snapToGrid w:val="0"/>
          <w:kern w:val="22"/>
          <w:szCs w:val="22"/>
        </w:rPr>
        <w:t>29.</w:t>
      </w:r>
      <w:r w:rsidRPr="00853C76">
        <w:rPr>
          <w:snapToGrid w:val="0"/>
          <w:kern w:val="22"/>
          <w:szCs w:val="22"/>
        </w:rPr>
        <w:tab/>
        <w:t>Raising awareness and building capacity relevant to the implementation of the guidelines (Mo’otz Kuxtal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 and developing, as appropriate, community protocols or processes for “prior and informed consent”, “free, prior and informed consent” or “approval and involvement”, depending on national circumstances, for fair and equitable benefit-sharing.</w:t>
      </w:r>
      <w:r w:rsidRPr="00610646">
        <w:rPr>
          <w:rStyle w:val="FootnoteReference"/>
          <w:rFonts w:eastAsiaTheme="majorEastAsia"/>
        </w:rPr>
        <w:footnoteReference w:id="197"/>
      </w:r>
    </w:p>
    <w:p w14:paraId="1700E7D9" w14:textId="77777777" w:rsidR="00DA0273" w:rsidRPr="00853C76" w:rsidRDefault="00DA0273" w:rsidP="00FB5720">
      <w:pPr>
        <w:keepNext/>
        <w:tabs>
          <w:tab w:val="left" w:pos="567"/>
        </w:tabs>
        <w:spacing w:before="120" w:after="120"/>
        <w:jc w:val="center"/>
        <w:rPr>
          <w:i/>
          <w:iCs/>
          <w:snapToGrid w:val="0"/>
          <w:szCs w:val="22"/>
          <w:lang w:val="fr-FR"/>
        </w:rPr>
      </w:pPr>
      <w:r w:rsidRPr="00853C76">
        <w:rPr>
          <w:i/>
          <w:iCs/>
          <w:snapToGrid w:val="0"/>
          <w:szCs w:val="22"/>
          <w:lang w:val="fr-FR"/>
        </w:rPr>
        <w:t>Article 9. Ex situ conservation</w:t>
      </w:r>
    </w:p>
    <w:p w14:paraId="18CB3AD7"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lang w:val="fr-FR"/>
        </w:rPr>
        <w:t xml:space="preserve">Article 10. </w:t>
      </w:r>
      <w:r w:rsidRPr="00853C76">
        <w:rPr>
          <w:i/>
          <w:iCs/>
          <w:snapToGrid w:val="0"/>
          <w:szCs w:val="22"/>
        </w:rPr>
        <w:t>Sustainable use of components of biological diversity</w:t>
      </w:r>
    </w:p>
    <w:p w14:paraId="479CF6C3" w14:textId="77777777" w:rsidR="00DA0273" w:rsidRPr="00853C76" w:rsidRDefault="00DA0273" w:rsidP="00FB5720">
      <w:pPr>
        <w:spacing w:after="120"/>
        <w:rPr>
          <w:snapToGrid w:val="0"/>
          <w:kern w:val="22"/>
          <w:szCs w:val="22"/>
        </w:rPr>
      </w:pPr>
      <w:r w:rsidRPr="00853C76">
        <w:rPr>
          <w:snapToGrid w:val="0"/>
          <w:kern w:val="22"/>
          <w:szCs w:val="22"/>
        </w:rPr>
        <w:t>30.</w:t>
      </w:r>
      <w:r w:rsidRPr="00853C76">
        <w:rPr>
          <w:snapToGrid w:val="0"/>
          <w:kern w:val="22"/>
          <w:szCs w:val="22"/>
        </w:rPr>
        <w:tab/>
        <w:t>Implementation of the Addis Ababa Principles and Guidelines at the national level to ensure that the use of biological diversity is sustainable.</w:t>
      </w:r>
      <w:r w:rsidRPr="00610646">
        <w:rPr>
          <w:rStyle w:val="FootnoteReference"/>
        </w:rPr>
        <w:footnoteReference w:id="198"/>
      </w:r>
    </w:p>
    <w:p w14:paraId="6BB37A91" w14:textId="77777777" w:rsidR="00DA0273" w:rsidRPr="00853C76" w:rsidRDefault="00DA0273" w:rsidP="00FB5720">
      <w:pPr>
        <w:spacing w:after="120"/>
        <w:rPr>
          <w:snapToGrid w:val="0"/>
          <w:kern w:val="22"/>
          <w:szCs w:val="22"/>
        </w:rPr>
      </w:pPr>
      <w:r w:rsidRPr="00853C76">
        <w:rPr>
          <w:snapToGrid w:val="0"/>
          <w:kern w:val="22"/>
          <w:szCs w:val="22"/>
        </w:rPr>
        <w:t>31.</w:t>
      </w:r>
      <w:r w:rsidRPr="00853C76">
        <w:rPr>
          <w:snapToGrid w:val="0"/>
          <w:kern w:val="22"/>
          <w:szCs w:val="22"/>
        </w:rPr>
        <w:tab/>
        <w:t>Sustainable tourism that contributes to the objectives of the Convention.</w:t>
      </w:r>
      <w:r w:rsidRPr="00610646">
        <w:rPr>
          <w:rStyle w:val="FootnoteReference"/>
        </w:rPr>
        <w:footnoteReference w:id="199"/>
      </w:r>
    </w:p>
    <w:p w14:paraId="5F7203CF"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11. Incentive measures</w:t>
      </w:r>
    </w:p>
    <w:p w14:paraId="34091536" w14:textId="77777777" w:rsidR="00DA0273" w:rsidRPr="00853C76" w:rsidRDefault="00DA0273" w:rsidP="00FB5720">
      <w:pPr>
        <w:spacing w:after="120"/>
        <w:rPr>
          <w:snapToGrid w:val="0"/>
          <w:kern w:val="22"/>
          <w:szCs w:val="22"/>
        </w:rPr>
      </w:pPr>
      <w:r w:rsidRPr="00853C76">
        <w:rPr>
          <w:snapToGrid w:val="0"/>
          <w:kern w:val="22"/>
          <w:szCs w:val="22"/>
        </w:rPr>
        <w:t>32.</w:t>
      </w:r>
      <w:r w:rsidRPr="00853C76">
        <w:rPr>
          <w:snapToGrid w:val="0"/>
          <w:kern w:val="22"/>
          <w:szCs w:val="22"/>
        </w:rPr>
        <w:tab/>
        <w:t>Development and implementation of innovative measures, including in the field of economic incentives and those which assist developing countries to address situations where opportunity costs are incurred by local communities and to identify ways and means by which these can be compensated.</w:t>
      </w:r>
      <w:r w:rsidRPr="00610646">
        <w:rPr>
          <w:rStyle w:val="FootnoteReference"/>
        </w:rPr>
        <w:footnoteReference w:id="200"/>
      </w:r>
    </w:p>
    <w:p w14:paraId="5B7F7981"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12. Research and training</w:t>
      </w:r>
    </w:p>
    <w:p w14:paraId="44652F3E" w14:textId="77777777" w:rsidR="00DA0273" w:rsidRPr="00853C76" w:rsidRDefault="00DA0273" w:rsidP="00FB5720">
      <w:pPr>
        <w:spacing w:after="120"/>
        <w:rPr>
          <w:snapToGrid w:val="0"/>
          <w:kern w:val="22"/>
          <w:szCs w:val="22"/>
        </w:rPr>
      </w:pPr>
      <w:r w:rsidRPr="00853C76">
        <w:rPr>
          <w:snapToGrid w:val="0"/>
          <w:kern w:val="22"/>
          <w:szCs w:val="22"/>
        </w:rPr>
        <w:t>33.</w:t>
      </w:r>
      <w:r w:rsidRPr="00853C76">
        <w:rPr>
          <w:snapToGrid w:val="0"/>
          <w:kern w:val="22"/>
          <w:szCs w:val="22"/>
        </w:rPr>
        <w:tab/>
        <w:t xml:space="preserve">Project components addressing targeted research which contributes to </w:t>
      </w:r>
      <w:r>
        <w:rPr>
          <w:snapToGrid w:val="0"/>
          <w:kern w:val="22"/>
          <w:szCs w:val="22"/>
        </w:rPr>
        <w:t xml:space="preserve">the </w:t>
      </w:r>
      <w:r w:rsidRPr="00853C76">
        <w:rPr>
          <w:snapToGrid w:val="0"/>
          <w:kern w:val="22"/>
          <w:szCs w:val="22"/>
        </w:rPr>
        <w:t>conservation of biological diversity and sustainable use of its components including research for reversing current trends of biodiversity loss and species extinction.</w:t>
      </w:r>
      <w:r w:rsidRPr="00610646">
        <w:rPr>
          <w:rStyle w:val="FootnoteReference"/>
        </w:rPr>
        <w:footnoteReference w:id="201"/>
      </w:r>
    </w:p>
    <w:p w14:paraId="78D22E25"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lastRenderedPageBreak/>
        <w:t>Article 13. Public education and awareness</w:t>
      </w:r>
    </w:p>
    <w:p w14:paraId="32412C5E" w14:textId="77777777" w:rsidR="00DA0273" w:rsidRPr="00853C76" w:rsidRDefault="00DA0273" w:rsidP="00FB5720">
      <w:pPr>
        <w:spacing w:after="120"/>
        <w:rPr>
          <w:snapToGrid w:val="0"/>
          <w:kern w:val="22"/>
          <w:szCs w:val="22"/>
        </w:rPr>
      </w:pPr>
      <w:r w:rsidRPr="00853C76">
        <w:rPr>
          <w:snapToGrid w:val="0"/>
          <w:kern w:val="22"/>
          <w:szCs w:val="22"/>
        </w:rPr>
        <w:t>34.</w:t>
      </w:r>
      <w:r w:rsidRPr="00853C76">
        <w:rPr>
          <w:snapToGrid w:val="0"/>
          <w:kern w:val="22"/>
          <w:szCs w:val="22"/>
        </w:rPr>
        <w:tab/>
        <w:t>Development and implementation of communication, education and public awareness priority activities at the national and regional levels.</w:t>
      </w:r>
      <w:r w:rsidRPr="00610646">
        <w:rPr>
          <w:rStyle w:val="FootnoteReference"/>
        </w:rPr>
        <w:footnoteReference w:id="202"/>
      </w:r>
    </w:p>
    <w:p w14:paraId="094FCD6C"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14. Impact assessment and minimizing adverse impacts</w:t>
      </w:r>
    </w:p>
    <w:p w14:paraId="55884F59"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 xml:space="preserve">Article 15. Access to genetic resources (Nagoya Protocol on </w:t>
      </w:r>
      <w:r>
        <w:rPr>
          <w:i/>
          <w:iCs/>
          <w:snapToGrid w:val="0"/>
          <w:szCs w:val="22"/>
        </w:rPr>
        <w:t>A</w:t>
      </w:r>
      <w:r w:rsidRPr="00853C76">
        <w:rPr>
          <w:i/>
          <w:iCs/>
          <w:snapToGrid w:val="0"/>
          <w:szCs w:val="22"/>
        </w:rPr>
        <w:t xml:space="preserve">ccess and </w:t>
      </w:r>
      <w:r>
        <w:rPr>
          <w:i/>
          <w:iCs/>
          <w:snapToGrid w:val="0"/>
          <w:szCs w:val="22"/>
        </w:rPr>
        <w:t>B</w:t>
      </w:r>
      <w:r w:rsidRPr="00853C76">
        <w:rPr>
          <w:i/>
          <w:iCs/>
          <w:snapToGrid w:val="0"/>
          <w:szCs w:val="22"/>
        </w:rPr>
        <w:t>enefit</w:t>
      </w:r>
      <w:r>
        <w:rPr>
          <w:i/>
          <w:iCs/>
          <w:snapToGrid w:val="0"/>
          <w:szCs w:val="22"/>
        </w:rPr>
        <w:t>-s</w:t>
      </w:r>
      <w:r w:rsidRPr="00853C76">
        <w:rPr>
          <w:i/>
          <w:iCs/>
          <w:snapToGrid w:val="0"/>
          <w:szCs w:val="22"/>
        </w:rPr>
        <w:t>haring)</w:t>
      </w:r>
    </w:p>
    <w:p w14:paraId="6958DC20" w14:textId="77777777" w:rsidR="00DA0273" w:rsidRPr="00853C76" w:rsidRDefault="00DA0273" w:rsidP="00FB5720">
      <w:pPr>
        <w:keepNext/>
        <w:spacing w:before="120" w:after="120"/>
        <w:rPr>
          <w:b/>
          <w:bCs/>
          <w:iCs/>
          <w:snapToGrid w:val="0"/>
          <w:szCs w:val="22"/>
        </w:rPr>
      </w:pPr>
      <w:r w:rsidRPr="00853C76">
        <w:rPr>
          <w:b/>
          <w:bCs/>
          <w:iCs/>
          <w:snapToGrid w:val="0"/>
          <w:szCs w:val="22"/>
        </w:rPr>
        <w:t>National measures</w:t>
      </w:r>
    </w:p>
    <w:p w14:paraId="1101ACD1" w14:textId="77777777" w:rsidR="00DA0273" w:rsidRPr="00853C76" w:rsidRDefault="00DA0273" w:rsidP="000E778E">
      <w:pPr>
        <w:spacing w:after="200"/>
        <w:rPr>
          <w:snapToGrid w:val="0"/>
          <w:kern w:val="22"/>
          <w:szCs w:val="22"/>
        </w:rPr>
      </w:pPr>
      <w:r w:rsidRPr="00853C76">
        <w:rPr>
          <w:snapToGrid w:val="0"/>
          <w:kern w:val="22"/>
          <w:szCs w:val="22"/>
        </w:rPr>
        <w:t>35.</w:t>
      </w:r>
      <w:r w:rsidRPr="00853C76">
        <w:rPr>
          <w:snapToGrid w:val="0"/>
          <w:kern w:val="22"/>
          <w:szCs w:val="22"/>
        </w:rPr>
        <w:tab/>
        <w:t xml:space="preserve">Projects that support the ratification and implementation of the Nagoya Protocol on </w:t>
      </w:r>
      <w:r>
        <w:rPr>
          <w:snapToGrid w:val="0"/>
          <w:kern w:val="22"/>
          <w:szCs w:val="22"/>
        </w:rPr>
        <w:t>A</w:t>
      </w:r>
      <w:r w:rsidRPr="00853C76">
        <w:rPr>
          <w:snapToGrid w:val="0"/>
          <w:kern w:val="22"/>
          <w:szCs w:val="22"/>
        </w:rPr>
        <w:t xml:space="preserve">ccess and </w:t>
      </w:r>
      <w:r>
        <w:rPr>
          <w:snapToGrid w:val="0"/>
          <w:kern w:val="22"/>
          <w:szCs w:val="22"/>
        </w:rPr>
        <w:t>B</w:t>
      </w:r>
      <w:r w:rsidRPr="00853C76">
        <w:rPr>
          <w:snapToGrid w:val="0"/>
          <w:kern w:val="22"/>
          <w:szCs w:val="22"/>
        </w:rPr>
        <w:t>enefit</w:t>
      </w:r>
      <w:r>
        <w:rPr>
          <w:snapToGrid w:val="0"/>
          <w:kern w:val="22"/>
          <w:szCs w:val="22"/>
        </w:rPr>
        <w:t>-</w:t>
      </w:r>
      <w:r w:rsidRPr="00853C76">
        <w:rPr>
          <w:snapToGrid w:val="0"/>
          <w:kern w:val="22"/>
          <w:szCs w:val="22"/>
        </w:rPr>
        <w:t>sharing</w:t>
      </w:r>
      <w:r w:rsidRPr="00853C76">
        <w:rPr>
          <w:kern w:val="22"/>
          <w:szCs w:val="22"/>
        </w:rPr>
        <w:t>, including the establishment of legislative, administrative and policy measures on access and benefit-sharing and related institutional arrangements</w:t>
      </w:r>
      <w:r w:rsidRPr="000E778E">
        <w:rPr>
          <w:snapToGrid w:val="0"/>
          <w:kern w:val="22"/>
          <w:szCs w:val="22"/>
        </w:rPr>
        <w:t>.</w:t>
      </w:r>
      <w:r w:rsidRPr="00610646">
        <w:rPr>
          <w:rStyle w:val="FootnoteReference"/>
        </w:rPr>
        <w:footnoteReference w:id="203"/>
      </w:r>
    </w:p>
    <w:p w14:paraId="084F84B4" w14:textId="77777777" w:rsidR="00DA0273" w:rsidRPr="00853C76" w:rsidRDefault="00DA0273" w:rsidP="00FB5720">
      <w:pPr>
        <w:keepNext/>
        <w:spacing w:before="120" w:after="120"/>
        <w:rPr>
          <w:b/>
          <w:bCs/>
          <w:iCs/>
          <w:snapToGrid w:val="0"/>
          <w:szCs w:val="22"/>
        </w:rPr>
      </w:pPr>
      <w:r w:rsidRPr="00853C76">
        <w:rPr>
          <w:b/>
          <w:bCs/>
          <w:iCs/>
          <w:snapToGrid w:val="0"/>
          <w:szCs w:val="22"/>
        </w:rPr>
        <w:t>Capacity-building</w:t>
      </w:r>
    </w:p>
    <w:p w14:paraId="6DA29866" w14:textId="77777777" w:rsidR="00DA0273" w:rsidRPr="00853C76" w:rsidRDefault="00DA0273" w:rsidP="000E778E">
      <w:pPr>
        <w:spacing w:after="200"/>
        <w:rPr>
          <w:snapToGrid w:val="0"/>
          <w:kern w:val="22"/>
          <w:szCs w:val="22"/>
        </w:rPr>
      </w:pPr>
      <w:r w:rsidRPr="00853C76">
        <w:rPr>
          <w:snapToGrid w:val="0"/>
          <w:kern w:val="22"/>
          <w:szCs w:val="22"/>
        </w:rPr>
        <w:t>36.</w:t>
      </w:r>
      <w:r w:rsidRPr="00853C76">
        <w:rPr>
          <w:snapToGrid w:val="0"/>
          <w:kern w:val="22"/>
          <w:szCs w:val="22"/>
        </w:rPr>
        <w:tab/>
        <w:t>Building the capacity to develop, implement and enforce domestic legislative, administrative or policy measures on access and benefit-sharing, thereby contributing to the conservation of biological diversity and sustainable use of its components</w:t>
      </w:r>
      <w:r>
        <w:rPr>
          <w:snapToGrid w:val="0"/>
          <w:kern w:val="22"/>
          <w:szCs w:val="22"/>
        </w:rPr>
        <w:t>,</w:t>
      </w:r>
      <w:r w:rsidRPr="00610646">
        <w:rPr>
          <w:rStyle w:val="FootnoteReference"/>
        </w:rPr>
        <w:footnoteReference w:id="204"/>
      </w:r>
      <w:r w:rsidRPr="00853C76">
        <w:rPr>
          <w:snapToGrid w:val="0"/>
          <w:kern w:val="22"/>
          <w:szCs w:val="22"/>
        </w:rPr>
        <w:t xml:space="preserve"> including through:</w:t>
      </w:r>
    </w:p>
    <w:p w14:paraId="11BD64F0" w14:textId="77777777" w:rsidR="00DA0273" w:rsidRPr="00853C76" w:rsidRDefault="00DA0273" w:rsidP="00950BE4">
      <w:pPr>
        <w:numPr>
          <w:ilvl w:val="0"/>
          <w:numId w:val="57"/>
        </w:numPr>
        <w:tabs>
          <w:tab w:val="left" w:pos="1134"/>
        </w:tabs>
        <w:spacing w:before="120" w:after="120"/>
        <w:ind w:left="0" w:firstLine="709"/>
        <w:rPr>
          <w:snapToGrid w:val="0"/>
          <w:kern w:val="22"/>
          <w:szCs w:val="22"/>
        </w:rPr>
      </w:pPr>
      <w:r w:rsidRPr="00853C76">
        <w:rPr>
          <w:snapToGrid w:val="0"/>
          <w:kern w:val="22"/>
          <w:szCs w:val="22"/>
        </w:rPr>
        <w:t>Identification of relevant actors and existing legal and institutional expertise for the implementation of the Nagoya Protocol;</w:t>
      </w:r>
    </w:p>
    <w:p w14:paraId="29D6039C" w14:textId="77777777" w:rsidR="00DA0273" w:rsidRPr="00853C76" w:rsidRDefault="00DA0273" w:rsidP="00950BE4">
      <w:pPr>
        <w:numPr>
          <w:ilvl w:val="0"/>
          <w:numId w:val="57"/>
        </w:numPr>
        <w:tabs>
          <w:tab w:val="left" w:pos="1134"/>
        </w:tabs>
        <w:spacing w:before="120" w:after="120"/>
        <w:ind w:left="0" w:firstLine="709"/>
        <w:rPr>
          <w:snapToGrid w:val="0"/>
          <w:kern w:val="22"/>
          <w:szCs w:val="22"/>
        </w:rPr>
      </w:pPr>
      <w:r w:rsidRPr="00853C76">
        <w:rPr>
          <w:snapToGrid w:val="0"/>
          <w:kern w:val="22"/>
          <w:szCs w:val="22"/>
        </w:rPr>
        <w:t xml:space="preserve">Taking stock of domestic measures relevant to access and benefit-sharing in </w:t>
      </w:r>
      <w:r>
        <w:rPr>
          <w:snapToGrid w:val="0"/>
          <w:kern w:val="22"/>
          <w:szCs w:val="22"/>
        </w:rPr>
        <w:t xml:space="preserve">the </w:t>
      </w:r>
      <w:r w:rsidRPr="00853C76">
        <w:rPr>
          <w:snapToGrid w:val="0"/>
          <w:kern w:val="22"/>
          <w:szCs w:val="22"/>
        </w:rPr>
        <w:t>light of the obligations of the Nagoya Protocol;</w:t>
      </w:r>
    </w:p>
    <w:p w14:paraId="125548E6" w14:textId="77777777" w:rsidR="00DA0273" w:rsidRPr="00853C76" w:rsidRDefault="00DA0273" w:rsidP="00950BE4">
      <w:pPr>
        <w:numPr>
          <w:ilvl w:val="0"/>
          <w:numId w:val="57"/>
        </w:numPr>
        <w:tabs>
          <w:tab w:val="left" w:pos="1134"/>
        </w:tabs>
        <w:spacing w:before="120" w:after="120"/>
        <w:ind w:left="0" w:firstLine="709"/>
        <w:rPr>
          <w:snapToGrid w:val="0"/>
          <w:kern w:val="22"/>
          <w:szCs w:val="22"/>
        </w:rPr>
      </w:pPr>
      <w:r w:rsidRPr="00853C76">
        <w:rPr>
          <w:snapToGrid w:val="0"/>
          <w:kern w:val="22"/>
          <w:szCs w:val="22"/>
        </w:rPr>
        <w:t>Development and/or amendment of access and benefit-sharing legislative, administrative or policy measures with a view to implementing their obligations under the Nagoya Protocol;</w:t>
      </w:r>
    </w:p>
    <w:p w14:paraId="6CDA4F22" w14:textId="77777777" w:rsidR="00DA0273" w:rsidRPr="00853C76" w:rsidRDefault="00DA0273" w:rsidP="00950BE4">
      <w:pPr>
        <w:numPr>
          <w:ilvl w:val="0"/>
          <w:numId w:val="57"/>
        </w:numPr>
        <w:tabs>
          <w:tab w:val="left" w:pos="1134"/>
        </w:tabs>
        <w:spacing w:before="120" w:after="120"/>
        <w:ind w:left="0" w:firstLine="709"/>
        <w:rPr>
          <w:snapToGrid w:val="0"/>
          <w:kern w:val="22"/>
          <w:szCs w:val="22"/>
        </w:rPr>
      </w:pPr>
      <w:r w:rsidRPr="00853C76">
        <w:rPr>
          <w:snapToGrid w:val="0"/>
          <w:kern w:val="22"/>
          <w:szCs w:val="22"/>
        </w:rPr>
        <w:t>Establishment of ways to address transboundary issues;</w:t>
      </w:r>
    </w:p>
    <w:p w14:paraId="0E1AB24E" w14:textId="77777777" w:rsidR="00DA0273" w:rsidRPr="00853C76" w:rsidRDefault="00DA0273" w:rsidP="00950BE4">
      <w:pPr>
        <w:numPr>
          <w:ilvl w:val="0"/>
          <w:numId w:val="57"/>
        </w:numPr>
        <w:tabs>
          <w:tab w:val="left" w:pos="1134"/>
        </w:tabs>
        <w:spacing w:before="120" w:after="120"/>
        <w:ind w:left="0" w:firstLine="709"/>
        <w:rPr>
          <w:snapToGrid w:val="0"/>
          <w:kern w:val="22"/>
          <w:szCs w:val="22"/>
        </w:rPr>
      </w:pPr>
      <w:r w:rsidRPr="00853C76">
        <w:rPr>
          <w:snapToGrid w:val="0"/>
          <w:kern w:val="22"/>
          <w:szCs w:val="22"/>
        </w:rPr>
        <w:t>Establishment of institutional arrangements and administrative systems to provide access to genetic resources, ensure benefit-sharing, support compliance with prior informed consent and mutually agreed terms and monitor the utilization of genetic resources and traditional knowledge associated with genetic resources, including support for the establishment of check points;</w:t>
      </w:r>
    </w:p>
    <w:p w14:paraId="313723FE" w14:textId="77777777" w:rsidR="00DA0273" w:rsidRPr="00853C76" w:rsidRDefault="00DA0273" w:rsidP="000E778E">
      <w:pPr>
        <w:spacing w:after="200"/>
        <w:rPr>
          <w:snapToGrid w:val="0"/>
          <w:kern w:val="22"/>
          <w:szCs w:val="22"/>
        </w:rPr>
      </w:pPr>
      <w:r w:rsidRPr="00853C76">
        <w:rPr>
          <w:snapToGrid w:val="0"/>
          <w:kern w:val="22"/>
          <w:szCs w:val="22"/>
        </w:rPr>
        <w:t>37.</w:t>
      </w:r>
      <w:r w:rsidRPr="00853C76">
        <w:rPr>
          <w:snapToGrid w:val="0"/>
          <w:kern w:val="22"/>
          <w:szCs w:val="22"/>
        </w:rPr>
        <w:tab/>
        <w:t xml:space="preserve">Supporting the implementation of the strategic framework for capacity-building and development </w:t>
      </w:r>
      <w:r>
        <w:rPr>
          <w:snapToGrid w:val="0"/>
          <w:kern w:val="22"/>
          <w:szCs w:val="22"/>
        </w:rPr>
        <w:t>to</w:t>
      </w:r>
      <w:r w:rsidRPr="00853C76">
        <w:rPr>
          <w:snapToGrid w:val="0"/>
          <w:kern w:val="22"/>
          <w:szCs w:val="22"/>
        </w:rPr>
        <w:t xml:space="preserve"> support the </w:t>
      </w:r>
      <w:r>
        <w:rPr>
          <w:snapToGrid w:val="0"/>
          <w:kern w:val="22"/>
          <w:szCs w:val="22"/>
        </w:rPr>
        <w:t xml:space="preserve">effective </w:t>
      </w:r>
      <w:r w:rsidRPr="00853C76">
        <w:rPr>
          <w:snapToGrid w:val="0"/>
          <w:kern w:val="22"/>
          <w:szCs w:val="22"/>
        </w:rPr>
        <w:t xml:space="preserve">implementation of the </w:t>
      </w:r>
      <w:r>
        <w:rPr>
          <w:snapToGrid w:val="0"/>
          <w:kern w:val="22"/>
          <w:szCs w:val="22"/>
        </w:rPr>
        <w:t xml:space="preserve">Nagoya </w:t>
      </w:r>
      <w:r w:rsidRPr="00853C76">
        <w:rPr>
          <w:snapToGrid w:val="0"/>
          <w:kern w:val="22"/>
          <w:szCs w:val="22"/>
        </w:rPr>
        <w:t>Protocol.</w:t>
      </w:r>
      <w:r w:rsidRPr="00610646">
        <w:rPr>
          <w:rStyle w:val="FootnoteReference"/>
        </w:rPr>
        <w:footnoteReference w:id="205"/>
      </w:r>
    </w:p>
    <w:p w14:paraId="2B6C8FF5" w14:textId="77777777" w:rsidR="00DA0273" w:rsidRPr="00853C76" w:rsidRDefault="00DA0273" w:rsidP="00FB5720">
      <w:pPr>
        <w:keepNext/>
        <w:spacing w:before="120" w:after="120"/>
        <w:rPr>
          <w:b/>
          <w:bCs/>
          <w:iCs/>
          <w:snapToGrid w:val="0"/>
          <w:szCs w:val="22"/>
        </w:rPr>
      </w:pPr>
      <w:r w:rsidRPr="00853C76">
        <w:rPr>
          <w:b/>
          <w:bCs/>
          <w:iCs/>
          <w:snapToGrid w:val="0"/>
          <w:szCs w:val="22"/>
        </w:rPr>
        <w:t>Capacity on mutually agreed terms</w:t>
      </w:r>
    </w:p>
    <w:p w14:paraId="7EDB64D2" w14:textId="77777777" w:rsidR="00DA0273" w:rsidRPr="00853C76" w:rsidRDefault="00DA0273" w:rsidP="00FB5720">
      <w:pPr>
        <w:spacing w:after="200"/>
        <w:rPr>
          <w:snapToGrid w:val="0"/>
          <w:kern w:val="22"/>
          <w:szCs w:val="22"/>
        </w:rPr>
      </w:pPr>
      <w:r w:rsidRPr="00853C76">
        <w:rPr>
          <w:snapToGrid w:val="0"/>
          <w:kern w:val="22"/>
          <w:szCs w:val="22"/>
        </w:rPr>
        <w:t>38.</w:t>
      </w:r>
      <w:r w:rsidRPr="00853C76">
        <w:rPr>
          <w:snapToGrid w:val="0"/>
          <w:kern w:val="22"/>
          <w:szCs w:val="22"/>
        </w:rPr>
        <w:tab/>
        <w:t>Building the capacity to negotiate mutually agreed terms to promote equity and fairness in negotiations in the development and implementation of access and benefit-sharing agreements, including through enhanced understanding of business models and intellectual property rights</w:t>
      </w:r>
      <w:r w:rsidRPr="000E778E">
        <w:rPr>
          <w:snapToGrid w:val="0"/>
          <w:kern w:val="22"/>
          <w:szCs w:val="22"/>
        </w:rPr>
        <w:t>.</w:t>
      </w:r>
      <w:r w:rsidRPr="00610646">
        <w:rPr>
          <w:rStyle w:val="FootnoteReference"/>
        </w:rPr>
        <w:footnoteReference w:id="206"/>
      </w:r>
    </w:p>
    <w:p w14:paraId="41B7BCAF" w14:textId="77777777" w:rsidR="00DA0273" w:rsidRPr="00853C76" w:rsidRDefault="00DA0273" w:rsidP="00FB5720">
      <w:pPr>
        <w:keepNext/>
        <w:spacing w:before="120" w:after="120"/>
        <w:rPr>
          <w:b/>
          <w:bCs/>
          <w:iCs/>
          <w:snapToGrid w:val="0"/>
          <w:szCs w:val="22"/>
        </w:rPr>
      </w:pPr>
      <w:r w:rsidRPr="00853C76">
        <w:rPr>
          <w:b/>
          <w:bCs/>
          <w:iCs/>
          <w:snapToGrid w:val="0"/>
          <w:szCs w:val="22"/>
        </w:rPr>
        <w:t>Endogenous research capabilities</w:t>
      </w:r>
    </w:p>
    <w:p w14:paraId="40CE4ABC" w14:textId="77777777" w:rsidR="00DA0273" w:rsidRPr="00853C76" w:rsidRDefault="00DA0273" w:rsidP="001565A6">
      <w:pPr>
        <w:spacing w:after="200"/>
        <w:rPr>
          <w:snapToGrid w:val="0"/>
          <w:kern w:val="22"/>
          <w:szCs w:val="22"/>
        </w:rPr>
      </w:pPr>
      <w:r w:rsidRPr="00853C76">
        <w:rPr>
          <w:snapToGrid w:val="0"/>
          <w:kern w:val="22"/>
          <w:szCs w:val="22"/>
        </w:rPr>
        <w:t>39.</w:t>
      </w:r>
      <w:r w:rsidRPr="00853C76">
        <w:rPr>
          <w:snapToGrid w:val="0"/>
          <w:kern w:val="22"/>
          <w:szCs w:val="22"/>
        </w:rPr>
        <w:tab/>
        <w:t>Building the capacity of Parties to develop their endogenous research capabilities to add value to their own genetic resources and traditional knowledge associated with genetic resources through, inter alia, technology transfer; bioprospecting and associated research and taxonomic studies; and development and use of valuation methods</w:t>
      </w:r>
      <w:r w:rsidRPr="000E778E">
        <w:rPr>
          <w:snapToGrid w:val="0"/>
          <w:kern w:val="22"/>
          <w:szCs w:val="22"/>
        </w:rPr>
        <w:t>.</w:t>
      </w:r>
      <w:r w:rsidRPr="00610646">
        <w:rPr>
          <w:rStyle w:val="FootnoteReference"/>
        </w:rPr>
        <w:footnoteReference w:id="207"/>
      </w:r>
    </w:p>
    <w:p w14:paraId="4515DAE0" w14:textId="77777777" w:rsidR="00DA0273" w:rsidRPr="00853C76" w:rsidRDefault="00DA0273" w:rsidP="00FB5720">
      <w:pPr>
        <w:keepNext/>
        <w:spacing w:before="120" w:after="120"/>
        <w:rPr>
          <w:rFonts w:asciiTheme="majorBidi" w:hAnsiTheme="majorBidi" w:cstheme="majorBidi"/>
          <w:iCs/>
          <w:snapToGrid w:val="0"/>
          <w:szCs w:val="22"/>
        </w:rPr>
      </w:pPr>
      <w:r w:rsidRPr="00853C76">
        <w:rPr>
          <w:b/>
          <w:bCs/>
          <w:iCs/>
          <w:snapToGrid w:val="0"/>
          <w:szCs w:val="22"/>
        </w:rPr>
        <w:lastRenderedPageBreak/>
        <w:t>Indigenous peoples and local communities and relevant stakeholders</w:t>
      </w:r>
    </w:p>
    <w:p w14:paraId="727A8F46" w14:textId="77777777" w:rsidR="00DA0273" w:rsidRPr="00853C76" w:rsidRDefault="00DA0273" w:rsidP="00FB5720">
      <w:pPr>
        <w:spacing w:after="200"/>
        <w:rPr>
          <w:snapToGrid w:val="0"/>
          <w:kern w:val="22"/>
          <w:szCs w:val="22"/>
        </w:rPr>
      </w:pPr>
      <w:r w:rsidRPr="00853C76">
        <w:rPr>
          <w:snapToGrid w:val="0"/>
          <w:kern w:val="22"/>
          <w:szCs w:val="22"/>
        </w:rPr>
        <w:t>40.</w:t>
      </w:r>
      <w:r w:rsidRPr="00853C76">
        <w:rPr>
          <w:snapToGrid w:val="0"/>
          <w:kern w:val="22"/>
          <w:szCs w:val="22"/>
        </w:rPr>
        <w:tab/>
        <w:t>Addressing the capacity needs and priorities of indigenous</w:t>
      </w:r>
      <w:r w:rsidRPr="00853C76">
        <w:rPr>
          <w:snapToGrid w:val="0"/>
          <w:kern w:val="22"/>
          <w:szCs w:val="22"/>
          <w:lang w:eastAsia="zh-CN"/>
        </w:rPr>
        <w:t xml:space="preserve"> peoples</w:t>
      </w:r>
      <w:r w:rsidRPr="00853C76">
        <w:rPr>
          <w:snapToGrid w:val="0"/>
          <w:kern w:val="22"/>
          <w:szCs w:val="22"/>
        </w:rPr>
        <w:t xml:space="preserve"> and local communities and relevant stakeholders</w:t>
      </w:r>
      <w:r>
        <w:rPr>
          <w:snapToGrid w:val="0"/>
          <w:kern w:val="22"/>
          <w:szCs w:val="22"/>
        </w:rPr>
        <w:t>,</w:t>
      </w:r>
      <w:r w:rsidRPr="00853C76">
        <w:rPr>
          <w:snapToGrid w:val="0"/>
          <w:kern w:val="22"/>
          <w:szCs w:val="22"/>
        </w:rPr>
        <w:t xml:space="preserve"> in particular projects that would:</w:t>
      </w:r>
      <w:r w:rsidRPr="00853C76">
        <w:rPr>
          <w:snapToGrid w:val="0"/>
          <w:kern w:val="22"/>
          <w:szCs w:val="22"/>
          <w:vertAlign w:val="superscript"/>
        </w:rPr>
        <w:t xml:space="preserve"> </w:t>
      </w:r>
      <w:r w:rsidRPr="00610646">
        <w:rPr>
          <w:rStyle w:val="FootnoteReference"/>
        </w:rPr>
        <w:footnoteReference w:id="208"/>
      </w:r>
    </w:p>
    <w:p w14:paraId="62D770B5" w14:textId="77777777" w:rsidR="00DA0273" w:rsidRPr="00853C76" w:rsidRDefault="00DA0273" w:rsidP="00950BE4">
      <w:pPr>
        <w:numPr>
          <w:ilvl w:val="0"/>
          <w:numId w:val="58"/>
        </w:numPr>
        <w:spacing w:before="120" w:after="120"/>
        <w:ind w:left="0" w:firstLine="754"/>
        <w:rPr>
          <w:snapToGrid w:val="0"/>
          <w:kern w:val="22"/>
          <w:szCs w:val="22"/>
        </w:rPr>
      </w:pPr>
      <w:r w:rsidRPr="00853C76">
        <w:rPr>
          <w:snapToGrid w:val="0"/>
          <w:kern w:val="22"/>
          <w:szCs w:val="22"/>
        </w:rPr>
        <w:t>Encourage their participation in legal, policy and decision-making processes;</w:t>
      </w:r>
      <w:r>
        <w:rPr>
          <w:snapToGrid w:val="0"/>
          <w:kern w:val="22"/>
          <w:szCs w:val="22"/>
        </w:rPr>
        <w:t xml:space="preserve"> </w:t>
      </w:r>
    </w:p>
    <w:p w14:paraId="7E0BA864" w14:textId="77777777" w:rsidR="00DA0273" w:rsidRPr="00853C76" w:rsidRDefault="00DA0273" w:rsidP="00950BE4">
      <w:pPr>
        <w:numPr>
          <w:ilvl w:val="0"/>
          <w:numId w:val="58"/>
        </w:numPr>
        <w:spacing w:before="120" w:after="120"/>
        <w:ind w:left="0" w:firstLine="754"/>
        <w:rPr>
          <w:snapToGrid w:val="0"/>
          <w:kern w:val="22"/>
          <w:szCs w:val="22"/>
        </w:rPr>
      </w:pPr>
      <w:r w:rsidRPr="00853C76">
        <w:rPr>
          <w:snapToGrid w:val="0"/>
          <w:kern w:val="22"/>
          <w:szCs w:val="22"/>
        </w:rPr>
        <w:t>Assist in building their capacity related to genetic resources and traditional knowledge associated with genetic resources, such as through the development of community protocols, model contractual clauses and minimum requirements for mutually agreed terms to secure the fair and equitable sharing of benefits;</w:t>
      </w:r>
      <w:r>
        <w:rPr>
          <w:snapToGrid w:val="0"/>
          <w:kern w:val="22"/>
          <w:szCs w:val="22"/>
        </w:rPr>
        <w:t xml:space="preserve"> </w:t>
      </w:r>
    </w:p>
    <w:p w14:paraId="2047FFF6" w14:textId="77777777" w:rsidR="00DA0273" w:rsidRPr="00853C76" w:rsidRDefault="00DA0273" w:rsidP="00FB5720">
      <w:pPr>
        <w:keepNext/>
        <w:spacing w:before="120" w:after="120"/>
        <w:rPr>
          <w:b/>
          <w:bCs/>
          <w:iCs/>
          <w:snapToGrid w:val="0"/>
          <w:szCs w:val="22"/>
        </w:rPr>
      </w:pPr>
      <w:r w:rsidRPr="00853C76">
        <w:rPr>
          <w:b/>
          <w:bCs/>
          <w:iCs/>
          <w:snapToGrid w:val="0"/>
          <w:szCs w:val="22"/>
        </w:rPr>
        <w:t>Clearing-</w:t>
      </w:r>
      <w:r>
        <w:rPr>
          <w:b/>
          <w:bCs/>
          <w:iCs/>
          <w:snapToGrid w:val="0"/>
          <w:szCs w:val="22"/>
        </w:rPr>
        <w:t>h</w:t>
      </w:r>
      <w:r w:rsidRPr="00853C76">
        <w:rPr>
          <w:b/>
          <w:bCs/>
          <w:iCs/>
          <w:snapToGrid w:val="0"/>
          <w:szCs w:val="22"/>
        </w:rPr>
        <w:t>ouse</w:t>
      </w:r>
    </w:p>
    <w:p w14:paraId="05334F1F" w14:textId="77777777" w:rsidR="00DA0273" w:rsidRPr="00853C76" w:rsidRDefault="00DA0273" w:rsidP="00FB5720">
      <w:pPr>
        <w:spacing w:after="200"/>
        <w:rPr>
          <w:snapToGrid w:val="0"/>
          <w:kern w:val="22"/>
          <w:szCs w:val="22"/>
          <w:vertAlign w:val="superscript"/>
        </w:rPr>
      </w:pPr>
      <w:r w:rsidRPr="00853C76">
        <w:rPr>
          <w:snapToGrid w:val="0"/>
          <w:kern w:val="22"/>
          <w:szCs w:val="22"/>
        </w:rPr>
        <w:t>41.</w:t>
      </w:r>
      <w:r w:rsidRPr="00853C76">
        <w:rPr>
          <w:snapToGrid w:val="0"/>
          <w:kern w:val="22"/>
          <w:szCs w:val="22"/>
        </w:rPr>
        <w:tab/>
        <w:t>Enabling Parties to actively participate in the Access and Benefit-sharing Clearing-House and use the best available communication tools and Internet-based systems for access and benefit-sharing</w:t>
      </w:r>
      <w:r>
        <w:rPr>
          <w:snapToGrid w:val="0"/>
          <w:kern w:val="22"/>
          <w:szCs w:val="22"/>
        </w:rPr>
        <w:t>.</w:t>
      </w:r>
      <w:r w:rsidRPr="00610646">
        <w:rPr>
          <w:rStyle w:val="FootnoteReference"/>
        </w:rPr>
        <w:footnoteReference w:id="209"/>
      </w:r>
    </w:p>
    <w:p w14:paraId="1C6F0812" w14:textId="77777777" w:rsidR="00DA0273" w:rsidRPr="00853C76" w:rsidRDefault="00DA0273" w:rsidP="00FB5720">
      <w:pPr>
        <w:keepNext/>
        <w:spacing w:before="120" w:after="120"/>
        <w:rPr>
          <w:b/>
          <w:bCs/>
          <w:iCs/>
          <w:snapToGrid w:val="0"/>
          <w:szCs w:val="22"/>
        </w:rPr>
      </w:pPr>
      <w:r w:rsidRPr="00853C76">
        <w:rPr>
          <w:b/>
          <w:bCs/>
          <w:iCs/>
          <w:snapToGrid w:val="0"/>
          <w:szCs w:val="22"/>
        </w:rPr>
        <w:t>Awareness</w:t>
      </w:r>
      <w:r>
        <w:rPr>
          <w:b/>
          <w:bCs/>
          <w:iCs/>
          <w:snapToGrid w:val="0"/>
          <w:szCs w:val="22"/>
        </w:rPr>
        <w:t>-</w:t>
      </w:r>
      <w:r w:rsidRPr="00853C76">
        <w:rPr>
          <w:b/>
          <w:bCs/>
          <w:iCs/>
          <w:snapToGrid w:val="0"/>
          <w:szCs w:val="22"/>
        </w:rPr>
        <w:t>raising</w:t>
      </w:r>
    </w:p>
    <w:p w14:paraId="6A9549AB" w14:textId="77777777" w:rsidR="00DA0273" w:rsidRPr="00853C76" w:rsidRDefault="00DA0273" w:rsidP="00FB5720">
      <w:pPr>
        <w:spacing w:after="200"/>
        <w:rPr>
          <w:snapToGrid w:val="0"/>
          <w:kern w:val="22"/>
          <w:szCs w:val="22"/>
        </w:rPr>
      </w:pPr>
      <w:r w:rsidRPr="00853C76">
        <w:rPr>
          <w:snapToGrid w:val="0"/>
          <w:kern w:val="22"/>
          <w:szCs w:val="22"/>
        </w:rPr>
        <w:t>42.</w:t>
      </w:r>
      <w:r w:rsidRPr="00853C76">
        <w:rPr>
          <w:snapToGrid w:val="0"/>
          <w:kern w:val="22"/>
          <w:szCs w:val="22"/>
        </w:rPr>
        <w:tab/>
        <w:t>Raising</w:t>
      </w:r>
      <w:r>
        <w:rPr>
          <w:snapToGrid w:val="0"/>
          <w:kern w:val="22"/>
          <w:szCs w:val="22"/>
        </w:rPr>
        <w:t xml:space="preserve"> </w:t>
      </w:r>
      <w:r w:rsidRPr="00853C76">
        <w:rPr>
          <w:snapToGrid w:val="0"/>
          <w:kern w:val="22"/>
          <w:szCs w:val="22"/>
        </w:rPr>
        <w:t>awareness of the importance of genetic resources and traditional knowledge associated with genetic resources, and related access and benefit</w:t>
      </w:r>
      <w:r>
        <w:rPr>
          <w:snapToGrid w:val="0"/>
          <w:kern w:val="22"/>
          <w:szCs w:val="22"/>
        </w:rPr>
        <w:noBreakHyphen/>
      </w:r>
      <w:r w:rsidRPr="00853C76">
        <w:rPr>
          <w:snapToGrid w:val="0"/>
          <w:kern w:val="22"/>
          <w:szCs w:val="22"/>
        </w:rPr>
        <w:t>sharing issues, notably through the development and implementation of national and regional awareness-raising strategies</w:t>
      </w:r>
      <w:r>
        <w:rPr>
          <w:snapToGrid w:val="0"/>
          <w:kern w:val="22"/>
          <w:szCs w:val="22"/>
        </w:rPr>
        <w:t>.</w:t>
      </w:r>
      <w:r w:rsidRPr="00610646">
        <w:rPr>
          <w:rStyle w:val="FootnoteReference"/>
        </w:rPr>
        <w:footnoteReference w:id="210"/>
      </w:r>
    </w:p>
    <w:p w14:paraId="7C38089F" w14:textId="77777777" w:rsidR="00DA0273" w:rsidRPr="00853C76" w:rsidRDefault="00DA0273" w:rsidP="00FB5720">
      <w:pPr>
        <w:keepNext/>
        <w:spacing w:before="120" w:after="120"/>
        <w:rPr>
          <w:b/>
          <w:bCs/>
          <w:iCs/>
          <w:snapToGrid w:val="0"/>
          <w:szCs w:val="22"/>
        </w:rPr>
      </w:pPr>
      <w:r w:rsidRPr="00853C76">
        <w:rPr>
          <w:b/>
          <w:bCs/>
          <w:iCs/>
          <w:snapToGrid w:val="0"/>
          <w:szCs w:val="22"/>
        </w:rPr>
        <w:t>National reporting</w:t>
      </w:r>
    </w:p>
    <w:p w14:paraId="0CAFC45C" w14:textId="77777777" w:rsidR="00DA0273" w:rsidRPr="00853C76" w:rsidRDefault="00DA0273" w:rsidP="00FB5720">
      <w:pPr>
        <w:spacing w:after="200"/>
        <w:rPr>
          <w:snapToGrid w:val="0"/>
          <w:kern w:val="22"/>
          <w:szCs w:val="22"/>
        </w:rPr>
      </w:pPr>
      <w:r w:rsidRPr="00853C76">
        <w:rPr>
          <w:snapToGrid w:val="0"/>
          <w:kern w:val="22"/>
          <w:szCs w:val="22"/>
        </w:rPr>
        <w:t>43.</w:t>
      </w:r>
      <w:r w:rsidRPr="00853C76">
        <w:rPr>
          <w:snapToGrid w:val="0"/>
          <w:kern w:val="22"/>
          <w:szCs w:val="22"/>
        </w:rPr>
        <w:tab/>
        <w:t>Making financial resources available to assist Parties in preparing their national report</w:t>
      </w:r>
      <w:r>
        <w:rPr>
          <w:snapToGrid w:val="0"/>
          <w:kern w:val="22"/>
          <w:szCs w:val="22"/>
        </w:rPr>
        <w:t>.</w:t>
      </w:r>
      <w:r w:rsidRPr="00610646">
        <w:rPr>
          <w:rStyle w:val="FootnoteReference"/>
        </w:rPr>
        <w:footnoteReference w:id="211"/>
      </w:r>
    </w:p>
    <w:p w14:paraId="4E0CB5FE" w14:textId="77777777" w:rsidR="00DA0273" w:rsidRPr="00853C76" w:rsidRDefault="00DA0273" w:rsidP="00FB5720">
      <w:pPr>
        <w:keepNext/>
        <w:spacing w:before="120" w:after="120"/>
        <w:rPr>
          <w:b/>
          <w:bCs/>
          <w:iCs/>
          <w:snapToGrid w:val="0"/>
          <w:szCs w:val="22"/>
        </w:rPr>
      </w:pPr>
      <w:r w:rsidRPr="00853C76">
        <w:rPr>
          <w:b/>
          <w:bCs/>
          <w:iCs/>
          <w:snapToGrid w:val="0"/>
          <w:szCs w:val="22"/>
        </w:rPr>
        <w:t>Regional cooperation</w:t>
      </w:r>
    </w:p>
    <w:p w14:paraId="58AEB06E"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iCs/>
          <w:snapToGrid w:val="0"/>
          <w:kern w:val="22"/>
          <w:szCs w:val="22"/>
        </w:rPr>
      </w:pPr>
      <w:r w:rsidRPr="00853C76">
        <w:rPr>
          <w:snapToGrid w:val="0"/>
          <w:kern w:val="22"/>
          <w:szCs w:val="22"/>
        </w:rPr>
        <w:t>44.</w:t>
      </w:r>
      <w:r w:rsidRPr="00853C76">
        <w:rPr>
          <w:snapToGrid w:val="0"/>
          <w:kern w:val="22"/>
          <w:szCs w:val="22"/>
        </w:rPr>
        <w:tab/>
      </w:r>
      <w:r w:rsidRPr="00853C76">
        <w:rPr>
          <w:iCs/>
          <w:snapToGrid w:val="0"/>
          <w:kern w:val="22"/>
          <w:szCs w:val="22"/>
        </w:rPr>
        <w:t>Issues identified by the Parties to facilitate further implementation of the Nagoya Protocol on Access and Benefit-sharing, including regional cooperation projects, with a view to facilitating the sharing of experiences and lessons learned and harnessing associated synergies</w:t>
      </w:r>
      <w:r>
        <w:rPr>
          <w:iCs/>
          <w:snapToGrid w:val="0"/>
          <w:kern w:val="22"/>
          <w:szCs w:val="22"/>
        </w:rPr>
        <w:t>.</w:t>
      </w:r>
      <w:r w:rsidRPr="00610646">
        <w:rPr>
          <w:rStyle w:val="FootnoteReference"/>
          <w:rFonts w:eastAsiaTheme="majorEastAsia"/>
        </w:rPr>
        <w:footnoteReference w:id="212"/>
      </w:r>
    </w:p>
    <w:p w14:paraId="40B36006"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16. Access to and transfer of technology</w:t>
      </w:r>
    </w:p>
    <w:p w14:paraId="3C77ADE2" w14:textId="77777777" w:rsidR="00DA0273" w:rsidRPr="00853C76" w:rsidRDefault="00DA0273" w:rsidP="00FB5720">
      <w:pPr>
        <w:spacing w:after="120"/>
        <w:rPr>
          <w:snapToGrid w:val="0"/>
          <w:kern w:val="22"/>
          <w:szCs w:val="22"/>
        </w:rPr>
      </w:pPr>
      <w:r w:rsidRPr="00853C76">
        <w:rPr>
          <w:snapToGrid w:val="0"/>
          <w:kern w:val="22"/>
          <w:szCs w:val="22"/>
        </w:rPr>
        <w:t>45.</w:t>
      </w:r>
      <w:r w:rsidRPr="00853C76">
        <w:rPr>
          <w:snapToGrid w:val="0"/>
          <w:kern w:val="22"/>
          <w:szCs w:val="22"/>
        </w:rPr>
        <w:tab/>
        <w:t>Preparation of national assessments of technology needs for implementation of the Convention, and promotion of access to, transfer of and cooperation for joint development of technology</w:t>
      </w:r>
      <w:r>
        <w:rPr>
          <w:snapToGrid w:val="0"/>
          <w:kern w:val="22"/>
          <w:szCs w:val="22"/>
        </w:rPr>
        <w:t>.</w:t>
      </w:r>
      <w:r w:rsidRPr="00610646">
        <w:rPr>
          <w:rStyle w:val="FootnoteReference"/>
        </w:rPr>
        <w:footnoteReference w:id="213"/>
      </w:r>
    </w:p>
    <w:p w14:paraId="56567990"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17. Exchange of information</w:t>
      </w:r>
    </w:p>
    <w:p w14:paraId="4E826792"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18. Technical and scientific cooperation</w:t>
      </w:r>
    </w:p>
    <w:p w14:paraId="7BCC3935" w14:textId="77777777" w:rsidR="00DA0273" w:rsidRPr="00853C76" w:rsidRDefault="00DA0273" w:rsidP="00FB5720">
      <w:pPr>
        <w:spacing w:after="120"/>
        <w:rPr>
          <w:snapToGrid w:val="0"/>
          <w:kern w:val="22"/>
          <w:szCs w:val="22"/>
        </w:rPr>
      </w:pPr>
      <w:r w:rsidRPr="00853C76">
        <w:rPr>
          <w:snapToGrid w:val="0"/>
          <w:kern w:val="22"/>
          <w:szCs w:val="22"/>
        </w:rPr>
        <w:t>46.</w:t>
      </w:r>
      <w:r w:rsidRPr="00853C76">
        <w:rPr>
          <w:snapToGrid w:val="0"/>
          <w:kern w:val="22"/>
          <w:szCs w:val="22"/>
        </w:rPr>
        <w:tab/>
        <w:t>Strengthening biodiversity information systems such as, inter alia, training, technology and processes related to the collection, organization, maintenance and updating of data and information, and building capacity for the clearing-house mechanism, such as training in information and communication technologies and web content management that enable developing countries and countries with economies in transition to fully benefit from modern communication, including the Internet.</w:t>
      </w:r>
      <w:r w:rsidRPr="00610646">
        <w:rPr>
          <w:rStyle w:val="FootnoteReference"/>
        </w:rPr>
        <w:footnoteReference w:id="214"/>
      </w:r>
    </w:p>
    <w:p w14:paraId="64BB990B"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lastRenderedPageBreak/>
        <w:t>Article 19. Handling of biotechnology and distribution of its benefits (Cartagena Protocol on Biosafety)</w:t>
      </w:r>
    </w:p>
    <w:p w14:paraId="0BEB1F54" w14:textId="77777777" w:rsidR="00DA0273" w:rsidRPr="00853C76" w:rsidRDefault="00DA0273" w:rsidP="00FB5720">
      <w:pPr>
        <w:keepNext/>
        <w:spacing w:before="120" w:after="120"/>
        <w:rPr>
          <w:b/>
          <w:bCs/>
          <w:iCs/>
          <w:snapToGrid w:val="0"/>
          <w:szCs w:val="22"/>
        </w:rPr>
      </w:pPr>
      <w:r w:rsidRPr="00853C76">
        <w:rPr>
          <w:b/>
          <w:bCs/>
          <w:iCs/>
          <w:snapToGrid w:val="0"/>
          <w:szCs w:val="22"/>
        </w:rPr>
        <w:t>National measures</w:t>
      </w:r>
    </w:p>
    <w:p w14:paraId="561D954F" w14:textId="77777777" w:rsidR="00DA0273" w:rsidRPr="00853C76" w:rsidRDefault="00DA0273" w:rsidP="00FB5720">
      <w:pPr>
        <w:spacing w:after="120"/>
        <w:rPr>
          <w:snapToGrid w:val="0"/>
          <w:kern w:val="22"/>
          <w:szCs w:val="22"/>
        </w:rPr>
      </w:pPr>
      <w:r w:rsidRPr="00853C76">
        <w:rPr>
          <w:kern w:val="22"/>
          <w:szCs w:val="22"/>
        </w:rPr>
        <w:t>47.</w:t>
      </w:r>
      <w:r w:rsidRPr="00853C76">
        <w:rPr>
          <w:kern w:val="22"/>
          <w:szCs w:val="22"/>
        </w:rPr>
        <w:tab/>
      </w:r>
      <w:r w:rsidRPr="00853C76">
        <w:rPr>
          <w:snapToGrid w:val="0"/>
          <w:kern w:val="22"/>
          <w:szCs w:val="22"/>
        </w:rPr>
        <w:t>Ratification and implementation of the Cartagena Protocol on Biosafety and the Nagoya–Kuala Lumpur Supplementary Protocol on Liability and Redress</w:t>
      </w:r>
      <w:r>
        <w:rPr>
          <w:snapToGrid w:val="0"/>
          <w:kern w:val="22"/>
          <w:szCs w:val="22"/>
        </w:rPr>
        <w:t>.</w:t>
      </w:r>
      <w:r w:rsidRPr="00610646">
        <w:rPr>
          <w:rStyle w:val="FootnoteReference"/>
        </w:rPr>
        <w:footnoteReference w:id="215"/>
      </w:r>
    </w:p>
    <w:p w14:paraId="47F5CF97"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iCs/>
          <w:snapToGrid w:val="0"/>
          <w:spacing w:val="-4"/>
          <w:kern w:val="22"/>
          <w:szCs w:val="22"/>
        </w:rPr>
      </w:pPr>
      <w:r w:rsidRPr="00853C76">
        <w:rPr>
          <w:snapToGrid w:val="0"/>
          <w:kern w:val="22"/>
          <w:szCs w:val="22"/>
        </w:rPr>
        <w:t>48.</w:t>
      </w:r>
      <w:r w:rsidRPr="00853C76">
        <w:rPr>
          <w:snapToGrid w:val="0"/>
          <w:kern w:val="22"/>
          <w:szCs w:val="22"/>
        </w:rPr>
        <w:tab/>
        <w:t>Development and implementation of national biosafety frameworks, in particular biosafety legislation</w:t>
      </w:r>
      <w:r>
        <w:rPr>
          <w:snapToGrid w:val="0"/>
          <w:kern w:val="22"/>
          <w:szCs w:val="22"/>
        </w:rPr>
        <w:t>,</w:t>
      </w:r>
      <w:r w:rsidRPr="00610646">
        <w:rPr>
          <w:rStyle w:val="FootnoteReference"/>
        </w:rPr>
        <w:footnoteReference w:id="216"/>
      </w:r>
      <w:r w:rsidRPr="00853C76">
        <w:rPr>
          <w:snapToGrid w:val="0"/>
          <w:kern w:val="22"/>
          <w:szCs w:val="22"/>
        </w:rPr>
        <w:t xml:space="preserve"> including those Parties that have not yet done so in fully putting in place measures to implement the Protocol</w:t>
      </w:r>
      <w:r>
        <w:rPr>
          <w:snapToGrid w:val="0"/>
          <w:kern w:val="22"/>
          <w:szCs w:val="22"/>
        </w:rPr>
        <w:t>.</w:t>
      </w:r>
      <w:r w:rsidRPr="00610646">
        <w:rPr>
          <w:rStyle w:val="FootnoteReference"/>
          <w:rFonts w:eastAsiaTheme="majorEastAsia"/>
        </w:rPr>
        <w:footnoteReference w:id="217"/>
      </w:r>
    </w:p>
    <w:p w14:paraId="3C29B02B" w14:textId="77777777" w:rsidR="00DA0273" w:rsidRPr="00853C76" w:rsidRDefault="00DA0273" w:rsidP="00FB5720">
      <w:pPr>
        <w:keepNext/>
        <w:spacing w:before="120" w:after="120"/>
        <w:rPr>
          <w:b/>
          <w:bCs/>
          <w:iCs/>
          <w:snapToGrid w:val="0"/>
          <w:szCs w:val="22"/>
        </w:rPr>
      </w:pPr>
      <w:r w:rsidRPr="00853C76">
        <w:rPr>
          <w:b/>
          <w:bCs/>
          <w:iCs/>
          <w:snapToGrid w:val="0"/>
          <w:szCs w:val="22"/>
        </w:rPr>
        <w:t>Detection and identification</w:t>
      </w:r>
    </w:p>
    <w:p w14:paraId="26583312" w14:textId="77777777" w:rsidR="00DA0273" w:rsidRPr="00853C76" w:rsidRDefault="00DA0273" w:rsidP="00FB5720">
      <w:pPr>
        <w:spacing w:after="120"/>
        <w:rPr>
          <w:snapToGrid w:val="0"/>
          <w:kern w:val="22"/>
          <w:szCs w:val="22"/>
        </w:rPr>
      </w:pPr>
      <w:r w:rsidRPr="00853C76">
        <w:rPr>
          <w:snapToGrid w:val="0"/>
          <w:kern w:val="22"/>
          <w:szCs w:val="22"/>
        </w:rPr>
        <w:t>49.</w:t>
      </w:r>
      <w:r w:rsidRPr="00853C76">
        <w:rPr>
          <w:snapToGrid w:val="0"/>
          <w:kern w:val="22"/>
          <w:szCs w:val="22"/>
        </w:rPr>
        <w:tab/>
        <w:t>Identification of living modified organisms or specific traits that may have adverse effects on the conservation and sustainable use of biological diversity, taking also into account risks to human health</w:t>
      </w:r>
      <w:r>
        <w:rPr>
          <w:snapToGrid w:val="0"/>
          <w:kern w:val="22"/>
          <w:szCs w:val="22"/>
        </w:rPr>
        <w:t>.</w:t>
      </w:r>
      <w:r w:rsidRPr="00610646">
        <w:rPr>
          <w:rStyle w:val="FootnoteReference"/>
        </w:rPr>
        <w:footnoteReference w:id="218"/>
      </w:r>
    </w:p>
    <w:p w14:paraId="20ABFE07"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50.</w:t>
      </w:r>
      <w:r w:rsidRPr="00853C76">
        <w:rPr>
          <w:snapToGrid w:val="0"/>
          <w:kern w:val="22"/>
          <w:szCs w:val="22"/>
        </w:rPr>
        <w:tab/>
        <w:t>Regional projects to support the implementation of the Cartagena Protocol, including projects aimed at building scientific capacity that could support countries’ actions towards detection and identification of living modified organisms, and in particular that could promote North-South and South-South sharing of experiences and lessons</w:t>
      </w:r>
      <w:r>
        <w:rPr>
          <w:snapToGrid w:val="0"/>
          <w:kern w:val="22"/>
          <w:szCs w:val="22"/>
        </w:rPr>
        <w:t>.</w:t>
      </w:r>
      <w:r w:rsidRPr="00610646">
        <w:rPr>
          <w:rStyle w:val="FootnoteReference"/>
          <w:rFonts w:eastAsiaTheme="majorEastAsia"/>
        </w:rPr>
        <w:footnoteReference w:id="219"/>
      </w:r>
    </w:p>
    <w:p w14:paraId="013D06C6" w14:textId="77777777" w:rsidR="00DA0273" w:rsidRPr="00853C76" w:rsidRDefault="00DA0273" w:rsidP="00FB5720">
      <w:pPr>
        <w:keepNext/>
        <w:spacing w:before="120" w:after="120"/>
        <w:rPr>
          <w:b/>
          <w:bCs/>
          <w:iCs/>
          <w:snapToGrid w:val="0"/>
          <w:szCs w:val="22"/>
        </w:rPr>
      </w:pPr>
      <w:r w:rsidRPr="00853C76">
        <w:rPr>
          <w:b/>
          <w:bCs/>
          <w:iCs/>
          <w:snapToGrid w:val="0"/>
          <w:szCs w:val="22"/>
        </w:rPr>
        <w:t>Risk assessment and risk management</w:t>
      </w:r>
    </w:p>
    <w:p w14:paraId="1D397E33" w14:textId="77777777" w:rsidR="00DA0273" w:rsidRPr="00853C76" w:rsidRDefault="00DA0273" w:rsidP="00FB5720">
      <w:pPr>
        <w:spacing w:after="120"/>
        <w:rPr>
          <w:snapToGrid w:val="0"/>
          <w:kern w:val="22"/>
          <w:szCs w:val="22"/>
          <w:vertAlign w:val="superscript"/>
        </w:rPr>
      </w:pPr>
      <w:r w:rsidRPr="00853C76">
        <w:rPr>
          <w:snapToGrid w:val="0"/>
          <w:kern w:val="22"/>
          <w:szCs w:val="22"/>
        </w:rPr>
        <w:t>51.</w:t>
      </w:r>
      <w:r w:rsidRPr="00853C76">
        <w:rPr>
          <w:snapToGrid w:val="0"/>
          <w:kern w:val="22"/>
          <w:szCs w:val="22"/>
        </w:rPr>
        <w:tab/>
        <w:t>Building, consolidating and enhancing sustainable human resource capacity in risk assessment and risk management</w:t>
      </w:r>
      <w:r w:rsidRPr="00610646">
        <w:rPr>
          <w:rStyle w:val="FootnoteReference"/>
        </w:rPr>
        <w:footnoteReference w:id="220"/>
      </w:r>
      <w:r w:rsidRPr="00853C76">
        <w:rPr>
          <w:snapToGrid w:val="0"/>
          <w:kern w:val="22"/>
          <w:szCs w:val="22"/>
          <w:vertAlign w:val="superscript"/>
        </w:rPr>
        <w:t xml:space="preserve"> </w:t>
      </w:r>
      <w:r w:rsidRPr="00853C76">
        <w:rPr>
          <w:snapToGrid w:val="0"/>
          <w:kern w:val="22"/>
          <w:szCs w:val="22"/>
        </w:rPr>
        <w:t>in the context of country-driven projects</w:t>
      </w:r>
      <w:r>
        <w:rPr>
          <w:snapToGrid w:val="0"/>
          <w:kern w:val="22"/>
          <w:szCs w:val="22"/>
        </w:rPr>
        <w:t>.</w:t>
      </w:r>
      <w:r w:rsidRPr="00610646">
        <w:rPr>
          <w:rStyle w:val="FootnoteReference"/>
          <w:rFonts w:eastAsiaTheme="majorEastAsia"/>
        </w:rPr>
        <w:footnoteReference w:id="221"/>
      </w:r>
    </w:p>
    <w:p w14:paraId="41AB1AB5" w14:textId="77777777" w:rsidR="00DA0273" w:rsidRPr="00853C76" w:rsidRDefault="00DA0273" w:rsidP="00FB5720">
      <w:pPr>
        <w:keepNext/>
        <w:spacing w:before="120" w:after="120"/>
        <w:rPr>
          <w:b/>
          <w:bCs/>
          <w:iCs/>
          <w:snapToGrid w:val="0"/>
          <w:szCs w:val="22"/>
        </w:rPr>
      </w:pPr>
      <w:r w:rsidRPr="00853C76">
        <w:rPr>
          <w:b/>
          <w:bCs/>
          <w:iCs/>
          <w:snapToGrid w:val="0"/>
          <w:szCs w:val="22"/>
        </w:rPr>
        <w:t>Socioeconomic considerations</w:t>
      </w:r>
    </w:p>
    <w:p w14:paraId="5C2C6F3A" w14:textId="77777777" w:rsidR="00DA0273" w:rsidRPr="00853C76" w:rsidRDefault="00DA0273" w:rsidP="00FB5720">
      <w:pPr>
        <w:spacing w:after="120"/>
        <w:rPr>
          <w:snapToGrid w:val="0"/>
          <w:kern w:val="22"/>
          <w:szCs w:val="22"/>
        </w:rPr>
      </w:pPr>
      <w:r w:rsidRPr="00853C76">
        <w:rPr>
          <w:snapToGrid w:val="0"/>
          <w:kern w:val="22"/>
          <w:szCs w:val="22"/>
        </w:rPr>
        <w:t>52.</w:t>
      </w:r>
      <w:r w:rsidRPr="00853C76">
        <w:rPr>
          <w:snapToGrid w:val="0"/>
          <w:kern w:val="22"/>
          <w:szCs w:val="22"/>
        </w:rPr>
        <w:tab/>
        <w:t>Capacity-building on socioeconomic considerations</w:t>
      </w:r>
      <w:r>
        <w:rPr>
          <w:snapToGrid w:val="0"/>
          <w:kern w:val="22"/>
          <w:szCs w:val="22"/>
        </w:rPr>
        <w:t>.</w:t>
      </w:r>
      <w:r w:rsidRPr="00610646">
        <w:rPr>
          <w:rStyle w:val="FootnoteReference"/>
        </w:rPr>
        <w:footnoteReference w:id="222"/>
      </w:r>
    </w:p>
    <w:p w14:paraId="2FB3E195" w14:textId="77777777" w:rsidR="00DA0273" w:rsidRPr="00853C76" w:rsidRDefault="00DA0273" w:rsidP="00FB5720">
      <w:pPr>
        <w:keepNext/>
        <w:spacing w:before="120" w:after="120"/>
        <w:rPr>
          <w:b/>
          <w:bCs/>
          <w:iCs/>
          <w:snapToGrid w:val="0"/>
          <w:szCs w:val="22"/>
        </w:rPr>
      </w:pPr>
      <w:r w:rsidRPr="00853C76">
        <w:rPr>
          <w:b/>
          <w:bCs/>
          <w:iCs/>
          <w:snapToGrid w:val="0"/>
          <w:szCs w:val="22"/>
        </w:rPr>
        <w:t>Unintentional release</w:t>
      </w:r>
    </w:p>
    <w:p w14:paraId="22E1DEFB" w14:textId="77777777" w:rsidR="00DA0273" w:rsidRPr="00853C76" w:rsidRDefault="00DA0273" w:rsidP="00FB5720">
      <w:pPr>
        <w:spacing w:after="120"/>
        <w:rPr>
          <w:snapToGrid w:val="0"/>
          <w:kern w:val="22"/>
          <w:szCs w:val="22"/>
        </w:rPr>
      </w:pPr>
      <w:r w:rsidRPr="00853C76">
        <w:rPr>
          <w:snapToGrid w:val="0"/>
          <w:kern w:val="22"/>
          <w:szCs w:val="22"/>
        </w:rPr>
        <w:t>53.</w:t>
      </w:r>
      <w:r w:rsidRPr="00853C76">
        <w:rPr>
          <w:snapToGrid w:val="0"/>
          <w:kern w:val="22"/>
          <w:szCs w:val="22"/>
        </w:rPr>
        <w:tab/>
        <w:t>Capacity-building to take appropriate measures in cases of unintentional release of living modified organisms</w:t>
      </w:r>
      <w:r>
        <w:rPr>
          <w:snapToGrid w:val="0"/>
          <w:kern w:val="22"/>
          <w:szCs w:val="22"/>
        </w:rPr>
        <w:t>.</w:t>
      </w:r>
      <w:r w:rsidRPr="00610646">
        <w:rPr>
          <w:rStyle w:val="FootnoteReference"/>
        </w:rPr>
        <w:footnoteReference w:id="223"/>
      </w:r>
    </w:p>
    <w:p w14:paraId="4E341275" w14:textId="77777777" w:rsidR="00DA0273" w:rsidRPr="00853C76" w:rsidRDefault="00DA0273" w:rsidP="00FB5720">
      <w:pPr>
        <w:keepNext/>
        <w:spacing w:before="120" w:after="120"/>
        <w:rPr>
          <w:b/>
          <w:bCs/>
          <w:iCs/>
          <w:snapToGrid w:val="0"/>
          <w:szCs w:val="22"/>
        </w:rPr>
      </w:pPr>
      <w:r w:rsidRPr="00853C76">
        <w:rPr>
          <w:b/>
          <w:bCs/>
          <w:iCs/>
          <w:snapToGrid w:val="0"/>
          <w:szCs w:val="22"/>
        </w:rPr>
        <w:t>Public awareness</w:t>
      </w:r>
    </w:p>
    <w:p w14:paraId="3EB4F316" w14:textId="77777777" w:rsidR="00DA0273" w:rsidRPr="00853C76" w:rsidRDefault="00DA0273" w:rsidP="00FB5720">
      <w:pPr>
        <w:spacing w:after="120"/>
        <w:rPr>
          <w:snapToGrid w:val="0"/>
          <w:kern w:val="22"/>
          <w:szCs w:val="22"/>
          <w:vertAlign w:val="superscript"/>
        </w:rPr>
      </w:pPr>
      <w:r w:rsidRPr="00853C76">
        <w:rPr>
          <w:snapToGrid w:val="0"/>
          <w:kern w:val="22"/>
          <w:szCs w:val="22"/>
        </w:rPr>
        <w:t>54.</w:t>
      </w:r>
      <w:r w:rsidRPr="00853C76">
        <w:rPr>
          <w:snapToGrid w:val="0"/>
          <w:kern w:val="22"/>
          <w:szCs w:val="22"/>
        </w:rPr>
        <w:tab/>
        <w:t xml:space="preserve">Enhancing capacity for public awareness, education and participation regarding the safe transfer, handling and use of living modified organisms, including for indigenous </w:t>
      </w:r>
      <w:r w:rsidRPr="00853C76">
        <w:rPr>
          <w:snapToGrid w:val="0"/>
          <w:kern w:val="22"/>
          <w:szCs w:val="22"/>
          <w:lang w:eastAsia="zh-CN"/>
        </w:rPr>
        <w:t xml:space="preserve">peoples </w:t>
      </w:r>
      <w:r w:rsidRPr="00853C76">
        <w:rPr>
          <w:snapToGrid w:val="0"/>
          <w:kern w:val="22"/>
          <w:szCs w:val="22"/>
        </w:rPr>
        <w:t>and local communities</w:t>
      </w:r>
      <w:r>
        <w:rPr>
          <w:snapToGrid w:val="0"/>
          <w:kern w:val="22"/>
          <w:szCs w:val="22"/>
        </w:rPr>
        <w:t>.</w:t>
      </w:r>
      <w:r w:rsidRPr="00610646">
        <w:rPr>
          <w:rStyle w:val="FootnoteReference"/>
        </w:rPr>
        <w:footnoteReference w:id="224"/>
      </w:r>
    </w:p>
    <w:p w14:paraId="3EDE7200" w14:textId="77777777" w:rsidR="00DA0273" w:rsidRPr="00853C76" w:rsidRDefault="00DA0273" w:rsidP="00FB5720">
      <w:pPr>
        <w:autoSpaceDE w:val="0"/>
        <w:autoSpaceDN w:val="0"/>
        <w:spacing w:before="120" w:after="120"/>
        <w:rPr>
          <w:snapToGrid w:val="0"/>
          <w:kern w:val="22"/>
          <w:szCs w:val="22"/>
        </w:rPr>
      </w:pPr>
      <w:r w:rsidRPr="00853C76">
        <w:rPr>
          <w:snapToGrid w:val="0"/>
          <w:kern w:val="22"/>
          <w:szCs w:val="22"/>
        </w:rPr>
        <w:t>55.</w:t>
      </w:r>
      <w:r w:rsidRPr="00853C76">
        <w:rPr>
          <w:snapToGrid w:val="0"/>
          <w:kern w:val="22"/>
          <w:szCs w:val="22"/>
        </w:rPr>
        <w:tab/>
        <w:t>Effective implementation of the programme of work on public awareness, education and participation concerning the safe transfer, handling and use of living modified organisms, in the context of relevant project activities and within its mandate</w:t>
      </w:r>
      <w:r>
        <w:rPr>
          <w:snapToGrid w:val="0"/>
          <w:kern w:val="22"/>
          <w:szCs w:val="22"/>
        </w:rPr>
        <w:t>.</w:t>
      </w:r>
      <w:r w:rsidRPr="00610646">
        <w:rPr>
          <w:rStyle w:val="FootnoteReference"/>
          <w:rFonts w:eastAsiaTheme="majorEastAsia"/>
        </w:rPr>
        <w:footnoteReference w:id="225"/>
      </w:r>
    </w:p>
    <w:p w14:paraId="76C85020" w14:textId="77777777" w:rsidR="00DA0273" w:rsidRPr="00853C76" w:rsidRDefault="00DA0273" w:rsidP="00FB5720">
      <w:pPr>
        <w:keepNext/>
        <w:spacing w:before="120" w:after="120"/>
        <w:rPr>
          <w:b/>
          <w:bCs/>
          <w:iCs/>
          <w:snapToGrid w:val="0"/>
          <w:szCs w:val="22"/>
        </w:rPr>
      </w:pPr>
      <w:r w:rsidRPr="00853C76">
        <w:rPr>
          <w:b/>
          <w:bCs/>
          <w:iCs/>
          <w:snapToGrid w:val="0"/>
          <w:szCs w:val="22"/>
        </w:rPr>
        <w:t>Clearing-house</w:t>
      </w:r>
    </w:p>
    <w:p w14:paraId="7DB6CB90" w14:textId="77777777" w:rsidR="00DA0273" w:rsidRPr="00853C76" w:rsidRDefault="00DA0273" w:rsidP="00FB5720">
      <w:pPr>
        <w:spacing w:after="120"/>
        <w:rPr>
          <w:snapToGrid w:val="0"/>
          <w:kern w:val="22"/>
          <w:szCs w:val="22"/>
        </w:rPr>
      </w:pPr>
      <w:r w:rsidRPr="00853C76">
        <w:rPr>
          <w:snapToGrid w:val="0"/>
          <w:kern w:val="22"/>
          <w:szCs w:val="22"/>
        </w:rPr>
        <w:t>56.</w:t>
      </w:r>
      <w:r w:rsidRPr="00853C76">
        <w:rPr>
          <w:snapToGrid w:val="0"/>
          <w:kern w:val="22"/>
          <w:szCs w:val="22"/>
        </w:rPr>
        <w:tab/>
        <w:t>Public participation and information sharing, and use of the Biosafety Clearing-House</w:t>
      </w:r>
      <w:r>
        <w:rPr>
          <w:snapToGrid w:val="0"/>
          <w:kern w:val="22"/>
          <w:szCs w:val="22"/>
        </w:rPr>
        <w:t>.</w:t>
      </w:r>
      <w:r w:rsidRPr="00610646">
        <w:rPr>
          <w:rStyle w:val="FootnoteReference"/>
        </w:rPr>
        <w:footnoteReference w:id="226"/>
      </w:r>
    </w:p>
    <w:p w14:paraId="68AC61E6" w14:textId="77777777" w:rsidR="00DA0273" w:rsidRPr="00853C76" w:rsidRDefault="00DA0273" w:rsidP="00FB5720">
      <w:pPr>
        <w:keepNext/>
        <w:spacing w:before="120" w:after="120"/>
        <w:rPr>
          <w:b/>
          <w:bCs/>
          <w:iCs/>
          <w:snapToGrid w:val="0"/>
          <w:szCs w:val="22"/>
        </w:rPr>
      </w:pPr>
      <w:r w:rsidRPr="00853C76">
        <w:rPr>
          <w:b/>
          <w:bCs/>
          <w:iCs/>
          <w:snapToGrid w:val="0"/>
          <w:szCs w:val="22"/>
        </w:rPr>
        <w:lastRenderedPageBreak/>
        <w:t>Capacity-building</w:t>
      </w:r>
    </w:p>
    <w:p w14:paraId="3834A7DF" w14:textId="77777777" w:rsidR="00DA0273" w:rsidRPr="00853C76" w:rsidRDefault="00DA0273" w:rsidP="00FB5720">
      <w:pPr>
        <w:autoSpaceDE w:val="0"/>
        <w:autoSpaceDN w:val="0"/>
        <w:spacing w:before="120" w:after="120"/>
        <w:rPr>
          <w:snapToGrid w:val="0"/>
          <w:kern w:val="22"/>
          <w:szCs w:val="22"/>
        </w:rPr>
      </w:pPr>
      <w:r w:rsidRPr="00853C76">
        <w:rPr>
          <w:iCs/>
          <w:snapToGrid w:val="0"/>
          <w:kern w:val="22"/>
          <w:szCs w:val="22"/>
        </w:rPr>
        <w:t>57.</w:t>
      </w:r>
      <w:r w:rsidRPr="00853C76">
        <w:rPr>
          <w:iCs/>
          <w:snapToGrid w:val="0"/>
          <w:kern w:val="22"/>
          <w:szCs w:val="22"/>
        </w:rPr>
        <w:tab/>
        <w:t>F</w:t>
      </w:r>
      <w:r w:rsidRPr="00853C76">
        <w:rPr>
          <w:snapToGrid w:val="0"/>
          <w:kern w:val="22"/>
          <w:szCs w:val="22"/>
        </w:rPr>
        <w:t>urther implementation of the Framework and Action Plan for Capacity-Building</w:t>
      </w:r>
      <w:r>
        <w:rPr>
          <w:snapToGrid w:val="0"/>
          <w:kern w:val="22"/>
          <w:szCs w:val="22"/>
        </w:rPr>
        <w:t>.</w:t>
      </w:r>
      <w:r w:rsidRPr="00610646">
        <w:rPr>
          <w:rStyle w:val="FootnoteReference"/>
          <w:rFonts w:eastAsiaTheme="majorEastAsia"/>
        </w:rPr>
        <w:footnoteReference w:id="227"/>
      </w:r>
    </w:p>
    <w:p w14:paraId="5718DE64" w14:textId="77777777" w:rsidR="00DA0273" w:rsidRPr="00853C76" w:rsidRDefault="00DA0273" w:rsidP="00FB5720">
      <w:pPr>
        <w:keepNext/>
        <w:spacing w:before="120" w:after="120"/>
        <w:rPr>
          <w:b/>
          <w:bCs/>
          <w:iCs/>
          <w:snapToGrid w:val="0"/>
          <w:szCs w:val="22"/>
        </w:rPr>
      </w:pPr>
      <w:r w:rsidRPr="00853C76">
        <w:rPr>
          <w:b/>
          <w:bCs/>
          <w:iCs/>
          <w:snapToGrid w:val="0"/>
          <w:szCs w:val="22"/>
        </w:rPr>
        <w:t>Reporting</w:t>
      </w:r>
    </w:p>
    <w:p w14:paraId="70188DFF" w14:textId="77777777" w:rsidR="00DA0273" w:rsidRPr="00853C76" w:rsidRDefault="00DA0273" w:rsidP="00FB5720">
      <w:pPr>
        <w:spacing w:after="120"/>
        <w:rPr>
          <w:snapToGrid w:val="0"/>
          <w:kern w:val="22"/>
          <w:szCs w:val="22"/>
        </w:rPr>
      </w:pPr>
      <w:r w:rsidRPr="00853C76">
        <w:rPr>
          <w:snapToGrid w:val="0"/>
          <w:kern w:val="22"/>
          <w:szCs w:val="22"/>
        </w:rPr>
        <w:t>58.</w:t>
      </w:r>
      <w:r w:rsidRPr="00853C76">
        <w:rPr>
          <w:snapToGrid w:val="0"/>
          <w:kern w:val="22"/>
          <w:szCs w:val="22"/>
        </w:rPr>
        <w:tab/>
        <w:t>National reports under the Cartagena Protocol on Biosafety.</w:t>
      </w:r>
      <w:r w:rsidRPr="00610646">
        <w:rPr>
          <w:rStyle w:val="FootnoteReference"/>
        </w:rPr>
        <w:footnoteReference w:id="228"/>
      </w:r>
    </w:p>
    <w:p w14:paraId="790C7083" w14:textId="77777777" w:rsidR="00DA0273" w:rsidRPr="00853C76" w:rsidRDefault="00DA0273" w:rsidP="00FB5720">
      <w:pPr>
        <w:keepNext/>
        <w:spacing w:before="120" w:after="120"/>
        <w:rPr>
          <w:b/>
          <w:bCs/>
          <w:iCs/>
          <w:snapToGrid w:val="0"/>
          <w:szCs w:val="22"/>
        </w:rPr>
      </w:pPr>
      <w:r w:rsidRPr="00853C76">
        <w:rPr>
          <w:b/>
          <w:bCs/>
          <w:iCs/>
          <w:snapToGrid w:val="0"/>
          <w:szCs w:val="22"/>
        </w:rPr>
        <w:t>Compliance</w:t>
      </w:r>
    </w:p>
    <w:p w14:paraId="6D453B9C"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59.</w:t>
      </w:r>
      <w:r w:rsidRPr="00853C76">
        <w:rPr>
          <w:snapToGrid w:val="0"/>
          <w:kern w:val="22"/>
          <w:szCs w:val="22"/>
        </w:rPr>
        <w:tab/>
        <w:t>Implementing compliance action plans regarding the achievement of compliance with the Protocol</w:t>
      </w:r>
      <w:r w:rsidRPr="00853C76">
        <w:rPr>
          <w:rFonts w:eastAsiaTheme="majorEastAsia"/>
          <w:iCs/>
          <w:snapToGrid w:val="0"/>
          <w:spacing w:val="-4"/>
          <w:kern w:val="22"/>
          <w:szCs w:val="22"/>
        </w:rPr>
        <w:t>.</w:t>
      </w:r>
      <w:r w:rsidRPr="00610646">
        <w:rPr>
          <w:rStyle w:val="FootnoteReference"/>
          <w:rFonts w:eastAsiaTheme="majorEastAsia"/>
        </w:rPr>
        <w:footnoteReference w:id="229"/>
      </w:r>
    </w:p>
    <w:p w14:paraId="140CD0C7" w14:textId="77777777" w:rsidR="00DA0273" w:rsidRPr="00853C76" w:rsidRDefault="00DA0273" w:rsidP="00FB5720">
      <w:pPr>
        <w:keepNext/>
        <w:spacing w:before="120" w:after="120"/>
        <w:rPr>
          <w:b/>
          <w:bCs/>
          <w:iCs/>
          <w:snapToGrid w:val="0"/>
          <w:szCs w:val="22"/>
        </w:rPr>
      </w:pPr>
      <w:r w:rsidRPr="00853C76">
        <w:rPr>
          <w:b/>
          <w:bCs/>
          <w:iCs/>
          <w:snapToGrid w:val="0"/>
          <w:szCs w:val="22"/>
        </w:rPr>
        <w:t>Regional cooperation</w:t>
      </w:r>
    </w:p>
    <w:p w14:paraId="4AB21492" w14:textId="77777777" w:rsidR="00DA0273" w:rsidRPr="00853C76" w:rsidRDefault="00DA0273" w:rsidP="00FB5720">
      <w:pPr>
        <w:autoSpaceDE w:val="0"/>
        <w:autoSpaceDN w:val="0"/>
        <w:spacing w:before="120" w:after="120"/>
        <w:rPr>
          <w:snapToGrid w:val="0"/>
          <w:color w:val="000000"/>
          <w:kern w:val="22"/>
          <w:szCs w:val="22"/>
        </w:rPr>
      </w:pPr>
      <w:r w:rsidRPr="00853C76">
        <w:rPr>
          <w:iCs/>
          <w:snapToGrid w:val="0"/>
          <w:kern w:val="22"/>
          <w:szCs w:val="22"/>
        </w:rPr>
        <w:t xml:space="preserve">60. </w:t>
      </w:r>
      <w:r w:rsidRPr="00853C76">
        <w:rPr>
          <w:i/>
          <w:snapToGrid w:val="0"/>
          <w:kern w:val="22"/>
          <w:szCs w:val="22"/>
        </w:rPr>
        <w:tab/>
      </w:r>
      <w:r w:rsidRPr="00853C76">
        <w:rPr>
          <w:iCs/>
          <w:snapToGrid w:val="0"/>
          <w:kern w:val="22"/>
          <w:szCs w:val="22"/>
        </w:rPr>
        <w:t>P</w:t>
      </w:r>
      <w:r w:rsidRPr="00853C76">
        <w:rPr>
          <w:snapToGrid w:val="0"/>
          <w:color w:val="000000"/>
          <w:kern w:val="22"/>
          <w:szCs w:val="22"/>
        </w:rPr>
        <w:t>rojects and capacity-building activities on issues identified by the Parties to facilitate further implementation of the Cartagena Protocol on Biosafety, including regional cooperation projects, such as those using regional and subregional networks</w:t>
      </w:r>
      <w:r w:rsidRPr="00853C76">
        <w:rPr>
          <w:snapToGrid w:val="0"/>
          <w:kern w:val="22"/>
          <w:szCs w:val="22"/>
        </w:rPr>
        <w:t xml:space="preserve"> to build capacity for the detection of living modified organisms</w:t>
      </w:r>
      <w:r w:rsidRPr="00853C76">
        <w:rPr>
          <w:snapToGrid w:val="0"/>
          <w:color w:val="000000"/>
          <w:kern w:val="22"/>
          <w:szCs w:val="22"/>
        </w:rPr>
        <w:t>, with a view to</w:t>
      </w:r>
      <w:r w:rsidRPr="00853C76">
        <w:rPr>
          <w:snapToGrid w:val="0"/>
          <w:kern w:val="22"/>
          <w:szCs w:val="22"/>
        </w:rPr>
        <w:t xml:space="preserve"> facilitating the sharing of experiences and lessons learned, and harnessing associated synergies.</w:t>
      </w:r>
      <w:r w:rsidRPr="00610646">
        <w:rPr>
          <w:rStyle w:val="FootnoteReference"/>
          <w:rFonts w:eastAsiaTheme="majorEastAsia"/>
        </w:rPr>
        <w:footnoteReference w:id="230"/>
      </w:r>
    </w:p>
    <w:p w14:paraId="2CCBFA4F"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20. Financial resources</w:t>
      </w:r>
    </w:p>
    <w:p w14:paraId="284E774D" w14:textId="77777777" w:rsidR="00DA0273" w:rsidRPr="00853C76" w:rsidRDefault="00DA0273" w:rsidP="00FB5720">
      <w:pPr>
        <w:spacing w:after="120"/>
        <w:rPr>
          <w:snapToGrid w:val="0"/>
          <w:kern w:val="22"/>
          <w:szCs w:val="22"/>
        </w:rPr>
      </w:pPr>
      <w:r w:rsidRPr="00853C76">
        <w:rPr>
          <w:snapToGrid w:val="0"/>
          <w:kern w:val="22"/>
          <w:szCs w:val="22"/>
        </w:rPr>
        <w:t>61.</w:t>
      </w:r>
      <w:r w:rsidRPr="00853C76">
        <w:rPr>
          <w:snapToGrid w:val="0"/>
          <w:kern w:val="22"/>
          <w:szCs w:val="22"/>
        </w:rPr>
        <w:tab/>
        <w:t>Development and implementation of country-specific resource mobilization strategies.</w:t>
      </w:r>
      <w:r w:rsidRPr="00610646">
        <w:rPr>
          <w:rStyle w:val="FootnoteReference"/>
        </w:rPr>
        <w:footnoteReference w:id="231"/>
      </w:r>
    </w:p>
    <w:p w14:paraId="65438D34"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21. Financial mechanism</w:t>
      </w:r>
    </w:p>
    <w:p w14:paraId="6B8CE1A0" w14:textId="77777777" w:rsidR="00DA0273" w:rsidRPr="00853C76" w:rsidRDefault="00DA0273" w:rsidP="00FB5720">
      <w:pPr>
        <w:keepNext/>
        <w:spacing w:before="120" w:after="120"/>
        <w:rPr>
          <w:b/>
          <w:bCs/>
          <w:iCs/>
          <w:snapToGrid w:val="0"/>
          <w:szCs w:val="22"/>
        </w:rPr>
      </w:pPr>
      <w:r w:rsidRPr="00853C76">
        <w:rPr>
          <w:b/>
          <w:bCs/>
          <w:iCs/>
          <w:snapToGrid w:val="0"/>
          <w:szCs w:val="22"/>
        </w:rPr>
        <w:t>Access modalities</w:t>
      </w:r>
    </w:p>
    <w:p w14:paraId="16B899E2" w14:textId="77777777" w:rsidR="00DA0273" w:rsidRPr="00853C76" w:rsidRDefault="00DA0273" w:rsidP="00FB5720">
      <w:pPr>
        <w:spacing w:before="120" w:after="120"/>
        <w:rPr>
          <w:snapToGrid w:val="0"/>
          <w:kern w:val="22"/>
          <w:szCs w:val="22"/>
        </w:rPr>
      </w:pPr>
      <w:r w:rsidRPr="00853C76">
        <w:rPr>
          <w:snapToGrid w:val="0"/>
          <w:kern w:val="22"/>
          <w:szCs w:val="22"/>
        </w:rPr>
        <w:t>62.</w:t>
      </w:r>
      <w:r w:rsidRPr="00853C76">
        <w:rPr>
          <w:snapToGrid w:val="0"/>
          <w:kern w:val="22"/>
          <w:szCs w:val="22"/>
        </w:rPr>
        <w:tab/>
        <w:t>To consider improving its access modalities, including enabling the participation of a number of additional national agencies from developing countries, based on its own experiences, including the conclusions of this assessment, and taking into account the experience of other international financial instruments with relevant access modalities</w:t>
      </w:r>
      <w:r>
        <w:rPr>
          <w:snapToGrid w:val="0"/>
          <w:kern w:val="22"/>
          <w:szCs w:val="22"/>
        </w:rPr>
        <w:t>.</w:t>
      </w:r>
      <w:r w:rsidRPr="00610646">
        <w:rPr>
          <w:rStyle w:val="FootnoteReference"/>
          <w:rFonts w:eastAsiaTheme="majorEastAsia"/>
        </w:rPr>
        <w:footnoteReference w:id="232"/>
      </w:r>
    </w:p>
    <w:p w14:paraId="42F4362A" w14:textId="77777777" w:rsidR="00DA0273" w:rsidRPr="00853C76" w:rsidRDefault="00DA0273" w:rsidP="00FB5720">
      <w:pPr>
        <w:keepNext/>
        <w:spacing w:before="120" w:after="120"/>
        <w:rPr>
          <w:b/>
          <w:bCs/>
          <w:iCs/>
          <w:snapToGrid w:val="0"/>
          <w:szCs w:val="22"/>
        </w:rPr>
      </w:pPr>
      <w:r w:rsidRPr="00853C76">
        <w:rPr>
          <w:b/>
          <w:bCs/>
          <w:iCs/>
          <w:snapToGrid w:val="0"/>
          <w:szCs w:val="22"/>
        </w:rPr>
        <w:t>Gender</w:t>
      </w:r>
    </w:p>
    <w:p w14:paraId="2DCEB28A" w14:textId="77777777" w:rsidR="00DA0273" w:rsidRPr="00853C76" w:rsidRDefault="00DA0273" w:rsidP="00FB5720">
      <w:pPr>
        <w:spacing w:before="120" w:after="120"/>
        <w:rPr>
          <w:snapToGrid w:val="0"/>
          <w:szCs w:val="22"/>
        </w:rPr>
      </w:pPr>
      <w:r w:rsidRPr="00853C76">
        <w:rPr>
          <w:snapToGrid w:val="0"/>
          <w:kern w:val="22"/>
          <w:szCs w:val="22"/>
        </w:rPr>
        <w:t>63.</w:t>
      </w:r>
      <w:r w:rsidRPr="00853C76">
        <w:rPr>
          <w:snapToGrid w:val="0"/>
          <w:kern w:val="22"/>
          <w:szCs w:val="22"/>
        </w:rPr>
        <w:tab/>
        <w:t>To include gender in the financing of biodiversity and ecosystem services</w:t>
      </w:r>
      <w:r>
        <w:rPr>
          <w:snapToGrid w:val="0"/>
          <w:szCs w:val="22"/>
        </w:rPr>
        <w:t>.</w:t>
      </w:r>
      <w:r w:rsidRPr="00610646">
        <w:rPr>
          <w:rStyle w:val="FootnoteReference"/>
        </w:rPr>
        <w:footnoteReference w:id="233"/>
      </w:r>
    </w:p>
    <w:p w14:paraId="6DA42455" w14:textId="77777777" w:rsidR="00DA0273" w:rsidRPr="00853C76" w:rsidRDefault="00DA0273" w:rsidP="00FB5720">
      <w:pPr>
        <w:keepNext/>
        <w:spacing w:before="120" w:after="120"/>
        <w:rPr>
          <w:b/>
          <w:bCs/>
          <w:iCs/>
          <w:snapToGrid w:val="0"/>
          <w:szCs w:val="22"/>
        </w:rPr>
      </w:pPr>
      <w:bookmarkStart w:id="215" w:name="_Toc259455708"/>
      <w:bookmarkStart w:id="216" w:name="_Toc260384358"/>
      <w:bookmarkStart w:id="217" w:name="_Toc263089348"/>
      <w:r w:rsidRPr="00853C76">
        <w:rPr>
          <w:b/>
          <w:bCs/>
          <w:iCs/>
          <w:snapToGrid w:val="0"/>
          <w:szCs w:val="22"/>
        </w:rPr>
        <w:t>Project procedures</w:t>
      </w:r>
      <w:bookmarkEnd w:id="215"/>
      <w:bookmarkEnd w:id="216"/>
      <w:bookmarkEnd w:id="217"/>
    </w:p>
    <w:p w14:paraId="4D12C6AA" w14:textId="77777777" w:rsidR="00DA0273" w:rsidRPr="00853C76" w:rsidRDefault="00DA0273" w:rsidP="00FB5720">
      <w:pPr>
        <w:spacing w:before="120" w:after="120"/>
        <w:rPr>
          <w:snapToGrid w:val="0"/>
          <w:kern w:val="22"/>
          <w:szCs w:val="22"/>
        </w:rPr>
      </w:pPr>
      <w:r w:rsidRPr="00853C76">
        <w:rPr>
          <w:snapToGrid w:val="0"/>
          <w:kern w:val="22"/>
          <w:szCs w:val="22"/>
        </w:rPr>
        <w:t>64.</w:t>
      </w:r>
      <w:r w:rsidRPr="00853C76">
        <w:rPr>
          <w:snapToGrid w:val="0"/>
          <w:kern w:val="22"/>
          <w:szCs w:val="22"/>
        </w:rPr>
        <w:tab/>
        <w:t>To further streamline its project cycle with a view to making project preparation simpler, more transparent and more country-driven</w:t>
      </w:r>
      <w:r>
        <w:rPr>
          <w:snapToGrid w:val="0"/>
          <w:kern w:val="22"/>
          <w:szCs w:val="22"/>
        </w:rPr>
        <w:t>.</w:t>
      </w:r>
      <w:r w:rsidRPr="00610646">
        <w:rPr>
          <w:rStyle w:val="FootnoteReference"/>
        </w:rPr>
        <w:footnoteReference w:id="234"/>
      </w:r>
    </w:p>
    <w:p w14:paraId="645C5646" w14:textId="77777777" w:rsidR="00DA0273" w:rsidRPr="00853C76" w:rsidRDefault="00DA0273" w:rsidP="00FB5720">
      <w:pPr>
        <w:spacing w:before="120" w:after="120"/>
        <w:rPr>
          <w:snapToGrid w:val="0"/>
          <w:kern w:val="22"/>
          <w:szCs w:val="22"/>
        </w:rPr>
      </w:pPr>
      <w:r w:rsidRPr="00853C76">
        <w:rPr>
          <w:snapToGrid w:val="0"/>
          <w:kern w:val="22"/>
          <w:szCs w:val="22"/>
        </w:rPr>
        <w:t>65.</w:t>
      </w:r>
      <w:r w:rsidRPr="00853C76">
        <w:rPr>
          <w:snapToGrid w:val="0"/>
          <w:kern w:val="22"/>
          <w:szCs w:val="22"/>
        </w:rPr>
        <w:tab/>
        <w:t>To further simplify and expedite procedures for approval and implementation, including disbursement, for GEF-funded projects, based on a flexible and national demand driven approach, and avoid additional and lengthy processes</w:t>
      </w:r>
      <w:r>
        <w:rPr>
          <w:snapToGrid w:val="0"/>
          <w:kern w:val="22"/>
          <w:szCs w:val="22"/>
        </w:rPr>
        <w:t>.</w:t>
      </w:r>
      <w:r w:rsidRPr="00610646">
        <w:rPr>
          <w:rStyle w:val="FootnoteReference"/>
        </w:rPr>
        <w:footnoteReference w:id="235"/>
      </w:r>
    </w:p>
    <w:p w14:paraId="4566B88F" w14:textId="77777777" w:rsidR="00DA0273" w:rsidRPr="00853C76" w:rsidRDefault="00DA0273" w:rsidP="00FB5720">
      <w:pPr>
        <w:spacing w:before="120" w:after="120"/>
        <w:rPr>
          <w:snapToGrid w:val="0"/>
          <w:kern w:val="22"/>
          <w:szCs w:val="22"/>
        </w:rPr>
      </w:pPr>
      <w:r w:rsidRPr="00853C76">
        <w:rPr>
          <w:snapToGrid w:val="0"/>
          <w:kern w:val="22"/>
          <w:szCs w:val="22"/>
        </w:rPr>
        <w:t>66.</w:t>
      </w:r>
      <w:r w:rsidRPr="00853C76">
        <w:rPr>
          <w:snapToGrid w:val="0"/>
          <w:kern w:val="22"/>
          <w:szCs w:val="22"/>
        </w:rPr>
        <w:tab/>
        <w:t>To develop policies and procedures that fully comply with the guidance from the Conference of the Parties in a straightforward and timely manner</w:t>
      </w:r>
      <w:r>
        <w:rPr>
          <w:snapToGrid w:val="0"/>
          <w:kern w:val="22"/>
          <w:szCs w:val="22"/>
        </w:rPr>
        <w:t>.</w:t>
      </w:r>
      <w:r w:rsidRPr="00610646">
        <w:rPr>
          <w:rStyle w:val="FootnoteReference"/>
        </w:rPr>
        <w:footnoteReference w:id="236"/>
      </w:r>
    </w:p>
    <w:p w14:paraId="10C32CD4" w14:textId="77777777" w:rsidR="00DA0273" w:rsidRPr="00853C76" w:rsidRDefault="00DA0273" w:rsidP="00FB5720">
      <w:pPr>
        <w:spacing w:before="120" w:after="120"/>
        <w:rPr>
          <w:snapToGrid w:val="0"/>
          <w:kern w:val="22"/>
          <w:szCs w:val="22"/>
        </w:rPr>
      </w:pPr>
      <w:r w:rsidRPr="00853C76">
        <w:rPr>
          <w:snapToGrid w:val="0"/>
          <w:kern w:val="22"/>
          <w:szCs w:val="22"/>
        </w:rPr>
        <w:lastRenderedPageBreak/>
        <w:t>67.</w:t>
      </w:r>
      <w:r w:rsidRPr="00853C76">
        <w:rPr>
          <w:snapToGrid w:val="0"/>
          <w:kern w:val="22"/>
          <w:szCs w:val="22"/>
        </w:rPr>
        <w:tab/>
        <w:t>To increase its flexibility to respond to the thematic longer-term programme of work of the Convention</w:t>
      </w:r>
      <w:r>
        <w:rPr>
          <w:snapToGrid w:val="0"/>
          <w:kern w:val="22"/>
          <w:szCs w:val="22"/>
        </w:rPr>
        <w:t xml:space="preserve"> </w:t>
      </w:r>
      <w:r w:rsidRPr="00853C76">
        <w:rPr>
          <w:snapToGrid w:val="0"/>
          <w:kern w:val="22"/>
          <w:szCs w:val="22"/>
        </w:rPr>
        <w:t>on Biological Diversity, in accordance with the guidance of the Conference of the Parties</w:t>
      </w:r>
      <w:r>
        <w:rPr>
          <w:snapToGrid w:val="0"/>
          <w:kern w:val="22"/>
          <w:szCs w:val="22"/>
        </w:rPr>
        <w:t>.</w:t>
      </w:r>
      <w:r w:rsidRPr="00610646">
        <w:rPr>
          <w:rStyle w:val="FootnoteReference"/>
        </w:rPr>
        <w:footnoteReference w:id="237"/>
      </w:r>
    </w:p>
    <w:p w14:paraId="2A9B838E" w14:textId="77777777" w:rsidR="00DA0273" w:rsidRPr="00853C76" w:rsidRDefault="00DA0273" w:rsidP="00FB5720">
      <w:pPr>
        <w:spacing w:before="120" w:after="120"/>
        <w:rPr>
          <w:snapToGrid w:val="0"/>
          <w:kern w:val="22"/>
          <w:szCs w:val="22"/>
        </w:rPr>
      </w:pPr>
      <w:r w:rsidRPr="00853C76">
        <w:rPr>
          <w:snapToGrid w:val="0"/>
          <w:kern w:val="22"/>
          <w:szCs w:val="22"/>
        </w:rPr>
        <w:t>68.</w:t>
      </w:r>
      <w:r w:rsidRPr="00853C76">
        <w:rPr>
          <w:snapToGrid w:val="0"/>
          <w:kern w:val="22"/>
          <w:szCs w:val="22"/>
        </w:rPr>
        <w:tab/>
        <w:t>To improve project information system, including through data sets and web-based data tools, to increase the accessibility of project information and allow for better tracking against the guidance from the Conference of the Parties</w:t>
      </w:r>
      <w:r>
        <w:rPr>
          <w:snapToGrid w:val="0"/>
          <w:kern w:val="22"/>
          <w:szCs w:val="22"/>
        </w:rPr>
        <w:t>.</w:t>
      </w:r>
      <w:r w:rsidRPr="00610646">
        <w:rPr>
          <w:rStyle w:val="FootnoteReference"/>
        </w:rPr>
        <w:footnoteReference w:id="238"/>
      </w:r>
    </w:p>
    <w:p w14:paraId="2B129D74" w14:textId="77777777" w:rsidR="00DA0273" w:rsidRPr="00853C76" w:rsidRDefault="00DA0273" w:rsidP="00FB5720">
      <w:pPr>
        <w:spacing w:before="120" w:after="120"/>
        <w:rPr>
          <w:snapToGrid w:val="0"/>
          <w:kern w:val="22"/>
          <w:szCs w:val="22"/>
        </w:rPr>
      </w:pPr>
      <w:r w:rsidRPr="00853C76">
        <w:rPr>
          <w:snapToGrid w:val="0"/>
          <w:kern w:val="22"/>
          <w:szCs w:val="22"/>
        </w:rPr>
        <w:t>69.</w:t>
      </w:r>
      <w:r w:rsidRPr="00853C76">
        <w:rPr>
          <w:snapToGrid w:val="0"/>
          <w:kern w:val="22"/>
          <w:szCs w:val="22"/>
        </w:rPr>
        <w:tab/>
        <w:t>To consider the benefits to Parties, particularly small island developing States, of an appropriate balance between national and regional projects in the implementation of decisions of the Conference of the Parties</w:t>
      </w:r>
      <w:r>
        <w:rPr>
          <w:snapToGrid w:val="0"/>
          <w:kern w:val="22"/>
          <w:szCs w:val="22"/>
        </w:rPr>
        <w:t>.</w:t>
      </w:r>
      <w:r w:rsidRPr="00610646">
        <w:rPr>
          <w:rStyle w:val="FootnoteReference"/>
        </w:rPr>
        <w:footnoteReference w:id="239"/>
      </w:r>
    </w:p>
    <w:p w14:paraId="042F2DD5" w14:textId="77777777" w:rsidR="00DA0273" w:rsidRPr="00853C76" w:rsidRDefault="00DA0273" w:rsidP="00FB5720">
      <w:pPr>
        <w:keepNext/>
        <w:spacing w:before="120" w:after="120"/>
        <w:rPr>
          <w:b/>
          <w:bCs/>
          <w:iCs/>
          <w:snapToGrid w:val="0"/>
          <w:szCs w:val="22"/>
        </w:rPr>
      </w:pPr>
      <w:bookmarkStart w:id="218" w:name="_Toc257060647"/>
      <w:bookmarkStart w:id="219" w:name="_Toc259455710"/>
      <w:bookmarkStart w:id="220" w:name="_Toc260384360"/>
      <w:bookmarkStart w:id="221" w:name="_Toc263089350"/>
      <w:r w:rsidRPr="00853C76">
        <w:rPr>
          <w:b/>
          <w:bCs/>
          <w:iCs/>
          <w:snapToGrid w:val="0"/>
          <w:szCs w:val="22"/>
        </w:rPr>
        <w:t>Catalytic role and co-financing</w:t>
      </w:r>
      <w:bookmarkEnd w:id="218"/>
      <w:bookmarkEnd w:id="219"/>
      <w:bookmarkEnd w:id="220"/>
      <w:bookmarkEnd w:id="221"/>
    </w:p>
    <w:p w14:paraId="20FDEAD2" w14:textId="77777777" w:rsidR="00DA0273" w:rsidRPr="00853C76" w:rsidRDefault="00DA0273" w:rsidP="00FB5720">
      <w:pPr>
        <w:spacing w:before="120" w:after="120"/>
        <w:rPr>
          <w:snapToGrid w:val="0"/>
          <w:kern w:val="22"/>
          <w:szCs w:val="22"/>
        </w:rPr>
      </w:pPr>
      <w:r w:rsidRPr="00853C76">
        <w:rPr>
          <w:snapToGrid w:val="0"/>
          <w:kern w:val="22"/>
          <w:szCs w:val="22"/>
        </w:rPr>
        <w:t>70.</w:t>
      </w:r>
      <w:r w:rsidRPr="00853C76">
        <w:rPr>
          <w:snapToGrid w:val="0"/>
          <w:kern w:val="22"/>
          <w:szCs w:val="22"/>
        </w:rPr>
        <w:tab/>
        <w:t>To mobilize co-financing and other modes of financing for its projects related to implementation of the Convention, and apply co-financing arrangements in ways that do not create unnecessary barriers and costs for recipient Parties to access GEF funds</w:t>
      </w:r>
      <w:r w:rsidRPr="000E778E">
        <w:rPr>
          <w:snapToGrid w:val="0"/>
          <w:szCs w:val="22"/>
        </w:rPr>
        <w:t>.</w:t>
      </w:r>
      <w:r w:rsidRPr="00610646">
        <w:rPr>
          <w:rStyle w:val="FootnoteReference"/>
        </w:rPr>
        <w:footnoteReference w:id="240"/>
      </w:r>
    </w:p>
    <w:p w14:paraId="482634BC" w14:textId="77777777" w:rsidR="00DA0273" w:rsidRPr="00853C76" w:rsidRDefault="00DA0273" w:rsidP="00FB5720">
      <w:pPr>
        <w:spacing w:before="120" w:after="120"/>
        <w:rPr>
          <w:snapToGrid w:val="0"/>
          <w:szCs w:val="22"/>
          <w:vertAlign w:val="superscript"/>
        </w:rPr>
      </w:pPr>
      <w:r w:rsidRPr="00853C76">
        <w:rPr>
          <w:snapToGrid w:val="0"/>
          <w:kern w:val="22"/>
          <w:szCs w:val="22"/>
        </w:rPr>
        <w:t>71.</w:t>
      </w:r>
      <w:r w:rsidRPr="00853C76">
        <w:rPr>
          <w:snapToGrid w:val="0"/>
          <w:kern w:val="22"/>
          <w:szCs w:val="22"/>
        </w:rPr>
        <w:tab/>
        <w:t>To support diffusion, and facilitate replication and scaling-up, of new and innovative financing mechanism initiatives that have proved to be successful</w:t>
      </w:r>
      <w:r>
        <w:rPr>
          <w:snapToGrid w:val="0"/>
          <w:kern w:val="22"/>
          <w:szCs w:val="22"/>
        </w:rPr>
        <w:t>.</w:t>
      </w:r>
      <w:r w:rsidRPr="00610646">
        <w:rPr>
          <w:rStyle w:val="FootnoteReference"/>
        </w:rPr>
        <w:footnoteReference w:id="241"/>
      </w:r>
    </w:p>
    <w:p w14:paraId="7CC1DDD8" w14:textId="77777777" w:rsidR="00DA0273" w:rsidRPr="00853C76" w:rsidRDefault="00DA0273" w:rsidP="00FB5720">
      <w:pPr>
        <w:spacing w:before="120" w:after="120"/>
        <w:rPr>
          <w:snapToGrid w:val="0"/>
          <w:color w:val="222222"/>
          <w:kern w:val="22"/>
          <w:szCs w:val="22"/>
        </w:rPr>
      </w:pPr>
      <w:r w:rsidRPr="00853C76">
        <w:rPr>
          <w:snapToGrid w:val="0"/>
          <w:color w:val="222222"/>
          <w:kern w:val="22"/>
          <w:szCs w:val="22"/>
        </w:rPr>
        <w:t>72.</w:t>
      </w:r>
      <w:r w:rsidRPr="00853C76">
        <w:rPr>
          <w:snapToGrid w:val="0"/>
          <w:color w:val="222222"/>
          <w:kern w:val="22"/>
          <w:szCs w:val="22"/>
        </w:rPr>
        <w:tab/>
        <w:t>T</w:t>
      </w:r>
      <w:r w:rsidRPr="00853C76">
        <w:rPr>
          <w:snapToGrid w:val="0"/>
          <w:kern w:val="22"/>
          <w:szCs w:val="22"/>
        </w:rPr>
        <w:t>o</w:t>
      </w:r>
      <w:r w:rsidRPr="00853C76">
        <w:rPr>
          <w:snapToGrid w:val="0"/>
          <w:color w:val="222222"/>
          <w:kern w:val="22"/>
          <w:szCs w:val="22"/>
        </w:rPr>
        <w:t xml:space="preserve"> consider joint financing, in partnership with other international financial instruments, of projects designed to achieve the objectives of more than one Rio convention</w:t>
      </w:r>
      <w:r>
        <w:rPr>
          <w:snapToGrid w:val="0"/>
          <w:color w:val="222222"/>
          <w:kern w:val="22"/>
          <w:szCs w:val="22"/>
        </w:rPr>
        <w:t>.</w:t>
      </w:r>
      <w:r w:rsidRPr="00610646">
        <w:rPr>
          <w:rStyle w:val="FootnoteReference"/>
          <w:rFonts w:eastAsiaTheme="majorEastAsia"/>
        </w:rPr>
        <w:footnoteReference w:id="242"/>
      </w:r>
    </w:p>
    <w:p w14:paraId="3468A799" w14:textId="77777777" w:rsidR="00DA0273" w:rsidRPr="00853C76" w:rsidRDefault="00DA0273" w:rsidP="00FB5720">
      <w:pPr>
        <w:spacing w:before="120" w:after="120"/>
        <w:rPr>
          <w:snapToGrid w:val="0"/>
          <w:kern w:val="22"/>
          <w:szCs w:val="22"/>
          <w:u w:color="000000"/>
        </w:rPr>
      </w:pPr>
      <w:r w:rsidRPr="00853C76">
        <w:rPr>
          <w:snapToGrid w:val="0"/>
          <w:kern w:val="22"/>
          <w:szCs w:val="22"/>
          <w:u w:color="000000"/>
        </w:rPr>
        <w:t>73.</w:t>
      </w:r>
      <w:r w:rsidRPr="00853C76">
        <w:rPr>
          <w:snapToGrid w:val="0"/>
          <w:kern w:val="22"/>
          <w:szCs w:val="22"/>
          <w:u w:color="000000"/>
        </w:rPr>
        <w:tab/>
        <w:t>To enhance its catalytic role in mobilizing new and additional financial resources while not compromising project goals</w:t>
      </w:r>
      <w:r>
        <w:rPr>
          <w:snapToGrid w:val="0"/>
          <w:kern w:val="22"/>
          <w:szCs w:val="22"/>
          <w:u w:color="000000"/>
        </w:rPr>
        <w:t>.</w:t>
      </w:r>
      <w:r w:rsidRPr="00610646">
        <w:rPr>
          <w:rStyle w:val="FootnoteReference"/>
        </w:rPr>
        <w:footnoteReference w:id="243"/>
      </w:r>
    </w:p>
    <w:p w14:paraId="2DF26370" w14:textId="77777777" w:rsidR="00DA0273" w:rsidRPr="00853C76" w:rsidRDefault="00DA0273" w:rsidP="00FB5720">
      <w:pPr>
        <w:keepNext/>
        <w:spacing w:before="120" w:after="120"/>
        <w:rPr>
          <w:b/>
          <w:bCs/>
          <w:iCs/>
          <w:snapToGrid w:val="0"/>
          <w:szCs w:val="22"/>
        </w:rPr>
      </w:pPr>
      <w:r w:rsidRPr="00853C76">
        <w:rPr>
          <w:b/>
          <w:bCs/>
          <w:iCs/>
          <w:snapToGrid w:val="0"/>
          <w:szCs w:val="22"/>
        </w:rPr>
        <w:t>Incremental costs</w:t>
      </w:r>
    </w:p>
    <w:p w14:paraId="46DD84C5" w14:textId="77777777" w:rsidR="00DA0273" w:rsidRPr="00853C76" w:rsidRDefault="00DA0273" w:rsidP="00FB5720">
      <w:pPr>
        <w:spacing w:before="120" w:after="120"/>
        <w:jc w:val="left"/>
        <w:rPr>
          <w:snapToGrid w:val="0"/>
          <w:kern w:val="22"/>
          <w:szCs w:val="22"/>
        </w:rPr>
      </w:pPr>
      <w:r w:rsidRPr="00853C76">
        <w:rPr>
          <w:snapToGrid w:val="0"/>
          <w:kern w:val="22"/>
          <w:szCs w:val="22"/>
        </w:rPr>
        <w:t>74.</w:t>
      </w:r>
      <w:r w:rsidRPr="00853C76">
        <w:rPr>
          <w:snapToGrid w:val="0"/>
          <w:kern w:val="22"/>
          <w:szCs w:val="22"/>
        </w:rPr>
        <w:tab/>
        <w:t>To apply in a more flexible, pragmatic and transparent manner the incremental cost principle</w:t>
      </w:r>
      <w:r>
        <w:rPr>
          <w:snapToGrid w:val="0"/>
          <w:kern w:val="22"/>
          <w:szCs w:val="22"/>
        </w:rPr>
        <w:t>.</w:t>
      </w:r>
      <w:r w:rsidRPr="00610646">
        <w:rPr>
          <w:rStyle w:val="FootnoteReference"/>
        </w:rPr>
        <w:footnoteReference w:id="244"/>
      </w:r>
    </w:p>
    <w:p w14:paraId="3B3B658A" w14:textId="77777777" w:rsidR="00DA0273" w:rsidRPr="00853C76" w:rsidRDefault="00DA0273" w:rsidP="00FB5720">
      <w:pPr>
        <w:keepNext/>
        <w:spacing w:before="120" w:after="120"/>
        <w:rPr>
          <w:b/>
          <w:bCs/>
          <w:iCs/>
          <w:snapToGrid w:val="0"/>
          <w:szCs w:val="22"/>
        </w:rPr>
      </w:pPr>
      <w:r w:rsidRPr="00853C76">
        <w:rPr>
          <w:b/>
          <w:bCs/>
          <w:iCs/>
          <w:snapToGrid w:val="0"/>
          <w:szCs w:val="22"/>
        </w:rPr>
        <w:t>Sustainability</w:t>
      </w:r>
    </w:p>
    <w:p w14:paraId="70B32F27" w14:textId="77777777" w:rsidR="00DA0273" w:rsidRPr="00853C76" w:rsidRDefault="00DA0273" w:rsidP="00FB5720">
      <w:pPr>
        <w:spacing w:before="120" w:after="120"/>
        <w:jc w:val="left"/>
        <w:rPr>
          <w:snapToGrid w:val="0"/>
          <w:kern w:val="22"/>
          <w:szCs w:val="22"/>
        </w:rPr>
      </w:pPr>
      <w:r w:rsidRPr="00853C76">
        <w:rPr>
          <w:snapToGrid w:val="0"/>
          <w:kern w:val="22"/>
          <w:szCs w:val="22"/>
        </w:rPr>
        <w:t>75.</w:t>
      </w:r>
      <w:r w:rsidRPr="00853C76">
        <w:rPr>
          <w:snapToGrid w:val="0"/>
          <w:kern w:val="22"/>
          <w:szCs w:val="22"/>
        </w:rPr>
        <w:tab/>
        <w:t>To promote exchange of experience and lessons learned in addressing sustainability of funded projects on biological diversity</w:t>
      </w:r>
      <w:r>
        <w:rPr>
          <w:snapToGrid w:val="0"/>
          <w:kern w:val="22"/>
          <w:szCs w:val="22"/>
        </w:rPr>
        <w:t>.</w:t>
      </w:r>
      <w:r w:rsidRPr="00610646">
        <w:rPr>
          <w:rStyle w:val="FootnoteReference"/>
        </w:rPr>
        <w:footnoteReference w:id="245"/>
      </w:r>
    </w:p>
    <w:p w14:paraId="2524EB13" w14:textId="77777777" w:rsidR="00DA0273" w:rsidRPr="00853C76" w:rsidRDefault="00DA0273" w:rsidP="000E778E">
      <w:pPr>
        <w:spacing w:before="120" w:after="120"/>
        <w:rPr>
          <w:kern w:val="22"/>
          <w:szCs w:val="22"/>
        </w:rPr>
      </w:pPr>
      <w:r w:rsidRPr="00853C76">
        <w:rPr>
          <w:kern w:val="22"/>
          <w:szCs w:val="22"/>
        </w:rPr>
        <w:t xml:space="preserve">76. </w:t>
      </w:r>
      <w:r w:rsidRPr="00853C76">
        <w:rPr>
          <w:kern w:val="22"/>
          <w:szCs w:val="22"/>
        </w:rPr>
        <w:tab/>
        <w:t xml:space="preserve">To </w:t>
      </w:r>
      <w:r w:rsidRPr="00853C76">
        <w:rPr>
          <w:snapToGrid w:val="0"/>
          <w:kern w:val="22"/>
          <w:szCs w:val="22"/>
        </w:rPr>
        <w:t>further</w:t>
      </w:r>
      <w:r w:rsidRPr="00853C76">
        <w:rPr>
          <w:kern w:val="22"/>
          <w:szCs w:val="22"/>
        </w:rPr>
        <w:t xml:space="preserve"> improve the sustainability of funded projects and programmes, including sustainable financing of protected areas</w:t>
      </w:r>
      <w:r>
        <w:rPr>
          <w:kern w:val="22"/>
          <w:szCs w:val="22"/>
        </w:rPr>
        <w:t>.</w:t>
      </w:r>
      <w:r w:rsidRPr="00610646">
        <w:rPr>
          <w:rStyle w:val="FootnoteReference"/>
          <w:rFonts w:eastAsiaTheme="majorEastAsia"/>
        </w:rPr>
        <w:footnoteReference w:id="246"/>
      </w:r>
    </w:p>
    <w:p w14:paraId="145AEDC7" w14:textId="77777777" w:rsidR="00DA0273" w:rsidRPr="00853C76" w:rsidRDefault="00DA0273" w:rsidP="00FB5720">
      <w:pPr>
        <w:keepNext/>
        <w:spacing w:before="120" w:after="120"/>
        <w:rPr>
          <w:b/>
          <w:bCs/>
          <w:iCs/>
          <w:snapToGrid w:val="0"/>
          <w:szCs w:val="22"/>
        </w:rPr>
      </w:pPr>
      <w:r w:rsidRPr="00853C76">
        <w:rPr>
          <w:b/>
          <w:bCs/>
          <w:iCs/>
          <w:snapToGrid w:val="0"/>
          <w:szCs w:val="22"/>
        </w:rPr>
        <w:t>Country ownership</w:t>
      </w:r>
    </w:p>
    <w:p w14:paraId="7F60B5C5" w14:textId="77777777" w:rsidR="00DA0273" w:rsidRPr="00853C76" w:rsidRDefault="00DA0273" w:rsidP="000E778E">
      <w:pPr>
        <w:spacing w:before="120" w:after="120"/>
        <w:rPr>
          <w:snapToGrid w:val="0"/>
          <w:kern w:val="22"/>
          <w:szCs w:val="22"/>
        </w:rPr>
      </w:pPr>
      <w:r w:rsidRPr="00853C76">
        <w:rPr>
          <w:snapToGrid w:val="0"/>
          <w:kern w:val="22"/>
          <w:szCs w:val="22"/>
        </w:rPr>
        <w:t>77.</w:t>
      </w:r>
      <w:r w:rsidRPr="00853C76">
        <w:rPr>
          <w:snapToGrid w:val="0"/>
          <w:kern w:val="22"/>
          <w:szCs w:val="22"/>
        </w:rPr>
        <w:tab/>
        <w:t>To promote genuine country ownership through greater involvement of participant countries in GEF</w:t>
      </w:r>
      <w:r>
        <w:rPr>
          <w:snapToGrid w:val="0"/>
          <w:kern w:val="22"/>
          <w:szCs w:val="22"/>
        </w:rPr>
        <w:noBreakHyphen/>
      </w:r>
      <w:r w:rsidRPr="00853C76">
        <w:rPr>
          <w:snapToGrid w:val="0"/>
          <w:kern w:val="22"/>
          <w:szCs w:val="22"/>
        </w:rPr>
        <w:t>funded activities</w:t>
      </w:r>
      <w:r>
        <w:rPr>
          <w:snapToGrid w:val="0"/>
          <w:kern w:val="22"/>
          <w:szCs w:val="22"/>
        </w:rPr>
        <w:t>.</w:t>
      </w:r>
      <w:r w:rsidRPr="00610646">
        <w:rPr>
          <w:rStyle w:val="FootnoteReference"/>
        </w:rPr>
        <w:footnoteReference w:id="247"/>
      </w:r>
    </w:p>
    <w:p w14:paraId="3C2A3589" w14:textId="77777777" w:rsidR="00DA0273" w:rsidRPr="00853C76" w:rsidRDefault="00DA0273" w:rsidP="000E778E">
      <w:pPr>
        <w:spacing w:before="120" w:after="120"/>
        <w:rPr>
          <w:snapToGrid w:val="0"/>
          <w:kern w:val="22"/>
          <w:szCs w:val="22"/>
        </w:rPr>
      </w:pPr>
      <w:r w:rsidRPr="00853C76">
        <w:rPr>
          <w:snapToGrid w:val="0"/>
          <w:kern w:val="22"/>
          <w:szCs w:val="22"/>
        </w:rPr>
        <w:t>78.</w:t>
      </w:r>
      <w:r w:rsidRPr="00853C76">
        <w:rPr>
          <w:snapToGrid w:val="0"/>
          <w:kern w:val="22"/>
          <w:szCs w:val="22"/>
        </w:rPr>
        <w:tab/>
        <w:t>To promote utilization of regional and local expertise and be flexible to accommodate national priorities and regional needs within the objectives of the Convention</w:t>
      </w:r>
      <w:r>
        <w:rPr>
          <w:snapToGrid w:val="0"/>
          <w:szCs w:val="22"/>
          <w:vertAlign w:val="superscript"/>
        </w:rPr>
        <w:t>.</w:t>
      </w:r>
      <w:r w:rsidRPr="00610646">
        <w:rPr>
          <w:rStyle w:val="FootnoteReference"/>
        </w:rPr>
        <w:footnoteReference w:id="248"/>
      </w:r>
    </w:p>
    <w:p w14:paraId="3A54A30F" w14:textId="77777777" w:rsidR="00DA0273" w:rsidRPr="00853C76" w:rsidRDefault="00DA0273" w:rsidP="000E778E">
      <w:pPr>
        <w:spacing w:before="120" w:after="120"/>
        <w:rPr>
          <w:snapToGrid w:val="0"/>
          <w:kern w:val="22"/>
          <w:szCs w:val="22"/>
        </w:rPr>
      </w:pPr>
      <w:r w:rsidRPr="00853C76">
        <w:rPr>
          <w:snapToGrid w:val="0"/>
          <w:kern w:val="22"/>
          <w:szCs w:val="22"/>
        </w:rPr>
        <w:lastRenderedPageBreak/>
        <w:t>79.</w:t>
      </w:r>
      <w:r w:rsidRPr="00853C76">
        <w:rPr>
          <w:snapToGrid w:val="0"/>
          <w:kern w:val="22"/>
          <w:szCs w:val="22"/>
        </w:rPr>
        <w:tab/>
        <w:t xml:space="preserve">To encourage collaboration at national level between </w:t>
      </w:r>
      <w:r>
        <w:rPr>
          <w:snapToGrid w:val="0"/>
          <w:kern w:val="22"/>
          <w:szCs w:val="22"/>
        </w:rPr>
        <w:t xml:space="preserve">CBD </w:t>
      </w:r>
      <w:r w:rsidRPr="00853C76">
        <w:rPr>
          <w:snapToGrid w:val="0"/>
          <w:kern w:val="22"/>
          <w:szCs w:val="22"/>
        </w:rPr>
        <w:t>national focal points for related environmental agreements and for the Global Environment Facility, including through the projects supported by the Facility, and including through regional and national workshops for the focal points</w:t>
      </w:r>
      <w:r>
        <w:rPr>
          <w:snapToGrid w:val="0"/>
          <w:kern w:val="22"/>
          <w:szCs w:val="22"/>
        </w:rPr>
        <w:t>.</w:t>
      </w:r>
      <w:r w:rsidRPr="00610646">
        <w:rPr>
          <w:rStyle w:val="FootnoteReference"/>
        </w:rPr>
        <w:footnoteReference w:id="249"/>
      </w:r>
    </w:p>
    <w:p w14:paraId="5C004B91" w14:textId="77777777" w:rsidR="00DA0273" w:rsidRPr="00853C76" w:rsidRDefault="00DA0273" w:rsidP="00FB5720">
      <w:pPr>
        <w:keepNext/>
        <w:spacing w:before="120" w:after="120"/>
        <w:rPr>
          <w:b/>
          <w:bCs/>
          <w:iCs/>
          <w:snapToGrid w:val="0"/>
          <w:szCs w:val="22"/>
        </w:rPr>
      </w:pPr>
      <w:r w:rsidRPr="00853C76">
        <w:rPr>
          <w:b/>
          <w:bCs/>
          <w:iCs/>
          <w:snapToGrid w:val="0"/>
          <w:szCs w:val="22"/>
        </w:rPr>
        <w:t>Compliance and collaboration of agencies</w:t>
      </w:r>
    </w:p>
    <w:p w14:paraId="125FE0B5" w14:textId="77777777" w:rsidR="00DA0273" w:rsidRPr="00853C76" w:rsidRDefault="00DA0273" w:rsidP="00FB5720">
      <w:pPr>
        <w:spacing w:before="120" w:after="120"/>
        <w:rPr>
          <w:snapToGrid w:val="0"/>
          <w:kern w:val="22"/>
          <w:szCs w:val="22"/>
        </w:rPr>
      </w:pPr>
      <w:r w:rsidRPr="00853C76">
        <w:rPr>
          <w:snapToGrid w:val="0"/>
          <w:kern w:val="22"/>
          <w:szCs w:val="22"/>
        </w:rPr>
        <w:t>80.</w:t>
      </w:r>
      <w:r w:rsidRPr="00853C76">
        <w:rPr>
          <w:snapToGrid w:val="0"/>
          <w:kern w:val="22"/>
          <w:szCs w:val="22"/>
        </w:rPr>
        <w:tab/>
        <w:t>To promote efforts to ensure that the implementing agencies fully comply with the policy, strategy, programme priorities and eligibility criteria of the Conference of the Parties in their support for country-driven activities funded by the Global Environment Facility</w:t>
      </w:r>
      <w:r>
        <w:rPr>
          <w:snapToGrid w:val="0"/>
          <w:kern w:val="22"/>
          <w:szCs w:val="22"/>
        </w:rPr>
        <w:t>.</w:t>
      </w:r>
      <w:r w:rsidRPr="00610646">
        <w:rPr>
          <w:rStyle w:val="FootnoteReference"/>
        </w:rPr>
        <w:footnoteReference w:id="250"/>
      </w:r>
    </w:p>
    <w:p w14:paraId="033C29DE" w14:textId="77777777" w:rsidR="00DA0273" w:rsidRPr="00853C76" w:rsidRDefault="00DA0273" w:rsidP="00FB5720">
      <w:pPr>
        <w:spacing w:before="120" w:after="120"/>
        <w:rPr>
          <w:snapToGrid w:val="0"/>
          <w:kern w:val="22"/>
          <w:szCs w:val="22"/>
        </w:rPr>
      </w:pPr>
      <w:r w:rsidRPr="00853C76">
        <w:rPr>
          <w:snapToGrid w:val="0"/>
          <w:kern w:val="22"/>
          <w:szCs w:val="22"/>
        </w:rPr>
        <w:t>81.</w:t>
      </w:r>
      <w:r w:rsidRPr="00853C76">
        <w:rPr>
          <w:snapToGrid w:val="0"/>
          <w:kern w:val="22"/>
          <w:szCs w:val="22"/>
        </w:rPr>
        <w:tab/>
        <w:t>To undertake efforts to improve the efficiency, effectiveness and transparency of the process of cooperation and coordination between the implementing agencies with a view to improving the processing and delivery systems of the Global Environment Facility, and to avoid duplication and parallel processes</w:t>
      </w:r>
      <w:r>
        <w:rPr>
          <w:snapToGrid w:val="0"/>
          <w:kern w:val="22"/>
          <w:szCs w:val="22"/>
        </w:rPr>
        <w:t>.</w:t>
      </w:r>
      <w:r w:rsidRPr="00610646">
        <w:rPr>
          <w:rStyle w:val="FootnoteReference"/>
        </w:rPr>
        <w:footnoteReference w:id="251"/>
      </w:r>
    </w:p>
    <w:p w14:paraId="361EE046" w14:textId="77777777" w:rsidR="00DA0273" w:rsidRPr="00853C76" w:rsidRDefault="00DA0273" w:rsidP="00FB5720">
      <w:pPr>
        <w:keepNext/>
        <w:spacing w:before="120" w:after="120"/>
        <w:rPr>
          <w:b/>
          <w:bCs/>
          <w:iCs/>
          <w:snapToGrid w:val="0"/>
          <w:szCs w:val="22"/>
        </w:rPr>
      </w:pPr>
      <w:r w:rsidRPr="00853C76">
        <w:rPr>
          <w:b/>
          <w:bCs/>
          <w:iCs/>
          <w:snapToGrid w:val="0"/>
          <w:szCs w:val="22"/>
        </w:rPr>
        <w:t>Partnership</w:t>
      </w:r>
    </w:p>
    <w:p w14:paraId="598EA0DE" w14:textId="77777777" w:rsidR="00DA0273" w:rsidRPr="00853C76" w:rsidRDefault="00DA0273" w:rsidP="00FB5720">
      <w:pPr>
        <w:spacing w:before="120" w:after="120"/>
        <w:rPr>
          <w:kern w:val="22"/>
          <w:szCs w:val="22"/>
        </w:rPr>
      </w:pPr>
      <w:r w:rsidRPr="00853C76">
        <w:rPr>
          <w:kern w:val="22"/>
          <w:szCs w:val="22"/>
        </w:rPr>
        <w:t>82.</w:t>
      </w:r>
      <w:r w:rsidRPr="00853C76">
        <w:rPr>
          <w:kern w:val="22"/>
          <w:szCs w:val="22"/>
        </w:rPr>
        <w:tab/>
        <w:t>To c</w:t>
      </w:r>
      <w:r w:rsidRPr="00853C76">
        <w:rPr>
          <w:snapToGrid w:val="0"/>
          <w:kern w:val="22"/>
          <w:szCs w:val="22"/>
        </w:rPr>
        <w:t>ontinue</w:t>
      </w:r>
      <w:r w:rsidRPr="00853C76">
        <w:rPr>
          <w:kern w:val="22"/>
          <w:szCs w:val="22"/>
        </w:rPr>
        <w:t xml:space="preserve"> to improve the efficiency and accountability of the Global Environment Facility partnership</w:t>
      </w:r>
      <w:r>
        <w:rPr>
          <w:kern w:val="22"/>
          <w:szCs w:val="22"/>
        </w:rPr>
        <w:t>.</w:t>
      </w:r>
      <w:r w:rsidRPr="00610646">
        <w:rPr>
          <w:rStyle w:val="FootnoteReference"/>
          <w:rFonts w:eastAsiaTheme="majorEastAsia"/>
        </w:rPr>
        <w:footnoteReference w:id="252"/>
      </w:r>
    </w:p>
    <w:p w14:paraId="4FBE4169" w14:textId="77777777" w:rsidR="00DA0273" w:rsidRPr="00853C76" w:rsidRDefault="00DA0273" w:rsidP="00FB5720">
      <w:pPr>
        <w:keepNext/>
        <w:spacing w:before="120" w:after="120"/>
        <w:rPr>
          <w:b/>
          <w:bCs/>
          <w:iCs/>
          <w:snapToGrid w:val="0"/>
          <w:szCs w:val="22"/>
        </w:rPr>
      </w:pPr>
      <w:r w:rsidRPr="00853C76">
        <w:rPr>
          <w:b/>
          <w:bCs/>
          <w:iCs/>
          <w:snapToGrid w:val="0"/>
          <w:szCs w:val="22"/>
        </w:rPr>
        <w:t>Monitoring and evaluation</w:t>
      </w:r>
    </w:p>
    <w:p w14:paraId="50E02E0A" w14:textId="77777777" w:rsidR="00DA0273" w:rsidRPr="00853C76" w:rsidRDefault="00DA0273" w:rsidP="00FB5720">
      <w:pPr>
        <w:spacing w:before="120" w:after="120"/>
        <w:rPr>
          <w:snapToGrid w:val="0"/>
          <w:kern w:val="22"/>
          <w:szCs w:val="22"/>
        </w:rPr>
      </w:pPr>
      <w:r w:rsidRPr="00853C76">
        <w:rPr>
          <w:snapToGrid w:val="0"/>
          <w:kern w:val="22"/>
          <w:szCs w:val="22"/>
        </w:rPr>
        <w:t>83.</w:t>
      </w:r>
      <w:r w:rsidRPr="00853C76">
        <w:rPr>
          <w:snapToGrid w:val="0"/>
          <w:kern w:val="22"/>
          <w:szCs w:val="22"/>
        </w:rPr>
        <w:tab/>
        <w:t>To Consult with the Executive Secretary in relevant review processes undertaken by the Global Environment Facility that affect the financial mechanism of the Convention</w:t>
      </w:r>
      <w:r>
        <w:rPr>
          <w:snapToGrid w:val="0"/>
          <w:kern w:val="22"/>
          <w:szCs w:val="22"/>
        </w:rPr>
        <w:t>.</w:t>
      </w:r>
      <w:r w:rsidRPr="00610646">
        <w:rPr>
          <w:rStyle w:val="FootnoteReference"/>
        </w:rPr>
        <w:footnoteReference w:id="253"/>
      </w:r>
    </w:p>
    <w:p w14:paraId="435307C1" w14:textId="77777777" w:rsidR="00DA0273" w:rsidRPr="00853C76" w:rsidRDefault="00DA0273" w:rsidP="00FB5720">
      <w:pPr>
        <w:spacing w:before="120" w:after="120"/>
        <w:rPr>
          <w:snapToGrid w:val="0"/>
          <w:kern w:val="22"/>
          <w:szCs w:val="22"/>
        </w:rPr>
      </w:pPr>
      <w:r w:rsidRPr="00853C76">
        <w:rPr>
          <w:snapToGrid w:val="0"/>
          <w:kern w:val="22"/>
          <w:szCs w:val="22"/>
        </w:rPr>
        <w:t>84.</w:t>
      </w:r>
      <w:r w:rsidRPr="00853C76">
        <w:rPr>
          <w:snapToGrid w:val="0"/>
          <w:kern w:val="22"/>
          <w:szCs w:val="22"/>
        </w:rPr>
        <w:tab/>
        <w:t>To include in its monitoring and evaluation activities the assessment of the compliance with the policy, strategy, programme priorities and eligibility criteria established by the Conference of the Parties</w:t>
      </w:r>
      <w:r>
        <w:rPr>
          <w:snapToGrid w:val="0"/>
          <w:kern w:val="22"/>
          <w:szCs w:val="22"/>
        </w:rPr>
        <w:t>.</w:t>
      </w:r>
      <w:r w:rsidRPr="00610646">
        <w:rPr>
          <w:rStyle w:val="FootnoteReference"/>
        </w:rPr>
        <w:footnoteReference w:id="254"/>
      </w:r>
    </w:p>
    <w:p w14:paraId="635D53F3" w14:textId="77777777" w:rsidR="00DA0273" w:rsidRPr="00853C76" w:rsidRDefault="00DA0273" w:rsidP="00FB5720">
      <w:pPr>
        <w:spacing w:before="120" w:after="120"/>
        <w:rPr>
          <w:snapToGrid w:val="0"/>
          <w:kern w:val="22"/>
          <w:szCs w:val="22"/>
        </w:rPr>
      </w:pPr>
      <w:r w:rsidRPr="00853C76">
        <w:rPr>
          <w:snapToGrid w:val="0"/>
          <w:kern w:val="22"/>
          <w:szCs w:val="22"/>
        </w:rPr>
        <w:t>85.</w:t>
      </w:r>
      <w:r w:rsidRPr="00853C76">
        <w:rPr>
          <w:snapToGrid w:val="0"/>
          <w:kern w:val="22"/>
          <w:szCs w:val="22"/>
        </w:rPr>
        <w:tab/>
        <w:t>To elaborate and transmit to the Conference of the Parties, well-summarized evaluation products and full evaluation reports relevant to biological diversity and to the guidance provided by the Conference of the Parties</w:t>
      </w:r>
      <w:r>
        <w:rPr>
          <w:snapToGrid w:val="0"/>
          <w:kern w:val="22"/>
          <w:szCs w:val="22"/>
        </w:rPr>
        <w:t>.</w:t>
      </w:r>
      <w:r w:rsidRPr="00610646">
        <w:rPr>
          <w:rStyle w:val="FootnoteReference"/>
        </w:rPr>
        <w:footnoteReference w:id="255"/>
      </w:r>
    </w:p>
    <w:p w14:paraId="0E6A6D25" w14:textId="77777777" w:rsidR="00DA0273" w:rsidRPr="00853C76" w:rsidRDefault="00DA0273" w:rsidP="00FB5720">
      <w:pPr>
        <w:spacing w:before="120" w:after="120"/>
        <w:rPr>
          <w:snapToGrid w:val="0"/>
          <w:kern w:val="22"/>
          <w:szCs w:val="22"/>
        </w:rPr>
      </w:pPr>
      <w:r w:rsidRPr="00853C76">
        <w:rPr>
          <w:snapToGrid w:val="0"/>
          <w:kern w:val="22"/>
          <w:szCs w:val="22"/>
        </w:rPr>
        <w:t>86.</w:t>
      </w:r>
      <w:r w:rsidRPr="00853C76">
        <w:rPr>
          <w:snapToGrid w:val="0"/>
          <w:kern w:val="22"/>
          <w:szCs w:val="22"/>
        </w:rPr>
        <w:tab/>
        <w:t>To include in its regular report findings, conclusions and recommendations of all relevant evaluations of the GEF Evaluation Office</w:t>
      </w:r>
      <w:r>
        <w:rPr>
          <w:snapToGrid w:val="0"/>
          <w:kern w:val="22"/>
          <w:szCs w:val="22"/>
        </w:rPr>
        <w:t>.</w:t>
      </w:r>
      <w:r w:rsidRPr="00610646">
        <w:rPr>
          <w:rStyle w:val="FootnoteReference"/>
        </w:rPr>
        <w:footnoteReference w:id="256"/>
      </w:r>
    </w:p>
    <w:p w14:paraId="23E9CC15" w14:textId="77777777" w:rsidR="00DA0273" w:rsidRPr="00853C76" w:rsidRDefault="00DA0273" w:rsidP="00FB5720">
      <w:pPr>
        <w:keepNext/>
        <w:spacing w:before="120" w:after="120"/>
        <w:rPr>
          <w:b/>
          <w:bCs/>
          <w:iCs/>
          <w:snapToGrid w:val="0"/>
          <w:szCs w:val="22"/>
        </w:rPr>
      </w:pPr>
      <w:r w:rsidRPr="00853C76">
        <w:rPr>
          <w:b/>
          <w:bCs/>
          <w:iCs/>
          <w:snapToGrid w:val="0"/>
          <w:szCs w:val="22"/>
        </w:rPr>
        <w:t>Efficiency</w:t>
      </w:r>
    </w:p>
    <w:p w14:paraId="5B46F87A" w14:textId="77777777" w:rsidR="00DA0273" w:rsidRPr="00853C76" w:rsidRDefault="00DA0273" w:rsidP="001C49D3">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87.</w:t>
      </w:r>
      <w:r w:rsidRPr="00853C76">
        <w:rPr>
          <w:snapToGrid w:val="0"/>
          <w:kern w:val="22"/>
          <w:szCs w:val="22"/>
        </w:rPr>
        <w:tab/>
        <w:t xml:space="preserve">To </w:t>
      </w:r>
      <w:r w:rsidRPr="0073448B">
        <w:rPr>
          <w:snapToGrid w:val="0"/>
          <w:kern w:val="22"/>
          <w:szCs w:val="22"/>
        </w:rPr>
        <w:t xml:space="preserve">support national implementation activities under the </w:t>
      </w:r>
      <w:r w:rsidRPr="0073448B">
        <w:rPr>
          <w:kern w:val="22"/>
        </w:rPr>
        <w:t xml:space="preserve">Kunming-Montreal </w:t>
      </w:r>
      <w:r w:rsidRPr="0073448B">
        <w:rPr>
          <w:bCs/>
          <w:snapToGrid w:val="0"/>
          <w:kern w:val="22"/>
          <w:szCs w:val="22"/>
        </w:rPr>
        <w:t>Global</w:t>
      </w:r>
      <w:r w:rsidRPr="00D71BEC">
        <w:rPr>
          <w:bCs/>
          <w:snapToGrid w:val="0"/>
          <w:kern w:val="22"/>
          <w:szCs w:val="22"/>
        </w:rPr>
        <w:t xml:space="preserve"> Biodiversity Framework</w:t>
      </w:r>
      <w:r>
        <w:rPr>
          <w:bCs/>
          <w:snapToGrid w:val="0"/>
          <w:kern w:val="22"/>
          <w:szCs w:val="22"/>
        </w:rPr>
        <w:t xml:space="preserve"> </w:t>
      </w:r>
      <w:r w:rsidRPr="00853C76">
        <w:rPr>
          <w:snapToGrid w:val="0"/>
          <w:kern w:val="22"/>
          <w:szCs w:val="22"/>
        </w:rPr>
        <w:t xml:space="preserve">in an efficient manner, with a view to enabling Parties to enhance progress towards the goals and targets of the </w:t>
      </w:r>
      <w:r>
        <w:rPr>
          <w:snapToGrid w:val="0"/>
          <w:kern w:val="22"/>
          <w:szCs w:val="22"/>
        </w:rPr>
        <w:t>Framework.</w:t>
      </w:r>
      <w:r w:rsidRPr="00610646">
        <w:rPr>
          <w:rStyle w:val="FootnoteReference"/>
          <w:rFonts w:eastAsiaTheme="majorEastAsia"/>
        </w:rPr>
        <w:footnoteReference w:id="257"/>
      </w:r>
    </w:p>
    <w:p w14:paraId="4CB738A9" w14:textId="77777777" w:rsidR="00DA0273" w:rsidRPr="00853C76" w:rsidRDefault="00DA0273" w:rsidP="00FB5720">
      <w:pPr>
        <w:keepNext/>
        <w:spacing w:before="120" w:after="120"/>
        <w:rPr>
          <w:b/>
          <w:bCs/>
          <w:iCs/>
          <w:snapToGrid w:val="0"/>
          <w:szCs w:val="22"/>
        </w:rPr>
      </w:pPr>
      <w:r w:rsidRPr="00853C76">
        <w:rPr>
          <w:b/>
          <w:bCs/>
          <w:iCs/>
          <w:snapToGrid w:val="0"/>
          <w:szCs w:val="22"/>
        </w:rPr>
        <w:t>Small grants programme</w:t>
      </w:r>
    </w:p>
    <w:p w14:paraId="2C058B28" w14:textId="77777777" w:rsidR="00DA0273" w:rsidRPr="00853C76" w:rsidRDefault="00DA0273" w:rsidP="00FB5720">
      <w:pPr>
        <w:spacing w:before="120" w:after="120"/>
        <w:rPr>
          <w:snapToGrid w:val="0"/>
          <w:kern w:val="22"/>
          <w:szCs w:val="22"/>
        </w:rPr>
      </w:pPr>
      <w:r w:rsidRPr="00853C76">
        <w:rPr>
          <w:snapToGrid w:val="0"/>
          <w:kern w:val="22"/>
          <w:szCs w:val="22"/>
        </w:rPr>
        <w:t>88.</w:t>
      </w:r>
      <w:r w:rsidRPr="00853C76">
        <w:rPr>
          <w:snapToGrid w:val="0"/>
          <w:kern w:val="22"/>
          <w:szCs w:val="22"/>
        </w:rPr>
        <w:tab/>
        <w:t>To continue expansion of the Small Grants Programme of the Global Environment Facility to other developing countries, in particular the least developed countries and small island developing States</w:t>
      </w:r>
      <w:r>
        <w:rPr>
          <w:snapToGrid w:val="0"/>
          <w:kern w:val="22"/>
          <w:szCs w:val="22"/>
        </w:rPr>
        <w:t>.</w:t>
      </w:r>
      <w:r w:rsidRPr="00610646">
        <w:rPr>
          <w:rStyle w:val="FootnoteReference"/>
        </w:rPr>
        <w:footnoteReference w:id="258"/>
      </w:r>
    </w:p>
    <w:p w14:paraId="6BB83640" w14:textId="77777777" w:rsidR="00DA0273" w:rsidRPr="00853C76" w:rsidRDefault="00DA0273" w:rsidP="00FB5720">
      <w:pPr>
        <w:keepNext/>
        <w:spacing w:before="120" w:after="120"/>
        <w:rPr>
          <w:b/>
          <w:bCs/>
          <w:iCs/>
          <w:snapToGrid w:val="0"/>
          <w:szCs w:val="22"/>
        </w:rPr>
      </w:pPr>
      <w:r w:rsidRPr="00853C76">
        <w:rPr>
          <w:b/>
          <w:bCs/>
          <w:iCs/>
          <w:snapToGrid w:val="0"/>
          <w:szCs w:val="22"/>
        </w:rPr>
        <w:t>Currency risks</w:t>
      </w:r>
    </w:p>
    <w:p w14:paraId="15062259" w14:textId="77777777" w:rsidR="00DA0273" w:rsidRPr="00853C76" w:rsidRDefault="00DA0273" w:rsidP="00FB5720">
      <w:pPr>
        <w:spacing w:before="120" w:after="120"/>
        <w:rPr>
          <w:snapToGrid w:val="0"/>
          <w:color w:val="000000"/>
          <w:kern w:val="22"/>
          <w:szCs w:val="22"/>
        </w:rPr>
      </w:pPr>
      <w:r w:rsidRPr="00853C76">
        <w:rPr>
          <w:snapToGrid w:val="0"/>
          <w:color w:val="000000"/>
          <w:kern w:val="22"/>
          <w:szCs w:val="22"/>
        </w:rPr>
        <w:t>89.</w:t>
      </w:r>
      <w:r w:rsidRPr="00853C76">
        <w:rPr>
          <w:snapToGrid w:val="0"/>
          <w:color w:val="000000"/>
          <w:kern w:val="22"/>
          <w:szCs w:val="22"/>
        </w:rPr>
        <w:tab/>
      </w:r>
      <w:r w:rsidRPr="00853C76">
        <w:rPr>
          <w:iCs/>
          <w:snapToGrid w:val="0"/>
          <w:color w:val="000000"/>
          <w:kern w:val="22"/>
          <w:szCs w:val="22"/>
        </w:rPr>
        <w:t>T</w:t>
      </w:r>
      <w:r w:rsidRPr="00853C76">
        <w:rPr>
          <w:snapToGrid w:val="0"/>
          <w:color w:val="000000"/>
          <w:kern w:val="22"/>
          <w:szCs w:val="22"/>
        </w:rPr>
        <w:t xml:space="preserve">o consider exploring measures to mitigate possible risks, including currency risks, in order to avoid potential negative impacts on future replenishment periods for the provision of financial resources </w:t>
      </w:r>
      <w:r w:rsidRPr="00853C76">
        <w:rPr>
          <w:snapToGrid w:val="0"/>
          <w:color w:val="000000"/>
          <w:kern w:val="22"/>
          <w:szCs w:val="22"/>
        </w:rPr>
        <w:lastRenderedPageBreak/>
        <w:t>for all Global Environment Facility recipient countries, taking fully into account the provisions of paragraphs 5 and 6 of Article 20 of the Convention</w:t>
      </w:r>
      <w:r>
        <w:rPr>
          <w:snapToGrid w:val="0"/>
          <w:color w:val="000000"/>
          <w:kern w:val="22"/>
          <w:szCs w:val="22"/>
        </w:rPr>
        <w:t>.</w:t>
      </w:r>
      <w:r w:rsidRPr="00610646">
        <w:rPr>
          <w:rStyle w:val="FootnoteReference"/>
          <w:rFonts w:eastAsiaTheme="majorEastAsia"/>
        </w:rPr>
        <w:footnoteReference w:id="259"/>
      </w:r>
    </w:p>
    <w:p w14:paraId="276075CB" w14:textId="77777777" w:rsidR="00DA0273" w:rsidRPr="00853C76" w:rsidRDefault="00DA0273" w:rsidP="00FB5720">
      <w:pPr>
        <w:keepNext/>
        <w:spacing w:before="120" w:after="120"/>
        <w:rPr>
          <w:b/>
          <w:bCs/>
          <w:iCs/>
          <w:snapToGrid w:val="0"/>
          <w:szCs w:val="22"/>
        </w:rPr>
      </w:pPr>
      <w:r w:rsidRPr="00853C76">
        <w:rPr>
          <w:b/>
          <w:bCs/>
          <w:iCs/>
          <w:snapToGrid w:val="0"/>
          <w:szCs w:val="22"/>
        </w:rPr>
        <w:t>Integrated approach</w:t>
      </w:r>
    </w:p>
    <w:p w14:paraId="3A93AED5" w14:textId="77777777" w:rsidR="00DA0273" w:rsidRPr="00853C76" w:rsidRDefault="00DA0273" w:rsidP="00FB5720">
      <w:pPr>
        <w:spacing w:after="120"/>
        <w:rPr>
          <w:snapToGrid w:val="0"/>
          <w:kern w:val="22"/>
          <w:szCs w:val="22"/>
        </w:rPr>
      </w:pPr>
      <w:r w:rsidRPr="00853C76">
        <w:rPr>
          <w:snapToGrid w:val="0"/>
          <w:kern w:val="22"/>
          <w:szCs w:val="22"/>
        </w:rPr>
        <w:t>90.</w:t>
      </w:r>
      <w:r w:rsidRPr="00853C76">
        <w:rPr>
          <w:snapToGrid w:val="0"/>
          <w:kern w:val="22"/>
          <w:szCs w:val="22"/>
        </w:rPr>
        <w:tab/>
        <w:t>To continue and further strengthen integrated programming as a means to harness opportunities for synergy in implementing related multilateral environmental agreements as well as the 2030 Agenda for Sustainable Development and its Sustainable Development Goals, in particular Sustainable Development Goals 14 and 15</w:t>
      </w:r>
      <w:r>
        <w:rPr>
          <w:snapToGrid w:val="0"/>
          <w:kern w:val="22"/>
          <w:szCs w:val="22"/>
        </w:rPr>
        <w:t>.</w:t>
      </w:r>
      <w:r w:rsidRPr="00610646">
        <w:rPr>
          <w:rStyle w:val="FootnoteReference"/>
          <w:rFonts w:eastAsiaTheme="majorEastAsia"/>
        </w:rPr>
        <w:footnoteReference w:id="260"/>
      </w:r>
    </w:p>
    <w:p w14:paraId="4EA70329" w14:textId="77777777" w:rsidR="00DA0273" w:rsidRPr="00853C76" w:rsidRDefault="00DA0273" w:rsidP="00FB5720">
      <w:pPr>
        <w:keepNext/>
        <w:spacing w:before="120" w:after="120"/>
        <w:rPr>
          <w:b/>
          <w:bCs/>
          <w:iCs/>
          <w:snapToGrid w:val="0"/>
          <w:szCs w:val="22"/>
        </w:rPr>
      </w:pPr>
      <w:r w:rsidRPr="00853C76">
        <w:rPr>
          <w:b/>
          <w:bCs/>
          <w:iCs/>
          <w:snapToGrid w:val="0"/>
          <w:szCs w:val="22"/>
        </w:rPr>
        <w:t>Conflict resolution</w:t>
      </w:r>
    </w:p>
    <w:p w14:paraId="7831174E" w14:textId="77777777" w:rsidR="00DA0273" w:rsidRPr="00853C76" w:rsidRDefault="00DA0273" w:rsidP="00FB5720">
      <w:pPr>
        <w:spacing w:before="120" w:after="120"/>
        <w:rPr>
          <w:kern w:val="22"/>
          <w:szCs w:val="22"/>
        </w:rPr>
      </w:pPr>
      <w:r w:rsidRPr="00853C76">
        <w:rPr>
          <w:kern w:val="22"/>
          <w:szCs w:val="22"/>
        </w:rPr>
        <w:t>91.</w:t>
      </w:r>
      <w:r w:rsidRPr="00853C76">
        <w:rPr>
          <w:kern w:val="22"/>
          <w:szCs w:val="22"/>
        </w:rPr>
        <w:tab/>
        <w:t xml:space="preserve">To promote </w:t>
      </w:r>
      <w:r w:rsidRPr="00853C76">
        <w:rPr>
          <w:snapToGrid w:val="0"/>
          <w:color w:val="000000"/>
          <w:kern w:val="22"/>
          <w:szCs w:val="22"/>
        </w:rPr>
        <w:t>awareness</w:t>
      </w:r>
      <w:r w:rsidRPr="00853C76">
        <w:rPr>
          <w:kern w:val="22"/>
          <w:szCs w:val="22"/>
        </w:rPr>
        <w:t xml:space="preserve"> to the existing processes under the Conflict Resolution Commissioner to address complaints related to the operations of the financial mechanism</w:t>
      </w:r>
      <w:r>
        <w:rPr>
          <w:kern w:val="22"/>
          <w:szCs w:val="22"/>
        </w:rPr>
        <w:t>.</w:t>
      </w:r>
      <w:r w:rsidRPr="00610646">
        <w:rPr>
          <w:rStyle w:val="FootnoteReference"/>
          <w:rFonts w:eastAsiaTheme="majorEastAsia"/>
        </w:rPr>
        <w:footnoteReference w:id="261"/>
      </w:r>
    </w:p>
    <w:p w14:paraId="0E57FC42"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22. Relationship with other international conventions</w:t>
      </w:r>
    </w:p>
    <w:p w14:paraId="60751943" w14:textId="77777777" w:rsidR="00DA0273" w:rsidRPr="00853C76" w:rsidRDefault="00DA0273" w:rsidP="00FB5720">
      <w:pPr>
        <w:spacing w:after="120"/>
        <w:rPr>
          <w:snapToGrid w:val="0"/>
          <w:kern w:val="22"/>
          <w:szCs w:val="22"/>
        </w:rPr>
      </w:pPr>
      <w:r w:rsidRPr="00853C76">
        <w:rPr>
          <w:snapToGrid w:val="0"/>
          <w:kern w:val="22"/>
          <w:szCs w:val="22"/>
        </w:rPr>
        <w:t>92.</w:t>
      </w:r>
      <w:r w:rsidRPr="00853C76">
        <w:rPr>
          <w:snapToGrid w:val="0"/>
          <w:kern w:val="22"/>
          <w:szCs w:val="22"/>
        </w:rPr>
        <w:tab/>
        <w:t>Projects and activities to improve synergies among relevant multilateral environment agreements</w:t>
      </w:r>
      <w:r>
        <w:rPr>
          <w:snapToGrid w:val="0"/>
          <w:kern w:val="22"/>
          <w:szCs w:val="22"/>
        </w:rPr>
        <w:t>.</w:t>
      </w:r>
      <w:r w:rsidRPr="00610646">
        <w:rPr>
          <w:rStyle w:val="FootnoteReference"/>
        </w:rPr>
        <w:footnoteReference w:id="262"/>
      </w:r>
    </w:p>
    <w:p w14:paraId="0756FC68" w14:textId="77777777" w:rsidR="00DA0273" w:rsidRPr="00853C76" w:rsidRDefault="00DA0273" w:rsidP="00FB5720">
      <w:pPr>
        <w:keepNext/>
        <w:tabs>
          <w:tab w:val="left" w:pos="567"/>
        </w:tabs>
        <w:spacing w:before="120" w:after="120"/>
        <w:jc w:val="center"/>
        <w:rPr>
          <w:i/>
          <w:iCs/>
          <w:snapToGrid w:val="0"/>
          <w:szCs w:val="22"/>
        </w:rPr>
      </w:pPr>
      <w:r w:rsidRPr="00853C76">
        <w:rPr>
          <w:i/>
          <w:iCs/>
          <w:snapToGrid w:val="0"/>
          <w:szCs w:val="22"/>
        </w:rPr>
        <w:t>Article 26. Reports</w:t>
      </w:r>
    </w:p>
    <w:p w14:paraId="2F1DC5D3" w14:textId="77777777" w:rsidR="00DA0273" w:rsidRPr="00853C76" w:rsidRDefault="00DA0273" w:rsidP="00FB5720">
      <w:pPr>
        <w:spacing w:after="120"/>
        <w:rPr>
          <w:snapToGrid w:val="0"/>
          <w:kern w:val="22"/>
          <w:szCs w:val="22"/>
        </w:rPr>
      </w:pPr>
      <w:r w:rsidRPr="00853C76">
        <w:rPr>
          <w:snapToGrid w:val="0"/>
          <w:kern w:val="22"/>
          <w:szCs w:val="22"/>
        </w:rPr>
        <w:t>93.</w:t>
      </w:r>
      <w:r w:rsidRPr="00853C76">
        <w:rPr>
          <w:snapToGrid w:val="0"/>
          <w:kern w:val="22"/>
          <w:szCs w:val="22"/>
        </w:rPr>
        <w:tab/>
        <w:t>Preparation of future national reports,</w:t>
      </w:r>
      <w:r w:rsidRPr="00610646">
        <w:rPr>
          <w:rStyle w:val="FootnoteReference"/>
        </w:rPr>
        <w:footnoteReference w:id="263"/>
      </w:r>
      <w:r w:rsidRPr="00853C76">
        <w:rPr>
          <w:snapToGrid w:val="0"/>
          <w:kern w:val="22"/>
          <w:szCs w:val="22"/>
        </w:rPr>
        <w:t xml:space="preserve"> in a timely and expeditious manner</w:t>
      </w:r>
      <w:r>
        <w:rPr>
          <w:snapToGrid w:val="0"/>
          <w:kern w:val="22"/>
          <w:szCs w:val="22"/>
        </w:rPr>
        <w:t>.</w:t>
      </w:r>
      <w:r w:rsidRPr="00610646">
        <w:rPr>
          <w:rStyle w:val="FootnoteReference"/>
          <w:rFonts w:eastAsiaTheme="majorEastAsia"/>
        </w:rPr>
        <w:footnoteReference w:id="264"/>
      </w:r>
    </w:p>
    <w:p w14:paraId="243AF14B" w14:textId="77777777" w:rsidR="00DA0273" w:rsidRPr="0081037E" w:rsidRDefault="00DA0273" w:rsidP="008103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222" w:name="_Toc259455679"/>
      <w:bookmarkStart w:id="223" w:name="_Toc260384329"/>
      <w:bookmarkStart w:id="224" w:name="_Toc263089319"/>
      <w:bookmarkStart w:id="225" w:name="_Toc257060636"/>
      <w:bookmarkStart w:id="226" w:name="_Toc259455705"/>
      <w:bookmarkStart w:id="227" w:name="_Toc260384356"/>
      <w:bookmarkStart w:id="228" w:name="_Toc263089346"/>
      <w:r w:rsidRPr="0081037E">
        <w:rPr>
          <w:b/>
          <w:bCs/>
          <w:snapToGrid w:val="0"/>
          <w:color w:val="000000"/>
          <w:kern w:val="22"/>
          <w:szCs w:val="22"/>
        </w:rPr>
        <w:t>C.</w:t>
      </w:r>
      <w:r w:rsidRPr="0081037E">
        <w:rPr>
          <w:b/>
          <w:bCs/>
          <w:snapToGrid w:val="0"/>
          <w:color w:val="000000"/>
          <w:kern w:val="22"/>
          <w:szCs w:val="22"/>
        </w:rPr>
        <w:tab/>
        <w:t>Eligibility criteria</w:t>
      </w:r>
      <w:bookmarkEnd w:id="222"/>
      <w:bookmarkEnd w:id="223"/>
      <w:bookmarkEnd w:id="224"/>
    </w:p>
    <w:p w14:paraId="04478239" w14:textId="77777777" w:rsidR="00DA0273" w:rsidRPr="00853C76" w:rsidRDefault="00DA0273" w:rsidP="00FB5720">
      <w:pPr>
        <w:keepNext/>
        <w:spacing w:before="120" w:after="120"/>
        <w:rPr>
          <w:b/>
          <w:bCs/>
          <w:iCs/>
          <w:snapToGrid w:val="0"/>
          <w:szCs w:val="22"/>
        </w:rPr>
      </w:pPr>
      <w:r w:rsidRPr="00853C76">
        <w:rPr>
          <w:b/>
          <w:bCs/>
          <w:iCs/>
          <w:snapToGrid w:val="0"/>
          <w:szCs w:val="22"/>
        </w:rPr>
        <w:t>Convention on Biological Diversity</w:t>
      </w:r>
      <w:r w:rsidRPr="00610646">
        <w:rPr>
          <w:rStyle w:val="FootnoteReference"/>
        </w:rPr>
        <w:footnoteReference w:id="265"/>
      </w:r>
    </w:p>
    <w:p w14:paraId="465B6C1F" w14:textId="77777777" w:rsidR="00DA0273" w:rsidRPr="00853C76" w:rsidRDefault="00DA0273" w:rsidP="00FB5720">
      <w:pPr>
        <w:spacing w:after="120"/>
        <w:rPr>
          <w:snapToGrid w:val="0"/>
          <w:kern w:val="22"/>
          <w:szCs w:val="22"/>
        </w:rPr>
      </w:pPr>
      <w:r w:rsidRPr="00853C76">
        <w:rPr>
          <w:snapToGrid w:val="0"/>
          <w:kern w:val="22"/>
          <w:szCs w:val="22"/>
        </w:rPr>
        <w:t>94.</w:t>
      </w:r>
      <w:r w:rsidRPr="00853C76">
        <w:rPr>
          <w:snapToGrid w:val="0"/>
          <w:kern w:val="22"/>
          <w:szCs w:val="22"/>
        </w:rPr>
        <w:tab/>
        <w:t>Only developing countries that are Parties to the Convention are eligible to receive funding upon the entry into force of the Convention for them. In accordance with the provisions of the Convention, projects that seek to meet the objectives of conservation of biological diversity and sustainable use of its components are eligible for financial support from the institutional structure</w:t>
      </w:r>
      <w:r>
        <w:rPr>
          <w:snapToGrid w:val="0"/>
          <w:kern w:val="22"/>
          <w:szCs w:val="22"/>
        </w:rPr>
        <w:t>;</w:t>
      </w:r>
    </w:p>
    <w:p w14:paraId="3C4FA991" w14:textId="77777777" w:rsidR="00DA0273" w:rsidRPr="00853C76" w:rsidRDefault="00DA0273" w:rsidP="00FB5720">
      <w:pPr>
        <w:spacing w:after="120"/>
        <w:rPr>
          <w:snapToGrid w:val="0"/>
          <w:kern w:val="22"/>
          <w:szCs w:val="22"/>
        </w:rPr>
      </w:pPr>
      <w:r w:rsidRPr="00853C76">
        <w:rPr>
          <w:snapToGrid w:val="0"/>
          <w:kern w:val="22"/>
          <w:szCs w:val="22"/>
        </w:rPr>
        <w:t>95.</w:t>
      </w:r>
      <w:r w:rsidRPr="00853C76">
        <w:rPr>
          <w:snapToGrid w:val="0"/>
          <w:kern w:val="22"/>
          <w:szCs w:val="22"/>
        </w:rPr>
        <w:tab/>
        <w:t>The Global Environment Facility continues to provide financial resources to Parties with economies in transition for biodiversity-related projects.</w:t>
      </w:r>
    </w:p>
    <w:p w14:paraId="57290461" w14:textId="77777777" w:rsidR="00DA0273" w:rsidRPr="00853C76" w:rsidRDefault="00DA0273" w:rsidP="00FB5720">
      <w:pPr>
        <w:keepNext/>
        <w:spacing w:before="120" w:after="120"/>
        <w:rPr>
          <w:b/>
          <w:bCs/>
          <w:iCs/>
          <w:snapToGrid w:val="0"/>
          <w:szCs w:val="22"/>
        </w:rPr>
      </w:pPr>
      <w:r w:rsidRPr="00853C76">
        <w:rPr>
          <w:b/>
          <w:bCs/>
          <w:iCs/>
          <w:snapToGrid w:val="0"/>
          <w:szCs w:val="22"/>
        </w:rPr>
        <w:t>Cartagena Protocol on Biosafety</w:t>
      </w:r>
      <w:r w:rsidRPr="00610646">
        <w:rPr>
          <w:rStyle w:val="FootnoteReference"/>
        </w:rPr>
        <w:footnoteReference w:id="266"/>
      </w:r>
    </w:p>
    <w:p w14:paraId="5B99DBDF" w14:textId="77777777" w:rsidR="00DA0273" w:rsidRPr="00853C76" w:rsidRDefault="00DA0273" w:rsidP="00FB5720">
      <w:pPr>
        <w:spacing w:after="120"/>
        <w:rPr>
          <w:snapToGrid w:val="0"/>
          <w:kern w:val="22"/>
          <w:szCs w:val="22"/>
        </w:rPr>
      </w:pPr>
      <w:r w:rsidRPr="00853C76">
        <w:rPr>
          <w:snapToGrid w:val="0"/>
          <w:kern w:val="22"/>
          <w:szCs w:val="22"/>
        </w:rPr>
        <w:t>96.</w:t>
      </w:r>
      <w:r w:rsidRPr="00853C76">
        <w:rPr>
          <w:snapToGrid w:val="0"/>
          <w:kern w:val="22"/>
          <w:szCs w:val="22"/>
        </w:rPr>
        <w:tab/>
        <w:t xml:space="preserve">All developing countries, in particular the least developed </w:t>
      </w:r>
      <w:r>
        <w:rPr>
          <w:snapToGrid w:val="0"/>
          <w:kern w:val="22"/>
          <w:szCs w:val="22"/>
        </w:rPr>
        <w:t xml:space="preserve">countries </w:t>
      </w:r>
      <w:r w:rsidRPr="00853C76">
        <w:rPr>
          <w:snapToGrid w:val="0"/>
          <w:kern w:val="22"/>
          <w:szCs w:val="22"/>
        </w:rPr>
        <w:t>and small island developing States, as well as countries with economies in transition, including countries among these that are centres of origin and centres of genetic diversity, which are Parties to the Cartagena Protocol on Biosafety, are eligible for funding by the Global Environment Facility.</w:t>
      </w:r>
    </w:p>
    <w:p w14:paraId="3894E3A9" w14:textId="77777777" w:rsidR="00DA0273" w:rsidRPr="00853C76" w:rsidRDefault="00DA0273" w:rsidP="00FB5720">
      <w:pPr>
        <w:spacing w:after="120"/>
        <w:rPr>
          <w:snapToGrid w:val="0"/>
          <w:kern w:val="22"/>
          <w:szCs w:val="22"/>
        </w:rPr>
      </w:pPr>
      <w:r w:rsidRPr="00853C76">
        <w:rPr>
          <w:snapToGrid w:val="0"/>
          <w:kern w:val="22"/>
          <w:szCs w:val="22"/>
        </w:rPr>
        <w:t>97.</w:t>
      </w:r>
      <w:r w:rsidRPr="00853C76">
        <w:rPr>
          <w:snapToGrid w:val="0"/>
          <w:kern w:val="22"/>
          <w:szCs w:val="22"/>
        </w:rPr>
        <w:tab/>
        <w:t xml:space="preserve">All developing countries, in particular the least developed </w:t>
      </w:r>
      <w:r>
        <w:rPr>
          <w:snapToGrid w:val="0"/>
          <w:kern w:val="22"/>
          <w:szCs w:val="22"/>
        </w:rPr>
        <w:t xml:space="preserve">countries </w:t>
      </w:r>
      <w:r w:rsidRPr="00853C76">
        <w:rPr>
          <w:snapToGrid w:val="0"/>
          <w:kern w:val="22"/>
          <w:szCs w:val="22"/>
        </w:rPr>
        <w:t>and small island developing States, as well as countries with economies in transition, including countries among these that are centres of origin and centres of genetic diversity, which are Parties to the Convention and provide a clear political commitment towards becoming Parties to the Protocol, shall also be eligible for funding by the Global Environment Facility for the development of national biosafety frameworks and the development of national biosafety clearing-houses and other necessary institutional capabilities to enable a non-Party to become a Party. Evidence of such political commitment shall take the form of a written assurance to the Executive Secretary that the country intends to become a Party to the Protocol on completion of the activities to be funded.</w:t>
      </w:r>
    </w:p>
    <w:p w14:paraId="42EEA894" w14:textId="77777777" w:rsidR="00DA0273" w:rsidRPr="00853C76" w:rsidRDefault="00DA0273" w:rsidP="00FB5720">
      <w:pPr>
        <w:keepNext/>
        <w:spacing w:before="120" w:after="120"/>
        <w:rPr>
          <w:b/>
          <w:bCs/>
          <w:iCs/>
          <w:snapToGrid w:val="0"/>
          <w:szCs w:val="22"/>
        </w:rPr>
      </w:pPr>
      <w:r w:rsidRPr="00853C76">
        <w:rPr>
          <w:b/>
          <w:bCs/>
          <w:iCs/>
          <w:snapToGrid w:val="0"/>
          <w:szCs w:val="22"/>
        </w:rPr>
        <w:lastRenderedPageBreak/>
        <w:t>Nagoya Protocol on Access and Benefit-sharing</w:t>
      </w:r>
      <w:r w:rsidRPr="00610646">
        <w:rPr>
          <w:rStyle w:val="FootnoteReference"/>
        </w:rPr>
        <w:footnoteReference w:id="267"/>
      </w:r>
    </w:p>
    <w:p w14:paraId="58C61BF7" w14:textId="77777777" w:rsidR="00DA0273" w:rsidRPr="00853C76" w:rsidRDefault="00DA0273" w:rsidP="00FB5720">
      <w:pPr>
        <w:spacing w:after="120"/>
        <w:rPr>
          <w:snapToGrid w:val="0"/>
          <w:kern w:val="22"/>
          <w:szCs w:val="22"/>
        </w:rPr>
      </w:pPr>
      <w:r w:rsidRPr="00853C76">
        <w:rPr>
          <w:snapToGrid w:val="0"/>
          <w:kern w:val="22"/>
          <w:szCs w:val="22"/>
        </w:rPr>
        <w:t>98.</w:t>
      </w:r>
      <w:r w:rsidRPr="00853C76">
        <w:rPr>
          <w:snapToGrid w:val="0"/>
          <w:kern w:val="22"/>
          <w:szCs w:val="22"/>
        </w:rPr>
        <w:tab/>
        <w:t xml:space="preserve">All developing countries, in particular the least developed </w:t>
      </w:r>
      <w:r>
        <w:rPr>
          <w:snapToGrid w:val="0"/>
          <w:kern w:val="22"/>
          <w:szCs w:val="22"/>
        </w:rPr>
        <w:t xml:space="preserve">countries </w:t>
      </w:r>
      <w:r w:rsidRPr="00853C76">
        <w:rPr>
          <w:snapToGrid w:val="0"/>
          <w:kern w:val="22"/>
          <w:szCs w:val="22"/>
        </w:rPr>
        <w:t>and small island developing States, as well as countries with economies in transition, which are Parties to the Nagoya Protocol, are eligible for funding by the Global Environment Facility in accordance with its mandate.</w:t>
      </w:r>
    </w:p>
    <w:p w14:paraId="432BC9A4" w14:textId="77777777" w:rsidR="00DA0273" w:rsidRPr="00853C76" w:rsidRDefault="00DA0273" w:rsidP="00FB5720">
      <w:pPr>
        <w:spacing w:after="120"/>
        <w:rPr>
          <w:snapToGrid w:val="0"/>
          <w:kern w:val="22"/>
          <w:szCs w:val="22"/>
        </w:rPr>
      </w:pPr>
      <w:r w:rsidRPr="00853C76">
        <w:rPr>
          <w:snapToGrid w:val="0"/>
          <w:kern w:val="22"/>
          <w:szCs w:val="22"/>
        </w:rPr>
        <w:t>99.</w:t>
      </w:r>
      <w:r w:rsidRPr="00853C76">
        <w:rPr>
          <w:snapToGrid w:val="0"/>
          <w:kern w:val="22"/>
          <w:szCs w:val="22"/>
        </w:rPr>
        <w:tab/>
        <w:t>Developing countries, in particular the least developed countries and small island developing States among them, and countries with economies in transition that are Parties to the Convention and provide a clear political commitment towards becoming Parties to the Protocol, shall also be eligible for funding by the Global Environment Facility for the development of national measures and institutional capabilities in order to enable them to become a Party. Evidence of such political commitment, accompanied by indicative activities and expected milestones, shall take the form of a written assurance to the Executive Secretary that the country intends to become a Party to the Nagoya Protocol on completion of the activities to be funded.</w:t>
      </w:r>
    </w:p>
    <w:p w14:paraId="01E37C89" w14:textId="77777777" w:rsidR="00DA0273" w:rsidRPr="0081037E" w:rsidRDefault="00DA0273" w:rsidP="0081037E">
      <w:pPr>
        <w:keepNext/>
        <w:pBdr>
          <w:top w:val="nil"/>
          <w:left w:val="nil"/>
          <w:bottom w:val="nil"/>
          <w:right w:val="nil"/>
          <w:between w:val="nil"/>
        </w:pBdr>
        <w:tabs>
          <w:tab w:val="left" w:pos="360"/>
        </w:tabs>
        <w:spacing w:before="120" w:after="120"/>
        <w:ind w:left="1560" w:right="571" w:hanging="567"/>
        <w:jc w:val="left"/>
        <w:rPr>
          <w:b/>
          <w:bCs/>
          <w:snapToGrid w:val="0"/>
          <w:color w:val="000000"/>
          <w:kern w:val="22"/>
          <w:szCs w:val="22"/>
        </w:rPr>
      </w:pPr>
      <w:r w:rsidRPr="0081037E">
        <w:rPr>
          <w:b/>
          <w:bCs/>
          <w:snapToGrid w:val="0"/>
          <w:color w:val="000000"/>
          <w:kern w:val="22"/>
          <w:szCs w:val="22"/>
        </w:rPr>
        <w:t>D.</w:t>
      </w:r>
      <w:r w:rsidRPr="0081037E">
        <w:rPr>
          <w:b/>
          <w:bCs/>
          <w:snapToGrid w:val="0"/>
          <w:color w:val="000000"/>
          <w:kern w:val="22"/>
          <w:szCs w:val="22"/>
        </w:rPr>
        <w:tab/>
        <w:t>Reporting from the Council of the Global Environment Facility to the Conference of the Parties</w:t>
      </w:r>
      <w:bookmarkEnd w:id="225"/>
      <w:bookmarkEnd w:id="226"/>
      <w:bookmarkEnd w:id="227"/>
      <w:bookmarkEnd w:id="228"/>
    </w:p>
    <w:p w14:paraId="0F2D5316" w14:textId="77777777" w:rsidR="00DA0273" w:rsidRPr="00853C76" w:rsidRDefault="00DA0273" w:rsidP="00FB5720">
      <w:pPr>
        <w:keepNext/>
        <w:spacing w:before="120" w:after="120"/>
        <w:rPr>
          <w:b/>
          <w:bCs/>
          <w:iCs/>
          <w:snapToGrid w:val="0"/>
          <w:szCs w:val="22"/>
        </w:rPr>
      </w:pPr>
      <w:r w:rsidRPr="00853C76">
        <w:rPr>
          <w:b/>
          <w:bCs/>
          <w:iCs/>
          <w:snapToGrid w:val="0"/>
          <w:szCs w:val="22"/>
        </w:rPr>
        <w:t>Timing</w:t>
      </w:r>
    </w:p>
    <w:p w14:paraId="58D93920" w14:textId="77777777" w:rsidR="00DA0273" w:rsidRPr="00853C76" w:rsidRDefault="00DA0273" w:rsidP="00FB5720">
      <w:pPr>
        <w:spacing w:after="120"/>
        <w:rPr>
          <w:snapToGrid w:val="0"/>
          <w:kern w:val="22"/>
          <w:szCs w:val="22"/>
        </w:rPr>
      </w:pPr>
      <w:r w:rsidRPr="00853C76">
        <w:rPr>
          <w:snapToGrid w:val="0"/>
          <w:kern w:val="22"/>
          <w:szCs w:val="22"/>
        </w:rPr>
        <w:t>100.</w:t>
      </w:r>
      <w:r w:rsidRPr="00853C76">
        <w:rPr>
          <w:snapToGrid w:val="0"/>
          <w:kern w:val="22"/>
          <w:szCs w:val="22"/>
        </w:rPr>
        <w:tab/>
        <w:t>The report from the Council of the Global Environment Facility to the Conference of the Parties should be made available three months prior to an ordinary meeting of the Conference of the Parties as well as with updates as appropriate, and in accordance with rules 28 and 54 of the Rules of Procedure for meetings of the Conference of the Parties, the Executive Secretary should make it available in all six official languages of the United Nations.</w:t>
      </w:r>
      <w:r w:rsidRPr="00610646">
        <w:rPr>
          <w:rStyle w:val="FootnoteReference"/>
        </w:rPr>
        <w:footnoteReference w:id="268"/>
      </w:r>
    </w:p>
    <w:p w14:paraId="20717212" w14:textId="77777777" w:rsidR="00DA0273" w:rsidRPr="00853C76" w:rsidRDefault="00DA0273" w:rsidP="00FB5720">
      <w:pPr>
        <w:keepNext/>
        <w:spacing w:before="120" w:after="120"/>
        <w:rPr>
          <w:b/>
          <w:bCs/>
          <w:iCs/>
          <w:snapToGrid w:val="0"/>
          <w:szCs w:val="22"/>
        </w:rPr>
      </w:pPr>
      <w:r w:rsidRPr="00853C76">
        <w:rPr>
          <w:b/>
          <w:bCs/>
          <w:iCs/>
          <w:snapToGrid w:val="0"/>
          <w:szCs w:val="22"/>
        </w:rPr>
        <w:t>Preliminary draft</w:t>
      </w:r>
    </w:p>
    <w:p w14:paraId="3B31D02A" w14:textId="77777777" w:rsidR="00DA0273" w:rsidRPr="00853C76" w:rsidRDefault="00DA0273" w:rsidP="00FB5720">
      <w:pPr>
        <w:spacing w:after="120"/>
        <w:rPr>
          <w:snapToGrid w:val="0"/>
          <w:kern w:val="22"/>
          <w:szCs w:val="22"/>
        </w:rPr>
      </w:pPr>
      <w:r w:rsidRPr="00853C76">
        <w:rPr>
          <w:snapToGrid w:val="0"/>
          <w:kern w:val="22"/>
          <w:szCs w:val="22"/>
        </w:rPr>
        <w:t>101.</w:t>
      </w:r>
      <w:r w:rsidRPr="00853C76">
        <w:rPr>
          <w:snapToGrid w:val="0"/>
          <w:kern w:val="22"/>
          <w:szCs w:val="22"/>
        </w:rPr>
        <w:tab/>
        <w:t>The Global Environment Facility should make available a preliminary draft of its report to the Conference of the Parties, particularly focusing on the response of the Global Environment Facility to previous 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w:t>
      </w:r>
      <w:r w:rsidRPr="00610646">
        <w:rPr>
          <w:rStyle w:val="FootnoteReference"/>
        </w:rPr>
        <w:footnoteReference w:id="269"/>
      </w:r>
    </w:p>
    <w:p w14:paraId="010BBADF" w14:textId="77777777" w:rsidR="00DA0273" w:rsidRPr="00853C76" w:rsidRDefault="00DA0273" w:rsidP="00FB5720">
      <w:pPr>
        <w:keepNext/>
        <w:spacing w:before="120" w:after="120"/>
        <w:rPr>
          <w:b/>
          <w:bCs/>
          <w:iCs/>
          <w:snapToGrid w:val="0"/>
          <w:szCs w:val="22"/>
        </w:rPr>
      </w:pPr>
      <w:r w:rsidRPr="00853C76">
        <w:rPr>
          <w:b/>
          <w:bCs/>
          <w:iCs/>
          <w:snapToGrid w:val="0"/>
          <w:szCs w:val="22"/>
        </w:rPr>
        <w:t>Comprehensiveness and conciseness</w:t>
      </w:r>
    </w:p>
    <w:p w14:paraId="3A0CA7CC" w14:textId="77777777" w:rsidR="00DA0273" w:rsidRPr="00853C76" w:rsidRDefault="00DA0273" w:rsidP="00B22F02">
      <w:pPr>
        <w:spacing w:after="120"/>
        <w:rPr>
          <w:snapToGrid w:val="0"/>
          <w:kern w:val="22"/>
          <w:szCs w:val="22"/>
        </w:rPr>
      </w:pPr>
      <w:r w:rsidRPr="00853C76">
        <w:rPr>
          <w:snapToGrid w:val="0"/>
          <w:kern w:val="22"/>
          <w:szCs w:val="22"/>
        </w:rPr>
        <w:t>102.</w:t>
      </w:r>
      <w:r w:rsidRPr="00853C76">
        <w:rPr>
          <w:snapToGrid w:val="0"/>
          <w:kern w:val="22"/>
          <w:szCs w:val="22"/>
        </w:rPr>
        <w:tab/>
        <w:t xml:space="preserve">The Global Environment Facility should explore ways to balance the comprehensiveness and conciseness of the report of the Global Environment Facility, acknowledging the need to demonstrate progress in programming resources towards achievement of the goals and targets of the </w:t>
      </w:r>
      <w:r>
        <w:rPr>
          <w:kern w:val="22"/>
        </w:rPr>
        <w:t xml:space="preserve">Kunming-Montreal </w:t>
      </w:r>
      <w:r w:rsidRPr="00D71BEC">
        <w:rPr>
          <w:bCs/>
          <w:snapToGrid w:val="0"/>
          <w:kern w:val="22"/>
          <w:szCs w:val="22"/>
        </w:rPr>
        <w:t>Global Biodiversity Framework</w:t>
      </w:r>
      <w:r w:rsidRPr="00853C76">
        <w:rPr>
          <w:snapToGrid w:val="0"/>
          <w:kern w:val="22"/>
          <w:szCs w:val="22"/>
        </w:rPr>
        <w:t>.</w:t>
      </w:r>
      <w:r w:rsidRPr="00610646">
        <w:rPr>
          <w:rStyle w:val="FootnoteReference"/>
        </w:rPr>
        <w:footnoteReference w:id="270"/>
      </w:r>
    </w:p>
    <w:p w14:paraId="128E0C17" w14:textId="77777777" w:rsidR="00DA0273" w:rsidRPr="00853C76" w:rsidRDefault="00DA0273" w:rsidP="00FB5720">
      <w:pPr>
        <w:keepNext/>
        <w:spacing w:before="120" w:after="120"/>
        <w:rPr>
          <w:b/>
          <w:bCs/>
          <w:iCs/>
          <w:snapToGrid w:val="0"/>
          <w:szCs w:val="22"/>
        </w:rPr>
      </w:pPr>
      <w:r w:rsidRPr="00853C76">
        <w:rPr>
          <w:b/>
          <w:bCs/>
          <w:iCs/>
          <w:snapToGrid w:val="0"/>
          <w:szCs w:val="22"/>
        </w:rPr>
        <w:t>Results-based reporting</w:t>
      </w:r>
    </w:p>
    <w:p w14:paraId="6E72782A" w14:textId="77777777" w:rsidR="00DA0273" w:rsidRPr="00853C76" w:rsidRDefault="00DA0273" w:rsidP="00FB5720">
      <w:pPr>
        <w:spacing w:after="120"/>
        <w:rPr>
          <w:snapToGrid w:val="0"/>
          <w:kern w:val="22"/>
          <w:szCs w:val="22"/>
        </w:rPr>
      </w:pPr>
      <w:r w:rsidRPr="00853C76">
        <w:rPr>
          <w:snapToGrid w:val="0"/>
          <w:kern w:val="22"/>
          <w:szCs w:val="22"/>
        </w:rPr>
        <w:t>103.</w:t>
      </w:r>
      <w:r w:rsidRPr="00853C76">
        <w:rPr>
          <w:snapToGrid w:val="0"/>
          <w:kern w:val="22"/>
          <w:szCs w:val="22"/>
        </w:rPr>
        <w:tab/>
        <w:t>The Global Environment Facility should improve results-based reporting on the total contribution of the Global Environment Facility to achieving the objectives of the Convention, including the Facility’s contribution to incremental-cost financing and leveraging co-financing.</w:t>
      </w:r>
      <w:r w:rsidRPr="00610646">
        <w:rPr>
          <w:rStyle w:val="FootnoteReference"/>
        </w:rPr>
        <w:footnoteReference w:id="271"/>
      </w:r>
    </w:p>
    <w:p w14:paraId="3878CABC" w14:textId="77777777" w:rsidR="00DA0273" w:rsidRPr="00853C76" w:rsidRDefault="00DA0273" w:rsidP="00FB5720">
      <w:pPr>
        <w:keepNext/>
        <w:spacing w:before="120" w:after="120"/>
        <w:rPr>
          <w:b/>
          <w:bCs/>
          <w:iCs/>
          <w:snapToGrid w:val="0"/>
          <w:szCs w:val="22"/>
        </w:rPr>
      </w:pPr>
      <w:r w:rsidRPr="00853C76">
        <w:rPr>
          <w:b/>
          <w:bCs/>
          <w:iCs/>
          <w:snapToGrid w:val="0"/>
          <w:szCs w:val="22"/>
        </w:rPr>
        <w:t>Report on four-year outcome-oriented framework of programme priorities</w:t>
      </w:r>
    </w:p>
    <w:p w14:paraId="0D06624C" w14:textId="77777777" w:rsidR="00DA0273" w:rsidRPr="00853C76" w:rsidRDefault="00DA0273" w:rsidP="00FB5720">
      <w:pPr>
        <w:spacing w:after="120"/>
        <w:rPr>
          <w:snapToGrid w:val="0"/>
          <w:kern w:val="22"/>
          <w:szCs w:val="22"/>
        </w:rPr>
      </w:pPr>
      <w:r w:rsidRPr="00853C76">
        <w:rPr>
          <w:snapToGrid w:val="0"/>
          <w:kern w:val="22"/>
          <w:szCs w:val="22"/>
        </w:rPr>
        <w:t>104.</w:t>
      </w:r>
      <w:r w:rsidRPr="00853C76">
        <w:rPr>
          <w:snapToGrid w:val="0"/>
          <w:kern w:val="22"/>
          <w:szCs w:val="22"/>
        </w:rPr>
        <w:tab/>
        <w:t>The Global Environment Facility should report on its implementation of the four-year outcome</w:t>
      </w:r>
      <w:r w:rsidRPr="00853C76">
        <w:rPr>
          <w:snapToGrid w:val="0"/>
          <w:kern w:val="22"/>
          <w:szCs w:val="22"/>
        </w:rPr>
        <w:noBreakHyphen/>
        <w:t>oriented framework of programme priorities and how it responds to the individual elements.</w:t>
      </w:r>
      <w:r w:rsidRPr="00610646">
        <w:rPr>
          <w:rStyle w:val="FootnoteReference"/>
        </w:rPr>
        <w:footnoteReference w:id="272"/>
      </w:r>
    </w:p>
    <w:p w14:paraId="48F5A279" w14:textId="77777777" w:rsidR="00DA0273" w:rsidRPr="00853C76" w:rsidRDefault="00DA0273" w:rsidP="00FB5720">
      <w:pPr>
        <w:spacing w:before="120" w:after="120"/>
        <w:rPr>
          <w:snapToGrid w:val="0"/>
          <w:kern w:val="22"/>
          <w:szCs w:val="22"/>
        </w:rPr>
      </w:pPr>
      <w:r w:rsidRPr="00853C76">
        <w:rPr>
          <w:iCs/>
          <w:snapToGrid w:val="0"/>
          <w:kern w:val="22"/>
          <w:szCs w:val="22"/>
        </w:rPr>
        <w:lastRenderedPageBreak/>
        <w:t>105.</w:t>
      </w:r>
      <w:r w:rsidRPr="00853C76">
        <w:rPr>
          <w:iCs/>
          <w:snapToGrid w:val="0"/>
          <w:kern w:val="22"/>
          <w:szCs w:val="22"/>
        </w:rPr>
        <w:tab/>
        <w:t xml:space="preserve">The </w:t>
      </w:r>
      <w:r w:rsidRPr="00853C76">
        <w:rPr>
          <w:snapToGrid w:val="0"/>
          <w:kern w:val="22"/>
          <w:szCs w:val="22"/>
        </w:rPr>
        <w:t>Global Environment Facility should include information regarding the individual elements of the consolidated guidance, in particular the four-year outcome-oriented framework of programme priorities, in its future reports to the Conference of the Parties</w:t>
      </w:r>
      <w:r>
        <w:rPr>
          <w:snapToGrid w:val="0"/>
          <w:kern w:val="22"/>
          <w:szCs w:val="22"/>
        </w:rPr>
        <w:t>.</w:t>
      </w:r>
      <w:r w:rsidRPr="00610646">
        <w:rPr>
          <w:rStyle w:val="FootnoteReference"/>
          <w:rFonts w:eastAsiaTheme="majorEastAsia"/>
        </w:rPr>
        <w:footnoteReference w:id="273"/>
      </w:r>
    </w:p>
    <w:p w14:paraId="1266E3E3" w14:textId="77777777" w:rsidR="00DA0273" w:rsidRPr="00853C76" w:rsidRDefault="00DA0273" w:rsidP="00FB5720">
      <w:pPr>
        <w:keepNext/>
        <w:spacing w:before="120" w:after="120"/>
        <w:rPr>
          <w:b/>
          <w:bCs/>
          <w:iCs/>
          <w:snapToGrid w:val="0"/>
          <w:szCs w:val="22"/>
        </w:rPr>
      </w:pPr>
      <w:r w:rsidRPr="00853C76">
        <w:rPr>
          <w:b/>
          <w:bCs/>
          <w:iCs/>
          <w:snapToGrid w:val="0"/>
          <w:szCs w:val="22"/>
        </w:rPr>
        <w:t>Reporting on needs assessment results</w:t>
      </w:r>
    </w:p>
    <w:p w14:paraId="10412C79" w14:textId="77777777" w:rsidR="00DA0273" w:rsidRPr="00853C76" w:rsidRDefault="00DA0273" w:rsidP="00FB5720">
      <w:pPr>
        <w:spacing w:after="120"/>
        <w:rPr>
          <w:snapToGrid w:val="0"/>
          <w:kern w:val="22"/>
          <w:szCs w:val="22"/>
        </w:rPr>
      </w:pPr>
      <w:r w:rsidRPr="00853C76">
        <w:rPr>
          <w:snapToGrid w:val="0"/>
          <w:kern w:val="22"/>
          <w:szCs w:val="22"/>
          <w:lang w:eastAsia="ko-KR"/>
        </w:rPr>
        <w:t>106</w:t>
      </w:r>
      <w:r w:rsidRPr="00853C76">
        <w:rPr>
          <w:snapToGrid w:val="0"/>
          <w:kern w:val="22"/>
          <w:szCs w:val="22"/>
        </w:rPr>
        <w:t>.</w:t>
      </w:r>
      <w:r w:rsidRPr="00853C76">
        <w:rPr>
          <w:snapToGrid w:val="0"/>
          <w:kern w:val="22"/>
          <w:szCs w:val="22"/>
        </w:rPr>
        <w:tab/>
        <w:t>The Global Environment Facility should indicate in its report to the Conference of the Parties, how it plans to respond to the report on the determination of funding requirements, pursuant to paragraph 5.2 of the Memorandum of Understanding.</w:t>
      </w:r>
      <w:r w:rsidRPr="00610646">
        <w:rPr>
          <w:rStyle w:val="FootnoteReference"/>
        </w:rPr>
        <w:footnoteReference w:id="274"/>
      </w:r>
    </w:p>
    <w:p w14:paraId="2F53C97E" w14:textId="77777777" w:rsidR="00DA0273" w:rsidRPr="00853C76" w:rsidRDefault="00DA0273" w:rsidP="00FB5720">
      <w:pPr>
        <w:spacing w:after="120"/>
        <w:rPr>
          <w:snapToGrid w:val="0"/>
          <w:kern w:val="22"/>
          <w:szCs w:val="22"/>
        </w:rPr>
      </w:pPr>
      <w:r w:rsidRPr="00853C76">
        <w:rPr>
          <w:snapToGrid w:val="0"/>
          <w:kern w:val="22"/>
          <w:szCs w:val="22"/>
        </w:rPr>
        <w:t>107.</w:t>
      </w:r>
      <w:r w:rsidRPr="00853C76">
        <w:rPr>
          <w:snapToGrid w:val="0"/>
          <w:kern w:val="22"/>
          <w:szCs w:val="22"/>
        </w:rPr>
        <w:tab/>
        <w:t>The Global Environment Facility will in its regular report to the Conference of Parties indicate how it has responded during the replenishment cycle to the previous assessment by the Conference of the Parties.</w:t>
      </w:r>
      <w:r w:rsidRPr="00610646">
        <w:rPr>
          <w:rStyle w:val="FootnoteReference"/>
          <w:rFonts w:eastAsiaTheme="majorEastAsia"/>
        </w:rPr>
        <w:footnoteReference w:id="275"/>
      </w:r>
    </w:p>
    <w:p w14:paraId="3C65AEB5" w14:textId="77777777" w:rsidR="00DA0273" w:rsidRPr="00853C76" w:rsidRDefault="00DA0273" w:rsidP="00FB5720">
      <w:pPr>
        <w:keepNext/>
        <w:spacing w:before="120" w:after="120"/>
        <w:rPr>
          <w:b/>
          <w:bCs/>
          <w:iCs/>
          <w:snapToGrid w:val="0"/>
          <w:szCs w:val="22"/>
        </w:rPr>
      </w:pPr>
      <w:r w:rsidRPr="00853C76">
        <w:rPr>
          <w:b/>
          <w:bCs/>
          <w:iCs/>
          <w:snapToGrid w:val="0"/>
          <w:szCs w:val="22"/>
        </w:rPr>
        <w:t>Transparency</w:t>
      </w:r>
    </w:p>
    <w:p w14:paraId="23EC179E" w14:textId="77777777" w:rsidR="00DA0273" w:rsidRPr="00853C76" w:rsidRDefault="00DA0273" w:rsidP="00FB5720">
      <w:pPr>
        <w:autoSpaceDE w:val="0"/>
        <w:autoSpaceDN w:val="0"/>
        <w:spacing w:before="120" w:after="120"/>
        <w:rPr>
          <w:snapToGrid w:val="0"/>
          <w:color w:val="000000"/>
          <w:kern w:val="22"/>
          <w:szCs w:val="22"/>
        </w:rPr>
      </w:pPr>
      <w:r w:rsidRPr="00853C76">
        <w:rPr>
          <w:snapToGrid w:val="0"/>
          <w:color w:val="000000"/>
          <w:kern w:val="22"/>
          <w:szCs w:val="22"/>
        </w:rPr>
        <w:t>108.</w:t>
      </w:r>
      <w:r w:rsidRPr="00853C76">
        <w:rPr>
          <w:snapToGrid w:val="0"/>
          <w:color w:val="000000"/>
          <w:kern w:val="22"/>
          <w:szCs w:val="22"/>
        </w:rPr>
        <w:tab/>
        <w:t>The Global Environment Facility, in response to the concerns of the Parties on transparency of the process of approving Global Environment Facility</w:t>
      </w:r>
      <w:r w:rsidRPr="00853C76" w:rsidDel="00391748">
        <w:rPr>
          <w:snapToGrid w:val="0"/>
          <w:color w:val="000000"/>
          <w:kern w:val="22"/>
          <w:szCs w:val="22"/>
        </w:rPr>
        <w:t xml:space="preserve"> </w:t>
      </w:r>
      <w:r w:rsidRPr="00853C76">
        <w:rPr>
          <w:snapToGrid w:val="0"/>
          <w:color w:val="000000"/>
          <w:kern w:val="22"/>
          <w:szCs w:val="22"/>
        </w:rPr>
        <w:t>projects, should include in its report to the Conference of the Parties, information regarding paragraph 3.3(d) of the Memorandum of Understanding</w:t>
      </w:r>
      <w:r>
        <w:rPr>
          <w:snapToGrid w:val="0"/>
          <w:color w:val="000000"/>
          <w:kern w:val="22"/>
          <w:szCs w:val="22"/>
        </w:rPr>
        <w:t>.</w:t>
      </w:r>
      <w:r w:rsidRPr="00610646">
        <w:rPr>
          <w:rStyle w:val="FootnoteReference"/>
          <w:rFonts w:eastAsiaTheme="majorEastAsia"/>
        </w:rPr>
        <w:footnoteReference w:id="276"/>
      </w:r>
    </w:p>
    <w:p w14:paraId="3352D547" w14:textId="77777777" w:rsidR="00DA0273" w:rsidRPr="00853C76" w:rsidRDefault="00DA0273" w:rsidP="00FB5720">
      <w:pPr>
        <w:keepNext/>
        <w:spacing w:before="120" w:after="120"/>
        <w:rPr>
          <w:b/>
          <w:bCs/>
          <w:iCs/>
          <w:snapToGrid w:val="0"/>
          <w:szCs w:val="22"/>
        </w:rPr>
      </w:pPr>
      <w:r w:rsidRPr="00853C76">
        <w:rPr>
          <w:b/>
          <w:bCs/>
          <w:iCs/>
          <w:snapToGrid w:val="0"/>
          <w:szCs w:val="22"/>
        </w:rPr>
        <w:t>Safeguards</w:t>
      </w:r>
    </w:p>
    <w:p w14:paraId="0BCCC635"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109.</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inform the Conference of the Parties about how it is taking into account the Convention’s voluntary guidelines on safeguards in biodiversity financing mechanisms</w:t>
      </w:r>
      <w:r>
        <w:rPr>
          <w:snapToGrid w:val="0"/>
          <w:kern w:val="22"/>
          <w:szCs w:val="22"/>
        </w:rPr>
        <w:t>.</w:t>
      </w:r>
      <w:r w:rsidRPr="00610646">
        <w:rPr>
          <w:rStyle w:val="FootnoteReference"/>
          <w:rFonts w:eastAsiaTheme="majorEastAsia"/>
        </w:rPr>
        <w:footnoteReference w:id="277"/>
      </w:r>
    </w:p>
    <w:p w14:paraId="49DCA8AF" w14:textId="77777777" w:rsidR="00DA0273" w:rsidRPr="00853C76" w:rsidRDefault="00DA0273" w:rsidP="00FB5720">
      <w:pPr>
        <w:keepNext/>
        <w:spacing w:before="120" w:after="120"/>
        <w:rPr>
          <w:b/>
          <w:bCs/>
          <w:iCs/>
          <w:snapToGrid w:val="0"/>
          <w:szCs w:val="22"/>
        </w:rPr>
      </w:pPr>
      <w:r w:rsidRPr="00853C76">
        <w:rPr>
          <w:b/>
          <w:bCs/>
          <w:iCs/>
          <w:snapToGrid w:val="0"/>
          <w:szCs w:val="22"/>
        </w:rPr>
        <w:t>Co-financing</w:t>
      </w:r>
    </w:p>
    <w:p w14:paraId="31401BB7"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110.</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include the information regarding progress in implementing the new co-financing policy in its report to the Conference of the Parties</w:t>
      </w:r>
      <w:r>
        <w:rPr>
          <w:snapToGrid w:val="0"/>
          <w:kern w:val="22"/>
          <w:szCs w:val="22"/>
        </w:rPr>
        <w:t>.</w:t>
      </w:r>
      <w:r w:rsidRPr="00610646">
        <w:rPr>
          <w:rStyle w:val="FootnoteReference"/>
          <w:rFonts w:eastAsiaTheme="majorEastAsia"/>
        </w:rPr>
        <w:footnoteReference w:id="278"/>
      </w:r>
    </w:p>
    <w:p w14:paraId="037402AB" w14:textId="77777777" w:rsidR="00DA0273" w:rsidRPr="00853C76" w:rsidRDefault="00DA0273" w:rsidP="00FB5720">
      <w:pPr>
        <w:keepNext/>
        <w:spacing w:before="120" w:after="120"/>
        <w:rPr>
          <w:b/>
          <w:bCs/>
          <w:iCs/>
          <w:snapToGrid w:val="0"/>
          <w:szCs w:val="22"/>
        </w:rPr>
      </w:pPr>
      <w:r w:rsidRPr="00853C76">
        <w:rPr>
          <w:b/>
          <w:bCs/>
          <w:iCs/>
          <w:snapToGrid w:val="0"/>
          <w:szCs w:val="22"/>
        </w:rPr>
        <w:t>Agencies</w:t>
      </w:r>
    </w:p>
    <w:p w14:paraId="1496FCAB"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snapToGrid w:val="0"/>
          <w:kern w:val="22"/>
          <w:szCs w:val="22"/>
        </w:rPr>
      </w:pPr>
      <w:r w:rsidRPr="00853C76">
        <w:rPr>
          <w:snapToGrid w:val="0"/>
          <w:kern w:val="22"/>
          <w:szCs w:val="22"/>
        </w:rPr>
        <w:t>111.</w:t>
      </w:r>
      <w:r w:rsidRPr="00853C76">
        <w:rPr>
          <w:snapToGrid w:val="0"/>
          <w:kern w:val="22"/>
          <w:szCs w:val="22"/>
        </w:rPr>
        <w:tab/>
      </w:r>
      <w:r w:rsidRPr="00853C76">
        <w:rPr>
          <w:iCs/>
          <w:snapToGrid w:val="0"/>
          <w:kern w:val="22"/>
          <w:szCs w:val="22"/>
        </w:rPr>
        <w:t>T</w:t>
      </w:r>
      <w:r w:rsidRPr="00853C76">
        <w:rPr>
          <w:snapToGrid w:val="0"/>
          <w:kern w:val="22"/>
          <w:szCs w:val="22"/>
        </w:rPr>
        <w:t>he Global Environment Facility should include the information regarding performance of the Global Environment Facility’s network of agencies in its report to the Conference of the Parties</w:t>
      </w:r>
      <w:r>
        <w:rPr>
          <w:snapToGrid w:val="0"/>
          <w:kern w:val="22"/>
          <w:szCs w:val="22"/>
        </w:rPr>
        <w:t>.</w:t>
      </w:r>
      <w:r w:rsidRPr="00610646">
        <w:rPr>
          <w:rStyle w:val="FootnoteReference"/>
          <w:rFonts w:eastAsiaTheme="majorEastAsia"/>
        </w:rPr>
        <w:footnoteReference w:id="279"/>
      </w:r>
    </w:p>
    <w:p w14:paraId="7F67D57A" w14:textId="77777777" w:rsidR="00DA0273" w:rsidRPr="0081037E" w:rsidRDefault="00DA0273" w:rsidP="008103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229" w:name="_Toc257060643"/>
      <w:bookmarkStart w:id="230" w:name="_Toc259455706"/>
      <w:bookmarkStart w:id="231" w:name="_Toc260384357"/>
      <w:bookmarkStart w:id="232" w:name="_Toc263089347"/>
      <w:r w:rsidRPr="0081037E">
        <w:rPr>
          <w:b/>
          <w:bCs/>
          <w:snapToGrid w:val="0"/>
          <w:color w:val="000000"/>
          <w:kern w:val="22"/>
          <w:szCs w:val="22"/>
        </w:rPr>
        <w:t>E.</w:t>
      </w:r>
      <w:r w:rsidRPr="0081037E">
        <w:rPr>
          <w:b/>
          <w:bCs/>
          <w:snapToGrid w:val="0"/>
          <w:color w:val="000000"/>
          <w:kern w:val="22"/>
          <w:szCs w:val="22"/>
        </w:rPr>
        <w:tab/>
        <w:t>Review of the effectiveness of the financial mechanism</w:t>
      </w:r>
      <w:bookmarkEnd w:id="229"/>
      <w:bookmarkEnd w:id="230"/>
      <w:bookmarkEnd w:id="231"/>
      <w:bookmarkEnd w:id="232"/>
    </w:p>
    <w:p w14:paraId="4D75B3B6" w14:textId="77777777" w:rsidR="00DA0273" w:rsidRPr="00853C76" w:rsidRDefault="00DA0273" w:rsidP="00FB5720">
      <w:pPr>
        <w:spacing w:after="120"/>
        <w:rPr>
          <w:snapToGrid w:val="0"/>
          <w:kern w:val="22"/>
          <w:szCs w:val="22"/>
        </w:rPr>
      </w:pPr>
      <w:r w:rsidRPr="00853C76">
        <w:rPr>
          <w:snapToGrid w:val="0"/>
          <w:kern w:val="22"/>
          <w:szCs w:val="22"/>
        </w:rPr>
        <w:t>112.</w:t>
      </w:r>
      <w:r w:rsidRPr="00853C76">
        <w:rPr>
          <w:snapToGrid w:val="0"/>
          <w:kern w:val="22"/>
          <w:szCs w:val="22"/>
        </w:rPr>
        <w:tab/>
        <w:t>The review of the effectiveness of the financial mechanism will be conducted every four years and this review should coincide with the meeting of the Conference of the Parties.</w:t>
      </w:r>
      <w:r w:rsidRPr="00610646">
        <w:rPr>
          <w:rStyle w:val="FootnoteReference"/>
        </w:rPr>
        <w:footnoteReference w:id="280"/>
      </w:r>
    </w:p>
    <w:p w14:paraId="377C39D7" w14:textId="77777777" w:rsidR="00DA0273" w:rsidRPr="0081037E" w:rsidRDefault="00DA0273" w:rsidP="0081037E">
      <w:pPr>
        <w:keepNext/>
        <w:pBdr>
          <w:top w:val="nil"/>
          <w:left w:val="nil"/>
          <w:bottom w:val="nil"/>
          <w:right w:val="nil"/>
          <w:between w:val="nil"/>
        </w:pBdr>
        <w:tabs>
          <w:tab w:val="left" w:pos="360"/>
        </w:tabs>
        <w:spacing w:before="120" w:after="120"/>
        <w:jc w:val="center"/>
        <w:rPr>
          <w:b/>
          <w:bCs/>
          <w:snapToGrid w:val="0"/>
          <w:color w:val="000000"/>
          <w:kern w:val="22"/>
          <w:szCs w:val="22"/>
        </w:rPr>
      </w:pPr>
      <w:bookmarkStart w:id="233" w:name="_Toc257060652"/>
      <w:bookmarkStart w:id="234" w:name="_Toc259455717"/>
      <w:bookmarkStart w:id="235" w:name="_Toc260384367"/>
      <w:bookmarkStart w:id="236" w:name="_Toc263089357"/>
      <w:r w:rsidRPr="0081037E">
        <w:rPr>
          <w:b/>
          <w:bCs/>
          <w:snapToGrid w:val="0"/>
          <w:color w:val="000000"/>
          <w:kern w:val="22"/>
          <w:szCs w:val="22"/>
        </w:rPr>
        <w:t>F.</w:t>
      </w:r>
      <w:r w:rsidRPr="0081037E">
        <w:rPr>
          <w:b/>
          <w:bCs/>
          <w:snapToGrid w:val="0"/>
          <w:color w:val="000000"/>
          <w:kern w:val="22"/>
          <w:szCs w:val="22"/>
        </w:rPr>
        <w:tab/>
        <w:t>Replenishment of the Global Environment Facility Trust Fund</w:t>
      </w:r>
      <w:bookmarkEnd w:id="233"/>
      <w:bookmarkEnd w:id="234"/>
      <w:bookmarkEnd w:id="235"/>
      <w:bookmarkEnd w:id="236"/>
    </w:p>
    <w:p w14:paraId="33C3B616" w14:textId="77777777" w:rsidR="00DA0273" w:rsidRPr="00853C76" w:rsidRDefault="00DA0273" w:rsidP="00FB5720">
      <w:pPr>
        <w:spacing w:after="120"/>
        <w:rPr>
          <w:snapToGrid w:val="0"/>
          <w:kern w:val="22"/>
          <w:szCs w:val="22"/>
        </w:rPr>
      </w:pPr>
      <w:r w:rsidRPr="00853C76">
        <w:rPr>
          <w:snapToGrid w:val="0"/>
          <w:kern w:val="22"/>
          <w:szCs w:val="22"/>
        </w:rPr>
        <w:t>113.</w:t>
      </w:r>
      <w:r w:rsidRPr="00853C76">
        <w:rPr>
          <w:snapToGrid w:val="0"/>
          <w:kern w:val="22"/>
          <w:szCs w:val="22"/>
        </w:rPr>
        <w:tab/>
        <w:t>The updated list of developed country Parties and other Parties that voluntarily assume the obligations of developed country Parties in accordance with Article 20, paragraph 2 of the Convention, is contained in the annex to decision VIII/18.</w:t>
      </w:r>
      <w:r w:rsidRPr="00610646">
        <w:rPr>
          <w:rStyle w:val="FootnoteReference"/>
          <w:rFonts w:eastAsiaTheme="majorEastAsia"/>
        </w:rPr>
        <w:footnoteReference w:id="281"/>
      </w:r>
    </w:p>
    <w:p w14:paraId="762D40AE" w14:textId="77777777" w:rsidR="00DA0273" w:rsidRPr="00853C76" w:rsidRDefault="00DA0273" w:rsidP="00FB5720">
      <w:pPr>
        <w:spacing w:after="120"/>
        <w:rPr>
          <w:snapToGrid w:val="0"/>
          <w:kern w:val="22"/>
          <w:szCs w:val="22"/>
        </w:rPr>
      </w:pPr>
      <w:r w:rsidRPr="00853C76">
        <w:rPr>
          <w:snapToGrid w:val="0"/>
          <w:kern w:val="22"/>
          <w:szCs w:val="22"/>
        </w:rPr>
        <w:t>114.</w:t>
      </w:r>
      <w:r w:rsidRPr="00853C76">
        <w:rPr>
          <w:snapToGrid w:val="0"/>
          <w:kern w:val="22"/>
          <w:szCs w:val="22"/>
        </w:rPr>
        <w:tab/>
        <w:t>The developed country Parties and others are invited to increase their financial contributions through the financial mechanism during the replenishment of the Global Environment Facility Trust Fund.</w:t>
      </w:r>
      <w:r w:rsidRPr="00610646">
        <w:rPr>
          <w:rStyle w:val="FootnoteReference"/>
          <w:rFonts w:eastAsiaTheme="majorEastAsia"/>
        </w:rPr>
        <w:footnoteReference w:id="282"/>
      </w:r>
    </w:p>
    <w:p w14:paraId="4117597C" w14:textId="77777777" w:rsidR="00DA0273" w:rsidRPr="00853C76" w:rsidRDefault="00DA0273" w:rsidP="00FB5720">
      <w:pPr>
        <w:spacing w:after="120"/>
        <w:rPr>
          <w:snapToGrid w:val="0"/>
          <w:kern w:val="22"/>
          <w:szCs w:val="22"/>
        </w:rPr>
      </w:pPr>
      <w:r w:rsidRPr="00853C76">
        <w:rPr>
          <w:snapToGrid w:val="0"/>
          <w:kern w:val="22"/>
          <w:szCs w:val="22"/>
        </w:rPr>
        <w:lastRenderedPageBreak/>
        <w:t>115.</w:t>
      </w:r>
      <w:r w:rsidRPr="00853C76">
        <w:rPr>
          <w:snapToGrid w:val="0"/>
          <w:kern w:val="22"/>
          <w:szCs w:val="22"/>
        </w:rPr>
        <w:tab/>
        <w:t>The Global Environment Facility is urged, in the process of replenishment, to give due consideration to all aspects of the needs assessment report on the levels of funding for biodiversity.</w:t>
      </w:r>
      <w:r w:rsidRPr="00610646">
        <w:rPr>
          <w:rStyle w:val="FootnoteReference"/>
          <w:rFonts w:eastAsiaTheme="majorEastAsia"/>
        </w:rPr>
        <w:footnoteReference w:id="283"/>
      </w:r>
      <w:bookmarkStart w:id="237" w:name="_Toc257060653"/>
      <w:bookmarkStart w:id="238" w:name="_Toc259455718"/>
      <w:bookmarkStart w:id="239" w:name="_Toc260384368"/>
      <w:bookmarkStart w:id="240" w:name="_Toc263089358"/>
    </w:p>
    <w:p w14:paraId="37D0B0B5" w14:textId="77777777" w:rsidR="00DA0273" w:rsidRPr="0081037E" w:rsidRDefault="00DA0273" w:rsidP="0081037E">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1037E">
        <w:rPr>
          <w:b/>
          <w:bCs/>
          <w:snapToGrid w:val="0"/>
          <w:color w:val="000000"/>
          <w:kern w:val="22"/>
          <w:szCs w:val="22"/>
        </w:rPr>
        <w:t>G.</w:t>
      </w:r>
      <w:r w:rsidRPr="0081037E">
        <w:rPr>
          <w:b/>
          <w:bCs/>
          <w:snapToGrid w:val="0"/>
          <w:color w:val="000000"/>
          <w:kern w:val="22"/>
          <w:szCs w:val="22"/>
        </w:rPr>
        <w:tab/>
        <w:t>Inter-secretariat cooperation</w:t>
      </w:r>
      <w:bookmarkEnd w:id="237"/>
      <w:bookmarkEnd w:id="238"/>
      <w:bookmarkEnd w:id="239"/>
      <w:bookmarkEnd w:id="240"/>
    </w:p>
    <w:p w14:paraId="5C17CE3E" w14:textId="77777777" w:rsidR="00DA0273" w:rsidRPr="00853C76" w:rsidRDefault="00DA0273" w:rsidP="00FB5720">
      <w:pPr>
        <w:spacing w:after="120"/>
        <w:rPr>
          <w:snapToGrid w:val="0"/>
          <w:kern w:val="22"/>
          <w:szCs w:val="22"/>
        </w:rPr>
      </w:pPr>
      <w:r w:rsidRPr="00853C76">
        <w:rPr>
          <w:snapToGrid w:val="0"/>
          <w:kern w:val="22"/>
          <w:szCs w:val="22"/>
        </w:rPr>
        <w:t>116.</w:t>
      </w:r>
      <w:r w:rsidRPr="00853C76">
        <w:rPr>
          <w:snapToGrid w:val="0"/>
          <w:kern w:val="22"/>
          <w:szCs w:val="22"/>
        </w:rPr>
        <w:tab/>
        <w:t>Participation of a representative of the Subsidiary Body on Scientific, Technical and Technological Advice of the Convention and of the Scientific and Technical Advisory Panel of the Global Environment Facility is requested in respective meetings of the Subsidiary Body on Scientific, Technical and Technological Advice and the Scientific and Technical Advisory Panel on a reciprocal basis.</w:t>
      </w:r>
      <w:r w:rsidRPr="00610646">
        <w:rPr>
          <w:rStyle w:val="FootnoteReference"/>
        </w:rPr>
        <w:footnoteReference w:id="284"/>
      </w:r>
    </w:p>
    <w:p w14:paraId="18500D19" w14:textId="77777777" w:rsidR="00DA0273" w:rsidRPr="00853C76" w:rsidRDefault="00DA0273" w:rsidP="00FB5720">
      <w:pPr>
        <w:spacing w:after="120"/>
        <w:rPr>
          <w:snapToGrid w:val="0"/>
          <w:kern w:val="22"/>
          <w:szCs w:val="22"/>
        </w:rPr>
      </w:pPr>
      <w:r w:rsidRPr="00853C76">
        <w:rPr>
          <w:snapToGrid w:val="0"/>
          <w:kern w:val="22"/>
          <w:szCs w:val="22"/>
        </w:rPr>
        <w:t>117.</w:t>
      </w:r>
      <w:r w:rsidRPr="00853C76">
        <w:rPr>
          <w:snapToGrid w:val="0"/>
          <w:kern w:val="22"/>
          <w:szCs w:val="22"/>
        </w:rPr>
        <w:tab/>
        <w:t>The Executive Secretary should promote, in collaboration with the Global Environment Facility, exchange of experience and good practice in financing for biological diversity.</w:t>
      </w:r>
      <w:r w:rsidRPr="00610646">
        <w:rPr>
          <w:rStyle w:val="FootnoteReference"/>
        </w:rPr>
        <w:footnoteReference w:id="285"/>
      </w:r>
    </w:p>
    <w:p w14:paraId="52133320" w14:textId="77777777" w:rsidR="00DA0273" w:rsidRPr="00853C76" w:rsidRDefault="00DA0273" w:rsidP="00FB5720">
      <w:pPr>
        <w:spacing w:after="120"/>
        <w:rPr>
          <w:snapToGrid w:val="0"/>
          <w:kern w:val="22"/>
          <w:szCs w:val="22"/>
        </w:rPr>
      </w:pPr>
      <w:r w:rsidRPr="00853C76">
        <w:rPr>
          <w:snapToGrid w:val="0"/>
          <w:kern w:val="22"/>
          <w:szCs w:val="22"/>
        </w:rPr>
        <w:t>118.</w:t>
      </w:r>
      <w:r w:rsidRPr="00853C76">
        <w:rPr>
          <w:snapToGrid w:val="0"/>
          <w:kern w:val="22"/>
          <w:szCs w:val="22"/>
        </w:rPr>
        <w:tab/>
        <w:t>The Executive Secretary and the Chief Executive Officer of the Global Environment Facility should continue to strengthen inter-secretariat cooperation and collaborate with the Independent Evaluation Office of the Global Environment Facility and the Global Environment Facility agencies.</w:t>
      </w:r>
      <w:r w:rsidRPr="00610646">
        <w:rPr>
          <w:rStyle w:val="FootnoteReference"/>
        </w:rPr>
        <w:footnoteReference w:id="286"/>
      </w:r>
    </w:p>
    <w:p w14:paraId="459D318F" w14:textId="77777777" w:rsidR="00DA0273" w:rsidRPr="00207688" w:rsidRDefault="00DA0273" w:rsidP="000E778E">
      <w:pPr>
        <w:rPr>
          <w:iCs/>
          <w:kern w:val="22"/>
          <w:szCs w:val="22"/>
        </w:rPr>
      </w:pPr>
      <w:r w:rsidRPr="00207688">
        <w:rPr>
          <w:rFonts w:eastAsia="SimSun"/>
          <w:snapToGrid w:val="0"/>
          <w:kern w:val="22"/>
          <w:szCs w:val="22"/>
          <w:lang w:eastAsia="zh-CN"/>
        </w:rPr>
        <w:t>119.</w:t>
      </w:r>
      <w:r w:rsidRPr="00207688">
        <w:rPr>
          <w:iCs/>
          <w:kern w:val="22"/>
          <w:szCs w:val="22"/>
        </w:rPr>
        <w:tab/>
      </w:r>
      <w:r w:rsidRPr="00207688">
        <w:rPr>
          <w:kern w:val="22"/>
          <w:szCs w:val="22"/>
        </w:rPr>
        <w:t>T</w:t>
      </w:r>
      <w:r w:rsidRPr="00207688">
        <w:rPr>
          <w:iCs/>
          <w:kern w:val="22"/>
          <w:szCs w:val="22"/>
        </w:rPr>
        <w:t xml:space="preserve">he Executive Secretary is encouraged to work closely with the Global Environment Facility in the transition to the </w:t>
      </w:r>
      <w:r w:rsidRPr="00207688">
        <w:rPr>
          <w:kern w:val="22"/>
        </w:rPr>
        <w:t xml:space="preserve">Kunming-Montreal </w:t>
      </w:r>
      <w:r w:rsidRPr="00207688">
        <w:rPr>
          <w:bCs/>
          <w:snapToGrid w:val="0"/>
          <w:kern w:val="22"/>
          <w:szCs w:val="22"/>
        </w:rPr>
        <w:t>Global Biodiversity Framework</w:t>
      </w:r>
      <w:r w:rsidRPr="000E778E">
        <w:rPr>
          <w:rFonts w:eastAsiaTheme="majorEastAsia"/>
          <w:iCs/>
          <w:spacing w:val="-4"/>
          <w:kern w:val="22"/>
          <w:szCs w:val="22"/>
        </w:rPr>
        <w:t>.</w:t>
      </w:r>
      <w:r w:rsidRPr="00610646">
        <w:rPr>
          <w:rStyle w:val="FootnoteReference"/>
          <w:rFonts w:eastAsiaTheme="majorEastAsia"/>
        </w:rPr>
        <w:footnoteReference w:id="287"/>
      </w:r>
    </w:p>
    <w:p w14:paraId="3A831A1C" w14:textId="77777777" w:rsidR="00DA0273" w:rsidRPr="00853C76" w:rsidRDefault="00DA0273" w:rsidP="00FB5720">
      <w:pPr>
        <w:suppressLineNumbers/>
        <w:suppressAutoHyphens/>
        <w:kinsoku w:val="0"/>
        <w:overflowPunct w:val="0"/>
        <w:autoSpaceDE w:val="0"/>
        <w:autoSpaceDN w:val="0"/>
        <w:adjustRightInd w:val="0"/>
        <w:snapToGrid w:val="0"/>
        <w:spacing w:before="120" w:after="120"/>
        <w:rPr>
          <w:i/>
          <w:snapToGrid w:val="0"/>
          <w:kern w:val="22"/>
          <w:szCs w:val="22"/>
        </w:rPr>
      </w:pPr>
      <w:r w:rsidRPr="00207688">
        <w:rPr>
          <w:rFonts w:eastAsia="SimSun"/>
          <w:snapToGrid w:val="0"/>
          <w:kern w:val="22"/>
          <w:szCs w:val="22"/>
          <w:lang w:eastAsia="zh-CN"/>
        </w:rPr>
        <w:t>120.</w:t>
      </w:r>
      <w:r w:rsidRPr="00207688">
        <w:rPr>
          <w:iCs/>
          <w:snapToGrid w:val="0"/>
          <w:kern w:val="22"/>
          <w:szCs w:val="22"/>
        </w:rPr>
        <w:tab/>
      </w:r>
      <w:r w:rsidRPr="00207688">
        <w:rPr>
          <w:snapToGrid w:val="0"/>
          <w:kern w:val="22"/>
          <w:szCs w:val="22"/>
        </w:rPr>
        <w:t>T</w:t>
      </w:r>
      <w:r w:rsidRPr="00207688">
        <w:rPr>
          <w:iCs/>
          <w:snapToGrid w:val="0"/>
          <w:kern w:val="22"/>
          <w:szCs w:val="22"/>
        </w:rPr>
        <w:t xml:space="preserve">he Executive Secretary is encouraged </w:t>
      </w:r>
      <w:r w:rsidRPr="00207688">
        <w:rPr>
          <w:snapToGrid w:val="0"/>
          <w:kern w:val="22"/>
          <w:szCs w:val="22"/>
        </w:rPr>
        <w:t xml:space="preserve">to work closely with agencies associated with the Global Environment Facility in the transition to the </w:t>
      </w:r>
      <w:r w:rsidRPr="00207688">
        <w:rPr>
          <w:kern w:val="22"/>
        </w:rPr>
        <w:t xml:space="preserve">Kunming-Montreal </w:t>
      </w:r>
      <w:r w:rsidRPr="00207688">
        <w:rPr>
          <w:bCs/>
          <w:snapToGrid w:val="0"/>
          <w:kern w:val="22"/>
          <w:szCs w:val="22"/>
        </w:rPr>
        <w:t>Global</w:t>
      </w:r>
      <w:r w:rsidRPr="00D71BEC">
        <w:rPr>
          <w:bCs/>
          <w:snapToGrid w:val="0"/>
          <w:kern w:val="22"/>
          <w:szCs w:val="22"/>
        </w:rPr>
        <w:t xml:space="preserve"> Biodiversity Framework</w:t>
      </w:r>
      <w:r w:rsidRPr="00853C76">
        <w:rPr>
          <w:snapToGrid w:val="0"/>
          <w:kern w:val="22"/>
          <w:szCs w:val="22"/>
        </w:rPr>
        <w:t>, taking into account the need to promote greater synergies between the Global Environment Facility and other financing mechanisms.</w:t>
      </w:r>
      <w:r w:rsidRPr="00853C76">
        <w:rPr>
          <w:rFonts w:eastAsiaTheme="majorEastAsia"/>
          <w:iCs/>
          <w:snapToGrid w:val="0"/>
          <w:spacing w:val="-4"/>
          <w:kern w:val="22"/>
          <w:szCs w:val="22"/>
          <w:vertAlign w:val="superscript"/>
        </w:rPr>
        <w:t xml:space="preserve"> </w:t>
      </w:r>
      <w:r w:rsidRPr="00610646">
        <w:rPr>
          <w:rStyle w:val="FootnoteReference"/>
          <w:rFonts w:eastAsiaTheme="majorEastAsia"/>
        </w:rPr>
        <w:footnoteReference w:id="288"/>
      </w:r>
    </w:p>
    <w:p w14:paraId="17565FB7" w14:textId="77777777" w:rsidR="00DA0273" w:rsidRPr="00853C76" w:rsidRDefault="00DA0273" w:rsidP="00C81B9C">
      <w:pPr>
        <w:suppressLineNumbers/>
        <w:suppressAutoHyphens/>
        <w:adjustRightInd w:val="0"/>
        <w:snapToGrid w:val="0"/>
        <w:spacing w:before="120" w:after="120"/>
        <w:jc w:val="center"/>
        <w:rPr>
          <w:i/>
          <w:snapToGrid w:val="0"/>
          <w:kern w:val="22"/>
          <w:szCs w:val="22"/>
        </w:rPr>
      </w:pPr>
      <w:bookmarkStart w:id="241" w:name="_Toc118354998"/>
      <w:r w:rsidRPr="00853C76">
        <w:rPr>
          <w:i/>
          <w:snapToGrid w:val="0"/>
          <w:kern w:val="22"/>
          <w:szCs w:val="22"/>
        </w:rPr>
        <w:t>Annex II B</w:t>
      </w:r>
      <w:bookmarkEnd w:id="241"/>
    </w:p>
    <w:p w14:paraId="67A2B1F1" w14:textId="77777777" w:rsidR="00DA0273" w:rsidRPr="00CA2F94" w:rsidRDefault="00DA0273" w:rsidP="00CA2F94">
      <w:pPr>
        <w:pStyle w:val="BodyText"/>
        <w:ind w:firstLine="0"/>
        <w:jc w:val="center"/>
        <w:rPr>
          <w:b/>
          <w:bCs/>
        </w:rPr>
      </w:pPr>
      <w:bookmarkStart w:id="242" w:name="_Toc118354999"/>
      <w:r w:rsidRPr="00CA2F94">
        <w:rPr>
          <w:b/>
          <w:bCs/>
        </w:rPr>
        <w:t xml:space="preserve">ADDITIONAL GUIDANCE TO THE </w:t>
      </w:r>
      <w:bookmarkEnd w:id="242"/>
      <w:r w:rsidRPr="00CA2F94">
        <w:rPr>
          <w:b/>
          <w:bCs/>
        </w:rPr>
        <w:t>GLOBAL ENVIRONMENT FACILITY</w:t>
      </w:r>
    </w:p>
    <w:p w14:paraId="679148CF" w14:textId="77777777" w:rsidR="00DA0273" w:rsidRPr="00853C76" w:rsidRDefault="00DA0273" w:rsidP="000E778E">
      <w:pPr>
        <w:suppressLineNumbers/>
        <w:suppressAutoHyphens/>
        <w:adjustRightInd w:val="0"/>
        <w:snapToGrid w:val="0"/>
        <w:spacing w:before="240" w:after="120"/>
        <w:jc w:val="left"/>
        <w:rPr>
          <w:iCs/>
          <w:snapToGrid w:val="0"/>
          <w:kern w:val="22"/>
          <w:szCs w:val="22"/>
        </w:rPr>
      </w:pPr>
      <w:r w:rsidRPr="00853C76">
        <w:rPr>
          <w:i/>
          <w:iCs/>
          <w:snapToGrid w:val="0"/>
          <w:kern w:val="22"/>
          <w:szCs w:val="22"/>
        </w:rPr>
        <w:t>The Conference of the Parties</w:t>
      </w:r>
      <w:r w:rsidRPr="00853C76">
        <w:rPr>
          <w:iCs/>
          <w:snapToGrid w:val="0"/>
          <w:kern w:val="22"/>
          <w:szCs w:val="22"/>
        </w:rPr>
        <w:t>,</w:t>
      </w:r>
    </w:p>
    <w:p w14:paraId="4BA31A5F" w14:textId="77777777" w:rsidR="00DA0273" w:rsidRPr="00853C76" w:rsidRDefault="00DA0273" w:rsidP="00B07C20">
      <w:pPr>
        <w:suppressLineNumbers/>
        <w:suppressAutoHyphens/>
        <w:adjustRightInd w:val="0"/>
        <w:snapToGrid w:val="0"/>
        <w:spacing w:before="120" w:after="120"/>
        <w:jc w:val="left"/>
        <w:rPr>
          <w:b/>
          <w:bCs/>
          <w:iCs/>
          <w:snapToGrid w:val="0"/>
          <w:kern w:val="22"/>
          <w:szCs w:val="22"/>
        </w:rPr>
      </w:pPr>
      <w:r w:rsidRPr="00853C76">
        <w:rPr>
          <w:b/>
          <w:bCs/>
          <w:iCs/>
          <w:snapToGrid w:val="0"/>
          <w:kern w:val="22"/>
          <w:szCs w:val="22"/>
        </w:rPr>
        <w:t xml:space="preserve">Planning, monitoring, reporting and review </w:t>
      </w:r>
    </w:p>
    <w:p w14:paraId="4B377AF0" w14:textId="77777777" w:rsidR="00DA0273" w:rsidRPr="00853C76" w:rsidRDefault="00DA0273" w:rsidP="00F27DAC">
      <w:pPr>
        <w:suppressLineNumbers/>
        <w:suppressAutoHyphens/>
        <w:adjustRightInd w:val="0"/>
        <w:snapToGrid w:val="0"/>
        <w:spacing w:before="120" w:after="120"/>
        <w:rPr>
          <w:iCs/>
          <w:snapToGrid w:val="0"/>
          <w:kern w:val="22"/>
          <w:szCs w:val="22"/>
        </w:rPr>
      </w:pPr>
      <w:r w:rsidRPr="00853C76">
        <w:rPr>
          <w:snapToGrid w:val="0"/>
          <w:kern w:val="22"/>
          <w:szCs w:val="22"/>
        </w:rPr>
        <w:t>1.</w:t>
      </w:r>
      <w:r w:rsidRPr="00853C76">
        <w:rPr>
          <w:snapToGrid w:val="0"/>
          <w:kern w:val="22"/>
          <w:szCs w:val="22"/>
        </w:rPr>
        <w:tab/>
      </w:r>
      <w:r w:rsidRPr="00853C76">
        <w:rPr>
          <w:i/>
          <w:iCs/>
          <w:snapToGrid w:val="0"/>
          <w:kern w:val="22"/>
          <w:szCs w:val="22"/>
        </w:rPr>
        <w:t xml:space="preserve">Invites </w:t>
      </w:r>
      <w:r w:rsidRPr="00853C76">
        <w:rPr>
          <w:iCs/>
          <w:snapToGrid w:val="0"/>
          <w:kern w:val="22"/>
          <w:szCs w:val="22"/>
        </w:rPr>
        <w:t xml:space="preserve">the Global Environment Facility and its agencies to make funds available in a timely and expeditious manner to all eligible countries, in particular </w:t>
      </w:r>
      <w:r>
        <w:rPr>
          <w:iCs/>
          <w:snapToGrid w:val="0"/>
          <w:kern w:val="22"/>
          <w:szCs w:val="22"/>
        </w:rPr>
        <w:t xml:space="preserve">the </w:t>
      </w:r>
      <w:r w:rsidRPr="00853C76">
        <w:rPr>
          <w:iCs/>
          <w:snapToGrid w:val="0"/>
          <w:kern w:val="22"/>
          <w:szCs w:val="22"/>
        </w:rPr>
        <w:t>least developed countries and small island developing States</w:t>
      </w:r>
      <w:r>
        <w:rPr>
          <w:iCs/>
          <w:snapToGrid w:val="0"/>
          <w:kern w:val="22"/>
          <w:szCs w:val="22"/>
        </w:rPr>
        <w:t>,</w:t>
      </w:r>
      <w:r w:rsidRPr="00853C76">
        <w:rPr>
          <w:iCs/>
          <w:snapToGrid w:val="0"/>
          <w:kern w:val="22"/>
          <w:szCs w:val="22"/>
        </w:rPr>
        <w:t xml:space="preserve"> to support the updating or revision of national biodiversity strategies and action plans and to support the preparation of national reports, so that Parties may begin implementation as soon as possible after the adoption of the </w:t>
      </w:r>
      <w:r>
        <w:rPr>
          <w:kern w:val="22"/>
        </w:rPr>
        <w:t xml:space="preserve">Kunming-Montreal </w:t>
      </w:r>
      <w:r w:rsidRPr="00D71BEC">
        <w:rPr>
          <w:bCs/>
          <w:snapToGrid w:val="0"/>
          <w:kern w:val="22"/>
          <w:szCs w:val="22"/>
        </w:rPr>
        <w:t>Global Biodiversity Framework</w:t>
      </w:r>
      <w:r w:rsidRPr="00853C76">
        <w:rPr>
          <w:iCs/>
          <w:snapToGrid w:val="0"/>
          <w:kern w:val="22"/>
          <w:szCs w:val="22"/>
        </w:rPr>
        <w:t>;</w:t>
      </w:r>
    </w:p>
    <w:p w14:paraId="2A742D85" w14:textId="77777777" w:rsidR="00DA0273" w:rsidRPr="00853C76" w:rsidRDefault="00DA0273"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Biodiversity and agriculture</w:t>
      </w:r>
    </w:p>
    <w:p w14:paraId="4603031C" w14:textId="77777777" w:rsidR="00DA0273" w:rsidRPr="00853C76" w:rsidRDefault="00DA0273" w:rsidP="00137D31">
      <w:pPr>
        <w:suppressLineNumbers/>
        <w:suppressAutoHyphens/>
        <w:adjustRightInd w:val="0"/>
        <w:snapToGrid w:val="0"/>
        <w:spacing w:before="120" w:after="120"/>
        <w:rPr>
          <w:iCs/>
          <w:snapToGrid w:val="0"/>
          <w:kern w:val="22"/>
          <w:szCs w:val="22"/>
          <w:lang w:val="en-US"/>
        </w:rPr>
      </w:pPr>
      <w:r w:rsidRPr="005A7A79">
        <w:rPr>
          <w:iCs/>
          <w:snapToGrid w:val="0"/>
          <w:kern w:val="22"/>
          <w:szCs w:val="22"/>
        </w:rPr>
        <w:t xml:space="preserve">2. </w:t>
      </w:r>
      <w:r w:rsidRPr="005A7A79">
        <w:rPr>
          <w:iCs/>
          <w:snapToGrid w:val="0"/>
          <w:kern w:val="22"/>
          <w:szCs w:val="22"/>
        </w:rPr>
        <w:tab/>
      </w:r>
      <w:r w:rsidRPr="005A7A79">
        <w:rPr>
          <w:i/>
          <w:iCs/>
          <w:snapToGrid w:val="0"/>
          <w:kern w:val="22"/>
          <w:szCs w:val="22"/>
        </w:rPr>
        <w:t xml:space="preserve">Invites </w:t>
      </w:r>
      <w:r w:rsidRPr="005A7A79">
        <w:rPr>
          <w:iCs/>
          <w:snapToGrid w:val="0"/>
          <w:kern w:val="22"/>
          <w:szCs w:val="22"/>
        </w:rPr>
        <w:t xml:space="preserve">the Global Environment Facility, other donors, funding agencies and the private sector to provide financial assistance to developing countries, in particular the least developed countries and small island developing States, as well as countries with economies in transition, including capacity-building and development activities, for national, subnational and regional projects that address the implementation of the </w:t>
      </w:r>
      <w:r>
        <w:rPr>
          <w:iCs/>
          <w:snapToGrid w:val="0"/>
          <w:kern w:val="22"/>
          <w:szCs w:val="22"/>
        </w:rPr>
        <w:t>P</w:t>
      </w:r>
      <w:r w:rsidRPr="005A7A79">
        <w:rPr>
          <w:iCs/>
          <w:snapToGrid w:val="0"/>
          <w:kern w:val="22"/>
          <w:szCs w:val="22"/>
        </w:rPr>
        <w:t xml:space="preserve">lan of </w:t>
      </w:r>
      <w:r>
        <w:rPr>
          <w:iCs/>
          <w:snapToGrid w:val="0"/>
          <w:kern w:val="22"/>
          <w:szCs w:val="22"/>
        </w:rPr>
        <w:t>A</w:t>
      </w:r>
      <w:r w:rsidRPr="005A7A79">
        <w:rPr>
          <w:iCs/>
          <w:snapToGrid w:val="0"/>
          <w:kern w:val="22"/>
          <w:szCs w:val="22"/>
        </w:rPr>
        <w:t xml:space="preserve">ction </w:t>
      </w:r>
      <w:r>
        <w:rPr>
          <w:iCs/>
          <w:snapToGrid w:val="0"/>
          <w:kern w:val="22"/>
          <w:szCs w:val="22"/>
        </w:rPr>
        <w:t>(2020</w:t>
      </w:r>
      <w:r>
        <w:rPr>
          <w:kern w:val="22"/>
          <w:szCs w:val="22"/>
        </w:rPr>
        <w:t>–</w:t>
      </w:r>
      <w:r>
        <w:rPr>
          <w:iCs/>
          <w:snapToGrid w:val="0"/>
          <w:kern w:val="22"/>
          <w:szCs w:val="22"/>
        </w:rPr>
        <w:t xml:space="preserve">2030) </w:t>
      </w:r>
      <w:r w:rsidRPr="005A7A79">
        <w:rPr>
          <w:iCs/>
          <w:snapToGrid w:val="0"/>
          <w:kern w:val="22"/>
          <w:szCs w:val="22"/>
        </w:rPr>
        <w:t xml:space="preserve">for the </w:t>
      </w:r>
      <w:r>
        <w:rPr>
          <w:iCs/>
          <w:snapToGrid w:val="0"/>
          <w:kern w:val="22"/>
          <w:szCs w:val="22"/>
        </w:rPr>
        <w:t>International Initiative for the C</w:t>
      </w:r>
      <w:r w:rsidRPr="005A7A79">
        <w:rPr>
          <w:iCs/>
          <w:snapToGrid w:val="0"/>
          <w:kern w:val="22"/>
          <w:szCs w:val="22"/>
        </w:rPr>
        <w:t xml:space="preserve">onservation and </w:t>
      </w:r>
      <w:r>
        <w:rPr>
          <w:iCs/>
          <w:snapToGrid w:val="0"/>
          <w:kern w:val="22"/>
          <w:szCs w:val="22"/>
        </w:rPr>
        <w:t>S</w:t>
      </w:r>
      <w:r w:rsidRPr="005A7A79">
        <w:rPr>
          <w:iCs/>
          <w:snapToGrid w:val="0"/>
          <w:kern w:val="22"/>
          <w:szCs w:val="22"/>
        </w:rPr>
        <w:t xml:space="preserve">ustainable </w:t>
      </w:r>
      <w:r>
        <w:rPr>
          <w:iCs/>
          <w:snapToGrid w:val="0"/>
          <w:kern w:val="22"/>
          <w:szCs w:val="22"/>
        </w:rPr>
        <w:t>U</w:t>
      </w:r>
      <w:r w:rsidRPr="005A7A79">
        <w:rPr>
          <w:iCs/>
          <w:snapToGrid w:val="0"/>
          <w:kern w:val="22"/>
          <w:szCs w:val="22"/>
        </w:rPr>
        <w:t xml:space="preserve">se of </w:t>
      </w:r>
      <w:r>
        <w:rPr>
          <w:iCs/>
          <w:snapToGrid w:val="0"/>
          <w:kern w:val="22"/>
          <w:szCs w:val="22"/>
        </w:rPr>
        <w:t>S</w:t>
      </w:r>
      <w:r w:rsidRPr="005A7A79">
        <w:rPr>
          <w:iCs/>
          <w:snapToGrid w:val="0"/>
          <w:kern w:val="22"/>
          <w:szCs w:val="22"/>
        </w:rPr>
        <w:t xml:space="preserve">oil </w:t>
      </w:r>
      <w:r>
        <w:rPr>
          <w:iCs/>
          <w:snapToGrid w:val="0"/>
          <w:kern w:val="22"/>
          <w:szCs w:val="22"/>
        </w:rPr>
        <w:t>B</w:t>
      </w:r>
      <w:r w:rsidRPr="005A7A79">
        <w:rPr>
          <w:iCs/>
          <w:snapToGrid w:val="0"/>
          <w:kern w:val="22"/>
          <w:szCs w:val="22"/>
        </w:rPr>
        <w:t>iodiversity;</w:t>
      </w:r>
    </w:p>
    <w:p w14:paraId="7C9B210F" w14:textId="77777777" w:rsidR="00DA0273" w:rsidRPr="00853C76" w:rsidRDefault="00DA0273"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t>Biodiversity and health</w:t>
      </w:r>
    </w:p>
    <w:p w14:paraId="66503F1F" w14:textId="77777777" w:rsidR="00DA0273" w:rsidRPr="00853C76" w:rsidRDefault="00DA0273" w:rsidP="00137D31">
      <w:pPr>
        <w:suppressLineNumbers/>
        <w:suppressAutoHyphens/>
        <w:adjustRightInd w:val="0"/>
        <w:snapToGrid w:val="0"/>
        <w:spacing w:before="120" w:after="120"/>
        <w:rPr>
          <w:iCs/>
          <w:snapToGrid w:val="0"/>
          <w:kern w:val="22"/>
          <w:szCs w:val="22"/>
          <w:lang w:val="en-US"/>
        </w:rPr>
      </w:pPr>
      <w:r w:rsidRPr="00853C76">
        <w:rPr>
          <w:iCs/>
          <w:snapToGrid w:val="0"/>
          <w:kern w:val="22"/>
          <w:szCs w:val="22"/>
        </w:rPr>
        <w:t xml:space="preserve">3.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in accordance with its mandate, as appropriate, to consider providing technical and financial support for mainstreaming biodiversity and health linkages;</w:t>
      </w:r>
    </w:p>
    <w:p w14:paraId="2F928013" w14:textId="77777777" w:rsidR="00DA0273" w:rsidRPr="00853C76" w:rsidRDefault="00DA0273"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lastRenderedPageBreak/>
        <w:t>Gender Plan of Action</w:t>
      </w:r>
    </w:p>
    <w:p w14:paraId="22481D64"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 xml:space="preserve">4.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and relevant bilateral and multilateral funding organizations to provide technical and financial support</w:t>
      </w:r>
      <w:r>
        <w:rPr>
          <w:iCs/>
          <w:snapToGrid w:val="0"/>
          <w:kern w:val="22"/>
          <w:szCs w:val="22"/>
        </w:rPr>
        <w:t>,</w:t>
      </w:r>
      <w:r w:rsidRPr="00853C76">
        <w:rPr>
          <w:iCs/>
          <w:snapToGrid w:val="0"/>
          <w:kern w:val="22"/>
          <w:szCs w:val="22"/>
        </w:rPr>
        <w:t xml:space="preserve"> as well as capacity-building and development, for implementation of the </w:t>
      </w:r>
      <w:r>
        <w:rPr>
          <w:iCs/>
          <w:snapToGrid w:val="0"/>
          <w:kern w:val="22"/>
          <w:szCs w:val="22"/>
        </w:rPr>
        <w:t>G</w:t>
      </w:r>
      <w:r w:rsidRPr="00853C76">
        <w:rPr>
          <w:iCs/>
          <w:snapToGrid w:val="0"/>
          <w:kern w:val="22"/>
          <w:szCs w:val="22"/>
        </w:rPr>
        <w:t xml:space="preserve">ender </w:t>
      </w:r>
      <w:r>
        <w:rPr>
          <w:iCs/>
          <w:snapToGrid w:val="0"/>
          <w:kern w:val="22"/>
          <w:szCs w:val="22"/>
        </w:rPr>
        <w:t>P</w:t>
      </w:r>
      <w:r w:rsidRPr="00853C76">
        <w:rPr>
          <w:iCs/>
          <w:snapToGrid w:val="0"/>
          <w:kern w:val="22"/>
          <w:szCs w:val="22"/>
        </w:rPr>
        <w:t xml:space="preserve">lan of </w:t>
      </w:r>
      <w:r>
        <w:rPr>
          <w:iCs/>
          <w:snapToGrid w:val="0"/>
          <w:kern w:val="22"/>
          <w:szCs w:val="22"/>
        </w:rPr>
        <w:t>A</w:t>
      </w:r>
      <w:r w:rsidRPr="00853C76">
        <w:rPr>
          <w:iCs/>
          <w:snapToGrid w:val="0"/>
          <w:kern w:val="22"/>
          <w:szCs w:val="22"/>
        </w:rPr>
        <w:t>ction;</w:t>
      </w:r>
    </w:p>
    <w:p w14:paraId="439C398E" w14:textId="77777777" w:rsidR="00DA0273" w:rsidRPr="00853C76" w:rsidRDefault="00DA0273" w:rsidP="000E778E">
      <w:pPr>
        <w:suppressLineNumbers/>
        <w:suppressAutoHyphens/>
        <w:adjustRightInd w:val="0"/>
        <w:snapToGrid w:val="0"/>
        <w:spacing w:before="120" w:after="120"/>
        <w:jc w:val="left"/>
        <w:rPr>
          <w:b/>
          <w:bCs/>
          <w:iCs/>
          <w:snapToGrid w:val="0"/>
          <w:kern w:val="22"/>
          <w:szCs w:val="22"/>
        </w:rPr>
      </w:pPr>
      <w:r w:rsidRPr="00853C76">
        <w:rPr>
          <w:b/>
          <w:bCs/>
          <w:iCs/>
          <w:snapToGrid w:val="0"/>
          <w:kern w:val="22"/>
          <w:szCs w:val="22"/>
        </w:rPr>
        <w:t xml:space="preserve">Engagement with subnational governments, cities and other local authorities to enhance implementation of the </w:t>
      </w:r>
      <w:r>
        <w:rPr>
          <w:b/>
          <w:bCs/>
          <w:iCs/>
          <w:snapToGrid w:val="0"/>
          <w:kern w:val="22"/>
          <w:szCs w:val="22"/>
        </w:rPr>
        <w:t>Kunming-Montreal</w:t>
      </w:r>
      <w:r w:rsidRPr="00853C76">
        <w:rPr>
          <w:b/>
          <w:bCs/>
          <w:iCs/>
          <w:snapToGrid w:val="0"/>
          <w:kern w:val="22"/>
          <w:szCs w:val="22"/>
        </w:rPr>
        <w:t xml:space="preserve"> </w:t>
      </w:r>
      <w:r>
        <w:rPr>
          <w:b/>
          <w:bCs/>
          <w:iCs/>
          <w:snapToGrid w:val="0"/>
          <w:kern w:val="22"/>
          <w:szCs w:val="22"/>
        </w:rPr>
        <w:t>G</w:t>
      </w:r>
      <w:r w:rsidRPr="00853C76">
        <w:rPr>
          <w:b/>
          <w:bCs/>
          <w:iCs/>
          <w:snapToGrid w:val="0"/>
          <w:kern w:val="22"/>
          <w:szCs w:val="22"/>
        </w:rPr>
        <w:t xml:space="preserve">lobal </w:t>
      </w:r>
      <w:r>
        <w:rPr>
          <w:b/>
          <w:bCs/>
          <w:iCs/>
          <w:snapToGrid w:val="0"/>
          <w:kern w:val="22"/>
          <w:szCs w:val="22"/>
        </w:rPr>
        <w:t>B</w:t>
      </w:r>
      <w:r w:rsidRPr="00853C76">
        <w:rPr>
          <w:b/>
          <w:bCs/>
          <w:iCs/>
          <w:snapToGrid w:val="0"/>
          <w:kern w:val="22"/>
          <w:szCs w:val="22"/>
        </w:rPr>
        <w:t xml:space="preserve">iodiversity </w:t>
      </w:r>
      <w:r>
        <w:rPr>
          <w:b/>
          <w:bCs/>
          <w:iCs/>
          <w:snapToGrid w:val="0"/>
          <w:kern w:val="22"/>
          <w:szCs w:val="22"/>
        </w:rPr>
        <w:t>F</w:t>
      </w:r>
      <w:r w:rsidRPr="00853C76">
        <w:rPr>
          <w:b/>
          <w:bCs/>
          <w:iCs/>
          <w:snapToGrid w:val="0"/>
          <w:kern w:val="22"/>
          <w:szCs w:val="22"/>
        </w:rPr>
        <w:t>ramework</w:t>
      </w:r>
    </w:p>
    <w:p w14:paraId="5B58C737" w14:textId="77777777" w:rsidR="00DA0273" w:rsidRPr="00853C76" w:rsidRDefault="00DA0273" w:rsidP="00F27DAC">
      <w:pPr>
        <w:suppressLineNumbers/>
        <w:suppressAutoHyphens/>
        <w:adjustRightInd w:val="0"/>
        <w:snapToGrid w:val="0"/>
        <w:spacing w:before="120" w:after="120"/>
        <w:rPr>
          <w:iCs/>
          <w:snapToGrid w:val="0"/>
          <w:kern w:val="22"/>
          <w:szCs w:val="22"/>
        </w:rPr>
      </w:pPr>
      <w:r w:rsidRPr="00853C76">
        <w:rPr>
          <w:iCs/>
          <w:snapToGrid w:val="0"/>
          <w:kern w:val="22"/>
          <w:szCs w:val="22"/>
        </w:rPr>
        <w:t xml:space="preserve">5.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to consider further expanding and strengthening its sustainable cities initiatives in its future replenishments, and piloting land- and seascape level initiatives targeted at subnational and local governance, infrastructure, biodiversity-inclusive spatial and land-use planning, and urban-rural linkages, in accordance with the priorities identified in national biodiversity strategies and action plans;</w:t>
      </w:r>
    </w:p>
    <w:p w14:paraId="77DF5F85" w14:textId="77777777" w:rsidR="00DA0273" w:rsidRPr="00853C76" w:rsidRDefault="00DA0273" w:rsidP="00137D31">
      <w:pPr>
        <w:suppressLineNumbers/>
        <w:suppressAutoHyphens/>
        <w:adjustRightInd w:val="0"/>
        <w:snapToGrid w:val="0"/>
        <w:spacing w:before="120" w:after="120"/>
        <w:rPr>
          <w:iCs/>
          <w:snapToGrid w:val="0"/>
          <w:kern w:val="22"/>
          <w:szCs w:val="22"/>
          <w:lang w:val="en-US"/>
        </w:rPr>
      </w:pPr>
      <w:r w:rsidRPr="00853C76">
        <w:rPr>
          <w:b/>
          <w:bCs/>
          <w:iCs/>
          <w:snapToGrid w:val="0"/>
          <w:kern w:val="22"/>
          <w:szCs w:val="22"/>
          <w:lang w:val="en-US"/>
        </w:rPr>
        <w:t xml:space="preserve">Monitoring framework for the Kunming-Montreal </w:t>
      </w:r>
      <w:r>
        <w:rPr>
          <w:b/>
          <w:bCs/>
          <w:iCs/>
          <w:snapToGrid w:val="0"/>
          <w:kern w:val="22"/>
          <w:szCs w:val="22"/>
          <w:lang w:val="en-US"/>
        </w:rPr>
        <w:t>G</w:t>
      </w:r>
      <w:r w:rsidRPr="00853C76">
        <w:rPr>
          <w:b/>
          <w:bCs/>
          <w:iCs/>
          <w:snapToGrid w:val="0"/>
          <w:kern w:val="22"/>
          <w:szCs w:val="22"/>
          <w:lang w:val="en-US"/>
        </w:rPr>
        <w:t xml:space="preserve">lobal </w:t>
      </w:r>
      <w:r>
        <w:rPr>
          <w:b/>
          <w:bCs/>
          <w:iCs/>
          <w:snapToGrid w:val="0"/>
          <w:kern w:val="22"/>
          <w:szCs w:val="22"/>
          <w:lang w:val="en-US"/>
        </w:rPr>
        <w:t>B</w:t>
      </w:r>
      <w:r w:rsidRPr="00853C76">
        <w:rPr>
          <w:b/>
          <w:bCs/>
          <w:iCs/>
          <w:snapToGrid w:val="0"/>
          <w:kern w:val="22"/>
          <w:szCs w:val="22"/>
          <w:lang w:val="en-US"/>
        </w:rPr>
        <w:t xml:space="preserve">iodiversity </w:t>
      </w:r>
      <w:r>
        <w:rPr>
          <w:b/>
          <w:bCs/>
          <w:iCs/>
          <w:snapToGrid w:val="0"/>
          <w:kern w:val="22"/>
          <w:szCs w:val="22"/>
          <w:lang w:val="en-US"/>
        </w:rPr>
        <w:t>F</w:t>
      </w:r>
      <w:r w:rsidRPr="00853C76">
        <w:rPr>
          <w:b/>
          <w:bCs/>
          <w:iCs/>
          <w:snapToGrid w:val="0"/>
          <w:kern w:val="22"/>
          <w:szCs w:val="22"/>
          <w:lang w:val="en-US"/>
        </w:rPr>
        <w:t>ramework</w:t>
      </w:r>
    </w:p>
    <w:p w14:paraId="4F6069A7"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6</w:t>
      </w:r>
      <w:r w:rsidRPr="00853C76">
        <w:rPr>
          <w:i/>
          <w:iCs/>
          <w:snapToGrid w:val="0"/>
          <w:kern w:val="22"/>
          <w:szCs w:val="22"/>
        </w:rPr>
        <w:t xml:space="preserve">. </w:t>
      </w:r>
      <w:r w:rsidRPr="00853C76">
        <w:rPr>
          <w:i/>
          <w:iCs/>
          <w:snapToGrid w:val="0"/>
          <w:kern w:val="22"/>
          <w:szCs w:val="22"/>
        </w:rPr>
        <w:tab/>
        <w:t xml:space="preserve">Invites </w:t>
      </w:r>
      <w:r w:rsidRPr="00853C76">
        <w:rPr>
          <w:iCs/>
          <w:snapToGrid w:val="0"/>
          <w:kern w:val="22"/>
          <w:szCs w:val="22"/>
        </w:rPr>
        <w:t>the Global Environment Facility to support national, regional and global biodiversity monitoring systems, recognizing the need for enhanced international cooperation and capacity-building especially for developing countries;</w:t>
      </w:r>
    </w:p>
    <w:p w14:paraId="40C1FAB8" w14:textId="77777777" w:rsidR="00DA0273" w:rsidRPr="00853C76" w:rsidRDefault="00DA0273" w:rsidP="00137D31">
      <w:pPr>
        <w:suppressLineNumbers/>
        <w:suppressAutoHyphens/>
        <w:adjustRightInd w:val="0"/>
        <w:snapToGrid w:val="0"/>
        <w:spacing w:before="120" w:after="120"/>
        <w:rPr>
          <w:iCs/>
          <w:snapToGrid w:val="0"/>
          <w:kern w:val="22"/>
          <w:szCs w:val="22"/>
          <w:lang w:val="en-US"/>
        </w:rPr>
      </w:pPr>
      <w:r w:rsidRPr="00853C76">
        <w:rPr>
          <w:b/>
          <w:bCs/>
          <w:iCs/>
          <w:snapToGrid w:val="0"/>
          <w:kern w:val="22"/>
          <w:szCs w:val="22"/>
          <w:lang w:val="en-US"/>
        </w:rPr>
        <w:t xml:space="preserve">Capacity-building and development </w:t>
      </w:r>
      <w:r w:rsidRPr="00113EDF">
        <w:rPr>
          <w:b/>
          <w:bCs/>
          <w:iCs/>
          <w:snapToGrid w:val="0"/>
          <w:kern w:val="22"/>
          <w:szCs w:val="22"/>
          <w:lang w:val="en-US"/>
        </w:rPr>
        <w:t>and technical and scientific cooperation</w:t>
      </w:r>
    </w:p>
    <w:p w14:paraId="6CBC3085"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 xml:space="preserve">7.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to support eligible activities of the regional and/or subregional technical and scientific cooperation support centres and the global coordination entity contributing to technical and scientific cooperation, technology transfer, and capacity-building and development at global, regional, subregional and national levels, as appropriate;</w:t>
      </w:r>
    </w:p>
    <w:p w14:paraId="0A9E49B1" w14:textId="77777777" w:rsidR="00DA0273" w:rsidRPr="00853C76" w:rsidRDefault="00DA0273" w:rsidP="00137D31">
      <w:pPr>
        <w:suppressLineNumbers/>
        <w:suppressAutoHyphens/>
        <w:adjustRightInd w:val="0"/>
        <w:snapToGrid w:val="0"/>
        <w:spacing w:before="120" w:after="120"/>
        <w:rPr>
          <w:b/>
          <w:bCs/>
          <w:iCs/>
          <w:snapToGrid w:val="0"/>
          <w:kern w:val="22"/>
          <w:szCs w:val="22"/>
          <w:lang w:val="en-US"/>
        </w:rPr>
      </w:pPr>
      <w:r w:rsidRPr="00853C76">
        <w:rPr>
          <w:b/>
          <w:bCs/>
          <w:iCs/>
          <w:snapToGrid w:val="0"/>
          <w:kern w:val="22"/>
          <w:szCs w:val="22"/>
          <w:lang w:val="en-US"/>
        </w:rPr>
        <w:t>Resource mobilization</w:t>
      </w:r>
    </w:p>
    <w:p w14:paraId="757DCA03"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 xml:space="preserve">8. </w:t>
      </w:r>
      <w:r w:rsidRPr="00853C76">
        <w:rPr>
          <w:iCs/>
          <w:snapToGrid w:val="0"/>
          <w:kern w:val="22"/>
          <w:szCs w:val="22"/>
        </w:rPr>
        <w:tab/>
      </w:r>
      <w:r w:rsidRPr="00853C76">
        <w:rPr>
          <w:i/>
          <w:iCs/>
          <w:snapToGrid w:val="0"/>
          <w:kern w:val="22"/>
          <w:szCs w:val="22"/>
        </w:rPr>
        <w:t xml:space="preserve">Invites </w:t>
      </w:r>
      <w:r w:rsidRPr="00853C76">
        <w:rPr>
          <w:iCs/>
          <w:snapToGrid w:val="0"/>
          <w:kern w:val="22"/>
          <w:szCs w:val="22"/>
        </w:rPr>
        <w:t>the Global Environment Facility to support the development and implementation of national biodiversity finance plans or similar planning instruments to support efforts by recipient countries to mobilize domestic and international resources to reach their national goals</w:t>
      </w:r>
      <w:r>
        <w:rPr>
          <w:iCs/>
          <w:snapToGrid w:val="0"/>
          <w:kern w:val="22"/>
          <w:szCs w:val="22"/>
        </w:rPr>
        <w:t>,</w:t>
      </w:r>
      <w:r w:rsidRPr="00853C76">
        <w:rPr>
          <w:iCs/>
          <w:snapToGrid w:val="0"/>
          <w:kern w:val="22"/>
          <w:szCs w:val="22"/>
        </w:rPr>
        <w:t xml:space="preserve"> as defined in their national biodiversity strategies and action plans</w:t>
      </w:r>
      <w:r>
        <w:rPr>
          <w:iCs/>
          <w:snapToGrid w:val="0"/>
          <w:kern w:val="22"/>
          <w:szCs w:val="22"/>
        </w:rPr>
        <w:t>,</w:t>
      </w:r>
      <w:r w:rsidRPr="00853C76">
        <w:rPr>
          <w:iCs/>
          <w:snapToGrid w:val="0"/>
          <w:kern w:val="22"/>
          <w:szCs w:val="22"/>
        </w:rPr>
        <w:t xml:space="preserve"> and to contribute to the </w:t>
      </w:r>
      <w:r>
        <w:rPr>
          <w:kern w:val="22"/>
        </w:rPr>
        <w:t xml:space="preserve">Kunming-Montreal </w:t>
      </w:r>
      <w:r w:rsidRPr="00D71BEC">
        <w:rPr>
          <w:bCs/>
          <w:snapToGrid w:val="0"/>
          <w:kern w:val="22"/>
          <w:szCs w:val="22"/>
        </w:rPr>
        <w:t>Global Biodiversity Framework</w:t>
      </w:r>
      <w:r w:rsidRPr="00853C76">
        <w:rPr>
          <w:iCs/>
          <w:snapToGrid w:val="0"/>
          <w:kern w:val="22"/>
          <w:szCs w:val="22"/>
        </w:rPr>
        <w:t>;</w:t>
      </w:r>
    </w:p>
    <w:p w14:paraId="75BBD690" w14:textId="77777777" w:rsidR="00DA0273" w:rsidRPr="00853C76" w:rsidRDefault="00DA0273">
      <w:pPr>
        <w:suppressLineNumbers/>
        <w:suppressAutoHyphens/>
        <w:adjustRightInd w:val="0"/>
        <w:snapToGrid w:val="0"/>
        <w:spacing w:before="120" w:after="120"/>
        <w:rPr>
          <w:b/>
          <w:bCs/>
          <w:iCs/>
          <w:snapToGrid w:val="0"/>
          <w:kern w:val="22"/>
          <w:szCs w:val="22"/>
        </w:rPr>
      </w:pPr>
      <w:r w:rsidRPr="00853C76">
        <w:rPr>
          <w:b/>
          <w:bCs/>
          <w:iCs/>
          <w:snapToGrid w:val="0"/>
          <w:kern w:val="22"/>
          <w:szCs w:val="22"/>
        </w:rPr>
        <w:t>Cartagena Protocol on Biosafety</w:t>
      </w:r>
    </w:p>
    <w:p w14:paraId="42234DB8" w14:textId="77777777" w:rsidR="00DA0273" w:rsidRPr="00853C76" w:rsidRDefault="00DA0273" w:rsidP="00137D31">
      <w:pPr>
        <w:suppressLineNumbers/>
        <w:suppressAutoHyphens/>
        <w:adjustRightInd w:val="0"/>
        <w:snapToGrid w:val="0"/>
        <w:spacing w:before="120" w:after="120"/>
        <w:rPr>
          <w:iCs/>
          <w:snapToGrid w:val="0"/>
          <w:kern w:val="22"/>
          <w:szCs w:val="22"/>
          <w:lang w:val="en-US"/>
        </w:rPr>
      </w:pPr>
      <w:r w:rsidRPr="00853C76">
        <w:rPr>
          <w:iCs/>
          <w:snapToGrid w:val="0"/>
          <w:kern w:val="22"/>
          <w:szCs w:val="22"/>
        </w:rPr>
        <w:t>9.</w:t>
      </w:r>
      <w:r w:rsidRPr="00853C76">
        <w:rPr>
          <w:i/>
          <w:iCs/>
          <w:snapToGrid w:val="0"/>
          <w:kern w:val="22"/>
          <w:szCs w:val="22"/>
        </w:rPr>
        <w:tab/>
        <w:t>Invites</w:t>
      </w:r>
      <w:r w:rsidRPr="00853C76">
        <w:rPr>
          <w:iCs/>
          <w:snapToGrid w:val="0"/>
          <w:kern w:val="22"/>
          <w:szCs w:val="22"/>
        </w:rPr>
        <w:t xml:space="preserve"> the Global Environment Facility:</w:t>
      </w:r>
    </w:p>
    <w:p w14:paraId="5F696BFA" w14:textId="77777777" w:rsidR="00DA0273" w:rsidRPr="00853C76" w:rsidRDefault="00DA0273"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(a)</w:t>
      </w:r>
      <w:r w:rsidRPr="00853C76">
        <w:rPr>
          <w:iCs/>
          <w:snapToGrid w:val="0"/>
          <w:kern w:val="22"/>
          <w:szCs w:val="22"/>
        </w:rPr>
        <w:tab/>
        <w:t>To strengthen its funding programme dedicated to the Cartagena Protocol on Biosafety to support eligible Parties in implementing the Protocol</w:t>
      </w:r>
      <w:r>
        <w:rPr>
          <w:iCs/>
          <w:snapToGrid w:val="0"/>
          <w:kern w:val="22"/>
          <w:szCs w:val="22"/>
        </w:rPr>
        <w:t>, the</w:t>
      </w:r>
      <w:r w:rsidRPr="00853C76">
        <w:rPr>
          <w:iCs/>
          <w:snapToGrid w:val="0"/>
          <w:kern w:val="22"/>
          <w:szCs w:val="22"/>
        </w:rPr>
        <w:t xml:space="preserve"> </w:t>
      </w:r>
      <w:r>
        <w:rPr>
          <w:iCs/>
          <w:snapToGrid w:val="0"/>
          <w:kern w:val="22"/>
          <w:szCs w:val="22"/>
        </w:rPr>
        <w:t>I</w:t>
      </w:r>
      <w:r w:rsidRPr="00853C76">
        <w:rPr>
          <w:iCs/>
          <w:snapToGrid w:val="0"/>
          <w:kern w:val="22"/>
          <w:szCs w:val="22"/>
        </w:rPr>
        <w:t xml:space="preserve">mplementation </w:t>
      </w:r>
      <w:r>
        <w:rPr>
          <w:iCs/>
          <w:snapToGrid w:val="0"/>
          <w:kern w:val="22"/>
          <w:szCs w:val="22"/>
        </w:rPr>
        <w:t>P</w:t>
      </w:r>
      <w:r w:rsidRPr="00853C76">
        <w:rPr>
          <w:iCs/>
          <w:snapToGrid w:val="0"/>
          <w:kern w:val="22"/>
          <w:szCs w:val="22"/>
        </w:rPr>
        <w:t xml:space="preserve">lan </w:t>
      </w:r>
      <w:r>
        <w:rPr>
          <w:iCs/>
          <w:snapToGrid w:val="0"/>
          <w:kern w:val="22"/>
          <w:szCs w:val="22"/>
        </w:rPr>
        <w:t xml:space="preserve">for the Cartagena Protocol on Biosafety </w:t>
      </w:r>
      <w:r w:rsidRPr="00853C76">
        <w:rPr>
          <w:iCs/>
          <w:snapToGrid w:val="0"/>
          <w:kern w:val="22"/>
          <w:szCs w:val="22"/>
        </w:rPr>
        <w:t xml:space="preserve">and </w:t>
      </w:r>
      <w:r>
        <w:rPr>
          <w:iCs/>
          <w:snapToGrid w:val="0"/>
          <w:kern w:val="22"/>
          <w:szCs w:val="22"/>
        </w:rPr>
        <w:t>the C</w:t>
      </w:r>
      <w:r w:rsidRPr="00853C76">
        <w:rPr>
          <w:iCs/>
          <w:snapToGrid w:val="0"/>
          <w:kern w:val="22"/>
          <w:szCs w:val="22"/>
        </w:rPr>
        <w:t>apacity</w:t>
      </w:r>
      <w:r>
        <w:rPr>
          <w:iCs/>
          <w:snapToGrid w:val="0"/>
          <w:kern w:val="22"/>
          <w:szCs w:val="22"/>
        </w:rPr>
        <w:noBreakHyphen/>
      </w:r>
      <w:r w:rsidRPr="00853C76">
        <w:rPr>
          <w:iCs/>
          <w:snapToGrid w:val="0"/>
          <w:kern w:val="22"/>
          <w:szCs w:val="22"/>
        </w:rPr>
        <w:t xml:space="preserve">building </w:t>
      </w:r>
      <w:r>
        <w:rPr>
          <w:iCs/>
          <w:snapToGrid w:val="0"/>
          <w:kern w:val="22"/>
          <w:szCs w:val="22"/>
        </w:rPr>
        <w:t>A</w:t>
      </w:r>
      <w:r w:rsidRPr="00853C76">
        <w:rPr>
          <w:iCs/>
          <w:snapToGrid w:val="0"/>
          <w:kern w:val="22"/>
          <w:szCs w:val="22"/>
        </w:rPr>
        <w:t xml:space="preserve">ction </w:t>
      </w:r>
      <w:r>
        <w:rPr>
          <w:iCs/>
          <w:snapToGrid w:val="0"/>
          <w:kern w:val="22"/>
          <w:szCs w:val="22"/>
        </w:rPr>
        <w:t>P</w:t>
      </w:r>
      <w:r w:rsidRPr="00853C76">
        <w:rPr>
          <w:iCs/>
          <w:snapToGrid w:val="0"/>
          <w:kern w:val="22"/>
          <w:szCs w:val="22"/>
        </w:rPr>
        <w:t>lan</w:t>
      </w:r>
      <w:r>
        <w:rPr>
          <w:iCs/>
          <w:snapToGrid w:val="0"/>
          <w:kern w:val="22"/>
          <w:szCs w:val="22"/>
        </w:rPr>
        <w:t xml:space="preserve"> for the Cartagena Protocol on Biosafety</w:t>
      </w:r>
      <w:r w:rsidRPr="00853C76">
        <w:rPr>
          <w:iCs/>
          <w:snapToGrid w:val="0"/>
          <w:kern w:val="22"/>
          <w:szCs w:val="22"/>
        </w:rPr>
        <w:t xml:space="preserve">; </w:t>
      </w:r>
    </w:p>
    <w:p w14:paraId="6A603161" w14:textId="77777777" w:rsidR="00DA0273" w:rsidRPr="00853C76" w:rsidRDefault="00DA0273"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(b)</w:t>
      </w:r>
      <w:r w:rsidRPr="00853C76">
        <w:rPr>
          <w:iCs/>
          <w:snapToGrid w:val="0"/>
          <w:kern w:val="22"/>
          <w:szCs w:val="22"/>
        </w:rPr>
        <w:tab/>
        <w:t xml:space="preserve">To improve and simplify the modalities for access to its funding for the Cartagena Protocol, to support eligible Parties in the implementation of the Protocol, its </w:t>
      </w:r>
      <w:r>
        <w:rPr>
          <w:iCs/>
          <w:snapToGrid w:val="0"/>
          <w:kern w:val="22"/>
          <w:szCs w:val="22"/>
        </w:rPr>
        <w:t>I</w:t>
      </w:r>
      <w:r w:rsidRPr="00853C76">
        <w:rPr>
          <w:iCs/>
          <w:snapToGrid w:val="0"/>
          <w:kern w:val="22"/>
          <w:szCs w:val="22"/>
        </w:rPr>
        <w:t xml:space="preserve">mplementation </w:t>
      </w:r>
      <w:r>
        <w:rPr>
          <w:iCs/>
          <w:snapToGrid w:val="0"/>
          <w:kern w:val="22"/>
          <w:szCs w:val="22"/>
        </w:rPr>
        <w:t>P</w:t>
      </w:r>
      <w:r w:rsidRPr="00853C76">
        <w:rPr>
          <w:iCs/>
          <w:snapToGrid w:val="0"/>
          <w:kern w:val="22"/>
          <w:szCs w:val="22"/>
        </w:rPr>
        <w:t xml:space="preserve">lan and </w:t>
      </w:r>
      <w:r>
        <w:rPr>
          <w:iCs/>
          <w:snapToGrid w:val="0"/>
          <w:kern w:val="22"/>
          <w:szCs w:val="22"/>
        </w:rPr>
        <w:t>C</w:t>
      </w:r>
      <w:r w:rsidRPr="00853C76">
        <w:rPr>
          <w:iCs/>
          <w:snapToGrid w:val="0"/>
          <w:kern w:val="22"/>
          <w:szCs w:val="22"/>
        </w:rPr>
        <w:t>apacity</w:t>
      </w:r>
      <w:r>
        <w:rPr>
          <w:iCs/>
          <w:snapToGrid w:val="0"/>
          <w:kern w:val="22"/>
          <w:szCs w:val="22"/>
        </w:rPr>
        <w:noBreakHyphen/>
      </w:r>
      <w:r w:rsidRPr="00853C76">
        <w:rPr>
          <w:iCs/>
          <w:snapToGrid w:val="0"/>
          <w:kern w:val="22"/>
          <w:szCs w:val="22"/>
        </w:rPr>
        <w:t xml:space="preserve">building </w:t>
      </w:r>
      <w:r>
        <w:rPr>
          <w:iCs/>
          <w:snapToGrid w:val="0"/>
          <w:kern w:val="22"/>
          <w:szCs w:val="22"/>
        </w:rPr>
        <w:t>A</w:t>
      </w:r>
      <w:r w:rsidRPr="00853C76">
        <w:rPr>
          <w:iCs/>
          <w:snapToGrid w:val="0"/>
          <w:kern w:val="22"/>
          <w:szCs w:val="22"/>
        </w:rPr>
        <w:t xml:space="preserve">ction </w:t>
      </w:r>
      <w:r>
        <w:rPr>
          <w:iCs/>
          <w:snapToGrid w:val="0"/>
          <w:kern w:val="22"/>
          <w:szCs w:val="22"/>
        </w:rPr>
        <w:t>P</w:t>
      </w:r>
      <w:r w:rsidRPr="00853C76">
        <w:rPr>
          <w:iCs/>
          <w:snapToGrid w:val="0"/>
          <w:kern w:val="22"/>
          <w:szCs w:val="22"/>
        </w:rPr>
        <w:t>lan;</w:t>
      </w:r>
    </w:p>
    <w:p w14:paraId="07535518" w14:textId="77777777" w:rsidR="00DA0273" w:rsidRPr="00853C76" w:rsidRDefault="00DA0273"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(c)</w:t>
      </w:r>
      <w:r w:rsidRPr="00853C76">
        <w:rPr>
          <w:iCs/>
          <w:snapToGrid w:val="0"/>
          <w:kern w:val="22"/>
          <w:szCs w:val="22"/>
        </w:rPr>
        <w:tab/>
        <w:t>To continue to make funds available in a timely manner to support eligible Parties in preparing and submitting their fifth national reports</w:t>
      </w:r>
      <w:r>
        <w:rPr>
          <w:iCs/>
          <w:snapToGrid w:val="0"/>
          <w:kern w:val="22"/>
          <w:szCs w:val="22"/>
        </w:rPr>
        <w:t xml:space="preserve"> under the Cartagena Protocol</w:t>
      </w:r>
      <w:r w:rsidRPr="00853C76">
        <w:rPr>
          <w:iCs/>
          <w:snapToGrid w:val="0"/>
          <w:kern w:val="22"/>
          <w:szCs w:val="22"/>
        </w:rPr>
        <w:t>;</w:t>
      </w:r>
    </w:p>
    <w:p w14:paraId="22F4410D" w14:textId="77777777" w:rsidR="00DA0273" w:rsidRPr="00853C76" w:rsidRDefault="00DA0273" w:rsidP="000E778E">
      <w:pPr>
        <w:suppressLineNumbers/>
        <w:suppressAutoHyphens/>
        <w:adjustRightInd w:val="0"/>
        <w:snapToGrid w:val="0"/>
        <w:spacing w:before="120" w:after="120"/>
        <w:ind w:firstLine="709"/>
        <w:rPr>
          <w:iCs/>
          <w:snapToGrid w:val="0"/>
          <w:kern w:val="22"/>
          <w:szCs w:val="22"/>
        </w:rPr>
      </w:pPr>
      <w:r w:rsidRPr="00853C76">
        <w:rPr>
          <w:iCs/>
          <w:snapToGrid w:val="0"/>
          <w:kern w:val="22"/>
          <w:szCs w:val="22"/>
        </w:rPr>
        <w:t>(d)</w:t>
      </w:r>
      <w:r w:rsidRPr="00853C76">
        <w:rPr>
          <w:iCs/>
          <w:snapToGrid w:val="0"/>
          <w:kern w:val="22"/>
          <w:szCs w:val="22"/>
        </w:rPr>
        <w:tab/>
        <w:t>To continue to assist eligible Parties in undertaking activities in the following areas: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information</w:t>
      </w:r>
      <w:r>
        <w:rPr>
          <w:iCs/>
          <w:snapToGrid w:val="0"/>
          <w:kern w:val="22"/>
          <w:szCs w:val="22"/>
        </w:rPr>
        <w:t>-</w:t>
      </w:r>
      <w:r w:rsidRPr="00853C76">
        <w:rPr>
          <w:iCs/>
          <w:snapToGrid w:val="0"/>
          <w:kern w:val="22"/>
          <w:szCs w:val="22"/>
        </w:rPr>
        <w:t>sharing and the Biosafety Clearing-House; knowledge and technology transfer; and the implementation of compliance action plans regarding the achievement of compliance with the Protocol;</w:t>
      </w:r>
    </w:p>
    <w:p w14:paraId="0F706691"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 xml:space="preserve">10. </w:t>
      </w:r>
      <w:r w:rsidRPr="00853C76">
        <w:rPr>
          <w:iCs/>
          <w:snapToGrid w:val="0"/>
          <w:kern w:val="22"/>
          <w:szCs w:val="22"/>
        </w:rPr>
        <w:tab/>
      </w:r>
      <w:r w:rsidRPr="00853C76">
        <w:rPr>
          <w:i/>
          <w:iCs/>
          <w:snapToGrid w:val="0"/>
          <w:kern w:val="22"/>
          <w:szCs w:val="22"/>
        </w:rPr>
        <w:t>Invites</w:t>
      </w:r>
      <w:r w:rsidRPr="00853C76">
        <w:rPr>
          <w:iCs/>
          <w:snapToGrid w:val="0"/>
          <w:kern w:val="22"/>
          <w:szCs w:val="22"/>
        </w:rPr>
        <w:t xml:space="preserve"> the Council </w:t>
      </w:r>
      <w:r>
        <w:rPr>
          <w:iCs/>
          <w:snapToGrid w:val="0"/>
          <w:kern w:val="22"/>
          <w:szCs w:val="22"/>
        </w:rPr>
        <w:t xml:space="preserve">of the </w:t>
      </w:r>
      <w:r w:rsidRPr="00853C76">
        <w:rPr>
          <w:iCs/>
          <w:snapToGrid w:val="0"/>
          <w:kern w:val="22"/>
          <w:szCs w:val="22"/>
        </w:rPr>
        <w:t>Global Environment Facility to examine the possibility to create a finance window specifically for the Cartagena Protocol on Biosafety;</w:t>
      </w:r>
    </w:p>
    <w:p w14:paraId="661B9028" w14:textId="77777777" w:rsidR="00DA0273" w:rsidRPr="00853C76" w:rsidRDefault="00DA0273" w:rsidP="00137D31">
      <w:pPr>
        <w:suppressLineNumbers/>
        <w:suppressAutoHyphens/>
        <w:adjustRightInd w:val="0"/>
        <w:snapToGrid w:val="0"/>
        <w:spacing w:before="120" w:after="120"/>
        <w:rPr>
          <w:b/>
          <w:bCs/>
          <w:iCs/>
          <w:snapToGrid w:val="0"/>
          <w:kern w:val="22"/>
          <w:szCs w:val="22"/>
        </w:rPr>
      </w:pPr>
      <w:r w:rsidRPr="00853C76">
        <w:rPr>
          <w:b/>
          <w:bCs/>
          <w:iCs/>
          <w:snapToGrid w:val="0"/>
          <w:kern w:val="22"/>
          <w:szCs w:val="22"/>
        </w:rPr>
        <w:lastRenderedPageBreak/>
        <w:t>Nagoya Protocol</w:t>
      </w:r>
      <w:r>
        <w:rPr>
          <w:b/>
          <w:bCs/>
          <w:iCs/>
          <w:snapToGrid w:val="0"/>
          <w:kern w:val="22"/>
          <w:szCs w:val="22"/>
        </w:rPr>
        <w:t xml:space="preserve"> on Access and Benefit-sharing</w:t>
      </w:r>
    </w:p>
    <w:p w14:paraId="4A76334F" w14:textId="77777777" w:rsidR="00DA0273" w:rsidRPr="00853C76" w:rsidRDefault="00DA0273" w:rsidP="00137D31">
      <w:pPr>
        <w:suppressLineNumbers/>
        <w:suppressAutoHyphens/>
        <w:adjustRightInd w:val="0"/>
        <w:snapToGrid w:val="0"/>
        <w:spacing w:before="120" w:after="120"/>
        <w:rPr>
          <w:iCs/>
          <w:snapToGrid w:val="0"/>
          <w:kern w:val="22"/>
          <w:szCs w:val="22"/>
        </w:rPr>
      </w:pPr>
      <w:r w:rsidRPr="00853C76">
        <w:rPr>
          <w:iCs/>
          <w:snapToGrid w:val="0"/>
          <w:kern w:val="22"/>
          <w:szCs w:val="22"/>
        </w:rPr>
        <w:t>11.</w:t>
      </w:r>
      <w:r w:rsidRPr="00853C76">
        <w:rPr>
          <w:iCs/>
          <w:snapToGrid w:val="0"/>
          <w:kern w:val="22"/>
          <w:szCs w:val="22"/>
        </w:rPr>
        <w:tab/>
      </w:r>
      <w:r w:rsidRPr="00853C76">
        <w:rPr>
          <w:i/>
          <w:iCs/>
          <w:snapToGrid w:val="0"/>
          <w:kern w:val="22"/>
          <w:szCs w:val="22"/>
        </w:rPr>
        <w:t>Invites</w:t>
      </w:r>
      <w:r w:rsidRPr="00853C76">
        <w:rPr>
          <w:iCs/>
          <w:snapToGrid w:val="0"/>
          <w:kern w:val="22"/>
          <w:szCs w:val="22"/>
        </w:rPr>
        <w:t xml:space="preserve"> the Global Environment Facility to continue providing and enhancing support for joint projects, at global, regional or national levels, in order to maximize synergies and opportunities for cost</w:t>
      </w:r>
      <w:r>
        <w:rPr>
          <w:iCs/>
          <w:snapToGrid w:val="0"/>
          <w:kern w:val="22"/>
          <w:szCs w:val="22"/>
        </w:rPr>
        <w:noBreakHyphen/>
      </w:r>
      <w:r w:rsidRPr="00853C76">
        <w:rPr>
          <w:iCs/>
          <w:snapToGrid w:val="0"/>
          <w:kern w:val="22"/>
          <w:szCs w:val="22"/>
        </w:rPr>
        <w:t>effective sharing of resources, information, experiences and expertise;</w:t>
      </w:r>
    </w:p>
    <w:p w14:paraId="6671C680" w14:textId="2A28E380" w:rsidR="00DA0273" w:rsidRPr="00853C76" w:rsidRDefault="00DA0273" w:rsidP="00F16F07">
      <w:pPr>
        <w:suppressLineNumbers/>
        <w:suppressAutoHyphens/>
        <w:adjustRightInd w:val="0"/>
        <w:snapToGrid w:val="0"/>
        <w:spacing w:before="120" w:after="120"/>
        <w:rPr>
          <w:iCs/>
          <w:snapToGrid w:val="0"/>
          <w:kern w:val="22"/>
          <w:szCs w:val="22"/>
        </w:rPr>
      </w:pPr>
      <w:r w:rsidRPr="00853C76">
        <w:rPr>
          <w:iCs/>
          <w:snapToGrid w:val="0"/>
          <w:kern w:val="22"/>
          <w:szCs w:val="22"/>
        </w:rPr>
        <w:t>12.</w:t>
      </w:r>
      <w:r w:rsidRPr="00853C76">
        <w:rPr>
          <w:iCs/>
          <w:snapToGrid w:val="0"/>
          <w:kern w:val="22"/>
          <w:szCs w:val="22"/>
        </w:rPr>
        <w:tab/>
      </w:r>
      <w:r w:rsidRPr="00853C76">
        <w:rPr>
          <w:i/>
          <w:iCs/>
          <w:snapToGrid w:val="0"/>
          <w:kern w:val="22"/>
          <w:szCs w:val="22"/>
        </w:rPr>
        <w:t>Invites</w:t>
      </w:r>
      <w:r w:rsidRPr="00853C76">
        <w:rPr>
          <w:iCs/>
          <w:snapToGrid w:val="0"/>
          <w:kern w:val="22"/>
          <w:szCs w:val="22"/>
        </w:rPr>
        <w:t xml:space="preserve"> the Global Environment Facility to make financial resources available in a timely manner to eligible Parties to assist them in meeting their reporting obligation</w:t>
      </w:r>
      <w:r>
        <w:rPr>
          <w:iCs/>
          <w:snapToGrid w:val="0"/>
          <w:kern w:val="22"/>
          <w:szCs w:val="22"/>
        </w:rPr>
        <w:t>s</w:t>
      </w:r>
      <w:r w:rsidRPr="00853C76">
        <w:rPr>
          <w:iCs/>
          <w:snapToGrid w:val="0"/>
          <w:kern w:val="22"/>
          <w:szCs w:val="22"/>
        </w:rPr>
        <w:t xml:space="preserve"> under the </w:t>
      </w:r>
      <w:r>
        <w:rPr>
          <w:iCs/>
          <w:snapToGrid w:val="0"/>
          <w:kern w:val="22"/>
          <w:szCs w:val="22"/>
        </w:rPr>
        <w:t xml:space="preserve">Nagoya </w:t>
      </w:r>
      <w:r w:rsidRPr="00853C76">
        <w:rPr>
          <w:iCs/>
          <w:snapToGrid w:val="0"/>
          <w:kern w:val="22"/>
          <w:szCs w:val="22"/>
        </w:rPr>
        <w:t>Protocol;</w:t>
      </w:r>
    </w:p>
    <w:p w14:paraId="60245121" w14:textId="77777777" w:rsidR="00DA0273" w:rsidRPr="00853C76" w:rsidRDefault="00DA0273" w:rsidP="00F16F07">
      <w:pPr>
        <w:spacing w:before="120" w:after="120"/>
        <w:jc w:val="center"/>
        <w:rPr>
          <w:i/>
          <w:iCs/>
          <w:szCs w:val="22"/>
        </w:rPr>
      </w:pPr>
      <w:bookmarkStart w:id="243" w:name="_Toc118355000"/>
      <w:r w:rsidRPr="00E678C7">
        <w:rPr>
          <w:i/>
          <w:iCs/>
          <w:szCs w:val="22"/>
        </w:rPr>
        <w:t>Annex III</w:t>
      </w:r>
    </w:p>
    <w:p w14:paraId="6C49414B" w14:textId="16C22A25" w:rsidR="00DA0273" w:rsidRPr="008D761B" w:rsidRDefault="008D761B" w:rsidP="008D761B">
      <w:pPr>
        <w:pStyle w:val="BodyText"/>
        <w:jc w:val="center"/>
        <w:rPr>
          <w:b/>
          <w:bCs/>
        </w:rPr>
      </w:pPr>
      <w:r w:rsidRPr="008D761B">
        <w:rPr>
          <w:b/>
          <w:bCs/>
        </w:rPr>
        <w:t>TERMS OF REFERENCE FOR A FULL ASSESSMENT OF THE AMOUNT OF FUNDS NEEDED FOR THE IMPLEMENTATION OF THE CONVENTION AND ITS PROTOCOLS FOR THE NINTH REPLENISHMENT PERIOD OF THE GLOBAL ENVIRONMENT FACILITY TRUST FUND</w:t>
      </w:r>
    </w:p>
    <w:p w14:paraId="515AC013" w14:textId="77777777" w:rsidR="00DA0273" w:rsidRPr="008D761B" w:rsidRDefault="00DA0273" w:rsidP="008D761B">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D761B">
        <w:rPr>
          <w:b/>
          <w:bCs/>
          <w:snapToGrid w:val="0"/>
          <w:color w:val="000000"/>
          <w:kern w:val="22"/>
          <w:szCs w:val="22"/>
        </w:rPr>
        <w:t>A.</w:t>
      </w:r>
      <w:r w:rsidRPr="008D761B">
        <w:rPr>
          <w:b/>
          <w:bCs/>
          <w:snapToGrid w:val="0"/>
          <w:color w:val="000000"/>
          <w:kern w:val="22"/>
          <w:szCs w:val="22"/>
        </w:rPr>
        <w:tab/>
        <w:t>Objective</w:t>
      </w:r>
    </w:p>
    <w:p w14:paraId="21876D0D" w14:textId="7D316DCE" w:rsidR="00DA0273" w:rsidRPr="00853C76" w:rsidRDefault="00DA0273" w:rsidP="00950BE4">
      <w:pPr>
        <w:pStyle w:val="ListParagraph"/>
        <w:numPr>
          <w:ilvl w:val="0"/>
          <w:numId w:val="61"/>
        </w:numPr>
        <w:spacing w:before="120" w:after="120"/>
        <w:ind w:left="0" w:firstLine="0"/>
        <w:rPr>
          <w:rFonts w:eastAsia="Malgun Gothic"/>
          <w:kern w:val="22"/>
          <w:szCs w:val="22"/>
        </w:rPr>
      </w:pPr>
      <w:r w:rsidRPr="00853C76">
        <w:rPr>
          <w:rFonts w:eastAsia="Malgun Gothic"/>
          <w:kern w:val="22"/>
          <w:szCs w:val="22"/>
        </w:rPr>
        <w:t xml:space="preserve">The objective of the work to be carried out under the present terms of reference is to enable the Conference of the Parties to make an assessment of the amount of funds that are necessary to assist developing countries and countries with economies in transition, in accordance with the guidance provided by the Conference of the Parties, in fulfilling their commitments under the Convention and its Protocols, in particular to implement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 xml:space="preserve">ramework, over the ninth replenishment period of the Global Environment Facility (GEF), and determine the amount of resources needed, in accordance with Article 21, paragraph 1 and </w:t>
      </w:r>
      <w:hyperlink r:id="rId35" w:history="1">
        <w:r w:rsidRPr="00853C76">
          <w:rPr>
            <w:rFonts w:eastAsia="Malgun Gothic"/>
            <w:kern w:val="22"/>
            <w:szCs w:val="22"/>
          </w:rPr>
          <w:t>decision III/8</w:t>
        </w:r>
      </w:hyperlink>
      <w:r w:rsidRPr="00853C76">
        <w:rPr>
          <w:rFonts w:eastAsia="Malgun Gothic"/>
          <w:kern w:val="22"/>
          <w:szCs w:val="22"/>
        </w:rPr>
        <w:t>.</w:t>
      </w:r>
    </w:p>
    <w:p w14:paraId="636F3E86" w14:textId="77777777" w:rsidR="00DA0273" w:rsidRPr="008D761B" w:rsidRDefault="00DA0273" w:rsidP="008D761B">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D761B">
        <w:rPr>
          <w:b/>
          <w:bCs/>
          <w:snapToGrid w:val="0"/>
          <w:color w:val="000000"/>
          <w:kern w:val="22"/>
          <w:szCs w:val="22"/>
        </w:rPr>
        <w:t>B.</w:t>
      </w:r>
      <w:r w:rsidRPr="008D761B">
        <w:rPr>
          <w:b/>
          <w:bCs/>
          <w:snapToGrid w:val="0"/>
          <w:color w:val="000000"/>
          <w:kern w:val="22"/>
          <w:szCs w:val="22"/>
        </w:rPr>
        <w:tab/>
        <w:t>Scope</w:t>
      </w:r>
    </w:p>
    <w:p w14:paraId="3DBE7A5D" w14:textId="77777777" w:rsidR="00DA0273" w:rsidRPr="00853C76" w:rsidRDefault="00DA0273" w:rsidP="00950BE4">
      <w:pPr>
        <w:pStyle w:val="ListParagraph"/>
        <w:numPr>
          <w:ilvl w:val="0"/>
          <w:numId w:val="61"/>
        </w:numPr>
        <w:spacing w:before="120" w:after="120"/>
        <w:ind w:left="0" w:firstLine="0"/>
        <w:rPr>
          <w:rFonts w:eastAsia="Malgun Gothic"/>
          <w:kern w:val="22"/>
          <w:szCs w:val="22"/>
        </w:rPr>
      </w:pPr>
      <w:r w:rsidRPr="00853C76">
        <w:rPr>
          <w:rFonts w:eastAsia="Malgun Gothic"/>
          <w:kern w:val="22"/>
          <w:szCs w:val="22"/>
        </w:rPr>
        <w:t xml:space="preserve">The assessment of funding needs for the implementation of the Convention </w:t>
      </w:r>
      <w:r w:rsidRPr="00853C76">
        <w:rPr>
          <w:rFonts w:eastAsia="Malgun Gothic"/>
          <w:kern w:val="22"/>
          <w:szCs w:val="22"/>
          <w:lang w:eastAsia="ko-KR"/>
        </w:rPr>
        <w:t xml:space="preserve">and its Protocols </w:t>
      </w:r>
      <w:r w:rsidRPr="00853C76">
        <w:rPr>
          <w:rFonts w:eastAsia="Malgun Gothic"/>
          <w:kern w:val="22"/>
          <w:szCs w:val="22"/>
        </w:rPr>
        <w:t xml:space="preserve">should be comprehensive and primarily directed towards assessing total funding needs required to meet the agreed full incremental costs of measures that developing country Parties and Parties with economies in transition  that are eligible for GEF support may implement, in accordance with the guidance provided by the Conference of the Parties, in order to fulfil their obligations under the Convention and its Protocols, in particular to implement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ramework, for the period July 2026 to June 2030.</w:t>
      </w:r>
    </w:p>
    <w:p w14:paraId="4F6919E6" w14:textId="77777777" w:rsidR="00DA0273" w:rsidRPr="008D761B" w:rsidRDefault="00DA0273" w:rsidP="008D761B">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D761B">
        <w:rPr>
          <w:b/>
          <w:bCs/>
          <w:snapToGrid w:val="0"/>
          <w:color w:val="000000"/>
          <w:kern w:val="22"/>
          <w:szCs w:val="22"/>
        </w:rPr>
        <w:t>C.</w:t>
      </w:r>
      <w:r w:rsidRPr="008D761B">
        <w:rPr>
          <w:b/>
          <w:bCs/>
          <w:snapToGrid w:val="0"/>
          <w:color w:val="000000"/>
          <w:kern w:val="22"/>
          <w:szCs w:val="22"/>
        </w:rPr>
        <w:tab/>
        <w:t>Methodology</w:t>
      </w:r>
    </w:p>
    <w:p w14:paraId="0E137DC6" w14:textId="77777777" w:rsidR="00DA0273" w:rsidRPr="00853C76" w:rsidRDefault="00DA0273" w:rsidP="00950BE4">
      <w:pPr>
        <w:pStyle w:val="ListParagraph"/>
        <w:numPr>
          <w:ilvl w:val="0"/>
          <w:numId w:val="61"/>
        </w:numPr>
        <w:spacing w:before="120" w:after="120"/>
        <w:ind w:left="0" w:firstLine="0"/>
        <w:rPr>
          <w:rFonts w:eastAsia="Malgun Gothic"/>
          <w:kern w:val="22"/>
          <w:szCs w:val="22"/>
        </w:rPr>
      </w:pPr>
      <w:r w:rsidRPr="00853C76">
        <w:rPr>
          <w:rFonts w:eastAsia="Malgun Gothic"/>
          <w:kern w:val="22"/>
          <w:szCs w:val="22"/>
        </w:rPr>
        <w:t>The funding needs assessment should take into account:</w:t>
      </w:r>
    </w:p>
    <w:p w14:paraId="1CCCDA04"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 xml:space="preserve">Article 20, paragraph 2, and Article 21, paragraph 1, of the Convention, as well as the </w:t>
      </w:r>
      <w:r>
        <w:rPr>
          <w:rFonts w:eastAsia="Malgun Gothic"/>
          <w:kern w:val="22"/>
          <w:szCs w:val="22"/>
        </w:rPr>
        <w:t>Kunming-Montreal</w:t>
      </w:r>
      <w:r w:rsidRPr="00853C76">
        <w:rPr>
          <w:rFonts w:eastAsia="Malgun Gothic"/>
          <w:kern w:val="22"/>
          <w:szCs w:val="22"/>
        </w:rPr>
        <w:t xml:space="preserv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Pr>
          <w:rFonts w:eastAsia="Malgun Gothic"/>
          <w:kern w:val="22"/>
          <w:szCs w:val="22"/>
        </w:rPr>
        <w:t>F</w:t>
      </w:r>
      <w:r w:rsidRPr="00853C76">
        <w:rPr>
          <w:rFonts w:eastAsia="Malgun Gothic"/>
          <w:kern w:val="22"/>
          <w:szCs w:val="22"/>
        </w:rPr>
        <w:t>ramework;</w:t>
      </w:r>
    </w:p>
    <w:p w14:paraId="79D4910F"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Guidance to the financial mechanism from the Conference of the Parties which calls for future financial resources;</w:t>
      </w:r>
    </w:p>
    <w:p w14:paraId="6ACDE2D5"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All obligations under the Convention and its Protocols and relevant decisions adopted by the Conference of the Parties;</w:t>
      </w:r>
    </w:p>
    <w:p w14:paraId="77840547"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The information communicated to the Conference of the Parties in the national reports</w:t>
      </w:r>
      <w:r w:rsidRPr="00853C76">
        <w:rPr>
          <w:rFonts w:eastAsia="Malgun Gothic"/>
          <w:kern w:val="22"/>
          <w:szCs w:val="22"/>
          <w:lang w:eastAsia="ko-KR"/>
        </w:rPr>
        <w:t xml:space="preserve">, information provided by the Parties through the financial reporting framework and information from the </w:t>
      </w:r>
      <w:r w:rsidRPr="000E778E">
        <w:rPr>
          <w:rFonts w:eastAsia="Malgun Gothic"/>
          <w:kern w:val="22"/>
          <w:szCs w:val="22"/>
          <w:lang w:eastAsia="ko-KR"/>
        </w:rPr>
        <w:t>A</w:t>
      </w:r>
      <w:r w:rsidRPr="009B3FE7">
        <w:rPr>
          <w:rFonts w:eastAsia="Malgun Gothic"/>
          <w:kern w:val="22"/>
          <w:szCs w:val="22"/>
          <w:lang w:eastAsia="ko-KR"/>
        </w:rPr>
        <w:t xml:space="preserve">dvisory </w:t>
      </w:r>
      <w:r w:rsidRPr="000E778E">
        <w:rPr>
          <w:rFonts w:eastAsia="Malgun Gothic"/>
          <w:kern w:val="22"/>
          <w:szCs w:val="22"/>
          <w:lang w:eastAsia="ko-KR"/>
        </w:rPr>
        <w:t>C</w:t>
      </w:r>
      <w:r w:rsidRPr="009B3FE7">
        <w:rPr>
          <w:rFonts w:eastAsia="Malgun Gothic"/>
          <w:kern w:val="22"/>
          <w:szCs w:val="22"/>
          <w:lang w:eastAsia="ko-KR"/>
        </w:rPr>
        <w:t xml:space="preserve">ommittee on </w:t>
      </w:r>
      <w:r w:rsidRPr="000E778E">
        <w:rPr>
          <w:rFonts w:eastAsia="Malgun Gothic"/>
          <w:kern w:val="22"/>
          <w:szCs w:val="22"/>
          <w:lang w:eastAsia="ko-KR"/>
        </w:rPr>
        <w:t>R</w:t>
      </w:r>
      <w:r w:rsidRPr="009B3FE7">
        <w:rPr>
          <w:rFonts w:eastAsia="Malgun Gothic"/>
          <w:kern w:val="22"/>
          <w:szCs w:val="22"/>
          <w:lang w:eastAsia="ko-KR"/>
        </w:rPr>
        <w:t xml:space="preserve">esource </w:t>
      </w:r>
      <w:r w:rsidRPr="000E778E">
        <w:rPr>
          <w:rFonts w:eastAsia="Malgun Gothic"/>
          <w:kern w:val="22"/>
          <w:szCs w:val="22"/>
          <w:lang w:eastAsia="ko-KR"/>
        </w:rPr>
        <w:t>M</w:t>
      </w:r>
      <w:r w:rsidRPr="009B3FE7">
        <w:rPr>
          <w:rFonts w:eastAsia="Malgun Gothic"/>
          <w:kern w:val="22"/>
          <w:szCs w:val="22"/>
          <w:lang w:eastAsia="ko-KR"/>
        </w:rPr>
        <w:t>obilization</w:t>
      </w:r>
      <w:r w:rsidRPr="00853C76">
        <w:rPr>
          <w:rFonts w:eastAsia="Malgun Gothic"/>
          <w:kern w:val="22"/>
          <w:szCs w:val="22"/>
          <w:lang w:eastAsia="ko-KR"/>
        </w:rPr>
        <w:t>;</w:t>
      </w:r>
      <w:r w:rsidRPr="00610646">
        <w:rPr>
          <w:rStyle w:val="FootnoteReference"/>
          <w:rFonts w:eastAsia="Malgun Gothic"/>
        </w:rPr>
        <w:footnoteReference w:id="289"/>
      </w:r>
    </w:p>
    <w:p w14:paraId="1ECB7765"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Rules and guidelines agreed by the Council of the Global Environment Facility for determining eligibility for funding of projects;</w:t>
      </w:r>
    </w:p>
    <w:p w14:paraId="7EB0283E"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National strategies, plans or programmes developed in accordance with Article 6 of the Convention;</w:t>
      </w:r>
    </w:p>
    <w:p w14:paraId="4704C876"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lastRenderedPageBreak/>
        <w:t>Experience to date, including limitations and successes of projects funded by the Global Environment Facility, as well as the performance of the Facility and its implementing and executing agencies;</w:t>
      </w:r>
    </w:p>
    <w:p w14:paraId="1D8B2D1D"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rPr>
        <w:t>Synergies with other biodiversity-related conventions and other GEF-funded Conventions, including those with respect to operations and impacts;</w:t>
      </w:r>
    </w:p>
    <w:p w14:paraId="7F4E67A1"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lang w:eastAsia="ko-KR"/>
        </w:rPr>
        <w:t>The strategy for resource mobilization;</w:t>
      </w:r>
    </w:p>
    <w:p w14:paraId="7DEA913B" w14:textId="77777777" w:rsidR="00DA0273" w:rsidRPr="007412ED" w:rsidRDefault="00DA0273" w:rsidP="00950BE4">
      <w:pPr>
        <w:numPr>
          <w:ilvl w:val="0"/>
          <w:numId w:val="59"/>
        </w:numPr>
        <w:spacing w:before="120" w:after="120"/>
        <w:ind w:left="0" w:firstLine="677"/>
        <w:rPr>
          <w:rFonts w:eastAsia="Malgun Gothic"/>
          <w:kern w:val="22"/>
          <w:szCs w:val="22"/>
        </w:rPr>
      </w:pPr>
      <w:r w:rsidRPr="007412ED">
        <w:rPr>
          <w:rFonts w:eastAsia="Malgun Gothic"/>
          <w:kern w:val="22"/>
          <w:szCs w:val="22"/>
          <w:lang w:eastAsia="ko-KR"/>
        </w:rPr>
        <w:t>The report of the Panel of Experts on Resource Mobilization</w:t>
      </w:r>
      <w:r w:rsidRPr="00610646">
        <w:rPr>
          <w:rStyle w:val="FootnoteReference"/>
          <w:rFonts w:eastAsia="Malgun Gothic"/>
        </w:rPr>
        <w:footnoteReference w:id="290"/>
      </w:r>
      <w:r w:rsidRPr="007412ED">
        <w:rPr>
          <w:rFonts w:eastAsia="Malgun Gothic"/>
          <w:kern w:val="22"/>
          <w:szCs w:val="22"/>
          <w:lang w:eastAsia="ko-KR"/>
        </w:rPr>
        <w:t xml:space="preserve"> concerning estimation of resources needed for implementing the post-2020 global biodiversity framework, and other relevant estimations;</w:t>
      </w:r>
    </w:p>
    <w:p w14:paraId="2AD28D7B"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lang w:eastAsia="ko-KR"/>
        </w:rPr>
        <w:t>National biodiversity strategies and action plans and national biodiversity finance plans or similar instruments, where available;</w:t>
      </w:r>
    </w:p>
    <w:p w14:paraId="6A8A63B3" w14:textId="77777777" w:rsidR="00DA0273" w:rsidRPr="00853C76" w:rsidRDefault="00DA0273" w:rsidP="00950BE4">
      <w:pPr>
        <w:numPr>
          <w:ilvl w:val="0"/>
          <w:numId w:val="59"/>
        </w:numPr>
        <w:spacing w:before="120" w:after="120"/>
        <w:ind w:left="0" w:firstLine="677"/>
        <w:rPr>
          <w:rFonts w:eastAsia="Malgun Gothic"/>
          <w:kern w:val="22"/>
          <w:szCs w:val="22"/>
        </w:rPr>
      </w:pPr>
      <w:r w:rsidRPr="00853C76">
        <w:rPr>
          <w:rFonts w:eastAsia="Malgun Gothic"/>
          <w:kern w:val="22"/>
          <w:szCs w:val="22"/>
          <w:lang w:eastAsia="ko-KR"/>
        </w:rPr>
        <w:t>Sustainable Development Goals, in particular Goal 17 (strengthen the means of implementation).</w:t>
      </w:r>
    </w:p>
    <w:p w14:paraId="5A1FB6D2" w14:textId="77777777" w:rsidR="00DA0273" w:rsidRPr="008D761B" w:rsidRDefault="00DA0273" w:rsidP="008D761B">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D761B">
        <w:rPr>
          <w:b/>
          <w:bCs/>
          <w:snapToGrid w:val="0"/>
          <w:color w:val="000000"/>
          <w:kern w:val="22"/>
          <w:szCs w:val="22"/>
        </w:rPr>
        <w:t>D.</w:t>
      </w:r>
      <w:r w:rsidRPr="008D761B">
        <w:rPr>
          <w:b/>
          <w:bCs/>
          <w:snapToGrid w:val="0"/>
          <w:color w:val="000000"/>
          <w:kern w:val="22"/>
          <w:szCs w:val="22"/>
        </w:rPr>
        <w:tab/>
        <w:t>Procedures for implementation</w:t>
      </w:r>
    </w:p>
    <w:p w14:paraId="0DB58C9B"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Under the authority and with the support of the Conference of the Parties, the Executive Secretary shall contract a team of three or five</w:t>
      </w:r>
      <w:r w:rsidRPr="00853C76">
        <w:rPr>
          <w:rFonts w:eastAsia="Malgun Gothic"/>
          <w:strike/>
          <w:kern w:val="22"/>
          <w:szCs w:val="22"/>
        </w:rPr>
        <w:t xml:space="preserve"> </w:t>
      </w:r>
      <w:r w:rsidRPr="00853C76">
        <w:rPr>
          <w:rFonts w:eastAsia="Malgun Gothic"/>
          <w:kern w:val="22"/>
          <w:szCs w:val="22"/>
        </w:rPr>
        <w:t xml:space="preserve">experts, subject to the availability of resources, with equal representation from developing country Parties and developed country Parties, and one </w:t>
      </w:r>
      <w:r>
        <w:rPr>
          <w:rFonts w:eastAsia="Malgun Gothic"/>
          <w:kern w:val="22"/>
          <w:szCs w:val="22"/>
        </w:rPr>
        <w:t xml:space="preserve">expert </w:t>
      </w:r>
      <w:r w:rsidRPr="00853C76">
        <w:rPr>
          <w:rFonts w:eastAsia="Malgun Gothic"/>
          <w:kern w:val="22"/>
          <w:szCs w:val="22"/>
        </w:rPr>
        <w:t>from international non-governmental organizations, to prepare a report on the full assessment of funding necessary and available for the implementation of the Convention for the period July 2026 to June 2030, in accordance with the above objective and methodology.</w:t>
      </w:r>
    </w:p>
    <w:p w14:paraId="08DFC285"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In preparing the assessment report, the expert team should undertake such interviews, surveys, quantitative and qualitative analyses, and consultation, as may be required, including:</w:t>
      </w:r>
    </w:p>
    <w:p w14:paraId="0B36223D" w14:textId="77777777" w:rsidR="00DA0273" w:rsidRPr="00853C76" w:rsidRDefault="00DA0273" w:rsidP="00950BE4">
      <w:pPr>
        <w:numPr>
          <w:ilvl w:val="0"/>
          <w:numId w:val="60"/>
        </w:numPr>
        <w:spacing w:before="120" w:after="120"/>
        <w:ind w:left="0" w:firstLine="677"/>
        <w:rPr>
          <w:rFonts w:eastAsia="Malgun Gothic"/>
          <w:kern w:val="22"/>
          <w:szCs w:val="22"/>
        </w:rPr>
      </w:pPr>
      <w:r w:rsidRPr="00853C76">
        <w:rPr>
          <w:rFonts w:eastAsia="Malgun Gothic"/>
          <w:kern w:val="22"/>
          <w:szCs w:val="22"/>
        </w:rPr>
        <w:t>Compilation and analysis of the needs identified in national biodiversity strategies and action plans and national biodiversity finance plans, including country-specific resource mobilization strategies, prepared by GEF-eligible and other relevant Parties pursuant to Article 6 of the Convention;</w:t>
      </w:r>
    </w:p>
    <w:p w14:paraId="36CC414C" w14:textId="77777777" w:rsidR="00DA0273" w:rsidRPr="00853C76" w:rsidRDefault="00DA0273" w:rsidP="00950BE4">
      <w:pPr>
        <w:numPr>
          <w:ilvl w:val="0"/>
          <w:numId w:val="60"/>
        </w:numPr>
        <w:spacing w:before="120" w:after="120"/>
        <w:ind w:left="0" w:firstLine="677"/>
        <w:rPr>
          <w:rFonts w:eastAsia="Malgun Gothic"/>
          <w:kern w:val="22"/>
          <w:szCs w:val="22"/>
        </w:rPr>
      </w:pPr>
      <w:r w:rsidRPr="00853C76">
        <w:rPr>
          <w:rFonts w:eastAsia="Malgun Gothic"/>
          <w:kern w:val="22"/>
          <w:szCs w:val="22"/>
        </w:rPr>
        <w:t>Review of reports submitted by Parties pursuant to Articles 6 and 26 of the Convention to identify funding needs in fulfilment of their obligations under the Convention and, as appropriate, its Protocols;</w:t>
      </w:r>
    </w:p>
    <w:p w14:paraId="54F1D0DB" w14:textId="77777777" w:rsidR="00DA0273" w:rsidRPr="00853C76" w:rsidRDefault="00DA0273" w:rsidP="00950BE4">
      <w:pPr>
        <w:numPr>
          <w:ilvl w:val="0"/>
          <w:numId w:val="60"/>
        </w:numPr>
        <w:spacing w:before="120" w:after="120"/>
        <w:ind w:left="0" w:firstLine="677"/>
        <w:rPr>
          <w:rFonts w:eastAsia="Malgun Gothic"/>
          <w:kern w:val="22"/>
          <w:szCs w:val="22"/>
        </w:rPr>
      </w:pPr>
      <w:r w:rsidRPr="00853C76">
        <w:rPr>
          <w:rFonts w:eastAsia="Malgun Gothic"/>
          <w:kern w:val="22"/>
          <w:szCs w:val="22"/>
        </w:rPr>
        <w:t xml:space="preserve">Estimated financial implications of guidance to the financial mechanism from the Conference of the Parties including support to the establishment of the </w:t>
      </w:r>
      <w:r>
        <w:rPr>
          <w:rFonts w:eastAsia="Malgun Gothic"/>
          <w:kern w:val="22"/>
          <w:szCs w:val="22"/>
        </w:rPr>
        <w:t>G</w:t>
      </w:r>
      <w:r w:rsidRPr="00853C76">
        <w:rPr>
          <w:rFonts w:eastAsia="Malgun Gothic"/>
          <w:kern w:val="22"/>
          <w:szCs w:val="22"/>
        </w:rPr>
        <w:t xml:space="preserve">lobal </w:t>
      </w:r>
      <w:r>
        <w:rPr>
          <w:rFonts w:eastAsia="Malgun Gothic"/>
          <w:kern w:val="22"/>
          <w:szCs w:val="22"/>
        </w:rPr>
        <w:t>B</w:t>
      </w:r>
      <w:r w:rsidRPr="00853C76">
        <w:rPr>
          <w:rFonts w:eastAsia="Malgun Gothic"/>
          <w:kern w:val="22"/>
          <w:szCs w:val="22"/>
        </w:rPr>
        <w:t xml:space="preserve">iodiversity </w:t>
      </w:r>
      <w:r w:rsidRPr="0007003D">
        <w:rPr>
          <w:rFonts w:eastAsia="Malgun Gothic"/>
          <w:kern w:val="22"/>
          <w:szCs w:val="22"/>
        </w:rPr>
        <w:t xml:space="preserve">Framework </w:t>
      </w:r>
      <w:r w:rsidRPr="000E778E">
        <w:rPr>
          <w:rFonts w:eastAsia="Malgun Gothic"/>
          <w:kern w:val="22"/>
          <w:szCs w:val="22"/>
        </w:rPr>
        <w:t>F</w:t>
      </w:r>
      <w:r w:rsidRPr="0007003D">
        <w:rPr>
          <w:rFonts w:eastAsia="Malgun Gothic"/>
          <w:kern w:val="22"/>
          <w:szCs w:val="22"/>
        </w:rPr>
        <w:t>und;</w:t>
      </w:r>
    </w:p>
    <w:p w14:paraId="5BE65000" w14:textId="77777777" w:rsidR="00DA0273" w:rsidRPr="00853C76" w:rsidRDefault="00DA0273" w:rsidP="00950BE4">
      <w:pPr>
        <w:numPr>
          <w:ilvl w:val="0"/>
          <w:numId w:val="60"/>
        </w:numPr>
        <w:spacing w:before="120" w:after="120"/>
        <w:ind w:left="0" w:firstLine="677"/>
        <w:rPr>
          <w:rFonts w:eastAsia="Malgun Gothic"/>
          <w:kern w:val="22"/>
          <w:szCs w:val="22"/>
        </w:rPr>
      </w:pPr>
      <w:r w:rsidRPr="00853C76">
        <w:rPr>
          <w:rFonts w:eastAsia="Malgun Gothic"/>
          <w:kern w:val="22"/>
          <w:szCs w:val="22"/>
        </w:rPr>
        <w:t>Experience to date in the provision of funds by the financial mechanism for each replenishment period;</w:t>
      </w:r>
    </w:p>
    <w:p w14:paraId="2D98062A" w14:textId="77777777" w:rsidR="00DA0273" w:rsidRPr="00853C76" w:rsidRDefault="00DA0273" w:rsidP="00950BE4">
      <w:pPr>
        <w:numPr>
          <w:ilvl w:val="0"/>
          <w:numId w:val="60"/>
        </w:numPr>
        <w:spacing w:before="120" w:after="120"/>
        <w:ind w:left="0" w:firstLine="677"/>
        <w:rPr>
          <w:rFonts w:eastAsia="Malgun Gothic"/>
          <w:kern w:val="22"/>
          <w:szCs w:val="22"/>
        </w:rPr>
      </w:pPr>
      <w:r w:rsidRPr="00853C76">
        <w:rPr>
          <w:rFonts w:eastAsia="Malgun Gothic"/>
          <w:kern w:val="22"/>
          <w:szCs w:val="22"/>
        </w:rPr>
        <w:t>Compilation and analysis of any supplementary information provided by GEF-eligible and other relevant Parties on their funding needs for the implementation of their obligations under the Convention and its Protocols.</w:t>
      </w:r>
    </w:p>
    <w:p w14:paraId="3C313DE5"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The Global Environment Facility and the Executive Secretary shall conduct a review of the draft assessment reports of the expert team to ensure accuracy and consistency of data and approach as specified in these terms of reference.</w:t>
      </w:r>
    </w:p>
    <w:p w14:paraId="48203C5A"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The Executive Secretary shall ensure that the assessment report of the expert team will be distributed to all Parties at least one month before </w:t>
      </w:r>
      <w:r>
        <w:rPr>
          <w:rFonts w:eastAsia="Malgun Gothic"/>
          <w:kern w:val="22"/>
          <w:szCs w:val="22"/>
        </w:rPr>
        <w:t>a</w:t>
      </w:r>
      <w:r w:rsidRPr="00853C76">
        <w:rPr>
          <w:rFonts w:eastAsia="Malgun Gothic"/>
          <w:kern w:val="22"/>
          <w:szCs w:val="22"/>
        </w:rPr>
        <w:t xml:space="preserve"> meeting of the Subsidiary Body on Implementation</w:t>
      </w:r>
      <w:r>
        <w:rPr>
          <w:rFonts w:eastAsia="Malgun Gothic"/>
          <w:kern w:val="22"/>
          <w:szCs w:val="22"/>
        </w:rPr>
        <w:t xml:space="preserve"> prior to the sixteenth meeting of the Conference of the Parties</w:t>
      </w:r>
      <w:r w:rsidRPr="00853C76">
        <w:rPr>
          <w:rFonts w:eastAsia="Malgun Gothic"/>
          <w:kern w:val="22"/>
          <w:szCs w:val="22"/>
        </w:rPr>
        <w:t>.</w:t>
      </w:r>
    </w:p>
    <w:p w14:paraId="17B83173"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lastRenderedPageBreak/>
        <w:t xml:space="preserve">The Subsidiary Body on Implementation should consider the expert team’s assessment report as well as information from the </w:t>
      </w:r>
      <w:r>
        <w:rPr>
          <w:rFonts w:eastAsia="Malgun Gothic"/>
          <w:kern w:val="22"/>
          <w:szCs w:val="22"/>
        </w:rPr>
        <w:t>A</w:t>
      </w:r>
      <w:r w:rsidRPr="00853C76">
        <w:rPr>
          <w:rFonts w:eastAsia="Malgun Gothic"/>
          <w:kern w:val="22"/>
          <w:szCs w:val="22"/>
        </w:rPr>
        <w:t xml:space="preserve">dvisory </w:t>
      </w:r>
      <w:r>
        <w:rPr>
          <w:rFonts w:eastAsia="Malgun Gothic"/>
          <w:kern w:val="22"/>
          <w:szCs w:val="22"/>
        </w:rPr>
        <w:t>C</w:t>
      </w:r>
      <w:r w:rsidRPr="00853C76">
        <w:rPr>
          <w:rFonts w:eastAsia="Malgun Gothic"/>
          <w:kern w:val="22"/>
          <w:szCs w:val="22"/>
        </w:rPr>
        <w:t xml:space="preserve">ommittee on </w:t>
      </w:r>
      <w:r>
        <w:rPr>
          <w:rFonts w:eastAsia="Malgun Gothic"/>
          <w:kern w:val="22"/>
          <w:szCs w:val="22"/>
        </w:rPr>
        <w:t>R</w:t>
      </w:r>
      <w:r w:rsidRPr="00853C76">
        <w:rPr>
          <w:rFonts w:eastAsia="Malgun Gothic"/>
          <w:kern w:val="22"/>
          <w:szCs w:val="22"/>
        </w:rPr>
        <w:t xml:space="preserve">esource </w:t>
      </w:r>
      <w:r>
        <w:rPr>
          <w:rFonts w:eastAsia="Malgun Gothic"/>
          <w:kern w:val="22"/>
          <w:szCs w:val="22"/>
        </w:rPr>
        <w:t>M</w:t>
      </w:r>
      <w:r w:rsidRPr="00853C76">
        <w:rPr>
          <w:rFonts w:eastAsia="Malgun Gothic"/>
          <w:kern w:val="22"/>
          <w:szCs w:val="22"/>
        </w:rPr>
        <w:t>obilization and make recommendations for consideration by the Conference of the Parties at its sixteenth meeting.</w:t>
      </w:r>
    </w:p>
    <w:p w14:paraId="104DB9B5"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The Conference of the Parties, at its sixteenth meeting, will </w:t>
      </w:r>
      <w:r w:rsidRPr="00373DD9">
        <w:rPr>
          <w:rFonts w:eastAsia="Malgun Gothic"/>
          <w:kern w:val="22"/>
          <w:szCs w:val="22"/>
        </w:rPr>
        <w:t>take a decision</w:t>
      </w:r>
      <w:r w:rsidRPr="00853C76">
        <w:rPr>
          <w:rFonts w:eastAsia="Malgun Gothic"/>
          <w:kern w:val="22"/>
          <w:szCs w:val="22"/>
        </w:rPr>
        <w:t xml:space="preserve"> on this assessment of the amount of funds that are necessary for the implementation of the Convention and its Protocols for the ninth replenishment period of the </w:t>
      </w:r>
      <w:r>
        <w:rPr>
          <w:rFonts w:eastAsiaTheme="minorEastAsia"/>
          <w:snapToGrid w:val="0"/>
          <w:color w:val="000000"/>
          <w:kern w:val="22"/>
          <w:szCs w:val="22"/>
        </w:rPr>
        <w:t>Global Environment Facility</w:t>
      </w:r>
      <w:r w:rsidRPr="00853C76">
        <w:rPr>
          <w:rFonts w:eastAsiaTheme="minorEastAsia"/>
          <w:snapToGrid w:val="0"/>
          <w:color w:val="000000"/>
          <w:kern w:val="22"/>
          <w:szCs w:val="22"/>
        </w:rPr>
        <w:t xml:space="preserve"> </w:t>
      </w:r>
      <w:r w:rsidRPr="00853C76">
        <w:rPr>
          <w:rFonts w:eastAsia="Malgun Gothic"/>
          <w:kern w:val="22"/>
          <w:szCs w:val="22"/>
        </w:rPr>
        <w:t>Trust Fund, and communicate the results to GEF accordingly.</w:t>
      </w:r>
    </w:p>
    <w:p w14:paraId="10DA1FAF" w14:textId="77777777" w:rsidR="00DA0273" w:rsidRPr="008D761B" w:rsidRDefault="00DA0273" w:rsidP="008D761B">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8D761B">
        <w:rPr>
          <w:b/>
          <w:bCs/>
          <w:snapToGrid w:val="0"/>
          <w:color w:val="000000"/>
          <w:kern w:val="22"/>
          <w:szCs w:val="22"/>
        </w:rPr>
        <w:t>E.</w:t>
      </w:r>
      <w:r w:rsidRPr="008D761B">
        <w:rPr>
          <w:b/>
          <w:bCs/>
          <w:snapToGrid w:val="0"/>
          <w:color w:val="000000"/>
          <w:kern w:val="22"/>
          <w:szCs w:val="22"/>
        </w:rPr>
        <w:tab/>
        <w:t>Consultation process</w:t>
      </w:r>
    </w:p>
    <w:p w14:paraId="1AFE48A1"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In preparing the assessment report, the expert team should consult widely with all relevant sources of information deemed useful, </w:t>
      </w:r>
      <w:r w:rsidRPr="00EA545B">
        <w:rPr>
          <w:rFonts w:eastAsia="Malgun Gothic"/>
          <w:kern w:val="22"/>
          <w:szCs w:val="22"/>
        </w:rPr>
        <w:t>particularly with developing</w:t>
      </w:r>
      <w:r w:rsidRPr="00853C76">
        <w:rPr>
          <w:rFonts w:eastAsia="Malgun Gothic"/>
          <w:kern w:val="22"/>
          <w:szCs w:val="22"/>
        </w:rPr>
        <w:t xml:space="preserve"> country Parties through the CBD </w:t>
      </w:r>
      <w:r>
        <w:rPr>
          <w:rFonts w:eastAsia="Malgun Gothic"/>
          <w:kern w:val="22"/>
          <w:szCs w:val="22"/>
        </w:rPr>
        <w:t>n</w:t>
      </w:r>
      <w:r w:rsidRPr="00853C76">
        <w:rPr>
          <w:rFonts w:eastAsia="Malgun Gothic"/>
          <w:kern w:val="22"/>
          <w:szCs w:val="22"/>
        </w:rPr>
        <w:t xml:space="preserve">ational </w:t>
      </w:r>
      <w:r>
        <w:rPr>
          <w:rFonts w:eastAsia="Malgun Gothic"/>
          <w:kern w:val="22"/>
          <w:szCs w:val="22"/>
        </w:rPr>
        <w:t>f</w:t>
      </w:r>
      <w:r w:rsidRPr="00853C76">
        <w:rPr>
          <w:rFonts w:eastAsia="Malgun Gothic"/>
          <w:kern w:val="22"/>
          <w:szCs w:val="22"/>
        </w:rPr>
        <w:t xml:space="preserve">ocal </w:t>
      </w:r>
      <w:r>
        <w:rPr>
          <w:rFonts w:eastAsia="Malgun Gothic"/>
          <w:kern w:val="22"/>
          <w:szCs w:val="22"/>
        </w:rPr>
        <w:t>p</w:t>
      </w:r>
      <w:r w:rsidRPr="00853C76">
        <w:rPr>
          <w:rFonts w:eastAsia="Malgun Gothic"/>
          <w:kern w:val="22"/>
          <w:szCs w:val="22"/>
        </w:rPr>
        <w:t>oints.</w:t>
      </w:r>
    </w:p>
    <w:p w14:paraId="283509FA"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The expert team should design a questionnaire on funding needs for the period July 2026 to June 2030, in consultation with the Secretariat and GEF, and circulate it to all developing country Parties and Parties with economies in transition, in particular through the CBD </w:t>
      </w:r>
      <w:r>
        <w:rPr>
          <w:rFonts w:eastAsia="Malgun Gothic"/>
          <w:kern w:val="22"/>
          <w:szCs w:val="22"/>
        </w:rPr>
        <w:t>n</w:t>
      </w:r>
      <w:r w:rsidRPr="00853C76">
        <w:rPr>
          <w:rFonts w:eastAsia="Malgun Gothic"/>
          <w:kern w:val="22"/>
          <w:szCs w:val="22"/>
        </w:rPr>
        <w:t xml:space="preserve">ational </w:t>
      </w:r>
      <w:r>
        <w:rPr>
          <w:rFonts w:eastAsia="Malgun Gothic"/>
          <w:kern w:val="22"/>
          <w:szCs w:val="22"/>
        </w:rPr>
        <w:t>f</w:t>
      </w:r>
      <w:r w:rsidRPr="00853C76">
        <w:rPr>
          <w:rFonts w:eastAsia="Malgun Gothic"/>
          <w:kern w:val="22"/>
          <w:szCs w:val="22"/>
        </w:rPr>
        <w:t xml:space="preserve">ocal </w:t>
      </w:r>
      <w:r>
        <w:rPr>
          <w:rFonts w:eastAsia="Malgun Gothic"/>
          <w:kern w:val="22"/>
          <w:szCs w:val="22"/>
        </w:rPr>
        <w:t>p</w:t>
      </w:r>
      <w:r w:rsidRPr="00853C76">
        <w:rPr>
          <w:rFonts w:eastAsia="Malgun Gothic"/>
          <w:kern w:val="22"/>
          <w:szCs w:val="22"/>
        </w:rPr>
        <w:t>oints and the GEF Operational Focal Points, and include the results in the assessment report.</w:t>
      </w:r>
    </w:p>
    <w:p w14:paraId="15CC8C39"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Interviews and consultation meetings should be organized with participation of relevant key stakeholders, including major groups of Parties, the Convention Secretariat, as well as the secretariat, the </w:t>
      </w:r>
      <w:r w:rsidRPr="00853C76">
        <w:rPr>
          <w:rFonts w:eastAsia="Malgun Gothic"/>
          <w:kern w:val="22"/>
          <w:szCs w:val="22"/>
          <w:lang w:eastAsia="ko-KR"/>
        </w:rPr>
        <w:t xml:space="preserve">Independent </w:t>
      </w:r>
      <w:r w:rsidRPr="00853C76">
        <w:rPr>
          <w:rFonts w:eastAsia="Malgun Gothic"/>
          <w:kern w:val="22"/>
          <w:szCs w:val="22"/>
        </w:rPr>
        <w:t>Evaluation Office and the agencies of GEF.</w:t>
      </w:r>
    </w:p>
    <w:p w14:paraId="632C165C"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As far as possible, the expert team should endeavour to undertake regional and subregional consultations, in a balanced manner, taking advantage of regional and subregional workshops organized by the secretariats of the Convention and the Global Environment Facility during the study period.</w:t>
      </w:r>
    </w:p>
    <w:p w14:paraId="2D62B558"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 xml:space="preserve">The approaches to assessing the funding necessary and available for the implementation of the Convention </w:t>
      </w:r>
      <w:r w:rsidRPr="00853C76">
        <w:rPr>
          <w:rFonts w:eastAsia="Malgun Gothic"/>
          <w:kern w:val="22"/>
          <w:szCs w:val="22"/>
          <w:lang w:eastAsia="ko-KR"/>
        </w:rPr>
        <w:t xml:space="preserve">and its Protocols </w:t>
      </w:r>
      <w:r w:rsidRPr="00853C76">
        <w:rPr>
          <w:rFonts w:eastAsia="Malgun Gothic"/>
          <w:kern w:val="22"/>
          <w:szCs w:val="22"/>
        </w:rPr>
        <w:t>should be transparent, reliable and replicable, and demonstrate clear incremental cost reasoning in accordance with Article 20, paragraph 2, taking into consideration information gathered from other international funds serving conventions and information submitted by Parties in the application of the concept of incremental costs as well as current rules and guidelines of the Global Environment Facility as approved by the Council of the Global Environment Facility.</w:t>
      </w:r>
    </w:p>
    <w:p w14:paraId="3ED3B65A" w14:textId="77777777" w:rsidR="00DA0273" w:rsidRPr="00853C76" w:rsidRDefault="00DA0273" w:rsidP="00950BE4">
      <w:pPr>
        <w:pStyle w:val="ListParagraph"/>
        <w:numPr>
          <w:ilvl w:val="0"/>
          <w:numId w:val="61"/>
        </w:numPr>
        <w:spacing w:before="120" w:after="120"/>
        <w:ind w:left="0" w:firstLine="0"/>
        <w:contextualSpacing w:val="0"/>
        <w:rPr>
          <w:rFonts w:eastAsia="Malgun Gothic"/>
          <w:kern w:val="22"/>
          <w:szCs w:val="22"/>
        </w:rPr>
      </w:pPr>
      <w:r w:rsidRPr="00853C76">
        <w:rPr>
          <w:rFonts w:eastAsia="Malgun Gothic"/>
          <w:kern w:val="22"/>
          <w:szCs w:val="22"/>
        </w:rPr>
        <w:t>On the basis of experience with the preparation of the current needs assessment report, the expert team will make recommendations to the Executive Secretary for the elements and modalities of an online system to facilitate submissions by relevant Parties for future needs assessments.</w:t>
      </w:r>
    </w:p>
    <w:p w14:paraId="5B077C2D" w14:textId="77777777" w:rsidR="00DA0273" w:rsidRPr="00853C76" w:rsidRDefault="00DA0273" w:rsidP="00950BE4">
      <w:pPr>
        <w:pStyle w:val="ListParagraph"/>
        <w:numPr>
          <w:ilvl w:val="0"/>
          <w:numId w:val="61"/>
        </w:numPr>
        <w:spacing w:before="120" w:after="120"/>
        <w:ind w:left="0" w:firstLine="0"/>
        <w:contextualSpacing w:val="0"/>
        <w:rPr>
          <w:rFonts w:eastAsia="Malgun Gothic"/>
          <w:szCs w:val="22"/>
        </w:rPr>
      </w:pPr>
      <w:r w:rsidRPr="00853C76">
        <w:rPr>
          <w:rFonts w:eastAsia="Malgun Gothic"/>
          <w:kern w:val="22"/>
          <w:szCs w:val="22"/>
        </w:rPr>
        <w:t>The expert team should address additional issues that may be raised by the Subsidiary Body on Implementation during its consideration of the assessment report.</w:t>
      </w:r>
      <w:r w:rsidRPr="00853C76">
        <w:rPr>
          <w:rFonts w:eastAsia="Malgun Gothic"/>
          <w:szCs w:val="22"/>
        </w:rPr>
        <w:t xml:space="preserve"> </w:t>
      </w:r>
    </w:p>
    <w:p w14:paraId="5EFD6249" w14:textId="77777777" w:rsidR="00DA0273" w:rsidRPr="00853C76" w:rsidRDefault="00DA0273" w:rsidP="008D761B">
      <w:pPr>
        <w:suppressLineNumbers/>
        <w:suppressAutoHyphens/>
        <w:adjustRightInd w:val="0"/>
        <w:snapToGrid w:val="0"/>
        <w:spacing w:before="120" w:after="120"/>
        <w:jc w:val="center"/>
        <w:rPr>
          <w:i/>
          <w:snapToGrid w:val="0"/>
          <w:kern w:val="22"/>
          <w:szCs w:val="22"/>
        </w:rPr>
      </w:pPr>
      <w:r w:rsidRPr="000A385E">
        <w:rPr>
          <w:i/>
          <w:snapToGrid w:val="0"/>
          <w:kern w:val="22"/>
          <w:szCs w:val="22"/>
        </w:rPr>
        <w:t>Annex IV</w:t>
      </w:r>
      <w:bookmarkEnd w:id="243"/>
    </w:p>
    <w:p w14:paraId="39B07EF5" w14:textId="5CAD7080" w:rsidR="00DA0273" w:rsidRPr="00FE762E" w:rsidRDefault="00FE762E" w:rsidP="00FE762E">
      <w:pPr>
        <w:pStyle w:val="BodyText"/>
        <w:jc w:val="center"/>
        <w:rPr>
          <w:b/>
          <w:bCs/>
          <w:lang w:eastAsia="zh-CN"/>
        </w:rPr>
      </w:pPr>
      <w:bookmarkStart w:id="244" w:name="_Toc118355001"/>
      <w:r w:rsidRPr="00FE762E">
        <w:rPr>
          <w:b/>
          <w:bCs/>
          <w:lang w:eastAsia="zh-CN"/>
        </w:rPr>
        <w:t>TERMS OF REFERENCE FOR THE SIXTH REVIEW OF THE EFFECTIVENESS OF THE FINANCIAL MECHANISM</w:t>
      </w:r>
      <w:bookmarkEnd w:id="244"/>
    </w:p>
    <w:p w14:paraId="4303612F" w14:textId="77777777" w:rsidR="00DA0273" w:rsidRPr="00FE762E" w:rsidRDefault="00DA0273" w:rsidP="00FE762E">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FE762E">
        <w:rPr>
          <w:b/>
          <w:bCs/>
          <w:snapToGrid w:val="0"/>
          <w:color w:val="000000"/>
          <w:kern w:val="22"/>
          <w:szCs w:val="22"/>
        </w:rPr>
        <w:t>A.</w:t>
      </w:r>
      <w:r w:rsidRPr="00FE762E">
        <w:rPr>
          <w:b/>
          <w:bCs/>
          <w:snapToGrid w:val="0"/>
          <w:color w:val="000000"/>
          <w:kern w:val="22"/>
          <w:szCs w:val="22"/>
        </w:rPr>
        <w:tab/>
        <w:t>Objectives</w:t>
      </w:r>
    </w:p>
    <w:p w14:paraId="73B41C4A"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1.</w:t>
      </w:r>
      <w:r w:rsidRPr="00853C76">
        <w:rPr>
          <w:snapToGrid w:val="0"/>
          <w:kern w:val="22"/>
          <w:szCs w:val="22"/>
        </w:rPr>
        <w:tab/>
        <w:t xml:space="preserve">In accordance with Article 21, paragraph 3, and building upon the experience of the past five reviews, the Conference of the Parties will undertake its sixth review of the effectiveness of the financial mechanism at its sixteenth meeting and </w:t>
      </w:r>
      <w:r>
        <w:rPr>
          <w:snapToGrid w:val="0"/>
          <w:kern w:val="22"/>
          <w:szCs w:val="22"/>
        </w:rPr>
        <w:t xml:space="preserve">will </w:t>
      </w:r>
      <w:r w:rsidRPr="00853C76">
        <w:rPr>
          <w:snapToGrid w:val="0"/>
          <w:kern w:val="22"/>
          <w:szCs w:val="22"/>
        </w:rPr>
        <w:t>take appropriate action to improve the effectiveness of the mechanism as necessary. For this purpose, effectiveness will include:</w:t>
      </w:r>
    </w:p>
    <w:p w14:paraId="5FAE4961"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(a)</w:t>
      </w:r>
      <w:r w:rsidRPr="00853C76">
        <w:rPr>
          <w:snapToGrid w:val="0"/>
          <w:kern w:val="22"/>
          <w:szCs w:val="22"/>
        </w:rPr>
        <w:tab/>
        <w:t>The conformity of the activities of the Global Environment Facility (GEF), as the institutional structure operating the financial mechanism, with the guidance of the Conference of the Parties;</w:t>
      </w:r>
    </w:p>
    <w:p w14:paraId="3C41E9E0" w14:textId="77777777" w:rsidR="00DA0273" w:rsidRPr="00853C76" w:rsidRDefault="00DA0273" w:rsidP="00DD1571">
      <w:pPr>
        <w:suppressLineNumbers/>
        <w:suppressAutoHyphens/>
        <w:adjustRightInd w:val="0"/>
        <w:snapToGrid w:val="0"/>
        <w:spacing w:before="120" w:after="120"/>
        <w:ind w:firstLine="720"/>
        <w:rPr>
          <w:snapToGrid w:val="0"/>
          <w:kern w:val="22"/>
          <w:szCs w:val="22"/>
        </w:rPr>
      </w:pPr>
      <w:r w:rsidRPr="00853C76">
        <w:rPr>
          <w:snapToGrid w:val="0"/>
          <w:kern w:val="22"/>
          <w:szCs w:val="22"/>
        </w:rPr>
        <w:t>(b)</w:t>
      </w:r>
      <w:r w:rsidRPr="00853C76">
        <w:rPr>
          <w:snapToGrid w:val="0"/>
          <w:kern w:val="22"/>
          <w:szCs w:val="22"/>
        </w:rPr>
        <w:tab/>
        <w:t xml:space="preserve">The effectiveness of the financial mechanism in providing and mobilizing financial resources to enable all recipient country Parties to meet the agreed full incremental </w:t>
      </w:r>
      <w:r w:rsidRPr="00310540">
        <w:rPr>
          <w:snapToGrid w:val="0"/>
          <w:kern w:val="22"/>
          <w:szCs w:val="22"/>
        </w:rPr>
        <w:t>costs to them</w:t>
      </w:r>
      <w:r w:rsidRPr="00310540">
        <w:rPr>
          <w:b/>
          <w:snapToGrid w:val="0"/>
          <w:kern w:val="22"/>
          <w:szCs w:val="22"/>
        </w:rPr>
        <w:t xml:space="preserve"> </w:t>
      </w:r>
      <w:r w:rsidRPr="00310540">
        <w:rPr>
          <w:snapToGrid w:val="0"/>
          <w:kern w:val="22"/>
          <w:szCs w:val="22"/>
        </w:rPr>
        <w:t>of</w:t>
      </w:r>
      <w:r w:rsidRPr="00853C76">
        <w:rPr>
          <w:snapToGrid w:val="0"/>
          <w:kern w:val="22"/>
          <w:szCs w:val="22"/>
        </w:rPr>
        <w:t xml:space="preserve"> </w:t>
      </w:r>
      <w:r w:rsidRPr="00853C76">
        <w:rPr>
          <w:snapToGrid w:val="0"/>
          <w:kern w:val="22"/>
          <w:szCs w:val="22"/>
        </w:rPr>
        <w:lastRenderedPageBreak/>
        <w:t xml:space="preserve">implementing measures which fulfil the obligations of the Convention and its </w:t>
      </w:r>
      <w:r>
        <w:rPr>
          <w:snapToGrid w:val="0"/>
          <w:kern w:val="22"/>
          <w:szCs w:val="22"/>
        </w:rPr>
        <w:t>P</w:t>
      </w:r>
      <w:r w:rsidRPr="00853C76">
        <w:rPr>
          <w:snapToGrid w:val="0"/>
          <w:kern w:val="22"/>
          <w:szCs w:val="22"/>
        </w:rPr>
        <w:t>rotocols and to benefit from its provisions, taking into account the need for predictability, adequacy and timely flow of funds;</w:t>
      </w:r>
    </w:p>
    <w:p w14:paraId="47B615D5"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(c)</w:t>
      </w:r>
      <w:r w:rsidRPr="00853C76">
        <w:rPr>
          <w:snapToGrid w:val="0"/>
          <w:kern w:val="22"/>
          <w:szCs w:val="22"/>
        </w:rPr>
        <w:tab/>
        <w:t xml:space="preserve">The effectiveness of mobilizing financial resources from all sources to support national implementation, including national biodiversity strategies and action plans and national biodiversity finance plans, of the Convention and its </w:t>
      </w:r>
      <w:r>
        <w:rPr>
          <w:snapToGrid w:val="0"/>
          <w:kern w:val="22"/>
          <w:szCs w:val="22"/>
        </w:rPr>
        <w:t>P</w:t>
      </w:r>
      <w:r w:rsidRPr="00853C76">
        <w:rPr>
          <w:snapToGrid w:val="0"/>
          <w:kern w:val="22"/>
          <w:szCs w:val="22"/>
        </w:rPr>
        <w:t>rotocols.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2F7075F4"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(d)</w:t>
      </w:r>
      <w:r w:rsidRPr="00853C76">
        <w:rPr>
          <w:snapToGrid w:val="0"/>
          <w:kern w:val="22"/>
          <w:szCs w:val="22"/>
        </w:rPr>
        <w:tab/>
        <w:t>The effectiveness of catalysing and enhancing national implementation measures for achieving global biodiversity goals and targets, including those that relate to the Protocols;</w:t>
      </w:r>
    </w:p>
    <w:p w14:paraId="0869E8DC"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Pr>
          <w:snapToGrid w:val="0"/>
          <w:kern w:val="22"/>
          <w:szCs w:val="22"/>
        </w:rPr>
        <w:t>e</w:t>
      </w:r>
      <w:r w:rsidRPr="00853C76">
        <w:rPr>
          <w:snapToGrid w:val="0"/>
          <w:kern w:val="22"/>
          <w:szCs w:val="22"/>
        </w:rPr>
        <w:t>)</w:t>
      </w:r>
      <w:r w:rsidRPr="00853C76">
        <w:rPr>
          <w:snapToGrid w:val="0"/>
          <w:kern w:val="22"/>
          <w:szCs w:val="22"/>
        </w:rPr>
        <w:tab/>
        <w:t xml:space="preserve">The efficiency and effectiveness of the activities funded by the Global Environment Facility on the implementation of the Convention and the achievement of its three objectives, as well as, as applicable, of </w:t>
      </w:r>
      <w:r>
        <w:rPr>
          <w:snapToGrid w:val="0"/>
          <w:kern w:val="22"/>
          <w:szCs w:val="22"/>
        </w:rPr>
        <w:t>its</w:t>
      </w:r>
      <w:r w:rsidRPr="00853C76">
        <w:rPr>
          <w:snapToGrid w:val="0"/>
          <w:kern w:val="22"/>
          <w:szCs w:val="22"/>
        </w:rPr>
        <w:t xml:space="preserve"> Protocols, taking into account the guidance provided by the Conference of the Parties;</w:t>
      </w:r>
    </w:p>
    <w:p w14:paraId="621703E1"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Pr>
          <w:snapToGrid w:val="0"/>
          <w:kern w:val="22"/>
          <w:szCs w:val="22"/>
        </w:rPr>
        <w:t>f</w:t>
      </w:r>
      <w:r w:rsidRPr="00853C76">
        <w:rPr>
          <w:snapToGrid w:val="0"/>
          <w:kern w:val="22"/>
          <w:szCs w:val="22"/>
        </w:rPr>
        <w:t>)</w:t>
      </w:r>
      <w:r w:rsidRPr="00853C76">
        <w:rPr>
          <w:snapToGrid w:val="0"/>
          <w:kern w:val="22"/>
          <w:szCs w:val="22"/>
        </w:rPr>
        <w:tab/>
        <w:t>The efficiency and effectiveness of supporting implementation of Sustainable Development Goals that contribute to achieving the objectives of the Convention and its Protocols;</w:t>
      </w:r>
    </w:p>
    <w:p w14:paraId="27FCC547"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w:t>
      </w:r>
      <w:r>
        <w:rPr>
          <w:snapToGrid w:val="0"/>
          <w:kern w:val="22"/>
          <w:szCs w:val="22"/>
        </w:rPr>
        <w:t>g</w:t>
      </w:r>
      <w:r w:rsidRPr="00853C76">
        <w:rPr>
          <w:snapToGrid w:val="0"/>
          <w:kern w:val="22"/>
          <w:szCs w:val="22"/>
        </w:rPr>
        <w:t>)</w:t>
      </w:r>
      <w:r w:rsidRPr="00853C76">
        <w:rPr>
          <w:snapToGrid w:val="0"/>
          <w:kern w:val="22"/>
          <w:szCs w:val="22"/>
        </w:rPr>
        <w:tab/>
        <w:t>The efficiency and</w:t>
      </w:r>
      <w:r w:rsidRPr="00853C76">
        <w:rPr>
          <w:b/>
          <w:snapToGrid w:val="0"/>
          <w:kern w:val="22"/>
          <w:szCs w:val="22"/>
        </w:rPr>
        <w:t xml:space="preserve"> </w:t>
      </w:r>
      <w:r w:rsidRPr="00853C76">
        <w:rPr>
          <w:snapToGrid w:val="0"/>
          <w:kern w:val="22"/>
          <w:szCs w:val="22"/>
        </w:rPr>
        <w:t>effectiveness of processes and procedures</w:t>
      </w:r>
      <w:r w:rsidRPr="00853C76">
        <w:rPr>
          <w:b/>
          <w:snapToGrid w:val="0"/>
          <w:kern w:val="22"/>
          <w:szCs w:val="22"/>
        </w:rPr>
        <w:t xml:space="preserve"> </w:t>
      </w:r>
      <w:r w:rsidRPr="00853C76">
        <w:rPr>
          <w:snapToGrid w:val="0"/>
          <w:kern w:val="22"/>
          <w:szCs w:val="22"/>
        </w:rPr>
        <w:t>for the deployment of resources for programmes;</w:t>
      </w:r>
    </w:p>
    <w:p w14:paraId="2728F5E8" w14:textId="77777777" w:rsidR="00DA0273" w:rsidRPr="00853C76" w:rsidRDefault="00DA0273" w:rsidP="00FB5720">
      <w:pPr>
        <w:suppressLineNumbers/>
        <w:suppressAutoHyphens/>
        <w:adjustRightInd w:val="0"/>
        <w:snapToGrid w:val="0"/>
        <w:spacing w:before="120" w:after="120"/>
        <w:ind w:firstLine="720"/>
        <w:rPr>
          <w:b/>
          <w:snapToGrid w:val="0"/>
          <w:kern w:val="22"/>
          <w:szCs w:val="22"/>
        </w:rPr>
      </w:pPr>
      <w:r w:rsidRPr="00853C76">
        <w:rPr>
          <w:snapToGrid w:val="0"/>
          <w:kern w:val="22"/>
          <w:szCs w:val="22"/>
        </w:rPr>
        <w:t>(</w:t>
      </w:r>
      <w:r>
        <w:rPr>
          <w:snapToGrid w:val="0"/>
          <w:kern w:val="22"/>
          <w:szCs w:val="22"/>
        </w:rPr>
        <w:t>h</w:t>
      </w:r>
      <w:r w:rsidRPr="00853C76">
        <w:rPr>
          <w:snapToGrid w:val="0"/>
          <w:kern w:val="22"/>
          <w:szCs w:val="22"/>
        </w:rPr>
        <w:t>)</w:t>
      </w:r>
      <w:r w:rsidRPr="00853C76">
        <w:rPr>
          <w:snapToGrid w:val="0"/>
          <w:kern w:val="22"/>
          <w:szCs w:val="22"/>
        </w:rPr>
        <w:tab/>
        <w:t xml:space="preserve">The effectiveness and efficiency in supporting the objectives of the Convention and its </w:t>
      </w:r>
      <w:r>
        <w:rPr>
          <w:snapToGrid w:val="0"/>
          <w:kern w:val="22"/>
          <w:szCs w:val="22"/>
        </w:rPr>
        <w:t>P</w:t>
      </w:r>
      <w:r w:rsidRPr="00853C76">
        <w:rPr>
          <w:snapToGrid w:val="0"/>
          <w:kern w:val="22"/>
          <w:szCs w:val="22"/>
        </w:rPr>
        <w:t>rotocols in synergy with implementation of other pertinent multilateral environmental agreements, in a manner that is consistent with the mandates of respective multilateral environmental agreements.</w:t>
      </w:r>
    </w:p>
    <w:p w14:paraId="696E9933" w14:textId="77777777" w:rsidR="00DA0273" w:rsidRPr="00FE762E" w:rsidRDefault="00DA0273" w:rsidP="00FE762E">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FE762E">
        <w:rPr>
          <w:b/>
          <w:bCs/>
          <w:snapToGrid w:val="0"/>
          <w:color w:val="000000"/>
          <w:kern w:val="22"/>
          <w:szCs w:val="22"/>
        </w:rPr>
        <w:t>B.</w:t>
      </w:r>
      <w:r w:rsidRPr="00FE762E">
        <w:rPr>
          <w:b/>
          <w:bCs/>
          <w:snapToGrid w:val="0"/>
          <w:color w:val="000000"/>
          <w:kern w:val="22"/>
          <w:szCs w:val="22"/>
        </w:rPr>
        <w:tab/>
        <w:t>Methodology</w:t>
      </w:r>
    </w:p>
    <w:p w14:paraId="52F82426"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2.</w:t>
      </w:r>
      <w:r w:rsidRPr="00853C76">
        <w:rPr>
          <w:snapToGrid w:val="0"/>
          <w:kern w:val="22"/>
          <w:szCs w:val="22"/>
        </w:rPr>
        <w:tab/>
        <w:t>The review will cover all the activities of the institutional structure operating the financial mechanism, in particular for the period from 1 July 2017 to 30 June 2022.</w:t>
      </w:r>
    </w:p>
    <w:p w14:paraId="148FB1DB"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3.</w:t>
      </w:r>
      <w:r w:rsidRPr="00853C76">
        <w:rPr>
          <w:snapToGrid w:val="0"/>
          <w:kern w:val="22"/>
          <w:szCs w:val="22"/>
        </w:rPr>
        <w:tab/>
        <w:t xml:space="preserve">The review shall draw upon, inter alia, the following sources of information: </w:t>
      </w:r>
    </w:p>
    <w:p w14:paraId="67A6CF2F"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(a)</w:t>
      </w:r>
      <w:r w:rsidRPr="00853C76">
        <w:rPr>
          <w:snapToGrid w:val="0"/>
          <w:kern w:val="22"/>
          <w:szCs w:val="22"/>
        </w:rPr>
        <w:tab/>
        <w:t>Reports prepared by GEF, including its reports to the Conference of the Parties;</w:t>
      </w:r>
    </w:p>
    <w:p w14:paraId="056739DC"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(b)</w:t>
      </w:r>
      <w:r w:rsidRPr="00853C76">
        <w:rPr>
          <w:snapToGrid w:val="0"/>
          <w:kern w:val="22"/>
          <w:szCs w:val="22"/>
        </w:rPr>
        <w:tab/>
        <w:t>Reports of the GEF Independent Evaluation Office that relate to GEF biodiversity activities, including its seventh comprehensive study (OPS7), as well as relevant assessments by the GEF agencies and other partners</w:t>
      </w:r>
      <w:r>
        <w:rPr>
          <w:snapToGrid w:val="0"/>
          <w:kern w:val="22"/>
          <w:szCs w:val="22"/>
        </w:rPr>
        <w:t>,</w:t>
      </w:r>
      <w:r w:rsidRPr="00853C76">
        <w:rPr>
          <w:snapToGrid w:val="0"/>
          <w:kern w:val="22"/>
          <w:szCs w:val="22"/>
        </w:rPr>
        <w:t xml:space="preserve"> including the most recent audit reports and management responses related to GEF projects;</w:t>
      </w:r>
    </w:p>
    <w:p w14:paraId="64236318" w14:textId="77777777" w:rsidR="00DA0273" w:rsidRPr="00853C76" w:rsidRDefault="00DA0273" w:rsidP="00FB5720">
      <w:pPr>
        <w:suppressLineNumbers/>
        <w:suppressAutoHyphens/>
        <w:adjustRightInd w:val="0"/>
        <w:snapToGrid w:val="0"/>
        <w:spacing w:before="120" w:after="120"/>
        <w:ind w:firstLine="720"/>
        <w:rPr>
          <w:b/>
          <w:snapToGrid w:val="0"/>
          <w:kern w:val="22"/>
          <w:szCs w:val="22"/>
        </w:rPr>
      </w:pPr>
      <w:r w:rsidRPr="00853C76">
        <w:rPr>
          <w:snapToGrid w:val="0"/>
          <w:kern w:val="22"/>
          <w:szCs w:val="22"/>
        </w:rPr>
        <w:t>(c)</w:t>
      </w:r>
      <w:r w:rsidRPr="00853C76">
        <w:rPr>
          <w:snapToGrid w:val="0"/>
          <w:kern w:val="22"/>
          <w:szCs w:val="22"/>
        </w:rPr>
        <w:tab/>
        <w:t>Information provided by Parties regarding the financial mechanism, through national reports and other submissions, responses to surveys and interviews;</w:t>
      </w:r>
    </w:p>
    <w:p w14:paraId="3C9D7612" w14:textId="77777777" w:rsidR="00DA0273" w:rsidRPr="00853C76" w:rsidRDefault="00DA0273" w:rsidP="00FB5720">
      <w:pPr>
        <w:suppressLineNumbers/>
        <w:suppressAutoHyphens/>
        <w:adjustRightInd w:val="0"/>
        <w:snapToGrid w:val="0"/>
        <w:spacing w:before="120" w:after="120"/>
        <w:ind w:firstLine="720"/>
        <w:rPr>
          <w:snapToGrid w:val="0"/>
          <w:kern w:val="22"/>
          <w:szCs w:val="22"/>
        </w:rPr>
      </w:pPr>
      <w:r w:rsidRPr="00853C76">
        <w:rPr>
          <w:snapToGrid w:val="0"/>
          <w:kern w:val="22"/>
          <w:szCs w:val="22"/>
        </w:rPr>
        <w:t>(d)</w:t>
      </w:r>
      <w:r w:rsidRPr="00853C76">
        <w:rPr>
          <w:snapToGrid w:val="0"/>
          <w:kern w:val="22"/>
          <w:szCs w:val="22"/>
        </w:rPr>
        <w:tab/>
        <w:t>Information provided by indigenous peoples and local communities, women and youth</w:t>
      </w:r>
      <w:r w:rsidRPr="00853C76">
        <w:rPr>
          <w:b/>
          <w:snapToGrid w:val="0"/>
          <w:kern w:val="22"/>
          <w:szCs w:val="22"/>
        </w:rPr>
        <w:t xml:space="preserve"> </w:t>
      </w:r>
      <w:r w:rsidRPr="00853C76">
        <w:rPr>
          <w:snapToGrid w:val="0"/>
          <w:kern w:val="22"/>
          <w:szCs w:val="22"/>
        </w:rPr>
        <w:t>and</w:t>
      </w:r>
      <w:r w:rsidRPr="00853C76">
        <w:rPr>
          <w:b/>
          <w:snapToGrid w:val="0"/>
          <w:kern w:val="22"/>
          <w:szCs w:val="22"/>
        </w:rPr>
        <w:t xml:space="preserve"> </w:t>
      </w:r>
      <w:r w:rsidRPr="00853C76">
        <w:rPr>
          <w:snapToGrid w:val="0"/>
          <w:kern w:val="22"/>
          <w:szCs w:val="22"/>
        </w:rPr>
        <w:t>relevant stakeholders related to GEF-funded projects.</w:t>
      </w:r>
    </w:p>
    <w:p w14:paraId="7FC76F05" w14:textId="77777777" w:rsidR="00DA0273" w:rsidRPr="00FE762E" w:rsidRDefault="00DA0273" w:rsidP="00FE762E">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FE762E">
        <w:rPr>
          <w:b/>
          <w:bCs/>
          <w:snapToGrid w:val="0"/>
          <w:color w:val="000000"/>
          <w:kern w:val="22"/>
          <w:szCs w:val="22"/>
        </w:rPr>
        <w:t>C.</w:t>
      </w:r>
      <w:r w:rsidRPr="00FE762E">
        <w:rPr>
          <w:b/>
          <w:bCs/>
          <w:snapToGrid w:val="0"/>
          <w:color w:val="000000"/>
          <w:kern w:val="22"/>
          <w:szCs w:val="22"/>
        </w:rPr>
        <w:tab/>
        <w:t>Criteria</w:t>
      </w:r>
    </w:p>
    <w:p w14:paraId="20FB14E5"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4.</w:t>
      </w:r>
      <w:r w:rsidRPr="00853C76">
        <w:rPr>
          <w:snapToGrid w:val="0"/>
          <w:kern w:val="22"/>
          <w:szCs w:val="22"/>
        </w:rPr>
        <w:tab/>
        <w:t>The effectiveness and efficiency of the financial mechanism shall be assessed taking into account, inter alia:</w:t>
      </w:r>
    </w:p>
    <w:p w14:paraId="5B5D5541"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(a)</w:t>
      </w:r>
      <w:r w:rsidRPr="00853C76">
        <w:rPr>
          <w:snapToGrid w:val="0"/>
          <w:kern w:val="22"/>
          <w:szCs w:val="22"/>
        </w:rPr>
        <w:tab/>
        <w:t>The actions taken by GEF in response to the guidance of the Conference of the Parties;</w:t>
      </w:r>
    </w:p>
    <w:p w14:paraId="269C8411"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(b)</w:t>
      </w:r>
      <w:r w:rsidRPr="00853C76">
        <w:rPr>
          <w:snapToGrid w:val="0"/>
          <w:kern w:val="22"/>
          <w:szCs w:val="22"/>
        </w:rPr>
        <w:tab/>
        <w:t xml:space="preserve">The extent to which eligible countries receive timely, adequate and predictable funds to enable countries to meet the agreed full </w:t>
      </w:r>
      <w:r w:rsidRPr="00782973">
        <w:rPr>
          <w:snapToGrid w:val="0"/>
          <w:kern w:val="22"/>
          <w:szCs w:val="22"/>
        </w:rPr>
        <w:t>incremental cost to them of implementing</w:t>
      </w:r>
      <w:r w:rsidRPr="00853C76">
        <w:rPr>
          <w:snapToGrid w:val="0"/>
          <w:kern w:val="22"/>
          <w:szCs w:val="22"/>
        </w:rPr>
        <w:t xml:space="preserve"> measures that fulfil the obligations under the Convention and its </w:t>
      </w:r>
      <w:r>
        <w:rPr>
          <w:snapToGrid w:val="0"/>
          <w:kern w:val="22"/>
          <w:szCs w:val="22"/>
        </w:rPr>
        <w:t>P</w:t>
      </w:r>
      <w:r w:rsidRPr="00853C76">
        <w:rPr>
          <w:snapToGrid w:val="0"/>
          <w:kern w:val="22"/>
          <w:szCs w:val="22"/>
        </w:rPr>
        <w:t>rotocols, that generate global environmental benefits;</w:t>
      </w:r>
      <w:r w:rsidRPr="00610646">
        <w:rPr>
          <w:rStyle w:val="FootnoteReference"/>
        </w:rPr>
        <w:footnoteReference w:id="291"/>
      </w:r>
    </w:p>
    <w:p w14:paraId="5D8357C4"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lastRenderedPageBreak/>
        <w:t>(c)</w:t>
      </w:r>
      <w:r w:rsidRPr="00853C76">
        <w:rPr>
          <w:snapToGrid w:val="0"/>
          <w:kern w:val="22"/>
          <w:szCs w:val="22"/>
        </w:rPr>
        <w:tab/>
        <w:t>Information provided by Parties related to performance in delivering GEF projects, including effectiveness and efficiency of access modalities and competence and capacity required to use these modalities;</w:t>
      </w:r>
    </w:p>
    <w:p w14:paraId="12CAE102"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(d)</w:t>
      </w:r>
      <w:r w:rsidRPr="00853C76">
        <w:rPr>
          <w:snapToGrid w:val="0"/>
          <w:kern w:val="22"/>
          <w:szCs w:val="22"/>
        </w:rPr>
        <w:tab/>
        <w:t>Percentage of recipient countries that have received financial support from the financial mechanism to implement global biodiversity goals and targets, including those related to the Protocols;</w:t>
      </w:r>
    </w:p>
    <w:p w14:paraId="0C26C54C" w14:textId="77777777" w:rsidR="00DA0273" w:rsidRPr="00853C76" w:rsidRDefault="00DA0273">
      <w:pPr>
        <w:suppressLineNumbers/>
        <w:suppressAutoHyphens/>
        <w:adjustRightInd w:val="0"/>
        <w:snapToGrid w:val="0"/>
        <w:spacing w:after="120"/>
        <w:ind w:firstLine="720"/>
        <w:rPr>
          <w:snapToGrid w:val="0"/>
          <w:kern w:val="22"/>
          <w:szCs w:val="22"/>
        </w:rPr>
      </w:pPr>
      <w:r w:rsidRPr="00853C76">
        <w:rPr>
          <w:snapToGrid w:val="0"/>
          <w:kern w:val="22"/>
          <w:szCs w:val="22"/>
        </w:rPr>
        <w:t>(e)</w:t>
      </w:r>
      <w:r w:rsidRPr="00853C76">
        <w:rPr>
          <w:snapToGrid w:val="0"/>
          <w:kern w:val="22"/>
          <w:szCs w:val="22"/>
        </w:rPr>
        <w:tab/>
        <w:t xml:space="preserve">Percentage of biodiversity funding through the financial mechanism to support the achievement of the </w:t>
      </w:r>
      <w:r>
        <w:rPr>
          <w:snapToGrid w:val="0"/>
          <w:kern w:val="22"/>
          <w:szCs w:val="22"/>
        </w:rPr>
        <w:t xml:space="preserve">global </w:t>
      </w:r>
      <w:r w:rsidRPr="00853C76">
        <w:rPr>
          <w:snapToGrid w:val="0"/>
          <w:kern w:val="22"/>
          <w:szCs w:val="22"/>
        </w:rPr>
        <w:t>goals and targets;</w:t>
      </w:r>
    </w:p>
    <w:p w14:paraId="466BB798"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 xml:space="preserve">(f) </w:t>
      </w:r>
      <w:r>
        <w:rPr>
          <w:snapToGrid w:val="0"/>
          <w:kern w:val="22"/>
          <w:szCs w:val="22"/>
        </w:rPr>
        <w:tab/>
      </w:r>
      <w:r w:rsidRPr="00853C76">
        <w:rPr>
          <w:snapToGrid w:val="0"/>
          <w:kern w:val="22"/>
          <w:szCs w:val="22"/>
        </w:rPr>
        <w:t>Trend in co-financing and non-grant financing in the biodiversity area enabled by the financial mechanism;</w:t>
      </w:r>
    </w:p>
    <w:p w14:paraId="2D6F2AE5"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(g)</w:t>
      </w:r>
      <w:r w:rsidRPr="00853C76">
        <w:rPr>
          <w:snapToGrid w:val="0"/>
          <w:kern w:val="22"/>
          <w:szCs w:val="22"/>
        </w:rPr>
        <w:tab/>
        <w:t>Trend in financing global, regional and subregional biodiversity projects under the financial mechanism;</w:t>
      </w:r>
    </w:p>
    <w:p w14:paraId="1CCD6384"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(h)</w:t>
      </w:r>
      <w:r w:rsidRPr="00853C76">
        <w:rPr>
          <w:snapToGrid w:val="0"/>
          <w:kern w:val="22"/>
          <w:szCs w:val="22"/>
        </w:rPr>
        <w:tab/>
        <w:t>Trend in project and programme financing taking into consideration synergies among conventions that have designated GEF to operate their financial mechanism;</w:t>
      </w:r>
    </w:p>
    <w:p w14:paraId="0E6F8E01"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(i)</w:t>
      </w:r>
      <w:r w:rsidRPr="00853C76">
        <w:rPr>
          <w:snapToGrid w:val="0"/>
          <w:kern w:val="22"/>
          <w:szCs w:val="22"/>
        </w:rPr>
        <w:tab/>
        <w:t>Trend in project financing targeted at biodiversity-related conventions and agreements taking into consideration synergies between them;</w:t>
      </w:r>
    </w:p>
    <w:p w14:paraId="68A7880A"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(j)</w:t>
      </w:r>
      <w:r w:rsidRPr="00853C76">
        <w:rPr>
          <w:snapToGrid w:val="0"/>
          <w:kern w:val="22"/>
          <w:szCs w:val="22"/>
        </w:rPr>
        <w:tab/>
        <w:t>Trend in timeframes for project development and resource disbursement, including time between the approval of the concept notes (PIF) and the first disbursement;</w:t>
      </w:r>
    </w:p>
    <w:p w14:paraId="7E1AD300"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(k)</w:t>
      </w:r>
      <w:r w:rsidRPr="00853C76">
        <w:rPr>
          <w:snapToGrid w:val="0"/>
          <w:kern w:val="22"/>
          <w:szCs w:val="22"/>
        </w:rPr>
        <w:tab/>
        <w:t>Trend in project financing targeted at, and/or led by indigenous peoples and local communities, women and youth;</w:t>
      </w:r>
    </w:p>
    <w:p w14:paraId="661DB25D"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(l)</w:t>
      </w:r>
      <w:r w:rsidRPr="00853C76">
        <w:rPr>
          <w:snapToGrid w:val="0"/>
          <w:kern w:val="22"/>
          <w:szCs w:val="22"/>
        </w:rPr>
        <w:tab/>
        <w:t>Trend in the number of capacity-building activities that enable Parties and stakeholders to access to GEF financing, including information events on the financial mechanism organized for the Parties and stakeholders of the Convention and its Protocols;</w:t>
      </w:r>
    </w:p>
    <w:p w14:paraId="1C50944C" w14:textId="77777777" w:rsidR="00DA0273" w:rsidRPr="00853C76" w:rsidRDefault="00DA0273" w:rsidP="00FB5720">
      <w:pPr>
        <w:suppressLineNumbers/>
        <w:suppressAutoHyphens/>
        <w:adjustRightInd w:val="0"/>
        <w:snapToGrid w:val="0"/>
        <w:spacing w:after="120"/>
        <w:ind w:firstLine="720"/>
        <w:rPr>
          <w:snapToGrid w:val="0"/>
          <w:kern w:val="22"/>
          <w:szCs w:val="22"/>
        </w:rPr>
      </w:pPr>
      <w:r w:rsidRPr="00853C76">
        <w:rPr>
          <w:snapToGrid w:val="0"/>
          <w:kern w:val="22"/>
          <w:szCs w:val="22"/>
        </w:rPr>
        <w:t>(m)</w:t>
      </w:r>
      <w:r w:rsidRPr="00853C76">
        <w:rPr>
          <w:snapToGrid w:val="0"/>
          <w:kern w:val="22"/>
          <w:szCs w:val="22"/>
        </w:rPr>
        <w:tab/>
        <w:t>Trend in project financing leading to high sustainability or durability ratings and results achieved from GEF</w:t>
      </w:r>
      <w:r>
        <w:rPr>
          <w:snapToGrid w:val="0"/>
          <w:kern w:val="22"/>
          <w:szCs w:val="22"/>
        </w:rPr>
        <w:t>-</w:t>
      </w:r>
      <w:r w:rsidRPr="00853C76">
        <w:rPr>
          <w:snapToGrid w:val="0"/>
          <w:kern w:val="22"/>
          <w:szCs w:val="22"/>
        </w:rPr>
        <w:t>supported biodiversity programming in relation to expected results planned by GEF through this programming;</w:t>
      </w:r>
    </w:p>
    <w:p w14:paraId="5A55DA69" w14:textId="77777777" w:rsidR="00DA0273" w:rsidRPr="00FE762E" w:rsidRDefault="00DA0273" w:rsidP="00FE762E">
      <w:pPr>
        <w:keepNext/>
        <w:pBdr>
          <w:top w:val="nil"/>
          <w:left w:val="nil"/>
          <w:bottom w:val="nil"/>
          <w:right w:val="nil"/>
          <w:between w:val="nil"/>
        </w:pBdr>
        <w:tabs>
          <w:tab w:val="left" w:pos="360"/>
        </w:tabs>
        <w:spacing w:before="120" w:after="120"/>
        <w:jc w:val="center"/>
        <w:rPr>
          <w:b/>
          <w:bCs/>
          <w:snapToGrid w:val="0"/>
          <w:color w:val="000000"/>
          <w:kern w:val="22"/>
          <w:szCs w:val="22"/>
        </w:rPr>
      </w:pPr>
      <w:r w:rsidRPr="00FE762E">
        <w:rPr>
          <w:b/>
          <w:bCs/>
          <w:snapToGrid w:val="0"/>
          <w:color w:val="000000"/>
          <w:kern w:val="22"/>
          <w:szCs w:val="22"/>
        </w:rPr>
        <w:t>D.</w:t>
      </w:r>
      <w:r w:rsidRPr="00FE762E">
        <w:rPr>
          <w:b/>
          <w:bCs/>
          <w:snapToGrid w:val="0"/>
          <w:color w:val="000000"/>
          <w:kern w:val="22"/>
          <w:szCs w:val="22"/>
        </w:rPr>
        <w:tab/>
        <w:t>Procedures for implementation</w:t>
      </w:r>
    </w:p>
    <w:p w14:paraId="2AA8CDD4"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5.</w:t>
      </w:r>
      <w:r w:rsidRPr="00853C76">
        <w:rPr>
          <w:snapToGrid w:val="0"/>
          <w:kern w:val="22"/>
          <w:szCs w:val="22"/>
        </w:rPr>
        <w:tab/>
      </w:r>
      <w:r w:rsidRPr="00853C76">
        <w:rPr>
          <w:rFonts w:eastAsiaTheme="minorEastAsia"/>
          <w:snapToGrid w:val="0"/>
          <w:color w:val="000000"/>
          <w:kern w:val="22"/>
          <w:szCs w:val="22"/>
        </w:rPr>
        <w:t>Under the authority of the Conference of the Parties and i</w:t>
      </w:r>
      <w:r w:rsidRPr="00853C76">
        <w:rPr>
          <w:snapToGrid w:val="0"/>
          <w:kern w:val="22"/>
          <w:szCs w:val="22"/>
        </w:rPr>
        <w:t xml:space="preserve">n consultation with the Bureau of the Conference of the Parties, the Executive Secretary will, </w:t>
      </w:r>
      <w:r w:rsidRPr="00853C76">
        <w:rPr>
          <w:rFonts w:eastAsiaTheme="minorEastAsia"/>
          <w:snapToGrid w:val="0"/>
          <w:color w:val="000000"/>
          <w:kern w:val="22"/>
          <w:szCs w:val="22"/>
        </w:rPr>
        <w:t>subject to the availability of resources,</w:t>
      </w:r>
      <w:r w:rsidRPr="00853C76">
        <w:rPr>
          <w:snapToGrid w:val="0"/>
          <w:kern w:val="22"/>
          <w:szCs w:val="22"/>
        </w:rPr>
        <w:t xml:space="preserve"> contract an experienced independent evaluator to undertake the review, in accordance with the above objectives, methodology and criteria.</w:t>
      </w:r>
    </w:p>
    <w:p w14:paraId="28ED1622" w14:textId="77777777" w:rsidR="00DA0273" w:rsidRPr="00853C76" w:rsidRDefault="00DA0273" w:rsidP="00FB5720">
      <w:pPr>
        <w:spacing w:before="120" w:after="120"/>
        <w:rPr>
          <w:snapToGrid w:val="0"/>
          <w:kern w:val="22"/>
          <w:szCs w:val="22"/>
        </w:rPr>
      </w:pPr>
      <w:r w:rsidRPr="00853C76">
        <w:rPr>
          <w:snapToGrid w:val="0"/>
          <w:kern w:val="22"/>
          <w:szCs w:val="22"/>
        </w:rPr>
        <w:t>6.</w:t>
      </w:r>
      <w:r w:rsidRPr="00853C76">
        <w:rPr>
          <w:snapToGrid w:val="0"/>
          <w:kern w:val="22"/>
          <w:szCs w:val="22"/>
        </w:rPr>
        <w:tab/>
        <w:t xml:space="preserve">The evaluator will undertake such desk studies, questionnaire survey, interviews, and field visits, as may be required, </w:t>
      </w:r>
      <w:r w:rsidRPr="00853C76">
        <w:rPr>
          <w:rFonts w:eastAsiaTheme="minorEastAsia"/>
          <w:snapToGrid w:val="0"/>
          <w:color w:val="000000"/>
          <w:kern w:val="22"/>
          <w:szCs w:val="22"/>
        </w:rPr>
        <w:t xml:space="preserve">and collaborate with GEF and its Independent Evaluation Office, if necessary, </w:t>
      </w:r>
      <w:r w:rsidRPr="00853C76">
        <w:rPr>
          <w:snapToGrid w:val="0"/>
          <w:kern w:val="22"/>
          <w:szCs w:val="22"/>
        </w:rPr>
        <w:t>for the implementation of the review, and prepare a compilation and synthesis of the information received.</w:t>
      </w:r>
    </w:p>
    <w:p w14:paraId="2A76E135" w14:textId="77777777" w:rsidR="00DA0273" w:rsidRPr="00853C76" w:rsidRDefault="00DA0273" w:rsidP="00FB5720">
      <w:pPr>
        <w:suppressLineNumbers/>
        <w:suppressAutoHyphens/>
        <w:adjustRightInd w:val="0"/>
        <w:snapToGrid w:val="0"/>
        <w:spacing w:before="120" w:after="120"/>
        <w:rPr>
          <w:snapToGrid w:val="0"/>
          <w:kern w:val="22"/>
          <w:szCs w:val="22"/>
        </w:rPr>
      </w:pPr>
      <w:r w:rsidRPr="00853C76">
        <w:rPr>
          <w:snapToGrid w:val="0"/>
          <w:kern w:val="22"/>
          <w:szCs w:val="22"/>
        </w:rPr>
        <w:t>7.</w:t>
      </w:r>
      <w:r w:rsidRPr="00853C76">
        <w:rPr>
          <w:snapToGrid w:val="0"/>
          <w:kern w:val="22"/>
          <w:szCs w:val="22"/>
        </w:rPr>
        <w:tab/>
        <w:t>The draft synthesis report and recommendations of the evaluator will be made available to GEF for its review and comments. Such comments will be included in the documentation and identified by source.</w:t>
      </w:r>
    </w:p>
    <w:p w14:paraId="2DAA7357" w14:textId="77777777" w:rsidR="00DA0273" w:rsidRPr="005E2972" w:rsidRDefault="00DA0273" w:rsidP="00FB5720">
      <w:pPr>
        <w:suppressLineNumbers/>
        <w:suppressAutoHyphens/>
        <w:adjustRightInd w:val="0"/>
        <w:snapToGrid w:val="0"/>
        <w:spacing w:before="120" w:after="120"/>
        <w:rPr>
          <w:snapToGrid w:val="0"/>
          <w:kern w:val="22"/>
          <w:szCs w:val="22"/>
        </w:rPr>
      </w:pPr>
      <w:r w:rsidRPr="005E2972">
        <w:rPr>
          <w:snapToGrid w:val="0"/>
          <w:kern w:val="22"/>
          <w:szCs w:val="22"/>
        </w:rPr>
        <w:t>8.</w:t>
      </w:r>
      <w:r w:rsidRPr="005E2972">
        <w:rPr>
          <w:snapToGrid w:val="0"/>
          <w:kern w:val="22"/>
          <w:szCs w:val="22"/>
        </w:rPr>
        <w:tab/>
        <w:t>Based on the synthesis report and recommendations of the independent evaluator, the Executive Secretary will prepare, in consultation with GEF, a draft decision on the sixth review of the financial mechanism, including specific suggestions for action to improve the effectiveness of the mechanism, if necessary, for consideration by the Subsidiary Body on Implementation to provide its recommendations to the Conference of the Parties at its sixteenth meeting.</w:t>
      </w:r>
    </w:p>
    <w:p w14:paraId="7F179636" w14:textId="77777777" w:rsidR="00DA0273" w:rsidRPr="00853C76" w:rsidRDefault="00DA0273" w:rsidP="00FB5720">
      <w:pPr>
        <w:suppressLineNumbers/>
        <w:suppressAutoHyphens/>
        <w:adjustRightInd w:val="0"/>
        <w:snapToGrid w:val="0"/>
        <w:spacing w:before="120" w:after="120"/>
        <w:rPr>
          <w:snapToGrid w:val="0"/>
          <w:kern w:val="22"/>
          <w:szCs w:val="22"/>
        </w:rPr>
      </w:pPr>
      <w:r w:rsidRPr="005E2972">
        <w:rPr>
          <w:snapToGrid w:val="0"/>
          <w:kern w:val="22"/>
          <w:szCs w:val="22"/>
        </w:rPr>
        <w:t>9.</w:t>
      </w:r>
      <w:r w:rsidRPr="005E2972">
        <w:rPr>
          <w:snapToGrid w:val="0"/>
          <w:kern w:val="22"/>
          <w:szCs w:val="22"/>
        </w:rPr>
        <w:tab/>
        <w:t>The Executive Secretary will submit the relevant documents for consideration by the Subsidiary Body on Implementation, and subsequently by the Conference of the Parties at its sixteenth meeting.</w:t>
      </w:r>
    </w:p>
    <w:p w14:paraId="554C8202" w14:textId="77777777" w:rsidR="0050667D" w:rsidRDefault="0050667D" w:rsidP="0037418A">
      <w:pPr>
        <w:pStyle w:val="Para1"/>
        <w:numPr>
          <w:ilvl w:val="0"/>
          <w:numId w:val="0"/>
        </w:numPr>
        <w:shd w:val="clear" w:color="auto" w:fill="FFFFFF" w:themeFill="background1"/>
        <w:jc w:val="center"/>
        <w:sectPr w:rsidR="0050667D" w:rsidSect="00441700">
          <w:footnotePr>
            <w:numRestart w:val="eachSect"/>
          </w:footnotePr>
          <w:pgSz w:w="12240" w:h="15840"/>
          <w:pgMar w:top="567" w:right="1440" w:bottom="1134" w:left="1440" w:header="709" w:footer="709" w:gutter="0"/>
          <w:cols w:space="708"/>
          <w:docGrid w:linePitch="360"/>
        </w:sectPr>
      </w:pPr>
    </w:p>
    <w:p w14:paraId="6789CA93" w14:textId="77777777" w:rsidR="0050667D" w:rsidRPr="00F84AD3" w:rsidRDefault="0050667D" w:rsidP="00105F1E">
      <w:pPr>
        <w:pStyle w:val="decision"/>
      </w:pPr>
      <w:bookmarkStart w:id="245" w:name="_Toc150438814"/>
      <w:bookmarkStart w:id="246" w:name="_Toc150670514"/>
      <w:bookmarkStart w:id="247" w:name="_Toc150670624"/>
      <w:bookmarkStart w:id="248" w:name="_Toc150761126"/>
      <w:bookmarkStart w:id="249" w:name="_Toc118354921"/>
      <w:bookmarkStart w:id="250" w:name="_Toc118355012"/>
      <w:r>
        <w:rPr>
          <w:snapToGrid w:val="0"/>
        </w:rPr>
        <w:lastRenderedPageBreak/>
        <w:t>15/16.</w:t>
      </w:r>
      <w:r>
        <w:rPr>
          <w:snapToGrid w:val="0"/>
        </w:rPr>
        <w:tab/>
      </w:r>
      <w:r w:rsidRPr="00567EDE">
        <w:rPr>
          <w:snapToGrid w:val="0"/>
        </w:rPr>
        <w:t>Knowledge management and the clearing-house mechanism</w:t>
      </w:r>
      <w:bookmarkEnd w:id="245"/>
      <w:bookmarkEnd w:id="246"/>
      <w:bookmarkEnd w:id="247"/>
      <w:bookmarkEnd w:id="248"/>
    </w:p>
    <w:bookmarkEnd w:id="249"/>
    <w:bookmarkEnd w:id="250"/>
    <w:p w14:paraId="2C2D47AA" w14:textId="77777777" w:rsidR="0050667D" w:rsidRPr="00FA3FC5" w:rsidRDefault="0050667D" w:rsidP="001F32EB">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FA3FC5">
        <w:rPr>
          <w:i/>
          <w:iCs/>
          <w:snapToGrid w:val="0"/>
          <w:kern w:val="22"/>
        </w:rPr>
        <w:t>The Conference of the Parties,</w:t>
      </w:r>
    </w:p>
    <w:p w14:paraId="60230B90" w14:textId="3552FD6D" w:rsidR="0050667D" w:rsidRPr="00FA3FC5" w:rsidRDefault="0050667D"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Recalling</w:t>
      </w:r>
      <w:r w:rsidRPr="00FA3FC5">
        <w:rPr>
          <w:snapToGrid w:val="0"/>
          <w:kern w:val="22"/>
          <w:szCs w:val="22"/>
        </w:rPr>
        <w:t xml:space="preserve"> decisions </w:t>
      </w:r>
      <w:hyperlink r:id="rId36" w:history="1">
        <w:r w:rsidRPr="001F4782">
          <w:rPr>
            <w:rStyle w:val="Hyperlink"/>
            <w:snapToGrid w:val="0"/>
            <w:kern w:val="22"/>
            <w:szCs w:val="22"/>
          </w:rPr>
          <w:t>14/25</w:t>
        </w:r>
      </w:hyperlink>
      <w:r w:rsidRPr="001F4782">
        <w:rPr>
          <w:snapToGrid w:val="0"/>
          <w:kern w:val="22"/>
          <w:szCs w:val="22"/>
        </w:rPr>
        <w:t xml:space="preserve">, </w:t>
      </w:r>
      <w:hyperlink r:id="rId37" w:history="1">
        <w:r w:rsidRPr="001F4782">
          <w:rPr>
            <w:rStyle w:val="Hyperlink"/>
            <w:snapToGrid w:val="0"/>
            <w:kern w:val="22"/>
            <w:szCs w:val="22"/>
          </w:rPr>
          <w:t>XIII/23</w:t>
        </w:r>
      </w:hyperlink>
      <w:r w:rsidRPr="001F4782">
        <w:rPr>
          <w:snapToGrid w:val="0"/>
          <w:kern w:val="22"/>
          <w:szCs w:val="22"/>
        </w:rPr>
        <w:t xml:space="preserve">, XIII/18, </w:t>
      </w:r>
      <w:hyperlink r:id="rId38" w:history="1">
        <w:r w:rsidRPr="001F4782">
          <w:rPr>
            <w:rStyle w:val="Hyperlink"/>
            <w:snapToGrid w:val="0"/>
            <w:kern w:val="22"/>
            <w:szCs w:val="22"/>
          </w:rPr>
          <w:t>XII/2</w:t>
        </w:r>
      </w:hyperlink>
      <w:r w:rsidRPr="001F4782">
        <w:rPr>
          <w:snapToGrid w:val="0"/>
          <w:kern w:val="22"/>
          <w:szCs w:val="22"/>
        </w:rPr>
        <w:t xml:space="preserve"> B and </w:t>
      </w:r>
      <w:hyperlink r:id="rId39" w:history="1">
        <w:r w:rsidRPr="001F4782">
          <w:rPr>
            <w:rStyle w:val="Hyperlink"/>
            <w:snapToGrid w:val="0"/>
            <w:kern w:val="22"/>
            <w:szCs w:val="22"/>
          </w:rPr>
          <w:t>XI/2</w:t>
        </w:r>
      </w:hyperlink>
      <w:r w:rsidRPr="001F4782">
        <w:rPr>
          <w:snapToGrid w:val="0"/>
          <w:kern w:val="22"/>
          <w:szCs w:val="22"/>
        </w:rPr>
        <w:t>,</w:t>
      </w:r>
      <w:r>
        <w:rPr>
          <w:snapToGrid w:val="0"/>
          <w:kern w:val="22"/>
          <w:szCs w:val="22"/>
        </w:rPr>
        <w:t xml:space="preserve"> </w:t>
      </w:r>
    </w:p>
    <w:p w14:paraId="3B7F861A" w14:textId="77777777" w:rsidR="0050667D" w:rsidRPr="00FA3FC5" w:rsidRDefault="0050667D"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snapToGrid w:val="0"/>
          <w:kern w:val="22"/>
          <w:szCs w:val="22"/>
        </w:rPr>
        <w:t>R</w:t>
      </w:r>
      <w:r w:rsidRPr="00FA3FC5">
        <w:rPr>
          <w:i/>
          <w:snapToGrid w:val="0"/>
          <w:kern w:val="22"/>
          <w:szCs w:val="22"/>
        </w:rPr>
        <w:t>ecalling</w:t>
      </w:r>
      <w:r>
        <w:rPr>
          <w:i/>
          <w:snapToGrid w:val="0"/>
          <w:kern w:val="22"/>
          <w:szCs w:val="22"/>
        </w:rPr>
        <w:t xml:space="preserve"> also</w:t>
      </w:r>
      <w:r w:rsidRPr="00FA3FC5">
        <w:rPr>
          <w:snapToGrid w:val="0"/>
          <w:kern w:val="22"/>
          <w:szCs w:val="22"/>
        </w:rPr>
        <w:t xml:space="preserve"> the work programme for the clearing-house mechanism in support of the Strategic Plan for Biodiversity 2011</w:t>
      </w:r>
      <w:r>
        <w:rPr>
          <w:kern w:val="22"/>
        </w:rPr>
        <w:t>–</w:t>
      </w:r>
      <w:r w:rsidRPr="00FA3FC5">
        <w:rPr>
          <w:snapToGrid w:val="0"/>
          <w:kern w:val="22"/>
          <w:szCs w:val="22"/>
        </w:rPr>
        <w:t>2020,</w:t>
      </w:r>
      <w:bookmarkStart w:id="251" w:name="_Ref73016091"/>
      <w:r w:rsidRPr="00610646">
        <w:rPr>
          <w:rStyle w:val="FootnoteReference"/>
        </w:rPr>
        <w:footnoteReference w:id="292"/>
      </w:r>
      <w:bookmarkEnd w:id="251"/>
      <w:r>
        <w:rPr>
          <w:snapToGrid w:val="0"/>
          <w:kern w:val="22"/>
          <w:szCs w:val="22"/>
        </w:rPr>
        <w:t xml:space="preserve"> </w:t>
      </w:r>
    </w:p>
    <w:p w14:paraId="264877C7" w14:textId="77777777" w:rsidR="0050667D" w:rsidRDefault="0050667D" w:rsidP="001F32EB">
      <w:pPr>
        <w:suppressLineNumbers/>
        <w:suppressAutoHyphens/>
        <w:kinsoku w:val="0"/>
        <w:overflowPunct w:val="0"/>
        <w:autoSpaceDE w:val="0"/>
        <w:autoSpaceDN w:val="0"/>
        <w:adjustRightInd w:val="0"/>
        <w:snapToGrid w:val="0"/>
        <w:spacing w:before="120" w:after="120"/>
        <w:ind w:firstLine="720"/>
        <w:rPr>
          <w:snapToGrid w:val="0"/>
          <w:kern w:val="22"/>
        </w:rPr>
      </w:pPr>
      <w:r w:rsidRPr="00FA3FC5">
        <w:rPr>
          <w:i/>
          <w:snapToGrid w:val="0"/>
          <w:kern w:val="22"/>
        </w:rPr>
        <w:t>Emphasizing</w:t>
      </w:r>
      <w:r w:rsidRPr="00FA3FC5">
        <w:rPr>
          <w:snapToGrid w:val="0"/>
          <w:kern w:val="22"/>
        </w:rPr>
        <w:t xml:space="preserve"> the critical importance of</w:t>
      </w:r>
      <w:r>
        <w:rPr>
          <w:snapToGrid w:val="0"/>
          <w:kern w:val="22"/>
        </w:rPr>
        <w:t xml:space="preserve"> </w:t>
      </w:r>
      <w:r w:rsidRPr="00FA3FC5">
        <w:rPr>
          <w:snapToGrid w:val="0"/>
          <w:kern w:val="22"/>
        </w:rPr>
        <w:t xml:space="preserve">easy and timely access to quality data, information and knowledge in supporting the effective implementation of the </w:t>
      </w:r>
      <w:r>
        <w:rPr>
          <w:snapToGrid w:val="0"/>
          <w:kern w:val="22"/>
        </w:rPr>
        <w:t>Kunming-Montreal</w:t>
      </w:r>
      <w:r w:rsidRPr="00FA3FC5">
        <w:rPr>
          <w:snapToGrid w:val="0"/>
          <w:kern w:val="22"/>
        </w:rPr>
        <w:t xml:space="preserve"> </w:t>
      </w:r>
      <w:r>
        <w:rPr>
          <w:snapToGrid w:val="0"/>
          <w:kern w:val="22"/>
        </w:rPr>
        <w:t>G</w:t>
      </w:r>
      <w:r w:rsidRPr="00FA3FC5">
        <w:rPr>
          <w:snapToGrid w:val="0"/>
          <w:kern w:val="22"/>
        </w:rPr>
        <w:t xml:space="preserve">lobal </w:t>
      </w:r>
      <w:r>
        <w:rPr>
          <w:snapToGrid w:val="0"/>
          <w:kern w:val="22"/>
        </w:rPr>
        <w:t>B</w:t>
      </w:r>
      <w:r w:rsidRPr="00FA3FC5">
        <w:rPr>
          <w:snapToGrid w:val="0"/>
          <w:kern w:val="22"/>
        </w:rPr>
        <w:t xml:space="preserve">iodiversity </w:t>
      </w:r>
      <w:r>
        <w:rPr>
          <w:snapToGrid w:val="0"/>
          <w:kern w:val="22"/>
        </w:rPr>
        <w:t>F</w:t>
      </w:r>
      <w:r w:rsidRPr="00FA3FC5">
        <w:rPr>
          <w:snapToGrid w:val="0"/>
          <w:kern w:val="22"/>
        </w:rPr>
        <w:t>ramework,</w:t>
      </w:r>
      <w:r>
        <w:rPr>
          <w:snapToGrid w:val="0"/>
          <w:kern w:val="22"/>
        </w:rPr>
        <w:t xml:space="preserve"> </w:t>
      </w:r>
    </w:p>
    <w:p w14:paraId="4527C916" w14:textId="77777777" w:rsidR="0050667D" w:rsidRPr="00D222A2" w:rsidRDefault="0050667D" w:rsidP="00917607">
      <w:pPr>
        <w:pStyle w:val="Para1"/>
        <w:numPr>
          <w:ilvl w:val="0"/>
          <w:numId w:val="0"/>
        </w:numPr>
        <w:suppressLineNumbers/>
        <w:tabs>
          <w:tab w:val="left" w:pos="360"/>
        </w:tabs>
        <w:suppressAutoHyphens/>
        <w:kinsoku w:val="0"/>
        <w:adjustRightInd w:val="0"/>
        <w:ind w:firstLine="720"/>
      </w:pPr>
      <w:r>
        <w:t>1</w:t>
      </w:r>
      <w:r w:rsidRPr="00FE0CDA">
        <w:t>.</w:t>
      </w:r>
      <w:r w:rsidRPr="00FE0CDA">
        <w:tab/>
      </w:r>
      <w:r w:rsidRPr="00D222A2">
        <w:rPr>
          <w:i/>
          <w:iCs/>
        </w:rPr>
        <w:t>Invites</w:t>
      </w:r>
      <w:r w:rsidRPr="00D222A2">
        <w:t xml:space="preserve"> biodiversity-related conventions, organizations, networks, processes and initiatives supporting the generation, discovery, capture, management and use of biodiversity-related data, information and knowledge</w:t>
      </w:r>
      <w:r>
        <w:t>,</w:t>
      </w:r>
      <w:r w:rsidRPr="00D222A2">
        <w:t xml:space="preserve"> to contribute </w:t>
      </w:r>
      <w:r>
        <w:t xml:space="preserve">to </w:t>
      </w:r>
      <w:r w:rsidRPr="00D222A2">
        <w:t>the clearing-house mechanism of the Convention, based on existing knowledge management networks, organizations, initiatives and processes</w:t>
      </w:r>
      <w:r>
        <w:t>,</w:t>
      </w:r>
      <w:r w:rsidRPr="00D222A2">
        <w:t xml:space="preserve"> to, among other things, promote and facilitate collaboration, interconnection and networking among them</w:t>
      </w:r>
      <w:r>
        <w:t>,</w:t>
      </w:r>
      <w:r w:rsidRPr="00D222A2">
        <w:t xml:space="preserve"> with a view to making biodiversity data</w:t>
      </w:r>
      <w:r>
        <w:t xml:space="preserve">, </w:t>
      </w:r>
      <w:r w:rsidRPr="00D222A2">
        <w:t>information and knowledge more readily available and accessible for biodiversity planning, policy and decision</w:t>
      </w:r>
      <w:r w:rsidRPr="00D222A2">
        <w:noBreakHyphen/>
        <w:t xml:space="preserve">making, implementation, monitoring, </w:t>
      </w:r>
      <w:r>
        <w:t xml:space="preserve">and </w:t>
      </w:r>
      <w:r w:rsidRPr="00D222A2">
        <w:t>reporting and review;</w:t>
      </w:r>
      <w:r>
        <w:t xml:space="preserve"> </w:t>
      </w:r>
    </w:p>
    <w:p w14:paraId="225A28E3" w14:textId="77777777" w:rsidR="0050667D" w:rsidRPr="00D222A2" w:rsidRDefault="0050667D" w:rsidP="005B1521">
      <w:pPr>
        <w:pStyle w:val="Para1"/>
        <w:numPr>
          <w:ilvl w:val="0"/>
          <w:numId w:val="0"/>
        </w:numPr>
        <w:suppressLineNumbers/>
        <w:tabs>
          <w:tab w:val="left" w:pos="360"/>
        </w:tabs>
        <w:suppressAutoHyphens/>
        <w:kinsoku w:val="0"/>
        <w:adjustRightInd w:val="0"/>
        <w:ind w:firstLine="720"/>
      </w:pPr>
      <w:r>
        <w:t>2</w:t>
      </w:r>
      <w:r w:rsidRPr="00285D2D">
        <w:t>.</w:t>
      </w:r>
      <w:r w:rsidRPr="00285D2D">
        <w:tab/>
      </w:r>
      <w:r w:rsidRPr="00D222A2">
        <w:rPr>
          <w:i/>
          <w:iCs/>
        </w:rPr>
        <w:t>Takes note</w:t>
      </w:r>
      <w:r w:rsidRPr="00D222A2">
        <w:t xml:space="preserve"> of the outcomes and key messages from the virtual sessions of the Fifth Science-Policy Forum for Biodiversity and the Eighth International Conference on Sustainability Science, in particular the Round Table on Biodiversity Monitoring and Data;</w:t>
      </w:r>
      <w:r w:rsidRPr="00610646">
        <w:rPr>
          <w:rStyle w:val="FootnoteReference"/>
        </w:rPr>
        <w:footnoteReference w:id="293"/>
      </w:r>
      <w:r>
        <w:t xml:space="preserve"> </w:t>
      </w:r>
    </w:p>
    <w:p w14:paraId="77DF4269" w14:textId="77777777" w:rsidR="0050667D" w:rsidRDefault="0050667D" w:rsidP="001F32EB">
      <w:pPr>
        <w:pStyle w:val="Para1"/>
        <w:numPr>
          <w:ilvl w:val="0"/>
          <w:numId w:val="0"/>
        </w:numPr>
        <w:suppressLineNumbers/>
        <w:tabs>
          <w:tab w:val="left" w:pos="360"/>
        </w:tabs>
        <w:suppressAutoHyphens/>
        <w:kinsoku w:val="0"/>
        <w:adjustRightInd w:val="0"/>
        <w:ind w:firstLine="720"/>
      </w:pPr>
      <w:r>
        <w:t>3</w:t>
      </w:r>
      <w:r w:rsidRPr="00FE0CDA">
        <w:t>.</w:t>
      </w:r>
      <w:r w:rsidRPr="00FE0CDA">
        <w:tab/>
      </w:r>
      <w:r>
        <w:rPr>
          <w:i/>
          <w:iCs/>
        </w:rPr>
        <w:t>Also t</w:t>
      </w:r>
      <w:r w:rsidRPr="00D222A2">
        <w:rPr>
          <w:i/>
          <w:iCs/>
        </w:rPr>
        <w:t>akes note</w:t>
      </w:r>
      <w:r>
        <w:rPr>
          <w:i/>
          <w:iCs/>
        </w:rPr>
        <w:t xml:space="preserve"> </w:t>
      </w:r>
      <w:r>
        <w:t xml:space="preserve">of the following initiatives:  </w:t>
      </w:r>
    </w:p>
    <w:p w14:paraId="4B03ADF4" w14:textId="77777777" w:rsidR="0050667D" w:rsidRPr="00D222A2" w:rsidRDefault="0050667D" w:rsidP="001F32EB">
      <w:pPr>
        <w:pStyle w:val="Para1"/>
        <w:numPr>
          <w:ilvl w:val="0"/>
          <w:numId w:val="0"/>
        </w:numPr>
        <w:suppressLineNumbers/>
        <w:tabs>
          <w:tab w:val="left" w:pos="360"/>
        </w:tabs>
        <w:suppressAutoHyphens/>
        <w:kinsoku w:val="0"/>
        <w:adjustRightInd w:val="0"/>
        <w:ind w:firstLine="720"/>
      </w:pPr>
      <w:r>
        <w:t>(a)</w:t>
      </w:r>
      <w:r>
        <w:tab/>
        <w:t>T</w:t>
      </w:r>
      <w:r w:rsidRPr="00D222A2">
        <w:t xml:space="preserve">he </w:t>
      </w:r>
      <w:r>
        <w:t>i</w:t>
      </w:r>
      <w:r w:rsidRPr="00D222A2">
        <w:t xml:space="preserve">nitiative of the United Nations Environment Programme World Conservation Monitoring Centre and the European Commission to develop a </w:t>
      </w:r>
      <w:r>
        <w:t>g</w:t>
      </w:r>
      <w:r w:rsidRPr="00D222A2">
        <w:t xml:space="preserve">lobal </w:t>
      </w:r>
      <w:r>
        <w:t>k</w:t>
      </w:r>
      <w:r w:rsidRPr="00D222A2">
        <w:t xml:space="preserve">nowledge </w:t>
      </w:r>
      <w:r>
        <w:t xml:space="preserve">support service </w:t>
      </w:r>
      <w:r w:rsidRPr="00D222A2">
        <w:t xml:space="preserve">for </w:t>
      </w:r>
      <w:r>
        <w:t>b</w:t>
      </w:r>
      <w:r w:rsidRPr="00D222A2">
        <w:t>iodiversity</w:t>
      </w:r>
      <w:r>
        <w:t>,</w:t>
      </w:r>
      <w:r w:rsidRPr="00610646">
        <w:rPr>
          <w:rStyle w:val="FootnoteReference"/>
        </w:rPr>
        <w:footnoteReference w:id="294"/>
      </w:r>
      <w:r w:rsidRPr="00D222A2">
        <w:t xml:space="preserve"> notably for tracking progress on targets and goals</w:t>
      </w:r>
      <w:r>
        <w:t>;</w:t>
      </w:r>
    </w:p>
    <w:p w14:paraId="67355490" w14:textId="77777777" w:rsidR="0050667D" w:rsidRDefault="0050667D" w:rsidP="001F32EB">
      <w:pPr>
        <w:pStyle w:val="Para1"/>
        <w:numPr>
          <w:ilvl w:val="0"/>
          <w:numId w:val="0"/>
        </w:numPr>
        <w:suppressLineNumbers/>
        <w:tabs>
          <w:tab w:val="left" w:pos="360"/>
        </w:tabs>
        <w:suppressAutoHyphens/>
        <w:kinsoku w:val="0"/>
        <w:adjustRightInd w:val="0"/>
        <w:ind w:firstLine="720"/>
      </w:pPr>
      <w:r>
        <w:t>(b)</w:t>
      </w:r>
      <w:r>
        <w:tab/>
        <w:t>T</w:t>
      </w:r>
      <w:r w:rsidRPr="00D222A2">
        <w:t>he Data4Nature initiative</w:t>
      </w:r>
      <w:r>
        <w:t>;</w:t>
      </w:r>
      <w:r w:rsidRPr="00610646">
        <w:rPr>
          <w:rStyle w:val="FootnoteReference"/>
        </w:rPr>
        <w:footnoteReference w:id="295"/>
      </w:r>
      <w:r w:rsidRPr="00D222A2">
        <w:t xml:space="preserve"> </w:t>
      </w:r>
      <w:r>
        <w:t xml:space="preserve"> </w:t>
      </w:r>
    </w:p>
    <w:p w14:paraId="03F9F9E0" w14:textId="77777777" w:rsidR="0050667D" w:rsidRDefault="0050667D" w:rsidP="001F32EB">
      <w:pPr>
        <w:pStyle w:val="Para1"/>
        <w:numPr>
          <w:ilvl w:val="0"/>
          <w:numId w:val="0"/>
        </w:numPr>
        <w:suppressLineNumbers/>
        <w:tabs>
          <w:tab w:val="left" w:pos="360"/>
        </w:tabs>
        <w:suppressAutoHyphens/>
        <w:kinsoku w:val="0"/>
        <w:adjustRightInd w:val="0"/>
        <w:ind w:firstLine="720"/>
      </w:pPr>
      <w:r>
        <w:t>(c)</w:t>
      </w:r>
      <w:r>
        <w:tab/>
        <w:t>T</w:t>
      </w:r>
      <w:r w:rsidRPr="00D222A2">
        <w:t>he global partnership PANORAMA: Solutions for a Healthy Planet,</w:t>
      </w:r>
      <w:r w:rsidRPr="00610646">
        <w:rPr>
          <w:rStyle w:val="FootnoteReference"/>
        </w:rPr>
        <w:footnoteReference w:id="296"/>
      </w:r>
      <w:r w:rsidRPr="00D222A2">
        <w:t xml:space="preserve"> which supports implementation through knowledge generation, management and sharing for effective biodiversity planning, policy development, decision-making, implementation, transparency and responsibility;</w:t>
      </w:r>
      <w:r>
        <w:t xml:space="preserve"> </w:t>
      </w:r>
    </w:p>
    <w:p w14:paraId="27F3A685" w14:textId="77777777" w:rsidR="0050667D" w:rsidRPr="00D222A2" w:rsidRDefault="0050667D" w:rsidP="001F32EB">
      <w:pPr>
        <w:pStyle w:val="Para1"/>
        <w:numPr>
          <w:ilvl w:val="0"/>
          <w:numId w:val="0"/>
        </w:numPr>
        <w:suppressLineNumbers/>
        <w:tabs>
          <w:tab w:val="left" w:pos="360"/>
        </w:tabs>
        <w:suppressAutoHyphens/>
        <w:kinsoku w:val="0"/>
        <w:adjustRightInd w:val="0"/>
        <w:ind w:firstLine="720"/>
      </w:pPr>
      <w:r>
        <w:t>(d)</w:t>
      </w:r>
      <w:r>
        <w:tab/>
        <w:t>The Bern process sup</w:t>
      </w:r>
      <w:r w:rsidRPr="006C4FAC">
        <w:t>ported by the United Nations Environment Programme;</w:t>
      </w:r>
      <w:r w:rsidRPr="00610646">
        <w:rPr>
          <w:rStyle w:val="FootnoteReference"/>
        </w:rPr>
        <w:footnoteReference w:id="297"/>
      </w:r>
    </w:p>
    <w:p w14:paraId="4948133C" w14:textId="77777777" w:rsidR="0050667D" w:rsidRPr="00D222A2" w:rsidRDefault="0050667D" w:rsidP="005B1521">
      <w:pPr>
        <w:pStyle w:val="Para1"/>
        <w:numPr>
          <w:ilvl w:val="0"/>
          <w:numId w:val="0"/>
        </w:numPr>
        <w:suppressLineNumbers/>
        <w:tabs>
          <w:tab w:val="left" w:pos="360"/>
        </w:tabs>
        <w:suppressAutoHyphens/>
        <w:kinsoku w:val="0"/>
        <w:adjustRightInd w:val="0"/>
        <w:ind w:firstLine="720"/>
      </w:pPr>
      <w:r>
        <w:t>4</w:t>
      </w:r>
      <w:r w:rsidRPr="00285D2D">
        <w:t>.</w:t>
      </w:r>
      <w:r w:rsidRPr="00285D2D">
        <w:tab/>
      </w:r>
      <w:r>
        <w:rPr>
          <w:i/>
          <w:iCs/>
        </w:rPr>
        <w:t xml:space="preserve">Further takes note </w:t>
      </w:r>
      <w:r w:rsidRPr="00D222A2">
        <w:t>of the Amazon Regional Observatory</w:t>
      </w:r>
      <w:r w:rsidRPr="00610646">
        <w:rPr>
          <w:rStyle w:val="FootnoteReference"/>
        </w:rPr>
        <w:footnoteReference w:id="298"/>
      </w:r>
      <w:r>
        <w:t xml:space="preserve"> </w:t>
      </w:r>
      <w:r w:rsidRPr="00D222A2">
        <w:t>of the Amazon Cooperation Treaty Organization</w:t>
      </w:r>
      <w:r>
        <w:t xml:space="preserve">, </w:t>
      </w:r>
      <w:r w:rsidRPr="00D222A2">
        <w:t xml:space="preserve">which includes information and data for conservation and sustainable use of biodiversity, and </w:t>
      </w:r>
      <w:r w:rsidRPr="00285D2D">
        <w:t>invites</w:t>
      </w:r>
      <w:r w:rsidRPr="00D222A2">
        <w:rPr>
          <w:i/>
          <w:iCs/>
        </w:rPr>
        <w:t xml:space="preserve"> </w:t>
      </w:r>
      <w:r w:rsidRPr="00D222A2">
        <w:t>donors and multilateral organizations to provide international cooperation for strengthening these initiatives</w:t>
      </w:r>
      <w:r>
        <w:t>,</w:t>
      </w:r>
      <w:r w:rsidRPr="00D222A2">
        <w:t xml:space="preserve"> as well as other relevant knowledge platforms;</w:t>
      </w:r>
      <w:r>
        <w:t xml:space="preserve"> </w:t>
      </w:r>
    </w:p>
    <w:p w14:paraId="6D16B33F" w14:textId="58354637" w:rsidR="0050667D" w:rsidRPr="00FA3FC5" w:rsidRDefault="0050667D" w:rsidP="001F32EB">
      <w:pPr>
        <w:pStyle w:val="Para1"/>
        <w:numPr>
          <w:ilvl w:val="0"/>
          <w:numId w:val="0"/>
        </w:numPr>
        <w:suppressLineNumbers/>
        <w:tabs>
          <w:tab w:val="left" w:pos="360"/>
        </w:tabs>
        <w:suppressAutoHyphens/>
        <w:kinsoku w:val="0"/>
        <w:adjustRightInd w:val="0"/>
        <w:ind w:firstLine="720"/>
      </w:pPr>
      <w:r>
        <w:t>5</w:t>
      </w:r>
      <w:r w:rsidRPr="00FE0CDA">
        <w:t>.</w:t>
      </w:r>
      <w:r w:rsidRPr="00FE0CDA">
        <w:tab/>
      </w:r>
      <w:r w:rsidRPr="00D222A2">
        <w:rPr>
          <w:i/>
          <w:iCs/>
        </w:rPr>
        <w:t xml:space="preserve">Takes note </w:t>
      </w:r>
      <w:r w:rsidRPr="00D222A2">
        <w:t>of the progress made in the implementation of the work programme for the clearing-house mechanism in support of the Strategic Plan for Biodiversity 2011</w:t>
      </w:r>
      <w:r>
        <w:t>–</w:t>
      </w:r>
      <w:r w:rsidRPr="00D222A2">
        <w:t>2020,</w:t>
      </w:r>
      <w:r w:rsidRPr="00131933">
        <w:rPr>
          <w:vertAlign w:val="superscript"/>
        </w:rPr>
        <w:fldChar w:fldCharType="begin"/>
      </w:r>
      <w:r w:rsidRPr="00D222A2">
        <w:rPr>
          <w:vertAlign w:val="superscript"/>
        </w:rPr>
        <w:instrText xml:space="preserve"> NOTEREF _Ref73016091 \h  \* MERGEFORMAT </w:instrText>
      </w:r>
      <w:r w:rsidRPr="00131933">
        <w:rPr>
          <w:vertAlign w:val="superscript"/>
        </w:rPr>
      </w:r>
      <w:r w:rsidRPr="00131933">
        <w:rPr>
          <w:vertAlign w:val="superscript"/>
        </w:rPr>
        <w:fldChar w:fldCharType="separate"/>
      </w:r>
      <w:r w:rsidR="007459F7">
        <w:rPr>
          <w:vertAlign w:val="superscript"/>
        </w:rPr>
        <w:t>1</w:t>
      </w:r>
      <w:r w:rsidRPr="00131933">
        <w:rPr>
          <w:vertAlign w:val="superscript"/>
        </w:rPr>
        <w:fldChar w:fldCharType="end"/>
      </w:r>
      <w:r w:rsidRPr="00D222A2">
        <w:t xml:space="preserve"> and the draft elements of a post-2020 work programme for the clearing-house mechanism, outlined in the note by the Executive Secretary;</w:t>
      </w:r>
      <w:r w:rsidRPr="00610646">
        <w:rPr>
          <w:rStyle w:val="FootnoteReference"/>
        </w:rPr>
        <w:footnoteReference w:id="299"/>
      </w:r>
      <w:r>
        <w:t xml:space="preserve"> </w:t>
      </w:r>
    </w:p>
    <w:p w14:paraId="1AE7588C" w14:textId="77777777" w:rsidR="0050667D" w:rsidRPr="00393BD8" w:rsidRDefault="0050667D" w:rsidP="001F32EB">
      <w:pPr>
        <w:pStyle w:val="Para1"/>
        <w:numPr>
          <w:ilvl w:val="0"/>
          <w:numId w:val="0"/>
        </w:numPr>
        <w:suppressLineNumbers/>
        <w:tabs>
          <w:tab w:val="left" w:pos="360"/>
        </w:tabs>
        <w:suppressAutoHyphens/>
        <w:kinsoku w:val="0"/>
        <w:adjustRightInd w:val="0"/>
        <w:ind w:firstLine="720"/>
      </w:pPr>
      <w:r>
        <w:t>6</w:t>
      </w:r>
      <w:r w:rsidRPr="00FE0CDA">
        <w:t>.</w:t>
      </w:r>
      <w:r w:rsidRPr="00285D2D">
        <w:tab/>
      </w:r>
      <w:r w:rsidRPr="00393BD8">
        <w:rPr>
          <w:i/>
          <w:iCs/>
        </w:rPr>
        <w:t>Decides</w:t>
      </w:r>
      <w:r w:rsidRPr="00393BD8">
        <w:t> to extend the work programme of the clearing-house mechanism for the period 2021</w:t>
      </w:r>
      <w:r>
        <w:t>–</w:t>
      </w:r>
      <w:r w:rsidRPr="00393BD8">
        <w:t>2030</w:t>
      </w:r>
      <w:r>
        <w:t>,</w:t>
      </w:r>
      <w:r w:rsidRPr="00393BD8">
        <w:t xml:space="preserve"> and to update it in line with the </w:t>
      </w:r>
      <w:r>
        <w:t>Montreal-Kunming</w:t>
      </w:r>
      <w:r w:rsidRPr="00393BD8">
        <w:t xml:space="preserve"> </w:t>
      </w:r>
      <w:r>
        <w:t>G</w:t>
      </w:r>
      <w:r w:rsidRPr="00393BD8">
        <w:t xml:space="preserve">lobal </w:t>
      </w:r>
      <w:r>
        <w:t>B</w:t>
      </w:r>
      <w:r w:rsidRPr="00393BD8">
        <w:t xml:space="preserve">iodiversity </w:t>
      </w:r>
      <w:r>
        <w:t>F</w:t>
      </w:r>
      <w:r w:rsidRPr="00393BD8">
        <w:t xml:space="preserve">ramework and </w:t>
      </w:r>
      <w:r w:rsidRPr="00393BD8">
        <w:lastRenderedPageBreak/>
        <w:t>relevant decisions</w:t>
      </w:r>
      <w:r>
        <w:t>, mechanisms and strategies</w:t>
      </w:r>
      <w:r w:rsidRPr="00393BD8">
        <w:t xml:space="preserve"> </w:t>
      </w:r>
      <w:r>
        <w:t xml:space="preserve">for consideration by the Conference of the Parties at its sixteenth meeting with a view to its adoption; </w:t>
      </w:r>
    </w:p>
    <w:p w14:paraId="383CB2A0" w14:textId="77777777" w:rsidR="0050667D" w:rsidRPr="00765C94" w:rsidRDefault="0050667D" w:rsidP="001F32EB">
      <w:pPr>
        <w:pStyle w:val="Para1"/>
        <w:numPr>
          <w:ilvl w:val="0"/>
          <w:numId w:val="0"/>
        </w:numPr>
        <w:suppressLineNumbers/>
        <w:tabs>
          <w:tab w:val="left" w:pos="360"/>
        </w:tabs>
        <w:suppressAutoHyphens/>
        <w:kinsoku w:val="0"/>
        <w:adjustRightInd w:val="0"/>
        <w:ind w:firstLine="720"/>
      </w:pPr>
      <w:r w:rsidRPr="00765C94">
        <w:t>7.</w:t>
      </w:r>
      <w:r w:rsidRPr="00765C94">
        <w:tab/>
      </w:r>
      <w:r w:rsidRPr="00765C94">
        <w:rPr>
          <w:i/>
          <w:iCs/>
        </w:rPr>
        <w:t xml:space="preserve">Requests </w:t>
      </w:r>
      <w:r w:rsidRPr="00765C94">
        <w:t xml:space="preserve">the </w:t>
      </w:r>
      <w:r>
        <w:t>I</w:t>
      </w:r>
      <w:r w:rsidRPr="00765C94">
        <w:t xml:space="preserve">nformal </w:t>
      </w:r>
      <w:r>
        <w:t>A</w:t>
      </w:r>
      <w:r w:rsidRPr="00765C94">
        <w:t xml:space="preserve">dvisory </w:t>
      </w:r>
      <w:r>
        <w:t>G</w:t>
      </w:r>
      <w:r w:rsidRPr="00765C94">
        <w:t xml:space="preserve">roup on </w:t>
      </w:r>
      <w:r>
        <w:t>T</w:t>
      </w:r>
      <w:r w:rsidRPr="00765C94">
        <w:t xml:space="preserve">echnical and </w:t>
      </w:r>
      <w:r>
        <w:t>S</w:t>
      </w:r>
      <w:r w:rsidRPr="00765C94">
        <w:t xml:space="preserve">cientific </w:t>
      </w:r>
      <w:r>
        <w:t>C</w:t>
      </w:r>
      <w:r w:rsidRPr="00765C94">
        <w:t>ooperation,</w:t>
      </w:r>
      <w:r w:rsidRPr="00610646">
        <w:rPr>
          <w:rStyle w:val="FootnoteReference"/>
        </w:rPr>
        <w:footnoteReference w:id="300"/>
      </w:r>
      <w:r w:rsidRPr="00765C94">
        <w:t xml:space="preserve"> as per its mandate, to provide the Executive Secretary with advice on the development and implementation of the work programme for the clearing-house mechanism in support of the Kunming-Montreal Global Biodiversity Framework; </w:t>
      </w:r>
    </w:p>
    <w:p w14:paraId="0B9D6DB5" w14:textId="77777777" w:rsidR="0050667D" w:rsidRPr="00393BD8" w:rsidRDefault="0050667D" w:rsidP="001F32EB">
      <w:pPr>
        <w:pStyle w:val="Para1"/>
        <w:numPr>
          <w:ilvl w:val="0"/>
          <w:numId w:val="0"/>
        </w:numPr>
        <w:suppressLineNumbers/>
        <w:tabs>
          <w:tab w:val="left" w:pos="360"/>
        </w:tabs>
        <w:suppressAutoHyphens/>
        <w:kinsoku w:val="0"/>
        <w:adjustRightInd w:val="0"/>
        <w:ind w:firstLine="720"/>
        <w:rPr>
          <w:szCs w:val="24"/>
        </w:rPr>
      </w:pPr>
      <w:r w:rsidRPr="00765C94">
        <w:rPr>
          <w:szCs w:val="24"/>
        </w:rPr>
        <w:t>8.</w:t>
      </w:r>
      <w:r w:rsidRPr="00765C94">
        <w:rPr>
          <w:szCs w:val="24"/>
        </w:rPr>
        <w:tab/>
      </w:r>
      <w:r w:rsidRPr="00765C94">
        <w:rPr>
          <w:i/>
          <w:iCs/>
        </w:rPr>
        <w:t xml:space="preserve">Urges </w:t>
      </w:r>
      <w:r w:rsidRPr="00765C94">
        <w:t xml:space="preserve">Parties, and </w:t>
      </w:r>
      <w:r w:rsidRPr="005163FD">
        <w:t>invites</w:t>
      </w:r>
      <w:r w:rsidRPr="00765C94">
        <w:t xml:space="preserve"> other Gover</w:t>
      </w:r>
      <w:r w:rsidRPr="00393BD8">
        <w:t>nments and relevant organizations, as appropriate, to continue providing financial, technical and human resources support to enable developing country Parties</w:t>
      </w:r>
      <w:r>
        <w:t>, in particular the least developed countries and small island developing States,</w:t>
      </w:r>
      <w:r w:rsidRPr="00393BD8">
        <w:t xml:space="preserve"> and </w:t>
      </w:r>
      <w:r>
        <w:t xml:space="preserve">countries </w:t>
      </w:r>
      <w:r w:rsidRPr="00393BD8">
        <w:t>with economies in transition</w:t>
      </w:r>
      <w:r>
        <w:t>,</w:t>
      </w:r>
      <w:r w:rsidRPr="00393BD8">
        <w:t xml:space="preserve"> to strengthen their national clearing-house mechanisms, and to develop or upgrade their national clearing-house mechanism websites using the </w:t>
      </w:r>
      <w:r w:rsidRPr="00393BD8">
        <w:rPr>
          <w:szCs w:val="24"/>
        </w:rPr>
        <w:t>Bioland tool, as appropriate and in accordance with national priorities and circumstances;</w:t>
      </w:r>
      <w:r>
        <w:rPr>
          <w:szCs w:val="24"/>
        </w:rPr>
        <w:t xml:space="preserve"> </w:t>
      </w:r>
    </w:p>
    <w:p w14:paraId="31867A78" w14:textId="77777777" w:rsidR="0050667D" w:rsidRPr="00FA3FC5" w:rsidRDefault="0050667D" w:rsidP="001F32EB">
      <w:pPr>
        <w:pStyle w:val="Para1"/>
        <w:keepNext/>
        <w:numPr>
          <w:ilvl w:val="0"/>
          <w:numId w:val="0"/>
        </w:numPr>
        <w:suppressLineNumbers/>
        <w:tabs>
          <w:tab w:val="left" w:pos="360"/>
        </w:tabs>
        <w:suppressAutoHyphens/>
        <w:kinsoku w:val="0"/>
        <w:adjustRightInd w:val="0"/>
        <w:ind w:firstLine="720"/>
      </w:pPr>
      <w:r>
        <w:t>9</w:t>
      </w:r>
      <w:r w:rsidRPr="00FE0CDA">
        <w:t>.</w:t>
      </w:r>
      <w:r w:rsidRPr="00FE0CDA">
        <w:tab/>
      </w:r>
      <w:r w:rsidRPr="00393BD8">
        <w:rPr>
          <w:i/>
          <w:iCs/>
        </w:rPr>
        <w:t xml:space="preserve">Requests </w:t>
      </w:r>
      <w:r w:rsidRPr="00393BD8">
        <w:t>the Executive</w:t>
      </w:r>
      <w:r w:rsidRPr="00FA3FC5">
        <w:t xml:space="preserve"> Secretary, subject to the availability of resources:</w:t>
      </w:r>
      <w:r>
        <w:t xml:space="preserve"> </w:t>
      </w:r>
    </w:p>
    <w:p w14:paraId="0F150C89" w14:textId="77777777" w:rsidR="0050667D" w:rsidRPr="00FA3FC5"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pPr>
      <w:r>
        <w:rPr>
          <w:snapToGrid w:val="0"/>
          <w:kern w:val="22"/>
        </w:rPr>
        <w:t>(a)</w:t>
      </w:r>
      <w:r>
        <w:rPr>
          <w:snapToGrid w:val="0"/>
          <w:kern w:val="22"/>
        </w:rPr>
        <w:tab/>
        <w:t>To further develop, in collaboration with Parties and relevant organizations and with the support of the Informal Advisory Group on Technical and Scientific Cooperation, the draft knowledge management component of the Kunming-Montreal Global Biodiversity Framework</w:t>
      </w:r>
      <w:r w:rsidRPr="00610646">
        <w:rPr>
          <w:rStyle w:val="FootnoteReference"/>
        </w:rPr>
        <w:footnoteReference w:id="301"/>
      </w:r>
      <w:r>
        <w:rPr>
          <w:snapToGrid w:val="0"/>
          <w:kern w:val="22"/>
        </w:rPr>
        <w:t xml:space="preserve"> for peer review by Parties and for review by the Open-ended Working Group on Article 8(j) and Related Provisions at its twelfth meeting, and for consideration by the Subsidiary Body on Implementation at its fourth meeting and by the Conference of the Parties at its sixteenth meeting, with a view to its adoption; </w:t>
      </w:r>
    </w:p>
    <w:p w14:paraId="358EAD6D" w14:textId="77777777" w:rsidR="0050667D" w:rsidRPr="00285D2D"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(b)</w:t>
      </w:r>
      <w:r w:rsidRPr="00FA3FC5">
        <w:rPr>
          <w:snapToGrid w:val="0"/>
          <w:kern w:val="22"/>
        </w:rPr>
        <w:tab/>
      </w:r>
      <w:r w:rsidRPr="00285D2D">
        <w:rPr>
          <w:snapToGrid w:val="0"/>
          <w:kern w:val="22"/>
        </w:rPr>
        <w:t xml:space="preserve">To continue to facilitate the efforts of </w:t>
      </w:r>
      <w:r w:rsidRPr="001F4782">
        <w:rPr>
          <w:snapToGrid w:val="0"/>
          <w:kern w:val="22"/>
        </w:rPr>
        <w:t>Parties to establish, sustain and further develop their</w:t>
      </w:r>
      <w:r w:rsidRPr="00285D2D">
        <w:rPr>
          <w:snapToGrid w:val="0"/>
          <w:kern w:val="22"/>
        </w:rPr>
        <w:t xml:space="preserve"> national clearing-house mechanisms, including through</w:t>
      </w:r>
      <w:r>
        <w:rPr>
          <w:snapToGrid w:val="0"/>
          <w:kern w:val="22"/>
        </w:rPr>
        <w:t xml:space="preserve">: </w:t>
      </w:r>
    </w:p>
    <w:p w14:paraId="3D9FF747" w14:textId="77777777" w:rsidR="0050667D" w:rsidRPr="00285D2D" w:rsidRDefault="0050667D"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w:t>
      </w:r>
      <w:r w:rsidRPr="00FA3FC5">
        <w:rPr>
          <w:snapToGrid w:val="0"/>
          <w:kern w:val="22"/>
        </w:rPr>
        <w:tab/>
      </w:r>
      <w:r w:rsidRPr="00285D2D">
        <w:rPr>
          <w:snapToGrid w:val="0"/>
          <w:kern w:val="22"/>
        </w:rPr>
        <w:t>Further development of the Bioland tool in response to the needs of Parties and users</w:t>
      </w:r>
      <w:r>
        <w:rPr>
          <w:snapToGrid w:val="0"/>
          <w:kern w:val="22"/>
        </w:rPr>
        <w:t>,</w:t>
      </w:r>
      <w:r w:rsidRPr="00285D2D">
        <w:rPr>
          <w:snapToGrid w:val="0"/>
          <w:kern w:val="22"/>
        </w:rPr>
        <w:t xml:space="preserve"> and relevant technological developments;</w:t>
      </w:r>
    </w:p>
    <w:p w14:paraId="3CDE3FFA" w14:textId="77777777" w:rsidR="0050667D" w:rsidRPr="00285D2D" w:rsidRDefault="0050667D"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(ii)</w:t>
      </w:r>
      <w:r w:rsidRPr="00FA3FC5">
        <w:rPr>
          <w:snapToGrid w:val="0"/>
          <w:kern w:val="22"/>
        </w:rPr>
        <w:tab/>
      </w:r>
      <w:r w:rsidRPr="00285D2D">
        <w:rPr>
          <w:snapToGrid w:val="0"/>
          <w:kern w:val="22"/>
        </w:rPr>
        <w:t>Development of training and guidance material on the use of the Bioland tool</w:t>
      </w:r>
      <w:r>
        <w:rPr>
          <w:snapToGrid w:val="0"/>
          <w:kern w:val="22"/>
        </w:rPr>
        <w:t>,</w:t>
      </w:r>
      <w:r w:rsidRPr="00285D2D">
        <w:rPr>
          <w:snapToGrid w:val="0"/>
          <w:kern w:val="22"/>
        </w:rPr>
        <w:t xml:space="preserve"> in collaboration with Parties and users;</w:t>
      </w:r>
    </w:p>
    <w:p w14:paraId="354923DA" w14:textId="77777777" w:rsidR="0050667D" w:rsidRPr="00285D2D" w:rsidRDefault="0050667D"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(iii)</w:t>
      </w:r>
      <w:r w:rsidRPr="00FA3FC5">
        <w:rPr>
          <w:snapToGrid w:val="0"/>
          <w:kern w:val="22"/>
        </w:rPr>
        <w:tab/>
      </w:r>
      <w:r w:rsidRPr="00285D2D">
        <w:rPr>
          <w:snapToGrid w:val="0"/>
          <w:kern w:val="22"/>
        </w:rPr>
        <w:t>Development of guidance for the national focal points to the clearing-house mechanism on the coordination of activities related to the clearing-house mechanism at the national level</w:t>
      </w:r>
      <w:r>
        <w:rPr>
          <w:snapToGrid w:val="0"/>
          <w:kern w:val="22"/>
        </w:rPr>
        <w:t>,</w:t>
      </w:r>
      <w:r w:rsidRPr="00285D2D">
        <w:rPr>
          <w:snapToGrid w:val="0"/>
          <w:kern w:val="22"/>
        </w:rPr>
        <w:t xml:space="preserve"> to support effective implementation of national biodiversity strategies and action plans;</w:t>
      </w:r>
    </w:p>
    <w:p w14:paraId="51F1275A" w14:textId="77777777" w:rsidR="0050667D" w:rsidRPr="00285D2D" w:rsidRDefault="0050667D"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(iv)</w:t>
      </w:r>
      <w:r w:rsidRPr="00FA3FC5">
        <w:rPr>
          <w:snapToGrid w:val="0"/>
          <w:kern w:val="22"/>
        </w:rPr>
        <w:tab/>
      </w:r>
      <w:r w:rsidRPr="00285D2D">
        <w:rPr>
          <w:snapToGrid w:val="0"/>
          <w:kern w:val="22"/>
        </w:rPr>
        <w:t>Development of Bioland instances for Parties that have not yet established a national clearing-house mechanism website, using the information provided on the respective country profile pages on the Convention website, for their review and further development;</w:t>
      </w:r>
    </w:p>
    <w:p w14:paraId="2B7F9AA3" w14:textId="77777777" w:rsidR="0050667D" w:rsidRPr="00285D2D" w:rsidRDefault="0050667D"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sidRPr="00FA3FC5">
        <w:rPr>
          <w:snapToGrid w:val="0"/>
          <w:kern w:val="22"/>
        </w:rPr>
        <w:t>(v)</w:t>
      </w:r>
      <w:r w:rsidRPr="00FA3FC5">
        <w:rPr>
          <w:snapToGrid w:val="0"/>
          <w:kern w:val="22"/>
        </w:rPr>
        <w:tab/>
      </w:r>
      <w:r w:rsidRPr="00285D2D">
        <w:rPr>
          <w:snapToGrid w:val="0"/>
          <w:kern w:val="22"/>
        </w:rPr>
        <w:t>Continuation of the award for national clearing-house mechanisms until 2030</w:t>
      </w:r>
      <w:r>
        <w:rPr>
          <w:snapToGrid w:val="0"/>
          <w:kern w:val="22"/>
        </w:rPr>
        <w:t>;</w:t>
      </w:r>
    </w:p>
    <w:p w14:paraId="595C2B1E" w14:textId="77777777" w:rsidR="0050667D" w:rsidRPr="00285D2D"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(c)</w:t>
      </w:r>
      <w:r w:rsidRPr="00FA3FC5">
        <w:rPr>
          <w:snapToGrid w:val="0"/>
          <w:kern w:val="22"/>
        </w:rPr>
        <w:tab/>
      </w:r>
      <w:r w:rsidRPr="00285D2D">
        <w:rPr>
          <w:snapToGrid w:val="0"/>
          <w:kern w:val="22"/>
        </w:rPr>
        <w:t>To further develop the central clearing-house mechanism</w:t>
      </w:r>
      <w:r>
        <w:rPr>
          <w:snapToGrid w:val="0"/>
          <w:kern w:val="22"/>
        </w:rPr>
        <w:t xml:space="preserve"> portal</w:t>
      </w:r>
      <w:r w:rsidRPr="00285D2D">
        <w:rPr>
          <w:snapToGrid w:val="0"/>
          <w:kern w:val="22"/>
        </w:rPr>
        <w:t xml:space="preserve"> to promote and facilitate technical and scientific cooperation, knowledge management, communication and enhanced planning, implementation, monitoring, reporting and review processes;</w:t>
      </w:r>
      <w:r>
        <w:rPr>
          <w:snapToGrid w:val="0"/>
          <w:kern w:val="22"/>
        </w:rPr>
        <w:t xml:space="preserve"> </w:t>
      </w:r>
    </w:p>
    <w:p w14:paraId="3FEEF7D0" w14:textId="77777777" w:rsidR="0050667D" w:rsidRPr="00FE0CDA"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(d)</w:t>
      </w:r>
      <w:r w:rsidRPr="00FA3FC5">
        <w:rPr>
          <w:snapToGrid w:val="0"/>
          <w:kern w:val="22"/>
        </w:rPr>
        <w:tab/>
      </w:r>
      <w:r w:rsidRPr="00285D2D">
        <w:rPr>
          <w:snapToGrid w:val="0"/>
          <w:kern w:val="22"/>
        </w:rPr>
        <w:t>To continue collaboration with relevant initiatives, organizations and networks supporting the generation, capture, management and effective use of biodiversity-related data, information and knowledge</w:t>
      </w:r>
      <w:r>
        <w:rPr>
          <w:snapToGrid w:val="0"/>
          <w:kern w:val="22"/>
        </w:rPr>
        <w:t xml:space="preserve">, including, as appropriate, the </w:t>
      </w:r>
      <w:r w:rsidRPr="00285D2D">
        <w:rPr>
          <w:snapToGrid w:val="0"/>
          <w:kern w:val="22"/>
        </w:rPr>
        <w:t xml:space="preserve">United Nations Environment Programme World Conservation and Monitoring Centre, </w:t>
      </w:r>
      <w:r>
        <w:rPr>
          <w:snapToGrid w:val="0"/>
          <w:kern w:val="22"/>
        </w:rPr>
        <w:t xml:space="preserve">the </w:t>
      </w:r>
      <w:r w:rsidRPr="00285D2D">
        <w:rPr>
          <w:snapToGrid w:val="0"/>
          <w:kern w:val="22"/>
        </w:rPr>
        <w:t xml:space="preserve">Global Biodiversity Information Facility, the Group on Earth Observations Biodiversity Observation </w:t>
      </w:r>
      <w:r w:rsidRPr="00FE0CDA">
        <w:rPr>
          <w:snapToGrid w:val="0"/>
          <w:kern w:val="22"/>
        </w:rPr>
        <w:t xml:space="preserve">Network, </w:t>
      </w:r>
      <w:r>
        <w:rPr>
          <w:snapToGrid w:val="0"/>
          <w:kern w:val="22"/>
        </w:rPr>
        <w:t xml:space="preserve">the </w:t>
      </w:r>
      <w:r w:rsidRPr="00FE0CDA">
        <w:rPr>
          <w:snapToGrid w:val="0"/>
          <w:kern w:val="22"/>
        </w:rPr>
        <w:t xml:space="preserve">International Union for Conservation of Nature, </w:t>
      </w:r>
      <w:r>
        <w:rPr>
          <w:snapToGrid w:val="0"/>
          <w:kern w:val="22"/>
        </w:rPr>
        <w:t xml:space="preserve">the </w:t>
      </w:r>
      <w:r w:rsidRPr="00FE0CDA">
        <w:rPr>
          <w:snapToGrid w:val="0"/>
          <w:kern w:val="22"/>
        </w:rPr>
        <w:t xml:space="preserve">Intergovernmental Science-Policy Platform on Biodiversity and Ecosystem Services, the </w:t>
      </w:r>
      <w:r>
        <w:rPr>
          <w:snapToGrid w:val="0"/>
          <w:kern w:val="22"/>
        </w:rPr>
        <w:t xml:space="preserve">United Nations </w:t>
      </w:r>
      <w:r w:rsidRPr="00FE0CDA">
        <w:rPr>
          <w:snapToGrid w:val="0"/>
          <w:kern w:val="22"/>
        </w:rPr>
        <w:lastRenderedPageBreak/>
        <w:t xml:space="preserve">Information Portal on Multilateral Environmental Agreements (InforMEA) and the Data Reporting Tool </w:t>
      </w:r>
      <w:r>
        <w:rPr>
          <w:snapToGrid w:val="0"/>
          <w:kern w:val="22"/>
        </w:rPr>
        <w:t xml:space="preserve">for MEAs </w:t>
      </w:r>
      <w:r w:rsidRPr="00FE0CDA">
        <w:rPr>
          <w:snapToGrid w:val="0"/>
          <w:kern w:val="22"/>
        </w:rPr>
        <w:t>(DaRT)</w:t>
      </w:r>
      <w:r>
        <w:rPr>
          <w:snapToGrid w:val="0"/>
          <w:kern w:val="22"/>
        </w:rPr>
        <w:t xml:space="preserve">, </w:t>
      </w:r>
      <w:r w:rsidRPr="00285D2D">
        <w:rPr>
          <w:snapToGrid w:val="0"/>
          <w:kern w:val="22"/>
        </w:rPr>
        <w:t>among others</w:t>
      </w:r>
      <w:r w:rsidRPr="00FE0CDA">
        <w:rPr>
          <w:snapToGrid w:val="0"/>
          <w:kern w:val="22"/>
        </w:rPr>
        <w:t>;</w:t>
      </w:r>
      <w:r>
        <w:rPr>
          <w:snapToGrid w:val="0"/>
          <w:kern w:val="22"/>
        </w:rPr>
        <w:t xml:space="preserve"> </w:t>
      </w:r>
    </w:p>
    <w:p w14:paraId="4DA5BF34" w14:textId="77777777" w:rsidR="0050667D" w:rsidRPr="00FE0CDA"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(e)</w:t>
      </w:r>
      <w:r w:rsidRPr="00FA3FC5">
        <w:rPr>
          <w:snapToGrid w:val="0"/>
          <w:kern w:val="22"/>
        </w:rPr>
        <w:tab/>
      </w:r>
      <w:r w:rsidRPr="00FE0CDA">
        <w:rPr>
          <w:snapToGrid w:val="0"/>
          <w:kern w:val="22"/>
        </w:rPr>
        <w:t>To promote the use of relevant digital technologies to, among other things, assist Parties in the improvement of national capacities for the discovery, collection, analysis, aggregation, storage, accessibility, searchability, visualization and exchange of biodiversity-related data, information and knowledge, as appropriate;</w:t>
      </w:r>
      <w:r>
        <w:rPr>
          <w:snapToGrid w:val="0"/>
          <w:kern w:val="22"/>
        </w:rPr>
        <w:t xml:space="preserve"> </w:t>
      </w:r>
    </w:p>
    <w:p w14:paraId="6AA50328" w14:textId="77777777" w:rsidR="0050667D" w:rsidRPr="00FE0CDA" w:rsidRDefault="0050667D"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(f)</w:t>
      </w:r>
      <w:r w:rsidRPr="00FA3FC5">
        <w:rPr>
          <w:snapToGrid w:val="0"/>
          <w:kern w:val="22"/>
        </w:rPr>
        <w:tab/>
      </w:r>
      <w:r w:rsidRPr="00FE0CDA">
        <w:rPr>
          <w:snapToGrid w:val="0"/>
          <w:kern w:val="22"/>
        </w:rPr>
        <w:t xml:space="preserve">To prepare, in collaboration with the </w:t>
      </w:r>
      <w:r>
        <w:rPr>
          <w:snapToGrid w:val="0"/>
          <w:kern w:val="22"/>
        </w:rPr>
        <w:t>I</w:t>
      </w:r>
      <w:r w:rsidRPr="00FE0CDA">
        <w:rPr>
          <w:snapToGrid w:val="0"/>
          <w:kern w:val="22"/>
        </w:rPr>
        <w:t xml:space="preserve">nformal </w:t>
      </w:r>
      <w:r>
        <w:rPr>
          <w:snapToGrid w:val="0"/>
          <w:kern w:val="22"/>
        </w:rPr>
        <w:t>A</w:t>
      </w:r>
      <w:r w:rsidRPr="00FE0CDA">
        <w:rPr>
          <w:snapToGrid w:val="0"/>
          <w:kern w:val="22"/>
        </w:rPr>
        <w:t xml:space="preserve">dvisory </w:t>
      </w:r>
      <w:r>
        <w:rPr>
          <w:snapToGrid w:val="0"/>
          <w:kern w:val="22"/>
        </w:rPr>
        <w:t>G</w:t>
      </w:r>
      <w:r w:rsidRPr="00FE0CDA">
        <w:rPr>
          <w:snapToGrid w:val="0"/>
          <w:kern w:val="22"/>
        </w:rPr>
        <w:t xml:space="preserve">roup on </w:t>
      </w:r>
      <w:r>
        <w:rPr>
          <w:snapToGrid w:val="0"/>
          <w:kern w:val="22"/>
        </w:rPr>
        <w:t>T</w:t>
      </w:r>
      <w:r w:rsidRPr="00FE0CDA">
        <w:rPr>
          <w:snapToGrid w:val="0"/>
          <w:kern w:val="22"/>
        </w:rPr>
        <w:t xml:space="preserve">echnical and </w:t>
      </w:r>
      <w:r>
        <w:rPr>
          <w:snapToGrid w:val="0"/>
          <w:kern w:val="22"/>
        </w:rPr>
        <w:t>S</w:t>
      </w:r>
      <w:r w:rsidRPr="00FE0CDA">
        <w:rPr>
          <w:snapToGrid w:val="0"/>
          <w:kern w:val="22"/>
        </w:rPr>
        <w:t xml:space="preserve">cientific </w:t>
      </w:r>
      <w:r>
        <w:rPr>
          <w:snapToGrid w:val="0"/>
          <w:kern w:val="22"/>
        </w:rPr>
        <w:t>C</w:t>
      </w:r>
      <w:r w:rsidRPr="00FE0CDA">
        <w:rPr>
          <w:snapToGrid w:val="0"/>
          <w:kern w:val="22"/>
        </w:rPr>
        <w:t xml:space="preserve">ooperation, a proposal for an updated work programme for the clearing-house mechanism, aligned with the </w:t>
      </w:r>
      <w:r>
        <w:rPr>
          <w:snapToGrid w:val="0"/>
          <w:kern w:val="22"/>
        </w:rPr>
        <w:t>Kunming-Montreal</w:t>
      </w:r>
      <w:r w:rsidRPr="00FE0CDA">
        <w:rPr>
          <w:snapToGrid w:val="0"/>
          <w:kern w:val="22"/>
        </w:rPr>
        <w:t xml:space="preserve"> </w:t>
      </w:r>
      <w:r>
        <w:rPr>
          <w:snapToGrid w:val="0"/>
          <w:kern w:val="22"/>
        </w:rPr>
        <w:t>G</w:t>
      </w:r>
      <w:r w:rsidRPr="00FE0CDA">
        <w:rPr>
          <w:snapToGrid w:val="0"/>
          <w:kern w:val="22"/>
        </w:rPr>
        <w:t xml:space="preserve">lobal </w:t>
      </w:r>
      <w:r>
        <w:rPr>
          <w:snapToGrid w:val="0"/>
          <w:kern w:val="22"/>
        </w:rPr>
        <w:t>B</w:t>
      </w:r>
      <w:r w:rsidRPr="00FE0CDA">
        <w:rPr>
          <w:snapToGrid w:val="0"/>
          <w:kern w:val="22"/>
        </w:rPr>
        <w:t xml:space="preserve">iodiversity </w:t>
      </w:r>
      <w:r>
        <w:rPr>
          <w:snapToGrid w:val="0"/>
          <w:kern w:val="22"/>
        </w:rPr>
        <w:t>F</w:t>
      </w:r>
      <w:r w:rsidRPr="00FE0CDA">
        <w:rPr>
          <w:snapToGrid w:val="0"/>
          <w:kern w:val="22"/>
        </w:rPr>
        <w:t xml:space="preserve">ramework and relevant decisions, and </w:t>
      </w:r>
      <w:r>
        <w:rPr>
          <w:snapToGrid w:val="0"/>
          <w:kern w:val="22"/>
        </w:rPr>
        <w:t xml:space="preserve">to </w:t>
      </w:r>
      <w:r w:rsidRPr="00FE0CDA">
        <w:rPr>
          <w:snapToGrid w:val="0"/>
          <w:kern w:val="22"/>
        </w:rPr>
        <w:t xml:space="preserve">submit the proposal for consideration by the Subsidiary Body on Implementation at its fourth meeting </w:t>
      </w:r>
      <w:r w:rsidRPr="00FA25A8">
        <w:rPr>
          <w:snapToGrid w:val="0"/>
          <w:kern w:val="22"/>
        </w:rPr>
        <w:t>and consideration</w:t>
      </w:r>
      <w:r w:rsidRPr="00FE0CDA">
        <w:rPr>
          <w:snapToGrid w:val="0"/>
          <w:kern w:val="22"/>
        </w:rPr>
        <w:t xml:space="preserve"> by the Conference of the Parties at its sixteenth meeting</w:t>
      </w:r>
      <w:r>
        <w:rPr>
          <w:snapToGrid w:val="0"/>
          <w:kern w:val="22"/>
        </w:rPr>
        <w:t xml:space="preserve">, </w:t>
      </w:r>
      <w:r>
        <w:rPr>
          <w:kern w:val="22"/>
        </w:rPr>
        <w:t>with a view to its adoption</w:t>
      </w:r>
      <w:r w:rsidRPr="00FE0CDA">
        <w:rPr>
          <w:snapToGrid w:val="0"/>
          <w:kern w:val="22"/>
        </w:rPr>
        <w:t>;</w:t>
      </w:r>
      <w:r>
        <w:rPr>
          <w:snapToGrid w:val="0"/>
          <w:kern w:val="22"/>
        </w:rPr>
        <w:t xml:space="preserve"> </w:t>
      </w:r>
    </w:p>
    <w:p w14:paraId="57770A7E" w14:textId="77777777" w:rsidR="0050667D" w:rsidRPr="00FA3FC5" w:rsidRDefault="0050667D" w:rsidP="00B93035">
      <w:pPr>
        <w:suppressLineNumbers/>
        <w:tabs>
          <w:tab w:val="left" w:pos="1440"/>
        </w:tabs>
        <w:suppressAutoHyphens/>
        <w:kinsoku w:val="0"/>
        <w:overflowPunct w:val="0"/>
        <w:autoSpaceDE w:val="0"/>
        <w:autoSpaceDN w:val="0"/>
        <w:adjustRightInd w:val="0"/>
        <w:snapToGrid w:val="0"/>
        <w:spacing w:before="120" w:after="120"/>
        <w:ind w:firstLine="567"/>
      </w:pPr>
      <w:r w:rsidRPr="00FA3FC5">
        <w:rPr>
          <w:snapToGrid w:val="0"/>
          <w:kern w:val="22"/>
        </w:rPr>
        <w:t>(g)</w:t>
      </w:r>
      <w:r w:rsidRPr="00FA3FC5">
        <w:rPr>
          <w:snapToGrid w:val="0"/>
          <w:kern w:val="22"/>
        </w:rPr>
        <w:tab/>
      </w:r>
      <w:r w:rsidRPr="00FE0CDA">
        <w:rPr>
          <w:snapToGrid w:val="0"/>
          <w:kern w:val="22"/>
        </w:rPr>
        <w:t>To submit a progress report on the above activities for consideration by the Subsidiary Body on Implementation at its fourth meeting.</w:t>
      </w:r>
      <w:r>
        <w:rPr>
          <w:snapToGrid w:val="0"/>
          <w:kern w:val="22"/>
        </w:rPr>
        <w:t xml:space="preserve"> </w:t>
      </w:r>
    </w:p>
    <w:p w14:paraId="49F6B40A" w14:textId="77777777" w:rsidR="0065659F" w:rsidRPr="00C9161D" w:rsidRDefault="0065659F" w:rsidP="00C9161D"/>
    <w:p w14:paraId="2CE66DBD" w14:textId="77777777" w:rsidR="0050667D" w:rsidRDefault="0050667D" w:rsidP="00F854FF">
      <w:pPr>
        <w:pStyle w:val="Para1"/>
        <w:numPr>
          <w:ilvl w:val="0"/>
          <w:numId w:val="0"/>
        </w:numPr>
        <w:jc w:val="center"/>
        <w:sectPr w:rsidR="0050667D" w:rsidSect="00441700">
          <w:footnotePr>
            <w:numRestart w:val="eachSect"/>
          </w:footnotePr>
          <w:pgSz w:w="12240" w:h="15840"/>
          <w:pgMar w:top="567" w:right="1440" w:bottom="1134" w:left="1440" w:header="709" w:footer="709" w:gutter="0"/>
          <w:cols w:space="708"/>
          <w:docGrid w:linePitch="360"/>
        </w:sectPr>
      </w:pPr>
    </w:p>
    <w:p w14:paraId="2F9C2A69" w14:textId="77777777" w:rsidR="0050667D" w:rsidRDefault="0050667D" w:rsidP="00D44D33">
      <w:pPr>
        <w:pStyle w:val="decision"/>
      </w:pPr>
      <w:bookmarkStart w:id="252" w:name="_Toc150438815"/>
      <w:bookmarkStart w:id="253" w:name="_Toc150670515"/>
      <w:bookmarkStart w:id="254" w:name="_Toc150670625"/>
      <w:bookmarkStart w:id="255" w:name="_Toc150761127"/>
      <w:r>
        <w:lastRenderedPageBreak/>
        <w:t>15/17.</w:t>
      </w:r>
      <w:r>
        <w:tab/>
        <w:t>L</w:t>
      </w:r>
      <w:r w:rsidRPr="00D64D7F">
        <w:t>ong-term strategic approach to mainstreaming biodiversity within and across sectors</w:t>
      </w:r>
      <w:bookmarkEnd w:id="252"/>
      <w:bookmarkEnd w:id="253"/>
      <w:bookmarkEnd w:id="254"/>
      <w:bookmarkEnd w:id="255"/>
    </w:p>
    <w:p w14:paraId="1513C46E" w14:textId="77777777" w:rsidR="0050667D" w:rsidRPr="00620770" w:rsidRDefault="0050667D" w:rsidP="003A5D0E">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en-GB"/>
        </w:rPr>
      </w:pPr>
      <w:r w:rsidRPr="00620770">
        <w:rPr>
          <w:rFonts w:asciiTheme="majorBidi" w:hAnsiTheme="majorBidi" w:cstheme="majorBidi"/>
          <w:i/>
          <w:iCs/>
          <w:sz w:val="22"/>
          <w:szCs w:val="22"/>
          <w:lang w:val="en-GB"/>
        </w:rPr>
        <w:t>The Conference of the Parties</w:t>
      </w:r>
      <w:r w:rsidRPr="00620770">
        <w:rPr>
          <w:rFonts w:asciiTheme="majorBidi" w:hAnsiTheme="majorBidi" w:cstheme="majorBidi"/>
          <w:sz w:val="22"/>
          <w:szCs w:val="22"/>
          <w:lang w:val="en-GB"/>
        </w:rPr>
        <w:t>,</w:t>
      </w:r>
    </w:p>
    <w:p w14:paraId="326371F9" w14:textId="77777777" w:rsidR="0050667D" w:rsidRPr="00620770" w:rsidRDefault="0050667D"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 xml:space="preserve">Recalling </w:t>
      </w:r>
      <w:r w:rsidRPr="00620770">
        <w:rPr>
          <w:rFonts w:asciiTheme="majorBidi" w:hAnsiTheme="majorBidi" w:cstheme="majorBidi"/>
          <w:iCs/>
          <w:sz w:val="22"/>
          <w:szCs w:val="22"/>
          <w:lang w:val="en-GB"/>
        </w:rPr>
        <w:t xml:space="preserve">Article 6 (b) of the Convention, which </w:t>
      </w:r>
      <w:r w:rsidRPr="007D508B">
        <w:rPr>
          <w:rFonts w:asciiTheme="majorBidi" w:hAnsiTheme="majorBidi" w:cstheme="majorBidi"/>
          <w:iCs/>
          <w:sz w:val="22"/>
          <w:szCs w:val="22"/>
          <w:lang w:val="en-GB"/>
        </w:rPr>
        <w:t>requires Parties</w:t>
      </w:r>
      <w:r w:rsidRPr="00620770">
        <w:rPr>
          <w:rFonts w:asciiTheme="majorBidi" w:hAnsiTheme="majorBidi" w:cstheme="majorBidi"/>
          <w:iCs/>
          <w:sz w:val="22"/>
          <w:szCs w:val="22"/>
          <w:lang w:val="en-GB"/>
        </w:rPr>
        <w:t xml:space="preserve"> to integrate, as far as possible and as appropriate, the conservation and sustainable use of biological diversity into relevant sectoral or cross-sectoral plans, programmes and policies,</w:t>
      </w:r>
    </w:p>
    <w:p w14:paraId="2C183846" w14:textId="77777777" w:rsidR="0050667D" w:rsidRPr="00620770" w:rsidRDefault="0050667D"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 xml:space="preserve">Reiterating </w:t>
      </w:r>
      <w:r w:rsidRPr="00620770">
        <w:rPr>
          <w:rFonts w:asciiTheme="majorBidi" w:hAnsiTheme="majorBidi" w:cstheme="majorBidi"/>
          <w:iCs/>
          <w:sz w:val="22"/>
          <w:szCs w:val="22"/>
          <w:lang w:val="en-GB"/>
        </w:rPr>
        <w:t xml:space="preserve">the critical importance of mainstreaming biodiversity across government and society in order to achieve the objectives of the Convention, and the urgent need to mainstream biodiversity in line with the </w:t>
      </w:r>
      <w:r>
        <w:rPr>
          <w:rFonts w:asciiTheme="majorBidi" w:hAnsiTheme="majorBidi" w:cstheme="majorBidi"/>
          <w:iCs/>
          <w:sz w:val="22"/>
          <w:szCs w:val="22"/>
          <w:lang w:val="en-GB"/>
        </w:rPr>
        <w:t>Kunming-Montreal G</w:t>
      </w:r>
      <w:r w:rsidRPr="00620770">
        <w:rPr>
          <w:rFonts w:asciiTheme="majorBidi" w:hAnsiTheme="majorBidi" w:cstheme="majorBidi"/>
          <w:iCs/>
          <w:sz w:val="22"/>
          <w:szCs w:val="22"/>
          <w:lang w:val="en-GB"/>
        </w:rPr>
        <w:t xml:space="preserve">lobal </w:t>
      </w:r>
      <w:r>
        <w:rPr>
          <w:rFonts w:asciiTheme="majorBidi" w:hAnsiTheme="majorBidi" w:cstheme="majorBidi"/>
          <w:iCs/>
          <w:sz w:val="22"/>
          <w:szCs w:val="22"/>
          <w:lang w:val="en-GB"/>
        </w:rPr>
        <w:t>B</w:t>
      </w:r>
      <w:r w:rsidRPr="00620770">
        <w:rPr>
          <w:rFonts w:asciiTheme="majorBidi" w:hAnsiTheme="majorBidi" w:cstheme="majorBidi"/>
          <w:iCs/>
          <w:sz w:val="22"/>
          <w:szCs w:val="22"/>
          <w:lang w:val="en-GB"/>
        </w:rPr>
        <w:t xml:space="preserve">iodiversity </w:t>
      </w:r>
      <w:r>
        <w:rPr>
          <w:rFonts w:asciiTheme="majorBidi" w:hAnsiTheme="majorBidi" w:cstheme="majorBidi"/>
          <w:iCs/>
          <w:sz w:val="22"/>
          <w:szCs w:val="22"/>
          <w:lang w:val="en-GB"/>
        </w:rPr>
        <w:t>F</w:t>
      </w:r>
      <w:r w:rsidRPr="00620770">
        <w:rPr>
          <w:rFonts w:asciiTheme="majorBidi" w:hAnsiTheme="majorBidi" w:cstheme="majorBidi"/>
          <w:iCs/>
          <w:sz w:val="22"/>
          <w:szCs w:val="22"/>
          <w:lang w:val="en-GB"/>
        </w:rPr>
        <w:t>ramework,</w:t>
      </w:r>
    </w:p>
    <w:p w14:paraId="38338E9A" w14:textId="77777777" w:rsidR="0050667D" w:rsidRPr="00620770" w:rsidRDefault="0050667D"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en-GB"/>
        </w:rPr>
      </w:pPr>
      <w:r w:rsidRPr="00620770">
        <w:rPr>
          <w:rFonts w:asciiTheme="majorBidi" w:hAnsiTheme="majorBidi" w:cstheme="majorBidi"/>
          <w:i/>
          <w:sz w:val="22"/>
          <w:szCs w:val="22"/>
          <w:lang w:val="en-GB"/>
        </w:rPr>
        <w:t>Emphasizing</w:t>
      </w:r>
      <w:r w:rsidRPr="00620770">
        <w:rPr>
          <w:rFonts w:asciiTheme="majorBidi" w:hAnsiTheme="majorBidi" w:cstheme="majorBidi"/>
          <w:iCs/>
          <w:sz w:val="22"/>
          <w:szCs w:val="22"/>
          <w:lang w:val="en-GB"/>
        </w:rPr>
        <w:t xml:space="preserve"> the importance of intensified mainstreaming action to achieve the transformational change needed in order to attain the 2050 </w:t>
      </w:r>
      <w:r w:rsidRPr="00620770">
        <w:rPr>
          <w:rFonts w:asciiTheme="majorBidi" w:hAnsiTheme="majorBidi" w:cstheme="majorBidi"/>
          <w:iCs/>
          <w:color w:val="000000" w:themeColor="text1"/>
          <w:sz w:val="22"/>
          <w:szCs w:val="22"/>
          <w:lang w:val="en-GB"/>
        </w:rPr>
        <w:t>vision, while acknowledging</w:t>
      </w:r>
      <w:r w:rsidRPr="00620770">
        <w:rPr>
          <w:rFonts w:asciiTheme="majorBidi" w:hAnsiTheme="majorBidi" w:cstheme="majorBidi"/>
          <w:i/>
          <w:color w:val="000000" w:themeColor="text1"/>
          <w:sz w:val="22"/>
          <w:szCs w:val="22"/>
          <w:lang w:val="en-GB"/>
        </w:rPr>
        <w:t xml:space="preserve"> </w:t>
      </w:r>
      <w:r w:rsidRPr="00620770">
        <w:rPr>
          <w:rFonts w:asciiTheme="majorBidi" w:hAnsiTheme="majorBidi" w:cstheme="majorBidi"/>
          <w:iCs/>
          <w:color w:val="000000" w:themeColor="text1"/>
          <w:sz w:val="22"/>
          <w:szCs w:val="22"/>
          <w:lang w:val="en-GB"/>
        </w:rPr>
        <w:t>the specific challenges faced by developing countries in supporting mainstreaming policies and the need for adequate means of implementation and enhanced international cooperation,</w:t>
      </w:r>
    </w:p>
    <w:p w14:paraId="2CF27420" w14:textId="77777777" w:rsidR="0050667D" w:rsidRPr="004C4D99" w:rsidRDefault="0050667D"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4C4D99">
        <w:rPr>
          <w:rFonts w:asciiTheme="majorBidi" w:hAnsiTheme="majorBidi" w:cstheme="majorBidi"/>
          <w:iCs/>
          <w:sz w:val="22"/>
          <w:szCs w:val="22"/>
          <w:lang w:val="en-GB"/>
        </w:rPr>
        <w:t>1.</w:t>
      </w:r>
      <w:r>
        <w:rPr>
          <w:rFonts w:asciiTheme="majorBidi" w:hAnsiTheme="majorBidi" w:cstheme="majorBidi"/>
          <w:i/>
          <w:sz w:val="22"/>
          <w:szCs w:val="22"/>
          <w:lang w:val="en-GB"/>
        </w:rPr>
        <w:tab/>
      </w:r>
      <w:r w:rsidRPr="00620770">
        <w:rPr>
          <w:rFonts w:asciiTheme="majorBidi" w:hAnsiTheme="majorBidi" w:cstheme="majorBidi"/>
          <w:i/>
          <w:sz w:val="22"/>
          <w:szCs w:val="22"/>
          <w:lang w:val="en-GB"/>
        </w:rPr>
        <w:t>Welcomes</w:t>
      </w:r>
      <w:r w:rsidRPr="00620770">
        <w:rPr>
          <w:rFonts w:asciiTheme="majorBidi" w:hAnsiTheme="majorBidi" w:cstheme="majorBidi"/>
          <w:iCs/>
          <w:sz w:val="22"/>
          <w:szCs w:val="22"/>
          <w:lang w:val="en-GB"/>
        </w:rPr>
        <w:t xml:space="preserve"> the work of the Informal Advisory Group on Mainstreaming </w:t>
      </w:r>
      <w:r>
        <w:rPr>
          <w:rFonts w:asciiTheme="majorBidi" w:hAnsiTheme="majorBidi" w:cstheme="majorBidi"/>
          <w:iCs/>
          <w:sz w:val="22"/>
          <w:szCs w:val="22"/>
          <w:lang w:val="en-GB"/>
        </w:rPr>
        <w:t xml:space="preserve">of </w:t>
      </w:r>
      <w:r w:rsidRPr="00620770">
        <w:rPr>
          <w:rFonts w:asciiTheme="majorBidi" w:hAnsiTheme="majorBidi" w:cstheme="majorBidi"/>
          <w:iCs/>
          <w:sz w:val="22"/>
          <w:szCs w:val="22"/>
          <w:lang w:val="en-GB"/>
        </w:rPr>
        <w:t>Biodiversity, as reflected in the progress report of the Executive Secretary to the Subsidiary Body on Implementation at its third meeting</w:t>
      </w:r>
      <w:r w:rsidRPr="00610646">
        <w:rPr>
          <w:rStyle w:val="FootnoteReference"/>
        </w:rPr>
        <w:footnoteReference w:id="302"/>
      </w:r>
      <w:r>
        <w:rPr>
          <w:rFonts w:asciiTheme="majorBidi" w:hAnsiTheme="majorBidi" w:cstheme="majorBidi"/>
          <w:iCs/>
          <w:sz w:val="22"/>
          <w:szCs w:val="22"/>
          <w:lang w:val="en-GB"/>
        </w:rPr>
        <w:t xml:space="preserve"> </w:t>
      </w:r>
      <w:r w:rsidRPr="004C4D99">
        <w:rPr>
          <w:rFonts w:asciiTheme="majorBidi" w:hAnsiTheme="majorBidi" w:cstheme="majorBidi"/>
          <w:iCs/>
          <w:sz w:val="22"/>
          <w:szCs w:val="22"/>
          <w:lang w:val="en-GB"/>
        </w:rPr>
        <w:t>as well as the new submissions as compiled in documents CBD/COP/15/INF</w:t>
      </w:r>
      <w:r>
        <w:rPr>
          <w:rFonts w:asciiTheme="majorBidi" w:hAnsiTheme="majorBidi" w:cstheme="majorBidi"/>
          <w:iCs/>
          <w:sz w:val="22"/>
          <w:szCs w:val="22"/>
          <w:lang w:val="en-GB"/>
        </w:rPr>
        <w:t>/</w:t>
      </w:r>
      <w:r w:rsidRPr="004C4D99">
        <w:rPr>
          <w:rFonts w:asciiTheme="majorBidi" w:hAnsiTheme="majorBidi" w:cstheme="majorBidi"/>
          <w:iCs/>
          <w:sz w:val="22"/>
          <w:szCs w:val="22"/>
          <w:lang w:val="en-GB"/>
        </w:rPr>
        <w:t>10, 11 and 12;</w:t>
      </w:r>
    </w:p>
    <w:p w14:paraId="6C5DC2B8" w14:textId="4BD1045B" w:rsidR="0050667D" w:rsidRPr="004C4D99" w:rsidRDefault="0050667D"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1B2681">
        <w:rPr>
          <w:rFonts w:asciiTheme="majorBidi" w:hAnsiTheme="majorBidi" w:cstheme="majorBidi"/>
          <w:iCs/>
          <w:sz w:val="22"/>
          <w:szCs w:val="22"/>
          <w:lang w:val="en-GB"/>
        </w:rPr>
        <w:t>2</w:t>
      </w:r>
      <w:r w:rsidRPr="004C4D99">
        <w:rPr>
          <w:rFonts w:asciiTheme="majorBidi" w:hAnsiTheme="majorBidi" w:cstheme="majorBidi"/>
          <w:iCs/>
          <w:sz w:val="22"/>
          <w:szCs w:val="22"/>
          <w:lang w:val="en-GB"/>
        </w:rPr>
        <w:t>.</w:t>
      </w:r>
      <w:r w:rsidRPr="004C4D99">
        <w:rPr>
          <w:rFonts w:asciiTheme="majorBidi" w:hAnsiTheme="majorBidi" w:cstheme="majorBidi"/>
          <w:iCs/>
          <w:sz w:val="22"/>
          <w:szCs w:val="22"/>
          <w:lang w:val="en-GB"/>
        </w:rPr>
        <w:tab/>
      </w:r>
      <w:r w:rsidRPr="004C4D99">
        <w:rPr>
          <w:rFonts w:asciiTheme="majorBidi" w:hAnsiTheme="majorBidi" w:cstheme="majorBidi"/>
          <w:i/>
          <w:sz w:val="22"/>
          <w:szCs w:val="22"/>
          <w:lang w:val="en-GB"/>
        </w:rPr>
        <w:t>Requests</w:t>
      </w:r>
      <w:r w:rsidRPr="004C4D99">
        <w:rPr>
          <w:rFonts w:asciiTheme="majorBidi" w:hAnsiTheme="majorBidi" w:cstheme="majorBidi"/>
          <w:iCs/>
          <w:sz w:val="22"/>
          <w:szCs w:val="22"/>
          <w:lang w:val="en-GB"/>
        </w:rPr>
        <w:t xml:space="preserve"> Parties, and </w:t>
      </w:r>
      <w:r w:rsidRPr="001C7B0E">
        <w:rPr>
          <w:rFonts w:asciiTheme="majorBidi" w:hAnsiTheme="majorBidi" w:cstheme="majorBidi"/>
          <w:iCs/>
          <w:sz w:val="22"/>
          <w:szCs w:val="22"/>
          <w:lang w:val="en-GB"/>
        </w:rPr>
        <w:t>invites</w:t>
      </w:r>
      <w:r w:rsidRPr="004C4D99">
        <w:rPr>
          <w:rFonts w:asciiTheme="majorBidi" w:hAnsiTheme="majorBidi" w:cstheme="majorBidi"/>
          <w:iCs/>
          <w:sz w:val="22"/>
          <w:szCs w:val="22"/>
          <w:lang w:val="en-GB"/>
        </w:rPr>
        <w:t xml:space="preserve"> other </w:t>
      </w:r>
      <w:r>
        <w:rPr>
          <w:rFonts w:asciiTheme="majorBidi" w:hAnsiTheme="majorBidi" w:cstheme="majorBidi"/>
          <w:iCs/>
          <w:sz w:val="22"/>
          <w:szCs w:val="22"/>
          <w:lang w:val="en-GB"/>
        </w:rPr>
        <w:t>G</w:t>
      </w:r>
      <w:r w:rsidRPr="004C4D99">
        <w:rPr>
          <w:rFonts w:asciiTheme="majorBidi" w:hAnsiTheme="majorBidi" w:cstheme="majorBidi"/>
          <w:iCs/>
          <w:sz w:val="22"/>
          <w:szCs w:val="22"/>
          <w:lang w:val="en-GB"/>
        </w:rPr>
        <w:t xml:space="preserve">overnments, international organizations and relevant stakeholders to submit their views on the draft </w:t>
      </w:r>
      <w:r>
        <w:rPr>
          <w:rFonts w:asciiTheme="majorBidi" w:hAnsiTheme="majorBidi" w:cstheme="majorBidi"/>
          <w:iCs/>
          <w:sz w:val="22"/>
          <w:szCs w:val="22"/>
          <w:lang w:val="en-GB"/>
        </w:rPr>
        <w:t>l</w:t>
      </w:r>
      <w:r w:rsidRPr="004C4D99">
        <w:rPr>
          <w:rFonts w:asciiTheme="majorBidi" w:hAnsiTheme="majorBidi" w:cstheme="majorBidi"/>
          <w:iCs/>
          <w:sz w:val="22"/>
          <w:szCs w:val="22"/>
          <w:lang w:val="en-GB"/>
        </w:rPr>
        <w:t>ong-</w:t>
      </w:r>
      <w:r>
        <w:rPr>
          <w:rFonts w:asciiTheme="majorBidi" w:hAnsiTheme="majorBidi" w:cstheme="majorBidi"/>
          <w:iCs/>
          <w:sz w:val="22"/>
          <w:szCs w:val="22"/>
          <w:lang w:val="en-GB"/>
        </w:rPr>
        <w:t>t</w:t>
      </w:r>
      <w:r w:rsidRPr="004C4D99">
        <w:rPr>
          <w:rFonts w:asciiTheme="majorBidi" w:hAnsiTheme="majorBidi" w:cstheme="majorBidi"/>
          <w:iCs/>
          <w:sz w:val="22"/>
          <w:szCs w:val="22"/>
          <w:lang w:val="en-GB"/>
        </w:rPr>
        <w:t xml:space="preserve">erm </w:t>
      </w:r>
      <w:r>
        <w:rPr>
          <w:rFonts w:asciiTheme="majorBidi" w:hAnsiTheme="majorBidi" w:cstheme="majorBidi"/>
          <w:iCs/>
          <w:sz w:val="22"/>
          <w:szCs w:val="22"/>
          <w:lang w:val="en-GB"/>
        </w:rPr>
        <w:t>a</w:t>
      </w:r>
      <w:r w:rsidRPr="004C4D99">
        <w:rPr>
          <w:rFonts w:asciiTheme="majorBidi" w:hAnsiTheme="majorBidi" w:cstheme="majorBidi"/>
          <w:iCs/>
          <w:sz w:val="22"/>
          <w:szCs w:val="22"/>
          <w:lang w:val="en-GB"/>
        </w:rPr>
        <w:t xml:space="preserve">pproach and associated </w:t>
      </w:r>
      <w:r>
        <w:rPr>
          <w:rFonts w:asciiTheme="majorBidi" w:hAnsiTheme="majorBidi" w:cstheme="majorBidi"/>
          <w:iCs/>
          <w:sz w:val="22"/>
          <w:szCs w:val="22"/>
          <w:lang w:val="en-GB"/>
        </w:rPr>
        <w:t>a</w:t>
      </w:r>
      <w:r w:rsidRPr="004C4D99">
        <w:rPr>
          <w:rFonts w:asciiTheme="majorBidi" w:hAnsiTheme="majorBidi" w:cstheme="majorBidi"/>
          <w:iCs/>
          <w:sz w:val="22"/>
          <w:szCs w:val="22"/>
          <w:lang w:val="en-GB"/>
        </w:rPr>
        <w:t xml:space="preserve">ction </w:t>
      </w:r>
      <w:r>
        <w:rPr>
          <w:rFonts w:asciiTheme="majorBidi" w:hAnsiTheme="majorBidi" w:cstheme="majorBidi"/>
          <w:iCs/>
          <w:sz w:val="22"/>
          <w:szCs w:val="22"/>
          <w:lang w:val="en-GB"/>
        </w:rPr>
        <w:t>p</w:t>
      </w:r>
      <w:r w:rsidRPr="004C4D99">
        <w:rPr>
          <w:rFonts w:asciiTheme="majorBidi" w:hAnsiTheme="majorBidi" w:cstheme="majorBidi"/>
          <w:iCs/>
          <w:sz w:val="22"/>
          <w:szCs w:val="22"/>
          <w:lang w:val="en-GB"/>
        </w:rPr>
        <w:t>lan, and to identify ways forward to support implementation of the Kunming-Montreal Global Biodiversity Framework;</w:t>
      </w:r>
    </w:p>
    <w:p w14:paraId="6403F78A" w14:textId="2CA0F505" w:rsidR="0050667D" w:rsidRDefault="0050667D"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en-GB"/>
        </w:rPr>
      </w:pPr>
      <w:r w:rsidRPr="004C4D99">
        <w:rPr>
          <w:rFonts w:asciiTheme="majorBidi" w:hAnsiTheme="majorBidi" w:cstheme="majorBidi"/>
          <w:iCs/>
          <w:sz w:val="22"/>
          <w:szCs w:val="22"/>
          <w:lang w:val="en-GB"/>
        </w:rPr>
        <w:t>3.</w:t>
      </w:r>
      <w:r w:rsidRPr="004C4D99">
        <w:rPr>
          <w:rFonts w:asciiTheme="majorBidi" w:hAnsiTheme="majorBidi" w:cstheme="majorBidi"/>
          <w:iCs/>
          <w:sz w:val="22"/>
          <w:szCs w:val="22"/>
          <w:lang w:val="en-GB"/>
        </w:rPr>
        <w:tab/>
      </w:r>
      <w:r w:rsidRPr="004C4D99">
        <w:rPr>
          <w:rFonts w:asciiTheme="majorBidi" w:hAnsiTheme="majorBidi" w:cstheme="majorBidi"/>
          <w:i/>
          <w:sz w:val="22"/>
          <w:szCs w:val="22"/>
          <w:lang w:val="en-GB"/>
        </w:rPr>
        <w:t>Requests</w:t>
      </w:r>
      <w:r w:rsidRPr="004C4D99">
        <w:rPr>
          <w:rFonts w:asciiTheme="majorBidi" w:hAnsiTheme="majorBidi" w:cstheme="majorBidi"/>
          <w:iCs/>
          <w:sz w:val="22"/>
          <w:szCs w:val="22"/>
          <w:lang w:val="en-GB"/>
        </w:rPr>
        <w:t xml:space="preserve"> the Executive Secretary to organi</w:t>
      </w:r>
      <w:r>
        <w:rPr>
          <w:rFonts w:asciiTheme="majorBidi" w:hAnsiTheme="majorBidi" w:cstheme="majorBidi"/>
          <w:iCs/>
          <w:sz w:val="22"/>
          <w:szCs w:val="22"/>
          <w:lang w:val="en-GB"/>
        </w:rPr>
        <w:t>z</w:t>
      </w:r>
      <w:r w:rsidRPr="004C4D99">
        <w:rPr>
          <w:rFonts w:asciiTheme="majorBidi" w:hAnsiTheme="majorBidi" w:cstheme="majorBidi"/>
          <w:iCs/>
          <w:sz w:val="22"/>
          <w:szCs w:val="22"/>
          <w:lang w:val="en-GB"/>
        </w:rPr>
        <w:t xml:space="preserve">e an open-ended online forum through the </w:t>
      </w:r>
      <w:r>
        <w:rPr>
          <w:rFonts w:asciiTheme="majorBidi" w:hAnsiTheme="majorBidi" w:cstheme="majorBidi"/>
          <w:iCs/>
          <w:sz w:val="22"/>
          <w:szCs w:val="22"/>
          <w:lang w:val="en-GB"/>
        </w:rPr>
        <w:t>c</w:t>
      </w:r>
      <w:r w:rsidRPr="004C4D99">
        <w:rPr>
          <w:rFonts w:asciiTheme="majorBidi" w:hAnsiTheme="majorBidi" w:cstheme="majorBidi"/>
          <w:iCs/>
          <w:sz w:val="22"/>
          <w:szCs w:val="22"/>
          <w:lang w:val="en-GB"/>
        </w:rPr>
        <w:t>learing-</w:t>
      </w:r>
      <w:r>
        <w:rPr>
          <w:rFonts w:asciiTheme="majorBidi" w:hAnsiTheme="majorBidi" w:cstheme="majorBidi"/>
          <w:iCs/>
          <w:sz w:val="22"/>
          <w:szCs w:val="22"/>
          <w:lang w:val="en-GB"/>
        </w:rPr>
        <w:t>h</w:t>
      </w:r>
      <w:r w:rsidRPr="004C4D99">
        <w:rPr>
          <w:rFonts w:asciiTheme="majorBidi" w:hAnsiTheme="majorBidi" w:cstheme="majorBidi"/>
          <w:iCs/>
          <w:sz w:val="22"/>
          <w:szCs w:val="22"/>
          <w:lang w:val="en-GB"/>
        </w:rPr>
        <w:t xml:space="preserve">ouse </w:t>
      </w:r>
      <w:r>
        <w:rPr>
          <w:rFonts w:asciiTheme="majorBidi" w:hAnsiTheme="majorBidi" w:cstheme="majorBidi"/>
          <w:iCs/>
          <w:sz w:val="22"/>
          <w:szCs w:val="22"/>
          <w:lang w:val="en-GB"/>
        </w:rPr>
        <w:t>m</w:t>
      </w:r>
      <w:r w:rsidRPr="004C4D99">
        <w:rPr>
          <w:rFonts w:asciiTheme="majorBidi" w:hAnsiTheme="majorBidi" w:cstheme="majorBidi"/>
          <w:iCs/>
          <w:sz w:val="22"/>
          <w:szCs w:val="22"/>
          <w:lang w:val="en-GB"/>
        </w:rPr>
        <w:t>echanism</w:t>
      </w:r>
      <w:r>
        <w:rPr>
          <w:rFonts w:asciiTheme="majorBidi" w:hAnsiTheme="majorBidi" w:cstheme="majorBidi"/>
          <w:iCs/>
          <w:sz w:val="22"/>
          <w:szCs w:val="22"/>
          <w:lang w:val="en-GB"/>
        </w:rPr>
        <w:t>,</w:t>
      </w:r>
      <w:r w:rsidRPr="004C4D99">
        <w:rPr>
          <w:rFonts w:asciiTheme="majorBidi" w:hAnsiTheme="majorBidi" w:cstheme="majorBidi"/>
          <w:iCs/>
          <w:sz w:val="22"/>
          <w:szCs w:val="22"/>
          <w:lang w:val="en-GB"/>
        </w:rPr>
        <w:t xml:space="preserve"> to </w:t>
      </w:r>
      <w:r>
        <w:rPr>
          <w:rFonts w:asciiTheme="majorBidi" w:hAnsiTheme="majorBidi" w:cstheme="majorBidi"/>
          <w:iCs/>
          <w:sz w:val="22"/>
          <w:szCs w:val="22"/>
          <w:lang w:val="en-GB"/>
        </w:rPr>
        <w:t xml:space="preserve">facilitate </w:t>
      </w:r>
      <w:r w:rsidRPr="004C4D99">
        <w:rPr>
          <w:rFonts w:asciiTheme="majorBidi" w:hAnsiTheme="majorBidi" w:cstheme="majorBidi"/>
          <w:iCs/>
          <w:sz w:val="22"/>
          <w:szCs w:val="22"/>
          <w:lang w:val="en-GB"/>
        </w:rPr>
        <w:t>further views on the reports and outcomes as mentioned in paragraphs 1 and 2</w:t>
      </w:r>
      <w:r w:rsidRPr="00617A71">
        <w:rPr>
          <w:rFonts w:asciiTheme="majorBidi" w:hAnsiTheme="majorBidi" w:cstheme="majorBidi"/>
          <w:iCs/>
          <w:sz w:val="22"/>
          <w:szCs w:val="22"/>
          <w:lang w:val="en-GB"/>
        </w:rPr>
        <w:t xml:space="preserve"> </w:t>
      </w:r>
      <w:r w:rsidRPr="004C4D99">
        <w:rPr>
          <w:rFonts w:asciiTheme="majorBidi" w:hAnsiTheme="majorBidi" w:cstheme="majorBidi"/>
          <w:iCs/>
          <w:sz w:val="22"/>
          <w:szCs w:val="22"/>
          <w:lang w:val="en-GB"/>
        </w:rPr>
        <w:t xml:space="preserve">above, and to compile these views in a report, including on an interim process, for consideration </w:t>
      </w:r>
      <w:r>
        <w:rPr>
          <w:rFonts w:asciiTheme="majorBidi" w:hAnsiTheme="majorBidi" w:cstheme="majorBidi"/>
          <w:iCs/>
          <w:sz w:val="22"/>
          <w:szCs w:val="22"/>
          <w:lang w:val="en-GB"/>
        </w:rPr>
        <w:t>by</w:t>
      </w:r>
      <w:r w:rsidRPr="004C4D99">
        <w:rPr>
          <w:rFonts w:asciiTheme="majorBidi" w:hAnsiTheme="majorBidi" w:cstheme="majorBidi"/>
          <w:iCs/>
          <w:sz w:val="22"/>
          <w:szCs w:val="22"/>
          <w:lang w:val="en-GB"/>
        </w:rPr>
        <w:t xml:space="preserve"> the Subsidiary Body on Implementation at its </w:t>
      </w:r>
      <w:r>
        <w:rPr>
          <w:rFonts w:asciiTheme="majorBidi" w:hAnsiTheme="majorBidi" w:cstheme="majorBidi"/>
          <w:iCs/>
          <w:sz w:val="22"/>
          <w:szCs w:val="22"/>
          <w:lang w:val="en-GB"/>
        </w:rPr>
        <w:t>fourth</w:t>
      </w:r>
      <w:r w:rsidRPr="004C4D99">
        <w:rPr>
          <w:rFonts w:asciiTheme="majorBidi" w:hAnsiTheme="majorBidi" w:cstheme="majorBidi"/>
          <w:iCs/>
          <w:sz w:val="22"/>
          <w:szCs w:val="22"/>
          <w:lang w:val="en-GB"/>
        </w:rPr>
        <w:t xml:space="preserve"> meeting.</w:t>
      </w:r>
    </w:p>
    <w:p w14:paraId="7038DC76" w14:textId="77777777" w:rsidR="0050667D" w:rsidRDefault="0050667D" w:rsidP="0050667D">
      <w:pPr>
        <w:pStyle w:val="StylePara1Kernat11pt"/>
        <w:suppressLineNumbers/>
        <w:suppressAutoHyphens/>
        <w:kinsoku w:val="0"/>
        <w:overflowPunct w:val="0"/>
        <w:autoSpaceDE w:val="0"/>
        <w:autoSpaceDN w:val="0"/>
        <w:jc w:val="center"/>
        <w:rPr>
          <w:b/>
          <w:bCs/>
          <w:sz w:val="22"/>
          <w:szCs w:val="22"/>
          <w:lang w:val="en-GB"/>
        </w:rPr>
        <w:sectPr w:rsidR="0050667D" w:rsidSect="00441700">
          <w:footnotePr>
            <w:numRestart w:val="eachSect"/>
          </w:footnotePr>
          <w:pgSz w:w="12240" w:h="15840"/>
          <w:pgMar w:top="567" w:right="1440" w:bottom="1134" w:left="1440" w:header="709" w:footer="709" w:gutter="0"/>
          <w:cols w:space="708"/>
          <w:docGrid w:linePitch="360"/>
        </w:sectPr>
      </w:pPr>
    </w:p>
    <w:p w14:paraId="5FF6E716" w14:textId="77777777" w:rsidR="0050667D" w:rsidRDefault="0050667D" w:rsidP="003969A7">
      <w:pPr>
        <w:pStyle w:val="decision"/>
        <w:rPr>
          <w:caps/>
        </w:rPr>
      </w:pPr>
      <w:bookmarkStart w:id="256" w:name="_Toc150438816"/>
      <w:bookmarkStart w:id="257" w:name="_Toc150670516"/>
      <w:bookmarkStart w:id="258" w:name="_Toc150670626"/>
      <w:bookmarkStart w:id="259" w:name="_Toc150761128"/>
      <w:r>
        <w:lastRenderedPageBreak/>
        <w:t>15/18.</w:t>
      </w:r>
      <w:r>
        <w:tab/>
      </w:r>
      <w:r w:rsidRPr="00455EE4">
        <w:t>Review of the effectiveness of processes under the Convention and its Protocols</w:t>
      </w:r>
      <w:bookmarkEnd w:id="256"/>
      <w:bookmarkEnd w:id="257"/>
      <w:bookmarkEnd w:id="258"/>
      <w:bookmarkEnd w:id="259"/>
      <w:r w:rsidRPr="00105372">
        <w:rPr>
          <w:caps/>
        </w:rPr>
        <w:t xml:space="preserve"> </w:t>
      </w:r>
      <w:r>
        <w:rPr>
          <w:caps/>
        </w:rPr>
        <w:t xml:space="preserve"> </w:t>
      </w:r>
    </w:p>
    <w:p w14:paraId="1E0C2EBB"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The Conference of the Parties</w:t>
      </w:r>
      <w:r w:rsidRPr="008022A0">
        <w:rPr>
          <w:kern w:val="22"/>
          <w:szCs w:val="22"/>
          <w14:cntxtAlts/>
        </w:rPr>
        <w:t>,</w:t>
      </w:r>
    </w:p>
    <w:p w14:paraId="54697973" w14:textId="77777777" w:rsidR="0050667D" w:rsidRPr="008022A0" w:rsidRDefault="0050667D" w:rsidP="00950BE4">
      <w:pPr>
        <w:keepNext/>
        <w:numPr>
          <w:ilvl w:val="0"/>
          <w:numId w:val="62"/>
        </w:numPr>
        <w:suppressLineNumbers/>
        <w:tabs>
          <w:tab w:val="left" w:pos="1134"/>
        </w:tabs>
        <w:suppressAutoHyphens/>
        <w:autoSpaceDE w:val="0"/>
        <w:autoSpaceDN w:val="0"/>
        <w:adjustRightInd w:val="0"/>
        <w:spacing w:before="120" w:after="120"/>
        <w:ind w:left="357" w:hanging="357"/>
        <w:jc w:val="center"/>
        <w:rPr>
          <w:b/>
          <w:bCs/>
          <w:i/>
          <w:iCs/>
          <w:kern w:val="22"/>
          <w:szCs w:val="22"/>
          <w14:cntxtAlts/>
        </w:rPr>
      </w:pPr>
      <w:r w:rsidRPr="008022A0">
        <w:rPr>
          <w:b/>
          <w:bCs/>
          <w:kern w:val="22"/>
          <w:szCs w:val="22"/>
          <w14:cntxtAlts/>
        </w:rPr>
        <w:t>Experience with concurrent meetings</w:t>
      </w:r>
    </w:p>
    <w:p w14:paraId="6D650F7C" w14:textId="77777777" w:rsidR="0050667D" w:rsidRPr="008022A0" w:rsidRDefault="0050667D" w:rsidP="00562785">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 xml:space="preserve">Recalling </w:t>
      </w:r>
      <w:r w:rsidRPr="008022A0">
        <w:rPr>
          <w:kern w:val="22"/>
          <w:szCs w:val="22"/>
          <w14:cntxtAlts/>
        </w:rPr>
        <w:t>decisions XII/27</w:t>
      </w:r>
      <w:r>
        <w:rPr>
          <w:kern w:val="22"/>
          <w:szCs w:val="22"/>
          <w14:cntxtAlts/>
        </w:rPr>
        <w:t>,</w:t>
      </w:r>
      <w:r w:rsidRPr="008022A0">
        <w:rPr>
          <w:kern w:val="22"/>
          <w:szCs w:val="22"/>
          <w14:cntxtAlts/>
        </w:rPr>
        <w:t xml:space="preserve"> XIII/26 and 14/32,</w:t>
      </w:r>
    </w:p>
    <w:p w14:paraId="590FF8AA" w14:textId="77777777" w:rsidR="0050667D" w:rsidRPr="008022A0" w:rsidRDefault="0050667D" w:rsidP="00A0130D">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 xml:space="preserve">Having reviewed </w:t>
      </w:r>
      <w:r w:rsidRPr="008022A0">
        <w:rPr>
          <w:kern w:val="22"/>
          <w:szCs w:val="22"/>
          <w14:cntxtAlts/>
        </w:rPr>
        <w:t xml:space="preserve">the experience in holding concurrently meetings of the Conference of the Parties, the Conference of the Parties serving as the meeting of the Parties to the Cartagena Protocol and the </w:t>
      </w:r>
      <w:r w:rsidRPr="00DD1CBB">
        <w:rPr>
          <w:kern w:val="22"/>
          <w:szCs w:val="22"/>
          <w14:cntxtAlts/>
        </w:rPr>
        <w:t>Conference of the Parties serving as the meeting of the Parties to the Nagoya Protocol, using the criteria agreed in</w:t>
      </w:r>
      <w:r>
        <w:rPr>
          <w:kern w:val="22"/>
          <w:szCs w:val="22"/>
          <w14:cntxtAlts/>
        </w:rPr>
        <w:t xml:space="preserve"> decisions XII/27 and XIII/26</w:t>
      </w:r>
      <w:r w:rsidRPr="008022A0">
        <w:rPr>
          <w:kern w:val="22"/>
          <w:szCs w:val="22"/>
          <w14:cntxtAlts/>
        </w:rPr>
        <w:t>,</w:t>
      </w:r>
    </w:p>
    <w:p w14:paraId="54C36BE5"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 xml:space="preserve">Taking into account </w:t>
      </w:r>
      <w:r w:rsidRPr="008022A0">
        <w:rPr>
          <w:kern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610646">
        <w:rPr>
          <w:rStyle w:val="FootnoteReference"/>
        </w:rPr>
        <w:footnoteReference w:id="303"/>
      </w:r>
    </w:p>
    <w:p w14:paraId="680F1DBC"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1.</w:t>
      </w:r>
      <w:r w:rsidRPr="008022A0">
        <w:rPr>
          <w:kern w:val="22"/>
          <w:szCs w:val="22"/>
          <w14:cntxtAlts/>
        </w:rPr>
        <w:tab/>
      </w:r>
      <w:r w:rsidRPr="008022A0">
        <w:rPr>
          <w:i/>
          <w:iCs/>
          <w:kern w:val="22"/>
          <w:szCs w:val="22"/>
          <w14:cntxtAlts/>
        </w:rPr>
        <w:t xml:space="preserve">Notes with satisfaction </w:t>
      </w:r>
      <w:r w:rsidRPr="008022A0">
        <w:rPr>
          <w:kern w:val="22"/>
          <w:szCs w:val="22"/>
          <w14:cntxtAlts/>
        </w:rPr>
        <w:t>that the concurrent meetings were overall considered to have allowed for increased integration among the Convention and its Protocols, and improved consultations, coordination and synergies among the respective national focal points;</w:t>
      </w:r>
    </w:p>
    <w:p w14:paraId="26F4A491"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2.</w:t>
      </w:r>
      <w:r w:rsidRPr="008022A0">
        <w:rPr>
          <w:kern w:val="22"/>
          <w:szCs w:val="22"/>
          <w14:cntxtAlts/>
        </w:rPr>
        <w:tab/>
      </w:r>
      <w:r w:rsidRPr="008022A0">
        <w:rPr>
          <w:i/>
          <w:iCs/>
          <w:kern w:val="22"/>
          <w:szCs w:val="22"/>
          <w14:cntxtAlts/>
        </w:rPr>
        <w:t xml:space="preserve">Notes </w:t>
      </w:r>
      <w:r w:rsidRPr="008022A0">
        <w:rPr>
          <w:kern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125A1E67"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3.</w:t>
      </w:r>
      <w:r w:rsidRPr="008022A0">
        <w:rPr>
          <w:kern w:val="22"/>
          <w:szCs w:val="22"/>
          <w14:cntxtAlts/>
        </w:rPr>
        <w:tab/>
      </w:r>
      <w:r w:rsidRPr="008022A0">
        <w:rPr>
          <w:i/>
          <w:iCs/>
          <w:kern w:val="22"/>
          <w:szCs w:val="22"/>
          <w14:cntxtAlts/>
        </w:rPr>
        <w:t xml:space="preserve">Reiterates </w:t>
      </w:r>
      <w:r w:rsidRPr="008022A0">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 Parties to the </w:t>
      </w:r>
      <w:r>
        <w:rPr>
          <w:kern w:val="22"/>
          <w:szCs w:val="22"/>
          <w14:cntxtAlts/>
        </w:rPr>
        <w:t>P</w:t>
      </w:r>
      <w:r w:rsidRPr="008022A0">
        <w:rPr>
          <w:kern w:val="22"/>
          <w:szCs w:val="22"/>
          <w14:cntxtAlts/>
        </w:rPr>
        <w:t xml:space="preserve">rotocols by making funding available for such participation, and, in this regard, </w:t>
      </w:r>
      <w:r w:rsidRPr="00B23984">
        <w:rPr>
          <w:kern w:val="22"/>
          <w:szCs w:val="22"/>
          <w14:cntxtAlts/>
        </w:rPr>
        <w:t>recalls decision 14/37</w:t>
      </w:r>
      <w:r w:rsidRPr="008022A0">
        <w:rPr>
          <w:kern w:val="22"/>
          <w:szCs w:val="22"/>
          <w14:cntxtAlts/>
        </w:rPr>
        <w:t>, paragraphs 36 to 46;</w:t>
      </w:r>
    </w:p>
    <w:p w14:paraId="264D1316" w14:textId="77777777" w:rsidR="0050667D" w:rsidRPr="008022A0" w:rsidRDefault="0050667D"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4.</w:t>
      </w:r>
      <w:r w:rsidRPr="008022A0">
        <w:rPr>
          <w:kern w:val="22"/>
          <w:szCs w:val="22"/>
          <w14:cntxtAlts/>
        </w:rPr>
        <w:tab/>
      </w:r>
      <w:r w:rsidRPr="008022A0">
        <w:rPr>
          <w:i/>
          <w:iCs/>
          <w:kern w:val="22"/>
          <w:szCs w:val="22"/>
          <w14:cntxtAlts/>
        </w:rPr>
        <w:t xml:space="preserve">Requests </w:t>
      </w:r>
      <w:r w:rsidRPr="008022A0">
        <w:rPr>
          <w:kern w:val="22"/>
          <w:szCs w:val="22"/>
          <w14:cntxtAlts/>
        </w:rPr>
        <w:t>the Executive Secretary, in consultation with the Bureau, to further improve the planning and organization of future concurrent meetings on the basis of the experience gained to date and the views expressed by Parties and observers;</w:t>
      </w:r>
    </w:p>
    <w:p w14:paraId="75E1F946" w14:textId="77777777" w:rsidR="0050667D" w:rsidRPr="008022A0" w:rsidRDefault="0050667D" w:rsidP="00620DF5">
      <w:pPr>
        <w:keepNext/>
        <w:suppressLineNumbers/>
        <w:tabs>
          <w:tab w:val="left" w:pos="567"/>
        </w:tabs>
        <w:suppressAutoHyphens/>
        <w:autoSpaceDE w:val="0"/>
        <w:autoSpaceDN w:val="0"/>
        <w:adjustRightInd w:val="0"/>
        <w:spacing w:before="120" w:after="120"/>
        <w:jc w:val="center"/>
        <w:rPr>
          <w:b/>
          <w:bCs/>
          <w:kern w:val="22"/>
          <w:szCs w:val="22"/>
          <w14:cntxtAlts/>
        </w:rPr>
      </w:pPr>
      <w:r w:rsidRPr="008022A0">
        <w:rPr>
          <w:b/>
          <w:bCs/>
          <w:kern w:val="22"/>
          <w:szCs w:val="22"/>
          <w14:cntxtAlts/>
        </w:rPr>
        <w:t>B.</w:t>
      </w:r>
      <w:r w:rsidRPr="008022A0">
        <w:rPr>
          <w:b/>
          <w:bCs/>
          <w:kern w:val="22"/>
          <w:szCs w:val="22"/>
          <w14:cntxtAlts/>
        </w:rPr>
        <w:tab/>
        <w:t>Experience with virtual meetings</w:t>
      </w:r>
    </w:p>
    <w:p w14:paraId="7924DACD"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i/>
          <w:iCs/>
          <w:kern w:val="22"/>
          <w:szCs w:val="22"/>
          <w14:cntxtAlts/>
        </w:rPr>
        <w:t>Recalling</w:t>
      </w:r>
      <w:r w:rsidRPr="008022A0">
        <w:rPr>
          <w:kern w:val="22"/>
          <w:szCs w:val="22"/>
          <w14:cntxtAlts/>
        </w:rPr>
        <w:t xml:space="preserve"> decision XII/29, paragraph 2, in which the Executive Secretary was requested to explore ways to increase the efficiency of meetings, including convening meetings through virtual means, and further developments in that regard,</w:t>
      </w:r>
    </w:p>
    <w:p w14:paraId="15EAEBBA"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i/>
          <w:iCs/>
          <w:kern w:val="22"/>
          <w:szCs w:val="22"/>
          <w14:cntxtAlts/>
        </w:rPr>
        <w:t>Recognizing</w:t>
      </w:r>
      <w:r w:rsidRPr="008022A0">
        <w:rPr>
          <w:kern w:val="22"/>
          <w:szCs w:val="22"/>
          <w14:cntxtAlts/>
        </w:rPr>
        <w:t xml:space="preserve"> the restrictions imposed as a result of the COVID-19 pandemic since March 2020, which rendered in-person meetings impracticable,</w:t>
      </w:r>
    </w:p>
    <w:p w14:paraId="7061FEC8" w14:textId="77777777" w:rsidR="0050667D" w:rsidRPr="008022A0" w:rsidRDefault="0050667D" w:rsidP="008022A0">
      <w:pPr>
        <w:suppressLineNumbers/>
        <w:suppressAutoHyphens/>
        <w:autoSpaceDE w:val="0"/>
        <w:autoSpaceDN w:val="0"/>
        <w:adjustRightInd w:val="0"/>
        <w:spacing w:after="120"/>
        <w:ind w:firstLine="720"/>
        <w:rPr>
          <w:kern w:val="22"/>
          <w:szCs w:val="22"/>
          <w:lang w:val="en-US"/>
          <w14:cntxtAlts/>
        </w:rPr>
      </w:pPr>
      <w:r w:rsidRPr="008022A0">
        <w:rPr>
          <w:kern w:val="22"/>
          <w:szCs w:val="22"/>
          <w14:cntxtAlts/>
        </w:rPr>
        <w:t>5.</w:t>
      </w:r>
      <w:r w:rsidRPr="008022A0">
        <w:rPr>
          <w:kern w:val="22"/>
          <w:szCs w:val="22"/>
          <w14:cntxtAlts/>
        </w:rPr>
        <w:tab/>
      </w:r>
      <w:r w:rsidRPr="008022A0">
        <w:rPr>
          <w:i/>
          <w:iCs/>
          <w:kern w:val="22"/>
          <w:szCs w:val="22"/>
          <w14:cntxtAlts/>
        </w:rPr>
        <w:t xml:space="preserve">Notes </w:t>
      </w:r>
      <w:r w:rsidRPr="008022A0">
        <w:rPr>
          <w:kern w:val="22"/>
          <w:szCs w:val="22"/>
          <w14:cntxtAlts/>
        </w:rPr>
        <w:t>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 notwithstanding the inconveniences arising from such a setting, and the limitations that were agreed with regard to decision-making;</w:t>
      </w:r>
    </w:p>
    <w:p w14:paraId="7A78320B"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kern w:val="22"/>
          <w:szCs w:val="22"/>
          <w:lang w:val="en-US"/>
          <w14:cntxtAlts/>
        </w:rPr>
        <w:t>6.</w:t>
      </w:r>
      <w:r w:rsidRPr="008022A0">
        <w:rPr>
          <w:i/>
          <w:iCs/>
          <w:kern w:val="22"/>
          <w:szCs w:val="22"/>
          <w:lang w:val="en-US"/>
          <w14:cntxtAlts/>
        </w:rPr>
        <w:tab/>
        <w:t xml:space="preserve">Agrees </w:t>
      </w:r>
      <w:r w:rsidRPr="008022A0">
        <w:rPr>
          <w:kern w:val="22"/>
          <w:szCs w:val="22"/>
          <w:lang w:val="en-US"/>
          <w14:cntxtAlts/>
        </w:rPr>
        <w:t xml:space="preserve">that </w:t>
      </w:r>
      <w:r w:rsidRPr="008E6B96">
        <w:rPr>
          <w:kern w:val="22"/>
          <w:szCs w:val="22"/>
          <w:lang w:val="en-US"/>
          <w14:cntxtAlts/>
        </w:rPr>
        <w:t>the</w:t>
      </w:r>
      <w:r>
        <w:rPr>
          <w:kern w:val="22"/>
          <w:szCs w:val="22"/>
          <w:lang w:val="en-US"/>
          <w14:cntxtAlts/>
        </w:rPr>
        <w:t xml:space="preserve"> </w:t>
      </w:r>
      <w:r w:rsidRPr="008022A0">
        <w:rPr>
          <w:kern w:val="22"/>
          <w:szCs w:val="22"/>
          <w:lang w:val="en-US"/>
          <w14:cntxtAlts/>
        </w:rPr>
        <w:t>convening of formal meetings in a virtual setting, while important in terms of responding to the extraordinary circumstances caused by the COVID-19 pandemic, does not set a precedent for the future organization of similar meetings under the Convention;</w:t>
      </w:r>
      <w:r>
        <w:rPr>
          <w:kern w:val="22"/>
          <w:szCs w:val="22"/>
          <w:lang w:val="en-US"/>
          <w14:cntxtAlts/>
        </w:rPr>
        <w:t xml:space="preserve"> </w:t>
      </w:r>
    </w:p>
    <w:p w14:paraId="7024C5B5"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7.</w:t>
      </w:r>
      <w:r w:rsidRPr="008022A0">
        <w:rPr>
          <w:kern w:val="22"/>
          <w:szCs w:val="22"/>
          <w14:cntxtAlts/>
        </w:rPr>
        <w:tab/>
      </w:r>
      <w:r w:rsidRPr="008022A0">
        <w:rPr>
          <w:i/>
          <w:iCs/>
          <w:kern w:val="22"/>
          <w:szCs w:val="22"/>
          <w14:cntxtAlts/>
        </w:rPr>
        <w:t>Encourages</w:t>
      </w:r>
      <w:r w:rsidRPr="008022A0">
        <w:rPr>
          <w:kern w:val="22"/>
          <w:szCs w:val="22"/>
          <w14:cntxtAlts/>
        </w:rPr>
        <w:t xml:space="preserve"> Parties and observers to continue to participate in hybrid meetings, </w:t>
      </w:r>
      <w:r>
        <w:rPr>
          <w:kern w:val="22"/>
          <w:szCs w:val="22"/>
          <w14:cntxtAlts/>
        </w:rPr>
        <w:t xml:space="preserve">when applicable, and in extraordinary circumstances, in virtual meetings, </w:t>
      </w:r>
      <w:r w:rsidRPr="008022A0">
        <w:rPr>
          <w:kern w:val="22"/>
          <w:szCs w:val="22"/>
          <w14:cntxtAlts/>
        </w:rPr>
        <w:t xml:space="preserve">while recognizing the need to ensure </w:t>
      </w:r>
      <w:r w:rsidRPr="008022A0">
        <w:rPr>
          <w:kern w:val="22"/>
          <w:szCs w:val="22"/>
          <w14:cntxtAlts/>
        </w:rPr>
        <w:lastRenderedPageBreak/>
        <w:t xml:space="preserve">the full and effective participation of </w:t>
      </w:r>
      <w:r>
        <w:rPr>
          <w:kern w:val="22"/>
          <w:szCs w:val="22"/>
          <w14:cntxtAlts/>
        </w:rPr>
        <w:t xml:space="preserve">Parties, especially </w:t>
      </w:r>
      <w:r w:rsidRPr="008022A0">
        <w:rPr>
          <w:kern w:val="22"/>
          <w:szCs w:val="22"/>
          <w14:cntxtAlts/>
        </w:rPr>
        <w:t>developing country Parties</w:t>
      </w:r>
      <w:r>
        <w:rPr>
          <w:kern w:val="22"/>
          <w:szCs w:val="22"/>
          <w14:cntxtAlts/>
        </w:rPr>
        <w:t xml:space="preserve">, in particular the least developed and small island developing States among them, and Parties with economies in transition, </w:t>
      </w:r>
      <w:r w:rsidRPr="008022A0">
        <w:rPr>
          <w:kern w:val="22"/>
          <w:szCs w:val="22"/>
          <w14:cntxtAlts/>
        </w:rPr>
        <w:t>to promote transparent and inclusive processes under the Convention</w:t>
      </w:r>
      <w:r>
        <w:rPr>
          <w:kern w:val="22"/>
          <w:szCs w:val="22"/>
          <w14:cntxtAlts/>
        </w:rPr>
        <w:t>, as long as no final decisions are taken virtually, with the exception of budgetary and procedural matters</w:t>
      </w:r>
      <w:r w:rsidRPr="008022A0">
        <w:rPr>
          <w:iCs/>
          <w:kern w:val="22"/>
          <w:szCs w:val="22"/>
          <w14:cntxtAlts/>
        </w:rPr>
        <w:t>;</w:t>
      </w:r>
    </w:p>
    <w:p w14:paraId="4DC19861"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8.</w:t>
      </w:r>
      <w:r w:rsidRPr="008022A0">
        <w:rPr>
          <w:kern w:val="22"/>
          <w:szCs w:val="22"/>
          <w14:cntxtAlts/>
        </w:rPr>
        <w:tab/>
      </w:r>
      <w:r w:rsidRPr="008022A0">
        <w:rPr>
          <w:i/>
          <w:iCs/>
          <w:kern w:val="22"/>
          <w:szCs w:val="22"/>
          <w14:cntxtAlts/>
        </w:rPr>
        <w:t>Requests</w:t>
      </w:r>
      <w:r w:rsidRPr="008022A0">
        <w:rPr>
          <w:kern w:val="22"/>
          <w:szCs w:val="22"/>
          <w14:cntxtAlts/>
        </w:rPr>
        <w:t xml:space="preserve"> the Executive Secretary to compile views from Parties and relevant stakeholders, and the experience and relevant studies available, especially within the United Nations </w:t>
      </w:r>
      <w:r w:rsidRPr="008E6B96">
        <w:rPr>
          <w:kern w:val="22"/>
          <w:szCs w:val="22"/>
          <w14:cntxtAlts/>
        </w:rPr>
        <w:t xml:space="preserve">system, </w:t>
      </w:r>
      <w:r w:rsidRPr="00562785">
        <w:rPr>
          <w:kern w:val="22"/>
          <w:szCs w:val="22"/>
          <w14:cntxtAlts/>
        </w:rPr>
        <w:t>o</w:t>
      </w:r>
      <w:r w:rsidRPr="008E6B96">
        <w:rPr>
          <w:kern w:val="22"/>
          <w:szCs w:val="22"/>
          <w14:cntxtAlts/>
        </w:rPr>
        <w:t>n</w:t>
      </w:r>
      <w:r w:rsidRPr="008022A0">
        <w:rPr>
          <w:kern w:val="22"/>
          <w:szCs w:val="22"/>
          <w14:cntxtAlts/>
        </w:rPr>
        <w:t xml:space="preserve"> conducting virtual and hybrid meetings held in 2021 and 2022, and </w:t>
      </w:r>
      <w:r>
        <w:rPr>
          <w:kern w:val="22"/>
          <w:szCs w:val="22"/>
          <w14:cntxtAlts/>
        </w:rPr>
        <w:t xml:space="preserve">to </w:t>
      </w:r>
      <w:r w:rsidRPr="008022A0">
        <w:rPr>
          <w:kern w:val="22"/>
          <w:szCs w:val="22"/>
          <w14:cntxtAlts/>
        </w:rPr>
        <w:t xml:space="preserve">prepare options for procedures for such </w:t>
      </w:r>
      <w:r>
        <w:rPr>
          <w:kern w:val="22"/>
          <w:szCs w:val="22"/>
          <w14:cntxtAlts/>
        </w:rPr>
        <w:t xml:space="preserve">hybrid </w:t>
      </w:r>
      <w:r w:rsidRPr="008022A0">
        <w:rPr>
          <w:kern w:val="22"/>
          <w:szCs w:val="22"/>
          <w14:cntxtAlts/>
        </w:rPr>
        <w:t>meetings</w:t>
      </w:r>
      <w:r>
        <w:rPr>
          <w:kern w:val="22"/>
          <w:szCs w:val="22"/>
          <w14:cntxtAlts/>
        </w:rPr>
        <w:t>,</w:t>
      </w:r>
      <w:r w:rsidRPr="008022A0">
        <w:rPr>
          <w:kern w:val="22"/>
          <w:szCs w:val="22"/>
          <w14:cntxtAlts/>
        </w:rPr>
        <w:t xml:space="preserve"> </w:t>
      </w:r>
      <w:r>
        <w:rPr>
          <w:kern w:val="22"/>
          <w:szCs w:val="22"/>
          <w14:cntxtAlts/>
        </w:rPr>
        <w:t xml:space="preserve">and </w:t>
      </w:r>
      <w:r w:rsidRPr="008022A0">
        <w:rPr>
          <w:kern w:val="22"/>
          <w:szCs w:val="22"/>
          <w14:cntxtAlts/>
        </w:rPr>
        <w:t>under extraordinary circumstances</w:t>
      </w:r>
      <w:r>
        <w:rPr>
          <w:kern w:val="22"/>
          <w:szCs w:val="22"/>
          <w14:cntxtAlts/>
        </w:rPr>
        <w:t xml:space="preserve"> for virtual meetings</w:t>
      </w:r>
      <w:r w:rsidRPr="008022A0">
        <w:rPr>
          <w:kern w:val="22"/>
          <w:szCs w:val="22"/>
          <w14:cntxtAlts/>
        </w:rPr>
        <w:t xml:space="preserve">, taking into account the specific challenges faced by delegations with network and connectivity difficulties, </w:t>
      </w:r>
      <w:r>
        <w:rPr>
          <w:kern w:val="22"/>
          <w:szCs w:val="22"/>
          <w14:cntxtAlts/>
        </w:rPr>
        <w:t>especially</w:t>
      </w:r>
      <w:r w:rsidRPr="008022A0">
        <w:rPr>
          <w:kern w:val="22"/>
          <w:szCs w:val="22"/>
          <w14:cntxtAlts/>
        </w:rPr>
        <w:t xml:space="preserve"> by developing country Parties</w:t>
      </w:r>
      <w:r>
        <w:rPr>
          <w:kern w:val="22"/>
          <w:szCs w:val="22"/>
          <w14:cntxtAlts/>
        </w:rPr>
        <w:t xml:space="preserve">, in particular the least developed and small island developing States among them, and Parties with economies in transition, </w:t>
      </w:r>
      <w:r w:rsidRPr="008022A0">
        <w:rPr>
          <w:kern w:val="22"/>
          <w:szCs w:val="22"/>
          <w14:cntxtAlts/>
        </w:rPr>
        <w:t>as well as indigenous peoples and local communities and observers, and by those delegations from countries where meetings are scheduled at difficult times, addressing issues about equity, participation and legitimacy for consideration by the Subsidiary Body on Implementation at its fourth meeting;</w:t>
      </w:r>
    </w:p>
    <w:p w14:paraId="16FFA32C" w14:textId="77777777" w:rsidR="0050667D" w:rsidRPr="008022A0" w:rsidRDefault="0050667D"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9.</w:t>
      </w:r>
      <w:r w:rsidRPr="008022A0">
        <w:rPr>
          <w:kern w:val="22"/>
          <w:szCs w:val="22"/>
          <w14:cntxtAlts/>
        </w:rPr>
        <w:tab/>
      </w:r>
      <w:r w:rsidRPr="008022A0">
        <w:rPr>
          <w:i/>
          <w:iCs/>
          <w:kern w:val="22"/>
          <w:szCs w:val="22"/>
          <w14:cntxtAlts/>
        </w:rPr>
        <w:t>Requests</w:t>
      </w:r>
      <w:r w:rsidRPr="008022A0">
        <w:rPr>
          <w:kern w:val="22"/>
          <w:szCs w:val="22"/>
          <w14:cntxtAlts/>
        </w:rPr>
        <w:t xml:space="preserve"> the Subsidiary Body on Implementation to consider the compilation of views, </w:t>
      </w:r>
      <w:r>
        <w:rPr>
          <w:kern w:val="22"/>
          <w:szCs w:val="22"/>
          <w14:cntxtAlts/>
        </w:rPr>
        <w:t xml:space="preserve">analysis </w:t>
      </w:r>
      <w:r w:rsidRPr="008022A0">
        <w:rPr>
          <w:kern w:val="22"/>
          <w:szCs w:val="22"/>
          <w14:cntxtAlts/>
        </w:rPr>
        <w:t xml:space="preserve">and options referred to in paragraph 8 above and to make recommendations to </w:t>
      </w:r>
      <w:r>
        <w:rPr>
          <w:kern w:val="22"/>
          <w:szCs w:val="22"/>
          <w14:cntxtAlts/>
        </w:rPr>
        <w:t xml:space="preserve">address the issues to </w:t>
      </w:r>
      <w:r w:rsidRPr="008022A0">
        <w:rPr>
          <w:kern w:val="22"/>
          <w:szCs w:val="22"/>
          <w14:cntxtAlts/>
        </w:rPr>
        <w:t>the governing bodies of the Convention and the Protocols for consideration at their next meeting</w:t>
      </w:r>
      <w:r>
        <w:rPr>
          <w:kern w:val="22"/>
          <w:szCs w:val="22"/>
          <w14:cntxtAlts/>
        </w:rPr>
        <w:t>;</w:t>
      </w:r>
    </w:p>
    <w:p w14:paraId="682391F8" w14:textId="298BFA8E" w:rsidR="0050667D" w:rsidRPr="008022A0" w:rsidRDefault="0050667D" w:rsidP="008022A0">
      <w:pPr>
        <w:keepNext/>
        <w:suppressLineNumbers/>
        <w:suppressAutoHyphens/>
        <w:autoSpaceDE w:val="0"/>
        <w:autoSpaceDN w:val="0"/>
        <w:adjustRightInd w:val="0"/>
        <w:spacing w:after="120"/>
        <w:ind w:hanging="11"/>
        <w:jc w:val="center"/>
        <w:rPr>
          <w:kern w:val="22"/>
          <w:szCs w:val="22"/>
          <w14:cntxtAlts/>
        </w:rPr>
      </w:pPr>
      <w:r w:rsidRPr="008022A0">
        <w:rPr>
          <w:b/>
          <w:bCs/>
          <w:kern w:val="22"/>
          <w:szCs w:val="22"/>
          <w14:cntxtAlts/>
        </w:rPr>
        <w:t>C.</w:t>
      </w:r>
      <w:r>
        <w:rPr>
          <w:b/>
          <w:bCs/>
          <w:kern w:val="22"/>
          <w:szCs w:val="22"/>
          <w14:cntxtAlts/>
        </w:rPr>
        <w:tab/>
      </w:r>
      <w:r w:rsidRPr="008022A0">
        <w:rPr>
          <w:b/>
          <w:bCs/>
          <w:kern w:val="22"/>
          <w:szCs w:val="22"/>
          <w14:cntxtAlts/>
        </w:rPr>
        <w:t>Other areas to improve effectiveness</w:t>
      </w:r>
    </w:p>
    <w:p w14:paraId="37A3BFC5" w14:textId="77777777" w:rsidR="0050667D" w:rsidRPr="008579C1" w:rsidRDefault="0050667D" w:rsidP="008579C1">
      <w:pPr>
        <w:suppressLineNumbers/>
        <w:suppressAutoHyphens/>
        <w:autoSpaceDE w:val="0"/>
        <w:autoSpaceDN w:val="0"/>
        <w:adjustRightInd w:val="0"/>
        <w:spacing w:after="120"/>
        <w:ind w:firstLine="720"/>
        <w:rPr>
          <w:kern w:val="22"/>
          <w:szCs w:val="22"/>
          <w14:cntxtAlts/>
        </w:rPr>
      </w:pPr>
      <w:r w:rsidRPr="008022A0">
        <w:rPr>
          <w:kern w:val="22"/>
          <w:szCs w:val="22"/>
          <w14:cntxtAlts/>
        </w:rPr>
        <w:t>10.</w:t>
      </w:r>
      <w:r w:rsidRPr="008022A0">
        <w:rPr>
          <w:kern w:val="22"/>
          <w:szCs w:val="22"/>
          <w14:cntxtAlts/>
        </w:rPr>
        <w:tab/>
      </w:r>
      <w:r w:rsidRPr="008022A0">
        <w:rPr>
          <w:i/>
          <w:iCs/>
          <w:kern w:val="22"/>
          <w:szCs w:val="22"/>
          <w14:cntxtAlts/>
        </w:rPr>
        <w:t>Requests</w:t>
      </w:r>
      <w:r w:rsidRPr="008022A0">
        <w:rPr>
          <w:kern w:val="22"/>
          <w:szCs w:val="22"/>
          <w14:cntxtAlts/>
        </w:rPr>
        <w:t xml:space="preserve"> the Executive Secretary to prepare, in consultation with Parties, </w:t>
      </w:r>
      <w:r>
        <w:rPr>
          <w:kern w:val="22"/>
          <w:szCs w:val="22"/>
          <w14:cntxtAlts/>
        </w:rPr>
        <w:t xml:space="preserve">Bureau members, </w:t>
      </w:r>
      <w:r w:rsidRPr="008022A0">
        <w:rPr>
          <w:kern w:val="22"/>
          <w:szCs w:val="22"/>
          <w14:cntxtAlts/>
        </w:rPr>
        <w:t xml:space="preserve">partners </w:t>
      </w:r>
      <w:r>
        <w:rPr>
          <w:kern w:val="22"/>
          <w:szCs w:val="22"/>
          <w14:cntxtAlts/>
        </w:rPr>
        <w:t xml:space="preserve">and </w:t>
      </w:r>
      <w:r w:rsidRPr="008022A0">
        <w:rPr>
          <w:kern w:val="22"/>
          <w:szCs w:val="22"/>
          <w14:cntxtAlts/>
        </w:rPr>
        <w:t>stakeholders</w:t>
      </w:r>
      <w:r>
        <w:rPr>
          <w:kern w:val="22"/>
          <w:szCs w:val="22"/>
          <w14:cntxtAlts/>
        </w:rPr>
        <w:t>,</w:t>
      </w:r>
      <w:r w:rsidRPr="008022A0">
        <w:rPr>
          <w:kern w:val="22"/>
          <w:szCs w:val="22"/>
          <w14:cntxtAlts/>
        </w:rPr>
        <w:t xml:space="preserve"> an analysis of options to further improve the effectiveness of meetings under the Convention on Biological Diversity, including, inter alia, options to improve negotiating processes, to better follow</w:t>
      </w:r>
      <w:r>
        <w:rPr>
          <w:kern w:val="22"/>
          <w:szCs w:val="22"/>
          <w14:cntxtAlts/>
        </w:rPr>
        <w:t xml:space="preserve"> </w:t>
      </w:r>
      <w:r w:rsidRPr="008022A0">
        <w:rPr>
          <w:kern w:val="22"/>
          <w:szCs w:val="22"/>
          <w14:cntxtAlts/>
        </w:rPr>
        <w:t xml:space="preserve">up on previous decisions, to benefit from innovations in decision-making methods and technologies, and to </w:t>
      </w:r>
      <w:r>
        <w:rPr>
          <w:kern w:val="22"/>
          <w:szCs w:val="22"/>
          <w14:cntxtAlts/>
        </w:rPr>
        <w:t xml:space="preserve">explore modalities for the </w:t>
      </w:r>
      <w:r w:rsidRPr="008022A0">
        <w:rPr>
          <w:kern w:val="22"/>
          <w:szCs w:val="22"/>
          <w14:cntxtAlts/>
        </w:rPr>
        <w:t xml:space="preserve">engagement of observers in processes under the Convention on Biological Diversity, </w:t>
      </w:r>
      <w:r>
        <w:rPr>
          <w:kern w:val="22"/>
          <w:szCs w:val="22"/>
          <w14:cntxtAlts/>
        </w:rPr>
        <w:t xml:space="preserve">while ensuring that the rules of procedure of the Convention are respected, </w:t>
      </w:r>
      <w:r w:rsidRPr="008022A0">
        <w:rPr>
          <w:kern w:val="22"/>
          <w:szCs w:val="22"/>
          <w14:cntxtAlts/>
        </w:rPr>
        <w:t>and to submit such analysis of options to the Subsidiary Body on Implementation for consideration at its fourth meeting.</w:t>
      </w:r>
    </w:p>
    <w:p w14:paraId="78B97CC7" w14:textId="77777777" w:rsidR="00F02C6B" w:rsidRDefault="00F02C6B" w:rsidP="008579C1">
      <w:pPr>
        <w:jc w:val="center"/>
        <w:sectPr w:rsidR="00F02C6B" w:rsidSect="00441700">
          <w:footnotePr>
            <w:numRestart w:val="eachSect"/>
          </w:footnotePr>
          <w:pgSz w:w="12240" w:h="15840"/>
          <w:pgMar w:top="567" w:right="1440" w:bottom="1134" w:left="1440" w:header="709" w:footer="709" w:gutter="0"/>
          <w:cols w:space="708"/>
          <w:docGrid w:linePitch="360"/>
        </w:sectPr>
      </w:pPr>
    </w:p>
    <w:p w14:paraId="0B14986C" w14:textId="77777777" w:rsidR="00F02C6B" w:rsidRPr="003969A7" w:rsidRDefault="00F02C6B" w:rsidP="003969A7">
      <w:pPr>
        <w:pStyle w:val="decision"/>
        <w:ind w:left="1134" w:right="146" w:hanging="850"/>
        <w:jc w:val="left"/>
      </w:pPr>
      <w:bookmarkStart w:id="260" w:name="_Toc118355025"/>
      <w:bookmarkStart w:id="261" w:name="_Toc150438817"/>
      <w:bookmarkStart w:id="262" w:name="_Toc150670517"/>
      <w:bookmarkStart w:id="263" w:name="_Toc150670627"/>
      <w:bookmarkStart w:id="264" w:name="_Toc150761129"/>
      <w:r>
        <w:lastRenderedPageBreak/>
        <w:t>15/19.</w:t>
      </w:r>
      <w:r>
        <w:tab/>
        <w:t xml:space="preserve">Programme of work of the Intergovernmental Science-Policy Platform on Biodiversity and Ecosystem </w:t>
      </w:r>
      <w:r w:rsidRPr="003969A7">
        <w:t>Services</w:t>
      </w:r>
      <w:bookmarkEnd w:id="260"/>
      <w:bookmarkEnd w:id="261"/>
      <w:bookmarkEnd w:id="262"/>
      <w:bookmarkEnd w:id="263"/>
      <w:bookmarkEnd w:id="264"/>
    </w:p>
    <w:p w14:paraId="30282C05" w14:textId="77777777" w:rsidR="00F02C6B" w:rsidRPr="00A7282C" w:rsidRDefault="00F02C6B" w:rsidP="001405F5">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A7282C">
        <w:rPr>
          <w:i/>
          <w:snapToGrid w:val="0"/>
          <w:kern w:val="22"/>
          <w:szCs w:val="22"/>
        </w:rPr>
        <w:t>The Conference of the Parties</w:t>
      </w:r>
      <w:r w:rsidRPr="00A7282C">
        <w:rPr>
          <w:iCs/>
          <w:snapToGrid w:val="0"/>
          <w:kern w:val="22"/>
          <w:szCs w:val="22"/>
        </w:rPr>
        <w:t>,</w:t>
      </w:r>
    </w:p>
    <w:p w14:paraId="102D8BEB" w14:textId="77777777" w:rsidR="00F02C6B" w:rsidRPr="00A7282C" w:rsidRDefault="00F02C6B"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i/>
          <w:snapToGrid w:val="0"/>
          <w:kern w:val="22"/>
          <w:szCs w:val="22"/>
        </w:rPr>
        <w:t xml:space="preserve">Recalling </w:t>
      </w:r>
      <w:r w:rsidRPr="00A7282C">
        <w:rPr>
          <w:snapToGrid w:val="0"/>
          <w:kern w:val="22"/>
          <w:szCs w:val="22"/>
        </w:rPr>
        <w:t>decisions XII/25 and 14/36,</w:t>
      </w:r>
    </w:p>
    <w:p w14:paraId="3E5D7084" w14:textId="77777777" w:rsidR="00F02C6B" w:rsidRPr="00A7282C" w:rsidRDefault="00F02C6B"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i/>
          <w:snapToGrid w:val="0"/>
          <w:kern w:val="22"/>
          <w:szCs w:val="22"/>
        </w:rPr>
        <w:t>Also recalling</w:t>
      </w:r>
      <w:r w:rsidRPr="00A7282C">
        <w:rPr>
          <w:snapToGrid w:val="0"/>
          <w:kern w:val="22"/>
          <w:szCs w:val="22"/>
        </w:rPr>
        <w:t xml:space="preserve"> that the Subsidiary Body on Scientific, Technical and Technological Advice has systematically considered the assessment reports prepared by the Intergovernmental Science-Policy Platform on Biodiversity and Ecosystem Services, which represent best available knowledge on the matter, and has provided pertinent recommendations for the consideration of the Conference of the Parties, in line with the procedures established in decision XII/25,</w:t>
      </w:r>
    </w:p>
    <w:p w14:paraId="21B24FFF" w14:textId="77777777" w:rsidR="00F02C6B" w:rsidRPr="00A7282C" w:rsidRDefault="00F02C6B"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1.</w:t>
      </w:r>
      <w:r w:rsidRPr="00A7282C">
        <w:rPr>
          <w:snapToGrid w:val="0"/>
          <w:kern w:val="22"/>
          <w:szCs w:val="22"/>
        </w:rPr>
        <w:tab/>
      </w:r>
      <w:r w:rsidRPr="00A7282C">
        <w:rPr>
          <w:i/>
          <w:snapToGrid w:val="0"/>
          <w:kern w:val="22"/>
          <w:szCs w:val="22"/>
        </w:rPr>
        <w:t>Welcomes</w:t>
      </w:r>
      <w:r w:rsidRPr="00A7282C">
        <w:rPr>
          <w:snapToGrid w:val="0"/>
          <w:kern w:val="22"/>
          <w:szCs w:val="22"/>
        </w:rPr>
        <w:t xml:space="preserve"> the rolling work programme of the Platform up to 2030, adopted by </w:t>
      </w:r>
      <w:bookmarkStart w:id="265" w:name="_Hlk118269540"/>
      <w:r w:rsidRPr="00A7282C">
        <w:rPr>
          <w:snapToGrid w:val="0"/>
          <w:kern w:val="22"/>
          <w:szCs w:val="22"/>
        </w:rPr>
        <w:t>the Plenary of the Intergovernmental Science-Policy Platform on Biodiversity and Ecosystem Services</w:t>
      </w:r>
      <w:bookmarkEnd w:id="265"/>
      <w:r w:rsidRPr="00A7282C">
        <w:rPr>
          <w:snapToGrid w:val="0"/>
          <w:kern w:val="22"/>
          <w:szCs w:val="22"/>
        </w:rPr>
        <w:t xml:space="preserve"> in its decision IPBES-7/1, noting with appreciation that the request of the Conference of the Parties set out in decision 14/36 has been met, and that work under the six objectives, including the assessments set out in the work programme,</w:t>
      </w:r>
      <w:r w:rsidRPr="00A7282C">
        <w:rPr>
          <w:bCs/>
          <w:snapToGrid w:val="0"/>
          <w:kern w:val="22"/>
          <w:szCs w:val="22"/>
        </w:rPr>
        <w:t xml:space="preserve"> is </w:t>
      </w:r>
      <w:r w:rsidRPr="00A7282C">
        <w:rPr>
          <w:snapToGrid w:val="0"/>
          <w:kern w:val="22"/>
          <w:szCs w:val="22"/>
        </w:rPr>
        <w:t xml:space="preserve">expected to contribute to and be essential for the implementation of the </w:t>
      </w:r>
      <w:r>
        <w:rPr>
          <w:snapToGrid w:val="0"/>
          <w:kern w:val="22"/>
          <w:szCs w:val="22"/>
        </w:rPr>
        <w:t>Kunming-Montreal</w:t>
      </w:r>
      <w:r w:rsidRPr="00A7282C">
        <w:rPr>
          <w:snapToGrid w:val="0"/>
          <w:kern w:val="22"/>
          <w:szCs w:val="22"/>
        </w:rPr>
        <w:t xml:space="preserve"> </w:t>
      </w:r>
      <w:r>
        <w:rPr>
          <w:snapToGrid w:val="0"/>
          <w:kern w:val="22"/>
          <w:szCs w:val="22"/>
        </w:rPr>
        <w:t>G</w:t>
      </w:r>
      <w:r w:rsidRPr="00A7282C">
        <w:rPr>
          <w:snapToGrid w:val="0"/>
          <w:kern w:val="22"/>
          <w:szCs w:val="22"/>
        </w:rPr>
        <w:t xml:space="preserve">lobal </w:t>
      </w:r>
      <w:r>
        <w:rPr>
          <w:snapToGrid w:val="0"/>
          <w:kern w:val="22"/>
          <w:szCs w:val="22"/>
        </w:rPr>
        <w:t>B</w:t>
      </w:r>
      <w:r w:rsidRPr="00A7282C">
        <w:rPr>
          <w:snapToGrid w:val="0"/>
          <w:kern w:val="22"/>
          <w:szCs w:val="22"/>
        </w:rPr>
        <w:t xml:space="preserve">iodiversity </w:t>
      </w:r>
      <w:r>
        <w:rPr>
          <w:snapToGrid w:val="0"/>
          <w:kern w:val="22"/>
          <w:szCs w:val="22"/>
        </w:rPr>
        <w:t>F</w:t>
      </w:r>
      <w:r w:rsidRPr="00A7282C">
        <w:rPr>
          <w:snapToGrid w:val="0"/>
          <w:kern w:val="22"/>
          <w:szCs w:val="22"/>
        </w:rPr>
        <w:t>ramework;</w:t>
      </w:r>
    </w:p>
    <w:p w14:paraId="50B3AD85" w14:textId="77777777" w:rsidR="00F02C6B" w:rsidRPr="001405F5" w:rsidRDefault="00F02C6B" w:rsidP="001405F5">
      <w:pPr>
        <w:suppressLineNumbers/>
        <w:suppressAutoHyphens/>
        <w:kinsoku w:val="0"/>
        <w:overflowPunct w:val="0"/>
        <w:autoSpaceDE w:val="0"/>
        <w:autoSpaceDN w:val="0"/>
        <w:adjustRightInd w:val="0"/>
        <w:snapToGrid w:val="0"/>
        <w:spacing w:before="120" w:after="120"/>
        <w:ind w:firstLine="709"/>
        <w:rPr>
          <w:snapToGrid w:val="0"/>
          <w:kern w:val="22"/>
          <w:szCs w:val="22"/>
          <w:highlight w:val="yellow"/>
        </w:rPr>
      </w:pPr>
      <w:r w:rsidRPr="00A7282C">
        <w:rPr>
          <w:snapToGrid w:val="0"/>
          <w:kern w:val="22"/>
          <w:szCs w:val="22"/>
        </w:rPr>
        <w:t>2.</w:t>
      </w:r>
      <w:r w:rsidRPr="00A7282C">
        <w:rPr>
          <w:snapToGrid w:val="0"/>
          <w:kern w:val="22"/>
          <w:szCs w:val="22"/>
        </w:rPr>
        <w:tab/>
      </w:r>
      <w:r w:rsidRPr="00A7282C">
        <w:rPr>
          <w:i/>
          <w:iCs/>
          <w:snapToGrid w:val="0"/>
          <w:kern w:val="22"/>
          <w:szCs w:val="22"/>
        </w:rPr>
        <w:t>Also welcomes</w:t>
      </w:r>
      <w:r w:rsidRPr="00A7282C">
        <w:rPr>
          <w:snapToGrid w:val="0"/>
          <w:kern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 through the implementation of its approach to recognizing and working with indigenous and local knowledge in the Intergovernmental Science-Policy Platform on Biodiversity and Ecosystem Services </w:t>
      </w:r>
      <w:r w:rsidRPr="00B51962">
        <w:rPr>
          <w:snapToGrid w:val="0"/>
          <w:kern w:val="22"/>
          <w:szCs w:val="22"/>
        </w:rPr>
        <w:t>set out in</w:t>
      </w:r>
      <w:r w:rsidRPr="00A7282C">
        <w:rPr>
          <w:snapToGrid w:val="0"/>
          <w:kern w:val="22"/>
          <w:szCs w:val="22"/>
        </w:rPr>
        <w:t xml:space="preserve"> annex II to decision IPBES-5/1, as well as its engagement with self-organized networks and organizations of indigenous peoples and local communities and stakeholders through the implementation of its stakeholder engagement strategy set out in annex II to decision IPBES</w:t>
      </w:r>
      <w:r w:rsidRPr="00A7282C">
        <w:rPr>
          <w:snapToGrid w:val="0"/>
          <w:kern w:val="22"/>
          <w:szCs w:val="22"/>
        </w:rPr>
        <w:noBreakHyphen/>
        <w:t>3/</w:t>
      </w:r>
      <w:r w:rsidRPr="00C06CEC">
        <w:rPr>
          <w:snapToGrid w:val="0"/>
          <w:kern w:val="22"/>
          <w:szCs w:val="22"/>
        </w:rPr>
        <w:t>4, and invites</w:t>
      </w:r>
      <w:r w:rsidRPr="00C06CEC">
        <w:rPr>
          <w:i/>
          <w:iCs/>
          <w:snapToGrid w:val="0"/>
          <w:kern w:val="22"/>
          <w:szCs w:val="22"/>
        </w:rPr>
        <w:t xml:space="preserve"> </w:t>
      </w:r>
      <w:r w:rsidRPr="00C06CEC">
        <w:rPr>
          <w:snapToGrid w:val="0"/>
          <w:kern w:val="22"/>
          <w:szCs w:val="22"/>
        </w:rPr>
        <w:t>the Intergovernmental Science-Policy Platform on Biodiversity and Ecosystem Services to continue to strengthen these efforts in the implementation of the relevant objectives of the 2030 work programme;</w:t>
      </w:r>
    </w:p>
    <w:p w14:paraId="1814B6E3" w14:textId="77777777" w:rsidR="00F02C6B" w:rsidRPr="00A7282C" w:rsidRDefault="00F02C6B"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3.</w:t>
      </w:r>
      <w:r w:rsidRPr="00A7282C">
        <w:rPr>
          <w:snapToGrid w:val="0"/>
          <w:kern w:val="22"/>
          <w:szCs w:val="22"/>
        </w:rPr>
        <w:tab/>
      </w:r>
      <w:r w:rsidRPr="00A7282C">
        <w:rPr>
          <w:i/>
          <w:iCs/>
          <w:snapToGrid w:val="0"/>
          <w:kern w:val="22"/>
          <w:szCs w:val="22"/>
        </w:rPr>
        <w:t>Further</w:t>
      </w:r>
      <w:r w:rsidRPr="00A7282C">
        <w:rPr>
          <w:snapToGrid w:val="0"/>
          <w:kern w:val="22"/>
          <w:szCs w:val="22"/>
        </w:rPr>
        <w:t xml:space="preserve"> </w:t>
      </w:r>
      <w:r w:rsidRPr="00A7282C">
        <w:rPr>
          <w:i/>
          <w:iCs/>
          <w:snapToGrid w:val="0"/>
          <w:kern w:val="22"/>
          <w:szCs w:val="22"/>
        </w:rPr>
        <w:t>welcomes</w:t>
      </w:r>
      <w:r w:rsidRPr="00A7282C">
        <w:rPr>
          <w:snapToGrid w:val="0"/>
          <w:kern w:val="22"/>
          <w:szCs w:val="22"/>
        </w:rPr>
        <w:t xml:space="preserve"> the fact that the rolling work programme up to 2030 of the Platform includes objectives related to each of the four functions of the Intergovernmental Science-Policy Platform on Biodiversity and Ecosystem Services, as well as strengthening communication and engagement of Governments and stakeholders and improvement of the effectiveness of the Platform, implemented in a manner whereby the objectives are mutually supportive;</w:t>
      </w:r>
    </w:p>
    <w:p w14:paraId="6DB8E7B2" w14:textId="77777777" w:rsidR="00F02C6B" w:rsidRDefault="00F02C6B">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035308">
        <w:rPr>
          <w:snapToGrid w:val="0"/>
          <w:color w:val="000000" w:themeColor="text1"/>
          <w:kern w:val="22"/>
          <w:szCs w:val="22"/>
          <w:shd w:val="clear" w:color="auto" w:fill="FFFFFF" w:themeFill="background1"/>
        </w:rPr>
        <w:t>4.</w:t>
      </w:r>
      <w:r w:rsidRPr="00A7282C">
        <w:rPr>
          <w:snapToGrid w:val="0"/>
          <w:color w:val="000000" w:themeColor="text1"/>
          <w:kern w:val="22"/>
          <w:szCs w:val="22"/>
          <w:shd w:val="clear" w:color="auto" w:fill="FFFFFF" w:themeFill="background1"/>
        </w:rPr>
        <w:tab/>
      </w:r>
      <w:r w:rsidRPr="00A7282C">
        <w:rPr>
          <w:i/>
          <w:iCs/>
          <w:snapToGrid w:val="0"/>
          <w:color w:val="000000" w:themeColor="text1"/>
          <w:kern w:val="22"/>
          <w:szCs w:val="22"/>
          <w:shd w:val="clear" w:color="auto" w:fill="FFFFFF" w:themeFill="background1"/>
        </w:rPr>
        <w:t>Welcomes</w:t>
      </w:r>
      <w:r w:rsidRPr="00A7282C">
        <w:rPr>
          <w:snapToGrid w:val="0"/>
          <w:color w:val="000000" w:themeColor="text1"/>
          <w:kern w:val="22"/>
          <w:szCs w:val="22"/>
          <w:shd w:val="clear" w:color="auto" w:fill="FFFFFF" w:themeFill="background1"/>
        </w:rPr>
        <w:t xml:space="preserve"> the approval by the Plenary of the Intergovernmental Science-Policy Platform on Biodiversity and Ecosystem Services, at its eighth session, to undertake thematic assessments on the interlinkages among biodiversity, water, food and health (“the nexus assessment”), and on the underlying causes of biodiversity loss and the determinants of transformative change and options for achieving the 2050 vision (“the transformative change assessment”), and, at its ninth session, to undertake a methodological assessment of the impact and dependence of business on biodiversity and nature’s contributions to people (“the business and biodiversity assessment”), as outlined in the respective scoping reports,</w:t>
      </w:r>
      <w:r w:rsidRPr="00610646">
        <w:rPr>
          <w:rStyle w:val="FootnoteReference"/>
          <w:rFonts w:eastAsiaTheme="majorEastAsia"/>
        </w:rPr>
        <w:footnoteReference w:id="304"/>
      </w:r>
      <w:r w:rsidRPr="00A7282C">
        <w:rPr>
          <w:snapToGrid w:val="0"/>
          <w:color w:val="000000" w:themeColor="text1"/>
          <w:kern w:val="22"/>
          <w:szCs w:val="22"/>
          <w:shd w:val="clear" w:color="auto" w:fill="FFFFFF" w:themeFill="background1"/>
        </w:rPr>
        <w:t xml:space="preserve"> </w:t>
      </w:r>
      <w:r w:rsidRPr="00C6018F">
        <w:rPr>
          <w:snapToGrid w:val="0"/>
          <w:color w:val="000000" w:themeColor="text1"/>
          <w:kern w:val="22"/>
          <w:szCs w:val="22"/>
          <w:shd w:val="clear" w:color="auto" w:fill="FFFFFF" w:themeFill="background1"/>
        </w:rPr>
        <w:t>a</w:t>
      </w:r>
      <w:r w:rsidRPr="001405F5">
        <w:rPr>
          <w:snapToGrid w:val="0"/>
          <w:color w:val="000000" w:themeColor="text1"/>
          <w:kern w:val="22"/>
          <w:szCs w:val="22"/>
          <w:shd w:val="clear" w:color="auto" w:fill="FFFFFF" w:themeFill="background1"/>
        </w:rPr>
        <w:t>s well as</w:t>
      </w:r>
      <w:r w:rsidRPr="00C6018F">
        <w:rPr>
          <w:snapToGrid w:val="0"/>
          <w:color w:val="000000" w:themeColor="text1"/>
          <w:kern w:val="22"/>
          <w:szCs w:val="22"/>
          <w:shd w:val="clear" w:color="auto" w:fill="FFFFFF" w:themeFill="background1"/>
        </w:rPr>
        <w:t xml:space="preserve"> the important</w:t>
      </w:r>
      <w:r w:rsidRPr="00A7282C">
        <w:rPr>
          <w:snapToGrid w:val="0"/>
          <w:color w:val="000000" w:themeColor="text1"/>
          <w:kern w:val="22"/>
          <w:szCs w:val="22"/>
          <w:shd w:val="clear" w:color="auto" w:fill="FFFFFF" w:themeFill="background1"/>
        </w:rPr>
        <w:t xml:space="preserve"> scientific contribution of these assessments for the implementation of the </w:t>
      </w:r>
      <w:r>
        <w:rPr>
          <w:snapToGrid w:val="0"/>
          <w:color w:val="000000" w:themeColor="text1"/>
          <w:kern w:val="22"/>
          <w:szCs w:val="22"/>
          <w:shd w:val="clear" w:color="auto" w:fill="FFFFFF" w:themeFill="background1"/>
        </w:rPr>
        <w:t>Kunming-Montreal</w:t>
      </w:r>
      <w:r w:rsidRPr="00A7282C">
        <w:rPr>
          <w:snapToGrid w:val="0"/>
          <w:color w:val="000000" w:themeColor="text1"/>
          <w:kern w:val="22"/>
          <w:szCs w:val="22"/>
          <w:shd w:val="clear" w:color="auto" w:fill="FFFFFF" w:themeFill="background1"/>
        </w:rPr>
        <w:t xml:space="preserve"> </w:t>
      </w:r>
      <w:r>
        <w:rPr>
          <w:snapToGrid w:val="0"/>
          <w:color w:val="000000" w:themeColor="text1"/>
          <w:kern w:val="22"/>
          <w:szCs w:val="22"/>
          <w:shd w:val="clear" w:color="auto" w:fill="FFFFFF" w:themeFill="background1"/>
        </w:rPr>
        <w:t>Global Biodiversity</w:t>
      </w:r>
      <w:r w:rsidRPr="00A7282C">
        <w:rPr>
          <w:snapToGrid w:val="0"/>
          <w:color w:val="000000" w:themeColor="text1"/>
          <w:kern w:val="22"/>
          <w:szCs w:val="22"/>
        </w:rPr>
        <w:t xml:space="preserve"> </w:t>
      </w:r>
      <w:r>
        <w:rPr>
          <w:snapToGrid w:val="0"/>
          <w:color w:val="000000" w:themeColor="text1"/>
          <w:kern w:val="22"/>
          <w:szCs w:val="22"/>
        </w:rPr>
        <w:t>F</w:t>
      </w:r>
      <w:r w:rsidRPr="00A7282C">
        <w:rPr>
          <w:snapToGrid w:val="0"/>
          <w:color w:val="000000" w:themeColor="text1"/>
          <w:kern w:val="22"/>
          <w:szCs w:val="22"/>
        </w:rPr>
        <w:t>ramework</w:t>
      </w:r>
      <w:r>
        <w:rPr>
          <w:snapToGrid w:val="0"/>
          <w:color w:val="000000" w:themeColor="text1"/>
          <w:kern w:val="22"/>
          <w:szCs w:val="22"/>
        </w:rPr>
        <w:t>;</w:t>
      </w:r>
      <w:r w:rsidRPr="00A7282C">
        <w:rPr>
          <w:snapToGrid w:val="0"/>
          <w:color w:val="000000" w:themeColor="text1"/>
          <w:kern w:val="22"/>
          <w:szCs w:val="22"/>
        </w:rPr>
        <w:t xml:space="preserve"> </w:t>
      </w:r>
    </w:p>
    <w:p w14:paraId="699D9192" w14:textId="77777777" w:rsidR="00F02C6B" w:rsidRPr="00C6018F"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1405F5">
        <w:rPr>
          <w:snapToGrid w:val="0"/>
          <w:color w:val="000000" w:themeColor="text1"/>
          <w:kern w:val="22"/>
          <w:szCs w:val="22"/>
        </w:rPr>
        <w:t>5.</w:t>
      </w:r>
      <w:r w:rsidRPr="001405F5">
        <w:rPr>
          <w:i/>
          <w:iCs/>
          <w:snapToGrid w:val="0"/>
          <w:color w:val="000000" w:themeColor="text1"/>
          <w:kern w:val="22"/>
          <w:szCs w:val="22"/>
        </w:rPr>
        <w:tab/>
        <w:t>Invites</w:t>
      </w:r>
      <w:r w:rsidRPr="00C6018F">
        <w:rPr>
          <w:snapToGrid w:val="0"/>
          <w:color w:val="000000" w:themeColor="text1"/>
          <w:kern w:val="22"/>
          <w:szCs w:val="22"/>
        </w:rPr>
        <w:t xml:space="preserve"> Parties and relevant organizations to participate in the assessments</w:t>
      </w:r>
      <w:r w:rsidRPr="001405F5">
        <w:rPr>
          <w:snapToGrid w:val="0"/>
          <w:color w:val="000000" w:themeColor="text1"/>
          <w:kern w:val="22"/>
          <w:szCs w:val="22"/>
        </w:rPr>
        <w:t xml:space="preserve"> referred to in paragraph 4 above,</w:t>
      </w:r>
      <w:r w:rsidRPr="00C6018F">
        <w:rPr>
          <w:snapToGrid w:val="0"/>
          <w:color w:val="000000" w:themeColor="text1"/>
          <w:kern w:val="22"/>
          <w:szCs w:val="22"/>
        </w:rPr>
        <w:t xml:space="preserve"> through the formal review processes; </w:t>
      </w:r>
    </w:p>
    <w:p w14:paraId="5CE67C42" w14:textId="77777777" w:rsidR="00F02C6B" w:rsidRPr="001405F5" w:rsidRDefault="00F02C6B">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C6018F">
        <w:rPr>
          <w:snapToGrid w:val="0"/>
          <w:color w:val="000000" w:themeColor="text1"/>
          <w:kern w:val="22"/>
          <w:szCs w:val="22"/>
          <w:shd w:val="clear" w:color="auto" w:fill="FFFFFF" w:themeFill="background1"/>
        </w:rPr>
        <w:t>6.</w:t>
      </w:r>
      <w:r w:rsidRPr="00C6018F">
        <w:rPr>
          <w:snapToGrid w:val="0"/>
          <w:color w:val="000000" w:themeColor="text1"/>
          <w:kern w:val="22"/>
          <w:szCs w:val="22"/>
          <w:shd w:val="clear" w:color="auto" w:fill="FFFFFF" w:themeFill="background1"/>
        </w:rPr>
        <w:tab/>
      </w:r>
      <w:r w:rsidRPr="00C6018F">
        <w:rPr>
          <w:i/>
          <w:iCs/>
          <w:snapToGrid w:val="0"/>
          <w:color w:val="000000" w:themeColor="text1"/>
          <w:kern w:val="22"/>
          <w:szCs w:val="22"/>
          <w:shd w:val="clear" w:color="auto" w:fill="FFFFFF" w:themeFill="background1"/>
        </w:rPr>
        <w:t>Welcomes</w:t>
      </w:r>
      <w:r w:rsidRPr="00C6018F">
        <w:rPr>
          <w:snapToGrid w:val="0"/>
          <w:color w:val="000000" w:themeColor="text1"/>
          <w:kern w:val="22"/>
          <w:szCs w:val="22"/>
          <w:shd w:val="clear" w:color="auto" w:fill="FFFFFF" w:themeFill="background1"/>
        </w:rPr>
        <w:t xml:space="preserve"> the approval by the Plenary of the Intergovernmental Science-Policy Platform on Biodiversity and Ecosystem Services, at its ninth session, of the summaries for policymakers of the </w:t>
      </w:r>
      <w:r w:rsidRPr="001405F5">
        <w:rPr>
          <w:i/>
          <w:iCs/>
          <w:snapToGrid w:val="0"/>
          <w:color w:val="000000" w:themeColor="text1"/>
          <w:kern w:val="22"/>
          <w:szCs w:val="22"/>
          <w:shd w:val="clear" w:color="auto" w:fill="FFFFFF" w:themeFill="background1"/>
        </w:rPr>
        <w:lastRenderedPageBreak/>
        <w:t>Methodological Assessment Report on the Diverse Values and Valuation of Nature</w:t>
      </w:r>
      <w:r w:rsidRPr="00C6018F">
        <w:rPr>
          <w:snapToGrid w:val="0"/>
          <w:color w:val="000000" w:themeColor="text1"/>
          <w:kern w:val="22"/>
          <w:szCs w:val="22"/>
          <w:shd w:val="clear" w:color="auto" w:fill="FFFFFF" w:themeFill="background1"/>
        </w:rPr>
        <w:t>,</w:t>
      </w:r>
      <w:r w:rsidRPr="00610646">
        <w:rPr>
          <w:rStyle w:val="FootnoteReference"/>
        </w:rPr>
        <w:footnoteReference w:id="305"/>
      </w:r>
      <w:r w:rsidRPr="00C6018F">
        <w:rPr>
          <w:snapToGrid w:val="0"/>
          <w:color w:val="000000" w:themeColor="text1"/>
          <w:kern w:val="22"/>
          <w:szCs w:val="22"/>
          <w:shd w:val="clear" w:color="auto" w:fill="FFFFFF" w:themeFill="background1"/>
        </w:rPr>
        <w:t xml:space="preserve"> and of the </w:t>
      </w:r>
      <w:r w:rsidRPr="001405F5">
        <w:rPr>
          <w:i/>
          <w:iCs/>
          <w:snapToGrid w:val="0"/>
          <w:color w:val="000000" w:themeColor="text1"/>
          <w:kern w:val="22"/>
          <w:szCs w:val="22"/>
          <w:shd w:val="clear" w:color="auto" w:fill="FFFFFF" w:themeFill="background1"/>
        </w:rPr>
        <w:t>Thematic Assessment of the Sustainable Use of Wild Species</w:t>
      </w:r>
      <w:r w:rsidRPr="00C6018F">
        <w:rPr>
          <w:snapToGrid w:val="0"/>
          <w:color w:val="000000" w:themeColor="text1"/>
          <w:kern w:val="22"/>
          <w:szCs w:val="22"/>
          <w:shd w:val="clear" w:color="auto" w:fill="FFFFFF" w:themeFill="background1"/>
        </w:rPr>
        <w:t>,</w:t>
      </w:r>
      <w:r w:rsidRPr="00610646">
        <w:rPr>
          <w:rStyle w:val="FootnoteReference"/>
        </w:rPr>
        <w:footnoteReference w:id="306"/>
      </w:r>
      <w:r w:rsidRPr="00C6018F">
        <w:rPr>
          <w:snapToGrid w:val="0"/>
          <w:color w:val="000000" w:themeColor="text1"/>
          <w:kern w:val="22"/>
          <w:szCs w:val="22"/>
          <w:shd w:val="clear" w:color="auto" w:fill="FFFFFF" w:themeFill="background1"/>
        </w:rPr>
        <w:t xml:space="preserve"> and the acceptance of the chapters of the respective assessments including their executive summaries, and takes note of the progress made in the preparation of the thematic assessment of invasive alien species and their control;</w:t>
      </w:r>
      <w:r w:rsidRPr="00C6018F">
        <w:rPr>
          <w:snapToGrid w:val="0"/>
          <w:color w:val="000000" w:themeColor="text1"/>
          <w:kern w:val="22"/>
          <w:szCs w:val="22"/>
        </w:rPr>
        <w:t xml:space="preserve"> </w:t>
      </w:r>
    </w:p>
    <w:p w14:paraId="1139D13D"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1405F5">
        <w:rPr>
          <w:snapToGrid w:val="0"/>
          <w:color w:val="000000" w:themeColor="text1"/>
          <w:kern w:val="22"/>
          <w:szCs w:val="22"/>
        </w:rPr>
        <w:t>7.</w:t>
      </w:r>
      <w:r w:rsidRPr="001405F5">
        <w:rPr>
          <w:snapToGrid w:val="0"/>
          <w:color w:val="000000" w:themeColor="text1"/>
          <w:kern w:val="22"/>
          <w:szCs w:val="22"/>
        </w:rPr>
        <w:tab/>
      </w:r>
      <w:r w:rsidRPr="001405F5">
        <w:rPr>
          <w:i/>
          <w:iCs/>
          <w:snapToGrid w:val="0"/>
          <w:color w:val="000000" w:themeColor="text1"/>
          <w:kern w:val="22"/>
          <w:szCs w:val="22"/>
        </w:rPr>
        <w:t>Requests</w:t>
      </w:r>
      <w:r w:rsidRPr="00C6018F">
        <w:rPr>
          <w:snapToGrid w:val="0"/>
          <w:color w:val="000000" w:themeColor="text1"/>
          <w:kern w:val="22"/>
          <w:szCs w:val="22"/>
        </w:rPr>
        <w:t xml:space="preserve"> the Subsidiary Body on Scientific, Technical and Technological Advice to consider the findings of th</w:t>
      </w:r>
      <w:r w:rsidRPr="001405F5">
        <w:rPr>
          <w:snapToGrid w:val="0"/>
          <w:color w:val="000000" w:themeColor="text1"/>
          <w:kern w:val="22"/>
          <w:szCs w:val="22"/>
        </w:rPr>
        <w:t>e</w:t>
      </w:r>
      <w:r w:rsidRPr="00C6018F">
        <w:rPr>
          <w:snapToGrid w:val="0"/>
          <w:color w:val="000000" w:themeColor="text1"/>
          <w:kern w:val="22"/>
          <w:szCs w:val="22"/>
        </w:rPr>
        <w:t xml:space="preserve"> assessments </w:t>
      </w:r>
      <w:r w:rsidRPr="001405F5">
        <w:rPr>
          <w:snapToGrid w:val="0"/>
          <w:color w:val="000000" w:themeColor="text1"/>
          <w:kern w:val="22"/>
          <w:szCs w:val="22"/>
        </w:rPr>
        <w:t xml:space="preserve">referred to in paragraph 6 above, </w:t>
      </w:r>
      <w:r w:rsidRPr="00C6018F">
        <w:rPr>
          <w:snapToGrid w:val="0"/>
          <w:color w:val="000000" w:themeColor="text1"/>
          <w:kern w:val="22"/>
          <w:szCs w:val="22"/>
        </w:rPr>
        <w:t>and to provide recommendations relating to the implementation of the Convention and, in particular, of the Kunming-Montreal Global Biodiversity Framework, for consideration by the Conference of the Parties at its sixteenth meeting;</w:t>
      </w:r>
    </w:p>
    <w:p w14:paraId="721CBBCB"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8</w:t>
      </w:r>
      <w:r w:rsidRPr="00A7282C">
        <w:rPr>
          <w:snapToGrid w:val="0"/>
          <w:kern w:val="22"/>
          <w:szCs w:val="22"/>
        </w:rPr>
        <w:t>.</w:t>
      </w:r>
      <w:r w:rsidRPr="00A7282C">
        <w:rPr>
          <w:snapToGrid w:val="0"/>
          <w:kern w:val="22"/>
          <w:szCs w:val="22"/>
        </w:rPr>
        <w:tab/>
      </w:r>
      <w:r w:rsidRPr="00A7282C">
        <w:rPr>
          <w:i/>
          <w:iCs/>
          <w:snapToGrid w:val="0"/>
          <w:kern w:val="22"/>
          <w:szCs w:val="22"/>
        </w:rPr>
        <w:t>Takes note</w:t>
      </w:r>
      <w:r w:rsidRPr="00A7282C">
        <w:rPr>
          <w:snapToGrid w:val="0"/>
          <w:kern w:val="22"/>
          <w:szCs w:val="22"/>
        </w:rPr>
        <w:t xml:space="preserve"> of the report of the expert workshop convened by the Intergovernmental Science-Policy Platform on Biodiversity and Ecosystem Services on biodiversity and pandemics,</w:t>
      </w:r>
      <w:r w:rsidRPr="00610646">
        <w:rPr>
          <w:rStyle w:val="FootnoteReference"/>
        </w:rPr>
        <w:footnoteReference w:id="307"/>
      </w:r>
      <w:r w:rsidRPr="00A7282C">
        <w:rPr>
          <w:snapToGrid w:val="0"/>
          <w:kern w:val="22"/>
          <w:szCs w:val="22"/>
        </w:rPr>
        <w:t xml:space="preserve"> and notes its relevance for the work of the Convention, including</w:t>
      </w:r>
      <w:r>
        <w:rPr>
          <w:snapToGrid w:val="0"/>
          <w:kern w:val="22"/>
          <w:szCs w:val="22"/>
        </w:rPr>
        <w:t xml:space="preserve"> </w:t>
      </w:r>
      <w:r w:rsidRPr="00A7282C">
        <w:rPr>
          <w:snapToGrid w:val="0"/>
          <w:kern w:val="22"/>
          <w:szCs w:val="22"/>
        </w:rPr>
        <w:t xml:space="preserve">the </w:t>
      </w:r>
      <w:r>
        <w:rPr>
          <w:snapToGrid w:val="0"/>
          <w:kern w:val="22"/>
          <w:szCs w:val="22"/>
        </w:rPr>
        <w:t>Kunming-Montreal</w:t>
      </w:r>
      <w:r w:rsidRPr="00A7282C">
        <w:rPr>
          <w:snapToGrid w:val="0"/>
          <w:kern w:val="22"/>
          <w:szCs w:val="22"/>
        </w:rPr>
        <w:t xml:space="preserve"> </w:t>
      </w:r>
      <w:r>
        <w:rPr>
          <w:snapToGrid w:val="0"/>
          <w:kern w:val="22"/>
          <w:szCs w:val="22"/>
        </w:rPr>
        <w:t>G</w:t>
      </w:r>
      <w:r w:rsidRPr="00A7282C">
        <w:rPr>
          <w:snapToGrid w:val="0"/>
          <w:kern w:val="22"/>
          <w:szCs w:val="22"/>
        </w:rPr>
        <w:t xml:space="preserve">lobal </w:t>
      </w:r>
      <w:r>
        <w:rPr>
          <w:snapToGrid w:val="0"/>
          <w:kern w:val="22"/>
          <w:szCs w:val="22"/>
        </w:rPr>
        <w:t>B</w:t>
      </w:r>
      <w:r w:rsidRPr="00A7282C">
        <w:rPr>
          <w:snapToGrid w:val="0"/>
          <w:kern w:val="22"/>
          <w:szCs w:val="22"/>
        </w:rPr>
        <w:t xml:space="preserve">iodiversity </w:t>
      </w:r>
      <w:r>
        <w:rPr>
          <w:snapToGrid w:val="0"/>
          <w:kern w:val="22"/>
          <w:szCs w:val="22"/>
        </w:rPr>
        <w:t>F</w:t>
      </w:r>
      <w:r w:rsidRPr="00A7282C">
        <w:rPr>
          <w:snapToGrid w:val="0"/>
          <w:kern w:val="22"/>
          <w:szCs w:val="22"/>
        </w:rPr>
        <w:t xml:space="preserve">ramework, as well </w:t>
      </w:r>
      <w:r w:rsidRPr="00FE44C8">
        <w:rPr>
          <w:snapToGrid w:val="0"/>
          <w:kern w:val="22"/>
          <w:szCs w:val="22"/>
        </w:rPr>
        <w:t>as to the work carried out under the Convention on the interlinkages between biodiversity and health;</w:t>
      </w:r>
    </w:p>
    <w:p w14:paraId="535D4225" w14:textId="77777777" w:rsidR="00F02C6B" w:rsidRDefault="00F02C6B">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9</w:t>
      </w:r>
      <w:r w:rsidRPr="005E27BF">
        <w:rPr>
          <w:snapToGrid w:val="0"/>
          <w:kern w:val="22"/>
          <w:szCs w:val="22"/>
        </w:rPr>
        <w:t>.</w:t>
      </w:r>
      <w:r w:rsidRPr="00A7282C">
        <w:rPr>
          <w:snapToGrid w:val="0"/>
          <w:kern w:val="22"/>
          <w:szCs w:val="22"/>
        </w:rPr>
        <w:tab/>
      </w:r>
      <w:r w:rsidRPr="00A7282C">
        <w:rPr>
          <w:i/>
          <w:snapToGrid w:val="0"/>
          <w:kern w:val="22"/>
          <w:szCs w:val="22"/>
        </w:rPr>
        <w:t>Welcomes</w:t>
      </w:r>
      <w:r w:rsidRPr="00A7282C">
        <w:rPr>
          <w:snapToGrid w:val="0"/>
          <w:kern w:val="22"/>
          <w:szCs w:val="22"/>
        </w:rPr>
        <w:t xml:space="preserve"> the cooperation between the Intergovernmental Science-Policy Platform on Biodiversity and Ecosystem Services and the Intergovernmental Panel on Climate Change</w:t>
      </w:r>
      <w:r>
        <w:rPr>
          <w:snapToGrid w:val="0"/>
          <w:kern w:val="22"/>
          <w:szCs w:val="22"/>
        </w:rPr>
        <w:t>;</w:t>
      </w:r>
      <w:r w:rsidRPr="00A7282C">
        <w:rPr>
          <w:snapToGrid w:val="0"/>
          <w:kern w:val="22"/>
          <w:szCs w:val="22"/>
        </w:rPr>
        <w:t xml:space="preserve"> </w:t>
      </w:r>
      <w:r w:rsidRPr="001405F5">
        <w:rPr>
          <w:snapToGrid w:val="0"/>
          <w:kern w:val="22"/>
          <w:szCs w:val="22"/>
        </w:rPr>
        <w:t>takes note</w:t>
      </w:r>
      <w:r w:rsidRPr="00A7282C">
        <w:rPr>
          <w:snapToGrid w:val="0"/>
          <w:kern w:val="22"/>
          <w:szCs w:val="22"/>
        </w:rPr>
        <w:t xml:space="preserve"> of </w:t>
      </w:r>
      <w:r>
        <w:rPr>
          <w:snapToGrid w:val="0"/>
          <w:kern w:val="22"/>
          <w:szCs w:val="22"/>
        </w:rPr>
        <w:t xml:space="preserve">the report </w:t>
      </w:r>
      <w:r w:rsidRPr="00FE44C8">
        <w:rPr>
          <w:snapToGrid w:val="0"/>
          <w:kern w:val="22"/>
          <w:szCs w:val="22"/>
        </w:rPr>
        <w:t>of the co-sponsored workshop on biodiversity and climate change,</w:t>
      </w:r>
      <w:r w:rsidRPr="00610646">
        <w:rPr>
          <w:rStyle w:val="FootnoteReference"/>
          <w:rFonts w:eastAsiaTheme="majorEastAsia"/>
        </w:rPr>
        <w:footnoteReference w:id="308"/>
      </w:r>
      <w:r w:rsidRPr="00FE44C8">
        <w:rPr>
          <w:snapToGrid w:val="0"/>
          <w:kern w:val="22"/>
          <w:szCs w:val="22"/>
        </w:rPr>
        <w:t xml:space="preserve"> noting the conclusions therein; </w:t>
      </w:r>
      <w:r>
        <w:rPr>
          <w:snapToGrid w:val="0"/>
          <w:kern w:val="22"/>
          <w:szCs w:val="22"/>
        </w:rPr>
        <w:t xml:space="preserve">and </w:t>
      </w:r>
      <w:r w:rsidRPr="001405F5">
        <w:rPr>
          <w:iCs/>
          <w:snapToGrid w:val="0"/>
          <w:kern w:val="22"/>
          <w:szCs w:val="22"/>
        </w:rPr>
        <w:t>encourages</w:t>
      </w:r>
      <w:r w:rsidRPr="00A7282C">
        <w:rPr>
          <w:snapToGrid w:val="0"/>
          <w:kern w:val="22"/>
          <w:szCs w:val="22"/>
        </w:rPr>
        <w:t xml:space="preserve"> the two bodies to continue and further strengthen their collaboration in a transparent and participatory manner, with a view to increasing coherence while avoiding duplication of work</w:t>
      </w:r>
      <w:r w:rsidRPr="00645A09">
        <w:rPr>
          <w:snapToGrid w:val="0"/>
          <w:kern w:val="22"/>
          <w:szCs w:val="22"/>
        </w:rPr>
        <w:t>;</w:t>
      </w:r>
      <w:r w:rsidRPr="00530EA7">
        <w:rPr>
          <w:snapToGrid w:val="0"/>
          <w:kern w:val="22"/>
          <w:szCs w:val="22"/>
        </w:rPr>
        <w:t xml:space="preserve"> </w:t>
      </w:r>
    </w:p>
    <w:p w14:paraId="3BBF78C2" w14:textId="77777777" w:rsidR="00F02C6B" w:rsidRPr="00DA56D4"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10.</w:t>
      </w:r>
      <w:r w:rsidRPr="001405F5">
        <w:rPr>
          <w:snapToGrid w:val="0"/>
          <w:kern w:val="22"/>
          <w:szCs w:val="22"/>
        </w:rPr>
        <w:tab/>
      </w:r>
      <w:r w:rsidRPr="001405F5">
        <w:rPr>
          <w:i/>
          <w:iCs/>
          <w:snapToGrid w:val="0"/>
          <w:kern w:val="22"/>
          <w:szCs w:val="22"/>
        </w:rPr>
        <w:t>I</w:t>
      </w:r>
      <w:r w:rsidRPr="00DA56D4">
        <w:rPr>
          <w:i/>
          <w:iCs/>
          <w:snapToGrid w:val="0"/>
          <w:kern w:val="22"/>
          <w:szCs w:val="22"/>
        </w:rPr>
        <w:t>nvites</w:t>
      </w:r>
      <w:r w:rsidRPr="00DA56D4">
        <w:rPr>
          <w:snapToGrid w:val="0"/>
          <w:kern w:val="22"/>
          <w:szCs w:val="22"/>
        </w:rPr>
        <w:t xml:space="preserve"> Parties to coordinate their work with the national focal points for the Intergovernmental Science-Policy Platform on Biodiversity and Ecosystem Services and the Intergovernmental Panel on Climate Change in relation to assessments on biodiversity and climate change;</w:t>
      </w:r>
    </w:p>
    <w:p w14:paraId="3B8872DC" w14:textId="77777777" w:rsidR="00F02C6B" w:rsidRPr="00DA56D4" w:rsidRDefault="00F02C6B">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snapToGrid w:val="0"/>
          <w:kern w:val="22"/>
          <w:szCs w:val="22"/>
        </w:rPr>
        <w:t>11</w:t>
      </w:r>
      <w:r w:rsidRPr="00DA56D4">
        <w:rPr>
          <w:snapToGrid w:val="0"/>
          <w:kern w:val="22"/>
          <w:szCs w:val="22"/>
        </w:rPr>
        <w:t>.</w:t>
      </w:r>
      <w:r w:rsidRPr="00DA56D4">
        <w:rPr>
          <w:snapToGrid w:val="0"/>
          <w:kern w:val="22"/>
          <w:szCs w:val="22"/>
        </w:rPr>
        <w:tab/>
      </w:r>
      <w:r w:rsidRPr="00DA56D4">
        <w:rPr>
          <w:i/>
          <w:snapToGrid w:val="0"/>
          <w:kern w:val="22"/>
          <w:szCs w:val="22"/>
        </w:rPr>
        <w:t>Notes</w:t>
      </w:r>
      <w:r w:rsidRPr="00DA56D4">
        <w:rPr>
          <w:snapToGrid w:val="0"/>
          <w:kern w:val="22"/>
          <w:szCs w:val="22"/>
        </w:rPr>
        <w:t xml:space="preserve"> that the Intergovernmental Science-Policy Platform on Biodiversity and Ecosystem Services, at its tenth session, will consider requests, inputs and suggestions received in time for consideration at that session, including for a second global assessment of biodiversity and ecosystem services and for an assessment on ecological connectivity, as well as potential additional fast track assessments, </w:t>
      </w:r>
    </w:p>
    <w:p w14:paraId="7CAB273A"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1405F5">
        <w:rPr>
          <w:iCs/>
          <w:snapToGrid w:val="0"/>
          <w:kern w:val="22"/>
          <w:szCs w:val="22"/>
        </w:rPr>
        <w:t>12.</w:t>
      </w:r>
      <w:r w:rsidRPr="001405F5">
        <w:rPr>
          <w:iCs/>
          <w:snapToGrid w:val="0"/>
          <w:kern w:val="22"/>
          <w:szCs w:val="22"/>
        </w:rPr>
        <w:tab/>
      </w:r>
      <w:r w:rsidRPr="001405F5">
        <w:rPr>
          <w:i/>
          <w:snapToGrid w:val="0"/>
          <w:kern w:val="22"/>
          <w:szCs w:val="22"/>
        </w:rPr>
        <w:t>I</w:t>
      </w:r>
      <w:r w:rsidRPr="00DA56D4">
        <w:rPr>
          <w:i/>
          <w:snapToGrid w:val="0"/>
          <w:kern w:val="22"/>
          <w:szCs w:val="22"/>
        </w:rPr>
        <w:t xml:space="preserve">nvites </w:t>
      </w:r>
      <w:r w:rsidRPr="00DA56D4">
        <w:rPr>
          <w:snapToGrid w:val="0"/>
          <w:kern w:val="22"/>
          <w:szCs w:val="22"/>
        </w:rPr>
        <w:t>the Platform to consider the requests contained in the annex to the present decision;</w:t>
      </w:r>
      <w:r w:rsidRPr="00A7282C">
        <w:rPr>
          <w:snapToGrid w:val="0"/>
          <w:kern w:val="22"/>
          <w:szCs w:val="22"/>
        </w:rPr>
        <w:t xml:space="preserve"> </w:t>
      </w:r>
    </w:p>
    <w:p w14:paraId="4D0CDCF2"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13</w:t>
      </w:r>
      <w:r w:rsidRPr="00A7282C">
        <w:rPr>
          <w:snapToGrid w:val="0"/>
          <w:kern w:val="22"/>
          <w:szCs w:val="22"/>
        </w:rPr>
        <w:t>.</w:t>
      </w:r>
      <w:r w:rsidRPr="00A7282C">
        <w:rPr>
          <w:snapToGrid w:val="0"/>
          <w:kern w:val="22"/>
          <w:szCs w:val="22"/>
        </w:rPr>
        <w:tab/>
      </w:r>
      <w:r w:rsidRPr="00A7282C">
        <w:rPr>
          <w:i/>
          <w:iCs/>
          <w:snapToGrid w:val="0"/>
          <w:kern w:val="22"/>
          <w:szCs w:val="22"/>
        </w:rPr>
        <w:t>Requests</w:t>
      </w:r>
      <w:r w:rsidRPr="00A7282C">
        <w:rPr>
          <w:snapToGrid w:val="0"/>
          <w:kern w:val="22"/>
          <w:szCs w:val="22"/>
        </w:rPr>
        <w:t xml:space="preserve"> the Executive Secretary to regularly and systematically assess and report to the Subsidiary Body on Scientific, Technical and Technological Advice on how to consider deliverables from all functions and processes of the Intergovernmental Science-Policy Platform on Biodiversity and Ecosystem Services for the implementation of the Convention, including a forward schedule and regular agenda item in meetings of the Subsidiary Body;</w:t>
      </w:r>
    </w:p>
    <w:p w14:paraId="018519F1"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n-CA"/>
        </w:rPr>
      </w:pPr>
      <w:r w:rsidRPr="00A7282C">
        <w:rPr>
          <w:snapToGrid w:val="0"/>
          <w:kern w:val="22"/>
          <w:szCs w:val="22"/>
        </w:rPr>
        <w:t>1</w:t>
      </w:r>
      <w:r>
        <w:rPr>
          <w:snapToGrid w:val="0"/>
          <w:kern w:val="22"/>
          <w:szCs w:val="22"/>
        </w:rPr>
        <w:t>4</w:t>
      </w:r>
      <w:r w:rsidRPr="00A7282C">
        <w:rPr>
          <w:snapToGrid w:val="0"/>
          <w:kern w:val="22"/>
          <w:szCs w:val="22"/>
        </w:rPr>
        <w:t>.</w:t>
      </w:r>
      <w:r w:rsidRPr="00A7282C">
        <w:rPr>
          <w:snapToGrid w:val="0"/>
          <w:kern w:val="22"/>
          <w:szCs w:val="22"/>
        </w:rPr>
        <w:tab/>
      </w:r>
      <w:r w:rsidRPr="00A7282C">
        <w:rPr>
          <w:i/>
          <w:iCs/>
          <w:snapToGrid w:val="0"/>
          <w:kern w:val="22"/>
          <w:szCs w:val="22"/>
        </w:rPr>
        <w:t>Also requests</w:t>
      </w:r>
      <w:r w:rsidRPr="00A7282C">
        <w:rPr>
          <w:snapToGrid w:val="0"/>
          <w:kern w:val="22"/>
          <w:szCs w:val="22"/>
        </w:rPr>
        <w:t xml:space="preserve"> the Executive Secretary to identify views from Parties on how the Intergovernmental Science-Policy Platform on Biodiversity and Ecosystem Services could, within its defined functions </w:t>
      </w:r>
      <w:r w:rsidRPr="00737338">
        <w:rPr>
          <w:snapToGrid w:val="0"/>
          <w:kern w:val="22"/>
          <w:szCs w:val="22"/>
        </w:rPr>
        <w:t>o</w:t>
      </w:r>
      <w:r w:rsidRPr="001405F5">
        <w:rPr>
          <w:snapToGrid w:val="0"/>
          <w:kern w:val="22"/>
          <w:szCs w:val="22"/>
        </w:rPr>
        <w:t>f</w:t>
      </w:r>
      <w:r w:rsidRPr="00737338">
        <w:rPr>
          <w:snapToGrid w:val="0"/>
          <w:kern w:val="22"/>
          <w:szCs w:val="22"/>
        </w:rPr>
        <w:t xml:space="preserve"> producing</w:t>
      </w:r>
      <w:r w:rsidRPr="00A7282C">
        <w:rPr>
          <w:snapToGrid w:val="0"/>
          <w:kern w:val="22"/>
          <w:szCs w:val="22"/>
        </w:rPr>
        <w:t xml:space="preserve"> further assessments, building capacity, strengthening knowledge and </w:t>
      </w:r>
      <w:r w:rsidRPr="00A7282C">
        <w:rPr>
          <w:snapToGrid w:val="0"/>
          <w:kern w:val="22"/>
          <w:szCs w:val="22"/>
        </w:rPr>
        <w:lastRenderedPageBreak/>
        <w:t xml:space="preserve">supporting policy, contribute to the review and monitoring process of the </w:t>
      </w:r>
      <w:r>
        <w:rPr>
          <w:snapToGrid w:val="0"/>
          <w:kern w:val="22"/>
          <w:szCs w:val="22"/>
        </w:rPr>
        <w:t>Kunming-Montreal</w:t>
      </w:r>
      <w:r w:rsidRPr="00A7282C">
        <w:rPr>
          <w:snapToGrid w:val="0"/>
          <w:kern w:val="22"/>
          <w:szCs w:val="22"/>
        </w:rPr>
        <w:t xml:space="preserve"> </w:t>
      </w:r>
      <w:r>
        <w:rPr>
          <w:snapToGrid w:val="0"/>
          <w:kern w:val="22"/>
          <w:szCs w:val="22"/>
        </w:rPr>
        <w:t>G</w:t>
      </w:r>
      <w:r w:rsidRPr="00A7282C">
        <w:rPr>
          <w:snapToGrid w:val="0"/>
          <w:kern w:val="22"/>
          <w:szCs w:val="22"/>
        </w:rPr>
        <w:t xml:space="preserve">lobal </w:t>
      </w:r>
      <w:r>
        <w:rPr>
          <w:snapToGrid w:val="0"/>
          <w:kern w:val="22"/>
          <w:szCs w:val="22"/>
        </w:rPr>
        <w:t>B</w:t>
      </w:r>
      <w:r w:rsidRPr="00A7282C">
        <w:rPr>
          <w:snapToGrid w:val="0"/>
          <w:kern w:val="22"/>
          <w:szCs w:val="22"/>
        </w:rPr>
        <w:t xml:space="preserve">iodiversity </w:t>
      </w:r>
      <w:r>
        <w:rPr>
          <w:snapToGrid w:val="0"/>
          <w:kern w:val="22"/>
          <w:szCs w:val="22"/>
        </w:rPr>
        <w:t>F</w:t>
      </w:r>
      <w:r w:rsidRPr="00A7282C">
        <w:rPr>
          <w:snapToGrid w:val="0"/>
          <w:kern w:val="22"/>
          <w:szCs w:val="22"/>
        </w:rPr>
        <w:t>ramework;</w:t>
      </w:r>
    </w:p>
    <w:p w14:paraId="6A40E6D9" w14:textId="77777777" w:rsidR="00F02C6B" w:rsidRPr="00A7282C" w:rsidRDefault="00F02C6B"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A7282C">
        <w:rPr>
          <w:snapToGrid w:val="0"/>
          <w:kern w:val="22"/>
          <w:szCs w:val="22"/>
        </w:rPr>
        <w:t>1</w:t>
      </w:r>
      <w:r>
        <w:rPr>
          <w:snapToGrid w:val="0"/>
          <w:kern w:val="22"/>
          <w:szCs w:val="22"/>
        </w:rPr>
        <w:t>5</w:t>
      </w:r>
      <w:r w:rsidRPr="00A7282C">
        <w:rPr>
          <w:snapToGrid w:val="0"/>
          <w:kern w:val="22"/>
          <w:szCs w:val="22"/>
        </w:rPr>
        <w:t>.</w:t>
      </w:r>
      <w:r w:rsidRPr="00A7282C">
        <w:rPr>
          <w:snapToGrid w:val="0"/>
          <w:kern w:val="22"/>
          <w:szCs w:val="22"/>
        </w:rPr>
        <w:tab/>
      </w:r>
      <w:r w:rsidRPr="00A7282C">
        <w:rPr>
          <w:i/>
          <w:iCs/>
          <w:snapToGrid w:val="0"/>
          <w:kern w:val="22"/>
          <w:szCs w:val="22"/>
        </w:rPr>
        <w:t>Invites</w:t>
      </w:r>
      <w:r w:rsidRPr="00A7282C">
        <w:rPr>
          <w:snapToGrid w:val="0"/>
          <w:kern w:val="22"/>
          <w:szCs w:val="22"/>
        </w:rPr>
        <w:t xml:space="preserve"> the Intergovernmental Science-Policy Platform on Biodiversity and Ecosystem Services to contribute to the work of the </w:t>
      </w:r>
      <w:r>
        <w:rPr>
          <w:snapToGrid w:val="0"/>
          <w:kern w:val="22"/>
          <w:szCs w:val="22"/>
        </w:rPr>
        <w:t>A</w:t>
      </w:r>
      <w:r w:rsidRPr="00A7282C">
        <w:rPr>
          <w:snapToGrid w:val="0"/>
          <w:kern w:val="22"/>
          <w:szCs w:val="22"/>
        </w:rPr>
        <w:t xml:space="preserve">d </w:t>
      </w:r>
      <w:r>
        <w:rPr>
          <w:snapToGrid w:val="0"/>
          <w:kern w:val="22"/>
          <w:szCs w:val="22"/>
        </w:rPr>
        <w:t>H</w:t>
      </w:r>
      <w:r w:rsidRPr="00A7282C">
        <w:rPr>
          <w:snapToGrid w:val="0"/>
          <w:kern w:val="22"/>
          <w:szCs w:val="22"/>
        </w:rPr>
        <w:t xml:space="preserve">oc </w:t>
      </w:r>
      <w:r>
        <w:rPr>
          <w:snapToGrid w:val="0"/>
          <w:kern w:val="22"/>
          <w:szCs w:val="22"/>
        </w:rPr>
        <w:t>T</w:t>
      </w:r>
      <w:r w:rsidRPr="00A7282C">
        <w:rPr>
          <w:snapToGrid w:val="0"/>
          <w:kern w:val="22"/>
          <w:szCs w:val="22"/>
        </w:rPr>
        <w:t xml:space="preserve">echnical </w:t>
      </w:r>
      <w:r>
        <w:rPr>
          <w:snapToGrid w:val="0"/>
          <w:kern w:val="22"/>
          <w:szCs w:val="22"/>
        </w:rPr>
        <w:t>E</w:t>
      </w:r>
      <w:r w:rsidRPr="00A7282C">
        <w:rPr>
          <w:snapToGrid w:val="0"/>
          <w:kern w:val="22"/>
          <w:szCs w:val="22"/>
        </w:rPr>
        <w:t xml:space="preserve">xpert </w:t>
      </w:r>
      <w:r>
        <w:rPr>
          <w:snapToGrid w:val="0"/>
          <w:kern w:val="22"/>
          <w:szCs w:val="22"/>
        </w:rPr>
        <w:t>G</w:t>
      </w:r>
      <w:r w:rsidRPr="00A7282C">
        <w:rPr>
          <w:snapToGrid w:val="0"/>
          <w:kern w:val="22"/>
          <w:szCs w:val="22"/>
        </w:rPr>
        <w:t xml:space="preserve">roup on </w:t>
      </w:r>
      <w:r>
        <w:rPr>
          <w:snapToGrid w:val="0"/>
          <w:kern w:val="22"/>
          <w:szCs w:val="22"/>
        </w:rPr>
        <w:t>I</w:t>
      </w:r>
      <w:r w:rsidRPr="00A7282C">
        <w:rPr>
          <w:snapToGrid w:val="0"/>
          <w:kern w:val="22"/>
          <w:szCs w:val="22"/>
        </w:rPr>
        <w:t xml:space="preserve">ndicators for the </w:t>
      </w:r>
      <w:r>
        <w:rPr>
          <w:snapToGrid w:val="0"/>
          <w:kern w:val="22"/>
          <w:szCs w:val="22"/>
        </w:rPr>
        <w:t>Kunming-Montreal</w:t>
      </w:r>
      <w:r w:rsidRPr="00A7282C">
        <w:rPr>
          <w:snapToGrid w:val="0"/>
          <w:kern w:val="22"/>
          <w:szCs w:val="22"/>
        </w:rPr>
        <w:t xml:space="preserve"> </w:t>
      </w:r>
      <w:r>
        <w:rPr>
          <w:snapToGrid w:val="0"/>
          <w:kern w:val="22"/>
          <w:szCs w:val="22"/>
        </w:rPr>
        <w:t>G</w:t>
      </w:r>
      <w:r w:rsidRPr="00A7282C">
        <w:rPr>
          <w:snapToGrid w:val="0"/>
          <w:kern w:val="22"/>
          <w:szCs w:val="22"/>
        </w:rPr>
        <w:t xml:space="preserve">lobal </w:t>
      </w:r>
      <w:r>
        <w:rPr>
          <w:snapToGrid w:val="0"/>
          <w:kern w:val="22"/>
          <w:szCs w:val="22"/>
        </w:rPr>
        <w:t>B</w:t>
      </w:r>
      <w:r w:rsidRPr="00A7282C">
        <w:rPr>
          <w:snapToGrid w:val="0"/>
          <w:kern w:val="22"/>
          <w:szCs w:val="22"/>
        </w:rPr>
        <w:t xml:space="preserve">iodiversity </w:t>
      </w:r>
      <w:r>
        <w:rPr>
          <w:snapToGrid w:val="0"/>
          <w:kern w:val="22"/>
          <w:szCs w:val="22"/>
        </w:rPr>
        <w:t>F</w:t>
      </w:r>
      <w:r w:rsidRPr="00A7282C">
        <w:rPr>
          <w:snapToGrid w:val="0"/>
          <w:kern w:val="22"/>
          <w:szCs w:val="22"/>
        </w:rPr>
        <w:t>ramework;</w:t>
      </w:r>
      <w:r w:rsidRPr="00610646">
        <w:rPr>
          <w:rStyle w:val="FootnoteReference"/>
        </w:rPr>
        <w:footnoteReference w:id="309"/>
      </w:r>
    </w:p>
    <w:p w14:paraId="56E50ACB" w14:textId="77777777" w:rsidR="00F02C6B" w:rsidRDefault="00F02C6B">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A7282C">
        <w:rPr>
          <w:snapToGrid w:val="0"/>
          <w:kern w:val="22"/>
          <w:szCs w:val="22"/>
        </w:rPr>
        <w:t>1</w:t>
      </w:r>
      <w:r>
        <w:rPr>
          <w:snapToGrid w:val="0"/>
          <w:kern w:val="22"/>
          <w:szCs w:val="22"/>
        </w:rPr>
        <w:t>6</w:t>
      </w:r>
      <w:r w:rsidRPr="00A7282C">
        <w:rPr>
          <w:snapToGrid w:val="0"/>
          <w:kern w:val="22"/>
          <w:szCs w:val="22"/>
        </w:rPr>
        <w:t>.</w:t>
      </w:r>
      <w:r w:rsidRPr="00A7282C">
        <w:rPr>
          <w:snapToGrid w:val="0"/>
          <w:kern w:val="22"/>
          <w:szCs w:val="22"/>
        </w:rPr>
        <w:tab/>
      </w:r>
      <w:r w:rsidRPr="00A7282C">
        <w:rPr>
          <w:i/>
          <w:iCs/>
          <w:snapToGrid w:val="0"/>
          <w:kern w:val="22"/>
          <w:szCs w:val="22"/>
        </w:rPr>
        <w:t xml:space="preserve">Notes </w:t>
      </w:r>
      <w:r w:rsidRPr="00A7282C">
        <w:rPr>
          <w:snapToGrid w:val="0"/>
          <w:kern w:val="22"/>
          <w:szCs w:val="22"/>
        </w:rPr>
        <w:t>the information contained in the annex to the note by the Executive Secretary,</w:t>
      </w:r>
      <w:r w:rsidRPr="00610646">
        <w:rPr>
          <w:rStyle w:val="FootnoteReference"/>
        </w:rPr>
        <w:footnoteReference w:id="310"/>
      </w:r>
      <w:r w:rsidRPr="00A7282C">
        <w:rPr>
          <w:snapToGrid w:val="0"/>
          <w:kern w:val="22"/>
          <w:szCs w:val="22"/>
        </w:rPr>
        <w:t xml:space="preserve"> </w:t>
      </w:r>
      <w:r w:rsidRPr="0024024F">
        <w:rPr>
          <w:snapToGrid w:val="0"/>
          <w:kern w:val="22"/>
          <w:szCs w:val="22"/>
        </w:rPr>
        <w:t xml:space="preserve">as well as </w:t>
      </w:r>
      <w:r w:rsidRPr="0024024F" w:rsidDel="006F7776">
        <w:rPr>
          <w:snapToGrid w:val="0"/>
          <w:kern w:val="22"/>
          <w:szCs w:val="22"/>
        </w:rPr>
        <w:t>the progress in a number of countries in elaborating national assessments of biodiversity and ecosystem services</w:t>
      </w:r>
      <w:r w:rsidRPr="0024024F">
        <w:rPr>
          <w:snapToGrid w:val="0"/>
          <w:kern w:val="22"/>
          <w:szCs w:val="22"/>
        </w:rPr>
        <w:t>;</w:t>
      </w:r>
    </w:p>
    <w:p w14:paraId="2BDBEBA2" w14:textId="77777777" w:rsidR="00F02C6B" w:rsidRPr="00A7282C" w:rsidRDefault="00F02C6B" w:rsidP="001405F5">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zCs w:val="22"/>
        </w:rPr>
      </w:pPr>
      <w:r w:rsidRPr="001405F5">
        <w:rPr>
          <w:iCs/>
          <w:snapToGrid w:val="0"/>
          <w:kern w:val="22"/>
          <w:szCs w:val="22"/>
        </w:rPr>
        <w:t>17.</w:t>
      </w:r>
      <w:r w:rsidRPr="001405F5">
        <w:rPr>
          <w:iCs/>
          <w:snapToGrid w:val="0"/>
          <w:kern w:val="22"/>
          <w:szCs w:val="22"/>
        </w:rPr>
        <w:tab/>
      </w:r>
      <w:r w:rsidRPr="001405F5">
        <w:rPr>
          <w:i/>
          <w:snapToGrid w:val="0"/>
          <w:kern w:val="22"/>
          <w:szCs w:val="22"/>
        </w:rPr>
        <w:t>E</w:t>
      </w:r>
      <w:r w:rsidRPr="001405F5" w:rsidDel="006F7776">
        <w:rPr>
          <w:i/>
          <w:snapToGrid w:val="0"/>
          <w:kern w:val="22"/>
          <w:szCs w:val="22"/>
        </w:rPr>
        <w:t>ncourages</w:t>
      </w:r>
      <w:r w:rsidRPr="00DA56D4" w:rsidDel="006F7776">
        <w:rPr>
          <w:snapToGrid w:val="0"/>
          <w:kern w:val="22"/>
          <w:szCs w:val="22"/>
        </w:rPr>
        <w:t xml:space="preserve"> all Parties and other Governments</w:t>
      </w:r>
      <w:r w:rsidRPr="00DA56D4">
        <w:rPr>
          <w:snapToGrid w:val="0"/>
          <w:kern w:val="22"/>
          <w:szCs w:val="22"/>
        </w:rPr>
        <w:t>,</w:t>
      </w:r>
      <w:r w:rsidRPr="00DA56D4" w:rsidDel="006F7776">
        <w:rPr>
          <w:snapToGrid w:val="0"/>
          <w:kern w:val="22"/>
          <w:szCs w:val="22"/>
        </w:rPr>
        <w:t xml:space="preserve"> </w:t>
      </w:r>
      <w:r w:rsidRPr="00DA56D4">
        <w:rPr>
          <w:snapToGrid w:val="0"/>
          <w:kern w:val="22"/>
          <w:szCs w:val="22"/>
        </w:rPr>
        <w:t xml:space="preserve">as well as subnational governments, to </w:t>
      </w:r>
      <w:r w:rsidRPr="00DA56D4" w:rsidDel="006F7776">
        <w:rPr>
          <w:snapToGrid w:val="0"/>
          <w:kern w:val="22"/>
          <w:szCs w:val="22"/>
        </w:rPr>
        <w:t xml:space="preserve">carry out national </w:t>
      </w:r>
      <w:r w:rsidRPr="00DA56D4">
        <w:rPr>
          <w:snapToGrid w:val="0"/>
          <w:kern w:val="22"/>
          <w:szCs w:val="22"/>
        </w:rPr>
        <w:t xml:space="preserve">or subnational </w:t>
      </w:r>
      <w:r w:rsidRPr="00DA56D4" w:rsidDel="006F7776">
        <w:rPr>
          <w:snapToGrid w:val="0"/>
          <w:kern w:val="22"/>
          <w:szCs w:val="22"/>
        </w:rPr>
        <w:t>assessments, with the full engagement of indigenous peoples and local communities</w:t>
      </w:r>
      <w:r w:rsidRPr="00DA56D4">
        <w:rPr>
          <w:snapToGrid w:val="0"/>
          <w:kern w:val="22"/>
          <w:szCs w:val="22"/>
        </w:rPr>
        <w:t>, women, youth,</w:t>
      </w:r>
      <w:r w:rsidRPr="00DA56D4" w:rsidDel="006F7776">
        <w:rPr>
          <w:snapToGrid w:val="0"/>
          <w:kern w:val="22"/>
          <w:szCs w:val="22"/>
        </w:rPr>
        <w:t xml:space="preserve"> </w:t>
      </w:r>
      <w:r w:rsidRPr="00DA56D4">
        <w:rPr>
          <w:snapToGrid w:val="0"/>
          <w:kern w:val="22"/>
          <w:szCs w:val="22"/>
        </w:rPr>
        <w:t xml:space="preserve">civil society, academia and </w:t>
      </w:r>
      <w:r w:rsidRPr="00DA56D4" w:rsidDel="006F7776">
        <w:rPr>
          <w:snapToGrid w:val="0"/>
          <w:kern w:val="22"/>
          <w:szCs w:val="22"/>
        </w:rPr>
        <w:t xml:space="preserve">business, </w:t>
      </w:r>
      <w:r w:rsidRPr="00DA56D4">
        <w:rPr>
          <w:snapToGrid w:val="0"/>
          <w:kern w:val="22"/>
          <w:szCs w:val="22"/>
        </w:rPr>
        <w:t>adapting the process of the Intergovernmental Science-Policy Platform on Biodiversity and Ecosystem Services to the local contexts, so</w:t>
      </w:r>
      <w:r w:rsidRPr="00DA56D4" w:rsidDel="006F7776">
        <w:rPr>
          <w:snapToGrid w:val="0"/>
          <w:kern w:val="22"/>
          <w:szCs w:val="22"/>
        </w:rPr>
        <w:t xml:space="preserve"> </w:t>
      </w:r>
      <w:r w:rsidRPr="00DA56D4">
        <w:rPr>
          <w:snapToGrid w:val="0"/>
          <w:kern w:val="22"/>
          <w:szCs w:val="22"/>
        </w:rPr>
        <w:t xml:space="preserve">that these </w:t>
      </w:r>
      <w:r w:rsidRPr="00DA56D4" w:rsidDel="006F7776">
        <w:rPr>
          <w:snapToGrid w:val="0"/>
          <w:kern w:val="22"/>
          <w:szCs w:val="22"/>
        </w:rPr>
        <w:t xml:space="preserve">national </w:t>
      </w:r>
      <w:r w:rsidRPr="00DA56D4">
        <w:rPr>
          <w:snapToGrid w:val="0"/>
          <w:kern w:val="22"/>
          <w:szCs w:val="22"/>
        </w:rPr>
        <w:t xml:space="preserve">or subnational </w:t>
      </w:r>
      <w:r w:rsidRPr="00DA56D4" w:rsidDel="006F7776">
        <w:rPr>
          <w:snapToGrid w:val="0"/>
          <w:kern w:val="22"/>
          <w:szCs w:val="22"/>
        </w:rPr>
        <w:t>assessments</w:t>
      </w:r>
      <w:r w:rsidRPr="00DA56D4">
        <w:rPr>
          <w:snapToGrid w:val="0"/>
          <w:kern w:val="22"/>
          <w:szCs w:val="22"/>
        </w:rPr>
        <w:t xml:space="preserve"> can be used as potential input</w:t>
      </w:r>
      <w:r w:rsidRPr="00DA56D4" w:rsidDel="006F7776">
        <w:rPr>
          <w:snapToGrid w:val="0"/>
          <w:kern w:val="22"/>
          <w:szCs w:val="22"/>
        </w:rPr>
        <w:t xml:space="preserve"> to the </w:t>
      </w:r>
      <w:r w:rsidRPr="00DA56D4">
        <w:rPr>
          <w:snapToGrid w:val="0"/>
          <w:kern w:val="22"/>
          <w:szCs w:val="22"/>
        </w:rPr>
        <w:t xml:space="preserve">rolling work programme of the Intergovernmental Science-Policy Platform on Biodiversity and Ecosystem Services and for the </w:t>
      </w:r>
      <w:r w:rsidRPr="00DA56D4" w:rsidDel="006F7776">
        <w:rPr>
          <w:snapToGrid w:val="0"/>
          <w:kern w:val="22"/>
          <w:szCs w:val="22"/>
        </w:rPr>
        <w:t xml:space="preserve">implementation of the </w:t>
      </w:r>
      <w:r w:rsidRPr="00DA56D4">
        <w:rPr>
          <w:snapToGrid w:val="0"/>
          <w:kern w:val="22"/>
          <w:szCs w:val="22"/>
        </w:rPr>
        <w:t>Kunming-Montreal</w:t>
      </w:r>
      <w:r w:rsidRPr="00DA56D4" w:rsidDel="006F7776">
        <w:rPr>
          <w:snapToGrid w:val="0"/>
          <w:kern w:val="22"/>
          <w:szCs w:val="22"/>
        </w:rPr>
        <w:t xml:space="preserve"> </w:t>
      </w:r>
      <w:r w:rsidRPr="00DA56D4">
        <w:rPr>
          <w:snapToGrid w:val="0"/>
          <w:kern w:val="22"/>
          <w:szCs w:val="22"/>
        </w:rPr>
        <w:t>G</w:t>
      </w:r>
      <w:r w:rsidRPr="00DA56D4" w:rsidDel="006F7776">
        <w:rPr>
          <w:snapToGrid w:val="0"/>
          <w:kern w:val="22"/>
          <w:szCs w:val="22"/>
        </w:rPr>
        <w:t xml:space="preserve">lobal </w:t>
      </w:r>
      <w:r w:rsidRPr="00DA56D4">
        <w:rPr>
          <w:snapToGrid w:val="0"/>
          <w:kern w:val="22"/>
          <w:szCs w:val="22"/>
        </w:rPr>
        <w:t>B</w:t>
      </w:r>
      <w:r w:rsidRPr="00DA56D4" w:rsidDel="006F7776">
        <w:rPr>
          <w:snapToGrid w:val="0"/>
          <w:kern w:val="22"/>
          <w:szCs w:val="22"/>
        </w:rPr>
        <w:t xml:space="preserve">iodiversity </w:t>
      </w:r>
      <w:r w:rsidRPr="00DA56D4">
        <w:rPr>
          <w:snapToGrid w:val="0"/>
          <w:kern w:val="22"/>
          <w:szCs w:val="22"/>
        </w:rPr>
        <w:t>F</w:t>
      </w:r>
      <w:r w:rsidRPr="00DA56D4" w:rsidDel="006F7776">
        <w:rPr>
          <w:snapToGrid w:val="0"/>
          <w:kern w:val="22"/>
          <w:szCs w:val="22"/>
        </w:rPr>
        <w:t xml:space="preserve">ramework, and </w:t>
      </w:r>
      <w:r w:rsidRPr="00DA56D4">
        <w:rPr>
          <w:snapToGrid w:val="0"/>
          <w:kern w:val="22"/>
          <w:szCs w:val="22"/>
        </w:rPr>
        <w:t xml:space="preserve">urges Parties, and invites other Governments and organizations in a position to do so, </w:t>
      </w:r>
      <w:r w:rsidRPr="00DA56D4" w:rsidDel="006F7776">
        <w:rPr>
          <w:snapToGrid w:val="0"/>
          <w:kern w:val="22"/>
          <w:szCs w:val="22"/>
        </w:rPr>
        <w:t>to provide</w:t>
      </w:r>
      <w:r w:rsidRPr="00DA56D4">
        <w:rPr>
          <w:snapToGrid w:val="0"/>
          <w:kern w:val="22"/>
          <w:szCs w:val="22"/>
        </w:rPr>
        <w:t xml:space="preserve"> </w:t>
      </w:r>
      <w:r w:rsidRPr="00DA56D4" w:rsidDel="006F7776">
        <w:rPr>
          <w:snapToGrid w:val="0"/>
          <w:kern w:val="22"/>
          <w:szCs w:val="22"/>
        </w:rPr>
        <w:t xml:space="preserve">technical </w:t>
      </w:r>
      <w:r w:rsidRPr="00DA56D4">
        <w:rPr>
          <w:snapToGrid w:val="0"/>
          <w:kern w:val="22"/>
          <w:szCs w:val="22"/>
        </w:rPr>
        <w:t>assistance, capacity</w:t>
      </w:r>
      <w:r w:rsidRPr="00DA56D4">
        <w:rPr>
          <w:snapToGrid w:val="0"/>
          <w:kern w:val="22"/>
          <w:szCs w:val="22"/>
        </w:rPr>
        <w:noBreakHyphen/>
        <w:t>building</w:t>
      </w:r>
      <w:r w:rsidRPr="00DA56D4" w:rsidDel="006F7776">
        <w:rPr>
          <w:snapToGrid w:val="0"/>
          <w:kern w:val="22"/>
          <w:szCs w:val="22"/>
        </w:rPr>
        <w:t xml:space="preserve"> </w:t>
      </w:r>
      <w:r w:rsidRPr="00DA56D4">
        <w:rPr>
          <w:snapToGrid w:val="0"/>
          <w:kern w:val="22"/>
          <w:szCs w:val="22"/>
        </w:rPr>
        <w:t>and financial support</w:t>
      </w:r>
      <w:r w:rsidRPr="00DA56D4" w:rsidDel="006F7776">
        <w:rPr>
          <w:snapToGrid w:val="0"/>
          <w:kern w:val="22"/>
          <w:szCs w:val="22"/>
        </w:rPr>
        <w:t>, as appropriate.</w:t>
      </w:r>
    </w:p>
    <w:p w14:paraId="2EEB702F" w14:textId="77777777" w:rsidR="00F02C6B" w:rsidRPr="00A7282C" w:rsidRDefault="00F02C6B" w:rsidP="00E34747">
      <w:pPr>
        <w:keepNext/>
        <w:keepLines/>
        <w:shd w:val="clear" w:color="auto" w:fill="FFFFFF" w:themeFill="background1"/>
        <w:tabs>
          <w:tab w:val="left" w:pos="360"/>
        </w:tabs>
        <w:spacing w:after="120"/>
        <w:jc w:val="center"/>
        <w:rPr>
          <w:i/>
          <w:iCs/>
          <w:szCs w:val="22"/>
        </w:rPr>
      </w:pPr>
      <w:r w:rsidRPr="00A7282C">
        <w:rPr>
          <w:i/>
          <w:iCs/>
          <w:szCs w:val="22"/>
        </w:rPr>
        <w:t>Annex</w:t>
      </w:r>
    </w:p>
    <w:p w14:paraId="193B75BF" w14:textId="77777777" w:rsidR="00F02C6B" w:rsidRPr="00A7282C" w:rsidRDefault="00F02C6B" w:rsidP="00E34747">
      <w:pPr>
        <w:keepNext/>
        <w:keepLines/>
        <w:shd w:val="clear" w:color="auto" w:fill="FFFFFF" w:themeFill="background1"/>
        <w:tabs>
          <w:tab w:val="left" w:pos="360"/>
        </w:tabs>
        <w:spacing w:after="120"/>
        <w:jc w:val="center"/>
        <w:rPr>
          <w:b/>
          <w:bCs/>
          <w:szCs w:val="22"/>
        </w:rPr>
      </w:pPr>
      <w:r w:rsidRPr="00A7282C">
        <w:rPr>
          <w:b/>
          <w:bCs/>
          <w:szCs w:val="22"/>
        </w:rPr>
        <w:t>REQUESTS FROM THE CONVENTION ON BIOLOGICAL DIVERSITY FOR CONSIDERATION BY THE PLENARY OF THE INTERGOVERNMENTAL SCIENCE</w:t>
      </w:r>
      <w:r>
        <w:rPr>
          <w:b/>
          <w:bCs/>
          <w:szCs w:val="22"/>
        </w:rPr>
        <w:noBreakHyphen/>
      </w:r>
      <w:r w:rsidRPr="00A7282C">
        <w:rPr>
          <w:b/>
          <w:bCs/>
          <w:szCs w:val="22"/>
        </w:rPr>
        <w:t>POLICY PLATFORM ON BIODIVERSITY AND ECOSYSTEM SERVICES</w:t>
      </w:r>
      <w:r>
        <w:rPr>
          <w:b/>
          <w:bCs/>
          <w:szCs w:val="22"/>
        </w:rPr>
        <w:t> </w:t>
      </w:r>
      <w:r w:rsidRPr="00A7282C">
        <w:rPr>
          <w:b/>
          <w:bCs/>
          <w:szCs w:val="22"/>
        </w:rPr>
        <w:t>AT</w:t>
      </w:r>
      <w:r>
        <w:rPr>
          <w:b/>
          <w:bCs/>
          <w:szCs w:val="22"/>
        </w:rPr>
        <w:t> </w:t>
      </w:r>
      <w:r w:rsidRPr="00A7282C">
        <w:rPr>
          <w:b/>
          <w:bCs/>
          <w:szCs w:val="22"/>
        </w:rPr>
        <w:t>ITS</w:t>
      </w:r>
      <w:r>
        <w:rPr>
          <w:b/>
          <w:bCs/>
          <w:szCs w:val="22"/>
        </w:rPr>
        <w:t> </w:t>
      </w:r>
      <w:r w:rsidRPr="00A7282C">
        <w:rPr>
          <w:b/>
          <w:bCs/>
          <w:szCs w:val="22"/>
        </w:rPr>
        <w:t>TENTH SESSION</w:t>
      </w:r>
    </w:p>
    <w:p w14:paraId="1920DC7B" w14:textId="77777777" w:rsidR="00F02C6B" w:rsidRPr="00A7282C" w:rsidRDefault="00F02C6B" w:rsidP="00880208">
      <w:pPr>
        <w:keepNext/>
        <w:keepLines/>
        <w:shd w:val="clear" w:color="auto" w:fill="FFFFFF" w:themeFill="background1"/>
        <w:tabs>
          <w:tab w:val="left" w:pos="1276"/>
        </w:tabs>
        <w:spacing w:before="240" w:after="120"/>
        <w:ind w:left="1276" w:hanging="567"/>
        <w:jc w:val="left"/>
        <w:rPr>
          <w:b/>
          <w:bCs/>
          <w:szCs w:val="22"/>
        </w:rPr>
      </w:pPr>
      <w:r w:rsidRPr="00A7282C">
        <w:rPr>
          <w:b/>
          <w:bCs/>
          <w:szCs w:val="22"/>
        </w:rPr>
        <w:t>A.</w:t>
      </w:r>
      <w:r w:rsidRPr="00A7282C">
        <w:rPr>
          <w:b/>
          <w:bCs/>
          <w:szCs w:val="22"/>
        </w:rPr>
        <w:tab/>
        <w:t>Request from the Convention on Biological Diversity regarding a second global assessment on biodiversity and ecosystem services</w:t>
      </w:r>
    </w:p>
    <w:p w14:paraId="1CB72816" w14:textId="77777777" w:rsidR="00F02C6B" w:rsidRPr="00A7282C" w:rsidRDefault="00F02C6B" w:rsidP="00E34747">
      <w:pPr>
        <w:shd w:val="clear" w:color="auto" w:fill="FFFFFF" w:themeFill="background1"/>
        <w:tabs>
          <w:tab w:val="left" w:pos="709"/>
        </w:tabs>
        <w:spacing w:before="240" w:after="120"/>
        <w:rPr>
          <w:szCs w:val="22"/>
        </w:rPr>
      </w:pPr>
      <w:r w:rsidRPr="00A7282C">
        <w:rPr>
          <w:szCs w:val="22"/>
        </w:rPr>
        <w:t>1.</w:t>
      </w:r>
      <w:r w:rsidRPr="00A7282C">
        <w:rPr>
          <w:szCs w:val="22"/>
        </w:rPr>
        <w:tab/>
        <w:t xml:space="preserve">A second global assessment on biodiversity and ecosystem services should be prepared by </w:t>
      </w:r>
      <w:r w:rsidRPr="00A7282C">
        <w:rPr>
          <w:snapToGrid w:val="0"/>
          <w:kern w:val="22"/>
          <w:szCs w:val="22"/>
        </w:rPr>
        <w:t xml:space="preserve">the Intergovernmental Science-Policy Platform on Biodiversity and Ecosystem Services (IPBES) </w:t>
      </w:r>
      <w:r w:rsidRPr="00A7282C">
        <w:rPr>
          <w:szCs w:val="22"/>
        </w:rPr>
        <w:t>to:</w:t>
      </w:r>
    </w:p>
    <w:p w14:paraId="39899FD2" w14:textId="77777777" w:rsidR="00F02C6B" w:rsidRPr="00A7282C" w:rsidRDefault="00F02C6B" w:rsidP="00950BE4">
      <w:pPr>
        <w:pStyle w:val="ListParagraph"/>
        <w:numPr>
          <w:ilvl w:val="1"/>
          <w:numId w:val="63"/>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Support Governments and all stakeholders to implement the Convention on Biological Diversity and the </w:t>
      </w:r>
      <w:r>
        <w:rPr>
          <w:szCs w:val="22"/>
        </w:rPr>
        <w:t>Kunming-Montreal</w:t>
      </w:r>
      <w:r w:rsidRPr="00A7282C">
        <w:rPr>
          <w:szCs w:val="22"/>
        </w:rPr>
        <w:t xml:space="preserve"> </w:t>
      </w:r>
      <w:r>
        <w:rPr>
          <w:szCs w:val="22"/>
        </w:rPr>
        <w:t>G</w:t>
      </w:r>
      <w:r w:rsidRPr="00A7282C">
        <w:rPr>
          <w:szCs w:val="22"/>
        </w:rPr>
        <w:t xml:space="preserve">lobal </w:t>
      </w:r>
      <w:r>
        <w:rPr>
          <w:szCs w:val="22"/>
        </w:rPr>
        <w:t>B</w:t>
      </w:r>
      <w:r w:rsidRPr="00A7282C">
        <w:rPr>
          <w:szCs w:val="22"/>
        </w:rPr>
        <w:t xml:space="preserve">iodiversity </w:t>
      </w:r>
      <w:r>
        <w:rPr>
          <w:szCs w:val="22"/>
        </w:rPr>
        <w:t>F</w:t>
      </w:r>
      <w:r w:rsidRPr="00A7282C">
        <w:rPr>
          <w:szCs w:val="22"/>
        </w:rPr>
        <w:t xml:space="preserve">ramework, as well as its Protocols, related agreements and the 2030 Agenda for Sustainable Development, with a view to achieving the 2050 </w:t>
      </w:r>
      <w:r w:rsidRPr="001405F5">
        <w:rPr>
          <w:szCs w:val="22"/>
        </w:rPr>
        <w:t>v</w:t>
      </w:r>
      <w:r w:rsidRPr="006D32DA">
        <w:rPr>
          <w:szCs w:val="22"/>
        </w:rPr>
        <w:t>ision for Biodiversity</w:t>
      </w:r>
      <w:r w:rsidRPr="00A7282C">
        <w:rPr>
          <w:szCs w:val="22"/>
        </w:rPr>
        <w:t xml:space="preserve"> and the Sustainable Development Goals;</w:t>
      </w:r>
    </w:p>
    <w:p w14:paraId="6FC50E3B" w14:textId="77777777" w:rsidR="00F02C6B" w:rsidRPr="00A7282C" w:rsidRDefault="00F02C6B" w:rsidP="00950BE4">
      <w:pPr>
        <w:pStyle w:val="ListParagraph"/>
        <w:numPr>
          <w:ilvl w:val="1"/>
          <w:numId w:val="63"/>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Support the Convention to assess progress in the achievement of the 2030 targets and towards the 2050 goals of the </w:t>
      </w:r>
      <w:r>
        <w:rPr>
          <w:szCs w:val="22"/>
        </w:rPr>
        <w:t>Kunming-Montreal</w:t>
      </w:r>
      <w:r w:rsidRPr="00A7282C">
        <w:rPr>
          <w:szCs w:val="22"/>
        </w:rPr>
        <w:t xml:space="preserve"> </w:t>
      </w:r>
      <w:r>
        <w:rPr>
          <w:szCs w:val="22"/>
        </w:rPr>
        <w:t>G</w:t>
      </w:r>
      <w:r w:rsidRPr="00A7282C">
        <w:rPr>
          <w:szCs w:val="22"/>
        </w:rPr>
        <w:t xml:space="preserve">lobal </w:t>
      </w:r>
      <w:r>
        <w:rPr>
          <w:szCs w:val="22"/>
        </w:rPr>
        <w:t>B</w:t>
      </w:r>
      <w:r w:rsidRPr="00A7282C">
        <w:rPr>
          <w:szCs w:val="22"/>
        </w:rPr>
        <w:t xml:space="preserve">iodiversity </w:t>
      </w:r>
      <w:r>
        <w:rPr>
          <w:szCs w:val="22"/>
        </w:rPr>
        <w:t>F</w:t>
      </w:r>
      <w:r w:rsidRPr="00A7282C">
        <w:rPr>
          <w:szCs w:val="22"/>
        </w:rPr>
        <w:t xml:space="preserve">ramework, as well as relevant Sustainable Development Goals and </w:t>
      </w:r>
      <w:r w:rsidRPr="00517348">
        <w:rPr>
          <w:szCs w:val="22"/>
        </w:rPr>
        <w:t>t</w:t>
      </w:r>
      <w:r w:rsidRPr="00A7282C">
        <w:rPr>
          <w:szCs w:val="22"/>
        </w:rPr>
        <w:t>argets;</w:t>
      </w:r>
    </w:p>
    <w:p w14:paraId="75BFF08E" w14:textId="77777777" w:rsidR="00F02C6B" w:rsidRPr="00A7282C" w:rsidRDefault="00F02C6B" w:rsidP="00950BE4">
      <w:pPr>
        <w:pStyle w:val="ListParagraph"/>
        <w:numPr>
          <w:ilvl w:val="1"/>
          <w:numId w:val="63"/>
        </w:numPr>
        <w:shd w:val="clear" w:color="auto" w:fill="FFFFFF" w:themeFill="background1"/>
        <w:tabs>
          <w:tab w:val="clear" w:pos="1481"/>
          <w:tab w:val="left" w:pos="360"/>
          <w:tab w:val="left" w:pos="851"/>
        </w:tabs>
        <w:spacing w:before="60" w:after="60"/>
        <w:ind w:left="0" w:firstLine="709"/>
        <w:contextualSpacing w:val="0"/>
        <w:rPr>
          <w:szCs w:val="22"/>
        </w:rPr>
      </w:pPr>
      <w:r w:rsidRPr="00A7282C">
        <w:rPr>
          <w:szCs w:val="22"/>
        </w:rPr>
        <w:t xml:space="preserve">Provide the scientific and technical basis for the follow-up to the </w:t>
      </w:r>
      <w:r>
        <w:rPr>
          <w:szCs w:val="22"/>
        </w:rPr>
        <w:t>Framework</w:t>
      </w:r>
      <w:r w:rsidRPr="00A7282C">
        <w:rPr>
          <w:szCs w:val="22"/>
        </w:rPr>
        <w:t xml:space="preserve"> after 2030.</w:t>
      </w:r>
    </w:p>
    <w:p w14:paraId="5F7C72FE" w14:textId="77777777" w:rsidR="00F02C6B" w:rsidRPr="00A7282C" w:rsidRDefault="00F02C6B" w:rsidP="00E34747">
      <w:pPr>
        <w:shd w:val="clear" w:color="auto" w:fill="FFFFFF" w:themeFill="background1"/>
        <w:tabs>
          <w:tab w:val="left" w:pos="709"/>
        </w:tabs>
        <w:spacing w:before="120" w:after="120"/>
        <w:rPr>
          <w:szCs w:val="22"/>
        </w:rPr>
      </w:pPr>
      <w:r w:rsidRPr="00A7282C">
        <w:rPr>
          <w:szCs w:val="22"/>
        </w:rPr>
        <w:t>2.</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be comprehensive, broadly similar in scope to the </w:t>
      </w:r>
      <w:r>
        <w:rPr>
          <w:szCs w:val="22"/>
        </w:rPr>
        <w:t>f</w:t>
      </w:r>
      <w:r w:rsidRPr="00A7282C">
        <w:rPr>
          <w:szCs w:val="22"/>
        </w:rPr>
        <w:t xml:space="preserve">irst </w:t>
      </w:r>
      <w:r>
        <w:rPr>
          <w:szCs w:val="22"/>
        </w:rPr>
        <w:t>a</w:t>
      </w:r>
      <w:r w:rsidRPr="00A7282C">
        <w:rPr>
          <w:szCs w:val="22"/>
        </w:rPr>
        <w:t>ssessment</w:t>
      </w:r>
      <w:r>
        <w:rPr>
          <w:szCs w:val="22"/>
        </w:rPr>
        <w:t>,</w:t>
      </w:r>
      <w:r w:rsidRPr="00A7282C">
        <w:rPr>
          <w:szCs w:val="22"/>
        </w:rPr>
        <w:t xml:space="preserve"> but building upon it to avoid repetition or unnecessary duplication. It should address the three objectives of the Convention (the conservation of biological diversity, sustainable use of its components, and the fair and equitable sharing of benefits arising out of the utilization of genetic resources) in a balanced and integrated way. It should cover terrestrial, inland water and marine and coastal biodiversity.</w:t>
      </w:r>
    </w:p>
    <w:p w14:paraId="44545A68" w14:textId="77777777" w:rsidR="00F02C6B" w:rsidRPr="00A7282C" w:rsidRDefault="00F02C6B" w:rsidP="00E34747">
      <w:pPr>
        <w:shd w:val="clear" w:color="auto" w:fill="FFFFFF" w:themeFill="background1"/>
        <w:tabs>
          <w:tab w:val="left" w:pos="709"/>
        </w:tabs>
        <w:spacing w:after="120"/>
        <w:rPr>
          <w:szCs w:val="22"/>
        </w:rPr>
      </w:pPr>
      <w:r w:rsidRPr="00A7282C">
        <w:rPr>
          <w:szCs w:val="22"/>
        </w:rPr>
        <w:t>3.</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cover the status and trends of biodiversity and ecosystem services / nature’s contributions to people over the past, present and future, using quantitative and qualitative models and scenarios, in a consistent and seamless manner, as far as possible. Where possible, information on past status and trends should cover natural reference states, including pre-industrial time </w:t>
      </w:r>
      <w:r w:rsidRPr="00A7282C">
        <w:rPr>
          <w:szCs w:val="22"/>
        </w:rPr>
        <w:lastRenderedPageBreak/>
        <w:t xml:space="preserve">periods, when relevant, and future status and trends should project to 2050 and 2100, drawing upon the IPBES assessment on scenarios and models and the latest advances in these fields. The assessment should make use of relevant indicators, including those adopted under the </w:t>
      </w:r>
      <w:r>
        <w:rPr>
          <w:szCs w:val="22"/>
        </w:rPr>
        <w:t>Kunming-Montreal</w:t>
      </w:r>
      <w:r w:rsidRPr="00A7282C">
        <w:rPr>
          <w:szCs w:val="22"/>
        </w:rPr>
        <w:t xml:space="preserve"> </w:t>
      </w:r>
      <w:r>
        <w:rPr>
          <w:szCs w:val="22"/>
        </w:rPr>
        <w:t>G</w:t>
      </w:r>
      <w:r w:rsidRPr="00A7282C">
        <w:rPr>
          <w:szCs w:val="22"/>
        </w:rPr>
        <w:t xml:space="preserve">lobal </w:t>
      </w:r>
      <w:r>
        <w:rPr>
          <w:szCs w:val="22"/>
        </w:rPr>
        <w:t>B</w:t>
      </w:r>
      <w:r w:rsidRPr="00A7282C">
        <w:rPr>
          <w:szCs w:val="22"/>
        </w:rPr>
        <w:t xml:space="preserve">iodiversity </w:t>
      </w:r>
      <w:r>
        <w:rPr>
          <w:szCs w:val="22"/>
        </w:rPr>
        <w:t>F</w:t>
      </w:r>
      <w:r w:rsidRPr="00A7282C">
        <w:rPr>
          <w:szCs w:val="22"/>
        </w:rPr>
        <w:t xml:space="preserve">ramework and the 2030 Agenda. </w:t>
      </w:r>
    </w:p>
    <w:p w14:paraId="731D2357" w14:textId="77777777" w:rsidR="00F02C6B" w:rsidRPr="00A7282C" w:rsidRDefault="00F02C6B" w:rsidP="00E34747">
      <w:pPr>
        <w:shd w:val="clear" w:color="auto" w:fill="FFFFFF" w:themeFill="background1"/>
        <w:tabs>
          <w:tab w:val="left" w:pos="709"/>
        </w:tabs>
        <w:spacing w:after="120"/>
        <w:rPr>
          <w:szCs w:val="22"/>
        </w:rPr>
      </w:pPr>
      <w:r w:rsidRPr="00A7282C">
        <w:rPr>
          <w:szCs w:val="22"/>
        </w:rPr>
        <w:t xml:space="preserve">4. </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address the direct and indirect drivers of biodiversity change, drawing upon all relevant IPBES assessments, including the nexus and transformative change assessments, as well as relevant assessments by the Intergovernmental Panel on Climate Change. </w:t>
      </w:r>
    </w:p>
    <w:p w14:paraId="3FE1BF76" w14:textId="77777777" w:rsidR="00F02C6B" w:rsidRPr="00A7282C" w:rsidRDefault="00F02C6B" w:rsidP="00E34747">
      <w:pPr>
        <w:shd w:val="clear" w:color="auto" w:fill="FFFFFF" w:themeFill="background1"/>
        <w:tabs>
          <w:tab w:val="left" w:pos="709"/>
        </w:tabs>
        <w:spacing w:after="120"/>
        <w:rPr>
          <w:szCs w:val="22"/>
        </w:rPr>
      </w:pPr>
      <w:r w:rsidRPr="00A7282C">
        <w:rPr>
          <w:szCs w:val="22"/>
        </w:rPr>
        <w:t xml:space="preserve">5. </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w:t>
      </w:r>
      <w:r w:rsidRPr="00530EA7">
        <w:rPr>
          <w:szCs w:val="22"/>
        </w:rPr>
        <w:t>include</w:t>
      </w:r>
      <w:r w:rsidRPr="00A7282C">
        <w:rPr>
          <w:szCs w:val="22"/>
        </w:rPr>
        <w:t xml:space="preserve">, where appropriate and feasible, existing regional, subregional and national assessments as well as ecosystem level analysis in a fully integrated manner.  </w:t>
      </w:r>
    </w:p>
    <w:p w14:paraId="527AD946" w14:textId="77777777" w:rsidR="00F02C6B" w:rsidRPr="00A7282C" w:rsidRDefault="00F02C6B" w:rsidP="00E34747">
      <w:pPr>
        <w:shd w:val="clear" w:color="auto" w:fill="FFFFFF" w:themeFill="background1"/>
        <w:tabs>
          <w:tab w:val="left" w:pos="709"/>
        </w:tabs>
        <w:spacing w:after="120"/>
        <w:rPr>
          <w:szCs w:val="22"/>
        </w:rPr>
      </w:pPr>
      <w:r w:rsidRPr="00A7282C">
        <w:rPr>
          <w:szCs w:val="22"/>
        </w:rPr>
        <w:t>6.</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incorporate the best available knowledge, including indigenous and local knowledge, fully respecting existing IPBES procedures for the ethical use and management of knowledge, which include taking into account the challenges faced by developing countries, and incorporate diverse values and multiple worldviews, taking into account, inter alia, the </w:t>
      </w:r>
      <w:r w:rsidRPr="001136CE">
        <w:rPr>
          <w:szCs w:val="22"/>
        </w:rPr>
        <w:t xml:space="preserve">IPBES Values </w:t>
      </w:r>
      <w:r w:rsidRPr="001405F5">
        <w:rPr>
          <w:szCs w:val="22"/>
        </w:rPr>
        <w:t>A</w:t>
      </w:r>
      <w:r w:rsidRPr="001136CE">
        <w:rPr>
          <w:szCs w:val="22"/>
        </w:rPr>
        <w:t>ssessment.</w:t>
      </w:r>
      <w:r w:rsidRPr="00610646">
        <w:rPr>
          <w:rStyle w:val="FootnoteReference"/>
        </w:rPr>
        <w:footnoteReference w:id="311"/>
      </w:r>
      <w:r w:rsidRPr="00A7282C">
        <w:rPr>
          <w:szCs w:val="22"/>
        </w:rPr>
        <w:t xml:space="preserve"> </w:t>
      </w:r>
    </w:p>
    <w:p w14:paraId="4DEE303D" w14:textId="77777777" w:rsidR="00F02C6B" w:rsidRPr="00A7282C" w:rsidRDefault="00F02C6B" w:rsidP="00E34747">
      <w:pPr>
        <w:shd w:val="clear" w:color="auto" w:fill="FFFFFF" w:themeFill="background1"/>
        <w:tabs>
          <w:tab w:val="left" w:pos="709"/>
        </w:tabs>
        <w:spacing w:after="120"/>
        <w:rPr>
          <w:szCs w:val="22"/>
        </w:rPr>
      </w:pPr>
      <w:r w:rsidRPr="00A7282C">
        <w:rPr>
          <w:szCs w:val="22"/>
        </w:rPr>
        <w:t>7.</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consider the knowledge gaps identified in the first assessment. </w:t>
      </w:r>
    </w:p>
    <w:p w14:paraId="45BD7DE2" w14:textId="77777777" w:rsidR="00F02C6B" w:rsidRPr="00A7282C" w:rsidRDefault="00F02C6B" w:rsidP="00E34747">
      <w:pPr>
        <w:shd w:val="clear" w:color="auto" w:fill="FFFFFF" w:themeFill="background1"/>
        <w:tabs>
          <w:tab w:val="left" w:pos="709"/>
        </w:tabs>
        <w:spacing w:after="120"/>
        <w:rPr>
          <w:szCs w:val="22"/>
        </w:rPr>
      </w:pPr>
      <w:r w:rsidRPr="00A7282C">
        <w:rPr>
          <w:szCs w:val="22"/>
        </w:rPr>
        <w:t xml:space="preserve">8. </w:t>
      </w:r>
      <w:r w:rsidRPr="00A7282C">
        <w:rPr>
          <w:szCs w:val="22"/>
        </w:rPr>
        <w:tab/>
        <w:t xml:space="preserve">The second </w:t>
      </w:r>
      <w:r>
        <w:rPr>
          <w:szCs w:val="22"/>
        </w:rPr>
        <w:t>g</w:t>
      </w:r>
      <w:r w:rsidRPr="00A7282C">
        <w:rPr>
          <w:szCs w:val="22"/>
        </w:rPr>
        <w:t xml:space="preserve">lobal </w:t>
      </w:r>
      <w:r>
        <w:rPr>
          <w:szCs w:val="22"/>
        </w:rPr>
        <w:t>a</w:t>
      </w:r>
      <w:r w:rsidRPr="00A7282C">
        <w:rPr>
          <w:szCs w:val="22"/>
        </w:rPr>
        <w:t xml:space="preserve">ssessment should be finalized for approval by the IPBES Plenary in the fourth quarter of 2028 (or in the first quarter 2029 at the latest). </w:t>
      </w:r>
    </w:p>
    <w:p w14:paraId="11932C42" w14:textId="77777777" w:rsidR="00F02C6B" w:rsidRPr="00A7282C" w:rsidRDefault="00F02C6B" w:rsidP="00E34747">
      <w:pPr>
        <w:shd w:val="clear" w:color="auto" w:fill="FFFFFF" w:themeFill="background1"/>
        <w:tabs>
          <w:tab w:val="left" w:pos="1418"/>
        </w:tabs>
        <w:spacing w:before="240" w:after="120"/>
        <w:ind w:left="1418" w:hanging="851"/>
        <w:jc w:val="left"/>
        <w:rPr>
          <w:b/>
          <w:bCs/>
          <w:szCs w:val="22"/>
        </w:rPr>
      </w:pPr>
      <w:r w:rsidRPr="00A7282C">
        <w:rPr>
          <w:b/>
          <w:bCs/>
          <w:szCs w:val="22"/>
        </w:rPr>
        <w:t xml:space="preserve">B. </w:t>
      </w:r>
      <w:r w:rsidRPr="00A7282C">
        <w:rPr>
          <w:b/>
          <w:bCs/>
          <w:szCs w:val="22"/>
        </w:rPr>
        <w:tab/>
        <w:t xml:space="preserve">Requests from the Convention on Biological Diversity regarding potential additional assessments for inclusion in the rolling work programme of the </w:t>
      </w:r>
      <w:r w:rsidRPr="00A7282C">
        <w:rPr>
          <w:b/>
          <w:bCs/>
          <w:snapToGrid w:val="0"/>
          <w:kern w:val="22"/>
          <w:szCs w:val="22"/>
        </w:rPr>
        <w:t>Platform</w:t>
      </w:r>
    </w:p>
    <w:p w14:paraId="56159BB2" w14:textId="77777777" w:rsidR="00F02C6B" w:rsidRPr="00A7282C" w:rsidRDefault="00F02C6B" w:rsidP="00E34747">
      <w:pPr>
        <w:shd w:val="clear" w:color="auto" w:fill="FFFFFF" w:themeFill="background1"/>
        <w:tabs>
          <w:tab w:val="left" w:pos="360"/>
          <w:tab w:val="left" w:pos="851"/>
        </w:tabs>
        <w:spacing w:after="120"/>
        <w:rPr>
          <w:szCs w:val="22"/>
        </w:rPr>
      </w:pPr>
      <w:r w:rsidRPr="00A7282C">
        <w:rPr>
          <w:szCs w:val="22"/>
        </w:rPr>
        <w:t>The following fast-track assessments should be considered by the Platform:</w:t>
      </w:r>
    </w:p>
    <w:p w14:paraId="1602CC97" w14:textId="77777777" w:rsidR="00F02C6B" w:rsidRPr="002270F9" w:rsidRDefault="00F02C6B" w:rsidP="00950BE4">
      <w:pPr>
        <w:pStyle w:val="ListParagraph"/>
        <w:numPr>
          <w:ilvl w:val="0"/>
          <w:numId w:val="64"/>
        </w:numPr>
        <w:shd w:val="clear" w:color="auto" w:fill="FFFFFF" w:themeFill="background1"/>
        <w:spacing w:before="120" w:after="120"/>
        <w:ind w:left="0" w:firstLine="697"/>
        <w:contextualSpacing w:val="0"/>
        <w:rPr>
          <w:szCs w:val="22"/>
        </w:rPr>
      </w:pPr>
      <w:r w:rsidRPr="002270F9">
        <w:rPr>
          <w:szCs w:val="22"/>
        </w:rPr>
        <w:t>A fast-track assessment on integrated biodiversity-inclusive spatial planning and ecological connectivity considering such elements as land- and sea-use change and restoration;</w:t>
      </w:r>
    </w:p>
    <w:p w14:paraId="046F76EE" w14:textId="77777777" w:rsidR="00F02C6B" w:rsidRPr="002270F9" w:rsidRDefault="00F02C6B" w:rsidP="00950BE4">
      <w:pPr>
        <w:pStyle w:val="ListParagraph"/>
        <w:numPr>
          <w:ilvl w:val="0"/>
          <w:numId w:val="64"/>
        </w:numPr>
        <w:shd w:val="clear" w:color="auto" w:fill="FFFFFF" w:themeFill="background1"/>
        <w:spacing w:before="120" w:after="120"/>
        <w:ind w:left="0" w:firstLine="697"/>
        <w:contextualSpacing w:val="0"/>
        <w:rPr>
          <w:szCs w:val="22"/>
        </w:rPr>
      </w:pPr>
      <w:r w:rsidRPr="002270F9">
        <w:rPr>
          <w:szCs w:val="22"/>
        </w:rPr>
        <w:t xml:space="preserve">A fast-track assessment on monitoring biodiversity and ecosystem services and tracking progress towards the goals and targets of the </w:t>
      </w:r>
      <w:r>
        <w:rPr>
          <w:szCs w:val="22"/>
        </w:rPr>
        <w:t>Kunming-Montreal</w:t>
      </w:r>
      <w:r w:rsidRPr="002270F9">
        <w:rPr>
          <w:szCs w:val="22"/>
        </w:rPr>
        <w:t xml:space="preserve"> </w:t>
      </w:r>
      <w:r>
        <w:rPr>
          <w:szCs w:val="22"/>
        </w:rPr>
        <w:t>G</w:t>
      </w:r>
      <w:r w:rsidRPr="002270F9">
        <w:rPr>
          <w:szCs w:val="22"/>
        </w:rPr>
        <w:t xml:space="preserve">lobal </w:t>
      </w:r>
      <w:r>
        <w:rPr>
          <w:szCs w:val="22"/>
        </w:rPr>
        <w:t>B</w:t>
      </w:r>
      <w:r w:rsidRPr="002270F9">
        <w:rPr>
          <w:szCs w:val="22"/>
        </w:rPr>
        <w:t xml:space="preserve">iodiversity </w:t>
      </w:r>
      <w:r>
        <w:rPr>
          <w:szCs w:val="22"/>
        </w:rPr>
        <w:t>F</w:t>
      </w:r>
      <w:r w:rsidRPr="002270F9">
        <w:rPr>
          <w:szCs w:val="22"/>
        </w:rPr>
        <w:t>ramework and on baselines for assessing biodiversity loss;</w:t>
      </w:r>
    </w:p>
    <w:p w14:paraId="4332332C" w14:textId="77777777" w:rsidR="00F02C6B" w:rsidRPr="002270F9" w:rsidRDefault="00F02C6B" w:rsidP="00950BE4">
      <w:pPr>
        <w:pStyle w:val="ListParagraph"/>
        <w:numPr>
          <w:ilvl w:val="0"/>
          <w:numId w:val="64"/>
        </w:numPr>
        <w:shd w:val="clear" w:color="auto" w:fill="FFFFFF" w:themeFill="background1"/>
        <w:spacing w:before="120" w:after="120"/>
        <w:ind w:left="0" w:firstLine="697"/>
        <w:contextualSpacing w:val="0"/>
        <w:rPr>
          <w:szCs w:val="22"/>
        </w:rPr>
      </w:pPr>
      <w:r w:rsidRPr="002270F9">
        <w:rPr>
          <w:szCs w:val="22"/>
        </w:rPr>
        <w:t>A fast-track assessment on the impacts of pollution on biodiversity and approaches to avoid, reduce and mitigate such impacts;</w:t>
      </w:r>
    </w:p>
    <w:p w14:paraId="77E1E6FD" w14:textId="77777777" w:rsidR="00F02C6B" w:rsidRPr="002270F9" w:rsidRDefault="00F02C6B" w:rsidP="00950BE4">
      <w:pPr>
        <w:pStyle w:val="ListParagraph"/>
        <w:numPr>
          <w:ilvl w:val="0"/>
          <w:numId w:val="64"/>
        </w:numPr>
        <w:shd w:val="clear" w:color="auto" w:fill="FFFFFF" w:themeFill="background1"/>
        <w:tabs>
          <w:tab w:val="left" w:pos="851"/>
        </w:tabs>
        <w:spacing w:before="120" w:after="120"/>
        <w:ind w:left="0" w:firstLine="697"/>
        <w:contextualSpacing w:val="0"/>
        <w:rPr>
          <w:rFonts w:eastAsia="SimSun"/>
          <w:color w:val="000000"/>
          <w:szCs w:val="22"/>
        </w:rPr>
      </w:pPr>
      <w:r w:rsidRPr="002270F9">
        <w:rPr>
          <w:szCs w:val="22"/>
        </w:rPr>
        <w:t>A fast-track assessment on Living Well in balance and harmony with nature and living in harmony with Mother Earth.</w:t>
      </w:r>
    </w:p>
    <w:p w14:paraId="32F74396" w14:textId="77777777" w:rsidR="00991198" w:rsidRDefault="00991198" w:rsidP="0029205A">
      <w:pPr>
        <w:pStyle w:val="Para1"/>
        <w:numPr>
          <w:ilvl w:val="0"/>
          <w:numId w:val="0"/>
        </w:numPr>
        <w:suppressLineNumbers/>
        <w:suppressAutoHyphens/>
        <w:kinsoku w:val="0"/>
        <w:adjustRightInd w:val="0"/>
        <w:jc w:val="center"/>
        <w:rPr>
          <w:sz w:val="24"/>
          <w:szCs w:val="24"/>
        </w:rPr>
        <w:sectPr w:rsidR="00991198" w:rsidSect="00441700">
          <w:footnotePr>
            <w:numRestart w:val="eachSect"/>
          </w:footnotePr>
          <w:pgSz w:w="12240" w:h="15840"/>
          <w:pgMar w:top="567" w:right="1440" w:bottom="1134" w:left="1440" w:header="709" w:footer="709" w:gutter="0"/>
          <w:cols w:space="708"/>
          <w:docGrid w:linePitch="360"/>
        </w:sectPr>
      </w:pPr>
    </w:p>
    <w:p w14:paraId="4F74777F" w14:textId="77777777" w:rsidR="00991198" w:rsidRDefault="00991198" w:rsidP="004F145E">
      <w:pPr>
        <w:pStyle w:val="decision"/>
        <w:ind w:left="1418" w:right="146" w:hanging="850"/>
        <w:jc w:val="left"/>
        <w:rPr>
          <w:caps/>
        </w:rPr>
      </w:pPr>
      <w:bookmarkStart w:id="266" w:name="_Toc150438818"/>
      <w:bookmarkStart w:id="267" w:name="_Toc150670518"/>
      <w:bookmarkStart w:id="268" w:name="_Toc150670628"/>
      <w:bookmarkStart w:id="269" w:name="_Toc150761130"/>
      <w:r>
        <w:lastRenderedPageBreak/>
        <w:t>15/20.</w:t>
      </w:r>
      <w:r>
        <w:tab/>
      </w:r>
      <w:r w:rsidRPr="00E13BF8">
        <w:t>In-depth dialogue on the thematic areas and other cross-cutting issues conducted by the Ad Hoc Open-ended Inter-sessional Working Group on</w:t>
      </w:r>
      <w:r>
        <w:t> </w:t>
      </w:r>
      <w:r w:rsidRPr="00E13BF8">
        <w:t>Article 8(j) and Related Provisions</w:t>
      </w:r>
      <w:bookmarkEnd w:id="266"/>
      <w:bookmarkEnd w:id="267"/>
      <w:bookmarkEnd w:id="268"/>
      <w:bookmarkEnd w:id="269"/>
      <w:r w:rsidRPr="00105372">
        <w:rPr>
          <w:caps/>
        </w:rPr>
        <w:t xml:space="preserve"> </w:t>
      </w:r>
    </w:p>
    <w:p w14:paraId="42193255" w14:textId="77777777" w:rsidR="00991198" w:rsidRPr="002A6B7B" w:rsidRDefault="00991198" w:rsidP="00A958CB">
      <w:pPr>
        <w:suppressLineNumbers/>
        <w:suppressAutoHyphens/>
        <w:spacing w:before="120" w:after="120"/>
        <w:ind w:firstLine="720"/>
        <w:rPr>
          <w:i/>
          <w:kern w:val="22"/>
        </w:rPr>
      </w:pPr>
      <w:r w:rsidRPr="002A6B7B">
        <w:rPr>
          <w:i/>
          <w:kern w:val="22"/>
        </w:rPr>
        <w:t>The Conference of the Parties</w:t>
      </w:r>
      <w:r w:rsidRPr="000E3482">
        <w:rPr>
          <w:kern w:val="22"/>
        </w:rPr>
        <w:t>,</w:t>
      </w:r>
    </w:p>
    <w:p w14:paraId="5BACAFA2" w14:textId="77777777" w:rsidR="00991198" w:rsidRPr="002A6B7B" w:rsidRDefault="00991198" w:rsidP="00A958CB">
      <w:pPr>
        <w:suppressLineNumbers/>
        <w:suppressAutoHyphens/>
        <w:spacing w:before="120" w:after="120"/>
        <w:ind w:firstLine="720"/>
        <w:rPr>
          <w:kern w:val="22"/>
        </w:rPr>
      </w:pPr>
      <w:r w:rsidRPr="00C12388">
        <w:rPr>
          <w:i/>
          <w:kern w:val="22"/>
        </w:rPr>
        <w:t>Welcoming</w:t>
      </w:r>
      <w:r w:rsidRPr="00BD100D">
        <w:rPr>
          <w:kern w:val="22"/>
        </w:rPr>
        <w:t xml:space="preserve"> the in-depth dialogue on the topic “contribution of traditional knowledge, innovations and practices of </w:t>
      </w:r>
      <w:r w:rsidRPr="002A6B7B">
        <w:rPr>
          <w:kern w:val="22"/>
        </w:rPr>
        <w:t>indigenous peoples and local communities, and cultural diversity to the post-2020 global biodiversity framework” conducted by the Ad Hoc Open-ended Inter-sessional Working Group on Article 8(j) and Related Provisions at its eleventh meeting,</w:t>
      </w:r>
    </w:p>
    <w:p w14:paraId="0ADAC201" w14:textId="77777777" w:rsidR="00991198" w:rsidRPr="002A6B7B" w:rsidRDefault="00991198" w:rsidP="00A958CB">
      <w:pPr>
        <w:suppressLineNumbers/>
        <w:suppressAutoHyphens/>
        <w:spacing w:before="120" w:after="120"/>
        <w:ind w:firstLine="720"/>
        <w:rPr>
          <w:kern w:val="22"/>
          <w:highlight w:val="white"/>
        </w:rPr>
      </w:pPr>
      <w:r w:rsidRPr="002A6B7B">
        <w:rPr>
          <w:i/>
          <w:kern w:val="22"/>
          <w:highlight w:val="white"/>
        </w:rPr>
        <w:t xml:space="preserve">Recognizing </w:t>
      </w:r>
      <w:r w:rsidRPr="002A6B7B">
        <w:rPr>
          <w:kern w:val="22"/>
          <w:highlight w:val="white"/>
        </w:rPr>
        <w:t xml:space="preserve">that the contribution of traditional knowledge, innovations and practices in addressing global biodiversity loss is fundamental to achieve the 2050 </w:t>
      </w:r>
      <w:r>
        <w:rPr>
          <w:kern w:val="22"/>
          <w:highlight w:val="white"/>
        </w:rPr>
        <w:t>V</w:t>
      </w:r>
      <w:r w:rsidRPr="002A6B7B">
        <w:rPr>
          <w:kern w:val="22"/>
          <w:highlight w:val="white"/>
        </w:rPr>
        <w:t xml:space="preserve">ision of </w:t>
      </w:r>
      <w:r>
        <w:rPr>
          <w:kern w:val="22"/>
          <w:highlight w:val="white"/>
        </w:rPr>
        <w:t>l</w:t>
      </w:r>
      <w:r w:rsidRPr="002A6B7B">
        <w:rPr>
          <w:kern w:val="22"/>
          <w:highlight w:val="white"/>
        </w:rPr>
        <w:t>iving in harmony with nature,</w:t>
      </w:r>
    </w:p>
    <w:p w14:paraId="05516646" w14:textId="77777777" w:rsidR="00991198" w:rsidRPr="002A6B7B" w:rsidRDefault="00991198" w:rsidP="00A958CB">
      <w:pPr>
        <w:suppressLineNumbers/>
        <w:suppressAutoHyphens/>
        <w:spacing w:before="120" w:after="120"/>
        <w:ind w:firstLine="720"/>
        <w:rPr>
          <w:kern w:val="22"/>
          <w:highlight w:val="white"/>
        </w:rPr>
      </w:pPr>
      <w:r>
        <w:rPr>
          <w:i/>
          <w:kern w:val="22"/>
          <w:highlight w:val="white"/>
        </w:rPr>
        <w:t>R</w:t>
      </w:r>
      <w:r w:rsidRPr="002A6B7B">
        <w:rPr>
          <w:i/>
          <w:kern w:val="22"/>
          <w:highlight w:val="white"/>
        </w:rPr>
        <w:t>ecognizing</w:t>
      </w:r>
      <w:r w:rsidRPr="002A6B7B">
        <w:rPr>
          <w:kern w:val="22"/>
          <w:highlight w:val="white"/>
        </w:rPr>
        <w:t xml:space="preserve"> </w:t>
      </w:r>
      <w:r w:rsidRPr="00C807A4">
        <w:rPr>
          <w:i/>
          <w:iCs/>
          <w:kern w:val="22"/>
          <w:highlight w:val="white"/>
        </w:rPr>
        <w:t>also</w:t>
      </w:r>
      <w:r>
        <w:rPr>
          <w:kern w:val="22"/>
          <w:highlight w:val="white"/>
        </w:rPr>
        <w:t xml:space="preserve"> </w:t>
      </w:r>
      <w:r w:rsidRPr="002A6B7B">
        <w:rPr>
          <w:kern w:val="22"/>
          <w:highlight w:val="white"/>
        </w:rPr>
        <w:t>that embracing the vision of the Convention requires embracing cultural diversity and acknowledging the intimate relationship between nature and people,</w:t>
      </w:r>
    </w:p>
    <w:p w14:paraId="1ECD50F7" w14:textId="77777777" w:rsidR="00991198" w:rsidRPr="002A6B7B" w:rsidRDefault="00991198" w:rsidP="00A958CB">
      <w:pPr>
        <w:suppressLineNumbers/>
        <w:suppressAutoHyphens/>
        <w:spacing w:before="120" w:after="120"/>
        <w:ind w:firstLine="720"/>
        <w:rPr>
          <w:kern w:val="22"/>
        </w:rPr>
      </w:pPr>
      <w:r>
        <w:rPr>
          <w:i/>
          <w:kern w:val="22"/>
        </w:rPr>
        <w:t>R</w:t>
      </w:r>
      <w:r w:rsidRPr="002A6B7B">
        <w:rPr>
          <w:i/>
          <w:kern w:val="22"/>
        </w:rPr>
        <w:t>ecognizing</w:t>
      </w:r>
      <w:r>
        <w:rPr>
          <w:i/>
          <w:kern w:val="22"/>
        </w:rPr>
        <w:t xml:space="preserve"> further</w:t>
      </w:r>
      <w:r w:rsidRPr="002A6B7B">
        <w:rPr>
          <w:kern w:val="22"/>
        </w:rPr>
        <w:t xml:space="preserve"> that diverse accumulations of knowledge, including intergenerational language transmission, can provide human and ecological systems with greater adaptive capacity to cope with current and future disturbances and strengthen economic, social and ecological resilience,</w:t>
      </w:r>
    </w:p>
    <w:p w14:paraId="45A7DCC9" w14:textId="77777777" w:rsidR="00991198" w:rsidRPr="002A6B7B" w:rsidRDefault="00991198" w:rsidP="00A958CB">
      <w:pPr>
        <w:suppressLineNumbers/>
        <w:suppressAutoHyphens/>
        <w:spacing w:before="120" w:after="120"/>
        <w:ind w:firstLine="720"/>
        <w:rPr>
          <w:kern w:val="22"/>
        </w:rPr>
      </w:pPr>
      <w:r w:rsidRPr="002A6B7B">
        <w:rPr>
          <w:i/>
          <w:iCs/>
          <w:kern w:val="22"/>
        </w:rPr>
        <w:t>Recognizing</w:t>
      </w:r>
      <w:r w:rsidRPr="002A6B7B">
        <w:rPr>
          <w:kern w:val="22"/>
        </w:rPr>
        <w:t xml:space="preserve"> the importance of the three objectives of the Convention</w:t>
      </w:r>
      <w:r>
        <w:rPr>
          <w:kern w:val="22"/>
        </w:rPr>
        <w:t xml:space="preserve"> on Biological Diversity</w:t>
      </w:r>
      <w:r w:rsidRPr="002A6B7B">
        <w:rPr>
          <w:kern w:val="22"/>
        </w:rPr>
        <w:t xml:space="preserve"> for biocultural diversity,</w:t>
      </w:r>
    </w:p>
    <w:p w14:paraId="53CDE8AE" w14:textId="77777777" w:rsidR="00991198" w:rsidRPr="002A6B7B" w:rsidRDefault="00991198" w:rsidP="00A958CB">
      <w:pPr>
        <w:suppressLineNumbers/>
        <w:suppressAutoHyphens/>
        <w:spacing w:before="120" w:after="120"/>
        <w:ind w:firstLine="720"/>
        <w:rPr>
          <w:kern w:val="22"/>
        </w:rPr>
      </w:pPr>
      <w:r w:rsidRPr="002A6B7B">
        <w:rPr>
          <w:kern w:val="22"/>
        </w:rPr>
        <w:t>1.</w:t>
      </w:r>
      <w:r w:rsidRPr="002A6B7B">
        <w:rPr>
          <w:kern w:val="22"/>
        </w:rPr>
        <w:tab/>
      </w:r>
      <w:r w:rsidRPr="002A6B7B">
        <w:rPr>
          <w:i/>
          <w:kern w:val="22"/>
        </w:rPr>
        <w:t>Invites</w:t>
      </w:r>
      <w:r w:rsidRPr="002A6B7B">
        <w:rPr>
          <w:kern w:val="22"/>
        </w:rPr>
        <w:t xml:space="preserve"> Parties to acknowledge, encourage and incorporate the contribution of indigenous peoples and local communities through their traditional knowledge, innovations and practices and their collective actions for the conservation and sustainable use of biodiversity</w:t>
      </w:r>
      <w:r>
        <w:rPr>
          <w:kern w:val="22"/>
        </w:rPr>
        <w:t>,</w:t>
      </w:r>
      <w:r w:rsidRPr="002A6B7B">
        <w:rPr>
          <w:kern w:val="22"/>
        </w:rPr>
        <w:t xml:space="preserve"> as well as, more broadly, the links between biological and cultural diversity, in the implementation of the </w:t>
      </w:r>
      <w:r>
        <w:rPr>
          <w:kern w:val="22"/>
        </w:rPr>
        <w:t>Kunming-Montreal</w:t>
      </w:r>
      <w:r w:rsidRPr="002A6B7B">
        <w:rPr>
          <w:kern w:val="22"/>
        </w:rPr>
        <w:t xml:space="preserve"> </w:t>
      </w:r>
      <w:r>
        <w:rPr>
          <w:kern w:val="22"/>
        </w:rPr>
        <w:t>G</w:t>
      </w:r>
      <w:r w:rsidRPr="002A6B7B">
        <w:rPr>
          <w:kern w:val="22"/>
        </w:rPr>
        <w:t xml:space="preserve">lobal </w:t>
      </w:r>
      <w:r>
        <w:rPr>
          <w:kern w:val="22"/>
        </w:rPr>
        <w:t>B</w:t>
      </w:r>
      <w:r w:rsidRPr="002A6B7B">
        <w:rPr>
          <w:kern w:val="22"/>
        </w:rPr>
        <w:t xml:space="preserve">iodiversity </w:t>
      </w:r>
      <w:r>
        <w:rPr>
          <w:kern w:val="22"/>
        </w:rPr>
        <w:t>F</w:t>
      </w:r>
      <w:r w:rsidRPr="002A6B7B">
        <w:rPr>
          <w:kern w:val="22"/>
        </w:rPr>
        <w:t>ramework;</w:t>
      </w:r>
    </w:p>
    <w:p w14:paraId="1D643700" w14:textId="77777777" w:rsidR="00991198" w:rsidRPr="0085703F" w:rsidRDefault="00991198" w:rsidP="00A958CB">
      <w:pPr>
        <w:suppressLineNumbers/>
        <w:suppressAutoHyphens/>
        <w:spacing w:before="120" w:after="120"/>
        <w:ind w:firstLine="720"/>
        <w:rPr>
          <w:strike/>
          <w:kern w:val="22"/>
        </w:rPr>
      </w:pPr>
      <w:r w:rsidRPr="002A6B7B">
        <w:rPr>
          <w:kern w:val="22"/>
        </w:rPr>
        <w:t>2.</w:t>
      </w:r>
      <w:r w:rsidRPr="002A6B7B">
        <w:rPr>
          <w:kern w:val="22"/>
        </w:rPr>
        <w:tab/>
      </w:r>
      <w:r w:rsidRPr="002A6B7B">
        <w:rPr>
          <w:i/>
          <w:kern w:val="22"/>
        </w:rPr>
        <w:t>Also invites</w:t>
      </w:r>
      <w:r w:rsidRPr="002A6B7B">
        <w:rPr>
          <w:kern w:val="22"/>
        </w:rPr>
        <w:t xml:space="preserve"> Parties to fully integrate considerations, adopted voluntary guidelines and principles regarding the links between cultural and biological diversity in their national implementation of the Convention on Biological Diversity, with the full and effective participation of indigenous peoples and local communities, according to national legislation</w:t>
      </w:r>
      <w:r>
        <w:rPr>
          <w:kern w:val="22"/>
        </w:rPr>
        <w:t xml:space="preserve"> and international obligations</w:t>
      </w:r>
      <w:r w:rsidRPr="002A6B7B">
        <w:rPr>
          <w:kern w:val="22"/>
        </w:rPr>
        <w:t>;</w:t>
      </w:r>
    </w:p>
    <w:p w14:paraId="289EC209" w14:textId="77777777" w:rsidR="00991198" w:rsidRDefault="00991198" w:rsidP="00585371">
      <w:pPr>
        <w:suppressLineNumbers/>
        <w:suppressAutoHyphens/>
        <w:spacing w:before="120" w:after="120"/>
        <w:ind w:firstLine="720"/>
      </w:pPr>
      <w:r w:rsidRPr="002A6B7B">
        <w:rPr>
          <w:kern w:val="22"/>
        </w:rPr>
        <w:t>3.</w:t>
      </w:r>
      <w:r w:rsidRPr="002A6B7B">
        <w:rPr>
          <w:kern w:val="22"/>
        </w:rPr>
        <w:tab/>
      </w:r>
      <w:r w:rsidRPr="002A6B7B">
        <w:rPr>
          <w:i/>
          <w:kern w:val="22"/>
        </w:rPr>
        <w:t>Decides</w:t>
      </w:r>
      <w:r w:rsidRPr="002A6B7B">
        <w:rPr>
          <w:kern w:val="22"/>
        </w:rPr>
        <w:t xml:space="preserve"> that the topic for the in-depth dialogue to be discussed at the twelfth meeting of the Ad</w:t>
      </w:r>
      <w:r w:rsidRPr="00C12388">
        <w:rPr>
          <w:kern w:val="22"/>
        </w:rPr>
        <w:t> Hoc Open-ended Inter-sessional Working Group on Article 8(j</w:t>
      </w:r>
      <w:r w:rsidRPr="00BD100D">
        <w:rPr>
          <w:kern w:val="22"/>
        </w:rPr>
        <w:t>) and Related Provisions will be: “the role of languages in the intergenerational transmission of traditional knowledge</w:t>
      </w:r>
      <w:r w:rsidRPr="002A6B7B">
        <w:rPr>
          <w:kern w:val="22"/>
        </w:rPr>
        <w:t>, innovations and practices”.</w:t>
      </w:r>
    </w:p>
    <w:p w14:paraId="4D955DD1" w14:textId="77777777" w:rsidR="00991198" w:rsidRDefault="00991198" w:rsidP="00991198">
      <w:pPr>
        <w:jc w:val="center"/>
        <w:sectPr w:rsidR="00991198" w:rsidSect="00441700">
          <w:pgSz w:w="12240" w:h="15840"/>
          <w:pgMar w:top="567" w:right="1440" w:bottom="1134" w:left="1440" w:header="709" w:footer="709" w:gutter="0"/>
          <w:cols w:space="708"/>
          <w:docGrid w:linePitch="360"/>
        </w:sectPr>
      </w:pPr>
    </w:p>
    <w:p w14:paraId="13680670" w14:textId="77777777" w:rsidR="00991198" w:rsidRDefault="00991198" w:rsidP="009F4E1D">
      <w:pPr>
        <w:pStyle w:val="decision"/>
        <w:ind w:left="1418" w:hanging="850"/>
        <w:jc w:val="left"/>
        <w:rPr>
          <w:caps/>
        </w:rPr>
      </w:pPr>
      <w:bookmarkStart w:id="270" w:name="_Toc150438819"/>
      <w:bookmarkStart w:id="271" w:name="_Toc150670519"/>
      <w:bookmarkStart w:id="272" w:name="_Toc150670629"/>
      <w:bookmarkStart w:id="273" w:name="_Toc150761131"/>
      <w:r>
        <w:lastRenderedPageBreak/>
        <w:t>15/21.</w:t>
      </w:r>
      <w:r>
        <w:tab/>
      </w:r>
      <w:r w:rsidRPr="00D01B09">
        <w:t>Recommendations from the United Nations Permanent Forum on Indigenous Issues to the Convention on Biological Diversity</w:t>
      </w:r>
      <w:bookmarkEnd w:id="270"/>
      <w:bookmarkEnd w:id="271"/>
      <w:bookmarkEnd w:id="272"/>
      <w:bookmarkEnd w:id="273"/>
      <w:r w:rsidRPr="00105372">
        <w:rPr>
          <w:caps/>
        </w:rPr>
        <w:t xml:space="preserve"> </w:t>
      </w:r>
    </w:p>
    <w:p w14:paraId="18CBAD9D" w14:textId="77777777" w:rsidR="00991198" w:rsidRPr="00B269AE" w:rsidRDefault="00991198" w:rsidP="000E5536">
      <w:pPr>
        <w:pStyle w:val="Para1"/>
        <w:numPr>
          <w:ilvl w:val="0"/>
          <w:numId w:val="0"/>
        </w:numPr>
        <w:suppressLineNumbers/>
        <w:suppressAutoHyphens/>
        <w:adjustRightInd w:val="0"/>
        <w:ind w:firstLine="720"/>
        <w:rPr>
          <w:i/>
        </w:rPr>
      </w:pPr>
      <w:r w:rsidRPr="00B269AE">
        <w:rPr>
          <w:i/>
        </w:rPr>
        <w:t>The Conference of the Parties,</w:t>
      </w:r>
    </w:p>
    <w:p w14:paraId="58D018FB" w14:textId="77777777" w:rsidR="00991198" w:rsidRPr="00B269AE" w:rsidRDefault="00991198" w:rsidP="000E5536">
      <w:pPr>
        <w:pStyle w:val="Para1"/>
        <w:numPr>
          <w:ilvl w:val="0"/>
          <w:numId w:val="0"/>
        </w:numPr>
        <w:suppressLineNumbers/>
        <w:suppressAutoHyphens/>
        <w:adjustRightInd w:val="0"/>
        <w:ind w:firstLine="720"/>
      </w:pPr>
      <w:r w:rsidRPr="00B269AE">
        <w:rPr>
          <w:i/>
        </w:rPr>
        <w:t xml:space="preserve">Having considered </w:t>
      </w:r>
      <w:r w:rsidRPr="00B269AE">
        <w:t>the note by the Executive Secretary,</w:t>
      </w:r>
      <w:r w:rsidRPr="00610646">
        <w:rPr>
          <w:rStyle w:val="FootnoteReference"/>
          <w:rFonts w:eastAsiaTheme="majorEastAsia"/>
        </w:rPr>
        <w:footnoteReference w:id="312"/>
      </w:r>
    </w:p>
    <w:p w14:paraId="425B30D2" w14:textId="77777777" w:rsidR="00991198" w:rsidRPr="00B269AE" w:rsidRDefault="00991198" w:rsidP="000E5536">
      <w:pPr>
        <w:pStyle w:val="Para1"/>
        <w:numPr>
          <w:ilvl w:val="0"/>
          <w:numId w:val="0"/>
        </w:numPr>
        <w:suppressLineNumbers/>
        <w:suppressAutoHyphens/>
        <w:adjustRightInd w:val="0"/>
        <w:ind w:firstLine="720"/>
      </w:pPr>
      <w:r w:rsidRPr="0091773D">
        <w:t>1.</w:t>
      </w:r>
      <w:r w:rsidRPr="0091773D">
        <w:tab/>
      </w:r>
      <w:r w:rsidRPr="00B4267B">
        <w:rPr>
          <w:i/>
        </w:rPr>
        <w:t>Takes note</w:t>
      </w:r>
      <w:r w:rsidRPr="00B4267B">
        <w:t xml:space="preserve"> of the recommendations emanating from the seventeenth and eighteenth sessions of the United Nations Permanent Forum on Indigenous Issues</w:t>
      </w:r>
      <w:r w:rsidRPr="00B269AE">
        <w:t xml:space="preserve">, and </w:t>
      </w:r>
      <w:r w:rsidRPr="00D33CE9">
        <w:t>requests</w:t>
      </w:r>
      <w:r w:rsidRPr="00B269AE">
        <w:t xml:space="preserve"> the Executive Secretary to continue to inform the Permanent Forum of developments of mutual interest;</w:t>
      </w:r>
    </w:p>
    <w:p w14:paraId="3F6CC7C0" w14:textId="77777777" w:rsidR="00991198" w:rsidRPr="00B269AE" w:rsidRDefault="00991198" w:rsidP="000E5536">
      <w:pPr>
        <w:pStyle w:val="Para1"/>
        <w:numPr>
          <w:ilvl w:val="0"/>
          <w:numId w:val="0"/>
        </w:numPr>
        <w:suppressLineNumbers/>
        <w:suppressAutoHyphens/>
        <w:adjustRightInd w:val="0"/>
        <w:ind w:firstLine="720"/>
      </w:pPr>
      <w:r w:rsidRPr="00B269AE">
        <w:t>2.</w:t>
      </w:r>
      <w:r w:rsidRPr="00B269AE">
        <w:tab/>
      </w:r>
      <w:r w:rsidRPr="00B269AE">
        <w:rPr>
          <w:i/>
        </w:rPr>
        <w:t>Welcomes</w:t>
      </w:r>
      <w:r w:rsidRPr="00B269AE">
        <w:t xml:space="preserve"> the invitations of the Forum to the Secretariat of the Convention on Biological Diversity to contribute to:</w:t>
      </w:r>
    </w:p>
    <w:p w14:paraId="4B37D3F6" w14:textId="77777777" w:rsidR="00991198" w:rsidRPr="00B269AE" w:rsidRDefault="00991198" w:rsidP="000E5536">
      <w:pPr>
        <w:pStyle w:val="Para1"/>
        <w:numPr>
          <w:ilvl w:val="0"/>
          <w:numId w:val="0"/>
        </w:numPr>
        <w:suppressLineNumbers/>
        <w:suppressAutoHyphens/>
        <w:adjustRightInd w:val="0"/>
        <w:ind w:firstLine="709"/>
      </w:pPr>
      <w:r>
        <w:t xml:space="preserve">(a) </w:t>
      </w:r>
      <w:r>
        <w:tab/>
      </w:r>
      <w:r w:rsidRPr="00B269AE">
        <w:t>A study on the contributions of indigenous peoples to the management of ecosystems and the protection of biodiversity;</w:t>
      </w:r>
    </w:p>
    <w:p w14:paraId="37CB5B96" w14:textId="77777777" w:rsidR="00991198" w:rsidRPr="00B269AE" w:rsidRDefault="00991198" w:rsidP="000E5536">
      <w:pPr>
        <w:pStyle w:val="Para1"/>
        <w:numPr>
          <w:ilvl w:val="0"/>
          <w:numId w:val="0"/>
        </w:numPr>
        <w:suppressLineNumbers/>
        <w:suppressAutoHyphens/>
        <w:adjustRightInd w:val="0"/>
        <w:ind w:firstLine="709"/>
      </w:pPr>
      <w:r>
        <w:t xml:space="preserve">(b) </w:t>
      </w:r>
      <w:r>
        <w:tab/>
      </w:r>
      <w:r w:rsidRPr="00B269AE">
        <w:t xml:space="preserve">A set of actions and commitments in relation to conservation and human rights in the context of the </w:t>
      </w:r>
      <w:r>
        <w:t>Kunming-Montreal Global Biodiversity Framework</w:t>
      </w:r>
      <w:r w:rsidRPr="00B269AE">
        <w:t>;</w:t>
      </w:r>
    </w:p>
    <w:p w14:paraId="0F854D75" w14:textId="77777777" w:rsidR="00991198" w:rsidRPr="00B269AE" w:rsidRDefault="00991198" w:rsidP="000E5536">
      <w:pPr>
        <w:pStyle w:val="Para1"/>
        <w:numPr>
          <w:ilvl w:val="0"/>
          <w:numId w:val="0"/>
        </w:numPr>
        <w:suppressLineNumbers/>
        <w:suppressAutoHyphens/>
        <w:adjustRightInd w:val="0"/>
        <w:ind w:firstLine="709"/>
      </w:pPr>
      <w:r>
        <w:t xml:space="preserve">(c) </w:t>
      </w:r>
      <w:r>
        <w:tab/>
      </w:r>
      <w:r w:rsidRPr="00ED53F8">
        <w:t>A comparative legal study that analyses the rights of indigenous peoples and the emerging rights of local communities;</w:t>
      </w:r>
    </w:p>
    <w:p w14:paraId="07F92B51" w14:textId="77777777" w:rsidR="00991198" w:rsidRPr="00B4267B" w:rsidRDefault="00991198" w:rsidP="000E5536">
      <w:pPr>
        <w:pStyle w:val="Para1"/>
        <w:numPr>
          <w:ilvl w:val="0"/>
          <w:numId w:val="0"/>
        </w:numPr>
        <w:suppressLineNumbers/>
        <w:suppressAutoHyphens/>
        <w:ind w:firstLine="720"/>
      </w:pPr>
      <w:r w:rsidRPr="00ED53F8">
        <w:t>3.</w:t>
      </w:r>
      <w:r w:rsidRPr="00ED53F8">
        <w:tab/>
      </w:r>
      <w:r w:rsidRPr="00ED53F8">
        <w:rPr>
          <w:i/>
        </w:rPr>
        <w:t>Decides</w:t>
      </w:r>
      <w:r w:rsidRPr="00ED53F8">
        <w:t xml:space="preserve"> to take the results of these activities under consideration in the development of its new programme of work on Article 8(j) and </w:t>
      </w:r>
      <w:r>
        <w:t>other</w:t>
      </w:r>
      <w:r w:rsidRPr="00ED53F8">
        <w:t xml:space="preserve"> provisions</w:t>
      </w:r>
      <w:r>
        <w:t xml:space="preserve"> of the Convention related to indigenous peoples and local communities</w:t>
      </w:r>
      <w:r w:rsidRPr="00ED53F8">
        <w:t xml:space="preserve"> from the perspective of the relevance of the knowledge innovations and practices of indigenous peoples and local communities relevant to the conservation and sustainable use of biodiversity, particularly in the </w:t>
      </w:r>
      <w:r>
        <w:t>Kunming-Montreal Global Biodiversity Framework</w:t>
      </w:r>
      <w:r w:rsidRPr="00ED53F8">
        <w:t>;</w:t>
      </w:r>
    </w:p>
    <w:p w14:paraId="7CFF8389" w14:textId="77777777" w:rsidR="00991198" w:rsidRPr="00ED53F8" w:rsidRDefault="00991198" w:rsidP="000E5536">
      <w:pPr>
        <w:pStyle w:val="Para1"/>
        <w:numPr>
          <w:ilvl w:val="0"/>
          <w:numId w:val="0"/>
        </w:numPr>
        <w:suppressLineNumbers/>
        <w:suppressAutoHyphens/>
        <w:ind w:firstLine="709"/>
      </w:pPr>
      <w:r w:rsidRPr="00B269AE">
        <w:t>4.</w:t>
      </w:r>
      <w:r w:rsidRPr="00B269AE">
        <w:tab/>
      </w:r>
      <w:r w:rsidRPr="00B269AE">
        <w:rPr>
          <w:i/>
        </w:rPr>
        <w:t>Requests</w:t>
      </w:r>
      <w:r w:rsidRPr="00B269AE">
        <w:t xml:space="preserve"> the Executive Secretary, subject to the availability of resources, to contribute to the above-mentioned activities, to provide information to the Forum about these and other relevant activities of the Convention, and to carry out commitments to </w:t>
      </w:r>
      <w:r w:rsidRPr="00444DA5">
        <w:t>indigenous peoples, in</w:t>
      </w:r>
      <w:r w:rsidRPr="00B269AE">
        <w:t xml:space="preserve"> accordance with the Secretary General’s system-wide action plan for ensuring a coherent approach to achieving the ends of the United Nations Declaration on the Rights of Indigenous Peoples.</w:t>
      </w:r>
      <w:r w:rsidRPr="00610646">
        <w:rPr>
          <w:rStyle w:val="FootnoteReference"/>
          <w:rFonts w:eastAsiaTheme="majorEastAsia"/>
        </w:rPr>
        <w:footnoteReference w:id="313"/>
      </w:r>
    </w:p>
    <w:p w14:paraId="08244436" w14:textId="77777777" w:rsidR="00927BF8" w:rsidRDefault="00927BF8" w:rsidP="00991198">
      <w:pPr>
        <w:jc w:val="center"/>
        <w:sectPr w:rsidR="00927BF8" w:rsidSect="00441700">
          <w:footnotePr>
            <w:numRestart w:val="eachSect"/>
          </w:footnotePr>
          <w:pgSz w:w="12240" w:h="15840"/>
          <w:pgMar w:top="567" w:right="1440" w:bottom="1134" w:left="1440" w:header="709" w:footer="709" w:gutter="0"/>
          <w:cols w:space="708"/>
          <w:docGrid w:linePitch="360"/>
        </w:sectPr>
      </w:pPr>
    </w:p>
    <w:p w14:paraId="2C9BB8D3" w14:textId="77777777" w:rsidR="00927BF8" w:rsidRDefault="00927BF8" w:rsidP="00275D49">
      <w:pPr>
        <w:pStyle w:val="decision"/>
        <w:rPr>
          <w:caps/>
        </w:rPr>
      </w:pPr>
      <w:bookmarkStart w:id="274" w:name="_Toc150438820"/>
      <w:bookmarkStart w:id="275" w:name="_Toc150670520"/>
      <w:bookmarkStart w:id="276" w:name="_Toc150670630"/>
      <w:bookmarkStart w:id="277" w:name="_Toc150761132"/>
      <w:r>
        <w:lastRenderedPageBreak/>
        <w:t>15/22.</w:t>
      </w:r>
      <w:r>
        <w:tab/>
        <w:t>Nature and Culture</w:t>
      </w:r>
      <w:bookmarkEnd w:id="274"/>
      <w:bookmarkEnd w:id="275"/>
      <w:bookmarkEnd w:id="276"/>
      <w:bookmarkEnd w:id="277"/>
      <w:r w:rsidRPr="00105372">
        <w:rPr>
          <w:caps/>
        </w:rPr>
        <w:t xml:space="preserve"> </w:t>
      </w:r>
    </w:p>
    <w:p w14:paraId="6D0E3A03" w14:textId="77777777" w:rsidR="00927BF8" w:rsidRPr="00AA583C" w:rsidRDefault="00927BF8" w:rsidP="004349CC">
      <w:pPr>
        <w:keepNext/>
        <w:suppressLineNumbers/>
        <w:suppressAutoHyphens/>
        <w:spacing w:before="120" w:after="120"/>
        <w:ind w:firstLine="720"/>
        <w:rPr>
          <w:rFonts w:eastAsia="MS Mincho"/>
          <w:i/>
          <w:iCs/>
          <w:snapToGrid w:val="0"/>
          <w:kern w:val="22"/>
          <w:szCs w:val="22"/>
        </w:rPr>
      </w:pPr>
      <w:r w:rsidRPr="00AA583C">
        <w:rPr>
          <w:rFonts w:eastAsia="MS Mincho"/>
          <w:i/>
          <w:iCs/>
          <w:snapToGrid w:val="0"/>
          <w:kern w:val="22"/>
          <w:szCs w:val="22"/>
        </w:rPr>
        <w:t>The Conference of the Parties,</w:t>
      </w:r>
    </w:p>
    <w:p w14:paraId="55D46A3E" w14:textId="77777777" w:rsidR="00927BF8" w:rsidRPr="004349CC" w:rsidRDefault="00927BF8" w:rsidP="004349CC">
      <w:pPr>
        <w:suppressLineNumbers/>
        <w:suppressAutoHyphens/>
        <w:spacing w:before="120" w:after="120"/>
        <w:ind w:firstLine="720"/>
        <w:rPr>
          <w:rFonts w:eastAsia="MS Mincho"/>
          <w:iCs/>
          <w:snapToGrid w:val="0"/>
          <w:kern w:val="22"/>
          <w:szCs w:val="22"/>
          <w:lang w:val="en-US"/>
        </w:rPr>
      </w:pPr>
      <w:r w:rsidRPr="00AA583C">
        <w:rPr>
          <w:rFonts w:eastAsia="MS Mincho"/>
          <w:i/>
          <w:snapToGrid w:val="0"/>
          <w:kern w:val="22"/>
          <w:szCs w:val="22"/>
        </w:rPr>
        <w:t>Recalling</w:t>
      </w:r>
      <w:r w:rsidRPr="00AA583C">
        <w:rPr>
          <w:rFonts w:eastAsia="MS Mincho"/>
          <w:iCs/>
          <w:snapToGrid w:val="0"/>
          <w:kern w:val="22"/>
          <w:szCs w:val="22"/>
        </w:rPr>
        <w:t xml:space="preserve"> </w:t>
      </w:r>
      <w:r w:rsidRPr="00AA583C">
        <w:rPr>
          <w:rFonts w:eastAsia="MS Mincho"/>
          <w:kern w:val="22"/>
          <w:szCs w:val="22"/>
        </w:rPr>
        <w:t>decision X/20, paragraph 16, in which it welcomed the Joint Programme of Work between the Secretariat of the Convention on Biological Diversity and the United Nations Educational, Scientific and Cultural Organization, on the links between biological and cultural diversity, and decision 14/30, in which it recognized the Joint Programme of Work as a useful coordination mechanism for advancing the implementation of the Convention and deepening global awareness of the interlinkages between cultural and biological diversity,</w:t>
      </w:r>
    </w:p>
    <w:p w14:paraId="50FCAEC1" w14:textId="77777777" w:rsidR="00927BF8" w:rsidRPr="00AA583C" w:rsidRDefault="00927BF8" w:rsidP="004349CC">
      <w:pPr>
        <w:suppressLineNumbers/>
        <w:suppressAutoHyphens/>
        <w:snapToGrid w:val="0"/>
        <w:spacing w:before="120" w:after="120"/>
        <w:ind w:firstLine="720"/>
        <w:rPr>
          <w:kern w:val="22"/>
          <w:szCs w:val="22"/>
        </w:rPr>
      </w:pPr>
      <w:r w:rsidRPr="00AA583C">
        <w:rPr>
          <w:i/>
          <w:kern w:val="22"/>
          <w:szCs w:val="22"/>
        </w:rPr>
        <w:t>Welcoming</w:t>
      </w:r>
      <w:r w:rsidRPr="00AA583C">
        <w:rPr>
          <w:kern w:val="22"/>
          <w:szCs w:val="22"/>
        </w:rPr>
        <w:t xml:space="preserve"> the lessons learned from the international and regional initiatives conducted under the auspices of the Joint Programme of Work </w:t>
      </w:r>
      <w:r>
        <w:rPr>
          <w:kern w:val="22"/>
          <w:szCs w:val="22"/>
        </w:rPr>
        <w:t>(</w:t>
      </w:r>
      <w:r w:rsidRPr="00CB6ACA">
        <w:rPr>
          <w:kern w:val="22"/>
          <w:szCs w:val="22"/>
        </w:rPr>
        <w:t>2010</w:t>
      </w:r>
      <w:r>
        <w:rPr>
          <w:kern w:val="22"/>
          <w:szCs w:val="22"/>
        </w:rPr>
        <w:t>–</w:t>
      </w:r>
      <w:r w:rsidRPr="00CB6ACA">
        <w:rPr>
          <w:kern w:val="22"/>
          <w:szCs w:val="22"/>
        </w:rPr>
        <w:t>2020),</w:t>
      </w:r>
      <w:r w:rsidRPr="00610646">
        <w:rPr>
          <w:rStyle w:val="FootnoteReference"/>
        </w:rPr>
        <w:footnoteReference w:id="314"/>
      </w:r>
    </w:p>
    <w:p w14:paraId="08C900FA" w14:textId="77777777" w:rsidR="00927BF8" w:rsidRPr="00AA583C" w:rsidRDefault="00927BF8" w:rsidP="004349CC">
      <w:pPr>
        <w:suppressLineNumbers/>
        <w:suppressAutoHyphens/>
        <w:snapToGrid w:val="0"/>
        <w:spacing w:before="120" w:after="120"/>
        <w:ind w:firstLine="720"/>
        <w:rPr>
          <w:kern w:val="22"/>
          <w:szCs w:val="22"/>
        </w:rPr>
      </w:pPr>
      <w:r w:rsidRPr="00AA583C">
        <w:rPr>
          <w:i/>
          <w:kern w:val="22"/>
          <w:szCs w:val="22"/>
        </w:rPr>
        <w:t xml:space="preserve">Noting </w:t>
      </w:r>
      <w:r w:rsidRPr="00AA583C">
        <w:rPr>
          <w:kern w:val="22"/>
          <w:szCs w:val="22"/>
        </w:rPr>
        <w:t xml:space="preserve">that the Joint Programme of Work remains relevant for the </w:t>
      </w:r>
      <w:r>
        <w:rPr>
          <w:kern w:val="22"/>
          <w:szCs w:val="22"/>
        </w:rPr>
        <w:t>Kunming-Montreal</w:t>
      </w:r>
      <w:r w:rsidRPr="00AA583C">
        <w:rPr>
          <w:kern w:val="22"/>
          <w:szCs w:val="22"/>
        </w:rPr>
        <w:t xml:space="preserve"> </w:t>
      </w:r>
      <w:r>
        <w:rPr>
          <w:kern w:val="22"/>
          <w:szCs w:val="22"/>
        </w:rPr>
        <w:t>G</w:t>
      </w:r>
      <w:r w:rsidRPr="00AA583C">
        <w:rPr>
          <w:kern w:val="22"/>
          <w:szCs w:val="22"/>
        </w:rPr>
        <w:t xml:space="preserve">lobal </w:t>
      </w:r>
      <w:r>
        <w:rPr>
          <w:kern w:val="22"/>
          <w:szCs w:val="22"/>
        </w:rPr>
        <w:t>B</w:t>
      </w:r>
      <w:r w:rsidRPr="00AA583C">
        <w:rPr>
          <w:kern w:val="22"/>
          <w:szCs w:val="22"/>
        </w:rPr>
        <w:t xml:space="preserve">iodiversity </w:t>
      </w:r>
      <w:r>
        <w:rPr>
          <w:kern w:val="22"/>
          <w:szCs w:val="22"/>
        </w:rPr>
        <w:t>F</w:t>
      </w:r>
      <w:r w:rsidRPr="00AA583C">
        <w:rPr>
          <w:kern w:val="22"/>
          <w:szCs w:val="22"/>
        </w:rPr>
        <w:t>ramework,</w:t>
      </w:r>
      <w:r w:rsidRPr="00610646">
        <w:rPr>
          <w:rStyle w:val="FootnoteReference"/>
        </w:rPr>
        <w:footnoteReference w:id="315"/>
      </w:r>
    </w:p>
    <w:p w14:paraId="223728A6" w14:textId="77777777" w:rsidR="00927BF8" w:rsidRPr="00AA583C" w:rsidRDefault="00927BF8" w:rsidP="004349CC">
      <w:pPr>
        <w:suppressLineNumbers/>
        <w:suppressAutoHyphens/>
        <w:autoSpaceDE w:val="0"/>
        <w:autoSpaceDN w:val="0"/>
        <w:adjustRightInd w:val="0"/>
        <w:spacing w:before="120" w:after="120"/>
        <w:ind w:firstLine="720"/>
        <w:rPr>
          <w:rFonts w:eastAsia="MS Mincho"/>
          <w:kern w:val="22"/>
          <w:szCs w:val="22"/>
        </w:rPr>
      </w:pPr>
      <w:r w:rsidRPr="00AA583C">
        <w:rPr>
          <w:rFonts w:eastAsia="MS Mincho"/>
          <w:kern w:val="22"/>
          <w:szCs w:val="22"/>
        </w:rPr>
        <w:t>1.</w:t>
      </w:r>
      <w:r w:rsidRPr="00AA583C">
        <w:rPr>
          <w:rFonts w:eastAsia="MS Mincho"/>
          <w:kern w:val="22"/>
          <w:szCs w:val="22"/>
        </w:rPr>
        <w:tab/>
      </w:r>
      <w:r w:rsidRPr="00AA583C">
        <w:rPr>
          <w:rFonts w:eastAsia="MS Mincho"/>
          <w:i/>
          <w:kern w:val="22"/>
          <w:szCs w:val="22"/>
        </w:rPr>
        <w:t xml:space="preserve">Decides </w:t>
      </w:r>
      <w:r w:rsidRPr="00AA583C">
        <w:rPr>
          <w:rFonts w:eastAsia="MS Mincho"/>
          <w:kern w:val="22"/>
          <w:szCs w:val="22"/>
        </w:rPr>
        <w:t xml:space="preserve">to renew its commitment to the Joint Programme of Work on the </w:t>
      </w:r>
      <w:r>
        <w:rPr>
          <w:rFonts w:eastAsia="MS Mincho"/>
          <w:kern w:val="22"/>
          <w:szCs w:val="22"/>
        </w:rPr>
        <w:t>l</w:t>
      </w:r>
      <w:r w:rsidRPr="00AA583C">
        <w:rPr>
          <w:rFonts w:eastAsia="MS Mincho"/>
          <w:kern w:val="22"/>
          <w:szCs w:val="22"/>
        </w:rPr>
        <w:t xml:space="preserve">inks between </w:t>
      </w:r>
      <w:r>
        <w:rPr>
          <w:rFonts w:eastAsia="MS Mincho"/>
          <w:kern w:val="22"/>
          <w:szCs w:val="22"/>
        </w:rPr>
        <w:t>b</w:t>
      </w:r>
      <w:r w:rsidRPr="00AA583C">
        <w:rPr>
          <w:rFonts w:eastAsia="MS Mincho"/>
          <w:kern w:val="22"/>
          <w:szCs w:val="22"/>
        </w:rPr>
        <w:t xml:space="preserve">iological and </w:t>
      </w:r>
      <w:r>
        <w:rPr>
          <w:rFonts w:eastAsia="MS Mincho"/>
          <w:kern w:val="22"/>
          <w:szCs w:val="22"/>
        </w:rPr>
        <w:t>c</w:t>
      </w:r>
      <w:r w:rsidRPr="00AA583C">
        <w:rPr>
          <w:rFonts w:eastAsia="MS Mincho"/>
          <w:kern w:val="22"/>
          <w:szCs w:val="22"/>
        </w:rPr>
        <w:t xml:space="preserve">ultural </w:t>
      </w:r>
      <w:r>
        <w:rPr>
          <w:rFonts w:eastAsia="MS Mincho"/>
          <w:kern w:val="22"/>
          <w:szCs w:val="22"/>
        </w:rPr>
        <w:t>d</w:t>
      </w:r>
      <w:r w:rsidRPr="00AA583C">
        <w:rPr>
          <w:rFonts w:eastAsia="MS Mincho"/>
          <w:kern w:val="22"/>
          <w:szCs w:val="22"/>
        </w:rPr>
        <w:t>iversity, to be promoted by the Secretariat of the Convention on Biological Diversity, the United Nations Educational, Scientific and Cultural Organization</w:t>
      </w:r>
      <w:r>
        <w:rPr>
          <w:rFonts w:eastAsia="MS Mincho"/>
          <w:kern w:val="22"/>
          <w:szCs w:val="22"/>
        </w:rPr>
        <w:t>,</w:t>
      </w:r>
      <w:r w:rsidRPr="00AA583C" w:rsidDel="00E707F4">
        <w:rPr>
          <w:rFonts w:eastAsia="MS Mincho"/>
          <w:kern w:val="22"/>
          <w:szCs w:val="22"/>
        </w:rPr>
        <w:t xml:space="preserve"> </w:t>
      </w:r>
      <w:r w:rsidRPr="00AA583C">
        <w:rPr>
          <w:rFonts w:eastAsia="MS Mincho"/>
          <w:kern w:val="22"/>
          <w:szCs w:val="22"/>
          <w:shd w:val="clear" w:color="auto" w:fill="FFFFFF"/>
        </w:rPr>
        <w:t xml:space="preserve">the </w:t>
      </w:r>
      <w:r w:rsidRPr="00AA583C">
        <w:rPr>
          <w:rFonts w:eastAsia="MS Mincho"/>
          <w:iCs/>
          <w:kern w:val="22"/>
          <w:szCs w:val="22"/>
          <w:shd w:val="clear" w:color="auto" w:fill="FFFFFF"/>
        </w:rPr>
        <w:t>International Union for Conservation of Nature</w:t>
      </w:r>
      <w:r>
        <w:rPr>
          <w:rFonts w:eastAsia="MS Mincho"/>
          <w:iCs/>
          <w:kern w:val="22"/>
          <w:szCs w:val="22"/>
          <w:shd w:val="clear" w:color="auto" w:fill="FFFFFF"/>
        </w:rPr>
        <w:t xml:space="preserve">, the </w:t>
      </w:r>
      <w:r w:rsidRPr="004349CC">
        <w:rPr>
          <w:rFonts w:eastAsia="MS Mincho"/>
          <w:iCs/>
          <w:kern w:val="22"/>
          <w:szCs w:val="22"/>
          <w:shd w:val="clear" w:color="auto" w:fill="FFFFFF"/>
        </w:rPr>
        <w:t>International Council on Monuments and Sites</w:t>
      </w:r>
      <w:r>
        <w:rPr>
          <w:rFonts w:eastAsia="MS Mincho"/>
          <w:iCs/>
          <w:kern w:val="22"/>
          <w:szCs w:val="22"/>
          <w:shd w:val="clear" w:color="auto" w:fill="FFFFFF"/>
        </w:rPr>
        <w:t>,</w:t>
      </w:r>
      <w:r w:rsidRPr="004349CC">
        <w:t xml:space="preserve"> </w:t>
      </w:r>
      <w:r>
        <w:t xml:space="preserve">the </w:t>
      </w:r>
      <w:r w:rsidRPr="004349CC">
        <w:rPr>
          <w:rFonts w:eastAsia="MS Mincho"/>
          <w:iCs/>
          <w:kern w:val="22"/>
          <w:szCs w:val="22"/>
          <w:shd w:val="clear" w:color="auto" w:fill="FFFFFF"/>
        </w:rPr>
        <w:t>International Centre for the Study of the Preservation and Restoration of Cultural Property</w:t>
      </w:r>
      <w:r>
        <w:rPr>
          <w:rFonts w:eastAsia="MS Mincho"/>
          <w:iCs/>
          <w:kern w:val="22"/>
          <w:szCs w:val="22"/>
          <w:shd w:val="clear" w:color="auto" w:fill="FFFFFF"/>
        </w:rPr>
        <w:t xml:space="preserve">, </w:t>
      </w:r>
      <w:r w:rsidRPr="00AA583C">
        <w:rPr>
          <w:rFonts w:eastAsia="MS Mincho"/>
          <w:kern w:val="22"/>
          <w:szCs w:val="22"/>
        </w:rPr>
        <w:t xml:space="preserve">as well as other relevant </w:t>
      </w:r>
      <w:r w:rsidRPr="0016200E">
        <w:rPr>
          <w:rFonts w:eastAsia="MS Mincho"/>
          <w:kern w:val="22"/>
          <w:szCs w:val="22"/>
        </w:rPr>
        <w:t>partners,</w:t>
      </w:r>
      <w:r w:rsidRPr="007C796B">
        <w:rPr>
          <w:kern w:val="22"/>
          <w:szCs w:val="22"/>
          <w:lang w:bidi="en-US"/>
        </w:rPr>
        <w:t xml:space="preserve"> </w:t>
      </w:r>
      <w:r w:rsidRPr="0016200E">
        <w:rPr>
          <w:rFonts w:eastAsia="MS Mincho"/>
          <w:kern w:val="22"/>
          <w:szCs w:val="22"/>
          <w:lang w:bidi="en-US"/>
        </w:rPr>
        <w:t xml:space="preserve">including </w:t>
      </w:r>
      <w:r w:rsidRPr="00AA583C">
        <w:rPr>
          <w:rFonts w:eastAsia="MS Mincho"/>
          <w:kern w:val="22"/>
          <w:szCs w:val="22"/>
          <w:lang w:bidi="en-US"/>
        </w:rPr>
        <w:t xml:space="preserve">the </w:t>
      </w:r>
      <w:r w:rsidRPr="00AA583C">
        <w:rPr>
          <w:rFonts w:eastAsia="MS Mincho"/>
          <w:bCs/>
          <w:kern w:val="22"/>
          <w:szCs w:val="22"/>
          <w:lang w:bidi="en-US"/>
        </w:rPr>
        <w:t>United Nations Permanent Forum on Indigenous Iss</w:t>
      </w:r>
      <w:r w:rsidRPr="0016200E">
        <w:rPr>
          <w:rFonts w:eastAsia="MS Mincho"/>
          <w:bCs/>
          <w:kern w:val="22"/>
          <w:szCs w:val="22"/>
          <w:lang w:bidi="en-US"/>
        </w:rPr>
        <w:t>ues</w:t>
      </w:r>
      <w:r>
        <w:rPr>
          <w:rFonts w:eastAsia="MS Mincho"/>
          <w:bCs/>
          <w:kern w:val="22"/>
          <w:szCs w:val="22"/>
          <w:lang w:bidi="en-US"/>
        </w:rPr>
        <w:t xml:space="preserve"> and</w:t>
      </w:r>
      <w:r w:rsidRPr="007C796B">
        <w:rPr>
          <w:rFonts w:asciiTheme="majorBidi" w:hAnsiTheme="majorBidi" w:cstheme="majorBidi"/>
          <w:bCs/>
          <w:kern w:val="22"/>
          <w:szCs w:val="22"/>
        </w:rPr>
        <w:t xml:space="preserve"> </w:t>
      </w:r>
      <w:r w:rsidRPr="0016200E">
        <w:rPr>
          <w:rFonts w:eastAsia="MS Mincho"/>
          <w:bCs/>
          <w:kern w:val="22"/>
          <w:szCs w:val="22"/>
          <w:lang w:bidi="en-US"/>
        </w:rPr>
        <w:t>the United</w:t>
      </w:r>
      <w:r w:rsidRPr="00AA583C">
        <w:rPr>
          <w:rFonts w:eastAsia="MS Mincho"/>
          <w:bCs/>
          <w:kern w:val="22"/>
          <w:szCs w:val="22"/>
          <w:lang w:bidi="en-US"/>
        </w:rPr>
        <w:t xml:space="preserve"> Nations University Institute for the Advanced Study of Sustainability</w:t>
      </w:r>
      <w:r w:rsidRPr="00AA583C">
        <w:rPr>
          <w:rFonts w:eastAsia="MS Mincho"/>
          <w:kern w:val="22"/>
          <w:szCs w:val="22"/>
        </w:rPr>
        <w:t>, and, in particular, indigenous peoples and local communities, taking a whole-of-society view and an integrated approach with full respect for human rights</w:t>
      </w:r>
      <w:r>
        <w:rPr>
          <w:rFonts w:eastAsia="MS Mincho"/>
          <w:kern w:val="22"/>
          <w:szCs w:val="22"/>
        </w:rPr>
        <w:t xml:space="preserve"> </w:t>
      </w:r>
      <w:r w:rsidRPr="00571793">
        <w:rPr>
          <w:rStyle w:val="normaltextrun"/>
        </w:rPr>
        <w:t>and the</w:t>
      </w:r>
      <w:r>
        <w:rPr>
          <w:rStyle w:val="normaltextrun"/>
        </w:rPr>
        <w:t xml:space="preserve"> rights of </w:t>
      </w:r>
      <w:r w:rsidRPr="00AA583C">
        <w:rPr>
          <w:rFonts w:eastAsia="MS Mincho"/>
          <w:kern w:val="22"/>
          <w:szCs w:val="22"/>
        </w:rPr>
        <w:t xml:space="preserve">indigenous peoples and local communities, with the aim of supporting national and subnational implementation, including mainstreaming, of the </w:t>
      </w:r>
      <w:r>
        <w:rPr>
          <w:rFonts w:eastAsia="MS Mincho"/>
          <w:kern w:val="22"/>
          <w:szCs w:val="22"/>
        </w:rPr>
        <w:t>Kunming-Montreal</w:t>
      </w:r>
      <w:r w:rsidRPr="00AA583C">
        <w:rPr>
          <w:rFonts w:eastAsia="MS Mincho"/>
          <w:kern w:val="22"/>
          <w:szCs w:val="22"/>
        </w:rPr>
        <w:t xml:space="preserve"> </w:t>
      </w:r>
      <w:r>
        <w:rPr>
          <w:rFonts w:eastAsia="MS Mincho"/>
          <w:kern w:val="22"/>
          <w:szCs w:val="22"/>
        </w:rPr>
        <w:t>G</w:t>
      </w:r>
      <w:r w:rsidRPr="00AA583C">
        <w:rPr>
          <w:rFonts w:eastAsia="MS Mincho"/>
          <w:kern w:val="22"/>
          <w:szCs w:val="22"/>
        </w:rPr>
        <w:t xml:space="preserve">lobal </w:t>
      </w:r>
      <w:r>
        <w:rPr>
          <w:rFonts w:eastAsia="MS Mincho"/>
          <w:kern w:val="22"/>
          <w:szCs w:val="22"/>
        </w:rPr>
        <w:t>B</w:t>
      </w:r>
      <w:r w:rsidRPr="00AA583C">
        <w:rPr>
          <w:rFonts w:eastAsia="MS Mincho"/>
          <w:kern w:val="22"/>
          <w:szCs w:val="22"/>
        </w:rPr>
        <w:t xml:space="preserve">iodiversity </w:t>
      </w:r>
      <w:r>
        <w:rPr>
          <w:rFonts w:eastAsia="MS Mincho"/>
          <w:kern w:val="22"/>
          <w:szCs w:val="22"/>
        </w:rPr>
        <w:t>F</w:t>
      </w:r>
      <w:r w:rsidRPr="00AA583C">
        <w:rPr>
          <w:rFonts w:eastAsia="MS Mincho"/>
          <w:kern w:val="22"/>
          <w:szCs w:val="22"/>
        </w:rPr>
        <w:t>ramework, in accordance with national circumstances, fully incorporating the added value of biocultural diversity, building on biological and cultural heritage, and strengthening the links between biological and cultural diversity,</w:t>
      </w:r>
      <w:r>
        <w:rPr>
          <w:rFonts w:eastAsia="MS Mincho"/>
          <w:kern w:val="22"/>
          <w:szCs w:val="22"/>
        </w:rPr>
        <w:t xml:space="preserve"> including through environmental education,</w:t>
      </w:r>
      <w:r w:rsidRPr="00AA583C">
        <w:rPr>
          <w:rFonts w:eastAsia="MS Mincho"/>
          <w:kern w:val="22"/>
          <w:szCs w:val="22"/>
        </w:rPr>
        <w:t xml:space="preserve"> in order to achieve the goals of the Convention at all levels and the 2050 </w:t>
      </w:r>
      <w:r>
        <w:rPr>
          <w:rFonts w:eastAsia="MS Mincho"/>
          <w:kern w:val="22"/>
          <w:szCs w:val="22"/>
        </w:rPr>
        <w:t>V</w:t>
      </w:r>
      <w:r w:rsidRPr="00AA583C">
        <w:rPr>
          <w:rFonts w:eastAsia="MS Mincho"/>
          <w:kern w:val="22"/>
          <w:szCs w:val="22"/>
        </w:rPr>
        <w:t>ision of living in harmony with nature;</w:t>
      </w:r>
      <w:r w:rsidRPr="00610646">
        <w:rPr>
          <w:rStyle w:val="FootnoteReference"/>
          <w:rFonts w:eastAsia="MS Mincho"/>
        </w:rPr>
        <w:footnoteReference w:id="316"/>
      </w:r>
    </w:p>
    <w:p w14:paraId="391F3A21" w14:textId="77777777" w:rsidR="00927BF8" w:rsidRPr="00AA583C" w:rsidRDefault="00927BF8" w:rsidP="004349CC">
      <w:pPr>
        <w:suppressLineNumbers/>
        <w:suppressAutoHyphens/>
        <w:snapToGrid w:val="0"/>
        <w:spacing w:before="120" w:after="120"/>
        <w:ind w:firstLine="720"/>
        <w:rPr>
          <w:kern w:val="22"/>
          <w:szCs w:val="22"/>
        </w:rPr>
      </w:pPr>
      <w:r w:rsidRPr="00AA583C">
        <w:rPr>
          <w:iCs/>
          <w:kern w:val="22"/>
          <w:szCs w:val="22"/>
        </w:rPr>
        <w:t>2.</w:t>
      </w:r>
      <w:r w:rsidRPr="00AA583C">
        <w:rPr>
          <w:iCs/>
          <w:kern w:val="22"/>
          <w:szCs w:val="22"/>
        </w:rPr>
        <w:tab/>
      </w:r>
      <w:r w:rsidRPr="00AA583C">
        <w:rPr>
          <w:i/>
          <w:kern w:val="22"/>
          <w:szCs w:val="22"/>
        </w:rPr>
        <w:t>Requests</w:t>
      </w:r>
      <w:r w:rsidRPr="00AA583C">
        <w:rPr>
          <w:iCs/>
          <w:kern w:val="22"/>
          <w:szCs w:val="22"/>
        </w:rPr>
        <w:t xml:space="preserve"> the Executive Secretary and </w:t>
      </w:r>
      <w:r w:rsidRPr="007C796B">
        <w:rPr>
          <w:iCs/>
          <w:kern w:val="22"/>
          <w:szCs w:val="22"/>
        </w:rPr>
        <w:t>invites</w:t>
      </w:r>
      <w:r w:rsidRPr="00AA583C">
        <w:rPr>
          <w:kern w:val="22"/>
          <w:szCs w:val="22"/>
        </w:rPr>
        <w:t xml:space="preserve"> the United Nations Educational, Scientific and Cultural Organization, </w:t>
      </w:r>
      <w:r w:rsidRPr="00571793">
        <w:rPr>
          <w:iCs/>
          <w:kern w:val="22"/>
          <w:szCs w:val="22"/>
          <w:shd w:val="clear" w:color="auto" w:fill="FFFFFF"/>
        </w:rPr>
        <w:t xml:space="preserve">the Intergovernmental Science-Policy Platform on Biodiversity and Ecosystem Services and </w:t>
      </w:r>
      <w:r w:rsidRPr="00AA583C">
        <w:rPr>
          <w:kern w:val="22"/>
          <w:szCs w:val="22"/>
          <w:shd w:val="clear" w:color="auto" w:fill="FFFFFF"/>
        </w:rPr>
        <w:t xml:space="preserve">the </w:t>
      </w:r>
      <w:r w:rsidRPr="00AA583C">
        <w:rPr>
          <w:iCs/>
          <w:kern w:val="22"/>
          <w:szCs w:val="22"/>
          <w:shd w:val="clear" w:color="auto" w:fill="FFFFFF"/>
        </w:rPr>
        <w:t xml:space="preserve">International Union for Conservation of Nature, </w:t>
      </w:r>
      <w:r>
        <w:rPr>
          <w:iCs/>
          <w:kern w:val="22"/>
          <w:szCs w:val="22"/>
          <w:shd w:val="clear" w:color="auto" w:fill="FFFFFF"/>
        </w:rPr>
        <w:t xml:space="preserve">including </w:t>
      </w:r>
      <w:r>
        <w:rPr>
          <w:rFonts w:eastAsia="MS Mincho"/>
          <w:iCs/>
          <w:kern w:val="22"/>
          <w:szCs w:val="22"/>
          <w:shd w:val="clear" w:color="auto" w:fill="FFFFFF"/>
        </w:rPr>
        <w:t xml:space="preserve">the </w:t>
      </w:r>
      <w:r w:rsidRPr="004349CC">
        <w:rPr>
          <w:rFonts w:eastAsia="MS Mincho"/>
          <w:iCs/>
          <w:kern w:val="22"/>
          <w:szCs w:val="22"/>
          <w:shd w:val="clear" w:color="auto" w:fill="FFFFFF"/>
        </w:rPr>
        <w:t>International Council on Monuments and Sites</w:t>
      </w:r>
      <w:r>
        <w:rPr>
          <w:rFonts w:eastAsia="MS Mincho"/>
          <w:iCs/>
          <w:kern w:val="22"/>
          <w:szCs w:val="22"/>
          <w:shd w:val="clear" w:color="auto" w:fill="FFFFFF"/>
        </w:rPr>
        <w:t>,</w:t>
      </w:r>
      <w:r w:rsidRPr="004349CC">
        <w:t xml:space="preserve"> </w:t>
      </w:r>
      <w:r>
        <w:t xml:space="preserve">the </w:t>
      </w:r>
      <w:r w:rsidRPr="004349CC">
        <w:rPr>
          <w:rFonts w:eastAsia="MS Mincho"/>
          <w:iCs/>
          <w:kern w:val="22"/>
          <w:szCs w:val="22"/>
          <w:shd w:val="clear" w:color="auto" w:fill="FFFFFF"/>
        </w:rPr>
        <w:t>International Centre for the Study of the Preservation and Restoration of Cultural Property</w:t>
      </w:r>
      <w:r w:rsidRPr="00AA583C">
        <w:rPr>
          <w:rFonts w:eastAsia="MS Mincho"/>
          <w:kern w:val="22"/>
          <w:szCs w:val="22"/>
        </w:rPr>
        <w:t>,</w:t>
      </w:r>
      <w:r>
        <w:rPr>
          <w:rFonts w:eastAsia="MS Mincho"/>
          <w:kern w:val="22"/>
          <w:szCs w:val="22"/>
        </w:rPr>
        <w:t xml:space="preserve"> </w:t>
      </w:r>
      <w:r w:rsidRPr="00AA583C">
        <w:rPr>
          <w:iCs/>
          <w:kern w:val="22"/>
          <w:szCs w:val="22"/>
          <w:shd w:val="clear" w:color="auto" w:fill="FFFFFF"/>
        </w:rPr>
        <w:t xml:space="preserve">along with other relevant international agencies </w:t>
      </w:r>
      <w:r w:rsidRPr="00571793">
        <w:rPr>
          <w:iCs/>
          <w:kern w:val="22"/>
          <w:szCs w:val="22"/>
          <w:shd w:val="clear" w:color="auto" w:fill="FFFFFF"/>
        </w:rPr>
        <w:t>and processes</w:t>
      </w:r>
      <w:r w:rsidRPr="00AA583C">
        <w:rPr>
          <w:iCs/>
          <w:kern w:val="22"/>
          <w:szCs w:val="22"/>
          <w:shd w:val="clear" w:color="auto" w:fill="FFFFFF"/>
        </w:rPr>
        <w:t xml:space="preserve">, to explore and consider, subject to the availability of resources, inter-agency mechanisms, such as the Liaison Group of Biodiversity-related Conventions, to ensure complementarity of efforts, respecting individual mandates, avoiding </w:t>
      </w:r>
      <w:r w:rsidRPr="00AA583C">
        <w:rPr>
          <w:iCs/>
          <w:kern w:val="22"/>
          <w:szCs w:val="22"/>
          <w:shd w:val="clear" w:color="auto" w:fill="FFFFFF"/>
          <w:lang w:bidi="en-US"/>
        </w:rPr>
        <w:t>unnecessary</w:t>
      </w:r>
      <w:r w:rsidRPr="00AA583C">
        <w:rPr>
          <w:iCs/>
          <w:kern w:val="22"/>
          <w:szCs w:val="22"/>
          <w:shd w:val="clear" w:color="auto" w:fill="FFFFFF"/>
        </w:rPr>
        <w:t xml:space="preserve"> overlap and duplication</w:t>
      </w:r>
      <w:r>
        <w:rPr>
          <w:iCs/>
          <w:kern w:val="22"/>
          <w:szCs w:val="22"/>
          <w:shd w:val="clear" w:color="auto" w:fill="FFFFFF"/>
        </w:rPr>
        <w:t>,</w:t>
      </w:r>
      <w:r w:rsidRPr="00AA583C">
        <w:rPr>
          <w:iCs/>
          <w:kern w:val="22"/>
          <w:szCs w:val="22"/>
          <w:shd w:val="clear" w:color="auto" w:fill="FFFFFF"/>
        </w:rPr>
        <w:t xml:space="preserve"> and maximizing efficiencies, to identify and overcome challenges, and promote lessons learned at a relevant scale towards the goal of the </w:t>
      </w:r>
      <w:r w:rsidRPr="0055011A">
        <w:rPr>
          <w:iCs/>
          <w:kern w:val="22"/>
          <w:szCs w:val="22"/>
          <w:shd w:val="clear" w:color="auto" w:fill="FFFFFF"/>
        </w:rPr>
        <w:t xml:space="preserve">post-2020 </w:t>
      </w:r>
      <w:r w:rsidRPr="007C796B">
        <w:rPr>
          <w:iCs/>
          <w:kern w:val="22"/>
          <w:szCs w:val="22"/>
          <w:shd w:val="clear" w:color="auto" w:fill="FFFFFF"/>
        </w:rPr>
        <w:t>J</w:t>
      </w:r>
      <w:r w:rsidRPr="0055011A">
        <w:rPr>
          <w:iCs/>
          <w:kern w:val="22"/>
          <w:szCs w:val="22"/>
          <w:shd w:val="clear" w:color="auto" w:fill="FFFFFF"/>
        </w:rPr>
        <w:t xml:space="preserve">oint </w:t>
      </w:r>
      <w:r w:rsidRPr="007C796B">
        <w:rPr>
          <w:iCs/>
          <w:kern w:val="22"/>
          <w:szCs w:val="22"/>
          <w:shd w:val="clear" w:color="auto" w:fill="FFFFFF"/>
        </w:rPr>
        <w:t>P</w:t>
      </w:r>
      <w:r w:rsidRPr="0055011A">
        <w:rPr>
          <w:iCs/>
          <w:kern w:val="22"/>
          <w:szCs w:val="22"/>
          <w:shd w:val="clear" w:color="auto" w:fill="FFFFFF"/>
        </w:rPr>
        <w:t>rogramme of Work contained in the annex to the present decision</w:t>
      </w:r>
      <w:r w:rsidRPr="0055011A">
        <w:rPr>
          <w:kern w:val="22"/>
          <w:szCs w:val="22"/>
        </w:rPr>
        <w:t>;</w:t>
      </w:r>
    </w:p>
    <w:p w14:paraId="7E05C4F3" w14:textId="77777777" w:rsidR="00927BF8" w:rsidRPr="00AA583C" w:rsidRDefault="00927BF8" w:rsidP="004349CC">
      <w:pPr>
        <w:suppressLineNumbers/>
        <w:suppressAutoHyphens/>
        <w:autoSpaceDE w:val="0"/>
        <w:autoSpaceDN w:val="0"/>
        <w:adjustRightInd w:val="0"/>
        <w:spacing w:before="120" w:after="120"/>
        <w:ind w:firstLine="720"/>
        <w:rPr>
          <w:color w:val="000000"/>
          <w:kern w:val="22"/>
          <w:szCs w:val="22"/>
        </w:rPr>
      </w:pPr>
      <w:r w:rsidRPr="00AA583C">
        <w:rPr>
          <w:color w:val="000000"/>
          <w:kern w:val="22"/>
          <w:szCs w:val="22"/>
        </w:rPr>
        <w:t>3.</w:t>
      </w:r>
      <w:r w:rsidRPr="00AA583C">
        <w:rPr>
          <w:color w:val="000000"/>
          <w:kern w:val="22"/>
          <w:szCs w:val="22"/>
        </w:rPr>
        <w:tab/>
      </w:r>
      <w:r w:rsidRPr="00AA583C">
        <w:rPr>
          <w:rFonts w:eastAsia="MS Mincho"/>
          <w:i/>
          <w:color w:val="000000"/>
          <w:kern w:val="22"/>
          <w:szCs w:val="22"/>
        </w:rPr>
        <w:t xml:space="preserve">Encourages </w:t>
      </w:r>
      <w:r w:rsidRPr="00AA583C">
        <w:rPr>
          <w:rFonts w:eastAsia="MS Mincho"/>
          <w:color w:val="000000"/>
          <w:kern w:val="22"/>
          <w:szCs w:val="22"/>
        </w:rPr>
        <w:t xml:space="preserve">Governments and Parties to all the relevant conventions, including the Convention </w:t>
      </w:r>
      <w:r>
        <w:rPr>
          <w:rFonts w:eastAsia="MS Mincho"/>
          <w:color w:val="000000"/>
          <w:kern w:val="22"/>
          <w:szCs w:val="22"/>
        </w:rPr>
        <w:t xml:space="preserve">for the Protection of the World Cultural and Natural Heritage </w:t>
      </w:r>
      <w:r w:rsidRPr="00AA583C">
        <w:rPr>
          <w:rFonts w:eastAsia="MS Mincho"/>
          <w:color w:val="000000"/>
          <w:kern w:val="22"/>
          <w:szCs w:val="22"/>
        </w:rPr>
        <w:t>and the Convention for the Safeguarding of the Intangible Cultural Heritage, as well as relevant intergovernmental and non</w:t>
      </w:r>
      <w:r w:rsidRPr="00AA583C">
        <w:rPr>
          <w:rFonts w:eastAsia="MS Mincho"/>
          <w:color w:val="000000"/>
          <w:kern w:val="22"/>
          <w:szCs w:val="22"/>
        </w:rPr>
        <w:noBreakHyphen/>
        <w:t xml:space="preserve">governmental organizations, </w:t>
      </w:r>
      <w:r w:rsidRPr="00AA583C">
        <w:rPr>
          <w:color w:val="000000"/>
          <w:kern w:val="22"/>
          <w:szCs w:val="22"/>
        </w:rPr>
        <w:t xml:space="preserve">including the </w:t>
      </w:r>
      <w:r w:rsidRPr="00AA583C">
        <w:rPr>
          <w:rFonts w:eastAsia="MS Mincho"/>
          <w:kern w:val="22"/>
          <w:szCs w:val="22"/>
          <w:shd w:val="clear" w:color="auto" w:fill="FFFFFF"/>
        </w:rPr>
        <w:t>International Council on Monuments and Sites</w:t>
      </w:r>
      <w:r>
        <w:rPr>
          <w:rFonts w:eastAsia="MS Mincho"/>
          <w:kern w:val="22"/>
          <w:szCs w:val="22"/>
          <w:shd w:val="clear" w:color="auto" w:fill="FFFFFF"/>
        </w:rPr>
        <w:t>,</w:t>
      </w:r>
      <w:r w:rsidRPr="00AA583C">
        <w:rPr>
          <w:color w:val="000000"/>
          <w:kern w:val="22"/>
          <w:szCs w:val="22"/>
        </w:rPr>
        <w:t xml:space="preserve"> the </w:t>
      </w:r>
      <w:r w:rsidRPr="00AA583C">
        <w:rPr>
          <w:rFonts w:eastAsia="MS Mincho"/>
          <w:kern w:val="22"/>
          <w:szCs w:val="22"/>
        </w:rPr>
        <w:t>International Centre for the Study of the Preservation and Restoration of Cultural Property</w:t>
      </w:r>
      <w:r w:rsidRPr="00AA583C">
        <w:rPr>
          <w:rFonts w:eastAsia="MS Mincho"/>
          <w:color w:val="000000"/>
          <w:kern w:val="22"/>
          <w:szCs w:val="22"/>
        </w:rPr>
        <w:t xml:space="preserve">, the World Intellectual Property Organization, the United Nations Permanent Forum on Indigenous Issues, the Expert Mechanism on the Rights of Indigenous Peoples, as well as the United Nations special rapporteurs, academia, indigenous peoples and local communities, the private sector and civil society, to strengthen collaboration and coordination and to contribute to and support the </w:t>
      </w:r>
      <w:r>
        <w:rPr>
          <w:rFonts w:eastAsia="MS Mincho"/>
          <w:color w:val="000000"/>
          <w:kern w:val="22"/>
          <w:szCs w:val="22"/>
        </w:rPr>
        <w:t>J</w:t>
      </w:r>
      <w:r w:rsidRPr="00AA583C">
        <w:rPr>
          <w:rFonts w:eastAsia="MS Mincho"/>
          <w:color w:val="000000"/>
          <w:kern w:val="22"/>
          <w:szCs w:val="22"/>
        </w:rPr>
        <w:t xml:space="preserve">oint </w:t>
      </w:r>
      <w:r>
        <w:rPr>
          <w:rFonts w:eastAsia="MS Mincho"/>
          <w:color w:val="000000"/>
          <w:kern w:val="22"/>
          <w:szCs w:val="22"/>
        </w:rPr>
        <w:t>P</w:t>
      </w:r>
      <w:r w:rsidRPr="00AA583C">
        <w:rPr>
          <w:rFonts w:eastAsia="MS Mincho"/>
          <w:color w:val="000000"/>
          <w:kern w:val="22"/>
          <w:szCs w:val="22"/>
        </w:rPr>
        <w:t xml:space="preserve">rogramme </w:t>
      </w:r>
      <w:r>
        <w:rPr>
          <w:rFonts w:eastAsia="MS Mincho"/>
          <w:color w:val="000000"/>
          <w:kern w:val="22"/>
          <w:szCs w:val="22"/>
        </w:rPr>
        <w:t xml:space="preserve">of Work </w:t>
      </w:r>
      <w:r w:rsidRPr="00AA583C">
        <w:rPr>
          <w:rFonts w:eastAsia="MS Mincho"/>
          <w:color w:val="000000"/>
          <w:kern w:val="22"/>
          <w:szCs w:val="22"/>
        </w:rPr>
        <w:t xml:space="preserve">on the links </w:t>
      </w:r>
      <w:r w:rsidRPr="00AA583C">
        <w:rPr>
          <w:rFonts w:eastAsia="MS Mincho"/>
          <w:color w:val="000000"/>
          <w:kern w:val="22"/>
          <w:szCs w:val="22"/>
        </w:rPr>
        <w:lastRenderedPageBreak/>
        <w:t>between biological and cultural diversity, drawing on the elements and tasks contained in the annex to the present decision, and to implement lessons learned, according to national circumstances, in considering biological and cultural diversity throughout their respective work;</w:t>
      </w:r>
    </w:p>
    <w:p w14:paraId="3E618AA0" w14:textId="77777777" w:rsidR="00927BF8" w:rsidRPr="00AA583C" w:rsidRDefault="00927BF8" w:rsidP="004349CC">
      <w:pPr>
        <w:suppressLineNumbers/>
        <w:suppressAutoHyphens/>
        <w:snapToGrid w:val="0"/>
        <w:spacing w:before="120" w:after="120"/>
        <w:ind w:firstLine="720"/>
        <w:rPr>
          <w:iCs/>
          <w:kern w:val="22"/>
          <w:szCs w:val="22"/>
        </w:rPr>
      </w:pPr>
      <w:r w:rsidRPr="00AA583C">
        <w:rPr>
          <w:iCs/>
          <w:kern w:val="22"/>
          <w:szCs w:val="22"/>
        </w:rPr>
        <w:t>4.</w:t>
      </w:r>
      <w:r w:rsidRPr="00AA583C">
        <w:rPr>
          <w:iCs/>
          <w:kern w:val="22"/>
          <w:szCs w:val="22"/>
        </w:rPr>
        <w:tab/>
      </w:r>
      <w:r w:rsidRPr="00AA583C">
        <w:rPr>
          <w:i/>
          <w:iCs/>
          <w:kern w:val="22"/>
          <w:szCs w:val="22"/>
        </w:rPr>
        <w:t>Welcomes</w:t>
      </w:r>
      <w:r w:rsidRPr="00AA583C">
        <w:rPr>
          <w:iCs/>
          <w:kern w:val="22"/>
          <w:szCs w:val="22"/>
        </w:rPr>
        <w:t xml:space="preserve"> the elements and tasks described in the annex to the present decision, which build on the existing Joint Programme of Work, for enhancing collaborations across the international system in pursuit of mutually supportive goals;</w:t>
      </w:r>
    </w:p>
    <w:p w14:paraId="3F0FE8C7" w14:textId="77777777" w:rsidR="00927BF8" w:rsidRPr="00AA583C" w:rsidRDefault="00927BF8" w:rsidP="004349CC">
      <w:pPr>
        <w:suppressLineNumbers/>
        <w:suppressAutoHyphens/>
        <w:snapToGrid w:val="0"/>
        <w:spacing w:before="120" w:after="120"/>
        <w:ind w:firstLine="720"/>
        <w:rPr>
          <w:kern w:val="22"/>
          <w:szCs w:val="22"/>
        </w:rPr>
      </w:pPr>
      <w:r w:rsidRPr="00AA583C">
        <w:rPr>
          <w:iCs/>
          <w:kern w:val="22"/>
          <w:szCs w:val="22"/>
        </w:rPr>
        <w:t>5.</w:t>
      </w:r>
      <w:r w:rsidRPr="00AA583C">
        <w:rPr>
          <w:iCs/>
          <w:kern w:val="22"/>
          <w:szCs w:val="22"/>
        </w:rPr>
        <w:tab/>
      </w:r>
      <w:r w:rsidRPr="00AA583C">
        <w:rPr>
          <w:i/>
          <w:kern w:val="22"/>
          <w:szCs w:val="22"/>
        </w:rPr>
        <w:t>Requests</w:t>
      </w:r>
      <w:r w:rsidRPr="00AA583C">
        <w:rPr>
          <w:iCs/>
          <w:kern w:val="22"/>
          <w:szCs w:val="22"/>
        </w:rPr>
        <w:t xml:space="preserve"> the Executive Secretary and </w:t>
      </w:r>
      <w:r w:rsidRPr="007C796B">
        <w:rPr>
          <w:iCs/>
          <w:kern w:val="22"/>
          <w:szCs w:val="22"/>
        </w:rPr>
        <w:t>invites</w:t>
      </w:r>
      <w:r w:rsidRPr="00AA583C">
        <w:rPr>
          <w:kern w:val="22"/>
          <w:szCs w:val="22"/>
        </w:rPr>
        <w:t xml:space="preserve"> </w:t>
      </w:r>
      <w:r w:rsidRPr="00AA583C">
        <w:rPr>
          <w:rFonts w:eastAsia="MS Mincho"/>
          <w:snapToGrid w:val="0"/>
          <w:kern w:val="22"/>
          <w:szCs w:val="22"/>
          <w:lang w:eastAsia="ja-JP"/>
        </w:rPr>
        <w:t xml:space="preserve">the United Nations Educational, Scientific and Cultural Organization and </w:t>
      </w:r>
      <w:r w:rsidRPr="00AA583C">
        <w:rPr>
          <w:kern w:val="22"/>
          <w:szCs w:val="22"/>
          <w:shd w:val="clear" w:color="auto" w:fill="FFFFFF"/>
        </w:rPr>
        <w:t>the</w:t>
      </w:r>
      <w:r>
        <w:rPr>
          <w:kern w:val="22"/>
          <w:szCs w:val="22"/>
          <w:shd w:val="clear" w:color="auto" w:fill="FFFFFF"/>
        </w:rPr>
        <w:t xml:space="preserve"> </w:t>
      </w:r>
      <w:r w:rsidRPr="00AA583C">
        <w:rPr>
          <w:bCs/>
          <w:kern w:val="22"/>
          <w:szCs w:val="22"/>
          <w:shd w:val="clear" w:color="auto" w:fill="FFFFFF"/>
        </w:rPr>
        <w:t>International Union for Conservation of Nature, and other relevant international agencies, Parties and other Governments, along with a broad coalition of partners, with the full and effective participation of indigenous peoples and local communities, to implement, subject to the availability of resources, the elements and tasks described in the annex to the present decision, and to report on progress to the Subsidiary Body on Implementation and other mechanisms, as appropriate.</w:t>
      </w:r>
    </w:p>
    <w:p w14:paraId="27D43A0D" w14:textId="77777777" w:rsidR="00927BF8" w:rsidRPr="00AA583C" w:rsidRDefault="00927BF8" w:rsidP="00275D49">
      <w:pPr>
        <w:keepNext/>
        <w:suppressLineNumbers/>
        <w:suppressAutoHyphens/>
        <w:spacing w:before="240" w:after="120"/>
        <w:jc w:val="center"/>
        <w:rPr>
          <w:rFonts w:asciiTheme="majorBidi" w:hAnsiTheme="majorBidi" w:cstheme="majorBidi"/>
          <w:i/>
          <w:kern w:val="22"/>
          <w:sz w:val="20"/>
          <w:szCs w:val="20"/>
        </w:rPr>
      </w:pPr>
      <w:bookmarkStart w:id="278" w:name="_Toc118355064"/>
      <w:r w:rsidRPr="00AA583C">
        <w:rPr>
          <w:rFonts w:asciiTheme="majorBidi" w:hAnsiTheme="majorBidi" w:cstheme="majorBidi"/>
          <w:i/>
          <w:caps/>
          <w:kern w:val="22"/>
          <w:sz w:val="20"/>
          <w:szCs w:val="20"/>
        </w:rPr>
        <w:t>A</w:t>
      </w:r>
      <w:r w:rsidRPr="00AA583C">
        <w:rPr>
          <w:rFonts w:asciiTheme="majorBidi" w:hAnsiTheme="majorBidi" w:cstheme="majorBidi"/>
          <w:i/>
          <w:kern w:val="22"/>
          <w:sz w:val="20"/>
          <w:szCs w:val="20"/>
        </w:rPr>
        <w:t>nnex</w:t>
      </w:r>
      <w:bookmarkEnd w:id="278"/>
    </w:p>
    <w:p w14:paraId="13C3DDBE" w14:textId="77777777" w:rsidR="00927BF8" w:rsidRPr="007C796B" w:rsidRDefault="00927BF8" w:rsidP="00275D49">
      <w:pPr>
        <w:keepNext/>
        <w:suppressLineNumbers/>
        <w:tabs>
          <w:tab w:val="left" w:pos="284"/>
        </w:tabs>
        <w:suppressAutoHyphens/>
        <w:kinsoku w:val="0"/>
        <w:overflowPunct w:val="0"/>
        <w:autoSpaceDE w:val="0"/>
        <w:autoSpaceDN w:val="0"/>
        <w:adjustRightInd w:val="0"/>
        <w:snapToGrid w:val="0"/>
        <w:spacing w:before="120" w:after="120"/>
        <w:jc w:val="center"/>
        <w:rPr>
          <w:rFonts w:asciiTheme="majorBidi" w:hAnsiTheme="majorBidi" w:cstheme="majorBidi"/>
          <w:b/>
          <w:bCs/>
          <w:caps/>
          <w:snapToGrid w:val="0"/>
          <w:kern w:val="22"/>
          <w:szCs w:val="22"/>
        </w:rPr>
      </w:pPr>
      <w:bookmarkStart w:id="279" w:name="_Toc118354937"/>
      <w:bookmarkStart w:id="280" w:name="_Toc118355065"/>
      <w:r w:rsidRPr="007C796B">
        <w:rPr>
          <w:rFonts w:asciiTheme="majorBidi" w:hAnsiTheme="majorBidi" w:cstheme="majorBidi"/>
          <w:b/>
          <w:bCs/>
          <w:caps/>
          <w:snapToGrid w:val="0"/>
          <w:kern w:val="22"/>
          <w:szCs w:val="22"/>
          <w:shd w:val="clear" w:color="auto" w:fill="FFFFFF"/>
        </w:rPr>
        <w:t>Elements and tasks related to the Joint Programme of Work</w:t>
      </w:r>
      <w:r w:rsidRPr="007C796B">
        <w:rPr>
          <w:rFonts w:asciiTheme="majorBidi" w:eastAsia="MS Mincho" w:hAnsiTheme="majorBidi" w:cstheme="majorBidi"/>
          <w:b/>
          <w:bCs/>
          <w:caps/>
          <w:snapToGrid w:val="0"/>
          <w:kern w:val="22"/>
          <w:szCs w:val="22"/>
        </w:rPr>
        <w:t xml:space="preserve"> </w:t>
      </w:r>
      <w:r w:rsidRPr="007C796B">
        <w:rPr>
          <w:rFonts w:asciiTheme="majorBidi" w:hAnsiTheme="majorBidi" w:cstheme="majorBidi"/>
          <w:b/>
          <w:bCs/>
          <w:caps/>
          <w:snapToGrid w:val="0"/>
          <w:kern w:val="22"/>
          <w:szCs w:val="22"/>
          <w:shd w:val="clear" w:color="auto" w:fill="FFFFFF"/>
        </w:rPr>
        <w:t>on the Links between Biological and Cultural Diversity</w:t>
      </w:r>
      <w:bookmarkEnd w:id="279"/>
      <w:bookmarkEnd w:id="280"/>
    </w:p>
    <w:p w14:paraId="5C1E6D68" w14:textId="77777777" w:rsidR="00927BF8" w:rsidRPr="007C796B" w:rsidRDefault="00927BF8" w:rsidP="004349CC">
      <w:pPr>
        <w:keepNext/>
        <w:suppressLineNumbers/>
        <w:suppressAutoHyphens/>
        <w:spacing w:before="240" w:after="240"/>
        <w:rPr>
          <w:rFonts w:asciiTheme="majorBidi" w:hAnsiTheme="majorBidi" w:cstheme="majorBidi"/>
          <w:caps/>
          <w:kern w:val="22"/>
          <w:szCs w:val="22"/>
        </w:rPr>
      </w:pPr>
      <w:r w:rsidRPr="007C796B">
        <w:rPr>
          <w:rFonts w:asciiTheme="majorBidi" w:hAnsiTheme="majorBidi" w:cstheme="majorBidi"/>
          <w:i/>
          <w:kern w:val="22"/>
          <w:szCs w:val="22"/>
        </w:rPr>
        <w:t>Goal</w:t>
      </w:r>
      <w:r w:rsidRPr="007C796B">
        <w:rPr>
          <w:rFonts w:asciiTheme="majorBidi" w:hAnsiTheme="majorBidi" w:cstheme="majorBidi"/>
          <w:kern w:val="22"/>
          <w:szCs w:val="22"/>
        </w:rPr>
        <w:t>: To recognize and promote natural and cultural heritage and diversity as enablers and drivers of the economic, social and environmental dimensions of sustainable development and a pathway to the vision of the Kunming</w:t>
      </w:r>
      <w:r w:rsidRPr="007C796B">
        <w:rPr>
          <w:rFonts w:asciiTheme="majorBidi" w:hAnsiTheme="majorBidi" w:cstheme="majorBidi"/>
          <w:kern w:val="22"/>
          <w:szCs w:val="22"/>
        </w:rPr>
        <w:noBreakHyphen/>
        <w:t>Montreal Global Biodiversity Framework of living in harmony with nature by 2050, the Sustainable Development Goals, and climate action, with a commitment to strengthening the links between biological and cultural diversity and considering lessons learned across the work of the Convention and other relevant processes, with the full and effective participation of indigenous peoples and local communities.</w:t>
      </w:r>
    </w:p>
    <w:p w14:paraId="16580F24" w14:textId="77777777" w:rsidR="00927BF8" w:rsidRPr="007C796B" w:rsidRDefault="00927BF8" w:rsidP="004349CC">
      <w:pPr>
        <w:keepNext/>
        <w:suppressLineNumbers/>
        <w:suppressAutoHyphens/>
        <w:autoSpaceDE w:val="0"/>
        <w:spacing w:before="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Element 1</w:t>
      </w:r>
    </w:p>
    <w:p w14:paraId="4B49A22F" w14:textId="77777777" w:rsidR="00927BF8" w:rsidRPr="007C796B" w:rsidRDefault="00927BF8" w:rsidP="004349CC">
      <w:pPr>
        <w:suppressLineNumbers/>
        <w:suppressAutoHyphens/>
        <w:autoSpaceDE w:val="0"/>
        <w:spacing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 xml:space="preserve">A joint strategy to stop the ongoing and often dramatic decline in global diversity of both nature </w:t>
      </w:r>
      <w:r w:rsidRPr="007C796B">
        <w:rPr>
          <w:rFonts w:asciiTheme="majorBidi" w:eastAsia="MS Mincho" w:hAnsiTheme="majorBidi" w:cstheme="majorBidi"/>
          <w:b/>
          <w:iCs/>
          <w:kern w:val="22"/>
          <w:szCs w:val="22"/>
        </w:rPr>
        <w:t>and</w:t>
      </w:r>
      <w:r w:rsidRPr="007C796B">
        <w:rPr>
          <w:rFonts w:asciiTheme="majorBidi" w:eastAsia="MS Mincho" w:hAnsiTheme="majorBidi" w:cstheme="majorBidi"/>
          <w:b/>
          <w:i/>
          <w:iCs/>
          <w:kern w:val="22"/>
          <w:szCs w:val="22"/>
        </w:rPr>
        <w:t xml:space="preserve"> </w:t>
      </w:r>
      <w:r w:rsidRPr="007C796B">
        <w:rPr>
          <w:rFonts w:asciiTheme="majorBidi" w:eastAsia="MS Mincho" w:hAnsiTheme="majorBidi" w:cstheme="majorBidi"/>
          <w:b/>
          <w:kern w:val="22"/>
          <w:szCs w:val="22"/>
        </w:rPr>
        <w:t>culture</w:t>
      </w:r>
    </w:p>
    <w:p w14:paraId="62DFB133" w14:textId="77777777" w:rsidR="00927BF8" w:rsidRPr="007C796B" w:rsidRDefault="00927BF8" w:rsidP="004349CC">
      <w:pPr>
        <w:suppressLineNumbers/>
        <w:suppressAutoHyphens/>
        <w:autoSpaceDE w:val="0"/>
        <w:spacing w:before="120"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Task 1.a</w:t>
      </w:r>
    </w:p>
    <w:p w14:paraId="3A9DE059" w14:textId="77777777" w:rsidR="00927BF8" w:rsidRPr="007C796B" w:rsidRDefault="00927BF8"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 xml:space="preserve">The Secretariat of the Convention will work together with the United Nations Educational, Scientific and Cultural Organization (UNESCO), the International Union for Conservation of Nature (IUCN) and other relevant organizations, and, making use of the recommendations, studies, initiatives and documents developed through relevant bodies, such as the Ad Hoc Open-ended Working Group on Article 8(j) and Related Provisions, will develop a joint strategy consistent with conventions and agreements related to biological diversity and culture, to </w:t>
      </w:r>
      <w:r w:rsidRPr="007C796B">
        <w:rPr>
          <w:rFonts w:asciiTheme="majorBidi" w:eastAsia="MS Mincho" w:hAnsiTheme="majorBidi" w:cstheme="majorBidi"/>
          <w:kern w:val="22"/>
          <w:szCs w:val="22"/>
          <w:lang w:bidi="en-US"/>
        </w:rPr>
        <w:t xml:space="preserve">contribute to actions to </w:t>
      </w:r>
      <w:r w:rsidRPr="007C796B">
        <w:rPr>
          <w:rFonts w:asciiTheme="majorBidi" w:eastAsia="MS Mincho" w:hAnsiTheme="majorBidi" w:cstheme="majorBidi"/>
          <w:kern w:val="22"/>
          <w:szCs w:val="22"/>
        </w:rPr>
        <w:t xml:space="preserve">stop the ongoing and often dramatic decline in global diversity of both nature </w:t>
      </w:r>
      <w:r w:rsidRPr="007C796B">
        <w:rPr>
          <w:rFonts w:asciiTheme="majorBidi" w:eastAsia="MS Mincho" w:hAnsiTheme="majorBidi" w:cstheme="majorBidi"/>
          <w:iCs/>
          <w:kern w:val="22"/>
          <w:szCs w:val="22"/>
        </w:rPr>
        <w:t xml:space="preserve">and </w:t>
      </w:r>
      <w:r w:rsidRPr="007C796B">
        <w:rPr>
          <w:rFonts w:asciiTheme="majorBidi" w:eastAsia="MS Mincho" w:hAnsiTheme="majorBidi" w:cstheme="majorBidi"/>
          <w:kern w:val="22"/>
          <w:szCs w:val="22"/>
        </w:rPr>
        <w:t>culture.</w:t>
      </w:r>
    </w:p>
    <w:p w14:paraId="55B4829C" w14:textId="77777777" w:rsidR="00927BF8" w:rsidRPr="007C796B" w:rsidRDefault="00927BF8" w:rsidP="004349CC">
      <w:pPr>
        <w:suppressLineNumbers/>
        <w:suppressAutoHyphens/>
        <w:autoSpaceDE w:val="0"/>
        <w:spacing w:before="120" w:after="120"/>
        <w:rPr>
          <w:rFonts w:asciiTheme="majorBidi" w:hAnsiTheme="majorBidi" w:cstheme="majorBidi"/>
          <w:b/>
          <w:bCs/>
          <w:spacing w:val="-2"/>
          <w:kern w:val="22"/>
          <w:szCs w:val="22"/>
        </w:rPr>
      </w:pPr>
      <w:r w:rsidRPr="007C796B">
        <w:rPr>
          <w:rFonts w:asciiTheme="majorBidi" w:hAnsiTheme="majorBidi" w:cstheme="majorBidi"/>
          <w:b/>
          <w:bCs/>
          <w:spacing w:val="-2"/>
          <w:kern w:val="22"/>
          <w:szCs w:val="22"/>
        </w:rPr>
        <w:t>Task 1.b</w:t>
      </w:r>
    </w:p>
    <w:p w14:paraId="09037111" w14:textId="77777777" w:rsidR="00927BF8" w:rsidRPr="007C796B" w:rsidRDefault="00927BF8" w:rsidP="004349CC">
      <w:pPr>
        <w:suppressLineNumbers/>
        <w:suppressAutoHyphens/>
        <w:autoSpaceDE w:val="0"/>
        <w:spacing w:before="120" w:after="120"/>
        <w:rPr>
          <w:rFonts w:asciiTheme="majorBidi" w:hAnsiTheme="majorBidi" w:cstheme="majorBidi"/>
          <w:b/>
          <w:kern w:val="22"/>
          <w:szCs w:val="22"/>
        </w:rPr>
      </w:pPr>
      <w:r w:rsidRPr="007C796B">
        <w:rPr>
          <w:rFonts w:asciiTheme="majorBidi" w:hAnsiTheme="majorBidi" w:cstheme="majorBidi"/>
          <w:spacing w:val="-2"/>
          <w:kern w:val="22"/>
          <w:szCs w:val="22"/>
        </w:rPr>
        <w:t>The Secretariat of the Convention, together with UNESCO</w:t>
      </w:r>
      <w:r w:rsidRPr="007C796B">
        <w:rPr>
          <w:rFonts w:asciiTheme="majorBidi" w:eastAsia="MS Mincho" w:hAnsiTheme="majorBidi" w:cstheme="majorBidi"/>
          <w:kern w:val="22"/>
          <w:szCs w:val="22"/>
        </w:rPr>
        <w:t xml:space="preserve">, </w:t>
      </w:r>
      <w:r w:rsidRPr="007C796B">
        <w:rPr>
          <w:rFonts w:asciiTheme="majorBidi" w:eastAsia="MS Mincho" w:hAnsiTheme="majorBidi" w:cstheme="majorBidi"/>
          <w:kern w:val="22"/>
          <w:szCs w:val="22"/>
          <w:shd w:val="clear" w:color="auto" w:fill="FFFFFF"/>
        </w:rPr>
        <w:t>IUCN</w:t>
      </w:r>
      <w:r w:rsidRPr="007C796B">
        <w:rPr>
          <w:rFonts w:asciiTheme="majorBidi" w:hAnsiTheme="majorBidi" w:cstheme="majorBidi"/>
          <w:spacing w:val="-2"/>
          <w:kern w:val="22"/>
          <w:szCs w:val="22"/>
        </w:rPr>
        <w:t>, and other relevant bodies, will develop tools and guidance to ensure that the benefits arising from the utilization of genetic resources held by indigenous peoples and local communities and traditional knowledge associated with genetic resources are shared fairly and equitably with indigenous peoples and local communities, in order to preserve their culture, health and well-being.</w:t>
      </w:r>
    </w:p>
    <w:p w14:paraId="64155D35" w14:textId="77777777" w:rsidR="00927BF8" w:rsidRPr="007C796B" w:rsidRDefault="00927BF8" w:rsidP="004349CC">
      <w:pPr>
        <w:keepNext/>
        <w:suppressLineNumbers/>
        <w:suppressAutoHyphens/>
        <w:snapToGrid w:val="0"/>
        <w:spacing w:before="120"/>
        <w:rPr>
          <w:rFonts w:asciiTheme="majorBidi" w:hAnsiTheme="majorBidi" w:cstheme="majorBidi"/>
          <w:b/>
          <w:kern w:val="22"/>
          <w:szCs w:val="22"/>
        </w:rPr>
      </w:pPr>
      <w:r w:rsidRPr="007C796B">
        <w:rPr>
          <w:rFonts w:asciiTheme="majorBidi" w:hAnsiTheme="majorBidi" w:cstheme="majorBidi"/>
          <w:b/>
          <w:kern w:val="22"/>
          <w:szCs w:val="22"/>
        </w:rPr>
        <w:lastRenderedPageBreak/>
        <w:t>Element 2</w:t>
      </w:r>
    </w:p>
    <w:p w14:paraId="22A5B7C3" w14:textId="77777777" w:rsidR="00927BF8" w:rsidRPr="007C796B" w:rsidRDefault="00927BF8" w:rsidP="004349CC">
      <w:pPr>
        <w:keepNext/>
        <w:suppressLineNumbers/>
        <w:suppressAutoHyphens/>
        <w:snapToGrid w:val="0"/>
        <w:spacing w:after="120"/>
        <w:rPr>
          <w:rFonts w:asciiTheme="majorBidi" w:hAnsiTheme="majorBidi" w:cstheme="majorBidi"/>
          <w:b/>
          <w:kern w:val="22"/>
          <w:szCs w:val="22"/>
        </w:rPr>
      </w:pPr>
      <w:r w:rsidRPr="007C796B">
        <w:rPr>
          <w:rFonts w:asciiTheme="majorBidi" w:hAnsiTheme="majorBidi" w:cstheme="majorBidi"/>
          <w:b/>
          <w:kern w:val="22"/>
          <w:szCs w:val="22"/>
        </w:rPr>
        <w:t>Science dialogue, knowledge dialogue, equivalence of knowledge systems, indicators and monitoring efforts</w:t>
      </w:r>
    </w:p>
    <w:p w14:paraId="4A8770D5" w14:textId="77777777" w:rsidR="00927BF8" w:rsidRPr="007C796B" w:rsidRDefault="00927BF8" w:rsidP="004349CC">
      <w:pPr>
        <w:keepNext/>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b/>
          <w:kern w:val="22"/>
          <w:szCs w:val="22"/>
        </w:rPr>
        <w:t>Task 2.a</w:t>
      </w:r>
    </w:p>
    <w:p w14:paraId="49006FAC" w14:textId="77777777" w:rsidR="00927BF8" w:rsidRPr="007C796B" w:rsidRDefault="00927BF8"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Ad Hoc Open-ended Working Group on Article 8(j) and Related Provisions, together with the Subsidiary Body on Scientific, Technical and Technological Advice, will review and update the four adopted traditional knowledge indicators</w:t>
      </w:r>
      <w:r w:rsidRPr="00610646">
        <w:rPr>
          <w:rStyle w:val="FootnoteReference"/>
        </w:rPr>
        <w:footnoteReference w:id="317"/>
      </w:r>
      <w:r w:rsidRPr="007C796B">
        <w:rPr>
          <w:rFonts w:asciiTheme="majorBidi" w:hAnsiTheme="majorBidi" w:cstheme="majorBidi"/>
          <w:kern w:val="22"/>
          <w:szCs w:val="22"/>
        </w:rPr>
        <w:t xml:space="preserve"> which were adopted in decision XIII/28</w:t>
      </w:r>
      <w:r w:rsidRPr="007C796B">
        <w:rPr>
          <w:rFonts w:asciiTheme="majorBidi" w:eastAsia="Calibri" w:hAnsiTheme="majorBidi" w:cstheme="majorBidi"/>
          <w:bCs/>
          <w:kern w:val="22"/>
          <w:szCs w:val="22"/>
        </w:rPr>
        <w:t xml:space="preserve"> and are </w:t>
      </w:r>
      <w:r w:rsidRPr="007C796B">
        <w:rPr>
          <w:rFonts w:asciiTheme="majorBidi" w:hAnsiTheme="majorBidi" w:cstheme="majorBidi"/>
          <w:bCs/>
          <w:kern w:val="22"/>
          <w:szCs w:val="22"/>
        </w:rPr>
        <w:t xml:space="preserve">relevant for the conservation and sustainable use of biological </w:t>
      </w:r>
      <w:r w:rsidRPr="007C796B">
        <w:rPr>
          <w:rFonts w:asciiTheme="majorBidi" w:hAnsiTheme="majorBidi" w:cstheme="majorBidi"/>
          <w:kern w:val="22"/>
          <w:szCs w:val="22"/>
        </w:rPr>
        <w:t>diversity, in the light of the Kunming-Montreal Global Biodiversity Framework and the ongoing work on biological and cultural diversity and human well-being.</w:t>
      </w:r>
    </w:p>
    <w:p w14:paraId="30C90096" w14:textId="77777777" w:rsidR="00927BF8" w:rsidRPr="007C796B" w:rsidRDefault="00927BF8" w:rsidP="004349CC">
      <w:pPr>
        <w:keepNext/>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2.b</w:t>
      </w:r>
    </w:p>
    <w:p w14:paraId="2A2851EF" w14:textId="77777777" w:rsidR="00927BF8" w:rsidRPr="007C796B" w:rsidRDefault="00927BF8"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Secretariat of the Convention will continue efforts at the international level to operationalize the existing indicators and relevant indicators developed in the Kunming-Montreal Global Biodiversity Framework, in partnership with the UNESCO, IUCN and other relevant bodies, and with the full and effective participation of indigenous peoples and local communities.</w:t>
      </w:r>
    </w:p>
    <w:p w14:paraId="67DC16B0" w14:textId="77777777" w:rsidR="00927BF8" w:rsidRPr="007C796B" w:rsidRDefault="00927BF8" w:rsidP="004349CC">
      <w:pPr>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2.c</w:t>
      </w:r>
    </w:p>
    <w:p w14:paraId="015F481D" w14:textId="77777777" w:rsidR="00927BF8" w:rsidRPr="007C796B" w:rsidRDefault="00927BF8"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Secretariat of the Convention will continue efforts at the international level to explore the full potential of community-based monitoring and information systems (CBMIS) as methods and tools for monitoring the achievement of the Kunming-Montreal Global Biodiversity Framework,</w:t>
      </w:r>
      <w:r w:rsidRPr="007C796B">
        <w:rPr>
          <w:rFonts w:asciiTheme="majorBidi" w:hAnsiTheme="majorBidi" w:cstheme="majorBidi"/>
          <w:color w:val="222222"/>
          <w:kern w:val="22"/>
          <w:szCs w:val="22"/>
        </w:rPr>
        <w:t xml:space="preserve"> </w:t>
      </w:r>
      <w:r w:rsidRPr="007C796B">
        <w:rPr>
          <w:rFonts w:asciiTheme="majorBidi" w:hAnsiTheme="majorBidi" w:cstheme="majorBidi"/>
          <w:kern w:val="22"/>
          <w:szCs w:val="22"/>
        </w:rPr>
        <w:t xml:space="preserve">and with the full and effective participation of indigenous peoples and local communities, </w:t>
      </w:r>
      <w:r w:rsidRPr="007C796B">
        <w:rPr>
          <w:rFonts w:asciiTheme="majorBidi" w:hAnsiTheme="majorBidi" w:cstheme="majorBidi"/>
          <w:bCs/>
          <w:kern w:val="22"/>
          <w:szCs w:val="22"/>
        </w:rPr>
        <w:t>taking into consideration</w:t>
      </w:r>
      <w:r w:rsidRPr="007C796B">
        <w:rPr>
          <w:rFonts w:asciiTheme="majorBidi" w:hAnsiTheme="majorBidi" w:cstheme="majorBidi"/>
          <w:b/>
          <w:bCs/>
          <w:kern w:val="22"/>
          <w:szCs w:val="22"/>
        </w:rPr>
        <w:t xml:space="preserve"> </w:t>
      </w:r>
      <w:r w:rsidRPr="007C796B">
        <w:rPr>
          <w:rFonts w:asciiTheme="majorBidi" w:hAnsiTheme="majorBidi" w:cstheme="majorBidi"/>
          <w:kern w:val="22"/>
          <w:szCs w:val="22"/>
        </w:rPr>
        <w:t>the elements of most relevance to indigenous peoples and local communities, and explore synergies in the monitoring of the Sustainable Development Goals and other global processes.</w:t>
      </w:r>
    </w:p>
    <w:p w14:paraId="3F5E42C6" w14:textId="77777777" w:rsidR="00927BF8" w:rsidRPr="007C796B" w:rsidRDefault="00927BF8" w:rsidP="004349CC">
      <w:pPr>
        <w:keepNext/>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b/>
          <w:kern w:val="22"/>
          <w:szCs w:val="22"/>
        </w:rPr>
        <w:t>Task 2.d</w:t>
      </w:r>
    </w:p>
    <w:p w14:paraId="1E346F4A" w14:textId="77777777" w:rsidR="00927BF8" w:rsidRPr="007C796B" w:rsidRDefault="00927BF8" w:rsidP="004349CC">
      <w:pPr>
        <w:suppressLineNumbers/>
        <w:suppressAutoHyphens/>
        <w:snapToGrid w:val="0"/>
        <w:spacing w:before="120" w:after="120"/>
        <w:rPr>
          <w:rFonts w:asciiTheme="majorBidi" w:hAnsiTheme="majorBidi" w:cstheme="majorBidi"/>
          <w:kern w:val="22"/>
          <w:szCs w:val="22"/>
        </w:rPr>
      </w:pPr>
      <w:bookmarkStart w:id="281" w:name="_Hlk18584140"/>
      <w:r w:rsidRPr="007C796B">
        <w:rPr>
          <w:rFonts w:asciiTheme="majorBidi" w:hAnsiTheme="majorBidi" w:cstheme="majorBidi"/>
          <w:kern w:val="22"/>
          <w:szCs w:val="22"/>
        </w:rPr>
        <w:t xml:space="preserve">The Secretariat of the Convention, </w:t>
      </w:r>
      <w:bookmarkEnd w:id="281"/>
      <w:r w:rsidRPr="007C796B">
        <w:rPr>
          <w:rFonts w:asciiTheme="majorBidi" w:hAnsiTheme="majorBidi" w:cstheme="majorBidi"/>
          <w:kern w:val="22"/>
          <w:szCs w:val="22"/>
        </w:rPr>
        <w:t>UNESCO and IUCN, together with other relevant organizations, and Parties, with the full and effective participation of indigenous peoples and local communities, with their free, prior and informed consent</w:t>
      </w:r>
      <w:r w:rsidRPr="007C796B">
        <w:rPr>
          <w:rFonts w:asciiTheme="majorBidi" w:hAnsiTheme="majorBidi" w:cstheme="majorBidi"/>
          <w:color w:val="222222"/>
          <w:kern w:val="22"/>
          <w:szCs w:val="22"/>
        </w:rPr>
        <w:t xml:space="preserve"> </w:t>
      </w:r>
      <w:r w:rsidRPr="007C796B">
        <w:rPr>
          <w:rFonts w:asciiTheme="majorBidi" w:hAnsiTheme="majorBidi" w:cstheme="majorBidi"/>
          <w:kern w:val="22"/>
          <w:szCs w:val="22"/>
        </w:rPr>
        <w:t xml:space="preserve">and attending to the adequate protection of traditional knowledge, will, with respect to biocultural diversity, create events, spaces and platforms to promote the transmission and exchange, between scientific and traditional knowledge systems, of values, knowledge, experiences, methods and results </w:t>
      </w:r>
      <w:r w:rsidRPr="007C796B">
        <w:rPr>
          <w:rFonts w:asciiTheme="majorBidi" w:hAnsiTheme="majorBidi" w:cstheme="majorBidi"/>
          <w:bCs/>
          <w:kern w:val="22"/>
          <w:szCs w:val="22"/>
        </w:rPr>
        <w:t xml:space="preserve">relevant for the conservation and sustainable use of biological </w:t>
      </w:r>
      <w:r w:rsidRPr="007C796B">
        <w:rPr>
          <w:rFonts w:asciiTheme="majorBidi" w:hAnsiTheme="majorBidi" w:cstheme="majorBidi"/>
          <w:kern w:val="22"/>
          <w:szCs w:val="22"/>
        </w:rPr>
        <w:t>diversity, and facilitate sustained capacity-building and the development and promotion of open frameworks for knowledge dialogues and knowledge co-production at the international, national and regional levels.</w:t>
      </w:r>
    </w:p>
    <w:p w14:paraId="5C9E2227" w14:textId="77777777" w:rsidR="00927BF8" w:rsidRPr="007C796B" w:rsidRDefault="00927BF8" w:rsidP="004349CC">
      <w:pPr>
        <w:keepNext/>
        <w:suppressLineNumbers/>
        <w:suppressAutoHyphens/>
        <w:snapToGrid w:val="0"/>
        <w:spacing w:before="120"/>
        <w:rPr>
          <w:rFonts w:asciiTheme="majorBidi" w:hAnsiTheme="majorBidi" w:cstheme="majorBidi"/>
          <w:b/>
          <w:kern w:val="22"/>
          <w:szCs w:val="22"/>
        </w:rPr>
      </w:pPr>
      <w:r w:rsidRPr="007C796B">
        <w:rPr>
          <w:rFonts w:asciiTheme="majorBidi" w:hAnsiTheme="majorBidi" w:cstheme="majorBidi"/>
          <w:b/>
          <w:kern w:val="22"/>
          <w:szCs w:val="22"/>
        </w:rPr>
        <w:t>Element 3</w:t>
      </w:r>
    </w:p>
    <w:p w14:paraId="39911BD1" w14:textId="77777777" w:rsidR="00927BF8" w:rsidRPr="007C796B" w:rsidRDefault="00927BF8" w:rsidP="004349CC">
      <w:pPr>
        <w:keepNext/>
        <w:suppressLineNumbers/>
        <w:suppressAutoHyphens/>
        <w:snapToGrid w:val="0"/>
        <w:spacing w:after="120"/>
        <w:rPr>
          <w:rFonts w:asciiTheme="majorBidi" w:hAnsiTheme="majorBidi" w:cstheme="majorBidi"/>
          <w:b/>
          <w:kern w:val="22"/>
          <w:szCs w:val="22"/>
        </w:rPr>
      </w:pPr>
      <w:r w:rsidRPr="007C796B">
        <w:rPr>
          <w:rFonts w:asciiTheme="majorBidi" w:hAnsiTheme="majorBidi" w:cstheme="majorBidi"/>
          <w:b/>
          <w:kern w:val="22"/>
          <w:szCs w:val="22"/>
        </w:rPr>
        <w:t>Biocultural diversity and linkages between nature and culture in integrated socio</w:t>
      </w:r>
      <w:r w:rsidRPr="007C796B">
        <w:rPr>
          <w:rFonts w:asciiTheme="majorBidi" w:hAnsiTheme="majorBidi" w:cstheme="majorBidi"/>
          <w:b/>
          <w:kern w:val="22"/>
          <w:szCs w:val="22"/>
        </w:rPr>
        <w:noBreakHyphen/>
        <w:t>ecological systems</w:t>
      </w:r>
    </w:p>
    <w:p w14:paraId="0EE4FF1D" w14:textId="77777777" w:rsidR="00927BF8" w:rsidRPr="007C796B" w:rsidRDefault="00927BF8" w:rsidP="004349CC">
      <w:pPr>
        <w:keepNext/>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b/>
          <w:snapToGrid w:val="0"/>
          <w:kern w:val="22"/>
          <w:szCs w:val="22"/>
        </w:rPr>
        <w:t>Task 3.a</w:t>
      </w:r>
    </w:p>
    <w:p w14:paraId="021BBB61" w14:textId="77777777" w:rsidR="00927BF8" w:rsidRPr="007C796B" w:rsidRDefault="00927BF8"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snapToGrid w:val="0"/>
          <w:kern w:val="22"/>
          <w:szCs w:val="22"/>
        </w:rPr>
        <w:t>The Secretariat of the Convention, in partnership with UNESCO, IUCN, the United Nations Permanent Forum on Indigenous Issues, Parties, other relevant organizations and indigenous peoples and local communities, will c</w:t>
      </w:r>
      <w:r w:rsidRPr="007C796B">
        <w:rPr>
          <w:rFonts w:asciiTheme="majorBidi" w:hAnsiTheme="majorBidi" w:cstheme="majorBidi"/>
          <w:snapToGrid w:val="0"/>
          <w:kern w:val="22"/>
          <w:szCs w:val="22"/>
          <w:lang w:bidi="en-US"/>
        </w:rPr>
        <w:t xml:space="preserve">ontribute to </w:t>
      </w:r>
      <w:r w:rsidRPr="007C796B">
        <w:rPr>
          <w:rFonts w:asciiTheme="majorBidi" w:hAnsiTheme="majorBidi" w:cstheme="majorBidi"/>
          <w:snapToGrid w:val="0"/>
          <w:kern w:val="22"/>
          <w:szCs w:val="22"/>
        </w:rPr>
        <w:t>initiatives to strengthen the links between biological and cultural diversity, in line with the Joint Programme of Work.</w:t>
      </w:r>
    </w:p>
    <w:p w14:paraId="7CF0226B" w14:textId="77777777" w:rsidR="00927BF8" w:rsidRPr="007C796B" w:rsidRDefault="00927BF8" w:rsidP="004349CC">
      <w:pPr>
        <w:keepNext/>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b/>
          <w:snapToGrid w:val="0"/>
          <w:kern w:val="22"/>
          <w:szCs w:val="22"/>
        </w:rPr>
        <w:t>Task 3.b</w:t>
      </w:r>
    </w:p>
    <w:p w14:paraId="23656D31" w14:textId="77777777" w:rsidR="00927BF8" w:rsidRPr="007C796B" w:rsidRDefault="00927BF8"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kern w:val="22"/>
          <w:szCs w:val="22"/>
        </w:rPr>
        <w:t>The Secretariat of the Convention</w:t>
      </w:r>
      <w:r w:rsidRPr="007C796B">
        <w:rPr>
          <w:rFonts w:asciiTheme="majorBidi" w:hAnsiTheme="majorBidi" w:cstheme="majorBidi"/>
          <w:snapToGrid w:val="0"/>
          <w:kern w:val="22"/>
          <w:szCs w:val="22"/>
        </w:rPr>
        <w:t xml:space="preserve"> will work with UNESCO, IUCN, Parties and relevant organizations, to facilitate the development, support and implementation of specific efforts to enable indigenous peoples and </w:t>
      </w:r>
      <w:r w:rsidRPr="007C796B">
        <w:rPr>
          <w:rFonts w:asciiTheme="majorBidi" w:hAnsiTheme="majorBidi" w:cstheme="majorBidi"/>
          <w:snapToGrid w:val="0"/>
          <w:kern w:val="22"/>
          <w:szCs w:val="22"/>
        </w:rPr>
        <w:lastRenderedPageBreak/>
        <w:t>local communities to record, document, protect and transmit traditional languages and dialects, in particular indigenous languages,</w:t>
      </w:r>
      <w:r w:rsidRPr="007C796B">
        <w:rPr>
          <w:rFonts w:asciiTheme="majorBidi" w:hAnsiTheme="majorBidi" w:cstheme="majorBidi"/>
          <w:kern w:val="22"/>
          <w:szCs w:val="22"/>
        </w:rPr>
        <w:t xml:space="preserve"> </w:t>
      </w:r>
      <w:r w:rsidRPr="007C796B">
        <w:rPr>
          <w:rFonts w:asciiTheme="majorBidi" w:hAnsiTheme="majorBidi" w:cstheme="majorBidi"/>
          <w:snapToGrid w:val="0"/>
          <w:kern w:val="22"/>
          <w:szCs w:val="22"/>
        </w:rPr>
        <w:t>with the free, prior and informed consent of indigenous peoples and local communities and with their full and effective participation, where this would support the objectives of the Convention.</w:t>
      </w:r>
      <w:r w:rsidRPr="00610646">
        <w:rPr>
          <w:rStyle w:val="FootnoteReference"/>
        </w:rPr>
        <w:footnoteReference w:id="318"/>
      </w:r>
    </w:p>
    <w:p w14:paraId="051AC732" w14:textId="77777777" w:rsidR="00927BF8" w:rsidRPr="007C796B" w:rsidRDefault="00927BF8" w:rsidP="004349CC">
      <w:pPr>
        <w:suppressLineNumbers/>
        <w:suppressAutoHyphens/>
        <w:snapToGrid w:val="0"/>
        <w:spacing w:before="120" w:after="120"/>
        <w:rPr>
          <w:rFonts w:asciiTheme="majorBidi" w:hAnsiTheme="majorBidi" w:cstheme="majorBidi"/>
          <w:b/>
          <w:snapToGrid w:val="0"/>
          <w:kern w:val="22"/>
          <w:szCs w:val="22"/>
        </w:rPr>
      </w:pPr>
      <w:r w:rsidRPr="007C796B">
        <w:rPr>
          <w:rFonts w:asciiTheme="majorBidi" w:hAnsiTheme="majorBidi" w:cstheme="majorBidi"/>
          <w:b/>
          <w:snapToGrid w:val="0"/>
          <w:kern w:val="22"/>
          <w:szCs w:val="22"/>
        </w:rPr>
        <w:t>Task 3.c</w:t>
      </w:r>
    </w:p>
    <w:p w14:paraId="6F588D32" w14:textId="77777777" w:rsidR="00927BF8" w:rsidRPr="007C796B" w:rsidRDefault="00927BF8"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snapToGrid w:val="0"/>
          <w:kern w:val="22"/>
          <w:szCs w:val="22"/>
        </w:rPr>
        <w:t>The Secretariat of the Convention will work with UNESCO, IUCN, Parties and relevant organizations to enable indigenous peoples and local communities to record, document and transmit traditional knowledge, with their free, prior and informed consent, with a focus on traditional knowledge relevant for the conservation of nature and culture and the sustainable use of natural resources. This information could be made available with the free, prior and informed consent of indigenous peoples and local communities, taking into account national circumstances.</w:t>
      </w:r>
    </w:p>
    <w:p w14:paraId="332DB4AC" w14:textId="77777777" w:rsidR="00927BF8" w:rsidRPr="007C796B" w:rsidRDefault="00927BF8" w:rsidP="004349CC">
      <w:pPr>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3.d</w:t>
      </w:r>
    </w:p>
    <w:p w14:paraId="7B78E78C" w14:textId="77777777" w:rsidR="00927BF8" w:rsidRPr="007C796B" w:rsidRDefault="00927BF8"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Secretariat of the Convention will work with UNESCO, IUCN, Parties and relevant organizations to promote the conservation and sustainable use of biodiversity and co-management with the full and effective participation of indigenous peoples and local communities.</w:t>
      </w:r>
    </w:p>
    <w:p w14:paraId="6857E77C" w14:textId="77777777" w:rsidR="00927BF8" w:rsidRPr="007C796B" w:rsidRDefault="00927BF8" w:rsidP="004349CC">
      <w:pPr>
        <w:suppressLineNumbers/>
        <w:suppressAutoHyphens/>
        <w:spacing w:before="120"/>
        <w:jc w:val="left"/>
        <w:rPr>
          <w:rFonts w:asciiTheme="majorBidi" w:eastAsia="MS Mincho" w:hAnsiTheme="majorBidi" w:cstheme="majorBidi"/>
          <w:b/>
          <w:kern w:val="22"/>
          <w:szCs w:val="22"/>
        </w:rPr>
      </w:pPr>
      <w:r w:rsidRPr="007C796B">
        <w:rPr>
          <w:rFonts w:asciiTheme="majorBidi" w:eastAsia="MS Mincho" w:hAnsiTheme="majorBidi" w:cstheme="majorBidi"/>
          <w:b/>
          <w:kern w:val="22"/>
          <w:szCs w:val="22"/>
        </w:rPr>
        <w:t>Element 4</w:t>
      </w:r>
    </w:p>
    <w:p w14:paraId="0F58632E" w14:textId="77777777" w:rsidR="00927BF8" w:rsidRPr="007C796B" w:rsidRDefault="00927BF8" w:rsidP="004349CC">
      <w:pPr>
        <w:suppressLineNumbers/>
        <w:suppressAutoHyphens/>
        <w:autoSpaceDE w:val="0"/>
        <w:spacing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Develop new approaches to communication, education and public awareness (CEPA)</w:t>
      </w:r>
    </w:p>
    <w:p w14:paraId="4CE19B1A" w14:textId="77777777" w:rsidR="00927BF8" w:rsidRPr="007C796B" w:rsidRDefault="00927BF8" w:rsidP="004349CC">
      <w:pPr>
        <w:keepNext/>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b/>
          <w:kern w:val="22"/>
          <w:szCs w:val="22"/>
        </w:rPr>
        <w:t>Task 4.a</w:t>
      </w:r>
    </w:p>
    <w:p w14:paraId="0608018D" w14:textId="77777777" w:rsidR="00927BF8" w:rsidRPr="007C796B" w:rsidRDefault="00927BF8"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The Secretariat of the Convention will work together with UNESCO, IUCN, other relevant bodies, and indigenous peoples and local communities to develop communication and educational materials to raise awareness, across society and all sectors, of the interdependence and interlinkages between biological, cultural and linguistic diversity, for human well-being and environmental sustainability, to strengthen recognition of traditional knowledge and the sustainable use practices of traditional knowledge holders. Such materials should be culturally appropriate to the needs of different audiences, and, as appropriate, be made available in formats and languages understandable to indigenous peoples and local communities.</w:t>
      </w:r>
    </w:p>
    <w:p w14:paraId="7C302E2C" w14:textId="77777777" w:rsidR="00927BF8" w:rsidRPr="007C796B" w:rsidRDefault="00927BF8" w:rsidP="004349CC">
      <w:pPr>
        <w:suppressLineNumbers/>
        <w:suppressAutoHyphens/>
        <w:autoSpaceDE w:val="0"/>
        <w:spacing w:before="120" w:after="120"/>
        <w:rPr>
          <w:rFonts w:asciiTheme="majorBidi" w:eastAsia="MS Mincho" w:hAnsiTheme="majorBidi" w:cstheme="majorBidi"/>
          <w:b/>
          <w:kern w:val="22"/>
          <w:szCs w:val="22"/>
        </w:rPr>
      </w:pPr>
      <w:r w:rsidRPr="007C796B">
        <w:rPr>
          <w:rFonts w:asciiTheme="majorBidi" w:eastAsia="MS Mincho" w:hAnsiTheme="majorBidi" w:cstheme="majorBidi"/>
          <w:b/>
          <w:kern w:val="22"/>
          <w:szCs w:val="22"/>
        </w:rPr>
        <w:t>Task 4.b</w:t>
      </w:r>
    </w:p>
    <w:p w14:paraId="5F6857C7" w14:textId="77777777" w:rsidR="00927BF8" w:rsidRPr="007C796B" w:rsidRDefault="00927BF8"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The Secretariat of the Convention will work together with UNESCO, IUCN, other relevant agencies, and indigenous peoples and local communities to help Parties and other stakeholders to develop communication and education materials, and awareness strategies on indigenous languages.</w:t>
      </w:r>
    </w:p>
    <w:p w14:paraId="40FC48A1" w14:textId="77777777" w:rsidR="00927BF8" w:rsidRPr="00D757E6" w:rsidRDefault="00927BF8" w:rsidP="004349CC">
      <w:pPr>
        <w:pStyle w:val="Para1"/>
        <w:numPr>
          <w:ilvl w:val="0"/>
          <w:numId w:val="0"/>
        </w:numPr>
      </w:pPr>
    </w:p>
    <w:p w14:paraId="73A274A9" w14:textId="77777777" w:rsidR="00284A40" w:rsidRDefault="00284A40" w:rsidP="004349CC">
      <w:pPr>
        <w:jc w:val="center"/>
        <w:rPr>
          <w:szCs w:val="22"/>
        </w:rPr>
        <w:sectPr w:rsidR="00284A40" w:rsidSect="00441700">
          <w:footnotePr>
            <w:numRestart w:val="eachSect"/>
          </w:footnotePr>
          <w:pgSz w:w="12240" w:h="15840"/>
          <w:pgMar w:top="567" w:right="1440" w:bottom="1134" w:left="1440" w:header="709" w:footer="709" w:gutter="0"/>
          <w:cols w:space="708"/>
          <w:docGrid w:linePitch="360"/>
        </w:sectPr>
      </w:pPr>
    </w:p>
    <w:p w14:paraId="3AC22DE3" w14:textId="77777777" w:rsidR="00284A40" w:rsidRDefault="00284A40" w:rsidP="00966D25">
      <w:pPr>
        <w:pStyle w:val="decision"/>
        <w:rPr>
          <w:caps/>
        </w:rPr>
      </w:pPr>
      <w:bookmarkStart w:id="282" w:name="_Toc150438821"/>
      <w:bookmarkStart w:id="283" w:name="_Toc150670521"/>
      <w:bookmarkStart w:id="284" w:name="_Toc150670631"/>
      <w:bookmarkStart w:id="285" w:name="_Toc150761133"/>
      <w:r>
        <w:lastRenderedPageBreak/>
        <w:t>15/23.</w:t>
      </w:r>
      <w:r>
        <w:tab/>
      </w:r>
      <w:r w:rsidRPr="00F11E5A">
        <w:t xml:space="preserve">Sustainable </w:t>
      </w:r>
      <w:r>
        <w:t>w</w:t>
      </w:r>
      <w:r w:rsidRPr="00F11E5A">
        <w:t xml:space="preserve">ildlife </w:t>
      </w:r>
      <w:r>
        <w:t>m</w:t>
      </w:r>
      <w:r w:rsidRPr="00F11E5A">
        <w:t>anagement</w:t>
      </w:r>
      <w:bookmarkEnd w:id="282"/>
      <w:bookmarkEnd w:id="283"/>
      <w:bookmarkEnd w:id="284"/>
      <w:bookmarkEnd w:id="285"/>
      <w:r w:rsidRPr="00105372">
        <w:rPr>
          <w:caps/>
        </w:rPr>
        <w:t xml:space="preserve"> </w:t>
      </w:r>
    </w:p>
    <w:p w14:paraId="46673701" w14:textId="77777777" w:rsidR="00284A40" w:rsidRPr="00C314F5" w:rsidRDefault="00284A40" w:rsidP="000001B9">
      <w:pPr>
        <w:suppressLineNumbers/>
        <w:suppressAutoHyphens/>
        <w:spacing w:before="120" w:after="120"/>
        <w:ind w:firstLine="720"/>
        <w:rPr>
          <w:i/>
          <w:iCs/>
          <w:kern w:val="22"/>
          <w:szCs w:val="22"/>
        </w:rPr>
      </w:pPr>
      <w:r w:rsidRPr="00C314F5">
        <w:rPr>
          <w:i/>
          <w:iCs/>
          <w:kern w:val="22"/>
          <w:szCs w:val="22"/>
        </w:rPr>
        <w:t>The Conference of the Parties,</w:t>
      </w:r>
    </w:p>
    <w:p w14:paraId="00B5FD87" w14:textId="77777777" w:rsidR="00284A40" w:rsidRPr="00C314F5" w:rsidRDefault="00284A40" w:rsidP="000001B9">
      <w:pPr>
        <w:suppressLineNumbers/>
        <w:suppressAutoHyphens/>
        <w:spacing w:before="120" w:after="120"/>
        <w:ind w:firstLine="720"/>
        <w:rPr>
          <w:kern w:val="22"/>
          <w:szCs w:val="22"/>
        </w:rPr>
      </w:pPr>
      <w:r w:rsidRPr="00C314F5">
        <w:rPr>
          <w:i/>
          <w:iCs/>
          <w:kern w:val="22"/>
          <w:szCs w:val="22"/>
        </w:rPr>
        <w:t>Recognizing</w:t>
      </w:r>
      <w:r w:rsidRPr="00C314F5">
        <w:rPr>
          <w:kern w:val="22"/>
          <w:szCs w:val="22"/>
        </w:rPr>
        <w:t xml:space="preserve"> that the </w:t>
      </w:r>
      <w:r>
        <w:rPr>
          <w:kern w:val="22"/>
          <w:szCs w:val="22"/>
        </w:rPr>
        <w:t xml:space="preserve">legal and </w:t>
      </w:r>
      <w:r w:rsidRPr="00C314F5">
        <w:rPr>
          <w:kern w:val="22"/>
          <w:szCs w:val="22"/>
        </w:rPr>
        <w:t xml:space="preserve">sustainable use of biodiversity, including management of wildlife, contributed to progress towards several of the Aichi Biodiversity Targets and the Sustainable Development Goals and continues to be relevant for the </w:t>
      </w:r>
      <w:r>
        <w:rPr>
          <w:kern w:val="22"/>
          <w:szCs w:val="22"/>
        </w:rPr>
        <w:t>Kunming-Montreal</w:t>
      </w:r>
      <w:r w:rsidRPr="00C314F5">
        <w:rPr>
          <w:kern w:val="22"/>
          <w:szCs w:val="22"/>
        </w:rPr>
        <w:t xml:space="preserve"> </w:t>
      </w:r>
      <w:r>
        <w:rPr>
          <w:kern w:val="22"/>
          <w:szCs w:val="22"/>
        </w:rPr>
        <w:t>G</w:t>
      </w:r>
      <w:r w:rsidRPr="00C314F5">
        <w:rPr>
          <w:kern w:val="22"/>
          <w:szCs w:val="22"/>
        </w:rPr>
        <w:t xml:space="preserve">lobal </w:t>
      </w:r>
      <w:r>
        <w:rPr>
          <w:kern w:val="22"/>
          <w:szCs w:val="22"/>
        </w:rPr>
        <w:t>B</w:t>
      </w:r>
      <w:r w:rsidRPr="00C314F5">
        <w:rPr>
          <w:kern w:val="22"/>
          <w:szCs w:val="22"/>
        </w:rPr>
        <w:t xml:space="preserve">iodiversity </w:t>
      </w:r>
      <w:r>
        <w:rPr>
          <w:kern w:val="22"/>
          <w:szCs w:val="22"/>
        </w:rPr>
        <w:t>F</w:t>
      </w:r>
      <w:r w:rsidRPr="00C314F5">
        <w:rPr>
          <w:kern w:val="22"/>
          <w:szCs w:val="22"/>
        </w:rPr>
        <w:t>ramework,</w:t>
      </w:r>
      <w:r>
        <w:rPr>
          <w:kern w:val="22"/>
          <w:szCs w:val="22"/>
        </w:rPr>
        <w:t xml:space="preserve"> </w:t>
      </w:r>
    </w:p>
    <w:p w14:paraId="60CBE78D" w14:textId="77777777" w:rsidR="00284A40" w:rsidRPr="00C314F5" w:rsidRDefault="00284A40" w:rsidP="000001B9">
      <w:pPr>
        <w:suppressLineNumbers/>
        <w:suppressAutoHyphens/>
        <w:spacing w:before="120" w:after="120"/>
        <w:ind w:firstLine="720"/>
        <w:rPr>
          <w:iCs/>
          <w:kern w:val="22"/>
          <w:szCs w:val="22"/>
        </w:rPr>
      </w:pPr>
      <w:r w:rsidRPr="00C314F5">
        <w:rPr>
          <w:i/>
          <w:iCs/>
          <w:kern w:val="22"/>
          <w:szCs w:val="22"/>
        </w:rPr>
        <w:t>Recognizing</w:t>
      </w:r>
      <w:r>
        <w:rPr>
          <w:i/>
          <w:iCs/>
          <w:kern w:val="22"/>
          <w:szCs w:val="22"/>
        </w:rPr>
        <w:t xml:space="preserve"> also</w:t>
      </w:r>
      <w:r w:rsidRPr="00C314F5">
        <w:rPr>
          <w:i/>
          <w:iCs/>
          <w:kern w:val="22"/>
          <w:szCs w:val="22"/>
        </w:rPr>
        <w:t xml:space="preserve"> </w:t>
      </w:r>
      <w:r w:rsidRPr="00C314F5">
        <w:rPr>
          <w:kern w:val="22"/>
          <w:szCs w:val="22"/>
        </w:rPr>
        <w:t>that unsustainable wildlife management hinder</w:t>
      </w:r>
      <w:r>
        <w:rPr>
          <w:kern w:val="22"/>
          <w:szCs w:val="22"/>
        </w:rPr>
        <w:t>ed</w:t>
      </w:r>
      <w:r w:rsidRPr="00C314F5">
        <w:rPr>
          <w:kern w:val="22"/>
          <w:szCs w:val="22"/>
        </w:rPr>
        <w:t xml:space="preserve"> progress towards several of the Aichi Biodiversity Targets and the Sustainable Development Goals</w:t>
      </w:r>
      <w:r w:rsidRPr="00C314F5">
        <w:rPr>
          <w:iCs/>
          <w:kern w:val="22"/>
          <w:szCs w:val="22"/>
        </w:rPr>
        <w:t>,</w:t>
      </w:r>
    </w:p>
    <w:p w14:paraId="097EFF51" w14:textId="77777777" w:rsidR="00284A40" w:rsidRPr="00C314F5" w:rsidRDefault="00284A40" w:rsidP="000001B9">
      <w:pPr>
        <w:suppressLineNumbers/>
        <w:suppressAutoHyphens/>
        <w:spacing w:before="120" w:after="120"/>
        <w:ind w:firstLine="720"/>
        <w:rPr>
          <w:kern w:val="22"/>
          <w:szCs w:val="22"/>
        </w:rPr>
      </w:pPr>
      <w:r w:rsidRPr="00C314F5">
        <w:rPr>
          <w:i/>
          <w:iCs/>
          <w:kern w:val="22"/>
          <w:szCs w:val="22"/>
        </w:rPr>
        <w:t>Recognizing</w:t>
      </w:r>
      <w:r>
        <w:rPr>
          <w:i/>
          <w:iCs/>
          <w:kern w:val="22"/>
          <w:szCs w:val="22"/>
        </w:rPr>
        <w:t xml:space="preserve"> further</w:t>
      </w:r>
      <w:r w:rsidRPr="00C314F5">
        <w:rPr>
          <w:kern w:val="22"/>
          <w:szCs w:val="22"/>
        </w:rPr>
        <w:t xml:space="preserve"> the progress </w:t>
      </w:r>
      <w:r w:rsidRPr="00F87571">
        <w:rPr>
          <w:kern w:val="22"/>
          <w:szCs w:val="22"/>
        </w:rPr>
        <w:t xml:space="preserve">made </w:t>
      </w:r>
      <w:r w:rsidRPr="00496801">
        <w:rPr>
          <w:kern w:val="22"/>
          <w:szCs w:val="22"/>
        </w:rPr>
        <w:t>i</w:t>
      </w:r>
      <w:r w:rsidRPr="00F87571">
        <w:rPr>
          <w:kern w:val="22"/>
          <w:szCs w:val="22"/>
        </w:rPr>
        <w:t>n the consideration of the voluntary guidance for a sustainable wild meat sector in the tropics and the sub-tropics,</w:t>
      </w:r>
    </w:p>
    <w:p w14:paraId="6815855D" w14:textId="77777777" w:rsidR="00284A40" w:rsidRPr="00C314F5" w:rsidRDefault="00284A40" w:rsidP="000001B9">
      <w:pPr>
        <w:suppressLineNumbers/>
        <w:suppressAutoHyphens/>
        <w:spacing w:before="120" w:after="120"/>
        <w:ind w:firstLine="720"/>
        <w:rPr>
          <w:kern w:val="22"/>
          <w:szCs w:val="22"/>
        </w:rPr>
      </w:pPr>
      <w:r w:rsidRPr="00C314F5">
        <w:rPr>
          <w:i/>
          <w:iCs/>
          <w:kern w:val="22"/>
          <w:szCs w:val="22"/>
        </w:rPr>
        <w:t>Welcoming</w:t>
      </w:r>
      <w:r w:rsidRPr="00C314F5">
        <w:rPr>
          <w:kern w:val="22"/>
          <w:szCs w:val="22"/>
        </w:rPr>
        <w:t xml:space="preserve"> the existing collaboration on issues related to sustainable wildlife management between the Convention on Biological Diversity, the Convention on International Trade in Endangered Species of Wild Fauna and Flora, the Convention on the Conservation of Migratory Species of Wild Animals, the Food and Agriculture Organization of the United Nations, the Intergovernmental Science-Policy Platform on Biodiversity and Ecosystem Services and the United Nations Framework Convention on Climate Change, and the work of the Collaborative Partnership on Sustainable Wildlife Management, as well as the International Consortium on Combating Wildlife Crime and others involved in law enforcement,</w:t>
      </w:r>
    </w:p>
    <w:p w14:paraId="1CAA30CE" w14:textId="77777777" w:rsidR="00284A40" w:rsidRPr="00C314F5" w:rsidRDefault="00284A40" w:rsidP="000001B9">
      <w:pPr>
        <w:suppressLineNumbers/>
        <w:suppressAutoHyphens/>
        <w:spacing w:before="120" w:after="120"/>
        <w:ind w:firstLine="720"/>
        <w:rPr>
          <w:kern w:val="22"/>
          <w:szCs w:val="22"/>
        </w:rPr>
      </w:pPr>
      <w:r w:rsidRPr="00C314F5">
        <w:rPr>
          <w:i/>
          <w:iCs/>
          <w:kern w:val="22"/>
          <w:szCs w:val="22"/>
        </w:rPr>
        <w:t xml:space="preserve">Recognizing </w:t>
      </w:r>
      <w:r w:rsidRPr="00C314F5">
        <w:rPr>
          <w:kern w:val="22"/>
          <w:szCs w:val="22"/>
        </w:rPr>
        <w:t xml:space="preserve">that achieving </w:t>
      </w:r>
      <w:r>
        <w:rPr>
          <w:kern w:val="22"/>
          <w:szCs w:val="22"/>
        </w:rPr>
        <w:t xml:space="preserve">legal and </w:t>
      </w:r>
      <w:r w:rsidRPr="00C314F5">
        <w:rPr>
          <w:kern w:val="22"/>
          <w:szCs w:val="22"/>
        </w:rPr>
        <w:t>sustainable use of biodiversity requires innovative strategic approaches and topics, efficient implementation and actions to ensure mainstreaming of biodiversity into all relevant sectors,</w:t>
      </w:r>
    </w:p>
    <w:p w14:paraId="481F1784" w14:textId="77777777" w:rsidR="00284A40" w:rsidRDefault="00284A40" w:rsidP="000001B9">
      <w:pPr>
        <w:suppressLineNumbers/>
        <w:suppressAutoHyphens/>
        <w:spacing w:before="120" w:after="120"/>
        <w:ind w:firstLine="720"/>
        <w:rPr>
          <w:kern w:val="22"/>
          <w:szCs w:val="22"/>
        </w:rPr>
      </w:pPr>
      <w:r w:rsidRPr="00C314F5">
        <w:rPr>
          <w:i/>
          <w:iCs/>
          <w:kern w:val="22"/>
          <w:szCs w:val="22"/>
        </w:rPr>
        <w:t xml:space="preserve">Noting </w:t>
      </w:r>
      <w:r w:rsidRPr="00C314F5">
        <w:rPr>
          <w:kern w:val="22"/>
          <w:szCs w:val="22"/>
        </w:rPr>
        <w:t>that demand reduction strategies and alternative livelihood approaches to wild meat consumption, and to wildlife use in general, are more likely to be necessary when consumption or use are illegal and/or unsustainable, as sustainable wildlife management can significantly contribute to biodiversity conservation, as opposed to alternatives that may result in land</w:t>
      </w:r>
      <w:r>
        <w:rPr>
          <w:kern w:val="22"/>
          <w:szCs w:val="22"/>
        </w:rPr>
        <w:t>-</w:t>
      </w:r>
      <w:r w:rsidRPr="00C314F5">
        <w:rPr>
          <w:kern w:val="22"/>
          <w:szCs w:val="22"/>
        </w:rPr>
        <w:t xml:space="preserve">use </w:t>
      </w:r>
      <w:r w:rsidRPr="00F87571">
        <w:rPr>
          <w:kern w:val="22"/>
          <w:szCs w:val="22"/>
        </w:rPr>
        <w:t>changes that may be harmful</w:t>
      </w:r>
      <w:r w:rsidRPr="00C314F5">
        <w:rPr>
          <w:kern w:val="22"/>
          <w:szCs w:val="22"/>
        </w:rPr>
        <w:t xml:space="preserve"> to the environment and ecosystems,</w:t>
      </w:r>
    </w:p>
    <w:p w14:paraId="6BD60422" w14:textId="77777777" w:rsidR="00284A40" w:rsidRDefault="00284A40" w:rsidP="000001B9">
      <w:pPr>
        <w:suppressLineNumbers/>
        <w:suppressAutoHyphens/>
        <w:spacing w:before="120" w:after="120"/>
        <w:ind w:firstLine="720"/>
        <w:rPr>
          <w:kern w:val="22"/>
          <w:szCs w:val="22"/>
        </w:rPr>
      </w:pPr>
      <w:r w:rsidRPr="00C314F5">
        <w:rPr>
          <w:i/>
          <w:iCs/>
          <w:kern w:val="22"/>
          <w:szCs w:val="22"/>
        </w:rPr>
        <w:t>Taking note</w:t>
      </w:r>
      <w:r w:rsidRPr="00C314F5">
        <w:rPr>
          <w:kern w:val="22"/>
          <w:szCs w:val="22"/>
        </w:rPr>
        <w:t xml:space="preserve"> of recommendation 23/3 of the Subsidiary Body on Scientific, Technical and Technological Advice on sustainable wildlife management,</w:t>
      </w:r>
    </w:p>
    <w:p w14:paraId="0C697CBF" w14:textId="77777777" w:rsidR="00284A40" w:rsidRPr="00C314F5" w:rsidRDefault="00284A40" w:rsidP="000001B9">
      <w:pPr>
        <w:suppressLineNumbers/>
        <w:suppressAutoHyphens/>
        <w:spacing w:before="120" w:after="120"/>
        <w:ind w:firstLine="720"/>
        <w:rPr>
          <w:kern w:val="22"/>
          <w:szCs w:val="22"/>
        </w:rPr>
      </w:pPr>
      <w:r w:rsidRPr="00CB216F">
        <w:rPr>
          <w:i/>
          <w:iCs/>
          <w:kern w:val="22"/>
          <w:szCs w:val="22"/>
        </w:rPr>
        <w:t>Taking note</w:t>
      </w:r>
      <w:r>
        <w:rPr>
          <w:kern w:val="22"/>
          <w:szCs w:val="22"/>
        </w:rPr>
        <w:t xml:space="preserve"> </w:t>
      </w:r>
      <w:r w:rsidRPr="00DD51F0">
        <w:rPr>
          <w:i/>
          <w:iCs/>
          <w:kern w:val="22"/>
          <w:szCs w:val="22"/>
        </w:rPr>
        <w:t>with appreciation</w:t>
      </w:r>
      <w:r>
        <w:rPr>
          <w:kern w:val="22"/>
          <w:szCs w:val="22"/>
        </w:rPr>
        <w:t xml:space="preserve"> of the </w:t>
      </w:r>
      <w:r w:rsidRPr="00496801">
        <w:rPr>
          <w:i/>
          <w:iCs/>
          <w:kern w:val="22"/>
          <w:szCs w:val="22"/>
        </w:rPr>
        <w:t>Thematic Assessment on the Sustainable Use of Wild Species</w:t>
      </w:r>
      <w:r>
        <w:rPr>
          <w:kern w:val="22"/>
          <w:szCs w:val="22"/>
        </w:rPr>
        <w:t xml:space="preserve"> of the Intergovernmental Science-Policy Platform on Biodiversity and Ecosystem Services,</w:t>
      </w:r>
      <w:r w:rsidRPr="00610646">
        <w:rPr>
          <w:rStyle w:val="FootnoteReference"/>
        </w:rPr>
        <w:footnoteReference w:id="319"/>
      </w:r>
    </w:p>
    <w:p w14:paraId="45E3708C" w14:textId="77777777" w:rsidR="00284A40" w:rsidRPr="00C314F5" w:rsidRDefault="00284A40" w:rsidP="00950BE4">
      <w:pPr>
        <w:pStyle w:val="Para11"/>
        <w:numPr>
          <w:ilvl w:val="0"/>
          <w:numId w:val="65"/>
        </w:numPr>
        <w:suppressLineNumbers/>
        <w:suppressAutoHyphens/>
        <w:ind w:left="0" w:firstLine="720"/>
        <w:jc w:val="both"/>
        <w:rPr>
          <w:sz w:val="22"/>
        </w:rPr>
      </w:pPr>
      <w:r w:rsidRPr="00C314F5">
        <w:rPr>
          <w:i/>
          <w:iCs/>
          <w:kern w:val="22"/>
          <w:sz w:val="22"/>
        </w:rPr>
        <w:t>Requests</w:t>
      </w:r>
      <w:r w:rsidRPr="00C314F5">
        <w:rPr>
          <w:sz w:val="22"/>
        </w:rPr>
        <w:t xml:space="preserve"> </w:t>
      </w:r>
      <w:r w:rsidRPr="00F87571">
        <w:rPr>
          <w:sz w:val="22"/>
        </w:rPr>
        <w:t xml:space="preserve">the Executive Secretary, in consultation with Parties, </w:t>
      </w:r>
      <w:r w:rsidRPr="00F87571">
        <w:rPr>
          <w:kern w:val="22"/>
          <w:sz w:val="22"/>
        </w:rPr>
        <w:t>other Governments, indigenous peoples and local communities, and other members of the</w:t>
      </w:r>
      <w:r w:rsidRPr="00F87571">
        <w:rPr>
          <w:sz w:val="22"/>
        </w:rPr>
        <w:t xml:space="preserve"> </w:t>
      </w:r>
      <w:r w:rsidRPr="00F87571">
        <w:rPr>
          <w:kern w:val="22"/>
          <w:sz w:val="22"/>
        </w:rPr>
        <w:t>Collaborative Partnership on Sustainable Wildlife Management, and other relevant stakeholders and right holders, subject to the availability of</w:t>
      </w:r>
      <w:r w:rsidRPr="00F87571">
        <w:rPr>
          <w:sz w:val="22"/>
        </w:rPr>
        <w:t xml:space="preserve"> </w:t>
      </w:r>
      <w:r w:rsidRPr="00F87571">
        <w:rPr>
          <w:kern w:val="22"/>
          <w:sz w:val="22"/>
        </w:rPr>
        <w:t>resources:</w:t>
      </w:r>
    </w:p>
    <w:p w14:paraId="41617770" w14:textId="77777777" w:rsidR="00284A40" w:rsidRPr="00C314F5" w:rsidRDefault="00284A40" w:rsidP="000001B9">
      <w:pPr>
        <w:pStyle w:val="Para11"/>
        <w:suppressLineNumbers/>
        <w:suppressAutoHyphens/>
        <w:ind w:firstLine="720"/>
        <w:jc w:val="both"/>
        <w:rPr>
          <w:kern w:val="22"/>
          <w:sz w:val="22"/>
        </w:rPr>
      </w:pPr>
      <w:r w:rsidRPr="00C314F5">
        <w:rPr>
          <w:snapToGrid w:val="0"/>
          <w:color w:val="000000"/>
          <w:kern w:val="22"/>
          <w:sz w:val="22"/>
        </w:rPr>
        <w:t>(a)</w:t>
      </w:r>
      <w:r w:rsidRPr="00C314F5">
        <w:rPr>
          <w:snapToGrid w:val="0"/>
          <w:color w:val="000000"/>
          <w:kern w:val="22"/>
          <w:sz w:val="22"/>
        </w:rPr>
        <w:tab/>
        <w:t>To complete</w:t>
      </w:r>
      <w:r w:rsidRPr="00C314F5">
        <w:rPr>
          <w:kern w:val="22"/>
          <w:sz w:val="22"/>
        </w:rPr>
        <w:t xml:space="preserve"> the work mandated in decision 14/7, including identifying other areas beyond the wild meat sector that may require complementary guidance, such as other geographical areas, species and uses, making full use of the outcomes and the findings of the report of the Consultative Workshop on Sustainable Wildlife Management Beyond 2020</w:t>
      </w:r>
      <w:r w:rsidRPr="00610646">
        <w:rPr>
          <w:rStyle w:val="FootnoteReference"/>
        </w:rPr>
        <w:footnoteReference w:id="320"/>
      </w:r>
      <w:r w:rsidRPr="00C314F5">
        <w:rPr>
          <w:kern w:val="22"/>
          <w:sz w:val="22"/>
        </w:rPr>
        <w:t xml:space="preserve"> and the results of the survey on sustainable wildlife management;</w:t>
      </w:r>
    </w:p>
    <w:p w14:paraId="532FCF97" w14:textId="77777777" w:rsidR="00284A40" w:rsidRPr="00C314F5" w:rsidRDefault="00284A40" w:rsidP="000001B9">
      <w:pPr>
        <w:pStyle w:val="Para11"/>
        <w:suppressLineNumbers/>
        <w:suppressAutoHyphens/>
        <w:ind w:firstLine="720"/>
        <w:jc w:val="both"/>
        <w:rPr>
          <w:kern w:val="22"/>
          <w:sz w:val="22"/>
        </w:rPr>
      </w:pPr>
      <w:r w:rsidRPr="00C314F5">
        <w:rPr>
          <w:kern w:val="22"/>
          <w:sz w:val="22"/>
        </w:rPr>
        <w:t>(b)</w:t>
      </w:r>
      <w:r w:rsidRPr="00C314F5">
        <w:rPr>
          <w:kern w:val="22"/>
          <w:sz w:val="22"/>
        </w:rPr>
        <w:tab/>
        <w:t>To continue close collaboration with the Secretariat of the Intergovernmental Science</w:t>
      </w:r>
      <w:r>
        <w:rPr>
          <w:kern w:val="22"/>
          <w:sz w:val="22"/>
        </w:rPr>
        <w:noBreakHyphen/>
      </w:r>
      <w:r w:rsidRPr="00C314F5">
        <w:rPr>
          <w:kern w:val="22"/>
          <w:sz w:val="22"/>
        </w:rPr>
        <w:t>Policy Platform on Biodiversity and Ecosystem Services</w:t>
      </w:r>
      <w:r>
        <w:rPr>
          <w:kern w:val="22"/>
          <w:sz w:val="22"/>
        </w:rPr>
        <w:t>,</w:t>
      </w:r>
      <w:r w:rsidRPr="00C314F5">
        <w:rPr>
          <w:kern w:val="22"/>
          <w:sz w:val="22"/>
        </w:rPr>
        <w:t xml:space="preserve"> </w:t>
      </w:r>
      <w:r>
        <w:rPr>
          <w:kern w:val="22"/>
          <w:sz w:val="22"/>
        </w:rPr>
        <w:t xml:space="preserve">including </w:t>
      </w:r>
      <w:r w:rsidRPr="00C314F5">
        <w:rPr>
          <w:kern w:val="22"/>
          <w:sz w:val="22"/>
        </w:rPr>
        <w:t xml:space="preserve">on </w:t>
      </w:r>
      <w:r>
        <w:rPr>
          <w:kern w:val="22"/>
          <w:sz w:val="22"/>
        </w:rPr>
        <w:t>the</w:t>
      </w:r>
      <w:r w:rsidRPr="00C314F5">
        <w:rPr>
          <w:kern w:val="22"/>
          <w:sz w:val="22"/>
        </w:rPr>
        <w:t xml:space="preserve"> implications</w:t>
      </w:r>
      <w:r>
        <w:rPr>
          <w:kern w:val="22"/>
          <w:sz w:val="22"/>
        </w:rPr>
        <w:t xml:space="preserve"> of the thematic assessment on the sustainable use of wild </w:t>
      </w:r>
      <w:r w:rsidRPr="00CB3D12">
        <w:rPr>
          <w:kern w:val="22"/>
          <w:sz w:val="22"/>
        </w:rPr>
        <w:t xml:space="preserve">species </w:t>
      </w:r>
      <w:r w:rsidRPr="00496801">
        <w:rPr>
          <w:kern w:val="22"/>
          <w:sz w:val="22"/>
        </w:rPr>
        <w:t xml:space="preserve">of the Platform </w:t>
      </w:r>
      <w:r w:rsidRPr="00C314F5">
        <w:rPr>
          <w:kern w:val="22"/>
          <w:sz w:val="22"/>
        </w:rPr>
        <w:t xml:space="preserve">for the implementation of the </w:t>
      </w:r>
      <w:r>
        <w:rPr>
          <w:kern w:val="22"/>
          <w:sz w:val="22"/>
        </w:rPr>
        <w:t>Kunming-Montreal</w:t>
      </w:r>
      <w:r w:rsidRPr="00C314F5">
        <w:rPr>
          <w:kern w:val="22"/>
          <w:sz w:val="22"/>
        </w:rPr>
        <w:t xml:space="preserve"> </w:t>
      </w:r>
      <w:r>
        <w:rPr>
          <w:kern w:val="22"/>
          <w:sz w:val="22"/>
        </w:rPr>
        <w:t>G</w:t>
      </w:r>
      <w:r w:rsidRPr="00C314F5">
        <w:rPr>
          <w:kern w:val="22"/>
          <w:sz w:val="22"/>
        </w:rPr>
        <w:t xml:space="preserve">lobal </w:t>
      </w:r>
      <w:r>
        <w:rPr>
          <w:kern w:val="22"/>
          <w:sz w:val="22"/>
        </w:rPr>
        <w:t>B</w:t>
      </w:r>
      <w:r w:rsidRPr="00C314F5">
        <w:rPr>
          <w:kern w:val="22"/>
          <w:sz w:val="22"/>
        </w:rPr>
        <w:t xml:space="preserve">iodiversity </w:t>
      </w:r>
      <w:r>
        <w:rPr>
          <w:kern w:val="22"/>
          <w:sz w:val="22"/>
        </w:rPr>
        <w:t>F</w:t>
      </w:r>
      <w:r w:rsidRPr="00C314F5">
        <w:rPr>
          <w:kern w:val="22"/>
          <w:sz w:val="22"/>
        </w:rPr>
        <w:t>ramework;</w:t>
      </w:r>
    </w:p>
    <w:p w14:paraId="6C3BADC4" w14:textId="77777777" w:rsidR="00284A40" w:rsidRPr="00C314F5" w:rsidRDefault="00284A40" w:rsidP="000001B9">
      <w:pPr>
        <w:pStyle w:val="Para11"/>
        <w:suppressLineNumbers/>
        <w:suppressAutoHyphens/>
        <w:ind w:firstLine="720"/>
        <w:jc w:val="both"/>
        <w:rPr>
          <w:kern w:val="22"/>
          <w:sz w:val="22"/>
        </w:rPr>
      </w:pPr>
      <w:r w:rsidRPr="00C314F5">
        <w:rPr>
          <w:kern w:val="22"/>
          <w:sz w:val="22"/>
        </w:rPr>
        <w:lastRenderedPageBreak/>
        <w:t>(c)</w:t>
      </w:r>
      <w:r w:rsidRPr="00C314F5">
        <w:rPr>
          <w:kern w:val="22"/>
          <w:sz w:val="22"/>
        </w:rPr>
        <w:tab/>
        <w:t>To collaborate with all relevant actors and stakeholders in order to promote the mainstreaming of the sustainable use of biodiversity, in particular that of wild species, into all relevant sectors;</w:t>
      </w:r>
    </w:p>
    <w:p w14:paraId="48863735" w14:textId="77777777" w:rsidR="00284A40" w:rsidRPr="00C314F5" w:rsidRDefault="00284A40" w:rsidP="000001B9">
      <w:pPr>
        <w:pStyle w:val="Para11"/>
        <w:suppressLineNumbers/>
        <w:suppressAutoHyphens/>
        <w:ind w:firstLine="720"/>
        <w:jc w:val="both"/>
        <w:rPr>
          <w:kern w:val="22"/>
          <w:sz w:val="22"/>
        </w:rPr>
      </w:pPr>
      <w:r w:rsidRPr="00C314F5">
        <w:rPr>
          <w:kern w:val="22"/>
          <w:sz w:val="22"/>
        </w:rPr>
        <w:t>(d)</w:t>
      </w:r>
      <w:r w:rsidRPr="00C314F5">
        <w:rPr>
          <w:kern w:val="22"/>
          <w:sz w:val="22"/>
        </w:rPr>
        <w:tab/>
        <w:t>To further collaborate and enhance synergies in the field of sustainable use of wildlife with the Convention on International Trade in Endangered Species of Wild Fauna and Flora, the Food and Agriculture Organization of the United Nations, the Convention on the Conservation of Migratory Species of Wild Animals</w:t>
      </w:r>
      <w:r>
        <w:rPr>
          <w:kern w:val="22"/>
          <w:sz w:val="22"/>
        </w:rPr>
        <w:t>,</w:t>
      </w:r>
      <w:r w:rsidRPr="00C314F5">
        <w:rPr>
          <w:kern w:val="22"/>
          <w:sz w:val="22"/>
        </w:rPr>
        <w:t xml:space="preserve"> and other relevant multilateral environmental agreements;</w:t>
      </w:r>
    </w:p>
    <w:p w14:paraId="6000C198" w14:textId="77777777" w:rsidR="00284A40" w:rsidRPr="00C75B16" w:rsidRDefault="00284A40" w:rsidP="00C75B16">
      <w:pPr>
        <w:pStyle w:val="Para11"/>
        <w:suppressLineNumbers/>
        <w:suppressAutoHyphens/>
        <w:ind w:firstLine="720"/>
        <w:jc w:val="both"/>
        <w:rPr>
          <w:kern w:val="22"/>
          <w:sz w:val="22"/>
        </w:rPr>
      </w:pPr>
      <w:r w:rsidRPr="00C314F5">
        <w:rPr>
          <w:iCs/>
          <w:kern w:val="22"/>
          <w:sz w:val="22"/>
        </w:rPr>
        <w:t>(e)</w:t>
      </w:r>
      <w:r w:rsidRPr="00C314F5">
        <w:rPr>
          <w:iCs/>
          <w:kern w:val="22"/>
          <w:sz w:val="22"/>
        </w:rPr>
        <w:tab/>
      </w:r>
      <w:r w:rsidRPr="00C314F5">
        <w:rPr>
          <w:kern w:val="22"/>
          <w:sz w:val="22"/>
        </w:rPr>
        <w:t>To report on the progress of the activities listed above and formulate recommendations for the future work of the Convention on the issues surrounding sustainable wildlife management for consideration by the Subsidiary Body on Scientific, Technical and Technological Advice at a meeting to be held before the sixteenth meeting of the Conference of the Parties.</w:t>
      </w:r>
    </w:p>
    <w:p w14:paraId="729F6D94" w14:textId="77777777" w:rsidR="000062FB" w:rsidRDefault="000062FB" w:rsidP="00DD51F0">
      <w:pPr>
        <w:jc w:val="center"/>
        <w:sectPr w:rsidR="000062FB" w:rsidSect="00441700">
          <w:footnotePr>
            <w:numRestart w:val="eachSect"/>
          </w:footnotePr>
          <w:pgSz w:w="12240" w:h="15840"/>
          <w:pgMar w:top="567" w:right="1440" w:bottom="1134" w:left="1440" w:header="709" w:footer="709" w:gutter="0"/>
          <w:cols w:space="708"/>
          <w:docGrid w:linePitch="360"/>
        </w:sectPr>
      </w:pPr>
    </w:p>
    <w:p w14:paraId="13059B20" w14:textId="77777777" w:rsidR="000062FB" w:rsidRDefault="000062FB" w:rsidP="00966D25">
      <w:pPr>
        <w:pStyle w:val="decision"/>
        <w:rPr>
          <w:caps/>
        </w:rPr>
      </w:pPr>
      <w:bookmarkStart w:id="286" w:name="_Toc150438822"/>
      <w:bookmarkStart w:id="287" w:name="_Toc150670522"/>
      <w:bookmarkStart w:id="288" w:name="_Toc150670632"/>
      <w:bookmarkStart w:id="289" w:name="_Toc150761134"/>
      <w:r>
        <w:lastRenderedPageBreak/>
        <w:t>15/24.</w:t>
      </w:r>
      <w:r>
        <w:tab/>
        <w:t>Conservation and sustainable use of marine and coastal biodiversity</w:t>
      </w:r>
      <w:bookmarkEnd w:id="286"/>
      <w:bookmarkEnd w:id="287"/>
      <w:bookmarkEnd w:id="288"/>
      <w:bookmarkEnd w:id="289"/>
      <w:r w:rsidRPr="00105372">
        <w:rPr>
          <w:caps/>
        </w:rPr>
        <w:t xml:space="preserve"> </w:t>
      </w:r>
    </w:p>
    <w:p w14:paraId="591CD8BD" w14:textId="77777777" w:rsidR="000062FB" w:rsidRPr="00061112" w:rsidRDefault="000062FB" w:rsidP="00E35506">
      <w:pPr>
        <w:pStyle w:val="Para1"/>
        <w:numPr>
          <w:ilvl w:val="0"/>
          <w:numId w:val="0"/>
        </w:numPr>
        <w:suppressLineNumbers/>
        <w:suppressAutoHyphens/>
        <w:kinsoku w:val="0"/>
        <w:ind w:firstLine="720"/>
      </w:pPr>
      <w:r>
        <w:rPr>
          <w:i/>
          <w:iCs/>
        </w:rPr>
        <w:t>The Conference of the Parties</w:t>
      </w:r>
      <w:r w:rsidRPr="00061112">
        <w:rPr>
          <w:i/>
          <w:snapToGrid/>
        </w:rPr>
        <w:t>,</w:t>
      </w:r>
    </w:p>
    <w:p w14:paraId="42B3BAC1" w14:textId="77777777" w:rsidR="000062FB" w:rsidRPr="00061112" w:rsidRDefault="000062FB" w:rsidP="00E35506">
      <w:pPr>
        <w:suppressLineNumbers/>
        <w:suppressAutoHyphens/>
        <w:kinsoku w:val="0"/>
        <w:overflowPunct w:val="0"/>
        <w:autoSpaceDE w:val="0"/>
        <w:autoSpaceDN w:val="0"/>
        <w:spacing w:before="120" w:after="120"/>
        <w:ind w:firstLine="720"/>
        <w:rPr>
          <w:szCs w:val="22"/>
        </w:rPr>
      </w:pPr>
      <w:r w:rsidRPr="00775306">
        <w:rPr>
          <w:i/>
          <w:szCs w:val="22"/>
        </w:rPr>
        <w:t>Recalling</w:t>
      </w:r>
      <w:r w:rsidRPr="00775306">
        <w:rPr>
          <w:szCs w:val="22"/>
        </w:rPr>
        <w:t xml:space="preserve"> its decisions IX/20, X/29, XI/18, XII/23, XIII/9, </w:t>
      </w:r>
      <w:r>
        <w:rPr>
          <w:szCs w:val="22"/>
        </w:rPr>
        <w:t xml:space="preserve">XIII/10, </w:t>
      </w:r>
      <w:r w:rsidRPr="00775306">
        <w:rPr>
          <w:szCs w:val="22"/>
        </w:rPr>
        <w:t>XIII/11, XIII/12</w:t>
      </w:r>
      <w:r>
        <w:rPr>
          <w:szCs w:val="22"/>
        </w:rPr>
        <w:t>, 14/8, 14/10</w:t>
      </w:r>
      <w:r w:rsidRPr="00775306">
        <w:rPr>
          <w:szCs w:val="22"/>
        </w:rPr>
        <w:t xml:space="preserve"> and 14/30 with respect to cooperation and collaboration with relevant global and regional organizations and initiatives,</w:t>
      </w:r>
      <w:r>
        <w:rPr>
          <w:szCs w:val="22"/>
        </w:rPr>
        <w:t xml:space="preserve"> </w:t>
      </w:r>
    </w:p>
    <w:p w14:paraId="04104DC4" w14:textId="77777777" w:rsidR="000062FB" w:rsidRPr="00134236" w:rsidRDefault="000062FB" w:rsidP="00134236">
      <w:pPr>
        <w:suppressLineNumbers/>
        <w:suppressAutoHyphens/>
        <w:kinsoku w:val="0"/>
        <w:overflowPunct w:val="0"/>
        <w:autoSpaceDE w:val="0"/>
        <w:autoSpaceDN w:val="0"/>
        <w:spacing w:before="120" w:after="120"/>
        <w:ind w:firstLine="720"/>
        <w:rPr>
          <w:szCs w:val="22"/>
        </w:rPr>
      </w:pPr>
      <w:r w:rsidRPr="00061112">
        <w:rPr>
          <w:i/>
          <w:szCs w:val="22"/>
        </w:rPr>
        <w:t>Recognizing</w:t>
      </w:r>
      <w:r w:rsidRPr="00061112">
        <w:rPr>
          <w:szCs w:val="22"/>
        </w:rPr>
        <w:t xml:space="preserve"> the need to strengthen </w:t>
      </w:r>
      <w:r>
        <w:rPr>
          <w:szCs w:val="22"/>
        </w:rPr>
        <w:t xml:space="preserve">cooperation and </w:t>
      </w:r>
      <w:r w:rsidRPr="00061112">
        <w:rPr>
          <w:szCs w:val="22"/>
        </w:rPr>
        <w:t xml:space="preserve">collaboration with </w:t>
      </w:r>
      <w:r w:rsidRPr="00370EFC">
        <w:t xml:space="preserve">competent intergovernmental </w:t>
      </w:r>
      <w:r w:rsidRPr="004D17AD">
        <w:t xml:space="preserve">organizations, </w:t>
      </w:r>
      <w:r w:rsidRPr="00554D43">
        <w:t xml:space="preserve">including organizations with competence </w:t>
      </w:r>
      <w:r w:rsidRPr="00554D43">
        <w:rPr>
          <w:szCs w:val="22"/>
        </w:rPr>
        <w:t>in</w:t>
      </w:r>
      <w:r w:rsidRPr="00554D43">
        <w:t xml:space="preserve"> areas beyond national jurisdiction</w:t>
      </w:r>
      <w:r>
        <w:t>,</w:t>
      </w:r>
      <w:r w:rsidRPr="004D17AD">
        <w:t xml:space="preserve"> in support of the conservation and sustainable use of marine and coastal biodiversity, applying</w:t>
      </w:r>
      <w:r w:rsidRPr="00370EFC">
        <w:t xml:space="preserve"> the ecosystem approach and the </w:t>
      </w:r>
      <w:r w:rsidRPr="0002608C">
        <w:t xml:space="preserve">precautionary </w:t>
      </w:r>
      <w:r w:rsidRPr="00554D43">
        <w:rPr>
          <w:szCs w:val="22"/>
        </w:rPr>
        <w:t>approach</w:t>
      </w:r>
      <w:r>
        <w:rPr>
          <w:szCs w:val="22"/>
        </w:rPr>
        <w:t>,</w:t>
      </w:r>
      <w:r w:rsidRPr="00610646">
        <w:rPr>
          <w:rStyle w:val="FootnoteReference"/>
        </w:rPr>
        <w:footnoteReference w:id="321"/>
      </w:r>
      <w:r w:rsidRPr="0002608C">
        <w:t xml:space="preserve"> and using the best available science and traditional</w:t>
      </w:r>
      <w:r>
        <w:t xml:space="preserve"> knowledge of indigenous peoples and local communities</w:t>
      </w:r>
      <w:r>
        <w:rPr>
          <w:szCs w:val="22"/>
        </w:rPr>
        <w:t>, with their free, prior and informed consent,</w:t>
      </w:r>
      <w:r w:rsidRPr="00610646">
        <w:rPr>
          <w:rStyle w:val="FootnoteReference"/>
        </w:rPr>
        <w:footnoteReference w:id="322"/>
      </w:r>
      <w:r>
        <w:rPr>
          <w:szCs w:val="22"/>
        </w:rPr>
        <w:t xml:space="preserve"> within the jurisdictional scope of the Convention and </w:t>
      </w:r>
      <w:r w:rsidRPr="00AC6592">
        <w:rPr>
          <w:szCs w:val="22"/>
        </w:rPr>
        <w:t>its Protocols,</w:t>
      </w:r>
    </w:p>
    <w:p w14:paraId="00840EE8" w14:textId="77777777" w:rsidR="000062FB" w:rsidRPr="00044963" w:rsidRDefault="000062FB" w:rsidP="00E35506">
      <w:pPr>
        <w:pStyle w:val="paragraph"/>
        <w:spacing w:before="120" w:beforeAutospacing="0" w:after="120" w:afterAutospacing="0"/>
        <w:ind w:firstLine="720"/>
        <w:jc w:val="both"/>
        <w:textAlignment w:val="baseline"/>
        <w:rPr>
          <w:rFonts w:eastAsiaTheme="majorEastAsia"/>
          <w:szCs w:val="22"/>
        </w:rPr>
      </w:pPr>
      <w:r w:rsidRPr="006841D1">
        <w:rPr>
          <w:rFonts w:eastAsiaTheme="majorEastAsia"/>
          <w:i/>
          <w:iCs/>
          <w:sz w:val="22"/>
          <w:szCs w:val="22"/>
        </w:rPr>
        <w:t>A</w:t>
      </w:r>
      <w:r w:rsidRPr="007E671C">
        <w:rPr>
          <w:rFonts w:eastAsiaTheme="majorEastAsia"/>
          <w:i/>
          <w:iCs/>
          <w:sz w:val="22"/>
          <w:szCs w:val="22"/>
        </w:rPr>
        <w:t>cknowledging</w:t>
      </w:r>
      <w:r w:rsidRPr="00E353D1">
        <w:rPr>
          <w:rFonts w:eastAsiaTheme="majorEastAsia"/>
          <w:sz w:val="22"/>
        </w:rPr>
        <w:t xml:space="preserve"> the importance of </w:t>
      </w:r>
      <w:r w:rsidRPr="00044963">
        <w:rPr>
          <w:rFonts w:eastAsiaTheme="majorEastAsia"/>
          <w:sz w:val="22"/>
          <w:szCs w:val="22"/>
        </w:rPr>
        <w:t xml:space="preserve">science for decision-making and </w:t>
      </w:r>
      <w:r w:rsidRPr="006D53FB">
        <w:rPr>
          <w:rFonts w:eastAsiaTheme="majorEastAsia"/>
          <w:iCs/>
          <w:sz w:val="22"/>
        </w:rPr>
        <w:t>welcoming</w:t>
      </w:r>
      <w:r w:rsidRPr="00044963">
        <w:rPr>
          <w:rFonts w:eastAsiaTheme="majorEastAsia"/>
          <w:sz w:val="22"/>
          <w:szCs w:val="22"/>
        </w:rPr>
        <w:t xml:space="preserve"> the work under the U</w:t>
      </w:r>
      <w:r>
        <w:rPr>
          <w:rFonts w:eastAsiaTheme="majorEastAsia"/>
          <w:sz w:val="22"/>
          <w:szCs w:val="22"/>
        </w:rPr>
        <w:t>nited Nations</w:t>
      </w:r>
      <w:r w:rsidRPr="00044963">
        <w:rPr>
          <w:rFonts w:eastAsiaTheme="majorEastAsia"/>
          <w:sz w:val="22"/>
          <w:szCs w:val="22"/>
        </w:rPr>
        <w:t xml:space="preserve"> Decade of Ocean Science for </w:t>
      </w:r>
      <w:r>
        <w:rPr>
          <w:rFonts w:eastAsiaTheme="majorEastAsia"/>
          <w:sz w:val="22"/>
          <w:szCs w:val="22"/>
        </w:rPr>
        <w:t>Sustainable Development and the United Nations Decade on Ecosystem Restoration,</w:t>
      </w:r>
    </w:p>
    <w:p w14:paraId="653C7E52" w14:textId="77777777" w:rsidR="000062FB" w:rsidRPr="001A1258" w:rsidRDefault="000062FB" w:rsidP="00E35506">
      <w:pPr>
        <w:suppressLineNumbers/>
        <w:suppressAutoHyphens/>
        <w:kinsoku w:val="0"/>
        <w:overflowPunct w:val="0"/>
        <w:autoSpaceDE w:val="0"/>
        <w:autoSpaceDN w:val="0"/>
        <w:spacing w:before="120" w:after="120"/>
        <w:ind w:firstLine="720"/>
        <w:rPr>
          <w:szCs w:val="22"/>
        </w:rPr>
      </w:pPr>
      <w:r w:rsidRPr="00775306">
        <w:rPr>
          <w:i/>
          <w:szCs w:val="22"/>
        </w:rPr>
        <w:t>Recognizing</w:t>
      </w:r>
      <w:r w:rsidRPr="00775306">
        <w:rPr>
          <w:szCs w:val="22"/>
        </w:rPr>
        <w:t xml:space="preserve"> the importance of marine and coastal biodiversity as</w:t>
      </w:r>
      <w:r>
        <w:rPr>
          <w:szCs w:val="22"/>
        </w:rPr>
        <w:t xml:space="preserve"> one of the key cross-cutting</w:t>
      </w:r>
      <w:r w:rsidRPr="00775306">
        <w:rPr>
          <w:szCs w:val="22"/>
        </w:rPr>
        <w:t xml:space="preserve"> element</w:t>
      </w:r>
      <w:r>
        <w:rPr>
          <w:szCs w:val="22"/>
        </w:rPr>
        <w:t xml:space="preserve">s </w:t>
      </w:r>
      <w:r w:rsidRPr="00775306">
        <w:rPr>
          <w:szCs w:val="22"/>
        </w:rPr>
        <w:t xml:space="preserve">of the </w:t>
      </w:r>
      <w:r>
        <w:rPr>
          <w:szCs w:val="22"/>
        </w:rPr>
        <w:t>Kunming-Montreal</w:t>
      </w:r>
      <w:r w:rsidRPr="00775306">
        <w:rPr>
          <w:szCs w:val="22"/>
        </w:rPr>
        <w:t xml:space="preserve"> </w:t>
      </w:r>
      <w:r>
        <w:rPr>
          <w:szCs w:val="22"/>
        </w:rPr>
        <w:t>G</w:t>
      </w:r>
      <w:r w:rsidRPr="00775306">
        <w:rPr>
          <w:szCs w:val="22"/>
        </w:rPr>
        <w:t xml:space="preserve">lobal </w:t>
      </w:r>
      <w:r>
        <w:rPr>
          <w:szCs w:val="22"/>
        </w:rPr>
        <w:t>B</w:t>
      </w:r>
      <w:r w:rsidRPr="00775306">
        <w:rPr>
          <w:szCs w:val="22"/>
        </w:rPr>
        <w:t xml:space="preserve">iodiversity </w:t>
      </w:r>
      <w:r w:rsidRPr="0019513A">
        <w:rPr>
          <w:szCs w:val="22"/>
        </w:rPr>
        <w:t xml:space="preserve">Framework and </w:t>
      </w:r>
      <w:r w:rsidRPr="006D53FB">
        <w:rPr>
          <w:szCs w:val="22"/>
        </w:rPr>
        <w:t xml:space="preserve">as </w:t>
      </w:r>
      <w:r w:rsidRPr="0019513A">
        <w:rPr>
          <w:szCs w:val="22"/>
        </w:rPr>
        <w:t>critical to achieving</w:t>
      </w:r>
      <w:r w:rsidRPr="00775306">
        <w:rPr>
          <w:szCs w:val="22"/>
        </w:rPr>
        <w:t xml:space="preserve"> </w:t>
      </w:r>
      <w:r w:rsidRPr="00A63BCA">
        <w:rPr>
          <w:szCs w:val="22"/>
        </w:rPr>
        <w:t xml:space="preserve">the 2050 Vision for </w:t>
      </w:r>
      <w:r>
        <w:rPr>
          <w:szCs w:val="22"/>
        </w:rPr>
        <w:t>b</w:t>
      </w:r>
      <w:r w:rsidRPr="00A63BCA">
        <w:rPr>
          <w:szCs w:val="22"/>
        </w:rPr>
        <w:t>iodiversity,</w:t>
      </w:r>
    </w:p>
    <w:p w14:paraId="5CC6F7CA"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2E404D">
        <w:rPr>
          <w:iCs/>
          <w:snapToGrid w:val="0"/>
          <w:kern w:val="22"/>
          <w:szCs w:val="22"/>
        </w:rPr>
        <w:t>1.</w:t>
      </w:r>
      <w:r w:rsidRPr="002E404D">
        <w:rPr>
          <w:iCs/>
          <w:snapToGrid w:val="0"/>
          <w:kern w:val="22"/>
          <w:szCs w:val="22"/>
        </w:rPr>
        <w:tab/>
      </w:r>
      <w:r w:rsidRPr="00061112">
        <w:rPr>
          <w:i/>
          <w:snapToGrid w:val="0"/>
          <w:kern w:val="22"/>
          <w:szCs w:val="22"/>
        </w:rPr>
        <w:t xml:space="preserve">Welcomes </w:t>
      </w:r>
      <w:r w:rsidRPr="00061112">
        <w:rPr>
          <w:snapToGrid w:val="0"/>
          <w:kern w:val="22"/>
          <w:szCs w:val="22"/>
        </w:rPr>
        <w:t>the work of the Executive Secretary on the compilation and synthesis of information on:</w:t>
      </w:r>
    </w:p>
    <w:p w14:paraId="581CEA2E"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(a)</w:t>
      </w:r>
      <w:r w:rsidRPr="00061112">
        <w:rPr>
          <w:snapToGrid w:val="0"/>
          <w:kern w:val="22"/>
          <w:szCs w:val="22"/>
        </w:rPr>
        <w:tab/>
        <w:t>Impacts of anthropogenic underwater noise on marine and coastal biodiversity and means to minimize and mitigate these impacts;</w:t>
      </w:r>
    </w:p>
    <w:p w14:paraId="6850D2D5"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(b)</w:t>
      </w:r>
      <w:r w:rsidRPr="00061112">
        <w:rPr>
          <w:snapToGrid w:val="0"/>
          <w:kern w:val="22"/>
          <w:szCs w:val="22"/>
        </w:rPr>
        <w:tab/>
        <w:t>Impacts of marine debris on marine and coastal biodiversity and habitats</w:t>
      </w:r>
      <w:r>
        <w:rPr>
          <w:snapToGrid w:val="0"/>
          <w:kern w:val="22"/>
          <w:szCs w:val="22"/>
        </w:rPr>
        <w:t>,</w:t>
      </w:r>
      <w:r w:rsidRPr="00061112">
        <w:rPr>
          <w:snapToGrid w:val="0"/>
          <w:kern w:val="22"/>
          <w:szCs w:val="22"/>
        </w:rPr>
        <w:t xml:space="preserve"> and means to minimize and mitigate these impacts;</w:t>
      </w:r>
    </w:p>
    <w:p w14:paraId="7FB51356"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(c)</w:t>
      </w:r>
      <w:r w:rsidRPr="00061112">
        <w:rPr>
          <w:snapToGrid w:val="0"/>
          <w:kern w:val="22"/>
          <w:szCs w:val="22"/>
        </w:rPr>
        <w:tab/>
        <w:t>Experiences with the application of marine spatial planning;</w:t>
      </w:r>
    </w:p>
    <w:p w14:paraId="60B3C1E7"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(d)</w:t>
      </w:r>
      <w:r w:rsidRPr="00061112">
        <w:rPr>
          <w:snapToGrid w:val="0"/>
          <w:kern w:val="22"/>
          <w:szCs w:val="22"/>
        </w:rPr>
        <w:tab/>
        <w:t>Efforts to implement the Priority Actions to Achieve Aichi Biodiversity Target 10 for Coral Reefs and Closely Associated Ecosystems;</w:t>
      </w:r>
      <w:r w:rsidRPr="00610646">
        <w:rPr>
          <w:rStyle w:val="FootnoteReference"/>
        </w:rPr>
        <w:footnoteReference w:id="323"/>
      </w:r>
    </w:p>
    <w:p w14:paraId="6B2297E7" w14:textId="77777777" w:rsidR="000062FB" w:rsidRDefault="000062FB" w:rsidP="00F70FE8">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(e)</w:t>
      </w:r>
      <w:r w:rsidRPr="00061112">
        <w:rPr>
          <w:snapToGrid w:val="0"/>
          <w:kern w:val="22"/>
          <w:szCs w:val="22"/>
        </w:rPr>
        <w:tab/>
        <w:t>Efforts to implement the Voluntary Specific Workplan on Biodiversity in Cold-water Areas within the Jurisdictional Scope of the Convention</w:t>
      </w:r>
      <w:r>
        <w:rPr>
          <w:snapToGrid w:val="0"/>
          <w:kern w:val="22"/>
          <w:szCs w:val="22"/>
        </w:rPr>
        <w:t>.</w:t>
      </w:r>
      <w:r w:rsidRPr="00610646">
        <w:rPr>
          <w:rStyle w:val="FootnoteReference"/>
        </w:rPr>
        <w:footnoteReference w:id="324"/>
      </w:r>
    </w:p>
    <w:p w14:paraId="292A62B8" w14:textId="77777777" w:rsidR="000062FB" w:rsidRDefault="000062FB" w:rsidP="00290F00">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2</w:t>
      </w:r>
      <w:r w:rsidRPr="00061112">
        <w:rPr>
          <w:snapToGrid w:val="0"/>
          <w:kern w:val="22"/>
          <w:szCs w:val="22"/>
        </w:rPr>
        <w:t>.</w:t>
      </w:r>
      <w:r w:rsidRPr="00061112">
        <w:rPr>
          <w:snapToGrid w:val="0"/>
          <w:kern w:val="22"/>
          <w:szCs w:val="22"/>
        </w:rPr>
        <w:tab/>
      </w:r>
      <w:r w:rsidRPr="00061112">
        <w:rPr>
          <w:i/>
          <w:iCs/>
          <w:snapToGrid w:val="0"/>
          <w:kern w:val="22"/>
          <w:szCs w:val="22"/>
        </w:rPr>
        <w:t>Encourages</w:t>
      </w:r>
      <w:r w:rsidRPr="00061112">
        <w:rPr>
          <w:snapToGrid w:val="0"/>
          <w:kern w:val="22"/>
          <w:szCs w:val="22"/>
        </w:rPr>
        <w:t xml:space="preserve"> Parties and </w:t>
      </w:r>
      <w:r w:rsidRPr="006D53FB">
        <w:rPr>
          <w:iCs/>
          <w:kern w:val="22"/>
        </w:rPr>
        <w:t>invites</w:t>
      </w:r>
      <w:r w:rsidRPr="00061112">
        <w:rPr>
          <w:snapToGrid w:val="0"/>
          <w:kern w:val="22"/>
          <w:szCs w:val="22"/>
        </w:rPr>
        <w:t xml:space="preserve"> other Governments</w:t>
      </w:r>
      <w:r>
        <w:rPr>
          <w:snapToGrid w:val="0"/>
          <w:kern w:val="22"/>
          <w:szCs w:val="22"/>
        </w:rPr>
        <w:t>, subnational governments</w:t>
      </w:r>
      <w:r w:rsidRPr="00061112">
        <w:rPr>
          <w:snapToGrid w:val="0"/>
          <w:kern w:val="22"/>
          <w:szCs w:val="22"/>
        </w:rPr>
        <w:t xml:space="preserve"> and relevant organizations to use the information referred to in paragraph </w:t>
      </w:r>
      <w:r>
        <w:rPr>
          <w:snapToGrid w:val="0"/>
          <w:kern w:val="22"/>
          <w:szCs w:val="22"/>
        </w:rPr>
        <w:t>1</w:t>
      </w:r>
      <w:r w:rsidRPr="00061112">
        <w:rPr>
          <w:snapToGrid w:val="0"/>
          <w:kern w:val="22"/>
          <w:szCs w:val="22"/>
        </w:rPr>
        <w:t xml:space="preserve"> above in their efforts to conserve and sustainably use marine and c</w:t>
      </w:r>
      <w:r w:rsidRPr="0002608C">
        <w:rPr>
          <w:snapToGrid w:val="0"/>
          <w:kern w:val="22"/>
          <w:szCs w:val="22"/>
        </w:rPr>
        <w:t>oastal biodiversity</w:t>
      </w:r>
      <w:r w:rsidRPr="007512C1">
        <w:rPr>
          <w:snapToGrid w:val="0"/>
          <w:kern w:val="22"/>
          <w:szCs w:val="22"/>
        </w:rPr>
        <w:t xml:space="preserve">, </w:t>
      </w:r>
      <w:r w:rsidRPr="00554D43">
        <w:rPr>
          <w:snapToGrid w:val="0"/>
          <w:kern w:val="22"/>
          <w:szCs w:val="22"/>
        </w:rPr>
        <w:t>taking into account national and subnational priorities and circumstances, where appropriate;</w:t>
      </w:r>
    </w:p>
    <w:p w14:paraId="5A19F29A" w14:textId="77777777" w:rsidR="000062FB" w:rsidRDefault="000062FB"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3.</w:t>
      </w:r>
      <w:r>
        <w:rPr>
          <w:snapToGrid w:val="0"/>
          <w:kern w:val="22"/>
          <w:szCs w:val="22"/>
        </w:rPr>
        <w:tab/>
      </w:r>
      <w:r w:rsidRPr="006F109E">
        <w:rPr>
          <w:i/>
          <w:iCs/>
          <w:snapToGrid w:val="0"/>
          <w:kern w:val="22"/>
          <w:szCs w:val="22"/>
        </w:rPr>
        <w:t>Requests</w:t>
      </w:r>
      <w:r>
        <w:rPr>
          <w:snapToGrid w:val="0"/>
          <w:kern w:val="22"/>
          <w:szCs w:val="22"/>
        </w:rPr>
        <w:t xml:space="preserve"> the Executive Secretary to facilitate the compilation, synthesis and sharing of information and guidance on efforts to implement the Kunming-Montreal Global Biodiversity Framework with respect to various thematic issues related to marine and coastal biodiversity, in line with the decisions of the Conference of the Parties;</w:t>
      </w:r>
    </w:p>
    <w:p w14:paraId="307CDBE8" w14:textId="77777777" w:rsidR="000062FB" w:rsidRDefault="000062FB" w:rsidP="00E35506">
      <w:pPr>
        <w:suppressLineNumbers/>
        <w:suppressAutoHyphens/>
        <w:kinsoku w:val="0"/>
        <w:overflowPunct w:val="0"/>
        <w:autoSpaceDE w:val="0"/>
        <w:autoSpaceDN w:val="0"/>
        <w:spacing w:before="120" w:after="120"/>
        <w:ind w:firstLine="720"/>
        <w:rPr>
          <w:iCs/>
          <w:snapToGrid w:val="0"/>
          <w:kern w:val="22"/>
          <w:szCs w:val="22"/>
        </w:rPr>
      </w:pPr>
      <w:r>
        <w:rPr>
          <w:snapToGrid w:val="0"/>
          <w:kern w:val="22"/>
          <w:szCs w:val="22"/>
        </w:rPr>
        <w:t>4</w:t>
      </w:r>
      <w:r w:rsidRPr="00AC6592">
        <w:rPr>
          <w:snapToGrid w:val="0"/>
          <w:kern w:val="22"/>
          <w:szCs w:val="22"/>
        </w:rPr>
        <w:t>.</w:t>
      </w:r>
      <w:r w:rsidRPr="00AC6592">
        <w:rPr>
          <w:i/>
          <w:snapToGrid w:val="0"/>
          <w:kern w:val="22"/>
          <w:szCs w:val="22"/>
        </w:rPr>
        <w:tab/>
      </w:r>
      <w:r>
        <w:rPr>
          <w:i/>
          <w:snapToGrid w:val="0"/>
          <w:kern w:val="22"/>
          <w:szCs w:val="22"/>
        </w:rPr>
        <w:t>Welcomes</w:t>
      </w:r>
      <w:r w:rsidRPr="00E353D1">
        <w:rPr>
          <w:i/>
          <w:kern w:val="22"/>
        </w:rPr>
        <w:t xml:space="preserve"> </w:t>
      </w:r>
      <w:r w:rsidRPr="00AC6592">
        <w:rPr>
          <w:iCs/>
          <w:snapToGrid w:val="0"/>
          <w:kern w:val="22"/>
          <w:szCs w:val="22"/>
        </w:rPr>
        <w:t>the report of the Thematic Workshop on Marine and Coastal Biodiversity for the Post-2020 Global Biodiversity Framework,</w:t>
      </w:r>
      <w:r w:rsidRPr="00610646">
        <w:rPr>
          <w:rStyle w:val="FootnoteReference"/>
          <w:rFonts w:eastAsiaTheme="majorEastAsia"/>
        </w:rPr>
        <w:footnoteReference w:id="325"/>
      </w:r>
      <w:r w:rsidRPr="00AC6592">
        <w:rPr>
          <w:kern w:val="22"/>
          <w:szCs w:val="22"/>
          <w:vertAlign w:val="superscript"/>
        </w:rPr>
        <w:t xml:space="preserve"> </w:t>
      </w:r>
      <w:r>
        <w:rPr>
          <w:kern w:val="22"/>
          <w:szCs w:val="22"/>
        </w:rPr>
        <w:t>convened pursuant to decision 14/34 with financial support from the Government of the Republic of Korea and the Government of Sweden,</w:t>
      </w:r>
      <w:r w:rsidRPr="00370EFC" w:rsidDel="005E25BA">
        <w:rPr>
          <w:kern w:val="22"/>
        </w:rPr>
        <w:t xml:space="preserve"> </w:t>
      </w:r>
      <w:r>
        <w:rPr>
          <w:kern w:val="22"/>
          <w:szCs w:val="22"/>
        </w:rPr>
        <w:t>a</w:t>
      </w:r>
      <w:r w:rsidRPr="00AC6592">
        <w:rPr>
          <w:iCs/>
          <w:snapToGrid w:val="0"/>
          <w:kern w:val="22"/>
          <w:szCs w:val="22"/>
        </w:rPr>
        <w:t xml:space="preserve">nd </w:t>
      </w:r>
      <w:r w:rsidRPr="006D53FB">
        <w:rPr>
          <w:iCs/>
          <w:kern w:val="22"/>
        </w:rPr>
        <w:t>requests</w:t>
      </w:r>
      <w:r w:rsidRPr="00AC6592">
        <w:rPr>
          <w:iCs/>
          <w:snapToGrid w:val="0"/>
          <w:kern w:val="22"/>
          <w:szCs w:val="22"/>
        </w:rPr>
        <w:t xml:space="preserve"> the Executive </w:t>
      </w:r>
      <w:r w:rsidRPr="00AC6592">
        <w:rPr>
          <w:iCs/>
          <w:snapToGrid w:val="0"/>
          <w:kern w:val="22"/>
          <w:szCs w:val="22"/>
        </w:rPr>
        <w:lastRenderedPageBreak/>
        <w:t xml:space="preserve">Secretary </w:t>
      </w:r>
      <w:r w:rsidRPr="00370EFC">
        <w:t>to compile submissions from Parties, other Governments</w:t>
      </w:r>
      <w:r>
        <w:t>, subnational governments</w:t>
      </w:r>
      <w:r w:rsidRPr="00370EFC">
        <w:t xml:space="preserve"> and relevant </w:t>
      </w:r>
      <w:r>
        <w:t>organizations, to develop</w:t>
      </w:r>
      <w:r w:rsidRPr="00370EFC">
        <w:t xml:space="preserve"> </w:t>
      </w:r>
      <w:r w:rsidRPr="006173AD">
        <w:rPr>
          <w:iCs/>
          <w:snapToGrid w:val="0"/>
          <w:kern w:val="22"/>
          <w:szCs w:val="22"/>
        </w:rPr>
        <w:t>a strategic review and analysis</w:t>
      </w:r>
      <w:r w:rsidRPr="00AC6592">
        <w:rPr>
          <w:iCs/>
          <w:snapToGrid w:val="0"/>
          <w:kern w:val="22"/>
          <w:szCs w:val="22"/>
        </w:rPr>
        <w:t xml:space="preserve"> of</w:t>
      </w:r>
      <w:r w:rsidRPr="00061112">
        <w:rPr>
          <w:iCs/>
          <w:snapToGrid w:val="0"/>
          <w:kern w:val="22"/>
          <w:szCs w:val="22"/>
        </w:rPr>
        <w:t xml:space="preserve"> the programme of work on marine and coastal </w:t>
      </w:r>
      <w:r w:rsidRPr="00813543">
        <w:rPr>
          <w:iCs/>
          <w:snapToGrid w:val="0"/>
          <w:kern w:val="22"/>
          <w:szCs w:val="22"/>
        </w:rPr>
        <w:t>biodiversity in the context</w:t>
      </w:r>
      <w:r>
        <w:rPr>
          <w:iCs/>
          <w:snapToGrid w:val="0"/>
          <w:kern w:val="22"/>
          <w:szCs w:val="22"/>
        </w:rPr>
        <w:t xml:space="preserve"> of supporting</w:t>
      </w:r>
      <w:r w:rsidRPr="00813543">
        <w:rPr>
          <w:iCs/>
          <w:snapToGrid w:val="0"/>
          <w:kern w:val="22"/>
          <w:szCs w:val="22"/>
        </w:rPr>
        <w:t xml:space="preserve"> the</w:t>
      </w:r>
      <w:r w:rsidRPr="00061112">
        <w:rPr>
          <w:iCs/>
          <w:snapToGrid w:val="0"/>
          <w:kern w:val="22"/>
          <w:szCs w:val="22"/>
        </w:rPr>
        <w:t xml:space="preserve"> implementation of the </w:t>
      </w:r>
      <w:r>
        <w:rPr>
          <w:iCs/>
          <w:snapToGrid w:val="0"/>
          <w:kern w:val="22"/>
          <w:szCs w:val="22"/>
        </w:rPr>
        <w:t>Kunming-Montreal</w:t>
      </w:r>
      <w:r w:rsidRPr="00061112">
        <w:rPr>
          <w:iCs/>
          <w:snapToGrid w:val="0"/>
          <w:kern w:val="22"/>
          <w:szCs w:val="22"/>
        </w:rPr>
        <w:t xml:space="preserve"> </w:t>
      </w:r>
      <w:r>
        <w:rPr>
          <w:iCs/>
          <w:snapToGrid w:val="0"/>
          <w:kern w:val="22"/>
          <w:szCs w:val="22"/>
        </w:rPr>
        <w:t>G</w:t>
      </w:r>
      <w:r w:rsidRPr="00061112">
        <w:rPr>
          <w:iCs/>
          <w:snapToGrid w:val="0"/>
          <w:kern w:val="22"/>
          <w:szCs w:val="22"/>
        </w:rPr>
        <w:t xml:space="preserve">lobal </w:t>
      </w:r>
      <w:r>
        <w:rPr>
          <w:iCs/>
          <w:snapToGrid w:val="0"/>
          <w:kern w:val="22"/>
          <w:szCs w:val="22"/>
        </w:rPr>
        <w:t>B</w:t>
      </w:r>
      <w:r w:rsidRPr="00061112">
        <w:rPr>
          <w:iCs/>
          <w:snapToGrid w:val="0"/>
          <w:kern w:val="22"/>
          <w:szCs w:val="22"/>
        </w:rPr>
        <w:t xml:space="preserve">iodiversity </w:t>
      </w:r>
      <w:r>
        <w:rPr>
          <w:iCs/>
          <w:snapToGrid w:val="0"/>
          <w:kern w:val="22"/>
          <w:szCs w:val="22"/>
        </w:rPr>
        <w:t>F</w:t>
      </w:r>
      <w:r w:rsidRPr="00061112">
        <w:rPr>
          <w:iCs/>
          <w:snapToGrid w:val="0"/>
          <w:kern w:val="22"/>
          <w:szCs w:val="22"/>
        </w:rPr>
        <w:t>ramework</w:t>
      </w:r>
      <w:r>
        <w:rPr>
          <w:iCs/>
          <w:snapToGrid w:val="0"/>
          <w:kern w:val="22"/>
          <w:szCs w:val="22"/>
        </w:rPr>
        <w:t xml:space="preserve"> on the basis of these submissions</w:t>
      </w:r>
      <w:r w:rsidRPr="00061112">
        <w:rPr>
          <w:iCs/>
          <w:snapToGrid w:val="0"/>
          <w:kern w:val="22"/>
          <w:szCs w:val="22"/>
        </w:rPr>
        <w:t xml:space="preserve">, and </w:t>
      </w:r>
      <w:r>
        <w:rPr>
          <w:iCs/>
          <w:snapToGrid w:val="0"/>
          <w:kern w:val="22"/>
          <w:szCs w:val="22"/>
        </w:rPr>
        <w:t>to</w:t>
      </w:r>
      <w:r w:rsidRPr="00061112">
        <w:rPr>
          <w:iCs/>
          <w:snapToGrid w:val="0"/>
          <w:kern w:val="22"/>
          <w:szCs w:val="22"/>
        </w:rPr>
        <w:t xml:space="preserve"> </w:t>
      </w:r>
      <w:r>
        <w:rPr>
          <w:iCs/>
          <w:snapToGrid w:val="0"/>
          <w:kern w:val="22"/>
          <w:szCs w:val="22"/>
        </w:rPr>
        <w:t>prepare</w:t>
      </w:r>
      <w:r w:rsidRPr="00061112">
        <w:rPr>
          <w:iCs/>
          <w:snapToGrid w:val="0"/>
          <w:kern w:val="22"/>
          <w:szCs w:val="22"/>
        </w:rPr>
        <w:t xml:space="preserve"> a draft update </w:t>
      </w:r>
      <w:r w:rsidRPr="009928C0">
        <w:rPr>
          <w:iCs/>
          <w:snapToGrid w:val="0"/>
          <w:kern w:val="22"/>
          <w:szCs w:val="22"/>
        </w:rPr>
        <w:t>to</w:t>
      </w:r>
      <w:r w:rsidRPr="00061112">
        <w:rPr>
          <w:iCs/>
          <w:snapToGrid w:val="0"/>
          <w:kern w:val="22"/>
          <w:szCs w:val="22"/>
        </w:rPr>
        <w:t xml:space="preserve"> the programme of work on the basis of this </w:t>
      </w:r>
      <w:r>
        <w:rPr>
          <w:iCs/>
          <w:snapToGrid w:val="0"/>
          <w:kern w:val="22"/>
          <w:szCs w:val="22"/>
        </w:rPr>
        <w:t xml:space="preserve">strategic review and </w:t>
      </w:r>
      <w:r w:rsidRPr="00061112">
        <w:rPr>
          <w:iCs/>
          <w:snapToGrid w:val="0"/>
          <w:kern w:val="22"/>
          <w:szCs w:val="22"/>
        </w:rPr>
        <w:t xml:space="preserve">analysis, </w:t>
      </w:r>
      <w:r>
        <w:rPr>
          <w:iCs/>
          <w:snapToGrid w:val="0"/>
          <w:kern w:val="22"/>
          <w:szCs w:val="22"/>
        </w:rPr>
        <w:t xml:space="preserve">taking into account, where appropriate, </w:t>
      </w:r>
      <w:r w:rsidRPr="00061112">
        <w:rPr>
          <w:iCs/>
          <w:snapToGrid w:val="0"/>
          <w:kern w:val="22"/>
          <w:szCs w:val="22"/>
        </w:rPr>
        <w:t>the outcomes of the above-referenced workshop,</w:t>
      </w:r>
      <w:r>
        <w:rPr>
          <w:iCs/>
          <w:snapToGrid w:val="0"/>
          <w:kern w:val="22"/>
          <w:szCs w:val="22"/>
        </w:rPr>
        <w:t xml:space="preserve"> to be circulated for comments by Parties, other Governments and relevant organizations, and made available </w:t>
      </w:r>
      <w:r w:rsidRPr="00061112">
        <w:rPr>
          <w:iCs/>
          <w:snapToGrid w:val="0"/>
          <w:kern w:val="22"/>
          <w:szCs w:val="22"/>
        </w:rPr>
        <w:t>for consideration by the Subsidiary Body on Scientific, Technical and Technological Advice</w:t>
      </w:r>
      <w:r>
        <w:rPr>
          <w:iCs/>
          <w:snapToGrid w:val="0"/>
          <w:kern w:val="22"/>
          <w:szCs w:val="22"/>
        </w:rPr>
        <w:t xml:space="preserve"> prior to the sixteenth meeting of</w:t>
      </w:r>
      <w:r w:rsidRPr="00061112">
        <w:rPr>
          <w:iCs/>
          <w:snapToGrid w:val="0"/>
          <w:kern w:val="22"/>
          <w:szCs w:val="22"/>
        </w:rPr>
        <w:t xml:space="preserve"> the Conference of the Parties;</w:t>
      </w:r>
      <w:r>
        <w:rPr>
          <w:iCs/>
          <w:snapToGrid w:val="0"/>
          <w:kern w:val="22"/>
          <w:szCs w:val="22"/>
        </w:rPr>
        <w:t xml:space="preserve"> </w:t>
      </w:r>
    </w:p>
    <w:p w14:paraId="410D2494" w14:textId="77777777" w:rsidR="000062FB" w:rsidRDefault="000062FB" w:rsidP="00E35506">
      <w:pPr>
        <w:suppressLineNumbers/>
        <w:suppressAutoHyphens/>
        <w:kinsoku w:val="0"/>
        <w:overflowPunct w:val="0"/>
        <w:autoSpaceDE w:val="0"/>
        <w:autoSpaceDN w:val="0"/>
        <w:spacing w:before="120" w:after="120"/>
        <w:ind w:firstLine="720"/>
        <w:rPr>
          <w:iCs/>
          <w:snapToGrid w:val="0"/>
          <w:kern w:val="22"/>
          <w:szCs w:val="22"/>
        </w:rPr>
      </w:pPr>
      <w:r>
        <w:rPr>
          <w:iCs/>
          <w:snapToGrid w:val="0"/>
          <w:kern w:val="22"/>
          <w:szCs w:val="22"/>
        </w:rPr>
        <w:t>5.</w:t>
      </w:r>
      <w:r w:rsidRPr="00370EFC">
        <w:rPr>
          <w:i/>
          <w:kern w:val="22"/>
        </w:rPr>
        <w:tab/>
      </w:r>
      <w:r w:rsidRPr="001773FB">
        <w:rPr>
          <w:i/>
          <w:snapToGrid w:val="0"/>
          <w:kern w:val="22"/>
          <w:szCs w:val="22"/>
        </w:rPr>
        <w:t>Requests</w:t>
      </w:r>
      <w:r w:rsidRPr="001773FB">
        <w:rPr>
          <w:iCs/>
          <w:snapToGrid w:val="0"/>
          <w:kern w:val="22"/>
          <w:szCs w:val="22"/>
        </w:rPr>
        <w:t xml:space="preserve"> the Executive Secretary to </w:t>
      </w:r>
      <w:r w:rsidRPr="00044963">
        <w:rPr>
          <w:iCs/>
          <w:snapToGrid w:val="0"/>
          <w:kern w:val="22"/>
          <w:szCs w:val="22"/>
        </w:rPr>
        <w:t>compile submissions fr</w:t>
      </w:r>
      <w:r>
        <w:rPr>
          <w:iCs/>
          <w:snapToGrid w:val="0"/>
          <w:kern w:val="22"/>
          <w:szCs w:val="22"/>
        </w:rPr>
        <w:t>o</w:t>
      </w:r>
      <w:r w:rsidRPr="00044963">
        <w:rPr>
          <w:iCs/>
          <w:snapToGrid w:val="0"/>
          <w:kern w:val="22"/>
          <w:szCs w:val="22"/>
        </w:rPr>
        <w:t>m Parties</w:t>
      </w:r>
      <w:r>
        <w:rPr>
          <w:iCs/>
          <w:snapToGrid w:val="0"/>
          <w:kern w:val="22"/>
          <w:szCs w:val="22"/>
        </w:rPr>
        <w:t>, other Governments</w:t>
      </w:r>
      <w:r w:rsidRPr="00044963">
        <w:rPr>
          <w:iCs/>
          <w:snapToGrid w:val="0"/>
          <w:kern w:val="22"/>
          <w:szCs w:val="22"/>
        </w:rPr>
        <w:t xml:space="preserve"> and relevant </w:t>
      </w:r>
      <w:r>
        <w:rPr>
          <w:iCs/>
          <w:snapToGrid w:val="0"/>
          <w:kern w:val="22"/>
          <w:szCs w:val="22"/>
        </w:rPr>
        <w:t>organizations, to develop</w:t>
      </w:r>
      <w:r w:rsidRPr="00044963">
        <w:rPr>
          <w:iCs/>
          <w:snapToGrid w:val="0"/>
          <w:kern w:val="22"/>
          <w:szCs w:val="22"/>
        </w:rPr>
        <w:t xml:space="preserve"> </w:t>
      </w:r>
      <w:r w:rsidRPr="006173AD">
        <w:rPr>
          <w:iCs/>
          <w:snapToGrid w:val="0"/>
          <w:kern w:val="22"/>
          <w:szCs w:val="22"/>
        </w:rPr>
        <w:t>a strategic review and analysis</w:t>
      </w:r>
      <w:r w:rsidRPr="001773FB">
        <w:rPr>
          <w:iCs/>
          <w:snapToGrid w:val="0"/>
          <w:kern w:val="22"/>
          <w:szCs w:val="22"/>
        </w:rPr>
        <w:t xml:space="preserve"> of the programme of work on island biodiversity in the context of</w:t>
      </w:r>
      <w:r>
        <w:rPr>
          <w:iCs/>
          <w:snapToGrid w:val="0"/>
          <w:kern w:val="22"/>
          <w:szCs w:val="22"/>
        </w:rPr>
        <w:t xml:space="preserve"> supporting</w:t>
      </w:r>
      <w:r w:rsidRPr="001773FB">
        <w:rPr>
          <w:iCs/>
          <w:snapToGrid w:val="0"/>
          <w:kern w:val="22"/>
          <w:szCs w:val="22"/>
        </w:rPr>
        <w:t xml:space="preserve"> the implementation of the </w:t>
      </w:r>
      <w:r>
        <w:rPr>
          <w:iCs/>
          <w:snapToGrid w:val="0"/>
          <w:kern w:val="22"/>
          <w:szCs w:val="22"/>
        </w:rPr>
        <w:t>Kunming-Montreal</w:t>
      </w:r>
      <w:r w:rsidRPr="001773FB">
        <w:rPr>
          <w:iCs/>
          <w:snapToGrid w:val="0"/>
          <w:kern w:val="22"/>
          <w:szCs w:val="22"/>
        </w:rPr>
        <w:t xml:space="preserve"> </w:t>
      </w:r>
      <w:r>
        <w:rPr>
          <w:iCs/>
          <w:snapToGrid w:val="0"/>
          <w:kern w:val="22"/>
          <w:szCs w:val="22"/>
        </w:rPr>
        <w:t>G</w:t>
      </w:r>
      <w:r w:rsidRPr="001773FB">
        <w:rPr>
          <w:iCs/>
          <w:snapToGrid w:val="0"/>
          <w:kern w:val="22"/>
          <w:szCs w:val="22"/>
        </w:rPr>
        <w:t xml:space="preserve">lobal </w:t>
      </w:r>
      <w:r>
        <w:rPr>
          <w:iCs/>
          <w:snapToGrid w:val="0"/>
          <w:kern w:val="22"/>
          <w:szCs w:val="22"/>
        </w:rPr>
        <w:t>B</w:t>
      </w:r>
      <w:r w:rsidRPr="001773FB">
        <w:rPr>
          <w:iCs/>
          <w:snapToGrid w:val="0"/>
          <w:kern w:val="22"/>
          <w:szCs w:val="22"/>
        </w:rPr>
        <w:t xml:space="preserve">iodiversity </w:t>
      </w:r>
      <w:r>
        <w:rPr>
          <w:iCs/>
          <w:snapToGrid w:val="0"/>
          <w:kern w:val="22"/>
          <w:szCs w:val="22"/>
        </w:rPr>
        <w:t>F</w:t>
      </w:r>
      <w:r w:rsidRPr="001773FB">
        <w:rPr>
          <w:iCs/>
          <w:snapToGrid w:val="0"/>
          <w:kern w:val="22"/>
          <w:szCs w:val="22"/>
        </w:rPr>
        <w:t>ramework</w:t>
      </w:r>
      <w:r>
        <w:rPr>
          <w:iCs/>
          <w:snapToGrid w:val="0"/>
          <w:kern w:val="22"/>
          <w:szCs w:val="22"/>
        </w:rPr>
        <w:t xml:space="preserve"> on the basis of these submissions</w:t>
      </w:r>
      <w:r w:rsidRPr="001773FB">
        <w:rPr>
          <w:iCs/>
          <w:snapToGrid w:val="0"/>
          <w:kern w:val="22"/>
          <w:szCs w:val="22"/>
        </w:rPr>
        <w:t xml:space="preserve">, in collaboration with the Global Islands Partnership and building on other relevant efforts to review progress towards global commitments and goals for island biodiversity, and </w:t>
      </w:r>
      <w:r>
        <w:rPr>
          <w:iCs/>
          <w:snapToGrid w:val="0"/>
          <w:kern w:val="22"/>
          <w:szCs w:val="22"/>
        </w:rPr>
        <w:t xml:space="preserve">to </w:t>
      </w:r>
      <w:r w:rsidRPr="001773FB">
        <w:rPr>
          <w:iCs/>
          <w:snapToGrid w:val="0"/>
          <w:kern w:val="22"/>
          <w:szCs w:val="22"/>
        </w:rPr>
        <w:t xml:space="preserve">prepare a </w:t>
      </w:r>
      <w:r>
        <w:rPr>
          <w:iCs/>
          <w:snapToGrid w:val="0"/>
          <w:kern w:val="22"/>
          <w:szCs w:val="22"/>
        </w:rPr>
        <w:t xml:space="preserve">draft update to the programme of work on the </w:t>
      </w:r>
      <w:r w:rsidRPr="00061112">
        <w:rPr>
          <w:iCs/>
          <w:snapToGrid w:val="0"/>
          <w:kern w:val="22"/>
          <w:szCs w:val="22"/>
        </w:rPr>
        <w:t xml:space="preserve">basis of this </w:t>
      </w:r>
      <w:r>
        <w:rPr>
          <w:iCs/>
          <w:snapToGrid w:val="0"/>
          <w:kern w:val="22"/>
          <w:szCs w:val="22"/>
        </w:rPr>
        <w:t xml:space="preserve">strategic review and </w:t>
      </w:r>
      <w:r w:rsidRPr="00061112">
        <w:rPr>
          <w:iCs/>
          <w:snapToGrid w:val="0"/>
          <w:kern w:val="22"/>
          <w:szCs w:val="22"/>
        </w:rPr>
        <w:t>analysis</w:t>
      </w:r>
      <w:r>
        <w:rPr>
          <w:iCs/>
          <w:snapToGrid w:val="0"/>
          <w:kern w:val="22"/>
          <w:szCs w:val="22"/>
        </w:rPr>
        <w:t>,</w:t>
      </w:r>
      <w:r w:rsidRPr="00061112">
        <w:rPr>
          <w:iCs/>
          <w:snapToGrid w:val="0"/>
          <w:kern w:val="22"/>
          <w:szCs w:val="22"/>
        </w:rPr>
        <w:t xml:space="preserve"> for consideration by the Subsidiary Body on Scientific, Technical and Technological Advice</w:t>
      </w:r>
      <w:r>
        <w:rPr>
          <w:iCs/>
          <w:snapToGrid w:val="0"/>
          <w:kern w:val="22"/>
          <w:szCs w:val="22"/>
        </w:rPr>
        <w:t xml:space="preserve"> prior to the sixteenth meeting of</w:t>
      </w:r>
      <w:r w:rsidRPr="00061112">
        <w:rPr>
          <w:iCs/>
          <w:snapToGrid w:val="0"/>
          <w:kern w:val="22"/>
          <w:szCs w:val="22"/>
        </w:rPr>
        <w:t xml:space="preserve"> the Conference of the Parties</w:t>
      </w:r>
      <w:r>
        <w:rPr>
          <w:iCs/>
          <w:snapToGrid w:val="0"/>
          <w:kern w:val="22"/>
          <w:szCs w:val="22"/>
        </w:rPr>
        <w:t xml:space="preserve">; </w:t>
      </w:r>
    </w:p>
    <w:p w14:paraId="30411EAE" w14:textId="77777777" w:rsidR="000062FB" w:rsidRPr="00B421C9" w:rsidRDefault="000062FB" w:rsidP="00E35506">
      <w:pPr>
        <w:pStyle w:val="paragraph"/>
        <w:spacing w:before="120" w:beforeAutospacing="0" w:after="0" w:afterAutospacing="0"/>
        <w:ind w:firstLine="720"/>
        <w:jc w:val="both"/>
        <w:textAlignment w:val="baseline"/>
        <w:rPr>
          <w:color w:val="000000" w:themeColor="text1"/>
          <w:szCs w:val="22"/>
        </w:rPr>
      </w:pPr>
      <w:r>
        <w:rPr>
          <w:color w:val="000000" w:themeColor="text1"/>
          <w:sz w:val="22"/>
          <w:szCs w:val="22"/>
        </w:rPr>
        <w:t>6.</w:t>
      </w:r>
      <w:r w:rsidRPr="00CF105B">
        <w:rPr>
          <w:color w:val="000000" w:themeColor="text1"/>
          <w:sz w:val="22"/>
          <w:szCs w:val="22"/>
        </w:rPr>
        <w:tab/>
      </w:r>
      <w:r w:rsidRPr="00CF105B">
        <w:rPr>
          <w:i/>
          <w:iCs/>
          <w:color w:val="000000" w:themeColor="text1"/>
          <w:sz w:val="22"/>
          <w:szCs w:val="22"/>
        </w:rPr>
        <w:t>Urges</w:t>
      </w:r>
      <w:r w:rsidRPr="00CF105B">
        <w:rPr>
          <w:color w:val="000000" w:themeColor="text1"/>
          <w:sz w:val="22"/>
          <w:szCs w:val="22"/>
        </w:rPr>
        <w:t xml:space="preserve"> Parties and </w:t>
      </w:r>
      <w:r w:rsidRPr="006D53FB">
        <w:rPr>
          <w:color w:val="000000" w:themeColor="text1"/>
          <w:sz w:val="22"/>
          <w:szCs w:val="22"/>
        </w:rPr>
        <w:t>invites</w:t>
      </w:r>
      <w:r w:rsidRPr="00CF105B">
        <w:rPr>
          <w:color w:val="000000" w:themeColor="text1"/>
          <w:sz w:val="22"/>
          <w:szCs w:val="22"/>
        </w:rPr>
        <w:t xml:space="preserve"> other Governments to take into </w:t>
      </w:r>
      <w:r w:rsidRPr="00783D41">
        <w:rPr>
          <w:color w:val="000000" w:themeColor="text1"/>
          <w:sz w:val="22"/>
          <w:szCs w:val="22"/>
        </w:rPr>
        <w:t>account the assessments by the</w:t>
      </w:r>
      <w:r w:rsidRPr="00CF105B">
        <w:rPr>
          <w:color w:val="000000" w:themeColor="text1"/>
          <w:sz w:val="22"/>
          <w:szCs w:val="22"/>
        </w:rPr>
        <w:t xml:space="preserve"> Intergovernmental Science-Policy Platform on Biodiversity and Ecosystem Services</w:t>
      </w:r>
      <w:r>
        <w:rPr>
          <w:color w:val="000000" w:themeColor="text1"/>
          <w:sz w:val="22"/>
          <w:szCs w:val="22"/>
        </w:rPr>
        <w:t xml:space="preserve"> and the R</w:t>
      </w:r>
      <w:r w:rsidRPr="002C0BF7">
        <w:rPr>
          <w:color w:val="000000" w:themeColor="text1"/>
          <w:sz w:val="22"/>
          <w:szCs w:val="22"/>
        </w:rPr>
        <w:t xml:space="preserve">egular Process for </w:t>
      </w:r>
      <w:r>
        <w:rPr>
          <w:color w:val="000000" w:themeColor="text1"/>
          <w:sz w:val="22"/>
          <w:szCs w:val="22"/>
        </w:rPr>
        <w:t>G</w:t>
      </w:r>
      <w:r w:rsidRPr="002C0BF7">
        <w:rPr>
          <w:color w:val="000000" w:themeColor="text1"/>
          <w:sz w:val="22"/>
          <w:szCs w:val="22"/>
        </w:rPr>
        <w:t xml:space="preserve">lobal </w:t>
      </w:r>
      <w:r>
        <w:rPr>
          <w:color w:val="000000" w:themeColor="text1"/>
          <w:sz w:val="22"/>
          <w:szCs w:val="22"/>
        </w:rPr>
        <w:t>R</w:t>
      </w:r>
      <w:r w:rsidRPr="002C0BF7">
        <w:rPr>
          <w:color w:val="000000" w:themeColor="text1"/>
          <w:sz w:val="22"/>
          <w:szCs w:val="22"/>
        </w:rPr>
        <w:t xml:space="preserve">eporting and </w:t>
      </w:r>
      <w:r>
        <w:rPr>
          <w:color w:val="000000" w:themeColor="text1"/>
          <w:sz w:val="22"/>
          <w:szCs w:val="22"/>
        </w:rPr>
        <w:t>A</w:t>
      </w:r>
      <w:r w:rsidRPr="002C0BF7">
        <w:rPr>
          <w:color w:val="000000" w:themeColor="text1"/>
          <w:sz w:val="22"/>
          <w:szCs w:val="22"/>
        </w:rPr>
        <w:t xml:space="preserve">ssessment of the </w:t>
      </w:r>
      <w:r>
        <w:rPr>
          <w:color w:val="000000" w:themeColor="text1"/>
          <w:sz w:val="22"/>
          <w:szCs w:val="22"/>
        </w:rPr>
        <w:t>S</w:t>
      </w:r>
      <w:r w:rsidRPr="002C0BF7">
        <w:rPr>
          <w:color w:val="000000" w:themeColor="text1"/>
          <w:sz w:val="22"/>
          <w:szCs w:val="22"/>
        </w:rPr>
        <w:t xml:space="preserve">tate of the </w:t>
      </w:r>
      <w:r>
        <w:rPr>
          <w:color w:val="000000" w:themeColor="text1"/>
          <w:sz w:val="22"/>
          <w:szCs w:val="22"/>
        </w:rPr>
        <w:t>M</w:t>
      </w:r>
      <w:r w:rsidRPr="002C0BF7">
        <w:rPr>
          <w:color w:val="000000" w:themeColor="text1"/>
          <w:sz w:val="22"/>
          <w:szCs w:val="22"/>
        </w:rPr>
        <w:t xml:space="preserve">arine </w:t>
      </w:r>
      <w:r>
        <w:rPr>
          <w:color w:val="000000" w:themeColor="text1"/>
          <w:sz w:val="22"/>
          <w:szCs w:val="22"/>
        </w:rPr>
        <w:t>E</w:t>
      </w:r>
      <w:r w:rsidRPr="002C0BF7">
        <w:rPr>
          <w:color w:val="000000" w:themeColor="text1"/>
          <w:sz w:val="22"/>
          <w:szCs w:val="22"/>
        </w:rPr>
        <w:t xml:space="preserve">nvironment, including </w:t>
      </w:r>
      <w:r>
        <w:rPr>
          <w:color w:val="000000" w:themeColor="text1"/>
          <w:sz w:val="22"/>
          <w:szCs w:val="22"/>
        </w:rPr>
        <w:t>S</w:t>
      </w:r>
      <w:r w:rsidRPr="002C0BF7">
        <w:rPr>
          <w:color w:val="000000" w:themeColor="text1"/>
          <w:sz w:val="22"/>
          <w:szCs w:val="22"/>
        </w:rPr>
        <w:t xml:space="preserve">ocioeconomic </w:t>
      </w:r>
      <w:r>
        <w:rPr>
          <w:color w:val="000000" w:themeColor="text1"/>
          <w:sz w:val="22"/>
          <w:szCs w:val="22"/>
        </w:rPr>
        <w:t>A</w:t>
      </w:r>
      <w:r w:rsidRPr="002C0BF7">
        <w:rPr>
          <w:color w:val="000000" w:themeColor="text1"/>
          <w:sz w:val="22"/>
          <w:szCs w:val="22"/>
        </w:rPr>
        <w:t>spects</w:t>
      </w:r>
      <w:r>
        <w:rPr>
          <w:color w:val="000000" w:themeColor="text1"/>
          <w:sz w:val="22"/>
          <w:szCs w:val="22"/>
        </w:rPr>
        <w:t>,</w:t>
      </w:r>
      <w:r w:rsidRPr="00CF105B">
        <w:rPr>
          <w:color w:val="000000" w:themeColor="text1"/>
          <w:sz w:val="22"/>
          <w:szCs w:val="22"/>
        </w:rPr>
        <w:t xml:space="preserve"> </w:t>
      </w:r>
      <w:r>
        <w:rPr>
          <w:color w:val="000000" w:themeColor="text1"/>
          <w:sz w:val="22"/>
          <w:szCs w:val="22"/>
        </w:rPr>
        <w:t xml:space="preserve">in </w:t>
      </w:r>
      <w:r w:rsidRPr="00CF105B">
        <w:rPr>
          <w:color w:val="000000" w:themeColor="text1"/>
          <w:sz w:val="22"/>
          <w:szCs w:val="22"/>
        </w:rPr>
        <w:t xml:space="preserve">efforts to implement the </w:t>
      </w:r>
      <w:r>
        <w:rPr>
          <w:color w:val="000000" w:themeColor="text1"/>
          <w:sz w:val="22"/>
          <w:szCs w:val="22"/>
        </w:rPr>
        <w:t>Kunming-Montreal</w:t>
      </w:r>
      <w:r w:rsidRPr="00CF105B">
        <w:rPr>
          <w:color w:val="000000" w:themeColor="text1"/>
          <w:sz w:val="22"/>
          <w:szCs w:val="22"/>
        </w:rPr>
        <w:t xml:space="preserve"> </w:t>
      </w:r>
      <w:r>
        <w:rPr>
          <w:color w:val="000000" w:themeColor="text1"/>
          <w:sz w:val="22"/>
          <w:szCs w:val="22"/>
        </w:rPr>
        <w:t>G</w:t>
      </w:r>
      <w:r w:rsidRPr="00CF105B">
        <w:rPr>
          <w:color w:val="000000" w:themeColor="text1"/>
          <w:sz w:val="22"/>
          <w:szCs w:val="22"/>
        </w:rPr>
        <w:t xml:space="preserve">lobal </w:t>
      </w:r>
      <w:r>
        <w:rPr>
          <w:color w:val="000000" w:themeColor="text1"/>
          <w:sz w:val="22"/>
          <w:szCs w:val="22"/>
        </w:rPr>
        <w:t>B</w:t>
      </w:r>
      <w:r w:rsidRPr="00CF105B">
        <w:rPr>
          <w:color w:val="000000" w:themeColor="text1"/>
          <w:sz w:val="22"/>
          <w:szCs w:val="22"/>
        </w:rPr>
        <w:t xml:space="preserve">iodiversity </w:t>
      </w:r>
      <w:r>
        <w:rPr>
          <w:color w:val="000000" w:themeColor="text1"/>
          <w:sz w:val="22"/>
          <w:szCs w:val="22"/>
        </w:rPr>
        <w:t>F</w:t>
      </w:r>
      <w:r w:rsidRPr="00CF105B">
        <w:rPr>
          <w:color w:val="000000" w:themeColor="text1"/>
          <w:sz w:val="22"/>
          <w:szCs w:val="22"/>
        </w:rPr>
        <w:t xml:space="preserve">ramework </w:t>
      </w:r>
      <w:r>
        <w:rPr>
          <w:color w:val="000000" w:themeColor="text1"/>
          <w:sz w:val="22"/>
          <w:szCs w:val="22"/>
        </w:rPr>
        <w:t xml:space="preserve">with respect to marine and coastal biodiversity; </w:t>
      </w:r>
    </w:p>
    <w:p w14:paraId="4D42B5AD" w14:textId="77777777" w:rsidR="000062FB" w:rsidRDefault="000062FB" w:rsidP="00E35506">
      <w:pPr>
        <w:pStyle w:val="paragraph"/>
        <w:spacing w:before="120" w:beforeAutospacing="0" w:after="0" w:afterAutospacing="0"/>
        <w:ind w:firstLine="720"/>
        <w:jc w:val="both"/>
        <w:textAlignment w:val="baseline"/>
        <w:rPr>
          <w:rStyle w:val="eop"/>
          <w:rFonts w:eastAsiaTheme="majorEastAsia"/>
          <w:sz w:val="22"/>
        </w:rPr>
      </w:pPr>
      <w:r>
        <w:rPr>
          <w:kern w:val="22"/>
          <w:sz w:val="22"/>
          <w:szCs w:val="22"/>
        </w:rPr>
        <w:t>7</w:t>
      </w:r>
      <w:r w:rsidRPr="002B6E97">
        <w:rPr>
          <w:kern w:val="22"/>
          <w:sz w:val="22"/>
          <w:szCs w:val="22"/>
        </w:rPr>
        <w:t>.</w:t>
      </w:r>
      <w:r w:rsidRPr="002B6E97">
        <w:rPr>
          <w:kern w:val="22"/>
          <w:sz w:val="22"/>
          <w:szCs w:val="22"/>
        </w:rPr>
        <w:tab/>
      </w:r>
      <w:r w:rsidRPr="002B6E97">
        <w:rPr>
          <w:i/>
          <w:sz w:val="22"/>
          <w:szCs w:val="22"/>
        </w:rPr>
        <w:t xml:space="preserve">Urges </w:t>
      </w:r>
      <w:r w:rsidRPr="002B6E97">
        <w:rPr>
          <w:sz w:val="22"/>
          <w:szCs w:val="22"/>
        </w:rPr>
        <w:t>Parties and</w:t>
      </w:r>
      <w:r w:rsidRPr="002B6E97">
        <w:rPr>
          <w:i/>
          <w:sz w:val="22"/>
          <w:szCs w:val="22"/>
        </w:rPr>
        <w:t xml:space="preserve"> </w:t>
      </w:r>
      <w:r w:rsidRPr="006D53FB">
        <w:rPr>
          <w:iCs/>
          <w:sz w:val="22"/>
        </w:rPr>
        <w:t>invites</w:t>
      </w:r>
      <w:r w:rsidRPr="002B6E97">
        <w:rPr>
          <w:i/>
          <w:sz w:val="22"/>
          <w:szCs w:val="22"/>
        </w:rPr>
        <w:t xml:space="preserve"> </w:t>
      </w:r>
      <w:r w:rsidRPr="002B6E97">
        <w:rPr>
          <w:sz w:val="22"/>
          <w:szCs w:val="22"/>
        </w:rPr>
        <w:t>other Governments to acknowledge</w:t>
      </w:r>
      <w:r>
        <w:rPr>
          <w:sz w:val="22"/>
          <w:szCs w:val="22"/>
        </w:rPr>
        <w:t xml:space="preserve"> </w:t>
      </w:r>
      <w:r w:rsidRPr="002B6E97">
        <w:rPr>
          <w:sz w:val="22"/>
          <w:szCs w:val="22"/>
        </w:rPr>
        <w:t>the critical importance o</w:t>
      </w:r>
      <w:r>
        <w:rPr>
          <w:sz w:val="22"/>
          <w:szCs w:val="22"/>
        </w:rPr>
        <w:t>f</w:t>
      </w:r>
      <w:r w:rsidRPr="002B6E97">
        <w:rPr>
          <w:sz w:val="22"/>
          <w:szCs w:val="22"/>
        </w:rPr>
        <w:t xml:space="preserve"> marine and coastal biodiversity in the implementation of the </w:t>
      </w:r>
      <w:r>
        <w:rPr>
          <w:sz w:val="22"/>
          <w:szCs w:val="22"/>
        </w:rPr>
        <w:t>Kunming-Montreal</w:t>
      </w:r>
      <w:r w:rsidRPr="002B6E97">
        <w:rPr>
          <w:sz w:val="22"/>
          <w:szCs w:val="22"/>
        </w:rPr>
        <w:t xml:space="preserve"> </w:t>
      </w:r>
      <w:r>
        <w:rPr>
          <w:sz w:val="22"/>
          <w:szCs w:val="22"/>
        </w:rPr>
        <w:t>G</w:t>
      </w:r>
      <w:r w:rsidRPr="002B6E97">
        <w:rPr>
          <w:sz w:val="22"/>
          <w:szCs w:val="22"/>
        </w:rPr>
        <w:t xml:space="preserve">lobal </w:t>
      </w:r>
      <w:r>
        <w:rPr>
          <w:sz w:val="22"/>
          <w:szCs w:val="22"/>
        </w:rPr>
        <w:t>B</w:t>
      </w:r>
      <w:r w:rsidRPr="002B6E97">
        <w:rPr>
          <w:sz w:val="22"/>
          <w:szCs w:val="22"/>
        </w:rPr>
        <w:t xml:space="preserve">iodiversity </w:t>
      </w:r>
      <w:r>
        <w:rPr>
          <w:sz w:val="22"/>
          <w:szCs w:val="22"/>
        </w:rPr>
        <w:t>F</w:t>
      </w:r>
      <w:r w:rsidRPr="002B6E97">
        <w:rPr>
          <w:sz w:val="22"/>
          <w:szCs w:val="22"/>
        </w:rPr>
        <w:t>ramework, including through enhancing the conservation and sustainable use of marine and coastal biodiversity, based on the best available scientific information</w:t>
      </w:r>
      <w:r>
        <w:rPr>
          <w:sz w:val="22"/>
          <w:szCs w:val="22"/>
        </w:rPr>
        <w:t xml:space="preserve"> and the traditional knowledge of indigenous peoples and local </w:t>
      </w:r>
      <w:r w:rsidRPr="00E509A1">
        <w:rPr>
          <w:sz w:val="22"/>
          <w:szCs w:val="22"/>
        </w:rPr>
        <w:t>communities with their free, prior and informed consent, particularly for the</w:t>
      </w:r>
      <w:r w:rsidRPr="00B67EAB">
        <w:rPr>
          <w:sz w:val="22"/>
          <w:szCs w:val="22"/>
        </w:rPr>
        <w:t xml:space="preserve"> most vulnerable marine and coastal ecosystems and areas of particular importance for biodiversity, </w:t>
      </w:r>
      <w:r w:rsidRPr="00B67EAB">
        <w:rPr>
          <w:rStyle w:val="eop"/>
          <w:rFonts w:eastAsiaTheme="majorEastAsia"/>
          <w:sz w:val="22"/>
        </w:rPr>
        <w:t>highlight</w:t>
      </w:r>
      <w:r>
        <w:rPr>
          <w:rStyle w:val="eop"/>
          <w:rFonts w:eastAsiaTheme="majorEastAsia"/>
          <w:sz w:val="22"/>
        </w:rPr>
        <w:t>ing</w:t>
      </w:r>
      <w:r w:rsidRPr="00B67EAB">
        <w:rPr>
          <w:rStyle w:val="eop"/>
          <w:rFonts w:eastAsiaTheme="majorEastAsia"/>
          <w:sz w:val="22"/>
        </w:rPr>
        <w:t xml:space="preserve"> the need for area-based marine conservation as set out in the targets of the </w:t>
      </w:r>
      <w:r>
        <w:rPr>
          <w:rStyle w:val="eop"/>
          <w:rFonts w:eastAsiaTheme="majorEastAsia"/>
          <w:sz w:val="22"/>
        </w:rPr>
        <w:t>Kunming-Montreal G</w:t>
      </w:r>
      <w:r w:rsidRPr="00B67EAB">
        <w:rPr>
          <w:rStyle w:val="eop"/>
          <w:rFonts w:eastAsiaTheme="majorEastAsia"/>
          <w:sz w:val="22"/>
        </w:rPr>
        <w:t xml:space="preserve">lobal </w:t>
      </w:r>
      <w:r>
        <w:rPr>
          <w:rStyle w:val="eop"/>
          <w:rFonts w:eastAsiaTheme="majorEastAsia"/>
          <w:sz w:val="22"/>
        </w:rPr>
        <w:t>B</w:t>
      </w:r>
      <w:r w:rsidRPr="00B67EAB">
        <w:rPr>
          <w:rStyle w:val="eop"/>
          <w:rFonts w:eastAsiaTheme="majorEastAsia"/>
          <w:sz w:val="22"/>
        </w:rPr>
        <w:t xml:space="preserve">iodiversity </w:t>
      </w:r>
      <w:r>
        <w:rPr>
          <w:rStyle w:val="eop"/>
          <w:rFonts w:eastAsiaTheme="majorEastAsia"/>
          <w:sz w:val="22"/>
        </w:rPr>
        <w:t>F</w:t>
      </w:r>
      <w:r w:rsidRPr="00B67EAB">
        <w:rPr>
          <w:rStyle w:val="eop"/>
          <w:rFonts w:eastAsiaTheme="majorEastAsia"/>
          <w:sz w:val="22"/>
        </w:rPr>
        <w:t xml:space="preserve">ramework, including </w:t>
      </w:r>
      <w:r>
        <w:rPr>
          <w:rStyle w:val="eop"/>
          <w:rFonts w:eastAsiaTheme="majorEastAsia"/>
          <w:sz w:val="22"/>
        </w:rPr>
        <w:t>T</w:t>
      </w:r>
      <w:r w:rsidRPr="00B67EAB">
        <w:rPr>
          <w:rStyle w:val="eop"/>
          <w:rFonts w:eastAsiaTheme="majorEastAsia"/>
          <w:sz w:val="22"/>
        </w:rPr>
        <w:t>arget 3</w:t>
      </w:r>
      <w:r w:rsidRPr="00B67EAB">
        <w:rPr>
          <w:sz w:val="22"/>
          <w:szCs w:val="22"/>
        </w:rPr>
        <w:t>, addressing</w:t>
      </w:r>
      <w:r w:rsidRPr="0002608C">
        <w:rPr>
          <w:sz w:val="22"/>
          <w:szCs w:val="22"/>
        </w:rPr>
        <w:t xml:space="preserve"> the direct drivers of biodiversity loss </w:t>
      </w:r>
      <w:r w:rsidRPr="003B1CD8">
        <w:rPr>
          <w:sz w:val="22"/>
          <w:szCs w:val="22"/>
        </w:rPr>
        <w:t>identified by the</w:t>
      </w:r>
      <w:r w:rsidRPr="003B1CD8">
        <w:rPr>
          <w:color w:val="000000" w:themeColor="text1"/>
          <w:sz w:val="22"/>
          <w:szCs w:val="22"/>
        </w:rPr>
        <w:t xml:space="preserve"> Intergovernmental Science-Policy Platform on Biodiversity and Ecosystem Services,</w:t>
      </w:r>
      <w:r w:rsidRPr="003B1CD8">
        <w:rPr>
          <w:sz w:val="22"/>
          <w:szCs w:val="22"/>
        </w:rPr>
        <w:t xml:space="preserve"> and through </w:t>
      </w:r>
      <w:r w:rsidRPr="00554D43">
        <w:rPr>
          <w:sz w:val="22"/>
          <w:szCs w:val="22"/>
        </w:rPr>
        <w:t>appropriate access to marine genetic resources and</w:t>
      </w:r>
      <w:r w:rsidRPr="003B1CD8">
        <w:rPr>
          <w:sz w:val="22"/>
          <w:szCs w:val="22"/>
        </w:rPr>
        <w:t xml:space="preserve"> ensuring the fair and equitable sharing of the benefits arising</w:t>
      </w:r>
      <w:r w:rsidRPr="002B6E97">
        <w:rPr>
          <w:sz w:val="22"/>
          <w:szCs w:val="22"/>
        </w:rPr>
        <w:t xml:space="preserve"> out of the utilization</w:t>
      </w:r>
      <w:r>
        <w:rPr>
          <w:sz w:val="22"/>
          <w:szCs w:val="22"/>
        </w:rPr>
        <w:t xml:space="preserve"> of marine genetic resources</w:t>
      </w:r>
      <w:r w:rsidRPr="002B6E97">
        <w:rPr>
          <w:sz w:val="22"/>
          <w:szCs w:val="22"/>
        </w:rPr>
        <w:t xml:space="preserve">, within the jurisdictional scope of the Convention and its </w:t>
      </w:r>
      <w:r>
        <w:rPr>
          <w:sz w:val="22"/>
          <w:szCs w:val="22"/>
        </w:rPr>
        <w:t>P</w:t>
      </w:r>
      <w:r w:rsidRPr="002B6E97">
        <w:rPr>
          <w:sz w:val="22"/>
          <w:szCs w:val="22"/>
        </w:rPr>
        <w:t>rotocols, and recognizing and respecting the rights of indigenous peoples and local communities and their key role in conserving and sustainably using marine and coastal biodiversity</w:t>
      </w:r>
      <w:r w:rsidRPr="00A06F9F">
        <w:rPr>
          <w:rStyle w:val="normaltextrun"/>
          <w:rFonts w:eastAsiaTheme="majorEastAsia"/>
          <w:sz w:val="22"/>
          <w:szCs w:val="22"/>
        </w:rPr>
        <w:t>;</w:t>
      </w:r>
      <w:r w:rsidRPr="008A30AC">
        <w:rPr>
          <w:rStyle w:val="eop"/>
          <w:rFonts w:eastAsiaTheme="majorEastAsia"/>
          <w:sz w:val="22"/>
        </w:rPr>
        <w:t xml:space="preserve"> </w:t>
      </w:r>
    </w:p>
    <w:p w14:paraId="13409E18" w14:textId="77777777" w:rsidR="000062FB" w:rsidRPr="00844039" w:rsidRDefault="000062FB" w:rsidP="00E35506">
      <w:pPr>
        <w:pStyle w:val="paragraph"/>
        <w:spacing w:before="120" w:beforeAutospacing="0" w:after="0" w:afterAutospacing="0"/>
        <w:ind w:firstLine="720"/>
        <w:jc w:val="both"/>
        <w:textAlignment w:val="baseline"/>
        <w:rPr>
          <w:color w:val="000000" w:themeColor="text1"/>
          <w:sz w:val="22"/>
          <w:szCs w:val="22"/>
        </w:rPr>
      </w:pPr>
      <w:r>
        <w:rPr>
          <w:color w:val="000000" w:themeColor="text1"/>
          <w:sz w:val="22"/>
          <w:szCs w:val="22"/>
        </w:rPr>
        <w:t>8.</w:t>
      </w:r>
      <w:r>
        <w:rPr>
          <w:color w:val="000000" w:themeColor="text1"/>
          <w:sz w:val="22"/>
          <w:szCs w:val="22"/>
        </w:rPr>
        <w:tab/>
      </w:r>
      <w:r w:rsidRPr="00CF105B">
        <w:rPr>
          <w:i/>
          <w:iCs/>
          <w:color w:val="000000" w:themeColor="text1"/>
          <w:sz w:val="22"/>
          <w:szCs w:val="22"/>
        </w:rPr>
        <w:t>Urges</w:t>
      </w:r>
      <w:r w:rsidRPr="00CF105B">
        <w:rPr>
          <w:color w:val="000000" w:themeColor="text1"/>
          <w:sz w:val="22"/>
          <w:szCs w:val="22"/>
        </w:rPr>
        <w:t xml:space="preserve"> Parties and </w:t>
      </w:r>
      <w:r w:rsidRPr="006D53FB">
        <w:rPr>
          <w:color w:val="000000" w:themeColor="text1"/>
          <w:sz w:val="22"/>
          <w:szCs w:val="22"/>
        </w:rPr>
        <w:t>invites</w:t>
      </w:r>
      <w:r w:rsidRPr="00CF105B">
        <w:rPr>
          <w:color w:val="000000" w:themeColor="text1"/>
          <w:sz w:val="22"/>
          <w:szCs w:val="22"/>
        </w:rPr>
        <w:t xml:space="preserve"> other Governments</w:t>
      </w:r>
      <w:r>
        <w:rPr>
          <w:color w:val="000000" w:themeColor="text1"/>
          <w:sz w:val="22"/>
          <w:szCs w:val="22"/>
        </w:rPr>
        <w:t xml:space="preserve"> to</w:t>
      </w:r>
      <w:r w:rsidRPr="00CF105B">
        <w:rPr>
          <w:color w:val="000000" w:themeColor="text1"/>
          <w:sz w:val="22"/>
          <w:szCs w:val="22"/>
        </w:rPr>
        <w:t xml:space="preserve"> strengthen national, subregional, and regional efforts toward ocean accounting and economic valuation of ecosystem services provided by marine and coastal biodiversity </w:t>
      </w:r>
      <w:r>
        <w:rPr>
          <w:color w:val="000000" w:themeColor="text1"/>
          <w:sz w:val="22"/>
          <w:szCs w:val="22"/>
        </w:rPr>
        <w:t>and use this information to support decision-making for conservation and sustainable use</w:t>
      </w:r>
      <w:r w:rsidRPr="00CF105B">
        <w:rPr>
          <w:color w:val="000000" w:themeColor="text1"/>
          <w:sz w:val="22"/>
          <w:szCs w:val="22"/>
        </w:rPr>
        <w:t>;</w:t>
      </w:r>
    </w:p>
    <w:p w14:paraId="30FDB5F1" w14:textId="77777777" w:rsidR="000062FB" w:rsidRDefault="000062FB"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9</w:t>
      </w:r>
      <w:r w:rsidRPr="00061112">
        <w:rPr>
          <w:snapToGrid w:val="0"/>
          <w:kern w:val="22"/>
          <w:szCs w:val="22"/>
        </w:rPr>
        <w:t>.</w:t>
      </w:r>
      <w:r w:rsidRPr="00061112">
        <w:rPr>
          <w:snapToGrid w:val="0"/>
          <w:kern w:val="22"/>
          <w:szCs w:val="22"/>
        </w:rPr>
        <w:tab/>
      </w:r>
      <w:r w:rsidRPr="00B421C9">
        <w:rPr>
          <w:i/>
          <w:iCs/>
          <w:snapToGrid w:val="0"/>
          <w:kern w:val="22"/>
          <w:szCs w:val="22"/>
        </w:rPr>
        <w:t>Notes</w:t>
      </w:r>
      <w:r>
        <w:rPr>
          <w:snapToGrid w:val="0"/>
          <w:kern w:val="22"/>
          <w:szCs w:val="22"/>
        </w:rPr>
        <w:t xml:space="preserve"> the role of </w:t>
      </w:r>
      <w:r w:rsidRPr="00061112">
        <w:rPr>
          <w:snapToGrid w:val="0"/>
          <w:kern w:val="22"/>
          <w:szCs w:val="22"/>
        </w:rPr>
        <w:t xml:space="preserve">relevant global and regional </w:t>
      </w:r>
      <w:r>
        <w:rPr>
          <w:snapToGrid w:val="0"/>
          <w:kern w:val="22"/>
          <w:szCs w:val="22"/>
        </w:rPr>
        <w:t>bodies and initiatives</w:t>
      </w:r>
      <w:r w:rsidRPr="00061112">
        <w:rPr>
          <w:snapToGrid w:val="0"/>
          <w:kern w:val="22"/>
          <w:szCs w:val="22"/>
        </w:rPr>
        <w:t>, including</w:t>
      </w:r>
      <w:r>
        <w:rPr>
          <w:snapToGrid w:val="0"/>
          <w:kern w:val="22"/>
          <w:szCs w:val="22"/>
        </w:rPr>
        <w:t xml:space="preserve">, </w:t>
      </w:r>
      <w:r w:rsidRPr="00962621">
        <w:rPr>
          <w:snapToGrid w:val="0"/>
          <w:kern w:val="22"/>
          <w:szCs w:val="22"/>
        </w:rPr>
        <w:t>inter alia</w:t>
      </w:r>
      <w:r>
        <w:rPr>
          <w:snapToGrid w:val="0"/>
          <w:kern w:val="22"/>
          <w:szCs w:val="22"/>
        </w:rPr>
        <w:t xml:space="preserve">, the United Nations Division on Ocean Affairs and the Law of the Sea, </w:t>
      </w:r>
      <w:r w:rsidRPr="00061112">
        <w:rPr>
          <w:snapToGrid w:val="0"/>
          <w:kern w:val="22"/>
          <w:szCs w:val="22"/>
        </w:rPr>
        <w:t>the United Nations Framework Convention on Climate Change, the International Maritime Organization, the International Seabed Authority, the Food and Agriculture Organization of the United Nations,</w:t>
      </w:r>
      <w:r>
        <w:rPr>
          <w:snapToGrid w:val="0"/>
          <w:kern w:val="22"/>
          <w:szCs w:val="22"/>
        </w:rPr>
        <w:t xml:space="preserve"> the Intergovernmental Oceanographic Commission of the United Nations </w:t>
      </w:r>
      <w:r>
        <w:rPr>
          <w:rStyle w:val="normaltextrun"/>
          <w:rFonts w:eastAsiaTheme="majorEastAsia"/>
          <w:szCs w:val="22"/>
        </w:rPr>
        <w:t>Educational, Scientific and Cultural Organization</w:t>
      </w:r>
      <w:r>
        <w:rPr>
          <w:snapToGrid w:val="0"/>
          <w:kern w:val="22"/>
          <w:szCs w:val="22"/>
        </w:rPr>
        <w:t>, the Ramsar Convention, the Convention on the Conservation of Migratory Species of Wild Animals, the Convention on International Trade in Endangered Species of Wild Fauna and Flora,</w:t>
      </w:r>
      <w:r w:rsidRPr="00AD6367">
        <w:rPr>
          <w:snapToGrid w:val="0"/>
          <w:kern w:val="22"/>
          <w:szCs w:val="22"/>
        </w:rPr>
        <w:t xml:space="preserve"> </w:t>
      </w:r>
      <w:r>
        <w:rPr>
          <w:snapToGrid w:val="0"/>
          <w:kern w:val="22"/>
          <w:szCs w:val="22"/>
        </w:rPr>
        <w:t>the World Meteorological Organization, r</w:t>
      </w:r>
      <w:r w:rsidRPr="00061112">
        <w:rPr>
          <w:snapToGrid w:val="0"/>
          <w:kern w:val="22"/>
          <w:szCs w:val="22"/>
        </w:rPr>
        <w:t>egional fishery bodies</w:t>
      </w:r>
      <w:r>
        <w:rPr>
          <w:snapToGrid w:val="0"/>
          <w:kern w:val="22"/>
          <w:szCs w:val="22"/>
        </w:rPr>
        <w:t xml:space="preserve">, </w:t>
      </w:r>
      <w:r w:rsidRPr="00061112">
        <w:rPr>
          <w:snapToGrid w:val="0"/>
          <w:kern w:val="22"/>
          <w:szCs w:val="22"/>
        </w:rPr>
        <w:t>regional seas conventions and action plans</w:t>
      </w:r>
      <w:r>
        <w:rPr>
          <w:snapToGrid w:val="0"/>
          <w:kern w:val="22"/>
          <w:szCs w:val="22"/>
        </w:rPr>
        <w:t xml:space="preserve">, the International Coral Reef Initiative, as well as the United Nations Decade of Ocean Science for Sustainable Development and the United Nations Decade on Ecosystem Restoration, in the conservation and sustainable use of marine and coastal biodiversity, and </w:t>
      </w:r>
      <w:r w:rsidRPr="006D53FB">
        <w:rPr>
          <w:snapToGrid w:val="0"/>
          <w:kern w:val="22"/>
          <w:szCs w:val="22"/>
        </w:rPr>
        <w:t>invites</w:t>
      </w:r>
      <w:r>
        <w:rPr>
          <w:snapToGrid w:val="0"/>
          <w:kern w:val="22"/>
          <w:szCs w:val="22"/>
        </w:rPr>
        <w:t xml:space="preserve"> them </w:t>
      </w:r>
      <w:r w:rsidRPr="00061112">
        <w:rPr>
          <w:snapToGrid w:val="0"/>
          <w:kern w:val="22"/>
          <w:szCs w:val="22"/>
        </w:rPr>
        <w:t xml:space="preserve">to support the implementation of the </w:t>
      </w:r>
      <w:r>
        <w:rPr>
          <w:snapToGrid w:val="0"/>
          <w:kern w:val="22"/>
          <w:szCs w:val="22"/>
        </w:rPr>
        <w:t>Kunming-</w:t>
      </w:r>
      <w:r>
        <w:rPr>
          <w:snapToGrid w:val="0"/>
          <w:kern w:val="22"/>
          <w:szCs w:val="22"/>
        </w:rPr>
        <w:lastRenderedPageBreak/>
        <w:t>Montreal</w:t>
      </w:r>
      <w:r w:rsidRPr="00061112">
        <w:rPr>
          <w:snapToGrid w:val="0"/>
          <w:kern w:val="22"/>
          <w:szCs w:val="22"/>
        </w:rPr>
        <w:t xml:space="preserve"> </w:t>
      </w:r>
      <w:r>
        <w:rPr>
          <w:snapToGrid w:val="0"/>
          <w:kern w:val="22"/>
          <w:szCs w:val="22"/>
        </w:rPr>
        <w:t>G</w:t>
      </w:r>
      <w:r w:rsidRPr="00061112">
        <w:rPr>
          <w:snapToGrid w:val="0"/>
          <w:kern w:val="22"/>
          <w:szCs w:val="22"/>
        </w:rPr>
        <w:t xml:space="preserve">lobal </w:t>
      </w:r>
      <w:r>
        <w:rPr>
          <w:snapToGrid w:val="0"/>
          <w:kern w:val="22"/>
          <w:szCs w:val="22"/>
        </w:rPr>
        <w:t>B</w:t>
      </w:r>
      <w:r w:rsidRPr="00061112">
        <w:rPr>
          <w:snapToGrid w:val="0"/>
          <w:kern w:val="22"/>
          <w:szCs w:val="22"/>
        </w:rPr>
        <w:t xml:space="preserve">iodiversity </w:t>
      </w:r>
      <w:r>
        <w:rPr>
          <w:snapToGrid w:val="0"/>
          <w:kern w:val="22"/>
          <w:szCs w:val="22"/>
        </w:rPr>
        <w:t>F</w:t>
      </w:r>
      <w:r w:rsidRPr="00061112">
        <w:rPr>
          <w:snapToGrid w:val="0"/>
          <w:kern w:val="22"/>
          <w:szCs w:val="22"/>
        </w:rPr>
        <w:t>ramework</w:t>
      </w:r>
      <w:r>
        <w:rPr>
          <w:snapToGrid w:val="0"/>
          <w:kern w:val="22"/>
          <w:szCs w:val="22"/>
        </w:rPr>
        <w:t xml:space="preserve"> </w:t>
      </w:r>
      <w:r w:rsidRPr="00061112">
        <w:rPr>
          <w:snapToGrid w:val="0"/>
          <w:kern w:val="22"/>
          <w:szCs w:val="22"/>
        </w:rPr>
        <w:t>with respect to marine and coastal biodiversity and to contribute to monitoring and reportin</w:t>
      </w:r>
      <w:r>
        <w:rPr>
          <w:snapToGrid w:val="0"/>
          <w:kern w:val="22"/>
          <w:szCs w:val="22"/>
        </w:rPr>
        <w:t>g on</w:t>
      </w:r>
      <w:r w:rsidRPr="00061112">
        <w:rPr>
          <w:snapToGrid w:val="0"/>
          <w:kern w:val="22"/>
          <w:szCs w:val="22"/>
        </w:rPr>
        <w:t xml:space="preserve"> the implementation of the </w:t>
      </w:r>
      <w:r>
        <w:rPr>
          <w:snapToGrid w:val="0"/>
          <w:kern w:val="22"/>
          <w:szCs w:val="22"/>
        </w:rPr>
        <w:t>F</w:t>
      </w:r>
      <w:r w:rsidRPr="00061112">
        <w:rPr>
          <w:snapToGrid w:val="0"/>
          <w:kern w:val="22"/>
          <w:szCs w:val="22"/>
        </w:rPr>
        <w:t>ramework</w:t>
      </w:r>
      <w:r>
        <w:rPr>
          <w:snapToGrid w:val="0"/>
          <w:kern w:val="22"/>
          <w:szCs w:val="22"/>
        </w:rPr>
        <w:t>, as appropriate</w:t>
      </w:r>
      <w:r w:rsidRPr="00061112">
        <w:rPr>
          <w:snapToGrid w:val="0"/>
          <w:kern w:val="22"/>
          <w:szCs w:val="22"/>
        </w:rPr>
        <w:t>;</w:t>
      </w:r>
    </w:p>
    <w:p w14:paraId="1039B35F" w14:textId="77777777" w:rsidR="000062FB" w:rsidRPr="0002608C" w:rsidRDefault="000062FB" w:rsidP="006E578F">
      <w:pPr>
        <w:suppressLineNumbers/>
        <w:suppressAutoHyphens/>
        <w:kinsoku w:val="0"/>
        <w:overflowPunct w:val="0"/>
        <w:autoSpaceDE w:val="0"/>
        <w:autoSpaceDN w:val="0"/>
        <w:spacing w:before="120" w:after="120"/>
        <w:ind w:firstLine="720"/>
        <w:rPr>
          <w:snapToGrid w:val="0"/>
          <w:kern w:val="22"/>
          <w:szCs w:val="22"/>
        </w:rPr>
      </w:pPr>
      <w:r w:rsidRPr="00554D43">
        <w:rPr>
          <w:snapToGrid w:val="0"/>
          <w:kern w:val="22"/>
          <w:szCs w:val="22"/>
        </w:rPr>
        <w:t>10.</w:t>
      </w:r>
      <w:r w:rsidRPr="00554D43">
        <w:rPr>
          <w:snapToGrid w:val="0"/>
          <w:kern w:val="22"/>
          <w:szCs w:val="22"/>
        </w:rPr>
        <w:tab/>
      </w:r>
      <w:r w:rsidRPr="00554D43">
        <w:rPr>
          <w:i/>
          <w:iCs/>
          <w:snapToGrid w:val="0"/>
          <w:kern w:val="22"/>
          <w:szCs w:val="22"/>
        </w:rPr>
        <w:t>Notes</w:t>
      </w:r>
      <w:r w:rsidRPr="00554D43">
        <w:rPr>
          <w:snapToGrid w:val="0"/>
          <w:kern w:val="22"/>
          <w:szCs w:val="22"/>
        </w:rPr>
        <w:t xml:space="preserve"> the role of the Food and Agriculture Organization of the United Nations</w:t>
      </w:r>
      <w:r w:rsidRPr="00554D43" w:rsidDel="00521C27">
        <w:rPr>
          <w:snapToGrid w:val="0"/>
          <w:kern w:val="22"/>
          <w:szCs w:val="22"/>
        </w:rPr>
        <w:t xml:space="preserve"> </w:t>
      </w:r>
      <w:r w:rsidRPr="00554D43">
        <w:rPr>
          <w:snapToGrid w:val="0"/>
          <w:kern w:val="22"/>
          <w:szCs w:val="22"/>
        </w:rPr>
        <w:t xml:space="preserve">as the global implementing body related to fisheries, and, acknowledging the work done to mainstream biodiversity into the fisheries sector globally, in particular the work done to facilitate the implementation of Aichi Biodiversity Target 6 on sustainable fisheries, </w:t>
      </w:r>
      <w:r w:rsidRPr="006D53FB">
        <w:rPr>
          <w:snapToGrid w:val="0"/>
          <w:kern w:val="22"/>
          <w:szCs w:val="22"/>
        </w:rPr>
        <w:t>invites</w:t>
      </w:r>
      <w:r w:rsidRPr="00554D43">
        <w:rPr>
          <w:snapToGrid w:val="0"/>
          <w:kern w:val="22"/>
          <w:szCs w:val="22"/>
        </w:rPr>
        <w:t xml:space="preserve"> the Food and Agriculture Organization of the United Nations</w:t>
      </w:r>
      <w:r w:rsidRPr="00554D43" w:rsidDel="00521C27">
        <w:rPr>
          <w:snapToGrid w:val="0"/>
          <w:kern w:val="22"/>
          <w:szCs w:val="22"/>
        </w:rPr>
        <w:t xml:space="preserve"> </w:t>
      </w:r>
      <w:r w:rsidRPr="00554D43">
        <w:rPr>
          <w:snapToGrid w:val="0"/>
          <w:kern w:val="22"/>
          <w:szCs w:val="22"/>
        </w:rPr>
        <w:t>to consider developing guiding material</w:t>
      </w:r>
      <w:r>
        <w:rPr>
          <w:snapToGrid w:val="0"/>
          <w:kern w:val="22"/>
          <w:szCs w:val="22"/>
        </w:rPr>
        <w:t>,</w:t>
      </w:r>
      <w:r w:rsidRPr="00554D43">
        <w:rPr>
          <w:snapToGrid w:val="0"/>
          <w:kern w:val="22"/>
          <w:szCs w:val="22"/>
        </w:rPr>
        <w:t xml:space="preserve"> conducting regular capacity</w:t>
      </w:r>
      <w:r>
        <w:rPr>
          <w:snapToGrid w:val="0"/>
          <w:kern w:val="22"/>
          <w:szCs w:val="22"/>
        </w:rPr>
        <w:t>-</w:t>
      </w:r>
      <w:r w:rsidRPr="00554D43">
        <w:rPr>
          <w:snapToGrid w:val="0"/>
          <w:kern w:val="22"/>
          <w:szCs w:val="22"/>
        </w:rPr>
        <w:t xml:space="preserve">building programmes, providing technical support and facilitating technology transfer to advocate and facilitate the implementation of the </w:t>
      </w:r>
      <w:r>
        <w:rPr>
          <w:snapToGrid w:val="0"/>
          <w:kern w:val="22"/>
          <w:szCs w:val="22"/>
        </w:rPr>
        <w:t>Kunming-Montreal</w:t>
      </w:r>
      <w:r w:rsidRPr="00554D43">
        <w:rPr>
          <w:snapToGrid w:val="0"/>
          <w:kern w:val="22"/>
          <w:szCs w:val="22"/>
        </w:rPr>
        <w:t xml:space="preserve"> </w:t>
      </w:r>
      <w:r>
        <w:rPr>
          <w:snapToGrid w:val="0"/>
          <w:kern w:val="22"/>
          <w:szCs w:val="22"/>
        </w:rPr>
        <w:t>G</w:t>
      </w:r>
      <w:r w:rsidRPr="00554D43">
        <w:rPr>
          <w:snapToGrid w:val="0"/>
          <w:kern w:val="22"/>
          <w:szCs w:val="22"/>
        </w:rPr>
        <w:t xml:space="preserve">lobal </w:t>
      </w:r>
      <w:r>
        <w:rPr>
          <w:snapToGrid w:val="0"/>
          <w:kern w:val="22"/>
          <w:szCs w:val="22"/>
        </w:rPr>
        <w:t>B</w:t>
      </w:r>
      <w:r w:rsidRPr="00554D43">
        <w:rPr>
          <w:snapToGrid w:val="0"/>
          <w:kern w:val="22"/>
          <w:szCs w:val="22"/>
        </w:rPr>
        <w:t xml:space="preserve">iodiversity </w:t>
      </w:r>
      <w:r>
        <w:rPr>
          <w:snapToGrid w:val="0"/>
          <w:kern w:val="22"/>
          <w:szCs w:val="22"/>
        </w:rPr>
        <w:t>F</w:t>
      </w:r>
      <w:r w:rsidRPr="00554D43">
        <w:rPr>
          <w:snapToGrid w:val="0"/>
          <w:kern w:val="22"/>
          <w:szCs w:val="22"/>
        </w:rPr>
        <w:t>ramework with respect to fisheries among its member countries;</w:t>
      </w:r>
      <w:r w:rsidRPr="006E578F">
        <w:rPr>
          <w:snapToGrid w:val="0"/>
          <w:kern w:val="22"/>
          <w:szCs w:val="22"/>
        </w:rPr>
        <w:t xml:space="preserve"> </w:t>
      </w:r>
    </w:p>
    <w:p w14:paraId="10A30EAB" w14:textId="77777777" w:rsidR="000062FB" w:rsidRDefault="000062FB" w:rsidP="00290F00">
      <w:pPr>
        <w:suppressLineNumbers/>
        <w:suppressAutoHyphens/>
        <w:kinsoku w:val="0"/>
        <w:overflowPunct w:val="0"/>
        <w:autoSpaceDE w:val="0"/>
        <w:autoSpaceDN w:val="0"/>
        <w:spacing w:before="120" w:after="120"/>
        <w:ind w:firstLine="720"/>
        <w:rPr>
          <w:snapToGrid w:val="0"/>
          <w:kern w:val="22"/>
          <w:szCs w:val="22"/>
          <w:highlight w:val="yellow"/>
        </w:rPr>
      </w:pPr>
      <w:r w:rsidRPr="00554D43">
        <w:rPr>
          <w:snapToGrid w:val="0"/>
          <w:kern w:val="22"/>
          <w:szCs w:val="22"/>
        </w:rPr>
        <w:t>11.</w:t>
      </w:r>
      <w:r w:rsidRPr="00554D43">
        <w:rPr>
          <w:snapToGrid w:val="0"/>
          <w:kern w:val="22"/>
          <w:szCs w:val="22"/>
        </w:rPr>
        <w:tab/>
      </w:r>
      <w:r w:rsidRPr="00554D43">
        <w:rPr>
          <w:i/>
          <w:iCs/>
          <w:snapToGrid w:val="0"/>
          <w:kern w:val="22"/>
          <w:szCs w:val="22"/>
        </w:rPr>
        <w:t>Encourages</w:t>
      </w:r>
      <w:r w:rsidRPr="00554D43">
        <w:rPr>
          <w:snapToGrid w:val="0"/>
          <w:kern w:val="22"/>
          <w:szCs w:val="22"/>
        </w:rPr>
        <w:t xml:space="preserve"> Parties and </w:t>
      </w:r>
      <w:r w:rsidRPr="006D53FB">
        <w:rPr>
          <w:snapToGrid w:val="0"/>
          <w:kern w:val="22"/>
          <w:szCs w:val="22"/>
        </w:rPr>
        <w:t>invites</w:t>
      </w:r>
      <w:r w:rsidRPr="00554D43">
        <w:rPr>
          <w:snapToGrid w:val="0"/>
          <w:kern w:val="22"/>
          <w:szCs w:val="22"/>
        </w:rPr>
        <w:t xml:space="preserve"> other Governments participating in the Intergovernmental Conference on an international legally binding instrument under the United Nations Convention on the Law of the Sea on the conservation and sustainable use of marine biological diversity of areas beyond national jurisdiction, to take into consideration the </w:t>
      </w:r>
      <w:r>
        <w:rPr>
          <w:snapToGrid w:val="0"/>
          <w:kern w:val="22"/>
          <w:szCs w:val="22"/>
        </w:rPr>
        <w:t>Kunming-Montreal</w:t>
      </w:r>
      <w:r w:rsidRPr="00554D43">
        <w:rPr>
          <w:snapToGrid w:val="0"/>
          <w:kern w:val="22"/>
          <w:szCs w:val="22"/>
        </w:rPr>
        <w:t xml:space="preserve"> </w:t>
      </w:r>
      <w:r>
        <w:rPr>
          <w:snapToGrid w:val="0"/>
          <w:kern w:val="22"/>
          <w:szCs w:val="22"/>
        </w:rPr>
        <w:t>G</w:t>
      </w:r>
      <w:r w:rsidRPr="00554D43">
        <w:rPr>
          <w:snapToGrid w:val="0"/>
          <w:kern w:val="22"/>
          <w:szCs w:val="22"/>
        </w:rPr>
        <w:t xml:space="preserve">lobal </w:t>
      </w:r>
      <w:r>
        <w:rPr>
          <w:snapToGrid w:val="0"/>
          <w:kern w:val="22"/>
          <w:szCs w:val="22"/>
        </w:rPr>
        <w:t>B</w:t>
      </w:r>
      <w:r w:rsidRPr="00554D43">
        <w:rPr>
          <w:snapToGrid w:val="0"/>
          <w:kern w:val="22"/>
          <w:szCs w:val="22"/>
        </w:rPr>
        <w:t xml:space="preserve">iodiversity </w:t>
      </w:r>
      <w:r>
        <w:rPr>
          <w:snapToGrid w:val="0"/>
          <w:kern w:val="22"/>
          <w:szCs w:val="22"/>
        </w:rPr>
        <w:t>F</w:t>
      </w:r>
      <w:r w:rsidRPr="00554D43">
        <w:rPr>
          <w:snapToGrid w:val="0"/>
          <w:kern w:val="22"/>
          <w:szCs w:val="22"/>
        </w:rPr>
        <w:t>ramework</w:t>
      </w:r>
      <w:r w:rsidRPr="009E3297">
        <w:rPr>
          <w:snapToGrid w:val="0"/>
          <w:kern w:val="22"/>
          <w:szCs w:val="22"/>
        </w:rPr>
        <w:t xml:space="preserve"> in its negotiations, as appropriate</w:t>
      </w:r>
      <w:r>
        <w:rPr>
          <w:snapToGrid w:val="0"/>
          <w:kern w:val="22"/>
          <w:szCs w:val="22"/>
        </w:rPr>
        <w:t>;</w:t>
      </w:r>
    </w:p>
    <w:p w14:paraId="5A7670B7" w14:textId="77777777" w:rsidR="000062FB" w:rsidRDefault="000062FB"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12</w:t>
      </w:r>
      <w:r w:rsidRPr="0043317A">
        <w:rPr>
          <w:snapToGrid w:val="0"/>
          <w:kern w:val="22"/>
          <w:szCs w:val="22"/>
        </w:rPr>
        <w:t>.</w:t>
      </w:r>
      <w:r w:rsidRPr="0043317A">
        <w:rPr>
          <w:snapToGrid w:val="0"/>
          <w:kern w:val="22"/>
          <w:szCs w:val="22"/>
        </w:rPr>
        <w:tab/>
      </w:r>
      <w:r w:rsidRPr="0043317A">
        <w:rPr>
          <w:i/>
          <w:snapToGrid w:val="0"/>
          <w:kern w:val="22"/>
          <w:szCs w:val="22"/>
        </w:rPr>
        <w:t>R</w:t>
      </w:r>
      <w:r w:rsidRPr="0043317A">
        <w:rPr>
          <w:i/>
          <w:iCs/>
          <w:snapToGrid w:val="0"/>
          <w:kern w:val="22"/>
          <w:szCs w:val="22"/>
        </w:rPr>
        <w:t>equests</w:t>
      </w:r>
      <w:r w:rsidRPr="0043317A">
        <w:rPr>
          <w:snapToGrid w:val="0"/>
          <w:kern w:val="22"/>
          <w:szCs w:val="22"/>
        </w:rPr>
        <w:t xml:space="preserve"> the Executive Secretary</w:t>
      </w:r>
      <w:r>
        <w:rPr>
          <w:snapToGrid w:val="0"/>
          <w:kern w:val="22"/>
          <w:szCs w:val="22"/>
        </w:rPr>
        <w:t xml:space="preserve">, upon the adoption of </w:t>
      </w:r>
      <w:r w:rsidRPr="0043317A">
        <w:rPr>
          <w:snapToGrid w:val="0"/>
          <w:kern w:val="22"/>
          <w:szCs w:val="22"/>
        </w:rPr>
        <w:t>an international legally binding instrument under the United Nations Convention on the Law of the Sea</w:t>
      </w:r>
      <w:r w:rsidRPr="00610646">
        <w:rPr>
          <w:rStyle w:val="FootnoteReference"/>
          <w:rFonts w:eastAsiaTheme="majorEastAsia"/>
        </w:rPr>
        <w:footnoteReference w:id="326"/>
      </w:r>
      <w:r w:rsidRPr="0043317A">
        <w:rPr>
          <w:snapToGrid w:val="0"/>
          <w:kern w:val="22"/>
          <w:szCs w:val="22"/>
        </w:rPr>
        <w:t xml:space="preserve"> on the conservation and sustainable use of marine biodiversity </w:t>
      </w:r>
      <w:r>
        <w:rPr>
          <w:snapToGrid w:val="0"/>
          <w:kern w:val="22"/>
          <w:szCs w:val="22"/>
        </w:rPr>
        <w:t>of</w:t>
      </w:r>
      <w:r w:rsidRPr="0043317A">
        <w:rPr>
          <w:snapToGrid w:val="0"/>
          <w:kern w:val="22"/>
          <w:szCs w:val="22"/>
        </w:rPr>
        <w:t xml:space="preserve"> areas beyond national jurisdiction</w:t>
      </w:r>
      <w:r>
        <w:rPr>
          <w:snapToGrid w:val="0"/>
          <w:kern w:val="22"/>
          <w:szCs w:val="22"/>
        </w:rPr>
        <w:t>,</w:t>
      </w:r>
      <w:r w:rsidRPr="0043317A">
        <w:rPr>
          <w:snapToGrid w:val="0"/>
          <w:kern w:val="22"/>
          <w:szCs w:val="22"/>
        </w:rPr>
        <w:t xml:space="preserve"> to identify potential options for modalities for collaboration and cooperation with relevant global and regional organizations in the context of</w:t>
      </w:r>
      <w:r>
        <w:rPr>
          <w:snapToGrid w:val="0"/>
          <w:kern w:val="22"/>
          <w:szCs w:val="22"/>
        </w:rPr>
        <w:t xml:space="preserve"> this instrument</w:t>
      </w:r>
      <w:r w:rsidRPr="0043317A">
        <w:rPr>
          <w:snapToGrid w:val="0"/>
          <w:kern w:val="22"/>
          <w:szCs w:val="22"/>
        </w:rPr>
        <w:t>;</w:t>
      </w:r>
      <w:r>
        <w:rPr>
          <w:snapToGrid w:val="0"/>
          <w:kern w:val="22"/>
          <w:szCs w:val="22"/>
        </w:rPr>
        <w:t xml:space="preserve"> </w:t>
      </w:r>
    </w:p>
    <w:p w14:paraId="0CCEF7F9" w14:textId="77777777" w:rsidR="000062FB" w:rsidRDefault="000062FB" w:rsidP="00E35506">
      <w:pPr>
        <w:suppressLineNumbers/>
        <w:suppressAutoHyphens/>
        <w:kinsoku w:val="0"/>
        <w:overflowPunct w:val="0"/>
        <w:autoSpaceDE w:val="0"/>
        <w:autoSpaceDN w:val="0"/>
        <w:spacing w:before="120" w:after="120"/>
        <w:rPr>
          <w:snapToGrid w:val="0"/>
          <w:kern w:val="22"/>
          <w:szCs w:val="22"/>
        </w:rPr>
      </w:pPr>
      <w:r>
        <w:rPr>
          <w:snapToGrid w:val="0"/>
          <w:kern w:val="22"/>
          <w:szCs w:val="22"/>
        </w:rPr>
        <w:tab/>
      </w:r>
      <w:r w:rsidRPr="00844039">
        <w:rPr>
          <w:snapToGrid w:val="0"/>
          <w:kern w:val="22"/>
          <w:szCs w:val="22"/>
        </w:rPr>
        <w:t>1</w:t>
      </w:r>
      <w:r>
        <w:rPr>
          <w:snapToGrid w:val="0"/>
          <w:kern w:val="22"/>
          <w:szCs w:val="22"/>
        </w:rPr>
        <w:t>3</w:t>
      </w:r>
      <w:r w:rsidRPr="00844039">
        <w:rPr>
          <w:snapToGrid w:val="0"/>
          <w:kern w:val="22"/>
          <w:szCs w:val="22"/>
        </w:rPr>
        <w:t>.</w:t>
      </w:r>
      <w:r w:rsidRPr="00844039">
        <w:rPr>
          <w:snapToGrid w:val="0"/>
          <w:kern w:val="22"/>
          <w:szCs w:val="22"/>
        </w:rPr>
        <w:tab/>
      </w:r>
      <w:r w:rsidRPr="00844039">
        <w:rPr>
          <w:i/>
          <w:iCs/>
          <w:snapToGrid w:val="0"/>
          <w:kern w:val="22"/>
          <w:szCs w:val="22"/>
        </w:rPr>
        <w:t>Welcomes</w:t>
      </w:r>
      <w:r w:rsidRPr="00844039">
        <w:rPr>
          <w:snapToGrid w:val="0"/>
          <w:kern w:val="22"/>
          <w:szCs w:val="22"/>
        </w:rPr>
        <w:t xml:space="preserve"> the establishment, by the United Nations Environment Assembly, of an </w:t>
      </w:r>
      <w:r>
        <w:rPr>
          <w:snapToGrid w:val="0"/>
          <w:kern w:val="22"/>
          <w:szCs w:val="22"/>
        </w:rPr>
        <w:t>i</w:t>
      </w:r>
      <w:r w:rsidRPr="00844039">
        <w:rPr>
          <w:snapToGrid w:val="0"/>
          <w:kern w:val="22"/>
          <w:szCs w:val="22"/>
        </w:rPr>
        <w:t xml:space="preserve">ntergovernmental </w:t>
      </w:r>
      <w:r>
        <w:rPr>
          <w:snapToGrid w:val="0"/>
          <w:kern w:val="22"/>
          <w:szCs w:val="22"/>
        </w:rPr>
        <w:t>n</w:t>
      </w:r>
      <w:r w:rsidRPr="00844039">
        <w:rPr>
          <w:snapToGrid w:val="0"/>
          <w:kern w:val="22"/>
          <w:szCs w:val="22"/>
        </w:rPr>
        <w:t xml:space="preserve">egotiating </w:t>
      </w:r>
      <w:r>
        <w:rPr>
          <w:snapToGrid w:val="0"/>
          <w:kern w:val="22"/>
          <w:szCs w:val="22"/>
        </w:rPr>
        <w:t>c</w:t>
      </w:r>
      <w:r w:rsidRPr="00844039">
        <w:rPr>
          <w:snapToGrid w:val="0"/>
          <w:kern w:val="22"/>
          <w:szCs w:val="22"/>
        </w:rPr>
        <w:t xml:space="preserve">ommittee to develop an international legally binding instrument on plastic pollution, </w:t>
      </w:r>
      <w:r w:rsidRPr="00DA5979">
        <w:rPr>
          <w:snapToGrid w:val="0"/>
          <w:kern w:val="22"/>
          <w:szCs w:val="22"/>
        </w:rPr>
        <w:t xml:space="preserve">including in the marine environment, and </w:t>
      </w:r>
      <w:r w:rsidRPr="006D53FB">
        <w:rPr>
          <w:snapToGrid w:val="0"/>
          <w:kern w:val="22"/>
          <w:szCs w:val="22"/>
        </w:rPr>
        <w:t>urges</w:t>
      </w:r>
      <w:r w:rsidRPr="00DA5979">
        <w:rPr>
          <w:snapToGrid w:val="0"/>
          <w:kern w:val="22"/>
          <w:szCs w:val="22"/>
        </w:rPr>
        <w:t xml:space="preserve"> Parties and </w:t>
      </w:r>
      <w:r w:rsidRPr="006D53FB">
        <w:rPr>
          <w:snapToGrid w:val="0"/>
          <w:kern w:val="22"/>
          <w:szCs w:val="22"/>
        </w:rPr>
        <w:t>invites</w:t>
      </w:r>
      <w:r w:rsidRPr="00DA5979">
        <w:rPr>
          <w:snapToGrid w:val="0"/>
          <w:kern w:val="22"/>
          <w:szCs w:val="22"/>
        </w:rPr>
        <w:t xml:space="preserve"> other Governments to support work under this process </w:t>
      </w:r>
      <w:r w:rsidRPr="00554D43">
        <w:rPr>
          <w:snapToGrid w:val="0"/>
          <w:kern w:val="22"/>
          <w:szCs w:val="22"/>
        </w:rPr>
        <w:t>to develop an ambitious, international legally binding instrument on plastic pollution that addresses the full life</w:t>
      </w:r>
      <w:r>
        <w:rPr>
          <w:snapToGrid w:val="0"/>
          <w:kern w:val="22"/>
          <w:szCs w:val="22"/>
        </w:rPr>
        <w:t xml:space="preserve"> </w:t>
      </w:r>
      <w:r w:rsidRPr="00554D43">
        <w:rPr>
          <w:snapToGrid w:val="0"/>
          <w:kern w:val="22"/>
          <w:szCs w:val="22"/>
        </w:rPr>
        <w:t>cycle of plastics;</w:t>
      </w:r>
    </w:p>
    <w:p w14:paraId="7B0BB69D" w14:textId="77777777" w:rsidR="000062FB" w:rsidRDefault="000062FB" w:rsidP="00554D43">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14.</w:t>
      </w:r>
      <w:r w:rsidRPr="003401BA">
        <w:t xml:space="preserve"> </w:t>
      </w:r>
      <w:r>
        <w:tab/>
      </w:r>
      <w:r w:rsidRPr="00B421C9">
        <w:rPr>
          <w:i/>
          <w:iCs/>
          <w:snapToGrid w:val="0"/>
          <w:kern w:val="22"/>
          <w:szCs w:val="22"/>
        </w:rPr>
        <w:t>Encourages</w:t>
      </w:r>
      <w:r w:rsidRPr="003401BA">
        <w:rPr>
          <w:snapToGrid w:val="0"/>
          <w:kern w:val="22"/>
          <w:szCs w:val="22"/>
        </w:rPr>
        <w:t xml:space="preserve"> Parties and </w:t>
      </w:r>
      <w:r w:rsidRPr="006D53FB">
        <w:rPr>
          <w:snapToGrid w:val="0"/>
          <w:kern w:val="22"/>
          <w:szCs w:val="22"/>
        </w:rPr>
        <w:t>invites</w:t>
      </w:r>
      <w:r>
        <w:rPr>
          <w:snapToGrid w:val="0"/>
          <w:kern w:val="22"/>
          <w:szCs w:val="22"/>
        </w:rPr>
        <w:t xml:space="preserve"> </w:t>
      </w:r>
      <w:r w:rsidRPr="003401BA">
        <w:rPr>
          <w:snapToGrid w:val="0"/>
          <w:kern w:val="22"/>
          <w:szCs w:val="22"/>
        </w:rPr>
        <w:t xml:space="preserve">other Governments as well as indigenous </w:t>
      </w:r>
      <w:r>
        <w:rPr>
          <w:snapToGrid w:val="0"/>
          <w:kern w:val="22"/>
          <w:szCs w:val="22"/>
        </w:rPr>
        <w:t xml:space="preserve">peoples </w:t>
      </w:r>
      <w:r w:rsidRPr="003401BA">
        <w:rPr>
          <w:snapToGrid w:val="0"/>
          <w:kern w:val="22"/>
          <w:szCs w:val="22"/>
        </w:rPr>
        <w:t xml:space="preserve">and local communities and other relevant stakeholders, to take </w:t>
      </w:r>
      <w:r w:rsidRPr="005955AC">
        <w:rPr>
          <w:snapToGrid w:val="0"/>
          <w:kern w:val="22"/>
          <w:szCs w:val="22"/>
        </w:rPr>
        <w:t>measures, as appropriate and</w:t>
      </w:r>
      <w:r w:rsidRPr="003401BA">
        <w:rPr>
          <w:snapToGrid w:val="0"/>
          <w:kern w:val="22"/>
          <w:szCs w:val="22"/>
        </w:rPr>
        <w:t xml:space="preserve"> within their competencies, and in accordance with national and international laws, to avoid, minimize and mitigate the potential significant adverse impacts of anthropogenic underwater noise on marine and coastal biodiversity</w:t>
      </w:r>
      <w:r>
        <w:rPr>
          <w:snapToGrid w:val="0"/>
          <w:kern w:val="22"/>
          <w:szCs w:val="22"/>
        </w:rPr>
        <w:t xml:space="preserve">; </w:t>
      </w:r>
    </w:p>
    <w:p w14:paraId="0B6996DB" w14:textId="77777777" w:rsidR="000062FB" w:rsidRPr="003E6B26" w:rsidRDefault="000062FB"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15</w:t>
      </w:r>
      <w:r w:rsidRPr="00061112">
        <w:rPr>
          <w:snapToGrid w:val="0"/>
          <w:kern w:val="22"/>
          <w:szCs w:val="22"/>
        </w:rPr>
        <w:t>.</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w:t>
      </w:r>
      <w:r w:rsidRPr="00D75954">
        <w:rPr>
          <w:snapToGrid w:val="0"/>
          <w:kern w:val="22"/>
          <w:szCs w:val="22"/>
        </w:rPr>
        <w:t xml:space="preserve">, </w:t>
      </w:r>
      <w:r w:rsidRPr="00D75954">
        <w:rPr>
          <w:rStyle w:val="normaltextrun"/>
          <w:rFonts w:eastAsiaTheme="majorEastAsia"/>
          <w:szCs w:val="22"/>
        </w:rPr>
        <w:t>subject to the availability of resources,</w:t>
      </w:r>
      <w:r w:rsidRPr="00E05AA5">
        <w:rPr>
          <w:rStyle w:val="normaltextrun"/>
          <w:rFonts w:eastAsiaTheme="majorEastAsia"/>
          <w:szCs w:val="22"/>
        </w:rPr>
        <w:t xml:space="preserve"> </w:t>
      </w:r>
      <w:r w:rsidRPr="00061112">
        <w:rPr>
          <w:snapToGrid w:val="0"/>
          <w:kern w:val="22"/>
          <w:szCs w:val="22"/>
        </w:rPr>
        <w:t>to support the implementation of marine spatial planning</w:t>
      </w:r>
      <w:r>
        <w:rPr>
          <w:snapToGrid w:val="0"/>
          <w:kern w:val="22"/>
          <w:szCs w:val="22"/>
        </w:rPr>
        <w:t xml:space="preserve"> </w:t>
      </w:r>
      <w:r>
        <w:rPr>
          <w:szCs w:val="22"/>
        </w:rPr>
        <w:t>and</w:t>
      </w:r>
      <w:r w:rsidRPr="00E05AA5">
        <w:rPr>
          <w:szCs w:val="22"/>
        </w:rPr>
        <w:t xml:space="preserve"> integrated coastal zone </w:t>
      </w:r>
      <w:r>
        <w:rPr>
          <w:szCs w:val="22"/>
        </w:rPr>
        <w:t>management</w:t>
      </w:r>
      <w:r w:rsidRPr="00061112">
        <w:rPr>
          <w:snapToGrid w:val="0"/>
          <w:kern w:val="22"/>
          <w:szCs w:val="22"/>
        </w:rPr>
        <w:t>, including through capacity</w:t>
      </w:r>
      <w:r>
        <w:rPr>
          <w:snapToGrid w:val="0"/>
          <w:kern w:val="22"/>
          <w:szCs w:val="22"/>
        </w:rPr>
        <w:t>-</w:t>
      </w:r>
      <w:r w:rsidRPr="00527909">
        <w:rPr>
          <w:snapToGrid w:val="0"/>
          <w:kern w:val="22"/>
          <w:szCs w:val="22"/>
        </w:rPr>
        <w:t xml:space="preserve">building, technical assistance, technology transfer and partnership activities under, </w:t>
      </w:r>
      <w:r w:rsidRPr="00E37E16">
        <w:rPr>
          <w:snapToGrid w:val="0"/>
          <w:kern w:val="22"/>
          <w:szCs w:val="22"/>
        </w:rPr>
        <w:t>inter alia</w:t>
      </w:r>
      <w:r w:rsidRPr="00700326">
        <w:rPr>
          <w:snapToGrid w:val="0"/>
          <w:kern w:val="22"/>
          <w:szCs w:val="22"/>
        </w:rPr>
        <w:t>,</w:t>
      </w:r>
      <w:r w:rsidRPr="00527909">
        <w:rPr>
          <w:snapToGrid w:val="0"/>
          <w:kern w:val="22"/>
          <w:szCs w:val="22"/>
        </w:rPr>
        <w:t xml:space="preserve"> the Sustainable Ocean Initiative and other relevant initiatives, in collaboration with Parties, </w:t>
      </w:r>
      <w:r>
        <w:rPr>
          <w:snapToGrid w:val="0"/>
          <w:kern w:val="22"/>
          <w:szCs w:val="22"/>
        </w:rPr>
        <w:t>o</w:t>
      </w:r>
      <w:r w:rsidRPr="00527909">
        <w:rPr>
          <w:snapToGrid w:val="0"/>
          <w:kern w:val="22"/>
          <w:szCs w:val="22"/>
        </w:rPr>
        <w:t xml:space="preserve">ther Governments, </w:t>
      </w:r>
      <w:r w:rsidRPr="00527909">
        <w:rPr>
          <w:rStyle w:val="normaltextrun"/>
          <w:rFonts w:eastAsiaTheme="majorEastAsia"/>
          <w:szCs w:val="22"/>
        </w:rPr>
        <w:t>indigenous peoples</w:t>
      </w:r>
      <w:r w:rsidRPr="008B4FCC">
        <w:rPr>
          <w:rStyle w:val="normaltextrun"/>
          <w:rFonts w:eastAsiaTheme="majorEastAsia"/>
        </w:rPr>
        <w:t xml:space="preserve"> and </w:t>
      </w:r>
      <w:r w:rsidRPr="00527909">
        <w:rPr>
          <w:rStyle w:val="normaltextrun"/>
          <w:rFonts w:eastAsiaTheme="majorEastAsia"/>
          <w:szCs w:val="22"/>
        </w:rPr>
        <w:t>local communities</w:t>
      </w:r>
      <w:r>
        <w:rPr>
          <w:rStyle w:val="normaltextrun"/>
          <w:rFonts w:eastAsiaTheme="majorEastAsia"/>
          <w:szCs w:val="22"/>
        </w:rPr>
        <w:t xml:space="preserve"> as rights holders, in accordance with </w:t>
      </w:r>
      <w:r w:rsidRPr="009051BA">
        <w:rPr>
          <w:snapToGrid w:val="0"/>
          <w:kern w:val="22"/>
          <w:szCs w:val="22"/>
        </w:rPr>
        <w:t>United Nations Declaration on the Rights of Indigenous Peoples</w:t>
      </w:r>
      <w:r>
        <w:rPr>
          <w:snapToGrid w:val="0"/>
          <w:kern w:val="22"/>
          <w:szCs w:val="22"/>
        </w:rPr>
        <w:t xml:space="preserve"> </w:t>
      </w:r>
      <w:r>
        <w:rPr>
          <w:rStyle w:val="normaltextrun"/>
          <w:rFonts w:eastAsiaTheme="majorEastAsia"/>
          <w:szCs w:val="22"/>
        </w:rPr>
        <w:t>and international human rights law</w:t>
      </w:r>
      <w:r>
        <w:rPr>
          <w:snapToGrid w:val="0"/>
          <w:kern w:val="22"/>
          <w:szCs w:val="22"/>
        </w:rPr>
        <w:t xml:space="preserve">, </w:t>
      </w:r>
      <w:r w:rsidRPr="00527909">
        <w:rPr>
          <w:snapToGrid w:val="0"/>
          <w:kern w:val="22"/>
          <w:szCs w:val="22"/>
        </w:rPr>
        <w:t xml:space="preserve">relevant organizations </w:t>
      </w:r>
      <w:r w:rsidRPr="00A06F9F">
        <w:rPr>
          <w:rStyle w:val="normaltextrun"/>
          <w:rFonts w:eastAsiaTheme="majorEastAsia"/>
          <w:szCs w:val="22"/>
        </w:rPr>
        <w:t xml:space="preserve">and </w:t>
      </w:r>
      <w:r>
        <w:rPr>
          <w:rStyle w:val="normaltextrun"/>
          <w:rFonts w:eastAsiaTheme="majorEastAsia"/>
          <w:szCs w:val="22"/>
        </w:rPr>
        <w:t xml:space="preserve">other </w:t>
      </w:r>
      <w:r w:rsidRPr="00A06F9F">
        <w:rPr>
          <w:rStyle w:val="normaltextrun"/>
          <w:rFonts w:eastAsiaTheme="majorEastAsia"/>
          <w:szCs w:val="22"/>
        </w:rPr>
        <w:t>stakeholders, including women and youth</w:t>
      </w:r>
      <w:r w:rsidRPr="00527909">
        <w:rPr>
          <w:snapToGrid w:val="0"/>
          <w:kern w:val="22"/>
          <w:szCs w:val="22"/>
        </w:rPr>
        <w:t>;</w:t>
      </w:r>
      <w:r>
        <w:rPr>
          <w:snapToGrid w:val="0"/>
          <w:kern w:val="22"/>
          <w:szCs w:val="22"/>
        </w:rPr>
        <w:t xml:space="preserve"> </w:t>
      </w:r>
    </w:p>
    <w:p w14:paraId="6CCCFFBC" w14:textId="77777777" w:rsidR="000062FB"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D150B1">
        <w:rPr>
          <w:color w:val="000000"/>
          <w:szCs w:val="22"/>
        </w:rPr>
        <w:t>16.</w:t>
      </w:r>
      <w:r w:rsidRPr="00D150B1">
        <w:rPr>
          <w:rStyle w:val="apple-converted-space"/>
          <w:color w:val="000000"/>
          <w:szCs w:val="22"/>
        </w:rPr>
        <w:tab/>
      </w:r>
      <w:r w:rsidRPr="00D150B1">
        <w:rPr>
          <w:i/>
          <w:iCs/>
          <w:color w:val="000000"/>
          <w:szCs w:val="22"/>
        </w:rPr>
        <w:t>Encourages</w:t>
      </w:r>
      <w:r w:rsidRPr="00D150B1">
        <w:rPr>
          <w:rStyle w:val="apple-converted-space"/>
          <w:color w:val="000000"/>
          <w:szCs w:val="22"/>
        </w:rPr>
        <w:t xml:space="preserve"> </w:t>
      </w:r>
      <w:r w:rsidRPr="00D150B1">
        <w:rPr>
          <w:color w:val="000000"/>
          <w:szCs w:val="22"/>
        </w:rPr>
        <w:t>Parties and</w:t>
      </w:r>
      <w:r w:rsidRPr="00D150B1">
        <w:rPr>
          <w:rStyle w:val="apple-converted-space"/>
          <w:color w:val="000000"/>
          <w:szCs w:val="22"/>
        </w:rPr>
        <w:t xml:space="preserve"> </w:t>
      </w:r>
      <w:r w:rsidRPr="006D53FB">
        <w:rPr>
          <w:color w:val="000000"/>
          <w:szCs w:val="22"/>
        </w:rPr>
        <w:t>invites</w:t>
      </w:r>
      <w:r w:rsidRPr="006D53FB">
        <w:rPr>
          <w:rStyle w:val="apple-converted-space"/>
          <w:color w:val="000000"/>
          <w:szCs w:val="22"/>
        </w:rPr>
        <w:t xml:space="preserve"> </w:t>
      </w:r>
      <w:r w:rsidRPr="00D150B1">
        <w:rPr>
          <w:color w:val="000000"/>
          <w:szCs w:val="22"/>
        </w:rPr>
        <w:t xml:space="preserve">other Governments to ensure that, before deep seabed mineral exploitation activities take place, the impacts on the marine environment and biodiversity are sufficiently researched and the risks understood, the technologies and operational practices do not cause harmful effects to the marine environment and biodiversity, and appropriate rules, regulations and procedures are put in place by the International Seabed Authority, in accordance with the best available science and the traditional knowledge of indigenous peoples and local communities with their free, prior and informed consent, and the precautionary and ecosystem approaches, and </w:t>
      </w:r>
      <w:r w:rsidRPr="006D53FB">
        <w:rPr>
          <w:color w:val="000000"/>
          <w:szCs w:val="22"/>
        </w:rPr>
        <w:t xml:space="preserve">in a manner that is </w:t>
      </w:r>
      <w:r w:rsidRPr="00D150B1">
        <w:rPr>
          <w:color w:val="000000"/>
          <w:szCs w:val="22"/>
        </w:rPr>
        <w:t>consistent with the United Nations Convention on the Law of the Sea and other relevant international law;</w:t>
      </w:r>
      <w:r>
        <w:rPr>
          <w:color w:val="000000"/>
          <w:szCs w:val="22"/>
        </w:rPr>
        <w:t xml:space="preserve"> </w:t>
      </w:r>
    </w:p>
    <w:p w14:paraId="0F7BC7A3" w14:textId="77777777" w:rsidR="000062FB"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Pr>
          <w:snapToGrid w:val="0"/>
          <w:kern w:val="22"/>
          <w:szCs w:val="22"/>
        </w:rPr>
        <w:t>7.</w:t>
      </w:r>
      <w:r w:rsidRPr="00061112">
        <w:rPr>
          <w:snapToGrid w:val="0"/>
          <w:kern w:val="22"/>
          <w:szCs w:val="22"/>
        </w:rPr>
        <w:tab/>
      </w:r>
      <w:r w:rsidRPr="00061112">
        <w:rPr>
          <w:i/>
          <w:iCs/>
          <w:snapToGrid w:val="0"/>
          <w:kern w:val="22"/>
          <w:szCs w:val="22"/>
        </w:rPr>
        <w:t>Welcomes</w:t>
      </w:r>
      <w:r w:rsidRPr="00061112">
        <w:rPr>
          <w:snapToGrid w:val="0"/>
          <w:kern w:val="22"/>
          <w:szCs w:val="22"/>
        </w:rPr>
        <w:t xml:space="preserve"> the cooperation</w:t>
      </w:r>
      <w:r w:rsidRPr="00061112">
        <w:rPr>
          <w:i/>
          <w:iCs/>
          <w:snapToGrid w:val="0"/>
          <w:kern w:val="22"/>
          <w:szCs w:val="22"/>
        </w:rPr>
        <w:t xml:space="preserve"> </w:t>
      </w:r>
      <w:r w:rsidRPr="00061112">
        <w:rPr>
          <w:snapToGrid w:val="0"/>
          <w:kern w:val="22"/>
          <w:szCs w:val="22"/>
        </w:rPr>
        <w:t xml:space="preserve">between the Food and Agriculture Organization of the United Nations, the International Union for Conservation of Nature and the </w:t>
      </w:r>
      <w:r>
        <w:rPr>
          <w:snapToGrid w:val="0"/>
          <w:kern w:val="22"/>
          <w:szCs w:val="22"/>
        </w:rPr>
        <w:t xml:space="preserve">Secretariat of the Convention on </w:t>
      </w:r>
      <w:r>
        <w:rPr>
          <w:snapToGrid w:val="0"/>
          <w:kern w:val="22"/>
          <w:szCs w:val="22"/>
        </w:rPr>
        <w:lastRenderedPageBreak/>
        <w:t>Biological Diversity</w:t>
      </w:r>
      <w:r w:rsidRPr="00061112">
        <w:rPr>
          <w:snapToGrid w:val="0"/>
          <w:kern w:val="22"/>
          <w:szCs w:val="22"/>
        </w:rPr>
        <w:t xml:space="preserve"> to support efforts to mainstream the conservation and sustainable use of biodiversity in fisheries</w:t>
      </w:r>
      <w:r>
        <w:rPr>
          <w:snapToGrid w:val="0"/>
          <w:kern w:val="22"/>
          <w:szCs w:val="22"/>
        </w:rPr>
        <w:t xml:space="preserve"> and aquaculture</w:t>
      </w:r>
      <w:r w:rsidRPr="00061112">
        <w:rPr>
          <w:snapToGrid w:val="0"/>
          <w:kern w:val="22"/>
          <w:szCs w:val="22"/>
        </w:rPr>
        <w:t xml:space="preserve">, and </w:t>
      </w:r>
      <w:r w:rsidRPr="006D53FB">
        <w:rPr>
          <w:iCs/>
          <w:kern w:val="22"/>
        </w:rPr>
        <w:t>requests</w:t>
      </w:r>
      <w:r w:rsidRPr="00061112">
        <w:rPr>
          <w:snapToGrid w:val="0"/>
          <w:kern w:val="22"/>
          <w:szCs w:val="22"/>
        </w:rPr>
        <w:t xml:space="preserve"> the Executive Secretary to continue this cooperation in an open and transparent manner</w:t>
      </w:r>
      <w:r>
        <w:rPr>
          <w:snapToGrid w:val="0"/>
          <w:kern w:val="22"/>
          <w:szCs w:val="22"/>
        </w:rPr>
        <w:t xml:space="preserve">, </w:t>
      </w:r>
      <w:r w:rsidRPr="00061112">
        <w:rPr>
          <w:snapToGrid w:val="0"/>
          <w:kern w:val="22"/>
          <w:szCs w:val="22"/>
        </w:rPr>
        <w:t xml:space="preserve">building on </w:t>
      </w:r>
      <w:r>
        <w:rPr>
          <w:snapToGrid w:val="0"/>
          <w:kern w:val="22"/>
          <w:szCs w:val="22"/>
        </w:rPr>
        <w:t xml:space="preserve">the guidance and advice contained in decision 14/8, the </w:t>
      </w:r>
      <w:r w:rsidRPr="00061112">
        <w:rPr>
          <w:snapToGrid w:val="0"/>
          <w:kern w:val="22"/>
          <w:szCs w:val="22"/>
        </w:rPr>
        <w:t>results of the Expert Meeting on Other Effective Area-Based Conservation Measures in the Marine Capture Fishery Sector</w:t>
      </w:r>
      <w:r w:rsidRPr="00610646">
        <w:rPr>
          <w:rStyle w:val="FootnoteReference"/>
        </w:rPr>
        <w:footnoteReference w:id="327"/>
      </w:r>
      <w:r>
        <w:rPr>
          <w:snapToGrid w:val="0"/>
          <w:kern w:val="22"/>
          <w:szCs w:val="22"/>
        </w:rPr>
        <w:t xml:space="preserve"> and the guidelines of the International Union for Conservation of Nature on “Recognizing and reporting </w:t>
      </w:r>
      <w:r w:rsidRPr="00061112">
        <w:rPr>
          <w:snapToGrid w:val="0"/>
          <w:kern w:val="22"/>
          <w:szCs w:val="22"/>
        </w:rPr>
        <w:t>other effective area</w:t>
      </w:r>
      <w:r>
        <w:rPr>
          <w:snapToGrid w:val="0"/>
          <w:kern w:val="22"/>
          <w:szCs w:val="22"/>
        </w:rPr>
        <w:noBreakHyphen/>
      </w:r>
      <w:r w:rsidRPr="00061112">
        <w:rPr>
          <w:snapToGrid w:val="0"/>
          <w:kern w:val="22"/>
          <w:szCs w:val="22"/>
        </w:rPr>
        <w:t>based conservation measures</w:t>
      </w:r>
      <w:r>
        <w:rPr>
          <w:snapToGrid w:val="0"/>
          <w:kern w:val="22"/>
          <w:szCs w:val="22"/>
        </w:rPr>
        <w:t>”</w:t>
      </w:r>
      <w:r w:rsidRPr="00FE65D2">
        <w:rPr>
          <w:snapToGrid w:val="0"/>
          <w:kern w:val="22"/>
          <w:szCs w:val="22"/>
        </w:rPr>
        <w:t>,</w:t>
      </w:r>
      <w:r w:rsidRPr="00610646">
        <w:rPr>
          <w:rStyle w:val="FootnoteReference"/>
        </w:rPr>
        <w:footnoteReference w:id="328"/>
      </w:r>
      <w:r w:rsidRPr="00061112">
        <w:rPr>
          <w:snapToGrid w:val="0"/>
          <w:kern w:val="22"/>
          <w:szCs w:val="22"/>
        </w:rPr>
        <w:t xml:space="preserve"> including for the development of</w:t>
      </w:r>
      <w:r>
        <w:rPr>
          <w:snapToGrid w:val="0"/>
          <w:kern w:val="22"/>
          <w:szCs w:val="22"/>
        </w:rPr>
        <w:t xml:space="preserve"> </w:t>
      </w:r>
      <w:r w:rsidRPr="00061112">
        <w:rPr>
          <w:snapToGrid w:val="0"/>
          <w:kern w:val="22"/>
          <w:szCs w:val="22"/>
        </w:rPr>
        <w:t>voluntary guidance on identifying and applying other effective area</w:t>
      </w:r>
      <w:r>
        <w:rPr>
          <w:snapToGrid w:val="0"/>
          <w:kern w:val="22"/>
          <w:szCs w:val="22"/>
        </w:rPr>
        <w:noBreakHyphen/>
      </w:r>
      <w:r w:rsidRPr="00061112">
        <w:rPr>
          <w:snapToGrid w:val="0"/>
          <w:kern w:val="22"/>
          <w:szCs w:val="22"/>
        </w:rPr>
        <w:t>based conservation measures in fisheries</w:t>
      </w:r>
      <w:r>
        <w:rPr>
          <w:snapToGrid w:val="0"/>
          <w:kern w:val="22"/>
          <w:szCs w:val="22"/>
        </w:rPr>
        <w:t>, in collaboration with the Food and Agriculture Organization of the United Nations</w:t>
      </w:r>
      <w:r w:rsidRPr="00061112">
        <w:rPr>
          <w:snapToGrid w:val="0"/>
          <w:kern w:val="22"/>
          <w:szCs w:val="22"/>
        </w:rPr>
        <w:t>;</w:t>
      </w:r>
      <w:r>
        <w:rPr>
          <w:snapToGrid w:val="0"/>
          <w:kern w:val="22"/>
          <w:szCs w:val="22"/>
        </w:rPr>
        <w:t xml:space="preserve"> </w:t>
      </w:r>
    </w:p>
    <w:p w14:paraId="1AA660E7" w14:textId="77777777" w:rsidR="000062FB" w:rsidRPr="00A06F9F" w:rsidRDefault="000062FB" w:rsidP="00E35506">
      <w:pPr>
        <w:pStyle w:val="paragraph"/>
        <w:spacing w:before="0" w:beforeAutospacing="0" w:after="0" w:afterAutospacing="0"/>
        <w:ind w:firstLine="720"/>
        <w:jc w:val="both"/>
        <w:textAlignment w:val="baseline"/>
        <w:rPr>
          <w:rFonts w:eastAsiaTheme="majorEastAsia"/>
          <w:szCs w:val="22"/>
        </w:rPr>
      </w:pPr>
      <w:r w:rsidRPr="00A06F9F">
        <w:rPr>
          <w:rStyle w:val="normaltextrun"/>
          <w:rFonts w:eastAsiaTheme="majorEastAsia"/>
          <w:sz w:val="22"/>
          <w:szCs w:val="22"/>
        </w:rPr>
        <w:t>1</w:t>
      </w:r>
      <w:r>
        <w:rPr>
          <w:rStyle w:val="normaltextrun"/>
          <w:rFonts w:eastAsiaTheme="majorEastAsia"/>
          <w:sz w:val="22"/>
          <w:szCs w:val="22"/>
        </w:rPr>
        <w:t>8</w:t>
      </w:r>
      <w:r w:rsidRPr="00A06F9F">
        <w:rPr>
          <w:rStyle w:val="normaltextrun"/>
          <w:rFonts w:eastAsiaTheme="majorEastAsia"/>
          <w:sz w:val="22"/>
          <w:szCs w:val="22"/>
        </w:rPr>
        <w:t xml:space="preserve">. </w:t>
      </w:r>
      <w:r>
        <w:rPr>
          <w:rStyle w:val="normaltextrun"/>
          <w:rFonts w:eastAsiaTheme="majorEastAsia"/>
          <w:sz w:val="22"/>
          <w:szCs w:val="22"/>
        </w:rPr>
        <w:tab/>
      </w:r>
      <w:r>
        <w:rPr>
          <w:rStyle w:val="normaltextrun"/>
          <w:rFonts w:eastAsiaTheme="majorEastAsia"/>
          <w:i/>
          <w:sz w:val="22"/>
          <w:szCs w:val="22"/>
        </w:rPr>
        <w:t>R</w:t>
      </w:r>
      <w:r w:rsidRPr="00A06F9F">
        <w:rPr>
          <w:rStyle w:val="normaltextrun"/>
          <w:rFonts w:eastAsiaTheme="majorEastAsia"/>
          <w:i/>
          <w:sz w:val="22"/>
          <w:szCs w:val="22"/>
        </w:rPr>
        <w:t>equests</w:t>
      </w:r>
      <w:r w:rsidRPr="00A06F9F">
        <w:rPr>
          <w:rStyle w:val="normaltextrun"/>
          <w:rFonts w:eastAsiaTheme="majorEastAsia"/>
          <w:sz w:val="22"/>
          <w:szCs w:val="22"/>
        </w:rPr>
        <w:t xml:space="preserve"> the Executive Secretary</w:t>
      </w:r>
      <w:r>
        <w:rPr>
          <w:rStyle w:val="normaltextrun"/>
          <w:rFonts w:eastAsiaTheme="majorEastAsia"/>
          <w:sz w:val="22"/>
          <w:szCs w:val="22"/>
        </w:rPr>
        <w:t>, in collaboration with relevant organizations,</w:t>
      </w:r>
      <w:r w:rsidRPr="00A06F9F">
        <w:rPr>
          <w:rStyle w:val="normaltextrun"/>
          <w:rFonts w:eastAsiaTheme="majorEastAsia"/>
          <w:sz w:val="22"/>
          <w:szCs w:val="22"/>
        </w:rPr>
        <w:t xml:space="preserve"> to prepare a compilation and synthesis of information on efforts for the</w:t>
      </w:r>
      <w:r>
        <w:rPr>
          <w:rStyle w:val="normaltextrun"/>
          <w:rFonts w:eastAsiaTheme="majorEastAsia"/>
          <w:sz w:val="22"/>
          <w:szCs w:val="22"/>
        </w:rPr>
        <w:t xml:space="preserve"> identification and recognition of </w:t>
      </w:r>
      <w:r w:rsidRPr="00A06F9F">
        <w:rPr>
          <w:rStyle w:val="normaltextrun"/>
          <w:rFonts w:eastAsiaTheme="majorEastAsia"/>
          <w:sz w:val="22"/>
          <w:szCs w:val="22"/>
        </w:rPr>
        <w:t xml:space="preserve">other effective area-based conservation measures </w:t>
      </w:r>
      <w:r>
        <w:rPr>
          <w:rStyle w:val="normaltextrun"/>
          <w:rFonts w:eastAsiaTheme="majorEastAsia"/>
          <w:sz w:val="22"/>
          <w:szCs w:val="22"/>
        </w:rPr>
        <w:t>and for the</w:t>
      </w:r>
      <w:r w:rsidRPr="00A06F9F">
        <w:rPr>
          <w:rStyle w:val="normaltextrun"/>
          <w:rFonts w:eastAsiaTheme="majorEastAsia"/>
          <w:sz w:val="22"/>
          <w:szCs w:val="22"/>
        </w:rPr>
        <w:t xml:space="preserve"> </w:t>
      </w:r>
      <w:r>
        <w:rPr>
          <w:rStyle w:val="normaltextrun"/>
          <w:rFonts w:eastAsiaTheme="majorEastAsia"/>
          <w:sz w:val="22"/>
          <w:szCs w:val="22"/>
        </w:rPr>
        <w:t>establishment</w:t>
      </w:r>
      <w:r w:rsidRPr="00A06F9F">
        <w:rPr>
          <w:rStyle w:val="normaltextrun"/>
          <w:rFonts w:eastAsiaTheme="majorEastAsia"/>
          <w:sz w:val="22"/>
          <w:szCs w:val="22"/>
        </w:rPr>
        <w:t xml:space="preserve"> and management of marine protected areas and other effective area-based conservation measures in marine and coastal areas;</w:t>
      </w:r>
      <w:r>
        <w:rPr>
          <w:rStyle w:val="normaltextrun"/>
          <w:rFonts w:eastAsiaTheme="majorEastAsia"/>
          <w:sz w:val="22"/>
          <w:szCs w:val="22"/>
        </w:rPr>
        <w:t xml:space="preserve"> </w:t>
      </w:r>
    </w:p>
    <w:p w14:paraId="7BE04998" w14:textId="77777777" w:rsidR="000062FB" w:rsidRPr="00061112" w:rsidRDefault="000062FB"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Pr>
          <w:snapToGrid w:val="0"/>
          <w:kern w:val="22"/>
          <w:szCs w:val="22"/>
        </w:rPr>
        <w:t>9</w:t>
      </w:r>
      <w:r w:rsidRPr="00061112">
        <w:rPr>
          <w:snapToGrid w:val="0"/>
          <w:kern w:val="22"/>
          <w:szCs w:val="22"/>
        </w:rPr>
        <w:t>.</w:t>
      </w:r>
      <w:r w:rsidRPr="00061112">
        <w:rPr>
          <w:i/>
          <w:snapToGrid w:val="0"/>
          <w:kern w:val="22"/>
          <w:szCs w:val="22"/>
        </w:rPr>
        <w:tab/>
      </w:r>
      <w:r>
        <w:rPr>
          <w:i/>
          <w:iCs/>
          <w:snapToGrid w:val="0"/>
          <w:kern w:val="22"/>
          <w:szCs w:val="22"/>
        </w:rPr>
        <w:t>W</w:t>
      </w:r>
      <w:r w:rsidRPr="00061112">
        <w:rPr>
          <w:i/>
          <w:iCs/>
          <w:snapToGrid w:val="0"/>
          <w:kern w:val="22"/>
          <w:szCs w:val="22"/>
        </w:rPr>
        <w:t>elcomes</w:t>
      </w:r>
      <w:r w:rsidRPr="00061112">
        <w:rPr>
          <w:snapToGrid w:val="0"/>
          <w:kern w:val="22"/>
          <w:szCs w:val="22"/>
        </w:rPr>
        <w:t xml:space="preserve"> the capacity-building</w:t>
      </w:r>
      <w:r>
        <w:rPr>
          <w:snapToGrid w:val="0"/>
          <w:kern w:val="22"/>
          <w:szCs w:val="22"/>
        </w:rPr>
        <w:t>, experience-sharing</w:t>
      </w:r>
      <w:r w:rsidRPr="00061112">
        <w:rPr>
          <w:snapToGrid w:val="0"/>
          <w:kern w:val="22"/>
          <w:szCs w:val="22"/>
        </w:rPr>
        <w:t xml:space="preserve"> and partnership activities being facilitated by the Executive Secretary, </w:t>
      </w:r>
      <w:r>
        <w:rPr>
          <w:snapToGrid w:val="0"/>
          <w:kern w:val="22"/>
          <w:szCs w:val="22"/>
        </w:rPr>
        <w:t>notably</w:t>
      </w:r>
      <w:r w:rsidRPr="00061112">
        <w:rPr>
          <w:snapToGrid w:val="0"/>
          <w:kern w:val="22"/>
          <w:szCs w:val="22"/>
        </w:rPr>
        <w:t xml:space="preserve"> through the Sustainable Ocean Initiative, at the national, regional and global levels</w:t>
      </w:r>
      <w:r>
        <w:rPr>
          <w:snapToGrid w:val="0"/>
          <w:kern w:val="22"/>
          <w:szCs w:val="22"/>
        </w:rPr>
        <w:t>,</w:t>
      </w:r>
      <w:r w:rsidRPr="00061112">
        <w:rPr>
          <w:snapToGrid w:val="0"/>
          <w:kern w:val="22"/>
          <w:szCs w:val="22"/>
        </w:rPr>
        <w:t xml:space="preserve"> in collaboration with Parties, </w:t>
      </w:r>
      <w:r>
        <w:rPr>
          <w:snapToGrid w:val="0"/>
          <w:kern w:val="22"/>
          <w:szCs w:val="22"/>
        </w:rPr>
        <w:t>o</w:t>
      </w:r>
      <w:r w:rsidRPr="00061112">
        <w:rPr>
          <w:snapToGrid w:val="0"/>
          <w:kern w:val="22"/>
          <w:szCs w:val="22"/>
        </w:rPr>
        <w:t>ther Governments</w:t>
      </w:r>
      <w:r>
        <w:rPr>
          <w:snapToGrid w:val="0"/>
          <w:kern w:val="22"/>
          <w:szCs w:val="22"/>
        </w:rPr>
        <w:t>, subnational governments, where appropriate, indigenous peoples and local communities, women, youth,</w:t>
      </w:r>
      <w:r w:rsidRPr="00061112">
        <w:rPr>
          <w:snapToGrid w:val="0"/>
          <w:kern w:val="22"/>
          <w:szCs w:val="22"/>
        </w:rPr>
        <w:t xml:space="preserve"> and relevant organizations, </w:t>
      </w:r>
      <w:r w:rsidRPr="006D53FB">
        <w:rPr>
          <w:iCs/>
          <w:snapToGrid w:val="0"/>
          <w:kern w:val="22"/>
          <w:szCs w:val="22"/>
        </w:rPr>
        <w:t>expresses its gratitude</w:t>
      </w:r>
      <w:r w:rsidRPr="00061112">
        <w:rPr>
          <w:snapToGrid w:val="0"/>
          <w:kern w:val="22"/>
          <w:szCs w:val="22"/>
        </w:rPr>
        <w:t xml:space="preserve"> to donor countries and many other partners for providing financial and technical support for the implementation of activities under the Sustainable Ocean Initiative, and </w:t>
      </w:r>
      <w:r w:rsidRPr="006D53FB">
        <w:rPr>
          <w:iCs/>
          <w:kern w:val="22"/>
        </w:rPr>
        <w:t>requests</w:t>
      </w:r>
      <w:r w:rsidRPr="00061112">
        <w:rPr>
          <w:snapToGrid w:val="0"/>
          <w:kern w:val="22"/>
          <w:szCs w:val="22"/>
        </w:rPr>
        <w:t xml:space="preserve"> the Executive Secretary to continue to facilitate</w:t>
      </w:r>
      <w:r>
        <w:rPr>
          <w:snapToGrid w:val="0"/>
          <w:kern w:val="22"/>
          <w:szCs w:val="22"/>
        </w:rPr>
        <w:t xml:space="preserve"> </w:t>
      </w:r>
      <w:r w:rsidRPr="00061112">
        <w:rPr>
          <w:snapToGrid w:val="0"/>
          <w:kern w:val="22"/>
          <w:szCs w:val="22"/>
        </w:rPr>
        <w:t xml:space="preserve">capacity-building activities under the Sustainable Ocean Initiative in order to </w:t>
      </w:r>
      <w:r>
        <w:rPr>
          <w:snapToGrid w:val="0"/>
          <w:kern w:val="22"/>
          <w:szCs w:val="22"/>
        </w:rPr>
        <w:t>support the</w:t>
      </w:r>
      <w:r w:rsidRPr="00061112">
        <w:rPr>
          <w:snapToGrid w:val="0"/>
          <w:kern w:val="22"/>
          <w:szCs w:val="22"/>
        </w:rPr>
        <w:t xml:space="preserve"> implementation of the </w:t>
      </w:r>
      <w:r>
        <w:rPr>
          <w:snapToGrid w:val="0"/>
          <w:kern w:val="22"/>
          <w:szCs w:val="22"/>
        </w:rPr>
        <w:t>Kunming-Montreal</w:t>
      </w:r>
      <w:r w:rsidRPr="00061112">
        <w:rPr>
          <w:snapToGrid w:val="0"/>
          <w:kern w:val="22"/>
          <w:szCs w:val="22"/>
        </w:rPr>
        <w:t xml:space="preserve"> </w:t>
      </w:r>
      <w:r>
        <w:rPr>
          <w:snapToGrid w:val="0"/>
          <w:kern w:val="22"/>
          <w:szCs w:val="22"/>
        </w:rPr>
        <w:t>G</w:t>
      </w:r>
      <w:r w:rsidRPr="00061112">
        <w:rPr>
          <w:snapToGrid w:val="0"/>
          <w:kern w:val="22"/>
          <w:szCs w:val="22"/>
        </w:rPr>
        <w:t xml:space="preserve">lobal </w:t>
      </w:r>
      <w:r>
        <w:rPr>
          <w:snapToGrid w:val="0"/>
          <w:kern w:val="22"/>
          <w:szCs w:val="22"/>
        </w:rPr>
        <w:t>B</w:t>
      </w:r>
      <w:r w:rsidRPr="00061112">
        <w:rPr>
          <w:snapToGrid w:val="0"/>
          <w:kern w:val="22"/>
          <w:szCs w:val="22"/>
        </w:rPr>
        <w:t xml:space="preserve">iodiversity </w:t>
      </w:r>
      <w:r>
        <w:rPr>
          <w:snapToGrid w:val="0"/>
          <w:kern w:val="22"/>
          <w:szCs w:val="22"/>
        </w:rPr>
        <w:t>F</w:t>
      </w:r>
      <w:r w:rsidRPr="00061112">
        <w:rPr>
          <w:snapToGrid w:val="0"/>
          <w:kern w:val="22"/>
          <w:szCs w:val="22"/>
        </w:rPr>
        <w:t>ramework</w:t>
      </w:r>
      <w:r>
        <w:rPr>
          <w:snapToGrid w:val="0"/>
          <w:kern w:val="22"/>
          <w:szCs w:val="22"/>
        </w:rPr>
        <w:t>, including its monitoring framework,</w:t>
      </w:r>
      <w:r w:rsidRPr="00061112">
        <w:rPr>
          <w:snapToGrid w:val="0"/>
          <w:kern w:val="22"/>
          <w:szCs w:val="22"/>
        </w:rPr>
        <w:t xml:space="preserve"> with respect to</w:t>
      </w:r>
      <w:r>
        <w:rPr>
          <w:snapToGrid w:val="0"/>
          <w:kern w:val="22"/>
          <w:szCs w:val="22"/>
        </w:rPr>
        <w:t xml:space="preserve"> </w:t>
      </w:r>
      <w:r w:rsidRPr="00061112">
        <w:rPr>
          <w:snapToGrid w:val="0"/>
          <w:kern w:val="22"/>
          <w:szCs w:val="22"/>
        </w:rPr>
        <w:t>marine, coastal and island biodiversity;</w:t>
      </w:r>
      <w:r>
        <w:rPr>
          <w:snapToGrid w:val="0"/>
          <w:kern w:val="22"/>
          <w:szCs w:val="22"/>
        </w:rPr>
        <w:t xml:space="preserve"> </w:t>
      </w:r>
    </w:p>
    <w:p w14:paraId="66743797" w14:textId="77777777" w:rsidR="000062FB" w:rsidRPr="003E6B26" w:rsidRDefault="000062FB"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20</w:t>
      </w:r>
      <w:r w:rsidRPr="00061112">
        <w:rPr>
          <w:snapToGrid w:val="0"/>
          <w:kern w:val="22"/>
          <w:szCs w:val="22"/>
        </w:rPr>
        <w:t>.</w:t>
      </w:r>
      <w:r w:rsidRPr="00061112">
        <w:rPr>
          <w:snapToGrid w:val="0"/>
          <w:kern w:val="22"/>
          <w:szCs w:val="22"/>
        </w:rPr>
        <w:tab/>
      </w:r>
      <w:r>
        <w:rPr>
          <w:i/>
          <w:snapToGrid w:val="0"/>
          <w:kern w:val="22"/>
          <w:szCs w:val="22"/>
        </w:rPr>
        <w:t>Also</w:t>
      </w:r>
      <w:r w:rsidRPr="00061112">
        <w:rPr>
          <w:i/>
          <w:snapToGrid w:val="0"/>
          <w:kern w:val="22"/>
          <w:szCs w:val="22"/>
        </w:rPr>
        <w:t xml:space="preserve"> welcomes </w:t>
      </w:r>
      <w:r w:rsidRPr="00061112">
        <w:rPr>
          <w:snapToGrid w:val="0"/>
          <w:kern w:val="22"/>
          <w:szCs w:val="22"/>
        </w:rPr>
        <w:t xml:space="preserve">the collaborative efforts among the Secretariat, the United Nations Environment Programme, the Food and Agriculture Organization of the United Nations, </w:t>
      </w:r>
      <w:r w:rsidRPr="00061112">
        <w:rPr>
          <w:bCs/>
          <w:snapToGrid w:val="0"/>
          <w:kern w:val="22"/>
          <w:szCs w:val="22"/>
        </w:rPr>
        <w:t>the International Maritime Organi</w:t>
      </w:r>
      <w:r>
        <w:rPr>
          <w:bCs/>
          <w:snapToGrid w:val="0"/>
          <w:kern w:val="22"/>
          <w:szCs w:val="22"/>
        </w:rPr>
        <w:t>z</w:t>
      </w:r>
      <w:r w:rsidRPr="00061112">
        <w:rPr>
          <w:bCs/>
          <w:snapToGrid w:val="0"/>
          <w:kern w:val="22"/>
          <w:szCs w:val="22"/>
        </w:rPr>
        <w:t xml:space="preserve">ation, the International Seabed Authority, </w:t>
      </w:r>
      <w:r>
        <w:rPr>
          <w:bCs/>
          <w:snapToGrid w:val="0"/>
          <w:kern w:val="22"/>
          <w:szCs w:val="22"/>
        </w:rPr>
        <w:t>r</w:t>
      </w:r>
      <w:r w:rsidRPr="00061112">
        <w:rPr>
          <w:bCs/>
          <w:snapToGrid w:val="0"/>
          <w:kern w:val="22"/>
          <w:szCs w:val="22"/>
        </w:rPr>
        <w:t xml:space="preserve">egional </w:t>
      </w:r>
      <w:r>
        <w:rPr>
          <w:bCs/>
          <w:snapToGrid w:val="0"/>
          <w:kern w:val="22"/>
          <w:szCs w:val="22"/>
        </w:rPr>
        <w:t>s</w:t>
      </w:r>
      <w:r w:rsidRPr="00061112">
        <w:rPr>
          <w:bCs/>
          <w:snapToGrid w:val="0"/>
          <w:kern w:val="22"/>
          <w:szCs w:val="22"/>
        </w:rPr>
        <w:t xml:space="preserve">eas </w:t>
      </w:r>
      <w:r>
        <w:rPr>
          <w:bCs/>
          <w:snapToGrid w:val="0"/>
          <w:kern w:val="22"/>
          <w:szCs w:val="22"/>
        </w:rPr>
        <w:t>c</w:t>
      </w:r>
      <w:r w:rsidRPr="00061112">
        <w:rPr>
          <w:bCs/>
          <w:snapToGrid w:val="0"/>
          <w:kern w:val="22"/>
          <w:szCs w:val="22"/>
        </w:rPr>
        <w:t>onve</w:t>
      </w:r>
      <w:r w:rsidRPr="00061112">
        <w:rPr>
          <w:snapToGrid w:val="0"/>
          <w:kern w:val="22"/>
          <w:szCs w:val="22"/>
        </w:rPr>
        <w:t xml:space="preserve">ntions and </w:t>
      </w:r>
      <w:r>
        <w:rPr>
          <w:snapToGrid w:val="0"/>
          <w:kern w:val="22"/>
          <w:szCs w:val="22"/>
        </w:rPr>
        <w:t>a</w:t>
      </w:r>
      <w:r w:rsidRPr="00061112">
        <w:rPr>
          <w:snapToGrid w:val="0"/>
          <w:kern w:val="22"/>
          <w:szCs w:val="22"/>
        </w:rPr>
        <w:t xml:space="preserve">ction </w:t>
      </w:r>
      <w:r>
        <w:rPr>
          <w:snapToGrid w:val="0"/>
          <w:kern w:val="22"/>
          <w:szCs w:val="22"/>
        </w:rPr>
        <w:t>p</w:t>
      </w:r>
      <w:r w:rsidRPr="00061112">
        <w:rPr>
          <w:snapToGrid w:val="0"/>
          <w:kern w:val="22"/>
          <w:szCs w:val="22"/>
        </w:rPr>
        <w:t>lans, regional fishery bodies</w:t>
      </w:r>
      <w:r w:rsidRPr="00E05AA5">
        <w:rPr>
          <w:snapToGrid w:val="0"/>
          <w:kern w:val="22"/>
          <w:szCs w:val="22"/>
        </w:rPr>
        <w:t xml:space="preserve">, </w:t>
      </w:r>
      <w:r w:rsidRPr="00061112">
        <w:rPr>
          <w:snapToGrid w:val="0"/>
          <w:kern w:val="22"/>
          <w:szCs w:val="22"/>
        </w:rPr>
        <w:t xml:space="preserve">large marine ecosystem projects/programmes and other relevant regional initiatives to strengthen cross-sectoral cooperation at the regional </w:t>
      </w:r>
      <w:r>
        <w:rPr>
          <w:snapToGrid w:val="0"/>
          <w:kern w:val="22"/>
          <w:szCs w:val="22"/>
        </w:rPr>
        <w:t xml:space="preserve">and global </w:t>
      </w:r>
      <w:r w:rsidRPr="00061112">
        <w:rPr>
          <w:snapToGrid w:val="0"/>
          <w:kern w:val="22"/>
          <w:szCs w:val="22"/>
        </w:rPr>
        <w:t>scale in order to accelerate progress to achieve</w:t>
      </w:r>
      <w:r>
        <w:rPr>
          <w:snapToGrid w:val="0"/>
          <w:kern w:val="22"/>
          <w:szCs w:val="22"/>
        </w:rPr>
        <w:t xml:space="preserve"> the Aichi Biodiversity Targets and</w:t>
      </w:r>
      <w:r w:rsidRPr="00061112">
        <w:rPr>
          <w:snapToGrid w:val="0"/>
          <w:kern w:val="22"/>
          <w:szCs w:val="22"/>
        </w:rPr>
        <w:t xml:space="preserve"> the</w:t>
      </w:r>
      <w:r>
        <w:rPr>
          <w:snapToGrid w:val="0"/>
          <w:kern w:val="22"/>
          <w:szCs w:val="22"/>
        </w:rPr>
        <w:t xml:space="preserve"> </w:t>
      </w:r>
      <w:r w:rsidRPr="00061112">
        <w:rPr>
          <w:snapToGrid w:val="0"/>
          <w:kern w:val="22"/>
          <w:szCs w:val="22"/>
        </w:rPr>
        <w:t>Sustainable Development Goals, including through the Sustainable Ocean Initiative Global Dialogue with Regional Seas Organizations</w:t>
      </w:r>
      <w:r>
        <w:rPr>
          <w:snapToGrid w:val="0"/>
          <w:kern w:val="22"/>
          <w:szCs w:val="22"/>
        </w:rPr>
        <w:t xml:space="preserve"> </w:t>
      </w:r>
      <w:r w:rsidRPr="00061112">
        <w:rPr>
          <w:snapToGrid w:val="0"/>
          <w:kern w:val="22"/>
          <w:szCs w:val="22"/>
        </w:rPr>
        <w:t xml:space="preserve">and Regional Fishery Bodies, and </w:t>
      </w:r>
      <w:r w:rsidRPr="006D53FB">
        <w:rPr>
          <w:iCs/>
          <w:kern w:val="22"/>
        </w:rPr>
        <w:t>requests</w:t>
      </w:r>
      <w:r w:rsidRPr="00061112">
        <w:rPr>
          <w:i/>
          <w:snapToGrid w:val="0"/>
          <w:kern w:val="22"/>
          <w:szCs w:val="22"/>
        </w:rPr>
        <w:t xml:space="preserve"> </w:t>
      </w:r>
      <w:r w:rsidRPr="00061112">
        <w:rPr>
          <w:snapToGrid w:val="0"/>
          <w:kern w:val="22"/>
          <w:szCs w:val="22"/>
        </w:rPr>
        <w:t xml:space="preserve">the Executive Secretary to continue this collaboration in the context of the implementation of the </w:t>
      </w:r>
      <w:r>
        <w:rPr>
          <w:snapToGrid w:val="0"/>
          <w:kern w:val="22"/>
          <w:szCs w:val="22"/>
        </w:rPr>
        <w:t>Kunming-Montreal</w:t>
      </w:r>
      <w:r w:rsidRPr="00061112">
        <w:rPr>
          <w:snapToGrid w:val="0"/>
          <w:kern w:val="22"/>
          <w:szCs w:val="22"/>
        </w:rPr>
        <w:t xml:space="preserve"> </w:t>
      </w:r>
      <w:r>
        <w:rPr>
          <w:snapToGrid w:val="0"/>
          <w:kern w:val="22"/>
          <w:szCs w:val="22"/>
        </w:rPr>
        <w:t>G</w:t>
      </w:r>
      <w:r w:rsidRPr="00061112">
        <w:rPr>
          <w:snapToGrid w:val="0"/>
          <w:kern w:val="22"/>
          <w:szCs w:val="22"/>
        </w:rPr>
        <w:t xml:space="preserve">lobal </w:t>
      </w:r>
      <w:r>
        <w:rPr>
          <w:snapToGrid w:val="0"/>
          <w:kern w:val="22"/>
          <w:szCs w:val="22"/>
        </w:rPr>
        <w:t>B</w:t>
      </w:r>
      <w:r w:rsidRPr="00061112">
        <w:rPr>
          <w:snapToGrid w:val="0"/>
          <w:kern w:val="22"/>
          <w:szCs w:val="22"/>
        </w:rPr>
        <w:t xml:space="preserve">iodiversity </w:t>
      </w:r>
      <w:r>
        <w:rPr>
          <w:snapToGrid w:val="0"/>
          <w:kern w:val="22"/>
          <w:szCs w:val="22"/>
        </w:rPr>
        <w:t>F</w:t>
      </w:r>
      <w:r w:rsidRPr="00061112">
        <w:rPr>
          <w:snapToGrid w:val="0"/>
          <w:kern w:val="22"/>
          <w:szCs w:val="22"/>
        </w:rPr>
        <w:t>ramework;</w:t>
      </w:r>
    </w:p>
    <w:p w14:paraId="138580F0" w14:textId="77777777" w:rsidR="000062FB" w:rsidRDefault="000062FB" w:rsidP="00E35506">
      <w:pPr>
        <w:spacing w:before="120" w:after="120"/>
        <w:ind w:firstLine="720"/>
        <w:rPr>
          <w:snapToGrid w:val="0"/>
          <w:kern w:val="22"/>
          <w:szCs w:val="22"/>
        </w:rPr>
      </w:pPr>
      <w:r>
        <w:rPr>
          <w:snapToGrid w:val="0"/>
          <w:kern w:val="22"/>
          <w:szCs w:val="22"/>
        </w:rPr>
        <w:t>21</w:t>
      </w:r>
      <w:r w:rsidRPr="00061112">
        <w:rPr>
          <w:snapToGrid w:val="0"/>
          <w:kern w:val="22"/>
          <w:szCs w:val="22"/>
        </w:rPr>
        <w:t>.</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 to enhance cooperation and synergies with other global and regional organizations</w:t>
      </w:r>
      <w:r>
        <w:rPr>
          <w:snapToGrid w:val="0"/>
          <w:kern w:val="22"/>
          <w:szCs w:val="22"/>
        </w:rPr>
        <w:t xml:space="preserve">, indigenous peoples and local communities as rights holders in accordance with the </w:t>
      </w:r>
      <w:r w:rsidRPr="00B421C9">
        <w:rPr>
          <w:snapToGrid w:val="0"/>
          <w:kern w:val="22"/>
          <w:szCs w:val="22"/>
        </w:rPr>
        <w:t>United Nations Declaration on the Rights of Indigenous Peoples</w:t>
      </w:r>
      <w:r>
        <w:rPr>
          <w:snapToGrid w:val="0"/>
          <w:kern w:val="22"/>
          <w:szCs w:val="22"/>
        </w:rPr>
        <w:t xml:space="preserve"> and international human rights law, women and youth, and other stakeholders </w:t>
      </w:r>
      <w:r w:rsidRPr="00E05AA5">
        <w:rPr>
          <w:snapToGrid w:val="0"/>
          <w:kern w:val="22"/>
          <w:szCs w:val="22"/>
        </w:rPr>
        <w:t>with respect to various thematic issues related to marine and coastal biodiversity</w:t>
      </w:r>
      <w:r>
        <w:rPr>
          <w:snapToGrid w:val="0"/>
          <w:kern w:val="22"/>
          <w:szCs w:val="22"/>
        </w:rPr>
        <w:t xml:space="preserve"> i</w:t>
      </w:r>
      <w:r w:rsidRPr="00061112">
        <w:rPr>
          <w:snapToGrid w:val="0"/>
          <w:kern w:val="22"/>
          <w:szCs w:val="22"/>
        </w:rPr>
        <w:t>n support of the implementation of the 2030 Agenda for Sustainable Development</w:t>
      </w:r>
      <w:r w:rsidRPr="00610646">
        <w:rPr>
          <w:rStyle w:val="FootnoteReference"/>
          <w:rFonts w:eastAsiaTheme="majorEastAsia"/>
        </w:rPr>
        <w:footnoteReference w:id="329"/>
      </w:r>
      <w:r w:rsidRPr="00061112">
        <w:rPr>
          <w:snapToGrid w:val="0"/>
          <w:kern w:val="22"/>
          <w:szCs w:val="22"/>
        </w:rPr>
        <w:t xml:space="preserve"> and the achievement of the Sustainable Development Goals</w:t>
      </w:r>
      <w:r w:rsidRPr="00E05AA5">
        <w:rPr>
          <w:szCs w:val="22"/>
        </w:rPr>
        <w:t xml:space="preserve">, </w:t>
      </w:r>
      <w:r>
        <w:rPr>
          <w:szCs w:val="22"/>
        </w:rPr>
        <w:t>and</w:t>
      </w:r>
      <w:r w:rsidRPr="00E05AA5">
        <w:rPr>
          <w:szCs w:val="22"/>
        </w:rPr>
        <w:t xml:space="preserve"> to enhance cooperation and synergies </w:t>
      </w:r>
      <w:r>
        <w:rPr>
          <w:szCs w:val="22"/>
        </w:rPr>
        <w:t xml:space="preserve">with efforts under </w:t>
      </w:r>
      <w:r w:rsidRPr="00E05AA5">
        <w:rPr>
          <w:szCs w:val="22"/>
        </w:rPr>
        <w:t>the United Nations Decade of Ocean Science for Sustainable Development</w:t>
      </w:r>
      <w:r>
        <w:rPr>
          <w:snapToGrid w:val="0"/>
          <w:kern w:val="22"/>
          <w:szCs w:val="22"/>
        </w:rPr>
        <w:t xml:space="preserve">; </w:t>
      </w:r>
    </w:p>
    <w:p w14:paraId="03B02BF1" w14:textId="77777777" w:rsidR="000062FB" w:rsidRDefault="000062FB" w:rsidP="00554D43">
      <w:pPr>
        <w:pStyle w:val="Para1"/>
        <w:numPr>
          <w:ilvl w:val="0"/>
          <w:numId w:val="0"/>
        </w:numPr>
        <w:suppressLineNumbers/>
        <w:suppressAutoHyphens/>
        <w:kinsoku w:val="0"/>
        <w:ind w:firstLine="720"/>
        <w:rPr>
          <w:rStyle w:val="normaltextrun"/>
          <w:rFonts w:eastAsiaTheme="majorEastAsia"/>
          <w:snapToGrid/>
          <w:szCs w:val="24"/>
        </w:rPr>
      </w:pPr>
      <w:r>
        <w:t>22</w:t>
      </w:r>
      <w:r w:rsidRPr="00A7273F">
        <w:t>.</w:t>
      </w:r>
      <w:r w:rsidRPr="00A7273F">
        <w:tab/>
      </w:r>
      <w:r>
        <w:rPr>
          <w:i/>
          <w:iCs/>
        </w:rPr>
        <w:t xml:space="preserve">Also </w:t>
      </w:r>
      <w:r w:rsidRPr="00A7273F">
        <w:rPr>
          <w:i/>
          <w:iCs/>
        </w:rPr>
        <w:t>requests</w:t>
      </w:r>
      <w:r w:rsidRPr="00A7273F">
        <w:t xml:space="preserve"> the Executive Secretary to enhance cooperation and synergies with global and regional </w:t>
      </w:r>
      <w:r w:rsidRPr="00700326">
        <w:t>organizations with respect to climate change and marine and coastal biodiversity, including the United Nations Framework Convention on Climate Change</w:t>
      </w:r>
      <w:r w:rsidRPr="00610646">
        <w:rPr>
          <w:rStyle w:val="FootnoteReference"/>
          <w:rFonts w:eastAsiaTheme="majorEastAsia"/>
        </w:rPr>
        <w:footnoteReference w:id="330"/>
      </w:r>
      <w:r w:rsidRPr="00700326">
        <w:t xml:space="preserve"> and </w:t>
      </w:r>
      <w:r w:rsidRPr="00700326">
        <w:rPr>
          <w:rStyle w:val="normaltextrun"/>
          <w:rFonts w:eastAsiaTheme="majorEastAsia"/>
        </w:rPr>
        <w:t xml:space="preserve">the Intergovernmental Oceanographic Commission of </w:t>
      </w:r>
      <w:r>
        <w:rPr>
          <w:rStyle w:val="normaltextrun"/>
          <w:rFonts w:eastAsiaTheme="majorEastAsia"/>
        </w:rPr>
        <w:t>the United Nations Educational, Scientific and Cultural Organization</w:t>
      </w:r>
      <w:r w:rsidRPr="00C942EA">
        <w:rPr>
          <w:rStyle w:val="normaltextrun"/>
          <w:rFonts w:eastAsiaTheme="majorEastAsia"/>
        </w:rPr>
        <w:t>, in the</w:t>
      </w:r>
      <w:r w:rsidRPr="00700326">
        <w:rPr>
          <w:rStyle w:val="normaltextrun"/>
          <w:rFonts w:eastAsiaTheme="majorEastAsia"/>
        </w:rPr>
        <w:t xml:space="preserve"> context of the United Nations </w:t>
      </w:r>
      <w:r w:rsidRPr="00E627E2">
        <w:rPr>
          <w:rStyle w:val="normaltextrun"/>
          <w:rFonts w:eastAsiaTheme="majorEastAsia"/>
        </w:rPr>
        <w:t>Decade of Ocean Science for Sustainable Development</w:t>
      </w:r>
      <w:r w:rsidRPr="00E627E2">
        <w:t>,</w:t>
      </w:r>
      <w:r w:rsidRPr="00E627E2">
        <w:rPr>
          <w:iCs/>
        </w:rPr>
        <w:t xml:space="preserve"> taking into account</w:t>
      </w:r>
      <w:r w:rsidRPr="00E627E2">
        <w:t xml:space="preserve"> the Glasgow Climate Pact and </w:t>
      </w:r>
      <w:r w:rsidRPr="00E627E2">
        <w:rPr>
          <w:rStyle w:val="normaltextrun"/>
          <w:rFonts w:eastAsiaTheme="majorEastAsia"/>
        </w:rPr>
        <w:t>noting that nature-based solutions and</w:t>
      </w:r>
      <w:r>
        <w:rPr>
          <w:rStyle w:val="normaltextrun"/>
          <w:rFonts w:eastAsiaTheme="majorEastAsia"/>
        </w:rPr>
        <w:t>/or</w:t>
      </w:r>
      <w:r w:rsidRPr="00E627E2">
        <w:rPr>
          <w:rStyle w:val="normaltextrun"/>
          <w:rFonts w:eastAsiaTheme="majorEastAsia"/>
        </w:rPr>
        <w:t xml:space="preserve"> ecosystem-based approaches, including through marine protected areas and other</w:t>
      </w:r>
      <w:r w:rsidRPr="00A7273F">
        <w:rPr>
          <w:rStyle w:val="normaltextrun"/>
          <w:rFonts w:eastAsiaTheme="majorEastAsia"/>
        </w:rPr>
        <w:t xml:space="preserve"> effective area-based conservation measures, are critical elements of </w:t>
      </w:r>
      <w:r w:rsidRPr="00A7273F">
        <w:rPr>
          <w:rStyle w:val="normaltextrun"/>
          <w:rFonts w:eastAsiaTheme="majorEastAsia"/>
        </w:rPr>
        <w:lastRenderedPageBreak/>
        <w:t>rebuilding and strengthening the resilience of marine and coastal ecosystems to the effects of climate change.</w:t>
      </w:r>
      <w:r>
        <w:rPr>
          <w:rStyle w:val="normaltextrun"/>
          <w:rFonts w:eastAsiaTheme="majorEastAsia"/>
        </w:rPr>
        <w:t xml:space="preserve"> </w:t>
      </w:r>
    </w:p>
    <w:p w14:paraId="3A13D185" w14:textId="77777777" w:rsidR="00963618" w:rsidRDefault="00963618" w:rsidP="00C9161D">
      <w:pPr>
        <w:sectPr w:rsidR="00963618" w:rsidSect="00441700">
          <w:footnotePr>
            <w:numRestart w:val="eachSect"/>
          </w:footnotePr>
          <w:pgSz w:w="12240" w:h="15840"/>
          <w:pgMar w:top="567" w:right="1440" w:bottom="1134" w:left="1440" w:header="709" w:footer="709" w:gutter="0"/>
          <w:cols w:space="708"/>
          <w:docGrid w:linePitch="360"/>
        </w:sectPr>
      </w:pPr>
    </w:p>
    <w:p w14:paraId="56602432" w14:textId="77777777" w:rsidR="00963618" w:rsidRPr="00A8574C" w:rsidRDefault="00963618" w:rsidP="00A8574C">
      <w:pPr>
        <w:pStyle w:val="decision"/>
        <w:ind w:left="1134" w:right="261" w:hanging="850"/>
        <w:jc w:val="left"/>
        <w:rPr>
          <w:b w:val="0"/>
          <w:bCs/>
          <w:caps/>
        </w:rPr>
      </w:pPr>
      <w:bookmarkStart w:id="290" w:name="_Toc150438823"/>
      <w:bookmarkStart w:id="291" w:name="_Toc150670523"/>
      <w:bookmarkStart w:id="292" w:name="_Toc150670633"/>
      <w:bookmarkStart w:id="293" w:name="_Toc150761135"/>
      <w:r w:rsidRPr="00A8574C">
        <w:rPr>
          <w:rStyle w:val="Heading2Char"/>
          <w:rFonts w:eastAsia="Malgun Gothic"/>
          <w:b/>
          <w:bCs w:val="0"/>
        </w:rPr>
        <w:lastRenderedPageBreak/>
        <w:t>15/25.</w:t>
      </w:r>
      <w:r w:rsidRPr="00A8574C">
        <w:rPr>
          <w:rStyle w:val="Heading2Char"/>
          <w:rFonts w:eastAsia="Malgun Gothic"/>
          <w:b/>
          <w:bCs w:val="0"/>
        </w:rPr>
        <w:tab/>
        <w:t>Ecologically or biologically significant marine areas in the North-East Atlantic Ocean and adjacent areas</w:t>
      </w:r>
      <w:bookmarkEnd w:id="290"/>
      <w:bookmarkEnd w:id="291"/>
      <w:bookmarkEnd w:id="292"/>
      <w:bookmarkEnd w:id="293"/>
      <w:r w:rsidRPr="00A8574C">
        <w:rPr>
          <w:b w:val="0"/>
          <w:bCs/>
          <w:caps/>
        </w:rPr>
        <w:t xml:space="preserve"> </w:t>
      </w:r>
    </w:p>
    <w:p w14:paraId="415973A5" w14:textId="77777777" w:rsidR="00963618" w:rsidRPr="00A73566" w:rsidRDefault="00963618" w:rsidP="0009640F">
      <w:pPr>
        <w:suppressLineNumbers/>
        <w:suppressAutoHyphens/>
        <w:kinsoku w:val="0"/>
        <w:overflowPunct w:val="0"/>
        <w:autoSpaceDE w:val="0"/>
        <w:autoSpaceDN w:val="0"/>
        <w:spacing w:before="120" w:after="120"/>
        <w:ind w:firstLine="709"/>
        <w:rPr>
          <w:i/>
          <w:snapToGrid w:val="0"/>
          <w:kern w:val="22"/>
          <w:szCs w:val="22"/>
          <w:lang w:eastAsia="ko-KR"/>
        </w:rPr>
      </w:pPr>
      <w:r w:rsidRPr="00A73566">
        <w:rPr>
          <w:i/>
          <w:snapToGrid w:val="0"/>
          <w:kern w:val="22"/>
          <w:szCs w:val="22"/>
          <w:lang w:eastAsia="ko-KR"/>
        </w:rPr>
        <w:t>The Conference of the Parties</w:t>
      </w:r>
    </w:p>
    <w:p w14:paraId="1FB666D9" w14:textId="77777777" w:rsidR="00963618" w:rsidRPr="0052289A" w:rsidRDefault="00963618" w:rsidP="006514DB">
      <w:pPr>
        <w:spacing w:before="120" w:after="120"/>
        <w:ind w:firstLine="709"/>
        <w:rPr>
          <w:szCs w:val="22"/>
        </w:rPr>
      </w:pPr>
      <w:r w:rsidRPr="00233915">
        <w:rPr>
          <w:snapToGrid w:val="0"/>
          <w:kern w:val="22"/>
          <w:szCs w:val="22"/>
        </w:rPr>
        <w:t>1.</w:t>
      </w:r>
      <w:r w:rsidRPr="00233915">
        <w:rPr>
          <w:snapToGrid w:val="0"/>
          <w:kern w:val="22"/>
          <w:szCs w:val="22"/>
        </w:rPr>
        <w:tab/>
      </w:r>
      <w:r w:rsidRPr="0052289A">
        <w:rPr>
          <w:i/>
          <w:szCs w:val="22"/>
        </w:rPr>
        <w:t xml:space="preserve">Acknowledges </w:t>
      </w:r>
      <w:r w:rsidRPr="0052289A">
        <w:rPr>
          <w:szCs w:val="22"/>
        </w:rPr>
        <w:t>that</w:t>
      </w:r>
      <w:r>
        <w:rPr>
          <w:szCs w:val="22"/>
        </w:rPr>
        <w:t xml:space="preserve">, following the requests </w:t>
      </w:r>
      <w:r w:rsidRPr="00811B24">
        <w:rPr>
          <w:szCs w:val="22"/>
        </w:rPr>
        <w:t xml:space="preserve">from </w:t>
      </w:r>
      <w:r w:rsidRPr="00EE1115">
        <w:rPr>
          <w:szCs w:val="22"/>
        </w:rPr>
        <w:t>the Conference of the Parties at its tenth and eleventh meetings,</w:t>
      </w:r>
      <w:r w:rsidRPr="00610646">
        <w:rPr>
          <w:rStyle w:val="FootnoteReference"/>
        </w:rPr>
        <w:footnoteReference w:id="331"/>
      </w:r>
      <w:r w:rsidRPr="00811B24">
        <w:rPr>
          <w:szCs w:val="22"/>
        </w:rPr>
        <w:t xml:space="preserve"> the Executive Secretary has successfully completed the series of regional workshops, covering most of the world’s ocean, facilitating the description</w:t>
      </w:r>
      <w:r w:rsidRPr="0052289A">
        <w:rPr>
          <w:szCs w:val="22"/>
        </w:rPr>
        <w:t xml:space="preserve"> of 338 areas meeting the criteria for ecologically or biologically significant marine areas;</w:t>
      </w:r>
    </w:p>
    <w:p w14:paraId="33944782" w14:textId="77777777" w:rsidR="00963618" w:rsidRPr="0052289A" w:rsidRDefault="00963618" w:rsidP="006514DB">
      <w:pPr>
        <w:spacing w:before="120" w:after="120"/>
        <w:ind w:firstLine="709"/>
        <w:rPr>
          <w:szCs w:val="22"/>
        </w:rPr>
      </w:pPr>
      <w:r w:rsidRPr="0052289A">
        <w:rPr>
          <w:szCs w:val="22"/>
        </w:rPr>
        <w:t>2.</w:t>
      </w:r>
      <w:r w:rsidRPr="0052289A">
        <w:rPr>
          <w:szCs w:val="22"/>
        </w:rPr>
        <w:tab/>
      </w:r>
      <w:r w:rsidRPr="0052289A">
        <w:rPr>
          <w:i/>
          <w:iCs/>
          <w:szCs w:val="22"/>
        </w:rPr>
        <w:t>Expresses its appreciation</w:t>
      </w:r>
      <w:r w:rsidRPr="0052289A">
        <w:rPr>
          <w:szCs w:val="22"/>
        </w:rPr>
        <w:t xml:space="preserve"> to all Parties, other Governments, organizations and stakeholders that have contributed to this process, and </w:t>
      </w:r>
      <w:r w:rsidRPr="00EE1115">
        <w:rPr>
          <w:szCs w:val="22"/>
        </w:rPr>
        <w:t>encourages</w:t>
      </w:r>
      <w:r w:rsidRPr="0052289A">
        <w:rPr>
          <w:szCs w:val="22"/>
        </w:rPr>
        <w:t xml:space="preserve"> continued efforts to describe areas meeting the criteria for ecologically or biologically significant marine areas using the best available scientific information</w:t>
      </w:r>
      <w:r>
        <w:rPr>
          <w:szCs w:val="22"/>
        </w:rPr>
        <w:t>,</w:t>
      </w:r>
      <w:r w:rsidRPr="0052289A">
        <w:rPr>
          <w:szCs w:val="22"/>
        </w:rPr>
        <w:t xml:space="preserve"> and to increase the number and coverage of ecologically or biologically significant marine areas around the world;</w:t>
      </w:r>
    </w:p>
    <w:p w14:paraId="5A88144D" w14:textId="77777777" w:rsidR="00963618" w:rsidRPr="00A73566" w:rsidRDefault="00963618" w:rsidP="006514DB">
      <w:pPr>
        <w:spacing w:before="120" w:after="120"/>
        <w:ind w:firstLine="709"/>
        <w:rPr>
          <w:snapToGrid w:val="0"/>
          <w:kern w:val="22"/>
          <w:szCs w:val="22"/>
        </w:rPr>
      </w:pPr>
      <w:r w:rsidRPr="00A73566">
        <w:rPr>
          <w:snapToGrid w:val="0"/>
          <w:kern w:val="22"/>
          <w:szCs w:val="22"/>
        </w:rPr>
        <w:t>3.</w:t>
      </w:r>
      <w:r w:rsidRPr="00A73566">
        <w:rPr>
          <w:i/>
          <w:snapToGrid w:val="0"/>
          <w:kern w:val="22"/>
          <w:szCs w:val="22"/>
        </w:rPr>
        <w:tab/>
        <w:t xml:space="preserve">Expresses its gratitude </w:t>
      </w:r>
      <w:r w:rsidRPr="00A73566">
        <w:rPr>
          <w:snapToGrid w:val="0"/>
          <w:kern w:val="22"/>
          <w:szCs w:val="22"/>
        </w:rPr>
        <w:t>to the Government of Sweden for hosting the Regional Workshop to Facilitate the Description of Ecologically or Biologically Significant Marine Areas in the North-East Atlantic Ocean, as well as the Governments of Denmark, France, Germany and Sweden for providing financial support for the workshop, and the Convention for the Protection of the Marine Environment of the North-East Atlantic and the North-East Atlantic Fisheries Commission for providing valuable scientific and technical input;</w:t>
      </w:r>
    </w:p>
    <w:p w14:paraId="317FB227" w14:textId="77777777" w:rsidR="00963618" w:rsidRPr="00A73566" w:rsidRDefault="00963618" w:rsidP="006514DB">
      <w:pPr>
        <w:suppressLineNumbers/>
        <w:suppressAutoHyphens/>
        <w:kinsoku w:val="0"/>
        <w:overflowPunct w:val="0"/>
        <w:autoSpaceDE w:val="0"/>
        <w:autoSpaceDN w:val="0"/>
        <w:spacing w:before="120" w:after="120"/>
        <w:ind w:firstLine="709"/>
        <w:rPr>
          <w:snapToGrid w:val="0"/>
          <w:kern w:val="22"/>
          <w:szCs w:val="22"/>
        </w:rPr>
      </w:pPr>
      <w:r w:rsidRPr="00A73566">
        <w:rPr>
          <w:snapToGrid w:val="0"/>
          <w:kern w:val="22"/>
          <w:szCs w:val="22"/>
        </w:rPr>
        <w:t>4.</w:t>
      </w:r>
      <w:r w:rsidRPr="00A73566">
        <w:rPr>
          <w:snapToGrid w:val="0"/>
          <w:kern w:val="22"/>
          <w:szCs w:val="22"/>
        </w:rPr>
        <w:tab/>
      </w:r>
      <w:r w:rsidRPr="00A73566">
        <w:rPr>
          <w:i/>
          <w:snapToGrid w:val="0"/>
          <w:kern w:val="22"/>
          <w:szCs w:val="22"/>
        </w:rPr>
        <w:t>Welcomes</w:t>
      </w:r>
      <w:r w:rsidRPr="00A73566">
        <w:rPr>
          <w:snapToGrid w:val="0"/>
          <w:kern w:val="22"/>
          <w:szCs w:val="22"/>
        </w:rPr>
        <w:t xml:space="preserve"> the summary reports prepared by the Subsidiary Body </w:t>
      </w:r>
      <w:r w:rsidRPr="00A73566">
        <w:rPr>
          <w:kern w:val="22"/>
          <w:szCs w:val="22"/>
        </w:rPr>
        <w:t>on Scientific, Technical and Technological Advice</w:t>
      </w:r>
      <w:r w:rsidRPr="00A73566">
        <w:rPr>
          <w:snapToGrid w:val="0"/>
          <w:kern w:val="22"/>
          <w:szCs w:val="22"/>
        </w:rPr>
        <w:t xml:space="preserve"> at its twenty-third meeting, which are annexed to the present decision and are based on the report of the Regional Workshop to Facilitate the Description of Ecologically or Biologically Significant Marine Areas in the North-East Atlantic Ocean;</w:t>
      </w:r>
      <w:r w:rsidRPr="00610646">
        <w:rPr>
          <w:rStyle w:val="FootnoteReference"/>
          <w:rFonts w:eastAsiaTheme="majorEastAsia"/>
        </w:rPr>
        <w:footnoteReference w:id="332"/>
      </w:r>
      <w:r>
        <w:rPr>
          <w:snapToGrid w:val="0"/>
          <w:kern w:val="22"/>
          <w:szCs w:val="22"/>
        </w:rPr>
        <w:t xml:space="preserve"> </w:t>
      </w:r>
    </w:p>
    <w:p w14:paraId="107E87B0" w14:textId="0F9041F1" w:rsidR="00963618" w:rsidRDefault="00963618" w:rsidP="006514DB">
      <w:pPr>
        <w:suppressLineNumbers/>
        <w:suppressAutoHyphens/>
        <w:spacing w:before="120" w:after="120"/>
        <w:ind w:firstLine="720"/>
        <w:rPr>
          <w:snapToGrid w:val="0"/>
        </w:rPr>
      </w:pPr>
      <w:r w:rsidRPr="00233915">
        <w:rPr>
          <w:iCs/>
          <w:snapToGrid w:val="0"/>
          <w:szCs w:val="22"/>
          <w:shd w:val="clear" w:color="auto" w:fill="FFFFFF"/>
        </w:rPr>
        <w:t>5.</w:t>
      </w:r>
      <w:r w:rsidRPr="00233915">
        <w:rPr>
          <w:iCs/>
          <w:snapToGrid w:val="0"/>
          <w:szCs w:val="22"/>
          <w:shd w:val="clear" w:color="auto" w:fill="FFFFFF"/>
        </w:rPr>
        <w:tab/>
      </w:r>
      <w:r w:rsidRPr="000D1A7C">
        <w:rPr>
          <w:i/>
          <w:snapToGrid w:val="0"/>
          <w:szCs w:val="22"/>
          <w:shd w:val="clear" w:color="auto" w:fill="FFFFFF"/>
        </w:rPr>
        <w:t>R</w:t>
      </w:r>
      <w:r w:rsidRPr="00A73566">
        <w:rPr>
          <w:i/>
          <w:snapToGrid w:val="0"/>
          <w:szCs w:val="22"/>
        </w:rPr>
        <w:t>equests</w:t>
      </w:r>
      <w:r w:rsidRPr="00A73566">
        <w:rPr>
          <w:snapToGrid w:val="0"/>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40" w:history="1">
        <w:r w:rsidRPr="00A73566">
          <w:rPr>
            <w:rStyle w:val="Hyperlink"/>
            <w:snapToGrid w:val="0"/>
            <w:kern w:val="22"/>
            <w:sz w:val="22"/>
            <w:szCs w:val="22"/>
            <w:u w:val="none"/>
          </w:rPr>
          <w:t>X/29</w:t>
        </w:r>
      </w:hyperlink>
      <w:r w:rsidRPr="00A73566">
        <w:rPr>
          <w:snapToGrid w:val="0"/>
        </w:rPr>
        <w:t xml:space="preserve">, </w:t>
      </w:r>
      <w:hyperlink r:id="rId41" w:history="1">
        <w:r w:rsidRPr="00A73566">
          <w:rPr>
            <w:rStyle w:val="Hyperlink"/>
            <w:snapToGrid w:val="0"/>
            <w:kern w:val="22"/>
            <w:sz w:val="22"/>
            <w:szCs w:val="22"/>
            <w:u w:val="none"/>
          </w:rPr>
          <w:t>XI/17</w:t>
        </w:r>
      </w:hyperlink>
      <w:r w:rsidRPr="00A73566">
        <w:rPr>
          <w:snapToGrid w:val="0"/>
        </w:rPr>
        <w:t xml:space="preserve">, </w:t>
      </w:r>
      <w:hyperlink r:id="rId42" w:history="1">
        <w:r w:rsidRPr="00A73566">
          <w:rPr>
            <w:rStyle w:val="Hyperlink"/>
            <w:snapToGrid w:val="0"/>
            <w:kern w:val="22"/>
            <w:sz w:val="22"/>
            <w:szCs w:val="22"/>
            <w:u w:val="none"/>
          </w:rPr>
          <w:t>XII/22</w:t>
        </w:r>
      </w:hyperlink>
      <w:r w:rsidRPr="00A73566">
        <w:rPr>
          <w:snapToGrid w:val="0"/>
        </w:rPr>
        <w:t xml:space="preserve">, </w:t>
      </w:r>
      <w:hyperlink r:id="rId43" w:history="1">
        <w:r w:rsidRPr="00A73566">
          <w:rPr>
            <w:rStyle w:val="Hyperlink"/>
            <w:snapToGrid w:val="0"/>
            <w:kern w:val="22"/>
            <w:sz w:val="22"/>
            <w:szCs w:val="22"/>
            <w:u w:val="none"/>
          </w:rPr>
          <w:t>XIII/12</w:t>
        </w:r>
      </w:hyperlink>
      <w:r w:rsidRPr="00A73566">
        <w:rPr>
          <w:rStyle w:val="Hyperlink"/>
          <w:snapToGrid w:val="0"/>
          <w:color w:val="auto"/>
          <w:kern w:val="22"/>
          <w:sz w:val="22"/>
          <w:szCs w:val="22"/>
          <w:u w:val="none"/>
        </w:rPr>
        <w:t xml:space="preserve"> and </w:t>
      </w:r>
      <w:hyperlink r:id="rId44" w:history="1">
        <w:r w:rsidRPr="00A73566">
          <w:rPr>
            <w:rStyle w:val="Hyperlink"/>
            <w:snapToGrid w:val="0"/>
            <w:kern w:val="22"/>
            <w:sz w:val="22"/>
            <w:szCs w:val="22"/>
            <w:u w:val="none"/>
          </w:rPr>
          <w:t>14/9</w:t>
        </w:r>
      </w:hyperlink>
      <w:r w:rsidRPr="00A73566">
        <w:rPr>
          <w:snapToGrid w:val="0"/>
        </w:rPr>
        <w:t>.</w:t>
      </w:r>
      <w:r>
        <w:rPr>
          <w:snapToGrid w:val="0"/>
        </w:rPr>
        <w:t xml:space="preserve"> </w:t>
      </w:r>
    </w:p>
    <w:p w14:paraId="5AC5186E" w14:textId="77777777" w:rsidR="00963618" w:rsidRPr="00EE1115" w:rsidRDefault="00963618" w:rsidP="00A8574C">
      <w:pPr>
        <w:spacing w:before="240"/>
        <w:jc w:val="center"/>
        <w:rPr>
          <w:bCs/>
          <w:szCs w:val="22"/>
        </w:rPr>
      </w:pPr>
      <w:r w:rsidRPr="00EE1115">
        <w:rPr>
          <w:bCs/>
          <w:i/>
          <w:szCs w:val="22"/>
        </w:rPr>
        <w:t>Addendum</w:t>
      </w:r>
    </w:p>
    <w:p w14:paraId="564721A8" w14:textId="77777777" w:rsidR="00963618" w:rsidRPr="00EE1115" w:rsidRDefault="00963618" w:rsidP="00EE1115">
      <w:pPr>
        <w:keepNext/>
        <w:spacing w:before="120" w:after="120"/>
        <w:jc w:val="center"/>
        <w:rPr>
          <w:rFonts w:ascii="Times New Roman Bold" w:hAnsi="Times New Roman Bold"/>
          <w:b/>
          <w:bCs/>
          <w:kern w:val="22"/>
          <w:szCs w:val="22"/>
        </w:rPr>
      </w:pPr>
      <w:r w:rsidRPr="00EE1115">
        <w:rPr>
          <w:rFonts w:ascii="Times New Roman Bold" w:hAnsi="Times New Roman Bold"/>
          <w:b/>
          <w:bCs/>
          <w:kern w:val="22"/>
          <w:szCs w:val="22"/>
        </w:rPr>
        <w:t>SUMMARY REPORT ON THE DESCRIPTION OF AREAS MEETING THE SCIENTIFIC CRITERIA FOR ECOLOGICALLY OR BIOLOGICALLY SIGNIFICANT MARINE AREAS IN THE NORTH-EAST ATLANTIC OCEAN AND ADJACENT AREAS</w:t>
      </w:r>
    </w:p>
    <w:p w14:paraId="01E300E1" w14:textId="77777777" w:rsidR="00963618" w:rsidRPr="00EE1115" w:rsidRDefault="00963618" w:rsidP="006514DB">
      <w:pPr>
        <w:jc w:val="center"/>
        <w:rPr>
          <w:b/>
          <w:bCs/>
          <w:szCs w:val="22"/>
        </w:rPr>
      </w:pPr>
      <w:r w:rsidRPr="00EE1115">
        <w:rPr>
          <w:b/>
          <w:bCs/>
          <w:szCs w:val="22"/>
        </w:rPr>
        <w:t>BACKGROUND</w:t>
      </w:r>
    </w:p>
    <w:p w14:paraId="7CA558DA" w14:textId="5EB51052" w:rsidR="00963618" w:rsidRPr="00EE1115" w:rsidRDefault="00963618" w:rsidP="006514DB">
      <w:pPr>
        <w:pStyle w:val="Para1"/>
        <w:numPr>
          <w:ilvl w:val="0"/>
          <w:numId w:val="0"/>
        </w:numPr>
        <w:suppressLineNumbers/>
        <w:suppressAutoHyphens/>
        <w:kinsoku w:val="0"/>
      </w:pPr>
      <w:r w:rsidRPr="00EE1115">
        <w:rPr>
          <w:lang w:eastAsia="en-GB"/>
        </w:rPr>
        <w:t>1.</w:t>
      </w:r>
      <w:r w:rsidRPr="00EE1115">
        <w:rPr>
          <w:lang w:eastAsia="en-GB"/>
        </w:rPr>
        <w:tab/>
        <w:t xml:space="preserve">Pursuant to decision </w:t>
      </w:r>
      <w:hyperlink r:id="rId45" w:history="1">
        <w:r w:rsidRPr="00EE1115">
          <w:rPr>
            <w:rStyle w:val="Hyperlink"/>
            <w:sz w:val="22"/>
            <w:lang w:eastAsia="en-GB"/>
          </w:rPr>
          <w:t>X/29</w:t>
        </w:r>
      </w:hyperlink>
      <w:r w:rsidRPr="00EE1115">
        <w:rPr>
          <w:lang w:eastAsia="en-GB"/>
        </w:rPr>
        <w:t xml:space="preserve">, paragraph 36, decision </w:t>
      </w:r>
      <w:hyperlink r:id="rId46" w:history="1">
        <w:r w:rsidRPr="00EE1115">
          <w:rPr>
            <w:rStyle w:val="Hyperlink"/>
            <w:sz w:val="22"/>
            <w:lang w:eastAsia="en-GB"/>
          </w:rPr>
          <w:t>XI/17</w:t>
        </w:r>
      </w:hyperlink>
      <w:r w:rsidRPr="00EE1115">
        <w:rPr>
          <w:lang w:eastAsia="en-GB"/>
        </w:rPr>
        <w:t xml:space="preserve">, paragraph 12, decision </w:t>
      </w:r>
      <w:hyperlink r:id="rId47" w:history="1">
        <w:r w:rsidRPr="00EE1115">
          <w:rPr>
            <w:rStyle w:val="Hyperlink"/>
            <w:sz w:val="22"/>
            <w:lang w:eastAsia="en-GB"/>
          </w:rPr>
          <w:t>XII/22</w:t>
        </w:r>
      </w:hyperlink>
      <w:r w:rsidRPr="00EE1115">
        <w:rPr>
          <w:lang w:eastAsia="en-GB"/>
        </w:rPr>
        <w:t xml:space="preserve">, paragraph 6, decision </w:t>
      </w:r>
      <w:hyperlink r:id="rId48" w:history="1">
        <w:r w:rsidRPr="00EE1115">
          <w:rPr>
            <w:rStyle w:val="Hyperlink"/>
            <w:sz w:val="22"/>
            <w:lang w:eastAsia="en-GB"/>
          </w:rPr>
          <w:t>XIII/12</w:t>
        </w:r>
      </w:hyperlink>
      <w:r w:rsidRPr="00EE1115">
        <w:rPr>
          <w:lang w:eastAsia="en-GB"/>
        </w:rPr>
        <w:t xml:space="preserve">, paragraph 8, and decision </w:t>
      </w:r>
      <w:hyperlink r:id="rId49" w:history="1">
        <w:r w:rsidRPr="00EE1115">
          <w:rPr>
            <w:rStyle w:val="Hyperlink"/>
            <w:sz w:val="22"/>
            <w:lang w:eastAsia="en-GB"/>
          </w:rPr>
          <w:t>14/9</w:t>
        </w:r>
      </w:hyperlink>
      <w:r w:rsidRPr="00EE1115">
        <w:rPr>
          <w:lang w:eastAsia="en-GB"/>
        </w:rPr>
        <w:t>, paragraph 4, a regional workshop was convened by the Executive Secretary of the Convention on Biological Diversity to facilitate the description of ecologically or biologically significant marine areas (EBSAs) in the North-East Atlantic Ocean (Stockholm, 23-27 September 2019).</w:t>
      </w:r>
      <w:r w:rsidRPr="00610646">
        <w:rPr>
          <w:rStyle w:val="FootnoteReference"/>
        </w:rPr>
        <w:footnoteReference w:id="333"/>
      </w:r>
    </w:p>
    <w:p w14:paraId="6E4EAE56" w14:textId="77777777" w:rsidR="00963618" w:rsidRPr="00EE1115" w:rsidRDefault="00963618" w:rsidP="006514DB">
      <w:pPr>
        <w:pStyle w:val="Para1"/>
        <w:numPr>
          <w:ilvl w:val="0"/>
          <w:numId w:val="0"/>
        </w:numPr>
        <w:suppressLineNumbers/>
        <w:suppressAutoHyphens/>
        <w:kinsoku w:val="0"/>
      </w:pPr>
      <w:r w:rsidRPr="00EE1115">
        <w:t>2.</w:t>
      </w:r>
      <w:r w:rsidRPr="00EE1115">
        <w:tab/>
        <w:t>The description of areas as meeting the criteria for EBSAs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p>
    <w:p w14:paraId="5B8315D9" w14:textId="77777777" w:rsidR="00963618" w:rsidRPr="00EE1115" w:rsidRDefault="00963618" w:rsidP="006514DB">
      <w:pPr>
        <w:pStyle w:val="Para1"/>
        <w:numPr>
          <w:ilvl w:val="0"/>
          <w:numId w:val="0"/>
        </w:numPr>
        <w:suppressLineNumbers/>
        <w:suppressAutoHyphens/>
        <w:kinsoku w:val="0"/>
      </w:pPr>
      <w:r w:rsidRPr="00EE1115">
        <w:lastRenderedPageBreak/>
        <w:t>3.</w:t>
      </w:r>
      <w:r w:rsidRPr="00EE1115">
        <w:tab/>
        <w:t>Pursuant to decision XI/17, paragraph 12, a summary of the results of this regional workshop is provided in table 1 below, while full descriptions of how the areas meet the criteria for EBSAs are provided in an annex to the report on the workshop.</w:t>
      </w:r>
    </w:p>
    <w:p w14:paraId="4EEA025E" w14:textId="77777777" w:rsidR="00963618" w:rsidRPr="00EE1115" w:rsidRDefault="00963618" w:rsidP="006514DB">
      <w:pPr>
        <w:pStyle w:val="Para1"/>
        <w:numPr>
          <w:ilvl w:val="0"/>
          <w:numId w:val="0"/>
        </w:numPr>
        <w:suppressLineNumbers/>
        <w:suppressAutoHyphens/>
        <w:kinsoku w:val="0"/>
      </w:pPr>
      <w:r w:rsidRPr="00EE1115">
        <w:t>4.</w:t>
      </w:r>
      <w:r w:rsidRPr="00EE1115">
        <w:tab/>
        <w:t xml:space="preserve">In decision X/29, paragraph 26, </w:t>
      </w:r>
      <w:r w:rsidRPr="00EE1115">
        <w:rPr>
          <w:lang w:eastAsia="en-GB"/>
        </w:rPr>
        <w:t xml:space="preserve">the Conference of Parties noted </w:t>
      </w:r>
      <w:r w:rsidRPr="00EE1115">
        <w:t>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EBSAs and the selection of conservation and management measures is a matter for States and competent intergovernmental organizations, in accordance with international law, including the United Nations Convention on the Law of the Sea.</w:t>
      </w:r>
      <w:r w:rsidRPr="00610646">
        <w:rPr>
          <w:rStyle w:val="FootnoteReference"/>
          <w:rFonts w:eastAsiaTheme="majorEastAsia"/>
        </w:rPr>
        <w:footnoteReference w:id="334"/>
      </w:r>
    </w:p>
    <w:p w14:paraId="0269B681" w14:textId="77777777" w:rsidR="00963618" w:rsidRPr="00EE1115" w:rsidRDefault="00963618" w:rsidP="006514DB">
      <w:pPr>
        <w:pStyle w:val="Para1"/>
        <w:numPr>
          <w:ilvl w:val="0"/>
          <w:numId w:val="0"/>
        </w:numPr>
        <w:suppressLineNumbers/>
        <w:suppressAutoHyphens/>
        <w:kinsoku w:val="0"/>
      </w:pPr>
    </w:p>
    <w:p w14:paraId="2C8B2AFC" w14:textId="77777777" w:rsidR="00963618" w:rsidRPr="00EE1115" w:rsidRDefault="00963618" w:rsidP="006514DB">
      <w:pPr>
        <w:rPr>
          <w:rStyle w:val="Emphasis"/>
          <w:b/>
          <w:bCs/>
          <w:i w:val="0"/>
          <w:snapToGrid w:val="0"/>
          <w:kern w:val="22"/>
          <w:szCs w:val="22"/>
        </w:rPr>
      </w:pPr>
      <w:r w:rsidRPr="00EE1115">
        <w:rPr>
          <w:rStyle w:val="Emphasis"/>
          <w:b/>
          <w:bCs/>
          <w:snapToGrid w:val="0"/>
          <w:kern w:val="22"/>
          <w:szCs w:val="22"/>
        </w:rPr>
        <w:t>Key to the tables</w:t>
      </w:r>
      <w:r w:rsidRPr="00EE1115">
        <w:rPr>
          <w:rStyle w:val="Emphasis"/>
          <w:b/>
          <w:bCs/>
          <w:snapToGrid w:val="0"/>
          <w:kern w:val="22"/>
          <w:szCs w:val="22"/>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2"/>
        <w:gridCol w:w="5376"/>
      </w:tblGrid>
      <w:tr w:rsidR="00963618" w:rsidRPr="009563A9" w14:paraId="62058677" w14:textId="77777777" w:rsidTr="00117478">
        <w:tc>
          <w:tcPr>
            <w:tcW w:w="3590" w:type="dxa"/>
            <w:shd w:val="clear" w:color="auto" w:fill="auto"/>
          </w:tcPr>
          <w:p w14:paraId="71FCE142" w14:textId="77777777" w:rsidR="00963618" w:rsidRPr="00EE1115" w:rsidRDefault="00963618"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EE1115">
              <w:rPr>
                <w:rFonts w:eastAsia="MS Mincho"/>
                <w:b/>
                <w:snapToGrid w:val="0"/>
                <w:kern w:val="22"/>
                <w:szCs w:val="22"/>
              </w:rPr>
              <w:t>RANKING OF EBSA CRITERIA</w:t>
            </w:r>
          </w:p>
          <w:p w14:paraId="0D5A9E69" w14:textId="77777777" w:rsidR="00963618" w:rsidRPr="00EE1115" w:rsidRDefault="00963618" w:rsidP="00117478">
            <w:pPr>
              <w:suppressLineNumbers/>
              <w:suppressAutoHyphens/>
              <w:kinsoku w:val="0"/>
              <w:overflowPunct w:val="0"/>
              <w:autoSpaceDE w:val="0"/>
              <w:autoSpaceDN w:val="0"/>
              <w:snapToGrid w:val="0"/>
              <w:rPr>
                <w:rFonts w:eastAsia="MS Mincho"/>
                <w:b/>
                <w:snapToGrid w:val="0"/>
                <w:kern w:val="22"/>
                <w:szCs w:val="22"/>
              </w:rPr>
            </w:pPr>
            <w:r w:rsidRPr="00EE1115">
              <w:rPr>
                <w:rFonts w:eastAsia="MS Mincho"/>
                <w:b/>
                <w:snapToGrid w:val="0"/>
                <w:kern w:val="22"/>
                <w:szCs w:val="22"/>
              </w:rPr>
              <w:t>Relevance</w:t>
            </w:r>
          </w:p>
          <w:p w14:paraId="687BD851" w14:textId="77777777" w:rsidR="00963618" w:rsidRPr="00EE1115" w:rsidRDefault="00963618"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H:</w:t>
            </w:r>
            <w:r w:rsidRPr="00EE1115">
              <w:rPr>
                <w:rFonts w:eastAsia="MS Mincho"/>
                <w:b/>
                <w:snapToGrid w:val="0"/>
                <w:kern w:val="22"/>
                <w:szCs w:val="22"/>
              </w:rPr>
              <w:tab/>
              <w:t>High</w:t>
            </w:r>
          </w:p>
          <w:p w14:paraId="722681C6" w14:textId="77777777" w:rsidR="00963618" w:rsidRPr="00EE1115" w:rsidRDefault="00963618"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M:</w:t>
            </w:r>
            <w:r w:rsidRPr="00EE1115">
              <w:rPr>
                <w:rFonts w:eastAsia="MS Mincho"/>
                <w:b/>
                <w:snapToGrid w:val="0"/>
                <w:kern w:val="22"/>
                <w:szCs w:val="22"/>
              </w:rPr>
              <w:tab/>
              <w:t>Medium</w:t>
            </w:r>
          </w:p>
          <w:p w14:paraId="4A4D8DC7" w14:textId="77777777" w:rsidR="00963618" w:rsidRPr="00EE1115" w:rsidRDefault="00963618"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EE1115">
              <w:rPr>
                <w:rFonts w:eastAsia="MS Mincho"/>
                <w:b/>
                <w:snapToGrid w:val="0"/>
                <w:kern w:val="22"/>
                <w:szCs w:val="22"/>
              </w:rPr>
              <w:t>L:</w:t>
            </w:r>
            <w:r w:rsidRPr="00EE1115">
              <w:rPr>
                <w:rFonts w:eastAsia="MS Mincho"/>
                <w:b/>
                <w:snapToGrid w:val="0"/>
                <w:kern w:val="22"/>
                <w:szCs w:val="22"/>
              </w:rPr>
              <w:tab/>
              <w:t>Low</w:t>
            </w:r>
          </w:p>
          <w:p w14:paraId="1C44E715" w14:textId="77777777" w:rsidR="00963618" w:rsidRPr="00EE1115" w:rsidRDefault="00963618" w:rsidP="00117478">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sidRPr="00EE1115">
              <w:rPr>
                <w:rFonts w:eastAsia="MS Mincho"/>
                <w:b/>
                <w:snapToGrid w:val="0"/>
                <w:kern w:val="22"/>
                <w:szCs w:val="22"/>
              </w:rPr>
              <w:t>-:</w:t>
            </w:r>
            <w:r w:rsidRPr="00EE1115">
              <w:rPr>
                <w:rFonts w:eastAsia="MS Mincho"/>
                <w:b/>
                <w:snapToGrid w:val="0"/>
                <w:kern w:val="22"/>
                <w:szCs w:val="22"/>
              </w:rPr>
              <w:tab/>
              <w:t>No information</w:t>
            </w:r>
          </w:p>
          <w:p w14:paraId="1A61D7AA" w14:textId="77777777" w:rsidR="00963618" w:rsidRPr="00EE1115" w:rsidRDefault="00963618" w:rsidP="00117478">
            <w:pPr>
              <w:suppressLineNumbers/>
              <w:suppressAutoHyphens/>
              <w:kinsoku w:val="0"/>
              <w:overflowPunct w:val="0"/>
              <w:autoSpaceDE w:val="0"/>
              <w:autoSpaceDN w:val="0"/>
              <w:snapToGrid w:val="0"/>
              <w:ind w:left="360"/>
              <w:rPr>
                <w:b/>
                <w:snapToGrid w:val="0"/>
                <w:kern w:val="22"/>
                <w:szCs w:val="22"/>
              </w:rPr>
            </w:pPr>
          </w:p>
        </w:tc>
        <w:tc>
          <w:tcPr>
            <w:tcW w:w="5452" w:type="dxa"/>
          </w:tcPr>
          <w:p w14:paraId="369B4FBA" w14:textId="77777777" w:rsidR="00963618" w:rsidRPr="00EE1115" w:rsidRDefault="00963618"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EE1115">
              <w:rPr>
                <w:rFonts w:eastAsia="MS Mincho"/>
                <w:b/>
                <w:snapToGrid w:val="0"/>
                <w:kern w:val="22"/>
                <w:szCs w:val="22"/>
              </w:rPr>
              <w:t>CRITERIA</w:t>
            </w:r>
          </w:p>
          <w:p w14:paraId="7F4E6A88"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C1</w:t>
            </w:r>
            <w:r w:rsidRPr="00EE1115">
              <w:rPr>
                <w:snapToGrid w:val="0"/>
                <w:color w:val="000000"/>
                <w:kern w:val="22"/>
                <w:szCs w:val="22"/>
              </w:rPr>
              <w:t xml:space="preserve">: Uniqueness or rarity </w:t>
            </w:r>
          </w:p>
          <w:p w14:paraId="7E59ED0C"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C2</w:t>
            </w:r>
            <w:r w:rsidRPr="00EE1115">
              <w:rPr>
                <w:snapToGrid w:val="0"/>
                <w:color w:val="000000"/>
                <w:kern w:val="22"/>
                <w:szCs w:val="22"/>
              </w:rPr>
              <w:t>: Special importance for life-history stages of species</w:t>
            </w:r>
          </w:p>
          <w:p w14:paraId="5AE7D91F"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C3</w:t>
            </w:r>
            <w:r w:rsidRPr="00EE1115">
              <w:rPr>
                <w:snapToGrid w:val="0"/>
                <w:color w:val="000000"/>
                <w:kern w:val="22"/>
                <w:szCs w:val="22"/>
              </w:rPr>
              <w:t>: Importance for threatened, endangered or declining species and/or habitats</w:t>
            </w:r>
          </w:p>
          <w:p w14:paraId="0B816C88"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C4</w:t>
            </w:r>
            <w:r w:rsidRPr="00EE1115">
              <w:rPr>
                <w:snapToGrid w:val="0"/>
                <w:color w:val="000000"/>
                <w:kern w:val="22"/>
                <w:szCs w:val="22"/>
              </w:rPr>
              <w:t>: Vulnerability, fragility, sensitivity, or slow recovery</w:t>
            </w:r>
          </w:p>
          <w:p w14:paraId="7F2D50F4"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C5</w:t>
            </w:r>
            <w:r w:rsidRPr="00EE1115">
              <w:rPr>
                <w:snapToGrid w:val="0"/>
                <w:color w:val="000000"/>
                <w:kern w:val="22"/>
                <w:szCs w:val="22"/>
              </w:rPr>
              <w:t>: Biological productivity</w:t>
            </w:r>
          </w:p>
          <w:p w14:paraId="08879FA6"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color w:val="000000"/>
                <w:kern w:val="22"/>
                <w:szCs w:val="22"/>
              </w:rPr>
            </w:pPr>
            <w:r w:rsidRPr="00EE1115">
              <w:rPr>
                <w:b/>
                <w:snapToGrid w:val="0"/>
                <w:color w:val="000000"/>
                <w:kern w:val="22"/>
                <w:szCs w:val="22"/>
              </w:rPr>
              <w:t>C6</w:t>
            </w:r>
            <w:r w:rsidRPr="00EE1115">
              <w:rPr>
                <w:snapToGrid w:val="0"/>
                <w:color w:val="000000"/>
                <w:kern w:val="22"/>
                <w:szCs w:val="22"/>
              </w:rPr>
              <w:t>: Biological diversity</w:t>
            </w:r>
          </w:p>
          <w:p w14:paraId="56045249" w14:textId="77777777" w:rsidR="00963618" w:rsidRPr="00EE1115" w:rsidRDefault="00963618" w:rsidP="00950BE4">
            <w:pPr>
              <w:numPr>
                <w:ilvl w:val="0"/>
                <w:numId w:val="66"/>
              </w:numPr>
              <w:suppressLineNumbers/>
              <w:suppressAutoHyphens/>
              <w:kinsoku w:val="0"/>
              <w:overflowPunct w:val="0"/>
              <w:autoSpaceDE w:val="0"/>
              <w:autoSpaceDN w:val="0"/>
              <w:snapToGrid w:val="0"/>
              <w:jc w:val="left"/>
              <w:rPr>
                <w:snapToGrid w:val="0"/>
                <w:kern w:val="22"/>
                <w:szCs w:val="22"/>
              </w:rPr>
            </w:pPr>
            <w:r w:rsidRPr="00EE1115">
              <w:rPr>
                <w:b/>
                <w:snapToGrid w:val="0"/>
                <w:color w:val="000000"/>
                <w:kern w:val="22"/>
                <w:szCs w:val="22"/>
              </w:rPr>
              <w:t>C7</w:t>
            </w:r>
            <w:r w:rsidRPr="00EE1115">
              <w:rPr>
                <w:snapToGrid w:val="0"/>
                <w:color w:val="000000"/>
                <w:kern w:val="22"/>
                <w:szCs w:val="22"/>
              </w:rPr>
              <w:t>: Naturalness</w:t>
            </w:r>
          </w:p>
          <w:p w14:paraId="7ED59016" w14:textId="77777777" w:rsidR="00963618" w:rsidRPr="00EE1115" w:rsidRDefault="00963618" w:rsidP="00117478">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0904616B" w14:textId="77777777" w:rsidR="00963618" w:rsidRPr="00FD6CDE" w:rsidRDefault="00963618" w:rsidP="006514DB">
      <w:pPr>
        <w:jc w:val="center"/>
        <w:rPr>
          <w:b/>
          <w:bCs/>
          <w:sz w:val="20"/>
          <w:szCs w:val="20"/>
        </w:rPr>
        <w:sectPr w:rsidR="00963618" w:rsidRPr="00FD6CDE" w:rsidSect="006902DB">
          <w:headerReference w:type="even" r:id="rId50"/>
          <w:footerReference w:type="even" r:id="rId51"/>
          <w:footnotePr>
            <w:numRestart w:val="eachSect"/>
          </w:footnotePr>
          <w:pgSz w:w="12240" w:h="15840"/>
          <w:pgMar w:top="567" w:right="1389" w:bottom="1134" w:left="1389" w:header="709" w:footer="709" w:gutter="0"/>
          <w:cols w:space="708"/>
          <w:docGrid w:linePitch="360"/>
        </w:sectPr>
      </w:pPr>
    </w:p>
    <w:p w14:paraId="081A05B7" w14:textId="77777777" w:rsidR="00963618" w:rsidRPr="00FD6CDE" w:rsidRDefault="00963618" w:rsidP="006514DB">
      <w:pPr>
        <w:pStyle w:val="Header"/>
        <w:suppressLineNumbers/>
        <w:suppressAutoHyphens/>
        <w:kinsoku w:val="0"/>
        <w:overflowPunct w:val="0"/>
        <w:autoSpaceDE w:val="0"/>
        <w:autoSpaceDN w:val="0"/>
        <w:jc w:val="left"/>
        <w:rPr>
          <w:b/>
          <w:snapToGrid w:val="0"/>
          <w:kern w:val="22"/>
          <w:sz w:val="20"/>
          <w:szCs w:val="20"/>
        </w:rPr>
      </w:pPr>
      <w:r w:rsidRPr="00FD6CDE">
        <w:rPr>
          <w:b/>
          <w:snapToGrid w:val="0"/>
          <w:kern w:val="22"/>
          <w:sz w:val="20"/>
          <w:szCs w:val="20"/>
        </w:rPr>
        <w:lastRenderedPageBreak/>
        <w:t>Table 1. Description of areas meeting the EBSA criteria in the North-East Atlantic Ocean and adjacent areas</w:t>
      </w:r>
    </w:p>
    <w:p w14:paraId="6959E7AA" w14:textId="63400F5A" w:rsidR="00963618" w:rsidRPr="00FD6CDE" w:rsidRDefault="00963618" w:rsidP="006514DB">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sz w:val="20"/>
          <w:szCs w:val="20"/>
        </w:rPr>
      </w:pPr>
      <w:r w:rsidRPr="00FD6CDE">
        <w:rPr>
          <w:i/>
          <w:iCs/>
          <w:snapToGrid w:val="0"/>
          <w:kern w:val="22"/>
          <w:sz w:val="20"/>
          <w:szCs w:val="20"/>
        </w:rPr>
        <w:t xml:space="preserve">(Details are provided in </w:t>
      </w:r>
      <w:r w:rsidRPr="00FD6CDE">
        <w:rPr>
          <w:i/>
          <w:iCs/>
          <w:snapToGrid w:val="0"/>
          <w:kern w:val="22"/>
          <w:sz w:val="20"/>
          <w:szCs w:val="20"/>
          <w:lang w:eastAsia="ko-KR"/>
        </w:rPr>
        <w:t xml:space="preserve">the </w:t>
      </w:r>
      <w:r w:rsidRPr="00FD6CDE">
        <w:rPr>
          <w:i/>
          <w:iCs/>
          <w:snapToGrid w:val="0"/>
          <w:kern w:val="22"/>
          <w:sz w:val="20"/>
          <w:szCs w:val="20"/>
        </w:rPr>
        <w:t>report of the Regional Workshop to Facilitate the Description of Ecologically or Biologically Significant Marine Areas in the North-East Atlantic Ocean (</w:t>
      </w:r>
      <w:hyperlink r:id="rId52" w:history="1">
        <w:r w:rsidRPr="00FD6CDE">
          <w:rPr>
            <w:rStyle w:val="Hyperlink"/>
            <w:iCs/>
            <w:sz w:val="20"/>
            <w:szCs w:val="20"/>
          </w:rPr>
          <w:t>CBD/EBSA/WS/2019/1/4</w:t>
        </w:r>
      </w:hyperlink>
      <w:r w:rsidRPr="00FD6CDE">
        <w:rPr>
          <w:i/>
          <w:iCs/>
          <w:snapToGrid w:val="0"/>
          <w:kern w:val="22"/>
          <w:sz w:val="20"/>
          <w:szCs w:val="20"/>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963618" w:rsidRPr="00FD6CDE" w14:paraId="46EA695B" w14:textId="77777777" w:rsidTr="00117478">
        <w:trPr>
          <w:trHeight w:val="264"/>
          <w:tblHeader/>
        </w:trPr>
        <w:tc>
          <w:tcPr>
            <w:tcW w:w="9687" w:type="dxa"/>
            <w:vMerge w:val="restart"/>
            <w:shd w:val="clear" w:color="auto" w:fill="auto"/>
          </w:tcPr>
          <w:p w14:paraId="391948B7"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Location and brief description of areas</w:t>
            </w:r>
          </w:p>
        </w:tc>
        <w:tc>
          <w:tcPr>
            <w:tcW w:w="506" w:type="dxa"/>
          </w:tcPr>
          <w:p w14:paraId="1A0753CC"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C1</w:t>
            </w:r>
          </w:p>
        </w:tc>
        <w:tc>
          <w:tcPr>
            <w:tcW w:w="506" w:type="dxa"/>
          </w:tcPr>
          <w:p w14:paraId="26267F3F"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C2</w:t>
            </w:r>
          </w:p>
        </w:tc>
        <w:tc>
          <w:tcPr>
            <w:tcW w:w="506" w:type="dxa"/>
          </w:tcPr>
          <w:p w14:paraId="2DEC47F7"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C3</w:t>
            </w:r>
          </w:p>
        </w:tc>
        <w:tc>
          <w:tcPr>
            <w:tcW w:w="506" w:type="dxa"/>
          </w:tcPr>
          <w:p w14:paraId="5C918B6C"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C4</w:t>
            </w:r>
          </w:p>
        </w:tc>
        <w:tc>
          <w:tcPr>
            <w:tcW w:w="506" w:type="dxa"/>
          </w:tcPr>
          <w:p w14:paraId="569E8D05"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C5</w:t>
            </w:r>
          </w:p>
        </w:tc>
        <w:tc>
          <w:tcPr>
            <w:tcW w:w="506" w:type="dxa"/>
          </w:tcPr>
          <w:p w14:paraId="1B94CA0B"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C6</w:t>
            </w:r>
          </w:p>
        </w:tc>
        <w:tc>
          <w:tcPr>
            <w:tcW w:w="507" w:type="dxa"/>
          </w:tcPr>
          <w:p w14:paraId="3617B794"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b/>
                <w:snapToGrid w:val="0"/>
                <w:kern w:val="22"/>
                <w:sz w:val="20"/>
                <w:szCs w:val="20"/>
              </w:rPr>
              <w:t>C7</w:t>
            </w:r>
          </w:p>
        </w:tc>
      </w:tr>
      <w:tr w:rsidR="00963618" w:rsidRPr="00FD6CDE" w14:paraId="01164C4D" w14:textId="77777777" w:rsidTr="00117478">
        <w:trPr>
          <w:trHeight w:val="264"/>
          <w:tblHeader/>
        </w:trPr>
        <w:tc>
          <w:tcPr>
            <w:tcW w:w="9687" w:type="dxa"/>
            <w:vMerge/>
            <w:shd w:val="clear" w:color="auto" w:fill="auto"/>
          </w:tcPr>
          <w:p w14:paraId="29D89191"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p>
        </w:tc>
        <w:tc>
          <w:tcPr>
            <w:tcW w:w="3543" w:type="dxa"/>
            <w:gridSpan w:val="7"/>
          </w:tcPr>
          <w:p w14:paraId="7455226B" w14:textId="77777777" w:rsidR="00963618" w:rsidRPr="00FD6CDE" w:rsidRDefault="00963618" w:rsidP="00117478">
            <w:pPr>
              <w:suppressLineNumbers/>
              <w:suppressAutoHyphens/>
              <w:kinsoku w:val="0"/>
              <w:overflowPunct w:val="0"/>
              <w:autoSpaceDE w:val="0"/>
              <w:autoSpaceDN w:val="0"/>
              <w:snapToGrid w:val="0"/>
              <w:jc w:val="center"/>
              <w:rPr>
                <w:b/>
                <w:snapToGrid w:val="0"/>
                <w:kern w:val="22"/>
                <w:sz w:val="20"/>
                <w:szCs w:val="20"/>
              </w:rPr>
            </w:pPr>
            <w:r w:rsidRPr="00FD6CDE">
              <w:rPr>
                <w:snapToGrid w:val="0"/>
                <w:kern w:val="22"/>
                <w:sz w:val="20"/>
                <w:szCs w:val="20"/>
              </w:rPr>
              <w:t>See the above key to the tables</w:t>
            </w:r>
          </w:p>
        </w:tc>
      </w:tr>
      <w:tr w:rsidR="00963618" w:rsidRPr="00FD6CDE" w14:paraId="56535517" w14:textId="77777777" w:rsidTr="00117478">
        <w:tc>
          <w:tcPr>
            <w:tcW w:w="9687" w:type="dxa"/>
            <w:shd w:val="clear" w:color="auto" w:fill="auto"/>
          </w:tcPr>
          <w:p w14:paraId="4F79C8F7"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 Danish Skagerrak</w:t>
            </w:r>
          </w:p>
          <w:p w14:paraId="0E1F7EE8" w14:textId="77777777" w:rsidR="00963618" w:rsidRPr="00FD6CDE" w:rsidRDefault="00963618" w:rsidP="00950BE4">
            <w:pPr>
              <w:numPr>
                <w:ilvl w:val="0"/>
                <w:numId w:val="67"/>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This area is situated in the Danish part of the Skagerrak. The area reaches westwards to 6°45’E, to Skagen, the northern tip of Jutland, and stretches northeast from Skagen. It comprises an area of 7,876 km</w:t>
            </w:r>
            <w:r w:rsidRPr="00FD6CDE">
              <w:rPr>
                <w:snapToGrid w:val="0"/>
                <w:kern w:val="22"/>
                <w:sz w:val="20"/>
                <w:szCs w:val="20"/>
                <w:vertAlign w:val="superscript"/>
              </w:rPr>
              <w:t>2</w:t>
            </w:r>
            <w:r w:rsidRPr="00FD6CDE">
              <w:rPr>
                <w:snapToGrid w:val="0"/>
                <w:kern w:val="22"/>
                <w:sz w:val="20"/>
                <w:szCs w:val="20"/>
              </w:rPr>
              <w:t xml:space="preserve"> and reaches depths from the coastline to 465m. The northern and western parts cover the southern reach of the Norwegian Trench.</w:t>
            </w:r>
          </w:p>
          <w:p w14:paraId="69543AAF" w14:textId="77777777" w:rsidR="00963618" w:rsidRPr="00FD6CDE" w:rsidRDefault="00963618" w:rsidP="00950BE4">
            <w:pPr>
              <w:numPr>
                <w:ilvl w:val="0"/>
                <w:numId w:val="67"/>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This area focuses on a highly productive upwelling zone along the southern edge of the Norwegian Trench. This area has high fish biomass and diversity, and the upwelling zone also provides valuable feeding grounds for a number of cetacean and bird species.</w:t>
            </w:r>
          </w:p>
        </w:tc>
        <w:tc>
          <w:tcPr>
            <w:tcW w:w="506" w:type="dxa"/>
            <w:vAlign w:val="center"/>
          </w:tcPr>
          <w:p w14:paraId="5F5C327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F084EA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CBF2814"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C714A07"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c>
          <w:tcPr>
            <w:tcW w:w="506" w:type="dxa"/>
            <w:vAlign w:val="center"/>
          </w:tcPr>
          <w:p w14:paraId="6131C25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CF853C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7" w:type="dxa"/>
            <w:vAlign w:val="center"/>
          </w:tcPr>
          <w:p w14:paraId="6DB1BAA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963618" w:rsidRPr="00FD6CDE" w14:paraId="7B98CE90" w14:textId="77777777" w:rsidTr="00117478">
        <w:tc>
          <w:tcPr>
            <w:tcW w:w="9687" w:type="dxa"/>
            <w:shd w:val="clear" w:color="auto" w:fill="auto"/>
          </w:tcPr>
          <w:p w14:paraId="55F42FE4"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2. Danish Kattegat</w:t>
            </w:r>
          </w:p>
          <w:p w14:paraId="13DE242F" w14:textId="2B99C950" w:rsidR="00963618" w:rsidRPr="00FD6CDE" w:rsidRDefault="00963618" w:rsidP="00950BE4">
            <w:pPr>
              <w:numPr>
                <w:ilvl w:val="0"/>
                <w:numId w:val="67"/>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The Kattegat area comprises the northern part of the inner Danish waters. It is bordered to the south by the north coast of Sealand, to the west by the northeast Jutland coast, to the east by the Danish-Swedish border and to the north by a line from the northernmost point of Denmark to the northeast. It covers a total area of 14,995 km</w:t>
            </w:r>
            <w:r w:rsidRPr="00FD6CDE">
              <w:rPr>
                <w:snapToGrid w:val="0"/>
                <w:kern w:val="22"/>
                <w:sz w:val="20"/>
                <w:szCs w:val="20"/>
                <w:vertAlign w:val="superscript"/>
              </w:rPr>
              <w:t>2</w:t>
            </w:r>
            <w:r w:rsidRPr="00FD6CDE">
              <w:rPr>
                <w:snapToGrid w:val="0"/>
                <w:kern w:val="22"/>
                <w:sz w:val="20"/>
                <w:szCs w:val="20"/>
              </w:rPr>
              <w:t xml:space="preserve">. The existing EBSA (Area no. 9: Fladen and Stora and Lille Middelgrund), described in the CBD regional EBSA workshop for the Baltic Sea, borders this area </w:t>
            </w:r>
            <w:r w:rsidRPr="00FD6CDE">
              <w:rPr>
                <w:rFonts w:eastAsia="MS Mincho"/>
                <w:sz w:val="20"/>
                <w:szCs w:val="20"/>
              </w:rPr>
              <w:t xml:space="preserve">(see workshop report here: </w:t>
            </w:r>
            <w:hyperlink r:id="rId53" w:history="1">
              <w:r w:rsidRPr="00FD6CDE">
                <w:rPr>
                  <w:rStyle w:val="Hyperlink"/>
                  <w:sz w:val="20"/>
                  <w:szCs w:val="20"/>
                </w:rPr>
                <w:t>https://www.cbd.int/doc/c/aa9a/bde9/eaf24f73bd471d64e8094722/ebsa-ws-2018-01-04-en.pdf</w:t>
              </w:r>
            </w:hyperlink>
            <w:r w:rsidRPr="00FD6CDE">
              <w:rPr>
                <w:sz w:val="20"/>
                <w:szCs w:val="20"/>
              </w:rPr>
              <w:t>)</w:t>
            </w:r>
            <w:r w:rsidRPr="00FD6CDE">
              <w:rPr>
                <w:snapToGrid w:val="0"/>
                <w:kern w:val="22"/>
                <w:sz w:val="20"/>
                <w:szCs w:val="20"/>
              </w:rPr>
              <w:t>.</w:t>
            </w:r>
          </w:p>
          <w:p w14:paraId="4C1ED732" w14:textId="77777777" w:rsidR="00963618" w:rsidRPr="00FD6CDE" w:rsidRDefault="00963618" w:rsidP="00950BE4">
            <w:pPr>
              <w:numPr>
                <w:ilvl w:val="0"/>
                <w:numId w:val="67"/>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The Danish part of Kattegat hosts a landscape comprising shallow sandy flats, deeper muddy channels and areas with boulder reefs and bubbling reefs. The area has a diverse avifauna, with elements from pelagic environments in the North Sea, as well as wintering birds from breeding grounds in the Russian Federation and Scandinavia. Parts of the area are difficult to access for human activities and thus serve as valuable moulting sites for seaducks, such as common scoter and velvet scoter. The area is a meeting site for two subpopulations of harbour porpoise. Eelgrass meadows exist here, although they are smaller than they were in the year 1900. Seaweed forests and rich fauna are found on boulder reefs and bubbling reefs in this area, and infauna communities have high biomasses. Horse-mussel beds are found primarily in the southern part of Kattegat, where they form biogenic reef structures. </w:t>
            </w:r>
            <w:r w:rsidRPr="00FD6CDE">
              <w:rPr>
                <w:rFonts w:eastAsia="MS Mincho"/>
                <w:i/>
                <w:sz w:val="20"/>
                <w:szCs w:val="20"/>
              </w:rPr>
              <w:t xml:space="preserve">Haploops tubicola, </w:t>
            </w:r>
            <w:r w:rsidRPr="00FD6CDE">
              <w:rPr>
                <w:rFonts w:eastAsia="MS Mincho"/>
                <w:sz w:val="20"/>
                <w:szCs w:val="20"/>
              </w:rPr>
              <w:t>a</w:t>
            </w:r>
            <w:r w:rsidRPr="00FD6CDE">
              <w:rPr>
                <w:snapToGrid w:val="0"/>
                <w:kern w:val="22"/>
                <w:sz w:val="20"/>
                <w:szCs w:val="20"/>
              </w:rPr>
              <w:t xml:space="preserve"> small crustacean, is present in the area, but no longer forms a specific habitat with high densities.</w:t>
            </w:r>
          </w:p>
        </w:tc>
        <w:tc>
          <w:tcPr>
            <w:tcW w:w="506" w:type="dxa"/>
            <w:vAlign w:val="center"/>
          </w:tcPr>
          <w:p w14:paraId="563274E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8BA9BC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9F7ECE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74917B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A1EA1B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42FB19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7" w:type="dxa"/>
            <w:vAlign w:val="center"/>
          </w:tcPr>
          <w:p w14:paraId="24BCD735"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963618" w:rsidRPr="00FD6CDE" w14:paraId="7DF38C25" w14:textId="77777777" w:rsidTr="00117478">
        <w:tc>
          <w:tcPr>
            <w:tcW w:w="9687" w:type="dxa"/>
            <w:shd w:val="clear" w:color="auto" w:fill="auto"/>
          </w:tcPr>
          <w:p w14:paraId="30396100" w14:textId="77777777" w:rsidR="00963618" w:rsidRPr="00FD6CDE" w:rsidRDefault="00963618" w:rsidP="00117478">
            <w:pPr>
              <w:pStyle w:val="Para1"/>
              <w:numPr>
                <w:ilvl w:val="0"/>
                <w:numId w:val="0"/>
              </w:numPr>
              <w:suppressLineNumbers/>
              <w:suppressAutoHyphens/>
              <w:kinsoku w:val="0"/>
              <w:rPr>
                <w:b/>
                <w:sz w:val="20"/>
                <w:szCs w:val="20"/>
              </w:rPr>
            </w:pPr>
            <w:r w:rsidRPr="00FD6CDE">
              <w:rPr>
                <w:b/>
                <w:sz w:val="20"/>
                <w:szCs w:val="20"/>
              </w:rPr>
              <w:t>3. Cantabrian Sea (Southern Bay of Biscay)</w:t>
            </w:r>
          </w:p>
          <w:p w14:paraId="244B0C0D" w14:textId="77777777" w:rsidR="00963618" w:rsidRPr="00FD6CDE" w:rsidRDefault="00963618" w:rsidP="00950BE4">
            <w:pPr>
              <w:numPr>
                <w:ilvl w:val="0"/>
                <w:numId w:val="69"/>
              </w:numPr>
              <w:suppressLineNumbers/>
              <w:suppressAutoHyphens/>
              <w:kinsoku w:val="0"/>
              <w:overflowPunct w:val="0"/>
              <w:autoSpaceDE w:val="0"/>
              <w:autoSpaceDN w:val="0"/>
              <w:adjustRightInd w:val="0"/>
              <w:snapToGrid w:val="0"/>
              <w:rPr>
                <w:snapToGrid w:val="0"/>
                <w:color w:val="000000"/>
                <w:kern w:val="22"/>
                <w:sz w:val="20"/>
                <w:szCs w:val="20"/>
              </w:rPr>
            </w:pPr>
            <w:r w:rsidRPr="00FD6CDE">
              <w:rPr>
                <w:snapToGrid w:val="0"/>
                <w:kern w:val="22"/>
                <w:sz w:val="20"/>
                <w:szCs w:val="20"/>
              </w:rPr>
              <w:t>Location: The area is located in the south of the Bay of Biscay and is bounded by the parallels 43º 25'N and 45º 00'N and meridians 2º 10'W and 7º 00'W. The feature for which this area is described also extends eastwards and northwards, beyond the boundaries currently described.</w:t>
            </w:r>
          </w:p>
          <w:p w14:paraId="6E1A1A66" w14:textId="77777777" w:rsidR="00963618" w:rsidRPr="00FD6CDE" w:rsidRDefault="00963618" w:rsidP="00950BE4">
            <w:pPr>
              <w:numPr>
                <w:ilvl w:val="0"/>
                <w:numId w:val="69"/>
              </w:numPr>
              <w:suppressLineNumbers/>
              <w:suppressAutoHyphens/>
              <w:kinsoku w:val="0"/>
              <w:overflowPunct w:val="0"/>
              <w:autoSpaceDE w:val="0"/>
              <w:autoSpaceDN w:val="0"/>
              <w:adjustRightInd w:val="0"/>
              <w:snapToGrid w:val="0"/>
              <w:rPr>
                <w:snapToGrid w:val="0"/>
                <w:color w:val="000000"/>
                <w:kern w:val="22"/>
                <w:sz w:val="20"/>
                <w:szCs w:val="20"/>
              </w:rPr>
            </w:pPr>
            <w:r w:rsidRPr="00FD6CDE">
              <w:rPr>
                <w:rFonts w:eastAsia="MS Mincho"/>
                <w:snapToGrid w:val="0"/>
                <w:kern w:val="22"/>
                <w:sz w:val="20"/>
                <w:szCs w:val="20"/>
              </w:rPr>
              <w:t xml:space="preserve">The Cantabrian Sea ecosystem includes the continental shelf and slope and the deep abyssal basin (5000 m water depth) located along the northern border of the Iberian Peninsula (Southern Bay of Biscay), from the Capbreton Canyon head to Estaca de Bares Cape, on the Galician coast. It is a highly complex area, where the narrow </w:t>
            </w:r>
            <w:r w:rsidRPr="00FD6CDE">
              <w:rPr>
                <w:rFonts w:eastAsia="MS Mincho"/>
                <w:snapToGrid w:val="0"/>
                <w:kern w:val="22"/>
                <w:sz w:val="20"/>
                <w:szCs w:val="20"/>
              </w:rPr>
              <w:lastRenderedPageBreak/>
              <w:t xml:space="preserve">continental shelf is deeply affected by the action of tectonic compression. The area contains important geomorphological elements, such as large submarine canyons and seamounts. The hydrology is also complex due to the interaction between waters formed in the Atlantic and waters of Mediterranean origin. </w:t>
            </w:r>
            <w:bookmarkStart w:id="294" w:name="_Hlk21006779"/>
            <w:r w:rsidRPr="00FD6CDE">
              <w:rPr>
                <w:rFonts w:eastAsia="MS Mincho"/>
                <w:snapToGrid w:val="0"/>
                <w:kern w:val="22"/>
                <w:sz w:val="20"/>
                <w:szCs w:val="20"/>
              </w:rPr>
              <w:t>This area includes a variety of benthic habitats, including habitats that are considered hotspots of biodiversity. These habitats serve as spawning grounds for several commercial species. The area also contains habitats for endangered, threatened and declining species and for migratory pelagic species, including cetaceans.</w:t>
            </w:r>
            <w:bookmarkEnd w:id="294"/>
          </w:p>
        </w:tc>
        <w:tc>
          <w:tcPr>
            <w:tcW w:w="506" w:type="dxa"/>
            <w:vAlign w:val="center"/>
          </w:tcPr>
          <w:p w14:paraId="7A73A66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lastRenderedPageBreak/>
              <w:t>H</w:t>
            </w:r>
          </w:p>
        </w:tc>
        <w:tc>
          <w:tcPr>
            <w:tcW w:w="506" w:type="dxa"/>
            <w:vAlign w:val="center"/>
          </w:tcPr>
          <w:p w14:paraId="41C488A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BBC3009"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D8BA547"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150971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BC148C4"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311140E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963618" w:rsidRPr="00FD6CDE" w14:paraId="52D28C72" w14:textId="77777777" w:rsidTr="00117478">
        <w:tc>
          <w:tcPr>
            <w:tcW w:w="9687" w:type="dxa"/>
            <w:shd w:val="clear" w:color="auto" w:fill="auto"/>
          </w:tcPr>
          <w:p w14:paraId="03546A6C"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4. West Iberian Canyons and Banks</w:t>
            </w:r>
          </w:p>
          <w:p w14:paraId="588351D4" w14:textId="77777777" w:rsidR="00963618" w:rsidRPr="00FD6CDE" w:rsidRDefault="00963618" w:rsidP="00950BE4">
            <w:pPr>
              <w:pStyle w:val="ListParagraph"/>
              <w:numPr>
                <w:ilvl w:val="0"/>
                <w:numId w:val="76"/>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Location: The area is located in waters surrounding Portugal and Spain. Its total area is 189,239 km</w:t>
            </w:r>
            <w:r w:rsidRPr="00FD6CDE">
              <w:rPr>
                <w:snapToGrid w:val="0"/>
                <w:kern w:val="22"/>
                <w:sz w:val="20"/>
                <w:szCs w:val="20"/>
                <w:vertAlign w:val="superscript"/>
              </w:rPr>
              <w:t>2</w:t>
            </w:r>
            <w:r w:rsidRPr="00FD6CDE">
              <w:rPr>
                <w:snapToGrid w:val="0"/>
                <w:kern w:val="22"/>
                <w:sz w:val="20"/>
                <w:szCs w:val="20"/>
              </w:rPr>
              <w:t xml:space="preserve"> and is divided into three sections: North Western Iberian Peninsula, Center Western Iberian Peninsula and South Western Iberian Peninsula.</w:t>
            </w:r>
            <w:r w:rsidRPr="00FD6CDE">
              <w:rPr>
                <w:sz w:val="20"/>
                <w:szCs w:val="20"/>
              </w:rPr>
              <w:t xml:space="preserve"> </w:t>
            </w:r>
            <w:r w:rsidRPr="00FD6CDE">
              <w:rPr>
                <w:snapToGrid w:val="0"/>
                <w:kern w:val="22"/>
                <w:sz w:val="20"/>
                <w:szCs w:val="20"/>
              </w:rPr>
              <w:t>The area includes 12 submarine canyons, five seamounts structures, banks, islands and an archipelago.</w:t>
            </w:r>
          </w:p>
          <w:p w14:paraId="40E70C62" w14:textId="77777777" w:rsidR="00963618" w:rsidRPr="00FD6CDE" w:rsidRDefault="00963618" w:rsidP="00950BE4">
            <w:pPr>
              <w:pStyle w:val="ListParagraph"/>
              <w:numPr>
                <w:ilvl w:val="0"/>
                <w:numId w:val="76"/>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The area includes marine protected areas (including six OSPAR Marine Protected Areas), one UNESCO Biosphere Reserve, 12 Natura 2000 Sites of Community Interest and 10 Natura 2000 Special Protection Areas for seabirds. The area is divided into three sections: North Western, Centre Western and South Western. The features in the area are hotspots of marine life, and they represent areas of enhanced productivity, especially when compared with surrounding areas. The area has a high diversity of benthic communities and spawning grounds for several species, and it is an important area for cetaceans. A total of 3,411 species are listed in the area, 11 per cent of which are protected under international or regional law.</w:t>
            </w:r>
            <w:r w:rsidRPr="00FD6CDE">
              <w:rPr>
                <w:rFonts w:eastAsia="MS Mincho"/>
                <w:snapToGrid w:val="0"/>
                <w:kern w:val="22"/>
                <w:sz w:val="20"/>
                <w:szCs w:val="20"/>
              </w:rPr>
              <w:t xml:space="preserve"> </w:t>
            </w:r>
          </w:p>
        </w:tc>
        <w:tc>
          <w:tcPr>
            <w:tcW w:w="506" w:type="dxa"/>
            <w:vAlign w:val="center"/>
          </w:tcPr>
          <w:p w14:paraId="7AD2D85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5C1E85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AFBBCC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6870B3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5C5476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C51ADF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048A906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963618" w:rsidRPr="00FD6CDE" w14:paraId="74547A3B" w14:textId="77777777" w:rsidTr="00117478">
        <w:tc>
          <w:tcPr>
            <w:tcW w:w="9687" w:type="dxa"/>
            <w:shd w:val="clear" w:color="auto" w:fill="auto"/>
          </w:tcPr>
          <w:p w14:paraId="7262C0C3"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5. Gulf of C</w:t>
            </w:r>
            <w:r w:rsidRPr="00FD6CDE">
              <w:rPr>
                <w:b/>
                <w:sz w:val="20"/>
                <w:szCs w:val="20"/>
              </w:rPr>
              <w:t>á</w:t>
            </w:r>
            <w:r w:rsidRPr="00FD6CDE">
              <w:rPr>
                <w:b/>
                <w:snapToGrid w:val="0"/>
                <w:kern w:val="22"/>
                <w:sz w:val="20"/>
                <w:szCs w:val="20"/>
              </w:rPr>
              <w:t>diz</w:t>
            </w:r>
          </w:p>
          <w:p w14:paraId="5189E064" w14:textId="77777777" w:rsidR="00963618" w:rsidRPr="00FD6CDE" w:rsidRDefault="00963618" w:rsidP="00950BE4">
            <w:pPr>
              <w:pStyle w:val="ListParagraph"/>
              <w:numPr>
                <w:ilvl w:val="0"/>
                <w:numId w:val="79"/>
              </w:numPr>
              <w:suppressLineNumbers/>
              <w:suppressAutoHyphens/>
              <w:kinsoku w:val="0"/>
              <w:overflowPunct w:val="0"/>
              <w:autoSpaceDE w:val="0"/>
              <w:autoSpaceDN w:val="0"/>
              <w:snapToGrid w:val="0"/>
              <w:ind w:left="395"/>
              <w:rPr>
                <w:rFonts w:eastAsia="MS Mincho"/>
                <w:snapToGrid w:val="0"/>
                <w:kern w:val="22"/>
                <w:sz w:val="20"/>
                <w:szCs w:val="20"/>
              </w:rPr>
            </w:pPr>
            <w:r w:rsidRPr="00FD6CDE">
              <w:rPr>
                <w:snapToGrid w:val="0"/>
                <w:kern w:val="22"/>
                <w:sz w:val="20"/>
                <w:szCs w:val="20"/>
              </w:rPr>
              <w:t xml:space="preserve">Location: </w:t>
            </w:r>
            <w:r w:rsidRPr="00FD6CDE">
              <w:rPr>
                <w:rFonts w:eastAsia="MS Mincho"/>
                <w:snapToGrid w:val="0"/>
                <w:kern w:val="22"/>
                <w:sz w:val="20"/>
                <w:szCs w:val="20"/>
              </w:rPr>
              <w:t xml:space="preserve">The area is located </w:t>
            </w:r>
            <w:r w:rsidRPr="00FD6CDE">
              <w:rPr>
                <w:sz w:val="20"/>
                <w:szCs w:val="20"/>
              </w:rPr>
              <w:t xml:space="preserve">to the southwest of the Iberian Peninsula. Its eastern boundary is the Strait of Gibraltar, on the western border of the Mediterranean Sea. It </w:t>
            </w:r>
            <w:r w:rsidRPr="00FD6CDE">
              <w:rPr>
                <w:rFonts w:eastAsia="MS Mincho"/>
                <w:snapToGrid w:val="0"/>
                <w:kern w:val="22"/>
                <w:sz w:val="20"/>
                <w:szCs w:val="20"/>
              </w:rPr>
              <w:t>is bounded by the parallels (37º 00'N and 35º 56'N) and meridians (6º 00'W and 7º 24'W).</w:t>
            </w:r>
          </w:p>
          <w:p w14:paraId="3172375E" w14:textId="77777777" w:rsidR="00963618" w:rsidRPr="00FD6CDE" w:rsidRDefault="00963618" w:rsidP="00950BE4">
            <w:pPr>
              <w:pStyle w:val="ListParagraph"/>
              <w:numPr>
                <w:ilvl w:val="0"/>
                <w:numId w:val="79"/>
              </w:numPr>
              <w:suppressLineNumbers/>
              <w:suppressAutoHyphens/>
              <w:kinsoku w:val="0"/>
              <w:overflowPunct w:val="0"/>
              <w:autoSpaceDE w:val="0"/>
              <w:autoSpaceDN w:val="0"/>
              <w:snapToGrid w:val="0"/>
              <w:ind w:left="395"/>
              <w:rPr>
                <w:rFonts w:eastAsia="MS Mincho"/>
                <w:snapToGrid w:val="0"/>
                <w:kern w:val="22"/>
                <w:sz w:val="20"/>
                <w:szCs w:val="20"/>
              </w:rPr>
            </w:pPr>
            <w:r w:rsidRPr="00FD6CDE">
              <w:rPr>
                <w:rFonts w:eastAsia="MS Mincho"/>
                <w:snapToGrid w:val="0"/>
                <w:kern w:val="22"/>
                <w:sz w:val="20"/>
                <w:szCs w:val="20"/>
              </w:rPr>
              <w:t xml:space="preserve">The area is very structurally complex and contains important geomorphological elements such as large submarine canyons and seamounts. The hydrology is also complex due to the interaction between waters formed in the Atlantic and waters of Mediterranean origin. This area includes a variety of benthic habitats, both on soft and rocky bottoms, </w:t>
            </w:r>
            <w:bookmarkStart w:id="295" w:name="_Hlk21006732"/>
            <w:r w:rsidRPr="00FD6CDE">
              <w:rPr>
                <w:rFonts w:eastAsia="MS Mincho"/>
                <w:snapToGrid w:val="0"/>
                <w:kern w:val="22"/>
                <w:sz w:val="20"/>
                <w:szCs w:val="20"/>
              </w:rPr>
              <w:t>that are considered hotspots of biodiversity, and which serve as various habitats for endangered, threatened and declining species. It is also a seasonal migratory pathway for large migratory pelagic species and is, in particular, an important area for cetacean species.</w:t>
            </w:r>
            <w:bookmarkEnd w:id="295"/>
          </w:p>
        </w:tc>
        <w:tc>
          <w:tcPr>
            <w:tcW w:w="506" w:type="dxa"/>
            <w:vAlign w:val="center"/>
          </w:tcPr>
          <w:p w14:paraId="05C2DF3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FFA71E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5EFE5AF"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F4B4AB5"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67DDD5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5A044E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5080B2B4"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L</w:t>
            </w:r>
          </w:p>
        </w:tc>
      </w:tr>
      <w:tr w:rsidR="00963618" w:rsidRPr="00FD6CDE" w14:paraId="2DE85982" w14:textId="77777777" w:rsidTr="00117478">
        <w:tc>
          <w:tcPr>
            <w:tcW w:w="9687" w:type="dxa"/>
            <w:shd w:val="clear" w:color="auto" w:fill="auto"/>
          </w:tcPr>
          <w:p w14:paraId="67E21747"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6. Madeira – Tore</w:t>
            </w:r>
          </w:p>
          <w:p w14:paraId="67A3E3B8"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snapToGrid w:val="0"/>
                <w:kern w:val="22"/>
                <w:sz w:val="20"/>
                <w:szCs w:val="20"/>
              </w:rPr>
              <w:t xml:space="preserve">Location: </w:t>
            </w:r>
            <w:bookmarkStart w:id="296" w:name="_Hlk22118131"/>
            <w:r w:rsidRPr="00FD6CDE">
              <w:rPr>
                <w:snapToGrid w:val="0"/>
                <w:kern w:val="22"/>
                <w:sz w:val="20"/>
                <w:szCs w:val="20"/>
              </w:rPr>
              <w:t>The area is bounded by the parallels 39º28`4.39``N and 33º31`17.04``N, and the meridians 13º31`12.88`` W and 14º25`58.54``W.</w:t>
            </w:r>
          </w:p>
          <w:bookmarkEnd w:id="296"/>
          <w:p w14:paraId="1563FD63"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snapToGrid w:val="0"/>
                <w:kern w:val="22"/>
                <w:sz w:val="20"/>
                <w:szCs w:val="20"/>
              </w:rPr>
              <w:t>This area includes</w:t>
            </w:r>
            <w:r w:rsidRPr="00FD6CDE">
              <w:rPr>
                <w:rFonts w:eastAsia="MS Mincho"/>
                <w:sz w:val="20"/>
                <w:szCs w:val="20"/>
              </w:rPr>
              <w:t>19 remarkable structures</w:t>
            </w:r>
            <w:r w:rsidRPr="00FD6CDE">
              <w:rPr>
                <w:snapToGrid w:val="0"/>
                <w:kern w:val="22"/>
                <w:sz w:val="20"/>
                <w:szCs w:val="20"/>
              </w:rPr>
              <w:t xml:space="preserve">,17 of which are seamounts. Seamounts are hotspots of marine life and, in general, they are areas of enhanced productivity, especially when compared with surrounding abyssal areas. </w:t>
            </w:r>
            <w:r w:rsidRPr="00FD6CDE">
              <w:rPr>
                <w:rFonts w:eastAsia="MS Mincho"/>
                <w:sz w:val="20"/>
                <w:szCs w:val="20"/>
              </w:rPr>
              <w:t>Madeira – Tore</w:t>
            </w:r>
            <w:r w:rsidRPr="00FD6CDE">
              <w:rPr>
                <w:snapToGrid w:val="0"/>
                <w:kern w:val="22"/>
                <w:sz w:val="20"/>
                <w:szCs w:val="20"/>
              </w:rPr>
              <w:t xml:space="preserve"> has an area of 197,431 km</w:t>
            </w:r>
            <w:r w:rsidRPr="00FD6CDE">
              <w:rPr>
                <w:snapToGrid w:val="0"/>
                <w:kern w:val="22"/>
                <w:sz w:val="20"/>
                <w:szCs w:val="20"/>
                <w:vertAlign w:val="superscript"/>
              </w:rPr>
              <w:t>2</w:t>
            </w:r>
            <w:r w:rsidRPr="00FD6CDE">
              <w:rPr>
                <w:snapToGrid w:val="0"/>
                <w:kern w:val="22"/>
                <w:sz w:val="20"/>
                <w:szCs w:val="20"/>
              </w:rPr>
              <w:t xml:space="preserve">, with depths ranging from 25m (top of Gettysburg seamount) to 4930m (bottom of Tore seamount). The area includes a proposed Site of Community Importance (Gorringe Bank) and an OSPAR </w:t>
            </w:r>
            <w:r w:rsidRPr="00FD6CDE">
              <w:rPr>
                <w:snapToGrid w:val="0"/>
                <w:kern w:val="22"/>
                <w:sz w:val="20"/>
                <w:szCs w:val="20"/>
              </w:rPr>
              <w:lastRenderedPageBreak/>
              <w:t>High Seas Marine Protected Area (Josephine seamount). A total of 965 species are present in this area, 7 per cent of which are protected under international or regional law.</w:t>
            </w:r>
          </w:p>
        </w:tc>
        <w:tc>
          <w:tcPr>
            <w:tcW w:w="506" w:type="dxa"/>
            <w:vAlign w:val="center"/>
          </w:tcPr>
          <w:p w14:paraId="37FC75E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lastRenderedPageBreak/>
              <w:t>H</w:t>
            </w:r>
          </w:p>
        </w:tc>
        <w:tc>
          <w:tcPr>
            <w:tcW w:w="506" w:type="dxa"/>
            <w:vAlign w:val="center"/>
          </w:tcPr>
          <w:p w14:paraId="6B4364C5"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137DDB9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E5D2935"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702C6C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091533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6231DC9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963618" w:rsidRPr="00FD6CDE" w14:paraId="44660B2E" w14:textId="77777777" w:rsidTr="00117478">
        <w:tc>
          <w:tcPr>
            <w:tcW w:w="9687" w:type="dxa"/>
            <w:shd w:val="clear" w:color="auto" w:fill="auto"/>
          </w:tcPr>
          <w:p w14:paraId="45BEAE90"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7. Desertas</w:t>
            </w:r>
          </w:p>
          <w:p w14:paraId="3F3B9817" w14:textId="77777777" w:rsidR="00963618" w:rsidRPr="00FD6CDE" w:rsidRDefault="00963618" w:rsidP="00950BE4">
            <w:pPr>
              <w:numPr>
                <w:ilvl w:val="0"/>
                <w:numId w:val="77"/>
              </w:numPr>
              <w:suppressLineNumbers/>
              <w:suppressAutoHyphens/>
              <w:kinsoku w:val="0"/>
              <w:overflowPunct w:val="0"/>
              <w:autoSpaceDE w:val="0"/>
              <w:autoSpaceDN w:val="0"/>
              <w:adjustRightInd w:val="0"/>
              <w:ind w:left="395"/>
              <w:rPr>
                <w:snapToGrid w:val="0"/>
                <w:kern w:val="22"/>
                <w:sz w:val="20"/>
                <w:szCs w:val="20"/>
              </w:rPr>
            </w:pPr>
            <w:r w:rsidRPr="00FD6CDE">
              <w:rPr>
                <w:snapToGrid w:val="0"/>
                <w:kern w:val="22"/>
                <w:sz w:val="20"/>
                <w:szCs w:val="20"/>
              </w:rPr>
              <w:t>Location: This area includes the marine areas adjacent to the Desertas Islands. It has an area of 455 km</w:t>
            </w:r>
            <w:r w:rsidRPr="00FD6CDE">
              <w:rPr>
                <w:snapToGrid w:val="0"/>
                <w:kern w:val="22"/>
                <w:sz w:val="20"/>
                <w:szCs w:val="20"/>
                <w:vertAlign w:val="superscript"/>
              </w:rPr>
              <w:t>2</w:t>
            </w:r>
            <w:r w:rsidRPr="00FD6CDE">
              <w:rPr>
                <w:snapToGrid w:val="0"/>
                <w:kern w:val="22"/>
                <w:sz w:val="20"/>
                <w:szCs w:val="20"/>
              </w:rPr>
              <w:t xml:space="preserve"> and is located southeast of Madeira Island, Portugal (32.47N/-16.52W).</w:t>
            </w:r>
          </w:p>
          <w:p w14:paraId="6C4672A9" w14:textId="77777777" w:rsidR="00963618" w:rsidRPr="00FD6CDE" w:rsidRDefault="00963618" w:rsidP="00950BE4">
            <w:pPr>
              <w:numPr>
                <w:ilvl w:val="0"/>
                <w:numId w:val="77"/>
              </w:numPr>
              <w:suppressLineNumbers/>
              <w:suppressAutoHyphens/>
              <w:kinsoku w:val="0"/>
              <w:overflowPunct w:val="0"/>
              <w:autoSpaceDE w:val="0"/>
              <w:autoSpaceDN w:val="0"/>
              <w:adjustRightInd w:val="0"/>
              <w:ind w:left="395"/>
              <w:rPr>
                <w:snapToGrid w:val="0"/>
                <w:kern w:val="22"/>
                <w:sz w:val="20"/>
                <w:szCs w:val="20"/>
              </w:rPr>
            </w:pPr>
            <w:r w:rsidRPr="00FD6CDE">
              <w:rPr>
                <w:snapToGrid w:val="0"/>
                <w:kern w:val="22"/>
                <w:sz w:val="20"/>
                <w:szCs w:val="20"/>
              </w:rPr>
              <w:t>The Desertas Islands hold some of the most important colonies of seabirds in the Atlantic, with large populations of Procellariiforms, including the only population of vulnerable Desertas petrel (</w:t>
            </w:r>
            <w:r w:rsidRPr="00FD6CDE">
              <w:rPr>
                <w:i/>
                <w:iCs/>
                <w:snapToGrid w:val="0"/>
                <w:kern w:val="22"/>
                <w:sz w:val="20"/>
                <w:szCs w:val="20"/>
              </w:rPr>
              <w:t>Pterodroma deserta</w:t>
            </w:r>
            <w:r w:rsidRPr="00FD6CDE">
              <w:rPr>
                <w:snapToGrid w:val="0"/>
                <w:kern w:val="22"/>
                <w:sz w:val="20"/>
                <w:szCs w:val="20"/>
              </w:rPr>
              <w:t>). They also contain important reproductive and resting habitats for the endangered monk seal (</w:t>
            </w:r>
            <w:r w:rsidRPr="00FD6CDE">
              <w:rPr>
                <w:i/>
                <w:iCs/>
                <w:snapToGrid w:val="0"/>
                <w:kern w:val="22"/>
                <w:sz w:val="20"/>
                <w:szCs w:val="20"/>
              </w:rPr>
              <w:t>Monachus monachus</w:t>
            </w:r>
            <w:r w:rsidRPr="00FD6CDE">
              <w:rPr>
                <w:snapToGrid w:val="0"/>
                <w:kern w:val="22"/>
                <w:sz w:val="20"/>
                <w:szCs w:val="20"/>
              </w:rPr>
              <w:t>) in the form of pupping caves and resting beaches.</w:t>
            </w:r>
          </w:p>
        </w:tc>
        <w:tc>
          <w:tcPr>
            <w:tcW w:w="506" w:type="dxa"/>
            <w:vAlign w:val="center"/>
          </w:tcPr>
          <w:p w14:paraId="65A9A219"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7BC77B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449912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5517D2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23BE73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0F20ECF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7" w:type="dxa"/>
            <w:vAlign w:val="center"/>
          </w:tcPr>
          <w:p w14:paraId="7D30637F"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r>
      <w:tr w:rsidR="00963618" w:rsidRPr="00FD6CDE" w14:paraId="43F41943" w14:textId="77777777" w:rsidTr="00117478">
        <w:tc>
          <w:tcPr>
            <w:tcW w:w="9687" w:type="dxa"/>
            <w:shd w:val="clear" w:color="auto" w:fill="auto"/>
          </w:tcPr>
          <w:p w14:paraId="19C7A9EC"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8. Oceanic Islands and Seamounts of the Canary Region</w:t>
            </w:r>
          </w:p>
          <w:p w14:paraId="1BCE7DC8" w14:textId="77777777" w:rsidR="00963618" w:rsidRPr="00FD6CDE" w:rsidRDefault="00963618" w:rsidP="00950BE4">
            <w:pPr>
              <w:pStyle w:val="ListParagraph"/>
              <w:numPr>
                <w:ilvl w:val="0"/>
                <w:numId w:val="80"/>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FD6CDE">
              <w:rPr>
                <w:snapToGrid w:val="0"/>
                <w:kern w:val="22"/>
                <w:sz w:val="20"/>
                <w:szCs w:val="20"/>
              </w:rPr>
              <w:t xml:space="preserve">Location: </w:t>
            </w:r>
            <w:r w:rsidRPr="00FD6CDE">
              <w:rPr>
                <w:rFonts w:eastAsia="MS Mincho"/>
                <w:snapToGrid w:val="0"/>
                <w:kern w:val="22"/>
                <w:sz w:val="20"/>
                <w:szCs w:val="20"/>
              </w:rPr>
              <w:t>The area is located in and around the Canary Islands, between the parallels 24º60’N and 32º27’N and meridians 20º96’W and 30º33’W. It includes volcanic edifices (e.g., emerged islands, seamounts and banks) and has a maximum depth of 3000 m.</w:t>
            </w:r>
          </w:p>
          <w:p w14:paraId="5BBC1A3A" w14:textId="77777777" w:rsidR="00963618" w:rsidRPr="00FD6CDE" w:rsidRDefault="00963618" w:rsidP="00950BE4">
            <w:pPr>
              <w:pStyle w:val="ListParagraph"/>
              <w:numPr>
                <w:ilvl w:val="0"/>
                <w:numId w:val="80"/>
              </w:numPr>
              <w:suppressLineNumbers/>
              <w:shd w:val="clear" w:color="auto" w:fill="FFFFFF"/>
              <w:suppressAutoHyphens/>
              <w:kinsoku w:val="0"/>
              <w:overflowPunct w:val="0"/>
              <w:autoSpaceDE w:val="0"/>
              <w:autoSpaceDN w:val="0"/>
              <w:ind w:left="395"/>
              <w:rPr>
                <w:snapToGrid w:val="0"/>
                <w:color w:val="212121"/>
                <w:kern w:val="22"/>
                <w:sz w:val="20"/>
                <w:szCs w:val="20"/>
                <w:lang w:eastAsia="ja-JP"/>
              </w:rPr>
            </w:pPr>
            <w:r w:rsidRPr="00FD6CDE">
              <w:rPr>
                <w:snapToGrid w:val="0"/>
                <w:kern w:val="22"/>
                <w:sz w:val="20"/>
                <w:szCs w:val="20"/>
              </w:rPr>
              <w:t xml:space="preserve">The area around the Canary Islands includes a set of islands and seamounts influenced by magma-driven processes over tens of millions of years over the Canary hotspot. The archipelago is made up of seven major islands, a group of islets in the northeast and three seamount fields: one in the northeast of the archipelago, one in the southwest and another between the islands. Some of these seamounts (Concepción Bank, El Banquete and Amanay) as well as coastal areas of the Canary region have been intensively studied. Thirty-nine marine Special Areas of Conservation and two Sites of Community Importance </w:t>
            </w:r>
            <w:bookmarkStart w:id="297" w:name="_Hlk22119041"/>
            <w:r w:rsidRPr="00FD6CDE">
              <w:rPr>
                <w:snapToGrid w:val="0"/>
                <w:kern w:val="22"/>
                <w:sz w:val="20"/>
                <w:szCs w:val="20"/>
              </w:rPr>
              <w:t xml:space="preserve">(both </w:t>
            </w:r>
            <w:r w:rsidRPr="00FD6CDE">
              <w:rPr>
                <w:rFonts w:eastAsia="MS Mincho"/>
                <w:sz w:val="20"/>
                <w:szCs w:val="20"/>
              </w:rPr>
              <w:t xml:space="preserve">under the Natura 2000 network), </w:t>
            </w:r>
            <w:bookmarkEnd w:id="297"/>
            <w:r w:rsidRPr="00FD6CDE">
              <w:rPr>
                <w:rFonts w:eastAsia="MS Mincho"/>
                <w:sz w:val="20"/>
                <w:szCs w:val="20"/>
              </w:rPr>
              <w:t>as well as</w:t>
            </w:r>
            <w:r w:rsidRPr="00FD6CDE">
              <w:rPr>
                <w:snapToGrid w:val="0"/>
                <w:kern w:val="22"/>
                <w:sz w:val="20"/>
                <w:szCs w:val="20"/>
              </w:rPr>
              <w:t xml:space="preserve"> three marine reserves are located in the area. This region, with its subtropical oceanographic conditions, represents the southern distribution limit for many pelagic and benthic species. It includes a variety of benthic habitats, including some that are considered hotspots of biodiversity. These habitats serve as spawning grounds for several commercial species. The area also includes habitats for endangered, threatened and declining species and for migratory pelagic species, including cetaceans.</w:t>
            </w:r>
          </w:p>
        </w:tc>
        <w:tc>
          <w:tcPr>
            <w:tcW w:w="506" w:type="dxa"/>
            <w:vAlign w:val="center"/>
          </w:tcPr>
          <w:p w14:paraId="5A47023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12D5F2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4A7830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95B728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446433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68CA2F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4C53BFDB"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963618" w:rsidRPr="00FD6CDE" w14:paraId="6E576918" w14:textId="77777777" w:rsidTr="00117478">
        <w:tc>
          <w:tcPr>
            <w:tcW w:w="9687" w:type="dxa"/>
            <w:shd w:val="clear" w:color="auto" w:fill="auto"/>
          </w:tcPr>
          <w:p w14:paraId="0679FDFA" w14:textId="77777777" w:rsidR="00963618" w:rsidRPr="00FD6CDE" w:rsidRDefault="00963618" w:rsidP="00117478">
            <w:pPr>
              <w:suppressLineNumbers/>
              <w:suppressAutoHyphens/>
              <w:kinsoku w:val="0"/>
              <w:overflowPunct w:val="0"/>
              <w:autoSpaceDE w:val="0"/>
              <w:autoSpaceDN w:val="0"/>
              <w:rPr>
                <w:b/>
                <w:snapToGrid w:val="0"/>
                <w:kern w:val="22"/>
                <w:sz w:val="20"/>
                <w:szCs w:val="20"/>
              </w:rPr>
            </w:pPr>
            <w:r w:rsidRPr="00FD6CDE">
              <w:rPr>
                <w:b/>
                <w:snapToGrid w:val="0"/>
                <w:kern w:val="22"/>
                <w:sz w:val="20"/>
                <w:szCs w:val="20"/>
              </w:rPr>
              <w:t>9. Tropic Seamount</w:t>
            </w:r>
          </w:p>
          <w:p w14:paraId="1111231C" w14:textId="77777777" w:rsidR="00963618" w:rsidRPr="00FD6CDE" w:rsidRDefault="00963618" w:rsidP="00950BE4">
            <w:pPr>
              <w:pStyle w:val="ListParagraph"/>
              <w:numPr>
                <w:ilvl w:val="0"/>
                <w:numId w:val="70"/>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The Tropic Seamount is located in the North-East Atlantic (23°55’ N, 20°45’ W), along the north-western African continental margin.</w:t>
            </w:r>
          </w:p>
          <w:p w14:paraId="597CA0FE" w14:textId="77777777" w:rsidR="00963618" w:rsidRPr="00FD6CDE" w:rsidRDefault="00963618" w:rsidP="00950BE4">
            <w:pPr>
              <w:numPr>
                <w:ilvl w:val="0"/>
                <w:numId w:val="70"/>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 xml:space="preserve">The Tropic Seamount is home to numerous vulnerable taxa, including high-density octocoral gardens, </w:t>
            </w:r>
            <w:r w:rsidRPr="00FD6CDE">
              <w:rPr>
                <w:i/>
                <w:iCs/>
                <w:snapToGrid w:val="0"/>
                <w:kern w:val="22"/>
                <w:sz w:val="20"/>
                <w:szCs w:val="20"/>
              </w:rPr>
              <w:t>Solenosmilia variabilis</w:t>
            </w:r>
            <w:r w:rsidRPr="00FD6CDE">
              <w:rPr>
                <w:snapToGrid w:val="0"/>
                <w:kern w:val="22"/>
                <w:sz w:val="20"/>
                <w:szCs w:val="20"/>
              </w:rPr>
              <w:t xml:space="preserve"> patch reefs, xenophyophores, crinoid fields and deep-sea sponge grounds. A recent study offered the first biological insight to ground-truth the occurrence of potential vulnerable ecosystems on the Tropic Seamount, alongside predictive models to increase the spatial coverage beyond surveys</w:t>
            </w:r>
            <w:r w:rsidRPr="00FD6CDE" w:rsidDel="00DD0262">
              <w:rPr>
                <w:snapToGrid w:val="0"/>
                <w:kern w:val="22"/>
                <w:sz w:val="20"/>
                <w:szCs w:val="20"/>
              </w:rPr>
              <w:t xml:space="preserve"> </w:t>
            </w:r>
            <w:r w:rsidRPr="00FD6CDE">
              <w:rPr>
                <w:snapToGrid w:val="0"/>
                <w:kern w:val="22"/>
                <w:sz w:val="20"/>
                <w:szCs w:val="20"/>
              </w:rPr>
              <w:t xml:space="preserve">conducted by remotely operated and </w:t>
            </w:r>
            <w:bookmarkStart w:id="298" w:name="_Hlk22119282"/>
            <w:r w:rsidRPr="00FD6CDE">
              <w:rPr>
                <w:snapToGrid w:val="0"/>
                <w:kern w:val="22"/>
                <w:sz w:val="20"/>
                <w:szCs w:val="20"/>
              </w:rPr>
              <w:t>autonomous underwater vehicles</w:t>
            </w:r>
            <w:bookmarkEnd w:id="298"/>
            <w:r w:rsidRPr="00FD6CDE">
              <w:rPr>
                <w:snapToGrid w:val="0"/>
                <w:kern w:val="22"/>
                <w:sz w:val="20"/>
                <w:szCs w:val="20"/>
              </w:rPr>
              <w:t>. Predicted habitat for the glass sponge (</w:t>
            </w:r>
            <w:r w:rsidRPr="00FD6CDE">
              <w:rPr>
                <w:i/>
                <w:iCs/>
                <w:snapToGrid w:val="0"/>
                <w:kern w:val="22"/>
                <w:sz w:val="20"/>
                <w:szCs w:val="20"/>
              </w:rPr>
              <w:t>Poliopogon amadou)</w:t>
            </w:r>
            <w:r w:rsidRPr="00FD6CDE">
              <w:rPr>
                <w:snapToGrid w:val="0"/>
                <w:kern w:val="22"/>
                <w:sz w:val="20"/>
                <w:szCs w:val="20"/>
              </w:rPr>
              <w:t>, a biogeographically restricted hexactinellid forming extensive near-monospecific grounds, was found to favour the deep seamount flanks of this area within a very narrow oceanographic regime.</w:t>
            </w:r>
          </w:p>
        </w:tc>
        <w:tc>
          <w:tcPr>
            <w:tcW w:w="506" w:type="dxa"/>
            <w:vAlign w:val="center"/>
          </w:tcPr>
          <w:p w14:paraId="1D39167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22016DF"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141A269B"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A47C79F"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EC20B4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536BD6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100D6E9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963618" w:rsidRPr="00FD6CDE" w14:paraId="6E27CCDC" w14:textId="77777777" w:rsidTr="00117478">
        <w:tc>
          <w:tcPr>
            <w:tcW w:w="9687" w:type="dxa"/>
            <w:shd w:val="clear" w:color="auto" w:fill="auto"/>
          </w:tcPr>
          <w:p w14:paraId="2A67B54E"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lastRenderedPageBreak/>
              <w:t xml:space="preserve">10. </w:t>
            </w:r>
            <w:bookmarkStart w:id="299" w:name="_Hlk21011357"/>
            <w:r w:rsidRPr="00FD6CDE">
              <w:rPr>
                <w:b/>
                <w:snapToGrid w:val="0"/>
                <w:kern w:val="22"/>
                <w:sz w:val="20"/>
                <w:szCs w:val="20"/>
              </w:rPr>
              <w:t>Atlantis-Meteor Seamount Complex</w:t>
            </w:r>
            <w:bookmarkEnd w:id="299"/>
          </w:p>
          <w:p w14:paraId="67A34747"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snapToGrid w:val="0"/>
                <w:kern w:val="22"/>
                <w:sz w:val="20"/>
                <w:szCs w:val="20"/>
              </w:rPr>
              <w:t xml:space="preserve">Location: </w:t>
            </w:r>
            <w:bookmarkStart w:id="300" w:name="_Hlk22120364"/>
            <w:r w:rsidRPr="00FD6CDE">
              <w:rPr>
                <w:snapToGrid w:val="0"/>
                <w:kern w:val="22"/>
                <w:sz w:val="20"/>
                <w:szCs w:val="20"/>
              </w:rPr>
              <w:t>The area is situated roughly 700 km south of the Azores and about 1500 km northwest of Africa. It has a total area of 134,079 km</w:t>
            </w:r>
            <w:r w:rsidRPr="00FD6CDE">
              <w:rPr>
                <w:snapToGrid w:val="0"/>
                <w:kern w:val="22"/>
                <w:sz w:val="20"/>
                <w:szCs w:val="20"/>
                <w:vertAlign w:val="superscript"/>
              </w:rPr>
              <w:t>2</w:t>
            </w:r>
            <w:r w:rsidRPr="00FD6CDE">
              <w:rPr>
                <w:snapToGrid w:val="0"/>
                <w:kern w:val="22"/>
                <w:sz w:val="20"/>
                <w:szCs w:val="20"/>
              </w:rPr>
              <w:t>, with depths ranging from 265m (top of Atlantis seamount) to 4800m (bottom of Great Meteor seamount). The area is bounded by the parallels 35º30’0,000’’N and 29º12’0,000’’N and meridians -27º0’0,000’’W and -31º30’0,000’’W.</w:t>
            </w:r>
          </w:p>
          <w:bookmarkEnd w:id="300"/>
          <w:p w14:paraId="7DF255BE"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snapToGrid w:val="0"/>
                <w:kern w:val="22"/>
                <w:sz w:val="20"/>
                <w:szCs w:val="20"/>
              </w:rPr>
              <w:t>The Atlantis-Meteor Seamount Complex comprises 10 seamounts. These seamounts are hotspots of marine life and areas of enhanced productivity, especially when compared with surrounding abyssal areas. This seamount complex has a total area of 134,079 km</w:t>
            </w:r>
            <w:r w:rsidRPr="00FD6CDE">
              <w:rPr>
                <w:snapToGrid w:val="0"/>
                <w:kern w:val="22"/>
                <w:sz w:val="20"/>
                <w:szCs w:val="20"/>
                <w:vertAlign w:val="superscript"/>
              </w:rPr>
              <w:t>2</w:t>
            </w:r>
            <w:r w:rsidRPr="00FD6CDE">
              <w:rPr>
                <w:snapToGrid w:val="0"/>
                <w:kern w:val="22"/>
                <w:sz w:val="20"/>
                <w:szCs w:val="20"/>
              </w:rPr>
              <w:t>, with depths ranging from 265m (top of Atlantis seamount) to 4800m (base of Great Meteor seamount). A total of 437 species are present in this area (with 16 per cent of mega- and macrofauna and up to 91 per cent of meiofauna endemic to the seamount group), 3.9 per cent of which are protected under international or regional law.</w:t>
            </w:r>
          </w:p>
        </w:tc>
        <w:tc>
          <w:tcPr>
            <w:tcW w:w="506" w:type="dxa"/>
            <w:vAlign w:val="center"/>
          </w:tcPr>
          <w:p w14:paraId="54D049E4"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5AF910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B5AEA1E"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9D46C6B"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55037CF"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5179F29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4E5D58E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963618" w:rsidRPr="00FD6CDE" w14:paraId="4A8F0804" w14:textId="77777777" w:rsidTr="00117478">
        <w:tc>
          <w:tcPr>
            <w:tcW w:w="9687" w:type="dxa"/>
            <w:shd w:val="clear" w:color="auto" w:fill="auto"/>
          </w:tcPr>
          <w:p w14:paraId="07EB104E"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11. Ridge South of the Azores</w:t>
            </w:r>
          </w:p>
          <w:p w14:paraId="5FDD47E4" w14:textId="77777777" w:rsidR="00963618" w:rsidRPr="00FD6CDE" w:rsidRDefault="00963618" w:rsidP="00950BE4">
            <w:pPr>
              <w:pStyle w:val="ListParagraph"/>
              <w:numPr>
                <w:ilvl w:val="0"/>
                <w:numId w:val="68"/>
              </w:numPr>
              <w:suppressLineNumbers/>
              <w:suppressAutoHyphens/>
              <w:kinsoku w:val="0"/>
              <w:overflowPunct w:val="0"/>
              <w:autoSpaceDE w:val="0"/>
              <w:autoSpaceDN w:val="0"/>
              <w:rPr>
                <w:rFonts w:eastAsia="MS Mincho"/>
                <w:snapToGrid w:val="0"/>
                <w:kern w:val="22"/>
                <w:sz w:val="20"/>
                <w:szCs w:val="20"/>
              </w:rPr>
            </w:pPr>
            <w:r w:rsidRPr="00FD6CDE">
              <w:rPr>
                <w:snapToGrid w:val="0"/>
                <w:kern w:val="22"/>
                <w:sz w:val="20"/>
                <w:szCs w:val="20"/>
              </w:rPr>
              <w:t xml:space="preserve">Location: </w:t>
            </w:r>
            <w:r w:rsidRPr="00FD6CDE">
              <w:rPr>
                <w:snapToGrid w:val="0"/>
                <w:kern w:val="22"/>
                <w:sz w:val="20"/>
                <w:szCs w:val="20"/>
                <w:lang w:eastAsia="ar-SA"/>
              </w:rPr>
              <w:t xml:space="preserve">The area is located on the Atlantic Ocean – South of the Azores. </w:t>
            </w:r>
            <w:r w:rsidRPr="00FD6CDE">
              <w:rPr>
                <w:bCs/>
                <w:iCs/>
                <w:sz w:val="20"/>
                <w:szCs w:val="20"/>
              </w:rPr>
              <w:t>This area has structures at depths ranging from 3460 m (inferred depth – south Oceanographer FZ), to the mid-range at 2320 m (measured depth – Rainbow), to the shallowest at Albert Monaco Ridge.</w:t>
            </w:r>
          </w:p>
          <w:p w14:paraId="471BE193" w14:textId="77777777" w:rsidR="00963618" w:rsidRPr="00FD6CDE" w:rsidRDefault="00963618" w:rsidP="00950BE4">
            <w:pPr>
              <w:pStyle w:val="ListBullet"/>
              <w:numPr>
                <w:ilvl w:val="0"/>
                <w:numId w:val="68"/>
              </w:numPr>
              <w:suppressLineNumbers/>
              <w:suppressAutoHyphens/>
              <w:kinsoku w:val="0"/>
              <w:overflowPunct w:val="0"/>
              <w:autoSpaceDE w:val="0"/>
              <w:autoSpaceDN w:val="0"/>
              <w:rPr>
                <w:snapToGrid w:val="0"/>
                <w:kern w:val="22"/>
                <w:sz w:val="20"/>
                <w:szCs w:val="20"/>
              </w:rPr>
            </w:pPr>
            <w:r w:rsidRPr="00FD6CDE">
              <w:rPr>
                <w:rFonts w:eastAsia="MS Mincho"/>
                <w:snapToGrid w:val="0"/>
                <w:kern w:val="22"/>
                <w:sz w:val="20"/>
                <w:szCs w:val="20"/>
              </w:rPr>
              <w:t>This area encompasses the axial valley and ridge crests of the Mid-Atlantic Ridge, from the Menez Gwen hydrothermal vent field area to the Haynes fracture zone. At the east ridge crest, the area includes part of the Alberto Monaco Ridge and seamount-like features associated with the western portions of the ridge. The area includes three marine protected areas (</w:t>
            </w:r>
            <w:r w:rsidRPr="00FD6CDE">
              <w:rPr>
                <w:rFonts w:eastAsia="MS Mincho"/>
                <w:sz w:val="20"/>
                <w:szCs w:val="20"/>
              </w:rPr>
              <w:t>part of the OSPAR Network of Marine Protected Areas)</w:t>
            </w:r>
            <w:r w:rsidRPr="00FD6CDE">
              <w:rPr>
                <w:rFonts w:eastAsia="MS Mincho"/>
                <w:snapToGrid w:val="0"/>
                <w:kern w:val="22"/>
                <w:sz w:val="20"/>
                <w:szCs w:val="20"/>
              </w:rPr>
              <w:t xml:space="preserve"> – Lucky Strike, Menez Gwen and Rainbow vent fields. The features in this area are both hotspots of marine life and areas of enhanced productivity when compared with surrounding bathyal and abyssal areas. The hydrothermal temperatures range between 10ᵒ C (Menez Hom and Saldanha) and 362ᵒ C (Rainbow). The area also includes other seafloor features at the ridge crest that host sponge aggregations, cold-water corals and other charismatic fauna.</w:t>
            </w:r>
          </w:p>
        </w:tc>
        <w:tc>
          <w:tcPr>
            <w:tcW w:w="506" w:type="dxa"/>
            <w:vAlign w:val="center"/>
          </w:tcPr>
          <w:p w14:paraId="13A9A5E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E4DB50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625C267"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19FB79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75220D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34C20EC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13BCBC4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963618" w:rsidRPr="00FD6CDE" w14:paraId="702DF7E3" w14:textId="77777777" w:rsidTr="00117478">
        <w:tc>
          <w:tcPr>
            <w:tcW w:w="9687" w:type="dxa"/>
            <w:shd w:val="clear" w:color="auto" w:fill="auto"/>
          </w:tcPr>
          <w:p w14:paraId="6C336BB3" w14:textId="77777777" w:rsidR="00963618" w:rsidRPr="00FD6CDE" w:rsidRDefault="00963618" w:rsidP="00117478">
            <w:pPr>
              <w:suppressLineNumbers/>
              <w:suppressAutoHyphens/>
              <w:kinsoku w:val="0"/>
              <w:overflowPunct w:val="0"/>
              <w:autoSpaceDE w:val="0"/>
              <w:autoSpaceDN w:val="0"/>
              <w:snapToGrid w:val="0"/>
              <w:rPr>
                <w:b/>
                <w:snapToGrid w:val="0"/>
                <w:kern w:val="22"/>
                <w:sz w:val="20"/>
                <w:szCs w:val="20"/>
              </w:rPr>
            </w:pPr>
            <w:r w:rsidRPr="00FD6CDE">
              <w:rPr>
                <w:b/>
                <w:snapToGrid w:val="0"/>
                <w:kern w:val="22"/>
                <w:sz w:val="20"/>
                <w:szCs w:val="20"/>
              </w:rPr>
              <w:t>12. Graciosa</w:t>
            </w:r>
          </w:p>
          <w:p w14:paraId="0BB7A199" w14:textId="77777777" w:rsidR="00963618" w:rsidRPr="00FD6CDE" w:rsidRDefault="00963618" w:rsidP="00950BE4">
            <w:pPr>
              <w:pStyle w:val="ListParagraph"/>
              <w:numPr>
                <w:ilvl w:val="0"/>
                <w:numId w:val="72"/>
              </w:numPr>
              <w:suppressLineNumbers/>
              <w:suppressAutoHyphens/>
              <w:kinsoku w:val="0"/>
              <w:overflowPunct w:val="0"/>
              <w:autoSpaceDE w:val="0"/>
              <w:autoSpaceDN w:val="0"/>
              <w:ind w:left="395"/>
              <w:rPr>
                <w:snapToGrid w:val="0"/>
                <w:color w:val="000000"/>
                <w:kern w:val="22"/>
                <w:sz w:val="20"/>
                <w:szCs w:val="20"/>
              </w:rPr>
            </w:pPr>
            <w:r w:rsidRPr="00FD6CDE">
              <w:rPr>
                <w:snapToGrid w:val="0"/>
                <w:color w:val="000000"/>
                <w:kern w:val="22"/>
                <w:sz w:val="20"/>
                <w:szCs w:val="20"/>
              </w:rPr>
              <w:t>Location: This area encompasses the surrounding waters of Graciosa Island and two smaller islands: Baixo and Praia islets. It has an area of 277 km</w:t>
            </w:r>
            <w:r w:rsidRPr="00FD6CDE">
              <w:rPr>
                <w:snapToGrid w:val="0"/>
                <w:color w:val="000000"/>
                <w:kern w:val="22"/>
                <w:sz w:val="20"/>
                <w:szCs w:val="20"/>
                <w:vertAlign w:val="superscript"/>
              </w:rPr>
              <w:t>2</w:t>
            </w:r>
            <w:r w:rsidRPr="00FD6CDE">
              <w:rPr>
                <w:snapToGrid w:val="0"/>
                <w:color w:val="000000"/>
                <w:kern w:val="22"/>
                <w:sz w:val="20"/>
                <w:szCs w:val="20"/>
              </w:rPr>
              <w:t xml:space="preserve"> and is the northernmost island of the Azores, Portugal (39.05N/-27.99W).</w:t>
            </w:r>
          </w:p>
          <w:p w14:paraId="1EBF2FE5" w14:textId="77777777" w:rsidR="00963618" w:rsidRPr="00FD6CDE" w:rsidRDefault="00963618" w:rsidP="00950BE4">
            <w:pPr>
              <w:numPr>
                <w:ilvl w:val="0"/>
                <w:numId w:val="72"/>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This is a key area for the only breeding population of the vulnerable and endemic Monteiro’s storm-petrel (</w:t>
            </w:r>
            <w:r w:rsidRPr="00FD6CDE">
              <w:rPr>
                <w:i/>
                <w:iCs/>
                <w:snapToGrid w:val="0"/>
                <w:kern w:val="22"/>
                <w:sz w:val="20"/>
                <w:szCs w:val="20"/>
              </w:rPr>
              <w:t>Hydrobates monteiroi</w:t>
            </w:r>
            <w:r w:rsidRPr="00FD6CDE">
              <w:rPr>
                <w:snapToGrid w:val="0"/>
                <w:kern w:val="22"/>
                <w:sz w:val="20"/>
                <w:szCs w:val="20"/>
              </w:rPr>
              <w:t>) and is also important for the breeding population of the Audubon’s shearwater (</w:t>
            </w:r>
            <w:r w:rsidRPr="00FD6CDE">
              <w:rPr>
                <w:i/>
                <w:iCs/>
                <w:snapToGrid w:val="0"/>
                <w:kern w:val="22"/>
                <w:sz w:val="20"/>
                <w:szCs w:val="20"/>
              </w:rPr>
              <w:t>Puffinus lherminieri baroli</w:t>
            </w:r>
            <w:r w:rsidRPr="00FD6CDE">
              <w:rPr>
                <w:snapToGrid w:val="0"/>
                <w:kern w:val="22"/>
                <w:sz w:val="20"/>
                <w:szCs w:val="20"/>
              </w:rPr>
              <w:t>), which is listed by OSPAR as a threatened and/or declining species. Many other seabirds occur in these waters, such as band-rumped storm-petrel (</w:t>
            </w:r>
            <w:r w:rsidRPr="00FD6CDE">
              <w:rPr>
                <w:i/>
                <w:iCs/>
                <w:snapToGrid w:val="0"/>
                <w:kern w:val="22"/>
                <w:sz w:val="20"/>
                <w:szCs w:val="20"/>
              </w:rPr>
              <w:t>Hydrobates castro</w:t>
            </w:r>
            <w:r w:rsidRPr="00FD6CDE">
              <w:rPr>
                <w:snapToGrid w:val="0"/>
                <w:kern w:val="22"/>
                <w:sz w:val="20"/>
                <w:szCs w:val="20"/>
              </w:rPr>
              <w:t>), Cory’s shearwater (</w:t>
            </w:r>
            <w:r w:rsidRPr="00FD6CDE">
              <w:rPr>
                <w:i/>
                <w:iCs/>
                <w:snapToGrid w:val="0"/>
                <w:kern w:val="22"/>
                <w:sz w:val="20"/>
                <w:szCs w:val="20"/>
              </w:rPr>
              <w:t>Calonectris borealis</w:t>
            </w:r>
            <w:r w:rsidRPr="00FD6CDE">
              <w:rPr>
                <w:snapToGrid w:val="0"/>
                <w:kern w:val="22"/>
                <w:sz w:val="20"/>
                <w:szCs w:val="20"/>
              </w:rPr>
              <w:t>), common tern (</w:t>
            </w:r>
            <w:r w:rsidRPr="00FD6CDE">
              <w:rPr>
                <w:i/>
                <w:iCs/>
                <w:snapToGrid w:val="0"/>
                <w:kern w:val="22"/>
                <w:sz w:val="20"/>
                <w:szCs w:val="20"/>
              </w:rPr>
              <w:t>Sterna hirundo</w:t>
            </w:r>
            <w:r w:rsidRPr="00FD6CDE">
              <w:rPr>
                <w:snapToGrid w:val="0"/>
                <w:kern w:val="22"/>
                <w:sz w:val="20"/>
                <w:szCs w:val="20"/>
              </w:rPr>
              <w:t>) and roseate tern (</w:t>
            </w:r>
            <w:r w:rsidRPr="00FD6CDE">
              <w:rPr>
                <w:i/>
                <w:iCs/>
                <w:snapToGrid w:val="0"/>
                <w:kern w:val="22"/>
                <w:sz w:val="20"/>
                <w:szCs w:val="20"/>
              </w:rPr>
              <w:t>Sterna dougallii</w:t>
            </w:r>
            <w:r w:rsidRPr="00FD6CDE">
              <w:rPr>
                <w:snapToGrid w:val="0"/>
                <w:kern w:val="22"/>
                <w:sz w:val="20"/>
                <w:szCs w:val="20"/>
              </w:rPr>
              <w:t>). All of these species have low recovery rates and are highly sensitive to environmental degradation or depletion by human activity.</w:t>
            </w:r>
          </w:p>
        </w:tc>
        <w:tc>
          <w:tcPr>
            <w:tcW w:w="506" w:type="dxa"/>
            <w:vAlign w:val="center"/>
          </w:tcPr>
          <w:p w14:paraId="279D1858"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50BBABA1"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4AB41A27"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7A5C1BC3"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3AA200A0"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c>
          <w:tcPr>
            <w:tcW w:w="506" w:type="dxa"/>
            <w:vAlign w:val="center"/>
          </w:tcPr>
          <w:p w14:paraId="73FECC78"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c>
          <w:tcPr>
            <w:tcW w:w="507" w:type="dxa"/>
            <w:vAlign w:val="center"/>
          </w:tcPr>
          <w:p w14:paraId="10F70957"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w:t>
            </w:r>
          </w:p>
        </w:tc>
      </w:tr>
      <w:tr w:rsidR="00963618" w:rsidRPr="00FD6CDE" w14:paraId="0124D58D" w14:textId="77777777" w:rsidTr="00117478">
        <w:tc>
          <w:tcPr>
            <w:tcW w:w="9687" w:type="dxa"/>
            <w:shd w:val="clear" w:color="auto" w:fill="auto"/>
          </w:tcPr>
          <w:p w14:paraId="2E8BC2E4" w14:textId="77777777" w:rsidR="00963618" w:rsidRPr="00FD6CDE" w:rsidRDefault="00963618" w:rsidP="00EE1115">
            <w:pPr>
              <w:keepNext/>
              <w:suppressLineNumbers/>
              <w:suppressAutoHyphens/>
              <w:kinsoku w:val="0"/>
              <w:overflowPunct w:val="0"/>
              <w:autoSpaceDE w:val="0"/>
              <w:autoSpaceDN w:val="0"/>
              <w:jc w:val="left"/>
              <w:outlineLvl w:val="1"/>
              <w:rPr>
                <w:b/>
                <w:snapToGrid w:val="0"/>
                <w:kern w:val="22"/>
                <w:sz w:val="20"/>
                <w:szCs w:val="20"/>
              </w:rPr>
            </w:pPr>
            <w:bookmarkStart w:id="301" w:name="_Toc118355040"/>
            <w:r w:rsidRPr="00FD6CDE">
              <w:rPr>
                <w:b/>
                <w:snapToGrid w:val="0"/>
                <w:kern w:val="22"/>
                <w:sz w:val="20"/>
                <w:szCs w:val="20"/>
              </w:rPr>
              <w:lastRenderedPageBreak/>
              <w:t>13. North Azores Plateau</w:t>
            </w:r>
            <w:bookmarkEnd w:id="301"/>
          </w:p>
          <w:p w14:paraId="42C06F62" w14:textId="77777777" w:rsidR="00963618" w:rsidRPr="00FD6CDE" w:rsidRDefault="00963618" w:rsidP="00950BE4">
            <w:pPr>
              <w:numPr>
                <w:ilvl w:val="0"/>
                <w:numId w:val="73"/>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Location: The area is spread over a wide part of the Atlantic Ocean, north of the Azores. The area is home to multiple types of structures (i.e., hydrothermal vent field, Mid-Atlantic Ridge North of the Azores High Seas Marine Protected Area, seamounts), which are very distinct in terms of biology and geology, and which have different compositions, locations and ages.</w:t>
            </w:r>
          </w:p>
          <w:p w14:paraId="6B7DD22C" w14:textId="77777777" w:rsidR="00963618" w:rsidRPr="00FD6CDE" w:rsidRDefault="00963618" w:rsidP="00950BE4">
            <w:pPr>
              <w:numPr>
                <w:ilvl w:val="0"/>
                <w:numId w:val="73"/>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This area is composed of several seamounts, one hydrothermal vent field, an undersea trough and a large portion of the Mid-Atlantic Ridge north of the Azores Plateau. The structures in this area are hotspots of marine life and, in general, are areas of enhanced productivity, especially when compared with surrounding abyssal areas. The Moytirra is the first known deep-sea hydrothermal vent field on the slow-spreading Mid-Atlantic Ridge north of the Azores, making this area highly unique. A total of 536 species have been observed in this area, 6 per cent of which are protected under international or regional law.</w:t>
            </w:r>
          </w:p>
        </w:tc>
        <w:tc>
          <w:tcPr>
            <w:tcW w:w="506" w:type="dxa"/>
            <w:vAlign w:val="center"/>
          </w:tcPr>
          <w:p w14:paraId="54F4DE70"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510663A6"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7D29C5E5"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4699E64A"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6" w:type="dxa"/>
            <w:vAlign w:val="center"/>
          </w:tcPr>
          <w:p w14:paraId="192487B7"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M</w:t>
            </w:r>
          </w:p>
        </w:tc>
        <w:tc>
          <w:tcPr>
            <w:tcW w:w="506" w:type="dxa"/>
            <w:vAlign w:val="center"/>
          </w:tcPr>
          <w:p w14:paraId="2977415D"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H</w:t>
            </w:r>
          </w:p>
        </w:tc>
        <w:tc>
          <w:tcPr>
            <w:tcW w:w="507" w:type="dxa"/>
            <w:vAlign w:val="center"/>
          </w:tcPr>
          <w:p w14:paraId="5F134401" w14:textId="77777777" w:rsidR="00963618" w:rsidRPr="00FD6CDE" w:rsidRDefault="00963618" w:rsidP="00117478">
            <w:pPr>
              <w:suppressLineNumbers/>
              <w:suppressAutoHyphens/>
              <w:kinsoku w:val="0"/>
              <w:overflowPunct w:val="0"/>
              <w:autoSpaceDE w:val="0"/>
              <w:autoSpaceDN w:val="0"/>
              <w:snapToGrid w:val="0"/>
              <w:jc w:val="center"/>
              <w:rPr>
                <w:snapToGrid w:val="0"/>
                <w:color w:val="000000"/>
                <w:kern w:val="22"/>
                <w:sz w:val="20"/>
                <w:szCs w:val="20"/>
              </w:rPr>
            </w:pPr>
            <w:r w:rsidRPr="00FD6CDE">
              <w:rPr>
                <w:snapToGrid w:val="0"/>
                <w:color w:val="000000"/>
                <w:kern w:val="22"/>
                <w:sz w:val="20"/>
                <w:szCs w:val="20"/>
              </w:rPr>
              <w:t>M</w:t>
            </w:r>
          </w:p>
        </w:tc>
      </w:tr>
      <w:tr w:rsidR="00963618" w:rsidRPr="00FD6CDE" w14:paraId="7C2ABE94" w14:textId="77777777" w:rsidTr="00117478">
        <w:tc>
          <w:tcPr>
            <w:tcW w:w="9687" w:type="dxa"/>
            <w:shd w:val="clear" w:color="auto" w:fill="auto"/>
          </w:tcPr>
          <w:p w14:paraId="7D212702" w14:textId="77777777" w:rsidR="00963618" w:rsidRPr="00FD6CDE" w:rsidRDefault="00963618" w:rsidP="00117478">
            <w:pPr>
              <w:suppressLineNumbers/>
              <w:suppressAutoHyphens/>
              <w:kinsoku w:val="0"/>
              <w:overflowPunct w:val="0"/>
              <w:autoSpaceDE w:val="0"/>
              <w:autoSpaceDN w:val="0"/>
              <w:jc w:val="left"/>
              <w:outlineLvl w:val="1"/>
              <w:rPr>
                <w:b/>
                <w:caps/>
                <w:snapToGrid w:val="0"/>
                <w:kern w:val="22"/>
                <w:sz w:val="20"/>
                <w:szCs w:val="20"/>
              </w:rPr>
            </w:pPr>
            <w:bookmarkStart w:id="302" w:name="_Toc118355041"/>
            <w:r w:rsidRPr="00FD6CDE">
              <w:rPr>
                <w:b/>
                <w:snapToGrid w:val="0"/>
                <w:kern w:val="22"/>
                <w:sz w:val="20"/>
                <w:szCs w:val="20"/>
              </w:rPr>
              <w:t>14. Mid-North-Atlantic Frontal System</w:t>
            </w:r>
            <w:bookmarkEnd w:id="302"/>
          </w:p>
          <w:p w14:paraId="7BE27F0B" w14:textId="77777777" w:rsidR="00963618" w:rsidRPr="00FD6CDE" w:rsidRDefault="00963618" w:rsidP="00950BE4">
            <w:pPr>
              <w:numPr>
                <w:ilvl w:val="0"/>
                <w:numId w:val="78"/>
              </w:numPr>
              <w:suppressLineNumbers/>
              <w:suppressAutoHyphens/>
              <w:kinsoku w:val="0"/>
              <w:overflowPunct w:val="0"/>
              <w:autoSpaceDE w:val="0"/>
              <w:autoSpaceDN w:val="0"/>
              <w:rPr>
                <w:snapToGrid w:val="0"/>
                <w:kern w:val="22"/>
                <w:sz w:val="20"/>
                <w:szCs w:val="20"/>
              </w:rPr>
            </w:pPr>
            <w:r w:rsidRPr="00FD6CDE">
              <w:rPr>
                <w:snapToGrid w:val="0"/>
                <w:kern w:val="22"/>
                <w:sz w:val="20"/>
                <w:szCs w:val="20"/>
              </w:rPr>
              <w:t>Location: This area has a well-defined western boundary (front), coinciding with the maritime boundary of the OSPAR Commission. It extends north along the east flank of the Grand Banks, where it forms a loop called the Northwest Corner and continues to the east. The northern boundary is defined by the northern extent of the Subpolar Front at 54°N. The North Subarctic Front is topographically fixed at the Charlie-Gibbs Fracture Zone at 30°W. It is known that the North Atlantic Current and frontal branches vary strongly, with latitudinal shifts up to 250-300 km. Thus, maps of annual means have been used to ensure that the area’s full temporal variability has been captured.</w:t>
            </w:r>
          </w:p>
          <w:p w14:paraId="3B30D663" w14:textId="77777777" w:rsidR="00963618" w:rsidRPr="00FD6CDE" w:rsidRDefault="00963618" w:rsidP="00950BE4">
            <w:pPr>
              <w:numPr>
                <w:ilvl w:val="0"/>
                <w:numId w:val="74"/>
              </w:numPr>
              <w:suppressLineNumbers/>
              <w:suppressAutoHyphens/>
              <w:kinsoku w:val="0"/>
              <w:overflowPunct w:val="0"/>
              <w:autoSpaceDE w:val="0"/>
              <w:autoSpaceDN w:val="0"/>
              <w:ind w:left="360"/>
              <w:rPr>
                <w:snapToGrid w:val="0"/>
                <w:kern w:val="22"/>
                <w:sz w:val="20"/>
                <w:szCs w:val="20"/>
              </w:rPr>
            </w:pPr>
            <w:r w:rsidRPr="00FD6CDE">
              <w:rPr>
                <w:snapToGrid w:val="0"/>
                <w:kern w:val="22"/>
                <w:sz w:val="20"/>
                <w:szCs w:val="20"/>
              </w:rPr>
              <w:t>This is a remote area of intense mesoscale activity with near stationary eddies and numerous thermal fronts aligned in zonal bands. These fronts and eddies enhance primary productivity and retain and concentrate secondary productivity both vertically and horizontally. The combination of locali</w:t>
            </w:r>
            <w:r>
              <w:rPr>
                <w:snapToGrid w:val="0"/>
                <w:kern w:val="22"/>
                <w:sz w:val="20"/>
                <w:szCs w:val="20"/>
              </w:rPr>
              <w:t>z</w:t>
            </w:r>
            <w:r w:rsidRPr="00FD6CDE">
              <w:rPr>
                <w:snapToGrid w:val="0"/>
                <w:kern w:val="22"/>
                <w:sz w:val="20"/>
                <w:szCs w:val="20"/>
              </w:rPr>
              <w:t>ed high- intensity mixing in the eddies results in patchy, high-surface productivity at fine scales. Tracking data collected for seabirds, whales, sea turtles, tunas and sharks (several of which are globally threatened) confirm that this is an area of high productivity with a high intensity of foraging activity, suggesting that this productivity cascades to higher trophic levels.</w:t>
            </w:r>
          </w:p>
        </w:tc>
        <w:tc>
          <w:tcPr>
            <w:tcW w:w="506" w:type="dxa"/>
            <w:vAlign w:val="center"/>
          </w:tcPr>
          <w:p w14:paraId="5B9D6483"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4025D98B"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7178F2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2DDC777B"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DE0841E"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9397C5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1D630E5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r>
      <w:tr w:rsidR="00963618" w:rsidRPr="00FD6CDE" w14:paraId="59B87D09" w14:textId="77777777" w:rsidTr="00117478">
        <w:tc>
          <w:tcPr>
            <w:tcW w:w="9687" w:type="dxa"/>
            <w:shd w:val="clear" w:color="auto" w:fill="auto"/>
          </w:tcPr>
          <w:p w14:paraId="0EDE27D5" w14:textId="77777777" w:rsidR="00963618" w:rsidRPr="00FD6CDE" w:rsidRDefault="00963618" w:rsidP="00117478">
            <w:pPr>
              <w:suppressLineNumbers/>
              <w:suppressAutoHyphens/>
              <w:kinsoku w:val="0"/>
              <w:overflowPunct w:val="0"/>
              <w:autoSpaceDE w:val="0"/>
              <w:autoSpaceDN w:val="0"/>
              <w:jc w:val="left"/>
              <w:outlineLvl w:val="1"/>
              <w:rPr>
                <w:b/>
                <w:snapToGrid w:val="0"/>
                <w:kern w:val="22"/>
                <w:sz w:val="20"/>
                <w:szCs w:val="20"/>
              </w:rPr>
            </w:pPr>
            <w:bookmarkStart w:id="303" w:name="_Toc118355042"/>
            <w:r w:rsidRPr="00FD6CDE">
              <w:rPr>
                <w:b/>
                <w:snapToGrid w:val="0"/>
                <w:kern w:val="22"/>
                <w:sz w:val="20"/>
                <w:szCs w:val="20"/>
              </w:rPr>
              <w:t>15. Charlie-Gibbs Fracture Zone</w:t>
            </w:r>
            <w:bookmarkEnd w:id="303"/>
          </w:p>
          <w:p w14:paraId="7BAAD7CA"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snapToGrid w:val="0"/>
                <w:kern w:val="22"/>
                <w:sz w:val="20"/>
                <w:szCs w:val="20"/>
              </w:rPr>
              <w:t>Location: This area extends from 48°N and 55°188′N along the Mid-Atlantic Ridge, and the Charlie-Gibbs Fracture Zone occurs at 52º30′N. The area extends from about 25°W to 45°W, with the transform faults occurring between 30°W and 35°W. The eastern boundary of the Charlie-Gibbs Fracture Zone is detectable beyond 42°W. The southern ridge continues uninterrupted to 45°W. This area encompasses the Charlie-Gibbs Fracture Zone, the meandering Sub-polar Frontal Zone and the benthic communities of the Mid-Atlantic Ridge in this area, including individual seamounts.</w:t>
            </w:r>
          </w:p>
          <w:p w14:paraId="6425502D" w14:textId="77777777" w:rsidR="00963618" w:rsidRPr="00FD6CDE" w:rsidRDefault="00963618" w:rsidP="00963618">
            <w:pPr>
              <w:suppressLineNumbers/>
              <w:suppressAutoHyphens/>
              <w:kinsoku w:val="0"/>
              <w:overflowPunct w:val="0"/>
              <w:autoSpaceDE w:val="0"/>
              <w:autoSpaceDN w:val="0"/>
              <w:ind w:left="360" w:hanging="360"/>
              <w:rPr>
                <w:snapToGrid w:val="0"/>
                <w:kern w:val="22"/>
                <w:sz w:val="20"/>
                <w:szCs w:val="20"/>
              </w:rPr>
            </w:pPr>
            <w:r w:rsidRPr="00FD6CDE">
              <w:rPr>
                <w:rFonts w:eastAsia="MS Mincho" w:hint="eastAsia"/>
                <w:snapToGrid w:val="0"/>
                <w:kern w:val="22"/>
                <w:sz w:val="20"/>
                <w:szCs w:val="20"/>
              </w:rPr>
              <w:t>Fracture zones are common topographic features of the ocean that arise through plate tectonics. The Charlie-Gibbs Fracture Zone is an unusual left lateral strike-slip double transform fault in the North Atlantic Ocean, along which the rift valley of the Mid-Atlantic Ridge is offset by 350 km near 52</w:t>
            </w:r>
            <w:r w:rsidRPr="00FD6CDE">
              <w:rPr>
                <w:rFonts w:eastAsia="MS Mincho" w:hint="eastAsia"/>
                <w:snapToGrid w:val="0"/>
                <w:kern w:val="22"/>
                <w:sz w:val="20"/>
                <w:szCs w:val="20"/>
              </w:rPr>
              <w:t>º</w:t>
            </w:r>
            <w:r w:rsidRPr="00FD6CDE">
              <w:rPr>
                <w:rFonts w:eastAsia="MS Mincho" w:hint="eastAsia"/>
                <w:snapToGrid w:val="0"/>
                <w:kern w:val="22"/>
                <w:sz w:val="20"/>
                <w:szCs w:val="20"/>
              </w:rPr>
              <w:t>30</w:t>
            </w:r>
            <w:r w:rsidRPr="00FD6CDE">
              <w:rPr>
                <w:rFonts w:eastAsia="MS Mincho" w:hint="eastAsia"/>
                <w:snapToGrid w:val="0"/>
                <w:kern w:val="22"/>
                <w:sz w:val="20"/>
                <w:szCs w:val="20"/>
              </w:rPr>
              <w:t>′</w:t>
            </w:r>
            <w:r w:rsidRPr="00FD6CDE">
              <w:rPr>
                <w:rFonts w:eastAsia="MS Mincho" w:hint="eastAsia"/>
                <w:snapToGrid w:val="0"/>
                <w:kern w:val="22"/>
                <w:sz w:val="20"/>
                <w:szCs w:val="20"/>
              </w:rPr>
              <w:t xml:space="preserve">N. It opens the deepest connection between the northwest and northeast Atlantic (maximum depth of approximately 4500 m) and is approximately 2000 km in </w:t>
            </w:r>
            <w:r w:rsidRPr="00FD6CDE">
              <w:rPr>
                <w:rFonts w:eastAsia="MS Mincho" w:hint="eastAsia"/>
                <w:snapToGrid w:val="0"/>
                <w:kern w:val="22"/>
                <w:sz w:val="20"/>
                <w:szCs w:val="20"/>
              </w:rPr>
              <w:lastRenderedPageBreak/>
              <w:t>length, extending from about 25</w:t>
            </w:r>
            <w:r w:rsidRPr="00FD6CDE">
              <w:rPr>
                <w:rFonts w:eastAsia="MS Mincho" w:hint="eastAsia"/>
                <w:snapToGrid w:val="0"/>
                <w:kern w:val="22"/>
                <w:sz w:val="20"/>
                <w:szCs w:val="20"/>
              </w:rPr>
              <w:t>°</w:t>
            </w:r>
            <w:r w:rsidRPr="00FD6CDE">
              <w:rPr>
                <w:rFonts w:eastAsia="MS Mincho" w:hint="eastAsia"/>
                <w:snapToGrid w:val="0"/>
                <w:kern w:val="22"/>
                <w:sz w:val="20"/>
                <w:szCs w:val="20"/>
              </w:rPr>
              <w:t>W to 45</w:t>
            </w:r>
            <w:r w:rsidRPr="00FD6CDE">
              <w:rPr>
                <w:rFonts w:eastAsia="MS Mincho" w:hint="eastAsia"/>
                <w:snapToGrid w:val="0"/>
                <w:kern w:val="22"/>
                <w:sz w:val="20"/>
                <w:szCs w:val="20"/>
              </w:rPr>
              <w:t>°</w:t>
            </w:r>
            <w:r w:rsidRPr="00FD6CDE">
              <w:rPr>
                <w:rFonts w:eastAsia="MS Mincho" w:hint="eastAsia"/>
                <w:snapToGrid w:val="0"/>
                <w:kern w:val="22"/>
                <w:sz w:val="20"/>
                <w:szCs w:val="20"/>
              </w:rPr>
              <w:t xml:space="preserve">W. It is the most prominent interruption of the Mid-Atlantic Ridge between the Azores and Iceland and the only fracture zone between Europe and North America that has an offset of this size. Two named seamounts are associated with the transform faults: </w:t>
            </w:r>
            <w:r w:rsidRPr="00FD6CDE">
              <w:rPr>
                <w:rFonts w:eastAsia="MS Mincho"/>
                <w:snapToGrid w:val="0"/>
                <w:kern w:val="22"/>
                <w:sz w:val="20"/>
                <w:szCs w:val="20"/>
              </w:rPr>
              <w:t>Minia and Hecate. The area is a unique geomorphological feature in the North Atlantic. Further, it captures the Earth’s geological history, including significant ongoing geological processes. The sub-polar front is also representative of a pelagic frontal system. The area is described based on its importance as a section of the northern Mid-Atlantic Ridge and is a biogeographically representative section of the northern Mid-Atlantic Ridge. There is evidence of both deep-sea sponge aggregations and cold-water corals in this area. In addition, the Mid-Atlantic Ridge is the only extensive hard substrate available for the propagation of benthic suspension feeders off the continental shelves and isolated seamounts in the region.</w:t>
            </w:r>
          </w:p>
        </w:tc>
        <w:tc>
          <w:tcPr>
            <w:tcW w:w="506" w:type="dxa"/>
            <w:vAlign w:val="center"/>
          </w:tcPr>
          <w:p w14:paraId="0681A87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lastRenderedPageBreak/>
              <w:t>H</w:t>
            </w:r>
          </w:p>
        </w:tc>
        <w:tc>
          <w:tcPr>
            <w:tcW w:w="506" w:type="dxa"/>
            <w:vAlign w:val="center"/>
          </w:tcPr>
          <w:p w14:paraId="37298A9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4FB6B22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2EDC455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35D4B5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c>
          <w:tcPr>
            <w:tcW w:w="506" w:type="dxa"/>
            <w:vAlign w:val="center"/>
          </w:tcPr>
          <w:p w14:paraId="3D20F512"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3466758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r w:rsidR="00963618" w:rsidRPr="00FD6CDE" w14:paraId="4CA9D715" w14:textId="77777777" w:rsidTr="00117478">
        <w:tc>
          <w:tcPr>
            <w:tcW w:w="9687" w:type="dxa"/>
            <w:shd w:val="clear" w:color="auto" w:fill="auto"/>
          </w:tcPr>
          <w:p w14:paraId="15A1A1CE" w14:textId="77777777" w:rsidR="00963618" w:rsidRPr="0087065C" w:rsidRDefault="00963618" w:rsidP="00117478">
            <w:pPr>
              <w:suppressLineNumbers/>
              <w:suppressAutoHyphens/>
              <w:kinsoku w:val="0"/>
              <w:overflowPunct w:val="0"/>
              <w:autoSpaceDE w:val="0"/>
              <w:autoSpaceDN w:val="0"/>
              <w:outlineLvl w:val="1"/>
              <w:rPr>
                <w:b/>
                <w:snapToGrid w:val="0"/>
                <w:kern w:val="22"/>
                <w:sz w:val="20"/>
                <w:szCs w:val="20"/>
              </w:rPr>
            </w:pPr>
            <w:bookmarkStart w:id="304" w:name="_Toc118355043"/>
            <w:r w:rsidRPr="00FD6CDE">
              <w:rPr>
                <w:b/>
                <w:snapToGrid w:val="0"/>
                <w:kern w:val="22"/>
                <w:sz w:val="20"/>
                <w:szCs w:val="20"/>
              </w:rPr>
              <w:t xml:space="preserve">16. Southern </w:t>
            </w:r>
            <w:r w:rsidRPr="0087065C">
              <w:rPr>
                <w:b/>
                <w:snapToGrid w:val="0"/>
                <w:kern w:val="22"/>
                <w:sz w:val="20"/>
                <w:szCs w:val="20"/>
              </w:rPr>
              <w:t>Reykjanes Ridge</w:t>
            </w:r>
            <w:bookmarkEnd w:id="304"/>
          </w:p>
          <w:p w14:paraId="74C92603" w14:textId="77777777" w:rsidR="00963618" w:rsidRPr="00047D70" w:rsidRDefault="00963618" w:rsidP="00950BE4">
            <w:pPr>
              <w:numPr>
                <w:ilvl w:val="0"/>
                <w:numId w:val="71"/>
              </w:numPr>
              <w:suppressLineNumbers/>
              <w:suppressAutoHyphens/>
              <w:kinsoku w:val="0"/>
              <w:overflowPunct w:val="0"/>
              <w:autoSpaceDE w:val="0"/>
              <w:autoSpaceDN w:val="0"/>
              <w:ind w:left="395"/>
              <w:rPr>
                <w:snapToGrid w:val="0"/>
                <w:kern w:val="22"/>
                <w:sz w:val="20"/>
                <w:szCs w:val="20"/>
              </w:rPr>
            </w:pPr>
            <w:r w:rsidRPr="0087065C">
              <w:rPr>
                <w:snapToGrid w:val="0"/>
                <w:kern w:val="22"/>
                <w:sz w:val="20"/>
                <w:szCs w:val="20"/>
              </w:rPr>
              <w:t xml:space="preserve">Location: </w:t>
            </w:r>
            <w:r w:rsidRPr="0087065C">
              <w:rPr>
                <w:rStyle w:val="apple-converted-space"/>
                <w:sz w:val="20"/>
                <w:szCs w:val="20"/>
              </w:rPr>
              <w:t>Situated, partly, on the continental shelf of Iceland</w:t>
            </w:r>
            <w:r>
              <w:rPr>
                <w:rStyle w:val="apple-converted-space"/>
                <w:sz w:val="20"/>
                <w:szCs w:val="20"/>
              </w:rPr>
              <w:t>,</w:t>
            </w:r>
            <w:r w:rsidRPr="0087065C">
              <w:rPr>
                <w:rStyle w:val="apple-converted-space"/>
                <w:sz w:val="20"/>
                <w:szCs w:val="20"/>
              </w:rPr>
              <w:t xml:space="preserve"> </w:t>
            </w:r>
            <w:r w:rsidRPr="0087065C">
              <w:rPr>
                <w:snapToGrid w:val="0"/>
                <w:kern w:val="22"/>
                <w:sz w:val="20"/>
                <w:szCs w:val="20"/>
              </w:rPr>
              <w:t xml:space="preserve">the </w:t>
            </w:r>
            <w:r w:rsidRPr="00B24C9F">
              <w:rPr>
                <w:snapToGrid w:val="0"/>
                <w:kern w:val="22"/>
                <w:sz w:val="20"/>
                <w:szCs w:val="20"/>
              </w:rPr>
              <w:t>northern boundary of the area is Iceland’s Exclusive Economic Zone. The southern boundary of this area is 55°188′N, well north the Sub-Polar Front, which separates the warm- and cold- water masses and is usually found between 52</w:t>
            </w:r>
            <w:r w:rsidRPr="00B24C9F">
              <w:rPr>
                <w:rFonts w:eastAsia="MS Mincho"/>
                <w:bCs/>
                <w:color w:val="000000"/>
                <w:sz w:val="20"/>
                <w:szCs w:val="20"/>
              </w:rPr>
              <w:t>°</w:t>
            </w:r>
            <w:r w:rsidRPr="00B24C9F">
              <w:rPr>
                <w:color w:val="000000"/>
                <w:sz w:val="20"/>
                <w:szCs w:val="20"/>
              </w:rPr>
              <w:t>N</w:t>
            </w:r>
            <w:r w:rsidRPr="00047D70">
              <w:rPr>
                <w:snapToGrid w:val="0"/>
                <w:kern w:val="22"/>
                <w:sz w:val="20"/>
                <w:szCs w:val="20"/>
              </w:rPr>
              <w:t xml:space="preserve"> and 53°N. The 2,500 m depth contour was used to define the boundaries of the area, as this captures most of the Ridge crest and known distribution of deep-water corals (maximum 2,400 m).</w:t>
            </w:r>
          </w:p>
          <w:p w14:paraId="63C43A8C" w14:textId="77777777" w:rsidR="00963618" w:rsidRPr="00FD6CDE" w:rsidRDefault="00963618" w:rsidP="00950BE4">
            <w:pPr>
              <w:numPr>
                <w:ilvl w:val="0"/>
                <w:numId w:val="71"/>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Reykjanes Ridge is part of a major topographic feature of the Atlantic Ocean, the Mid-Atlantic Ridge. The Mid-Atlantic Ridge separates the Newfoundland and Labrador Basins from the West-European Basin and the Irminger Sea from the Iceland Basin, influencing hydrography and circulation. The ridge crest is generally cut by a deep rift valley along its length, bordered by high rift mountains, which are bordered by high fractured plateaus. This region is largely composed of volcanic rock, which is the foundation of the area and provides a hard-bottom substrate for the colonization of benthic communities, including vulnerable and habitat-forming species. The area supports several endangered and threatened shark and ray species. The Ridge itself and its complex hydrographic setting contributes to enhanced vertical mixing and turbulence, resulting in areas of increased productivity above it. The 2,500 m depth contour is used to delineate the boundary of the area, capturing most of the Ridge crest and known distribution of deep-water corals.</w:t>
            </w:r>
          </w:p>
        </w:tc>
        <w:tc>
          <w:tcPr>
            <w:tcW w:w="506" w:type="dxa"/>
            <w:vAlign w:val="center"/>
          </w:tcPr>
          <w:p w14:paraId="7A06F7A1"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7856D57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364851B5"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0F736300"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58A9AD19"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0627778"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5C8DF2D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w:t>
            </w:r>
          </w:p>
        </w:tc>
      </w:tr>
      <w:tr w:rsidR="00963618" w:rsidRPr="00FD6CDE" w14:paraId="2677CC01" w14:textId="77777777" w:rsidTr="00117478">
        <w:tc>
          <w:tcPr>
            <w:tcW w:w="9687" w:type="dxa"/>
            <w:shd w:val="clear" w:color="auto" w:fill="auto"/>
          </w:tcPr>
          <w:p w14:paraId="2AAD129A" w14:textId="77777777" w:rsidR="00963618" w:rsidRPr="00FD6CDE" w:rsidRDefault="00963618" w:rsidP="00117478">
            <w:pPr>
              <w:suppressLineNumbers/>
              <w:suppressAutoHyphens/>
              <w:kinsoku w:val="0"/>
              <w:overflowPunct w:val="0"/>
              <w:autoSpaceDE w:val="0"/>
              <w:autoSpaceDN w:val="0"/>
              <w:spacing w:line="280" w:lineRule="atLeast"/>
              <w:ind w:right="540"/>
              <w:jc w:val="left"/>
              <w:outlineLvl w:val="1"/>
              <w:rPr>
                <w:b/>
                <w:caps/>
                <w:snapToGrid w:val="0"/>
                <w:kern w:val="22"/>
                <w:sz w:val="20"/>
                <w:szCs w:val="20"/>
              </w:rPr>
            </w:pPr>
            <w:bookmarkStart w:id="305" w:name="_Toc118355044"/>
            <w:r w:rsidRPr="00FD6CDE">
              <w:rPr>
                <w:b/>
                <w:snapToGrid w:val="0"/>
                <w:kern w:val="22"/>
                <w:sz w:val="20"/>
                <w:szCs w:val="20"/>
              </w:rPr>
              <w:t>17. Hatton and Rockall Banks and Basin</w:t>
            </w:r>
            <w:bookmarkEnd w:id="305"/>
          </w:p>
          <w:p w14:paraId="4CAF6CD8" w14:textId="77777777" w:rsidR="00963618" w:rsidRPr="00FD6CDE" w:rsidRDefault="00963618" w:rsidP="00950BE4">
            <w:pPr>
              <w:numPr>
                <w:ilvl w:val="0"/>
                <w:numId w:val="75"/>
              </w:numPr>
              <w:suppressLineNumbers/>
              <w:suppressAutoHyphens/>
              <w:kinsoku w:val="0"/>
              <w:overflowPunct w:val="0"/>
              <w:autoSpaceDE w:val="0"/>
              <w:autoSpaceDN w:val="0"/>
              <w:ind w:left="395"/>
              <w:rPr>
                <w:snapToGrid w:val="0"/>
                <w:kern w:val="22"/>
                <w:sz w:val="20"/>
                <w:szCs w:val="20"/>
              </w:rPr>
            </w:pPr>
            <w:r w:rsidRPr="00FD6CDE">
              <w:rPr>
                <w:snapToGrid w:val="0"/>
                <w:kern w:val="22"/>
                <w:sz w:val="20"/>
                <w:szCs w:val="20"/>
              </w:rPr>
              <w:t>Location: The area is situated in the North-East Atlantic approximately 400-500 km west-northwest of Ireland and the United Kingdom of Great Britain and Northern Ireland and 400-500 km south-southeast of Iceland. It comprises the seabed and pelagic zones shallower than 3000m overlying the Rockall and Hatton Banks, together with the Rockall-Hatton Basin between them. The 3,000 m contour has been selected as delineating the boundary of this feature because: (i) it marks the accepted boundary between the bathyal and abyssal environments; (ii) review of oceanographic data suggests the 3,000 m contour corresponds well with the oceanographic influence of the feature and thus its likely influence on pelagic communities and (iii) new data on birds and mammals suggest that species use the pelagic areas just off the bank, which are  captured by the boundary of this area.</w:t>
            </w:r>
          </w:p>
          <w:p w14:paraId="00EF7E94" w14:textId="77777777" w:rsidR="00963618" w:rsidRPr="00B20490" w:rsidRDefault="00963618" w:rsidP="00950BE4">
            <w:pPr>
              <w:numPr>
                <w:ilvl w:val="0"/>
                <w:numId w:val="75"/>
              </w:numPr>
              <w:suppressLineNumbers/>
              <w:suppressAutoHyphens/>
              <w:kinsoku w:val="0"/>
              <w:overflowPunct w:val="0"/>
              <w:autoSpaceDE w:val="0"/>
              <w:autoSpaceDN w:val="0"/>
              <w:ind w:left="395"/>
              <w:rPr>
                <w:snapToGrid w:val="0"/>
                <w:kern w:val="22"/>
                <w:sz w:val="20"/>
                <w:szCs w:val="20"/>
              </w:rPr>
            </w:pPr>
            <w:r w:rsidRPr="00B20490">
              <w:rPr>
                <w:snapToGrid w:val="0"/>
                <w:kern w:val="22"/>
                <w:sz w:val="20"/>
                <w:szCs w:val="20"/>
              </w:rPr>
              <w:lastRenderedPageBreak/>
              <w:t>The Hatton and Rockall Banks, as well as their associated slopes and connecting basin, represent offshore pelagic and bathyal habitats from the surface to 3,000 m deep that collectively constitute a unique and prominent feature of the North-East Atlantic. The area has high habitat heterogeneity and supports a wide range of benthic and pelagic species and associated ecosystems. Its comparatively remote oceanic location several hundred kilometres from the continental shelf afford it a level of protection and isolation from many human activities that are known to degrade the natural marine environment.</w:t>
            </w:r>
          </w:p>
        </w:tc>
        <w:tc>
          <w:tcPr>
            <w:tcW w:w="506" w:type="dxa"/>
            <w:vAlign w:val="center"/>
          </w:tcPr>
          <w:p w14:paraId="7ED79AA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lastRenderedPageBreak/>
              <w:t>H</w:t>
            </w:r>
          </w:p>
        </w:tc>
        <w:tc>
          <w:tcPr>
            <w:tcW w:w="506" w:type="dxa"/>
            <w:vAlign w:val="center"/>
          </w:tcPr>
          <w:p w14:paraId="3054DCE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42AC3076"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62CBF9D4"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6" w:type="dxa"/>
            <w:vAlign w:val="center"/>
          </w:tcPr>
          <w:p w14:paraId="463C277C"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c>
          <w:tcPr>
            <w:tcW w:w="506" w:type="dxa"/>
            <w:vAlign w:val="center"/>
          </w:tcPr>
          <w:p w14:paraId="0CC3A85A"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H</w:t>
            </w:r>
          </w:p>
        </w:tc>
        <w:tc>
          <w:tcPr>
            <w:tcW w:w="507" w:type="dxa"/>
            <w:vAlign w:val="center"/>
          </w:tcPr>
          <w:p w14:paraId="491E322D" w14:textId="77777777" w:rsidR="00963618" w:rsidRPr="00FD6CDE" w:rsidRDefault="00963618" w:rsidP="00117478">
            <w:pPr>
              <w:suppressLineNumbers/>
              <w:suppressAutoHyphens/>
              <w:kinsoku w:val="0"/>
              <w:overflowPunct w:val="0"/>
              <w:autoSpaceDE w:val="0"/>
              <w:autoSpaceDN w:val="0"/>
              <w:snapToGrid w:val="0"/>
              <w:jc w:val="center"/>
              <w:rPr>
                <w:snapToGrid w:val="0"/>
                <w:kern w:val="22"/>
                <w:sz w:val="20"/>
                <w:szCs w:val="20"/>
              </w:rPr>
            </w:pPr>
            <w:r w:rsidRPr="00FD6CDE">
              <w:rPr>
                <w:snapToGrid w:val="0"/>
                <w:kern w:val="22"/>
                <w:sz w:val="20"/>
                <w:szCs w:val="20"/>
              </w:rPr>
              <w:t>M</w:t>
            </w:r>
          </w:p>
        </w:tc>
      </w:tr>
    </w:tbl>
    <w:p w14:paraId="5CDA0C2B" w14:textId="77777777" w:rsidR="00963618" w:rsidRDefault="00963618" w:rsidP="00F6586C">
      <w:pPr>
        <w:pStyle w:val="Para1"/>
        <w:numPr>
          <w:ilvl w:val="0"/>
          <w:numId w:val="0"/>
        </w:numPr>
      </w:pPr>
    </w:p>
    <w:p w14:paraId="1030A42B" w14:textId="77777777" w:rsidR="00252FCF" w:rsidRDefault="00252FCF" w:rsidP="00F6586C">
      <w:pPr>
        <w:pStyle w:val="Para1"/>
        <w:numPr>
          <w:ilvl w:val="0"/>
          <w:numId w:val="0"/>
        </w:numPr>
      </w:pPr>
    </w:p>
    <w:p w14:paraId="1B541D5E" w14:textId="77777777" w:rsidR="00E80078" w:rsidRDefault="00E80078" w:rsidP="0009640F">
      <w:pPr>
        <w:jc w:val="center"/>
        <w:sectPr w:rsidR="00E80078" w:rsidSect="00215B78">
          <w:headerReference w:type="default" r:id="rId54"/>
          <w:pgSz w:w="15840" w:h="12240" w:orient="landscape"/>
          <w:pgMar w:top="1440" w:right="567" w:bottom="1440" w:left="1134" w:header="709" w:footer="709" w:gutter="0"/>
          <w:cols w:space="708"/>
          <w:docGrid w:linePitch="360"/>
        </w:sectPr>
      </w:pPr>
    </w:p>
    <w:p w14:paraId="7E224C0B" w14:textId="77777777" w:rsidR="00252FCF" w:rsidRPr="008D2DCA" w:rsidRDefault="00252FCF" w:rsidP="00824EF9">
      <w:pPr>
        <w:pStyle w:val="decision"/>
        <w:rPr>
          <w:caps/>
        </w:rPr>
      </w:pPr>
      <w:bookmarkStart w:id="306" w:name="_Toc150438824"/>
      <w:bookmarkStart w:id="307" w:name="_Toc150670524"/>
      <w:bookmarkStart w:id="308" w:name="_Toc150670634"/>
      <w:bookmarkStart w:id="309" w:name="_Toc150761136"/>
      <w:r>
        <w:lastRenderedPageBreak/>
        <w:t>15/26.</w:t>
      </w:r>
      <w:r>
        <w:tab/>
      </w:r>
      <w:r w:rsidRPr="008D2DCA">
        <w:t>Ecologically or biologically significant marine areas: further work</w:t>
      </w:r>
      <w:bookmarkEnd w:id="306"/>
      <w:bookmarkEnd w:id="307"/>
      <w:bookmarkEnd w:id="308"/>
      <w:bookmarkEnd w:id="309"/>
      <w:r w:rsidRPr="008D2DCA">
        <w:rPr>
          <w:caps/>
        </w:rPr>
        <w:t xml:space="preserve"> </w:t>
      </w:r>
    </w:p>
    <w:p w14:paraId="04CC389D" w14:textId="77777777" w:rsidR="00252FCF" w:rsidRPr="008D2DCA" w:rsidRDefault="00252FCF" w:rsidP="0075569F">
      <w:pPr>
        <w:suppressLineNumbers/>
        <w:suppressAutoHyphens/>
        <w:kinsoku w:val="0"/>
        <w:overflowPunct w:val="0"/>
        <w:autoSpaceDE w:val="0"/>
        <w:autoSpaceDN w:val="0"/>
        <w:adjustRightInd w:val="0"/>
        <w:snapToGrid w:val="0"/>
        <w:spacing w:before="120" w:after="120"/>
        <w:ind w:firstLine="709"/>
        <w:rPr>
          <w:bCs/>
          <w:i/>
          <w:snapToGrid w:val="0"/>
          <w:kern w:val="22"/>
          <w:szCs w:val="22"/>
          <w:lang w:eastAsia="ko-KR"/>
        </w:rPr>
      </w:pPr>
      <w:r w:rsidRPr="008D2DCA">
        <w:rPr>
          <w:bCs/>
          <w:i/>
          <w:snapToGrid w:val="0"/>
          <w:kern w:val="22"/>
          <w:szCs w:val="22"/>
          <w:lang w:eastAsia="ko-KR"/>
        </w:rPr>
        <w:t>The Conference of the Parties</w:t>
      </w:r>
      <w:r w:rsidRPr="008D2DCA">
        <w:rPr>
          <w:bCs/>
          <w:iCs/>
          <w:snapToGrid w:val="0"/>
          <w:kern w:val="22"/>
          <w:szCs w:val="22"/>
          <w:lang w:eastAsia="ko-KR"/>
        </w:rPr>
        <w:t>,</w:t>
      </w:r>
    </w:p>
    <w:p w14:paraId="29A480D4"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i/>
          <w:iCs/>
          <w:snapToGrid w:val="0"/>
          <w:kern w:val="22"/>
          <w:szCs w:val="22"/>
        </w:rPr>
        <w:t>Reaffirming</w:t>
      </w:r>
      <w:r w:rsidRPr="008D2DCA">
        <w:rPr>
          <w:snapToGrid w:val="0"/>
          <w:kern w:val="22"/>
          <w:szCs w:val="22"/>
        </w:rPr>
        <w:t xml:space="preserve"> Articles 4 and 22 of the Convention</w:t>
      </w:r>
      <w:r>
        <w:rPr>
          <w:snapToGrid w:val="0"/>
          <w:kern w:val="22"/>
          <w:szCs w:val="22"/>
        </w:rPr>
        <w:t>,</w:t>
      </w:r>
      <w:r w:rsidRPr="008D2DCA">
        <w:rPr>
          <w:snapToGrid w:val="0"/>
          <w:kern w:val="22"/>
          <w:szCs w:val="22"/>
        </w:rPr>
        <w:t xml:space="preserve"> as well as decisions X/29, XI/17, XII/22, XIII/12</w:t>
      </w:r>
      <w:r>
        <w:rPr>
          <w:snapToGrid w:val="0"/>
          <w:kern w:val="22"/>
          <w:szCs w:val="22"/>
        </w:rPr>
        <w:t>,</w:t>
      </w:r>
      <w:r w:rsidRPr="008D2DCA">
        <w:rPr>
          <w:snapToGrid w:val="0"/>
          <w:kern w:val="22"/>
          <w:szCs w:val="22"/>
        </w:rPr>
        <w:t xml:space="preserve"> </w:t>
      </w:r>
      <w:r w:rsidRPr="00CA7C3A">
        <w:rPr>
          <w:snapToGrid w:val="0"/>
          <w:kern w:val="22"/>
          <w:szCs w:val="22"/>
        </w:rPr>
        <w:t>in particular paragraph 3</w:t>
      </w:r>
      <w:r w:rsidRPr="009A7D91">
        <w:rPr>
          <w:snapToGrid w:val="0"/>
          <w:kern w:val="22"/>
          <w:szCs w:val="22"/>
        </w:rPr>
        <w:t>,</w:t>
      </w:r>
      <w:r w:rsidRPr="00CA7C3A">
        <w:rPr>
          <w:snapToGrid w:val="0"/>
          <w:kern w:val="22"/>
          <w:szCs w:val="22"/>
        </w:rPr>
        <w:t xml:space="preserve"> and</w:t>
      </w:r>
      <w:r w:rsidRPr="008D2DCA">
        <w:rPr>
          <w:snapToGrid w:val="0"/>
          <w:kern w:val="22"/>
          <w:szCs w:val="22"/>
        </w:rPr>
        <w:t xml:space="preserve"> 14/9 of the Conference of the Parties,</w:t>
      </w:r>
    </w:p>
    <w:p w14:paraId="26EF1BC9" w14:textId="45CCBED4" w:rsidR="00252FCF" w:rsidRPr="008D2DCA" w:rsidRDefault="00252FCF" w:rsidP="00721DA6">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Recalling</w:t>
      </w:r>
      <w:r w:rsidRPr="008D2DCA">
        <w:rPr>
          <w:szCs w:val="22"/>
        </w:rPr>
        <w:t xml:space="preserve"> United Nations General Assembly resolution </w:t>
      </w:r>
      <w:hyperlink r:id="rId55" w:history="1">
        <w:r w:rsidRPr="008D2DCA">
          <w:rPr>
            <w:rStyle w:val="Hyperlink"/>
            <w:sz w:val="22"/>
            <w:szCs w:val="22"/>
          </w:rPr>
          <w:t>76/72</w:t>
        </w:r>
      </w:hyperlink>
      <w:r w:rsidRPr="008D2DCA">
        <w:rPr>
          <w:szCs w:val="22"/>
        </w:rPr>
        <w:t xml:space="preserve"> on oceans and the law of the sea and its preambular paragraphs on the United Nations Convention on the Law of the Sea,</w:t>
      </w:r>
      <w:r w:rsidRPr="00610646">
        <w:rPr>
          <w:rStyle w:val="FootnoteReference"/>
        </w:rPr>
        <w:footnoteReference w:id="335"/>
      </w:r>
      <w:r>
        <w:rPr>
          <w:szCs w:val="22"/>
          <w:vertAlign w:val="superscript"/>
        </w:rPr>
        <w:t>,</w:t>
      </w:r>
      <w:r w:rsidDel="004F446F">
        <w:rPr>
          <w:szCs w:val="22"/>
        </w:rPr>
        <w:t xml:space="preserve"> </w:t>
      </w:r>
      <w:r w:rsidRPr="00610646">
        <w:rPr>
          <w:rStyle w:val="FootnoteReference"/>
        </w:rPr>
        <w:footnoteReference w:id="336"/>
      </w:r>
      <w:r>
        <w:rPr>
          <w:szCs w:val="22"/>
          <w:vertAlign w:val="superscript"/>
        </w:rPr>
        <w:t xml:space="preserve">, </w:t>
      </w:r>
      <w:r w:rsidRPr="00610646">
        <w:rPr>
          <w:rStyle w:val="FootnoteReference"/>
        </w:rPr>
        <w:footnoteReference w:id="337"/>
      </w:r>
    </w:p>
    <w:p w14:paraId="3E09AE89"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Reiterating</w:t>
      </w:r>
      <w:r w:rsidRPr="008D2DCA">
        <w:rPr>
          <w:szCs w:val="22"/>
        </w:rPr>
        <w:t xml:space="preserve"> the central role of the General Assembly of the United Nations in addressing issues relating to the conservation and sustainable use of biodiversity in marine areas beyond national jurisdiction,</w:t>
      </w:r>
      <w:r>
        <w:rPr>
          <w:szCs w:val="22"/>
        </w:rPr>
        <w:t xml:space="preserve"> </w:t>
      </w:r>
    </w:p>
    <w:p w14:paraId="1479804F" w14:textId="5AC1B0C4"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Noting</w:t>
      </w:r>
      <w:r w:rsidRPr="008D2DCA">
        <w:rPr>
          <w:szCs w:val="22"/>
        </w:rPr>
        <w:t xml:space="preserve"> the negotiations underway in the intergovernmental conference on an international legally binding instrument under the United Nations Convention on the Law of the Sea on the conservation and sustainable use of marine biological diversity of areas beyond national jurisdiction, following United Nations General Assembly resolution </w:t>
      </w:r>
      <w:hyperlink r:id="rId56" w:history="1">
        <w:r w:rsidRPr="008D2DCA">
          <w:rPr>
            <w:rStyle w:val="Hyperlink"/>
            <w:sz w:val="22"/>
            <w:szCs w:val="22"/>
          </w:rPr>
          <w:t>72/249</w:t>
        </w:r>
      </w:hyperlink>
      <w:r w:rsidRPr="008D2DCA">
        <w:rPr>
          <w:szCs w:val="22"/>
        </w:rPr>
        <w:t>,</w:t>
      </w:r>
      <w:r>
        <w:rPr>
          <w:szCs w:val="22"/>
        </w:rPr>
        <w:t xml:space="preserve"> </w:t>
      </w:r>
    </w:p>
    <w:p w14:paraId="143C1591"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zCs w:val="22"/>
          <w:lang w:val="en-US"/>
        </w:rPr>
      </w:pPr>
      <w:r>
        <w:rPr>
          <w:i/>
          <w:iCs/>
          <w:szCs w:val="22"/>
          <w:lang w:val="en-US"/>
        </w:rPr>
        <w:t>N</w:t>
      </w:r>
      <w:r w:rsidRPr="008D2DCA">
        <w:rPr>
          <w:i/>
          <w:iCs/>
          <w:szCs w:val="22"/>
          <w:lang w:val="en-US"/>
        </w:rPr>
        <w:t>oting</w:t>
      </w:r>
      <w:r>
        <w:rPr>
          <w:i/>
          <w:iCs/>
          <w:szCs w:val="22"/>
          <w:lang w:val="en-US"/>
        </w:rPr>
        <w:t xml:space="preserve"> also</w:t>
      </w:r>
      <w:r w:rsidRPr="008D2DCA">
        <w:rPr>
          <w:szCs w:val="22"/>
          <w:lang w:val="en-US"/>
        </w:rPr>
        <w:t xml:space="preserve"> the report of the </w:t>
      </w:r>
      <w:r w:rsidRPr="008D2DCA">
        <w:rPr>
          <w:szCs w:val="22"/>
          <w:lang w:val="en-CA"/>
        </w:rPr>
        <w:t xml:space="preserve">Preparatory Committee established by General Assembly resolution 69/292 on the development of an international legally binding instrument under the United Nations Convention on the Law of the Sea on the conservation and sustainable use of marine biological diversity of areas beyond national jurisdiction </w:t>
      </w:r>
      <w:r w:rsidRPr="008D2DCA">
        <w:rPr>
          <w:szCs w:val="22"/>
          <w:lang w:val="en-US"/>
        </w:rPr>
        <w:t xml:space="preserve">and the recommendations contained therein, which address, among other issues, area-based management tools, including marine protected areas, in marine areas beyond national jurisdiction, including standards and criteria for areas </w:t>
      </w:r>
      <w:r w:rsidRPr="008D2DCA">
        <w:rPr>
          <w:szCs w:val="22"/>
        </w:rPr>
        <w:t xml:space="preserve">requiring protection through the establishment of </w:t>
      </w:r>
      <w:r w:rsidRPr="008D2DCA">
        <w:rPr>
          <w:szCs w:val="22"/>
          <w:lang w:val="en-US"/>
        </w:rPr>
        <w:t>area-based management tools</w:t>
      </w:r>
      <w:r w:rsidRPr="008D2DCA">
        <w:rPr>
          <w:szCs w:val="22"/>
        </w:rPr>
        <w:t xml:space="preserve">, as well as the </w:t>
      </w:r>
      <w:r w:rsidRPr="008D2DCA">
        <w:rPr>
          <w:szCs w:val="22"/>
          <w:lang w:val="en-US"/>
        </w:rPr>
        <w:t xml:space="preserve">designation, implementation, and monitoring and review of area-based management tools, </w:t>
      </w:r>
    </w:p>
    <w:p w14:paraId="60141E5C" w14:textId="77777777" w:rsidR="00252FCF" w:rsidRPr="008D2DCA" w:rsidRDefault="00252FCF" w:rsidP="00A23837">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n-US"/>
        </w:rPr>
      </w:pPr>
      <w:r>
        <w:rPr>
          <w:i/>
          <w:iCs/>
          <w:szCs w:val="22"/>
          <w:lang w:val="en-US"/>
        </w:rPr>
        <w:t>N</w:t>
      </w:r>
      <w:r w:rsidRPr="008D2DCA">
        <w:rPr>
          <w:i/>
          <w:iCs/>
          <w:szCs w:val="22"/>
          <w:lang w:val="en-US"/>
        </w:rPr>
        <w:t>oting</w:t>
      </w:r>
      <w:r>
        <w:rPr>
          <w:i/>
          <w:iCs/>
          <w:szCs w:val="22"/>
          <w:lang w:val="en-US"/>
        </w:rPr>
        <w:t xml:space="preserve"> further</w:t>
      </w:r>
      <w:r w:rsidRPr="008D2DCA">
        <w:rPr>
          <w:szCs w:val="22"/>
          <w:lang w:val="en-US"/>
        </w:rPr>
        <w:t xml:space="preserve"> the competence of the International Maritime Organization and the Food and Agriculture Organization of the United Nations with respect to shipping and fishing in marine areas beyond national jurisdiction, respectively, and the competence of the International Seabed Authority with respect to the exploration and exploitation of mineral resources in the international seabed Area,</w:t>
      </w:r>
    </w:p>
    <w:p w14:paraId="7EDDA295" w14:textId="77777777" w:rsidR="00252FCF" w:rsidRPr="008D2DCA" w:rsidRDefault="00252FCF" w:rsidP="00666D48">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n-US"/>
        </w:rPr>
      </w:pPr>
      <w:r w:rsidRPr="008D2DCA">
        <w:rPr>
          <w:i/>
          <w:iCs/>
          <w:szCs w:val="22"/>
          <w:lang w:val="en-US"/>
        </w:rPr>
        <w:t>Noting</w:t>
      </w:r>
      <w:r w:rsidRPr="008D2DCA">
        <w:rPr>
          <w:szCs w:val="22"/>
          <w:lang w:val="en-US"/>
        </w:rPr>
        <w:t xml:space="preserve"> that the description of ecologically or biologically significant marine areas is an important scientific and technical process which may contribute to the implementation of the </w:t>
      </w:r>
      <w:r>
        <w:rPr>
          <w:szCs w:val="22"/>
          <w:lang w:val="en-US"/>
        </w:rPr>
        <w:t>Kunming-Montreal</w:t>
      </w:r>
      <w:r w:rsidRPr="008D2DCA">
        <w:rPr>
          <w:szCs w:val="22"/>
          <w:lang w:val="en-US"/>
        </w:rPr>
        <w:t xml:space="preserve"> </w:t>
      </w:r>
      <w:r>
        <w:rPr>
          <w:szCs w:val="22"/>
          <w:lang w:val="en-US"/>
        </w:rPr>
        <w:t>G</w:t>
      </w:r>
      <w:r w:rsidRPr="008D2DCA">
        <w:rPr>
          <w:szCs w:val="22"/>
          <w:lang w:val="en-US"/>
        </w:rPr>
        <w:t xml:space="preserve">lobal </w:t>
      </w:r>
      <w:r>
        <w:rPr>
          <w:szCs w:val="22"/>
          <w:lang w:val="en-US"/>
        </w:rPr>
        <w:t>B</w:t>
      </w:r>
      <w:r w:rsidRPr="008D2DCA">
        <w:rPr>
          <w:szCs w:val="22"/>
          <w:lang w:val="en-US"/>
        </w:rPr>
        <w:t xml:space="preserve">iodiversity </w:t>
      </w:r>
      <w:r>
        <w:rPr>
          <w:szCs w:val="22"/>
          <w:lang w:val="en-US"/>
        </w:rPr>
        <w:t>F</w:t>
      </w:r>
      <w:r w:rsidRPr="008D2DCA">
        <w:rPr>
          <w:szCs w:val="22"/>
          <w:lang w:val="en-US"/>
        </w:rPr>
        <w:t>ramework,</w:t>
      </w:r>
      <w:r>
        <w:rPr>
          <w:szCs w:val="22"/>
          <w:lang w:val="en-US"/>
        </w:rPr>
        <w:t xml:space="preserve"> </w:t>
      </w:r>
    </w:p>
    <w:p w14:paraId="17B3354D"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snapToGrid w:val="0"/>
          <w:kern w:val="22"/>
          <w:szCs w:val="22"/>
        </w:rPr>
        <w:t>1.</w:t>
      </w:r>
      <w:r w:rsidRPr="008D2DCA">
        <w:rPr>
          <w:snapToGrid w:val="0"/>
          <w:kern w:val="22"/>
          <w:szCs w:val="22"/>
        </w:rPr>
        <w:tab/>
      </w:r>
      <w:r w:rsidRPr="008D2DCA">
        <w:rPr>
          <w:i/>
          <w:iCs/>
          <w:snapToGrid w:val="0"/>
          <w:kern w:val="22"/>
          <w:szCs w:val="22"/>
        </w:rPr>
        <w:t>Expresses its appreciation</w:t>
      </w:r>
      <w:r w:rsidRPr="008D2DCA">
        <w:rPr>
          <w:snapToGrid w:val="0"/>
          <w:kern w:val="22"/>
          <w:szCs w:val="22"/>
        </w:rPr>
        <w:t xml:space="preserve"> to the Governments of Belgium and Germany for their financial support for the organization of the Expert Workshop to Identify Options for Modifying the Description of Ecologically or Biologically Significant Marine Areas and Describing New Areas, and </w:t>
      </w:r>
      <w:r w:rsidRPr="009A7D91">
        <w:rPr>
          <w:snapToGrid w:val="0"/>
          <w:kern w:val="22"/>
          <w:szCs w:val="22"/>
        </w:rPr>
        <w:t>takes note</w:t>
      </w:r>
      <w:r w:rsidRPr="008D2DCA">
        <w:rPr>
          <w:snapToGrid w:val="0"/>
          <w:kern w:val="22"/>
          <w:szCs w:val="22"/>
        </w:rPr>
        <w:t xml:space="preserve"> of the report of the workshop;</w:t>
      </w:r>
      <w:r w:rsidRPr="00610646">
        <w:rPr>
          <w:rStyle w:val="FootnoteReference"/>
          <w:rFonts w:eastAsiaTheme="majorEastAsia"/>
        </w:rPr>
        <w:footnoteReference w:id="338"/>
      </w:r>
      <w:r>
        <w:rPr>
          <w:snapToGrid w:val="0"/>
          <w:kern w:val="22"/>
          <w:szCs w:val="22"/>
        </w:rPr>
        <w:t xml:space="preserve"> </w:t>
      </w:r>
    </w:p>
    <w:p w14:paraId="51109886"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snapToGrid w:val="0"/>
          <w:kern w:val="22"/>
          <w:szCs w:val="22"/>
        </w:rPr>
        <w:t>2.</w:t>
      </w:r>
      <w:r w:rsidRPr="008D2DCA">
        <w:rPr>
          <w:snapToGrid w:val="0"/>
          <w:kern w:val="22"/>
          <w:szCs w:val="22"/>
        </w:rPr>
        <w:tab/>
      </w:r>
      <w:r w:rsidRPr="008D2DCA">
        <w:rPr>
          <w:i/>
          <w:iCs/>
          <w:snapToGrid w:val="0"/>
          <w:kern w:val="22"/>
          <w:szCs w:val="22"/>
        </w:rPr>
        <w:t>Welcomes</w:t>
      </w:r>
      <w:r w:rsidRPr="008D2DCA">
        <w:rPr>
          <w:snapToGrid w:val="0"/>
          <w:kern w:val="22"/>
          <w:szCs w:val="22"/>
        </w:rPr>
        <w:t xml:space="preserve"> the capacity-building activities facilitated by the Executive Secretary at the regional level in collaboration with Parties, other Governments and relevant organizations to facilitate efforts to describe </w:t>
      </w:r>
      <w:r w:rsidRPr="008D2DCA">
        <w:rPr>
          <w:szCs w:val="22"/>
          <w:lang w:val="en-US"/>
        </w:rPr>
        <w:t>ecologically or biologically significant marine areas</w:t>
      </w:r>
      <w:r w:rsidRPr="008D2DCA">
        <w:rPr>
          <w:snapToGrid w:val="0"/>
          <w:kern w:val="22"/>
          <w:szCs w:val="22"/>
        </w:rPr>
        <w:t xml:space="preserve">, </w:t>
      </w:r>
      <w:r w:rsidRPr="009A7D91">
        <w:rPr>
          <w:snapToGrid w:val="0"/>
          <w:kern w:val="22"/>
          <w:szCs w:val="22"/>
        </w:rPr>
        <w:t>acknowledges</w:t>
      </w:r>
      <w:r w:rsidRPr="008D2DCA">
        <w:rPr>
          <w:snapToGrid w:val="0"/>
          <w:kern w:val="22"/>
          <w:szCs w:val="22"/>
        </w:rPr>
        <w:t xml:space="preserve"> that such activities may comprise an important element of an updated programme of work on marine and coastal biodiversity, </w:t>
      </w:r>
      <w:r w:rsidRPr="008D2DCA">
        <w:rPr>
          <w:snapToGrid w:val="0"/>
          <w:kern w:val="22"/>
          <w:szCs w:val="22"/>
        </w:rPr>
        <w:lastRenderedPageBreak/>
        <w:t xml:space="preserve">and </w:t>
      </w:r>
      <w:r w:rsidRPr="009A7D91">
        <w:rPr>
          <w:snapToGrid w:val="0"/>
          <w:kern w:val="22"/>
          <w:szCs w:val="22"/>
        </w:rPr>
        <w:t>requests</w:t>
      </w:r>
      <w:r w:rsidRPr="008D2DCA">
        <w:rPr>
          <w:snapToGrid w:val="0"/>
          <w:kern w:val="22"/>
          <w:szCs w:val="22"/>
        </w:rPr>
        <w:t xml:space="preserve"> the Executive Secretary to continue facilitating such capacity-building activities in support of the implementation of the </w:t>
      </w:r>
      <w:r>
        <w:rPr>
          <w:snapToGrid w:val="0"/>
          <w:kern w:val="22"/>
          <w:szCs w:val="22"/>
        </w:rPr>
        <w:t>Kunming-Montreal</w:t>
      </w:r>
      <w:r w:rsidRPr="008D2DCA">
        <w:rPr>
          <w:snapToGrid w:val="0"/>
          <w:kern w:val="22"/>
          <w:szCs w:val="22"/>
        </w:rPr>
        <w:t xml:space="preserve"> </w:t>
      </w:r>
      <w:r>
        <w:rPr>
          <w:snapToGrid w:val="0"/>
          <w:kern w:val="22"/>
          <w:szCs w:val="22"/>
        </w:rPr>
        <w:t>G</w:t>
      </w:r>
      <w:r w:rsidRPr="008D2DCA">
        <w:rPr>
          <w:snapToGrid w:val="0"/>
          <w:kern w:val="22"/>
          <w:szCs w:val="22"/>
        </w:rPr>
        <w:t xml:space="preserve">lobal </w:t>
      </w:r>
      <w:r>
        <w:rPr>
          <w:snapToGrid w:val="0"/>
          <w:kern w:val="22"/>
          <w:szCs w:val="22"/>
        </w:rPr>
        <w:t>B</w:t>
      </w:r>
      <w:r w:rsidRPr="008D2DCA">
        <w:rPr>
          <w:snapToGrid w:val="0"/>
          <w:kern w:val="22"/>
          <w:szCs w:val="22"/>
        </w:rPr>
        <w:t xml:space="preserve">iodiversity </w:t>
      </w:r>
      <w:r>
        <w:rPr>
          <w:snapToGrid w:val="0"/>
          <w:kern w:val="22"/>
          <w:szCs w:val="22"/>
        </w:rPr>
        <w:t>F</w:t>
      </w:r>
      <w:r w:rsidRPr="008D2DCA">
        <w:rPr>
          <w:snapToGrid w:val="0"/>
          <w:kern w:val="22"/>
          <w:szCs w:val="22"/>
        </w:rPr>
        <w:t>ramework;</w:t>
      </w:r>
      <w:r>
        <w:rPr>
          <w:snapToGrid w:val="0"/>
          <w:kern w:val="22"/>
          <w:szCs w:val="22"/>
        </w:rPr>
        <w:t xml:space="preserve"> </w:t>
      </w:r>
    </w:p>
    <w:p w14:paraId="04B82673"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kern w:val="22"/>
          <w:szCs w:val="22"/>
        </w:rPr>
      </w:pPr>
      <w:r w:rsidRPr="008D2DCA">
        <w:rPr>
          <w:iCs/>
          <w:snapToGrid w:val="0"/>
          <w:kern w:val="22"/>
          <w:szCs w:val="22"/>
        </w:rPr>
        <w:t>3.</w:t>
      </w:r>
      <w:r w:rsidRPr="008D2DCA">
        <w:rPr>
          <w:iCs/>
          <w:snapToGrid w:val="0"/>
          <w:kern w:val="22"/>
          <w:szCs w:val="22"/>
        </w:rPr>
        <w:tab/>
      </w:r>
      <w:r w:rsidRPr="008D2DCA">
        <w:rPr>
          <w:i/>
          <w:snapToGrid w:val="0"/>
          <w:kern w:val="22"/>
          <w:szCs w:val="22"/>
        </w:rPr>
        <w:t>Decides</w:t>
      </w:r>
      <w:r w:rsidRPr="008D2DCA">
        <w:rPr>
          <w:iCs/>
          <w:snapToGrid w:val="0"/>
          <w:kern w:val="22"/>
          <w:szCs w:val="22"/>
        </w:rPr>
        <w:t xml:space="preserve"> to extend the term of the</w:t>
      </w:r>
      <w:r w:rsidRPr="008D2DCA">
        <w:rPr>
          <w:kern w:val="22"/>
          <w:szCs w:val="22"/>
        </w:rPr>
        <w:t xml:space="preserve"> Informal Advisory Group on Ecologically or Biologically Significant Marine Areas;</w:t>
      </w:r>
      <w:r>
        <w:rPr>
          <w:kern w:val="22"/>
          <w:szCs w:val="22"/>
        </w:rPr>
        <w:t xml:space="preserve"> </w:t>
      </w:r>
    </w:p>
    <w:p w14:paraId="27A7AE1F" w14:textId="77777777" w:rsidR="00252FCF" w:rsidRPr="008D2DCA" w:rsidRDefault="00252FCF" w:rsidP="007E6B15">
      <w:pPr>
        <w:suppressLineNumbers/>
        <w:suppressAutoHyphens/>
        <w:kinsoku w:val="0"/>
        <w:overflowPunct w:val="0"/>
        <w:autoSpaceDE w:val="0"/>
        <w:autoSpaceDN w:val="0"/>
        <w:adjustRightInd w:val="0"/>
        <w:snapToGrid w:val="0"/>
        <w:spacing w:before="120" w:after="120"/>
        <w:ind w:firstLine="720"/>
        <w:rPr>
          <w:lang w:val="en-US"/>
        </w:rPr>
      </w:pPr>
      <w:r w:rsidRPr="00980BF7">
        <w:rPr>
          <w:iCs/>
          <w:kern w:val="22"/>
          <w:szCs w:val="22"/>
        </w:rPr>
        <w:t>4.</w:t>
      </w:r>
      <w:r w:rsidRPr="00980BF7">
        <w:rPr>
          <w:iCs/>
          <w:kern w:val="22"/>
          <w:szCs w:val="22"/>
        </w:rPr>
        <w:tab/>
      </w:r>
      <w:r w:rsidRPr="00980BF7">
        <w:rPr>
          <w:i/>
          <w:snapToGrid w:val="0"/>
          <w:kern w:val="22"/>
          <w:szCs w:val="22"/>
          <w:lang w:val="en-US"/>
        </w:rPr>
        <w:t>Requests</w:t>
      </w:r>
      <w:r w:rsidRPr="00980BF7">
        <w:rPr>
          <w:iCs/>
          <w:snapToGrid w:val="0"/>
          <w:kern w:val="22"/>
          <w:szCs w:val="22"/>
          <w:lang w:val="en-US"/>
        </w:rPr>
        <w:t xml:space="preserve"> the Executive Secretary, subject to the availability of resources, to convene an expert workshop to review the technical aspects of the modalities outlined in the annex to recommendation </w:t>
      </w:r>
      <w:r w:rsidRPr="00980BF7">
        <w:rPr>
          <w:iCs/>
          <w:snapToGrid w:val="0"/>
          <w:kern w:val="22"/>
          <w:szCs w:val="22"/>
        </w:rPr>
        <w:t xml:space="preserve">24/10 of the </w:t>
      </w:r>
      <w:r w:rsidRPr="00980BF7">
        <w:rPr>
          <w:iCs/>
          <w:snapToGrid w:val="0"/>
          <w:kern w:val="22"/>
          <w:szCs w:val="22"/>
          <w:lang w:val="en-US"/>
        </w:rPr>
        <w:t>Subsidiary Body on Scientific, Technical and Technological Advice</w:t>
      </w:r>
      <w:r>
        <w:rPr>
          <w:iCs/>
          <w:snapToGrid w:val="0"/>
          <w:kern w:val="22"/>
          <w:szCs w:val="22"/>
          <w:lang w:val="en-US"/>
        </w:rPr>
        <w:t>,</w:t>
      </w:r>
      <w:bookmarkStart w:id="310" w:name="_Ref128564193"/>
      <w:r w:rsidRPr="00610646">
        <w:rPr>
          <w:rStyle w:val="FootnoteReference"/>
        </w:rPr>
        <w:footnoteReference w:id="339"/>
      </w:r>
      <w:bookmarkEnd w:id="310"/>
      <w:r w:rsidRPr="00980BF7">
        <w:rPr>
          <w:iCs/>
          <w:snapToGrid w:val="0"/>
          <w:kern w:val="22"/>
          <w:szCs w:val="22"/>
          <w:lang w:val="en-US"/>
        </w:rPr>
        <w:t xml:space="preserve"> and an expert workshop to review the legal issues pertaining to these modalities, on the basis of the outcomes of </w:t>
      </w:r>
      <w:r>
        <w:rPr>
          <w:iCs/>
          <w:snapToGrid w:val="0"/>
          <w:kern w:val="22"/>
          <w:szCs w:val="22"/>
          <w:lang w:val="en-US"/>
        </w:rPr>
        <w:t xml:space="preserve">the </w:t>
      </w:r>
      <w:r w:rsidRPr="00980BF7">
        <w:rPr>
          <w:iCs/>
          <w:snapToGrid w:val="0"/>
          <w:kern w:val="22"/>
          <w:szCs w:val="22"/>
          <w:lang w:val="en-US"/>
        </w:rPr>
        <w:t xml:space="preserve">above-noted workshop, </w:t>
      </w:r>
      <w:r w:rsidRPr="00980BF7">
        <w:rPr>
          <w:lang w:val="en-US"/>
        </w:rPr>
        <w:t xml:space="preserve">to provide the outcomes of this work for discussion through virtual </w:t>
      </w:r>
      <w:r w:rsidRPr="0064292F">
        <w:rPr>
          <w:lang w:val="en-US"/>
        </w:rPr>
        <w:t xml:space="preserve">modalities, </w:t>
      </w:r>
      <w:r w:rsidRPr="00B77B32">
        <w:rPr>
          <w:lang w:val="en-US"/>
        </w:rPr>
        <w:t xml:space="preserve">such as global and/or regional webinars, open comment by Parties and other Governments, and discussion by the Informal Advisory Group </w:t>
      </w:r>
      <w:r w:rsidRPr="00B77B32">
        <w:rPr>
          <w:kern w:val="22"/>
          <w:szCs w:val="22"/>
        </w:rPr>
        <w:t>on Ecologically or Biologically Significant Marine Areas</w:t>
      </w:r>
      <w:r w:rsidRPr="00B77B32">
        <w:rPr>
          <w:lang w:val="en-US"/>
        </w:rPr>
        <w:t>, and to provide the outcomes</w:t>
      </w:r>
      <w:r w:rsidRPr="0064292F">
        <w:rPr>
          <w:lang w:val="en-US"/>
        </w:rPr>
        <w:t xml:space="preserve"> of this work </w:t>
      </w:r>
      <w:r w:rsidRPr="0064292F">
        <w:t xml:space="preserve">to a future meeting of the </w:t>
      </w:r>
      <w:r w:rsidRPr="0064292F">
        <w:rPr>
          <w:iCs/>
          <w:snapToGrid w:val="0"/>
          <w:kern w:val="22"/>
          <w:szCs w:val="22"/>
          <w:lang w:val="en-US"/>
        </w:rPr>
        <w:t>Subsidiary Body on Scientific, Technical and Technological Advice</w:t>
      </w:r>
      <w:r w:rsidRPr="0064292F">
        <w:t xml:space="preserve"> and/or of the Subsidiary Body on Implementation</w:t>
      </w:r>
      <w:r w:rsidRPr="00980BF7">
        <w:t xml:space="preserve">, for consideration prior to the sixteenth meeting of the Conference of the Parties, </w:t>
      </w:r>
      <w:r w:rsidRPr="00980BF7">
        <w:rPr>
          <w:lang w:val="en-US"/>
        </w:rPr>
        <w:t xml:space="preserve">with a view to adopting </w:t>
      </w:r>
      <w:r w:rsidRPr="00980BF7">
        <w:rPr>
          <w:iCs/>
          <w:snapToGrid w:val="0"/>
          <w:kern w:val="22"/>
          <w:szCs w:val="22"/>
        </w:rPr>
        <w:t xml:space="preserve">modalities for modifying </w:t>
      </w:r>
      <w:r>
        <w:rPr>
          <w:iCs/>
          <w:snapToGrid w:val="0"/>
          <w:kern w:val="22"/>
          <w:szCs w:val="22"/>
        </w:rPr>
        <w:t xml:space="preserve">the </w:t>
      </w:r>
      <w:r w:rsidRPr="00980BF7">
        <w:rPr>
          <w:iCs/>
          <w:snapToGrid w:val="0"/>
          <w:kern w:val="22"/>
          <w:szCs w:val="22"/>
        </w:rPr>
        <w:t>descriptions of ecologically or biologically significant marine areas and for describing new areas</w:t>
      </w:r>
      <w:r w:rsidRPr="00980BF7">
        <w:rPr>
          <w:lang w:val="en-US"/>
        </w:rPr>
        <w:t xml:space="preserve"> at the sixteenth meeting of the </w:t>
      </w:r>
      <w:r w:rsidRPr="00980BF7">
        <w:t>Conference of the Parties</w:t>
      </w:r>
      <w:r w:rsidRPr="00980BF7">
        <w:rPr>
          <w:lang w:val="en-US"/>
        </w:rPr>
        <w:t>;</w:t>
      </w:r>
    </w:p>
    <w:p w14:paraId="66CF9268" w14:textId="6817290A"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5</w:t>
      </w:r>
      <w:r w:rsidRPr="00E510D7">
        <w:rPr>
          <w:kern w:val="22"/>
          <w:szCs w:val="22"/>
        </w:rPr>
        <w:t>.</w:t>
      </w:r>
      <w:r w:rsidRPr="00E510D7">
        <w:rPr>
          <w:kern w:val="22"/>
          <w:szCs w:val="22"/>
        </w:rPr>
        <w:tab/>
      </w:r>
      <w:r>
        <w:rPr>
          <w:i/>
          <w:iCs/>
          <w:kern w:val="22"/>
          <w:szCs w:val="22"/>
        </w:rPr>
        <w:t>Also r</w:t>
      </w:r>
      <w:r w:rsidRPr="00E510D7">
        <w:rPr>
          <w:i/>
          <w:iCs/>
          <w:kern w:val="22"/>
          <w:szCs w:val="22"/>
        </w:rPr>
        <w:t>equests</w:t>
      </w:r>
      <w:r w:rsidRPr="00E510D7">
        <w:rPr>
          <w:kern w:val="22"/>
          <w:szCs w:val="22"/>
        </w:rPr>
        <w:t xml:space="preserve"> the Executive Secretary to develop draft terms of reference for a “relevant expert advisory body” in the context of modalities for modifying the descriptions of ecologically or biologically significant marine areas and </w:t>
      </w:r>
      <w:r w:rsidRPr="00053CC0">
        <w:rPr>
          <w:kern w:val="22"/>
          <w:szCs w:val="22"/>
        </w:rPr>
        <w:t>describing new</w:t>
      </w:r>
      <w:r w:rsidRPr="00E510D7">
        <w:rPr>
          <w:kern w:val="22"/>
          <w:szCs w:val="22"/>
        </w:rPr>
        <w:t xml:space="preserve"> </w:t>
      </w:r>
      <w:r w:rsidRPr="00833D39">
        <w:rPr>
          <w:kern w:val="22"/>
          <w:szCs w:val="22"/>
        </w:rPr>
        <w:t xml:space="preserve">areas, </w:t>
      </w:r>
      <w:r w:rsidRPr="0091618E">
        <w:rPr>
          <w:iCs/>
          <w:snapToGrid w:val="0"/>
          <w:kern w:val="22"/>
          <w:szCs w:val="22"/>
          <w:lang w:val="en-US"/>
        </w:rPr>
        <w:t xml:space="preserve">annexed to recommendation </w:t>
      </w:r>
      <w:r w:rsidRPr="0091618E">
        <w:rPr>
          <w:iCs/>
          <w:snapToGrid w:val="0"/>
          <w:kern w:val="22"/>
          <w:szCs w:val="22"/>
        </w:rPr>
        <w:t>24/10</w:t>
      </w:r>
      <w:r w:rsidRPr="00E510D7">
        <w:rPr>
          <w:iCs/>
          <w:snapToGrid w:val="0"/>
          <w:kern w:val="22"/>
          <w:szCs w:val="22"/>
        </w:rPr>
        <w:t xml:space="preserve"> of the </w:t>
      </w:r>
      <w:r w:rsidRPr="00E510D7">
        <w:rPr>
          <w:iCs/>
          <w:snapToGrid w:val="0"/>
          <w:kern w:val="22"/>
          <w:szCs w:val="22"/>
          <w:lang w:val="en-US"/>
        </w:rPr>
        <w:t>Subsidiary Body on Scientific, Technical and Technological Advice</w:t>
      </w:r>
      <w:r>
        <w:rPr>
          <w:iCs/>
          <w:snapToGrid w:val="0"/>
          <w:kern w:val="22"/>
          <w:szCs w:val="22"/>
          <w:lang w:val="en-US"/>
        </w:rPr>
        <w:t>,</w:t>
      </w:r>
      <w:r w:rsidRPr="009A7D91">
        <w:rPr>
          <w:iCs/>
          <w:snapToGrid w:val="0"/>
          <w:kern w:val="22"/>
          <w:szCs w:val="22"/>
          <w:vertAlign w:val="superscript"/>
          <w:lang w:val="en-US"/>
        </w:rPr>
        <w:fldChar w:fldCharType="begin"/>
      </w:r>
      <w:r w:rsidRPr="009A7D91">
        <w:rPr>
          <w:iCs/>
          <w:snapToGrid w:val="0"/>
          <w:kern w:val="22"/>
          <w:szCs w:val="22"/>
          <w:vertAlign w:val="superscript"/>
          <w:lang w:val="en-US"/>
        </w:rPr>
        <w:instrText xml:space="preserve"> NOTEREF _Ref128564193 \h </w:instrText>
      </w:r>
      <w:r>
        <w:rPr>
          <w:iCs/>
          <w:snapToGrid w:val="0"/>
          <w:kern w:val="22"/>
          <w:szCs w:val="22"/>
          <w:vertAlign w:val="superscript"/>
          <w:lang w:val="en-US"/>
        </w:rPr>
        <w:instrText xml:space="preserve"> \* MERGEFORMAT </w:instrText>
      </w:r>
      <w:r w:rsidRPr="009A7D91">
        <w:rPr>
          <w:iCs/>
          <w:snapToGrid w:val="0"/>
          <w:kern w:val="22"/>
          <w:szCs w:val="22"/>
          <w:vertAlign w:val="superscript"/>
          <w:lang w:val="en-US"/>
        </w:rPr>
      </w:r>
      <w:r w:rsidRPr="009A7D91">
        <w:rPr>
          <w:iCs/>
          <w:snapToGrid w:val="0"/>
          <w:kern w:val="22"/>
          <w:szCs w:val="22"/>
          <w:vertAlign w:val="superscript"/>
          <w:lang w:val="en-US"/>
        </w:rPr>
        <w:fldChar w:fldCharType="separate"/>
      </w:r>
      <w:r w:rsidR="007459F7">
        <w:rPr>
          <w:iCs/>
          <w:snapToGrid w:val="0"/>
          <w:kern w:val="22"/>
          <w:szCs w:val="22"/>
          <w:vertAlign w:val="superscript"/>
          <w:lang w:val="en-US"/>
        </w:rPr>
        <w:t>5</w:t>
      </w:r>
      <w:r w:rsidRPr="009A7D91">
        <w:rPr>
          <w:iCs/>
          <w:snapToGrid w:val="0"/>
          <w:kern w:val="22"/>
          <w:szCs w:val="22"/>
          <w:vertAlign w:val="superscript"/>
          <w:lang w:val="en-US"/>
        </w:rPr>
        <w:fldChar w:fldCharType="end"/>
      </w:r>
      <w:r w:rsidRPr="00E510D7">
        <w:rPr>
          <w:kern w:val="22"/>
          <w:szCs w:val="22"/>
        </w:rPr>
        <w:t xml:space="preserve"> without prejudicing future discussions on this issue, for </w:t>
      </w:r>
      <w:r w:rsidRPr="00E510D7">
        <w:rPr>
          <w:iCs/>
          <w:snapToGrid w:val="0"/>
          <w:kern w:val="22"/>
          <w:szCs w:val="22"/>
        </w:rPr>
        <w:t>subsequent consideration by the Subsidiary Body on Scientific, Technical and Technological Advice prior to the sixteenth meeting of the Conference of the Parties;</w:t>
      </w:r>
    </w:p>
    <w:p w14:paraId="443093FF"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6</w:t>
      </w:r>
      <w:r w:rsidRPr="008D2DCA">
        <w:rPr>
          <w:iCs/>
          <w:snapToGrid w:val="0"/>
          <w:kern w:val="22"/>
          <w:szCs w:val="22"/>
        </w:rPr>
        <w:t>.</w:t>
      </w:r>
      <w:r w:rsidRPr="008D2DCA">
        <w:rPr>
          <w:iCs/>
          <w:snapToGrid w:val="0"/>
          <w:kern w:val="22"/>
          <w:szCs w:val="22"/>
        </w:rPr>
        <w:tab/>
      </w:r>
      <w:r>
        <w:rPr>
          <w:i/>
          <w:snapToGrid w:val="0"/>
          <w:kern w:val="22"/>
          <w:szCs w:val="22"/>
        </w:rPr>
        <w:t>Further</w:t>
      </w:r>
      <w:r w:rsidRPr="008D2DCA">
        <w:rPr>
          <w:i/>
          <w:snapToGrid w:val="0"/>
          <w:kern w:val="22"/>
          <w:szCs w:val="22"/>
        </w:rPr>
        <w:t xml:space="preserve"> requests</w:t>
      </w:r>
      <w:r w:rsidRPr="008D2DCA">
        <w:rPr>
          <w:iCs/>
          <w:snapToGrid w:val="0"/>
          <w:kern w:val="22"/>
          <w:szCs w:val="22"/>
        </w:rPr>
        <w:t xml:space="preserve"> the Executive Secretary, under the guidance of the Bureau of the Subsidiary Body on Scientific, Technical and Technological Advice, to develop voluntary guidelines on peer-review processes for</w:t>
      </w:r>
      <w:r w:rsidRPr="008D2DCA">
        <w:rPr>
          <w:kern w:val="22"/>
          <w:szCs w:val="22"/>
        </w:rPr>
        <w:t xml:space="preserve"> </w:t>
      </w:r>
      <w:r w:rsidRPr="008D2DCA">
        <w:rPr>
          <w:iCs/>
          <w:snapToGrid w:val="0"/>
          <w:kern w:val="22"/>
          <w:szCs w:val="22"/>
        </w:rPr>
        <w:t xml:space="preserve">the description of areas meeting the criteria for </w:t>
      </w:r>
      <w:r w:rsidRPr="008D2DCA">
        <w:rPr>
          <w:snapToGrid w:val="0"/>
          <w:kern w:val="22"/>
          <w:szCs w:val="22"/>
        </w:rPr>
        <w:t>ecologically or biologically significant marine areas</w:t>
      </w:r>
      <w:r w:rsidRPr="008D2DCA" w:rsidDel="0006703F">
        <w:rPr>
          <w:iCs/>
          <w:snapToGrid w:val="0"/>
          <w:kern w:val="22"/>
          <w:szCs w:val="22"/>
        </w:rPr>
        <w:t xml:space="preserve"> </w:t>
      </w:r>
      <w:r w:rsidRPr="008D2DCA">
        <w:rPr>
          <w:iCs/>
          <w:snapToGrid w:val="0"/>
          <w:kern w:val="22"/>
          <w:szCs w:val="22"/>
        </w:rPr>
        <w:t>and other relevant compatible and complementary scientific criteria, for subsequent consideration by the Subsidiary Body on Scientific, Technical and Technological Advice prior to the sixteenth meeting of the Conference of the Parties;</w:t>
      </w:r>
    </w:p>
    <w:p w14:paraId="16AA6CEA" w14:textId="77777777" w:rsidR="00252FCF" w:rsidRPr="00AC42FC" w:rsidRDefault="00252FCF" w:rsidP="00C676E1">
      <w:pPr>
        <w:suppressLineNumbers/>
        <w:suppressAutoHyphens/>
        <w:kinsoku w:val="0"/>
        <w:overflowPunct w:val="0"/>
        <w:autoSpaceDE w:val="0"/>
        <w:autoSpaceDN w:val="0"/>
        <w:adjustRightInd w:val="0"/>
        <w:snapToGrid w:val="0"/>
        <w:spacing w:before="120" w:after="120"/>
        <w:ind w:firstLine="720"/>
        <w:rPr>
          <w:szCs w:val="22"/>
        </w:rPr>
      </w:pPr>
      <w:r w:rsidRPr="00AC42FC">
        <w:rPr>
          <w:iCs/>
          <w:snapToGrid w:val="0"/>
          <w:kern w:val="22"/>
          <w:szCs w:val="22"/>
        </w:rPr>
        <w:t>7.</w:t>
      </w:r>
      <w:r w:rsidRPr="00AC42FC">
        <w:rPr>
          <w:iCs/>
          <w:snapToGrid w:val="0"/>
          <w:kern w:val="22"/>
          <w:szCs w:val="22"/>
        </w:rPr>
        <w:tab/>
      </w:r>
      <w:r w:rsidRPr="00AC42FC">
        <w:rPr>
          <w:i/>
          <w:iCs/>
          <w:szCs w:val="22"/>
        </w:rPr>
        <w:t>Encourages</w:t>
      </w:r>
      <w:r w:rsidRPr="00AC42FC">
        <w:rPr>
          <w:szCs w:val="22"/>
        </w:rPr>
        <w:t xml:space="preserve"> Parties and </w:t>
      </w:r>
      <w:r w:rsidRPr="009A7D91">
        <w:rPr>
          <w:szCs w:val="22"/>
        </w:rPr>
        <w:t>invites</w:t>
      </w:r>
      <w:r w:rsidRPr="00AC42FC">
        <w:rPr>
          <w:szCs w:val="22"/>
        </w:rPr>
        <w:t xml:space="preserve"> other Governments to take into consideration the experiences and outcomes of the process to facilitate the description of </w:t>
      </w:r>
      <w:r w:rsidRPr="00AC42FC">
        <w:rPr>
          <w:szCs w:val="22"/>
          <w:lang w:val="en-US"/>
        </w:rPr>
        <w:t>ecologically or biologically significant marine areas</w:t>
      </w:r>
      <w:r w:rsidRPr="00AC42FC">
        <w:rPr>
          <w:szCs w:val="22"/>
        </w:rPr>
        <w:t xml:space="preserve"> in the deliberations on an international legally binding instrument under the United Nations Convention on the Law of the Sea on the conservation and sustainable use of marine biological diversity of areas beyond national jurisdiction;</w:t>
      </w:r>
    </w:p>
    <w:p w14:paraId="2321073B" w14:textId="77777777" w:rsidR="00252FCF" w:rsidRPr="008D2DCA" w:rsidRDefault="00252FCF" w:rsidP="00C676E1">
      <w:pPr>
        <w:suppressLineNumbers/>
        <w:suppressAutoHyphens/>
        <w:kinsoku w:val="0"/>
        <w:overflowPunct w:val="0"/>
        <w:autoSpaceDE w:val="0"/>
        <w:autoSpaceDN w:val="0"/>
        <w:adjustRightInd w:val="0"/>
        <w:snapToGrid w:val="0"/>
        <w:spacing w:before="120" w:after="120"/>
        <w:ind w:firstLine="720"/>
        <w:rPr>
          <w:szCs w:val="22"/>
        </w:rPr>
      </w:pPr>
      <w:r w:rsidRPr="00AC42FC">
        <w:rPr>
          <w:szCs w:val="22"/>
        </w:rPr>
        <w:t xml:space="preserve">8. </w:t>
      </w:r>
      <w:r w:rsidRPr="00AC42FC">
        <w:rPr>
          <w:szCs w:val="22"/>
        </w:rPr>
        <w:tab/>
      </w:r>
      <w:r w:rsidRPr="00AC42FC">
        <w:rPr>
          <w:i/>
          <w:iCs/>
          <w:szCs w:val="22"/>
        </w:rPr>
        <w:t>Invites</w:t>
      </w:r>
      <w:r w:rsidRPr="00AC42FC">
        <w:rPr>
          <w:szCs w:val="22"/>
        </w:rPr>
        <w:t xml:space="preserve"> Parties and other Governments to take into account the experiences and outcomes of the process to facilitate the description of </w:t>
      </w:r>
      <w:r w:rsidRPr="00AC42FC">
        <w:rPr>
          <w:szCs w:val="22"/>
          <w:lang w:val="en-US"/>
        </w:rPr>
        <w:t>ecologically or biologically significant marine areas</w:t>
      </w:r>
      <w:r w:rsidRPr="00AC42FC">
        <w:rPr>
          <w:szCs w:val="22"/>
        </w:rPr>
        <w:t xml:space="preserve"> </w:t>
      </w:r>
      <w:r w:rsidRPr="008D2DCA">
        <w:rPr>
          <w:szCs w:val="22"/>
        </w:rPr>
        <w:t>when analyzing the risks and implications of deep-seabed mining, including in the context of deliberations under the International Seabed Authority;</w:t>
      </w:r>
    </w:p>
    <w:p w14:paraId="451F1B14" w14:textId="77777777" w:rsidR="00252FCF" w:rsidRPr="008D2DCA" w:rsidRDefault="00252FCF" w:rsidP="009A7D91">
      <w:pPr>
        <w:suppressLineNumbers/>
        <w:suppressAutoHyphens/>
        <w:kinsoku w:val="0"/>
        <w:overflowPunct w:val="0"/>
        <w:autoSpaceDE w:val="0"/>
        <w:autoSpaceDN w:val="0"/>
        <w:adjustRightInd w:val="0"/>
        <w:snapToGrid w:val="0"/>
        <w:spacing w:before="120" w:after="120"/>
        <w:ind w:firstLine="720"/>
        <w:rPr>
          <w:b/>
          <w:bCs/>
          <w:kern w:val="22"/>
          <w:szCs w:val="22"/>
        </w:rPr>
      </w:pPr>
      <w:r>
        <w:rPr>
          <w:szCs w:val="22"/>
        </w:rPr>
        <w:t>9</w:t>
      </w:r>
      <w:r w:rsidRPr="008D2DCA">
        <w:rPr>
          <w:szCs w:val="22"/>
        </w:rPr>
        <w:t xml:space="preserve">. </w:t>
      </w:r>
      <w:r w:rsidRPr="008D2DCA">
        <w:rPr>
          <w:szCs w:val="22"/>
        </w:rPr>
        <w:tab/>
      </w:r>
      <w:r w:rsidRPr="008D2DCA">
        <w:rPr>
          <w:i/>
          <w:iCs/>
          <w:szCs w:val="22"/>
        </w:rPr>
        <w:t>Encourages</w:t>
      </w:r>
      <w:r w:rsidRPr="008D2DCA">
        <w:rPr>
          <w:szCs w:val="22"/>
        </w:rPr>
        <w:t xml:space="preserve"> further collaboration and information-sharing between the Secretariat of the Convention on Biological Diversity and the Food and Agriculture Organization of the United Nations, the International Maritime Organization, the International Seabed Authority, </w:t>
      </w:r>
      <w:r>
        <w:rPr>
          <w:szCs w:val="22"/>
        </w:rPr>
        <w:t>the</w:t>
      </w:r>
      <w:r w:rsidRPr="008D2DCA">
        <w:rPr>
          <w:szCs w:val="22"/>
        </w:rPr>
        <w:t xml:space="preserve"> Division for Ocean Affairs and the Law of the Sea, the Intergovernmental Oceanographic Commission of </w:t>
      </w:r>
      <w:r>
        <w:rPr>
          <w:szCs w:val="22"/>
        </w:rPr>
        <w:t xml:space="preserve">the United Nations Educational, Scientific and Cultural Organization </w:t>
      </w:r>
      <w:r w:rsidRPr="008D2DCA">
        <w:rPr>
          <w:szCs w:val="22"/>
        </w:rPr>
        <w:t>and the secretariats of the Intergovernmental Science-Policy Platform on Biodiversity and Ecosystem Services</w:t>
      </w:r>
      <w:r w:rsidRPr="008D2DCA" w:rsidDel="00015257">
        <w:rPr>
          <w:szCs w:val="22"/>
        </w:rPr>
        <w:t xml:space="preserve"> </w:t>
      </w:r>
      <w:r w:rsidRPr="008D2DCA">
        <w:rPr>
          <w:szCs w:val="22"/>
        </w:rPr>
        <w:t xml:space="preserve">and the Intergovernmental Panel on Climate Change, as well as regional fishery bodies, regional seas conventions and actions plans, and other relevant international organizations, regarding the use of information on ecologically or biologically significant marine areas, including the best available scientific information and the </w:t>
      </w:r>
      <w:r w:rsidRPr="00721DA6">
        <w:rPr>
          <w:szCs w:val="22"/>
        </w:rPr>
        <w:t xml:space="preserve">traditional knowledge of indigenous </w:t>
      </w:r>
      <w:r w:rsidRPr="00721DA6">
        <w:rPr>
          <w:szCs w:val="22"/>
        </w:rPr>
        <w:lastRenderedPageBreak/>
        <w:t>peoples and local communities with their free, prior and informed consent</w:t>
      </w:r>
      <w:r w:rsidRPr="00610646">
        <w:rPr>
          <w:rStyle w:val="FootnoteReference"/>
        </w:rPr>
        <w:footnoteReference w:id="340"/>
      </w:r>
      <w:r w:rsidRPr="00721DA6">
        <w:rPr>
          <w:szCs w:val="22"/>
        </w:rPr>
        <w:t xml:space="preserve"> as one of the key pieces of information that can be used, inter alia, for guidance and cross-learning regarding the use of area-based management tools, including vulnerable</w:t>
      </w:r>
      <w:r w:rsidRPr="008D2DCA">
        <w:rPr>
          <w:szCs w:val="22"/>
        </w:rPr>
        <w:t xml:space="preserve"> marine ecosystems, particularly sensitive sea areas, and areas of particular environmental interest, important marine mammal areas, among other approaches, with a view to contributing to the achievement of the </w:t>
      </w:r>
      <w:r>
        <w:rPr>
          <w:szCs w:val="22"/>
        </w:rPr>
        <w:t>Kunming-Montreal</w:t>
      </w:r>
      <w:r w:rsidRPr="008D2DCA">
        <w:rPr>
          <w:szCs w:val="22"/>
        </w:rPr>
        <w:t xml:space="preserve"> </w:t>
      </w:r>
      <w:r>
        <w:rPr>
          <w:szCs w:val="22"/>
        </w:rPr>
        <w:t>G</w:t>
      </w:r>
      <w:r w:rsidRPr="008D2DCA">
        <w:rPr>
          <w:szCs w:val="22"/>
        </w:rPr>
        <w:t xml:space="preserve">lobal </w:t>
      </w:r>
      <w:r>
        <w:rPr>
          <w:szCs w:val="22"/>
        </w:rPr>
        <w:t>B</w:t>
      </w:r>
      <w:r w:rsidRPr="008D2DCA">
        <w:rPr>
          <w:szCs w:val="22"/>
        </w:rPr>
        <w:t xml:space="preserve">iodiversity </w:t>
      </w:r>
      <w:r>
        <w:rPr>
          <w:szCs w:val="22"/>
        </w:rPr>
        <w:t>F</w:t>
      </w:r>
      <w:r w:rsidRPr="008D2DCA">
        <w:rPr>
          <w:szCs w:val="22"/>
        </w:rPr>
        <w:t>ramework and relevant Sustainable Development Goals.</w:t>
      </w:r>
      <w:r>
        <w:rPr>
          <w:szCs w:val="22"/>
        </w:rPr>
        <w:t xml:space="preserve"> </w:t>
      </w:r>
    </w:p>
    <w:p w14:paraId="26D16384" w14:textId="77777777" w:rsidR="007523D5" w:rsidRDefault="007523D5" w:rsidP="00C9161D">
      <w:pPr>
        <w:jc w:val="center"/>
        <w:sectPr w:rsidR="007523D5" w:rsidSect="00441700">
          <w:footnotePr>
            <w:numRestart w:val="eachSect"/>
          </w:footnotePr>
          <w:pgSz w:w="12240" w:h="15840"/>
          <w:pgMar w:top="567" w:right="1440" w:bottom="1134" w:left="1440" w:header="709" w:footer="709" w:gutter="0"/>
          <w:cols w:space="708"/>
          <w:docGrid w:linePitch="360"/>
        </w:sectPr>
      </w:pPr>
    </w:p>
    <w:p w14:paraId="1A675A68" w14:textId="77777777" w:rsidR="007523D5" w:rsidRPr="00824EF9" w:rsidRDefault="007523D5" w:rsidP="00824EF9">
      <w:pPr>
        <w:pStyle w:val="decision"/>
        <w:rPr>
          <w:b w:val="0"/>
          <w:bCs/>
          <w:caps/>
        </w:rPr>
      </w:pPr>
      <w:bookmarkStart w:id="311" w:name="_Toc150438825"/>
      <w:bookmarkStart w:id="312" w:name="_Toc150670525"/>
      <w:bookmarkStart w:id="313" w:name="_Toc150670635"/>
      <w:bookmarkStart w:id="314" w:name="_Toc150761137"/>
      <w:r w:rsidRPr="00824EF9">
        <w:rPr>
          <w:rStyle w:val="Heading2Char"/>
          <w:rFonts w:eastAsia="Malgun Gothic"/>
          <w:b/>
          <w:bCs w:val="0"/>
        </w:rPr>
        <w:lastRenderedPageBreak/>
        <w:t>15/27.</w:t>
      </w:r>
      <w:r w:rsidRPr="00824EF9">
        <w:rPr>
          <w:rStyle w:val="Heading2Char"/>
          <w:rFonts w:eastAsia="Malgun Gothic"/>
          <w:b/>
          <w:bCs w:val="0"/>
        </w:rPr>
        <w:tab/>
        <w:t>Invasive alien species</w:t>
      </w:r>
      <w:bookmarkEnd w:id="311"/>
      <w:bookmarkEnd w:id="312"/>
      <w:bookmarkEnd w:id="313"/>
      <w:bookmarkEnd w:id="314"/>
      <w:r w:rsidRPr="00824EF9">
        <w:rPr>
          <w:b w:val="0"/>
          <w:bCs/>
          <w:caps/>
        </w:rPr>
        <w:t xml:space="preserve"> </w:t>
      </w:r>
    </w:p>
    <w:p w14:paraId="0A040BBF" w14:textId="77777777" w:rsidR="007523D5" w:rsidRPr="001D14FB" w:rsidRDefault="007523D5" w:rsidP="007C5A47">
      <w:pPr>
        <w:pStyle w:val="ListParagraph"/>
        <w:spacing w:before="120" w:after="120"/>
        <w:ind w:left="0" w:firstLine="720"/>
        <w:contextualSpacing w:val="0"/>
        <w:rPr>
          <w:kern w:val="22"/>
          <w:szCs w:val="22"/>
        </w:rPr>
      </w:pPr>
      <w:r w:rsidRPr="00B04BE8">
        <w:rPr>
          <w:i/>
          <w:iCs/>
          <w:kern w:val="22"/>
          <w:szCs w:val="22"/>
        </w:rPr>
        <w:t>The Conference of the Parties</w:t>
      </w:r>
      <w:r w:rsidRPr="001D14FB">
        <w:rPr>
          <w:kern w:val="22"/>
          <w:szCs w:val="22"/>
        </w:rPr>
        <w:t>,</w:t>
      </w:r>
    </w:p>
    <w:p w14:paraId="58434832" w14:textId="77777777" w:rsidR="007523D5" w:rsidRPr="00B04BE8" w:rsidRDefault="007523D5" w:rsidP="007C5A47">
      <w:pPr>
        <w:pStyle w:val="ListParagraph"/>
        <w:spacing w:before="120" w:after="120"/>
        <w:ind w:left="0" w:firstLine="720"/>
        <w:contextualSpacing w:val="0"/>
        <w:rPr>
          <w:i/>
          <w:iCs/>
          <w:kern w:val="22"/>
          <w:szCs w:val="22"/>
        </w:rPr>
      </w:pPr>
      <w:r w:rsidRPr="00B04BE8">
        <w:rPr>
          <w:i/>
          <w:iCs/>
          <w:kern w:val="22"/>
          <w:szCs w:val="22"/>
        </w:rPr>
        <w:t xml:space="preserve">Noting with concern </w:t>
      </w:r>
      <w:r w:rsidRPr="001D14FB">
        <w:rPr>
          <w:kern w:val="22"/>
          <w:szCs w:val="22"/>
        </w:rPr>
        <w:t xml:space="preserve">that invasive alien species </w:t>
      </w:r>
      <w:r>
        <w:rPr>
          <w:kern w:val="22"/>
          <w:szCs w:val="22"/>
        </w:rPr>
        <w:t>are</w:t>
      </w:r>
      <w:r w:rsidRPr="001D14FB">
        <w:rPr>
          <w:kern w:val="22"/>
          <w:szCs w:val="22"/>
        </w:rPr>
        <w:t xml:space="preserve"> one of the main drivers of biodiversity loss worldwide, as reported by the Intergovernmental </w:t>
      </w:r>
      <w:r>
        <w:rPr>
          <w:kern w:val="22"/>
          <w:szCs w:val="22"/>
        </w:rPr>
        <w:t xml:space="preserve">Science-Policy </w:t>
      </w:r>
      <w:r w:rsidRPr="001D14FB">
        <w:rPr>
          <w:kern w:val="22"/>
          <w:szCs w:val="22"/>
        </w:rPr>
        <w:t xml:space="preserve">Platform on Biodiversity and Ecosystem Services in its 2019 </w:t>
      </w:r>
      <w:r w:rsidRPr="00B04BE8">
        <w:rPr>
          <w:i/>
          <w:iCs/>
          <w:kern w:val="22"/>
          <w:szCs w:val="22"/>
        </w:rPr>
        <w:t xml:space="preserve">Global </w:t>
      </w:r>
      <w:r w:rsidRPr="001D14FB">
        <w:rPr>
          <w:i/>
          <w:iCs/>
          <w:kern w:val="22"/>
          <w:szCs w:val="22"/>
        </w:rPr>
        <w:t>A</w:t>
      </w:r>
      <w:r w:rsidRPr="00B04BE8">
        <w:rPr>
          <w:i/>
          <w:iCs/>
          <w:kern w:val="22"/>
          <w:szCs w:val="22"/>
        </w:rPr>
        <w:t xml:space="preserve">ssessment </w:t>
      </w:r>
      <w:r w:rsidRPr="001D14FB">
        <w:rPr>
          <w:i/>
          <w:iCs/>
          <w:kern w:val="22"/>
          <w:szCs w:val="22"/>
        </w:rPr>
        <w:t>R</w:t>
      </w:r>
      <w:r w:rsidRPr="00B04BE8">
        <w:rPr>
          <w:i/>
          <w:iCs/>
          <w:kern w:val="22"/>
          <w:szCs w:val="22"/>
        </w:rPr>
        <w:t>eport</w:t>
      </w:r>
      <w:r w:rsidRPr="001D14FB">
        <w:rPr>
          <w:kern w:val="22"/>
          <w:szCs w:val="22"/>
        </w:rPr>
        <w:t>,</w:t>
      </w:r>
      <w:r w:rsidRPr="00610646">
        <w:rPr>
          <w:rStyle w:val="FootnoteReference"/>
        </w:rPr>
        <w:footnoteReference w:id="341"/>
      </w:r>
    </w:p>
    <w:p w14:paraId="28358DA4" w14:textId="77777777" w:rsidR="007523D5" w:rsidRPr="00B04BE8" w:rsidRDefault="007523D5" w:rsidP="007C5A47">
      <w:pPr>
        <w:pStyle w:val="ListParagraph"/>
        <w:spacing w:before="120" w:after="120"/>
        <w:ind w:left="0" w:firstLine="720"/>
        <w:contextualSpacing w:val="0"/>
        <w:rPr>
          <w:kern w:val="22"/>
          <w:szCs w:val="22"/>
        </w:rPr>
      </w:pPr>
      <w:r w:rsidRPr="00B04BE8">
        <w:rPr>
          <w:i/>
          <w:iCs/>
          <w:kern w:val="22"/>
          <w:szCs w:val="22"/>
        </w:rPr>
        <w:t xml:space="preserve">Noting </w:t>
      </w:r>
      <w:r w:rsidRPr="00B04BE8">
        <w:rPr>
          <w:kern w:val="22"/>
          <w:szCs w:val="22"/>
        </w:rPr>
        <w:t>the increasing volume of international consignments containing living organisms</w:t>
      </w:r>
      <w:r>
        <w:rPr>
          <w:kern w:val="22"/>
          <w:szCs w:val="22"/>
        </w:rPr>
        <w:t xml:space="preserve"> and propagules, </w:t>
      </w:r>
      <w:r w:rsidRPr="00B04BE8">
        <w:rPr>
          <w:kern w:val="22"/>
          <w:szCs w:val="22"/>
        </w:rPr>
        <w:t>as well as changes in trade patterns and consumer behaviour and habits,</w:t>
      </w:r>
    </w:p>
    <w:p w14:paraId="2987A080" w14:textId="77777777" w:rsidR="007523D5" w:rsidRPr="009A349A" w:rsidRDefault="007523D5" w:rsidP="007C5A47">
      <w:pPr>
        <w:pStyle w:val="ListParagraph"/>
        <w:spacing w:before="120" w:after="120"/>
        <w:ind w:left="0" w:firstLine="720"/>
        <w:contextualSpacing w:val="0"/>
        <w:rPr>
          <w:kern w:val="22"/>
          <w:szCs w:val="22"/>
        </w:rPr>
      </w:pPr>
      <w:r w:rsidRPr="00B04BE8">
        <w:rPr>
          <w:i/>
          <w:iCs/>
          <w:kern w:val="22"/>
          <w:szCs w:val="22"/>
        </w:rPr>
        <w:t>Recognizing</w:t>
      </w:r>
      <w:r w:rsidRPr="00B04BE8">
        <w:rPr>
          <w:kern w:val="22"/>
          <w:szCs w:val="22"/>
        </w:rPr>
        <w:t xml:space="preserve"> that anthropogenic changes in the environment</w:t>
      </w:r>
      <w:r w:rsidRPr="00B04BE8">
        <w:rPr>
          <w:kern w:val="22"/>
        </w:rPr>
        <w:t xml:space="preserve">, </w:t>
      </w:r>
      <w:r>
        <w:rPr>
          <w:kern w:val="22"/>
        </w:rPr>
        <w:t>including climate change, land- and sea-use change, overexploitation and pollution</w:t>
      </w:r>
      <w:r w:rsidRPr="00B04BE8">
        <w:rPr>
          <w:kern w:val="22"/>
        </w:rPr>
        <w:t>,</w:t>
      </w:r>
      <w:r w:rsidRPr="00B04BE8">
        <w:rPr>
          <w:kern w:val="22"/>
          <w:szCs w:val="22"/>
        </w:rPr>
        <w:t xml:space="preserve"> add further complexity and increased risk of biological invasions and consequent threats to biodiversity,</w:t>
      </w:r>
    </w:p>
    <w:p w14:paraId="532512C2" w14:textId="77777777" w:rsidR="007523D5" w:rsidRPr="00B04BE8" w:rsidRDefault="007523D5" w:rsidP="007C5A47">
      <w:pPr>
        <w:pStyle w:val="ListParagraph"/>
        <w:spacing w:before="120" w:after="120"/>
        <w:ind w:left="0" w:firstLine="720"/>
        <w:contextualSpacing w:val="0"/>
        <w:rPr>
          <w:kern w:val="22"/>
          <w:szCs w:val="22"/>
        </w:rPr>
      </w:pPr>
      <w:r w:rsidRPr="00B04BE8">
        <w:rPr>
          <w:i/>
          <w:iCs/>
          <w:kern w:val="22"/>
          <w:szCs w:val="22"/>
        </w:rPr>
        <w:t xml:space="preserve">Emphasizing </w:t>
      </w:r>
      <w:r w:rsidRPr="00B04BE8">
        <w:rPr>
          <w:kern w:val="22"/>
          <w:szCs w:val="22"/>
        </w:rPr>
        <w:t>the need for increased collaboration among Parties, other Governments</w:t>
      </w:r>
      <w:r>
        <w:rPr>
          <w:kern w:val="22"/>
          <w:szCs w:val="22"/>
        </w:rPr>
        <w:t xml:space="preserve">, </w:t>
      </w:r>
      <w:r w:rsidRPr="00AF1C03">
        <w:rPr>
          <w:kern w:val="22"/>
          <w:szCs w:val="22"/>
        </w:rPr>
        <w:t>subnational governments</w:t>
      </w:r>
      <w:r>
        <w:rPr>
          <w:kern w:val="22"/>
          <w:szCs w:val="22"/>
        </w:rPr>
        <w:t>,</w:t>
      </w:r>
      <w:r w:rsidRPr="00AF1C03">
        <w:rPr>
          <w:kern w:val="22"/>
          <w:szCs w:val="22"/>
        </w:rPr>
        <w:t xml:space="preserve"> where appropriate</w:t>
      </w:r>
      <w:r w:rsidRPr="00B04BE8">
        <w:rPr>
          <w:kern w:val="22"/>
          <w:szCs w:val="22"/>
        </w:rPr>
        <w:t xml:space="preserve">, </w:t>
      </w:r>
      <w:r>
        <w:rPr>
          <w:kern w:val="22"/>
          <w:szCs w:val="22"/>
        </w:rPr>
        <w:t xml:space="preserve">indigenous peoples and local communities, </w:t>
      </w:r>
      <w:r w:rsidRPr="00B04BE8">
        <w:rPr>
          <w:kern w:val="22"/>
          <w:szCs w:val="22"/>
        </w:rPr>
        <w:t>relevant organizations and all relevant sectors, including business,</w:t>
      </w:r>
    </w:p>
    <w:p w14:paraId="504D8886" w14:textId="77777777" w:rsidR="007523D5" w:rsidRPr="00B04BE8" w:rsidRDefault="007523D5" w:rsidP="007C5A47">
      <w:pPr>
        <w:pStyle w:val="ListParagraph"/>
        <w:spacing w:before="120" w:after="120"/>
        <w:ind w:left="0" w:firstLine="720"/>
        <w:contextualSpacing w:val="0"/>
        <w:rPr>
          <w:kern w:val="22"/>
          <w:szCs w:val="22"/>
        </w:rPr>
      </w:pPr>
      <w:r w:rsidRPr="00B04BE8">
        <w:rPr>
          <w:i/>
          <w:iCs/>
          <w:kern w:val="22"/>
          <w:szCs w:val="22"/>
        </w:rPr>
        <w:t xml:space="preserve">Recalling </w:t>
      </w:r>
      <w:r w:rsidRPr="00B04BE8">
        <w:rPr>
          <w:kern w:val="22"/>
          <w:szCs w:val="22"/>
        </w:rPr>
        <w:t xml:space="preserve">decisions XII/16, XIII/13 and 14/11, and </w:t>
      </w:r>
      <w:r w:rsidRPr="008646AA">
        <w:rPr>
          <w:kern w:val="22"/>
          <w:szCs w:val="22"/>
        </w:rPr>
        <w:t>recognizing</w:t>
      </w:r>
      <w:r w:rsidRPr="00B04BE8">
        <w:rPr>
          <w:kern w:val="22"/>
          <w:szCs w:val="22"/>
        </w:rPr>
        <w:t xml:space="preserve"> that </w:t>
      </w:r>
      <w:r>
        <w:rPr>
          <w:kern w:val="22"/>
          <w:szCs w:val="22"/>
        </w:rPr>
        <w:t xml:space="preserve">voluntary </w:t>
      </w:r>
      <w:r w:rsidRPr="00B04BE8">
        <w:rPr>
          <w:kern w:val="22"/>
          <w:szCs w:val="22"/>
        </w:rPr>
        <w:t xml:space="preserve">guidance in relation to invasive alien species and trade in live organisms may also </w:t>
      </w:r>
      <w:r w:rsidRPr="00DC33D5">
        <w:rPr>
          <w:kern w:val="22"/>
          <w:szCs w:val="22"/>
        </w:rPr>
        <w:t>apply to e-commerce,</w:t>
      </w:r>
    </w:p>
    <w:p w14:paraId="497B53AC" w14:textId="77777777" w:rsidR="007523D5" w:rsidRPr="001D14FB" w:rsidRDefault="007523D5" w:rsidP="007C5A47">
      <w:pPr>
        <w:pBdr>
          <w:top w:val="nil"/>
          <w:left w:val="nil"/>
          <w:bottom w:val="nil"/>
          <w:right w:val="nil"/>
          <w:between w:val="nil"/>
          <w:bar w:val="nil"/>
        </w:pBdr>
        <w:spacing w:before="120" w:after="120"/>
        <w:ind w:firstLine="720"/>
        <w:rPr>
          <w:kern w:val="22"/>
        </w:rPr>
      </w:pPr>
      <w:r w:rsidRPr="00B04BE8">
        <w:rPr>
          <w:kern w:val="22"/>
          <w:szCs w:val="22"/>
        </w:rPr>
        <w:t>1.</w:t>
      </w:r>
      <w:r w:rsidRPr="00B04BE8">
        <w:rPr>
          <w:kern w:val="22"/>
          <w:szCs w:val="22"/>
        </w:rPr>
        <w:tab/>
      </w:r>
      <w:r w:rsidRPr="00B04BE8">
        <w:rPr>
          <w:i/>
          <w:iCs/>
          <w:kern w:val="22"/>
          <w:szCs w:val="22"/>
        </w:rPr>
        <w:t xml:space="preserve">Takes note </w:t>
      </w:r>
      <w:r w:rsidRPr="001D14FB">
        <w:rPr>
          <w:kern w:val="22"/>
          <w:szCs w:val="22"/>
        </w:rPr>
        <w:t xml:space="preserve">of </w:t>
      </w:r>
      <w:r w:rsidRPr="00B04BE8">
        <w:rPr>
          <w:kern w:val="22"/>
          <w:szCs w:val="22"/>
        </w:rPr>
        <w:t>the outcomes of the Online Forum on Invasive Alien Species</w:t>
      </w:r>
      <w:r w:rsidRPr="00610646">
        <w:rPr>
          <w:rStyle w:val="FootnoteReference"/>
        </w:rPr>
        <w:footnoteReference w:id="342"/>
      </w:r>
      <w:r w:rsidRPr="00B04BE8">
        <w:rPr>
          <w:kern w:val="22"/>
          <w:szCs w:val="22"/>
        </w:rPr>
        <w:t xml:space="preserve"> and </w:t>
      </w:r>
      <w:r>
        <w:rPr>
          <w:kern w:val="22"/>
          <w:szCs w:val="22"/>
        </w:rPr>
        <w:t xml:space="preserve">of </w:t>
      </w:r>
      <w:r w:rsidRPr="00B04BE8">
        <w:rPr>
          <w:kern w:val="22"/>
          <w:szCs w:val="22"/>
        </w:rPr>
        <w:t>the meeting of the Ad Hoc Technical Expert Group on Invasive Alien Species including:</w:t>
      </w:r>
      <w:r w:rsidRPr="00610646">
        <w:rPr>
          <w:rStyle w:val="FootnoteReference"/>
        </w:rPr>
        <w:footnoteReference w:id="343"/>
      </w:r>
    </w:p>
    <w:p w14:paraId="1B45C2E8"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(a)</w:t>
      </w:r>
      <w:r w:rsidRPr="00B04BE8">
        <w:rPr>
          <w:kern w:val="22"/>
          <w:szCs w:val="22"/>
        </w:rPr>
        <w:tab/>
        <w:t xml:space="preserve">Methods for cost-benefit and cost-effectiveness analysis which best apply to the management of invasive alien </w:t>
      </w:r>
      <w:r w:rsidRPr="00CB5F28">
        <w:rPr>
          <w:kern w:val="22"/>
          <w:szCs w:val="22"/>
        </w:rPr>
        <w:t>species,</w:t>
      </w:r>
      <w:r>
        <w:rPr>
          <w:kern w:val="22"/>
          <w:szCs w:val="22"/>
        </w:rPr>
        <w:t xml:space="preserve"> and risk analysis </w:t>
      </w:r>
      <w:r w:rsidRPr="008E1BD7">
        <w:rPr>
          <w:kern w:val="22"/>
          <w:szCs w:val="22"/>
        </w:rPr>
        <w:t>on</w:t>
      </w:r>
      <w:r>
        <w:rPr>
          <w:kern w:val="22"/>
          <w:szCs w:val="22"/>
        </w:rPr>
        <w:t xml:space="preserve"> the potential consequences of the introduction of invasive alien species on social, economic and cultural values; </w:t>
      </w:r>
    </w:p>
    <w:p w14:paraId="5E52F474"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(b)</w:t>
      </w:r>
      <w:r w:rsidRPr="00B04BE8">
        <w:rPr>
          <w:kern w:val="22"/>
          <w:szCs w:val="22"/>
        </w:rPr>
        <w:tab/>
        <w:t>Methods, tools and measures for the identification and minimization of additional risks associated with cross-border e-commerce in live organisms and the impacts thereof;</w:t>
      </w:r>
    </w:p>
    <w:p w14:paraId="2F78EC7E"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(c)</w:t>
      </w:r>
      <w:r w:rsidRPr="00B04BE8">
        <w:rPr>
          <w:kern w:val="22"/>
          <w:szCs w:val="22"/>
        </w:rPr>
        <w:tab/>
        <w:t>Methods, tools and strategies for the management of invasive alien species as it relates to prevention of potential risks arising from climate change and associated natural disasters and land-use changes;</w:t>
      </w:r>
    </w:p>
    <w:p w14:paraId="4D157C42"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(d)</w:t>
      </w:r>
      <w:r w:rsidRPr="00B04BE8">
        <w:rPr>
          <w:kern w:val="22"/>
          <w:szCs w:val="22"/>
        </w:rPr>
        <w:tab/>
        <w:t>Use of existing databases on invasive alien species and their impacts, to support risk communication;</w:t>
      </w:r>
    </w:p>
    <w:p w14:paraId="4C4CCBB0" w14:textId="77777777" w:rsidR="007523D5" w:rsidRPr="007C099E" w:rsidRDefault="007523D5" w:rsidP="007C5A47">
      <w:pPr>
        <w:pBdr>
          <w:top w:val="nil"/>
          <w:left w:val="nil"/>
          <w:bottom w:val="nil"/>
          <w:right w:val="nil"/>
          <w:between w:val="nil"/>
          <w:bar w:val="nil"/>
        </w:pBdr>
        <w:spacing w:before="120" w:after="120"/>
        <w:ind w:firstLine="720"/>
        <w:rPr>
          <w:kern w:val="22"/>
          <w:szCs w:val="22"/>
        </w:rPr>
      </w:pPr>
      <w:r w:rsidRPr="007C099E">
        <w:rPr>
          <w:kern w:val="22"/>
          <w:szCs w:val="22"/>
        </w:rPr>
        <w:t>(e)</w:t>
      </w:r>
      <w:r w:rsidRPr="007C099E">
        <w:rPr>
          <w:kern w:val="22"/>
          <w:szCs w:val="22"/>
        </w:rPr>
        <w:tab/>
        <w:t>Additional advice and guidance on invasive alien species management.</w:t>
      </w:r>
    </w:p>
    <w:p w14:paraId="392F055D" w14:textId="77777777" w:rsidR="007523D5" w:rsidRPr="007C099E" w:rsidRDefault="007523D5" w:rsidP="007C5A47">
      <w:pPr>
        <w:pBdr>
          <w:top w:val="nil"/>
          <w:left w:val="nil"/>
          <w:bottom w:val="nil"/>
          <w:right w:val="nil"/>
          <w:between w:val="nil"/>
          <w:bar w:val="nil"/>
        </w:pBdr>
        <w:spacing w:before="120" w:after="120"/>
        <w:ind w:firstLine="720"/>
        <w:rPr>
          <w:kern w:val="22"/>
          <w:szCs w:val="22"/>
        </w:rPr>
      </w:pPr>
      <w:r w:rsidRPr="007C099E">
        <w:rPr>
          <w:kern w:val="22"/>
          <w:szCs w:val="22"/>
        </w:rPr>
        <w:t>2.</w:t>
      </w:r>
      <w:r w:rsidRPr="007C099E">
        <w:rPr>
          <w:kern w:val="22"/>
          <w:szCs w:val="22"/>
        </w:rPr>
        <w:tab/>
      </w:r>
      <w:r w:rsidRPr="007C099E">
        <w:rPr>
          <w:i/>
          <w:iCs/>
          <w:kern w:val="22"/>
          <w:szCs w:val="22"/>
        </w:rPr>
        <w:t xml:space="preserve">Requests </w:t>
      </w:r>
      <w:r w:rsidRPr="007C099E">
        <w:rPr>
          <w:kern w:val="22"/>
          <w:szCs w:val="22"/>
        </w:rPr>
        <w:t>the Executive Secretary to organize a peer-review process to solicit advice, pursuant to decision 14/11, on annexes I to VI to the present decision, taking into account the earlier decisions of the Conference of the Parties and those of existing international instruments, and regional differences, to convene a moderated open-ended online forum on the results of the peer-review process and to make the outcomes available for consideration by the Subsidiary Body on Scientific, Technical and Technological Advice, with a view to making recommendations to the Conference of the Parties at its sixteenth meeting;</w:t>
      </w:r>
    </w:p>
    <w:p w14:paraId="5BEDA63D" w14:textId="77777777" w:rsidR="007523D5" w:rsidRPr="007C099E" w:rsidRDefault="007523D5" w:rsidP="00B73A87">
      <w:pPr>
        <w:pBdr>
          <w:top w:val="nil"/>
          <w:left w:val="nil"/>
          <w:bottom w:val="nil"/>
          <w:right w:val="nil"/>
          <w:between w:val="nil"/>
          <w:bar w:val="nil"/>
        </w:pBdr>
        <w:spacing w:before="120" w:after="120"/>
        <w:ind w:firstLine="720"/>
        <w:rPr>
          <w:kern w:val="22"/>
          <w:szCs w:val="22"/>
        </w:rPr>
      </w:pPr>
      <w:r w:rsidRPr="007C099E">
        <w:rPr>
          <w:kern w:val="22"/>
          <w:szCs w:val="22"/>
        </w:rPr>
        <w:t>3.</w:t>
      </w:r>
      <w:r w:rsidRPr="007C099E">
        <w:rPr>
          <w:kern w:val="22"/>
          <w:szCs w:val="22"/>
        </w:rPr>
        <w:tab/>
      </w:r>
      <w:r w:rsidRPr="007C099E">
        <w:rPr>
          <w:i/>
          <w:iCs/>
          <w:kern w:val="22"/>
          <w:szCs w:val="22"/>
        </w:rPr>
        <w:t>Invites</w:t>
      </w:r>
      <w:r w:rsidRPr="007C099E">
        <w:rPr>
          <w:kern w:val="22"/>
          <w:szCs w:val="22"/>
        </w:rPr>
        <w:t xml:space="preserve"> Parties, other Governments and relevant organizations to enhance the inclusion of diverse social and cultural values of biodiversity across communities at the national </w:t>
      </w:r>
      <w:r w:rsidRPr="007C099E">
        <w:rPr>
          <w:kern w:val="22"/>
        </w:rPr>
        <w:t>and/or subnational</w:t>
      </w:r>
      <w:r w:rsidRPr="007C099E">
        <w:rPr>
          <w:kern w:val="22"/>
          <w:szCs w:val="22"/>
        </w:rPr>
        <w:t xml:space="preserve"> levels, including those of indigenous peoples and local communities, women, youth and the elderly, noting the methodological assessment o</w:t>
      </w:r>
      <w:r w:rsidRPr="00D9073D">
        <w:rPr>
          <w:kern w:val="22"/>
          <w:szCs w:val="22"/>
        </w:rPr>
        <w:t>n</w:t>
      </w:r>
      <w:r w:rsidRPr="007C099E">
        <w:rPr>
          <w:kern w:val="22"/>
          <w:szCs w:val="22"/>
        </w:rPr>
        <w:t xml:space="preserve"> the diverse values and valuation of nature prepared by the </w:t>
      </w:r>
      <w:r w:rsidRPr="007C099E">
        <w:rPr>
          <w:kern w:val="22"/>
          <w:szCs w:val="22"/>
        </w:rPr>
        <w:lastRenderedPageBreak/>
        <w:t>Intergovernmental Science-Policy Platform on Biodiversity and Ecosystem Services,</w:t>
      </w:r>
      <w:r w:rsidRPr="00610646">
        <w:rPr>
          <w:rStyle w:val="FootnoteReference"/>
        </w:rPr>
        <w:footnoteReference w:id="344"/>
      </w:r>
      <w:r w:rsidRPr="007C099E">
        <w:rPr>
          <w:kern w:val="22"/>
          <w:szCs w:val="22"/>
        </w:rPr>
        <w:t xml:space="preserve"> and in accordance with the rights and obligations derived from relevant multilateral agreements, when assessing the costs, benefits and prioritization of management of invasive alien species, and to build on existing processes, and international and national best practices for engagement of relevant actors, in order to feed effectively into decision-making processes based on scientific evidence, traditional knowledge and risk assessments;</w:t>
      </w:r>
    </w:p>
    <w:p w14:paraId="470F49C0" w14:textId="77777777" w:rsidR="007523D5" w:rsidRPr="001D14FB" w:rsidRDefault="007523D5" w:rsidP="007C5A47">
      <w:pPr>
        <w:pBdr>
          <w:top w:val="nil"/>
          <w:left w:val="nil"/>
          <w:bottom w:val="nil"/>
          <w:right w:val="nil"/>
          <w:between w:val="nil"/>
          <w:bar w:val="nil"/>
        </w:pBdr>
        <w:spacing w:before="120" w:after="120"/>
        <w:ind w:firstLine="720"/>
        <w:rPr>
          <w:i/>
          <w:kern w:val="22"/>
        </w:rPr>
      </w:pPr>
      <w:r w:rsidRPr="007C099E">
        <w:rPr>
          <w:kern w:val="22"/>
          <w:szCs w:val="22"/>
        </w:rPr>
        <w:t>4.</w:t>
      </w:r>
      <w:r w:rsidRPr="007C099E">
        <w:rPr>
          <w:kern w:val="22"/>
          <w:szCs w:val="22"/>
        </w:rPr>
        <w:tab/>
      </w:r>
      <w:r w:rsidRPr="007C099E">
        <w:rPr>
          <w:i/>
          <w:iCs/>
          <w:kern w:val="22"/>
          <w:szCs w:val="22"/>
        </w:rPr>
        <w:t xml:space="preserve">Welcomes </w:t>
      </w:r>
      <w:r w:rsidRPr="007C099E">
        <w:rPr>
          <w:kern w:val="22"/>
          <w:szCs w:val="22"/>
        </w:rPr>
        <w:t>the inclusion of invasive alien species by the World Customs Organization in the Technical Specifications under its Framework of Standards on Cross-border E</w:t>
      </w:r>
      <w:r w:rsidRPr="007C099E">
        <w:rPr>
          <w:kern w:val="22"/>
          <w:szCs w:val="22"/>
        </w:rPr>
        <w:noBreakHyphen/>
        <w:t>Commerce;</w:t>
      </w:r>
    </w:p>
    <w:p w14:paraId="308D318E" w14:textId="77777777" w:rsidR="007523D5" w:rsidRPr="00B04BE8" w:rsidRDefault="007523D5" w:rsidP="004F4DDA">
      <w:pPr>
        <w:pBdr>
          <w:top w:val="nil"/>
          <w:left w:val="nil"/>
          <w:bottom w:val="nil"/>
          <w:right w:val="nil"/>
          <w:between w:val="nil"/>
          <w:bar w:val="nil"/>
        </w:pBdr>
        <w:spacing w:before="120" w:after="120"/>
        <w:ind w:firstLine="720"/>
        <w:rPr>
          <w:kern w:val="22"/>
          <w:szCs w:val="22"/>
        </w:rPr>
      </w:pPr>
      <w:r w:rsidRPr="00B04BE8">
        <w:rPr>
          <w:kern w:val="22"/>
          <w:szCs w:val="22"/>
        </w:rPr>
        <w:t>5.</w:t>
      </w:r>
      <w:r w:rsidRPr="00B04BE8">
        <w:rPr>
          <w:kern w:val="22"/>
          <w:szCs w:val="22"/>
        </w:rPr>
        <w:tab/>
      </w:r>
      <w:r w:rsidRPr="00B04BE8">
        <w:rPr>
          <w:i/>
          <w:iCs/>
          <w:kern w:val="22"/>
          <w:szCs w:val="22"/>
        </w:rPr>
        <w:t xml:space="preserve">Encourages </w:t>
      </w:r>
      <w:r w:rsidRPr="00B04BE8">
        <w:rPr>
          <w:kern w:val="22"/>
          <w:szCs w:val="22"/>
        </w:rPr>
        <w:t xml:space="preserve">Parties and </w:t>
      </w:r>
      <w:r w:rsidRPr="008646AA">
        <w:rPr>
          <w:kern w:val="22"/>
          <w:szCs w:val="22"/>
        </w:rPr>
        <w:t>invites</w:t>
      </w:r>
      <w:r w:rsidRPr="00B04BE8">
        <w:rPr>
          <w:i/>
          <w:iCs/>
          <w:kern w:val="22"/>
          <w:szCs w:val="22"/>
        </w:rPr>
        <w:t xml:space="preserve"> </w:t>
      </w:r>
      <w:r w:rsidRPr="00B04BE8">
        <w:rPr>
          <w:kern w:val="22"/>
          <w:szCs w:val="22"/>
        </w:rPr>
        <w:t xml:space="preserve">other Governments and relevant organizations to develop national, regional or international open access portals or other websites directed to the general public, </w:t>
      </w:r>
      <w:r w:rsidRPr="00231EF4">
        <w:rPr>
          <w:kern w:val="22"/>
          <w:szCs w:val="22"/>
        </w:rPr>
        <w:t>to raise cooperation, awareness and understanding of the threats of invasive alien species to biodiversity and ecosystems, and offering practical help for identification and management of invasive alien species, as well as to enlist</w:t>
      </w:r>
      <w:r w:rsidRPr="00B04BE8">
        <w:rPr>
          <w:kern w:val="22"/>
          <w:szCs w:val="22"/>
        </w:rPr>
        <w:t xml:space="preserve"> the help of the public in reporting occurrences</w:t>
      </w:r>
      <w:r>
        <w:rPr>
          <w:kern w:val="22"/>
          <w:szCs w:val="22"/>
        </w:rPr>
        <w:t>,</w:t>
      </w:r>
      <w:r w:rsidRPr="00B04BE8">
        <w:rPr>
          <w:kern w:val="22"/>
          <w:szCs w:val="22"/>
        </w:rPr>
        <w:t xml:space="preserve"> and in controlling</w:t>
      </w:r>
      <w:r>
        <w:rPr>
          <w:kern w:val="22"/>
          <w:szCs w:val="22"/>
        </w:rPr>
        <w:t xml:space="preserve"> and managing </w:t>
      </w:r>
      <w:r w:rsidRPr="00B04BE8">
        <w:rPr>
          <w:kern w:val="22"/>
          <w:szCs w:val="22"/>
        </w:rPr>
        <w:t>invasive alien species;</w:t>
      </w:r>
      <w:r>
        <w:rPr>
          <w:kern w:val="22"/>
          <w:szCs w:val="22"/>
        </w:rPr>
        <w:t xml:space="preserve"> </w:t>
      </w:r>
    </w:p>
    <w:p w14:paraId="33B2D028" w14:textId="77777777" w:rsidR="007523D5" w:rsidRPr="0004363E" w:rsidRDefault="007523D5" w:rsidP="007C5A47">
      <w:pPr>
        <w:pBdr>
          <w:top w:val="nil"/>
          <w:left w:val="nil"/>
          <w:bottom w:val="nil"/>
          <w:right w:val="nil"/>
          <w:between w:val="nil"/>
          <w:bar w:val="nil"/>
        </w:pBdr>
        <w:spacing w:before="120" w:after="120"/>
        <w:ind w:firstLine="720"/>
        <w:rPr>
          <w:kern w:val="22"/>
          <w:szCs w:val="22"/>
        </w:rPr>
      </w:pPr>
      <w:r>
        <w:rPr>
          <w:kern w:val="22"/>
          <w:szCs w:val="22"/>
        </w:rPr>
        <w:t>6</w:t>
      </w:r>
      <w:r w:rsidRPr="00B04BE8">
        <w:rPr>
          <w:kern w:val="22"/>
          <w:szCs w:val="22"/>
        </w:rPr>
        <w:t>.</w:t>
      </w:r>
      <w:r w:rsidRPr="00B04BE8">
        <w:rPr>
          <w:kern w:val="22"/>
          <w:szCs w:val="22"/>
        </w:rPr>
        <w:tab/>
      </w:r>
      <w:r w:rsidRPr="00B04BE8">
        <w:rPr>
          <w:i/>
          <w:iCs/>
          <w:kern w:val="22"/>
          <w:szCs w:val="22"/>
        </w:rPr>
        <w:t>Urges</w:t>
      </w:r>
      <w:r>
        <w:rPr>
          <w:i/>
          <w:iCs/>
          <w:kern w:val="22"/>
          <w:szCs w:val="22"/>
        </w:rPr>
        <w:t xml:space="preserve"> </w:t>
      </w:r>
      <w:r w:rsidRPr="00B04BE8">
        <w:rPr>
          <w:kern w:val="22"/>
          <w:szCs w:val="22"/>
        </w:rPr>
        <w:t xml:space="preserve">Parties and </w:t>
      </w:r>
      <w:r w:rsidRPr="00D9073D">
        <w:rPr>
          <w:kern w:val="22"/>
          <w:szCs w:val="22"/>
        </w:rPr>
        <w:t>invites</w:t>
      </w:r>
      <w:r>
        <w:rPr>
          <w:kern w:val="22"/>
          <w:szCs w:val="22"/>
        </w:rPr>
        <w:t xml:space="preserve"> </w:t>
      </w:r>
      <w:r w:rsidRPr="00B04BE8">
        <w:rPr>
          <w:kern w:val="22"/>
          <w:szCs w:val="22"/>
        </w:rPr>
        <w:t xml:space="preserve">other Governments to </w:t>
      </w:r>
      <w:r>
        <w:rPr>
          <w:kern w:val="22"/>
          <w:szCs w:val="22"/>
        </w:rPr>
        <w:t xml:space="preserve">foster </w:t>
      </w:r>
      <w:r w:rsidRPr="00B04BE8">
        <w:rPr>
          <w:kern w:val="22"/>
          <w:szCs w:val="22"/>
        </w:rPr>
        <w:t>monitor</w:t>
      </w:r>
      <w:r>
        <w:rPr>
          <w:kern w:val="22"/>
          <w:szCs w:val="22"/>
        </w:rPr>
        <w:t>ing of</w:t>
      </w:r>
      <w:r>
        <w:rPr>
          <w:i/>
          <w:iCs/>
          <w:kern w:val="22"/>
          <w:szCs w:val="22"/>
        </w:rPr>
        <w:t xml:space="preserve"> </w:t>
      </w:r>
      <w:r w:rsidRPr="00B04BE8">
        <w:rPr>
          <w:kern w:val="22"/>
          <w:szCs w:val="22"/>
        </w:rPr>
        <w:t>the effects of large-scale</w:t>
      </w:r>
      <w:r>
        <w:rPr>
          <w:kern w:val="22"/>
          <w:szCs w:val="22"/>
        </w:rPr>
        <w:t xml:space="preserve"> changes of pathways and</w:t>
      </w:r>
      <w:r w:rsidRPr="00B04BE8">
        <w:rPr>
          <w:kern w:val="22"/>
          <w:szCs w:val="22"/>
        </w:rPr>
        <w:t xml:space="preserve"> releases of alien translocated or captively raised populations of, for example, fish, trees and game</w:t>
      </w:r>
      <w:r>
        <w:rPr>
          <w:kern w:val="22"/>
          <w:szCs w:val="22"/>
        </w:rPr>
        <w:t xml:space="preserve"> </w:t>
      </w:r>
      <w:r w:rsidRPr="00B04BE8">
        <w:rPr>
          <w:kern w:val="22"/>
          <w:szCs w:val="22"/>
        </w:rPr>
        <w:t xml:space="preserve">species, on the genetic diversity </w:t>
      </w:r>
      <w:r w:rsidRPr="0004363E">
        <w:rPr>
          <w:kern w:val="22"/>
          <w:szCs w:val="22"/>
        </w:rPr>
        <w:t>of local native populations and their long-term ability to adapt to a changing environment, to take adequate actions to address any detrimental effects on native populations, and to share knowledge and best practices with other Parties, as appropriate;</w:t>
      </w:r>
    </w:p>
    <w:p w14:paraId="6DE85184" w14:textId="77777777" w:rsidR="007523D5" w:rsidRPr="0004363E" w:rsidRDefault="007523D5" w:rsidP="007C5A47">
      <w:pPr>
        <w:pBdr>
          <w:top w:val="nil"/>
          <w:left w:val="nil"/>
          <w:bottom w:val="nil"/>
          <w:right w:val="nil"/>
          <w:between w:val="nil"/>
          <w:bar w:val="nil"/>
        </w:pBdr>
        <w:spacing w:before="120" w:after="120"/>
        <w:ind w:firstLine="720"/>
        <w:rPr>
          <w:kern w:val="22"/>
          <w:szCs w:val="22"/>
        </w:rPr>
      </w:pPr>
      <w:r w:rsidRPr="0004363E">
        <w:rPr>
          <w:kern w:val="22"/>
          <w:szCs w:val="22"/>
        </w:rPr>
        <w:t>7.</w:t>
      </w:r>
      <w:r w:rsidRPr="0004363E">
        <w:rPr>
          <w:kern w:val="22"/>
          <w:szCs w:val="22"/>
        </w:rPr>
        <w:tab/>
      </w:r>
      <w:r w:rsidRPr="0004363E">
        <w:rPr>
          <w:i/>
          <w:iCs/>
          <w:kern w:val="22"/>
          <w:szCs w:val="22"/>
        </w:rPr>
        <w:t>Invites</w:t>
      </w:r>
      <w:r w:rsidRPr="0004363E">
        <w:rPr>
          <w:kern w:val="22"/>
          <w:szCs w:val="22"/>
        </w:rPr>
        <w:t xml:space="preserve"> the Secretariat of the United Nations Economic and Social Council, the World Customs Organization, the International Plant Protection Convention, the World Organisation for Animal Health, the World Health Organization, the Food and Agriculture Organization of the United Nations and its Codex Alimentarius, the Secretariat of the Convention on International Trade in Endangered Species of Wild Fauna and Flora, and the Invasive Species Specialist Group of the International Union for Conservation of Nature, within the scope of their respective mandates, to support the national implementation of the Kunming-Montreal Global Biodiversity Framework with regard to targets and actions related to invasive alien species, including their monitoring and reporting;</w:t>
      </w:r>
    </w:p>
    <w:p w14:paraId="048C1DA2" w14:textId="77777777" w:rsidR="007523D5" w:rsidRDefault="007523D5" w:rsidP="004F4DDA">
      <w:pPr>
        <w:pBdr>
          <w:top w:val="nil"/>
          <w:left w:val="nil"/>
          <w:bottom w:val="nil"/>
          <w:right w:val="nil"/>
          <w:between w:val="nil"/>
          <w:bar w:val="nil"/>
        </w:pBdr>
        <w:spacing w:before="120" w:after="120"/>
        <w:ind w:firstLine="720"/>
        <w:rPr>
          <w:kern w:val="22"/>
          <w:szCs w:val="22"/>
        </w:rPr>
      </w:pPr>
      <w:r w:rsidRPr="0004363E">
        <w:rPr>
          <w:kern w:val="22"/>
          <w:szCs w:val="22"/>
        </w:rPr>
        <w:t>8.</w:t>
      </w:r>
      <w:r w:rsidRPr="0004363E">
        <w:rPr>
          <w:kern w:val="22"/>
          <w:szCs w:val="22"/>
        </w:rPr>
        <w:tab/>
      </w:r>
      <w:r w:rsidRPr="0004363E">
        <w:rPr>
          <w:i/>
          <w:iCs/>
          <w:kern w:val="22"/>
          <w:szCs w:val="22"/>
        </w:rPr>
        <w:t xml:space="preserve">Notes </w:t>
      </w:r>
      <w:r w:rsidRPr="0004363E">
        <w:rPr>
          <w:kern w:val="22"/>
          <w:szCs w:val="22"/>
        </w:rPr>
        <w:t>that the Economic and Social Council’s Sub-Committee o</w:t>
      </w:r>
      <w:r w:rsidRPr="00B04BE8">
        <w:rPr>
          <w:kern w:val="22"/>
          <w:szCs w:val="22"/>
        </w:rPr>
        <w:t xml:space="preserve">f Experts on the Transport of Dangerous Goods will consider including environmentally hazardous living organisms in chapter 2.9, class 9, of the United Nations </w:t>
      </w:r>
      <w:r w:rsidRPr="001D14FB">
        <w:rPr>
          <w:i/>
          <w:iCs/>
          <w:kern w:val="22"/>
          <w:szCs w:val="22"/>
        </w:rPr>
        <w:t>Recommendations on the Transport of Dangerous Goods - Model Regulations</w:t>
      </w:r>
      <w:r w:rsidRPr="00B04BE8">
        <w:rPr>
          <w:kern w:val="22"/>
          <w:szCs w:val="22"/>
        </w:rPr>
        <w:t>,</w:t>
      </w:r>
      <w:r w:rsidRPr="00610646">
        <w:rPr>
          <w:rStyle w:val="FootnoteReference"/>
        </w:rPr>
        <w:footnoteReference w:id="345"/>
      </w:r>
      <w:r w:rsidRPr="00B04BE8">
        <w:rPr>
          <w:kern w:val="22"/>
          <w:szCs w:val="22"/>
        </w:rPr>
        <w:t xml:space="preserve"> at its upcoming session, taking into account the risk of unintentional introduction of invasive alien species, including pathogens, in collaboration with the Inter-agency Liaison Group on Invasive Alien Species and other experts;</w:t>
      </w:r>
    </w:p>
    <w:p w14:paraId="0E5979E4" w14:textId="77777777" w:rsidR="007523D5" w:rsidRDefault="007523D5" w:rsidP="007C5A47">
      <w:pPr>
        <w:pBdr>
          <w:top w:val="nil"/>
          <w:left w:val="nil"/>
          <w:bottom w:val="nil"/>
          <w:right w:val="nil"/>
          <w:between w:val="nil"/>
          <w:bar w:val="nil"/>
        </w:pBdr>
        <w:spacing w:before="120" w:after="120"/>
        <w:ind w:firstLine="720"/>
        <w:rPr>
          <w:kern w:val="22"/>
          <w:szCs w:val="22"/>
        </w:rPr>
      </w:pPr>
      <w:r>
        <w:rPr>
          <w:kern w:val="22"/>
          <w:szCs w:val="22"/>
        </w:rPr>
        <w:t xml:space="preserve">9. </w:t>
      </w:r>
      <w:r>
        <w:rPr>
          <w:kern w:val="22"/>
          <w:szCs w:val="22"/>
        </w:rPr>
        <w:tab/>
      </w:r>
      <w:r w:rsidRPr="004F4DDA">
        <w:rPr>
          <w:i/>
          <w:iCs/>
          <w:kern w:val="22"/>
          <w:szCs w:val="22"/>
        </w:rPr>
        <w:t>Invites</w:t>
      </w:r>
      <w:r w:rsidRPr="00B04BE8">
        <w:rPr>
          <w:kern w:val="22"/>
          <w:szCs w:val="22"/>
        </w:rPr>
        <w:t xml:space="preserve"> Parties, other Governments and organizations to submit information to the Executive Secretary on experiences and relevant initiatives of horizon scanning, monitoring and managing emerging infectious diseases affecting biodiversity and, especially, the health of wild animals and plants, caused by alien pathogens or parasites and invasive alien species acting as vectors or hosts for pathogens or parasites;</w:t>
      </w:r>
    </w:p>
    <w:p w14:paraId="19A5CF7C"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Pr>
          <w:kern w:val="22"/>
          <w:szCs w:val="22"/>
        </w:rPr>
        <w:t xml:space="preserve">10. </w:t>
      </w:r>
      <w:r>
        <w:rPr>
          <w:i/>
          <w:iCs/>
          <w:kern w:val="22"/>
          <w:szCs w:val="22"/>
        </w:rPr>
        <w:tab/>
        <w:t>Takes note with appreciation</w:t>
      </w:r>
      <w:r>
        <w:rPr>
          <w:kern w:val="22"/>
          <w:szCs w:val="22"/>
        </w:rPr>
        <w:t xml:space="preserve"> of the ongoing work of the </w:t>
      </w:r>
      <w:r w:rsidRPr="00B37C06">
        <w:rPr>
          <w:kern w:val="22"/>
          <w:szCs w:val="22"/>
        </w:rPr>
        <w:t>Intergovernmental Science-Policy Platform on Biodiversity and Ecosystem Services</w:t>
      </w:r>
      <w:r>
        <w:rPr>
          <w:kern w:val="22"/>
          <w:szCs w:val="22"/>
        </w:rPr>
        <w:t xml:space="preserve"> on the thematic assessment of invasive alien species and their control;</w:t>
      </w:r>
    </w:p>
    <w:p w14:paraId="09158F9B"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1</w:t>
      </w:r>
      <w:r>
        <w:rPr>
          <w:kern w:val="22"/>
          <w:szCs w:val="22"/>
        </w:rPr>
        <w:t>1</w:t>
      </w:r>
      <w:r w:rsidRPr="00B04BE8">
        <w:rPr>
          <w:kern w:val="22"/>
          <w:szCs w:val="22"/>
        </w:rPr>
        <w:t>.</w:t>
      </w:r>
      <w:r w:rsidRPr="00B04BE8">
        <w:rPr>
          <w:kern w:val="22"/>
          <w:szCs w:val="22"/>
        </w:rPr>
        <w:tab/>
      </w:r>
      <w:r w:rsidRPr="00B04BE8">
        <w:rPr>
          <w:i/>
          <w:iCs/>
          <w:kern w:val="22"/>
          <w:szCs w:val="22"/>
        </w:rPr>
        <w:t>Invites</w:t>
      </w:r>
      <w:r w:rsidRPr="00B04BE8">
        <w:rPr>
          <w:kern w:val="22"/>
          <w:szCs w:val="22"/>
        </w:rPr>
        <w:t xml:space="preserve"> the Invasive Species Specialist Group of the International Union for Conservation of Nature</w:t>
      </w:r>
      <w:r w:rsidRPr="00B04BE8" w:rsidDel="006B5656">
        <w:rPr>
          <w:kern w:val="22"/>
          <w:szCs w:val="22"/>
        </w:rPr>
        <w:t xml:space="preserve"> </w:t>
      </w:r>
      <w:r w:rsidRPr="00B04BE8">
        <w:rPr>
          <w:kern w:val="22"/>
          <w:szCs w:val="22"/>
        </w:rPr>
        <w:t xml:space="preserve">to undertake assessments on the magnitude of the negative impacts from alien pathogens or parasites and invasive alien species that may transmit pathogens or parasites that may affect biodiversity </w:t>
      </w:r>
      <w:r w:rsidRPr="00B04BE8">
        <w:rPr>
          <w:kern w:val="22"/>
          <w:szCs w:val="22"/>
        </w:rPr>
        <w:lastRenderedPageBreak/>
        <w:t>and make the information available through the Global Invasive Species Database of the International Union for Conservation of Nature</w:t>
      </w:r>
      <w:r>
        <w:rPr>
          <w:kern w:val="22"/>
          <w:szCs w:val="22"/>
        </w:rPr>
        <w:t>, and other related databases</w:t>
      </w:r>
      <w:r w:rsidRPr="00B04BE8">
        <w:rPr>
          <w:kern w:val="22"/>
          <w:szCs w:val="22"/>
        </w:rPr>
        <w:t>;</w:t>
      </w:r>
    </w:p>
    <w:p w14:paraId="1B32F2B2" w14:textId="77777777" w:rsidR="007523D5" w:rsidRPr="003E0E07"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1</w:t>
      </w:r>
      <w:r>
        <w:rPr>
          <w:kern w:val="22"/>
          <w:szCs w:val="22"/>
        </w:rPr>
        <w:t>2</w:t>
      </w:r>
      <w:r w:rsidRPr="00B04BE8">
        <w:rPr>
          <w:kern w:val="22"/>
          <w:szCs w:val="22"/>
        </w:rPr>
        <w:t>.</w:t>
      </w:r>
      <w:r w:rsidRPr="00B04BE8">
        <w:rPr>
          <w:kern w:val="22"/>
          <w:szCs w:val="22"/>
        </w:rPr>
        <w:tab/>
      </w:r>
      <w:r w:rsidRPr="00B04BE8">
        <w:rPr>
          <w:i/>
          <w:iCs/>
          <w:kern w:val="22"/>
          <w:szCs w:val="22"/>
        </w:rPr>
        <w:t xml:space="preserve">Requests </w:t>
      </w:r>
      <w:r w:rsidRPr="00B04BE8">
        <w:rPr>
          <w:kern w:val="22"/>
          <w:szCs w:val="22"/>
        </w:rPr>
        <w:t>the</w:t>
      </w:r>
      <w:r w:rsidRPr="00B04BE8">
        <w:rPr>
          <w:i/>
          <w:iCs/>
          <w:kern w:val="22"/>
          <w:szCs w:val="22"/>
        </w:rPr>
        <w:t xml:space="preserve"> </w:t>
      </w:r>
      <w:r w:rsidRPr="00B04BE8">
        <w:rPr>
          <w:kern w:val="22"/>
          <w:szCs w:val="22"/>
        </w:rPr>
        <w:t>Executive Secretary, subject to the availability of resources:</w:t>
      </w:r>
      <w:r w:rsidRPr="003E0E07" w:rsidDel="00FF40BD">
        <w:rPr>
          <w:kern w:val="22"/>
          <w:szCs w:val="22"/>
        </w:rPr>
        <w:t xml:space="preserve"> </w:t>
      </w:r>
    </w:p>
    <w:p w14:paraId="0C9551C9" w14:textId="77777777" w:rsidR="007523D5" w:rsidRPr="0004363E"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(a)</w:t>
      </w:r>
      <w:r w:rsidRPr="00B04BE8">
        <w:rPr>
          <w:kern w:val="22"/>
          <w:szCs w:val="22"/>
        </w:rPr>
        <w:tab/>
      </w:r>
      <w:r w:rsidRPr="000B5578">
        <w:rPr>
          <w:kern w:val="22"/>
          <w:szCs w:val="22"/>
        </w:rPr>
        <w:t xml:space="preserve">To prepare </w:t>
      </w:r>
      <w:r w:rsidRPr="004F4DDA">
        <w:rPr>
          <w:kern w:val="22"/>
          <w:szCs w:val="22"/>
        </w:rPr>
        <w:t xml:space="preserve">a draft proposal to the Economic and Social </w:t>
      </w:r>
      <w:r w:rsidRPr="0004363E">
        <w:rPr>
          <w:kern w:val="22"/>
          <w:szCs w:val="22"/>
        </w:rPr>
        <w:t>Council’s Sub-Committee of Experts on the Transport of Dangerous Goods on a globally harmonized labelling system for consignments of environmentally hazardous living organisms or propagules, consistent and in harmony with the rules of the World Trade Organization and other international agreements and in consultation with the Inter-agency Liaison Group on Invasive Alien Species and the Secretariat of the Sub-Committee;</w:t>
      </w:r>
    </w:p>
    <w:p w14:paraId="576F4B8F" w14:textId="77777777" w:rsidR="007523D5" w:rsidRPr="0004363E" w:rsidRDefault="007523D5" w:rsidP="0007634C">
      <w:pPr>
        <w:pBdr>
          <w:top w:val="nil"/>
          <w:left w:val="nil"/>
          <w:bottom w:val="nil"/>
          <w:right w:val="nil"/>
          <w:between w:val="nil"/>
          <w:bar w:val="nil"/>
        </w:pBdr>
        <w:spacing w:before="120" w:after="120"/>
        <w:ind w:firstLine="720"/>
        <w:rPr>
          <w:kern w:val="22"/>
          <w:szCs w:val="22"/>
        </w:rPr>
      </w:pPr>
      <w:r w:rsidRPr="0004363E">
        <w:rPr>
          <w:kern w:val="22"/>
          <w:szCs w:val="22"/>
        </w:rPr>
        <w:t xml:space="preserve">(b) </w:t>
      </w:r>
      <w:r w:rsidRPr="0004363E">
        <w:rPr>
          <w:kern w:val="22"/>
          <w:szCs w:val="22"/>
        </w:rPr>
        <w:tab/>
        <w:t>To collaborate with the World Tourism Organization to consider joint efforts in addressing tourism, among the major sectors for introducing invasive alien species and the management thereof;</w:t>
      </w:r>
    </w:p>
    <w:p w14:paraId="63B287FC" w14:textId="77777777" w:rsidR="007523D5" w:rsidRPr="008A7453" w:rsidRDefault="007523D5" w:rsidP="007C5A47">
      <w:pPr>
        <w:pBdr>
          <w:top w:val="nil"/>
          <w:left w:val="nil"/>
          <w:bottom w:val="nil"/>
          <w:right w:val="nil"/>
          <w:between w:val="nil"/>
          <w:bar w:val="nil"/>
        </w:pBdr>
        <w:spacing w:before="120" w:after="120"/>
        <w:ind w:firstLine="720"/>
        <w:rPr>
          <w:kern w:val="22"/>
          <w:szCs w:val="22"/>
        </w:rPr>
      </w:pPr>
      <w:r w:rsidRPr="0004363E">
        <w:rPr>
          <w:kern w:val="22"/>
          <w:szCs w:val="22"/>
        </w:rPr>
        <w:t>(c)</w:t>
      </w:r>
      <w:r w:rsidRPr="0004363E">
        <w:rPr>
          <w:kern w:val="22"/>
          <w:szCs w:val="22"/>
        </w:rPr>
        <w:tab/>
        <w:t>To continue collaboration with the International Plant Pro</w:t>
      </w:r>
      <w:r w:rsidRPr="007E23D8">
        <w:rPr>
          <w:kern w:val="22"/>
          <w:szCs w:val="22"/>
        </w:rPr>
        <w:t xml:space="preserve">tection Convention, as well as other members of the Inter-agency Liaison Group on Invasive </w:t>
      </w:r>
      <w:r w:rsidRPr="003C1179">
        <w:rPr>
          <w:kern w:val="22"/>
          <w:szCs w:val="22"/>
        </w:rPr>
        <w:t xml:space="preserve">Alien </w:t>
      </w:r>
      <w:r w:rsidRPr="007E23D8">
        <w:rPr>
          <w:kern w:val="22"/>
          <w:szCs w:val="22"/>
        </w:rPr>
        <w:t>Species, towards developing a globally harmonized and operational voluntary guidance on the cleanliness of sea</w:t>
      </w:r>
      <w:r w:rsidRPr="008A7453">
        <w:rPr>
          <w:kern w:val="22"/>
          <w:szCs w:val="22"/>
        </w:rPr>
        <w:t xml:space="preserve"> containers and their cargos;</w:t>
      </w:r>
    </w:p>
    <w:p w14:paraId="5317C2FC" w14:textId="77777777" w:rsidR="007523D5" w:rsidRPr="001D14FB" w:rsidRDefault="007523D5" w:rsidP="007C5A47">
      <w:pPr>
        <w:pBdr>
          <w:top w:val="nil"/>
          <w:left w:val="nil"/>
          <w:bottom w:val="nil"/>
          <w:right w:val="nil"/>
          <w:between w:val="nil"/>
          <w:bar w:val="nil"/>
        </w:pBdr>
        <w:spacing w:before="120" w:after="120"/>
        <w:ind w:firstLine="720"/>
        <w:rPr>
          <w:i/>
          <w:kern w:val="22"/>
        </w:rPr>
      </w:pPr>
      <w:r w:rsidRPr="008A7453">
        <w:rPr>
          <w:kern w:val="22"/>
          <w:szCs w:val="22"/>
        </w:rPr>
        <w:t>(d)</w:t>
      </w:r>
      <w:r w:rsidRPr="008A7453">
        <w:rPr>
          <w:kern w:val="22"/>
          <w:szCs w:val="22"/>
        </w:rPr>
        <w:tab/>
        <w:t>To continue and enhance collaboration with members of the Inter-agency Liaison Group on Invasive Alien Species, including with</w:t>
      </w:r>
      <w:r w:rsidRPr="00B04BE8">
        <w:rPr>
          <w:kern w:val="22"/>
          <w:szCs w:val="22"/>
        </w:rPr>
        <w:t xml:space="preserve"> a view to determining how approaches for the prevention, control and management of invasive alien species may be usefully applied to biological invasions of pathogenic agents, in particular zoonotic pathogens;</w:t>
      </w:r>
    </w:p>
    <w:p w14:paraId="51A021BA"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w:t>
      </w:r>
      <w:r>
        <w:rPr>
          <w:kern w:val="22"/>
          <w:szCs w:val="22"/>
        </w:rPr>
        <w:t>e</w:t>
      </w:r>
      <w:r w:rsidRPr="00B04BE8">
        <w:rPr>
          <w:kern w:val="22"/>
          <w:szCs w:val="22"/>
        </w:rPr>
        <w:t>)</w:t>
      </w:r>
      <w:r w:rsidRPr="00B04BE8">
        <w:rPr>
          <w:kern w:val="22"/>
          <w:szCs w:val="22"/>
        </w:rPr>
        <w:tab/>
        <w:t>To develop, on the basis of the national reports and in cooperation with the Inter</w:t>
      </w:r>
      <w:r w:rsidRPr="00B04BE8">
        <w:rPr>
          <w:kern w:val="22"/>
          <w:szCs w:val="22"/>
        </w:rPr>
        <w:noBreakHyphen/>
        <w:t>agency Liaison Group on Invasive Alien Species and other relevant organizations, advice on the evaluation of existing capacity and needs for monitoring, preventing and controlling the introduction and spread of invasive alien species and their harmful effects to biodiversity,</w:t>
      </w:r>
      <w:r>
        <w:rPr>
          <w:kern w:val="22"/>
          <w:szCs w:val="22"/>
        </w:rPr>
        <w:t xml:space="preserve"> taking into account relevant multilateral instruments, </w:t>
      </w:r>
      <w:r w:rsidRPr="00B04BE8">
        <w:rPr>
          <w:kern w:val="22"/>
          <w:szCs w:val="22"/>
        </w:rPr>
        <w:t xml:space="preserve">and thereafter as relevant, update the online toolkit on invasive alien species of the Convention on Biological Diversity and develop additional training materials for such topics as management of priority species and pathways of introduction, identification and management of priority </w:t>
      </w:r>
      <w:r w:rsidRPr="00C94C05">
        <w:rPr>
          <w:kern w:val="22"/>
          <w:szCs w:val="22"/>
        </w:rPr>
        <w:t>areas, as well as the application of international data standards in national and regional databases containing information on</w:t>
      </w:r>
      <w:r w:rsidRPr="00B04BE8">
        <w:rPr>
          <w:kern w:val="22"/>
          <w:szCs w:val="22"/>
        </w:rPr>
        <w:t xml:space="preserve"> invasive alien species;</w:t>
      </w:r>
    </w:p>
    <w:p w14:paraId="073AB0CB" w14:textId="77777777" w:rsidR="007523D5" w:rsidRPr="00B04BE8" w:rsidRDefault="007523D5" w:rsidP="007C5A47">
      <w:pPr>
        <w:pBdr>
          <w:top w:val="nil"/>
          <w:left w:val="nil"/>
          <w:bottom w:val="nil"/>
          <w:right w:val="nil"/>
          <w:between w:val="nil"/>
          <w:bar w:val="nil"/>
        </w:pBdr>
        <w:spacing w:before="120" w:after="120"/>
        <w:ind w:firstLine="720"/>
        <w:rPr>
          <w:kern w:val="22"/>
          <w:szCs w:val="22"/>
        </w:rPr>
      </w:pPr>
      <w:r w:rsidRPr="00B04BE8">
        <w:rPr>
          <w:kern w:val="22"/>
          <w:szCs w:val="22"/>
        </w:rPr>
        <w:t>(</w:t>
      </w:r>
      <w:r>
        <w:rPr>
          <w:kern w:val="22"/>
          <w:szCs w:val="22"/>
        </w:rPr>
        <w:t>f</w:t>
      </w:r>
      <w:r w:rsidRPr="00B04BE8">
        <w:rPr>
          <w:kern w:val="22"/>
          <w:szCs w:val="22"/>
        </w:rPr>
        <w:t>)</w:t>
      </w:r>
      <w:r w:rsidRPr="00B04BE8">
        <w:rPr>
          <w:kern w:val="22"/>
          <w:szCs w:val="22"/>
        </w:rPr>
        <w:tab/>
        <w:t>To collaborate with members of the Inter-agency Liaison Group on Invasive Alien Species and other relevant organizations, with a view to identifying gaps in knowledge, monitoring, and management of emerging infectious diseases affecting biodiversity and human health that relate to or are facilitated by invasive alien species, and to propose measures for mitigating and minimizing the negative effects on biodiversity and human health and preventing the further introduction and spread of relevant invasive alien species;</w:t>
      </w:r>
    </w:p>
    <w:p w14:paraId="719D1583" w14:textId="77777777" w:rsidR="007523D5" w:rsidRDefault="007523D5" w:rsidP="007C5A47">
      <w:pPr>
        <w:spacing w:before="120" w:after="120"/>
        <w:ind w:firstLine="720"/>
        <w:rPr>
          <w:kern w:val="22"/>
          <w:szCs w:val="22"/>
        </w:rPr>
      </w:pPr>
      <w:r w:rsidRPr="00B04BE8">
        <w:rPr>
          <w:kern w:val="22"/>
          <w:szCs w:val="22"/>
        </w:rPr>
        <w:t>(</w:t>
      </w:r>
      <w:r>
        <w:rPr>
          <w:kern w:val="22"/>
          <w:szCs w:val="22"/>
        </w:rPr>
        <w:t>g</w:t>
      </w:r>
      <w:r w:rsidRPr="00B04BE8">
        <w:rPr>
          <w:kern w:val="22"/>
          <w:szCs w:val="22"/>
        </w:rPr>
        <w:t>)</w:t>
      </w:r>
      <w:r w:rsidRPr="00B04BE8">
        <w:rPr>
          <w:kern w:val="22"/>
          <w:szCs w:val="22"/>
        </w:rPr>
        <w:tab/>
        <w:t>To report the progress on the above to the Subsidiary Body on Scientific, Technical and Technological Advice prior to the sixteenth meeting of the Conference of the Parties.</w:t>
      </w:r>
    </w:p>
    <w:p w14:paraId="26045498" w14:textId="77777777" w:rsidR="007523D5" w:rsidRPr="0027619F" w:rsidRDefault="007523D5" w:rsidP="00E643B3">
      <w:pPr>
        <w:keepNext/>
        <w:suppressLineNumbers/>
        <w:suppressAutoHyphens/>
        <w:spacing w:before="120" w:after="120"/>
        <w:jc w:val="center"/>
        <w:rPr>
          <w:rFonts w:asciiTheme="majorBidi" w:hAnsiTheme="majorBidi" w:cstheme="majorBidi"/>
          <w:i/>
          <w:snapToGrid w:val="0"/>
          <w:kern w:val="22"/>
          <w:szCs w:val="22"/>
        </w:rPr>
      </w:pPr>
      <w:bookmarkStart w:id="315" w:name="_Toc118355048"/>
      <w:r w:rsidRPr="0027619F">
        <w:rPr>
          <w:rFonts w:asciiTheme="majorBidi" w:hAnsiTheme="majorBidi" w:cstheme="majorBidi"/>
          <w:i/>
          <w:snapToGrid w:val="0"/>
          <w:kern w:val="22"/>
          <w:szCs w:val="22"/>
        </w:rPr>
        <w:t>Annex I</w:t>
      </w:r>
      <w:bookmarkEnd w:id="315"/>
    </w:p>
    <w:p w14:paraId="0F2E207E" w14:textId="77777777" w:rsidR="007523D5" w:rsidRPr="0027619F" w:rsidRDefault="007523D5" w:rsidP="00E643B3">
      <w:pPr>
        <w:keepNext/>
        <w:suppressLineNumbers/>
        <w:suppressAutoHyphens/>
        <w:spacing w:after="120"/>
        <w:jc w:val="center"/>
        <w:rPr>
          <w:rFonts w:asciiTheme="majorBidi" w:hAnsiTheme="majorBidi" w:cstheme="majorBidi"/>
          <w:b/>
          <w:caps/>
          <w:kern w:val="22"/>
        </w:rPr>
      </w:pPr>
      <w:bookmarkStart w:id="316" w:name="_Toc118355049"/>
      <w:r w:rsidRPr="0027619F">
        <w:rPr>
          <w:rFonts w:asciiTheme="majorBidi" w:hAnsiTheme="majorBidi" w:cstheme="majorBidi"/>
          <w:b/>
          <w:caps/>
          <w:kern w:val="22"/>
        </w:rPr>
        <w:t>Draft methods for cost-benefit and cost-effectiveness analysis which best apply to the management of invasive alien species</w:t>
      </w:r>
      <w:bookmarkEnd w:id="316"/>
    </w:p>
    <w:p w14:paraId="77A12A02" w14:textId="77777777" w:rsidR="007523D5" w:rsidRPr="00D9073D" w:rsidRDefault="007523D5" w:rsidP="007C5A47">
      <w:pPr>
        <w:keepNext/>
        <w:suppressLineNumbers/>
        <w:suppressAutoHyphens/>
        <w:spacing w:after="120"/>
        <w:jc w:val="center"/>
        <w:rPr>
          <w:rFonts w:asciiTheme="majorBidi" w:hAnsiTheme="majorBidi" w:cstheme="majorBidi"/>
          <w:b/>
          <w:caps/>
          <w:kern w:val="22"/>
        </w:rPr>
      </w:pPr>
      <w:r w:rsidRPr="00D9073D">
        <w:rPr>
          <w:rFonts w:asciiTheme="majorBidi" w:hAnsiTheme="majorBidi" w:cstheme="majorBidi"/>
          <w:b/>
          <w:caps/>
          <w:kern w:val="22"/>
        </w:rPr>
        <w:t>(Provisional advice pursuant to decision 14/11, annex II, paragraph 1 (a)</w:t>
      </w:r>
    </w:p>
    <w:p w14:paraId="7CD57D51" w14:textId="77777777" w:rsidR="007523D5" w:rsidRPr="00D9073D" w:rsidRDefault="007523D5" w:rsidP="007C5A47">
      <w:pPr>
        <w:suppressLineNumbers/>
        <w:suppressAutoHyphens/>
        <w:spacing w:before="120" w:after="120"/>
        <w:rPr>
          <w:rFonts w:asciiTheme="majorBidi" w:hAnsiTheme="majorBidi" w:cstheme="majorBidi"/>
          <w:szCs w:val="22"/>
        </w:rPr>
      </w:pPr>
      <w:r w:rsidRPr="00D9073D">
        <w:rPr>
          <w:rFonts w:asciiTheme="majorBidi" w:hAnsiTheme="majorBidi" w:cstheme="majorBidi"/>
          <w:szCs w:val="22"/>
        </w:rPr>
        <w:t>1.</w:t>
      </w:r>
      <w:r w:rsidRPr="00D9073D">
        <w:rPr>
          <w:rFonts w:asciiTheme="majorBidi" w:hAnsiTheme="majorBidi" w:cstheme="majorBidi"/>
          <w:szCs w:val="22"/>
        </w:rPr>
        <w:tab/>
      </w:r>
      <w:r w:rsidRPr="00D9073D">
        <w:rPr>
          <w:rFonts w:asciiTheme="majorBidi" w:hAnsiTheme="majorBidi" w:cstheme="majorBidi"/>
          <w:kern w:val="22"/>
          <w:szCs w:val="22"/>
        </w:rPr>
        <w:t>Aichi Biodiversity Target 9 states the need for invasive alien species and pathways to be identified and prioritized and for priority species to be controlled or eradicated. The extended technical rationale for this target (</w:t>
      </w:r>
      <w:r w:rsidRPr="00305DF6">
        <w:rPr>
          <w:rFonts w:asciiTheme="majorBidi" w:hAnsiTheme="majorBidi" w:cstheme="majorBidi"/>
          <w:kern w:val="22"/>
          <w:szCs w:val="22"/>
        </w:rPr>
        <w:t>UNEP/</w:t>
      </w:r>
      <w:r w:rsidRPr="00D9073D">
        <w:rPr>
          <w:rFonts w:asciiTheme="majorBidi" w:hAnsiTheme="majorBidi" w:cstheme="majorBidi"/>
          <w:kern w:val="22"/>
          <w:szCs w:val="22"/>
        </w:rPr>
        <w:t>CBD/COP/10/INF/12/Rev.1) includes the statement that “</w:t>
      </w:r>
      <w:r w:rsidRPr="00D9073D">
        <w:rPr>
          <w:rFonts w:asciiTheme="majorBidi" w:hAnsiTheme="majorBidi" w:cstheme="majorBidi"/>
          <w:kern w:val="22"/>
          <w:szCs w:val="22"/>
          <w:shd w:val="clear" w:color="auto" w:fill="FFFFFF"/>
        </w:rPr>
        <w:t>Given the multiple pathways for invasive species introductions and that multiple alien species are already present in many countries, it will be necessary to prioritize control and eradication efforts to those species and pathways which will have the greatest impact on biodiversity and/or which are the most resource effective to address.” Accordingly, a clear need exists to develop methods to prioritize invasive alien species and the active management thereof.</w:t>
      </w:r>
    </w:p>
    <w:p w14:paraId="25359087" w14:textId="77777777" w:rsidR="007523D5" w:rsidRPr="00D9073D" w:rsidRDefault="007523D5" w:rsidP="007C5A47">
      <w:pPr>
        <w:pStyle w:val="ListParagraph"/>
        <w:suppressLineNumbers/>
        <w:suppressAutoHyphens/>
        <w:spacing w:before="120" w:after="120"/>
        <w:ind w:left="0"/>
        <w:contextualSpacing w:val="0"/>
        <w:rPr>
          <w:rFonts w:asciiTheme="majorBidi" w:hAnsiTheme="majorBidi" w:cstheme="majorBidi"/>
          <w:kern w:val="22"/>
          <w:szCs w:val="22"/>
        </w:rPr>
      </w:pPr>
      <w:r w:rsidRPr="00D9073D">
        <w:rPr>
          <w:rFonts w:asciiTheme="majorBidi" w:hAnsiTheme="majorBidi" w:cstheme="majorBidi"/>
          <w:kern w:val="22"/>
          <w:szCs w:val="22"/>
        </w:rPr>
        <w:lastRenderedPageBreak/>
        <w:t>2.</w:t>
      </w:r>
      <w:r w:rsidRPr="00D9073D">
        <w:rPr>
          <w:rFonts w:asciiTheme="majorBidi" w:hAnsiTheme="majorBidi" w:cstheme="majorBidi"/>
          <w:kern w:val="22"/>
          <w:szCs w:val="22"/>
        </w:rPr>
        <w:tab/>
        <w:t>Established cost-benefit and cost-effectiveness methods are widely available and already in use in some regions to assist invasive alien species management decision-making, including prioritization. However, these existing analyses typically require detailed information, for example on costs, and may need technical expertise to apply. Including consideration of biodiversity, animal welfare and public acceptability in cost-benefit analyses can also be problematic as, although possible, these are often difficult to represent in simple financial terms.</w:t>
      </w:r>
    </w:p>
    <w:p w14:paraId="12F64783" w14:textId="77777777" w:rsidR="007523D5" w:rsidRPr="00D9073D" w:rsidRDefault="007523D5" w:rsidP="007C5A47">
      <w:pPr>
        <w:pStyle w:val="ListParagraph"/>
        <w:suppressLineNumbers/>
        <w:suppressAutoHyphens/>
        <w:spacing w:before="120" w:after="120"/>
        <w:ind w:left="0"/>
        <w:contextualSpacing w:val="0"/>
        <w:rPr>
          <w:rFonts w:asciiTheme="majorBidi" w:hAnsiTheme="majorBidi" w:cstheme="majorBidi"/>
          <w:kern w:val="22"/>
          <w:szCs w:val="22"/>
        </w:rPr>
      </w:pPr>
      <w:r w:rsidRPr="00D9073D">
        <w:rPr>
          <w:rFonts w:asciiTheme="majorBidi" w:hAnsiTheme="majorBidi" w:cstheme="majorBidi"/>
          <w:kern w:val="22"/>
          <w:szCs w:val="22"/>
        </w:rPr>
        <w:t>3.</w:t>
      </w:r>
      <w:r w:rsidRPr="00D9073D">
        <w:rPr>
          <w:rFonts w:asciiTheme="majorBidi" w:hAnsiTheme="majorBidi" w:cstheme="majorBidi"/>
          <w:kern w:val="22"/>
          <w:szCs w:val="22"/>
        </w:rPr>
        <w:tab/>
        <w:t>The final decision to eradicate or manage an invasive alien species carries significant costs and risks. While these rapid methods may produce “short lists” of priority species to consider for management, more detailed pilot studies and economic assessments are recommended before commitments to management are made.</w:t>
      </w:r>
    </w:p>
    <w:p w14:paraId="0D223679" w14:textId="77777777" w:rsidR="007523D5" w:rsidRPr="00D9073D" w:rsidRDefault="007523D5" w:rsidP="007C5A47">
      <w:pPr>
        <w:pStyle w:val="ListParagraph"/>
        <w:suppressLineNumbers/>
        <w:suppressAutoHyphens/>
        <w:spacing w:before="120" w:after="120"/>
        <w:ind w:left="0"/>
        <w:contextualSpacing w:val="0"/>
        <w:rPr>
          <w:rFonts w:asciiTheme="majorBidi" w:hAnsiTheme="majorBidi" w:cstheme="majorBidi"/>
          <w:kern w:val="22"/>
          <w:szCs w:val="22"/>
        </w:rPr>
      </w:pPr>
      <w:r w:rsidRPr="00D9073D">
        <w:rPr>
          <w:rFonts w:asciiTheme="majorBidi" w:hAnsiTheme="majorBidi" w:cstheme="majorBidi"/>
          <w:kern w:val="22"/>
          <w:szCs w:val="22"/>
        </w:rPr>
        <w:t>4.</w:t>
      </w:r>
      <w:r w:rsidRPr="00D9073D">
        <w:rPr>
          <w:rFonts w:asciiTheme="majorBidi" w:hAnsiTheme="majorBidi" w:cstheme="majorBidi"/>
          <w:kern w:val="22"/>
          <w:szCs w:val="22"/>
        </w:rPr>
        <w:tab/>
        <w:t>To support risk management, methods may be required when large numbers of species need to be rapidly assessed, where detailed information is often lacking and where non-monetary based inputs on social and cultural values are required.</w:t>
      </w:r>
    </w:p>
    <w:p w14:paraId="7490772D" w14:textId="77777777" w:rsidR="007523D5" w:rsidRPr="00D9073D" w:rsidRDefault="007523D5" w:rsidP="007C5A47">
      <w:pPr>
        <w:pStyle w:val="heading2notforTOC"/>
        <w:outlineLvl w:val="9"/>
        <w:rPr>
          <w:i w:val="0"/>
          <w:iCs w:val="0"/>
          <w:szCs w:val="22"/>
        </w:rPr>
      </w:pPr>
      <w:r w:rsidRPr="00D9073D">
        <w:rPr>
          <w:szCs w:val="22"/>
        </w:rPr>
        <w:t>A.</w:t>
      </w:r>
      <w:r w:rsidRPr="00D9073D">
        <w:rPr>
          <w:szCs w:val="22"/>
        </w:rPr>
        <w:tab/>
        <w:t>Multi-criteria methods</w:t>
      </w:r>
    </w:p>
    <w:p w14:paraId="6538F487" w14:textId="77777777" w:rsidR="007523D5" w:rsidRPr="00D9073D" w:rsidRDefault="007523D5"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kern w:val="22"/>
          <w:szCs w:val="22"/>
        </w:rPr>
        <w:t>5.</w:t>
      </w:r>
      <w:r w:rsidRPr="00D9073D">
        <w:rPr>
          <w:rFonts w:asciiTheme="majorBidi" w:hAnsiTheme="majorBidi" w:cstheme="majorBidi"/>
          <w:kern w:val="22"/>
          <w:szCs w:val="22"/>
        </w:rPr>
        <w:tab/>
        <w:t>Multi-criteria methods can be used in circumstances where more detailed, but data-hungry approaches, such as cost-benefit analysis, may be impractical. Multi-criteria methods provide a route to the rapid assessment of options and are already widely used to support invasive alien species decision</w:t>
      </w:r>
      <w:r w:rsidRPr="00D9073D">
        <w:rPr>
          <w:rFonts w:asciiTheme="majorBidi" w:hAnsiTheme="majorBidi" w:cstheme="majorBidi"/>
          <w:kern w:val="22"/>
          <w:szCs w:val="22"/>
        </w:rPr>
        <w:noBreakHyphen/>
        <w:t>making – for example through the risk assessment process. There is scope to use multi-criteria methods more widely to support decision</w:t>
      </w:r>
      <w:r w:rsidRPr="00D9073D">
        <w:rPr>
          <w:rFonts w:asciiTheme="majorBidi" w:hAnsiTheme="majorBidi" w:cstheme="majorBidi"/>
          <w:kern w:val="22"/>
          <w:szCs w:val="22"/>
        </w:rPr>
        <w:noBreakHyphen/>
        <w:t>making to answer questions such as how to prioritize species for management, when to choose between prevention, eradication or long-term management objectives, how to produce rapid assessments of large numbers of species, or how to compare the feasibility of different management options?</w:t>
      </w:r>
    </w:p>
    <w:p w14:paraId="5509D08F" w14:textId="77777777" w:rsidR="007523D5" w:rsidRPr="00D9073D" w:rsidRDefault="007523D5"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kern w:val="22"/>
          <w:szCs w:val="22"/>
        </w:rPr>
        <w:t>6.</w:t>
      </w:r>
      <w:r w:rsidRPr="00D9073D">
        <w:rPr>
          <w:rFonts w:asciiTheme="majorBidi" w:hAnsiTheme="majorBidi" w:cstheme="majorBidi"/>
          <w:kern w:val="22"/>
          <w:szCs w:val="22"/>
        </w:rPr>
        <w:tab/>
        <w:t>Multi-criteria decision-making is concerned with structuring and solving decision and planning problems involving multiple criteria. By breaking problems down into their different components they can be used to assess decisions in a transparent and rational manner, they can be rapidly applied to large numbers of cases, and by using expert opinion, or the knowledge of indigenous peoples and local communities with their prior and informed consent, free prior and informed consent or approval and involvement, they can still be applied where published information is lacking. These modelling and methodological tools are designed to find optimal solutions to complex problems where assessment criteria or data are measured in different currencies.</w:t>
      </w:r>
    </w:p>
    <w:p w14:paraId="7492DEE7" w14:textId="77777777" w:rsidR="007523D5" w:rsidRPr="00D9073D" w:rsidRDefault="007523D5"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kern w:val="22"/>
          <w:szCs w:val="22"/>
        </w:rPr>
        <w:t>7.</w:t>
      </w:r>
      <w:r w:rsidRPr="00D9073D">
        <w:rPr>
          <w:rFonts w:asciiTheme="majorBidi" w:hAnsiTheme="majorBidi" w:cstheme="majorBidi"/>
          <w:kern w:val="22"/>
          <w:szCs w:val="22"/>
        </w:rPr>
        <w:tab/>
        <w:t>Because multi-criteria approaches often operate in the absence of published data, this may raise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complement each other, for example an initial prioritization based on a large number of options may be undertaken using a multi-criteria approach, but the proposed priorities may then be more fully assessed using a more rigorous approach such as cost-benefit before resources are committed.</w:t>
      </w:r>
    </w:p>
    <w:p w14:paraId="417E45C5" w14:textId="77777777" w:rsidR="007523D5" w:rsidRPr="00D9073D" w:rsidRDefault="007523D5" w:rsidP="007C5A47">
      <w:pPr>
        <w:pStyle w:val="heading2notforTOC"/>
        <w:outlineLvl w:val="9"/>
        <w:rPr>
          <w:i w:val="0"/>
          <w:iCs w:val="0"/>
          <w:szCs w:val="22"/>
        </w:rPr>
      </w:pPr>
      <w:r w:rsidRPr="00D9073D">
        <w:rPr>
          <w:szCs w:val="22"/>
        </w:rPr>
        <w:t>B.</w:t>
      </w:r>
      <w:r w:rsidRPr="00D9073D">
        <w:rPr>
          <w:szCs w:val="22"/>
        </w:rPr>
        <w:tab/>
        <w:t>Advice for actions</w:t>
      </w:r>
    </w:p>
    <w:p w14:paraId="2447682A" w14:textId="77777777" w:rsidR="007523D5" w:rsidRPr="00D9073D" w:rsidRDefault="007523D5" w:rsidP="007C5A47">
      <w:pPr>
        <w:suppressLineNumbers/>
        <w:suppressAutoHyphens/>
        <w:spacing w:before="120" w:after="120"/>
        <w:rPr>
          <w:rFonts w:asciiTheme="majorBidi" w:hAnsiTheme="majorBidi" w:cstheme="majorBidi"/>
          <w:kern w:val="22"/>
          <w:szCs w:val="22"/>
          <w:bdr w:val="nil"/>
        </w:rPr>
      </w:pPr>
      <w:r w:rsidRPr="00D9073D">
        <w:rPr>
          <w:rFonts w:asciiTheme="majorBidi" w:hAnsiTheme="majorBidi" w:cstheme="majorBidi"/>
          <w:kern w:val="22"/>
          <w:szCs w:val="22"/>
          <w:u w:color="000000"/>
          <w:bdr w:val="nil"/>
        </w:rPr>
        <w:t>8.</w:t>
      </w:r>
      <w:r w:rsidRPr="00D9073D">
        <w:rPr>
          <w:rFonts w:asciiTheme="majorBidi" w:hAnsiTheme="majorBidi" w:cstheme="majorBidi"/>
          <w:kern w:val="22"/>
          <w:szCs w:val="22"/>
          <w:u w:color="000000"/>
          <w:bdr w:val="nil"/>
        </w:rPr>
        <w:tab/>
      </w:r>
      <w:r w:rsidRPr="00305DF6">
        <w:rPr>
          <w:rFonts w:asciiTheme="majorBidi" w:hAnsiTheme="majorBidi" w:cstheme="majorBidi"/>
          <w:kern w:val="22"/>
          <w:szCs w:val="22"/>
          <w:bdr w:val="nil"/>
        </w:rPr>
        <w:t>C</w:t>
      </w:r>
      <w:r w:rsidRPr="00D9073D">
        <w:rPr>
          <w:rFonts w:asciiTheme="majorBidi" w:hAnsiTheme="majorBidi" w:cstheme="majorBidi"/>
          <w:kern w:val="22"/>
          <w:szCs w:val="22"/>
          <w:bdr w:val="nil"/>
        </w:rPr>
        <w:t>oordinated national, subnational and local response strategies should be developed to minimize incursions and impacts of invasive alien species, such as national, subnational and local invasive species strategies and action plans as a part of national, subnational and local biodiversity strategies and action plans. This could include strengthening and coordinating existing programmes, identifying and filling gaps with new initiatives, and building on the strengths and capacities of partner organizations, including academia and scientific institutions, indigenous peoples and local communities and women and youth at the national, regional and local levels.</w:t>
      </w:r>
    </w:p>
    <w:p w14:paraId="6273E5AD" w14:textId="77777777" w:rsidR="007523D5" w:rsidRPr="00D9073D" w:rsidRDefault="007523D5"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color w:val="000000"/>
          <w:kern w:val="22"/>
          <w:szCs w:val="22"/>
          <w:u w:color="000000"/>
          <w:bdr w:val="nil"/>
        </w:rPr>
        <w:t>9.</w:t>
      </w:r>
      <w:r w:rsidRPr="00D9073D">
        <w:rPr>
          <w:rFonts w:asciiTheme="majorBidi" w:hAnsiTheme="majorBidi" w:cstheme="majorBidi"/>
          <w:color w:val="000000"/>
          <w:kern w:val="22"/>
          <w:szCs w:val="22"/>
          <w:u w:color="000000"/>
          <w:bdr w:val="nil"/>
        </w:rPr>
        <w:tab/>
      </w:r>
      <w:r w:rsidRPr="00D9073D">
        <w:rPr>
          <w:rFonts w:asciiTheme="majorBidi" w:hAnsiTheme="majorBidi" w:cstheme="majorBidi"/>
          <w:kern w:val="22"/>
          <w:szCs w:val="22"/>
          <w:u w:color="000000"/>
          <w:bdr w:val="nil"/>
        </w:rPr>
        <w:t xml:space="preserve">The best </w:t>
      </w:r>
      <w:r w:rsidRPr="00D9073D">
        <w:rPr>
          <w:rFonts w:asciiTheme="majorBidi" w:hAnsiTheme="majorBidi" w:cstheme="majorBidi"/>
          <w:color w:val="000000"/>
          <w:kern w:val="22"/>
          <w:szCs w:val="22"/>
          <w:u w:color="000000"/>
          <w:bdr w:val="nil"/>
        </w:rPr>
        <w:t xml:space="preserve">available prioritization methods should be applied to prioritize management of dispersal pathways of invasive alien species within as well as between countries, and for assessing feasibility and cost-effectiveness. </w:t>
      </w:r>
      <w:r w:rsidRPr="00D9073D">
        <w:rPr>
          <w:rFonts w:asciiTheme="majorBidi" w:hAnsiTheme="majorBidi" w:cstheme="majorBidi"/>
          <w:kern w:val="22"/>
          <w:szCs w:val="22"/>
          <w:u w:color="000000"/>
          <w:bdr w:val="nil"/>
        </w:rPr>
        <w:t xml:space="preserve">These </w:t>
      </w:r>
      <w:r w:rsidRPr="00D9073D">
        <w:rPr>
          <w:rFonts w:asciiTheme="majorBidi" w:eastAsiaTheme="majorEastAsia" w:hAnsiTheme="majorBidi" w:cstheme="majorBidi"/>
          <w:kern w:val="22"/>
          <w:szCs w:val="22"/>
          <w:bdr w:val="nil"/>
        </w:rPr>
        <w:t xml:space="preserve">methods </w:t>
      </w:r>
      <w:r w:rsidRPr="00D9073D">
        <w:rPr>
          <w:rFonts w:asciiTheme="majorBidi" w:hAnsiTheme="majorBidi" w:cstheme="majorBidi"/>
          <w:kern w:val="22"/>
          <w:szCs w:val="22"/>
        </w:rPr>
        <w:t xml:space="preserve">should </w:t>
      </w:r>
      <w:r w:rsidRPr="00D9073D">
        <w:rPr>
          <w:rFonts w:asciiTheme="majorBidi" w:eastAsiaTheme="majorEastAsia" w:hAnsiTheme="majorBidi" w:cstheme="majorBidi"/>
          <w:kern w:val="22"/>
          <w:szCs w:val="22"/>
          <w:bdr w:val="nil"/>
        </w:rPr>
        <w:t xml:space="preserve">be in a form compatible </w:t>
      </w:r>
      <w:r w:rsidRPr="00305DF6">
        <w:rPr>
          <w:rFonts w:asciiTheme="majorBidi" w:eastAsiaTheme="majorEastAsia" w:hAnsiTheme="majorBidi" w:cstheme="majorBidi"/>
          <w:kern w:val="22"/>
          <w:szCs w:val="22"/>
          <w:bdr w:val="nil"/>
        </w:rPr>
        <w:t xml:space="preserve">with </w:t>
      </w:r>
      <w:r w:rsidRPr="00D9073D">
        <w:rPr>
          <w:rFonts w:asciiTheme="majorBidi" w:eastAsiaTheme="majorEastAsia" w:hAnsiTheme="majorBidi" w:cstheme="majorBidi"/>
          <w:kern w:val="22"/>
          <w:szCs w:val="22"/>
          <w:bdr w:val="nil"/>
        </w:rPr>
        <w:t xml:space="preserve">and complementary to existing </w:t>
      </w:r>
      <w:r w:rsidRPr="00D9073D">
        <w:rPr>
          <w:rFonts w:asciiTheme="majorBidi" w:eastAsiaTheme="majorEastAsia" w:hAnsiTheme="majorBidi" w:cstheme="majorBidi"/>
          <w:kern w:val="22"/>
          <w:szCs w:val="22"/>
          <w:bdr w:val="nil"/>
        </w:rPr>
        <w:lastRenderedPageBreak/>
        <w:t>approaches to risk assessment.</w:t>
      </w:r>
      <w:r w:rsidRPr="00D9073D">
        <w:rPr>
          <w:rFonts w:asciiTheme="majorBidi" w:hAnsiTheme="majorBidi" w:cstheme="majorBidi"/>
          <w:kern w:val="22"/>
          <w:szCs w:val="22"/>
        </w:rPr>
        <w:t xml:space="preserve"> Methods used for risk-prioritization of invasive alien species include cost-benefit, cost-effectiveness and risk analysis. However, the detailed information required to undertake cost-benefit and cost-effectiveness analyses are often in short supply or uncertain, and these analyses require sufficient technical expertise. A number of science-based prioritization methodologies for invasive alien species, horizon-scanning, and impact and management for single or multiple types of invasive alien species have been developed by Parties or independent international science teams and are worth consideration by other countries.</w:t>
      </w:r>
    </w:p>
    <w:p w14:paraId="133F168F" w14:textId="77777777" w:rsidR="007523D5" w:rsidRPr="00D9073D" w:rsidRDefault="007523D5" w:rsidP="007C5A47">
      <w:pPr>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 xml:space="preserve">10. </w:t>
      </w:r>
      <w:r w:rsidRPr="00D9073D">
        <w:rPr>
          <w:rFonts w:asciiTheme="majorBidi" w:hAnsiTheme="majorBidi" w:cstheme="majorBidi"/>
          <w:kern w:val="22"/>
        </w:rPr>
        <w:tab/>
        <w:t>Knowledge exchange should be promoted, as well as training and capacity-building to apply the best available prioritization methods consistently across environments.</w:t>
      </w:r>
    </w:p>
    <w:p w14:paraId="76513753" w14:textId="77777777" w:rsidR="007523D5" w:rsidRPr="00D9073D" w:rsidRDefault="007523D5" w:rsidP="007C5A47">
      <w:pPr>
        <w:suppressLineNumbers/>
        <w:suppressAutoHyphens/>
        <w:spacing w:before="120" w:after="120"/>
        <w:rPr>
          <w:rFonts w:asciiTheme="majorBidi" w:hAnsiTheme="majorBidi" w:cstheme="majorBidi"/>
          <w:kern w:val="22"/>
        </w:rPr>
      </w:pPr>
      <w:r w:rsidRPr="00D9073D">
        <w:rPr>
          <w:rFonts w:asciiTheme="majorBidi" w:eastAsiaTheme="majorEastAsia" w:hAnsiTheme="majorBidi" w:cstheme="majorBidi"/>
          <w:kern w:val="22"/>
        </w:rPr>
        <w:t>11.</w:t>
      </w:r>
      <w:r w:rsidRPr="00D9073D">
        <w:rPr>
          <w:rFonts w:asciiTheme="majorBidi" w:eastAsiaTheme="majorEastAsia" w:hAnsiTheme="majorBidi" w:cstheme="majorBidi"/>
          <w:kern w:val="22"/>
        </w:rPr>
        <w:tab/>
      </w:r>
      <w:r w:rsidRPr="00D9073D">
        <w:rPr>
          <w:rFonts w:asciiTheme="majorBidi" w:hAnsiTheme="majorBidi" w:cstheme="majorBidi"/>
          <w:kern w:val="22"/>
        </w:rPr>
        <w:t>The best available methods for prioritizing the invasive alien species to be managed and for assessing feasibility and cost-effectiveness</w:t>
      </w:r>
      <w:r w:rsidRPr="00305DF6">
        <w:rPr>
          <w:rFonts w:asciiTheme="majorBidi" w:hAnsiTheme="majorBidi" w:cstheme="majorBidi"/>
          <w:kern w:val="22"/>
        </w:rPr>
        <w:t xml:space="preserve"> should be used</w:t>
      </w:r>
      <w:r w:rsidRPr="00D9073D">
        <w:rPr>
          <w:rFonts w:asciiTheme="majorBidi" w:hAnsiTheme="majorBidi" w:cstheme="majorBidi"/>
          <w:kern w:val="22"/>
        </w:rPr>
        <w:t>, in a form compatible and complementary to existing approaches to risk assessment. Multi-criteria decision-making approaches should be used to support risk-based prioritization for management when information required to undertake cost-benefit and cost-effectiveness analysis is lacking or uncertain.</w:t>
      </w:r>
    </w:p>
    <w:p w14:paraId="24C46104" w14:textId="77777777" w:rsidR="007523D5" w:rsidRPr="00D9073D" w:rsidRDefault="007523D5"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kern w:val="22"/>
          <w:szCs w:val="22"/>
        </w:rPr>
        <w:t>12.</w:t>
      </w:r>
      <w:r w:rsidRPr="00D9073D">
        <w:rPr>
          <w:rFonts w:asciiTheme="majorBidi" w:hAnsiTheme="majorBidi" w:cstheme="majorBidi"/>
          <w:kern w:val="22"/>
          <w:szCs w:val="22"/>
        </w:rPr>
        <w:tab/>
        <w:t xml:space="preserve">States, sectoral authorities and organizations </w:t>
      </w:r>
      <w:r w:rsidRPr="00D9073D">
        <w:rPr>
          <w:rFonts w:asciiTheme="majorBidi" w:hAnsiTheme="majorBidi" w:cstheme="majorBidi"/>
          <w:szCs w:val="22"/>
          <w:lang w:eastAsia="en-CA"/>
        </w:rPr>
        <w:t>and subnational governments</w:t>
      </w:r>
      <w:r w:rsidRPr="00D9073D">
        <w:rPr>
          <w:rFonts w:asciiTheme="majorBidi" w:hAnsiTheme="majorBidi" w:cstheme="majorBidi"/>
          <w:kern w:val="22"/>
          <w:szCs w:val="22"/>
        </w:rPr>
        <w:t xml:space="preserve"> are encouraged to share information on their best practices regarding tools and technologies for the management</w:t>
      </w:r>
      <w:r w:rsidRPr="00610646">
        <w:rPr>
          <w:rStyle w:val="FootnoteReference"/>
        </w:rPr>
        <w:footnoteReference w:id="346"/>
      </w:r>
      <w:r w:rsidRPr="00D9073D">
        <w:rPr>
          <w:rFonts w:asciiTheme="majorBidi" w:hAnsiTheme="majorBidi" w:cstheme="majorBidi"/>
          <w:kern w:val="22"/>
          <w:szCs w:val="22"/>
        </w:rPr>
        <w:t xml:space="preserve"> of invasive alien species that can be implemented across sectors at all levels.</w:t>
      </w:r>
    </w:p>
    <w:p w14:paraId="1CCAA5A8" w14:textId="77777777" w:rsidR="007523D5" w:rsidRPr="00D9073D" w:rsidRDefault="007523D5" w:rsidP="007C5A47">
      <w:pPr>
        <w:suppressLineNumbers/>
        <w:suppressAutoHyphens/>
        <w:spacing w:before="120" w:after="120"/>
        <w:rPr>
          <w:rFonts w:asciiTheme="majorBidi" w:hAnsiTheme="majorBidi" w:cstheme="majorBidi"/>
          <w:szCs w:val="22"/>
        </w:rPr>
      </w:pPr>
      <w:r w:rsidRPr="00D9073D">
        <w:rPr>
          <w:rFonts w:asciiTheme="majorBidi" w:hAnsiTheme="majorBidi" w:cstheme="majorBidi"/>
          <w:kern w:val="22"/>
          <w:szCs w:val="22"/>
        </w:rPr>
        <w:t>13.</w:t>
      </w:r>
      <w:r w:rsidRPr="00D9073D">
        <w:rPr>
          <w:rFonts w:asciiTheme="majorBidi" w:hAnsiTheme="majorBidi" w:cstheme="majorBidi"/>
          <w:kern w:val="22"/>
          <w:szCs w:val="22"/>
        </w:rPr>
        <w:tab/>
      </w:r>
      <w:r w:rsidRPr="00D9073D">
        <w:rPr>
          <w:rFonts w:asciiTheme="majorBidi" w:hAnsiTheme="majorBidi" w:cstheme="majorBidi"/>
          <w:i/>
          <w:kern w:val="22"/>
          <w:szCs w:val="22"/>
        </w:rPr>
        <w:t>Multi-criteria decision-making</w:t>
      </w:r>
      <w:r w:rsidRPr="00D9073D">
        <w:rPr>
          <w:rFonts w:asciiTheme="majorBidi" w:hAnsiTheme="majorBidi" w:cstheme="majorBidi"/>
          <w:kern w:val="22"/>
          <w:szCs w:val="22"/>
        </w:rPr>
        <w:t xml:space="preserve"> approaches can be used, wherever possible, when applying risk analysis, cost-benefit and cost-effectiveness analyses to support risk-based prioritization. Invasive alien </w:t>
      </w:r>
      <w:r w:rsidRPr="00D9073D">
        <w:rPr>
          <w:rFonts w:asciiTheme="majorBidi" w:hAnsiTheme="majorBidi" w:cstheme="majorBidi"/>
          <w:kern w:val="22"/>
          <w:szCs w:val="22"/>
          <w:bdr w:val="nil"/>
        </w:rPr>
        <w:t>species</w:t>
      </w:r>
      <w:r w:rsidRPr="00D9073D">
        <w:rPr>
          <w:rFonts w:asciiTheme="majorBidi" w:hAnsiTheme="majorBidi" w:cstheme="majorBidi"/>
          <w:kern w:val="22"/>
          <w:szCs w:val="22"/>
        </w:rPr>
        <w:t xml:space="preserve"> prioritized by actual or potential impacts using such rapid methods can then be considered in more detail to ensure that management, based on clear objectives, is indeed cost-effective and feasible. Multi-criteria decision-making can consider such aspects as effectiveness, practicality, feasibility, likelihood of success, cost, public acceptability, including to indigenous peoples and local communities, women and youth of proposed actions as well as any unintended negative impacts of management alongside the risks and impacts posed by the targeted invasive alien species, in line with relevant multilateral agreements. These methods involve</w:t>
      </w:r>
      <w:r w:rsidRPr="00D9073D">
        <w:rPr>
          <w:rFonts w:asciiTheme="majorBidi" w:hAnsiTheme="majorBidi" w:cstheme="majorBidi"/>
          <w:kern w:val="22"/>
          <w:szCs w:val="22"/>
          <w:shd w:val="clear" w:color="auto" w:fill="FFFFFF"/>
        </w:rPr>
        <w:t xml:space="preserve"> a structured process and can help resolve issues associated with decision-making and planning that involve multiple criteria and are</w:t>
      </w:r>
      <w:r w:rsidRPr="00D9073D">
        <w:rPr>
          <w:rFonts w:asciiTheme="majorBidi" w:hAnsiTheme="majorBidi" w:cstheme="majorBidi"/>
          <w:kern w:val="22"/>
          <w:szCs w:val="22"/>
        </w:rPr>
        <w:t xml:space="preserve"> designed to find optimal solutions to complex problems where assessment criteria or data are measured in different ways. They can also be used with expert elicitation when only incomplete or imprecise information is available.</w:t>
      </w:r>
    </w:p>
    <w:p w14:paraId="2541D149" w14:textId="77777777" w:rsidR="007523D5" w:rsidRPr="00D9073D" w:rsidRDefault="007523D5" w:rsidP="007C5A47">
      <w:pPr>
        <w:pStyle w:val="ListParagraph"/>
        <w:suppressLineNumbers/>
        <w:suppressAutoHyphens/>
        <w:spacing w:before="120" w:after="120"/>
        <w:ind w:left="0"/>
        <w:contextualSpacing w:val="0"/>
        <w:rPr>
          <w:rFonts w:asciiTheme="majorBidi" w:hAnsiTheme="majorBidi" w:cstheme="majorBidi"/>
          <w:kern w:val="22"/>
          <w:szCs w:val="22"/>
        </w:rPr>
      </w:pPr>
      <w:r w:rsidRPr="00D9073D">
        <w:rPr>
          <w:rFonts w:asciiTheme="majorBidi" w:hAnsiTheme="majorBidi" w:cstheme="majorBidi"/>
          <w:kern w:val="22"/>
          <w:szCs w:val="22"/>
        </w:rPr>
        <w:t>14.</w:t>
      </w:r>
      <w:r w:rsidRPr="00D9073D">
        <w:rPr>
          <w:rFonts w:asciiTheme="majorBidi" w:hAnsiTheme="majorBidi" w:cstheme="majorBidi"/>
          <w:kern w:val="22"/>
          <w:szCs w:val="22"/>
        </w:rPr>
        <w:tab/>
        <w:t>Multi-criteria methods to support invasive species prioritization, risk management and decision</w:t>
      </w:r>
      <w:r w:rsidRPr="00D9073D">
        <w:rPr>
          <w:rFonts w:asciiTheme="majorBidi" w:hAnsiTheme="majorBidi" w:cstheme="majorBidi"/>
          <w:kern w:val="22"/>
          <w:szCs w:val="22"/>
        </w:rPr>
        <w:noBreakHyphen/>
        <w:t>making need to be developed further. Opportunities for development include:</w:t>
      </w:r>
    </w:p>
    <w:p w14:paraId="69069A49" w14:textId="77777777" w:rsidR="007523D5" w:rsidRPr="00D9073D" w:rsidRDefault="007523D5" w:rsidP="007C5A47">
      <w:pPr>
        <w:suppressLineNumbers/>
        <w:suppressAutoHyphens/>
        <w:spacing w:after="120"/>
        <w:ind w:firstLine="720"/>
        <w:rPr>
          <w:rFonts w:asciiTheme="majorBidi" w:hAnsiTheme="majorBidi" w:cstheme="majorBidi"/>
          <w:color w:val="000000"/>
          <w:kern w:val="22"/>
          <w:szCs w:val="22"/>
          <w:u w:color="000000"/>
          <w:bdr w:val="nil"/>
        </w:rPr>
      </w:pPr>
      <w:r w:rsidRPr="00D9073D">
        <w:rPr>
          <w:rFonts w:asciiTheme="majorBidi" w:hAnsiTheme="majorBidi" w:cstheme="majorBidi"/>
          <w:color w:val="000000"/>
          <w:kern w:val="22"/>
          <w:szCs w:val="22"/>
          <w:u w:color="000000"/>
          <w:bdr w:val="nil"/>
        </w:rPr>
        <w:t>(a)</w:t>
      </w:r>
      <w:r w:rsidRPr="00D9073D">
        <w:rPr>
          <w:rFonts w:asciiTheme="majorBidi" w:hAnsiTheme="majorBidi" w:cstheme="majorBidi"/>
          <w:color w:val="000000"/>
          <w:kern w:val="22"/>
          <w:szCs w:val="22"/>
          <w:u w:color="000000"/>
          <w:bdr w:val="nil"/>
        </w:rPr>
        <w:tab/>
        <w:t>There is considerable variation in the methods and approaches to prioritization and decision making used in different countries – reviewing the strengths and weaknesses of other approaches to this issue would be valuable;</w:t>
      </w:r>
    </w:p>
    <w:p w14:paraId="3D59C846" w14:textId="77777777" w:rsidR="007523D5" w:rsidRPr="00D9073D" w:rsidRDefault="007523D5" w:rsidP="007C5A47">
      <w:pPr>
        <w:pStyle w:val="ListParagraph"/>
        <w:suppressLineNumbers/>
        <w:suppressAutoHyphens/>
        <w:spacing w:after="120"/>
        <w:ind w:left="0" w:firstLine="720"/>
        <w:contextualSpacing w:val="0"/>
        <w:rPr>
          <w:rFonts w:asciiTheme="majorBidi" w:hAnsiTheme="majorBidi" w:cstheme="majorBidi"/>
          <w:color w:val="000000"/>
          <w:kern w:val="22"/>
          <w:szCs w:val="22"/>
          <w:u w:color="000000"/>
          <w:bdr w:val="nil"/>
        </w:rPr>
      </w:pPr>
      <w:r w:rsidRPr="00D9073D">
        <w:rPr>
          <w:rFonts w:asciiTheme="majorBidi" w:hAnsiTheme="majorBidi" w:cstheme="majorBidi"/>
          <w:color w:val="000000"/>
          <w:kern w:val="22"/>
          <w:szCs w:val="22"/>
          <w:u w:color="000000"/>
          <w:bdr w:val="nil"/>
        </w:rPr>
        <w:t>(b)</w:t>
      </w:r>
      <w:r w:rsidRPr="00D9073D">
        <w:rPr>
          <w:rFonts w:asciiTheme="majorBidi" w:hAnsiTheme="majorBidi" w:cstheme="majorBidi"/>
          <w:color w:val="000000"/>
          <w:kern w:val="22"/>
          <w:szCs w:val="22"/>
          <w:u w:color="000000"/>
          <w:bdr w:val="nil"/>
        </w:rPr>
        <w:tab/>
        <w:t>Risk management as part of a larger risk analysis process is widely used in other fields, such as plant health – increased dialogue with experts from these fields would help to develop best-practice;</w:t>
      </w:r>
    </w:p>
    <w:p w14:paraId="3864F288" w14:textId="77777777" w:rsidR="007523D5" w:rsidRPr="00D9073D" w:rsidRDefault="007523D5" w:rsidP="007C5A47">
      <w:pPr>
        <w:pStyle w:val="ListParagraph"/>
        <w:suppressLineNumbers/>
        <w:suppressAutoHyphens/>
        <w:spacing w:after="120"/>
        <w:ind w:left="0" w:firstLine="720"/>
        <w:contextualSpacing w:val="0"/>
        <w:rPr>
          <w:rFonts w:asciiTheme="majorBidi" w:hAnsiTheme="majorBidi" w:cstheme="majorBidi"/>
          <w:color w:val="000000"/>
          <w:kern w:val="22"/>
          <w:szCs w:val="22"/>
          <w:u w:color="000000"/>
          <w:bdr w:val="nil"/>
        </w:rPr>
      </w:pPr>
      <w:r w:rsidRPr="00D9073D">
        <w:rPr>
          <w:rFonts w:asciiTheme="majorBidi" w:hAnsiTheme="majorBidi" w:cstheme="majorBidi"/>
          <w:color w:val="000000"/>
          <w:kern w:val="22"/>
          <w:szCs w:val="22"/>
          <w:u w:color="000000"/>
          <w:bdr w:val="nil"/>
        </w:rPr>
        <w:t>(c)</w:t>
      </w:r>
      <w:r w:rsidRPr="00D9073D">
        <w:rPr>
          <w:rFonts w:asciiTheme="majorBidi" w:hAnsiTheme="majorBidi" w:cstheme="majorBidi"/>
          <w:color w:val="000000"/>
          <w:kern w:val="22"/>
          <w:szCs w:val="22"/>
          <w:u w:color="000000"/>
          <w:bdr w:val="nil"/>
        </w:rPr>
        <w:tab/>
        <w:t>Other considerations will be needed when applying the approach to different management questions;</w:t>
      </w:r>
    </w:p>
    <w:p w14:paraId="13B921BA" w14:textId="77777777" w:rsidR="007523D5" w:rsidRPr="00D9073D" w:rsidRDefault="007523D5" w:rsidP="007C5A47">
      <w:pPr>
        <w:pStyle w:val="ListParagraph"/>
        <w:suppressLineNumbers/>
        <w:suppressAutoHyphens/>
        <w:spacing w:after="120"/>
        <w:ind w:left="0" w:firstLine="720"/>
        <w:contextualSpacing w:val="0"/>
        <w:rPr>
          <w:rFonts w:asciiTheme="majorBidi" w:hAnsiTheme="majorBidi" w:cstheme="majorBidi"/>
          <w:color w:val="000000"/>
          <w:kern w:val="22"/>
          <w:szCs w:val="22"/>
          <w:u w:color="000000"/>
          <w:bdr w:val="nil"/>
        </w:rPr>
      </w:pPr>
      <w:r w:rsidRPr="00D9073D">
        <w:rPr>
          <w:rFonts w:asciiTheme="majorBidi" w:hAnsiTheme="majorBidi" w:cstheme="majorBidi"/>
          <w:color w:val="000000"/>
          <w:kern w:val="22"/>
          <w:szCs w:val="22"/>
          <w:u w:color="000000"/>
          <w:bdr w:val="nil"/>
        </w:rPr>
        <w:t>(d)</w:t>
      </w:r>
      <w:r w:rsidRPr="00D9073D">
        <w:rPr>
          <w:rFonts w:asciiTheme="majorBidi" w:hAnsiTheme="majorBidi" w:cstheme="majorBidi"/>
          <w:color w:val="000000"/>
          <w:kern w:val="22"/>
          <w:szCs w:val="22"/>
          <w:u w:color="000000"/>
          <w:bdr w:val="nil"/>
        </w:rPr>
        <w:tab/>
        <w:t>Cases in which multi-criteria methods have been applied to invasive alien species management decision making are still limited – more trials and applications would help refine the approach;</w:t>
      </w:r>
    </w:p>
    <w:p w14:paraId="404F99A3" w14:textId="77777777" w:rsidR="007523D5" w:rsidRPr="00D9073D" w:rsidRDefault="007523D5" w:rsidP="007C5A47">
      <w:pPr>
        <w:suppressLineNumbers/>
        <w:suppressAutoHyphens/>
        <w:spacing w:after="120"/>
        <w:ind w:firstLine="720"/>
        <w:rPr>
          <w:rFonts w:asciiTheme="majorBidi" w:hAnsiTheme="majorBidi" w:cstheme="majorBidi"/>
          <w:kern w:val="22"/>
        </w:rPr>
      </w:pPr>
      <w:r w:rsidRPr="00D9073D">
        <w:rPr>
          <w:rFonts w:asciiTheme="majorBidi" w:hAnsiTheme="majorBidi" w:cstheme="majorBidi"/>
          <w:kern w:val="22"/>
        </w:rPr>
        <w:t>(e)</w:t>
      </w:r>
      <w:r w:rsidRPr="00D9073D">
        <w:rPr>
          <w:rFonts w:asciiTheme="majorBidi" w:hAnsiTheme="majorBidi" w:cstheme="majorBidi"/>
          <w:kern w:val="22"/>
        </w:rPr>
        <w:tab/>
        <w:t>Where possible, published quantitative data should be used to underpin decision-making, in order to better identify and access key information.</w:t>
      </w:r>
    </w:p>
    <w:p w14:paraId="48C5DD7A" w14:textId="77777777" w:rsidR="007523D5" w:rsidRPr="00D9073D" w:rsidRDefault="007523D5" w:rsidP="007C5A47">
      <w:pPr>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15.</w:t>
      </w:r>
      <w:r w:rsidRPr="00D9073D">
        <w:rPr>
          <w:rFonts w:asciiTheme="majorBidi" w:hAnsiTheme="majorBidi" w:cstheme="majorBidi"/>
          <w:kern w:val="22"/>
        </w:rPr>
        <w:tab/>
        <w:t xml:space="preserve">It is suggested that guidelines be developed in order to more explicitly include social and cultural values when assessing the costs, benefits and prioritization of management. This could build on existing </w:t>
      </w:r>
      <w:r w:rsidRPr="00D9073D">
        <w:rPr>
          <w:rFonts w:asciiTheme="majorBidi" w:hAnsiTheme="majorBidi" w:cstheme="majorBidi"/>
          <w:kern w:val="22"/>
        </w:rPr>
        <w:lastRenderedPageBreak/>
        <w:t>processes (for example, Socio-economic Impact Classification of Alien Taxa (SEICAT)) and international best practices on stakeholder engagement in decision-making. Decisions and risk analyses should be based on science and should follow international standards agreed under relevant international organizations, such as the agreement on the application of sanitary and phytosanitary measures, as appropriate.</w:t>
      </w:r>
    </w:p>
    <w:p w14:paraId="69CE744C" w14:textId="77777777" w:rsidR="007523D5" w:rsidRPr="00D9073D" w:rsidRDefault="007523D5" w:rsidP="007C5A47">
      <w:pPr>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16.</w:t>
      </w:r>
      <w:r w:rsidRPr="00D9073D">
        <w:rPr>
          <w:rFonts w:asciiTheme="majorBidi" w:hAnsiTheme="majorBidi" w:cstheme="majorBidi"/>
          <w:kern w:val="22"/>
        </w:rPr>
        <w:tab/>
        <w:t>It is recommended that efforts be made to increase the accessibility of data and vocabulary on management activities across species and ecosystems to support evidence-based management prioritization and decision-making. This will be assisted by the creation of common approaches to sharing and reporting experience and information, common data formats that include information on the taxon, management objective, cost and/or effort, area covered and the outcome of management. To promote the production of prioritized lists for action, there is a need for knowledge exchange, training and capacity</w:t>
      </w:r>
      <w:r w:rsidRPr="00D9073D">
        <w:rPr>
          <w:rFonts w:asciiTheme="majorBidi" w:hAnsiTheme="majorBidi" w:cstheme="majorBidi"/>
          <w:kern w:val="22"/>
        </w:rPr>
        <w:noBreakHyphen/>
        <w:t>building.</w:t>
      </w:r>
    </w:p>
    <w:p w14:paraId="1C296BBB" w14:textId="2343745E" w:rsidR="007523D5" w:rsidRPr="0027619F" w:rsidRDefault="007523D5" w:rsidP="00B20490">
      <w:pPr>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17.</w:t>
      </w:r>
      <w:r w:rsidRPr="00D9073D">
        <w:rPr>
          <w:rFonts w:asciiTheme="majorBidi" w:hAnsiTheme="majorBidi" w:cstheme="majorBidi"/>
          <w:kern w:val="22"/>
        </w:rPr>
        <w:tab/>
        <w:t>It is recommended that, in communicating risks associated with invasive alien species it be highlighted that these risks can affect biodiversity and the economy of indigenous regions/peoples and local communities as well as public health.</w:t>
      </w:r>
    </w:p>
    <w:p w14:paraId="093DED31" w14:textId="77777777" w:rsidR="007523D5" w:rsidRPr="0027619F" w:rsidRDefault="007523D5" w:rsidP="00B20490">
      <w:pPr>
        <w:keepNext/>
        <w:suppressLineNumbers/>
        <w:suppressAutoHyphens/>
        <w:spacing w:before="120" w:after="120"/>
        <w:jc w:val="center"/>
        <w:rPr>
          <w:i/>
          <w:snapToGrid w:val="0"/>
          <w:kern w:val="22"/>
          <w:szCs w:val="22"/>
        </w:rPr>
      </w:pPr>
      <w:bookmarkStart w:id="317" w:name="_Toc118355050"/>
      <w:r w:rsidRPr="0027619F">
        <w:rPr>
          <w:i/>
          <w:snapToGrid w:val="0"/>
          <w:kern w:val="22"/>
          <w:szCs w:val="22"/>
        </w:rPr>
        <w:t>Annex II</w:t>
      </w:r>
      <w:bookmarkEnd w:id="317"/>
    </w:p>
    <w:p w14:paraId="27C128A0" w14:textId="77777777" w:rsidR="007523D5" w:rsidRPr="0027619F" w:rsidRDefault="007523D5" w:rsidP="0040286E">
      <w:pPr>
        <w:keepNext/>
        <w:suppressLineNumbers/>
        <w:suppressAutoHyphens/>
        <w:spacing w:before="120" w:after="120"/>
        <w:jc w:val="center"/>
        <w:rPr>
          <w:rFonts w:asciiTheme="majorBidi" w:hAnsiTheme="majorBidi" w:cstheme="majorBidi"/>
          <w:b/>
          <w:caps/>
          <w:kern w:val="22"/>
        </w:rPr>
      </w:pPr>
      <w:bookmarkStart w:id="318" w:name="_Toc118355051"/>
      <w:r w:rsidRPr="0027619F">
        <w:rPr>
          <w:rFonts w:asciiTheme="majorBidi" w:hAnsiTheme="majorBidi" w:cstheme="majorBidi"/>
          <w:b/>
          <w:caps/>
          <w:kern w:val="22"/>
        </w:rPr>
        <w:t>Draft methods, tools and measures for identification and minimization of additional risks associated with cross-border e-commerce in live organisms and the impacts thereof</w:t>
      </w:r>
      <w:bookmarkEnd w:id="318"/>
    </w:p>
    <w:p w14:paraId="384041F7" w14:textId="77777777" w:rsidR="007523D5" w:rsidRPr="00D9073D" w:rsidRDefault="007523D5" w:rsidP="007C5A47">
      <w:pPr>
        <w:keepNext/>
        <w:suppressLineNumbers/>
        <w:suppressAutoHyphens/>
        <w:spacing w:before="120" w:after="120"/>
        <w:jc w:val="center"/>
        <w:rPr>
          <w:rFonts w:asciiTheme="majorBidi" w:hAnsiTheme="majorBidi" w:cstheme="majorBidi"/>
        </w:rPr>
      </w:pPr>
      <w:r w:rsidRPr="00D9073D">
        <w:rPr>
          <w:rFonts w:asciiTheme="majorBidi" w:hAnsiTheme="majorBidi" w:cstheme="majorBidi"/>
          <w:b/>
          <w:caps/>
          <w:kern w:val="22"/>
        </w:rPr>
        <w:t>(Provisional advice pursuant to decision 14/11, annex II, paragraph 1 (b))</w:t>
      </w:r>
    </w:p>
    <w:p w14:paraId="142F7148" w14:textId="77777777" w:rsidR="007523D5" w:rsidRPr="00D9073D" w:rsidRDefault="007523D5" w:rsidP="007C5A47">
      <w:pPr>
        <w:pStyle w:val="heading2notforTOC"/>
        <w:outlineLvl w:val="9"/>
        <w:rPr>
          <w:i w:val="0"/>
          <w:iCs w:val="0"/>
          <w:color w:val="000000"/>
          <w:szCs w:val="22"/>
          <w:u w:color="000000"/>
          <w:bdr w:val="nil"/>
          <w:lang w:val="en-US"/>
        </w:rPr>
      </w:pPr>
      <w:r w:rsidRPr="00D9073D">
        <w:rPr>
          <w:szCs w:val="22"/>
        </w:rPr>
        <w:t>A.</w:t>
      </w:r>
      <w:r w:rsidRPr="00D9073D">
        <w:rPr>
          <w:szCs w:val="22"/>
        </w:rPr>
        <w:tab/>
        <w:t>Suggested actions for national and/or subnational authorities/border agencies</w:t>
      </w:r>
    </w:p>
    <w:p w14:paraId="7B1994BE" w14:textId="77777777" w:rsidR="007523D5" w:rsidRPr="00D9073D" w:rsidRDefault="007523D5" w:rsidP="007C5A47">
      <w:pPr>
        <w:jc w:val="center"/>
        <w:rPr>
          <w:i/>
          <w:iCs/>
          <w:kern w:val="22"/>
          <w:szCs w:val="22"/>
        </w:rPr>
      </w:pPr>
      <w:r w:rsidRPr="00D9073D">
        <w:rPr>
          <w:i/>
          <w:iCs/>
          <w:kern w:val="22"/>
          <w:szCs w:val="22"/>
        </w:rPr>
        <w:t>1.</w:t>
      </w:r>
      <w:r w:rsidRPr="00D9073D">
        <w:rPr>
          <w:i/>
          <w:iCs/>
          <w:kern w:val="22"/>
          <w:szCs w:val="22"/>
        </w:rPr>
        <w:tab/>
        <w:t>Legislation and policy set by States</w:t>
      </w:r>
    </w:p>
    <w:p w14:paraId="1F6C4911" w14:textId="77777777" w:rsidR="007523D5" w:rsidRPr="00D9073D" w:rsidRDefault="007523D5" w:rsidP="007C5A47">
      <w:pPr>
        <w:suppressLineNumbers/>
        <w:suppressAutoHyphens/>
        <w:spacing w:before="120" w:after="120"/>
        <w:rPr>
          <w:i/>
          <w:iCs/>
          <w:kern w:val="22"/>
        </w:rPr>
      </w:pPr>
      <w:r w:rsidRPr="00D9073D">
        <w:rPr>
          <w:kern w:val="22"/>
        </w:rPr>
        <w:t>1.</w:t>
      </w:r>
      <w:r w:rsidRPr="00D9073D">
        <w:rPr>
          <w:kern w:val="22"/>
        </w:rPr>
        <w:tab/>
        <w:t>Investigate and evaluate the risks posed by all forms of e-commerce to the introduction and spread of invasive alien species and their parts and, if necessary, develop and implement appropriate risk management activities. See also decision XII/17, paragraph 9 (d).</w:t>
      </w:r>
    </w:p>
    <w:p w14:paraId="183BD763" w14:textId="77777777" w:rsidR="007523D5" w:rsidRPr="00D9073D" w:rsidRDefault="007523D5" w:rsidP="007C5A47">
      <w:pPr>
        <w:suppressLineNumbers/>
        <w:suppressAutoHyphens/>
        <w:spacing w:before="120" w:after="120"/>
        <w:rPr>
          <w:kern w:val="22"/>
        </w:rPr>
      </w:pPr>
      <w:r w:rsidRPr="00D9073D">
        <w:rPr>
          <w:kern w:val="22"/>
        </w:rPr>
        <w:t>2.</w:t>
      </w:r>
      <w:r w:rsidRPr="00D9073D">
        <w:rPr>
          <w:kern w:val="22"/>
        </w:rPr>
        <w:tab/>
        <w:t>Implement when addressing trade with invasive alien species through e-commerce, decision XIII/13, paragraphs 7 and 8, and use the voluntary guidance on devising and implementing measures to address the risks associated with the introduction of alien species as pets, aquarium and terrarium species, and as live bait and live food (decision XII/16) and the supplementary guidance for avoiding unintentional introductions of invasive alien species associated with trade in live organisms (decision 14/11), as relevant.</w:t>
      </w:r>
    </w:p>
    <w:p w14:paraId="4AC2AC02" w14:textId="77777777" w:rsidR="007523D5" w:rsidRPr="00D9073D" w:rsidRDefault="007523D5" w:rsidP="007C5A47">
      <w:pPr>
        <w:suppressLineNumbers/>
        <w:suppressAutoHyphens/>
        <w:spacing w:before="120" w:after="120"/>
        <w:rPr>
          <w:kern w:val="22"/>
        </w:rPr>
      </w:pPr>
      <w:r w:rsidRPr="00D9073D">
        <w:rPr>
          <w:kern w:val="22"/>
        </w:rPr>
        <w:t>3.</w:t>
      </w:r>
      <w:r w:rsidRPr="00D9073D">
        <w:rPr>
          <w:kern w:val="22"/>
        </w:rPr>
        <w:tab/>
        <w:t>Review existing national and/or subnational legislation, regulations and policies to verify that e</w:t>
      </w:r>
      <w:r w:rsidRPr="00D9073D">
        <w:rPr>
          <w:kern w:val="22"/>
        </w:rPr>
        <w:noBreakHyphen/>
        <w:t>commerce is adequately addressed or make changes as needed to ensure that enforcement actions can be taken,</w:t>
      </w:r>
      <w:r w:rsidRPr="00D9073D">
        <w:t xml:space="preserve"> </w:t>
      </w:r>
      <w:r w:rsidRPr="00D9073D">
        <w:rPr>
          <w:kern w:val="22"/>
        </w:rPr>
        <w:t>in accordance with decision XIII/13, paragraph 2.</w:t>
      </w:r>
    </w:p>
    <w:p w14:paraId="294DA7AA" w14:textId="77777777" w:rsidR="007523D5" w:rsidRPr="00D9073D" w:rsidRDefault="007523D5" w:rsidP="007C5A47">
      <w:pPr>
        <w:suppressLineNumbers/>
        <w:suppressAutoHyphens/>
        <w:spacing w:before="120" w:after="120"/>
        <w:rPr>
          <w:kern w:val="22"/>
        </w:rPr>
      </w:pPr>
      <w:r w:rsidRPr="00D9073D">
        <w:rPr>
          <w:kern w:val="22"/>
        </w:rPr>
        <w:t>4.</w:t>
      </w:r>
      <w:r w:rsidRPr="00D9073D">
        <w:rPr>
          <w:kern w:val="22"/>
        </w:rPr>
        <w:tab/>
        <w:t>Establish mechanisms to identify commodities of concern that may be obtained via e-commerce with a focus on high and potential high-risk consignments, such as soils, growing media, and living organisms.</w:t>
      </w:r>
    </w:p>
    <w:p w14:paraId="2325DD8E" w14:textId="77777777" w:rsidR="007523D5" w:rsidRPr="00D9073D" w:rsidRDefault="007523D5" w:rsidP="007C5A47">
      <w:pPr>
        <w:suppressLineNumbers/>
        <w:suppressAutoHyphens/>
        <w:spacing w:before="120" w:after="120"/>
        <w:rPr>
          <w:kern w:val="22"/>
        </w:rPr>
      </w:pPr>
      <w:r w:rsidRPr="00D9073D">
        <w:rPr>
          <w:kern w:val="22"/>
        </w:rPr>
        <w:t>5.</w:t>
      </w:r>
      <w:r w:rsidRPr="00D9073D">
        <w:rPr>
          <w:kern w:val="22"/>
        </w:rPr>
        <w:tab/>
        <w:t>Consider the use of lists that specify which species may be imported and restrict the remainder, rather than lists that only identify 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be consistent with the guidance contained in decisions XII/16, paragraph 23,</w:t>
      </w:r>
      <w:r w:rsidRPr="00610646">
        <w:rPr>
          <w:rStyle w:val="FootnoteReference"/>
        </w:rPr>
        <w:footnoteReference w:id="347"/>
      </w:r>
      <w:r w:rsidRPr="00D9073D">
        <w:rPr>
          <w:kern w:val="22"/>
        </w:rPr>
        <w:t xml:space="preserve"> and decision 14/11</w:t>
      </w:r>
      <w:r>
        <w:rPr>
          <w:kern w:val="22"/>
        </w:rPr>
        <w:t>, paragraph 11</w:t>
      </w:r>
      <w:r w:rsidRPr="00D9073D">
        <w:rPr>
          <w:kern w:val="22"/>
        </w:rPr>
        <w:t>(a),</w:t>
      </w:r>
      <w:r w:rsidRPr="00610646">
        <w:rPr>
          <w:rStyle w:val="FootnoteReference"/>
        </w:rPr>
        <w:footnoteReference w:id="348"/>
      </w:r>
      <w:r w:rsidRPr="00D9073D">
        <w:rPr>
          <w:kern w:val="22"/>
        </w:rPr>
        <w:t xml:space="preserve"> as well as other applicable international obligations and standards, including those recognized by the World Trade Organization Agreement on the </w:t>
      </w:r>
      <w:r w:rsidRPr="00D9073D">
        <w:rPr>
          <w:kern w:val="22"/>
        </w:rPr>
        <w:lastRenderedPageBreak/>
        <w:t>General Agreement on Trade in Services (GATS) that are relevant for cross-border e-commerce, as well as in accordance with decisions XII/16, paragraph 22 and 14/11, paragraph 11(a).</w:t>
      </w:r>
    </w:p>
    <w:p w14:paraId="7EB15E48" w14:textId="77777777" w:rsidR="007523D5" w:rsidRPr="00D9073D" w:rsidRDefault="007523D5" w:rsidP="004F4DDA">
      <w:pPr>
        <w:spacing w:before="120" w:after="120"/>
        <w:jc w:val="center"/>
        <w:rPr>
          <w:i/>
          <w:iCs/>
          <w:kern w:val="22"/>
          <w:szCs w:val="22"/>
        </w:rPr>
      </w:pPr>
      <w:r w:rsidRPr="00D9073D">
        <w:rPr>
          <w:i/>
          <w:iCs/>
          <w:kern w:val="22"/>
          <w:szCs w:val="22"/>
        </w:rPr>
        <w:t>2.</w:t>
      </w:r>
      <w:r w:rsidRPr="00D9073D">
        <w:rPr>
          <w:i/>
          <w:iCs/>
          <w:kern w:val="22"/>
          <w:szCs w:val="22"/>
        </w:rPr>
        <w:tab/>
        <w:t>Indigenous peoples, local communities and relevant stakeholders’</w:t>
      </w:r>
      <w:r w:rsidRPr="00D9073D" w:rsidDel="00B469C2">
        <w:rPr>
          <w:i/>
          <w:iCs/>
          <w:kern w:val="22"/>
          <w:szCs w:val="22"/>
        </w:rPr>
        <w:t xml:space="preserve"> </w:t>
      </w:r>
      <w:r w:rsidRPr="00D9073D">
        <w:rPr>
          <w:i/>
          <w:iCs/>
          <w:kern w:val="22"/>
          <w:szCs w:val="22"/>
        </w:rPr>
        <w:t>engagement</w:t>
      </w:r>
    </w:p>
    <w:p w14:paraId="757AFE38" w14:textId="77777777" w:rsidR="007523D5" w:rsidRPr="00D9073D" w:rsidRDefault="007523D5" w:rsidP="007C5A47">
      <w:pPr>
        <w:suppressLineNumbers/>
        <w:suppressAutoHyphens/>
        <w:spacing w:after="120"/>
        <w:rPr>
          <w:kern w:val="22"/>
        </w:rPr>
      </w:pPr>
      <w:r w:rsidRPr="00D9073D">
        <w:rPr>
          <w:kern w:val="22"/>
        </w:rPr>
        <w:t>6.</w:t>
      </w:r>
      <w:r w:rsidRPr="00D9073D">
        <w:rPr>
          <w:kern w:val="22"/>
        </w:rPr>
        <w:tab/>
        <w:t>In accordance with decision XIII/13, paragraph 7, develop mechanisms, in collaboration with e-commerce stakeholders, for identification of e-commerce traders, their locations and other stakeholders with a view to facilitating inter</w:t>
      </w:r>
      <w:r w:rsidRPr="00D9073D">
        <w:rPr>
          <w:kern w:val="22"/>
        </w:rPr>
        <w:noBreakHyphen/>
        <w:t>agency and multi-stakeholder participation and cooperation.</w:t>
      </w:r>
    </w:p>
    <w:p w14:paraId="0A77932C" w14:textId="77777777" w:rsidR="007523D5" w:rsidRPr="00D9073D" w:rsidRDefault="007523D5" w:rsidP="007C5A47">
      <w:pPr>
        <w:suppressLineNumbers/>
        <w:suppressAutoHyphens/>
        <w:spacing w:before="120" w:after="120"/>
        <w:rPr>
          <w:kern w:val="22"/>
        </w:rPr>
      </w:pPr>
      <w:r w:rsidRPr="00D9073D">
        <w:rPr>
          <w:kern w:val="22"/>
        </w:rPr>
        <w:t>7.</w:t>
      </w:r>
      <w:r w:rsidRPr="00D9073D">
        <w:rPr>
          <w:kern w:val="22"/>
        </w:rPr>
        <w:tab/>
        <w:t>Engage with indigenous peoples and local communities, women and youth, as well as the wider community and general public for detection of early incursion, establishment or spread of invasive alien species, including from e-commerce, across traditional lands and waters, as well as the wider community and general public.</w:t>
      </w:r>
    </w:p>
    <w:p w14:paraId="2855B6F5" w14:textId="77777777" w:rsidR="007523D5" w:rsidRPr="00D9073D" w:rsidRDefault="007523D5" w:rsidP="007C5A47">
      <w:pPr>
        <w:suppressLineNumbers/>
        <w:suppressAutoHyphens/>
        <w:spacing w:before="120" w:after="120"/>
        <w:rPr>
          <w:kern w:val="22"/>
        </w:rPr>
      </w:pPr>
      <w:r w:rsidRPr="00D9073D">
        <w:rPr>
          <w:kern w:val="22"/>
        </w:rPr>
        <w:t>8.</w:t>
      </w:r>
      <w:r w:rsidRPr="00D9073D">
        <w:rPr>
          <w:kern w:val="22"/>
        </w:rPr>
        <w:tab/>
        <w:t>Ensure, in accordance with decision 14/11, paragraph 10, compliance with the sanitary, phytosanitary and veterinary import requirements of importing countries among e-commerce customers and traders by providing quality information on the risks to the customer’s country (legal, environmental and health related).</w:t>
      </w:r>
    </w:p>
    <w:p w14:paraId="7B58A2C7" w14:textId="77777777" w:rsidR="007523D5" w:rsidRPr="00D9073D" w:rsidRDefault="007523D5" w:rsidP="007C5A47">
      <w:pPr>
        <w:suppressLineNumbers/>
        <w:suppressAutoHyphens/>
        <w:spacing w:before="120" w:after="120"/>
        <w:rPr>
          <w:kern w:val="22"/>
        </w:rPr>
      </w:pPr>
      <w:r w:rsidRPr="00D9073D">
        <w:rPr>
          <w:kern w:val="22"/>
        </w:rPr>
        <w:t>9.</w:t>
      </w:r>
      <w:r w:rsidRPr="00D9073D">
        <w:rPr>
          <w:kern w:val="22"/>
        </w:rPr>
        <w:tab/>
        <w:t>Strengthen coordination with postal and express courier services to ensure that relevant information on the risks and preventive measures are conveyed to e-commerce users in accordance with decision XII/16, paragraph 24, and taking into consideration decision 14/11, annex I, paragraphs 7, 9-11, 13 and 29.</w:t>
      </w:r>
    </w:p>
    <w:p w14:paraId="12699AF7" w14:textId="77777777" w:rsidR="007523D5" w:rsidRPr="00D9073D" w:rsidRDefault="007523D5" w:rsidP="007C5A47">
      <w:pPr>
        <w:suppressLineNumbers/>
        <w:suppressAutoHyphens/>
        <w:spacing w:before="120" w:after="120"/>
        <w:rPr>
          <w:kern w:val="22"/>
        </w:rPr>
      </w:pPr>
      <w:r w:rsidRPr="00D9073D">
        <w:rPr>
          <w:kern w:val="22"/>
        </w:rPr>
        <w:t>10.</w:t>
      </w:r>
      <w:r w:rsidRPr="00D9073D">
        <w:rPr>
          <w:kern w:val="22"/>
        </w:rPr>
        <w:tab/>
        <w:t xml:space="preserve">Ensure, in collaboration with national and regional trade authorities, that import/export requirements are up-to-date, clear and accessible to e-commerce traders, </w:t>
      </w:r>
      <w:r w:rsidRPr="00D9073D">
        <w:t>indigenous peoples, local communities and relevant stakeholders.</w:t>
      </w:r>
    </w:p>
    <w:p w14:paraId="786AB425" w14:textId="77777777" w:rsidR="007523D5" w:rsidRPr="00D9073D" w:rsidRDefault="007523D5" w:rsidP="007C5A47">
      <w:pPr>
        <w:suppressLineNumbers/>
        <w:suppressAutoHyphens/>
        <w:spacing w:before="120" w:after="120"/>
        <w:rPr>
          <w:kern w:val="22"/>
        </w:rPr>
      </w:pPr>
      <w:r w:rsidRPr="00D9073D">
        <w:rPr>
          <w:kern w:val="22"/>
        </w:rPr>
        <w:t>11.</w:t>
      </w:r>
      <w:r w:rsidRPr="00D9073D">
        <w:rPr>
          <w:kern w:val="22"/>
        </w:rPr>
        <w:tab/>
        <w:t xml:space="preserve">Aim to inform both sellers and buyers about potentially invasive alien species, focusing on their legal responsibility. Both social media and specialized media, such as pet magazines/journals/books, especially </w:t>
      </w:r>
      <w:r w:rsidRPr="00D9073D">
        <w:t>journals</w:t>
      </w:r>
      <w:r w:rsidRPr="00D9073D">
        <w:rPr>
          <w:kern w:val="22"/>
        </w:rPr>
        <w:t xml:space="preserve"> from pet or plant association/society and multi-agency targeted publicity campaigns should be used to disseminate correct information, aiming to shift consumer values (e.g. towards native and non-invasive species) and to change behaviours (e.g. to prevent impulse purchase of invasive alien species)</w:t>
      </w:r>
      <w:r w:rsidRPr="00D9073D">
        <w:t xml:space="preserve"> </w:t>
      </w:r>
      <w:r w:rsidRPr="00D9073D">
        <w:rPr>
          <w:kern w:val="22"/>
        </w:rPr>
        <w:t>in accordance with decision XIII/13, paragraph 7(a).</w:t>
      </w:r>
    </w:p>
    <w:p w14:paraId="308DD50C" w14:textId="77777777" w:rsidR="007523D5" w:rsidRPr="00D9073D" w:rsidRDefault="007523D5" w:rsidP="007C5A47">
      <w:pPr>
        <w:suppressLineNumbers/>
        <w:suppressAutoHyphens/>
        <w:spacing w:before="120" w:after="120"/>
        <w:rPr>
          <w:kern w:val="22"/>
        </w:rPr>
      </w:pPr>
      <w:r w:rsidRPr="00D9073D">
        <w:rPr>
          <w:kern w:val="22"/>
        </w:rPr>
        <w:t>12.</w:t>
      </w:r>
      <w:r w:rsidRPr="00D9073D">
        <w:rPr>
          <w:kern w:val="22"/>
        </w:rPr>
        <w:tab/>
        <w:t>Encourage, taking into consideration decision XIII/13, paragraph 7, e-commerce platforms and e</w:t>
      </w:r>
      <w:r w:rsidRPr="00D9073D">
        <w:rPr>
          <w:kern w:val="22"/>
        </w:rPr>
        <w:noBreakHyphen/>
        <w:t xml:space="preserve">payment </w:t>
      </w:r>
      <w:r w:rsidRPr="00D9073D">
        <w:t>service</w:t>
      </w:r>
      <w:r w:rsidRPr="00D9073D">
        <w:rPr>
          <w:kern w:val="22"/>
        </w:rPr>
        <w:t xml:space="preserve"> providers, postal and express courier services to adhere to national regulations, international standards and guidance on invasive alien species in their operations, in consistency with other international obligations.</w:t>
      </w:r>
    </w:p>
    <w:p w14:paraId="4C32EC86" w14:textId="77777777" w:rsidR="007523D5" w:rsidRPr="00D9073D" w:rsidRDefault="007523D5" w:rsidP="007C5A47">
      <w:pPr>
        <w:suppressLineNumbers/>
        <w:suppressAutoHyphens/>
        <w:spacing w:before="120" w:after="120"/>
        <w:rPr>
          <w:kern w:val="22"/>
        </w:rPr>
      </w:pPr>
      <w:r w:rsidRPr="00D9073D">
        <w:rPr>
          <w:kern w:val="22"/>
        </w:rPr>
        <w:t>13.</w:t>
      </w:r>
      <w:r w:rsidRPr="00D9073D">
        <w:rPr>
          <w:kern w:val="22"/>
        </w:rPr>
        <w:tab/>
        <w:t>Consider implementing the Single Window</w:t>
      </w:r>
      <w:r w:rsidRPr="00610646">
        <w:rPr>
          <w:rStyle w:val="FootnoteReference"/>
        </w:rPr>
        <w:footnoteReference w:id="349"/>
      </w:r>
      <w:r w:rsidRPr="00D9073D">
        <w:rPr>
          <w:kern w:val="22"/>
        </w:rPr>
        <w:t xml:space="preserve"> approach, which allows the sharing of standardized information and documents with a single-entry point to fulfil all import, export and transit-related regulatory requirements. Its implementation at the national and/or subnational level may facilitate reporting on regulated articles (including live alien organisms with phytosanitary and sanitary risks, and risks to biodiversity), taking into account decision XII/16, paragraph 6, decision XIII/13, paragraph 7(c) and decision 14/11, annex I, paragraph 33.</w:t>
      </w:r>
    </w:p>
    <w:p w14:paraId="58A8AF3D" w14:textId="77777777" w:rsidR="007523D5" w:rsidRPr="00D9073D" w:rsidRDefault="007523D5" w:rsidP="007C5A47">
      <w:pPr>
        <w:suppressLineNumbers/>
        <w:suppressAutoHyphens/>
        <w:spacing w:before="120" w:after="120"/>
        <w:rPr>
          <w:kern w:val="22"/>
        </w:rPr>
      </w:pPr>
      <w:r w:rsidRPr="00D9073D">
        <w:rPr>
          <w:kern w:val="22"/>
        </w:rPr>
        <w:t>14.</w:t>
      </w:r>
      <w:r w:rsidRPr="00D9073D">
        <w:rPr>
          <w:kern w:val="22"/>
        </w:rPr>
        <w:tab/>
        <w:t>Establish legal and policy frameworks that allow for the advanced international electronic sharing and exchange of data between all actors involved in the international supply chain, as appropriate, and use these data to triage packages and determine the level of inspection needed (risk-based inspection).</w:t>
      </w:r>
    </w:p>
    <w:p w14:paraId="5A5799D7" w14:textId="77777777" w:rsidR="007523D5" w:rsidRPr="00D9073D" w:rsidRDefault="007523D5" w:rsidP="007C5A47">
      <w:pPr>
        <w:jc w:val="center"/>
        <w:rPr>
          <w:i/>
          <w:iCs/>
          <w:kern w:val="22"/>
          <w:szCs w:val="22"/>
        </w:rPr>
      </w:pPr>
      <w:r w:rsidRPr="00D9073D">
        <w:rPr>
          <w:i/>
          <w:iCs/>
          <w:kern w:val="22"/>
          <w:szCs w:val="22"/>
        </w:rPr>
        <w:t>3.</w:t>
      </w:r>
      <w:r w:rsidRPr="00D9073D">
        <w:rPr>
          <w:i/>
          <w:iCs/>
          <w:kern w:val="22"/>
          <w:szCs w:val="22"/>
        </w:rPr>
        <w:tab/>
        <w:t>Monitoring and compliance</w:t>
      </w:r>
    </w:p>
    <w:p w14:paraId="6DB5AF69" w14:textId="77777777" w:rsidR="007523D5" w:rsidRPr="00D9073D" w:rsidRDefault="007523D5" w:rsidP="007C5A47">
      <w:pPr>
        <w:suppressLineNumbers/>
        <w:pBdr>
          <w:top w:val="nil"/>
          <w:left w:val="nil"/>
          <w:bottom w:val="nil"/>
          <w:right w:val="nil"/>
          <w:between w:val="nil"/>
        </w:pBdr>
        <w:suppressAutoHyphens/>
        <w:spacing w:before="120"/>
        <w:rPr>
          <w:color w:val="000000"/>
          <w:kern w:val="22"/>
          <w:szCs w:val="22"/>
        </w:rPr>
      </w:pPr>
      <w:r w:rsidRPr="00D9073D">
        <w:rPr>
          <w:color w:val="000000"/>
          <w:kern w:val="22"/>
          <w:szCs w:val="22"/>
        </w:rPr>
        <w:t>15.</w:t>
      </w:r>
      <w:r w:rsidRPr="00D9073D">
        <w:rPr>
          <w:color w:val="000000"/>
          <w:kern w:val="22"/>
          <w:szCs w:val="22"/>
        </w:rPr>
        <w:tab/>
      </w:r>
      <w:r w:rsidRPr="00D9073D">
        <w:rPr>
          <w:kern w:val="22"/>
          <w:szCs w:val="22"/>
        </w:rPr>
        <w:t xml:space="preserve">Gather data, taking into consideration decision 14/11, annex I, paragraphs 34-36, and in compliance with national legislation and circumstances, using all available means and tools (e.g. crowdsourcing) to </w:t>
      </w:r>
      <w:r w:rsidRPr="00D9073D">
        <w:rPr>
          <w:kern w:val="22"/>
          <w:szCs w:val="22"/>
        </w:rPr>
        <w:lastRenderedPageBreak/>
        <w:t xml:space="preserve">monitor compliance and to evaluate the efficacy of activities that are implemented to mitigate risks associated with e-commerce. The data collected should be used, together with other relevant information including compliance history, and relevant information from indigenous peoples and local communities with their free, prior and informed consent, to inform risk-based inspections and determine if investigation or enforcement action is needed. </w:t>
      </w:r>
      <w:r w:rsidRPr="00D9073D">
        <w:rPr>
          <w:color w:val="000000"/>
          <w:kern w:val="22"/>
          <w:szCs w:val="22"/>
        </w:rPr>
        <w:t>Data analytics should be applied to discern any abnormal trends and patterns, including potential invasive alien species incursion and impact risks.</w:t>
      </w:r>
    </w:p>
    <w:p w14:paraId="6E1734F8" w14:textId="77777777" w:rsidR="007523D5" w:rsidRPr="00D9073D" w:rsidRDefault="007523D5" w:rsidP="007C5A47">
      <w:pPr>
        <w:suppressLineNumbers/>
        <w:suppressAutoHyphens/>
        <w:spacing w:before="120" w:after="120"/>
        <w:rPr>
          <w:kern w:val="22"/>
        </w:rPr>
      </w:pPr>
      <w:r w:rsidRPr="00D9073D">
        <w:rPr>
          <w:kern w:val="22"/>
        </w:rPr>
        <w:t>16.</w:t>
      </w:r>
      <w:r w:rsidRPr="00D9073D">
        <w:rPr>
          <w:kern w:val="22"/>
        </w:rPr>
        <w:tab/>
        <w:t>Disseminate good practices and risk-based interventions using best practice methods of data analytics to facilitate legitimate e-commerce and, at the same time, identify and stop illicit trade. Wherever possible, prioritize the use of non-intrusive inspection (NII) technologies, and promote the adequacy of existing technologies e.g. scanners, sniffer dogs and other available tools for the detection of invasive alien species, and the further development of automated biosensors to improve efficient detection of prohibited and restricted articles moving through the express courier and postal systems.</w:t>
      </w:r>
    </w:p>
    <w:p w14:paraId="0B58089B" w14:textId="77777777" w:rsidR="007523D5" w:rsidRPr="00D9073D" w:rsidRDefault="007523D5" w:rsidP="007C5A47">
      <w:pPr>
        <w:suppressLineNumbers/>
        <w:pBdr>
          <w:top w:val="nil"/>
          <w:left w:val="nil"/>
          <w:bottom w:val="nil"/>
          <w:right w:val="nil"/>
          <w:between w:val="nil"/>
        </w:pBdr>
        <w:suppressAutoHyphens/>
        <w:rPr>
          <w:color w:val="000000"/>
          <w:kern w:val="22"/>
          <w:szCs w:val="22"/>
        </w:rPr>
      </w:pPr>
      <w:r w:rsidRPr="00D9073D">
        <w:rPr>
          <w:color w:val="000000"/>
          <w:kern w:val="22"/>
          <w:szCs w:val="22"/>
        </w:rPr>
        <w:t>17.</w:t>
      </w:r>
      <w:r w:rsidRPr="00D9073D">
        <w:rPr>
          <w:color w:val="000000"/>
          <w:kern w:val="22"/>
          <w:szCs w:val="22"/>
        </w:rPr>
        <w:tab/>
      </w:r>
      <w:r w:rsidRPr="00D9073D">
        <w:rPr>
          <w:kern w:val="22"/>
          <w:szCs w:val="22"/>
        </w:rPr>
        <w:t>Develop and implement training and tools to facilitate appropriate level of monitoring and inspection in e-commerce markets. This could include developing guidance on monitoring of e-commerce platforms and on the issuance of warnings, notices and other enforcement actions when non-compliances are found in e-commerce transactions, and the proper handling of restricted items seized in compliance with national and/or subnational law</w:t>
      </w:r>
      <w:r w:rsidRPr="00D9073D">
        <w:rPr>
          <w:color w:val="000000"/>
          <w:kern w:val="22"/>
          <w:szCs w:val="22"/>
        </w:rPr>
        <w:t>.</w:t>
      </w:r>
    </w:p>
    <w:p w14:paraId="4B4ED52F" w14:textId="77777777" w:rsidR="007523D5" w:rsidRPr="00D9073D" w:rsidRDefault="007523D5" w:rsidP="007C5A47">
      <w:pPr>
        <w:pStyle w:val="heading2notforTOC"/>
        <w:ind w:left="1134" w:hanging="425"/>
        <w:jc w:val="left"/>
        <w:outlineLvl w:val="9"/>
        <w:rPr>
          <w:i w:val="0"/>
          <w:iCs w:val="0"/>
          <w:szCs w:val="22"/>
        </w:rPr>
      </w:pPr>
      <w:r w:rsidRPr="00D9073D">
        <w:rPr>
          <w:szCs w:val="22"/>
        </w:rPr>
        <w:t>B.</w:t>
      </w:r>
      <w:r w:rsidRPr="00D9073D">
        <w:rPr>
          <w:szCs w:val="22"/>
        </w:rPr>
        <w:tab/>
        <w:t>Suggested actions for web marketplaces (sale platforms) and e-payment service providers, postal and express courier services</w:t>
      </w:r>
    </w:p>
    <w:p w14:paraId="2A5552BA" w14:textId="77777777" w:rsidR="007523D5" w:rsidRPr="00D9073D" w:rsidRDefault="007523D5" w:rsidP="007C5A47">
      <w:pPr>
        <w:suppressLineNumbers/>
        <w:suppressAutoHyphens/>
        <w:spacing w:before="120" w:after="120"/>
        <w:rPr>
          <w:kern w:val="22"/>
        </w:rPr>
      </w:pPr>
      <w:r w:rsidRPr="00D9073D">
        <w:rPr>
          <w:kern w:val="22"/>
        </w:rPr>
        <w:t>18.</w:t>
      </w:r>
      <w:r w:rsidRPr="00D9073D">
        <w:rPr>
          <w:kern w:val="22"/>
        </w:rPr>
        <w:tab/>
        <w:t>Web marketplaces (sale platforms) and e-payment service providers, postal and express courier services are strongly encouraged to:</w:t>
      </w:r>
    </w:p>
    <w:p w14:paraId="26537D91" w14:textId="77777777" w:rsidR="007523D5" w:rsidRPr="00D9073D" w:rsidRDefault="007523D5" w:rsidP="007C5A47">
      <w:pPr>
        <w:suppressLineNumbers/>
        <w:suppressAutoHyphens/>
        <w:spacing w:after="120"/>
        <w:ind w:firstLine="720"/>
        <w:rPr>
          <w:kern w:val="22"/>
        </w:rPr>
      </w:pPr>
      <w:r w:rsidRPr="00D9073D">
        <w:rPr>
          <w:kern w:val="22"/>
        </w:rPr>
        <w:t>(a)</w:t>
      </w:r>
      <w:r w:rsidRPr="00D9073D">
        <w:rPr>
          <w:kern w:val="22"/>
        </w:rPr>
        <w:tab/>
        <w:t>Consider the information available from relevant international bodies, national and/or subnational authorities and other sources, regarding the risks (both legal and environmental) posed by invasive alien species and take steps accordingly to make their users aware of them, taking into account decision 14/11, annex I, paragraphs 11-13;</w:t>
      </w:r>
    </w:p>
    <w:p w14:paraId="6C04EEE7" w14:textId="77777777" w:rsidR="007523D5" w:rsidRPr="00D9073D" w:rsidRDefault="007523D5" w:rsidP="007C5A47">
      <w:pPr>
        <w:suppressLineNumbers/>
        <w:suppressAutoHyphens/>
        <w:spacing w:after="120"/>
        <w:ind w:firstLine="720"/>
        <w:rPr>
          <w:kern w:val="22"/>
        </w:rPr>
      </w:pPr>
      <w:r w:rsidRPr="00D9073D">
        <w:rPr>
          <w:kern w:val="22"/>
        </w:rPr>
        <w:t>(b)</w:t>
      </w:r>
      <w:r w:rsidRPr="00D9073D">
        <w:rPr>
          <w:kern w:val="22"/>
        </w:rPr>
        <w:tab/>
        <w:t>Monitor e-commerce taking place within their platforms or jurisdiction and, consistent with relevant national and/or subnational legislation, alert relevant authorities where there is evidence of illegal or otherwise potentially damaging trade in invasive alien species taking place;</w:t>
      </w:r>
    </w:p>
    <w:p w14:paraId="144DFBD9" w14:textId="77777777" w:rsidR="007523D5" w:rsidRPr="00D9073D" w:rsidRDefault="007523D5" w:rsidP="007C5A47">
      <w:pPr>
        <w:suppressLineNumbers/>
        <w:suppressAutoHyphens/>
        <w:spacing w:after="120"/>
        <w:ind w:firstLine="720"/>
        <w:rPr>
          <w:kern w:val="22"/>
        </w:rPr>
      </w:pPr>
      <w:r w:rsidRPr="00D9073D">
        <w:rPr>
          <w:kern w:val="22"/>
        </w:rPr>
        <w:t>(c)</w:t>
      </w:r>
      <w:r w:rsidRPr="00D9073D">
        <w:rPr>
          <w:kern w:val="22"/>
        </w:rPr>
        <w:tab/>
        <w:t>Develop and apply improved management measures to minimize the risks of introduction of invasive alien species through e-commerce, consistent with international and national obligations.</w:t>
      </w:r>
    </w:p>
    <w:p w14:paraId="0EC364EA" w14:textId="77777777" w:rsidR="007523D5" w:rsidRPr="00D9073D" w:rsidRDefault="007523D5" w:rsidP="007C5A47">
      <w:pPr>
        <w:pStyle w:val="heading2notforTOC"/>
        <w:outlineLvl w:val="9"/>
        <w:rPr>
          <w:i w:val="0"/>
          <w:iCs w:val="0"/>
          <w:color w:val="000000"/>
          <w:szCs w:val="22"/>
          <w:u w:color="000000"/>
          <w:bdr w:val="nil"/>
          <w:lang w:val="en-US"/>
        </w:rPr>
      </w:pPr>
      <w:r w:rsidRPr="00D9073D">
        <w:rPr>
          <w:szCs w:val="22"/>
        </w:rPr>
        <w:t>C.</w:t>
      </w:r>
      <w:r w:rsidRPr="00D9073D">
        <w:rPr>
          <w:szCs w:val="22"/>
        </w:rPr>
        <w:tab/>
        <w:t xml:space="preserve">Suggested actions for </w:t>
      </w:r>
      <w:bookmarkStart w:id="319" w:name="_Hlk27157522"/>
      <w:r w:rsidRPr="00D9073D">
        <w:rPr>
          <w:szCs w:val="22"/>
        </w:rPr>
        <w:t xml:space="preserve">international bodies/agreements </w:t>
      </w:r>
      <w:bookmarkEnd w:id="319"/>
      <w:r w:rsidRPr="00D9073D">
        <w:rPr>
          <w:szCs w:val="22"/>
        </w:rPr>
        <w:t>and cross-jurisdictional collaboration</w:t>
      </w:r>
    </w:p>
    <w:p w14:paraId="79031782" w14:textId="77777777" w:rsidR="007523D5" w:rsidRPr="00D9073D" w:rsidRDefault="007523D5" w:rsidP="007C5A47">
      <w:pPr>
        <w:suppressLineNumbers/>
        <w:suppressAutoHyphens/>
        <w:spacing w:before="120" w:after="120"/>
        <w:rPr>
          <w:kern w:val="22"/>
        </w:rPr>
      </w:pPr>
      <w:r w:rsidRPr="00D9073D">
        <w:rPr>
          <w:kern w:val="22"/>
        </w:rPr>
        <w:t>19.</w:t>
      </w:r>
      <w:r w:rsidRPr="00D9073D">
        <w:rPr>
          <w:kern w:val="22"/>
        </w:rPr>
        <w:tab/>
        <w:t>International bodies/agreements, in collaboration with regional organizations and national authorities, as relevant, are strongly encouraged to undertake the following:</w:t>
      </w:r>
    </w:p>
    <w:p w14:paraId="06A9C067" w14:textId="77777777" w:rsidR="007523D5" w:rsidRPr="00D9073D" w:rsidRDefault="007523D5" w:rsidP="007C5A47">
      <w:pPr>
        <w:suppressLineNumbers/>
        <w:suppressAutoHyphens/>
        <w:spacing w:before="120" w:after="120"/>
        <w:ind w:firstLine="720"/>
        <w:rPr>
          <w:kern w:val="22"/>
        </w:rPr>
      </w:pPr>
      <w:r w:rsidRPr="00D9073D">
        <w:rPr>
          <w:kern w:val="22"/>
        </w:rPr>
        <w:t>(a)</w:t>
      </w:r>
      <w:r w:rsidRPr="00D9073D">
        <w:rPr>
          <w:kern w:val="22"/>
        </w:rPr>
        <w:tab/>
        <w:t>Collaborate to share data, information, technology and expertise on e-commerce in potential invasive alien species;</w:t>
      </w:r>
    </w:p>
    <w:p w14:paraId="3946F1BB" w14:textId="77777777" w:rsidR="007523D5" w:rsidRPr="00D9073D" w:rsidRDefault="007523D5" w:rsidP="007C5A47">
      <w:pPr>
        <w:suppressLineNumbers/>
        <w:suppressAutoHyphens/>
        <w:spacing w:before="120" w:after="120"/>
        <w:ind w:firstLine="720"/>
        <w:rPr>
          <w:kern w:val="22"/>
        </w:rPr>
      </w:pPr>
      <w:r w:rsidRPr="00D9073D">
        <w:rPr>
          <w:kern w:val="22"/>
        </w:rPr>
        <w:t>(b)</w:t>
      </w:r>
      <w:r w:rsidRPr="00D9073D">
        <w:rPr>
          <w:kern w:val="22"/>
        </w:rPr>
        <w:tab/>
        <w:t>Draw on guidance from other international bodies, including the ongoing work by the World Customs Organization and in the Bern Convention;</w:t>
      </w:r>
    </w:p>
    <w:p w14:paraId="71B46341" w14:textId="77777777" w:rsidR="007523D5" w:rsidRPr="00D9073D" w:rsidRDefault="007523D5" w:rsidP="007C5A47">
      <w:pPr>
        <w:suppressLineNumbers/>
        <w:suppressAutoHyphens/>
        <w:spacing w:before="120" w:after="120"/>
        <w:ind w:firstLine="720"/>
        <w:rPr>
          <w:kern w:val="22"/>
        </w:rPr>
      </w:pPr>
      <w:r w:rsidRPr="00D9073D">
        <w:rPr>
          <w:kern w:val="22"/>
        </w:rPr>
        <w:t>(c)</w:t>
      </w:r>
      <w:r w:rsidRPr="00D9073D">
        <w:rPr>
          <w:kern w:val="22"/>
        </w:rPr>
        <w:tab/>
        <w:t>Continue to monitor e-commerce with potential invasive alien species at the global and regional levels with a view to identifying trends and risks in trade of invasive alien species;</w:t>
      </w:r>
    </w:p>
    <w:p w14:paraId="3050AA07" w14:textId="77777777" w:rsidR="007523D5" w:rsidRPr="00D9073D" w:rsidRDefault="007523D5" w:rsidP="007C5A47">
      <w:pPr>
        <w:suppressLineNumbers/>
        <w:suppressAutoHyphens/>
        <w:spacing w:before="120" w:after="120"/>
        <w:ind w:firstLine="720"/>
        <w:rPr>
          <w:kern w:val="22"/>
        </w:rPr>
      </w:pPr>
      <w:r w:rsidRPr="00D9073D">
        <w:rPr>
          <w:kern w:val="22"/>
        </w:rPr>
        <w:t>(d)</w:t>
      </w:r>
      <w:r w:rsidRPr="00D9073D">
        <w:rPr>
          <w:kern w:val="22"/>
        </w:rPr>
        <w:tab/>
        <w:t>Prepare guidance to assist national border agencies in responding to non-compliance, considering that both domestic and international actions may be required to respond effectively;</w:t>
      </w:r>
    </w:p>
    <w:p w14:paraId="21979A4C" w14:textId="77777777" w:rsidR="007523D5" w:rsidRPr="00D9073D" w:rsidRDefault="007523D5" w:rsidP="007C5A47">
      <w:pPr>
        <w:suppressLineNumbers/>
        <w:suppressAutoHyphens/>
        <w:spacing w:before="120" w:after="120"/>
        <w:ind w:firstLine="720"/>
        <w:rPr>
          <w:kern w:val="22"/>
        </w:rPr>
      </w:pPr>
      <w:r w:rsidRPr="00D9073D">
        <w:rPr>
          <w:kern w:val="22"/>
        </w:rPr>
        <w:t>(e)</w:t>
      </w:r>
      <w:r w:rsidRPr="00D9073D">
        <w:rPr>
          <w:kern w:val="22"/>
        </w:rPr>
        <w:tab/>
        <w:t>Improve collaboration between national border agencies in order to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trade;</w:t>
      </w:r>
    </w:p>
    <w:p w14:paraId="50072196" w14:textId="77777777" w:rsidR="007523D5" w:rsidRPr="00D9073D" w:rsidRDefault="007523D5" w:rsidP="007C5A47">
      <w:pPr>
        <w:suppressLineNumbers/>
        <w:suppressAutoHyphens/>
        <w:spacing w:before="120" w:after="120"/>
        <w:ind w:firstLine="720"/>
        <w:rPr>
          <w:kern w:val="22"/>
        </w:rPr>
      </w:pPr>
      <w:r w:rsidRPr="00D9073D">
        <w:rPr>
          <w:kern w:val="22"/>
        </w:rPr>
        <w:lastRenderedPageBreak/>
        <w:t>(f)</w:t>
      </w:r>
      <w:r w:rsidRPr="00D9073D">
        <w:rPr>
          <w:kern w:val="22"/>
        </w:rPr>
        <w:tab/>
        <w:t>Conduct joint capacity-building activities with relevant organizations, Parties and other Governments and provide technical assistance and resources for implementing existing international guidelines and standards, and developing national and/or subnational regulatory frameworks or measures to address the risks associated with e-commerce for all relevant stakeholders including indigenous peoples and local communities;</w:t>
      </w:r>
    </w:p>
    <w:p w14:paraId="3CA05860" w14:textId="77777777" w:rsidR="007523D5" w:rsidRPr="00D9073D" w:rsidRDefault="007523D5" w:rsidP="007C5A47">
      <w:pPr>
        <w:suppressLineNumbers/>
        <w:suppressAutoHyphens/>
        <w:spacing w:before="120" w:after="120"/>
        <w:ind w:firstLine="720"/>
        <w:rPr>
          <w:kern w:val="22"/>
        </w:rPr>
      </w:pPr>
      <w:r w:rsidRPr="00D9073D">
        <w:rPr>
          <w:kern w:val="22"/>
        </w:rPr>
        <w:t>(g)</w:t>
      </w:r>
      <w:r w:rsidRPr="00D9073D">
        <w:rPr>
          <w:kern w:val="22"/>
        </w:rPr>
        <w:tab/>
        <w:t>Expand the concept of “authorized economic operators”</w:t>
      </w:r>
      <w:r w:rsidRPr="00610646">
        <w:rPr>
          <w:rStyle w:val="FootnoteReference"/>
        </w:rPr>
        <w:footnoteReference w:id="350"/>
      </w:r>
      <w:r w:rsidRPr="00D9073D">
        <w:rPr>
          <w:kern w:val="22"/>
        </w:rPr>
        <w:t xml:space="preserve"> (AEO); trusted trader to cross-border e-commerce and include invasive alien species risks in AEO criteria and requirements. Implementing AEO and trusted trader programmes in the e-commerce environment for postal operators, express carriers and e-platforms, which would result in a lower frequency of inspections;</w:t>
      </w:r>
    </w:p>
    <w:p w14:paraId="6E6B2F64" w14:textId="77777777" w:rsidR="007523D5" w:rsidRPr="00D9073D" w:rsidRDefault="007523D5" w:rsidP="007C5A47">
      <w:pPr>
        <w:suppressLineNumbers/>
        <w:suppressAutoHyphens/>
        <w:spacing w:before="120" w:after="120"/>
        <w:ind w:firstLine="720"/>
        <w:rPr>
          <w:kern w:val="22"/>
        </w:rPr>
      </w:pPr>
      <w:r w:rsidRPr="00D9073D">
        <w:rPr>
          <w:kern w:val="22"/>
        </w:rPr>
        <w:t>(h)</w:t>
      </w:r>
      <w:r w:rsidRPr="00D9073D">
        <w:rPr>
          <w:kern w:val="22"/>
        </w:rPr>
        <w:tab/>
        <w:t>Establish frameworks that allow for the advanced electronic exchange of data between all parties involved in the international supply chain and use these data to triage packages and determine the level of inspection needed (risk-based inspection).</w:t>
      </w:r>
    </w:p>
    <w:p w14:paraId="21060B56" w14:textId="77777777" w:rsidR="007523D5" w:rsidRPr="00D9073D" w:rsidRDefault="007523D5" w:rsidP="007C5A47">
      <w:pPr>
        <w:pStyle w:val="heading2notforTOC"/>
        <w:outlineLvl w:val="9"/>
        <w:rPr>
          <w:i w:val="0"/>
          <w:iCs w:val="0"/>
          <w:color w:val="000000"/>
          <w:szCs w:val="22"/>
          <w:u w:color="000000"/>
          <w:bdr w:val="nil"/>
          <w:lang w:val="en-US"/>
        </w:rPr>
      </w:pPr>
      <w:r w:rsidRPr="00D9073D">
        <w:rPr>
          <w:szCs w:val="22"/>
        </w:rPr>
        <w:t>D.</w:t>
      </w:r>
      <w:r w:rsidRPr="00D9073D">
        <w:rPr>
          <w:szCs w:val="22"/>
        </w:rPr>
        <w:tab/>
        <w:t xml:space="preserve">Suggested actions for </w:t>
      </w:r>
      <w:bookmarkStart w:id="320" w:name="_Hlk27157610"/>
      <w:r w:rsidRPr="00D9073D">
        <w:rPr>
          <w:szCs w:val="22"/>
        </w:rPr>
        <w:t>relevant international expert organizations</w:t>
      </w:r>
      <w:bookmarkEnd w:id="320"/>
    </w:p>
    <w:p w14:paraId="7FEDAD64" w14:textId="77777777" w:rsidR="007523D5" w:rsidRPr="00D9073D" w:rsidRDefault="007523D5" w:rsidP="007C5A47">
      <w:pPr>
        <w:suppressLineNumbers/>
        <w:suppressAutoHyphens/>
        <w:spacing w:before="120" w:after="120"/>
        <w:rPr>
          <w:kern w:val="22"/>
        </w:rPr>
      </w:pPr>
      <w:r w:rsidRPr="00D9073D">
        <w:rPr>
          <w:kern w:val="22"/>
        </w:rPr>
        <w:t>20.</w:t>
      </w:r>
      <w:r w:rsidRPr="00D9073D">
        <w:rPr>
          <w:kern w:val="22"/>
        </w:rPr>
        <w:tab/>
        <w:t>Relevant international expert organizations are strongly encouraged to:</w:t>
      </w:r>
    </w:p>
    <w:p w14:paraId="5C21DCA6" w14:textId="77777777" w:rsidR="007523D5" w:rsidRPr="00D9073D" w:rsidRDefault="007523D5" w:rsidP="007C5A47">
      <w:pPr>
        <w:suppressLineNumbers/>
        <w:suppressAutoHyphens/>
        <w:spacing w:before="120" w:after="120"/>
        <w:ind w:firstLine="709"/>
        <w:rPr>
          <w:kern w:val="22"/>
        </w:rPr>
      </w:pPr>
      <w:r w:rsidRPr="00D9073D">
        <w:rPr>
          <w:kern w:val="22"/>
        </w:rPr>
        <w:t>(a)</w:t>
      </w:r>
      <w:r w:rsidRPr="00D9073D">
        <w:rPr>
          <w:kern w:val="22"/>
        </w:rPr>
        <w:tab/>
        <w:t>Raise awareness among international, national organizations and e-commerce stakeholders about import/export requirements and what can be done to minimize the risk of introduction and spread of alien and potentially invasive species associated with e-commerce, taking into account decision XIII/13 paragraph 7(a);</w:t>
      </w:r>
    </w:p>
    <w:p w14:paraId="0BA9A803" w14:textId="7A12B442" w:rsidR="007523D5" w:rsidRPr="00D9073D" w:rsidRDefault="007523D5" w:rsidP="000B1FDA">
      <w:pPr>
        <w:ind w:firstLine="709"/>
        <w:rPr>
          <w:kern w:val="22"/>
          <w:szCs w:val="22"/>
        </w:rPr>
      </w:pPr>
      <w:r w:rsidRPr="00D9073D">
        <w:rPr>
          <w:kern w:val="22"/>
          <w:szCs w:val="22"/>
        </w:rPr>
        <w:t>(b)</w:t>
      </w:r>
      <w:r w:rsidRPr="00D9073D">
        <w:rPr>
          <w:kern w:val="22"/>
          <w:szCs w:val="22"/>
        </w:rPr>
        <w:tab/>
        <w:t>Building on such frameworks as EICAT,</w:t>
      </w:r>
      <w:r w:rsidRPr="00610646">
        <w:rPr>
          <w:rStyle w:val="FootnoteReference"/>
        </w:rPr>
        <w:footnoteReference w:id="351"/>
      </w:r>
      <w:r w:rsidRPr="00D9073D">
        <w:rPr>
          <w:kern w:val="22"/>
          <w:szCs w:val="22"/>
        </w:rPr>
        <w:t xml:space="preserve"> establish an international invasive alien species risk-based labelling system, to be used for all species sold via e-commerce and provide guidance on the handling and care of organisms. On consignments of live alien species, such labelling should include information to enable identification of hazards for biodiversity and the identification of species or lower taxa (e.g., scientific name, taxonomic serial number or its equivalent), taking into account decisions XII/17 and 14/11 as well as the ongoing work of the Economic and Social Council’s Sub-Committee of Experts on the Transport of Dangerous Goods.</w:t>
      </w:r>
    </w:p>
    <w:p w14:paraId="2625E731" w14:textId="77777777" w:rsidR="007523D5" w:rsidRPr="0027619F" w:rsidRDefault="007523D5" w:rsidP="0040286E">
      <w:pPr>
        <w:keepNext/>
        <w:suppressLineNumbers/>
        <w:suppressAutoHyphens/>
        <w:spacing w:before="120" w:after="120"/>
        <w:jc w:val="center"/>
        <w:rPr>
          <w:rFonts w:asciiTheme="majorBidi" w:hAnsiTheme="majorBidi" w:cstheme="majorBidi"/>
          <w:i/>
          <w:snapToGrid w:val="0"/>
          <w:kern w:val="22"/>
          <w:szCs w:val="22"/>
        </w:rPr>
      </w:pPr>
      <w:r w:rsidRPr="0027619F">
        <w:rPr>
          <w:rFonts w:asciiTheme="majorBidi" w:hAnsiTheme="majorBidi" w:cstheme="majorBidi"/>
          <w:i/>
          <w:snapToGrid w:val="0"/>
          <w:kern w:val="22"/>
          <w:szCs w:val="22"/>
        </w:rPr>
        <w:t>Annex III</w:t>
      </w:r>
    </w:p>
    <w:p w14:paraId="172306C3" w14:textId="77777777" w:rsidR="007523D5" w:rsidRPr="00D9073D" w:rsidRDefault="007523D5" w:rsidP="0040286E">
      <w:pPr>
        <w:keepNext/>
        <w:suppressLineNumbers/>
        <w:suppressAutoHyphens/>
        <w:spacing w:before="120" w:after="120"/>
        <w:jc w:val="center"/>
        <w:rPr>
          <w:rFonts w:asciiTheme="majorBidi" w:hAnsiTheme="majorBidi" w:cstheme="majorBidi"/>
          <w:b/>
          <w:bCs/>
          <w:caps/>
          <w:kern w:val="22"/>
        </w:rPr>
      </w:pPr>
      <w:r w:rsidRPr="0027619F">
        <w:rPr>
          <w:rFonts w:asciiTheme="majorBidi" w:hAnsiTheme="majorBidi" w:cstheme="majorBidi"/>
          <w:b/>
          <w:bCs/>
          <w:caps/>
          <w:spacing w:val="-2"/>
          <w:kern w:val="22"/>
        </w:rPr>
        <w:t>Draft methods, tools and strategies for the management of invasive alien species as it relates to prevention of potential risks arising from climate change and associated natural disasters and land use changes</w:t>
      </w:r>
    </w:p>
    <w:p w14:paraId="35C73704" w14:textId="77777777" w:rsidR="007523D5" w:rsidRPr="00D9073D" w:rsidRDefault="007523D5" w:rsidP="007C5A47">
      <w:pPr>
        <w:spacing w:before="120" w:after="120"/>
        <w:jc w:val="center"/>
        <w:rPr>
          <w:rFonts w:asciiTheme="majorBidi" w:hAnsiTheme="majorBidi" w:cstheme="majorBidi"/>
          <w:b/>
          <w:bCs/>
          <w:caps/>
          <w:spacing w:val="-2"/>
          <w:kern w:val="22"/>
          <w:szCs w:val="22"/>
        </w:rPr>
      </w:pPr>
      <w:r w:rsidRPr="00D9073D">
        <w:rPr>
          <w:rFonts w:asciiTheme="majorBidi" w:hAnsiTheme="majorBidi" w:cstheme="majorBidi"/>
          <w:b/>
          <w:bCs/>
          <w:caps/>
          <w:spacing w:val="-2"/>
          <w:kern w:val="22"/>
          <w:szCs w:val="22"/>
        </w:rPr>
        <w:t xml:space="preserve">(Provisional </w:t>
      </w:r>
      <w:r w:rsidRPr="00D9073D">
        <w:rPr>
          <w:rFonts w:asciiTheme="majorBidi" w:hAnsiTheme="majorBidi" w:cstheme="majorBidi"/>
          <w:b/>
          <w:bCs/>
          <w:caps/>
          <w:kern w:val="22"/>
          <w:szCs w:val="22"/>
        </w:rPr>
        <w:t>advice pursuant to decision 14/11, annex II, paragraph 1 (c))</w:t>
      </w:r>
    </w:p>
    <w:p w14:paraId="36965591"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1.</w:t>
      </w:r>
      <w:r w:rsidRPr="00D9073D">
        <w:rPr>
          <w:rFonts w:asciiTheme="majorBidi" w:hAnsiTheme="majorBidi" w:cstheme="majorBidi"/>
          <w:bCs/>
          <w:color w:val="000000"/>
          <w:kern w:val="22"/>
          <w:szCs w:val="22"/>
        </w:rPr>
        <w:tab/>
        <w:t>The interactions of climate change, associated changes in land and marine ecosystems and biological invasions will have profound consequences for biodiversity. These interactions are considered and potential responses enumerated in CBD/AHTEG/IAS/2019/1/2.</w:t>
      </w:r>
    </w:p>
    <w:p w14:paraId="405D6F99"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2.</w:t>
      </w:r>
      <w:r w:rsidRPr="00D9073D">
        <w:rPr>
          <w:rFonts w:asciiTheme="majorBidi" w:hAnsiTheme="majorBidi" w:cstheme="majorBidi"/>
          <w:bCs/>
          <w:color w:val="000000"/>
          <w:kern w:val="22"/>
          <w:szCs w:val="22"/>
        </w:rPr>
        <w:tab/>
        <w:t>Climate change is aiding increased rates (and risk of</w:t>
      </w:r>
      <w:r w:rsidRPr="00340DCD">
        <w:rPr>
          <w:rFonts w:asciiTheme="majorBidi" w:hAnsiTheme="majorBidi" w:cstheme="majorBidi"/>
          <w:bCs/>
          <w:color w:val="000000"/>
          <w:kern w:val="22"/>
          <w:szCs w:val="22"/>
        </w:rPr>
        <w:t>)</w:t>
      </w:r>
      <w:r w:rsidRPr="00D9073D">
        <w:rPr>
          <w:rFonts w:asciiTheme="majorBidi" w:hAnsiTheme="majorBidi" w:cstheme="majorBidi"/>
          <w:bCs/>
          <w:color w:val="000000"/>
          <w:kern w:val="22"/>
          <w:szCs w:val="22"/>
        </w:rPr>
        <w:t xml:space="preserve"> spread of many alien species. Human adaptations to climate change will alter land-use and increase disturbances in the ecosystem that, in turn, facilitate the establishment of alien species.</w:t>
      </w:r>
    </w:p>
    <w:p w14:paraId="5B8F04D7"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3.</w:t>
      </w:r>
      <w:r w:rsidRPr="00D9073D">
        <w:rPr>
          <w:rFonts w:asciiTheme="majorBidi" w:hAnsiTheme="majorBidi" w:cstheme="majorBidi"/>
          <w:bCs/>
          <w:color w:val="000000"/>
          <w:kern w:val="22"/>
          <w:szCs w:val="22"/>
        </w:rPr>
        <w:tab/>
        <w:t xml:space="preserve">Not all invasive alien species incursions are successful, nor will all invasive alien species benefit from climate change, as some may become less abundant under particular changing climates. Some invasive </w:t>
      </w:r>
      <w:r w:rsidRPr="00D9073D">
        <w:rPr>
          <w:rFonts w:asciiTheme="majorBidi" w:hAnsiTheme="majorBidi" w:cstheme="majorBidi"/>
          <w:bCs/>
          <w:color w:val="000000"/>
          <w:kern w:val="22"/>
          <w:szCs w:val="22"/>
        </w:rPr>
        <w:lastRenderedPageBreak/>
        <w:t>alien species will decline in importance while some currently low impact alien species may become significant invasive alien species.</w:t>
      </w:r>
    </w:p>
    <w:p w14:paraId="18B99828"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4.</w:t>
      </w:r>
      <w:r w:rsidRPr="00D9073D">
        <w:rPr>
          <w:rFonts w:asciiTheme="majorBidi" w:hAnsiTheme="majorBidi" w:cstheme="majorBidi"/>
          <w:bCs/>
          <w:color w:val="000000"/>
          <w:kern w:val="22"/>
          <w:szCs w:val="22"/>
        </w:rPr>
        <w:tab/>
        <w:t>Climate change may exacerbate existing problems and impacts of invasive alien species, with both direct and indirect impacts on biodiversity and socioeconomic values. Changing ocean currents will have huge impacts on species movements in marine environments as well as influence climatic conditions on land. Loss of permanent sea ice is opening up new sea transport routes and shipping in the Arctic is creating greater probability of invasive alien species introduction and establishment in the Arctic terrestrial and marine environments.</w:t>
      </w:r>
    </w:p>
    <w:p w14:paraId="230EE729"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5.</w:t>
      </w:r>
      <w:r w:rsidRPr="00D9073D">
        <w:rPr>
          <w:rFonts w:asciiTheme="majorBidi" w:hAnsiTheme="majorBidi" w:cstheme="majorBidi"/>
          <w:bCs/>
          <w:color w:val="000000"/>
          <w:kern w:val="22"/>
          <w:szCs w:val="22"/>
        </w:rPr>
        <w:tab/>
        <w:t>Climate change is associated with more frequent extreme weather events like cyclones and flooding. Extreme weather events cannot only transport invasive alien species to new areas, but also cause disturbances in habitats which enable invasive alien species to establish themselves and spread. Climate-induced extreme weather events can also lead to sudden human population movements and displaced people can inadvertently transport invasive alien species.</w:t>
      </w:r>
    </w:p>
    <w:p w14:paraId="0DC6E551"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6</w:t>
      </w:r>
      <w:r w:rsidRPr="00D9073D">
        <w:rPr>
          <w:rFonts w:asciiTheme="majorBidi" w:hAnsiTheme="majorBidi" w:cstheme="majorBidi"/>
          <w:bCs/>
          <w:color w:val="000000"/>
          <w:kern w:val="22"/>
          <w:szCs w:val="22"/>
        </w:rPr>
        <w:tab/>
        <w:t>Prevention and management of invasive alien species under climate change becomes an even greater challenge with climate change. New prioritization actions will be required.</w:t>
      </w:r>
    </w:p>
    <w:p w14:paraId="22580A9A" w14:textId="77777777" w:rsidR="007523D5" w:rsidRPr="00D9073D" w:rsidRDefault="007523D5"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7</w:t>
      </w:r>
      <w:r>
        <w:rPr>
          <w:rFonts w:asciiTheme="majorBidi" w:hAnsiTheme="majorBidi" w:cstheme="majorBidi"/>
          <w:bCs/>
          <w:color w:val="000000"/>
          <w:kern w:val="22"/>
          <w:szCs w:val="22"/>
        </w:rPr>
        <w:t>.</w:t>
      </w:r>
      <w:r w:rsidRPr="00D9073D">
        <w:rPr>
          <w:rFonts w:asciiTheme="majorBidi" w:hAnsiTheme="majorBidi" w:cstheme="majorBidi"/>
          <w:bCs/>
          <w:color w:val="000000"/>
          <w:kern w:val="22"/>
          <w:szCs w:val="22"/>
        </w:rPr>
        <w:tab/>
        <w:t>For more information on tools that support management of invasive alien species in the face of climate change</w:t>
      </w:r>
      <w:r w:rsidRPr="00340DCD">
        <w:rPr>
          <w:rFonts w:asciiTheme="majorBidi" w:hAnsiTheme="majorBidi" w:cstheme="majorBidi"/>
          <w:bCs/>
          <w:color w:val="000000"/>
          <w:kern w:val="22"/>
          <w:szCs w:val="22"/>
        </w:rPr>
        <w:t xml:space="preserve">, see the </w:t>
      </w:r>
      <w:r w:rsidRPr="00340DCD">
        <w:rPr>
          <w:bCs/>
          <w:kern w:val="18"/>
          <w:szCs w:val="18"/>
        </w:rPr>
        <w:t>synthesis report of the Online Forum</w:t>
      </w:r>
      <w:r w:rsidRPr="00D9073D">
        <w:rPr>
          <w:rFonts w:asciiTheme="majorBidi" w:hAnsiTheme="majorBidi" w:cstheme="majorBidi"/>
          <w:bCs/>
          <w:color w:val="000000"/>
          <w:kern w:val="22"/>
          <w:szCs w:val="22"/>
        </w:rPr>
        <w:t>.</w:t>
      </w:r>
      <w:r w:rsidRPr="00610646">
        <w:rPr>
          <w:rStyle w:val="FootnoteReference"/>
        </w:rPr>
        <w:footnoteReference w:id="352"/>
      </w:r>
    </w:p>
    <w:p w14:paraId="269B75F0" w14:textId="77777777" w:rsidR="007523D5" w:rsidRPr="00D9073D" w:rsidRDefault="007523D5" w:rsidP="007C5A47">
      <w:pPr>
        <w:keepNext/>
        <w:suppressLineNumbers/>
        <w:pBdr>
          <w:top w:val="nil"/>
          <w:left w:val="nil"/>
          <w:bottom w:val="nil"/>
          <w:right w:val="nil"/>
          <w:between w:val="nil"/>
        </w:pBdr>
        <w:tabs>
          <w:tab w:val="left" w:pos="426"/>
        </w:tabs>
        <w:suppressAutoHyphens/>
        <w:spacing w:before="120" w:after="120"/>
        <w:jc w:val="center"/>
        <w:rPr>
          <w:rFonts w:asciiTheme="majorBidi" w:hAnsiTheme="majorBidi" w:cstheme="majorBidi"/>
          <w:b/>
          <w:color w:val="000000"/>
          <w:kern w:val="22"/>
          <w:szCs w:val="22"/>
        </w:rPr>
      </w:pPr>
      <w:r w:rsidRPr="00D9073D">
        <w:rPr>
          <w:rFonts w:asciiTheme="majorBidi" w:hAnsiTheme="majorBidi" w:cstheme="majorBidi"/>
          <w:b/>
          <w:color w:val="000000"/>
          <w:kern w:val="22"/>
          <w:szCs w:val="22"/>
        </w:rPr>
        <w:t>A.</w:t>
      </w:r>
      <w:r w:rsidRPr="00D9073D">
        <w:rPr>
          <w:rFonts w:asciiTheme="majorBidi" w:hAnsiTheme="majorBidi" w:cstheme="majorBidi"/>
          <w:b/>
          <w:color w:val="000000"/>
          <w:kern w:val="22"/>
          <w:szCs w:val="22"/>
        </w:rPr>
        <w:tab/>
        <w:t>Prediction</w:t>
      </w:r>
    </w:p>
    <w:p w14:paraId="3508304F" w14:textId="77777777" w:rsidR="007523D5" w:rsidRPr="00D9073D" w:rsidRDefault="007523D5"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D9073D">
        <w:rPr>
          <w:rFonts w:asciiTheme="majorBidi" w:hAnsiTheme="majorBidi" w:cstheme="majorBidi"/>
          <w:color w:val="000000"/>
          <w:kern w:val="22"/>
          <w:szCs w:val="22"/>
        </w:rPr>
        <w:t>8.</w:t>
      </w:r>
      <w:r w:rsidRPr="00D9073D">
        <w:rPr>
          <w:rFonts w:asciiTheme="majorBidi" w:hAnsiTheme="majorBidi" w:cstheme="majorBidi"/>
          <w:color w:val="000000"/>
          <w:kern w:val="22"/>
          <w:szCs w:val="22"/>
        </w:rPr>
        <w:tab/>
      </w:r>
      <w:r w:rsidRPr="00D9073D">
        <w:rPr>
          <w:rFonts w:asciiTheme="majorBidi" w:hAnsiTheme="majorBidi" w:cstheme="majorBidi"/>
          <w:kern w:val="22"/>
          <w:szCs w:val="22"/>
        </w:rPr>
        <w:t>Managing the impacts of invasive alien species on biodiversity and ecosystem services requires knowledge of the manner in which the actual and potential impact will vary as a result of climate change so that management priorities can be adapted accordingly.</w:t>
      </w:r>
    </w:p>
    <w:p w14:paraId="1632226A" w14:textId="77777777" w:rsidR="007523D5" w:rsidRPr="00D9073D" w:rsidRDefault="007523D5"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D9073D">
        <w:rPr>
          <w:rFonts w:asciiTheme="majorBidi" w:hAnsiTheme="majorBidi" w:cstheme="majorBidi"/>
          <w:color w:val="000000"/>
          <w:kern w:val="22"/>
          <w:szCs w:val="22"/>
        </w:rPr>
        <w:t>9.</w:t>
      </w:r>
      <w:r w:rsidRPr="00D9073D">
        <w:rPr>
          <w:rFonts w:asciiTheme="majorBidi" w:hAnsiTheme="majorBidi" w:cstheme="majorBidi"/>
          <w:color w:val="000000"/>
          <w:kern w:val="22"/>
          <w:szCs w:val="22"/>
        </w:rPr>
        <w:tab/>
      </w:r>
      <w:r w:rsidRPr="00D9073D">
        <w:rPr>
          <w:rFonts w:asciiTheme="majorBidi" w:hAnsiTheme="majorBidi" w:cstheme="majorBidi"/>
          <w:kern w:val="22"/>
          <w:szCs w:val="22"/>
        </w:rPr>
        <w:t xml:space="preserve">States, organizations and </w:t>
      </w:r>
      <w:r w:rsidRPr="00D9073D">
        <w:rPr>
          <w:rFonts w:asciiTheme="majorBidi" w:hAnsiTheme="majorBidi" w:cstheme="majorBidi"/>
          <w:szCs w:val="22"/>
        </w:rPr>
        <w:t xml:space="preserve">relevant stakeholders, taking into account, </w:t>
      </w:r>
      <w:r w:rsidRPr="00D9073D">
        <w:rPr>
          <w:rFonts w:asciiTheme="majorBidi" w:hAnsiTheme="majorBidi" w:cstheme="majorBidi"/>
          <w:kern w:val="22"/>
          <w:szCs w:val="22"/>
        </w:rPr>
        <w:t>among other things, decision 14/5,</w:t>
      </w:r>
      <w:r w:rsidRPr="00D9073D" w:rsidDel="008E5A61">
        <w:rPr>
          <w:rFonts w:asciiTheme="majorBidi" w:hAnsiTheme="majorBidi" w:cstheme="majorBidi"/>
          <w:kern w:val="22"/>
          <w:szCs w:val="22"/>
        </w:rPr>
        <w:t xml:space="preserve"> </w:t>
      </w:r>
      <w:r w:rsidRPr="00D9073D">
        <w:rPr>
          <w:rFonts w:asciiTheme="majorBidi" w:hAnsiTheme="majorBidi" w:cstheme="majorBidi"/>
          <w:kern w:val="22"/>
          <w:szCs w:val="22"/>
        </w:rPr>
        <w:t>are strongly encouraged:</w:t>
      </w:r>
    </w:p>
    <w:p w14:paraId="1C5EFC93"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To undertake horizon scanning to forecast/predict future changes in actual and potential risks and impacts of invasive alien species arising from climate change;</w:t>
      </w:r>
    </w:p>
    <w:p w14:paraId="030C527F"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To identify changes in invasive alien species pathway risks arising from climate change. Climatically similar regions posing the greatest current mutual risks today are likely to change in the future along with changes in vectors and pathways, including changes in trade and the movement of people between these regions;</w:t>
      </w:r>
    </w:p>
    <w:p w14:paraId="0AC5835E"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To prioritize invasive alien species on the basis of potential direct and indirect impacts in the context of climate change;</w:t>
      </w:r>
    </w:p>
    <w:p w14:paraId="564D6D97"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To identify effects of climate change on new potential invasive alien species introductions or pathways of introductions and establishment into pristine and invaded communities;</w:t>
      </w:r>
    </w:p>
    <w:p w14:paraId="73720C6A"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To determine and prioritize for action sites at the greatest risk from climate change and invasive alien species;</w:t>
      </w:r>
    </w:p>
    <w:p w14:paraId="795335DE"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(f)</w:t>
      </w:r>
      <w:r w:rsidRPr="00D9073D">
        <w:rPr>
          <w:rFonts w:asciiTheme="majorBidi" w:hAnsiTheme="majorBidi" w:cstheme="majorBidi"/>
          <w:kern w:val="22"/>
          <w:szCs w:val="22"/>
        </w:rPr>
        <w:tab/>
        <w:t>To prioritize efforts to maintain ecosystem goods and services, as well as ecosystem structures and functions on sites at the greatest risk from climate change and invasive alien species;</w:t>
      </w:r>
    </w:p>
    <w:p w14:paraId="08466D2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(g)</w:t>
      </w:r>
      <w:r w:rsidRPr="00D9073D">
        <w:rPr>
          <w:rFonts w:asciiTheme="majorBidi" w:hAnsiTheme="majorBidi" w:cstheme="majorBidi"/>
          <w:kern w:val="22"/>
          <w:szCs w:val="22"/>
        </w:rPr>
        <w:tab/>
        <w:t>To apply climate models to understand the impacts of invasive alien species on biodiversity and ecosystem services arising from climate change, and to further develop models for use on a broad scale by developing countries;</w:t>
      </w:r>
    </w:p>
    <w:p w14:paraId="10D5389F"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(h)</w:t>
      </w:r>
      <w:r w:rsidRPr="00D9073D">
        <w:rPr>
          <w:rFonts w:asciiTheme="majorBidi" w:hAnsiTheme="majorBidi" w:cstheme="majorBidi"/>
          <w:kern w:val="22"/>
          <w:szCs w:val="22"/>
        </w:rPr>
        <w:tab/>
        <w:t>To develop better methods to integrate (i) climate change models, (ii) land-use scenarios and (iii) trends in trade with invasive alien species data analysis to improve prediction capability;</w:t>
      </w:r>
    </w:p>
    <w:p w14:paraId="5EE9F6FD"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lastRenderedPageBreak/>
        <w:t>(i)</w:t>
      </w:r>
      <w:r w:rsidRPr="00D9073D">
        <w:rPr>
          <w:rFonts w:asciiTheme="majorBidi" w:hAnsiTheme="majorBidi" w:cstheme="majorBidi"/>
          <w:kern w:val="22"/>
          <w:szCs w:val="22"/>
        </w:rPr>
        <w:tab/>
        <w:t>To define scenarios to understand where invasive alien species may indirectly increase the impacts of climate change on biodiversity and ecosystem services by transforming ecosystems;</w:t>
      </w:r>
    </w:p>
    <w:p w14:paraId="50B52FD6"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(j)</w:t>
      </w:r>
      <w:r w:rsidRPr="00D9073D">
        <w:rPr>
          <w:rFonts w:asciiTheme="majorBidi" w:hAnsiTheme="majorBidi" w:cstheme="majorBidi"/>
          <w:kern w:val="22"/>
          <w:szCs w:val="22"/>
        </w:rPr>
        <w:tab/>
        <w:t>To modify/fine-tune invasive alien species risk analysis, and identify potential alien invasive species</w:t>
      </w:r>
      <w:r w:rsidRPr="00610646">
        <w:rPr>
          <w:rStyle w:val="FootnoteReference"/>
        </w:rPr>
        <w:footnoteReference w:id="353"/>
      </w:r>
      <w:r w:rsidRPr="00D9073D">
        <w:rPr>
          <w:rFonts w:asciiTheme="majorBidi" w:hAnsiTheme="majorBidi" w:cstheme="majorBidi"/>
          <w:kern w:val="22"/>
          <w:szCs w:val="22"/>
        </w:rPr>
        <w:t xml:space="preserve"> (including disease vectors) that remain only casual under current conditions without significant impact and are likely to become established and/or invasive and have an increased impact due to rapid population growth as a result of climate change;</w:t>
      </w:r>
    </w:p>
    <w:p w14:paraId="51F8FC1C"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(k)</w:t>
      </w:r>
      <w:r w:rsidRPr="00D9073D">
        <w:rPr>
          <w:rFonts w:asciiTheme="majorBidi" w:hAnsiTheme="majorBidi" w:cstheme="majorBidi"/>
          <w:kern w:val="22"/>
          <w:szCs w:val="22"/>
        </w:rPr>
        <w:tab/>
        <w:t>To identify and study potential future invasive alien species that can establish and spread and have an increased impact as a result of climate change. This can be done by using such approaches as sentinel sites to monitor changes in abundance, spread and impacts of such species or by carrying out trait- and impact-based risk assessments;</w:t>
      </w:r>
    </w:p>
    <w:p w14:paraId="57EC901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(l)</w:t>
      </w:r>
      <w:r w:rsidRPr="00D9073D">
        <w:rPr>
          <w:rFonts w:asciiTheme="majorBidi" w:hAnsiTheme="majorBidi" w:cstheme="majorBidi"/>
          <w:kern w:val="22"/>
          <w:szCs w:val="22"/>
        </w:rPr>
        <w:tab/>
        <w:t>To identify invasive alien species that are likely to benefit under increased CO</w:t>
      </w:r>
      <w:r w:rsidRPr="00D9073D">
        <w:rPr>
          <w:rFonts w:asciiTheme="majorBidi" w:hAnsiTheme="majorBidi" w:cstheme="majorBidi"/>
          <w:kern w:val="22"/>
          <w:szCs w:val="22"/>
          <w:vertAlign w:val="subscript"/>
        </w:rPr>
        <w:t>2</w:t>
      </w:r>
      <w:r w:rsidRPr="00D9073D">
        <w:rPr>
          <w:rFonts w:asciiTheme="majorBidi" w:hAnsiTheme="majorBidi" w:cstheme="majorBidi"/>
          <w:kern w:val="22"/>
          <w:szCs w:val="22"/>
        </w:rPr>
        <w:t xml:space="preserve"> levels, rising temperatures, increased frequency of extreme events, fire regimes of increased frequency and intensity, high salt-water incursions, changes in ocean currents and changes in precipitation patterns, and prioritize management to prevent their spread and impacts, including humane methods of eradication and control;</w:t>
      </w:r>
    </w:p>
    <w:p w14:paraId="295FCA79"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(m)</w:t>
      </w:r>
      <w:r w:rsidRPr="00D9073D">
        <w:rPr>
          <w:rFonts w:asciiTheme="majorBidi" w:hAnsiTheme="majorBidi" w:cstheme="majorBidi"/>
          <w:kern w:val="22"/>
          <w:szCs w:val="22"/>
        </w:rPr>
        <w:tab/>
        <w:t>To improve knowledge of the risks of invasive alien species adapting to new environmental conditions, including rapid evolution and hybridization;</w:t>
      </w:r>
    </w:p>
    <w:p w14:paraId="5AE745D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(n)</w:t>
      </w:r>
      <w:r w:rsidRPr="00D9073D">
        <w:rPr>
          <w:rFonts w:asciiTheme="majorBidi" w:hAnsiTheme="majorBidi" w:cstheme="majorBidi"/>
          <w:kern w:val="22"/>
          <w:szCs w:val="22"/>
        </w:rPr>
        <w:tab/>
        <w:t>To identify impacts of invasive alien species arising from climate change on biodiversity and ecosystem services;</w:t>
      </w:r>
    </w:p>
    <w:p w14:paraId="756E562A"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(o)</w:t>
      </w:r>
      <w:r w:rsidRPr="00D9073D">
        <w:rPr>
          <w:rFonts w:asciiTheme="majorBidi" w:hAnsiTheme="majorBidi" w:cstheme="majorBidi"/>
          <w:kern w:val="22"/>
          <w:szCs w:val="22"/>
        </w:rPr>
        <w:tab/>
        <w:t>To ensure the meaningful participation of indigenous peoples and local communities, use of their biocultural indicators, early identification and warning systems and traditional knowledge in the development of predictions of invasive alien species under climate change with their “free, prior and informed consent” or “free, prior informed consent” or “approval and involvement”, depending on national circumstances.</w:t>
      </w:r>
    </w:p>
    <w:p w14:paraId="24EC7109" w14:textId="77777777" w:rsidR="007523D5" w:rsidRPr="00D9073D" w:rsidRDefault="007523D5" w:rsidP="007C5A47">
      <w:pPr>
        <w:keepNext/>
        <w:suppressLineNumbers/>
        <w:tabs>
          <w:tab w:val="left" w:pos="426"/>
        </w:tabs>
        <w:suppressAutoHyphens/>
        <w:spacing w:before="120" w:after="120"/>
        <w:jc w:val="center"/>
        <w:rPr>
          <w:rFonts w:asciiTheme="majorBidi" w:hAnsiTheme="majorBidi" w:cstheme="majorBidi"/>
          <w:b/>
          <w:kern w:val="22"/>
          <w:szCs w:val="22"/>
        </w:rPr>
      </w:pPr>
      <w:r w:rsidRPr="00D9073D">
        <w:rPr>
          <w:rFonts w:asciiTheme="majorBidi" w:hAnsiTheme="majorBidi" w:cstheme="majorBidi"/>
          <w:b/>
          <w:kern w:val="22"/>
          <w:szCs w:val="22"/>
        </w:rPr>
        <w:t>B.</w:t>
      </w:r>
      <w:r w:rsidRPr="00D9073D">
        <w:rPr>
          <w:rFonts w:asciiTheme="majorBidi" w:hAnsiTheme="majorBidi" w:cstheme="majorBidi"/>
          <w:b/>
          <w:kern w:val="22"/>
          <w:szCs w:val="22"/>
        </w:rPr>
        <w:tab/>
        <w:t>Planning and prevention</w:t>
      </w:r>
    </w:p>
    <w:p w14:paraId="1DB92FC7" w14:textId="77777777" w:rsidR="007523D5" w:rsidRPr="00D9073D" w:rsidRDefault="007523D5"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10.</w:t>
      </w:r>
      <w:r w:rsidRPr="00D9073D">
        <w:rPr>
          <w:rFonts w:asciiTheme="majorBidi" w:hAnsiTheme="majorBidi" w:cstheme="majorBidi"/>
          <w:kern w:val="22"/>
          <w:szCs w:val="22"/>
        </w:rPr>
        <w:tab/>
        <w:t xml:space="preserve">States are encouraged, in collaboration with experts, subnational government, </w:t>
      </w:r>
      <w:r w:rsidRPr="00D9073D">
        <w:rPr>
          <w:rFonts w:asciiTheme="majorBidi" w:hAnsiTheme="majorBidi" w:cstheme="majorBidi"/>
          <w:szCs w:val="22"/>
        </w:rPr>
        <w:t>indigenous peoples, local communities and relevant stakeholders</w:t>
      </w:r>
      <w:r w:rsidRPr="00D9073D">
        <w:rPr>
          <w:rFonts w:asciiTheme="majorBidi" w:hAnsiTheme="majorBidi" w:cstheme="majorBidi"/>
          <w:kern w:val="22"/>
          <w:szCs w:val="22"/>
        </w:rPr>
        <w:t>:</w:t>
      </w:r>
    </w:p>
    <w:p w14:paraId="646AA009"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To develop climate change relevant risk analysis for prioritizing invasive alien species for management (e.g. fire</w:t>
      </w:r>
      <w:r>
        <w:rPr>
          <w:rFonts w:asciiTheme="majorBidi" w:hAnsiTheme="majorBidi" w:cstheme="majorBidi"/>
          <w:kern w:val="22"/>
          <w:szCs w:val="22"/>
        </w:rPr>
        <w:noBreakHyphen/>
      </w:r>
      <w:r w:rsidRPr="00D9073D">
        <w:rPr>
          <w:rFonts w:asciiTheme="majorBidi" w:hAnsiTheme="majorBidi" w:cstheme="majorBidi"/>
          <w:kern w:val="22"/>
          <w:szCs w:val="22"/>
        </w:rPr>
        <w:t>enhancing weeds);</w:t>
      </w:r>
    </w:p>
    <w:p w14:paraId="698A62B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To develop and implement management strategies to eradicate, contain or control high ranking potential alien species and introduced or established invasive alien species before they can respond to climate change. Those strategies should be object of an appropriate risk analysis, in order to avoid unnecessary biosafety concerns;</w:t>
      </w:r>
    </w:p>
    <w:p w14:paraId="7CF90FF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To monitor the spread and impact of all established and potential alien species, particularly in sites or regions where biodiversity and ecosystem services are likely to deteriorate rapidly under climate change. Best-practice approaches using, for example, remote sensing or sensor networks are suggested to be undertaken;</w:t>
      </w:r>
    </w:p>
    <w:p w14:paraId="79E5831D"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To minimize the potential of biological invasions or develop spatial response planning for areas in which communities are threatened with a high risk of extreme weather events (e.g, relocate zoos, botanical gardens, exotic aquaculture facilities from extreme-event-prone areas);</w:t>
      </w:r>
    </w:p>
    <w:p w14:paraId="74E3E565"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To adapt current pathway management with a view to reducing changes in risks arising from climate, including predicted associated changes in trade and movement of people;</w:t>
      </w:r>
    </w:p>
    <w:p w14:paraId="65E44940"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lastRenderedPageBreak/>
        <w:t>(f)</w:t>
      </w:r>
      <w:r w:rsidRPr="00D9073D">
        <w:rPr>
          <w:rFonts w:asciiTheme="majorBidi" w:hAnsiTheme="majorBidi" w:cstheme="majorBidi"/>
          <w:kern w:val="22"/>
          <w:szCs w:val="22"/>
        </w:rPr>
        <w:tab/>
        <w:t>To engage all sectors, including agriculture and public health agencies and industries, in invasive alien species planning activities where climate change risks are cross-sectoral;</w:t>
      </w:r>
    </w:p>
    <w:p w14:paraId="01DB1C4E"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(g)</w:t>
      </w:r>
      <w:r w:rsidRPr="00D9073D">
        <w:rPr>
          <w:rFonts w:asciiTheme="majorBidi" w:hAnsiTheme="majorBidi" w:cstheme="majorBidi"/>
          <w:kern w:val="22"/>
          <w:szCs w:val="22"/>
        </w:rPr>
        <w:tab/>
        <w:t>To raise public awareness of changing invasive alien species threats arising from climate change and include the participation of the public and all relevant sectors in response planning;</w:t>
      </w:r>
    </w:p>
    <w:p w14:paraId="4DD9A012" w14:textId="77777777" w:rsidR="007523D5" w:rsidRPr="00D9073D" w:rsidRDefault="007523D5" w:rsidP="007C5A47">
      <w:pPr>
        <w:pStyle w:val="ListParagraph"/>
        <w:suppressLineNumbers/>
        <w:suppressAutoHyphens/>
        <w:spacing w:before="120" w:after="120"/>
        <w:ind w:left="0" w:firstLine="720"/>
        <w:contextualSpacing w:val="0"/>
        <w:rPr>
          <w:rFonts w:asciiTheme="majorBidi" w:hAnsiTheme="majorBidi" w:cstheme="majorBidi"/>
          <w:kern w:val="22"/>
          <w:szCs w:val="22"/>
        </w:rPr>
      </w:pPr>
      <w:r w:rsidRPr="00D9073D">
        <w:rPr>
          <w:rFonts w:asciiTheme="majorBidi" w:hAnsiTheme="majorBidi" w:cstheme="majorBidi"/>
          <w:kern w:val="22"/>
          <w:szCs w:val="22"/>
        </w:rPr>
        <w:t>(h)</w:t>
      </w:r>
      <w:r w:rsidRPr="00D9073D">
        <w:rPr>
          <w:rFonts w:asciiTheme="majorBidi" w:hAnsiTheme="majorBidi" w:cstheme="majorBidi"/>
          <w:kern w:val="22"/>
          <w:szCs w:val="22"/>
        </w:rPr>
        <w:tab/>
        <w:t>To collect best practices of indigenous peoples and local communities on the monitoring, controlling and mitigation of the impacts of invasive alien species caused by climate change;</w:t>
      </w:r>
    </w:p>
    <w:p w14:paraId="30DEB42D"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(i)</w:t>
      </w:r>
      <w:r w:rsidRPr="00D9073D">
        <w:rPr>
          <w:rFonts w:asciiTheme="majorBidi" w:hAnsiTheme="majorBidi" w:cstheme="majorBidi"/>
          <w:kern w:val="22"/>
          <w:szCs w:val="22"/>
        </w:rPr>
        <w:tab/>
        <w:t>To engage with regional and local specialists when considering prevention, planning and mitigation measures.</w:t>
      </w:r>
    </w:p>
    <w:p w14:paraId="6AB2E076" w14:textId="77777777" w:rsidR="007523D5" w:rsidRPr="00D9073D" w:rsidRDefault="007523D5" w:rsidP="007C5A47">
      <w:pPr>
        <w:keepNext/>
        <w:suppressLineNumbers/>
        <w:tabs>
          <w:tab w:val="left" w:pos="426"/>
        </w:tabs>
        <w:suppressAutoHyphens/>
        <w:spacing w:before="120" w:after="120"/>
        <w:jc w:val="center"/>
        <w:rPr>
          <w:rFonts w:asciiTheme="majorBidi" w:hAnsiTheme="majorBidi" w:cstheme="majorBidi"/>
          <w:b/>
          <w:kern w:val="22"/>
          <w:szCs w:val="22"/>
        </w:rPr>
      </w:pPr>
      <w:r w:rsidRPr="00D9073D">
        <w:rPr>
          <w:rFonts w:asciiTheme="majorBidi" w:hAnsiTheme="majorBidi" w:cstheme="majorBidi"/>
          <w:b/>
          <w:kern w:val="22"/>
          <w:szCs w:val="22"/>
        </w:rPr>
        <w:t>C.</w:t>
      </w:r>
      <w:r w:rsidRPr="00D9073D">
        <w:rPr>
          <w:rFonts w:asciiTheme="majorBidi" w:hAnsiTheme="majorBidi" w:cstheme="majorBidi"/>
          <w:b/>
          <w:kern w:val="22"/>
          <w:szCs w:val="22"/>
        </w:rPr>
        <w:tab/>
        <w:t>Management</w:t>
      </w:r>
    </w:p>
    <w:p w14:paraId="6B59FEF5" w14:textId="77777777" w:rsidR="007523D5" w:rsidRPr="00D9073D" w:rsidRDefault="007523D5"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11.</w:t>
      </w:r>
      <w:r w:rsidRPr="00D9073D">
        <w:rPr>
          <w:rFonts w:asciiTheme="majorBidi" w:hAnsiTheme="majorBidi" w:cstheme="majorBidi"/>
          <w:kern w:val="22"/>
          <w:szCs w:val="22"/>
        </w:rPr>
        <w:tab/>
        <w:t>It is suggested that States take the following actions:</w:t>
      </w:r>
    </w:p>
    <w:p w14:paraId="7696F303"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Apply adaptive management approaches to future prioritized management actions in the context of climate change and share the information with other Parties to improve outcomes;</w:t>
      </w:r>
    </w:p>
    <w:p w14:paraId="17F5BD97"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Take steps to increase the long-term functional resilience of threatened ecosystems and habitats to climate change, extreme weather events and natural disasters and associated invasive alien species incursions, particularly for islands and coastal systems, taking into account guidance in decision 14/5, paragraphs 3(h), 4(b) and annex</w:t>
      </w:r>
      <w:r>
        <w:rPr>
          <w:rFonts w:asciiTheme="majorBidi" w:hAnsiTheme="majorBidi" w:cstheme="majorBidi"/>
          <w:kern w:val="22"/>
          <w:szCs w:val="22"/>
        </w:rPr>
        <w:t>,</w:t>
      </w:r>
      <w:r w:rsidRPr="00D9073D">
        <w:rPr>
          <w:rFonts w:asciiTheme="majorBidi" w:hAnsiTheme="majorBidi" w:cstheme="majorBidi"/>
          <w:kern w:val="22"/>
          <w:szCs w:val="22"/>
        </w:rPr>
        <w:t xml:space="preserve"> as well as decision X/33, paragraph 8(n);</w:t>
      </w:r>
    </w:p>
    <w:p w14:paraId="49771B4D"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Undertake focused management actions, including containment, eradication when possible or control of invasive alien species in areas that could act as non-native sources for spread into identified vulnerable areas and/or native communities;</w:t>
      </w:r>
    </w:p>
    <w:p w14:paraId="795F43D1"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Collate existing knowledge into international online databases to allow the interoperable collection and dissemination of data and knowledge on the effectiveness of actions to mitigate impacts of invasive alien species arising from climate change. An example of such a database is the Database of Island Invasive Species Eradications (DIISE);</w:t>
      </w:r>
      <w:r w:rsidRPr="00610646">
        <w:rPr>
          <w:rStyle w:val="FootnoteReference"/>
        </w:rPr>
        <w:footnoteReference w:id="354"/>
      </w:r>
    </w:p>
    <w:p w14:paraId="56B9A9E0" w14:textId="77777777" w:rsidR="007523D5" w:rsidRPr="00D9073D" w:rsidRDefault="007523D5"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Develop and integrate invasive alien species management strategies into “threatened climate vulnerable species movement-assisted translocation actions” to avoid unintended consequences, taking into account decision X/33, paragraph 8(e);</w:t>
      </w:r>
    </w:p>
    <w:p w14:paraId="2BB6E771" w14:textId="77777777" w:rsidR="007523D5" w:rsidRPr="00D9073D" w:rsidRDefault="007523D5"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(f)</w:t>
      </w:r>
      <w:r w:rsidRPr="00D9073D">
        <w:rPr>
          <w:rFonts w:asciiTheme="majorBidi" w:hAnsiTheme="majorBidi" w:cstheme="majorBidi"/>
          <w:kern w:val="22"/>
          <w:szCs w:val="22"/>
        </w:rPr>
        <w:tab/>
        <w:t>Collect best practices of indigenous peoples and local communities on the monitoring, control and mitigation of the impacts of invasive alien species, diseases and shifting species distributions caused by climate change.</w:t>
      </w:r>
    </w:p>
    <w:p w14:paraId="22D9B790" w14:textId="77777777" w:rsidR="007523D5" w:rsidRPr="00D9073D" w:rsidRDefault="007523D5" w:rsidP="007C5A47">
      <w:pPr>
        <w:pStyle w:val="ListParagraph"/>
        <w:keepNext/>
        <w:suppressLineNumbers/>
        <w:tabs>
          <w:tab w:val="left" w:pos="426"/>
        </w:tabs>
        <w:suppressAutoHyphens/>
        <w:spacing w:before="120" w:after="120"/>
        <w:ind w:left="0"/>
        <w:contextualSpacing w:val="0"/>
        <w:jc w:val="center"/>
        <w:rPr>
          <w:rFonts w:asciiTheme="majorBidi" w:hAnsiTheme="majorBidi" w:cstheme="majorBidi"/>
          <w:b/>
          <w:kern w:val="22"/>
          <w:szCs w:val="22"/>
        </w:rPr>
      </w:pPr>
      <w:r w:rsidRPr="00D9073D">
        <w:rPr>
          <w:rFonts w:asciiTheme="majorBidi" w:hAnsiTheme="majorBidi" w:cstheme="majorBidi"/>
          <w:b/>
          <w:kern w:val="22"/>
          <w:szCs w:val="22"/>
        </w:rPr>
        <w:t>D.</w:t>
      </w:r>
      <w:r w:rsidRPr="00D9073D">
        <w:rPr>
          <w:rFonts w:asciiTheme="majorBidi" w:hAnsiTheme="majorBidi" w:cstheme="majorBidi"/>
          <w:b/>
          <w:kern w:val="22"/>
          <w:szCs w:val="22"/>
        </w:rPr>
        <w:tab/>
        <w:t>National and international cooperation</w:t>
      </w:r>
    </w:p>
    <w:p w14:paraId="1563DD2A" w14:textId="77777777" w:rsidR="007523D5" w:rsidRPr="00D9073D" w:rsidRDefault="007523D5"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12.</w:t>
      </w:r>
      <w:r w:rsidRPr="00D9073D">
        <w:rPr>
          <w:rFonts w:asciiTheme="majorBidi" w:hAnsiTheme="majorBidi" w:cstheme="majorBidi"/>
          <w:kern w:val="22"/>
          <w:szCs w:val="22"/>
        </w:rPr>
        <w:tab/>
        <w:t>States and relevant international organizations are strongly urged to integrate pathway and invasive alien species risk based multi-criteria prioritization approaches into all levels of planning to obtain multiple benefits and shared outcomes, including the following:</w:t>
      </w:r>
    </w:p>
    <w:p w14:paraId="33286388"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National and international climate mitigation and adaptation strategies, environmental impact assessments, and response planning activities in accordance with decision X/33, paragraph 8(p);</w:t>
      </w:r>
    </w:p>
    <w:p w14:paraId="2F7F38FD"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Other relevant conventions (e.g. United Nations Framework Convention on Climate Change, Convention on the Conservation of Migratory Species of Wild Animals) and providing relevant United Nations implementing agencies with policy guidance;</w:t>
      </w:r>
    </w:p>
    <w:p w14:paraId="3EBA20EB" w14:textId="77777777" w:rsidR="007523D5" w:rsidRPr="00D9073D" w:rsidRDefault="007523D5"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National and international commitments and actions under the Sustainable Development Goals;</w:t>
      </w:r>
    </w:p>
    <w:p w14:paraId="058DBD81" w14:textId="77777777" w:rsidR="007523D5" w:rsidRPr="00D9073D" w:rsidRDefault="007523D5"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Market incentive programmes and other actions funded by multilateral agencies or forums, such as the Global Environment Facility, the Clean Development Mechanism and the Green Climate Fund.</w:t>
      </w:r>
    </w:p>
    <w:p w14:paraId="29ABA115" w14:textId="77777777" w:rsidR="007523D5" w:rsidRPr="00D9073D" w:rsidRDefault="007523D5"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lastRenderedPageBreak/>
        <w:t>13.</w:t>
      </w:r>
      <w:r w:rsidRPr="00D9073D">
        <w:rPr>
          <w:rFonts w:asciiTheme="majorBidi" w:hAnsiTheme="majorBidi" w:cstheme="majorBidi"/>
          <w:kern w:val="22"/>
          <w:szCs w:val="22"/>
        </w:rPr>
        <w:tab/>
        <w:t>It is suggested that relevant international organizations organize training for governmental and non-governmental development assistance agencies and operatives engaged in disaster relief, identify risks of introducing and spread of invasive alien species with their activities and undertake rapid response with appropriate measures, such as quarantine of equipment and goods, emergency response, eradication, containment and control.</w:t>
      </w:r>
    </w:p>
    <w:p w14:paraId="384F6458" w14:textId="43087B07" w:rsidR="007523D5" w:rsidRPr="0027619F" w:rsidRDefault="007523D5" w:rsidP="00453786">
      <w:pPr>
        <w:keepNext/>
        <w:suppressLineNumbers/>
        <w:suppressAutoHyphens/>
        <w:spacing w:after="120"/>
        <w:jc w:val="center"/>
        <w:rPr>
          <w:i/>
          <w:snapToGrid w:val="0"/>
          <w:kern w:val="22"/>
          <w:szCs w:val="22"/>
        </w:rPr>
      </w:pPr>
      <w:bookmarkStart w:id="321" w:name="_Toc118355052"/>
      <w:r w:rsidRPr="0027619F">
        <w:rPr>
          <w:i/>
          <w:snapToGrid w:val="0"/>
          <w:kern w:val="22"/>
          <w:szCs w:val="22"/>
        </w:rPr>
        <w:t>Annex IV</w:t>
      </w:r>
      <w:bookmarkEnd w:id="321"/>
    </w:p>
    <w:p w14:paraId="58C942E8" w14:textId="77777777" w:rsidR="007523D5" w:rsidRPr="0027619F" w:rsidRDefault="007523D5" w:rsidP="00453786">
      <w:pPr>
        <w:keepNext/>
        <w:suppressLineNumbers/>
        <w:suppressAutoHyphens/>
        <w:spacing w:before="120" w:after="120"/>
        <w:jc w:val="center"/>
        <w:rPr>
          <w:b/>
          <w:bCs/>
          <w:caps/>
          <w:kern w:val="22"/>
        </w:rPr>
      </w:pPr>
      <w:bookmarkStart w:id="322" w:name="_Toc118355053"/>
      <w:r w:rsidRPr="0027619F">
        <w:rPr>
          <w:b/>
          <w:bCs/>
          <w:caps/>
          <w:kern w:val="22"/>
        </w:rPr>
        <w:t>Draft risk analysis on the potential consequences of the introduction of invasive alien species on social, economic and cultural values</w:t>
      </w:r>
      <w:bookmarkEnd w:id="322"/>
    </w:p>
    <w:p w14:paraId="3C18AE4D" w14:textId="77777777" w:rsidR="007523D5" w:rsidRPr="00D9073D" w:rsidRDefault="007523D5" w:rsidP="007C5A47">
      <w:pPr>
        <w:keepNext/>
        <w:suppressLineNumbers/>
        <w:suppressAutoHyphens/>
        <w:spacing w:before="120" w:after="120"/>
        <w:jc w:val="center"/>
        <w:rPr>
          <w:bCs/>
          <w:caps/>
        </w:rPr>
      </w:pPr>
      <w:r w:rsidRPr="00D9073D">
        <w:rPr>
          <w:b/>
          <w:bCs/>
          <w:caps/>
          <w:kern w:val="22"/>
        </w:rPr>
        <w:t>(Provisional advice pursuant to</w:t>
      </w:r>
      <w:r w:rsidRPr="00D9073D">
        <w:rPr>
          <w:bCs/>
          <w:caps/>
          <w:kern w:val="22"/>
        </w:rPr>
        <w:t xml:space="preserve"> </w:t>
      </w:r>
      <w:r w:rsidRPr="00D9073D">
        <w:rPr>
          <w:b/>
          <w:bCs/>
          <w:caps/>
          <w:kern w:val="22"/>
        </w:rPr>
        <w:t>decision 14/11, annex II, paragraph 1 (d))</w:t>
      </w:r>
    </w:p>
    <w:p w14:paraId="19E388A8" w14:textId="77777777" w:rsidR="007523D5" w:rsidRPr="00D9073D" w:rsidRDefault="007523D5" w:rsidP="007C5A47">
      <w:pPr>
        <w:suppressLineNumbers/>
        <w:suppressAutoHyphens/>
        <w:spacing w:before="120" w:after="120"/>
        <w:rPr>
          <w:kern w:val="22"/>
          <w:szCs w:val="22"/>
        </w:rPr>
      </w:pPr>
      <w:r w:rsidRPr="00D9073D">
        <w:rPr>
          <w:kern w:val="22"/>
          <w:szCs w:val="22"/>
        </w:rPr>
        <w:t>1.</w:t>
      </w:r>
      <w:r w:rsidRPr="00D9073D">
        <w:rPr>
          <w:kern w:val="22"/>
          <w:szCs w:val="22"/>
        </w:rPr>
        <w:tab/>
        <w:t xml:space="preserve">It is suggested that guidelines be developed in order to more explicitly include social and cultural values when assessing the costs, benefits and prioritization of management. This could build on existing processes (for example, Socioeconomic Impact Classification of Alien Taxa (SEICAT)) and international best practices on engagement of </w:t>
      </w:r>
      <w:r w:rsidRPr="00D9073D">
        <w:rPr>
          <w:szCs w:val="22"/>
        </w:rPr>
        <w:t>indigenous peoples, local communities and relevant stakeholders</w:t>
      </w:r>
      <w:r w:rsidRPr="00D9073D">
        <w:rPr>
          <w:kern w:val="22"/>
          <w:szCs w:val="22"/>
        </w:rPr>
        <w:t xml:space="preserve"> in decision-making. New Zealand incorporates cultural knowledge, values and perspectives (mātauranga) in the management of invasive alien species. Māori are involved in the governance of invasive alien species management, especially when culturally and spiritually significant (taonga) species are at risk. This system is worthy of emulation. States should seek formal participation and ensure bidirectional data streams between data holders and generators through the national data portals (where applicable) to the global-level aggregators. Country membership status, capacity, resources and other aspects should be understood by all Parties. Open access to data and seamless integration of this data between data tools used by </w:t>
      </w:r>
      <w:r w:rsidRPr="00D9073D">
        <w:rPr>
          <w:szCs w:val="22"/>
        </w:rPr>
        <w:t>indigenous peoples, local communities and relevant stakeholders</w:t>
      </w:r>
      <w:r w:rsidRPr="00D9073D">
        <w:rPr>
          <w:kern w:val="22"/>
          <w:szCs w:val="22"/>
        </w:rPr>
        <w:t xml:space="preserve"> is an imperative for better management and monitoring of this threat. This will (a) increase data flows necessary for analysis at the level of the Convention on Biological Diversity and international decision-making and (b) open opportunities for national capacity-building and resourcing.</w:t>
      </w:r>
    </w:p>
    <w:p w14:paraId="48FE4FDA" w14:textId="77777777" w:rsidR="007523D5" w:rsidRPr="00D9073D" w:rsidRDefault="007523D5" w:rsidP="007C5A47">
      <w:pPr>
        <w:suppressLineNumbers/>
        <w:suppressAutoHyphens/>
        <w:spacing w:before="120" w:after="120"/>
        <w:rPr>
          <w:kern w:val="22"/>
          <w:szCs w:val="22"/>
        </w:rPr>
      </w:pPr>
      <w:r w:rsidRPr="00D9073D">
        <w:rPr>
          <w:kern w:val="22"/>
          <w:szCs w:val="22"/>
        </w:rPr>
        <w:t>2.</w:t>
      </w:r>
      <w:r w:rsidRPr="00D9073D">
        <w:rPr>
          <w:kern w:val="22"/>
          <w:szCs w:val="22"/>
        </w:rPr>
        <w:tab/>
        <w:t>It is suggested that efforts be made to increase qualitative and quantitative knowledge and data on socioeconomic and cultural impacts of invasive alien species on communities and society, including indigenous peoples and local communities, and methods to use this knowledge when prioritizing invasive alien species for impact and management feasibility and likelihood of success. It will be important to define socioeconomic, cultural and community well-being criteria in order to collectively evaluate such impacts, for example how the impacts of invasive alien species on treasured, sacred, culturally and spiritually significant native species can be measured, and impact thresholds understood and addressed.</w:t>
      </w:r>
    </w:p>
    <w:p w14:paraId="5F4A2839" w14:textId="77777777" w:rsidR="007523D5" w:rsidRPr="00D9073D" w:rsidRDefault="007523D5" w:rsidP="007C5A47">
      <w:pPr>
        <w:suppressLineNumbers/>
        <w:suppressAutoHyphens/>
        <w:spacing w:before="120" w:after="120"/>
        <w:rPr>
          <w:kern w:val="22"/>
          <w:szCs w:val="22"/>
        </w:rPr>
      </w:pPr>
      <w:r w:rsidRPr="00D9073D">
        <w:rPr>
          <w:kern w:val="22"/>
          <w:szCs w:val="22"/>
        </w:rPr>
        <w:t>3.</w:t>
      </w:r>
      <w:r w:rsidRPr="00D9073D">
        <w:rPr>
          <w:kern w:val="22"/>
          <w:szCs w:val="22"/>
        </w:rPr>
        <w:tab/>
        <w:t xml:space="preserve">Enhanced risk communication is essential to facilitate dialogue and understanding between and among </w:t>
      </w:r>
      <w:r w:rsidRPr="00D9073D">
        <w:rPr>
          <w:szCs w:val="22"/>
        </w:rPr>
        <w:t>indigenous peoples, local communities and relevant stakeholders</w:t>
      </w:r>
      <w:r w:rsidRPr="00D9073D">
        <w:rPr>
          <w:kern w:val="22"/>
          <w:szCs w:val="22"/>
        </w:rPr>
        <w:t>, who may include the general public and indigenous peoples and local communities. Risk communication seeks to reconcile the views of all interested parties in order to achieve a common understanding of the risks posed by invasive alien species, develop credible risk management options and consistent regulations, and promote awareness of issues concerning invasive alien species.</w:t>
      </w:r>
    </w:p>
    <w:p w14:paraId="3AF5FE3B" w14:textId="77777777" w:rsidR="007523D5" w:rsidRPr="00D9073D" w:rsidRDefault="007523D5" w:rsidP="007C5A47">
      <w:pPr>
        <w:suppressLineNumbers/>
        <w:suppressAutoHyphens/>
        <w:spacing w:before="120" w:after="120"/>
        <w:rPr>
          <w:kern w:val="22"/>
          <w:szCs w:val="22"/>
        </w:rPr>
      </w:pPr>
      <w:r w:rsidRPr="00D9073D">
        <w:rPr>
          <w:kern w:val="22"/>
          <w:szCs w:val="22"/>
        </w:rPr>
        <w:t>4.</w:t>
      </w:r>
      <w:r w:rsidRPr="00D9073D">
        <w:rPr>
          <w:kern w:val="22"/>
          <w:szCs w:val="22"/>
        </w:rPr>
        <w:tab/>
        <w:t>There is a lack of well-documented semi-quantitative criteria for socioeconomic, cultural and community well-being on which not only to evaluate impacts, but also to evaluate the effectiveness of the applied risk management option.</w:t>
      </w:r>
    </w:p>
    <w:p w14:paraId="0A26EA04"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5.</w:t>
      </w:r>
      <w:r w:rsidRPr="00D9073D">
        <w:rPr>
          <w:kern w:val="22"/>
          <w:szCs w:val="22"/>
        </w:rPr>
        <w:tab/>
        <w:t>Social impact assessment offers a structured process for identifying, evaluating and addressing social costs and benefits. It has potential value for enabling public participation in planning and as a key component of integrated assessments of management options.</w:t>
      </w:r>
    </w:p>
    <w:p w14:paraId="11EC40FF" w14:textId="77777777" w:rsidR="007523D5" w:rsidRPr="0027619F" w:rsidRDefault="007523D5" w:rsidP="007C5A47">
      <w:pPr>
        <w:pStyle w:val="ListParagraph"/>
        <w:suppressLineNumbers/>
        <w:suppressAutoHyphens/>
        <w:ind w:left="0"/>
        <w:contextualSpacing w:val="0"/>
        <w:rPr>
          <w:kern w:val="22"/>
          <w:szCs w:val="22"/>
        </w:rPr>
      </w:pPr>
    </w:p>
    <w:p w14:paraId="490D4C14" w14:textId="77777777" w:rsidR="007523D5" w:rsidRPr="0027619F" w:rsidRDefault="007523D5" w:rsidP="00B66FDF">
      <w:pPr>
        <w:keepNext/>
        <w:suppressLineNumbers/>
        <w:suppressAutoHyphens/>
        <w:spacing w:before="120" w:after="120"/>
        <w:jc w:val="center"/>
        <w:rPr>
          <w:rFonts w:asciiTheme="majorBidi" w:hAnsiTheme="majorBidi" w:cstheme="majorBidi"/>
          <w:i/>
          <w:snapToGrid w:val="0"/>
          <w:kern w:val="22"/>
          <w:szCs w:val="22"/>
        </w:rPr>
      </w:pPr>
      <w:bookmarkStart w:id="323" w:name="_Toc118355054"/>
      <w:r w:rsidRPr="0027619F">
        <w:rPr>
          <w:rFonts w:asciiTheme="majorBidi" w:hAnsiTheme="majorBidi" w:cstheme="majorBidi"/>
          <w:i/>
          <w:snapToGrid w:val="0"/>
          <w:kern w:val="22"/>
          <w:szCs w:val="22"/>
        </w:rPr>
        <w:lastRenderedPageBreak/>
        <w:t>Annex V</w:t>
      </w:r>
      <w:bookmarkEnd w:id="323"/>
    </w:p>
    <w:p w14:paraId="1E2C7089" w14:textId="77777777" w:rsidR="007523D5" w:rsidRPr="0027619F" w:rsidRDefault="007523D5" w:rsidP="00B66FDF">
      <w:pPr>
        <w:keepNext/>
        <w:suppressLineNumbers/>
        <w:suppressAutoHyphens/>
        <w:spacing w:before="120" w:after="120"/>
        <w:jc w:val="center"/>
        <w:rPr>
          <w:rFonts w:asciiTheme="majorBidi" w:hAnsiTheme="majorBidi" w:cstheme="majorBidi"/>
          <w:b/>
          <w:bCs/>
          <w:caps/>
          <w:kern w:val="22"/>
        </w:rPr>
      </w:pPr>
      <w:bookmarkStart w:id="324" w:name="_Toc118355055"/>
      <w:r w:rsidRPr="0027619F">
        <w:rPr>
          <w:rFonts w:asciiTheme="majorBidi" w:hAnsiTheme="majorBidi" w:cstheme="majorBidi"/>
          <w:b/>
          <w:bCs/>
          <w:caps/>
          <w:kern w:val="22"/>
        </w:rPr>
        <w:t>Draft use of existing databases on invasive alien species and their impacts, to support risk communication</w:t>
      </w:r>
      <w:bookmarkEnd w:id="324"/>
    </w:p>
    <w:p w14:paraId="29E6065F" w14:textId="77777777" w:rsidR="007523D5" w:rsidRPr="00D9073D" w:rsidRDefault="007523D5" w:rsidP="007C5A47">
      <w:pPr>
        <w:suppressLineNumbers/>
        <w:suppressAutoHyphens/>
        <w:spacing w:before="120" w:after="120"/>
        <w:jc w:val="center"/>
        <w:rPr>
          <w:rFonts w:ascii="Times New Roman Bold" w:hAnsi="Times New Roman Bold" w:cs="Times New Roman Bold"/>
          <w:b/>
          <w:bCs/>
          <w:caps/>
          <w:kern w:val="22"/>
        </w:rPr>
      </w:pPr>
      <w:r w:rsidRPr="00D9073D">
        <w:rPr>
          <w:rFonts w:ascii="Times New Roman Bold" w:hAnsi="Times New Roman Bold" w:cs="Times New Roman Bold"/>
          <w:b/>
          <w:bCs/>
          <w:caps/>
          <w:kern w:val="22"/>
        </w:rPr>
        <w:t>(Provisional advice pursuant to</w:t>
      </w:r>
      <w:r w:rsidRPr="00D9073D">
        <w:rPr>
          <w:rFonts w:ascii="Times New Roman Bold" w:hAnsi="Times New Roman Bold" w:cs="Times New Roman Bold"/>
          <w:bCs/>
          <w:caps/>
          <w:kern w:val="22"/>
        </w:rPr>
        <w:t xml:space="preserve"> </w:t>
      </w:r>
      <w:r w:rsidRPr="00D9073D">
        <w:rPr>
          <w:rFonts w:ascii="Times New Roman Bold" w:hAnsi="Times New Roman Bold" w:cs="Times New Roman Bold"/>
          <w:b/>
          <w:bCs/>
          <w:caps/>
          <w:kern w:val="22"/>
        </w:rPr>
        <w:t>decision 14/11, annex II, paragraph 1 (e))</w:t>
      </w:r>
    </w:p>
    <w:p w14:paraId="788F32BD" w14:textId="77777777" w:rsidR="007523D5" w:rsidRPr="00D9073D" w:rsidRDefault="007523D5" w:rsidP="007C5A47">
      <w:pPr>
        <w:suppressLineNumbers/>
        <w:suppressAutoHyphens/>
        <w:spacing w:before="120" w:after="120"/>
        <w:rPr>
          <w:kern w:val="22"/>
          <w:szCs w:val="22"/>
        </w:rPr>
      </w:pPr>
      <w:r w:rsidRPr="00D9073D">
        <w:rPr>
          <w:kern w:val="22"/>
          <w:szCs w:val="22"/>
        </w:rPr>
        <w:t>1.</w:t>
      </w:r>
      <w:r w:rsidRPr="00D9073D">
        <w:rPr>
          <w:kern w:val="22"/>
          <w:szCs w:val="22"/>
        </w:rPr>
        <w:tab/>
        <w:t>This advice is aimed at assisting Parties, other Governments and organizations in developing and maintaining efficient, timely and up-to-date data and information for management of invasive alien species.</w:t>
      </w:r>
    </w:p>
    <w:p w14:paraId="289A80C3" w14:textId="77777777" w:rsidR="007523D5" w:rsidRPr="00D9073D" w:rsidRDefault="007523D5" w:rsidP="007C5A47">
      <w:pPr>
        <w:suppressLineNumbers/>
        <w:suppressAutoHyphens/>
        <w:spacing w:before="120" w:after="120"/>
        <w:rPr>
          <w:kern w:val="22"/>
          <w:szCs w:val="22"/>
        </w:rPr>
      </w:pPr>
      <w:r w:rsidRPr="00D9073D">
        <w:rPr>
          <w:kern w:val="22"/>
          <w:szCs w:val="22"/>
        </w:rPr>
        <w:t>2.</w:t>
      </w:r>
      <w:r w:rsidRPr="00D9073D">
        <w:rPr>
          <w:kern w:val="22"/>
          <w:szCs w:val="22"/>
        </w:rPr>
        <w:tab/>
        <w:t xml:space="preserve">Enhanced risk communication is essential to facilitate dialogue and understanding between and among </w:t>
      </w:r>
      <w:r w:rsidRPr="00D9073D">
        <w:rPr>
          <w:szCs w:val="22"/>
        </w:rPr>
        <w:t>indigenous peoples, local communities and relevant stakeholders</w:t>
      </w:r>
      <w:r w:rsidRPr="00D9073D">
        <w:rPr>
          <w:kern w:val="22"/>
          <w:szCs w:val="22"/>
        </w:rPr>
        <w:t>. Risk communication seeks to reconcile the views of all interested Parties in order to achieve a common understanding of the risks posed by invasive alien species, develop credible risk management options and consistent regulations, and promote awareness of issues concerning invasive alien species.</w:t>
      </w:r>
    </w:p>
    <w:p w14:paraId="4A4A754F"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3.</w:t>
      </w:r>
      <w:r w:rsidRPr="00D9073D">
        <w:rPr>
          <w:kern w:val="22"/>
          <w:szCs w:val="22"/>
        </w:rPr>
        <w:tab/>
        <w:t>It is essential that regularly updated and curated data is maintained on invasive alien species distribution, impact and management action and relevant knowledge. Relevant publicly available data should be shared with the key global data aggregators to support processes under the Convention on Biological Diversity and other international and regional agreements.</w:t>
      </w:r>
    </w:p>
    <w:p w14:paraId="25832195"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4.</w:t>
      </w:r>
      <w:r w:rsidRPr="00D9073D">
        <w:rPr>
          <w:kern w:val="22"/>
          <w:szCs w:val="22"/>
        </w:rPr>
        <w:tab/>
        <w:t xml:space="preserve">It is essential that Parties, other Governments and organizations engage with key global aggregators and data providers (e.g. Global Biodiversity Information Facility (GBIF), Global Registry of Introduced and Invasive Species (GRIIS)) and ensure bidirectional data streams between data holders and generators through the national data portals (where applicable) to the global-level aggregators. Open access to data, seamless integration of this data between data tools and availability of the data to </w:t>
      </w:r>
      <w:r w:rsidRPr="00D9073D">
        <w:rPr>
          <w:szCs w:val="22"/>
        </w:rPr>
        <w:t>indigenous peoples, local communities and relevant stakeholders</w:t>
      </w:r>
      <w:r w:rsidRPr="00D9073D" w:rsidDel="00DB52F5">
        <w:rPr>
          <w:kern w:val="22"/>
          <w:szCs w:val="22"/>
        </w:rPr>
        <w:t xml:space="preserve"> </w:t>
      </w:r>
      <w:r w:rsidRPr="00D9073D">
        <w:rPr>
          <w:kern w:val="22"/>
          <w:szCs w:val="22"/>
        </w:rPr>
        <w:t>are imperative for better management and monitoring of invasive alien species. National or central coordination of data streams is essential for timely, comprehensive and fair availability of the occurrence data on invasive alien species from multiple sources. This will (a) increase data flows necessary for global and regional analysis and decision-making and (b) open opportunities for national capacity-building and resourcing.</w:t>
      </w:r>
    </w:p>
    <w:p w14:paraId="32AC085A"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5.</w:t>
      </w:r>
      <w:r w:rsidRPr="00D9073D">
        <w:rPr>
          <w:kern w:val="22"/>
          <w:szCs w:val="22"/>
        </w:rPr>
        <w:tab/>
        <w:t>It is important to facilitate data sharing and, where appropriate, use common international data standards, standard terminology in national, regional, local and thematic databases, even if languages differ between data portals.</w:t>
      </w:r>
    </w:p>
    <w:p w14:paraId="0CC93985"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6.</w:t>
      </w:r>
      <w:r w:rsidRPr="00D9073D">
        <w:rPr>
          <w:kern w:val="22"/>
          <w:szCs w:val="22"/>
        </w:rPr>
        <w:tab/>
        <w:t>It is also important to obtain free, prior and informed consent from indigenous peoples and local communities when using their traditional knowledge.</w:t>
      </w:r>
    </w:p>
    <w:p w14:paraId="1EB0481C"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7.</w:t>
      </w:r>
      <w:r w:rsidRPr="00D9073D">
        <w:rPr>
          <w:kern w:val="22"/>
          <w:szCs w:val="22"/>
        </w:rPr>
        <w:tab/>
        <w:t>Real-time data sharing is recommended to allow access to up-to-date information to enable early detection and rapid response.</w:t>
      </w:r>
    </w:p>
    <w:p w14:paraId="6BCB14C3"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8.</w:t>
      </w:r>
      <w:r w:rsidRPr="00D9073D">
        <w:rPr>
          <w:kern w:val="22"/>
          <w:szCs w:val="22"/>
        </w:rPr>
        <w:tab/>
        <w:t>There is a great need for States, organizations and the scientific community to identify gaps in knowledge and information on alien species in existing databases and strive to improve knowledge and data, especially for organism groups on which knowledge is especially poor, such as alien marine species, invertebrates, microorganisms and fungi. Increased interaction between data generators, data providers and experts may provide improvements in the quality of data. Collaboration between experts in collating existing databases using existing standards could also contribute to filling these information gaps. Errors in current databases should be identified and corrected in existing databases.</w:t>
      </w:r>
    </w:p>
    <w:p w14:paraId="68E87EB0"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9.</w:t>
      </w:r>
      <w:r w:rsidRPr="00D9073D">
        <w:rPr>
          <w:kern w:val="22"/>
          <w:szCs w:val="22"/>
        </w:rPr>
        <w:tab/>
        <w:t>Existing global invasive alien species data providers, such as the IUCN-Invasive Species Specialist Group (IUCN-ISSG), the Global Biodiversity Information Facility (GBIF) and CABI, could be invited to provide a global platform for sharing information, experiences and analysis of the results of management activities for invasive alien species, best practices in policy and regulatory mechanisms and codes of conduct to address activities that lead to the introduction and spread of alien and invasive species, aquariums and local productive activities.</w:t>
      </w:r>
    </w:p>
    <w:p w14:paraId="3A511DE6"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lastRenderedPageBreak/>
        <w:t>10.</w:t>
      </w:r>
      <w:r w:rsidRPr="00D9073D">
        <w:rPr>
          <w:kern w:val="22"/>
          <w:szCs w:val="22"/>
        </w:rPr>
        <w:tab/>
        <w:t>IUCN-ISSG and partners could be invited to index, collate and archive the development of policy response indicators within the Biodiversity Indicators Framework (BIP) and Sustainable Development Goal indicator 15.8.1.</w:t>
      </w:r>
    </w:p>
    <w:p w14:paraId="54F4D2FA" w14:textId="77777777" w:rsidR="007523D5" w:rsidRPr="00D9073D" w:rsidRDefault="007523D5" w:rsidP="007C5A47">
      <w:pPr>
        <w:suppressLineNumbers/>
        <w:suppressAutoHyphens/>
        <w:spacing w:before="120" w:after="120"/>
        <w:rPr>
          <w:kern w:val="22"/>
          <w:szCs w:val="22"/>
        </w:rPr>
      </w:pPr>
      <w:r w:rsidRPr="00D9073D">
        <w:rPr>
          <w:kern w:val="22"/>
          <w:szCs w:val="22"/>
        </w:rPr>
        <w:t>11.</w:t>
      </w:r>
      <w:r w:rsidRPr="00D9073D">
        <w:rPr>
          <w:kern w:val="22"/>
          <w:szCs w:val="22"/>
        </w:rPr>
        <w:tab/>
        <w:t>States, organizations and experts are invited to continue supporting the ongoing development of the Global Registry of Introduced and Invasive Species (GRIIS) and other expert networks focused on collation and curation of new and existing data.</w:t>
      </w:r>
    </w:p>
    <w:p w14:paraId="4F4E932A"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12.</w:t>
      </w:r>
      <w:r w:rsidRPr="00D9073D">
        <w:rPr>
          <w:kern w:val="22"/>
          <w:szCs w:val="22"/>
        </w:rPr>
        <w:tab/>
        <w:t>GBIF could be invited to include distribution data on invasive alien species in their global biodiversity databases.</w:t>
      </w:r>
    </w:p>
    <w:p w14:paraId="1470A400"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13.</w:t>
      </w:r>
      <w:r w:rsidRPr="00D9073D">
        <w:rPr>
          <w:kern w:val="22"/>
          <w:szCs w:val="22"/>
        </w:rPr>
        <w:tab/>
        <w:t>States, sectoral authorities, international, regional and local organizations and relevant stakeholders could be invited to contribute to and use the CABI Invasive Species Compendium, which is an encyclopedic resource of scientific information on invasive alien species to help inform decision-making.</w:t>
      </w:r>
    </w:p>
    <w:p w14:paraId="40506380" w14:textId="77777777" w:rsidR="007523D5" w:rsidRPr="00D9073D" w:rsidRDefault="007523D5" w:rsidP="007C5A47">
      <w:pPr>
        <w:pStyle w:val="ListParagraph"/>
        <w:suppressLineNumbers/>
        <w:suppressAutoHyphens/>
        <w:spacing w:before="120" w:after="120"/>
        <w:ind w:left="0"/>
        <w:contextualSpacing w:val="0"/>
        <w:rPr>
          <w:kern w:val="22"/>
          <w:szCs w:val="22"/>
        </w:rPr>
      </w:pPr>
      <w:r w:rsidRPr="00D9073D">
        <w:rPr>
          <w:kern w:val="22"/>
          <w:szCs w:val="22"/>
        </w:rPr>
        <w:t>14.</w:t>
      </w:r>
      <w:r w:rsidRPr="00D9073D">
        <w:rPr>
          <w:kern w:val="22"/>
          <w:szCs w:val="22"/>
        </w:rPr>
        <w:tab/>
        <w:t>States, sectoral authorities, international, regional and local organizations, experts and relevant stakeholders are invited to use and further develop, as needed, impact assessment frameworks (e,g, EICAT and SEICAT) to develop science-based policies and prioritization of invasive alien species management actions.</w:t>
      </w:r>
      <w:r w:rsidRPr="00610646">
        <w:rPr>
          <w:rStyle w:val="FootnoteReference"/>
        </w:rPr>
        <w:footnoteReference w:id="355"/>
      </w:r>
    </w:p>
    <w:p w14:paraId="6705F49F" w14:textId="77777777" w:rsidR="007523D5" w:rsidRPr="0027619F" w:rsidRDefault="007523D5" w:rsidP="007C5A47">
      <w:pPr>
        <w:pStyle w:val="ListParagraph"/>
        <w:suppressLineNumbers/>
        <w:suppressAutoHyphens/>
        <w:ind w:left="0"/>
        <w:contextualSpacing w:val="0"/>
        <w:rPr>
          <w:kern w:val="22"/>
          <w:szCs w:val="22"/>
        </w:rPr>
      </w:pPr>
    </w:p>
    <w:p w14:paraId="42A11CD1" w14:textId="77777777" w:rsidR="007523D5" w:rsidRPr="0027619F" w:rsidRDefault="007523D5" w:rsidP="00B66FDF">
      <w:pPr>
        <w:suppressLineNumbers/>
        <w:tabs>
          <w:tab w:val="right" w:pos="9360"/>
        </w:tabs>
        <w:suppressAutoHyphens/>
        <w:spacing w:before="120" w:after="120"/>
        <w:jc w:val="center"/>
        <w:rPr>
          <w:rFonts w:asciiTheme="majorBidi" w:hAnsiTheme="majorBidi" w:cstheme="majorBidi"/>
          <w:i/>
          <w:iCs/>
          <w:snapToGrid w:val="0"/>
          <w:kern w:val="22"/>
          <w:szCs w:val="22"/>
        </w:rPr>
      </w:pPr>
      <w:bookmarkStart w:id="325" w:name="_Toc118355056"/>
      <w:r w:rsidRPr="0027619F">
        <w:rPr>
          <w:rFonts w:asciiTheme="majorBidi" w:hAnsiTheme="majorBidi" w:cstheme="majorBidi"/>
          <w:i/>
          <w:iCs/>
          <w:snapToGrid w:val="0"/>
          <w:kern w:val="22"/>
          <w:szCs w:val="22"/>
        </w:rPr>
        <w:t>Annex VI</w:t>
      </w:r>
      <w:bookmarkEnd w:id="325"/>
    </w:p>
    <w:p w14:paraId="39DB634E" w14:textId="77777777" w:rsidR="007523D5" w:rsidRPr="0027619F" w:rsidRDefault="007523D5" w:rsidP="00B66FDF">
      <w:pPr>
        <w:pStyle w:val="HEADINGNOTFORTOC"/>
        <w:spacing w:before="120"/>
        <w:outlineLvl w:val="9"/>
        <w:rPr>
          <w:rFonts w:asciiTheme="majorBidi" w:hAnsiTheme="majorBidi" w:cstheme="majorBidi"/>
          <w:szCs w:val="22"/>
        </w:rPr>
      </w:pPr>
      <w:bookmarkStart w:id="326" w:name="_Toc118355057"/>
      <w:r w:rsidRPr="0027619F">
        <w:rPr>
          <w:rFonts w:asciiTheme="majorBidi" w:hAnsiTheme="majorBidi" w:cstheme="majorBidi"/>
          <w:szCs w:val="22"/>
        </w:rPr>
        <w:t>Draft additional advice and technical guidance on invasive alien species management</w:t>
      </w:r>
      <w:bookmarkEnd w:id="326"/>
    </w:p>
    <w:p w14:paraId="307D77F6" w14:textId="77777777" w:rsidR="007523D5" w:rsidRPr="00D9073D" w:rsidRDefault="007523D5" w:rsidP="007C5A47">
      <w:pPr>
        <w:pStyle w:val="heading2notforTOC"/>
        <w:outlineLvl w:val="9"/>
        <w:rPr>
          <w:rFonts w:asciiTheme="majorBidi" w:hAnsiTheme="majorBidi" w:cstheme="majorBidi"/>
          <w:b/>
          <w:i w:val="0"/>
          <w:iCs w:val="0"/>
          <w:caps/>
          <w:szCs w:val="22"/>
        </w:rPr>
      </w:pPr>
      <w:r w:rsidRPr="00D9073D">
        <w:rPr>
          <w:rFonts w:asciiTheme="majorBidi" w:hAnsiTheme="majorBidi" w:cstheme="majorBidi"/>
          <w:szCs w:val="22"/>
        </w:rPr>
        <w:t>A.</w:t>
      </w:r>
      <w:r w:rsidRPr="00D9073D">
        <w:rPr>
          <w:rFonts w:asciiTheme="majorBidi" w:hAnsiTheme="majorBidi" w:cstheme="majorBidi"/>
          <w:szCs w:val="22"/>
        </w:rPr>
        <w:tab/>
        <w:t>Advice on the use of sanitary and phytosanitary measures</w:t>
      </w:r>
    </w:p>
    <w:p w14:paraId="586FDCED" w14:textId="77777777" w:rsidR="007523D5" w:rsidRPr="00D9073D" w:rsidRDefault="007523D5" w:rsidP="007C5A47">
      <w:pPr>
        <w:pStyle w:val="Style1"/>
        <w:suppressLineNumbers/>
        <w:suppressAutoHyphens/>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w:t>
      </w:r>
      <w:r w:rsidRPr="00D9073D">
        <w:rPr>
          <w:rFonts w:asciiTheme="majorBidi" w:hAnsiTheme="majorBidi" w:cstheme="majorBidi"/>
          <w:b w:val="0"/>
          <w:bCs w:val="0"/>
          <w:i w:val="0"/>
          <w:kern w:val="22"/>
        </w:rPr>
        <w:tab/>
        <w:t>The application of sanitary and phytosanitary (SPS)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national plant protection organizations and the veterinary authorities (e.g., coordination in Australia between the Department of Agriculture and the Department of Environment and Energy).</w:t>
      </w:r>
    </w:p>
    <w:p w14:paraId="567B51A7" w14:textId="77777777" w:rsidR="007523D5" w:rsidRPr="00D9073D" w:rsidRDefault="007523D5" w:rsidP="007C5A47">
      <w:pPr>
        <w:pStyle w:val="Style1"/>
        <w:suppressLineNumbers/>
        <w:suppressAutoHyphens/>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w:t>
      </w:r>
      <w:r w:rsidRPr="00D9073D">
        <w:rPr>
          <w:rFonts w:asciiTheme="majorBidi" w:hAnsiTheme="majorBidi" w:cstheme="majorBidi"/>
          <w:b w:val="0"/>
          <w:bCs w:val="0"/>
          <w:i w:val="0"/>
          <w:kern w:val="22"/>
        </w:rPr>
        <w:tab/>
        <w:t>Environmental authorities, national plant protection organizations and veterinary authorities should be advised to establish strong partnerships with national, regional and local governments in connection with mandates for alien species management. This will help prevent the introduction of invasive alien species and support early detection, rapid response and effective management. Such partnerships could include collaboration in setting national and regional priorities, completing risk assessments, carrying out surveillance, developing response plans, sharing information and exchanging expertise.</w:t>
      </w:r>
    </w:p>
    <w:p w14:paraId="53F8608A" w14:textId="77777777" w:rsidR="007523D5" w:rsidRPr="00D9073D" w:rsidRDefault="007523D5" w:rsidP="007C5A47">
      <w:pPr>
        <w:pStyle w:val="Style1"/>
        <w:suppressLineNumbers/>
        <w:suppressAutoHyphens/>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3.</w:t>
      </w:r>
      <w:r w:rsidRPr="00D9073D">
        <w:rPr>
          <w:rFonts w:asciiTheme="majorBidi" w:hAnsiTheme="majorBidi" w:cstheme="majorBidi"/>
          <w:b w:val="0"/>
          <w:bCs w:val="0"/>
          <w:i w:val="0"/>
          <w:kern w:val="22"/>
        </w:rPr>
        <w:tab/>
        <w:t>A large number of the international standards that are recognized by the World Trade Organization (WTO) Agreement on the Application of Sanitary and Phytosanitary Measures (SPS Agreement) are relevant for protecting biodiversity. These SPS measures should be applied more widely, not only in the context of agriculture, but also to protect the health of wild fauna and flora.</w:t>
      </w:r>
    </w:p>
    <w:p w14:paraId="7A9C650C" w14:textId="77777777" w:rsidR="007523D5" w:rsidRPr="00D9073D" w:rsidRDefault="007523D5" w:rsidP="00F5075E">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4.</w:t>
      </w:r>
      <w:r w:rsidRPr="00D9073D">
        <w:rPr>
          <w:rFonts w:asciiTheme="majorBidi" w:hAnsiTheme="majorBidi" w:cstheme="majorBidi"/>
          <w:b w:val="0"/>
          <w:bCs w:val="0"/>
          <w:i w:val="0"/>
          <w:kern w:val="22"/>
        </w:rPr>
        <w:tab/>
        <w:t xml:space="preserve">A number of guides, manuals and training materials have been developed under the International Plant Protection Convention (IPPC) to build capacity and support the implementation of international </w:t>
      </w:r>
      <w:r w:rsidRPr="00D9073D">
        <w:rPr>
          <w:rFonts w:asciiTheme="majorBidi" w:hAnsiTheme="majorBidi" w:cstheme="majorBidi"/>
          <w:b w:val="0"/>
          <w:bCs w:val="0"/>
          <w:i w:val="0"/>
          <w:kern w:val="22"/>
        </w:rPr>
        <w:lastRenderedPageBreak/>
        <w:t>standards. These materials should be used to raise awareness and build capacity among partner organizations to address the issue of invasive alien species.</w:t>
      </w:r>
    </w:p>
    <w:p w14:paraId="5CDD722C" w14:textId="77777777" w:rsidR="007523D5" w:rsidRPr="00D9073D" w:rsidRDefault="007523D5" w:rsidP="00F5075E">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5.</w:t>
      </w:r>
      <w:r w:rsidRPr="00D9073D">
        <w:rPr>
          <w:rFonts w:asciiTheme="majorBidi" w:hAnsiTheme="majorBidi" w:cstheme="majorBidi"/>
          <w:kern w:val="22"/>
        </w:rPr>
        <w:tab/>
      </w:r>
      <w:r w:rsidRPr="00D9073D">
        <w:rPr>
          <w:rFonts w:asciiTheme="majorBidi" w:hAnsiTheme="majorBidi" w:cstheme="majorBidi"/>
          <w:b w:val="0"/>
          <w:bCs w:val="0"/>
          <w:i w:val="0"/>
          <w:kern w:val="22"/>
        </w:rPr>
        <w:t>There is a need for capacity-building among developing countries, for implementing existing IPPC and the World Organisation for Animal Health (OIE) international guidelines and standards and for developing national regulatory frameworks to address the risks associated with invasive alien species.</w:t>
      </w:r>
    </w:p>
    <w:p w14:paraId="3671E2B8" w14:textId="77777777" w:rsidR="007523D5" w:rsidRPr="00D9073D" w:rsidRDefault="007523D5" w:rsidP="00F5075E">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6.</w:t>
      </w:r>
      <w:r w:rsidRPr="00D9073D">
        <w:rPr>
          <w:rFonts w:asciiTheme="majorBidi" w:hAnsiTheme="majorBidi" w:cstheme="majorBidi"/>
          <w:b w:val="0"/>
          <w:bCs w:val="0"/>
          <w:i w:val="0"/>
          <w:kern w:val="22"/>
        </w:rPr>
        <w:tab/>
        <w:t>Regional cooperation and partnerships should be further developed to support the achievement of Aichi Biodiversity Target 9 and beyond, through regular coordination and communication, identification of common priorities and alignment of efforts on a regional basis. This could be supported through IPPC by using the model of regional plant protection organizations to foster cooperation on invasive alien species.</w:t>
      </w:r>
    </w:p>
    <w:p w14:paraId="4A13736D" w14:textId="77777777" w:rsidR="007523D5" w:rsidRPr="00D9073D" w:rsidRDefault="007523D5" w:rsidP="00F5075E">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7.</w:t>
      </w:r>
      <w:r w:rsidRPr="00D9073D">
        <w:rPr>
          <w:rFonts w:asciiTheme="majorBidi" w:hAnsiTheme="majorBidi" w:cstheme="majorBidi"/>
          <w:b w:val="0"/>
          <w:bCs w:val="0"/>
          <w:i w:val="0"/>
          <w:kern w:val="22"/>
        </w:rPr>
        <w:tab/>
        <w:t>A key gap that needs additional attention and guidance is pathogens affecting wildlife and invasive alien species that may be a vector or host of pathogens or parasites and other organisms that do not meet the IPPC definition of quarantine pests, the pathogens causing diseases listed under OIE and other organisms (e.g. invasive ants) that are not covered by IPPC or OIE.</w:t>
      </w:r>
    </w:p>
    <w:p w14:paraId="673FFA7B" w14:textId="77777777" w:rsidR="007523D5" w:rsidRPr="00D9073D" w:rsidRDefault="007523D5" w:rsidP="00F5075E">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8.</w:t>
      </w:r>
      <w:r w:rsidRPr="00D9073D">
        <w:rPr>
          <w:rFonts w:asciiTheme="majorBidi" w:hAnsiTheme="majorBidi" w:cstheme="majorBidi"/>
          <w:b w:val="0"/>
          <w:bCs w:val="0"/>
          <w:i w:val="0"/>
          <w:kern w:val="22"/>
        </w:rPr>
        <w:tab/>
        <w:t>As countries adopt different approaches in regulating invasive alien species (e.g., lists of restricted, prohibited and permitted species or hybrids), guidelines could be developed on how such approaches can be implemented in compliance with the SPS Agreement, with a view to facilitating the development of better regulation and ensure transparency.</w:t>
      </w:r>
    </w:p>
    <w:p w14:paraId="1C793161" w14:textId="77777777" w:rsidR="007523D5" w:rsidRPr="00D9073D" w:rsidRDefault="007523D5" w:rsidP="004F4DDA">
      <w:pPr>
        <w:pStyle w:val="heading2notforTOC"/>
        <w:outlineLvl w:val="9"/>
        <w:rPr>
          <w:rFonts w:asciiTheme="majorBidi" w:hAnsiTheme="majorBidi" w:cstheme="majorBidi"/>
          <w:b/>
          <w:bCs/>
          <w:szCs w:val="22"/>
        </w:rPr>
      </w:pPr>
      <w:bookmarkStart w:id="327" w:name="_Hlk24450439"/>
      <w:r w:rsidRPr="00D9073D">
        <w:rPr>
          <w:rFonts w:asciiTheme="majorBidi" w:hAnsiTheme="majorBidi" w:cstheme="majorBidi"/>
          <w:szCs w:val="22"/>
        </w:rPr>
        <w:t>B.</w:t>
      </w:r>
      <w:bookmarkEnd w:id="327"/>
      <w:r w:rsidRPr="00D9073D">
        <w:rPr>
          <w:rFonts w:asciiTheme="majorBidi" w:hAnsiTheme="majorBidi" w:cstheme="majorBidi"/>
          <w:szCs w:val="22"/>
        </w:rPr>
        <w:tab/>
        <w:t>Advice on management-specific pathways</w:t>
      </w:r>
    </w:p>
    <w:p w14:paraId="706810E8" w14:textId="77777777" w:rsidR="007523D5" w:rsidRPr="00D9073D" w:rsidRDefault="007523D5" w:rsidP="004F4DDA">
      <w:pPr>
        <w:keepNext/>
        <w:jc w:val="center"/>
        <w:rPr>
          <w:i/>
          <w:iCs/>
          <w:szCs w:val="22"/>
        </w:rPr>
      </w:pPr>
      <w:r w:rsidRPr="00D9073D">
        <w:rPr>
          <w:i/>
          <w:iCs/>
          <w:szCs w:val="22"/>
        </w:rPr>
        <w:t>1.</w:t>
      </w:r>
      <w:r w:rsidRPr="00D9073D">
        <w:rPr>
          <w:i/>
          <w:iCs/>
          <w:szCs w:val="22"/>
        </w:rPr>
        <w:tab/>
        <w:t>Inter-basin water transfer and navigational canals</w:t>
      </w:r>
    </w:p>
    <w:p w14:paraId="635D76BC" w14:textId="77777777" w:rsidR="007523D5" w:rsidRPr="00D9073D" w:rsidRDefault="007523D5" w:rsidP="00844D84">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9.</w:t>
      </w:r>
      <w:r w:rsidRPr="00D9073D">
        <w:rPr>
          <w:rFonts w:asciiTheme="majorBidi" w:hAnsiTheme="majorBidi" w:cstheme="majorBidi"/>
          <w:b w:val="0"/>
          <w:bCs w:val="0"/>
          <w:i w:val="0"/>
          <w:kern w:val="22"/>
        </w:rPr>
        <w:tab/>
        <w:t>The ratification and application of relevant international maritime agreements (e.g. the International Convention for the Control and Management of Ships’ Ballast Water and Sediments (BWM Convention), mentioned in paragraph 25 of decision VIII/27, and the Guidelines for the control and management of biofouling mentioned in paragraphs 29 and 30 of decision VIII/27) should be promoted in order to diminish the spread of invasive alien species through new shipping routes opening up as a result of climate change.</w:t>
      </w:r>
    </w:p>
    <w:p w14:paraId="13A0FE37" w14:textId="77777777" w:rsidR="007523D5" w:rsidRPr="00D9073D" w:rsidRDefault="007523D5" w:rsidP="00844D84">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10.</w:t>
      </w:r>
      <w:r w:rsidRPr="00D9073D">
        <w:rPr>
          <w:rFonts w:asciiTheme="majorBidi" w:hAnsiTheme="majorBidi" w:cstheme="majorBidi"/>
          <w:b w:val="0"/>
          <w:bCs w:val="0"/>
          <w:i w:val="0"/>
          <w:kern w:val="22"/>
        </w:rPr>
        <w:tab/>
        <w:t>Regional cooperation among States should be enhanced on planning, monitoring and data exchange on invasive alien species specifically related to inter-basin water channels to establish early warning and rapid response systems as well as researching and employing methodologies to reduce new invasions through these channels.</w:t>
      </w:r>
    </w:p>
    <w:p w14:paraId="22453762" w14:textId="77777777" w:rsidR="007523D5" w:rsidRPr="00D9073D" w:rsidRDefault="007523D5" w:rsidP="00844D84">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11.</w:t>
      </w:r>
      <w:r w:rsidRPr="00D9073D">
        <w:rPr>
          <w:rFonts w:asciiTheme="majorBidi" w:hAnsiTheme="majorBidi" w:cstheme="majorBidi"/>
          <w:b w:val="0"/>
          <w:bCs w:val="0"/>
          <w:i w:val="0"/>
          <w:kern w:val="22"/>
        </w:rPr>
        <w:tab/>
        <w:t>Measures to prevent the introduction and spread of invasive alien species in the procedures for planning, development and management of the inland waterway infrastructure should be promoted, as appropriate. Relevant organizations, indigenous peoples and local communities, women and youth and other stakeholders, including local fishers and other groups that are dependent on the waterways (e.g., boaters, recreational boat users, outfitters), should be consulted and engaged when planning and designing such measures.</w:t>
      </w:r>
    </w:p>
    <w:p w14:paraId="546A754E" w14:textId="77777777" w:rsidR="007523D5" w:rsidRPr="00D9073D" w:rsidRDefault="007523D5" w:rsidP="004C183A">
      <w:pPr>
        <w:keepNext/>
        <w:jc w:val="center"/>
        <w:rPr>
          <w:i/>
          <w:iCs/>
          <w:szCs w:val="22"/>
        </w:rPr>
      </w:pPr>
      <w:r w:rsidRPr="00D9073D">
        <w:rPr>
          <w:i/>
          <w:iCs/>
          <w:szCs w:val="22"/>
        </w:rPr>
        <w:t>2.</w:t>
      </w:r>
      <w:r w:rsidRPr="00D9073D">
        <w:rPr>
          <w:i/>
          <w:iCs/>
          <w:szCs w:val="22"/>
        </w:rPr>
        <w:tab/>
        <w:t>International aid programmes</w:t>
      </w:r>
    </w:p>
    <w:p w14:paraId="13230ED9"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12.</w:t>
      </w:r>
      <w:r w:rsidRPr="00D9073D">
        <w:rPr>
          <w:rFonts w:asciiTheme="majorBidi" w:hAnsiTheme="majorBidi" w:cstheme="majorBidi"/>
          <w:kern w:val="22"/>
        </w:rPr>
        <w:tab/>
      </w:r>
      <w:r w:rsidRPr="00D9073D">
        <w:rPr>
          <w:rFonts w:asciiTheme="majorBidi" w:hAnsiTheme="majorBidi" w:cstheme="majorBidi"/>
          <w:b w:val="0"/>
          <w:bCs w:val="0"/>
          <w:i w:val="0"/>
          <w:kern w:val="22"/>
        </w:rPr>
        <w:t>Developing countries need capacity-building, resource mobilization and information sharing for assessing and managing the invasive alien species risks associated with international aid programmes.</w:t>
      </w:r>
    </w:p>
    <w:p w14:paraId="42FD68AF"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13.</w:t>
      </w:r>
      <w:r w:rsidRPr="00D9073D">
        <w:rPr>
          <w:rFonts w:asciiTheme="majorBidi" w:hAnsiTheme="majorBidi" w:cstheme="majorBidi"/>
          <w:b w:val="0"/>
          <w:bCs w:val="0"/>
          <w:i w:val="0"/>
          <w:kern w:val="22"/>
        </w:rPr>
        <w:tab/>
        <w:t>Aid agencies should ensure that any initiatives/projects/programmes/agreements avoid the introduction of invasive alien species into the area.</w:t>
      </w:r>
    </w:p>
    <w:p w14:paraId="0EA5D0DA" w14:textId="77777777" w:rsidR="007523D5" w:rsidRPr="00D9073D" w:rsidRDefault="007523D5" w:rsidP="00844D84">
      <w:pPr>
        <w:keepNext/>
        <w:jc w:val="left"/>
        <w:rPr>
          <w:i/>
          <w:iCs/>
          <w:szCs w:val="22"/>
        </w:rPr>
      </w:pPr>
      <w:r w:rsidRPr="00D9073D">
        <w:rPr>
          <w:i/>
          <w:iCs/>
          <w:szCs w:val="22"/>
        </w:rPr>
        <w:t>Emergency relief, aid and response</w:t>
      </w:r>
    </w:p>
    <w:p w14:paraId="0A49F56B"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14.</w:t>
      </w:r>
      <w:r w:rsidRPr="00D9073D">
        <w:rPr>
          <w:rFonts w:asciiTheme="majorBidi" w:hAnsiTheme="majorBidi" w:cstheme="majorBidi"/>
          <w:kern w:val="22"/>
        </w:rPr>
        <w:tab/>
      </w:r>
      <w:r w:rsidRPr="00D9073D">
        <w:rPr>
          <w:rFonts w:asciiTheme="majorBidi" w:hAnsiTheme="majorBidi" w:cstheme="majorBidi"/>
          <w:b w:val="0"/>
          <w:bCs w:val="0"/>
          <w:i w:val="0"/>
          <w:kern w:val="22"/>
        </w:rPr>
        <w:t>Environmental authorities should consult the relevant enforcement agencies to comply with the SPS Agreement or the country’s quarantine regulation to prevent risk of biological invasions associated with emergency relief, aid and response.</w:t>
      </w:r>
    </w:p>
    <w:p w14:paraId="5258C284"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15.</w:t>
      </w:r>
      <w:r w:rsidRPr="00D9073D">
        <w:rPr>
          <w:rFonts w:asciiTheme="majorBidi" w:hAnsiTheme="majorBidi" w:cstheme="majorBidi"/>
          <w:b w:val="0"/>
          <w:bCs w:val="0"/>
          <w:i w:val="0"/>
          <w:kern w:val="22"/>
        </w:rPr>
        <w:tab/>
        <w:t>Documenting any case of invasive alien species in aid-recipient countries should be initiated across broad sectors.</w:t>
      </w:r>
    </w:p>
    <w:p w14:paraId="322B2815"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lastRenderedPageBreak/>
        <w:t>16.</w:t>
      </w:r>
      <w:r w:rsidRPr="00D9073D">
        <w:rPr>
          <w:rFonts w:asciiTheme="majorBidi" w:hAnsiTheme="majorBidi" w:cstheme="majorBidi"/>
          <w:b w:val="0"/>
          <w:bCs w:val="0"/>
          <w:i w:val="0"/>
          <w:kern w:val="22"/>
        </w:rPr>
        <w:tab/>
        <w:t>The risk of invasive alien species should be incorporated into emergency response strategies.</w:t>
      </w:r>
    </w:p>
    <w:p w14:paraId="3CAD7736" w14:textId="77777777" w:rsidR="007523D5" w:rsidRPr="00D9073D" w:rsidRDefault="007523D5" w:rsidP="004C183A">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17.</w:t>
      </w:r>
      <w:r w:rsidRPr="00D9073D">
        <w:rPr>
          <w:rFonts w:asciiTheme="majorBidi" w:hAnsiTheme="majorBidi" w:cstheme="majorBidi"/>
          <w:b w:val="0"/>
          <w:bCs w:val="0"/>
          <w:i w:val="0"/>
          <w:kern w:val="22"/>
        </w:rPr>
        <w:tab/>
        <w:t>The responsibilities of aid-providers and aid-recipients should be identified to avoid any invasive alien species introduction through contaminants in aid transports and transfers.</w:t>
      </w:r>
    </w:p>
    <w:p w14:paraId="65C31454" w14:textId="77777777" w:rsidR="007523D5" w:rsidRPr="00D9073D" w:rsidRDefault="007523D5" w:rsidP="007C5A47">
      <w:pPr>
        <w:jc w:val="center"/>
        <w:rPr>
          <w:i/>
          <w:iCs/>
          <w:szCs w:val="22"/>
        </w:rPr>
      </w:pPr>
      <w:r w:rsidRPr="00D9073D">
        <w:rPr>
          <w:i/>
          <w:iCs/>
          <w:szCs w:val="22"/>
        </w:rPr>
        <w:t>3.</w:t>
      </w:r>
      <w:r w:rsidRPr="00D9073D">
        <w:rPr>
          <w:i/>
          <w:iCs/>
          <w:szCs w:val="22"/>
        </w:rPr>
        <w:tab/>
        <w:t>Air transport</w:t>
      </w:r>
    </w:p>
    <w:p w14:paraId="07EFBFD3" w14:textId="77777777" w:rsidR="007523D5" w:rsidRPr="00D9073D" w:rsidRDefault="007523D5" w:rsidP="00D72BDD">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18.</w:t>
      </w:r>
      <w:r w:rsidRPr="00D9073D">
        <w:rPr>
          <w:rFonts w:asciiTheme="majorBidi" w:hAnsiTheme="majorBidi" w:cstheme="majorBidi"/>
          <w:b w:val="0"/>
          <w:bCs w:val="0"/>
          <w:i w:val="0"/>
          <w:kern w:val="22"/>
        </w:rPr>
        <w:tab/>
        <w:t>Relevant organizations should engage indigenous peoples, local communities and relevant stakeholders</w:t>
      </w:r>
      <w:r w:rsidRPr="00D9073D" w:rsidDel="009951C3">
        <w:rPr>
          <w:rFonts w:asciiTheme="majorBidi" w:hAnsiTheme="majorBidi" w:cstheme="majorBidi"/>
          <w:b w:val="0"/>
          <w:bCs w:val="0"/>
          <w:i w:val="0"/>
          <w:kern w:val="22"/>
        </w:rPr>
        <w:t xml:space="preserve"> </w:t>
      </w:r>
      <w:r w:rsidRPr="00D9073D">
        <w:rPr>
          <w:rFonts w:asciiTheme="majorBidi" w:hAnsiTheme="majorBidi" w:cstheme="majorBidi"/>
          <w:b w:val="0"/>
          <w:bCs w:val="0"/>
          <w:i w:val="0"/>
          <w:kern w:val="22"/>
        </w:rPr>
        <w:t>at all levels to develop standards to prevent hitchhiker or stowaway species arriving by air.</w:t>
      </w:r>
    </w:p>
    <w:p w14:paraId="139EA4F2" w14:textId="77777777" w:rsidR="007523D5" w:rsidRPr="00D9073D" w:rsidRDefault="007523D5" w:rsidP="00D72BDD">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19.</w:t>
      </w:r>
      <w:r w:rsidRPr="00D9073D">
        <w:rPr>
          <w:rFonts w:asciiTheme="majorBidi" w:hAnsiTheme="majorBidi" w:cstheme="majorBidi"/>
          <w:b w:val="0"/>
          <w:bCs w:val="0"/>
          <w:i w:val="0"/>
          <w:kern w:val="22"/>
        </w:rPr>
        <w:tab/>
        <w:t>Relevant organizations, including IPPC, OIE, ICAO, WCO and IATA, should collaborate to develop harmonized operating standards related to air cargo, with input from indigenous peoples, local communities and relevant stakeholders.</w:t>
      </w:r>
    </w:p>
    <w:p w14:paraId="482AA098" w14:textId="77777777" w:rsidR="007523D5" w:rsidRPr="00D9073D" w:rsidRDefault="007523D5" w:rsidP="00D72BDD">
      <w:pPr>
        <w:pStyle w:val="Style1"/>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20.</w:t>
      </w:r>
      <w:r w:rsidRPr="00D9073D">
        <w:rPr>
          <w:rFonts w:asciiTheme="majorBidi" w:hAnsiTheme="majorBidi" w:cstheme="majorBidi"/>
          <w:b w:val="0"/>
          <w:bCs w:val="0"/>
          <w:i w:val="0"/>
          <w:kern w:val="22"/>
        </w:rPr>
        <w:tab/>
        <w:t>States should avoid the introduction and spread of invasive alien species through the transport of living organisms, in accordance with the guidance annexed to decisions XII/16 and 14/11.</w:t>
      </w:r>
    </w:p>
    <w:p w14:paraId="265FC867" w14:textId="77777777" w:rsidR="007523D5" w:rsidRPr="00D9073D" w:rsidRDefault="007523D5" w:rsidP="007C5A47">
      <w:pPr>
        <w:jc w:val="center"/>
        <w:rPr>
          <w:i/>
          <w:iCs/>
          <w:szCs w:val="22"/>
        </w:rPr>
      </w:pPr>
      <w:r w:rsidRPr="00D9073D">
        <w:rPr>
          <w:i/>
          <w:iCs/>
          <w:szCs w:val="22"/>
        </w:rPr>
        <w:t>4.</w:t>
      </w:r>
      <w:r w:rsidRPr="00D9073D">
        <w:rPr>
          <w:i/>
          <w:iCs/>
          <w:szCs w:val="22"/>
        </w:rPr>
        <w:tab/>
        <w:t>Tourism</w:t>
      </w:r>
    </w:p>
    <w:p w14:paraId="4397E172"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21.</w:t>
      </w:r>
      <w:r w:rsidRPr="00D9073D">
        <w:rPr>
          <w:rFonts w:asciiTheme="majorBidi" w:hAnsiTheme="majorBidi" w:cstheme="majorBidi"/>
          <w:b w:val="0"/>
          <w:bCs w:val="0"/>
          <w:i w:val="0"/>
          <w:kern w:val="22"/>
        </w:rPr>
        <w:tab/>
        <w:t>Parties, in collaboration with travel operators and non-governmental organizations, should develop awareness programmes and campaigns to educate tourists, tourism agencies, local communities and policymakers on the risk and management of invasive alien species, and strategies and techniques to minimize risks.</w:t>
      </w:r>
    </w:p>
    <w:p w14:paraId="34B0BDF0"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22.</w:t>
      </w:r>
      <w:r w:rsidRPr="00D9073D">
        <w:rPr>
          <w:rFonts w:asciiTheme="majorBidi" w:hAnsiTheme="majorBidi" w:cstheme="majorBidi"/>
          <w:b w:val="0"/>
          <w:bCs w:val="0"/>
          <w:i w:val="0"/>
          <w:kern w:val="22"/>
        </w:rPr>
        <w:tab/>
        <w:t>Minimizing the impact of touristic activity to prevent the introduction and spread of invasive alien species should be prioritized, taking into account vulnerable ecosystems, such as in protected areas, and island ecosystems.</w:t>
      </w:r>
    </w:p>
    <w:p w14:paraId="7B736CC3"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23.</w:t>
      </w:r>
      <w:r w:rsidRPr="00D9073D">
        <w:rPr>
          <w:rFonts w:asciiTheme="majorBidi" w:hAnsiTheme="majorBidi" w:cstheme="majorBidi"/>
          <w:b w:val="0"/>
          <w:bCs w:val="0"/>
          <w:i w:val="0"/>
          <w:kern w:val="22"/>
        </w:rPr>
        <w:tab/>
        <w:t>The Secretariat should collaborate with the World Tourism Organization to consider joint efforts in addressing tourism as a major possibility for introducing invasive alien species and the management thereof.</w:t>
      </w:r>
    </w:p>
    <w:p w14:paraId="1620671C" w14:textId="77777777" w:rsidR="007523D5" w:rsidRPr="00D9073D" w:rsidRDefault="007523D5" w:rsidP="007C5A47">
      <w:pPr>
        <w:keepNext/>
        <w:jc w:val="center"/>
        <w:rPr>
          <w:i/>
          <w:iCs/>
          <w:szCs w:val="22"/>
        </w:rPr>
      </w:pPr>
      <w:r w:rsidRPr="00D9073D">
        <w:rPr>
          <w:i/>
          <w:iCs/>
          <w:szCs w:val="22"/>
        </w:rPr>
        <w:t>5.</w:t>
      </w:r>
      <w:r w:rsidRPr="00D9073D">
        <w:rPr>
          <w:i/>
          <w:iCs/>
          <w:szCs w:val="22"/>
        </w:rPr>
        <w:tab/>
        <w:t>Sea containers and cargos</w:t>
      </w:r>
    </w:p>
    <w:p w14:paraId="742050CB"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24.</w:t>
      </w:r>
      <w:r w:rsidRPr="00D9073D">
        <w:rPr>
          <w:rFonts w:asciiTheme="majorBidi" w:hAnsiTheme="majorBidi" w:cstheme="majorBidi"/>
          <w:b w:val="0"/>
          <w:bCs w:val="0"/>
          <w:i w:val="0"/>
          <w:kern w:val="22"/>
        </w:rPr>
        <w:tab/>
        <w:t>Parties and other Governments should be aware that sea containers may carry invasive alien species with any cargoes, including industrial products, not only cargoes containing living organisms.</w:t>
      </w:r>
    </w:p>
    <w:p w14:paraId="16C881B9"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25.</w:t>
      </w:r>
      <w:r w:rsidRPr="00D9073D">
        <w:rPr>
          <w:rFonts w:asciiTheme="majorBidi" w:hAnsiTheme="majorBidi" w:cstheme="majorBidi"/>
          <w:b w:val="0"/>
          <w:bCs w:val="0"/>
          <w:i w:val="0"/>
          <w:kern w:val="22"/>
        </w:rPr>
        <w:tab/>
        <w:t>Relevant organizations should engage indigenous peoples, local communities and relevant stakeholders at all levels to develop guidelines to prevent invasions of hitchhiker or stowaway species through sea containers.</w:t>
      </w:r>
    </w:p>
    <w:p w14:paraId="252540FE"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26.</w:t>
      </w:r>
      <w:r w:rsidRPr="00D9073D">
        <w:rPr>
          <w:rFonts w:asciiTheme="majorBidi" w:hAnsiTheme="majorBidi" w:cstheme="majorBidi"/>
          <w:b w:val="0"/>
          <w:bCs w:val="0"/>
          <w:i w:val="0"/>
          <w:kern w:val="22"/>
        </w:rPr>
        <w:tab/>
        <w:t>Relevant organizations, including IPPC, OIE, IMO and WCO, should further collaborate to develop harmonized operational standards to address the pathways of biological invasion (contaminants and stowaway) via sea containers, in close cooperation with the relevant business sector and input from indigenous peoples, local communities and relevant stakeholders, taking into account the appropriate treatment of sea containers prior to loading cargos.</w:t>
      </w:r>
    </w:p>
    <w:p w14:paraId="213B1F40"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27.</w:t>
      </w:r>
      <w:r w:rsidRPr="00D9073D">
        <w:rPr>
          <w:rFonts w:asciiTheme="majorBidi" w:hAnsiTheme="majorBidi" w:cstheme="majorBidi"/>
          <w:b w:val="0"/>
          <w:bCs w:val="0"/>
          <w:i w:val="0"/>
          <w:kern w:val="22"/>
        </w:rPr>
        <w:tab/>
        <w:t>The introduction and spread of invasive alien species through the transport of sea containers should be avoided, in accordance with the guidance annexed to decision XIII/13 and take appropriate actions to prevent the unintentional spread of invasive alien species via sea containers, taking into account paragraphs 10, 34, 35 and 36 of the guidance annexed to decision 14/11 and other relevant international guidance, for example, the IPPC Guidance from the International Plant Protection Convention’s Sea Container Task Force.</w:t>
      </w:r>
      <w:r w:rsidRPr="00AF07BF">
        <w:rPr>
          <w:rStyle w:val="FootnoteReference"/>
          <w:b w:val="0"/>
          <w:bCs w:val="0"/>
          <w:i w:val="0"/>
          <w:iCs/>
        </w:rPr>
        <w:footnoteReference w:id="356"/>
      </w:r>
    </w:p>
    <w:p w14:paraId="742A9EF5" w14:textId="77777777" w:rsidR="007523D5" w:rsidRPr="00D9073D" w:rsidRDefault="007523D5" w:rsidP="00D72BDD">
      <w:pPr>
        <w:pStyle w:val="Style1"/>
        <w:keepNext w:val="0"/>
        <w:suppressLineNumbers/>
        <w:suppressAutoHyphens/>
        <w:spacing w:before="120"/>
        <w:jc w:val="both"/>
        <w:outlineLvl w:val="9"/>
        <w:rPr>
          <w:rFonts w:asciiTheme="majorBidi" w:hAnsiTheme="majorBidi" w:cstheme="majorBidi"/>
          <w:b w:val="0"/>
          <w:bCs w:val="0"/>
          <w:i w:val="0"/>
          <w:iCs/>
          <w:kern w:val="22"/>
        </w:rPr>
      </w:pPr>
      <w:r w:rsidRPr="00D9073D">
        <w:rPr>
          <w:rFonts w:asciiTheme="majorBidi" w:hAnsiTheme="majorBidi" w:cstheme="majorBidi"/>
          <w:b w:val="0"/>
          <w:bCs w:val="0"/>
          <w:i w:val="0"/>
          <w:kern w:val="22"/>
        </w:rPr>
        <w:t>28.</w:t>
      </w:r>
      <w:r w:rsidRPr="00D9073D">
        <w:rPr>
          <w:rFonts w:asciiTheme="majorBidi" w:hAnsiTheme="majorBidi" w:cstheme="majorBidi"/>
          <w:b w:val="0"/>
          <w:bCs w:val="0"/>
          <w:i w:val="0"/>
          <w:kern w:val="22"/>
        </w:rPr>
        <w:tab/>
        <w:t>Trade partners involved in operation of sea containers should act proactively to prevent unintentional introduction and spread of invasive alien species.</w:t>
      </w:r>
    </w:p>
    <w:p w14:paraId="22210C80" w14:textId="77777777" w:rsidR="007523D5" w:rsidRPr="00D9073D" w:rsidRDefault="007523D5" w:rsidP="007C5A47">
      <w:pPr>
        <w:pStyle w:val="heading2notforTOC"/>
        <w:outlineLvl w:val="9"/>
        <w:rPr>
          <w:rFonts w:asciiTheme="majorBidi" w:hAnsiTheme="majorBidi" w:cstheme="majorBidi"/>
          <w:b/>
          <w:bCs/>
          <w:szCs w:val="22"/>
        </w:rPr>
      </w:pPr>
      <w:r w:rsidRPr="00D9073D">
        <w:rPr>
          <w:rFonts w:asciiTheme="majorBidi" w:hAnsiTheme="majorBidi" w:cstheme="majorBidi"/>
          <w:szCs w:val="22"/>
        </w:rPr>
        <w:lastRenderedPageBreak/>
        <w:t>C.</w:t>
      </w:r>
      <w:r w:rsidRPr="00D9073D">
        <w:rPr>
          <w:rFonts w:asciiTheme="majorBidi" w:hAnsiTheme="majorBidi" w:cstheme="majorBidi"/>
          <w:szCs w:val="22"/>
        </w:rPr>
        <w:tab/>
        <w:t>Advice on capacity-building activities</w:t>
      </w:r>
    </w:p>
    <w:p w14:paraId="68E948C3" w14:textId="77777777" w:rsidR="007523D5" w:rsidRPr="00D9073D" w:rsidRDefault="007523D5" w:rsidP="007C5A47">
      <w:pPr>
        <w:pStyle w:val="NoSpacing"/>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29.</w:t>
      </w:r>
      <w:r w:rsidRPr="00D9073D">
        <w:rPr>
          <w:rFonts w:asciiTheme="majorBidi" w:hAnsiTheme="majorBidi" w:cstheme="majorBidi"/>
          <w:kern w:val="22"/>
        </w:rPr>
        <w:tab/>
        <w:t>The capacity-building programme under the Convention, should include capacity-building in invasive alien species management.</w:t>
      </w:r>
    </w:p>
    <w:p w14:paraId="58995EDE" w14:textId="77777777" w:rsidR="007523D5" w:rsidRPr="00D9073D" w:rsidRDefault="007523D5" w:rsidP="007C5A47">
      <w:pPr>
        <w:pStyle w:val="NoSpacing"/>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30.</w:t>
      </w:r>
      <w:r w:rsidRPr="00D9073D">
        <w:rPr>
          <w:rFonts w:asciiTheme="majorBidi" w:hAnsiTheme="majorBidi" w:cstheme="majorBidi"/>
          <w:kern w:val="22"/>
        </w:rPr>
        <w:tab/>
        <w:t>Training programmes at the international, national, subnational or local level should be established by inviting broad sectors, especially academics and scientific expert organizations and other relevant organizations, including indigenous peoples and local communities and women and youth.</w:t>
      </w:r>
    </w:p>
    <w:p w14:paraId="0ED9586C" w14:textId="77777777" w:rsidR="007523D5" w:rsidRPr="00D9073D" w:rsidRDefault="007523D5" w:rsidP="007C5A47">
      <w:pPr>
        <w:pStyle w:val="NoSpacing"/>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31.</w:t>
      </w:r>
      <w:r w:rsidRPr="00D9073D">
        <w:rPr>
          <w:rFonts w:asciiTheme="majorBidi" w:hAnsiTheme="majorBidi" w:cstheme="majorBidi"/>
          <w:kern w:val="22"/>
        </w:rPr>
        <w:tab/>
        <w:t>The evaluation of existing capacity and the development of training packages for relevant topics, such as taxonomy, ecology, invasion biology, risk analysis – in particular horizon scanning</w:t>
      </w:r>
      <w:r>
        <w:rPr>
          <w:rFonts w:asciiTheme="majorBidi" w:hAnsiTheme="majorBidi" w:cstheme="majorBidi"/>
          <w:kern w:val="22"/>
        </w:rPr>
        <w:t>,</w:t>
      </w:r>
      <w:r w:rsidRPr="00D9073D">
        <w:rPr>
          <w:rFonts w:asciiTheme="majorBidi" w:hAnsiTheme="majorBidi" w:cstheme="majorBidi"/>
          <w:kern w:val="22"/>
        </w:rPr>
        <w:t xml:space="preserve"> biological control, management of priority species and pathways should be considered within the long-term strategic framework for capacity</w:t>
      </w:r>
      <w:r w:rsidRPr="00D9073D">
        <w:rPr>
          <w:rFonts w:asciiTheme="majorBidi" w:hAnsiTheme="majorBidi" w:cstheme="majorBidi"/>
          <w:kern w:val="22"/>
        </w:rPr>
        <w:noBreakHyphen/>
        <w:t>building.</w:t>
      </w:r>
    </w:p>
    <w:p w14:paraId="4321DEAE" w14:textId="77777777" w:rsidR="007523D5" w:rsidRPr="00D9073D" w:rsidRDefault="007523D5" w:rsidP="007C5A47">
      <w:pPr>
        <w:pStyle w:val="NoSpacing"/>
        <w:suppressLineNumbers/>
        <w:suppressAutoHyphens/>
        <w:spacing w:before="120" w:after="120"/>
        <w:rPr>
          <w:rFonts w:asciiTheme="majorBidi" w:hAnsiTheme="majorBidi" w:cstheme="majorBidi"/>
          <w:kern w:val="22"/>
        </w:rPr>
      </w:pPr>
      <w:r w:rsidRPr="00D9073D">
        <w:rPr>
          <w:rFonts w:asciiTheme="majorBidi" w:hAnsiTheme="majorBidi" w:cstheme="majorBidi"/>
          <w:kern w:val="22"/>
        </w:rPr>
        <w:t>32.</w:t>
      </w:r>
      <w:r w:rsidRPr="00D9073D">
        <w:rPr>
          <w:rFonts w:asciiTheme="majorBidi" w:hAnsiTheme="majorBidi" w:cstheme="majorBidi"/>
          <w:kern w:val="22"/>
        </w:rPr>
        <w:tab/>
        <w:t>There is a need to develop technical resources, including technical manuals for broad sectors, as follows:</w:t>
      </w:r>
    </w:p>
    <w:p w14:paraId="0568A2F0"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(a)</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Taxonomic identification of organisms, including identification keys based on morphology, and the link to databases with images and to lists of specialists, DNA barcoding, artificial-intelligence-aided identification and citizen science;</w:t>
      </w:r>
    </w:p>
    <w:p w14:paraId="1A3F8FFB"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(b)</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How to apply sanitary and phytosanitary measures to prevent spread of invasive alien species;</w:t>
      </w:r>
    </w:p>
    <w:p w14:paraId="13834BE8"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(c)</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How to publish and use data on invasive alien species using international data standards to ensure cross-linking national, subnational and regional and global thematic databases;</w:t>
      </w:r>
    </w:p>
    <w:p w14:paraId="2F03ADD8"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(d)</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Best practices published on successful eradications, and other useful information resources on technical advice on websites;</w:t>
      </w:r>
    </w:p>
    <w:p w14:paraId="3B30F18A"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(e)</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How to use shared information on invasive alien species for national and subnational policy-setting and implementation;</w:t>
      </w:r>
    </w:p>
    <w:p w14:paraId="5FAF0C34"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(f)</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How to apply classical biological control agents against invasive alien species and under what circumstances;</w:t>
      </w:r>
    </w:p>
    <w:p w14:paraId="59741542"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(g)</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How to apply an ecosystem-based approach to control invasive alien species;</w:t>
      </w:r>
    </w:p>
    <w:p w14:paraId="5560742B"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(h)</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Multi-criteria decision support manual for policymakers;</w:t>
      </w:r>
    </w:p>
    <w:p w14:paraId="705584BD"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(i)</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If needed, a model regulatory act on invasive alien species with shared responsibility among broad sectors;</w:t>
      </w:r>
    </w:p>
    <w:p w14:paraId="1BD22ED0" w14:textId="77777777" w:rsidR="007523D5" w:rsidRPr="00D9073D" w:rsidRDefault="007523D5"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(j)</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Management manuals for broad sectors to communicate on invasive alien species among different stakeholders, including indigenous peoples and local communities and women and youth.</w:t>
      </w:r>
    </w:p>
    <w:p w14:paraId="1BD804B6" w14:textId="77777777" w:rsidR="007A11A6" w:rsidRDefault="007A11A6" w:rsidP="007C5A47">
      <w:pPr>
        <w:pStyle w:val="Para1"/>
        <w:numPr>
          <w:ilvl w:val="0"/>
          <w:numId w:val="0"/>
        </w:numPr>
        <w:jc w:val="center"/>
        <w:sectPr w:rsidR="007A11A6" w:rsidSect="00441700">
          <w:footnotePr>
            <w:numRestart w:val="eachSect"/>
          </w:footnotePr>
          <w:pgSz w:w="12240" w:h="15840"/>
          <w:pgMar w:top="567" w:right="1440" w:bottom="1134" w:left="1440" w:header="709" w:footer="709" w:gutter="0"/>
          <w:cols w:space="708"/>
          <w:docGrid w:linePitch="360"/>
        </w:sectPr>
      </w:pPr>
    </w:p>
    <w:p w14:paraId="44BE2CF8" w14:textId="77777777" w:rsidR="007A11A6" w:rsidRDefault="007A11A6" w:rsidP="000F1DC0">
      <w:pPr>
        <w:pStyle w:val="decision"/>
        <w:rPr>
          <w:caps/>
        </w:rPr>
      </w:pPr>
      <w:bookmarkStart w:id="328" w:name="_Toc150438826"/>
      <w:bookmarkStart w:id="329" w:name="_Toc150670526"/>
      <w:bookmarkStart w:id="330" w:name="_Toc150670636"/>
      <w:bookmarkStart w:id="331" w:name="_Toc150761138"/>
      <w:r>
        <w:lastRenderedPageBreak/>
        <w:t>15/28.</w:t>
      </w:r>
      <w:r>
        <w:tab/>
      </w:r>
      <w:r w:rsidRPr="00932DF5">
        <w:t>Biodiversity and agriculture</w:t>
      </w:r>
      <w:bookmarkEnd w:id="328"/>
      <w:bookmarkEnd w:id="329"/>
      <w:bookmarkEnd w:id="330"/>
      <w:bookmarkEnd w:id="331"/>
      <w:r w:rsidRPr="00105372">
        <w:rPr>
          <w:caps/>
        </w:rPr>
        <w:t xml:space="preserve"> </w:t>
      </w:r>
    </w:p>
    <w:p w14:paraId="4ED00D1F" w14:textId="77777777" w:rsidR="007A11A6" w:rsidRPr="008845E8" w:rsidRDefault="007A11A6" w:rsidP="008B2808">
      <w:pPr>
        <w:pStyle w:val="Para1"/>
        <w:numPr>
          <w:ilvl w:val="0"/>
          <w:numId w:val="0"/>
        </w:numPr>
        <w:suppressLineNumbers/>
        <w:suppressAutoHyphens/>
        <w:kinsoku w:val="0"/>
        <w:adjustRightInd w:val="0"/>
        <w:ind w:firstLine="720"/>
        <w:rPr>
          <w:iCs/>
        </w:rPr>
      </w:pPr>
      <w:r w:rsidRPr="008845E8">
        <w:rPr>
          <w:i/>
        </w:rPr>
        <w:t>The Conference of the Parties</w:t>
      </w:r>
      <w:r w:rsidRPr="008845E8">
        <w:rPr>
          <w:iCs/>
        </w:rPr>
        <w:t>,</w:t>
      </w:r>
    </w:p>
    <w:p w14:paraId="1E942EBD" w14:textId="15A75C1F" w:rsidR="007A11A6" w:rsidRPr="008845E8" w:rsidRDefault="007A11A6"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i/>
          <w:snapToGrid w:val="0"/>
          <w:kern w:val="22"/>
          <w:szCs w:val="22"/>
        </w:rPr>
        <w:t>Recalling</w:t>
      </w:r>
      <w:r w:rsidRPr="008845E8">
        <w:rPr>
          <w:snapToGrid w:val="0"/>
          <w:kern w:val="22"/>
          <w:szCs w:val="22"/>
        </w:rPr>
        <w:t xml:space="preserve"> decisions III/11, V/5, </w:t>
      </w:r>
      <w:hyperlink r:id="rId57" w:history="1">
        <w:r w:rsidRPr="008845E8">
          <w:rPr>
            <w:rStyle w:val="Hyperlink"/>
            <w:snapToGrid w:val="0"/>
            <w:kern w:val="22"/>
            <w:sz w:val="22"/>
            <w:szCs w:val="22"/>
          </w:rPr>
          <w:t>VI/5</w:t>
        </w:r>
      </w:hyperlink>
      <w:r w:rsidRPr="008845E8">
        <w:rPr>
          <w:snapToGrid w:val="0"/>
          <w:kern w:val="22"/>
          <w:szCs w:val="22"/>
        </w:rPr>
        <w:t xml:space="preserve">, </w:t>
      </w:r>
      <w:hyperlink r:id="rId58" w:history="1">
        <w:r w:rsidRPr="008845E8">
          <w:rPr>
            <w:rStyle w:val="Hyperlink"/>
            <w:snapToGrid w:val="0"/>
            <w:kern w:val="22"/>
            <w:sz w:val="22"/>
            <w:szCs w:val="22"/>
          </w:rPr>
          <w:t>VIII/23</w:t>
        </w:r>
      </w:hyperlink>
      <w:r w:rsidRPr="008845E8">
        <w:rPr>
          <w:snapToGrid w:val="0"/>
          <w:kern w:val="22"/>
          <w:szCs w:val="22"/>
        </w:rPr>
        <w:t xml:space="preserve"> and </w:t>
      </w:r>
      <w:hyperlink r:id="rId59" w:history="1">
        <w:r w:rsidRPr="008845E8">
          <w:rPr>
            <w:rStyle w:val="Hyperlink"/>
            <w:snapToGrid w:val="0"/>
            <w:kern w:val="22"/>
            <w:sz w:val="22"/>
            <w:szCs w:val="22"/>
          </w:rPr>
          <w:t>X/34</w:t>
        </w:r>
      </w:hyperlink>
      <w:r w:rsidRPr="008845E8">
        <w:rPr>
          <w:snapToGrid w:val="0"/>
          <w:kern w:val="22"/>
          <w:szCs w:val="22"/>
        </w:rPr>
        <w:t>,</w:t>
      </w:r>
    </w:p>
    <w:p w14:paraId="35D1BF49" w14:textId="77777777" w:rsidR="007A11A6" w:rsidRPr="008845E8" w:rsidRDefault="007A11A6" w:rsidP="008B2808">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i/>
          <w:snapToGrid w:val="0"/>
          <w:kern w:val="22"/>
          <w:szCs w:val="22"/>
        </w:rPr>
        <w:t>Acknowledging</w:t>
      </w:r>
      <w:r w:rsidRPr="008845E8">
        <w:rPr>
          <w:snapToGrid w:val="0"/>
          <w:kern w:val="22"/>
          <w:szCs w:val="22"/>
        </w:rPr>
        <w:t xml:space="preserve"> the importance of soil biodiversity in underpinning the functioning of terrestrial ecosystems and, therefore, most of the services it delivers,</w:t>
      </w:r>
    </w:p>
    <w:p w14:paraId="4AA416F4" w14:textId="77777777" w:rsidR="007A11A6" w:rsidRPr="00F76EF9" w:rsidRDefault="007A11A6"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i/>
          <w:snapToGrid w:val="0"/>
          <w:kern w:val="22"/>
          <w:szCs w:val="22"/>
        </w:rPr>
        <w:t>Recognizing</w:t>
      </w:r>
      <w:r w:rsidRPr="008845E8">
        <w:rPr>
          <w:snapToGrid w:val="0"/>
          <w:kern w:val="22"/>
          <w:szCs w:val="22"/>
        </w:rPr>
        <w:t xml:space="preserve"> that activities to promote the conservation, restoration and sustainable use of soil biodiversity, and the ecosystem functions and services they provide, are key in the functioning of sustainable agricultural systems for food and nutrition security for all, for climate change mitigation</w:t>
      </w:r>
      <w:r>
        <w:rPr>
          <w:snapToGrid w:val="0"/>
          <w:kern w:val="22"/>
          <w:szCs w:val="22"/>
        </w:rPr>
        <w:t>,</w:t>
      </w:r>
      <w:r w:rsidRPr="008845E8">
        <w:rPr>
          <w:snapToGrid w:val="0"/>
          <w:kern w:val="22"/>
          <w:szCs w:val="22"/>
        </w:rPr>
        <w:t xml:space="preserve"> adaptation</w:t>
      </w:r>
      <w:r>
        <w:rPr>
          <w:snapToGrid w:val="0"/>
          <w:kern w:val="22"/>
          <w:szCs w:val="22"/>
        </w:rPr>
        <w:t xml:space="preserve"> and co-benefits</w:t>
      </w:r>
      <w:r w:rsidRPr="008845E8">
        <w:rPr>
          <w:snapToGrid w:val="0"/>
          <w:kern w:val="22"/>
          <w:szCs w:val="22"/>
        </w:rPr>
        <w:t xml:space="preserve">, </w:t>
      </w:r>
      <w:r>
        <w:rPr>
          <w:snapToGrid w:val="0"/>
          <w:kern w:val="22"/>
          <w:szCs w:val="22"/>
        </w:rPr>
        <w:t xml:space="preserve">for </w:t>
      </w:r>
      <w:r w:rsidRPr="008845E8">
        <w:rPr>
          <w:snapToGrid w:val="0"/>
          <w:kern w:val="22"/>
          <w:szCs w:val="22"/>
        </w:rPr>
        <w:t xml:space="preserve">the transition towards more sustainable agricultural and food systems and to enhance the achievement </w:t>
      </w:r>
      <w:r w:rsidRPr="00F76EF9">
        <w:rPr>
          <w:snapToGrid w:val="0"/>
          <w:kern w:val="22"/>
          <w:szCs w:val="22"/>
        </w:rPr>
        <w:t>of the Sustainable Development Goals,</w:t>
      </w:r>
    </w:p>
    <w:p w14:paraId="14117AC4" w14:textId="77777777" w:rsidR="007A11A6" w:rsidRPr="008845E8" w:rsidRDefault="007A11A6" w:rsidP="008B2808">
      <w:pPr>
        <w:pStyle w:val="Para1"/>
        <w:numPr>
          <w:ilvl w:val="0"/>
          <w:numId w:val="0"/>
        </w:numPr>
        <w:suppressLineNumbers/>
        <w:suppressAutoHyphens/>
        <w:kinsoku w:val="0"/>
        <w:adjustRightInd w:val="0"/>
        <w:ind w:firstLine="720"/>
      </w:pPr>
      <w:r w:rsidRPr="00F76EF9">
        <w:t>1.</w:t>
      </w:r>
      <w:r w:rsidRPr="00F76EF9">
        <w:rPr>
          <w:i/>
        </w:rPr>
        <w:tab/>
        <w:t>Adopts</w:t>
      </w:r>
      <w:r w:rsidRPr="00F76EF9">
        <w:t xml:space="preserve"> the </w:t>
      </w:r>
      <w:r w:rsidRPr="00AA309E">
        <w:t>P</w:t>
      </w:r>
      <w:r w:rsidRPr="00F76EF9">
        <w:t xml:space="preserve">lan of </w:t>
      </w:r>
      <w:r w:rsidRPr="00AA309E">
        <w:t>A</w:t>
      </w:r>
      <w:r w:rsidRPr="00F76EF9">
        <w:t xml:space="preserve">ction </w:t>
      </w:r>
      <w:r w:rsidRPr="00AA309E">
        <w:t>(</w:t>
      </w:r>
      <w:r w:rsidRPr="00F76EF9">
        <w:t>2020–2030</w:t>
      </w:r>
      <w:r w:rsidRPr="00AA309E">
        <w:t>)</w:t>
      </w:r>
      <w:r w:rsidRPr="00F76EF9">
        <w:t xml:space="preserve"> for the International Initiative for the Conservation and Sustainable Use of Soil Biodiversity, </w:t>
      </w:r>
      <w:r w:rsidRPr="00F76EF9">
        <w:rPr>
          <w:rFonts w:eastAsia="Calibri"/>
        </w:rPr>
        <w:t xml:space="preserve">as </w:t>
      </w:r>
      <w:r w:rsidRPr="00F76EF9">
        <w:t>contained</w:t>
      </w:r>
      <w:r w:rsidRPr="008845E8">
        <w:t xml:space="preserve"> in the annex to the present decision, and considers it an instrument for supporting the implementation of the </w:t>
      </w:r>
      <w:r>
        <w:t>Kunming-Montreal</w:t>
      </w:r>
      <w:r w:rsidRPr="008845E8">
        <w:t xml:space="preserve"> </w:t>
      </w:r>
      <w:r>
        <w:t>G</w:t>
      </w:r>
      <w:r w:rsidRPr="008845E8">
        <w:t xml:space="preserve">lobal </w:t>
      </w:r>
      <w:r>
        <w:t>B</w:t>
      </w:r>
      <w:r w:rsidRPr="008845E8">
        <w:t xml:space="preserve">iodiversity </w:t>
      </w:r>
      <w:r>
        <w:t>F</w:t>
      </w:r>
      <w:r w:rsidRPr="008845E8">
        <w:t>ramework on a voluntary basis and in accordance with national circumstances and priorities;</w:t>
      </w:r>
    </w:p>
    <w:p w14:paraId="7D9F68CC" w14:textId="77777777" w:rsidR="007A11A6" w:rsidRPr="008845E8" w:rsidRDefault="007A11A6" w:rsidP="008B2808">
      <w:pPr>
        <w:pStyle w:val="Para1"/>
        <w:numPr>
          <w:ilvl w:val="0"/>
          <w:numId w:val="0"/>
        </w:numPr>
        <w:suppressLineNumbers/>
        <w:suppressAutoHyphens/>
        <w:kinsoku w:val="0"/>
        <w:adjustRightInd w:val="0"/>
        <w:ind w:firstLine="720"/>
      </w:pPr>
      <w:r w:rsidRPr="008845E8">
        <w:t>2</w:t>
      </w:r>
      <w:r w:rsidRPr="008845E8">
        <w:rPr>
          <w:i/>
        </w:rPr>
        <w:t>.</w:t>
      </w:r>
      <w:r w:rsidRPr="008845E8">
        <w:rPr>
          <w:i/>
        </w:rPr>
        <w:tab/>
        <w:t xml:space="preserve">Takes note </w:t>
      </w:r>
      <w:r w:rsidRPr="008845E8">
        <w:rPr>
          <w:iCs/>
        </w:rPr>
        <w:t xml:space="preserve">of </w:t>
      </w:r>
      <w:r w:rsidRPr="008845E8">
        <w:t xml:space="preserve">the report entitled </w:t>
      </w:r>
      <w:r w:rsidRPr="008845E8">
        <w:rPr>
          <w:i/>
        </w:rPr>
        <w:t>State of Knowledge on Soil Biodiversity - Status, Challenges and Potentialities</w:t>
      </w:r>
      <w:r w:rsidRPr="008845E8">
        <w:rPr>
          <w:iCs/>
        </w:rPr>
        <w:t>,</w:t>
      </w:r>
      <w:r w:rsidRPr="00610646">
        <w:rPr>
          <w:rStyle w:val="FootnoteReference"/>
        </w:rPr>
        <w:footnoteReference w:id="357"/>
      </w:r>
      <w:r w:rsidRPr="008845E8">
        <w:rPr>
          <w:iCs/>
        </w:rPr>
        <w:t xml:space="preserve"> </w:t>
      </w:r>
      <w:r w:rsidRPr="008845E8">
        <w:t>prepared by the Food and Agriculture Organization of the United Nations in collaboration with the Intergovernmental Technical Panel on Soils of the Global Soil Partnership, the Global Soil Biodiversity Initiative, the European Commission and the Secretariat of the Convention on Biological Diversity;</w:t>
      </w:r>
    </w:p>
    <w:p w14:paraId="678451C5" w14:textId="77777777" w:rsidR="007A11A6" w:rsidRPr="008845E8" w:rsidRDefault="007A11A6" w:rsidP="008B2808">
      <w:pPr>
        <w:pStyle w:val="Para1"/>
        <w:numPr>
          <w:ilvl w:val="0"/>
          <w:numId w:val="0"/>
        </w:numPr>
        <w:suppressLineNumbers/>
        <w:suppressAutoHyphens/>
        <w:kinsoku w:val="0"/>
        <w:adjustRightInd w:val="0"/>
        <w:ind w:firstLine="720"/>
      </w:pPr>
      <w:r w:rsidRPr="008845E8">
        <w:t>3</w:t>
      </w:r>
      <w:r w:rsidRPr="008845E8">
        <w:rPr>
          <w:i/>
        </w:rPr>
        <w:t>.</w:t>
      </w:r>
      <w:r w:rsidRPr="008845E8">
        <w:rPr>
          <w:i/>
        </w:rPr>
        <w:tab/>
        <w:t>Encourages</w:t>
      </w:r>
      <w:r w:rsidRPr="008845E8">
        <w:t xml:space="preserve"> Parties, other Governments and relevant organizations to support the implementation of, and capacity-building and development for, the </w:t>
      </w:r>
      <w:r>
        <w:t>P</w:t>
      </w:r>
      <w:r w:rsidRPr="008845E8">
        <w:t xml:space="preserve">lan of </w:t>
      </w:r>
      <w:r>
        <w:t>A</w:t>
      </w:r>
      <w:r w:rsidRPr="008845E8">
        <w:t xml:space="preserve">ction </w:t>
      </w:r>
      <w:r>
        <w:t>(</w:t>
      </w:r>
      <w:r w:rsidRPr="008845E8">
        <w:t>2020</w:t>
      </w:r>
      <w:r>
        <w:t>–</w:t>
      </w:r>
      <w:r w:rsidRPr="008845E8">
        <w:t>2030</w:t>
      </w:r>
      <w:r>
        <w:t>)</w:t>
      </w:r>
      <w:r w:rsidRPr="008845E8">
        <w:t xml:space="preserve"> for the International Initiative for the Conservation and Sustainable Use of Soil Biodiversity through, among other things, the integration of appropriate measures </w:t>
      </w:r>
      <w:bookmarkStart w:id="332" w:name="_Hlk32323995"/>
      <w:r w:rsidRPr="008845E8">
        <w:t>into national biodiversity strategies and action plans and national reports, sustainable soil management and relevant agricultural policies, plans, legislation, standards, programmes</w:t>
      </w:r>
      <w:bookmarkEnd w:id="332"/>
      <w:r w:rsidRPr="008845E8">
        <w:t xml:space="preserve"> and practices, in accordance with national priorities and circumstances;</w:t>
      </w:r>
    </w:p>
    <w:p w14:paraId="5A41CF8D" w14:textId="77777777" w:rsidR="007A11A6" w:rsidRPr="008845E8" w:rsidRDefault="007A11A6" w:rsidP="008B2808">
      <w:pPr>
        <w:pStyle w:val="Para1"/>
        <w:numPr>
          <w:ilvl w:val="0"/>
          <w:numId w:val="0"/>
        </w:numPr>
        <w:suppressLineNumbers/>
        <w:suppressAutoHyphens/>
        <w:kinsoku w:val="0"/>
        <w:adjustRightInd w:val="0"/>
        <w:ind w:firstLine="720"/>
        <w:rPr>
          <w:shd w:val="clear" w:color="auto" w:fill="FCFCFC"/>
        </w:rPr>
      </w:pPr>
      <w:r w:rsidRPr="008845E8">
        <w:t>4.</w:t>
      </w:r>
      <w:r w:rsidRPr="008845E8">
        <w:rPr>
          <w:i/>
        </w:rPr>
        <w:tab/>
        <w:t>Urges</w:t>
      </w:r>
      <w:r w:rsidRPr="008845E8">
        <w:t xml:space="preserve"> Parties to address the direct and indirect drivers of soil biodiversity loss and land degradation</w:t>
      </w:r>
      <w:r w:rsidRPr="008845E8">
        <w:rPr>
          <w:shd w:val="clear" w:color="auto" w:fill="FCFCFC"/>
        </w:rPr>
        <w:t>;</w:t>
      </w:r>
    </w:p>
    <w:p w14:paraId="29C43E06" w14:textId="77777777" w:rsidR="007A11A6" w:rsidRPr="008845E8" w:rsidRDefault="007A11A6" w:rsidP="008B2808">
      <w:pPr>
        <w:pStyle w:val="Para1"/>
        <w:numPr>
          <w:ilvl w:val="0"/>
          <w:numId w:val="0"/>
        </w:numPr>
        <w:suppressLineNumbers/>
        <w:suppressAutoHyphens/>
        <w:kinsoku w:val="0"/>
        <w:adjustRightInd w:val="0"/>
        <w:ind w:firstLine="720"/>
      </w:pPr>
      <w:r w:rsidRPr="008845E8">
        <w:t>5.</w:t>
      </w:r>
      <w:r w:rsidRPr="008845E8">
        <w:rPr>
          <w:i/>
        </w:rPr>
        <w:tab/>
        <w:t>Encourages</w:t>
      </w:r>
      <w:r w:rsidRPr="008845E8">
        <w:t xml:space="preserve"> Parties to integrate the conservation, restoration and sustainable use of soil biodiversity into agricultural systems</w:t>
      </w:r>
      <w:r>
        <w:t xml:space="preserve">, </w:t>
      </w:r>
      <w:r w:rsidRPr="008845E8">
        <w:t xml:space="preserve">other managed ecosystems and other </w:t>
      </w:r>
      <w:r>
        <w:t xml:space="preserve">relevant </w:t>
      </w:r>
      <w:r w:rsidRPr="008845E8">
        <w:t>sectors</w:t>
      </w:r>
      <w:r w:rsidRPr="008845E8">
        <w:rPr>
          <w:shd w:val="clear" w:color="auto" w:fill="FCFCFC"/>
        </w:rPr>
        <w:t>, land and soil management, development programmes and relevant policies</w:t>
      </w:r>
      <w:r w:rsidRPr="008845E8">
        <w:t>;</w:t>
      </w:r>
    </w:p>
    <w:p w14:paraId="688C31F0" w14:textId="77777777" w:rsidR="007A11A6" w:rsidRPr="008845E8" w:rsidRDefault="007A11A6" w:rsidP="008B2808">
      <w:pPr>
        <w:pStyle w:val="Para1"/>
        <w:numPr>
          <w:ilvl w:val="0"/>
          <w:numId w:val="0"/>
        </w:numPr>
        <w:suppressLineNumbers/>
        <w:suppressAutoHyphens/>
        <w:kinsoku w:val="0"/>
        <w:adjustRightInd w:val="0"/>
        <w:ind w:firstLine="720"/>
      </w:pPr>
      <w:r w:rsidRPr="008845E8">
        <w:t>6.</w:t>
      </w:r>
      <w:r w:rsidRPr="008845E8">
        <w:tab/>
      </w:r>
      <w:r w:rsidRPr="008845E8">
        <w:rPr>
          <w:i/>
        </w:rPr>
        <w:t>Invites</w:t>
      </w:r>
      <w:r w:rsidRPr="008845E8">
        <w:t xml:space="preserve"> academic and research bodies, relevant organizations, networks and indigenous peoples and local communities, farmers, women and youth, to increase knowledge and promote </w:t>
      </w:r>
      <w:r w:rsidRPr="008845E8">
        <w:rPr>
          <w:shd w:val="clear" w:color="auto" w:fill="FCFCFC"/>
        </w:rPr>
        <w:t>awareness-raising activities on the importance of soil biodiversity</w:t>
      </w:r>
      <w:r w:rsidRPr="008845E8">
        <w:t xml:space="preserve"> and to promote further research in order to address gaps identified in the plan of action, including through </w:t>
      </w:r>
      <w:r>
        <w:t xml:space="preserve">different modalities of </w:t>
      </w:r>
      <w:r w:rsidRPr="008845E8">
        <w:t>technology transfer</w:t>
      </w:r>
      <w:r>
        <w:t>,</w:t>
      </w:r>
      <w:r w:rsidRPr="008845E8">
        <w:t xml:space="preserve"> capacity-building</w:t>
      </w:r>
      <w:r>
        <w:t xml:space="preserve"> and development, in accordance with the Convention</w:t>
      </w:r>
      <w:r w:rsidRPr="008845E8">
        <w:t>;</w:t>
      </w:r>
    </w:p>
    <w:p w14:paraId="6564A225" w14:textId="77777777" w:rsidR="007A11A6" w:rsidRPr="008845E8" w:rsidRDefault="007A11A6" w:rsidP="008B2808">
      <w:pPr>
        <w:pStyle w:val="Para1"/>
        <w:numPr>
          <w:ilvl w:val="0"/>
          <w:numId w:val="0"/>
        </w:numPr>
        <w:suppressLineNumbers/>
        <w:suppressAutoHyphens/>
        <w:kinsoku w:val="0"/>
        <w:adjustRightInd w:val="0"/>
        <w:ind w:firstLine="720"/>
      </w:pPr>
      <w:r w:rsidRPr="008845E8">
        <w:t>7.</w:t>
      </w:r>
      <w:r w:rsidRPr="008845E8">
        <w:rPr>
          <w:i/>
        </w:rPr>
        <w:tab/>
        <w:t>Invites</w:t>
      </w:r>
      <w:r w:rsidRPr="008845E8">
        <w:t xml:space="preserve"> the Food and Agriculture Organization of the United Nations, including through the framework of the Global Soil Partnership, to facilitate the implementation of the plan of action, involving Parties, including their ministries of agriculture and environment at the national level, as appropriate;</w:t>
      </w:r>
    </w:p>
    <w:p w14:paraId="60AD5D1A" w14:textId="77777777" w:rsidR="007A11A6" w:rsidRPr="008845E8" w:rsidRDefault="007A11A6" w:rsidP="008B2808">
      <w:pPr>
        <w:pStyle w:val="Para1"/>
        <w:numPr>
          <w:ilvl w:val="0"/>
          <w:numId w:val="0"/>
        </w:numPr>
        <w:suppressLineNumbers/>
        <w:suppressAutoHyphens/>
        <w:kinsoku w:val="0"/>
        <w:adjustRightInd w:val="0"/>
        <w:ind w:firstLine="720"/>
        <w:rPr>
          <w:iCs/>
        </w:rPr>
      </w:pPr>
      <w:r w:rsidRPr="008845E8">
        <w:t>8.</w:t>
      </w:r>
      <w:r w:rsidRPr="008845E8">
        <w:tab/>
      </w:r>
      <w:r w:rsidRPr="008845E8">
        <w:rPr>
          <w:i/>
        </w:rPr>
        <w:t xml:space="preserve">Invites </w:t>
      </w:r>
      <w:r w:rsidRPr="008845E8">
        <w:rPr>
          <w:iCs/>
        </w:rPr>
        <w:t>the</w:t>
      </w:r>
      <w:r w:rsidRPr="008845E8">
        <w:rPr>
          <w:i/>
        </w:rPr>
        <w:t xml:space="preserve"> </w:t>
      </w:r>
      <w:r w:rsidRPr="008845E8">
        <w:rPr>
          <w:iCs/>
        </w:rPr>
        <w:t xml:space="preserve">United Nations Environment Programme, the Food and Agriculture Organization of the United Nations, the United Nations Convention to Combat Desertification, the </w:t>
      </w:r>
      <w:r w:rsidRPr="008845E8">
        <w:t>Intergovernmental Technical Panel on Soils of the Global Soil Partnership</w:t>
      </w:r>
      <w:r w:rsidRPr="008845E8">
        <w:rPr>
          <w:iCs/>
        </w:rPr>
        <w:t xml:space="preserve"> and the Global Initiative for Soil Biodiversity to support the implementation of the </w:t>
      </w:r>
      <w:r>
        <w:rPr>
          <w:iCs/>
        </w:rPr>
        <w:t>Kunming-Montreal</w:t>
      </w:r>
      <w:r w:rsidRPr="008845E8">
        <w:rPr>
          <w:iCs/>
        </w:rPr>
        <w:t xml:space="preserve"> </w:t>
      </w:r>
      <w:r>
        <w:rPr>
          <w:iCs/>
        </w:rPr>
        <w:t>G</w:t>
      </w:r>
      <w:r w:rsidRPr="008845E8">
        <w:rPr>
          <w:iCs/>
        </w:rPr>
        <w:t xml:space="preserve">lobal </w:t>
      </w:r>
      <w:r>
        <w:rPr>
          <w:iCs/>
        </w:rPr>
        <w:t>B</w:t>
      </w:r>
      <w:r w:rsidRPr="008845E8">
        <w:rPr>
          <w:iCs/>
        </w:rPr>
        <w:t xml:space="preserve">iodiversity </w:t>
      </w:r>
      <w:r>
        <w:rPr>
          <w:iCs/>
        </w:rPr>
        <w:t>F</w:t>
      </w:r>
      <w:r w:rsidRPr="008845E8">
        <w:rPr>
          <w:iCs/>
        </w:rPr>
        <w:t>ramework with regard to soil-related targets and actions, including their monitoring and reporting;</w:t>
      </w:r>
    </w:p>
    <w:p w14:paraId="75D98B5A" w14:textId="77777777" w:rsidR="007A11A6" w:rsidRPr="008845E8" w:rsidRDefault="007A11A6" w:rsidP="008B2808">
      <w:pPr>
        <w:pStyle w:val="Para1"/>
        <w:numPr>
          <w:ilvl w:val="0"/>
          <w:numId w:val="0"/>
        </w:numPr>
        <w:suppressLineNumbers/>
        <w:suppressAutoHyphens/>
        <w:kinsoku w:val="0"/>
        <w:adjustRightInd w:val="0"/>
        <w:ind w:firstLine="720"/>
        <w:rPr>
          <w:iCs/>
        </w:rPr>
      </w:pPr>
      <w:r w:rsidRPr="008845E8">
        <w:rPr>
          <w:iCs/>
        </w:rPr>
        <w:lastRenderedPageBreak/>
        <w:t>9.</w:t>
      </w:r>
      <w:r w:rsidRPr="008845E8">
        <w:tab/>
      </w:r>
      <w:r w:rsidRPr="008845E8">
        <w:rPr>
          <w:i/>
          <w:iCs/>
        </w:rPr>
        <w:t>Urges</w:t>
      </w:r>
      <w:r w:rsidRPr="008845E8">
        <w:t xml:space="preserve"> Parties</w:t>
      </w:r>
      <w:r>
        <w:t>, in accordance with Article 20 of the Convention,</w:t>
      </w:r>
      <w:r w:rsidRPr="008845E8">
        <w:t xml:space="preserve"> and </w:t>
      </w:r>
      <w:r w:rsidRPr="005F6AE5">
        <w:rPr>
          <w:iCs/>
        </w:rPr>
        <w:t>invites</w:t>
      </w:r>
      <w:r w:rsidRPr="008845E8">
        <w:t xml:space="preserve"> other Governments and organizations</w:t>
      </w:r>
      <w:r>
        <w:t xml:space="preserve"> </w:t>
      </w:r>
      <w:r w:rsidRPr="008845E8">
        <w:t>in a position to do so, to provide financial and technical support, as appropriate, to enable developing country Parties</w:t>
      </w:r>
      <w:r>
        <w:t>, in particular least developed countries, small island developing States, as well as countries</w:t>
      </w:r>
      <w:r w:rsidRPr="008845E8">
        <w:t xml:space="preserve"> with economies in transition</w:t>
      </w:r>
      <w:r>
        <w:t>,</w:t>
      </w:r>
      <w:r w:rsidRPr="008845E8">
        <w:t xml:space="preserve"> to promote the research, technology transfer, monitoring and assessment of soil biodiversity</w:t>
      </w:r>
      <w:r w:rsidRPr="008845E8">
        <w:rPr>
          <w:iCs/>
        </w:rPr>
        <w:t>;</w:t>
      </w:r>
    </w:p>
    <w:p w14:paraId="35C404E4" w14:textId="77777777" w:rsidR="007A11A6" w:rsidRPr="008845E8" w:rsidRDefault="007A11A6" w:rsidP="008B2808">
      <w:pPr>
        <w:pStyle w:val="Para1"/>
        <w:numPr>
          <w:ilvl w:val="0"/>
          <w:numId w:val="0"/>
        </w:numPr>
        <w:suppressLineNumbers/>
        <w:suppressAutoHyphens/>
        <w:kinsoku w:val="0"/>
        <w:adjustRightInd w:val="0"/>
        <w:ind w:firstLine="720"/>
      </w:pPr>
      <w:r w:rsidRPr="008845E8">
        <w:t>10.</w:t>
      </w:r>
      <w:r w:rsidRPr="008845E8">
        <w:rPr>
          <w:i/>
        </w:rPr>
        <w:tab/>
      </w:r>
      <w:r w:rsidRPr="008845E8">
        <w:rPr>
          <w:rFonts w:eastAsia="Malgun Gothic"/>
          <w:i/>
          <w:lang w:eastAsia="ko-KR"/>
        </w:rPr>
        <w:t xml:space="preserve">Invites </w:t>
      </w:r>
      <w:r w:rsidRPr="008845E8">
        <w:t>the Global Environment Facility, other donors, funding agencies and the private sector to provide financial assistance</w:t>
      </w:r>
      <w:r>
        <w:t xml:space="preserve"> to developing countries, in particular the least developed countries and small island developing States, as well as countries with economies in transition</w:t>
      </w:r>
      <w:r w:rsidRPr="003666C4">
        <w:t>,</w:t>
      </w:r>
      <w:r w:rsidRPr="00AA309E">
        <w:t xml:space="preserve"> </w:t>
      </w:r>
      <w:r w:rsidRPr="003666C4">
        <w:t xml:space="preserve">including </w:t>
      </w:r>
      <w:r w:rsidRPr="008845E8">
        <w:t xml:space="preserve">capacity-building and development activities, for national, subnational and regional projects that address the implementation of the </w:t>
      </w:r>
      <w:r>
        <w:t>P</w:t>
      </w:r>
      <w:r w:rsidRPr="008845E8">
        <w:t xml:space="preserve">lan of </w:t>
      </w:r>
      <w:r>
        <w:t>A</w:t>
      </w:r>
      <w:r w:rsidRPr="008845E8">
        <w:t xml:space="preserve">ction </w:t>
      </w:r>
      <w:r>
        <w:t xml:space="preserve">(2020–2030) </w:t>
      </w:r>
      <w:r w:rsidRPr="008845E8">
        <w:t xml:space="preserve">for the </w:t>
      </w:r>
      <w:r>
        <w:t>International Initiative for the C</w:t>
      </w:r>
      <w:r w:rsidRPr="008845E8">
        <w:t xml:space="preserve">onservation and </w:t>
      </w:r>
      <w:r>
        <w:t>S</w:t>
      </w:r>
      <w:r w:rsidRPr="008845E8">
        <w:t xml:space="preserve">ustainable </w:t>
      </w:r>
      <w:r>
        <w:t>U</w:t>
      </w:r>
      <w:r w:rsidRPr="008845E8">
        <w:t xml:space="preserve">se of </w:t>
      </w:r>
      <w:r>
        <w:t>S</w:t>
      </w:r>
      <w:r w:rsidRPr="008845E8">
        <w:t xml:space="preserve">oil </w:t>
      </w:r>
      <w:r>
        <w:t>B</w:t>
      </w:r>
      <w:r w:rsidRPr="008845E8">
        <w:t>iodiversity;</w:t>
      </w:r>
    </w:p>
    <w:p w14:paraId="3BFC68C8" w14:textId="77777777" w:rsidR="007A11A6" w:rsidRPr="008845E8" w:rsidRDefault="007A11A6" w:rsidP="008B2808">
      <w:pPr>
        <w:pStyle w:val="Para1"/>
        <w:numPr>
          <w:ilvl w:val="0"/>
          <w:numId w:val="0"/>
        </w:numPr>
        <w:suppressLineNumbers/>
        <w:suppressAutoHyphens/>
        <w:kinsoku w:val="0"/>
        <w:adjustRightInd w:val="0"/>
        <w:ind w:firstLine="720"/>
      </w:pPr>
      <w:r w:rsidRPr="008845E8">
        <w:rPr>
          <w:rFonts w:eastAsia="Malgun Gothic"/>
          <w:lang w:eastAsia="ko-KR"/>
        </w:rPr>
        <w:t>11.</w:t>
      </w:r>
      <w:r w:rsidRPr="008845E8">
        <w:rPr>
          <w:iCs/>
        </w:rPr>
        <w:tab/>
      </w:r>
      <w:r w:rsidRPr="008845E8">
        <w:rPr>
          <w:i/>
        </w:rPr>
        <w:t>Invites</w:t>
      </w:r>
      <w:r w:rsidRPr="008845E8">
        <w:t xml:space="preserve"> Parties to provide, on a voluntary basis, information on their activities and results from the implementation of the </w:t>
      </w:r>
      <w:r>
        <w:t>P</w:t>
      </w:r>
      <w:r w:rsidRPr="008845E8">
        <w:t xml:space="preserve">lan of </w:t>
      </w:r>
      <w:r>
        <w:t>A</w:t>
      </w:r>
      <w:r w:rsidRPr="008845E8">
        <w:t xml:space="preserve">ction, in alignment with the </w:t>
      </w:r>
      <w:r>
        <w:t>Kunming-Montreal</w:t>
      </w:r>
      <w:r w:rsidRPr="008845E8">
        <w:t xml:space="preserve"> </w:t>
      </w:r>
      <w:r>
        <w:t>G</w:t>
      </w:r>
      <w:r w:rsidRPr="008845E8">
        <w:t xml:space="preserve">lobal </w:t>
      </w:r>
      <w:r>
        <w:t>B</w:t>
      </w:r>
      <w:r w:rsidRPr="008845E8">
        <w:t xml:space="preserve">iodiversity </w:t>
      </w:r>
      <w:r>
        <w:t>F</w:t>
      </w:r>
      <w:r w:rsidRPr="008845E8">
        <w:t xml:space="preserve">ramework, as appropriate, and </w:t>
      </w:r>
      <w:r w:rsidRPr="005F6AE5">
        <w:rPr>
          <w:iCs/>
        </w:rPr>
        <w:t>requests</w:t>
      </w:r>
      <w:r w:rsidRPr="008845E8">
        <w:t xml:space="preserve"> the Executive Secretary to compile the submissions and to make them available for consideration by the Subsidiary Body on Scientific, Technical and Technological Advice at a meeting held prior to the seventeenth meeting of the Conference of the Parties;</w:t>
      </w:r>
    </w:p>
    <w:p w14:paraId="606AD950" w14:textId="4EC6E8B3" w:rsidR="007A11A6" w:rsidRPr="00AF07BF" w:rsidRDefault="007A11A6" w:rsidP="00AF07BF">
      <w:pPr>
        <w:pStyle w:val="Para1"/>
        <w:numPr>
          <w:ilvl w:val="0"/>
          <w:numId w:val="0"/>
        </w:numPr>
        <w:suppressLineNumbers/>
        <w:suppressAutoHyphens/>
        <w:kinsoku w:val="0"/>
        <w:adjustRightInd w:val="0"/>
        <w:ind w:firstLine="720"/>
      </w:pPr>
      <w:r w:rsidRPr="008845E8">
        <w:t>12.</w:t>
      </w:r>
      <w:r w:rsidRPr="008845E8">
        <w:rPr>
          <w:i/>
        </w:rPr>
        <w:tab/>
        <w:t>Requests</w:t>
      </w:r>
      <w:r w:rsidRPr="008845E8">
        <w:t xml:space="preserve"> the Executive Secretary to bring the present decision to the attention of the Food and Agriculture Organization of the United Nations, the United Nations Convention to Combat Desertification, the United Nations Framework Convention on Climate Change, other United Nations organizations, programmes and biodiversity-related conventions and the United Nations Decade on Ecosystem Restoration (2021</w:t>
      </w:r>
      <w:r>
        <w:t>–</w:t>
      </w:r>
      <w:r w:rsidRPr="008845E8">
        <w:t>2030).</w:t>
      </w:r>
      <w:r w:rsidRPr="00610646">
        <w:rPr>
          <w:rStyle w:val="FootnoteReference"/>
        </w:rPr>
        <w:footnoteReference w:id="358"/>
      </w:r>
    </w:p>
    <w:p w14:paraId="7E1FC3F3" w14:textId="77777777" w:rsidR="007A11A6" w:rsidRPr="00AA309E" w:rsidRDefault="007A11A6" w:rsidP="006C3786">
      <w:pPr>
        <w:keepNext/>
        <w:jc w:val="center"/>
        <w:rPr>
          <w:b/>
          <w:i/>
          <w:iCs/>
          <w:snapToGrid w:val="0"/>
          <w:szCs w:val="22"/>
        </w:rPr>
      </w:pPr>
      <w:r w:rsidRPr="00AA309E">
        <w:rPr>
          <w:i/>
          <w:iCs/>
          <w:snapToGrid w:val="0"/>
          <w:szCs w:val="22"/>
        </w:rPr>
        <w:t>Annex</w:t>
      </w:r>
    </w:p>
    <w:p w14:paraId="23AD4514" w14:textId="3EAE2FF7" w:rsidR="007A11A6" w:rsidRPr="000F1DC0" w:rsidRDefault="000F1DC0" w:rsidP="000F1DC0">
      <w:pPr>
        <w:pStyle w:val="BodyText"/>
        <w:jc w:val="center"/>
        <w:rPr>
          <w:b/>
          <w:bCs/>
          <w:snapToGrid w:val="0"/>
        </w:rPr>
      </w:pPr>
      <w:bookmarkStart w:id="333" w:name="_Toc118355061"/>
      <w:r w:rsidRPr="000F1DC0">
        <w:rPr>
          <w:b/>
          <w:bCs/>
          <w:snapToGrid w:val="0"/>
        </w:rPr>
        <w:t>PLAN OF ACTION (2020</w:t>
      </w:r>
      <w:r w:rsidRPr="000F1DC0">
        <w:rPr>
          <w:b/>
          <w:bCs/>
          <w:kern w:val="22"/>
        </w:rPr>
        <w:t>–</w:t>
      </w:r>
      <w:r w:rsidRPr="000F1DC0">
        <w:rPr>
          <w:b/>
          <w:bCs/>
          <w:snapToGrid w:val="0"/>
        </w:rPr>
        <w:t>2030) FOR THE INTERNATIONAL INITIATIVE FOR THE CONSERVATION AND SUSTAINABLE USE OF SOIL BIODIVERSITY</w:t>
      </w:r>
      <w:bookmarkEnd w:id="333"/>
    </w:p>
    <w:p w14:paraId="493FD739" w14:textId="77777777" w:rsidR="007A11A6" w:rsidRPr="00AA309E" w:rsidRDefault="007A11A6" w:rsidP="000F1DC0">
      <w:pPr>
        <w:pStyle w:val="Heading1-compilation"/>
        <w:tabs>
          <w:tab w:val="clear" w:pos="284"/>
        </w:tabs>
        <w:rPr>
          <w:szCs w:val="22"/>
        </w:rPr>
      </w:pPr>
      <w:bookmarkStart w:id="334" w:name="_Toc118354931"/>
      <w:bookmarkStart w:id="335" w:name="_Toc150670310"/>
      <w:bookmarkStart w:id="336" w:name="_Toc150670527"/>
      <w:bookmarkStart w:id="337" w:name="_Toc150670637"/>
      <w:r w:rsidRPr="00AA309E">
        <w:rPr>
          <w:szCs w:val="22"/>
        </w:rPr>
        <w:t>I.</w:t>
      </w:r>
      <w:r w:rsidRPr="00AA309E">
        <w:rPr>
          <w:szCs w:val="22"/>
        </w:rPr>
        <w:tab/>
        <w:t>INTRODUCTION</w:t>
      </w:r>
      <w:bookmarkEnd w:id="334"/>
      <w:bookmarkEnd w:id="335"/>
      <w:bookmarkEnd w:id="336"/>
      <w:bookmarkEnd w:id="337"/>
    </w:p>
    <w:p w14:paraId="31308012"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w:t>
      </w:r>
      <w:r w:rsidRPr="00AA309E">
        <w:rPr>
          <w:rFonts w:asciiTheme="majorBidi" w:hAnsiTheme="majorBidi" w:cstheme="majorBidi"/>
        </w:rPr>
        <w:tab/>
        <w:t>Since the launch of the International Initiative for the Conservation and Sustainable Use of Soil Biodiversity, a significant amount of new scientific, technical and other types of knowledge relevant to soils and their biodiversity has been released.</w:t>
      </w:r>
    </w:p>
    <w:p w14:paraId="2CAE0EA1"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2.</w:t>
      </w:r>
      <w:r w:rsidRPr="00AA309E">
        <w:rPr>
          <w:rFonts w:asciiTheme="majorBidi" w:hAnsiTheme="majorBidi" w:cstheme="majorBidi"/>
        </w:rPr>
        <w:tab/>
        <w:t xml:space="preserve">The </w:t>
      </w:r>
      <w:r>
        <w:rPr>
          <w:rFonts w:asciiTheme="majorBidi" w:hAnsiTheme="majorBidi" w:cstheme="majorBidi"/>
        </w:rPr>
        <w:t>P</w:t>
      </w:r>
      <w:r w:rsidRPr="00AA309E">
        <w:rPr>
          <w:rFonts w:asciiTheme="majorBidi" w:hAnsiTheme="majorBidi" w:cstheme="majorBidi"/>
        </w:rPr>
        <w:t xml:space="preserve">lan of </w:t>
      </w:r>
      <w:r>
        <w:rPr>
          <w:rFonts w:asciiTheme="majorBidi" w:hAnsiTheme="majorBidi" w:cstheme="majorBidi"/>
        </w:rPr>
        <w:t>A</w:t>
      </w:r>
      <w:r w:rsidRPr="00AA309E">
        <w:rPr>
          <w:rFonts w:asciiTheme="majorBidi" w:hAnsiTheme="majorBidi" w:cstheme="majorBidi"/>
        </w:rPr>
        <w:t xml:space="preserve">ction </w:t>
      </w:r>
      <w:r>
        <w:rPr>
          <w:rFonts w:asciiTheme="majorBidi" w:hAnsiTheme="majorBidi" w:cstheme="majorBidi"/>
        </w:rPr>
        <w:t>(</w:t>
      </w:r>
      <w:r w:rsidRPr="00AA309E">
        <w:rPr>
          <w:rFonts w:asciiTheme="majorBidi" w:hAnsiTheme="majorBidi" w:cstheme="majorBidi"/>
        </w:rPr>
        <w:t>2020</w:t>
      </w:r>
      <w:r>
        <w:t>–</w:t>
      </w:r>
      <w:r w:rsidRPr="00AA309E">
        <w:rPr>
          <w:rFonts w:asciiTheme="majorBidi" w:hAnsiTheme="majorBidi" w:cstheme="majorBidi"/>
        </w:rPr>
        <w:t>2030</w:t>
      </w:r>
      <w:r>
        <w:rPr>
          <w:rFonts w:asciiTheme="majorBidi" w:hAnsiTheme="majorBidi" w:cstheme="majorBidi"/>
        </w:rPr>
        <w:t>)</w:t>
      </w:r>
      <w:r w:rsidRPr="00AA309E">
        <w:rPr>
          <w:rFonts w:asciiTheme="majorBidi" w:hAnsiTheme="majorBidi" w:cstheme="majorBidi"/>
        </w:rPr>
        <w:t xml:space="preserve"> for the International Initiative for the Conservation and Sustainable Use of Soil Biodiversity</w:t>
      </w:r>
      <w:r>
        <w:rPr>
          <w:rFonts w:asciiTheme="majorBidi" w:hAnsiTheme="majorBidi" w:cstheme="majorBidi"/>
        </w:rPr>
        <w:t xml:space="preserve"> </w:t>
      </w:r>
      <w:r w:rsidRPr="00AA309E">
        <w:rPr>
          <w:rFonts w:asciiTheme="majorBidi" w:hAnsiTheme="majorBidi" w:cstheme="majorBidi"/>
        </w:rPr>
        <w:t xml:space="preserve">is based on the review of the Initiative, the </w:t>
      </w:r>
      <w:r w:rsidRPr="00AA309E">
        <w:rPr>
          <w:rFonts w:asciiTheme="majorBidi" w:hAnsiTheme="majorBidi" w:cstheme="majorBidi"/>
          <w:i/>
        </w:rPr>
        <w:t>Status of the World’s Soil Resources</w:t>
      </w:r>
      <w:r w:rsidRPr="00AA309E">
        <w:rPr>
          <w:rFonts w:asciiTheme="majorBidi" w:hAnsiTheme="majorBidi" w:cstheme="majorBidi"/>
        </w:rPr>
        <w:t xml:space="preserve"> report</w:t>
      </w:r>
      <w:r w:rsidRPr="00610646">
        <w:rPr>
          <w:rStyle w:val="FootnoteReference"/>
        </w:rPr>
        <w:footnoteReference w:id="359"/>
      </w:r>
      <w:r w:rsidRPr="00AA309E">
        <w:rPr>
          <w:rFonts w:asciiTheme="majorBidi" w:hAnsiTheme="majorBidi" w:cstheme="majorBidi"/>
        </w:rPr>
        <w:t xml:space="preserve"> and on the findings of the report on the </w:t>
      </w:r>
      <w:r w:rsidRPr="00AA309E">
        <w:rPr>
          <w:rFonts w:asciiTheme="majorBidi" w:hAnsiTheme="majorBidi" w:cstheme="majorBidi"/>
          <w:i/>
        </w:rPr>
        <w:t>State of Knowledge on Soil Biodiversity - Status, Challenges and Potentialities</w:t>
      </w:r>
      <w:r w:rsidRPr="00AA309E">
        <w:rPr>
          <w:rFonts w:asciiTheme="majorBidi" w:hAnsiTheme="majorBidi" w:cstheme="majorBidi"/>
          <w:iCs/>
        </w:rPr>
        <w:t>,</w:t>
      </w:r>
      <w:r w:rsidRPr="00610646">
        <w:rPr>
          <w:rStyle w:val="FootnoteReference"/>
        </w:rPr>
        <w:footnoteReference w:id="360"/>
      </w:r>
      <w:r w:rsidRPr="00AA309E">
        <w:rPr>
          <w:rFonts w:asciiTheme="majorBidi" w:hAnsiTheme="majorBidi" w:cstheme="majorBidi"/>
          <w:iCs/>
        </w:rPr>
        <w:t xml:space="preserve"> </w:t>
      </w:r>
      <w:r w:rsidRPr="00AA309E">
        <w:rPr>
          <w:rFonts w:asciiTheme="majorBidi" w:hAnsiTheme="majorBidi" w:cstheme="majorBidi"/>
        </w:rPr>
        <w:t>prepared by the Food and Agriculture Organization of the United Nations (FAO) and the Intergovernmental Technical Panel on Soils.</w:t>
      </w:r>
    </w:p>
    <w:p w14:paraId="2C73F308"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bookmarkStart w:id="338" w:name="_Hlk98420956"/>
      <w:r w:rsidRPr="00AA309E">
        <w:rPr>
          <w:rFonts w:asciiTheme="majorBidi" w:hAnsiTheme="majorBidi" w:cstheme="majorBidi"/>
        </w:rPr>
        <w:t>3.</w:t>
      </w:r>
      <w:r w:rsidRPr="00AA309E">
        <w:rPr>
          <w:rFonts w:asciiTheme="majorBidi" w:hAnsiTheme="majorBidi" w:cstheme="majorBidi"/>
        </w:rPr>
        <w:tab/>
        <w:t>Improved management of soil and its biodiversity offers solutions for all sectors that rely on soils, including forestry and farming, while it can simultaneously increase carbon storage, improve water and nutrient cycling, resilience to climate change, while preventing and avoiding potential impacts arising from the implementation of soil mitigation approaches and practices on indigenous peoples and local communities</w:t>
      </w:r>
      <w:r>
        <w:rPr>
          <w:rFonts w:asciiTheme="majorBidi" w:hAnsiTheme="majorBidi" w:cstheme="majorBidi"/>
        </w:rPr>
        <w:t>,</w:t>
      </w:r>
      <w:r w:rsidRPr="00AA309E">
        <w:rPr>
          <w:rFonts w:asciiTheme="majorBidi" w:hAnsiTheme="majorBidi" w:cstheme="majorBidi"/>
        </w:rPr>
        <w:t xml:space="preserve"> including through nature-based solutions,</w:t>
      </w:r>
      <w:r w:rsidRPr="00610646">
        <w:rPr>
          <w:rStyle w:val="FootnoteReference"/>
        </w:rPr>
        <w:footnoteReference w:id="361"/>
      </w:r>
      <w:r w:rsidRPr="00AA309E">
        <w:rPr>
          <w:rFonts w:asciiTheme="majorBidi" w:hAnsiTheme="majorBidi" w:cstheme="majorBidi"/>
        </w:rPr>
        <w:t xml:space="preserve"> and/or ecosystem</w:t>
      </w:r>
      <w:r>
        <w:rPr>
          <w:rFonts w:asciiTheme="majorBidi" w:hAnsiTheme="majorBidi" w:cstheme="majorBidi"/>
        </w:rPr>
        <w:t>-based</w:t>
      </w:r>
      <w:r w:rsidRPr="00AA309E">
        <w:rPr>
          <w:rFonts w:asciiTheme="majorBidi" w:hAnsiTheme="majorBidi" w:cstheme="majorBidi"/>
        </w:rPr>
        <w:t xml:space="preserve"> approaches</w:t>
      </w:r>
      <w:r>
        <w:rPr>
          <w:rFonts w:asciiTheme="majorBidi" w:hAnsiTheme="majorBidi" w:cstheme="majorBidi"/>
        </w:rPr>
        <w:t>,</w:t>
      </w:r>
      <w:r w:rsidRPr="00AA309E">
        <w:rPr>
          <w:rFonts w:asciiTheme="majorBidi" w:hAnsiTheme="majorBidi" w:cstheme="majorBidi"/>
        </w:rPr>
        <w:t xml:space="preserve"> and mitigate </w:t>
      </w:r>
      <w:r w:rsidRPr="00AA309E">
        <w:rPr>
          <w:rFonts w:asciiTheme="majorBidi" w:hAnsiTheme="majorBidi" w:cstheme="majorBidi"/>
        </w:rPr>
        <w:lastRenderedPageBreak/>
        <w:t>pollution. Soil biodiversity depends on the type of climate, mineral soil and type of vegetation and, in turn, this biodiversity has an effect on soil. In order to maintain or restore the biodiversity of soils, it is necessary to maintain or restore their biophysical, biochemical and biological properties. Soil biodiversity and its biotic interactions are important levers to improve soil quality and function, highlighting the importance of research, monitoring and management that is geared directly at soil biodiversity, as an integrative part and key element of soil quality. Soil biodiversity is also crucial to improve not only soil health,</w:t>
      </w:r>
      <w:r w:rsidRPr="00610646">
        <w:rPr>
          <w:rStyle w:val="FootnoteReference"/>
        </w:rPr>
        <w:footnoteReference w:id="362"/>
      </w:r>
      <w:r w:rsidRPr="00AA309E">
        <w:rPr>
          <w:rFonts w:asciiTheme="majorBidi" w:hAnsiTheme="majorBidi" w:cstheme="majorBidi"/>
        </w:rPr>
        <w:t xml:space="preserve"> but also plant, animal and human health.</w:t>
      </w:r>
    </w:p>
    <w:bookmarkEnd w:id="338"/>
    <w:p w14:paraId="773F4AC0"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4.</w:t>
      </w:r>
      <w:r w:rsidRPr="00AA309E">
        <w:rPr>
          <w:rFonts w:asciiTheme="majorBidi" w:hAnsiTheme="majorBidi" w:cstheme="majorBidi"/>
        </w:rPr>
        <w:tab/>
        <w:t>However, soil is one of the world’s most vulnerable resources in the face of pollution, climate change, desertification, land degradation, drought, land-use change, unsustainable agriculture practices, biodiversity loss, increased demand for water and food production, urbanization and industrial development. Therefore, in order to safeguard soils and ecosystems, it is necessary to prevent the loss of soil and soil biodiversity from anthropogenic drivers related to climate change, such as the increase in temperature, droughts or extreme rainfall, and to land-use change.</w:t>
      </w:r>
    </w:p>
    <w:p w14:paraId="5223A794"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5.</w:t>
      </w:r>
      <w:r w:rsidRPr="00AA309E">
        <w:rPr>
          <w:rFonts w:asciiTheme="majorBidi" w:hAnsiTheme="majorBidi" w:cstheme="majorBidi"/>
        </w:rPr>
        <w:tab/>
        <w:t xml:space="preserve">The present </w:t>
      </w:r>
      <w:r>
        <w:rPr>
          <w:rFonts w:asciiTheme="majorBidi" w:hAnsiTheme="majorBidi" w:cstheme="majorBidi"/>
        </w:rPr>
        <w:t>p</w:t>
      </w:r>
      <w:r w:rsidRPr="009A67EA">
        <w:rPr>
          <w:rFonts w:asciiTheme="majorBidi" w:hAnsiTheme="majorBidi" w:cstheme="majorBidi"/>
        </w:rPr>
        <w:t xml:space="preserve">lan of </w:t>
      </w:r>
      <w:r>
        <w:rPr>
          <w:rFonts w:asciiTheme="majorBidi" w:hAnsiTheme="majorBidi" w:cstheme="majorBidi"/>
        </w:rPr>
        <w:t>a</w:t>
      </w:r>
      <w:r w:rsidRPr="009A67EA">
        <w:rPr>
          <w:rFonts w:asciiTheme="majorBidi" w:hAnsiTheme="majorBidi" w:cstheme="majorBidi"/>
        </w:rPr>
        <w:t xml:space="preserve">ction </w:t>
      </w:r>
      <w:r w:rsidRPr="00AA309E">
        <w:rPr>
          <w:rFonts w:asciiTheme="majorBidi" w:hAnsiTheme="majorBidi" w:cstheme="majorBidi"/>
        </w:rPr>
        <w:t xml:space="preserve">presents global actions to support the integration of soil biodiversity considerations into the context of the </w:t>
      </w:r>
      <w:r>
        <w:rPr>
          <w:rFonts w:asciiTheme="majorBidi" w:hAnsiTheme="majorBidi" w:cstheme="majorBidi"/>
        </w:rPr>
        <w:t>Kunming-Montreal</w:t>
      </w:r>
      <w:r w:rsidRPr="00AA309E">
        <w:rPr>
          <w:rFonts w:asciiTheme="majorBidi" w:hAnsiTheme="majorBidi" w:cstheme="majorBidi"/>
        </w:rPr>
        <w:t xml:space="preserve"> </w:t>
      </w:r>
      <w:r>
        <w:rPr>
          <w:rFonts w:asciiTheme="majorBidi" w:hAnsiTheme="majorBidi" w:cstheme="majorBidi"/>
        </w:rPr>
        <w:t>G</w:t>
      </w:r>
      <w:r w:rsidRPr="00AA309E">
        <w:rPr>
          <w:rFonts w:asciiTheme="majorBidi" w:hAnsiTheme="majorBidi" w:cstheme="majorBidi"/>
        </w:rPr>
        <w:t xml:space="preserve">lobal </w:t>
      </w:r>
      <w:r>
        <w:rPr>
          <w:rFonts w:asciiTheme="majorBidi" w:hAnsiTheme="majorBidi" w:cstheme="majorBidi"/>
        </w:rPr>
        <w:t>B</w:t>
      </w:r>
      <w:r w:rsidRPr="00AA309E">
        <w:rPr>
          <w:rFonts w:asciiTheme="majorBidi" w:hAnsiTheme="majorBidi" w:cstheme="majorBidi"/>
        </w:rPr>
        <w:t xml:space="preserve">iodiversity </w:t>
      </w:r>
      <w:r>
        <w:rPr>
          <w:rFonts w:asciiTheme="majorBidi" w:hAnsiTheme="majorBidi" w:cstheme="majorBidi"/>
        </w:rPr>
        <w:t>F</w:t>
      </w:r>
      <w:r w:rsidRPr="00AA309E">
        <w:rPr>
          <w:rFonts w:asciiTheme="majorBidi" w:hAnsiTheme="majorBidi" w:cstheme="majorBidi"/>
        </w:rPr>
        <w:t>ramework, as well as within and across productive sectors.</w:t>
      </w:r>
    </w:p>
    <w:p w14:paraId="3CE0AE1C"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6.</w:t>
      </w:r>
      <w:r w:rsidRPr="00AA309E">
        <w:rPr>
          <w:rFonts w:asciiTheme="majorBidi" w:hAnsiTheme="majorBidi" w:cstheme="majorBidi"/>
        </w:rPr>
        <w:tab/>
        <w:t xml:space="preserve">The elements of this </w:t>
      </w:r>
      <w:r>
        <w:rPr>
          <w:rFonts w:asciiTheme="majorBidi" w:hAnsiTheme="majorBidi" w:cstheme="majorBidi"/>
        </w:rPr>
        <w:t>p</w:t>
      </w:r>
      <w:r w:rsidRPr="009A67EA">
        <w:rPr>
          <w:rFonts w:asciiTheme="majorBidi" w:hAnsiTheme="majorBidi" w:cstheme="majorBidi"/>
        </w:rPr>
        <w:t xml:space="preserve">lan of </w:t>
      </w:r>
      <w:r>
        <w:rPr>
          <w:rFonts w:asciiTheme="majorBidi" w:hAnsiTheme="majorBidi" w:cstheme="majorBidi"/>
        </w:rPr>
        <w:t>a</w:t>
      </w:r>
      <w:r w:rsidRPr="009A67EA">
        <w:rPr>
          <w:rFonts w:asciiTheme="majorBidi" w:hAnsiTheme="majorBidi" w:cstheme="majorBidi"/>
        </w:rPr>
        <w:t xml:space="preserve">ction </w:t>
      </w:r>
      <w:r w:rsidRPr="00AA309E">
        <w:rPr>
          <w:rFonts w:asciiTheme="majorBidi" w:hAnsiTheme="majorBidi" w:cstheme="majorBidi"/>
        </w:rPr>
        <w:t>recognize the need to mainstream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gender roles, local context and specificities is another element reflected in the plan, while awareness</w:t>
      </w:r>
      <w:r w:rsidRPr="00AA309E">
        <w:rPr>
          <w:rFonts w:asciiTheme="majorBidi" w:hAnsiTheme="majorBidi" w:cstheme="majorBidi"/>
        </w:rPr>
        <w:noBreakHyphen/>
        <w:t>raising, sharing of knowledge, capacity-building and research remain key to ensuring a better understanding of the role of soil biodiversity for sustainability.</w:t>
      </w:r>
    </w:p>
    <w:p w14:paraId="12843DBE" w14:textId="5085C629"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7.</w:t>
      </w:r>
      <w:r w:rsidRPr="00AA309E">
        <w:rPr>
          <w:rFonts w:asciiTheme="majorBidi" w:hAnsiTheme="majorBidi" w:cstheme="majorBidi"/>
        </w:rPr>
        <w:tab/>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60" w:history="1">
        <w:r w:rsidRPr="00AA309E">
          <w:rPr>
            <w:rStyle w:val="Hyperlink"/>
            <w:rFonts w:asciiTheme="majorBidi" w:hAnsiTheme="majorBidi" w:cstheme="majorBidi"/>
            <w:sz w:val="22"/>
          </w:rPr>
          <w:t>14/30</w:t>
        </w:r>
      </w:hyperlink>
      <w:r w:rsidRPr="00AA309E">
        <w:rPr>
          <w:rFonts w:asciiTheme="majorBidi" w:hAnsiTheme="majorBidi" w:cstheme="majorBidi"/>
        </w:rPr>
        <w:t>.</w:t>
      </w:r>
    </w:p>
    <w:p w14:paraId="76416621" w14:textId="77777777" w:rsidR="007A11A6" w:rsidRPr="00AA309E" w:rsidRDefault="007A11A6" w:rsidP="000F1DC0">
      <w:pPr>
        <w:pStyle w:val="Heading1-compilation"/>
        <w:tabs>
          <w:tab w:val="clear" w:pos="284"/>
        </w:tabs>
        <w:rPr>
          <w:szCs w:val="22"/>
        </w:rPr>
      </w:pPr>
      <w:bookmarkStart w:id="339" w:name="_Toc118354932"/>
      <w:bookmarkStart w:id="340" w:name="_Toc150670311"/>
      <w:bookmarkStart w:id="341" w:name="_Toc150670528"/>
      <w:bookmarkStart w:id="342" w:name="_Toc150670638"/>
      <w:r w:rsidRPr="00AA309E">
        <w:rPr>
          <w:szCs w:val="22"/>
        </w:rPr>
        <w:t>II.</w:t>
      </w:r>
      <w:r w:rsidRPr="00AA309E">
        <w:rPr>
          <w:szCs w:val="22"/>
        </w:rPr>
        <w:tab/>
        <w:t>PURPOSE AND OBJECTIVES</w:t>
      </w:r>
      <w:bookmarkEnd w:id="339"/>
      <w:bookmarkEnd w:id="340"/>
      <w:bookmarkEnd w:id="341"/>
      <w:bookmarkEnd w:id="342"/>
    </w:p>
    <w:p w14:paraId="45F80476"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8.</w:t>
      </w:r>
      <w:r w:rsidRPr="00AA309E">
        <w:rPr>
          <w:rFonts w:asciiTheme="majorBidi" w:hAnsiTheme="majorBidi" w:cstheme="majorBidi"/>
        </w:rPr>
        <w:tab/>
        <w:t xml:space="preserve">The </w:t>
      </w:r>
      <w:r w:rsidRPr="00AA309E">
        <w:rPr>
          <w:rFonts w:asciiTheme="majorBidi" w:hAnsiTheme="majorBidi" w:cstheme="majorBidi"/>
          <w:i/>
        </w:rPr>
        <w:t>Status of the World’s Soil Resources</w:t>
      </w:r>
      <w:r w:rsidRPr="00AA309E">
        <w:rPr>
          <w:rFonts w:asciiTheme="majorBidi" w:hAnsiTheme="majorBidi" w:cstheme="majorBidi"/>
        </w:rPr>
        <w:t xml:space="preserve"> report identified 10 threats critical to soil functions. The loss of soil biodiversity was identified as one of these threats, and a respective call for action was strongly recommended. The Voluntary Guidelines for Sustainable Soil Management</w:t>
      </w:r>
      <w:bookmarkStart w:id="343" w:name="_Ref74415104"/>
      <w:r w:rsidRPr="00610646">
        <w:rPr>
          <w:rStyle w:val="FootnoteReference"/>
        </w:rPr>
        <w:footnoteReference w:id="363"/>
      </w:r>
      <w:bookmarkEnd w:id="343"/>
      <w:r w:rsidRPr="00AA309E">
        <w:rPr>
          <w:rFonts w:asciiTheme="majorBidi" w:hAnsiTheme="majorBidi" w:cstheme="majorBidi"/>
        </w:rPr>
        <w:t xml:space="preserve"> provide a framework for reverting it through a number of policies, research and field actions.</w:t>
      </w:r>
    </w:p>
    <w:p w14:paraId="56D0021A"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9.</w:t>
      </w:r>
      <w:r w:rsidRPr="00AA309E">
        <w:rPr>
          <w:rFonts w:asciiTheme="majorBidi" w:hAnsiTheme="majorBidi" w:cstheme="majorBidi"/>
        </w:rPr>
        <w:tab/>
        <w:t xml:space="preserve">The </w:t>
      </w:r>
      <w:r w:rsidRPr="00AA309E">
        <w:rPr>
          <w:rFonts w:asciiTheme="majorBidi" w:hAnsiTheme="majorBidi" w:cstheme="majorBidi"/>
          <w:i/>
        </w:rPr>
        <w:t xml:space="preserve">purpose </w:t>
      </w:r>
      <w:r w:rsidRPr="00AA309E">
        <w:rPr>
          <w:rFonts w:asciiTheme="majorBidi" w:hAnsiTheme="majorBidi" w:cstheme="majorBidi"/>
        </w:rPr>
        <w:t>of this plan of action is to provide ways to encourage conservation, restoration and sustainable use of soil biodiversity and to support Parties, other Governments, subnational and local governments, indigenous peoples and local communities, women and youth, relevant organizations and initiatives, in accelerating and upscaling efforts towards the conservation, restoration and sustainable use of soil biodiversity, and towards the assessment and monitoring at the corresponding level of soil organisms to promote their conservation, sustainable use and/or restoration, and to respond to challenges that threaten soil biodiversity.</w:t>
      </w:r>
    </w:p>
    <w:p w14:paraId="04ED741E"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10.</w:t>
      </w:r>
      <w:r w:rsidRPr="00AA309E">
        <w:rPr>
          <w:rFonts w:asciiTheme="majorBidi" w:hAnsiTheme="majorBidi" w:cstheme="majorBidi"/>
        </w:rPr>
        <w:tab/>
        <w:t xml:space="preserve">The </w:t>
      </w:r>
      <w:r w:rsidRPr="00AA309E">
        <w:rPr>
          <w:rFonts w:asciiTheme="majorBidi" w:hAnsiTheme="majorBidi" w:cstheme="majorBidi"/>
          <w:i/>
        </w:rPr>
        <w:t>overall objective</w:t>
      </w:r>
      <w:r w:rsidRPr="00AA309E">
        <w:rPr>
          <w:rFonts w:asciiTheme="majorBidi" w:hAnsiTheme="majorBidi" w:cstheme="majorBidi"/>
        </w:rPr>
        <w:t xml:space="preserve"> of this plan of action is to mainstream soil biodiversity science, knowledge, and understanding into public policies, at all levels, and to foster coordinated action to invest in soil biodiversity assessments at the global level to safeguard and promote the conservation, restoration and </w:t>
      </w:r>
      <w:r w:rsidRPr="00AA309E">
        <w:rPr>
          <w:rFonts w:asciiTheme="majorBidi" w:hAnsiTheme="majorBidi" w:cstheme="majorBidi"/>
        </w:rPr>
        <w:lastRenderedPageBreak/>
        <w:t>sustainable use of soil biodiversity and its ecosystem functions and services, which are essential for sustaining life on Earth, while acknowledging that economic, environmental, cultural and social factors contribute to sustainable soil management, and to promote investment in soil biodiversity research, monitoring and assessment at the corresponding level. Achieving this objective will ensure that soil biodiversity recovers and continues to provide a full range of functions. It will also formally promote sustainable soil management practices, including artisanal forms of food production, which can enhance soil biodiversity while maintaining the productivity of managed ecosystems.</w:t>
      </w:r>
    </w:p>
    <w:p w14:paraId="248C601E"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11.</w:t>
      </w:r>
      <w:r w:rsidRPr="00AA309E">
        <w:rPr>
          <w:rFonts w:asciiTheme="majorBidi" w:hAnsiTheme="majorBidi" w:cstheme="majorBidi"/>
        </w:rPr>
        <w:tab/>
        <w:t xml:space="preserve">The </w:t>
      </w:r>
      <w:r w:rsidRPr="00AA309E">
        <w:rPr>
          <w:rFonts w:asciiTheme="majorBidi" w:hAnsiTheme="majorBidi" w:cstheme="majorBidi"/>
          <w:i/>
        </w:rPr>
        <w:t>specific</w:t>
      </w:r>
      <w:r w:rsidRPr="00AA309E">
        <w:rPr>
          <w:rFonts w:asciiTheme="majorBidi" w:hAnsiTheme="majorBidi" w:cstheme="majorBidi"/>
        </w:rPr>
        <w:t xml:space="preserve"> </w:t>
      </w:r>
      <w:r w:rsidRPr="00AA309E">
        <w:rPr>
          <w:rFonts w:asciiTheme="majorBidi" w:hAnsiTheme="majorBidi" w:cstheme="majorBidi"/>
          <w:i/>
        </w:rPr>
        <w:t>objectives</w:t>
      </w:r>
      <w:r w:rsidRPr="00AA309E">
        <w:rPr>
          <w:rFonts w:asciiTheme="majorBidi" w:hAnsiTheme="majorBidi" w:cstheme="majorBidi"/>
        </w:rPr>
        <w:t xml:space="preserve"> of this plan of action are to help Parties, other Governments, indigenous peoples and local communities, women and youth, and other stakeholders, in accordance with national priorities and circumstances, consistent with the Convention and other applicable international obligations, as well as relevant organizations and initiatives, with the following:</w:t>
      </w:r>
    </w:p>
    <w:p w14:paraId="385021BC"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(a)</w:t>
      </w:r>
      <w:r w:rsidRPr="00AA309E">
        <w:rPr>
          <w:rFonts w:asciiTheme="majorBidi" w:hAnsiTheme="majorBidi" w:cstheme="majorBidi"/>
        </w:rPr>
        <w:tab/>
        <w:t>Implementing coherent and comprehensive policies for the conservation, restoration and sustainable use of soil biodiversity at the local, subnational, national, regional and global levels, considering the different economic, environmental, cultural and social factors of all relevant productive sectors and their soil management practices, and mainstreaming their integration into relevant sectoral and cross-sectoral plans, programmes and strategies;</w:t>
      </w:r>
    </w:p>
    <w:p w14:paraId="752B0408"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(b)</w:t>
      </w:r>
      <w:r w:rsidRPr="00AA309E">
        <w:rPr>
          <w:rFonts w:asciiTheme="majorBidi" w:hAnsiTheme="majorBidi" w:cstheme="majorBidi"/>
        </w:rPr>
        <w:tab/>
        <w:t>Encouraging the use of sustainable soil management practices and existing tools, sustainable traditional practices, guidance and frameworks to maintain and restore soil biodiversity and to encourage the transfer of knowledge and enable women, particularly rural women, indigenous peoples and local communities and all stakeholders to harness the benefits of soil biodiversity for their livelihoods, taking into account national circumstances;</w:t>
      </w:r>
    </w:p>
    <w:p w14:paraId="0E46A5D7"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(c)</w:t>
      </w:r>
      <w:r w:rsidRPr="00AA309E">
        <w:rPr>
          <w:rFonts w:asciiTheme="majorBidi" w:hAnsiTheme="majorBidi" w:cstheme="majorBidi"/>
        </w:rPr>
        <w:tab/>
        <w:t>Promoting education, awareness-raising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 and providing practical and feasible actions to avoid, reduce or reverse soil biodiversity loss;</w:t>
      </w:r>
    </w:p>
    <w:p w14:paraId="4754D131"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(d)</w:t>
      </w:r>
      <w:r w:rsidRPr="00AA309E">
        <w:rPr>
          <w:rFonts w:asciiTheme="majorBidi" w:hAnsiTheme="majorBidi" w:cstheme="majorBidi"/>
        </w:rPr>
        <w:tab/>
        <w:t>Developing voluntary standard protocols to assess the status and trends of soil biodiversity, as well as monitor activities, in accordance with national legislation, to address gaps in knowledge and foster relevant research, and to enable compilation of large data sets to support research and monitoring activities;</w:t>
      </w:r>
    </w:p>
    <w:p w14:paraId="1BEA2576"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 xml:space="preserve">(e)  </w:t>
      </w:r>
      <w:r w:rsidRPr="00AA309E">
        <w:rPr>
          <w:rFonts w:asciiTheme="majorBidi" w:hAnsiTheme="majorBidi" w:cstheme="majorBidi"/>
        </w:rPr>
        <w:tab/>
        <w:t>Recognizing and supporting the role, and land and resource rights of indigenous peoples and local communities, in accordance with national legislation and international instruments, as well as the role of women, smallholders and small-scale food producers, particularly family farmers, in maintaining biodiversity through sustainable agricultural practices.</w:t>
      </w:r>
    </w:p>
    <w:p w14:paraId="00ABDF7C"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12.</w:t>
      </w:r>
      <w:r w:rsidRPr="00AA309E">
        <w:rPr>
          <w:rFonts w:asciiTheme="majorBidi" w:hAnsiTheme="majorBidi" w:cstheme="majorBidi"/>
        </w:rPr>
        <w:tab/>
        <w:t xml:space="preserve">The plan of action seeks to contribute to the achievement of the Sustainable Development Goals, in particular Goals 2, 3, 6, 13, 14 and 15, the </w:t>
      </w:r>
      <w:r>
        <w:t>Kunming-Montreal</w:t>
      </w:r>
      <w:r w:rsidRPr="008845E8">
        <w:t xml:space="preserve"> </w:t>
      </w:r>
      <w:r>
        <w:t>G</w:t>
      </w:r>
      <w:r w:rsidRPr="008845E8">
        <w:t xml:space="preserve">lobal </w:t>
      </w:r>
      <w:r>
        <w:t>B</w:t>
      </w:r>
      <w:r w:rsidRPr="008845E8">
        <w:t xml:space="preserve">iodiversity </w:t>
      </w:r>
      <w:r>
        <w:t>F</w:t>
      </w:r>
      <w:r w:rsidRPr="008845E8">
        <w:t>ramework</w:t>
      </w:r>
      <w:r w:rsidRPr="00AA309E">
        <w:rPr>
          <w:rFonts w:asciiTheme="majorBidi" w:hAnsiTheme="majorBidi" w:cstheme="majorBidi"/>
        </w:rPr>
        <w:t xml:space="preserve">, the 2050 </w:t>
      </w:r>
      <w:r>
        <w:rPr>
          <w:rFonts w:asciiTheme="majorBidi" w:hAnsiTheme="majorBidi" w:cstheme="majorBidi"/>
        </w:rPr>
        <w:t>v</w:t>
      </w:r>
      <w:r w:rsidRPr="00AA309E">
        <w:rPr>
          <w:rFonts w:asciiTheme="majorBidi" w:hAnsiTheme="majorBidi" w:cstheme="majorBidi"/>
        </w:rPr>
        <w:t>ision, the FAO Strategy on Mainstreaming Biodiversity across Agricultural Sectors,</w:t>
      </w:r>
      <w:r w:rsidRPr="00610646">
        <w:rPr>
          <w:rStyle w:val="FootnoteReference"/>
        </w:rPr>
        <w:footnoteReference w:id="364"/>
      </w:r>
      <w:r w:rsidRPr="00AA309E">
        <w:rPr>
          <w:rFonts w:asciiTheme="majorBidi" w:hAnsiTheme="majorBidi" w:cstheme="majorBidi"/>
        </w:rPr>
        <w:t xml:space="preserve"> the 2018</w:t>
      </w:r>
      <w:r>
        <w:t>–</w:t>
      </w:r>
      <w:r w:rsidRPr="00AA309E">
        <w:rPr>
          <w:rFonts w:asciiTheme="majorBidi" w:hAnsiTheme="majorBidi" w:cstheme="majorBidi"/>
        </w:rPr>
        <w:t>2030 Strategic Framework under the United Nations Convention to Combat Desertification (UNCCD)</w:t>
      </w:r>
      <w:r w:rsidRPr="00610646">
        <w:rPr>
          <w:rStyle w:val="FootnoteReference"/>
        </w:rPr>
        <w:footnoteReference w:id="365"/>
      </w:r>
      <w:r w:rsidRPr="00AA309E">
        <w:rPr>
          <w:rFonts w:asciiTheme="majorBidi" w:hAnsiTheme="majorBidi" w:cstheme="majorBidi"/>
        </w:rPr>
        <w:t xml:space="preserve"> and the objectives, commitments and initiatives under other conventions and multilateral environmental agreements, including the three Rio conventions, the Basel Convention on the Control of Transboundary Movements of Hazardous Wastes and their Disposal,</w:t>
      </w:r>
      <w:r w:rsidRPr="00610646">
        <w:rPr>
          <w:rStyle w:val="FootnoteReference"/>
        </w:rPr>
        <w:footnoteReference w:id="366"/>
      </w:r>
      <w:r w:rsidRPr="00AA309E">
        <w:rPr>
          <w:rFonts w:asciiTheme="majorBidi" w:hAnsiTheme="majorBidi" w:cstheme="majorBidi"/>
        </w:rPr>
        <w:t xml:space="preserve"> the Rotterdam Convention on the Prior Informed </w:t>
      </w:r>
      <w:r w:rsidRPr="00AA309E">
        <w:rPr>
          <w:rFonts w:asciiTheme="majorBidi" w:hAnsiTheme="majorBidi" w:cstheme="majorBidi"/>
        </w:rPr>
        <w:lastRenderedPageBreak/>
        <w:t>Consent Procedure for Certain Hazardous Chemicals and Pesticides in International Trade</w:t>
      </w:r>
      <w:r w:rsidRPr="00610646">
        <w:rPr>
          <w:rStyle w:val="FootnoteReference"/>
        </w:rPr>
        <w:footnoteReference w:id="367"/>
      </w:r>
      <w:r w:rsidRPr="00AA309E">
        <w:rPr>
          <w:rFonts w:asciiTheme="majorBidi" w:hAnsiTheme="majorBidi" w:cstheme="majorBidi"/>
        </w:rPr>
        <w:t xml:space="preserve"> and the Stockholm Convention on Persistent Organic Pollutants,</w:t>
      </w:r>
      <w:r w:rsidRPr="00610646">
        <w:rPr>
          <w:rStyle w:val="FootnoteReference"/>
        </w:rPr>
        <w:footnoteReference w:id="368"/>
      </w:r>
      <w:r w:rsidRPr="00AA309E">
        <w:rPr>
          <w:rFonts w:asciiTheme="majorBidi" w:hAnsiTheme="majorBidi" w:cstheme="majorBidi"/>
        </w:rPr>
        <w:t xml:space="preserve"> and the Minamata Convention on Mercury.</w:t>
      </w:r>
    </w:p>
    <w:p w14:paraId="5CA953B0" w14:textId="77777777" w:rsidR="007A11A6" w:rsidRPr="00AA309E" w:rsidRDefault="007A11A6" w:rsidP="000F1DC0">
      <w:pPr>
        <w:pStyle w:val="Heading1-compilation"/>
        <w:tabs>
          <w:tab w:val="clear" w:pos="284"/>
        </w:tabs>
        <w:rPr>
          <w:szCs w:val="22"/>
        </w:rPr>
      </w:pPr>
      <w:bookmarkStart w:id="344" w:name="_Toc118354933"/>
      <w:bookmarkStart w:id="345" w:name="_Toc150670312"/>
      <w:bookmarkStart w:id="346" w:name="_Toc150670529"/>
      <w:bookmarkStart w:id="347" w:name="_Toc150670639"/>
      <w:r w:rsidRPr="00AA309E">
        <w:rPr>
          <w:szCs w:val="22"/>
        </w:rPr>
        <w:t>III.</w:t>
      </w:r>
      <w:r w:rsidRPr="00AA309E">
        <w:rPr>
          <w:szCs w:val="22"/>
        </w:rPr>
        <w:tab/>
        <w:t>SCOPE AND PRINCIPLES</w:t>
      </w:r>
      <w:bookmarkEnd w:id="344"/>
      <w:bookmarkEnd w:id="345"/>
      <w:bookmarkEnd w:id="346"/>
      <w:bookmarkEnd w:id="347"/>
    </w:p>
    <w:p w14:paraId="66FC7741"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13.</w:t>
      </w:r>
      <w:r w:rsidRPr="00AA309E">
        <w:rPr>
          <w:rFonts w:asciiTheme="majorBidi" w:hAnsiTheme="majorBidi" w:cstheme="majorBidi"/>
        </w:rPr>
        <w:tab/>
        <w:t xml:space="preserve">The </w:t>
      </w:r>
      <w:r w:rsidRPr="00AA309E">
        <w:rPr>
          <w:rFonts w:asciiTheme="majorBidi" w:hAnsiTheme="majorBidi" w:cstheme="majorBidi"/>
          <w:i/>
        </w:rPr>
        <w:t>scope</w:t>
      </w:r>
      <w:r w:rsidRPr="00AA309E">
        <w:rPr>
          <w:rFonts w:asciiTheme="majorBidi" w:hAnsiTheme="majorBidi" w:cstheme="majorBidi"/>
        </w:rPr>
        <w:t xml:space="preserve"> of this updated plan of action focusses on soils across agricultural, other productive landscapes and other relevant ecosystems. It is wide and far-reaching and context-dependent to ensure that it responds to specific situations and farmer typologies and that it prioritizes actions on the basis of country goals and the needs of direct beneficiaries.</w:t>
      </w:r>
    </w:p>
    <w:p w14:paraId="7E77E8A1"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14.</w:t>
      </w:r>
      <w:r w:rsidRPr="00AA309E">
        <w:rPr>
          <w:rFonts w:asciiTheme="majorBidi" w:hAnsiTheme="majorBidi" w:cstheme="majorBidi"/>
        </w:rPr>
        <w:tab/>
        <w:t xml:space="preserve">The </w:t>
      </w:r>
      <w:r>
        <w:rPr>
          <w:rFonts w:asciiTheme="majorBidi" w:hAnsiTheme="majorBidi" w:cstheme="majorBidi"/>
        </w:rPr>
        <w:t xml:space="preserve">International </w:t>
      </w:r>
      <w:r w:rsidRPr="00AA309E">
        <w:rPr>
          <w:rFonts w:asciiTheme="majorBidi" w:hAnsiTheme="majorBidi" w:cstheme="majorBidi"/>
        </w:rPr>
        <w:t xml:space="preserve">Initiative </w:t>
      </w:r>
      <w:r w:rsidRPr="00CD79D0">
        <w:rPr>
          <w:rFonts w:asciiTheme="majorBidi" w:hAnsiTheme="majorBidi" w:cstheme="majorBidi"/>
        </w:rPr>
        <w:t>for the</w:t>
      </w:r>
      <w:r>
        <w:rPr>
          <w:rFonts w:asciiTheme="majorBidi" w:hAnsiTheme="majorBidi" w:cstheme="majorBidi"/>
        </w:rPr>
        <w:t xml:space="preserve"> Conservation and Sustainable Use of Soil Biodiversity </w:t>
      </w:r>
      <w:r w:rsidRPr="00AA309E">
        <w:rPr>
          <w:rFonts w:asciiTheme="majorBidi" w:hAnsiTheme="majorBidi" w:cstheme="majorBidi"/>
        </w:rPr>
        <w:t xml:space="preserve">continues to be implemented as a cross-cutting initiative by Parties to the Convention, the Secretariat, FAO and its Global Soil Partnership in partnership with the work of the Intergovernmental Technical Panel on Soils, the Global Soil Biodiversity Initiative, the Science-Policy Interface </w:t>
      </w:r>
      <w:r>
        <w:rPr>
          <w:rFonts w:asciiTheme="majorBidi" w:hAnsiTheme="majorBidi" w:cstheme="majorBidi"/>
        </w:rPr>
        <w:t>under</w:t>
      </w:r>
      <w:r w:rsidRPr="00AA309E">
        <w:rPr>
          <w:rFonts w:asciiTheme="majorBidi" w:hAnsiTheme="majorBidi" w:cstheme="majorBidi"/>
        </w:rPr>
        <w:t xml:space="preserve"> </w:t>
      </w:r>
      <w:r>
        <w:rPr>
          <w:rFonts w:asciiTheme="majorBidi" w:hAnsiTheme="majorBidi" w:cstheme="majorBidi"/>
        </w:rPr>
        <w:t>UNCCD</w:t>
      </w:r>
      <w:r w:rsidRPr="00AA309E">
        <w:rPr>
          <w:rFonts w:asciiTheme="majorBidi" w:hAnsiTheme="majorBidi" w:cstheme="majorBidi"/>
        </w:rPr>
        <w:t>, education, academic and research bodies, donor agencies and the private sector, as well as relevant organizations, farmers, land owners and land managers, indigenous peoples and local communities, women, youth, subnational governments and civil society.</w:t>
      </w:r>
    </w:p>
    <w:p w14:paraId="59245788"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15.</w:t>
      </w:r>
      <w:r w:rsidRPr="00AA309E">
        <w:rPr>
          <w:rFonts w:asciiTheme="majorBidi" w:hAnsiTheme="majorBidi" w:cstheme="majorBidi"/>
        </w:rPr>
        <w:tab/>
        <w:t xml:space="preserve">When linked to the </w:t>
      </w:r>
      <w:r>
        <w:t>Kunming-Montreal</w:t>
      </w:r>
      <w:r w:rsidRPr="008845E8">
        <w:t xml:space="preserve"> </w:t>
      </w:r>
      <w:r>
        <w:t>G</w:t>
      </w:r>
      <w:r w:rsidRPr="008845E8">
        <w:t xml:space="preserve">lobal </w:t>
      </w:r>
      <w:r>
        <w:t>B</w:t>
      </w:r>
      <w:r w:rsidRPr="008845E8">
        <w:t xml:space="preserve">iodiversity </w:t>
      </w:r>
      <w:r>
        <w:t>F</w:t>
      </w:r>
      <w:r w:rsidRPr="008845E8">
        <w:t>ramework</w:t>
      </w:r>
      <w:r w:rsidRPr="00AA309E">
        <w:rPr>
          <w:rFonts w:asciiTheme="majorBidi" w:hAnsiTheme="majorBidi" w:cstheme="majorBidi"/>
        </w:rPr>
        <w:t>, the United Nations Decade on Ecosystem Restoration,</w:t>
      </w:r>
      <w:r w:rsidRPr="00610646">
        <w:rPr>
          <w:rStyle w:val="FootnoteReference"/>
        </w:rPr>
        <w:footnoteReference w:id="369"/>
      </w:r>
      <w:r w:rsidRPr="00AA309E">
        <w:rPr>
          <w:rFonts w:asciiTheme="majorBidi" w:hAnsiTheme="majorBidi" w:cstheme="majorBidi"/>
        </w:rPr>
        <w:t xml:space="preserve"> the United Nations Decade of Family Farming 2019</w:t>
      </w:r>
      <w:r>
        <w:t>–</w:t>
      </w:r>
      <w:r w:rsidRPr="00AA309E">
        <w:rPr>
          <w:rFonts w:asciiTheme="majorBidi" w:hAnsiTheme="majorBidi" w:cstheme="majorBidi"/>
        </w:rPr>
        <w:t>2028, the 2030 Agenda for Sustainable Development and its Sustainable Development Goals,</w:t>
      </w:r>
      <w:r w:rsidRPr="00610646">
        <w:rPr>
          <w:rStyle w:val="FootnoteReference"/>
        </w:rPr>
        <w:footnoteReference w:id="370"/>
      </w:r>
      <w:r w:rsidRPr="00AA309E">
        <w:rPr>
          <w:rFonts w:asciiTheme="majorBidi" w:hAnsiTheme="majorBidi" w:cstheme="majorBidi"/>
        </w:rPr>
        <w:t xml:space="preserve"> the United Nations Framework Convention on Climate Change and the Paris Agreement</w:t>
      </w:r>
      <w:r>
        <w:rPr>
          <w:rFonts w:asciiTheme="majorBidi" w:hAnsiTheme="majorBidi" w:cstheme="majorBidi"/>
        </w:rPr>
        <w:t>,</w:t>
      </w:r>
      <w:r w:rsidRPr="00610646">
        <w:rPr>
          <w:rStyle w:val="FootnoteReference"/>
        </w:rPr>
        <w:footnoteReference w:id="371"/>
      </w:r>
      <w:r w:rsidRPr="00AA309E">
        <w:rPr>
          <w:rFonts w:asciiTheme="majorBidi" w:hAnsiTheme="majorBidi" w:cstheme="majorBidi"/>
        </w:rPr>
        <w:t xml:space="preserve"> and United Nations Convention to Combat Desertification and land degradation neutrality targets, the scope of this plan of action can achieve multiple co-benefits of soil biodiversity processes for improved and more sustainable land-use practices.</w:t>
      </w:r>
    </w:p>
    <w:p w14:paraId="623EDDBD"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16.</w:t>
      </w:r>
      <w:r w:rsidRPr="00AA309E">
        <w:rPr>
          <w:rFonts w:asciiTheme="majorBidi" w:hAnsiTheme="majorBidi" w:cstheme="majorBidi"/>
        </w:rPr>
        <w:tab/>
        <w:t xml:space="preserve">The plan of action adheres to the </w:t>
      </w:r>
      <w:r w:rsidRPr="00AA309E">
        <w:rPr>
          <w:rFonts w:asciiTheme="majorBidi" w:hAnsiTheme="majorBidi" w:cstheme="majorBidi"/>
          <w:i/>
        </w:rPr>
        <w:t>principles</w:t>
      </w:r>
      <w:r w:rsidRPr="00AA309E">
        <w:rPr>
          <w:rFonts w:asciiTheme="majorBidi" w:hAnsiTheme="majorBidi" w:cstheme="majorBidi"/>
        </w:rPr>
        <w:t xml:space="preserve"> of the ecosystem approach,</w:t>
      </w:r>
      <w:r w:rsidRPr="00610646">
        <w:rPr>
          <w:rStyle w:val="FootnoteReference"/>
        </w:rPr>
        <w:footnoteReference w:id="372"/>
      </w:r>
      <w:r w:rsidRPr="00AA309E">
        <w:rPr>
          <w:rFonts w:asciiTheme="majorBidi" w:hAnsiTheme="majorBidi" w:cstheme="majorBidi"/>
        </w:rPr>
        <w:t xml:space="preserve"> which is aimed at providing better biological, physical, economic and human interactions associated with sustainable and productive ecosystems.</w:t>
      </w:r>
    </w:p>
    <w:p w14:paraId="20CD73A1" w14:textId="77777777" w:rsidR="007A11A6" w:rsidRPr="00AA309E" w:rsidRDefault="007A11A6" w:rsidP="008B2808">
      <w:pPr>
        <w:pStyle w:val="Para1"/>
        <w:numPr>
          <w:ilvl w:val="0"/>
          <w:numId w:val="0"/>
        </w:numPr>
        <w:rPr>
          <w:rFonts w:asciiTheme="majorBidi" w:hAnsiTheme="majorBidi" w:cstheme="majorBidi"/>
        </w:rPr>
      </w:pPr>
      <w:r w:rsidRPr="00AA309E">
        <w:rPr>
          <w:rFonts w:asciiTheme="majorBidi" w:hAnsiTheme="majorBidi" w:cstheme="majorBidi"/>
        </w:rPr>
        <w:t>17.</w:t>
      </w:r>
      <w:r w:rsidRPr="00AA309E">
        <w:rPr>
          <w:rFonts w:asciiTheme="majorBidi" w:hAnsiTheme="majorBidi" w:cstheme="majorBidi"/>
        </w:rPr>
        <w:tab/>
        <w:t>The plan of action focuses on the improvement of livelihoods, on the implementation of integrated and holistic solutions adapted to national and subnational contexts and in developing synergies for better soil biodiversity research, monitoring and assessment at the corresponding level while ensuring multi-stakeholder participation.</w:t>
      </w:r>
    </w:p>
    <w:p w14:paraId="04D9A469" w14:textId="77777777" w:rsidR="007A11A6" w:rsidRPr="00AA309E" w:rsidRDefault="007A11A6" w:rsidP="008B2808">
      <w:pPr>
        <w:pStyle w:val="Para1"/>
        <w:numPr>
          <w:ilvl w:val="0"/>
          <w:numId w:val="0"/>
        </w:numPr>
        <w:rPr>
          <w:rFonts w:asciiTheme="majorBidi" w:hAnsiTheme="majorBidi" w:cstheme="majorBidi"/>
        </w:rPr>
      </w:pPr>
      <w:r w:rsidRPr="00AA309E">
        <w:rPr>
          <w:rFonts w:asciiTheme="majorBidi" w:hAnsiTheme="majorBidi" w:cstheme="majorBidi"/>
        </w:rPr>
        <w:t>18.</w:t>
      </w:r>
      <w:r w:rsidRPr="00AA309E">
        <w:rPr>
          <w:rFonts w:asciiTheme="majorBidi" w:hAnsiTheme="majorBidi" w:cstheme="majorBidi"/>
        </w:rPr>
        <w:tab/>
        <w:t>The plan of action recognizes the role of farmers, smallholders, small-scale food producers, family farmers, peasants, landowners, land managers, foresters, ranchers, indigenous peoples, local communities, women, youth, education, academia and research bodies, civil society, subnational governments, the private sector, and other relevant stakeholders in the conservation, restoration and sustainable use of soil biodiversity and for the implementation of the plan.</w:t>
      </w:r>
    </w:p>
    <w:p w14:paraId="2C84F71C" w14:textId="77777777" w:rsidR="007A11A6" w:rsidRPr="00AA309E" w:rsidRDefault="007A11A6" w:rsidP="008B2808">
      <w:pPr>
        <w:pStyle w:val="Para1"/>
        <w:numPr>
          <w:ilvl w:val="0"/>
          <w:numId w:val="0"/>
        </w:numPr>
        <w:suppressLineNumbers/>
        <w:suppressAutoHyphens/>
        <w:kinsoku w:val="0"/>
        <w:rPr>
          <w:rFonts w:asciiTheme="majorBidi" w:hAnsiTheme="majorBidi" w:cstheme="majorBidi"/>
        </w:rPr>
      </w:pPr>
      <w:r w:rsidRPr="00AA309E">
        <w:rPr>
          <w:rFonts w:asciiTheme="majorBidi" w:hAnsiTheme="majorBidi" w:cstheme="majorBidi"/>
        </w:rPr>
        <w:t>19.</w:t>
      </w:r>
      <w:r w:rsidRPr="00AA309E">
        <w:rPr>
          <w:rFonts w:asciiTheme="majorBidi" w:hAnsiTheme="majorBidi" w:cstheme="majorBidi"/>
        </w:rPr>
        <w:tab/>
        <w:t>FAO is invited to facilitate the implementation of the plan of action, and it is intended to align activities on soil biodiversity more closely with other FAO-related activities including the International Network on Soil Biodiversity and the Global Soil Biodiversity Observatory, to monitor and forecast the conditions of soil biodiversity and soil health as well as with regional and country offices in order to create synergies and provide broader support. The full implementation of the plan of action</w:t>
      </w:r>
      <w:r w:rsidRPr="00AA309E" w:rsidDel="001F1B97">
        <w:rPr>
          <w:rFonts w:asciiTheme="majorBidi" w:hAnsiTheme="majorBidi" w:cstheme="majorBidi"/>
        </w:rPr>
        <w:t xml:space="preserve"> </w:t>
      </w:r>
      <w:r w:rsidRPr="00AA309E">
        <w:rPr>
          <w:rFonts w:asciiTheme="majorBidi" w:hAnsiTheme="majorBidi" w:cstheme="majorBidi"/>
        </w:rPr>
        <w:t>at the national and subnational levels will depend on the availability of resources.</w:t>
      </w:r>
    </w:p>
    <w:p w14:paraId="0408B209" w14:textId="77777777" w:rsidR="007A11A6" w:rsidRPr="00AA309E" w:rsidRDefault="007A11A6" w:rsidP="008F2719">
      <w:pPr>
        <w:pStyle w:val="Heading1-compilation"/>
        <w:tabs>
          <w:tab w:val="clear" w:pos="284"/>
        </w:tabs>
        <w:rPr>
          <w:szCs w:val="22"/>
        </w:rPr>
      </w:pPr>
      <w:bookmarkStart w:id="348" w:name="_Toc118354934"/>
      <w:bookmarkStart w:id="349" w:name="_Toc150670313"/>
      <w:bookmarkStart w:id="350" w:name="_Toc150670530"/>
      <w:bookmarkStart w:id="351" w:name="_Toc150670640"/>
      <w:r w:rsidRPr="00AA309E">
        <w:rPr>
          <w:szCs w:val="22"/>
        </w:rPr>
        <w:t>IV.</w:t>
      </w:r>
      <w:r w:rsidRPr="00AA309E">
        <w:rPr>
          <w:szCs w:val="22"/>
        </w:rPr>
        <w:tab/>
        <w:t>GLOBAL ACTIONS</w:t>
      </w:r>
      <w:bookmarkEnd w:id="348"/>
      <w:bookmarkEnd w:id="349"/>
      <w:bookmarkEnd w:id="350"/>
      <w:bookmarkEnd w:id="351"/>
    </w:p>
    <w:p w14:paraId="5CA2B3F9"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20.</w:t>
      </w:r>
      <w:r w:rsidRPr="00AA309E">
        <w:rPr>
          <w:rFonts w:asciiTheme="majorBidi" w:hAnsiTheme="majorBidi" w:cstheme="majorBidi"/>
        </w:rPr>
        <w:tab/>
        <w:t xml:space="preserve">To support the implementation of coherent and comprehensive policies for the conservation, restoration and sustainable use of soil biodiversity at all levels, the following global actions have been </w:t>
      </w:r>
      <w:r w:rsidRPr="00AA309E">
        <w:rPr>
          <w:rFonts w:asciiTheme="majorBidi" w:hAnsiTheme="majorBidi" w:cstheme="majorBidi"/>
        </w:rPr>
        <w:lastRenderedPageBreak/>
        <w:t>identified and can be considered, as appropriate and on a voluntary basis, by Parties and other Governments, in collaboration with relevant organizations:</w:t>
      </w:r>
    </w:p>
    <w:p w14:paraId="68DF33D7"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(a)</w:t>
      </w:r>
      <w:r w:rsidRPr="00AA309E">
        <w:rPr>
          <w:rFonts w:asciiTheme="majorBidi" w:hAnsiTheme="majorBidi" w:cstheme="majorBidi"/>
        </w:rPr>
        <w:tab/>
        <w:t>Develop protocols, adopt harmonized methods and use tools to collect and digitize soil biodiversity data and to improve mapping capabilities of Parties, acknowledging the differences in soil types across regions;</w:t>
      </w:r>
    </w:p>
    <w:p w14:paraId="55D4BDE2"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(b)</w:t>
      </w:r>
      <w:r w:rsidRPr="00AA309E">
        <w:rPr>
          <w:rFonts w:asciiTheme="majorBidi" w:hAnsiTheme="majorBidi" w:cstheme="majorBidi"/>
        </w:rPr>
        <w:tab/>
        <w:t>Include soil biodiversity as an important component of soil description surveys using a large range of tools, including state-of-the-art methods and technology, and the development of bioindicators;</w:t>
      </w:r>
    </w:p>
    <w:p w14:paraId="5D856DD4"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(c)</w:t>
      </w:r>
      <w:r w:rsidRPr="00AA309E">
        <w:rPr>
          <w:rFonts w:asciiTheme="majorBidi" w:hAnsiTheme="majorBidi" w:cstheme="majorBidi"/>
        </w:rPr>
        <w:tab/>
        <w:t>Establish or strengthen, as appropriate, a monitoring network to assess and keep track of the abundance and diversity of multiple soil taxa or units and of the changes in soil biodiversity and its functioning, in accordance with national legislation;</w:t>
      </w:r>
    </w:p>
    <w:p w14:paraId="62D338FA"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(d)</w:t>
      </w:r>
      <w:r w:rsidRPr="00AA309E">
        <w:rPr>
          <w:rFonts w:asciiTheme="majorBidi" w:hAnsiTheme="majorBidi" w:cstheme="majorBidi"/>
        </w:rPr>
        <w:tab/>
        <w:t>Develop or identify and implement feasible indicators of soil biodiversity that are related to key ecosystem functions and services;</w:t>
      </w:r>
      <w:r w:rsidRPr="00AA309E" w:rsidDel="0096234E">
        <w:rPr>
          <w:rFonts w:asciiTheme="majorBidi" w:hAnsiTheme="majorBidi" w:cstheme="majorBidi"/>
        </w:rPr>
        <w:t xml:space="preserve"> </w:t>
      </w:r>
    </w:p>
    <w:p w14:paraId="5C3DBC4A"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(e)</w:t>
      </w:r>
      <w:r w:rsidRPr="00AA309E">
        <w:rPr>
          <w:rFonts w:asciiTheme="majorBidi" w:hAnsiTheme="majorBidi" w:cstheme="majorBidi"/>
        </w:rPr>
        <w:tab/>
        <w:t>Strengthen education, research and capacity-building to use tools to monitor soil microbiodiversity and contribute to human, plant and soil health;</w:t>
      </w:r>
    </w:p>
    <w:p w14:paraId="476D4B2F"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(f)</w:t>
      </w:r>
      <w:r w:rsidRPr="00AA309E">
        <w:rPr>
          <w:rFonts w:asciiTheme="majorBidi" w:hAnsiTheme="majorBidi" w:cstheme="majorBidi"/>
        </w:rPr>
        <w:tab/>
        <w:t xml:space="preserve">Promote ecosystem-based approaches to conserve, restore and sustainably manage soil biodiversity in response to numerous challenges, such as loss of soil organic carbon and the need for sustainable management of soil in the context of climate change, soil degradation, the control, prevention and suppression of soil-borne diseases, enhancement of soil nutrients, food security and food safety, reducing water scarcity and disaster risk; </w:t>
      </w:r>
    </w:p>
    <w:p w14:paraId="46EA1DEB"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(g)</w:t>
      </w:r>
      <w:r w:rsidRPr="00AA309E">
        <w:rPr>
          <w:rFonts w:asciiTheme="majorBidi" w:hAnsiTheme="majorBidi" w:cstheme="majorBidi"/>
        </w:rPr>
        <w:tab/>
        <w:t>Engage with the United Nations Decade on Ecosystem Restoration to pursue restoration of degraded soils and their multifunctionality, including the utilization of restored areas and degraded agricultural areas for food production and avoiding expansion to natural areas where feasible;</w:t>
      </w:r>
    </w:p>
    <w:p w14:paraId="1E8AA407"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(h)</w:t>
      </w:r>
      <w:r w:rsidRPr="00AA309E">
        <w:rPr>
          <w:rFonts w:asciiTheme="majorBidi" w:hAnsiTheme="majorBidi" w:cstheme="majorBidi"/>
        </w:rPr>
        <w:tab/>
        <w:t xml:space="preserve">Encourage civil society groups, research bodies, subnational governments, cities and other local authorities, traditional authorities from indigenous peoples and local communities, to become involved in the implementation of the </w:t>
      </w:r>
      <w:r>
        <w:rPr>
          <w:rFonts w:asciiTheme="majorBidi" w:hAnsiTheme="majorBidi" w:cstheme="majorBidi"/>
        </w:rPr>
        <w:t>p</w:t>
      </w:r>
      <w:r w:rsidRPr="00B45543">
        <w:rPr>
          <w:rFonts w:asciiTheme="majorBidi" w:hAnsiTheme="majorBidi" w:cstheme="majorBidi"/>
        </w:rPr>
        <w:t xml:space="preserve">lan of </w:t>
      </w:r>
      <w:r>
        <w:rPr>
          <w:rFonts w:asciiTheme="majorBidi" w:hAnsiTheme="majorBidi" w:cstheme="majorBidi"/>
        </w:rPr>
        <w:t>a</w:t>
      </w:r>
      <w:r w:rsidRPr="00B45543">
        <w:rPr>
          <w:rFonts w:asciiTheme="majorBidi" w:hAnsiTheme="majorBidi" w:cstheme="majorBidi"/>
        </w:rPr>
        <w:t>ction</w:t>
      </w:r>
      <w:r w:rsidRPr="00AA309E">
        <w:rPr>
          <w:rFonts w:asciiTheme="majorBidi" w:hAnsiTheme="majorBidi" w:cstheme="majorBidi"/>
        </w:rPr>
        <w:t>;</w:t>
      </w:r>
    </w:p>
    <w:p w14:paraId="47C36A59"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(i)</w:t>
      </w:r>
      <w:r w:rsidRPr="00AA309E">
        <w:rPr>
          <w:rFonts w:asciiTheme="majorBidi" w:hAnsiTheme="majorBidi" w:cstheme="majorBidi"/>
        </w:rPr>
        <w:tab/>
        <w:t>Encourage awareness-raising on the importance of soil biodiversity and its functions and services through subnational, national, regional and global platforms, such as FAO and GSP, which provide existing channels to be leveraged;</w:t>
      </w:r>
    </w:p>
    <w:p w14:paraId="2ED3AEF3"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(j)</w:t>
      </w:r>
      <w:r w:rsidRPr="00AA309E">
        <w:rPr>
          <w:rFonts w:asciiTheme="majorBidi" w:hAnsiTheme="majorBidi" w:cstheme="majorBidi"/>
        </w:rPr>
        <w:tab/>
        <w:t>Promote both in-situ and ex-situ conservation, restoration and sustainable use activities and management practices while strengthening the systems of knowledge of indigenous peoples and local communities;</w:t>
      </w:r>
    </w:p>
    <w:p w14:paraId="09EB7939" w14:textId="77777777" w:rsidR="007A11A6" w:rsidRPr="00AA309E" w:rsidRDefault="007A11A6" w:rsidP="008B2808">
      <w:pPr>
        <w:pStyle w:val="Para1"/>
        <w:numPr>
          <w:ilvl w:val="0"/>
          <w:numId w:val="0"/>
        </w:numPr>
        <w:suppressLineNumbers/>
        <w:tabs>
          <w:tab w:val="left" w:pos="1440"/>
        </w:tabs>
        <w:suppressAutoHyphens/>
        <w:kinsoku w:val="0"/>
        <w:adjustRightInd w:val="0"/>
        <w:ind w:firstLine="720"/>
        <w:rPr>
          <w:rFonts w:asciiTheme="majorBidi" w:hAnsiTheme="majorBidi" w:cstheme="majorBidi"/>
        </w:rPr>
      </w:pPr>
      <w:r w:rsidRPr="00AA309E">
        <w:rPr>
          <w:rFonts w:asciiTheme="majorBidi" w:hAnsiTheme="majorBidi" w:cstheme="majorBidi"/>
        </w:rPr>
        <w:t>(k)</w:t>
      </w:r>
      <w:r w:rsidRPr="00AA309E">
        <w:rPr>
          <w:rFonts w:asciiTheme="majorBidi" w:hAnsiTheme="majorBidi" w:cstheme="majorBidi"/>
        </w:rPr>
        <w:tab/>
        <w:t>Identify the cumulative impacts of multiple sectors on the quality of soil biodiversity;</w:t>
      </w:r>
    </w:p>
    <w:p w14:paraId="29962420" w14:textId="77777777" w:rsidR="007A11A6" w:rsidRPr="00AA309E" w:rsidRDefault="007A11A6" w:rsidP="008B2808">
      <w:pPr>
        <w:pStyle w:val="Para1"/>
        <w:numPr>
          <w:ilvl w:val="0"/>
          <w:numId w:val="0"/>
        </w:numPr>
        <w:suppressLineNumbers/>
        <w:suppressAutoHyphens/>
        <w:kinsoku w:val="0"/>
        <w:adjustRightInd w:val="0"/>
        <w:ind w:firstLine="709"/>
        <w:rPr>
          <w:rFonts w:asciiTheme="majorBidi" w:hAnsiTheme="majorBidi" w:cstheme="majorBidi"/>
        </w:rPr>
      </w:pPr>
      <w:r w:rsidRPr="00AA309E">
        <w:rPr>
          <w:rFonts w:asciiTheme="majorBidi" w:hAnsiTheme="majorBidi" w:cstheme="majorBidi"/>
        </w:rPr>
        <w:t xml:space="preserve">(l) </w:t>
      </w:r>
      <w:r w:rsidRPr="00AA309E">
        <w:rPr>
          <w:rFonts w:asciiTheme="majorBidi" w:hAnsiTheme="majorBidi" w:cstheme="majorBidi"/>
        </w:rPr>
        <w:tab/>
        <w:t>Promote good agricultural practices, including integrated pest management in order to prevent and address possible negative impacts of fertilizers and pesticides on soil biodiversity, based on risk assessment approaches and scientific evidence;</w:t>
      </w:r>
    </w:p>
    <w:p w14:paraId="7FF49DBD" w14:textId="77777777" w:rsidR="007A11A6" w:rsidRPr="00AA309E" w:rsidRDefault="007A11A6" w:rsidP="008B2808">
      <w:pPr>
        <w:pStyle w:val="Para1"/>
        <w:numPr>
          <w:ilvl w:val="0"/>
          <w:numId w:val="0"/>
        </w:numPr>
        <w:suppressLineNumbers/>
        <w:suppressAutoHyphens/>
        <w:kinsoku w:val="0"/>
        <w:adjustRightInd w:val="0"/>
        <w:ind w:left="720"/>
        <w:rPr>
          <w:rFonts w:asciiTheme="majorBidi" w:hAnsiTheme="majorBidi" w:cstheme="majorBidi"/>
        </w:rPr>
      </w:pPr>
      <w:r w:rsidRPr="00AA309E">
        <w:rPr>
          <w:rFonts w:asciiTheme="majorBidi" w:hAnsiTheme="majorBidi" w:cstheme="majorBidi"/>
        </w:rPr>
        <w:t>(m)</w:t>
      </w:r>
      <w:r w:rsidRPr="00AA309E">
        <w:rPr>
          <w:rFonts w:asciiTheme="majorBidi" w:hAnsiTheme="majorBidi" w:cstheme="majorBidi"/>
        </w:rPr>
        <w:tab/>
        <w:t xml:space="preserve"> Identify sources of financial resources for the implementation of the action plan.</w:t>
      </w:r>
    </w:p>
    <w:p w14:paraId="66544BC0" w14:textId="77777777" w:rsidR="007A11A6" w:rsidRPr="00AA309E" w:rsidRDefault="007A11A6" w:rsidP="008F2719">
      <w:pPr>
        <w:pStyle w:val="Heading1-compilation"/>
        <w:tabs>
          <w:tab w:val="clear" w:pos="284"/>
        </w:tabs>
        <w:rPr>
          <w:szCs w:val="22"/>
        </w:rPr>
      </w:pPr>
      <w:bookmarkStart w:id="352" w:name="_Toc118354935"/>
      <w:bookmarkStart w:id="353" w:name="_Toc150670314"/>
      <w:bookmarkStart w:id="354" w:name="_Toc150670531"/>
      <w:bookmarkStart w:id="355" w:name="_Toc150670641"/>
      <w:r w:rsidRPr="00AA309E">
        <w:rPr>
          <w:szCs w:val="22"/>
        </w:rPr>
        <w:t>V.</w:t>
      </w:r>
      <w:r w:rsidRPr="00AA309E">
        <w:rPr>
          <w:szCs w:val="22"/>
        </w:rPr>
        <w:tab/>
        <w:t>KEY ELEMENTS AND ACTIVITIES</w:t>
      </w:r>
      <w:bookmarkEnd w:id="352"/>
      <w:bookmarkEnd w:id="353"/>
      <w:bookmarkEnd w:id="354"/>
      <w:bookmarkEnd w:id="355"/>
    </w:p>
    <w:p w14:paraId="4AEAFAC3" w14:textId="77777777" w:rsidR="007A11A6" w:rsidRPr="00AA309E" w:rsidRDefault="007A11A6" w:rsidP="008B2808">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21.</w:t>
      </w:r>
      <w:r w:rsidRPr="00AA309E">
        <w:rPr>
          <w:rFonts w:asciiTheme="majorBidi" w:hAnsiTheme="majorBidi" w:cstheme="majorBidi"/>
        </w:rPr>
        <w:tab/>
        <w:t xml:space="preserve">The </w:t>
      </w:r>
      <w:r>
        <w:rPr>
          <w:rFonts w:asciiTheme="majorBidi" w:hAnsiTheme="majorBidi" w:cstheme="majorBidi"/>
        </w:rPr>
        <w:t>p</w:t>
      </w:r>
      <w:r w:rsidRPr="00FD1CED">
        <w:rPr>
          <w:rFonts w:asciiTheme="majorBidi" w:hAnsiTheme="majorBidi" w:cstheme="majorBidi"/>
        </w:rPr>
        <w:t xml:space="preserve">lan of </w:t>
      </w:r>
      <w:r>
        <w:rPr>
          <w:rFonts w:asciiTheme="majorBidi" w:hAnsiTheme="majorBidi" w:cstheme="majorBidi"/>
        </w:rPr>
        <w:t>a</w:t>
      </w:r>
      <w:r w:rsidRPr="00FD1CED">
        <w:rPr>
          <w:rFonts w:asciiTheme="majorBidi" w:hAnsiTheme="majorBidi" w:cstheme="majorBidi"/>
        </w:rPr>
        <w:t xml:space="preserve">ction </w:t>
      </w:r>
      <w:r w:rsidRPr="00AA309E">
        <w:rPr>
          <w:rFonts w:asciiTheme="majorBidi" w:hAnsiTheme="majorBidi" w:cstheme="majorBidi"/>
        </w:rPr>
        <w:t>comprises four main elements that could be undertaken, as appropriate, by Parties and other Governments, in collaboration with relevant organizations:</w:t>
      </w:r>
    </w:p>
    <w:p w14:paraId="33A2E7E7"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(a)</w:t>
      </w:r>
      <w:r w:rsidRPr="00AA309E">
        <w:rPr>
          <w:rFonts w:asciiTheme="majorBidi" w:hAnsiTheme="majorBidi" w:cstheme="majorBidi"/>
        </w:rPr>
        <w:tab/>
        <w:t>Policy coherence and mainstreaming;</w:t>
      </w:r>
    </w:p>
    <w:p w14:paraId="0BA75353"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rPr>
      </w:pPr>
      <w:r w:rsidRPr="00AA309E">
        <w:rPr>
          <w:rFonts w:asciiTheme="majorBidi" w:hAnsiTheme="majorBidi" w:cstheme="majorBidi"/>
        </w:rPr>
        <w:t>(b)</w:t>
      </w:r>
      <w:r w:rsidRPr="00AA309E">
        <w:rPr>
          <w:rFonts w:asciiTheme="majorBidi" w:hAnsiTheme="majorBidi" w:cstheme="majorBidi"/>
        </w:rPr>
        <w:tab/>
        <w:t>Encouraging the use of sustainable soil management practices;</w:t>
      </w:r>
    </w:p>
    <w:p w14:paraId="2D3458CA"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bCs/>
        </w:rPr>
      </w:pPr>
      <w:r w:rsidRPr="00AA309E">
        <w:rPr>
          <w:rFonts w:asciiTheme="majorBidi" w:hAnsiTheme="majorBidi" w:cstheme="majorBidi"/>
          <w:bCs/>
        </w:rPr>
        <w:lastRenderedPageBreak/>
        <w:t>(c)</w:t>
      </w:r>
      <w:r w:rsidRPr="00AA309E">
        <w:rPr>
          <w:rFonts w:asciiTheme="majorBidi" w:hAnsiTheme="majorBidi" w:cstheme="majorBidi"/>
          <w:bCs/>
        </w:rPr>
        <w:tab/>
      </w:r>
      <w:r w:rsidRPr="00AA309E">
        <w:rPr>
          <w:rFonts w:asciiTheme="majorBidi" w:hAnsiTheme="majorBidi" w:cstheme="majorBidi"/>
        </w:rPr>
        <w:t>Awareness-raising, sharing of knowledge, technology transfer and capacity-building and development;</w:t>
      </w:r>
    </w:p>
    <w:p w14:paraId="4C3F1BB8" w14:textId="77777777" w:rsidR="007A11A6" w:rsidRPr="00AA309E" w:rsidRDefault="007A11A6" w:rsidP="008B2808">
      <w:pPr>
        <w:pStyle w:val="Para1"/>
        <w:numPr>
          <w:ilvl w:val="0"/>
          <w:numId w:val="0"/>
        </w:numPr>
        <w:suppressLineNumbers/>
        <w:suppressAutoHyphens/>
        <w:kinsoku w:val="0"/>
        <w:adjustRightInd w:val="0"/>
        <w:ind w:firstLine="720"/>
        <w:rPr>
          <w:rFonts w:asciiTheme="majorBidi" w:hAnsiTheme="majorBidi" w:cstheme="majorBidi"/>
          <w:bCs/>
        </w:rPr>
      </w:pPr>
      <w:r w:rsidRPr="00AA309E">
        <w:rPr>
          <w:rFonts w:asciiTheme="majorBidi" w:hAnsiTheme="majorBidi" w:cstheme="majorBidi"/>
          <w:bCs/>
        </w:rPr>
        <w:t>(d)</w:t>
      </w:r>
      <w:r w:rsidRPr="00AA309E">
        <w:rPr>
          <w:rFonts w:asciiTheme="majorBidi" w:hAnsiTheme="majorBidi" w:cstheme="majorBidi"/>
          <w:bCs/>
        </w:rPr>
        <w:tab/>
        <w:t>Research, monitoring and assessment.</w:t>
      </w:r>
    </w:p>
    <w:p w14:paraId="2C172F9F"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AA309E">
        <w:rPr>
          <w:rFonts w:asciiTheme="majorBidi" w:hAnsiTheme="majorBidi" w:cstheme="majorBidi"/>
          <w:b/>
          <w:snapToGrid w:val="0"/>
          <w:kern w:val="22"/>
          <w:szCs w:val="22"/>
        </w:rPr>
        <w:t>Element 1: Policy coherence and mainstreaming</w:t>
      </w:r>
    </w:p>
    <w:p w14:paraId="108AAF12"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336B03E1"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AA309E">
        <w:rPr>
          <w:rFonts w:asciiTheme="majorBidi" w:hAnsiTheme="majorBidi" w:cstheme="majorBidi"/>
          <w:snapToGrid w:val="0"/>
          <w:kern w:val="22"/>
          <w:szCs w:val="22"/>
        </w:rPr>
        <w:t>Soil loss and soil biodiversity loss is a cross-cutting issue, and policies should be designed to integrate considerations not only into the context of sustainable agriculture and sustainable forest management, but also within other sectors, especially infrastructure, mining, energy, transport and spatial planning. Appropriate and coherent national and subnational policies are needed to provide an effective and enabling environment to support activities by farmers, with emphasis on small-holders, small-scale food producers, family farmers, women farmers, peasants, and land managers, foresters, indigenous peoples and local communities, youth and all relevant stakeholders. Inclusive policies that take soil biodiversity into consideration and promote its conservation, restoration and sustainable use can provide multiple benefits by linking agriculture, food production, forestry, marine, water, air, human health, culture, spiritual and environmental policies.</w:t>
      </w:r>
    </w:p>
    <w:p w14:paraId="2B80AD60"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0287FF2A"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1.1 </w:t>
      </w:r>
      <w:r w:rsidRPr="00AA309E">
        <w:rPr>
          <w:rFonts w:asciiTheme="majorBidi" w:hAnsiTheme="majorBidi" w:cstheme="majorBidi"/>
          <w:bCs/>
          <w:snapToGrid w:val="0"/>
          <w:kern w:val="22"/>
          <w:szCs w:val="22"/>
        </w:rPr>
        <w:t>Promote the importance of mainstreaming soil biodiversity,</w:t>
      </w:r>
      <w:r w:rsidRPr="00AA309E">
        <w:rPr>
          <w:rFonts w:asciiTheme="majorBidi" w:hAnsiTheme="majorBidi" w:cstheme="majorBidi"/>
          <w:b/>
          <w:snapToGrid w:val="0"/>
          <w:kern w:val="22"/>
          <w:szCs w:val="22"/>
        </w:rPr>
        <w:t xml:space="preserve"> </w:t>
      </w:r>
      <w:r w:rsidRPr="00AA309E">
        <w:rPr>
          <w:rFonts w:asciiTheme="majorBidi" w:hAnsiTheme="majorBidi" w:cstheme="majorBidi"/>
          <w:bCs/>
          <w:snapToGrid w:val="0"/>
          <w:kern w:val="22"/>
          <w:szCs w:val="22"/>
        </w:rPr>
        <w:t>including the conservation, restoration, sustainable use and management of soil biodiversity into policies aimed at the sustainability of agriculture, and other relevant sectors and sup</w:t>
      </w:r>
      <w:r w:rsidRPr="00AA309E">
        <w:rPr>
          <w:rFonts w:asciiTheme="majorBidi" w:hAnsiTheme="majorBidi" w:cstheme="majorBidi"/>
          <w:snapToGrid w:val="0"/>
          <w:kern w:val="22"/>
          <w:szCs w:val="22"/>
        </w:rPr>
        <w:t>port the development and implementation of coherent and comprehensive policies for the conservation, sustainable use and restoration of soil biodiversity at the local, subnational, national, regional and global levels;</w:t>
      </w:r>
    </w:p>
    <w:p w14:paraId="3654A61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1.2 </w:t>
      </w:r>
      <w:r w:rsidRPr="00AA309E">
        <w:rPr>
          <w:rFonts w:asciiTheme="majorBidi" w:hAnsiTheme="majorBidi" w:cstheme="majorBidi"/>
          <w:snapToGrid w:val="0"/>
          <w:kern w:val="22"/>
          <w:szCs w:val="22"/>
        </w:rPr>
        <w:t xml:space="preserve">Foster activities to safeguard and promote the importance as well as the practical application of soil biodiversity, and integrate them into broader policy agendas for food security, ecosystem and landscape restoration, climate change adaptation and mitigation, urban planning and sustainable development, including the </w:t>
      </w:r>
      <w:r>
        <w:rPr>
          <w:kern w:val="22"/>
          <w:szCs w:val="22"/>
        </w:rPr>
        <w:t>Kunming-Montreal</w:t>
      </w:r>
      <w:r w:rsidRPr="008845E8">
        <w:rPr>
          <w:kern w:val="22"/>
          <w:szCs w:val="22"/>
        </w:rPr>
        <w:t xml:space="preserve"> </w:t>
      </w:r>
      <w:r>
        <w:rPr>
          <w:kern w:val="22"/>
          <w:szCs w:val="22"/>
        </w:rPr>
        <w:t>G</w:t>
      </w:r>
      <w:r w:rsidRPr="008845E8">
        <w:rPr>
          <w:kern w:val="22"/>
          <w:szCs w:val="22"/>
        </w:rPr>
        <w:t xml:space="preserve">lobal </w:t>
      </w:r>
      <w:r>
        <w:rPr>
          <w:kern w:val="22"/>
          <w:szCs w:val="22"/>
        </w:rPr>
        <w:t>B</w:t>
      </w:r>
      <w:r w:rsidRPr="008845E8">
        <w:rPr>
          <w:kern w:val="22"/>
          <w:szCs w:val="22"/>
        </w:rPr>
        <w:t xml:space="preserve">iodiversity </w:t>
      </w:r>
      <w:r>
        <w:rPr>
          <w:kern w:val="22"/>
          <w:szCs w:val="22"/>
        </w:rPr>
        <w:t>F</w:t>
      </w:r>
      <w:r w:rsidRPr="008845E8">
        <w:rPr>
          <w:kern w:val="22"/>
          <w:szCs w:val="22"/>
        </w:rPr>
        <w:t>ramework</w:t>
      </w:r>
      <w:r w:rsidRPr="00AA309E">
        <w:rPr>
          <w:rFonts w:asciiTheme="majorBidi" w:hAnsiTheme="majorBidi" w:cstheme="majorBidi"/>
          <w:snapToGrid w:val="0"/>
          <w:kern w:val="22"/>
          <w:szCs w:val="22"/>
        </w:rPr>
        <w:t>, UNCCD 2018</w:t>
      </w:r>
      <w:r>
        <w:rPr>
          <w:kern w:val="22"/>
          <w:szCs w:val="22"/>
        </w:rPr>
        <w:t>–</w:t>
      </w:r>
      <w:r w:rsidRPr="00AA309E">
        <w:rPr>
          <w:rFonts w:asciiTheme="majorBidi" w:hAnsiTheme="majorBidi" w:cstheme="majorBidi"/>
          <w:snapToGrid w:val="0"/>
          <w:kern w:val="22"/>
          <w:szCs w:val="22"/>
        </w:rPr>
        <w:t>2030 Strategic Framework and the Sustainable Development Goals;</w:t>
      </w:r>
    </w:p>
    <w:p w14:paraId="68743378"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1.3</w:t>
      </w:r>
      <w:r w:rsidRPr="00AA309E">
        <w:rPr>
          <w:rFonts w:asciiTheme="majorBidi" w:hAnsiTheme="majorBidi" w:cstheme="majorBidi"/>
          <w:snapToGrid w:val="0"/>
          <w:kern w:val="22"/>
          <w:szCs w:val="22"/>
        </w:rPr>
        <w:t xml:space="preserve"> Promote the implementation of good practices of sustainable soil management</w:t>
      </w:r>
      <w:bookmarkStart w:id="356" w:name="_Ref125013023"/>
      <w:r w:rsidRPr="00610646">
        <w:rPr>
          <w:rStyle w:val="FootnoteReference"/>
        </w:rPr>
        <w:footnoteReference w:id="373"/>
      </w:r>
      <w:bookmarkEnd w:id="356"/>
      <w:r w:rsidRPr="00AA309E">
        <w:rPr>
          <w:rFonts w:asciiTheme="majorBidi" w:hAnsiTheme="majorBidi" w:cstheme="majorBidi"/>
          <w:snapToGrid w:val="0"/>
          <w:kern w:val="22"/>
          <w:szCs w:val="22"/>
        </w:rPr>
        <w:t xml:space="preserve"> as a vehicle to promote integrated and holistic solutions that recognize the key role of above-ground/below-ground biodiversity interactions and of indigenous peoples and local communities and their traditional knowledge and practices, and that consider local contexts and integrated land-use planning, in a participatory manner;</w:t>
      </w:r>
    </w:p>
    <w:p w14:paraId="4CE76A2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1.4</w:t>
      </w:r>
      <w:r w:rsidRPr="00AA309E">
        <w:rPr>
          <w:rFonts w:asciiTheme="majorBidi" w:hAnsiTheme="majorBidi" w:cstheme="majorBidi"/>
          <w:snapToGrid w:val="0"/>
          <w:kern w:val="22"/>
          <w:szCs w:val="22"/>
        </w:rPr>
        <w:t xml:space="preserve"> Promote integrated ecosystem approaches for the conservation, restoration and sustainable use of soil biodiversity, considering, as appropriate traditional sustainable agricultural practices;</w:t>
      </w:r>
    </w:p>
    <w:p w14:paraId="64DFE854"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1.5</w:t>
      </w:r>
      <w:r w:rsidRPr="00AA309E">
        <w:rPr>
          <w:rFonts w:asciiTheme="majorBidi" w:hAnsiTheme="majorBidi" w:cstheme="majorBidi"/>
          <w:snapToGrid w:val="0"/>
          <w:kern w:val="22"/>
          <w:szCs w:val="22"/>
        </w:rPr>
        <w:t xml:space="preserve"> Promote policies that protect or help increase soil biodiversity; </w:t>
      </w:r>
    </w:p>
    <w:p w14:paraId="7CE0C504"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bookmarkStart w:id="357" w:name="_Hlk98427646"/>
      <w:r w:rsidRPr="00AA309E">
        <w:rPr>
          <w:rFonts w:asciiTheme="majorBidi" w:hAnsiTheme="majorBidi" w:cstheme="majorBidi"/>
          <w:b/>
          <w:bCs/>
          <w:snapToGrid w:val="0"/>
          <w:kern w:val="22"/>
          <w:szCs w:val="22"/>
        </w:rPr>
        <w:t>1.6</w:t>
      </w:r>
      <w:r w:rsidRPr="00AA309E">
        <w:rPr>
          <w:rFonts w:asciiTheme="majorBidi" w:hAnsiTheme="majorBidi" w:cstheme="majorBidi"/>
          <w:snapToGrid w:val="0"/>
          <w:kern w:val="22"/>
          <w:szCs w:val="22"/>
        </w:rPr>
        <w:t xml:space="preserve"> </w:t>
      </w:r>
      <w:bookmarkEnd w:id="357"/>
      <w:r w:rsidRPr="00AA309E">
        <w:rPr>
          <w:rFonts w:asciiTheme="majorBidi" w:hAnsiTheme="majorBidi" w:cstheme="majorBidi"/>
          <w:snapToGrid w:val="0"/>
          <w:kern w:val="22"/>
          <w:szCs w:val="22"/>
        </w:rPr>
        <w:t>Develop policies and actions based on the recognition that soil biodiversity is central for sustaining all ecosystems and a key asset in restoring soil multi-functionality in degraded and degrading ecosystems;</w:t>
      </w:r>
    </w:p>
    <w:p w14:paraId="55F316E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1.7</w:t>
      </w:r>
      <w:r w:rsidRPr="00AA309E">
        <w:rPr>
          <w:rFonts w:asciiTheme="majorBidi" w:hAnsiTheme="majorBidi" w:cstheme="majorBidi"/>
          <w:snapToGrid w:val="0"/>
          <w:kern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actions; </w:t>
      </w:r>
    </w:p>
    <w:p w14:paraId="69C162EB"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eastAsia="de-DE"/>
        </w:rPr>
      </w:pPr>
      <w:bookmarkStart w:id="358" w:name="_Hlk98427673"/>
      <w:r w:rsidRPr="00AA309E">
        <w:rPr>
          <w:rFonts w:asciiTheme="majorBidi" w:hAnsiTheme="majorBidi" w:cstheme="majorBidi"/>
          <w:b/>
          <w:bCs/>
          <w:snapToGrid w:val="0"/>
          <w:kern w:val="22"/>
          <w:szCs w:val="22"/>
        </w:rPr>
        <w:t>1.8</w:t>
      </w:r>
      <w:bookmarkEnd w:id="358"/>
      <w:r w:rsidRPr="00AA309E">
        <w:rPr>
          <w:rFonts w:asciiTheme="majorBidi" w:hAnsiTheme="majorBidi" w:cstheme="majorBidi"/>
          <w:snapToGrid w:val="0"/>
          <w:kern w:val="22"/>
          <w:szCs w:val="22"/>
        </w:rPr>
        <w:t xml:space="preserve"> Address linkages between soil biodiversity and human health, nutritious and healthy diets and pollutants exposure;</w:t>
      </w:r>
    </w:p>
    <w:p w14:paraId="3AFCBF84"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1.9</w:t>
      </w:r>
      <w:r w:rsidRPr="00AA309E">
        <w:rPr>
          <w:rFonts w:asciiTheme="majorBidi" w:hAnsiTheme="majorBidi" w:cstheme="majorBidi"/>
          <w:snapToGrid w:val="0"/>
          <w:kern w:val="22"/>
          <w:szCs w:val="22"/>
        </w:rPr>
        <w:t xml:space="preserve"> Promote ways and means to overcome obstacles to the adoption of good practices in sustainable soil management associated with land tenure, the rights of users of land and water, in particular women, the rights of indigenous peoples and local communities, and the rights of peasants and other people working in </w:t>
      </w:r>
      <w:r w:rsidRPr="00AA309E">
        <w:rPr>
          <w:rFonts w:asciiTheme="majorBidi" w:hAnsiTheme="majorBidi" w:cstheme="majorBidi"/>
          <w:snapToGrid w:val="0"/>
          <w:kern w:val="22"/>
          <w:szCs w:val="22"/>
        </w:rPr>
        <w:lastRenderedPageBreak/>
        <w:t xml:space="preserve">rural areas, in accordance with national legislation and international instruments, recognizing their important contributions through their knowledge and practices, gender equality, access to financial services, agricultural advisory services and educational programmes; </w:t>
      </w:r>
    </w:p>
    <w:p w14:paraId="0D4C053F" w14:textId="370FF5E0"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1.10</w:t>
      </w:r>
      <w:r w:rsidRPr="00AA309E">
        <w:rPr>
          <w:rFonts w:asciiTheme="majorBidi" w:hAnsiTheme="majorBidi" w:cstheme="majorBidi"/>
          <w:snapToGrid w:val="0"/>
          <w:kern w:val="22"/>
          <w:szCs w:val="22"/>
        </w:rPr>
        <w:t xml:space="preserve"> Consider the use and implementation of existing tools and guidance at the national, subnational, regional and global levels, such as the FAO agroecology knowledge hub, the FAO Voluntary Guidelines for Sustainable Soil Management,</w:t>
      </w:r>
      <w:r w:rsidRPr="00AA309E">
        <w:rPr>
          <w:rFonts w:asciiTheme="majorBidi" w:hAnsiTheme="majorBidi" w:cstheme="majorBidi"/>
          <w:snapToGrid w:val="0"/>
          <w:kern w:val="22"/>
          <w:szCs w:val="22"/>
          <w:vertAlign w:val="superscript"/>
        </w:rPr>
        <w:fldChar w:fldCharType="begin"/>
      </w:r>
      <w:r w:rsidRPr="00AA309E">
        <w:rPr>
          <w:rFonts w:asciiTheme="majorBidi" w:hAnsiTheme="majorBidi" w:cstheme="majorBidi"/>
          <w:snapToGrid w:val="0"/>
          <w:kern w:val="22"/>
          <w:szCs w:val="22"/>
          <w:vertAlign w:val="superscript"/>
        </w:rPr>
        <w:instrText xml:space="preserve"> NOTEREF _Ref125013023 \h </w:instrText>
      </w:r>
      <w:r w:rsidRPr="00EA56C5">
        <w:rPr>
          <w:rFonts w:asciiTheme="majorBidi" w:hAnsiTheme="majorBidi" w:cstheme="majorBidi"/>
          <w:snapToGrid w:val="0"/>
          <w:kern w:val="22"/>
          <w:szCs w:val="22"/>
          <w:vertAlign w:val="superscript"/>
        </w:rPr>
        <w:instrText xml:space="preserve"> \* MERGEFORMAT </w:instrText>
      </w:r>
      <w:r w:rsidRPr="00AA309E">
        <w:rPr>
          <w:rFonts w:asciiTheme="majorBidi" w:hAnsiTheme="majorBidi" w:cstheme="majorBidi"/>
          <w:snapToGrid w:val="0"/>
          <w:kern w:val="22"/>
          <w:szCs w:val="22"/>
          <w:vertAlign w:val="superscript"/>
        </w:rPr>
      </w:r>
      <w:r w:rsidRPr="00AA309E">
        <w:rPr>
          <w:rFonts w:asciiTheme="majorBidi" w:hAnsiTheme="majorBidi" w:cstheme="majorBidi"/>
          <w:snapToGrid w:val="0"/>
          <w:kern w:val="22"/>
          <w:szCs w:val="22"/>
          <w:vertAlign w:val="superscript"/>
        </w:rPr>
        <w:fldChar w:fldCharType="separate"/>
      </w:r>
      <w:r w:rsidR="007459F7">
        <w:rPr>
          <w:rFonts w:asciiTheme="majorBidi" w:hAnsiTheme="majorBidi" w:cstheme="majorBidi"/>
          <w:snapToGrid w:val="0"/>
          <w:kern w:val="22"/>
          <w:szCs w:val="22"/>
          <w:vertAlign w:val="superscript"/>
        </w:rPr>
        <w:t>17</w:t>
      </w:r>
      <w:r w:rsidRPr="00AA309E">
        <w:rPr>
          <w:rFonts w:asciiTheme="majorBidi" w:hAnsiTheme="majorBidi" w:cstheme="majorBidi"/>
          <w:snapToGrid w:val="0"/>
          <w:kern w:val="22"/>
          <w:szCs w:val="22"/>
          <w:vertAlign w:val="superscript"/>
        </w:rPr>
        <w:fldChar w:fldCharType="end"/>
      </w:r>
      <w:r w:rsidRPr="00AA309E">
        <w:rPr>
          <w:rFonts w:asciiTheme="majorBidi" w:hAnsiTheme="majorBidi" w:cstheme="majorBidi"/>
          <w:snapToGrid w:val="0"/>
          <w:kern w:val="22"/>
          <w:szCs w:val="22"/>
        </w:rPr>
        <w:t xml:space="preserve"> the FAO’s Revised World Soil Charter,</w:t>
      </w:r>
      <w:r w:rsidRPr="00610646">
        <w:rPr>
          <w:rStyle w:val="FootnoteReference"/>
        </w:rPr>
        <w:footnoteReference w:id="374"/>
      </w:r>
      <w:r w:rsidRPr="00AA309E">
        <w:rPr>
          <w:rFonts w:asciiTheme="majorBidi" w:hAnsiTheme="majorBidi" w:cstheme="majorBidi"/>
          <w:snapToGrid w:val="0"/>
          <w:kern w:val="22"/>
          <w:szCs w:val="22"/>
        </w:rPr>
        <w:t xml:space="preserve"> the Code of Conduct on Pesticide Management</w:t>
      </w:r>
      <w:r w:rsidRPr="00EA56C5">
        <w:rPr>
          <w:rFonts w:asciiTheme="majorBidi" w:hAnsiTheme="majorBidi" w:cstheme="majorBidi"/>
          <w:snapToGrid w:val="0"/>
          <w:kern w:val="22"/>
          <w:szCs w:val="22"/>
        </w:rPr>
        <w:t>,</w:t>
      </w:r>
      <w:r w:rsidRPr="00610646">
        <w:rPr>
          <w:rStyle w:val="FootnoteReference"/>
        </w:rPr>
        <w:footnoteReference w:id="375"/>
      </w:r>
      <w:r w:rsidRPr="00AA309E">
        <w:rPr>
          <w:rFonts w:asciiTheme="majorBidi" w:hAnsiTheme="majorBidi" w:cstheme="majorBidi"/>
          <w:snapToGrid w:val="0"/>
          <w:kern w:val="22"/>
          <w:szCs w:val="22"/>
        </w:rPr>
        <w:t xml:space="preserve"> the International Code of Conduct for the Sustainable Use and Management of Fertilizers</w:t>
      </w:r>
      <w:r>
        <w:rPr>
          <w:rFonts w:asciiTheme="majorBidi" w:hAnsiTheme="majorBidi" w:cstheme="majorBidi"/>
          <w:snapToGrid w:val="0"/>
          <w:kern w:val="22"/>
          <w:szCs w:val="22"/>
        </w:rPr>
        <w:t>,</w:t>
      </w:r>
      <w:r w:rsidRPr="00610646">
        <w:rPr>
          <w:rStyle w:val="FootnoteReference"/>
        </w:rPr>
        <w:footnoteReference w:id="376"/>
      </w:r>
      <w:r w:rsidRPr="00AA309E">
        <w:rPr>
          <w:rFonts w:asciiTheme="majorBidi" w:hAnsiTheme="majorBidi" w:cstheme="majorBidi"/>
          <w:snapToGrid w:val="0"/>
          <w:kern w:val="22"/>
          <w:szCs w:val="22"/>
        </w:rPr>
        <w:t xml:space="preserve"> </w:t>
      </w:r>
      <w:r w:rsidRPr="000A4656">
        <w:rPr>
          <w:rFonts w:asciiTheme="majorBidi" w:hAnsiTheme="majorBidi" w:cstheme="majorBidi"/>
          <w:snapToGrid w:val="0"/>
          <w:kern w:val="22"/>
          <w:szCs w:val="22"/>
        </w:rPr>
        <w:t xml:space="preserve">and </w:t>
      </w:r>
      <w:r w:rsidRPr="00AA309E">
        <w:rPr>
          <w:rFonts w:asciiTheme="majorBidi" w:hAnsiTheme="majorBidi" w:cstheme="majorBidi"/>
          <w:snapToGrid w:val="0"/>
          <w:kern w:val="22"/>
          <w:szCs w:val="22"/>
        </w:rPr>
        <w:t>the Committee on World Food Security’s Voluntary Guidelines on the Responsible Governance of Tenure of Land, Fisheries and Forest in the Context of National Food Security;</w:t>
      </w:r>
      <w:r w:rsidRPr="00610646">
        <w:rPr>
          <w:rStyle w:val="FootnoteReference"/>
        </w:rPr>
        <w:footnoteReference w:id="377"/>
      </w:r>
    </w:p>
    <w:p w14:paraId="3871F0A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1.11</w:t>
      </w:r>
      <w:r w:rsidRPr="00AA309E">
        <w:rPr>
          <w:rFonts w:asciiTheme="majorBidi" w:hAnsiTheme="majorBidi" w:cstheme="majorBidi"/>
          <w:snapToGrid w:val="0"/>
          <w:kern w:val="22"/>
          <w:szCs w:val="22"/>
        </w:rPr>
        <w:t xml:space="preserve"> Encourage Parties to include soil biodiversity in national reports and national biodiversity strategies and action plans, and coordinate at the national and subnational levels, in order to increase and improve public and private actions that improve soil biodiversity;</w:t>
      </w:r>
    </w:p>
    <w:p w14:paraId="0629AA9C"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1.12</w:t>
      </w:r>
      <w:r w:rsidRPr="00AA309E">
        <w:rPr>
          <w:rFonts w:asciiTheme="majorBidi" w:hAnsiTheme="majorBidi" w:cstheme="majorBidi"/>
          <w:snapToGrid w:val="0"/>
          <w:kern w:val="22"/>
          <w:szCs w:val="22"/>
        </w:rPr>
        <w:t xml:space="preserve"> Promote coordinated spatial planning and other approaches to reduce the loss of soil and soil biodiversity and implement adequate monitoring of soil sealing.</w:t>
      </w:r>
    </w:p>
    <w:p w14:paraId="0782CCC9"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AA309E">
        <w:rPr>
          <w:rFonts w:asciiTheme="majorBidi" w:hAnsiTheme="majorBidi" w:cstheme="majorBidi"/>
          <w:b/>
          <w:snapToGrid w:val="0"/>
          <w:kern w:val="22"/>
          <w:szCs w:val="22"/>
        </w:rPr>
        <w:t>Element 2: Encouraging the use of sustainable soil management practices</w:t>
      </w:r>
    </w:p>
    <w:p w14:paraId="3FF6F1A5"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7FA10A6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Management practices and land-use decisions undertaken by farmers, ranchers, landowners, land managers, foresters, indigenous peoples, local communities, women and youth and all relevant stakeholders</w:t>
      </w:r>
      <w:r w:rsidRPr="00AA309E" w:rsidDel="00192CEB">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influence ecological processes, including soil-water-plant-atmosphere interactions with biodiversity. There is increasing recognition that the sustainability of agriculture and other managed systems depends on the optimal use of the available natural resources, biogeochemical cycles, biodiversity, including soil biodiversity, its functions and its contribution to ecosystem 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6017F0FF"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118544AD" w14:textId="77777777" w:rsidR="007A11A6" w:rsidRPr="00AA309E" w:rsidRDefault="007A11A6" w:rsidP="008B2808">
      <w:pPr>
        <w:suppressLineNumbers/>
        <w:tabs>
          <w:tab w:val="left" w:pos="426"/>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2.1</w:t>
      </w:r>
      <w:r w:rsidRPr="00AA309E">
        <w:rPr>
          <w:rFonts w:asciiTheme="majorBidi" w:hAnsiTheme="majorBidi" w:cstheme="majorBidi"/>
          <w:snapToGrid w:val="0"/>
          <w:kern w:val="22"/>
          <w:szCs w:val="22"/>
        </w:rPr>
        <w:tab/>
        <w:t>Promote the improvement of soil health and the enhancement of soil organism abundance and diversity, by improving their food, water and habitat conditions through sustainable agricultural practices, such as, inter alia, integrated pest and nutrient management, organic agriculture, agroecological practices, soil and water conservation practices, conservation agriculture, agroforestry, silvopastoral systems, irrigation management, small or patch systems and practices to improve animal welfare</w:t>
      </w:r>
      <w:r w:rsidRPr="00610646">
        <w:rPr>
          <w:rStyle w:val="FootnoteReference"/>
        </w:rPr>
        <w:footnoteReference w:id="378"/>
      </w:r>
      <w:r w:rsidRPr="00AA309E">
        <w:rPr>
          <w:rFonts w:asciiTheme="majorBidi" w:hAnsiTheme="majorBidi" w:cstheme="majorBidi"/>
          <w:snapToGrid w:val="0"/>
          <w:kern w:val="22"/>
          <w:szCs w:val="22"/>
        </w:rPr>
        <w:t xml:space="preserve"> and the restoration of degraded soils to increase ecosystem connectivity and restore production areas;</w:t>
      </w:r>
    </w:p>
    <w:p w14:paraId="40A852C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2.2 </w:t>
      </w:r>
      <w:r w:rsidRPr="00AA309E">
        <w:rPr>
          <w:rFonts w:asciiTheme="majorBidi" w:hAnsiTheme="majorBidi" w:cstheme="majorBidi"/>
          <w:snapToGrid w:val="0"/>
          <w:kern w:val="22"/>
          <w:szCs w:val="22"/>
        </w:rPr>
        <w:t xml:space="preserve">Develop, enhance and implement science-based risk assessment procedures, in conformity with risk assessment techniques developed by relevant international organizations, on a regular basis, </w:t>
      </w:r>
      <w:r w:rsidRPr="00AA309E">
        <w:rPr>
          <w:rFonts w:asciiTheme="majorBidi" w:hAnsiTheme="majorBidi" w:cstheme="majorBidi"/>
          <w:snapToGrid w:val="0"/>
          <w:kern w:val="22"/>
          <w:szCs w:val="22"/>
          <w:lang w:eastAsia="de-DE"/>
        </w:rPr>
        <w:t xml:space="preserve">considering field-realistic exposures and longer-term effects of pollutants, </w:t>
      </w:r>
      <w:r w:rsidRPr="00AA309E">
        <w:rPr>
          <w:rFonts w:asciiTheme="majorBidi" w:hAnsiTheme="majorBidi" w:cstheme="majorBidi"/>
          <w:snapToGrid w:val="0"/>
          <w:kern w:val="22"/>
          <w:szCs w:val="22"/>
        </w:rPr>
        <w:t>to enhance the conservation, restoration and sustainable use of soil biodiversity and ecosystem services;</w:t>
      </w:r>
    </w:p>
    <w:p w14:paraId="147B688B"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2.3</w:t>
      </w:r>
      <w:r w:rsidRPr="00AA309E">
        <w:rPr>
          <w:rFonts w:asciiTheme="majorBidi" w:hAnsiTheme="majorBidi" w:cstheme="majorBidi"/>
          <w:bCs/>
          <w:snapToGrid w:val="0"/>
          <w:kern w:val="22"/>
          <w:szCs w:val="22"/>
        </w:rPr>
        <w:t xml:space="preserve"> </w:t>
      </w:r>
      <w:r w:rsidRPr="00AA309E">
        <w:rPr>
          <w:rFonts w:asciiTheme="majorBidi" w:hAnsiTheme="majorBidi" w:cstheme="majorBidi"/>
          <w:snapToGrid w:val="0"/>
          <w:kern w:val="22"/>
          <w:szCs w:val="22"/>
        </w:rPr>
        <w:t>Facilitate, for</w:t>
      </w:r>
      <w:r w:rsidRPr="00AA309E" w:rsidDel="00E917F7">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all relevant stakeholders, access to information, policies, tools and enabling conditions, such as access to technologies</w:t>
      </w:r>
      <w:r w:rsidRPr="00AA309E" w:rsidDel="00AE2FC0">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innovation and funding, as well as to traditional practices that promote the </w:t>
      </w:r>
      <w:r w:rsidRPr="00AA309E">
        <w:rPr>
          <w:rFonts w:asciiTheme="majorBidi" w:hAnsiTheme="majorBidi" w:cstheme="majorBidi"/>
          <w:snapToGrid w:val="0"/>
          <w:kern w:val="22"/>
          <w:szCs w:val="22"/>
        </w:rPr>
        <w:lastRenderedPageBreak/>
        <w:t>conservation, restoration and sustainable use of soil biodiversity at the field level, taking into account the full and effective participation of indigenous peoples and local communities, women, youth, education, academia and research bodies, subnational governments and stakeholders in the implementation of this Initiative;</w:t>
      </w:r>
    </w:p>
    <w:p w14:paraId="5D665956"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2.4</w:t>
      </w:r>
      <w:r w:rsidRPr="00AA309E">
        <w:rPr>
          <w:rFonts w:asciiTheme="majorBidi" w:hAnsiTheme="majorBidi" w:cstheme="majorBidi"/>
          <w:snapToGrid w:val="0"/>
          <w:kern w:val="22"/>
          <w:szCs w:val="22"/>
        </w:rPr>
        <w:t xml:space="preserve"> Encourage sustainable agricultural practices, recognizing the wide range of approaches to enhance the sustainability of agricultural systems;</w:t>
      </w:r>
    </w:p>
    <w:p w14:paraId="3A7E24F7"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2.5</w:t>
      </w:r>
      <w:r w:rsidRPr="00AA309E">
        <w:rPr>
          <w:rFonts w:asciiTheme="majorBidi" w:hAnsiTheme="majorBidi" w:cstheme="majorBidi"/>
          <w:snapToGrid w:val="0"/>
          <w:kern w:val="22"/>
          <w:szCs w:val="22"/>
        </w:rPr>
        <w:t xml:space="preserve"> Facilitate site-specific remediation of contaminated soils,</w:t>
      </w:r>
      <w:r w:rsidRPr="00610646">
        <w:rPr>
          <w:rStyle w:val="FootnoteReference"/>
        </w:rPr>
        <w:footnoteReference w:id="379"/>
      </w:r>
      <w:r w:rsidRPr="00AA309E">
        <w:rPr>
          <w:rFonts w:asciiTheme="majorBidi" w:hAnsiTheme="majorBidi" w:cstheme="majorBidi"/>
          <w:snapToGrid w:val="0"/>
          <w:kern w:val="22"/>
          <w:szCs w:val="22"/>
        </w:rPr>
        <w:t xml:space="preserve"> preferring those alternatives that show minor risks to</w:t>
      </w:r>
      <w:r w:rsidRPr="00AA309E" w:rsidDel="00F90954">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biodiversity, while exploring the implementation of bioremediation strategies that use native microorganisms;</w:t>
      </w:r>
    </w:p>
    <w:p w14:paraId="145CE0B7"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2.6</w:t>
      </w:r>
      <w:r w:rsidRPr="00AA309E">
        <w:rPr>
          <w:rFonts w:asciiTheme="majorBidi" w:hAnsiTheme="majorBidi" w:cstheme="majorBidi"/>
          <w:snapToGrid w:val="0"/>
          <w:kern w:val="22"/>
          <w:szCs w:val="22"/>
        </w:rPr>
        <w:t xml:space="preserve"> Prevent the introduction and spreading, and minimize the impact of invasive alien species that present a direct and indirect risk to soil biodiversity, and monitor the dispersion and eradicate, control or manage those already established;</w:t>
      </w:r>
    </w:p>
    <w:p w14:paraId="4A257CCF"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AA309E">
        <w:rPr>
          <w:rFonts w:asciiTheme="majorBidi" w:hAnsiTheme="majorBidi" w:cstheme="majorBidi"/>
          <w:b/>
          <w:snapToGrid w:val="0"/>
          <w:kern w:val="22"/>
          <w:szCs w:val="22"/>
        </w:rPr>
        <w:t>2.7</w:t>
      </w:r>
      <w:r w:rsidRPr="00AA309E">
        <w:rPr>
          <w:rFonts w:asciiTheme="majorBidi" w:hAnsiTheme="majorBidi" w:cstheme="majorBidi"/>
          <w:snapToGrid w:val="0"/>
          <w:kern w:val="22"/>
          <w:szCs w:val="22"/>
        </w:rPr>
        <w:t xml:space="preserve"> Protect, restore and conserve soils that provide significant ecosystem services, including through the use of sustainable soil management practices;</w:t>
      </w:r>
    </w:p>
    <w:p w14:paraId="1B31F11C"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2.8</w:t>
      </w:r>
      <w:r w:rsidRPr="00AA309E">
        <w:rPr>
          <w:rFonts w:asciiTheme="majorBidi" w:hAnsiTheme="majorBidi" w:cstheme="majorBidi"/>
          <w:snapToGrid w:val="0"/>
          <w:kern w:val="22"/>
          <w:szCs w:val="22"/>
        </w:rPr>
        <w:t xml:space="preserve"> Promote sustainable soil and associated water and land management practices that maintain, restore and promote the resilience of carbon-rich soils (such as peatlands, black soils, mangroves, coastal wetlands, seagrasses and permafrost);</w:t>
      </w:r>
    </w:p>
    <w:p w14:paraId="65FB85D4"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2.9</w:t>
      </w:r>
      <w:r w:rsidRPr="00AA309E">
        <w:rPr>
          <w:rFonts w:asciiTheme="majorBidi" w:hAnsiTheme="majorBidi" w:cstheme="majorBidi"/>
          <w:snapToGrid w:val="0"/>
          <w:kern w:val="22"/>
          <w:szCs w:val="22"/>
        </w:rPr>
        <w:t xml:space="preserve"> Promote sustainable soil and associated water and land management practices that support the achievement of land degradation neutrality;</w:t>
      </w:r>
    </w:p>
    <w:p w14:paraId="7D49FADE"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2.10</w:t>
      </w:r>
      <w:r w:rsidRPr="00AA309E">
        <w:rPr>
          <w:rFonts w:asciiTheme="majorBidi" w:hAnsiTheme="majorBidi" w:cstheme="majorBidi"/>
          <w:snapToGrid w:val="0"/>
          <w:kern w:val="22"/>
          <w:szCs w:val="22"/>
        </w:rPr>
        <w:t xml:space="preserve"> Promote ecosystem-based approaches to avoid land-use changes that cause soil erosion, the removal of surface cover and loss of soil moisture and carbon, and implement mitigation measures to alleviate degradation while considering </w:t>
      </w:r>
      <w:r w:rsidRPr="00AA309E">
        <w:rPr>
          <w:rFonts w:asciiTheme="majorBidi" w:hAnsiTheme="majorBidi" w:cstheme="majorBidi"/>
          <w:kern w:val="22"/>
          <w:szCs w:val="22"/>
        </w:rPr>
        <w:t xml:space="preserve">potential impacts </w:t>
      </w:r>
      <w:r w:rsidRPr="00AA309E">
        <w:rPr>
          <w:rFonts w:asciiTheme="majorBidi" w:hAnsiTheme="majorBidi" w:cstheme="majorBidi"/>
          <w:snapToGrid w:val="0"/>
          <w:kern w:val="22"/>
          <w:szCs w:val="22"/>
        </w:rPr>
        <w:t>on indigenous peoples and local communities, small-scale food producers and peasants;</w:t>
      </w:r>
    </w:p>
    <w:p w14:paraId="1A2A0339"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2.11</w:t>
      </w:r>
      <w:r w:rsidRPr="00AA309E">
        <w:rPr>
          <w:rFonts w:asciiTheme="majorBidi" w:hAnsiTheme="majorBidi" w:cstheme="majorBidi"/>
          <w:snapToGrid w:val="0"/>
          <w:kern w:val="22"/>
          <w:szCs w:val="22"/>
        </w:rPr>
        <w:t xml:space="preserve"> Promote conservation, restoration and sustainable management of soil biodiversity, and implement where appropriate, ecosystem-based approaches for adaptation, mitigation and disaster risk reduction while considering </w:t>
      </w:r>
      <w:r w:rsidRPr="00AA309E">
        <w:rPr>
          <w:rFonts w:asciiTheme="majorBidi" w:hAnsiTheme="majorBidi" w:cstheme="majorBidi"/>
          <w:kern w:val="22"/>
          <w:szCs w:val="22"/>
        </w:rPr>
        <w:t xml:space="preserve">potential impacts </w:t>
      </w:r>
      <w:r w:rsidRPr="00AA309E">
        <w:rPr>
          <w:rFonts w:asciiTheme="majorBidi" w:hAnsiTheme="majorBidi" w:cstheme="majorBidi"/>
          <w:snapToGrid w:val="0"/>
          <w:kern w:val="22"/>
          <w:szCs w:val="22"/>
        </w:rPr>
        <w:t>on indigenous peoples and local communities, small-scale food producers and peasants;</w:t>
      </w:r>
    </w:p>
    <w:p w14:paraId="58CA5CD3"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AA309E">
        <w:rPr>
          <w:rFonts w:asciiTheme="majorBidi" w:hAnsiTheme="majorBidi" w:cstheme="majorBidi"/>
          <w:b/>
          <w:snapToGrid w:val="0"/>
          <w:kern w:val="22"/>
          <w:szCs w:val="22"/>
        </w:rPr>
        <w:t>Element 3: Awareness-raising, sharing of knowledge and capacity-building</w:t>
      </w:r>
    </w:p>
    <w:p w14:paraId="6657F08E"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56B4529F"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Increased awareness and understanding are critical for the development and promotion of improved practices for the conservation, restoration and sustainable use of soil biodiversity</w:t>
      </w:r>
      <w:r>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and ecosystem management. This requires collaboration that ensures the full and effective participation of, and feedback from</w:t>
      </w:r>
      <w:r w:rsidRPr="00F44DB3">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 broad range of stakeholders, including farmers, landowners, land managers, smallholders and small</w:t>
      </w:r>
      <w:r>
        <w:rPr>
          <w:rFonts w:asciiTheme="majorBidi" w:hAnsiTheme="majorBidi" w:cstheme="majorBidi"/>
          <w:snapToGrid w:val="0"/>
          <w:kern w:val="22"/>
          <w:szCs w:val="22"/>
        </w:rPr>
        <w:noBreakHyphen/>
      </w:r>
      <w:r w:rsidRPr="00AA309E">
        <w:rPr>
          <w:rFonts w:asciiTheme="majorBidi" w:hAnsiTheme="majorBidi" w:cstheme="majorBidi"/>
          <w:snapToGrid w:val="0"/>
          <w:kern w:val="22"/>
          <w:szCs w:val="22"/>
        </w:rPr>
        <w:t>scale food producers, indigenous peoples and local communities, women and youth, decision makers, education, academia and research bodies and relevant institutions and organizations to ensure effective actions and collaborative mechanisms. Strengthening capacities to promote integrated and multidisciplinary approaches is needed to ensure the conservation, restoration, sustainable use and enhancement of soil biodiversity. This will further improve information flows and cooperation among actors to identify best practices and foster the sharing of knowledge and information.</w:t>
      </w:r>
    </w:p>
    <w:p w14:paraId="5ED29233"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lastRenderedPageBreak/>
        <w:t>Activities</w:t>
      </w:r>
    </w:p>
    <w:p w14:paraId="4F3F92B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3.1 </w:t>
      </w:r>
      <w:r w:rsidRPr="00AA309E">
        <w:rPr>
          <w:rFonts w:asciiTheme="majorBidi" w:hAnsiTheme="majorBidi" w:cstheme="majorBidi"/>
          <w:snapToGrid w:val="0"/>
          <w:kern w:val="22"/>
          <w:szCs w:val="22"/>
        </w:rPr>
        <w:t>Increase understanding and appreciation of the role of soil biodiversity and soil health in agroecosystems, forests, silvopastoral and other managed ecosystems, and of their effect on land management practices and ecosystem health;</w:t>
      </w:r>
    </w:p>
    <w:p w14:paraId="54EBFDF9"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3.2 </w:t>
      </w:r>
      <w:r w:rsidRPr="00AA309E">
        <w:rPr>
          <w:rFonts w:asciiTheme="majorBidi" w:hAnsiTheme="majorBidi" w:cstheme="majorBidi"/>
          <w:snapToGrid w:val="0"/>
          <w:kern w:val="22"/>
          <w:szCs w:val="22"/>
          <w:lang w:eastAsia="de-DE"/>
        </w:rPr>
        <w:t xml:space="preserve">Increase understanding and appreciation of the causes and consequences of soil biodiversity decline in specific agroecosystems, other managed ecosystems and natural environments and </w:t>
      </w:r>
      <w:r w:rsidRPr="00AA309E">
        <w:rPr>
          <w:rFonts w:asciiTheme="majorBidi" w:hAnsiTheme="majorBidi" w:cstheme="majorBidi"/>
          <w:snapToGrid w:val="0"/>
          <w:kern w:val="22"/>
          <w:szCs w:val="22"/>
        </w:rPr>
        <w:t>engage targeted key stakeholder groups, including farmers, ranchers, foresters, civil society, education, academia and research bodies, the mass media, and consumer organizations on the importance of soil biodiversity for health, well</w:t>
      </w:r>
      <w:r w:rsidRPr="00AA309E">
        <w:rPr>
          <w:rFonts w:asciiTheme="majorBidi" w:hAnsiTheme="majorBidi" w:cstheme="majorBidi"/>
          <w:snapToGrid w:val="0"/>
          <w:kern w:val="22"/>
          <w:szCs w:val="22"/>
        </w:rPr>
        <w:noBreakHyphen/>
        <w:t>being and livelihoods;</w:t>
      </w:r>
    </w:p>
    <w:p w14:paraId="7C7B1996"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AA309E">
        <w:rPr>
          <w:rFonts w:asciiTheme="majorBidi" w:hAnsiTheme="majorBidi" w:cstheme="majorBidi"/>
          <w:b/>
          <w:snapToGrid w:val="0"/>
          <w:kern w:val="22"/>
          <w:szCs w:val="22"/>
        </w:rPr>
        <w:t xml:space="preserve">3.3 </w:t>
      </w:r>
      <w:r w:rsidRPr="00AA309E">
        <w:rPr>
          <w:rFonts w:asciiTheme="majorBidi" w:hAnsiTheme="majorBidi" w:cstheme="majorBidi"/>
          <w:snapToGrid w:val="0"/>
          <w:kern w:val="22"/>
          <w:szCs w:val="22"/>
        </w:rPr>
        <w:t>Strengthen understanding and appreciation of the impacts of sustainable land-use and soil-management practices, as an integral part of agricultural and their importance for sustainable livelihoods</w:t>
      </w:r>
      <w:r w:rsidRPr="00AA309E">
        <w:rPr>
          <w:rFonts w:asciiTheme="majorBidi" w:hAnsiTheme="majorBidi" w:cstheme="majorBidi"/>
          <w:snapToGrid w:val="0"/>
          <w:kern w:val="22"/>
          <w:szCs w:val="22"/>
          <w:lang w:eastAsia="de-DE"/>
        </w:rPr>
        <w:t>;</w:t>
      </w:r>
    </w:p>
    <w:p w14:paraId="1991916C"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3.4</w:t>
      </w:r>
      <w:r w:rsidRPr="00AA309E">
        <w:rPr>
          <w:rFonts w:asciiTheme="majorBidi" w:hAnsiTheme="majorBidi" w:cstheme="majorBidi"/>
          <w:snapToGrid w:val="0"/>
          <w:kern w:val="22"/>
          <w:szCs w:val="22"/>
        </w:rPr>
        <w:t xml:space="preserve"> Promote awareness-raising and sharing of knowledge through tools and digital technology</w:t>
      </w:r>
      <w:r>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and promote capacity-building and mutual learning, including at the local and field levels by developing collaborative activities, such as peer-to-peer learning, for the promotion of best practices for soil biodiversity assessment, management and monitoring for all land management activities;</w:t>
      </w:r>
    </w:p>
    <w:p w14:paraId="00848E84"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3.5</w:t>
      </w:r>
      <w:r w:rsidRPr="00AA309E">
        <w:rPr>
          <w:rFonts w:asciiTheme="majorBidi" w:hAnsiTheme="majorBidi" w:cstheme="majorBidi"/>
          <w:snapToGrid w:val="0"/>
          <w:kern w:val="22"/>
          <w:szCs w:val="22"/>
        </w:rPr>
        <w:t xml:space="preserve"> Enhance education on, and knowledge of</w:t>
      </w:r>
      <w:r>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soil biodiversity, soil health and the ecosystem functions and services they provide, through the update of educational curricula for professionals, in such fields as economy, agronomy, veterinary, taxonomy, microbiology, zoology and biotechnology, and through the creation and dissemination of training and information materials on soil biodiversity;</w:t>
      </w:r>
    </w:p>
    <w:p w14:paraId="785C0CDB"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3.6 </w:t>
      </w:r>
      <w:r w:rsidRPr="00AA309E">
        <w:rPr>
          <w:rFonts w:asciiTheme="majorBidi" w:hAnsiTheme="majorBidi" w:cstheme="majorBidi"/>
          <w:snapToGrid w:val="0"/>
          <w:kern w:val="22"/>
          <w:szCs w:val="22"/>
          <w:lang w:eastAsia="de-DE"/>
        </w:rPr>
        <w:t>Support citizen science campaigns and awareness-raising activities to engage relevant stakeholders in the conservation, restoration and sustainable use of soil biodiversity, including celebrations on 5 December of World Soil Day, which was designated by the General Assembly of the United Nations in 2013;</w:t>
      </w:r>
      <w:r w:rsidRPr="00610646">
        <w:rPr>
          <w:rStyle w:val="FootnoteReference"/>
        </w:rPr>
        <w:footnoteReference w:id="380"/>
      </w:r>
    </w:p>
    <w:p w14:paraId="7E66228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3.7</w:t>
      </w:r>
      <w:r w:rsidRPr="00AA309E">
        <w:rPr>
          <w:rFonts w:asciiTheme="majorBidi" w:hAnsiTheme="majorBidi" w:cstheme="majorBidi"/>
          <w:snapToGrid w:val="0"/>
          <w:kern w:val="22"/>
          <w:szCs w:val="22"/>
        </w:rPr>
        <w:t xml:space="preserve"> Build and strengthen the capacities of farmers, landowners, land managers, foresters, ranchers, the private sector, education, academia and research bodies, indigenous peoples and local communities, women and youth, and vulnerable communities, as appropriate, in designing and implementing sustainable soil management practices and the sustainable application of soil biodiversity and consider traditional knowledge and practices;</w:t>
      </w:r>
    </w:p>
    <w:p w14:paraId="2F474287"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eastAsia="de-DE"/>
        </w:rPr>
      </w:pPr>
      <w:r w:rsidRPr="00AA309E">
        <w:rPr>
          <w:rFonts w:asciiTheme="majorBidi" w:hAnsiTheme="majorBidi" w:cstheme="majorBidi"/>
          <w:b/>
          <w:snapToGrid w:val="0"/>
          <w:kern w:val="22"/>
          <w:szCs w:val="22"/>
        </w:rPr>
        <w:t xml:space="preserve">3.8 </w:t>
      </w:r>
      <w:r w:rsidRPr="00AA309E">
        <w:rPr>
          <w:rFonts w:asciiTheme="majorBidi" w:hAnsiTheme="majorBidi" w:cstheme="majorBidi"/>
          <w:bCs/>
          <w:snapToGrid w:val="0"/>
          <w:kern w:val="22"/>
          <w:szCs w:val="22"/>
        </w:rPr>
        <w:t>Compile, protect</w:t>
      </w:r>
      <w:r w:rsidRPr="00AA309E">
        <w:rPr>
          <w:rFonts w:asciiTheme="majorBidi" w:hAnsiTheme="majorBidi" w:cstheme="majorBidi"/>
          <w:snapToGrid w:val="0"/>
          <w:kern w:val="22"/>
          <w:szCs w:val="22"/>
        </w:rPr>
        <w:t xml:space="preserve">, maintain and promote traditional knowledge, innovations and sustainable practices of indigenous peoples and local communities, </w:t>
      </w:r>
      <w:r w:rsidRPr="00AA309E">
        <w:rPr>
          <w:rFonts w:asciiTheme="majorBidi" w:hAnsiTheme="majorBidi" w:cstheme="majorBidi"/>
          <w:szCs w:val="22"/>
          <w:lang w:val="en-US"/>
        </w:rPr>
        <w:t xml:space="preserve">with their free, prior and informed consent, as appropriate, </w:t>
      </w:r>
      <w:r w:rsidRPr="00AA309E">
        <w:rPr>
          <w:rFonts w:asciiTheme="majorBidi" w:hAnsiTheme="majorBidi" w:cstheme="majorBidi"/>
          <w:snapToGrid w:val="0"/>
          <w:kern w:val="22"/>
          <w:szCs w:val="22"/>
        </w:rPr>
        <w:t>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5BCFF268"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3.9</w:t>
      </w:r>
      <w:r w:rsidRPr="00AA309E">
        <w:rPr>
          <w:rFonts w:asciiTheme="majorBidi" w:hAnsiTheme="majorBidi" w:cstheme="majorBidi"/>
          <w:snapToGrid w:val="0"/>
          <w:kern w:val="22"/>
          <w:szCs w:val="22"/>
        </w:rPr>
        <w:t xml:space="preserve"> Develop partnerships and alliances that support multi-disciplinary approaches, foster synergies and ensure multi-stakeholder participation with respect to sustainable soil management;</w:t>
      </w:r>
    </w:p>
    <w:p w14:paraId="539376EB"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3.10</w:t>
      </w:r>
      <w:r w:rsidRPr="00AA309E">
        <w:rPr>
          <w:rFonts w:asciiTheme="majorBidi" w:hAnsiTheme="majorBidi" w:cstheme="majorBidi"/>
          <w:snapToGrid w:val="0"/>
          <w:kern w:val="22"/>
          <w:szCs w:val="22"/>
        </w:rPr>
        <w:t xml:space="preserve"> Foster scientific and technical cooperation and transfer of technology to promote access to the latest technologies and molecular tools for modern soilless agriculture, soil biodiversity assessment and monitoring in developing countries.</w:t>
      </w:r>
    </w:p>
    <w:p w14:paraId="5B45E7DE"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AA309E">
        <w:rPr>
          <w:rFonts w:asciiTheme="majorBidi" w:hAnsiTheme="majorBidi" w:cstheme="majorBidi"/>
          <w:b/>
          <w:snapToGrid w:val="0"/>
          <w:kern w:val="22"/>
          <w:szCs w:val="22"/>
        </w:rPr>
        <w:t>Element 4: Research, monitoring</w:t>
      </w:r>
      <w:r w:rsidRPr="00AA309E" w:rsidDel="005579EA">
        <w:rPr>
          <w:rFonts w:asciiTheme="majorBidi" w:hAnsiTheme="majorBidi" w:cstheme="majorBidi"/>
          <w:b/>
          <w:snapToGrid w:val="0"/>
          <w:kern w:val="22"/>
          <w:szCs w:val="22"/>
        </w:rPr>
        <w:t xml:space="preserve"> </w:t>
      </w:r>
      <w:r w:rsidRPr="00AA309E">
        <w:rPr>
          <w:rFonts w:asciiTheme="majorBidi" w:hAnsiTheme="majorBidi" w:cstheme="majorBidi"/>
          <w:b/>
          <w:snapToGrid w:val="0"/>
          <w:kern w:val="22"/>
          <w:szCs w:val="22"/>
        </w:rPr>
        <w:t>and assessment</w:t>
      </w:r>
    </w:p>
    <w:p w14:paraId="23DD08F7"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71ADB2FC"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 xml:space="preserve">Assessing and monitoring the status and trends of soil biodiversity, of measures for the conservation, restoration and sustainable use of soil biodiversity and of the outcomes of such measures, is fundamental to inform adaptive management and to guarantee the functioning of all terrestrial ecosystems, including the long-term productivity of agricultural soils. Soil biodiversity data that can be globally </w:t>
      </w:r>
      <w:r w:rsidRPr="00AA309E">
        <w:rPr>
          <w:rFonts w:asciiTheme="majorBidi" w:hAnsiTheme="majorBidi" w:cstheme="majorBidi"/>
          <w:snapToGrid w:val="0"/>
          <w:kern w:val="22"/>
          <w:szCs w:val="22"/>
        </w:rPr>
        <w:lastRenderedPageBreak/>
        <w:t>aggregated is needed to guide the decision-making process, with particular focus on those regions and areas currently lacking data. Education, academia and research bodies and relevant international organizations and networks should be encouraged to undertake further research, taking into consideration soil biodiversity functions, regional pedodiversity,</w:t>
      </w:r>
      <w:r w:rsidRPr="00610646">
        <w:rPr>
          <w:rStyle w:val="FootnoteReference"/>
        </w:rPr>
        <w:footnoteReference w:id="381"/>
      </w:r>
      <w:r w:rsidRPr="00AA309E">
        <w:rPr>
          <w:rFonts w:asciiTheme="majorBidi" w:hAnsiTheme="majorBidi" w:cstheme="majorBidi"/>
          <w:snapToGrid w:val="0"/>
          <w:kern w:val="22"/>
          <w:szCs w:val="22"/>
        </w:rPr>
        <w:t xml:space="preserve"> and relevant traditional knowledge, free, prior and informed consent, as appropriate, to address gaps in knowledge, and to expand research and to support coordinated global, regional, national, subnational and local monitoring efforts.</w:t>
      </w:r>
    </w:p>
    <w:p w14:paraId="2FB863C9" w14:textId="77777777" w:rsidR="007A11A6" w:rsidRPr="00AA309E" w:rsidRDefault="007A11A6"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4FD8E1C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4.1 </w:t>
      </w:r>
      <w:r w:rsidRPr="00AA309E">
        <w:rPr>
          <w:rFonts w:asciiTheme="majorBidi" w:hAnsiTheme="majorBidi" w:cstheme="majorBidi"/>
          <w:bCs/>
          <w:snapToGrid w:val="0"/>
          <w:kern w:val="22"/>
          <w:szCs w:val="22"/>
        </w:rPr>
        <w:t>Increase national capacities on soil biodiversity taxonomy and address taxonomic assessment needs in different regions, and design targeted strategies to fill the existing gaps;</w:t>
      </w:r>
    </w:p>
    <w:p w14:paraId="4E5A34E8"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4.2 </w:t>
      </w:r>
      <w:r w:rsidRPr="00AA309E">
        <w:rPr>
          <w:rFonts w:asciiTheme="majorBidi" w:hAnsiTheme="majorBidi" w:cstheme="majorBidi"/>
          <w:bCs/>
          <w:snapToGrid w:val="0"/>
          <w:kern w:val="22"/>
          <w:szCs w:val="22"/>
        </w:rPr>
        <w:t>Promote further research to identify ways to integrat</w:t>
      </w:r>
      <w:r w:rsidRPr="00AA309E">
        <w:rPr>
          <w:rFonts w:asciiTheme="majorBidi" w:hAnsiTheme="majorBidi" w:cstheme="majorBidi"/>
          <w:snapToGrid w:val="0"/>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75AC8929"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4.3 </w:t>
      </w:r>
      <w:r w:rsidRPr="00AA309E">
        <w:rPr>
          <w:rFonts w:asciiTheme="majorBidi" w:hAnsiTheme="majorBidi" w:cstheme="majorBidi"/>
          <w:bCs/>
          <w:snapToGrid w:val="0"/>
          <w:kern w:val="22"/>
          <w:szCs w:val="22"/>
        </w:rPr>
        <w:t>Promote furt</w:t>
      </w:r>
      <w:r w:rsidRPr="00AA309E">
        <w:rPr>
          <w:rFonts w:asciiTheme="majorBidi" w:hAnsiTheme="majorBidi" w:cstheme="majorBidi"/>
          <w:snapToGrid w:val="0"/>
          <w:kern w:val="22"/>
          <w:szCs w:val="22"/>
        </w:rPr>
        <w:t>her research to identify risks to soil biodiversity under climate change and potential adaption measures and mitigation tools, as well as risks caused by the use of hazardous or toxic chemicals, including the potential loss of key species and their habitats, as well as the role of soil biota in wider ecosystem resilience and restoration that contributes, as appropriate, to the formulation of policy plans;</w:t>
      </w:r>
    </w:p>
    <w:p w14:paraId="7716E4C6"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4.4 </w:t>
      </w:r>
      <w:r w:rsidRPr="00AA309E">
        <w:rPr>
          <w:rFonts w:asciiTheme="majorBidi" w:hAnsiTheme="majorBidi" w:cstheme="majorBidi"/>
          <w:bCs/>
          <w:snapToGrid w:val="0"/>
          <w:kern w:val="22"/>
          <w:szCs w:val="22"/>
        </w:rPr>
        <w:t xml:space="preserve">Promote research and implementation </w:t>
      </w:r>
      <w:r w:rsidRPr="00AA309E">
        <w:rPr>
          <w:rFonts w:asciiTheme="majorBidi" w:hAnsiTheme="majorBidi" w:cstheme="majorBidi"/>
          <w:snapToGrid w:val="0"/>
          <w:kern w:val="22"/>
          <w:szCs w:val="22"/>
        </w:rPr>
        <w:t>of integrated pest management practices that support functions and services provided by soil biodiversity;</w:t>
      </w:r>
    </w:p>
    <w:p w14:paraId="44537BF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4.5 </w:t>
      </w:r>
      <w:r w:rsidRPr="00AA309E">
        <w:rPr>
          <w:rFonts w:asciiTheme="majorBidi" w:hAnsiTheme="majorBidi" w:cstheme="majorBidi"/>
          <w:bCs/>
          <w:snapToGrid w:val="0"/>
          <w:kern w:val="22"/>
          <w:szCs w:val="22"/>
        </w:rPr>
        <w:t>Promote capacity</w:t>
      </w:r>
      <w:r w:rsidRPr="00AA309E">
        <w:rPr>
          <w:rFonts w:asciiTheme="majorBidi" w:hAnsiTheme="majorBidi" w:cstheme="majorBidi"/>
          <w:bCs/>
          <w:snapToGrid w:val="0"/>
          <w:kern w:val="22"/>
          <w:szCs w:val="22"/>
        </w:rPr>
        <w:noBreakHyphen/>
        <w:t>building and research in order to qualify and quantify soil biodiversity in agriculture and in other managed ecosystems and cultural landscapes, and to develop consistent and comparable protocols to monitor soil quality</w:t>
      </w:r>
      <w:r w:rsidRPr="00AA309E">
        <w:rPr>
          <w:rFonts w:asciiTheme="majorBidi" w:hAnsiTheme="majorBidi" w:cstheme="majorBidi"/>
          <w:snapToGrid w:val="0"/>
          <w:kern w:val="22"/>
          <w:szCs w:val="22"/>
        </w:rPr>
        <w:t>;</w:t>
      </w:r>
    </w:p>
    <w:p w14:paraId="51C67157"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4.6</w:t>
      </w:r>
      <w:r w:rsidRPr="00AA309E">
        <w:rPr>
          <w:rFonts w:asciiTheme="majorBidi" w:hAnsiTheme="majorBidi" w:cstheme="majorBidi"/>
          <w:snapToGrid w:val="0"/>
          <w:kern w:val="22"/>
          <w:szCs w:val="22"/>
        </w:rPr>
        <w:t xml:space="preserve"> Promote research, information management and dissemination, data collection and processing, community-based monitoring, transfer of knowledge and technologies and networking;</w:t>
      </w:r>
    </w:p>
    <w:p w14:paraId="44F6F79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4.7 </w:t>
      </w:r>
      <w:r w:rsidRPr="00AA309E">
        <w:rPr>
          <w:rFonts w:asciiTheme="majorBidi" w:hAnsiTheme="majorBidi" w:cstheme="majorBidi"/>
          <w:bCs/>
          <w:snapToGrid w:val="0"/>
          <w:kern w:val="22"/>
          <w:szCs w:val="22"/>
        </w:rPr>
        <w:t>Promote access to the fair and equitable sharing of the benefits arising out of the utilization of genetic resources in the soil, considering the potential to develop new products and medicines, in line with the third objective of the Convention and with the Nagoya Protocol on Access to Genetic Resources and the Fair and Equitable Sharing of Benefits Arising from their Utilization;</w:t>
      </w:r>
    </w:p>
    <w:p w14:paraId="51842ACD"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4.8 </w:t>
      </w:r>
      <w:r w:rsidRPr="00AA309E">
        <w:rPr>
          <w:rFonts w:asciiTheme="majorBidi" w:hAnsiTheme="majorBidi" w:cstheme="majorBidi"/>
          <w:snapToGrid w:val="0"/>
          <w:kern w:val="22"/>
          <w:szCs w:val="22"/>
        </w:rPr>
        <w:t>Mobilize targeted participatory research and development, promote gender-responsive approaches to ensure gender equality, women’s empowerment, youth engagement and the full and effective participation of indigenous peoples and local communities in all stages of research and development;</w:t>
      </w:r>
    </w:p>
    <w:p w14:paraId="566ACBFE"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4.9 </w:t>
      </w:r>
      <w:r w:rsidRPr="00AA309E">
        <w:rPr>
          <w:rFonts w:asciiTheme="majorBidi" w:hAnsiTheme="majorBidi" w:cstheme="majorBidi"/>
          <w:snapToGrid w:val="0"/>
          <w:kern w:val="22"/>
          <w:szCs w:val="22"/>
        </w:rPr>
        <w:t>Develop and apply tools to assess the status of soil biodiversity in all regions and to address gaps in knowledge in all levels, by using a range of available tools, from traditional macroorganism</w:t>
      </w:r>
      <w:r>
        <w:rPr>
          <w:rFonts w:asciiTheme="majorBidi" w:hAnsiTheme="majorBidi" w:cstheme="majorBidi"/>
          <w:snapToGrid w:val="0"/>
          <w:kern w:val="22"/>
          <w:szCs w:val="22"/>
        </w:rPr>
        <w:t>s</w:t>
      </w:r>
      <w:r w:rsidRPr="00AA309E">
        <w:rPr>
          <w:rFonts w:asciiTheme="majorBidi" w:hAnsiTheme="majorBidi" w:cstheme="majorBidi"/>
          <w:snapToGrid w:val="0"/>
          <w:kern w:val="22"/>
          <w:szCs w:val="22"/>
        </w:rPr>
        <w:t xml:space="preserve"> and soil fauna observation and analysis, national and subnational statistics, soil surveys, to cutting-edge approaches and new technologies, as appropriate;</w:t>
      </w:r>
    </w:p>
    <w:p w14:paraId="5A20C117" w14:textId="77777777" w:rsidR="007A11A6" w:rsidRPr="00AA309E" w:rsidRDefault="007A11A6" w:rsidP="008B2808">
      <w:pPr>
        <w:rPr>
          <w:rFonts w:asciiTheme="majorBidi" w:eastAsiaTheme="minorEastAsia" w:hAnsiTheme="majorBidi" w:cstheme="majorBidi"/>
          <w:szCs w:val="22"/>
          <w:lang w:val="en-US" w:eastAsia="zh-CN"/>
        </w:rPr>
      </w:pPr>
      <w:r w:rsidRPr="00AA309E">
        <w:rPr>
          <w:rFonts w:asciiTheme="majorBidi" w:hAnsiTheme="majorBidi" w:cstheme="majorBidi"/>
          <w:b/>
          <w:bCs/>
          <w:snapToGrid w:val="0"/>
          <w:kern w:val="22"/>
          <w:szCs w:val="22"/>
        </w:rPr>
        <w:t>4.10</w:t>
      </w:r>
      <w:r w:rsidRPr="00AA309E">
        <w:rPr>
          <w:rFonts w:asciiTheme="majorBidi" w:hAnsiTheme="majorBidi" w:cstheme="majorBidi"/>
          <w:snapToGrid w:val="0"/>
          <w:kern w:val="22"/>
          <w:szCs w:val="22"/>
        </w:rPr>
        <w:t xml:space="preserve"> Generate data sets on soil biodiversity, pedodiversity</w:t>
      </w:r>
      <w:r w:rsidRPr="00AA309E">
        <w:rPr>
          <w:rFonts w:asciiTheme="majorBidi" w:eastAsiaTheme="minorEastAsia" w:hAnsiTheme="majorBidi" w:cstheme="majorBidi"/>
          <w:szCs w:val="22"/>
          <w:lang w:val="en-US" w:eastAsia="zh-CN"/>
        </w:rPr>
        <w:t xml:space="preserve"> </w:t>
      </w:r>
      <w:r w:rsidRPr="00AA309E">
        <w:rPr>
          <w:rFonts w:asciiTheme="majorBidi" w:hAnsiTheme="majorBidi" w:cstheme="majorBidi"/>
          <w:snapToGrid w:val="0"/>
          <w:kern w:val="22"/>
          <w:szCs w:val="22"/>
        </w:rPr>
        <w:t>and on soil degradation at the national, subnational and regional levels through a standard monitoring process that allows the creation of regional, national, subnational and local visual maps, georeferenced information systems and databases to indicate the status and trends of soil biodiversity and crop-specific vulnerability to support informed decision</w:t>
      </w:r>
      <w:r>
        <w:rPr>
          <w:rFonts w:asciiTheme="majorBidi" w:hAnsiTheme="majorBidi" w:cstheme="majorBidi"/>
          <w:snapToGrid w:val="0"/>
          <w:kern w:val="22"/>
          <w:szCs w:val="22"/>
        </w:rPr>
        <w:noBreakHyphen/>
      </w:r>
      <w:r w:rsidRPr="00AA309E">
        <w:rPr>
          <w:rFonts w:asciiTheme="majorBidi" w:hAnsiTheme="majorBidi" w:cstheme="majorBidi"/>
          <w:snapToGrid w:val="0"/>
          <w:kern w:val="22"/>
          <w:szCs w:val="22"/>
        </w:rPr>
        <w:t>making and comparisons;</w:t>
      </w:r>
    </w:p>
    <w:p w14:paraId="359C65D3"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lastRenderedPageBreak/>
        <w:t>4.11</w:t>
      </w:r>
      <w:r w:rsidRPr="00AA309E">
        <w:rPr>
          <w:rFonts w:asciiTheme="majorBidi" w:hAnsiTheme="majorBidi" w:cstheme="majorBidi"/>
          <w:snapToGrid w:val="0"/>
          <w:kern w:val="22"/>
          <w:szCs w:val="22"/>
        </w:rPr>
        <w:t xml:space="preserve"> Promote dissemination, co-creation of knowledge and exchange of information and data, in line with Articles 8(j) and 8(h) of the Convention on Biological Diversity and, through transdisciplinary approaches, ensure that all decision makers and</w:t>
      </w:r>
      <w:r w:rsidRPr="00AA309E" w:rsidDel="00D46D88">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stakeholders have access to reliable and up-to-date information;</w:t>
      </w:r>
    </w:p>
    <w:p w14:paraId="4BFB1AA8"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4.12</w:t>
      </w:r>
      <w:r w:rsidRPr="00AA309E">
        <w:rPr>
          <w:rFonts w:asciiTheme="majorBidi" w:hAnsiTheme="majorBidi" w:cstheme="majorBidi"/>
          <w:snapToGrid w:val="0"/>
          <w:kern w:val="22"/>
          <w:szCs w:val="22"/>
        </w:rPr>
        <w:t xml:space="preserve"> Encourage the development of harmonized definitions, standard baselines, indicators and national and subnational-level monitoring activities of soil biodiversity with the inclusion of a vast range of soil organisms, from microorganisms to fauna, as well as monitoring the effectiveness of soil management interventions in the field;</w:t>
      </w:r>
    </w:p>
    <w:p w14:paraId="7B3A720C"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4.13</w:t>
      </w:r>
      <w:r w:rsidRPr="00AA309E">
        <w:rPr>
          <w:rFonts w:asciiTheme="majorBidi" w:hAnsiTheme="majorBidi" w:cstheme="majorBidi"/>
          <w:snapToGrid w:val="0"/>
          <w:kern w:val="22"/>
          <w:szCs w:val="22"/>
        </w:rPr>
        <w:t xml:space="preserve"> Promote regional cooperation to compile, systematize and share data and lessons resulting from experiences or case studies on the implementation of sustainable soil management practices in the context of agricultural practices with positive impacts on soil biodiversity;</w:t>
      </w:r>
    </w:p>
    <w:p w14:paraId="0C364075"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4.14</w:t>
      </w:r>
      <w:r w:rsidRPr="00AA309E">
        <w:rPr>
          <w:rFonts w:asciiTheme="majorBidi" w:hAnsiTheme="majorBidi" w:cstheme="majorBidi"/>
          <w:snapToGrid w:val="0"/>
          <w:kern w:val="22"/>
          <w:szCs w:val="22"/>
        </w:rPr>
        <w:t xml:space="preserve"> Encourage and support the development of community-based monitoring and other information systems or simplified assessment methodologies and tools for measuring soil biodiversity;</w:t>
      </w:r>
    </w:p>
    <w:p w14:paraId="185372FE"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zCs w:val="22"/>
        </w:rPr>
      </w:pPr>
      <w:r w:rsidRPr="00AA309E">
        <w:rPr>
          <w:rFonts w:asciiTheme="majorBidi" w:hAnsiTheme="majorBidi" w:cstheme="majorBidi"/>
          <w:b/>
          <w:bCs/>
          <w:snapToGrid w:val="0"/>
          <w:kern w:val="22"/>
          <w:szCs w:val="22"/>
        </w:rPr>
        <w:t>4.15</w:t>
      </w:r>
      <w:r w:rsidRPr="00AA309E">
        <w:rPr>
          <w:rFonts w:asciiTheme="majorBidi" w:hAnsiTheme="majorBidi" w:cstheme="majorBidi"/>
          <w:snapToGrid w:val="0"/>
          <w:kern w:val="22"/>
          <w:szCs w:val="22"/>
        </w:rPr>
        <w:t xml:space="preserve"> Promote research and capacity-building on sustainable soil management practices that ensure conservation, restoration and sustainable use of soil biodiversity;</w:t>
      </w:r>
      <w:r w:rsidRPr="00AA309E">
        <w:rPr>
          <w:rFonts w:asciiTheme="majorBidi" w:hAnsiTheme="majorBidi" w:cstheme="majorBidi"/>
          <w:szCs w:val="22"/>
        </w:rPr>
        <w:t xml:space="preserve"> </w:t>
      </w:r>
    </w:p>
    <w:p w14:paraId="546F2D60" w14:textId="77777777" w:rsidR="007A11A6" w:rsidRPr="00AA309E" w:rsidRDefault="007A11A6"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4.16</w:t>
      </w:r>
      <w:r w:rsidRPr="00AA309E">
        <w:rPr>
          <w:rFonts w:asciiTheme="majorBidi" w:hAnsiTheme="majorBidi" w:cstheme="majorBidi"/>
          <w:snapToGrid w:val="0"/>
          <w:kern w:val="22"/>
          <w:szCs w:val="22"/>
        </w:rPr>
        <w:tab/>
        <w:t xml:space="preserve">Promote development of commercial application, in a sustainable manner, of products based on soil biodiversity. </w:t>
      </w:r>
    </w:p>
    <w:p w14:paraId="482C9111" w14:textId="77777777" w:rsidR="007A11A6" w:rsidRPr="00AA309E" w:rsidRDefault="007A11A6" w:rsidP="0014390F">
      <w:pPr>
        <w:pStyle w:val="Heading1-compilation"/>
        <w:ind w:left="1418" w:hanging="709"/>
        <w:jc w:val="left"/>
        <w:rPr>
          <w:szCs w:val="22"/>
        </w:rPr>
      </w:pPr>
      <w:bookmarkStart w:id="359" w:name="_Toc118354936"/>
      <w:bookmarkStart w:id="360" w:name="_Toc150670315"/>
      <w:bookmarkStart w:id="361" w:name="_Toc150670532"/>
      <w:bookmarkStart w:id="362" w:name="_Toc150670642"/>
      <w:r w:rsidRPr="00AA309E">
        <w:rPr>
          <w:szCs w:val="22"/>
        </w:rPr>
        <w:t>VI.</w:t>
      </w:r>
      <w:r w:rsidRPr="00AA309E">
        <w:rPr>
          <w:szCs w:val="22"/>
        </w:rPr>
        <w:tab/>
        <w:t>Supporting voluntary guidance, tools, organizations and initiatives relating to the conservation and sustainable use of soil biodiversity</w:t>
      </w:r>
      <w:bookmarkEnd w:id="359"/>
      <w:bookmarkEnd w:id="360"/>
      <w:bookmarkEnd w:id="361"/>
      <w:bookmarkEnd w:id="362"/>
    </w:p>
    <w:p w14:paraId="70C6272B" w14:textId="77777777" w:rsidR="007A11A6" w:rsidRPr="00AA309E" w:rsidRDefault="007A11A6" w:rsidP="004219B9">
      <w:pPr>
        <w:pStyle w:val="Para1"/>
        <w:numPr>
          <w:ilvl w:val="0"/>
          <w:numId w:val="0"/>
        </w:numPr>
        <w:suppressLineNumbers/>
        <w:suppressAutoHyphens/>
        <w:kinsoku w:val="0"/>
        <w:adjustRightInd w:val="0"/>
        <w:rPr>
          <w:rFonts w:asciiTheme="majorBidi" w:hAnsiTheme="majorBidi" w:cstheme="majorBidi"/>
        </w:rPr>
      </w:pPr>
      <w:r w:rsidRPr="00AA309E">
        <w:rPr>
          <w:rFonts w:asciiTheme="majorBidi" w:hAnsiTheme="majorBidi" w:cstheme="majorBidi"/>
        </w:rPr>
        <w:t>22.</w:t>
      </w:r>
      <w:r w:rsidRPr="00AA309E">
        <w:rPr>
          <w:rFonts w:asciiTheme="majorBidi" w:hAnsiTheme="majorBidi" w:cstheme="majorBidi"/>
        </w:rPr>
        <w:tab/>
        <w:t>Relevant voluntary guidance and tools developed under the Convention, and those developed by partner and relevant organizations and initiatives, such as the Voluntary Guidelines for Sustainable Soil Management and the World Soil Charter, issued by FAO, will be made available in the clearing-house mechanisms.</w:t>
      </w:r>
    </w:p>
    <w:p w14:paraId="774B222F" w14:textId="77777777" w:rsidR="004678BE" w:rsidRDefault="004678BE" w:rsidP="004219B9">
      <w:pPr>
        <w:pStyle w:val="Para1"/>
        <w:numPr>
          <w:ilvl w:val="0"/>
          <w:numId w:val="0"/>
        </w:numPr>
        <w:jc w:val="center"/>
        <w:sectPr w:rsidR="004678BE" w:rsidSect="00441700">
          <w:footnotePr>
            <w:numRestart w:val="eachSect"/>
          </w:footnotePr>
          <w:pgSz w:w="12240" w:h="15840"/>
          <w:pgMar w:top="567" w:right="1440" w:bottom="1134" w:left="1440" w:header="709" w:footer="709" w:gutter="0"/>
          <w:cols w:space="708"/>
          <w:docGrid w:linePitch="360"/>
        </w:sectPr>
      </w:pPr>
    </w:p>
    <w:p w14:paraId="3233F172" w14:textId="77777777" w:rsidR="004678BE" w:rsidRPr="0014390F" w:rsidRDefault="004678BE" w:rsidP="0014390F">
      <w:pPr>
        <w:pStyle w:val="decision"/>
        <w:rPr>
          <w:b w:val="0"/>
          <w:bCs/>
          <w:caps/>
        </w:rPr>
      </w:pPr>
      <w:bookmarkStart w:id="363" w:name="_Toc150438827"/>
      <w:bookmarkStart w:id="364" w:name="_Toc150670533"/>
      <w:bookmarkStart w:id="365" w:name="_Toc150670643"/>
      <w:bookmarkStart w:id="366" w:name="_Toc150761139"/>
      <w:r w:rsidRPr="0014390F">
        <w:rPr>
          <w:rStyle w:val="Heading2Char"/>
          <w:rFonts w:eastAsia="Malgun Gothic"/>
          <w:b/>
          <w:bCs w:val="0"/>
        </w:rPr>
        <w:lastRenderedPageBreak/>
        <w:t>15/29.</w:t>
      </w:r>
      <w:r w:rsidRPr="0014390F">
        <w:rPr>
          <w:rStyle w:val="Heading2Char"/>
          <w:rFonts w:eastAsia="Malgun Gothic"/>
          <w:b/>
          <w:bCs w:val="0"/>
        </w:rPr>
        <w:tab/>
        <w:t>Biodiversity and health</w:t>
      </w:r>
      <w:bookmarkEnd w:id="363"/>
      <w:bookmarkEnd w:id="364"/>
      <w:bookmarkEnd w:id="365"/>
      <w:bookmarkEnd w:id="366"/>
      <w:r w:rsidRPr="0014390F">
        <w:rPr>
          <w:b w:val="0"/>
          <w:bCs/>
          <w:caps/>
        </w:rPr>
        <w:t xml:space="preserve"> </w:t>
      </w:r>
    </w:p>
    <w:p w14:paraId="0DC269F9"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snapToGrid w:val="0"/>
          <w:kern w:val="22"/>
          <w:szCs w:val="22"/>
        </w:rPr>
        <w:t>The Conference of the Parties,</w:t>
      </w:r>
    </w:p>
    <w:p w14:paraId="76683AD6"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041908">
        <w:rPr>
          <w:i/>
          <w:iCs/>
          <w:kern w:val="22"/>
          <w:szCs w:val="22"/>
        </w:rPr>
        <w:t xml:space="preserve">Recalling </w:t>
      </w:r>
      <w:r w:rsidRPr="00041908">
        <w:rPr>
          <w:kern w:val="22"/>
          <w:szCs w:val="22"/>
        </w:rPr>
        <w:t xml:space="preserve">decisions XII/21, XIII/6 and </w:t>
      </w:r>
      <w:r w:rsidRPr="00041908">
        <w:rPr>
          <w:snapToGrid w:val="0"/>
          <w:kern w:val="22"/>
          <w:szCs w:val="22"/>
        </w:rPr>
        <w:t xml:space="preserve">14/4 </w:t>
      </w:r>
      <w:r w:rsidRPr="00041908">
        <w:rPr>
          <w:kern w:val="22"/>
          <w:szCs w:val="22"/>
        </w:rPr>
        <w:t>on biodiversity and health and decision XIII/3</w:t>
      </w:r>
      <w:r w:rsidRPr="00041908">
        <w:rPr>
          <w:snapToGrid w:val="0"/>
          <w:kern w:val="22"/>
          <w:szCs w:val="22"/>
        </w:rPr>
        <w:t xml:space="preserve"> </w:t>
      </w:r>
      <w:r w:rsidRPr="00041908">
        <w:rPr>
          <w:kern w:val="22"/>
          <w:szCs w:val="22"/>
        </w:rPr>
        <w:t>on the mainstreaming and integration of biodiversity within and across sectors</w:t>
      </w:r>
      <w:r w:rsidRPr="00041908">
        <w:rPr>
          <w:snapToGrid w:val="0"/>
          <w:kern w:val="22"/>
          <w:szCs w:val="22"/>
        </w:rPr>
        <w:t xml:space="preserve">, </w:t>
      </w:r>
    </w:p>
    <w:p w14:paraId="17A62B97"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line="235" w:lineRule="auto"/>
        <w:ind w:firstLine="720"/>
        <w:rPr>
          <w:szCs w:val="22"/>
        </w:rPr>
      </w:pPr>
      <w:r w:rsidRPr="00041908">
        <w:rPr>
          <w:i/>
          <w:iCs/>
          <w:snapToGrid w:val="0"/>
          <w:kern w:val="22"/>
          <w:szCs w:val="22"/>
        </w:rPr>
        <w:t>Recalling</w:t>
      </w:r>
      <w:r>
        <w:rPr>
          <w:i/>
          <w:iCs/>
          <w:snapToGrid w:val="0"/>
          <w:kern w:val="22"/>
          <w:szCs w:val="22"/>
        </w:rPr>
        <w:t xml:space="preserve"> also</w:t>
      </w:r>
      <w:r w:rsidRPr="00041908">
        <w:rPr>
          <w:snapToGrid w:val="0"/>
          <w:kern w:val="22"/>
          <w:szCs w:val="22"/>
        </w:rPr>
        <w:t xml:space="preserve"> </w:t>
      </w:r>
      <w:r w:rsidRPr="00041908">
        <w:rPr>
          <w:szCs w:val="22"/>
        </w:rPr>
        <w:t xml:space="preserve">the Sharm El-Sheikh declaration on the theme of </w:t>
      </w:r>
      <w:r>
        <w:rPr>
          <w:szCs w:val="22"/>
          <w:lang w:val="en-US"/>
        </w:rPr>
        <w:t>“</w:t>
      </w:r>
      <w:r w:rsidRPr="00041908">
        <w:rPr>
          <w:i/>
          <w:iCs/>
          <w:szCs w:val="22"/>
        </w:rPr>
        <w:t>Investing in biodiversity for people and planet</w:t>
      </w:r>
      <w:r>
        <w:rPr>
          <w:i/>
          <w:iCs/>
          <w:szCs w:val="22"/>
        </w:rPr>
        <w:t>”</w:t>
      </w:r>
      <w:r w:rsidRPr="00041908">
        <w:rPr>
          <w:i/>
          <w:iCs/>
          <w:snapToGrid w:val="0"/>
          <w:kern w:val="22"/>
          <w:szCs w:val="22"/>
        </w:rPr>
        <w:t xml:space="preserve"> </w:t>
      </w:r>
      <w:r w:rsidRPr="00041908">
        <w:rPr>
          <w:snapToGrid w:val="0"/>
          <w:kern w:val="22"/>
          <w:szCs w:val="22"/>
        </w:rPr>
        <w:t xml:space="preserve">and the </w:t>
      </w:r>
      <w:r w:rsidRPr="00041908">
        <w:rPr>
          <w:szCs w:val="22"/>
        </w:rPr>
        <w:t xml:space="preserve">Kunming declaration on the theme of </w:t>
      </w:r>
      <w:r w:rsidRPr="1E17E60F">
        <w:rPr>
          <w:snapToGrid w:val="0"/>
          <w:kern w:val="22"/>
        </w:rPr>
        <w:t>“</w:t>
      </w:r>
      <w:r w:rsidRPr="00041908">
        <w:rPr>
          <w:i/>
          <w:iCs/>
          <w:szCs w:val="22"/>
        </w:rPr>
        <w:t>Ecological civilization: building a shared future for all life on Earth</w:t>
      </w:r>
      <w:r w:rsidRPr="1E17E60F">
        <w:rPr>
          <w:snapToGrid w:val="0"/>
          <w:kern w:val="22"/>
        </w:rPr>
        <w:t>”</w:t>
      </w:r>
      <w:r w:rsidRPr="00041908">
        <w:rPr>
          <w:szCs w:val="22"/>
        </w:rPr>
        <w:t>,</w:t>
      </w:r>
      <w:r>
        <w:rPr>
          <w:szCs w:val="22"/>
        </w:rPr>
        <w:t xml:space="preserve"> </w:t>
      </w:r>
    </w:p>
    <w:p w14:paraId="5CE2FF78" w14:textId="77777777" w:rsidR="004678BE" w:rsidRDefault="004678BE" w:rsidP="00926DEB">
      <w:pPr>
        <w:spacing w:before="120" w:after="120"/>
        <w:ind w:firstLine="720"/>
      </w:pPr>
      <w:r w:rsidRPr="1E17E60F">
        <w:rPr>
          <w:i/>
          <w:iCs/>
          <w:snapToGrid w:val="0"/>
          <w:kern w:val="22"/>
        </w:rPr>
        <w:t>Noting</w:t>
      </w:r>
      <w:r>
        <w:rPr>
          <w:i/>
          <w:iCs/>
          <w:snapToGrid w:val="0"/>
          <w:kern w:val="22"/>
        </w:rPr>
        <w:t xml:space="preserve"> </w:t>
      </w:r>
      <w:r w:rsidRPr="1E17E60F">
        <w:rPr>
          <w:snapToGrid w:val="0"/>
          <w:kern w:val="22"/>
        </w:rPr>
        <w:t>resolution</w:t>
      </w:r>
      <w:r>
        <w:rPr>
          <w:snapToGrid w:val="0"/>
          <w:kern w:val="22"/>
          <w:szCs w:val="22"/>
        </w:rPr>
        <w:t xml:space="preserve"> </w:t>
      </w:r>
      <w:r w:rsidRPr="00901486">
        <w:rPr>
          <w:snapToGrid w:val="0"/>
          <w:kern w:val="22"/>
        </w:rPr>
        <w:t>76/300</w:t>
      </w:r>
      <w:r>
        <w:rPr>
          <w:snapToGrid w:val="0"/>
          <w:kern w:val="22"/>
          <w:szCs w:val="22"/>
        </w:rPr>
        <w:t xml:space="preserve"> </w:t>
      </w:r>
      <w:r w:rsidRPr="1E17E60F">
        <w:rPr>
          <w:snapToGrid w:val="0"/>
          <w:kern w:val="22"/>
        </w:rPr>
        <w:t xml:space="preserve">entitled “The human right to a clean, healthy and sustainable environment” adopted by </w:t>
      </w:r>
      <w:r>
        <w:rPr>
          <w:snapToGrid w:val="0"/>
          <w:kern w:val="22"/>
        </w:rPr>
        <w:t>the United Nations General Assembly</w:t>
      </w:r>
      <w:r w:rsidRPr="1E17E60F">
        <w:rPr>
          <w:snapToGrid w:val="0"/>
          <w:kern w:val="22"/>
        </w:rPr>
        <w:t>,</w:t>
      </w:r>
      <w:r>
        <w:rPr>
          <w:snapToGrid w:val="0"/>
          <w:kern w:val="22"/>
          <w:szCs w:val="22"/>
        </w:rPr>
        <w:t xml:space="preserve"> and resolution 50</w:t>
      </w:r>
      <w:r w:rsidRPr="00901486">
        <w:rPr>
          <w:snapToGrid w:val="0"/>
          <w:kern w:val="22"/>
        </w:rPr>
        <w:t>/</w:t>
      </w:r>
      <w:r>
        <w:rPr>
          <w:snapToGrid w:val="0"/>
          <w:kern w:val="22"/>
          <w:szCs w:val="22"/>
        </w:rPr>
        <w:t xml:space="preserve">13 entitled </w:t>
      </w:r>
      <w:r w:rsidRPr="1E17E60F">
        <w:rPr>
          <w:snapToGrid w:val="0"/>
          <w:kern w:val="22"/>
        </w:rPr>
        <w:t>“</w:t>
      </w:r>
      <w:r>
        <w:rPr>
          <w:snapToGrid w:val="0"/>
          <w:kern w:val="22"/>
          <w:szCs w:val="22"/>
        </w:rPr>
        <w:t xml:space="preserve">Access to medicines, vaccines and other health products in the context of the right of everyone to the enjoyment of the highest attainable standard of physical and mental health” adopted by the Human Rights Council, </w:t>
      </w:r>
    </w:p>
    <w:p w14:paraId="0B6F809A" w14:textId="77777777" w:rsidR="004678BE" w:rsidRDefault="004678BE" w:rsidP="00926DEB">
      <w:pPr>
        <w:spacing w:before="120" w:after="120"/>
        <w:ind w:firstLine="720"/>
        <w:rPr>
          <w:color w:val="000000" w:themeColor="text1"/>
          <w:szCs w:val="22"/>
        </w:rPr>
      </w:pPr>
      <w:r>
        <w:rPr>
          <w:i/>
          <w:iCs/>
          <w:color w:val="000000" w:themeColor="text1"/>
          <w:szCs w:val="22"/>
        </w:rPr>
        <w:t>N</w:t>
      </w:r>
      <w:r w:rsidRPr="00041908">
        <w:rPr>
          <w:i/>
          <w:iCs/>
          <w:color w:val="000000" w:themeColor="text1"/>
          <w:szCs w:val="22"/>
        </w:rPr>
        <w:t>oting</w:t>
      </w:r>
      <w:r>
        <w:rPr>
          <w:i/>
          <w:iCs/>
          <w:color w:val="000000" w:themeColor="text1"/>
          <w:szCs w:val="22"/>
        </w:rPr>
        <w:t xml:space="preserve"> also</w:t>
      </w:r>
      <w:r w:rsidRPr="00041908">
        <w:rPr>
          <w:color w:val="000000" w:themeColor="text1"/>
          <w:szCs w:val="22"/>
        </w:rPr>
        <w:t xml:space="preserve"> resolution 5/</w:t>
      </w:r>
      <w:r>
        <w:rPr>
          <w:color w:val="000000" w:themeColor="text1"/>
          <w:szCs w:val="22"/>
        </w:rPr>
        <w:t>6</w:t>
      </w:r>
      <w:r w:rsidRPr="00041908">
        <w:rPr>
          <w:color w:val="000000" w:themeColor="text1"/>
          <w:szCs w:val="22"/>
        </w:rPr>
        <w:t xml:space="preserve"> on biodiversity and health of the </w:t>
      </w:r>
      <w:r>
        <w:rPr>
          <w:color w:val="000000" w:themeColor="text1"/>
          <w:szCs w:val="22"/>
        </w:rPr>
        <w:t xml:space="preserve">fifth session of the </w:t>
      </w:r>
      <w:r w:rsidRPr="00041908">
        <w:rPr>
          <w:color w:val="000000" w:themeColor="text1"/>
          <w:szCs w:val="22"/>
        </w:rPr>
        <w:t>United Nations Environment Assembly</w:t>
      </w:r>
      <w:r>
        <w:rPr>
          <w:color w:val="000000" w:themeColor="text1"/>
          <w:szCs w:val="22"/>
        </w:rPr>
        <w:t xml:space="preserve"> of the</w:t>
      </w:r>
      <w:r>
        <w:t xml:space="preserve"> United Nations Environment Programme</w:t>
      </w:r>
      <w:r>
        <w:rPr>
          <w:color w:val="000000" w:themeColor="text1"/>
          <w:szCs w:val="22"/>
        </w:rPr>
        <w:t xml:space="preserve">, </w:t>
      </w:r>
    </w:p>
    <w:p w14:paraId="4FA55DE6" w14:textId="77777777" w:rsidR="004678BE" w:rsidRDefault="004678BE" w:rsidP="00926DEB">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 xml:space="preserve">Taking note </w:t>
      </w:r>
      <w:r w:rsidRPr="0053533E">
        <w:rPr>
          <w:kern w:val="22"/>
          <w:szCs w:val="22"/>
        </w:rPr>
        <w:t>of</w:t>
      </w:r>
      <w:r>
        <w:rPr>
          <w:i/>
          <w:iCs/>
          <w:kern w:val="22"/>
          <w:szCs w:val="22"/>
        </w:rPr>
        <w:t xml:space="preserve"> </w:t>
      </w:r>
      <w:r>
        <w:rPr>
          <w:kern w:val="22"/>
          <w:szCs w:val="22"/>
        </w:rPr>
        <w:t xml:space="preserve">the definition of One Health by the </w:t>
      </w:r>
      <w:r w:rsidRPr="00041908">
        <w:rPr>
          <w:kern w:val="22"/>
          <w:szCs w:val="22"/>
        </w:rPr>
        <w:t>One Health High-</w:t>
      </w:r>
      <w:r>
        <w:rPr>
          <w:kern w:val="22"/>
          <w:szCs w:val="22"/>
        </w:rPr>
        <w:t>L</w:t>
      </w:r>
      <w:r w:rsidRPr="00041908">
        <w:rPr>
          <w:kern w:val="22"/>
          <w:szCs w:val="22"/>
        </w:rPr>
        <w:t>evel Expert Panel</w:t>
      </w:r>
      <w:r>
        <w:rPr>
          <w:kern w:val="22"/>
          <w:szCs w:val="22"/>
          <w:lang w:val="en-US"/>
        </w:rPr>
        <w:t xml:space="preserve">: </w:t>
      </w:r>
    </w:p>
    <w:p w14:paraId="1610251D" w14:textId="77777777" w:rsidR="004678BE" w:rsidRDefault="004678BE" w:rsidP="007D6C03">
      <w:pPr>
        <w:suppressLineNumbers/>
        <w:suppressAutoHyphens/>
        <w:kinsoku w:val="0"/>
        <w:overflowPunct w:val="0"/>
        <w:autoSpaceDE w:val="0"/>
        <w:autoSpaceDN w:val="0"/>
        <w:adjustRightInd w:val="0"/>
        <w:snapToGrid w:val="0"/>
        <w:spacing w:before="120" w:after="120" w:line="235" w:lineRule="auto"/>
        <w:ind w:left="709"/>
        <w:rPr>
          <w:kern w:val="22"/>
          <w:szCs w:val="22"/>
        </w:rPr>
      </w:pPr>
      <w:r>
        <w:rPr>
          <w:kern w:val="22"/>
          <w:szCs w:val="22"/>
        </w:rPr>
        <w:t>“</w:t>
      </w:r>
      <w:r w:rsidRPr="00821ACC">
        <w:rPr>
          <w:kern w:val="22"/>
          <w:szCs w:val="22"/>
        </w:rPr>
        <w:t>One Health is an integrated, unifying approach that aims to sustainably balance and optimize the health of people, animals and ecosystems. It recognizes the health of humans, domestic and wild animals, plants, and the wider environment (including ecosystems) are closely linked and inter-dependent.</w:t>
      </w:r>
      <w:r>
        <w:rPr>
          <w:kern w:val="22"/>
          <w:szCs w:val="22"/>
        </w:rPr>
        <w:t xml:space="preserve"> </w:t>
      </w:r>
      <w:r w:rsidRPr="00821ACC">
        <w:rPr>
          <w:kern w:val="22"/>
          <w:szCs w:val="22"/>
        </w:rPr>
        <w:t>The approach mobilizes multiple sectors, disciplines and communities at varying levels of society to work together to foster well-being and tackle threats to health and ecosystems, while addressing the collective need for clean water, energy and air, safe and nutritious food, taking action on climate change, and contributing to sustainable development.</w:t>
      </w:r>
      <w:r>
        <w:rPr>
          <w:kern w:val="22"/>
          <w:szCs w:val="22"/>
        </w:rPr>
        <w:t xml:space="preserve">” </w:t>
      </w:r>
    </w:p>
    <w:p w14:paraId="046C73E0" w14:textId="77777777" w:rsidR="004678BE" w:rsidRDefault="004678BE"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Noting </w:t>
      </w:r>
      <w:r>
        <w:rPr>
          <w:kern w:val="22"/>
          <w:szCs w:val="22"/>
        </w:rPr>
        <w:t>that this definition has not been discussed or agree</w:t>
      </w:r>
      <w:r w:rsidRPr="00AF0FA9">
        <w:rPr>
          <w:kern w:val="22"/>
          <w:szCs w:val="22"/>
        </w:rPr>
        <w:t>d by</w:t>
      </w:r>
      <w:r>
        <w:rPr>
          <w:kern w:val="22"/>
          <w:szCs w:val="22"/>
        </w:rPr>
        <w:t xml:space="preserve"> the Conference of the Parties or by the Conference of the Parties serving as the meetings of the Parties to the Cartagena and Nagoya Protocols, </w:t>
      </w:r>
    </w:p>
    <w:p w14:paraId="4FA5FD8A" w14:textId="77777777" w:rsidR="004678BE" w:rsidRDefault="004678BE" w:rsidP="006F46A7">
      <w:pPr>
        <w:spacing w:before="120" w:after="120"/>
        <w:ind w:firstLine="720"/>
        <w:rPr>
          <w:i/>
          <w:iCs/>
          <w:kern w:val="22"/>
          <w:szCs w:val="22"/>
        </w:rPr>
      </w:pPr>
      <w:r>
        <w:rPr>
          <w:i/>
          <w:iCs/>
          <w:color w:val="000000" w:themeColor="text1"/>
          <w:szCs w:val="22"/>
        </w:rPr>
        <w:t>N</w:t>
      </w:r>
      <w:r w:rsidRPr="005D4DCF">
        <w:rPr>
          <w:i/>
          <w:iCs/>
          <w:color w:val="000000" w:themeColor="text1"/>
          <w:szCs w:val="22"/>
        </w:rPr>
        <w:t>oting</w:t>
      </w:r>
      <w:r>
        <w:rPr>
          <w:i/>
          <w:iCs/>
          <w:color w:val="000000" w:themeColor="text1"/>
          <w:szCs w:val="22"/>
        </w:rPr>
        <w:t xml:space="preserve"> also</w:t>
      </w:r>
      <w:r>
        <w:rPr>
          <w:color w:val="000000" w:themeColor="text1"/>
          <w:szCs w:val="22"/>
        </w:rPr>
        <w:t xml:space="preserve"> the One Health Joint Plan of Action by the Quadripartite for One Health (comprising the World Health Organization, the World Organisation for Animal Health, the Food and Agriculture Organization of the United Nations and the United Nations Environment Programme),</w:t>
      </w:r>
    </w:p>
    <w:p w14:paraId="2DFC7492" w14:textId="77777777" w:rsidR="004678BE" w:rsidRDefault="004678BE"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041908">
        <w:rPr>
          <w:i/>
          <w:iCs/>
          <w:kern w:val="22"/>
          <w:szCs w:val="22"/>
        </w:rPr>
        <w:t>Recognizing</w:t>
      </w:r>
      <w:r w:rsidRPr="00041908">
        <w:rPr>
          <w:kern w:val="22"/>
          <w:szCs w:val="22"/>
        </w:rPr>
        <w:t xml:space="preserve"> that the COVID-19 pandemic has further highlighted the importance of the relationship between </w:t>
      </w:r>
      <w:r>
        <w:rPr>
          <w:kern w:val="22"/>
          <w:szCs w:val="22"/>
        </w:rPr>
        <w:t xml:space="preserve">health and well-being, </w:t>
      </w:r>
      <w:r w:rsidRPr="00041908">
        <w:rPr>
          <w:kern w:val="22"/>
          <w:szCs w:val="22"/>
        </w:rPr>
        <w:t xml:space="preserve">and biodiversity, </w:t>
      </w:r>
      <w:r>
        <w:rPr>
          <w:kern w:val="22"/>
          <w:szCs w:val="22"/>
        </w:rPr>
        <w:t xml:space="preserve">including </w:t>
      </w:r>
      <w:r w:rsidRPr="00041908">
        <w:rPr>
          <w:kern w:val="22"/>
          <w:szCs w:val="22"/>
        </w:rPr>
        <w:t>the urgent need to reduce pressures on habitat</w:t>
      </w:r>
      <w:r>
        <w:rPr>
          <w:kern w:val="22"/>
          <w:szCs w:val="22"/>
        </w:rPr>
        <w:t>s,</w:t>
      </w:r>
      <w:r w:rsidRPr="00041908">
        <w:rPr>
          <w:kern w:val="22"/>
          <w:szCs w:val="22"/>
        </w:rPr>
        <w:t xml:space="preserve"> and </w:t>
      </w:r>
      <w:r>
        <w:rPr>
          <w:kern w:val="22"/>
          <w:szCs w:val="22"/>
        </w:rPr>
        <w:t xml:space="preserve">to decrease </w:t>
      </w:r>
      <w:r w:rsidRPr="00041908">
        <w:rPr>
          <w:kern w:val="22"/>
          <w:szCs w:val="22"/>
        </w:rPr>
        <w:t xml:space="preserve">ecosystem degradation and consequently reduce the risk </w:t>
      </w:r>
      <w:r>
        <w:rPr>
          <w:kern w:val="22"/>
          <w:szCs w:val="22"/>
        </w:rPr>
        <w:t>of pathogen</w:t>
      </w:r>
      <w:r w:rsidRPr="00041908">
        <w:rPr>
          <w:kern w:val="22"/>
          <w:szCs w:val="22"/>
        </w:rPr>
        <w:t xml:space="preserve"> spillover and </w:t>
      </w:r>
      <w:r w:rsidRPr="005A4669">
        <w:rPr>
          <w:kern w:val="22"/>
          <w:szCs w:val="22"/>
        </w:rPr>
        <w:t>outbreaks, the</w:t>
      </w:r>
      <w:r w:rsidRPr="00041908">
        <w:rPr>
          <w:kern w:val="22"/>
          <w:szCs w:val="22"/>
        </w:rPr>
        <w:t xml:space="preserve"> importance of early </w:t>
      </w:r>
      <w:r>
        <w:rPr>
          <w:kern w:val="22"/>
          <w:szCs w:val="22"/>
        </w:rPr>
        <w:t>warning, surveillance</w:t>
      </w:r>
      <w:r w:rsidRPr="00041908">
        <w:rPr>
          <w:kern w:val="22"/>
          <w:szCs w:val="22"/>
        </w:rPr>
        <w:t xml:space="preserve"> and</w:t>
      </w:r>
      <w:r>
        <w:rPr>
          <w:kern w:val="22"/>
          <w:szCs w:val="22"/>
        </w:rPr>
        <w:t xml:space="preserve"> prompt</w:t>
      </w:r>
      <w:r w:rsidRPr="00041908">
        <w:rPr>
          <w:kern w:val="22"/>
          <w:szCs w:val="22"/>
        </w:rPr>
        <w:t xml:space="preserve"> information-sharing for pandemic prevention, preparedness and response, and the need to address inequities in global health</w:t>
      </w:r>
      <w:r>
        <w:rPr>
          <w:kern w:val="22"/>
          <w:szCs w:val="22"/>
        </w:rPr>
        <w:t>, including with respect to equitable access to medicines, vaccines, diagnostics, and medical equipment</w:t>
      </w:r>
      <w:r w:rsidRPr="00041908">
        <w:rPr>
          <w:kern w:val="22"/>
          <w:szCs w:val="22"/>
        </w:rPr>
        <w:t xml:space="preserve">, </w:t>
      </w:r>
    </w:p>
    <w:p w14:paraId="4910CBEC"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2146D">
        <w:rPr>
          <w:i/>
          <w:iCs/>
          <w:kern w:val="22"/>
          <w:szCs w:val="22"/>
        </w:rPr>
        <w:t>Recognizing</w:t>
      </w:r>
      <w:r>
        <w:rPr>
          <w:i/>
          <w:iCs/>
          <w:kern w:val="22"/>
          <w:szCs w:val="22"/>
        </w:rPr>
        <w:t xml:space="preserve"> also</w:t>
      </w:r>
      <w:r>
        <w:rPr>
          <w:kern w:val="22"/>
          <w:szCs w:val="22"/>
        </w:rPr>
        <w:t xml:space="preserve"> the relevance of sustainable consumption and production patterns on biodiversity and health linkages, </w:t>
      </w:r>
    </w:p>
    <w:p w14:paraId="246BF022" w14:textId="77777777" w:rsidR="004678BE" w:rsidRPr="00041908" w:rsidRDefault="004678BE" w:rsidP="00757A9C">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757A9C">
        <w:rPr>
          <w:i/>
          <w:iCs/>
          <w:kern w:val="22"/>
          <w:szCs w:val="22"/>
        </w:rPr>
        <w:t>Recogn</w:t>
      </w:r>
      <w:r w:rsidRPr="00041908">
        <w:rPr>
          <w:i/>
          <w:iCs/>
          <w:kern w:val="22"/>
          <w:szCs w:val="22"/>
        </w:rPr>
        <w:t>izing</w:t>
      </w:r>
      <w:r>
        <w:rPr>
          <w:i/>
          <w:iCs/>
          <w:kern w:val="22"/>
          <w:szCs w:val="22"/>
        </w:rPr>
        <w:t xml:space="preserve"> further</w:t>
      </w:r>
      <w:r w:rsidRPr="00041908">
        <w:rPr>
          <w:i/>
          <w:iCs/>
          <w:kern w:val="22"/>
          <w:szCs w:val="22"/>
        </w:rPr>
        <w:t xml:space="preserve"> </w:t>
      </w:r>
      <w:r w:rsidRPr="00041908">
        <w:rPr>
          <w:kern w:val="22"/>
          <w:szCs w:val="22"/>
        </w:rPr>
        <w:t xml:space="preserve">that </w:t>
      </w:r>
      <w:r>
        <w:rPr>
          <w:kern w:val="22"/>
          <w:szCs w:val="22"/>
        </w:rPr>
        <w:t xml:space="preserve">the </w:t>
      </w:r>
      <w:r w:rsidRPr="00041908">
        <w:rPr>
          <w:kern w:val="22"/>
          <w:szCs w:val="22"/>
        </w:rPr>
        <w:t>One Health approach</w:t>
      </w:r>
      <w:r>
        <w:rPr>
          <w:kern w:val="22"/>
          <w:szCs w:val="22"/>
        </w:rPr>
        <w:t>, among other holistic approaches,</w:t>
      </w:r>
      <w:r w:rsidRPr="00041908">
        <w:rPr>
          <w:kern w:val="22"/>
          <w:szCs w:val="22"/>
        </w:rPr>
        <w:t xml:space="preserve"> </w:t>
      </w:r>
      <w:r>
        <w:rPr>
          <w:kern w:val="22"/>
          <w:szCs w:val="22"/>
        </w:rPr>
        <w:t>could contribute to the reduction</w:t>
      </w:r>
      <w:r w:rsidRPr="00041908">
        <w:rPr>
          <w:kern w:val="22"/>
          <w:szCs w:val="22"/>
        </w:rPr>
        <w:t xml:space="preserve"> of </w:t>
      </w:r>
      <w:r>
        <w:rPr>
          <w:kern w:val="22"/>
          <w:szCs w:val="22"/>
        </w:rPr>
        <w:t>the risk of</w:t>
      </w:r>
      <w:r w:rsidRPr="00041908">
        <w:rPr>
          <w:kern w:val="22"/>
          <w:szCs w:val="22"/>
        </w:rPr>
        <w:t xml:space="preserve"> diseases of zoonotic origin, vector-borne and other</w:t>
      </w:r>
      <w:r>
        <w:rPr>
          <w:kern w:val="22"/>
          <w:szCs w:val="22"/>
        </w:rPr>
        <w:t xml:space="preserve"> </w:t>
      </w:r>
      <w:r w:rsidRPr="00041908">
        <w:rPr>
          <w:kern w:val="22"/>
          <w:szCs w:val="22"/>
        </w:rPr>
        <w:t xml:space="preserve">infectious diseases, and </w:t>
      </w:r>
      <w:r>
        <w:rPr>
          <w:kern w:val="22"/>
          <w:szCs w:val="22"/>
        </w:rPr>
        <w:t>to</w:t>
      </w:r>
      <w:r w:rsidRPr="00041908">
        <w:rPr>
          <w:kern w:val="22"/>
          <w:szCs w:val="22"/>
        </w:rPr>
        <w:t xml:space="preserve"> health and well-</w:t>
      </w:r>
      <w:r w:rsidRPr="002543CA">
        <w:rPr>
          <w:kern w:val="22"/>
          <w:szCs w:val="22"/>
        </w:rPr>
        <w:t>being for all, also recognizing the</w:t>
      </w:r>
      <w:r>
        <w:rPr>
          <w:kern w:val="22"/>
          <w:szCs w:val="22"/>
        </w:rPr>
        <w:t xml:space="preserve"> need for the equitable access to tools and technologies including medicines, vaccines and other health products required to implement the One Health approach and other holistic approaches,</w:t>
      </w:r>
    </w:p>
    <w:p w14:paraId="5BE80232" w14:textId="77777777" w:rsidR="004678BE" w:rsidRDefault="004678BE" w:rsidP="00926DEB">
      <w:pPr>
        <w:spacing w:before="120" w:after="120"/>
        <w:ind w:firstLine="720"/>
      </w:pPr>
      <w:r w:rsidRPr="1E17E60F">
        <w:rPr>
          <w:i/>
          <w:iCs/>
          <w:color w:val="000000" w:themeColor="text1"/>
        </w:rPr>
        <w:t>Taking note</w:t>
      </w:r>
      <w:r w:rsidRPr="1E17E60F">
        <w:rPr>
          <w:snapToGrid w:val="0"/>
          <w:kern w:val="22"/>
        </w:rPr>
        <w:t xml:space="preserve"> of the 2019 </w:t>
      </w:r>
      <w:r w:rsidRPr="007D6C03">
        <w:rPr>
          <w:i/>
          <w:iCs/>
          <w:snapToGrid w:val="0"/>
          <w:kern w:val="22"/>
        </w:rPr>
        <w:t>Global Assessment Report on Biodiversity and Ecosystem Services of the Intergovernmental Science-Policy Platform on Biodiversity and Ecosystem Services</w:t>
      </w:r>
      <w:r w:rsidRPr="00610646">
        <w:rPr>
          <w:rStyle w:val="FootnoteReference"/>
          <w:rFonts w:eastAsiaTheme="majorEastAsia"/>
        </w:rPr>
        <w:footnoteReference w:id="382"/>
      </w:r>
      <w:r w:rsidRPr="00041908">
        <w:rPr>
          <w:snapToGrid w:val="0"/>
          <w:kern w:val="22"/>
          <w:szCs w:val="22"/>
        </w:rPr>
        <w:t xml:space="preserve"> </w:t>
      </w:r>
      <w:r w:rsidRPr="1E17E60F">
        <w:rPr>
          <w:snapToGrid w:val="0"/>
          <w:kern w:val="22"/>
        </w:rPr>
        <w:t xml:space="preserve">stating that </w:t>
      </w:r>
      <w:r w:rsidRPr="1E17E60F">
        <w:t>zoonotic and vector-borne diseases are significant threats to human health</w:t>
      </w:r>
      <w:r>
        <w:rPr>
          <w:szCs w:val="22"/>
        </w:rPr>
        <w:t>,</w:t>
      </w:r>
      <w:r w:rsidRPr="1E17E60F">
        <w:t xml:space="preserve"> and that</w:t>
      </w:r>
      <w:r w:rsidRPr="1E17E60F">
        <w:rPr>
          <w:snapToGrid w:val="0"/>
          <w:kern w:val="22"/>
        </w:rPr>
        <w:t xml:space="preserve"> e</w:t>
      </w:r>
      <w:r w:rsidRPr="1E17E60F">
        <w:t>merging infectious diseases in wildlife, domestic animals, plants or people can be exacerbated by human activities,</w:t>
      </w:r>
    </w:p>
    <w:p w14:paraId="6EA91AB1" w14:textId="77777777" w:rsidR="004678BE" w:rsidRPr="00960ADD" w:rsidRDefault="004678BE" w:rsidP="00854C10">
      <w:pPr>
        <w:spacing w:before="120" w:after="120"/>
        <w:ind w:firstLine="720"/>
        <w:rPr>
          <w:color w:val="000000" w:themeColor="text1"/>
        </w:rPr>
      </w:pPr>
      <w:r w:rsidRPr="00757A9C">
        <w:rPr>
          <w:i/>
          <w:iCs/>
          <w:color w:val="000000" w:themeColor="text1"/>
        </w:rPr>
        <w:lastRenderedPageBreak/>
        <w:t>Emphasiz</w:t>
      </w:r>
      <w:r w:rsidRPr="4DFBEDFF">
        <w:rPr>
          <w:i/>
          <w:iCs/>
          <w:color w:val="000000" w:themeColor="text1"/>
        </w:rPr>
        <w:t xml:space="preserve">ing </w:t>
      </w:r>
      <w:r w:rsidRPr="4DFBEDFF">
        <w:rPr>
          <w:color w:val="000000" w:themeColor="text1"/>
        </w:rPr>
        <w:t>the critical role of genetic resources, digital sequence information</w:t>
      </w:r>
      <w:r>
        <w:rPr>
          <w:color w:val="000000" w:themeColor="text1"/>
        </w:rPr>
        <w:t xml:space="preserve"> on genetic resources</w:t>
      </w:r>
      <w:r w:rsidRPr="4DFBEDFF">
        <w:rPr>
          <w:color w:val="000000" w:themeColor="text1"/>
        </w:rPr>
        <w:t>, and traditional knowledge</w:t>
      </w:r>
      <w:r>
        <w:rPr>
          <w:color w:val="000000" w:themeColor="text1"/>
        </w:rPr>
        <w:t xml:space="preserve"> associated with genetic resources</w:t>
      </w:r>
      <w:r w:rsidRPr="4DFBEDFF">
        <w:rPr>
          <w:color w:val="000000" w:themeColor="text1"/>
        </w:rPr>
        <w:t>, in the research and development of health products and services,  and the importance of the fair and equitable sharing of benefits arising from their utilization in this regard, in line with the Convention</w:t>
      </w:r>
      <w:r>
        <w:rPr>
          <w:color w:val="000000" w:themeColor="text1"/>
        </w:rPr>
        <w:t xml:space="preserve"> and its Protocols, as applicable</w:t>
      </w:r>
      <w:r w:rsidRPr="4DFBEDFF">
        <w:rPr>
          <w:color w:val="000000" w:themeColor="text1"/>
        </w:rPr>
        <w:t xml:space="preserve"> and in a mutually</w:t>
      </w:r>
      <w:r>
        <w:rPr>
          <w:color w:val="000000" w:themeColor="text1"/>
        </w:rPr>
        <w:t xml:space="preserve"> </w:t>
      </w:r>
      <w:r w:rsidRPr="4DFBEDFF">
        <w:rPr>
          <w:color w:val="000000" w:themeColor="text1"/>
        </w:rPr>
        <w:t>supportive manner with other relevant international agreements and instruments,</w:t>
      </w:r>
      <w:r>
        <w:rPr>
          <w:color w:val="000000" w:themeColor="text1"/>
        </w:rPr>
        <w:t xml:space="preserve"> </w:t>
      </w:r>
    </w:p>
    <w:p w14:paraId="6871F308" w14:textId="77777777" w:rsidR="004678BE" w:rsidRDefault="004678BE" w:rsidP="00926DEB">
      <w:pPr>
        <w:suppressLineNumbers/>
        <w:suppressAutoHyphens/>
        <w:kinsoku w:val="0"/>
        <w:overflowPunct w:val="0"/>
        <w:autoSpaceDE w:val="0"/>
        <w:autoSpaceDN w:val="0"/>
        <w:adjustRightInd w:val="0"/>
        <w:snapToGrid w:val="0"/>
        <w:spacing w:before="120" w:after="120"/>
        <w:ind w:firstLine="720"/>
        <w:rPr>
          <w:color w:val="000000" w:themeColor="text1"/>
        </w:rPr>
      </w:pPr>
      <w:r w:rsidRPr="00D91F33">
        <w:rPr>
          <w:i/>
          <w:iCs/>
          <w:color w:val="000000" w:themeColor="text1"/>
        </w:rPr>
        <w:t>Noting</w:t>
      </w:r>
      <w:r w:rsidRPr="00D91F33">
        <w:rPr>
          <w:rStyle w:val="apple-converted-space"/>
          <w:color w:val="000000" w:themeColor="text1"/>
        </w:rPr>
        <w:t> </w:t>
      </w:r>
      <w:r w:rsidRPr="00D91F33">
        <w:rPr>
          <w:color w:val="000000" w:themeColor="text1"/>
        </w:rPr>
        <w:t xml:space="preserve">ongoing efforts to draft and negotiate a World Health Organization convention, agreement or other international instrument to strengthen pandemic prevention, preparedness and response, </w:t>
      </w:r>
      <w:r w:rsidRPr="00757A9C">
        <w:rPr>
          <w:color w:val="000000" w:themeColor="text1"/>
        </w:rPr>
        <w:t>as well as ongoing negotiations on potential amendments to the International Health Regulations (2005)</w:t>
      </w:r>
      <w:r w:rsidRPr="00D91F33">
        <w:rPr>
          <w:color w:val="000000" w:themeColor="text1"/>
        </w:rPr>
        <w:t>, and the need to be consistent with, and not run counter to</w:t>
      </w:r>
      <w:r>
        <w:rPr>
          <w:color w:val="000000" w:themeColor="text1"/>
        </w:rPr>
        <w:t>,</w:t>
      </w:r>
      <w:r w:rsidRPr="00D91F33">
        <w:rPr>
          <w:color w:val="000000" w:themeColor="text1"/>
        </w:rPr>
        <w:t xml:space="preserve"> the objectives of the Convention and its Protocols, </w:t>
      </w:r>
    </w:p>
    <w:p w14:paraId="7685681F"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041908">
        <w:rPr>
          <w:kern w:val="22"/>
          <w:szCs w:val="22"/>
          <w:lang w:val="en-US"/>
        </w:rPr>
        <w:t>1.</w:t>
      </w:r>
      <w:r w:rsidRPr="00041908">
        <w:rPr>
          <w:i/>
          <w:iCs/>
          <w:kern w:val="22"/>
          <w:szCs w:val="22"/>
          <w:lang w:val="en-US"/>
        </w:rPr>
        <w:tab/>
        <w:t xml:space="preserve">Encourages </w:t>
      </w:r>
      <w:r w:rsidRPr="00041908">
        <w:rPr>
          <w:kern w:val="22"/>
          <w:szCs w:val="22"/>
          <w:lang w:val="en-US"/>
        </w:rPr>
        <w:t>Parties</w:t>
      </w:r>
      <w:r>
        <w:rPr>
          <w:kern w:val="22"/>
          <w:szCs w:val="22"/>
          <w:lang w:val="en-US"/>
        </w:rPr>
        <w:t xml:space="preserve"> and their </w:t>
      </w:r>
      <w:r w:rsidRPr="00041908">
        <w:rPr>
          <w:kern w:val="22"/>
          <w:szCs w:val="22"/>
          <w:lang w:val="en-US"/>
        </w:rPr>
        <w:t xml:space="preserve">subnational </w:t>
      </w:r>
      <w:r>
        <w:rPr>
          <w:kern w:val="22"/>
          <w:szCs w:val="22"/>
          <w:lang w:val="en-US"/>
        </w:rPr>
        <w:t xml:space="preserve">and local </w:t>
      </w:r>
      <w:r w:rsidRPr="00041908">
        <w:rPr>
          <w:kern w:val="22"/>
          <w:szCs w:val="22"/>
          <w:lang w:val="en-US"/>
        </w:rPr>
        <w:t xml:space="preserve">governments, and </w:t>
      </w:r>
      <w:r w:rsidRPr="00701D4A">
        <w:rPr>
          <w:kern w:val="22"/>
          <w:szCs w:val="22"/>
          <w:lang w:val="en-US"/>
        </w:rPr>
        <w:t>invites</w:t>
      </w:r>
      <w:r w:rsidRPr="00041908">
        <w:rPr>
          <w:kern w:val="22"/>
          <w:szCs w:val="22"/>
          <w:lang w:val="en-US"/>
        </w:rPr>
        <w:t xml:space="preserve"> </w:t>
      </w:r>
      <w:r>
        <w:rPr>
          <w:kern w:val="22"/>
          <w:szCs w:val="22"/>
          <w:lang w:val="en-US"/>
        </w:rPr>
        <w:t xml:space="preserve">other </w:t>
      </w:r>
      <w:r w:rsidRPr="00041908">
        <w:rPr>
          <w:kern w:val="22"/>
          <w:szCs w:val="22"/>
          <w:lang w:val="en-US"/>
        </w:rPr>
        <w:t>Governments,</w:t>
      </w:r>
      <w:r>
        <w:rPr>
          <w:kern w:val="22"/>
          <w:szCs w:val="22"/>
          <w:lang w:val="en-US"/>
        </w:rPr>
        <w:t xml:space="preserve"> in accordance with national circumstances and priorities, where appropriate,</w:t>
      </w:r>
      <w:r w:rsidRPr="00041908">
        <w:rPr>
          <w:kern w:val="22"/>
          <w:szCs w:val="22"/>
          <w:lang w:val="en-US"/>
        </w:rPr>
        <w:t xml:space="preserve"> and relevant stakeholders:</w:t>
      </w:r>
      <w:r>
        <w:rPr>
          <w:kern w:val="22"/>
          <w:szCs w:val="22"/>
          <w:lang w:val="en-US"/>
        </w:rPr>
        <w:t xml:space="preserve"> </w:t>
      </w:r>
    </w:p>
    <w:p w14:paraId="76F874E1"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lang w:val="en-US"/>
        </w:rPr>
        <w:t>(a)</w:t>
      </w:r>
      <w:r>
        <w:rPr>
          <w:kern w:val="22"/>
          <w:szCs w:val="22"/>
          <w:lang w:val="en-US"/>
        </w:rPr>
        <w:tab/>
        <w:t>T</w:t>
      </w:r>
      <w:r w:rsidRPr="00041908">
        <w:rPr>
          <w:kern w:val="22"/>
          <w:szCs w:val="22"/>
          <w:lang w:val="en-US"/>
        </w:rPr>
        <w:t xml:space="preserve">o take actions for a sustainable and inclusive recovery from </w:t>
      </w:r>
      <w:r>
        <w:rPr>
          <w:kern w:val="22"/>
          <w:szCs w:val="22"/>
          <w:lang w:val="en-US"/>
        </w:rPr>
        <w:t xml:space="preserve">the </w:t>
      </w:r>
      <w:r w:rsidRPr="00041908">
        <w:rPr>
          <w:kern w:val="22"/>
          <w:szCs w:val="22"/>
          <w:lang w:val="en-US"/>
        </w:rPr>
        <w:t>COVID-19 pandemic</w:t>
      </w:r>
      <w:r>
        <w:rPr>
          <w:kern w:val="22"/>
          <w:szCs w:val="22"/>
          <w:lang w:val="en-US"/>
        </w:rPr>
        <w:t>,</w:t>
      </w:r>
      <w:r w:rsidRPr="00041908">
        <w:rPr>
          <w:kern w:val="22"/>
          <w:szCs w:val="22"/>
          <w:lang w:val="en-US"/>
        </w:rPr>
        <w:t xml:space="preserve"> </w:t>
      </w:r>
      <w:r>
        <w:rPr>
          <w:kern w:val="22"/>
          <w:szCs w:val="22"/>
          <w:lang w:val="en-US"/>
        </w:rPr>
        <w:t>which</w:t>
      </w:r>
      <w:r w:rsidRPr="00041908">
        <w:rPr>
          <w:kern w:val="22"/>
          <w:szCs w:val="22"/>
          <w:lang w:val="en-US"/>
        </w:rPr>
        <w:t xml:space="preserve"> contribute to the conservation and sustainable use of biodiversity, and thereby contribute to minimizing the risk of future diseases of zoonotic origin,</w:t>
      </w:r>
      <w:r w:rsidRPr="00041908">
        <w:rPr>
          <w:kern w:val="22"/>
          <w:szCs w:val="22"/>
        </w:rPr>
        <w:t xml:space="preserve"> taking into account </w:t>
      </w:r>
      <w:r>
        <w:rPr>
          <w:kern w:val="22"/>
          <w:szCs w:val="22"/>
        </w:rPr>
        <w:t>the</w:t>
      </w:r>
      <w:r w:rsidRPr="00041908">
        <w:rPr>
          <w:kern w:val="22"/>
          <w:szCs w:val="22"/>
        </w:rPr>
        <w:t xml:space="preserve"> One Health approach</w:t>
      </w:r>
      <w:r>
        <w:rPr>
          <w:kern w:val="22"/>
          <w:szCs w:val="22"/>
        </w:rPr>
        <w:t>,</w:t>
      </w:r>
      <w:r w:rsidRPr="00041908">
        <w:rPr>
          <w:kern w:val="22"/>
          <w:szCs w:val="22"/>
        </w:rPr>
        <w:t xml:space="preserve"> among other </w:t>
      </w:r>
      <w:r>
        <w:rPr>
          <w:kern w:val="22"/>
          <w:szCs w:val="22"/>
        </w:rPr>
        <w:t>holistic</w:t>
      </w:r>
      <w:r w:rsidRPr="00041908">
        <w:rPr>
          <w:kern w:val="22"/>
          <w:szCs w:val="22"/>
        </w:rPr>
        <w:t xml:space="preserve"> approaches;</w:t>
      </w:r>
      <w:r>
        <w:rPr>
          <w:kern w:val="22"/>
          <w:szCs w:val="22"/>
        </w:rPr>
        <w:t xml:space="preserve"> </w:t>
      </w:r>
    </w:p>
    <w:p w14:paraId="34A8D340"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(b)</w:t>
      </w:r>
      <w:r>
        <w:rPr>
          <w:snapToGrid w:val="0"/>
          <w:kern w:val="22"/>
          <w:szCs w:val="22"/>
        </w:rPr>
        <w:tab/>
        <w:t xml:space="preserve">To </w:t>
      </w:r>
      <w:r w:rsidRPr="00041908">
        <w:rPr>
          <w:szCs w:val="22"/>
        </w:rPr>
        <w:t xml:space="preserve">further integrate </w:t>
      </w:r>
      <w:r>
        <w:rPr>
          <w:szCs w:val="22"/>
        </w:rPr>
        <w:t xml:space="preserve">the </w:t>
      </w:r>
      <w:r w:rsidRPr="00041908">
        <w:rPr>
          <w:szCs w:val="22"/>
        </w:rPr>
        <w:t>One Health approach</w:t>
      </w:r>
      <w:r>
        <w:rPr>
          <w:szCs w:val="22"/>
        </w:rPr>
        <w:t>, among other holistic approaches,</w:t>
      </w:r>
      <w:r w:rsidRPr="00041908">
        <w:rPr>
          <w:szCs w:val="22"/>
        </w:rPr>
        <w:t xml:space="preserve"> in their national biodiversity strategies and action plans, </w:t>
      </w:r>
      <w:r>
        <w:rPr>
          <w:szCs w:val="22"/>
        </w:rPr>
        <w:t xml:space="preserve">and </w:t>
      </w:r>
      <w:r w:rsidRPr="00041908">
        <w:rPr>
          <w:szCs w:val="22"/>
        </w:rPr>
        <w:t xml:space="preserve">national health plans, as appropriate, to support the implementation of the </w:t>
      </w:r>
      <w:r>
        <w:rPr>
          <w:szCs w:val="22"/>
        </w:rPr>
        <w:t xml:space="preserve">Kunming-Montreal Global Biodiversity Framework; </w:t>
      </w:r>
    </w:p>
    <w:p w14:paraId="4BBD0D4D" w14:textId="77777777" w:rsidR="004678BE" w:rsidRDefault="004678BE" w:rsidP="00835334">
      <w:pPr>
        <w:suppressLineNumbers/>
        <w:suppressAutoHyphens/>
        <w:kinsoku w:val="0"/>
        <w:overflowPunct w:val="0"/>
        <w:autoSpaceDE w:val="0"/>
        <w:autoSpaceDN w:val="0"/>
        <w:adjustRightInd w:val="0"/>
        <w:snapToGrid w:val="0"/>
        <w:spacing w:before="120" w:after="120"/>
        <w:ind w:firstLine="720"/>
        <w:rPr>
          <w:szCs w:val="22"/>
        </w:rPr>
      </w:pPr>
      <w:r w:rsidRPr="00041908">
        <w:rPr>
          <w:snapToGrid w:val="0"/>
          <w:kern w:val="22"/>
          <w:szCs w:val="22"/>
        </w:rPr>
        <w:t>(c)</w:t>
      </w:r>
      <w:r>
        <w:rPr>
          <w:snapToGrid w:val="0"/>
          <w:kern w:val="22"/>
          <w:szCs w:val="22"/>
        </w:rPr>
        <w:tab/>
        <w:t xml:space="preserve">To </w:t>
      </w:r>
      <w:r w:rsidRPr="00041908">
        <w:rPr>
          <w:snapToGrid w:val="0"/>
          <w:kern w:val="22"/>
          <w:szCs w:val="22"/>
        </w:rPr>
        <w:t xml:space="preserve">further </w:t>
      </w:r>
      <w:r w:rsidRPr="006A3670">
        <w:rPr>
          <w:szCs w:val="22"/>
        </w:rPr>
        <w:t xml:space="preserve">support capacity-building </w:t>
      </w:r>
      <w:r w:rsidRPr="007D6C03">
        <w:rPr>
          <w:szCs w:val="22"/>
        </w:rPr>
        <w:t xml:space="preserve">and </w:t>
      </w:r>
      <w:r w:rsidRPr="006A3670">
        <w:rPr>
          <w:szCs w:val="22"/>
        </w:rPr>
        <w:t>development for mainstreaming</w:t>
      </w:r>
      <w:r w:rsidRPr="00041908">
        <w:rPr>
          <w:szCs w:val="22"/>
        </w:rPr>
        <w:t xml:space="preserve"> biodiversity and health linkages into </w:t>
      </w:r>
      <w:r>
        <w:rPr>
          <w:szCs w:val="22"/>
        </w:rPr>
        <w:t xml:space="preserve">the implementation of </w:t>
      </w:r>
      <w:r w:rsidRPr="00041908">
        <w:rPr>
          <w:szCs w:val="22"/>
        </w:rPr>
        <w:t xml:space="preserve">the </w:t>
      </w:r>
      <w:r>
        <w:rPr>
          <w:szCs w:val="22"/>
        </w:rPr>
        <w:t xml:space="preserve">Kunming-Montreal Global Biodiversity Framework; </w:t>
      </w:r>
    </w:p>
    <w:p w14:paraId="2EB40EA7" w14:textId="77777777" w:rsidR="004678BE" w:rsidRPr="00041908" w:rsidRDefault="004678BE" w:rsidP="007B17CC">
      <w:pPr>
        <w:suppressLineNumbers/>
        <w:suppressAutoHyphens/>
        <w:kinsoku w:val="0"/>
        <w:overflowPunct w:val="0"/>
        <w:autoSpaceDE w:val="0"/>
        <w:autoSpaceDN w:val="0"/>
        <w:adjustRightInd w:val="0"/>
        <w:snapToGrid w:val="0"/>
        <w:spacing w:before="120" w:after="120"/>
        <w:ind w:firstLine="720"/>
      </w:pPr>
      <w:r>
        <w:t>(d)</w:t>
      </w:r>
      <w:r>
        <w:tab/>
        <w:t>To strengthen compliance with international and national provisions on access and benefit</w:t>
      </w:r>
      <w:r>
        <w:noBreakHyphen/>
        <w:t xml:space="preserve">sharing, in order to enhance the fair and equitable sharing of benefits arising from the utilization of genetic resources, as well as the fair and equitable sharing of benefits arising from the use of digital sequence information on genetic resources, in the relevant health sectors; </w:t>
      </w:r>
    </w:p>
    <w:p w14:paraId="4CA2E1AD" w14:textId="77777777" w:rsidR="004678BE" w:rsidRDefault="004678BE"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2.</w:t>
      </w:r>
      <w:r w:rsidRPr="00041908">
        <w:rPr>
          <w:kern w:val="22"/>
          <w:szCs w:val="22"/>
        </w:rPr>
        <w:tab/>
      </w:r>
      <w:r w:rsidRPr="00041908">
        <w:rPr>
          <w:i/>
          <w:iCs/>
          <w:kern w:val="22"/>
          <w:szCs w:val="22"/>
        </w:rPr>
        <w:t>Invites</w:t>
      </w:r>
      <w:r w:rsidRPr="00041908">
        <w:rPr>
          <w:i/>
          <w:iCs/>
          <w:szCs w:val="22"/>
        </w:rPr>
        <w:t xml:space="preserve"> </w:t>
      </w:r>
      <w:r w:rsidRPr="00041908">
        <w:rPr>
          <w:kern w:val="22"/>
          <w:szCs w:val="22"/>
        </w:rPr>
        <w:t xml:space="preserve">the Quadripartite </w:t>
      </w:r>
      <w:r>
        <w:rPr>
          <w:kern w:val="22"/>
          <w:szCs w:val="22"/>
        </w:rPr>
        <w:t>for One Health</w:t>
      </w:r>
      <w:r w:rsidRPr="00041908">
        <w:rPr>
          <w:kern w:val="22"/>
          <w:szCs w:val="22"/>
        </w:rPr>
        <w:t>, the One Health High-</w:t>
      </w:r>
      <w:r>
        <w:rPr>
          <w:kern w:val="22"/>
          <w:szCs w:val="22"/>
        </w:rPr>
        <w:t>L</w:t>
      </w:r>
      <w:r w:rsidRPr="00041908">
        <w:rPr>
          <w:kern w:val="22"/>
          <w:szCs w:val="22"/>
        </w:rPr>
        <w:t>evel Expert Panel, and other relevant expert groups and initiatives:</w:t>
      </w:r>
      <w:r>
        <w:rPr>
          <w:kern w:val="22"/>
          <w:szCs w:val="22"/>
        </w:rPr>
        <w:t xml:space="preserve"> </w:t>
      </w:r>
    </w:p>
    <w:p w14:paraId="1FB88EDA" w14:textId="77777777" w:rsidR="004678BE" w:rsidRPr="00757A9C" w:rsidRDefault="004678BE"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1E17E60F">
        <w:rPr>
          <w:kern w:val="22"/>
        </w:rPr>
        <w:t>(a)</w:t>
      </w:r>
      <w:r w:rsidRPr="00041908">
        <w:rPr>
          <w:kern w:val="22"/>
          <w:szCs w:val="22"/>
        </w:rPr>
        <w:tab/>
      </w:r>
      <w:r w:rsidRPr="1E17E60F">
        <w:rPr>
          <w:kern w:val="22"/>
        </w:rPr>
        <w:t>To take into account in their work the linkages between health and biodiversity, the need for the One Health approach, among other holistic approaches, pursuant to decisions XIII/6 and 14/4</w:t>
      </w:r>
      <w:r>
        <w:rPr>
          <w:kern w:val="22"/>
        </w:rPr>
        <w:t xml:space="preserve">, recognizing social determinants of health and </w:t>
      </w:r>
      <w:r w:rsidRPr="1E17E60F">
        <w:rPr>
          <w:kern w:val="22"/>
        </w:rPr>
        <w:t xml:space="preserve">socioeconomic inequities between developing and developed countries, particularly health inequalities, as well as </w:t>
      </w:r>
      <w:r w:rsidRPr="007D6C03">
        <w:rPr>
          <w:kern w:val="22"/>
        </w:rPr>
        <w:t>equity and solidarity</w:t>
      </w:r>
      <w:r w:rsidRPr="00041908">
        <w:rPr>
          <w:kern w:val="22"/>
          <w:szCs w:val="22"/>
        </w:rPr>
        <w:t>;</w:t>
      </w:r>
      <w:r>
        <w:rPr>
          <w:kern w:val="22"/>
          <w:szCs w:val="22"/>
        </w:rPr>
        <w:t xml:space="preserve"> </w:t>
      </w:r>
    </w:p>
    <w:p w14:paraId="064D1558" w14:textId="77777777" w:rsidR="004678BE" w:rsidRPr="00041908" w:rsidRDefault="004678BE" w:rsidP="00926DEB">
      <w:pPr>
        <w:suppressLineNumbers/>
        <w:suppressAutoHyphens/>
        <w:kinsoku w:val="0"/>
        <w:overflowPunct w:val="0"/>
        <w:autoSpaceDE w:val="0"/>
        <w:autoSpaceDN w:val="0"/>
        <w:adjustRightInd w:val="0"/>
        <w:snapToGrid w:val="0"/>
        <w:spacing w:before="120" w:after="120"/>
        <w:ind w:firstLine="720"/>
        <w:rPr>
          <w:kern w:val="22"/>
          <w:szCs w:val="22"/>
        </w:rPr>
      </w:pPr>
      <w:r w:rsidRPr="00041908">
        <w:rPr>
          <w:kern w:val="22"/>
          <w:szCs w:val="22"/>
        </w:rPr>
        <w:t>(b)</w:t>
      </w:r>
      <w:r w:rsidRPr="00041908">
        <w:rPr>
          <w:kern w:val="22"/>
          <w:szCs w:val="22"/>
        </w:rPr>
        <w:tab/>
      </w:r>
      <w:r>
        <w:rPr>
          <w:kern w:val="22"/>
          <w:szCs w:val="22"/>
        </w:rPr>
        <w:t>To c</w:t>
      </w:r>
      <w:r w:rsidRPr="00041908">
        <w:rPr>
          <w:kern w:val="22"/>
          <w:szCs w:val="22"/>
        </w:rPr>
        <w:t xml:space="preserve">ontribute </w:t>
      </w:r>
      <w:r>
        <w:rPr>
          <w:kern w:val="22"/>
          <w:szCs w:val="22"/>
        </w:rPr>
        <w:t xml:space="preserve">with guidance, interdisciplinary education and training, </w:t>
      </w:r>
      <w:r w:rsidRPr="00041908">
        <w:rPr>
          <w:kern w:val="22"/>
          <w:szCs w:val="22"/>
        </w:rPr>
        <w:t xml:space="preserve">to the implementation of health-related elements </w:t>
      </w:r>
      <w:r>
        <w:rPr>
          <w:kern w:val="22"/>
          <w:szCs w:val="22"/>
        </w:rPr>
        <w:t xml:space="preserve">and the application of the One Health approach, among other holistic approaches, in </w:t>
      </w:r>
      <w:r w:rsidRPr="00041908">
        <w:rPr>
          <w:kern w:val="22"/>
          <w:szCs w:val="22"/>
        </w:rPr>
        <w:t xml:space="preserve">the </w:t>
      </w:r>
      <w:r>
        <w:rPr>
          <w:szCs w:val="22"/>
        </w:rPr>
        <w:t>Kunming-Montreal Global Biodiversity Framework</w:t>
      </w:r>
      <w:r w:rsidRPr="00041908">
        <w:rPr>
          <w:kern w:val="22"/>
          <w:szCs w:val="22"/>
        </w:rPr>
        <w:t>;</w:t>
      </w:r>
      <w:r>
        <w:rPr>
          <w:kern w:val="22"/>
          <w:szCs w:val="22"/>
        </w:rPr>
        <w:t xml:space="preserve"> </w:t>
      </w:r>
    </w:p>
    <w:p w14:paraId="563883C5" w14:textId="77777777" w:rsidR="004678BE" w:rsidRPr="00041908" w:rsidRDefault="004678BE"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(c)</w:t>
      </w:r>
      <w:r w:rsidRPr="00041908">
        <w:rPr>
          <w:kern w:val="22"/>
          <w:szCs w:val="22"/>
        </w:rPr>
        <w:tab/>
      </w:r>
      <w:r>
        <w:rPr>
          <w:kern w:val="22"/>
          <w:szCs w:val="22"/>
        </w:rPr>
        <w:t>To c</w:t>
      </w:r>
      <w:r w:rsidRPr="00041908">
        <w:rPr>
          <w:kern w:val="22"/>
          <w:szCs w:val="22"/>
        </w:rPr>
        <w:t xml:space="preserve">ontribute to the development of, and reporting on, health-related indicators of the monitoring framework for the </w:t>
      </w:r>
      <w:r>
        <w:rPr>
          <w:szCs w:val="22"/>
        </w:rPr>
        <w:t>Kunming-Montreal Global Biodiversity Framework</w:t>
      </w:r>
      <w:r w:rsidRPr="00041908">
        <w:rPr>
          <w:kern w:val="22"/>
          <w:szCs w:val="22"/>
        </w:rPr>
        <w:t>;</w:t>
      </w:r>
      <w:r>
        <w:rPr>
          <w:kern w:val="22"/>
          <w:szCs w:val="22"/>
        </w:rPr>
        <w:t xml:space="preserve"> </w:t>
      </w:r>
    </w:p>
    <w:p w14:paraId="5123FC40" w14:textId="77777777" w:rsidR="004678BE" w:rsidRPr="00041908" w:rsidRDefault="004678BE"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041908">
        <w:rPr>
          <w:kern w:val="22"/>
          <w:szCs w:val="22"/>
        </w:rPr>
        <w:t>(d)</w:t>
      </w:r>
      <w:r w:rsidRPr="00041908">
        <w:rPr>
          <w:kern w:val="22"/>
          <w:szCs w:val="22"/>
        </w:rPr>
        <w:tab/>
      </w:r>
      <w:r>
        <w:rPr>
          <w:kern w:val="22"/>
          <w:szCs w:val="22"/>
        </w:rPr>
        <w:t>To c</w:t>
      </w:r>
      <w:r w:rsidRPr="00041908">
        <w:rPr>
          <w:kern w:val="22"/>
          <w:szCs w:val="22"/>
        </w:rPr>
        <w:t>ollaborate with the Executive Secretary in providing Parties with capacity</w:t>
      </w:r>
      <w:r>
        <w:rPr>
          <w:kern w:val="22"/>
          <w:szCs w:val="22"/>
        </w:rPr>
        <w:noBreakHyphen/>
        <w:t xml:space="preserve">building, technology transfer, and resource mobilization </w:t>
      </w:r>
      <w:r w:rsidRPr="00041908">
        <w:rPr>
          <w:kern w:val="22"/>
          <w:szCs w:val="22"/>
        </w:rPr>
        <w:t>opportunities for mainstreaming biodiversity and health linkages</w:t>
      </w:r>
      <w:r>
        <w:rPr>
          <w:kern w:val="22"/>
          <w:szCs w:val="22"/>
        </w:rPr>
        <w:t>;</w:t>
      </w:r>
      <w:r w:rsidRPr="00041908">
        <w:rPr>
          <w:kern w:val="22"/>
          <w:szCs w:val="22"/>
        </w:rPr>
        <w:t xml:space="preserve"> </w:t>
      </w:r>
    </w:p>
    <w:p w14:paraId="6C90FB5D" w14:textId="77777777" w:rsidR="004678BE" w:rsidRDefault="004678BE" w:rsidP="1E17E60F">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en-US"/>
        </w:rPr>
      </w:pPr>
      <w:r w:rsidRPr="1E17E60F">
        <w:rPr>
          <w:kern w:val="22"/>
        </w:rPr>
        <w:t>3.</w:t>
      </w:r>
      <w:r w:rsidRPr="00041908">
        <w:rPr>
          <w:kern w:val="22"/>
          <w:szCs w:val="22"/>
        </w:rPr>
        <w:tab/>
      </w:r>
      <w:r w:rsidRPr="1E17E60F">
        <w:rPr>
          <w:i/>
          <w:iCs/>
          <w:kern w:val="22"/>
        </w:rPr>
        <w:t>I</w:t>
      </w:r>
      <w:r w:rsidRPr="1E17E60F">
        <w:rPr>
          <w:i/>
          <w:iCs/>
          <w:kern w:val="22"/>
          <w:lang w:val="en-US"/>
        </w:rPr>
        <w:t>nvites</w:t>
      </w:r>
      <w:r w:rsidRPr="1E17E60F">
        <w:rPr>
          <w:kern w:val="22"/>
          <w:lang w:val="en-US"/>
        </w:rPr>
        <w:t xml:space="preserve"> the Global Environment Facility, in accordance with its mandate, as appropriate, to consider providing technical and financial support for mainstreaming biodiversity and health linkages;</w:t>
      </w:r>
      <w:r>
        <w:rPr>
          <w:kern w:val="22"/>
          <w:lang w:val="en-US"/>
        </w:rPr>
        <w:t xml:space="preserve"> </w:t>
      </w:r>
    </w:p>
    <w:p w14:paraId="11081001" w14:textId="77777777" w:rsidR="004678BE" w:rsidRPr="00C11365" w:rsidRDefault="004678BE"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n-US"/>
        </w:rPr>
      </w:pPr>
      <w:r>
        <w:rPr>
          <w:kern w:val="22"/>
          <w:szCs w:val="22"/>
          <w:lang w:val="en-US"/>
        </w:rPr>
        <w:t xml:space="preserve">4. </w:t>
      </w:r>
      <w:r>
        <w:rPr>
          <w:kern w:val="22"/>
          <w:szCs w:val="22"/>
          <w:lang w:val="en-US"/>
        </w:rPr>
        <w:tab/>
      </w:r>
      <w:r>
        <w:rPr>
          <w:i/>
          <w:iCs/>
          <w:kern w:val="22"/>
          <w:szCs w:val="22"/>
          <w:lang w:val="en-US"/>
        </w:rPr>
        <w:t>I</w:t>
      </w:r>
      <w:r w:rsidRPr="00C11365">
        <w:rPr>
          <w:i/>
          <w:iCs/>
          <w:kern w:val="22"/>
          <w:szCs w:val="22"/>
          <w:lang w:val="en-US"/>
        </w:rPr>
        <w:t>nvites</w:t>
      </w:r>
      <w:r>
        <w:rPr>
          <w:i/>
          <w:iCs/>
          <w:kern w:val="22"/>
          <w:szCs w:val="22"/>
          <w:lang w:val="en-US"/>
        </w:rPr>
        <w:t xml:space="preserve"> </w:t>
      </w:r>
      <w:r>
        <w:rPr>
          <w:kern w:val="22"/>
          <w:szCs w:val="22"/>
          <w:lang w:val="en-US"/>
        </w:rPr>
        <w:t xml:space="preserve">Parties, other Governments, and all relevant donors and funding organizations in a position to do so, to consider providing </w:t>
      </w:r>
      <w:r w:rsidRPr="00594FDF">
        <w:rPr>
          <w:kern w:val="22"/>
          <w:szCs w:val="22"/>
          <w:lang w:val="en-US"/>
        </w:rPr>
        <w:t>technical</w:t>
      </w:r>
      <w:r w:rsidRPr="00041908">
        <w:rPr>
          <w:kern w:val="22"/>
          <w:szCs w:val="22"/>
          <w:lang w:val="en-US"/>
        </w:rPr>
        <w:t xml:space="preserve"> </w:t>
      </w:r>
      <w:r>
        <w:rPr>
          <w:kern w:val="22"/>
          <w:szCs w:val="22"/>
          <w:lang w:val="en-US"/>
        </w:rPr>
        <w:t>support and mobilizing resources</w:t>
      </w:r>
      <w:r w:rsidRPr="00041908">
        <w:rPr>
          <w:kern w:val="22"/>
          <w:szCs w:val="22"/>
          <w:lang w:val="en-US"/>
        </w:rPr>
        <w:t xml:space="preserve"> for mainstreaming biodiversity and health linkages</w:t>
      </w:r>
      <w:r>
        <w:rPr>
          <w:kern w:val="22"/>
          <w:szCs w:val="22"/>
          <w:lang w:val="en-US"/>
        </w:rPr>
        <w:t xml:space="preserve">; </w:t>
      </w:r>
    </w:p>
    <w:p w14:paraId="7D5ABB85" w14:textId="77777777" w:rsidR="004678BE" w:rsidRPr="00041908" w:rsidRDefault="004678BE" w:rsidP="00757A9C">
      <w:pPr>
        <w:suppressLineNumbers/>
        <w:suppressAutoHyphens/>
        <w:kinsoku w:val="0"/>
        <w:overflowPunct w:val="0"/>
        <w:autoSpaceDE w:val="0"/>
        <w:autoSpaceDN w:val="0"/>
        <w:adjustRightInd w:val="0"/>
        <w:snapToGrid w:val="0"/>
        <w:spacing w:before="120" w:after="120"/>
        <w:ind w:firstLine="720"/>
      </w:pPr>
      <w:r w:rsidRPr="1E17E60F">
        <w:rPr>
          <w:kern w:val="22"/>
        </w:rPr>
        <w:lastRenderedPageBreak/>
        <w:t>5</w:t>
      </w:r>
      <w:r w:rsidRPr="00041908">
        <w:rPr>
          <w:kern w:val="22"/>
          <w:szCs w:val="22"/>
        </w:rPr>
        <w:t>.</w:t>
      </w:r>
      <w:r w:rsidRPr="00041908">
        <w:rPr>
          <w:kern w:val="22"/>
          <w:szCs w:val="22"/>
        </w:rPr>
        <w:tab/>
      </w:r>
      <w:r w:rsidRPr="1E17E60F">
        <w:rPr>
          <w:i/>
          <w:iCs/>
          <w:kern w:val="22"/>
        </w:rPr>
        <w:t>Requests</w:t>
      </w:r>
      <w:r w:rsidRPr="1E17E60F">
        <w:rPr>
          <w:kern w:val="22"/>
        </w:rPr>
        <w:t xml:space="preserve"> the Executive Secretary, subject to the availability of resources, in consultation with the Bureau of the Subsidiary Body on Scientific, </w:t>
      </w:r>
      <w:r w:rsidRPr="1E17E60F">
        <w:rPr>
          <w:snapToGrid w:val="0"/>
          <w:kern w:val="22"/>
        </w:rPr>
        <w:t>Technical and Technological Advice</w:t>
      </w:r>
      <w:r>
        <w:rPr>
          <w:snapToGrid w:val="0"/>
          <w:kern w:val="22"/>
          <w:szCs w:val="22"/>
        </w:rPr>
        <w:t>,</w:t>
      </w:r>
      <w:r w:rsidRPr="00041908">
        <w:rPr>
          <w:snapToGrid w:val="0"/>
          <w:kern w:val="22"/>
          <w:szCs w:val="22"/>
        </w:rPr>
        <w:t xml:space="preserve"> </w:t>
      </w:r>
      <w:r w:rsidRPr="1E17E60F">
        <w:rPr>
          <w:kern w:val="22"/>
        </w:rPr>
        <w:t>and in collaboration with</w:t>
      </w:r>
      <w:r>
        <w:rPr>
          <w:kern w:val="22"/>
        </w:rPr>
        <w:t xml:space="preserve"> the World Health Organization and </w:t>
      </w:r>
      <w:r w:rsidRPr="1E17E60F">
        <w:rPr>
          <w:kern w:val="22"/>
        </w:rPr>
        <w:t>the Quadripartite for One Health</w:t>
      </w:r>
      <w:r w:rsidRPr="00041908">
        <w:rPr>
          <w:kern w:val="22"/>
          <w:szCs w:val="22"/>
        </w:rPr>
        <w:t xml:space="preserve">, </w:t>
      </w:r>
      <w:r w:rsidRPr="1E17E60F">
        <w:rPr>
          <w:kern w:val="22"/>
        </w:rPr>
        <w:t>to</w:t>
      </w:r>
      <w:r w:rsidRPr="00D07C78">
        <w:rPr>
          <w:kern w:val="22"/>
          <w:szCs w:val="22"/>
        </w:rPr>
        <w:t xml:space="preserve"> </w:t>
      </w:r>
      <w:r w:rsidRPr="1E17E60F">
        <w:rPr>
          <w:kern w:val="22"/>
        </w:rPr>
        <w:t>complete the work pursuant to decision 14/4, paragraph 13 (b)</w:t>
      </w:r>
      <w:r>
        <w:rPr>
          <w:kern w:val="22"/>
        </w:rPr>
        <w:t xml:space="preserve"> and </w:t>
      </w:r>
      <w:r w:rsidRPr="1E17E60F">
        <w:rPr>
          <w:kern w:val="22"/>
        </w:rPr>
        <w:t xml:space="preserve">(c) on targeted messages and a draft global action plan, drawing on the deliberations of the resumed session of the twenty-fourth meeting of the Subsidiary Body on Scientific, </w:t>
      </w:r>
      <w:r w:rsidRPr="1E17E60F">
        <w:rPr>
          <w:snapToGrid w:val="0"/>
          <w:kern w:val="22"/>
        </w:rPr>
        <w:t>Technical and Technological Advice</w:t>
      </w:r>
      <w:r w:rsidRPr="1E17E60F">
        <w:rPr>
          <w:kern w:val="22"/>
        </w:rPr>
        <w:t>, as follows:</w:t>
      </w:r>
      <w:r w:rsidRPr="00041908">
        <w:rPr>
          <w:kern w:val="22"/>
          <w:szCs w:val="22"/>
        </w:rPr>
        <w:t xml:space="preserve"> </w:t>
      </w:r>
    </w:p>
    <w:p w14:paraId="1CD8D042" w14:textId="77777777" w:rsidR="004678BE" w:rsidRDefault="004678BE" w:rsidP="00586AA3">
      <w:pPr>
        <w:suppressLineNumbers/>
        <w:suppressAutoHyphens/>
        <w:kinsoku w:val="0"/>
        <w:overflowPunct w:val="0"/>
        <w:autoSpaceDE w:val="0"/>
        <w:autoSpaceDN w:val="0"/>
        <w:adjustRightInd w:val="0"/>
        <w:snapToGrid w:val="0"/>
        <w:spacing w:before="120" w:after="120"/>
        <w:ind w:firstLine="720"/>
        <w:rPr>
          <w:kern w:val="22"/>
        </w:rPr>
      </w:pPr>
      <w:r w:rsidRPr="1E17E60F">
        <w:rPr>
          <w:kern w:val="22"/>
        </w:rPr>
        <w:t>(a)</w:t>
      </w:r>
      <w:r w:rsidRPr="00041908">
        <w:rPr>
          <w:kern w:val="22"/>
          <w:szCs w:val="22"/>
        </w:rPr>
        <w:tab/>
      </w:r>
      <w:r w:rsidRPr="1E17E60F">
        <w:rPr>
          <w:kern w:val="22"/>
        </w:rPr>
        <w:t>To produce an updated version of the draft global action plan and targeted messages based on the inputs received from Parties,</w:t>
      </w:r>
      <w:r w:rsidRPr="0082281C">
        <w:rPr>
          <w:kern w:val="22"/>
          <w:szCs w:val="22"/>
        </w:rPr>
        <w:t xml:space="preserve"> </w:t>
      </w:r>
      <w:r w:rsidRPr="1E17E60F">
        <w:rPr>
          <w:kern w:val="22"/>
        </w:rPr>
        <w:t>other Governments, indigenous peoples and local communities, women, youth, and other relevant stakeholders</w:t>
      </w:r>
      <w:r>
        <w:rPr>
          <w:kern w:val="22"/>
        </w:rPr>
        <w:t>,</w:t>
      </w:r>
      <w:r w:rsidRPr="1E17E60F">
        <w:rPr>
          <w:kern w:val="22"/>
        </w:rPr>
        <w:t xml:space="preserve"> </w:t>
      </w:r>
      <w:r>
        <w:rPr>
          <w:kern w:val="22"/>
        </w:rPr>
        <w:t>recognizing</w:t>
      </w:r>
      <w:r w:rsidRPr="1E17E60F">
        <w:rPr>
          <w:kern w:val="22"/>
        </w:rPr>
        <w:t xml:space="preserve"> the issues of equity, </w:t>
      </w:r>
      <w:r>
        <w:rPr>
          <w:kern w:val="22"/>
        </w:rPr>
        <w:t xml:space="preserve">including </w:t>
      </w:r>
      <w:r w:rsidRPr="1E17E60F">
        <w:rPr>
          <w:kern w:val="22"/>
        </w:rPr>
        <w:t xml:space="preserve">through the fair and equitable sharing of benefits arising from the utilization of genetic resources </w:t>
      </w:r>
      <w:r>
        <w:rPr>
          <w:kern w:val="22"/>
        </w:rPr>
        <w:t xml:space="preserve">as well as the fair and equitable sharing of benefits arising from the use of </w:t>
      </w:r>
      <w:r w:rsidRPr="1E17E60F">
        <w:rPr>
          <w:kern w:val="22"/>
        </w:rPr>
        <w:t xml:space="preserve">digital sequence information </w:t>
      </w:r>
      <w:r>
        <w:rPr>
          <w:kern w:val="22"/>
        </w:rPr>
        <w:t xml:space="preserve">on genetic resources </w:t>
      </w:r>
      <w:r w:rsidRPr="1E17E60F">
        <w:rPr>
          <w:kern w:val="22"/>
        </w:rPr>
        <w:t xml:space="preserve">and traditional </w:t>
      </w:r>
      <w:r>
        <w:t>knowledge associated with genetic resources</w:t>
      </w:r>
      <w:r w:rsidRPr="1E17E60F">
        <w:rPr>
          <w:kern w:val="22"/>
        </w:rPr>
        <w:t xml:space="preserve">; </w:t>
      </w:r>
    </w:p>
    <w:p w14:paraId="44BA4007" w14:textId="77777777" w:rsidR="004678BE" w:rsidRDefault="004678BE" w:rsidP="00926DEB">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 xml:space="preserve">(b) </w:t>
      </w:r>
      <w:r>
        <w:rPr>
          <w:kern w:val="22"/>
          <w:szCs w:val="22"/>
        </w:rPr>
        <w:tab/>
        <w:t xml:space="preserve">To invite Parties, other Governments, </w:t>
      </w:r>
      <w:r w:rsidRPr="00041908">
        <w:rPr>
          <w:kern w:val="22"/>
          <w:szCs w:val="22"/>
        </w:rPr>
        <w:t xml:space="preserve">indigenous peoples and local communities, </w:t>
      </w:r>
      <w:r>
        <w:rPr>
          <w:kern w:val="22"/>
          <w:szCs w:val="22"/>
        </w:rPr>
        <w:t xml:space="preserve">women, youth, </w:t>
      </w:r>
      <w:r w:rsidRPr="00041908">
        <w:rPr>
          <w:kern w:val="22"/>
          <w:szCs w:val="22"/>
        </w:rPr>
        <w:t>and other relevant stakeholders</w:t>
      </w:r>
      <w:r>
        <w:rPr>
          <w:kern w:val="22"/>
          <w:szCs w:val="22"/>
        </w:rPr>
        <w:t xml:space="preserve"> to review the updated version of the draft global action plan; </w:t>
      </w:r>
    </w:p>
    <w:p w14:paraId="38373465" w14:textId="77777777" w:rsidR="004678BE" w:rsidRDefault="004678BE" w:rsidP="00926DEB">
      <w:pPr>
        <w:suppressLineNumbers/>
        <w:suppressAutoHyphens/>
        <w:kinsoku w:val="0"/>
        <w:overflowPunct w:val="0"/>
        <w:autoSpaceDE w:val="0"/>
        <w:autoSpaceDN w:val="0"/>
        <w:adjustRightInd w:val="0"/>
        <w:snapToGrid w:val="0"/>
        <w:spacing w:before="120" w:after="120"/>
        <w:ind w:firstLine="720"/>
        <w:rPr>
          <w:kern w:val="22"/>
        </w:rPr>
      </w:pPr>
      <w:r w:rsidRPr="1E17E60F">
        <w:rPr>
          <w:kern w:val="22"/>
        </w:rPr>
        <w:t>(c)</w:t>
      </w:r>
      <w:r>
        <w:rPr>
          <w:kern w:val="22"/>
          <w:szCs w:val="22"/>
        </w:rPr>
        <w:tab/>
      </w:r>
      <w:r w:rsidRPr="1E17E60F">
        <w:rPr>
          <w:kern w:val="22"/>
        </w:rPr>
        <w:t>To make the outcomes</w:t>
      </w:r>
      <w:r w:rsidRPr="00041908">
        <w:rPr>
          <w:kern w:val="22"/>
          <w:szCs w:val="22"/>
        </w:rPr>
        <w:t xml:space="preserve"> </w:t>
      </w:r>
      <w:r w:rsidRPr="1E17E60F">
        <w:rPr>
          <w:kern w:val="22"/>
        </w:rPr>
        <w:t>of this work available for consideration by the Subsidiary Body on Scientific, Technical and Technological Adv</w:t>
      </w:r>
      <w:r>
        <w:rPr>
          <w:kern w:val="22"/>
        </w:rPr>
        <w:t>ice</w:t>
      </w:r>
      <w:r w:rsidRPr="1E17E60F">
        <w:rPr>
          <w:kern w:val="22"/>
        </w:rPr>
        <w:t xml:space="preserve"> at a future meeting, with a view to making recommendations to the Conference of the Parties at its sixteenth meeting.</w:t>
      </w:r>
      <w:r>
        <w:rPr>
          <w:kern w:val="22"/>
        </w:rPr>
        <w:t xml:space="preserve"> </w:t>
      </w:r>
    </w:p>
    <w:p w14:paraId="5B82B85D" w14:textId="77777777" w:rsidR="004678BE" w:rsidRDefault="004678BE" w:rsidP="00926DEB">
      <w:pPr>
        <w:pStyle w:val="Para1"/>
        <w:numPr>
          <w:ilvl w:val="0"/>
          <w:numId w:val="0"/>
        </w:numPr>
        <w:jc w:val="center"/>
        <w:sectPr w:rsidR="004678BE" w:rsidSect="00441700">
          <w:footnotePr>
            <w:numRestart w:val="eachSect"/>
          </w:footnotePr>
          <w:pgSz w:w="12240" w:h="15840"/>
          <w:pgMar w:top="567" w:right="1440" w:bottom="1134" w:left="1440" w:header="709" w:footer="709" w:gutter="0"/>
          <w:cols w:space="708"/>
          <w:docGrid w:linePitch="360"/>
        </w:sectPr>
      </w:pPr>
    </w:p>
    <w:p w14:paraId="68E0FD3C" w14:textId="77777777" w:rsidR="004678BE" w:rsidRDefault="004678BE" w:rsidP="006147CE">
      <w:pPr>
        <w:pStyle w:val="decision"/>
        <w:rPr>
          <w:caps/>
        </w:rPr>
      </w:pPr>
      <w:bookmarkStart w:id="367" w:name="_Toc150438828"/>
      <w:bookmarkStart w:id="368" w:name="_Toc150670534"/>
      <w:bookmarkStart w:id="369" w:name="_Toc150670644"/>
      <w:bookmarkStart w:id="370" w:name="_Toc150761140"/>
      <w:r>
        <w:lastRenderedPageBreak/>
        <w:t>15/30.</w:t>
      </w:r>
      <w:r>
        <w:tab/>
        <w:t>Biodiversity and climate change</w:t>
      </w:r>
      <w:bookmarkEnd w:id="367"/>
      <w:bookmarkEnd w:id="368"/>
      <w:bookmarkEnd w:id="369"/>
      <w:bookmarkEnd w:id="370"/>
      <w:r w:rsidRPr="00105372">
        <w:rPr>
          <w:caps/>
        </w:rPr>
        <w:t xml:space="preserve"> </w:t>
      </w:r>
    </w:p>
    <w:p w14:paraId="1A5FCB94" w14:textId="77777777" w:rsidR="004678BE" w:rsidRPr="00EB41E2" w:rsidRDefault="004678BE" w:rsidP="000C5B0A">
      <w:pPr>
        <w:pStyle w:val="Para11"/>
        <w:suppressLineNumbers/>
        <w:suppressAutoHyphens/>
        <w:kinsoku w:val="0"/>
        <w:overflowPunct w:val="0"/>
        <w:autoSpaceDE w:val="0"/>
        <w:autoSpaceDN w:val="0"/>
        <w:adjustRightInd w:val="0"/>
        <w:snapToGrid w:val="0"/>
        <w:ind w:firstLine="720"/>
        <w:rPr>
          <w:i/>
          <w:snapToGrid w:val="0"/>
          <w:kern w:val="22"/>
          <w:sz w:val="22"/>
        </w:rPr>
      </w:pPr>
      <w:bookmarkStart w:id="371" w:name="_Hlk122111226"/>
      <w:r w:rsidRPr="00EB41E2">
        <w:rPr>
          <w:i/>
          <w:snapToGrid w:val="0"/>
          <w:kern w:val="22"/>
          <w:sz w:val="22"/>
        </w:rPr>
        <w:t>The Conference of the Parties,</w:t>
      </w:r>
    </w:p>
    <w:p w14:paraId="6811BA64" w14:textId="0E65DCD2" w:rsidR="004678BE" w:rsidRPr="00EB41E2" w:rsidRDefault="004678BE" w:rsidP="00674EC5">
      <w:pPr>
        <w:pStyle w:val="Para11"/>
        <w:suppressLineNumbers/>
        <w:suppressAutoHyphens/>
        <w:kinsoku w:val="0"/>
        <w:overflowPunct w:val="0"/>
        <w:autoSpaceDE w:val="0"/>
        <w:autoSpaceDN w:val="0"/>
        <w:adjustRightInd w:val="0"/>
        <w:snapToGrid w:val="0"/>
        <w:ind w:firstLine="720"/>
        <w:jc w:val="both"/>
        <w:rPr>
          <w:kern w:val="22"/>
          <w:sz w:val="22"/>
        </w:rPr>
      </w:pPr>
      <w:r w:rsidRPr="00EB41E2">
        <w:rPr>
          <w:i/>
          <w:kern w:val="22"/>
          <w:sz w:val="22"/>
        </w:rPr>
        <w:t xml:space="preserve">Recalling </w:t>
      </w:r>
      <w:r w:rsidRPr="00EB41E2">
        <w:rPr>
          <w:kern w:val="22"/>
          <w:sz w:val="22"/>
        </w:rPr>
        <w:t xml:space="preserve">decisions </w:t>
      </w:r>
      <w:hyperlink r:id="rId61" w:history="1">
        <w:r w:rsidRPr="00EB41E2">
          <w:rPr>
            <w:rStyle w:val="Hyperlink"/>
            <w:kern w:val="22"/>
            <w:sz w:val="22"/>
          </w:rPr>
          <w:t>VII/15</w:t>
        </w:r>
      </w:hyperlink>
      <w:r w:rsidRPr="00EB41E2">
        <w:rPr>
          <w:kern w:val="22"/>
          <w:sz w:val="22"/>
        </w:rPr>
        <w:t xml:space="preserve">, </w:t>
      </w:r>
      <w:hyperlink r:id="rId62" w:history="1">
        <w:r w:rsidRPr="00EB41E2">
          <w:rPr>
            <w:rStyle w:val="Hyperlink"/>
            <w:kern w:val="22"/>
            <w:sz w:val="22"/>
          </w:rPr>
          <w:t>IX/16</w:t>
        </w:r>
      </w:hyperlink>
      <w:r w:rsidRPr="00EB41E2">
        <w:rPr>
          <w:kern w:val="22"/>
          <w:sz w:val="22"/>
        </w:rPr>
        <w:t xml:space="preserve">, </w:t>
      </w:r>
      <w:hyperlink r:id="rId63" w:history="1">
        <w:r w:rsidRPr="00EB41E2">
          <w:rPr>
            <w:rStyle w:val="Hyperlink"/>
            <w:kern w:val="22"/>
            <w:sz w:val="22"/>
          </w:rPr>
          <w:t>X/33</w:t>
        </w:r>
      </w:hyperlink>
      <w:r w:rsidRPr="00EB41E2">
        <w:rPr>
          <w:kern w:val="22"/>
          <w:sz w:val="22"/>
        </w:rPr>
        <w:t>,</w:t>
      </w:r>
      <w:r>
        <w:rPr>
          <w:kern w:val="22"/>
          <w:sz w:val="22"/>
        </w:rPr>
        <w:t xml:space="preserve"> </w:t>
      </w:r>
      <w:hyperlink r:id="rId64" w:history="1">
        <w:r w:rsidRPr="000462BF">
          <w:rPr>
            <w:rStyle w:val="Hyperlink"/>
            <w:kern w:val="22"/>
            <w:sz w:val="22"/>
          </w:rPr>
          <w:t>XI/19</w:t>
        </w:r>
      </w:hyperlink>
      <w:r>
        <w:rPr>
          <w:kern w:val="22"/>
          <w:sz w:val="22"/>
        </w:rPr>
        <w:t xml:space="preserve">, </w:t>
      </w:r>
      <w:hyperlink r:id="rId65" w:history="1">
        <w:r w:rsidRPr="002063D8">
          <w:rPr>
            <w:rStyle w:val="Hyperlink"/>
            <w:kern w:val="22"/>
            <w:sz w:val="22"/>
          </w:rPr>
          <w:t>XII/20</w:t>
        </w:r>
      </w:hyperlink>
      <w:r>
        <w:rPr>
          <w:kern w:val="22"/>
          <w:sz w:val="22"/>
        </w:rPr>
        <w:t>,</w:t>
      </w:r>
      <w:hyperlink r:id="rId66" w:history="1">
        <w:r w:rsidRPr="00EB41E2">
          <w:rPr>
            <w:rStyle w:val="Hyperlink"/>
            <w:kern w:val="22"/>
            <w:sz w:val="22"/>
          </w:rPr>
          <w:t xml:space="preserve"> XIII/4</w:t>
        </w:r>
      </w:hyperlink>
      <w:r w:rsidRPr="00EB41E2">
        <w:rPr>
          <w:kern w:val="22"/>
          <w:sz w:val="22"/>
        </w:rPr>
        <w:t>, and</w:t>
      </w:r>
      <w:r w:rsidRPr="00EB41E2">
        <w:rPr>
          <w:rStyle w:val="Hyperlink"/>
          <w:kern w:val="22"/>
          <w:sz w:val="22"/>
        </w:rPr>
        <w:t xml:space="preserve"> </w:t>
      </w:r>
      <w:hyperlink r:id="rId67" w:history="1">
        <w:r w:rsidRPr="00EB41E2">
          <w:rPr>
            <w:rStyle w:val="Hyperlink"/>
            <w:kern w:val="22"/>
            <w:sz w:val="22"/>
          </w:rPr>
          <w:t>14/5</w:t>
        </w:r>
      </w:hyperlink>
      <w:r w:rsidRPr="002B0252">
        <w:rPr>
          <w:rStyle w:val="Hyperlink"/>
          <w:color w:val="auto"/>
          <w:kern w:val="22"/>
          <w:sz w:val="22"/>
          <w:u w:val="none"/>
        </w:rPr>
        <w:t>,</w:t>
      </w:r>
      <w:r w:rsidRPr="00EB41E2">
        <w:rPr>
          <w:kern w:val="22"/>
          <w:sz w:val="22"/>
        </w:rPr>
        <w:t xml:space="preserve"> and, in particular, the critical role of biodiversity and ecosystem functions and services for climate change adaptation, mitigation and disaster risk reduction,</w:t>
      </w:r>
    </w:p>
    <w:bookmarkEnd w:id="371"/>
    <w:p w14:paraId="0B286F10" w14:textId="77777777" w:rsidR="004678BE" w:rsidRPr="004B09B1" w:rsidRDefault="004678BE" w:rsidP="004B09B1">
      <w:pPr>
        <w:spacing w:before="120" w:after="120" w:line="252" w:lineRule="auto"/>
        <w:ind w:firstLine="709"/>
        <w:rPr>
          <w:snapToGrid w:val="0"/>
          <w:lang w:val="en-US"/>
        </w:rPr>
      </w:pPr>
      <w:r w:rsidRPr="004B09B1">
        <w:rPr>
          <w:lang w:val="en-US"/>
        </w:rPr>
        <w:t>1.</w:t>
      </w:r>
      <w:r>
        <w:rPr>
          <w:i/>
          <w:iCs/>
          <w:lang w:val="en-US"/>
        </w:rPr>
        <w:tab/>
      </w:r>
      <w:r w:rsidRPr="00144AC4">
        <w:rPr>
          <w:i/>
          <w:iCs/>
          <w:lang w:val="en-US"/>
        </w:rPr>
        <w:t>Requests</w:t>
      </w:r>
      <w:r w:rsidRPr="00144AC4">
        <w:rPr>
          <w:lang w:val="en-US"/>
        </w:rPr>
        <w:t xml:space="preserve"> Parties, and invites </w:t>
      </w:r>
      <w:r w:rsidRPr="00144AC4">
        <w:rPr>
          <w:color w:val="242424"/>
          <w:shd w:val="clear" w:color="auto" w:fill="FFFFFF"/>
          <w:lang w:val="en-US"/>
        </w:rPr>
        <w:t xml:space="preserve">other Governments and international organizations, </w:t>
      </w:r>
      <w:r w:rsidRPr="00144AC4">
        <w:rPr>
          <w:lang w:val="en-US"/>
        </w:rPr>
        <w:t>to submit their views and information on biodiversity and climate change</w:t>
      </w:r>
      <w:r>
        <w:rPr>
          <w:lang w:val="en-US"/>
        </w:rPr>
        <w:t>;</w:t>
      </w:r>
    </w:p>
    <w:p w14:paraId="29397F66" w14:textId="77777777" w:rsidR="004678BE" w:rsidRPr="00144AC4" w:rsidRDefault="004678BE" w:rsidP="004B09B1">
      <w:pPr>
        <w:spacing w:before="120" w:after="120" w:line="252" w:lineRule="auto"/>
        <w:ind w:firstLine="709"/>
        <w:rPr>
          <w:snapToGrid w:val="0"/>
          <w:lang w:val="en-US"/>
        </w:rPr>
      </w:pPr>
      <w:r>
        <w:rPr>
          <w:lang w:val="en-US"/>
        </w:rPr>
        <w:t>2.</w:t>
      </w:r>
      <w:r>
        <w:rPr>
          <w:lang w:val="en-US"/>
        </w:rPr>
        <w:tab/>
      </w:r>
      <w:r w:rsidRPr="004B09B1">
        <w:rPr>
          <w:i/>
          <w:iCs/>
          <w:lang w:val="en-US"/>
        </w:rPr>
        <w:t>R</w:t>
      </w:r>
      <w:r w:rsidRPr="007D2DF3">
        <w:rPr>
          <w:i/>
          <w:iCs/>
          <w:lang w:val="en-US"/>
        </w:rPr>
        <w:t>equests</w:t>
      </w:r>
      <w:r w:rsidRPr="007D2DF3">
        <w:rPr>
          <w:lang w:val="en-US"/>
        </w:rPr>
        <w:t xml:space="preserve"> the Executive Secretary to compile these views and information and to make the compilation available to </w:t>
      </w:r>
      <w:r w:rsidRPr="007D2DF3">
        <w:rPr>
          <w:color w:val="242424"/>
          <w:shd w:val="clear" w:color="auto" w:fill="FFFFFF"/>
          <w:lang w:val="en-US"/>
        </w:rPr>
        <w:t>the</w:t>
      </w:r>
      <w:r w:rsidRPr="00144AC4">
        <w:rPr>
          <w:color w:val="242424"/>
          <w:shd w:val="clear" w:color="auto" w:fill="FFFFFF"/>
          <w:lang w:val="en-US"/>
        </w:rPr>
        <w:t xml:space="preserve"> Subsidiary Body on Scientific, Technical and Technological Advice</w:t>
      </w:r>
      <w:r w:rsidRPr="00144AC4">
        <w:rPr>
          <w:lang w:val="en-US"/>
        </w:rPr>
        <w:t>;</w:t>
      </w:r>
    </w:p>
    <w:p w14:paraId="1DD92394" w14:textId="77777777" w:rsidR="004678BE" w:rsidRPr="00144AC4" w:rsidRDefault="004678BE" w:rsidP="004B09B1">
      <w:pPr>
        <w:spacing w:before="120" w:after="120" w:line="252" w:lineRule="auto"/>
        <w:ind w:firstLine="709"/>
        <w:rPr>
          <w:snapToGrid w:val="0"/>
          <w:lang w:val="en-US"/>
        </w:rPr>
      </w:pPr>
      <w:r w:rsidRPr="004B09B1">
        <w:rPr>
          <w:color w:val="242424"/>
          <w:shd w:val="clear" w:color="auto" w:fill="FFFFFF"/>
          <w:lang w:val="en-US"/>
        </w:rPr>
        <w:t>3.</w:t>
      </w:r>
      <w:r>
        <w:rPr>
          <w:i/>
          <w:iCs/>
          <w:color w:val="242424"/>
          <w:shd w:val="clear" w:color="auto" w:fill="FFFFFF"/>
          <w:lang w:val="en-US"/>
        </w:rPr>
        <w:tab/>
      </w:r>
      <w:r w:rsidRPr="004B09B1">
        <w:rPr>
          <w:i/>
          <w:iCs/>
          <w:color w:val="242424"/>
          <w:shd w:val="clear" w:color="auto" w:fill="FFFFFF"/>
          <w:lang w:val="en-US"/>
        </w:rPr>
        <w:t>Requests </w:t>
      </w:r>
      <w:r w:rsidRPr="004B09B1">
        <w:rPr>
          <w:color w:val="242424"/>
          <w:shd w:val="clear" w:color="auto" w:fill="FFFFFF"/>
          <w:lang w:val="en-US"/>
        </w:rPr>
        <w:t>the Subsidiary Body on Scientific, Technical and Technological Advice to</w:t>
      </w:r>
      <w:r w:rsidRPr="004B09B1">
        <w:rPr>
          <w:i/>
          <w:iCs/>
          <w:color w:val="242424"/>
          <w:shd w:val="clear" w:color="auto" w:fill="FFFFFF"/>
          <w:lang w:val="en-US"/>
        </w:rPr>
        <w:t> </w:t>
      </w:r>
      <w:r w:rsidRPr="004B09B1">
        <w:rPr>
          <w:color w:val="242424"/>
          <w:shd w:val="clear" w:color="auto" w:fill="FFFFFF"/>
          <w:lang w:val="en-US"/>
        </w:rPr>
        <w:t xml:space="preserve">further review the item on biodiversity and climate change on the basis of views and information from Parties, other Governments and international organizations, as referred to in paragraph 1 above, </w:t>
      </w:r>
      <w:r>
        <w:rPr>
          <w:color w:val="242424"/>
          <w:shd w:val="clear" w:color="auto" w:fill="FFFFFF"/>
          <w:lang w:val="en-US"/>
        </w:rPr>
        <w:t>as well as</w:t>
      </w:r>
      <w:r w:rsidRPr="004B09B1">
        <w:rPr>
          <w:color w:val="242424"/>
          <w:shd w:val="clear" w:color="auto" w:fill="FFFFFF"/>
          <w:lang w:val="en-US"/>
        </w:rPr>
        <w:t xml:space="preserve"> relevant scientific and technical information on biodiversity and climate change, at its meeting to be held prior to the sixteenth meeting of the Conference of the Parties.</w:t>
      </w:r>
    </w:p>
    <w:p w14:paraId="39AC26EE" w14:textId="77777777" w:rsidR="004678BE" w:rsidRDefault="004678BE" w:rsidP="004678BE">
      <w:pPr>
        <w:jc w:val="center"/>
        <w:sectPr w:rsidR="004678BE" w:rsidSect="00441700">
          <w:pgSz w:w="12240" w:h="15840"/>
          <w:pgMar w:top="567" w:right="1440" w:bottom="1134" w:left="1440" w:header="709" w:footer="709" w:gutter="0"/>
          <w:cols w:space="708"/>
          <w:docGrid w:linePitch="360"/>
        </w:sectPr>
      </w:pPr>
    </w:p>
    <w:p w14:paraId="57698335" w14:textId="77777777" w:rsidR="004678BE" w:rsidRDefault="004678BE" w:rsidP="006147CE">
      <w:pPr>
        <w:pStyle w:val="decision"/>
        <w:rPr>
          <w:caps/>
        </w:rPr>
      </w:pPr>
      <w:bookmarkStart w:id="372" w:name="_Toc150438829"/>
      <w:bookmarkStart w:id="373" w:name="_Toc150670535"/>
      <w:bookmarkStart w:id="374" w:name="_Toc150670645"/>
      <w:bookmarkStart w:id="375" w:name="_Toc150761141"/>
      <w:r>
        <w:lastRenderedPageBreak/>
        <w:t>15/31.</w:t>
      </w:r>
      <w:r>
        <w:tab/>
      </w:r>
      <w:r w:rsidRPr="000D2852">
        <w:t xml:space="preserve">Synthetic </w:t>
      </w:r>
      <w:r>
        <w:t>b</w:t>
      </w:r>
      <w:r w:rsidRPr="000D2852">
        <w:t>iology</w:t>
      </w:r>
      <w:bookmarkEnd w:id="372"/>
      <w:bookmarkEnd w:id="373"/>
      <w:bookmarkEnd w:id="374"/>
      <w:bookmarkEnd w:id="375"/>
    </w:p>
    <w:p w14:paraId="05DB6FBC" w14:textId="77777777" w:rsidR="004678BE" w:rsidRDefault="004678BE" w:rsidP="00F973A3">
      <w:pPr>
        <w:spacing w:before="120" w:after="120"/>
        <w:ind w:firstLine="720"/>
      </w:pPr>
      <w:r>
        <w:rPr>
          <w:i/>
          <w:iCs/>
        </w:rPr>
        <w:t>The Conference of the Parties</w:t>
      </w:r>
      <w:r>
        <w:t>,</w:t>
      </w:r>
    </w:p>
    <w:p w14:paraId="4E5A2CDA" w14:textId="77777777" w:rsidR="004678BE" w:rsidRDefault="004678BE" w:rsidP="00F973A3">
      <w:pPr>
        <w:tabs>
          <w:tab w:val="left" w:pos="360"/>
        </w:tabs>
        <w:spacing w:before="120" w:after="120"/>
        <w:ind w:firstLine="720"/>
        <w:rPr>
          <w:i/>
          <w:iCs/>
        </w:rPr>
      </w:pPr>
      <w:r>
        <w:rPr>
          <w:i/>
          <w:iCs/>
        </w:rPr>
        <w:t xml:space="preserve">Recalling </w:t>
      </w:r>
      <w:r>
        <w:t>decisions XII/24, XIII/17 and 14/19 of the Conference of the Parties which provided guidance and mandated work on synthetic biology in relation to the three objectives of the Convention,</w:t>
      </w:r>
    </w:p>
    <w:p w14:paraId="747791D1" w14:textId="77777777" w:rsidR="004678BE" w:rsidRDefault="004678BE" w:rsidP="00F973A3">
      <w:pPr>
        <w:tabs>
          <w:tab w:val="left" w:pos="360"/>
        </w:tabs>
        <w:spacing w:before="120" w:after="120"/>
        <w:ind w:firstLine="720"/>
        <w:rPr>
          <w:i/>
          <w:iCs/>
        </w:rPr>
      </w:pPr>
      <w:r>
        <w:rPr>
          <w:i/>
          <w:iCs/>
        </w:rPr>
        <w:t xml:space="preserve">Recalling also </w:t>
      </w:r>
      <w:r>
        <w:t>Subsidiary Body on Scientific, Technical and Technological Advice recommendation 23/7, paragraph 2, by which the Subsidiary Body deferred consideration of the submission that synthetic biology should be classified as a new and emerging issue to its twenty-fourth meeting,</w:t>
      </w:r>
    </w:p>
    <w:p w14:paraId="2A21EAF9" w14:textId="77777777" w:rsidR="004678BE" w:rsidRDefault="004678BE" w:rsidP="00F973A3">
      <w:pPr>
        <w:tabs>
          <w:tab w:val="left" w:pos="360"/>
        </w:tabs>
        <w:spacing w:before="120" w:after="120"/>
        <w:ind w:firstLine="720"/>
        <w:rPr>
          <w:i/>
          <w:iCs/>
        </w:rPr>
      </w:pPr>
      <w:r>
        <w:rPr>
          <w:i/>
          <w:iCs/>
        </w:rPr>
        <w:t xml:space="preserve">Noting </w:t>
      </w:r>
      <w:r>
        <w:t>the analysis on the relationship between synthetic biology and the criteria for new and emerging issues established in decision IX/29 performed by the Ad Hoc Technical Expert Group on Synthetic Biology,</w:t>
      </w:r>
      <w:r w:rsidRPr="00610646">
        <w:rPr>
          <w:rStyle w:val="FootnoteReference"/>
        </w:rPr>
        <w:footnoteReference w:id="383"/>
      </w:r>
    </w:p>
    <w:p w14:paraId="72402999" w14:textId="77777777" w:rsidR="004678BE" w:rsidRDefault="004678BE" w:rsidP="00F973A3">
      <w:pPr>
        <w:tabs>
          <w:tab w:val="left" w:pos="360"/>
        </w:tabs>
        <w:spacing w:before="120" w:after="120"/>
        <w:ind w:firstLine="720"/>
      </w:pPr>
      <w:r>
        <w:rPr>
          <w:i/>
          <w:iCs/>
        </w:rPr>
        <w:t>Recalling</w:t>
      </w:r>
      <w:r>
        <w:t xml:space="preserve"> decision 14/19,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p>
    <w:p w14:paraId="2288B5F0" w14:textId="77777777" w:rsidR="004678BE" w:rsidRDefault="004678BE" w:rsidP="00F973A3">
      <w:pPr>
        <w:tabs>
          <w:tab w:val="left" w:pos="360"/>
        </w:tabs>
        <w:spacing w:before="120" w:after="120"/>
        <w:ind w:firstLine="720"/>
      </w:pPr>
      <w:r>
        <w:rPr>
          <w:i/>
          <w:iCs/>
        </w:rPr>
        <w:t>Recalling also</w:t>
      </w:r>
      <w:r>
        <w:t xml:space="preserve"> paragraph 7 of decision 14/19, emphasizing the need for a coordinated, complementary and non-duplicative approach on issues related to synthetic biology under the Convention and its protocols, as well as among other conventions and relevant organizations and initiatives,</w:t>
      </w:r>
    </w:p>
    <w:p w14:paraId="71B88CA1" w14:textId="77777777" w:rsidR="004678BE" w:rsidRDefault="004678BE" w:rsidP="00F973A3">
      <w:pPr>
        <w:tabs>
          <w:tab w:val="left" w:pos="360"/>
        </w:tabs>
        <w:spacing w:before="120" w:after="120"/>
        <w:ind w:firstLine="720"/>
      </w:pPr>
      <w:r>
        <w:rPr>
          <w:i/>
          <w:iCs/>
        </w:rPr>
        <w:t>Noting</w:t>
      </w:r>
      <w:r>
        <w:t xml:space="preserve"> the relevance of digital sequence information for synthetic biology, recalling decision 14/20 on digital sequence information on genetic resources and ongoing discussions and noting also the need for a coordinated, complementary and non-duplicative approach on issues related to digital sequence information on genetic resources,</w:t>
      </w:r>
    </w:p>
    <w:p w14:paraId="4FF7F187" w14:textId="77777777" w:rsidR="004678BE" w:rsidRDefault="004678BE" w:rsidP="00F973A3">
      <w:pPr>
        <w:tabs>
          <w:tab w:val="left" w:pos="360"/>
        </w:tabs>
        <w:spacing w:before="120" w:after="120"/>
        <w:ind w:firstLine="720"/>
      </w:pPr>
      <w:r>
        <w:rPr>
          <w:i/>
          <w:iCs/>
        </w:rPr>
        <w:t>Recalling</w:t>
      </w:r>
      <w:r>
        <w:t xml:space="preserve"> paragraphs 9 to 11 of decision 14/19, and calling upon Parties and other Governments, taking into account the current uncertainties regarding engineered gene drives, to apply a precautionary approach, in accordance with the objectives of the Convention,</w:t>
      </w:r>
    </w:p>
    <w:p w14:paraId="75F99764" w14:textId="77777777" w:rsidR="004678BE" w:rsidRDefault="004678BE" w:rsidP="00F973A3">
      <w:pPr>
        <w:tabs>
          <w:tab w:val="left" w:pos="360"/>
        </w:tabs>
        <w:spacing w:before="120" w:after="120"/>
        <w:ind w:firstLine="720"/>
        <w:rPr>
          <w:i/>
          <w:iCs/>
        </w:rPr>
      </w:pPr>
      <w:r>
        <w:rPr>
          <w:i/>
          <w:iCs/>
        </w:rPr>
        <w:t>Recognizing</w:t>
      </w:r>
      <w:r>
        <w:t xml:space="preserve"> the importance of capacity-building, knowledge-sharing, technology transfer and financial resources for addressing issues related to synthetic biology,</w:t>
      </w:r>
    </w:p>
    <w:p w14:paraId="0331BEE2" w14:textId="77777777" w:rsidR="004678BE" w:rsidRDefault="004678BE" w:rsidP="00F973A3">
      <w:pPr>
        <w:tabs>
          <w:tab w:val="left" w:pos="360"/>
        </w:tabs>
        <w:spacing w:before="120" w:after="120"/>
        <w:ind w:firstLine="720"/>
        <w:rPr>
          <w:i/>
          <w:iCs/>
        </w:rPr>
      </w:pPr>
      <w:r>
        <w:rPr>
          <w:i/>
          <w:iCs/>
        </w:rPr>
        <w:t>Welcoming</w:t>
      </w:r>
      <w:r>
        <w:t xml:space="preserve"> the outcomes of the meeting of the Ad Hoc Technical Expert Group on Synthetic Biology held in Montreal, Canada, from 4 to 7 June 2019,</w:t>
      </w:r>
      <w:r w:rsidRPr="00610646">
        <w:rPr>
          <w:rStyle w:val="FootnoteReference"/>
        </w:rPr>
        <w:footnoteReference w:id="384"/>
      </w:r>
    </w:p>
    <w:p w14:paraId="267498C7" w14:textId="77777777" w:rsidR="004678BE" w:rsidRDefault="004678BE" w:rsidP="00816D54">
      <w:pPr>
        <w:pStyle w:val="Para1"/>
        <w:keepNext/>
        <w:numPr>
          <w:ilvl w:val="0"/>
          <w:numId w:val="0"/>
        </w:numPr>
        <w:tabs>
          <w:tab w:val="left" w:pos="567"/>
        </w:tabs>
        <w:jc w:val="center"/>
      </w:pPr>
      <w:r>
        <w:rPr>
          <w:b/>
          <w:bCs/>
        </w:rPr>
        <w:t>A.</w:t>
      </w:r>
      <w:r>
        <w:rPr>
          <w:b/>
          <w:bCs/>
        </w:rPr>
        <w:tab/>
        <w:t>Considerations for new and emerging issues and associated criteria</w:t>
      </w:r>
    </w:p>
    <w:p w14:paraId="6215D85E" w14:textId="77777777" w:rsidR="004678BE" w:rsidRPr="003727EF" w:rsidRDefault="004678BE" w:rsidP="0093376E">
      <w:pPr>
        <w:tabs>
          <w:tab w:val="left" w:pos="360"/>
        </w:tabs>
        <w:spacing w:before="120" w:after="120"/>
        <w:ind w:firstLine="720"/>
      </w:pPr>
      <w:r>
        <w:t>1.</w:t>
      </w:r>
      <w:r>
        <w:tab/>
      </w:r>
      <w:r>
        <w:rPr>
          <w:i/>
          <w:iCs/>
        </w:rPr>
        <w:t xml:space="preserve">Recognizes </w:t>
      </w:r>
      <w:r>
        <w:t xml:space="preserve">the various challenges experienced by the Ad Hoc Technical Expert Group on Synthetic Biology in performing analysis on the relationship between synthetic biology and the criteria for new and emerging issues; </w:t>
      </w:r>
    </w:p>
    <w:p w14:paraId="7B1A8954" w14:textId="77777777" w:rsidR="004678BE" w:rsidRPr="0086249D" w:rsidRDefault="004678BE" w:rsidP="000B5054">
      <w:pPr>
        <w:tabs>
          <w:tab w:val="left" w:pos="360"/>
        </w:tabs>
        <w:spacing w:before="120" w:after="120"/>
        <w:ind w:firstLine="720"/>
        <w:rPr>
          <w:strike/>
        </w:rPr>
      </w:pPr>
      <w:r>
        <w:t>2.</w:t>
      </w:r>
      <w:r>
        <w:tab/>
      </w:r>
      <w:r>
        <w:rPr>
          <w:i/>
          <w:iCs/>
        </w:rPr>
        <w:t>Also recognizes</w:t>
      </w:r>
      <w:r>
        <w:t xml:space="preserve"> that decisions X/13, XI/11, XII/24, XIII/17 and 14/19 mandated work on synthetic biology under the Convention, and that the results of the application of the criteria as set out in decision IX/29 to the issue of synthetic </w:t>
      </w:r>
      <w:r w:rsidRPr="00754375">
        <w:t>biology have been inconclusive in determining whether synthetic biology is a new and emerging issue or not and decides not to require further analysis</w:t>
      </w:r>
      <w:r>
        <w:t xml:space="preserve"> on whether synthetic biology is a new and emerging issue;</w:t>
      </w:r>
    </w:p>
    <w:p w14:paraId="44134D08" w14:textId="25770B53" w:rsidR="004678BE" w:rsidRPr="003727EF" w:rsidRDefault="004678BE" w:rsidP="003727EF">
      <w:pPr>
        <w:tabs>
          <w:tab w:val="left" w:pos="360"/>
        </w:tabs>
        <w:spacing w:before="120" w:after="120"/>
        <w:ind w:firstLine="720"/>
      </w:pPr>
      <w:r>
        <w:t>3.</w:t>
      </w:r>
      <w:r>
        <w:tab/>
      </w:r>
      <w:r w:rsidRPr="0086249D">
        <w:rPr>
          <w:i/>
          <w:iCs/>
        </w:rPr>
        <w:t>Notes</w:t>
      </w:r>
      <w:r w:rsidRPr="007611E1">
        <w:t xml:space="preserve"> that </w:t>
      </w:r>
      <w:r>
        <w:t xml:space="preserve">this </w:t>
      </w:r>
      <w:r w:rsidRPr="007611E1">
        <w:t>should not be seen as setting a precedent regarding synthetic biology as a permanent item under the Convention, nor on the permanent</w:t>
      </w:r>
      <w:r>
        <w:t xml:space="preserve"> adoption of procedures established in this decision, such as horizon scanning, nor on future processes to consider any proposed new and emerging issues;</w:t>
      </w:r>
    </w:p>
    <w:p w14:paraId="337F0CF1" w14:textId="77777777" w:rsidR="004678BE" w:rsidRDefault="004678BE" w:rsidP="000027C9">
      <w:pPr>
        <w:pStyle w:val="Para1"/>
        <w:keepNext/>
        <w:numPr>
          <w:ilvl w:val="0"/>
          <w:numId w:val="0"/>
        </w:numPr>
        <w:tabs>
          <w:tab w:val="left" w:pos="567"/>
        </w:tabs>
        <w:jc w:val="center"/>
        <w:rPr>
          <w:b/>
          <w:bCs/>
        </w:rPr>
      </w:pPr>
      <w:r>
        <w:rPr>
          <w:b/>
          <w:bCs/>
        </w:rPr>
        <w:lastRenderedPageBreak/>
        <w:t>B.</w:t>
      </w:r>
      <w:r>
        <w:rPr>
          <w:b/>
          <w:bCs/>
        </w:rPr>
        <w:tab/>
        <w:t>Process for broad and regular horizon scanning monitoring and assessment</w:t>
      </w:r>
    </w:p>
    <w:p w14:paraId="2C2035A5" w14:textId="62FA2C38" w:rsidR="004678BE" w:rsidRPr="00C40F3E" w:rsidRDefault="004678BE" w:rsidP="00C40F3E">
      <w:pPr>
        <w:tabs>
          <w:tab w:val="left" w:pos="360"/>
        </w:tabs>
        <w:spacing w:before="120" w:after="120"/>
        <w:ind w:firstLine="720"/>
        <w:rPr>
          <w:i/>
          <w:iCs/>
        </w:rPr>
      </w:pPr>
      <w:r w:rsidRPr="0086249D">
        <w:t>4</w:t>
      </w:r>
      <w:r>
        <w:rPr>
          <w:i/>
          <w:iCs/>
        </w:rPr>
        <w:t>.</w:t>
      </w:r>
      <w:r>
        <w:rPr>
          <w:i/>
          <w:iCs/>
        </w:rPr>
        <w:tab/>
      </w:r>
      <w:r w:rsidRPr="00C40F3E">
        <w:rPr>
          <w:i/>
          <w:iCs/>
        </w:rPr>
        <w:t>Establishes</w:t>
      </w:r>
      <w:r>
        <w:t xml:space="preserve"> a process for broad and regular horizon scanning, monitoring and assessment of the most recent technological developments in synthetic biology as set out in section A of the annex to the </w:t>
      </w:r>
      <w:r w:rsidRPr="006F17DE">
        <w:t xml:space="preserve">present decision and </w:t>
      </w:r>
      <w:r w:rsidRPr="0086249D">
        <w:t xml:space="preserve">agrees to </w:t>
      </w:r>
      <w:r w:rsidRPr="006F17DE">
        <w:t xml:space="preserve">start its work for </w:t>
      </w:r>
      <w:r w:rsidRPr="0086249D">
        <w:t>one</w:t>
      </w:r>
      <w:r w:rsidRPr="006F17DE">
        <w:t xml:space="preserve"> intersessional period;</w:t>
      </w:r>
    </w:p>
    <w:p w14:paraId="6AB6C857" w14:textId="77777777" w:rsidR="004678BE" w:rsidRDefault="004678BE" w:rsidP="00C40F3E">
      <w:pPr>
        <w:tabs>
          <w:tab w:val="left" w:pos="360"/>
        </w:tabs>
        <w:spacing w:before="120" w:after="120"/>
        <w:ind w:firstLine="720"/>
      </w:pPr>
      <w:r>
        <w:t>5.</w:t>
      </w:r>
      <w:r>
        <w:tab/>
      </w:r>
      <w:r w:rsidRPr="00C40F3E">
        <w:rPr>
          <w:i/>
          <w:iCs/>
        </w:rPr>
        <w:t>Establishes</w:t>
      </w:r>
      <w:r>
        <w:t xml:space="preserve"> a multidisciplinary ad hoc technical expert group on synthetic biology to support the process for broad and regular horizon scanning, monitoring and assessment, in accordance with the terms of reference contained in section B of the annex;</w:t>
      </w:r>
    </w:p>
    <w:p w14:paraId="0130A3CD" w14:textId="77777777" w:rsidR="004678BE" w:rsidRPr="008F043D" w:rsidRDefault="004678BE" w:rsidP="00C40F3E">
      <w:pPr>
        <w:tabs>
          <w:tab w:val="left" w:pos="360"/>
        </w:tabs>
        <w:spacing w:before="120" w:after="120"/>
        <w:ind w:firstLine="720"/>
        <w:rPr>
          <w:i/>
          <w:iCs/>
        </w:rPr>
      </w:pPr>
      <w:r w:rsidRPr="00550A26">
        <w:t>6.</w:t>
      </w:r>
      <w:r w:rsidRPr="00550A26">
        <w:tab/>
      </w:r>
      <w:r w:rsidRPr="00C40F3E">
        <w:rPr>
          <w:i/>
          <w:iCs/>
        </w:rPr>
        <w:t>Decides</w:t>
      </w:r>
      <w:r>
        <w:t xml:space="preserve"> that the trends in new technological developments in synthetic biology identified by the Ad Hoc </w:t>
      </w:r>
      <w:r w:rsidRPr="008F043D">
        <w:t>Technical Expert Group on Synthetic Biology</w:t>
      </w:r>
      <w:r w:rsidRPr="00610646">
        <w:rPr>
          <w:rStyle w:val="FootnoteReference"/>
        </w:rPr>
        <w:footnoteReference w:id="385"/>
      </w:r>
      <w:r w:rsidRPr="008F043D">
        <w:t xml:space="preserve"> and by the multidisciplinary Ad Hoc Technical Expert Group on Synthetic Biology to Support the Process for Broad and Regular Horizon Scanning, Monitoring and Assessment, will inform the horizon scanning, monitoring and assessment of the following intersessional period;</w:t>
      </w:r>
    </w:p>
    <w:p w14:paraId="42089C0E" w14:textId="77777777" w:rsidR="004678BE" w:rsidRPr="00C40F3E" w:rsidRDefault="004678BE" w:rsidP="00C40F3E">
      <w:pPr>
        <w:tabs>
          <w:tab w:val="left" w:pos="360"/>
        </w:tabs>
        <w:spacing w:before="120" w:after="120"/>
        <w:ind w:firstLine="720"/>
        <w:rPr>
          <w:i/>
          <w:iCs/>
        </w:rPr>
      </w:pPr>
      <w:r w:rsidRPr="008F043D">
        <w:t>7.</w:t>
      </w:r>
      <w:r w:rsidRPr="008F043D">
        <w:tab/>
      </w:r>
      <w:r w:rsidRPr="008F043D">
        <w:rPr>
          <w:i/>
          <w:iCs/>
        </w:rPr>
        <w:t>Invites</w:t>
      </w:r>
      <w:r w:rsidRPr="008F043D">
        <w:t xml:space="preserve"> Parties</w:t>
      </w:r>
      <w:r>
        <w:t>, other Governments, indigenous peoples and local communities, and relevant organizations to submit to the Executive Secretary information relevant to the trends referred to in paragraph 6 above to inform the horizon scanning, monitoring and assessment;</w:t>
      </w:r>
    </w:p>
    <w:p w14:paraId="5F57A1D9" w14:textId="77777777" w:rsidR="004678BE" w:rsidRDefault="004678BE" w:rsidP="00C40F3E">
      <w:pPr>
        <w:tabs>
          <w:tab w:val="left" w:pos="360"/>
        </w:tabs>
        <w:spacing w:before="120" w:after="120"/>
        <w:ind w:firstLine="720"/>
      </w:pPr>
      <w:r>
        <w:t>8.</w:t>
      </w:r>
      <w:r>
        <w:tab/>
      </w:r>
      <w:r w:rsidRPr="00C40F3E">
        <w:rPr>
          <w:i/>
          <w:iCs/>
        </w:rPr>
        <w:t>Calls upon</w:t>
      </w:r>
      <w:r>
        <w:t xml:space="preserve"> Parties and other stakeholders to facilitate broad international cooperation, technology transfer, knowledge-sharing, including through the Biosafety Clearing-House, for products of synthetic biology that are considered to be living modified organisms, and capacity-building on synthetic biology, taking into account the needs of Parties and of indigenous peoples and local communities;</w:t>
      </w:r>
    </w:p>
    <w:p w14:paraId="3FE8E231" w14:textId="77777777" w:rsidR="004678BE" w:rsidRDefault="004678BE" w:rsidP="00C40F3E">
      <w:pPr>
        <w:tabs>
          <w:tab w:val="left" w:pos="360"/>
        </w:tabs>
        <w:spacing w:before="120" w:after="120"/>
        <w:ind w:firstLine="720"/>
      </w:pPr>
      <w:r>
        <w:t>9.</w:t>
      </w:r>
      <w:r>
        <w:tab/>
      </w:r>
      <w:r w:rsidRPr="00C40F3E">
        <w:rPr>
          <w:i/>
          <w:iCs/>
        </w:rPr>
        <w:t>Requests</w:t>
      </w:r>
      <w:r>
        <w:t xml:space="preserve"> the Executive Secretary, subject to the availability of resources:</w:t>
      </w:r>
    </w:p>
    <w:p w14:paraId="643A3BE7" w14:textId="77777777" w:rsidR="004678BE" w:rsidRDefault="004678BE" w:rsidP="00F973A3">
      <w:pPr>
        <w:tabs>
          <w:tab w:val="left" w:pos="360"/>
        </w:tabs>
        <w:spacing w:before="120" w:after="120"/>
        <w:ind w:firstLine="720"/>
      </w:pPr>
      <w:r>
        <w:t>(a)</w:t>
      </w:r>
      <w:r>
        <w:tab/>
        <w:t>To convene online discussions of the Open-ended Online Forum on Synthetic Biology to support the work of the multidisciplinary Ad Hoc Technical Expert Group, as well as the overall process outlined in paragraph 4 above;</w:t>
      </w:r>
    </w:p>
    <w:p w14:paraId="2918FF69" w14:textId="77777777" w:rsidR="004678BE" w:rsidRDefault="004678BE" w:rsidP="00F973A3">
      <w:pPr>
        <w:tabs>
          <w:tab w:val="left" w:pos="360"/>
        </w:tabs>
        <w:spacing w:before="120" w:after="120"/>
        <w:ind w:firstLine="720"/>
      </w:pPr>
      <w:r>
        <w:t>(b)</w:t>
      </w:r>
      <w:r>
        <w:tab/>
        <w:t>To synthesize the information submitted in response to paragraph 7 above as well as the information provided through the online discussions of the Open-ended Online Forum on Synthetic Biology to inform the deliberations of the multidisciplinary Ad Hoc Technical Expert Group;</w:t>
      </w:r>
    </w:p>
    <w:p w14:paraId="3F0B279A" w14:textId="77777777" w:rsidR="004678BE" w:rsidRDefault="004678BE" w:rsidP="00F973A3">
      <w:pPr>
        <w:tabs>
          <w:tab w:val="left" w:pos="360"/>
        </w:tabs>
        <w:spacing w:before="120" w:after="120"/>
        <w:ind w:firstLine="720"/>
      </w:pPr>
      <w:r>
        <w:t>(c)</w:t>
      </w:r>
      <w:r>
        <w:tab/>
        <w:t xml:space="preserve">To convene at least one meeting of the multidisciplinary Ad Hoc Technical Expert Group to work according to the terms of reference as set out in </w:t>
      </w:r>
      <w:r w:rsidRPr="006E3EE1">
        <w:t>section B of the annex;</w:t>
      </w:r>
    </w:p>
    <w:p w14:paraId="29FB0B39" w14:textId="77777777" w:rsidR="004678BE" w:rsidRDefault="004678BE" w:rsidP="00F973A3">
      <w:pPr>
        <w:tabs>
          <w:tab w:val="left" w:pos="360"/>
        </w:tabs>
        <w:spacing w:before="120" w:after="120"/>
        <w:ind w:firstLine="720"/>
      </w:pPr>
      <w:r>
        <w:t>(d)</w:t>
      </w:r>
      <w:r>
        <w:tab/>
        <w:t>To prepare reports on the outcomes and operation of the horizon scanning process referred to in paragraph 4 above and to submit those reports for peer review to support the review of the effectiveness of the process by the Subsidiary Body on Scientific, Technical and Technological Advice a</w:t>
      </w:r>
      <w:r w:rsidRPr="000D5FAB">
        <w:t>t its meeting</w:t>
      </w:r>
      <w:r>
        <w:t xml:space="preserve"> prior to the sixteenth meeting of the Conference of the Parties;</w:t>
      </w:r>
    </w:p>
    <w:p w14:paraId="1EEA601A" w14:textId="77777777" w:rsidR="004678BE" w:rsidRDefault="004678BE" w:rsidP="00F973A3">
      <w:pPr>
        <w:tabs>
          <w:tab w:val="left" w:pos="360"/>
        </w:tabs>
        <w:spacing w:before="120" w:after="120"/>
        <w:ind w:firstLine="720"/>
      </w:pPr>
      <w:r>
        <w:t>(e)</w:t>
      </w:r>
      <w:r>
        <w:tab/>
        <w:t>To facilitate international cooperation</w:t>
      </w:r>
      <w:r w:rsidRPr="00517BA3">
        <w:t>, and promote</w:t>
      </w:r>
      <w:r>
        <w:t xml:space="preserve"> and support capacity-building, technology transfer and knowledge-sharing, regarding synthetic biology, taking into account the needs of Parties and of indigenous peoples and local communities;</w:t>
      </w:r>
    </w:p>
    <w:p w14:paraId="2075897C" w14:textId="77777777" w:rsidR="004678BE" w:rsidRDefault="004678BE" w:rsidP="00F973A3">
      <w:pPr>
        <w:tabs>
          <w:tab w:val="left" w:pos="360"/>
        </w:tabs>
        <w:spacing w:before="120" w:after="120"/>
        <w:ind w:firstLine="720"/>
      </w:pPr>
      <w:r>
        <w:t>(f)</w:t>
      </w:r>
      <w:r>
        <w:tab/>
        <w:t>To continue to ensure the full and effective participation of indigenous peoples and local communities in the discussions and in the work on synthetic biology under the Convention, in accordance with decision X/40;</w:t>
      </w:r>
    </w:p>
    <w:p w14:paraId="58280AD3" w14:textId="77777777" w:rsidR="004678BE" w:rsidRDefault="004678BE" w:rsidP="00C40F3E">
      <w:pPr>
        <w:tabs>
          <w:tab w:val="left" w:pos="360"/>
        </w:tabs>
        <w:spacing w:before="120" w:after="120"/>
        <w:ind w:firstLine="720"/>
      </w:pPr>
      <w:r>
        <w:t>10.</w:t>
      </w:r>
      <w:r>
        <w:tab/>
      </w:r>
      <w:r w:rsidRPr="00C40F3E">
        <w:rPr>
          <w:i/>
          <w:iCs/>
        </w:rPr>
        <w:t>Requests</w:t>
      </w:r>
      <w:r>
        <w:t xml:space="preserve"> the </w:t>
      </w:r>
      <w:bookmarkStart w:id="376" w:name="_Hlk74121251"/>
      <w:r>
        <w:t xml:space="preserve">Subsidiary Body on Scientific, Technical and Technological Advice </w:t>
      </w:r>
      <w:bookmarkEnd w:id="376"/>
      <w:r>
        <w:t xml:space="preserve">to consider the outcomes of the horizon scanning process contained in the report of the multidisciplinary Ad Hoc Technical Expert Group, and to make recommendations for consideration by the Conference of the Parties at its sixteenth meeting and, as appropriate, by the Conference of the Parties serving as the meeting </w:t>
      </w:r>
      <w:r>
        <w:lastRenderedPageBreak/>
        <w:t>of the Parties to the Cartagena Protocol at its eleventh meeting and by the Conference of the Parties serving as the meeting of the Parties to the Nagoya Protocol at its fifth meeting;</w:t>
      </w:r>
    </w:p>
    <w:p w14:paraId="13342403" w14:textId="77777777" w:rsidR="004678BE" w:rsidRDefault="004678BE" w:rsidP="00C40F3E">
      <w:pPr>
        <w:tabs>
          <w:tab w:val="left" w:pos="360"/>
        </w:tabs>
        <w:spacing w:before="120" w:after="120"/>
        <w:ind w:firstLine="720"/>
      </w:pPr>
      <w:r>
        <w:t>11.</w:t>
      </w:r>
      <w:r>
        <w:tab/>
      </w:r>
      <w:r w:rsidRPr="00C40F3E">
        <w:rPr>
          <w:i/>
          <w:iCs/>
        </w:rPr>
        <w:t>Also requests</w:t>
      </w:r>
      <w:r>
        <w:t xml:space="preserve"> the Subsidiary Body on Scientific, Technical and Technological Advice to consider the report on effectiveness of the horizon scanning process established in paragraph 4 above, at its meeting prior to the sixteenth meeting of the Conference of the Parties, and to make a recommendation on the need to extend that process;</w:t>
      </w:r>
    </w:p>
    <w:p w14:paraId="52563505" w14:textId="77777777" w:rsidR="004678BE" w:rsidRDefault="004678BE" w:rsidP="00C40F3E">
      <w:pPr>
        <w:tabs>
          <w:tab w:val="left" w:pos="360"/>
        </w:tabs>
        <w:spacing w:before="120" w:after="120"/>
        <w:ind w:firstLine="720"/>
      </w:pPr>
      <w:r>
        <w:t>12.</w:t>
      </w:r>
      <w:r>
        <w:tab/>
      </w:r>
      <w:r w:rsidRPr="00C40F3E">
        <w:rPr>
          <w:i/>
          <w:iCs/>
        </w:rPr>
        <w:t>Requests</w:t>
      </w:r>
      <w:r>
        <w:t xml:space="preserve"> the Executive Secretary to continue pursuing cooperation with other regional and international organizations, conventions and initiatives, including academic and research institutions, on issues related to synthetic biology.</w:t>
      </w:r>
    </w:p>
    <w:p w14:paraId="4B99F9D0" w14:textId="77777777" w:rsidR="004678BE" w:rsidRPr="000027C9" w:rsidRDefault="004678BE" w:rsidP="006147CE">
      <w:pPr>
        <w:keepNext/>
        <w:tabs>
          <w:tab w:val="left" w:pos="360"/>
        </w:tabs>
        <w:spacing w:before="120" w:after="120"/>
        <w:jc w:val="center"/>
        <w:rPr>
          <w:rFonts w:asciiTheme="majorBidi" w:hAnsiTheme="majorBidi" w:cstheme="majorBidi"/>
          <w:szCs w:val="22"/>
        </w:rPr>
      </w:pPr>
      <w:bookmarkStart w:id="377" w:name="_Toc118355067"/>
      <w:r w:rsidRPr="000027C9">
        <w:rPr>
          <w:rFonts w:asciiTheme="majorBidi" w:hAnsiTheme="majorBidi" w:cstheme="majorBidi"/>
          <w:i/>
          <w:iCs/>
          <w:szCs w:val="22"/>
        </w:rPr>
        <w:t>Annex</w:t>
      </w:r>
      <w:bookmarkEnd w:id="377"/>
    </w:p>
    <w:p w14:paraId="6D11796D" w14:textId="77777777" w:rsidR="004678BE" w:rsidRPr="000027C9" w:rsidRDefault="004678BE" w:rsidP="006147CE">
      <w:pPr>
        <w:pStyle w:val="Heading1-compilation"/>
        <w:rPr>
          <w:szCs w:val="22"/>
        </w:rPr>
      </w:pPr>
      <w:bookmarkStart w:id="378" w:name="_Toc118355068"/>
      <w:bookmarkStart w:id="379" w:name="_Toc118354938"/>
      <w:bookmarkStart w:id="380" w:name="_Toc150670319"/>
      <w:bookmarkStart w:id="381" w:name="_Toc150670536"/>
      <w:bookmarkStart w:id="382" w:name="_Toc150670646"/>
      <w:r w:rsidRPr="000027C9">
        <w:rPr>
          <w:szCs w:val="22"/>
        </w:rPr>
        <w:t xml:space="preserve">Broad and regular horizon scanning, monitoring and assessment </w:t>
      </w:r>
      <w:bookmarkStart w:id="383" w:name="_Hlk34578218"/>
      <w:r w:rsidRPr="000027C9">
        <w:rPr>
          <w:szCs w:val="22"/>
        </w:rPr>
        <w:t>of the most recent technological developments in synthetic biology</w:t>
      </w:r>
      <w:bookmarkEnd w:id="378"/>
      <w:bookmarkEnd w:id="379"/>
      <w:bookmarkEnd w:id="380"/>
      <w:bookmarkEnd w:id="381"/>
      <w:bookmarkEnd w:id="382"/>
      <w:bookmarkEnd w:id="383"/>
    </w:p>
    <w:p w14:paraId="526C34C5" w14:textId="77777777" w:rsidR="004678BE" w:rsidRPr="000027C9" w:rsidRDefault="004678BE" w:rsidP="000027C9">
      <w:pPr>
        <w:keepNext/>
        <w:tabs>
          <w:tab w:val="left" w:pos="360"/>
        </w:tabs>
        <w:spacing w:before="240" w:after="120"/>
        <w:ind w:left="714" w:hanging="357"/>
        <w:jc w:val="center"/>
        <w:rPr>
          <w:rFonts w:asciiTheme="majorBidi" w:hAnsiTheme="majorBidi" w:cstheme="majorBidi"/>
          <w:b/>
          <w:bCs/>
          <w:szCs w:val="22"/>
        </w:rPr>
      </w:pPr>
      <w:r w:rsidRPr="000027C9">
        <w:rPr>
          <w:rFonts w:asciiTheme="majorBidi" w:hAnsiTheme="majorBidi" w:cstheme="majorBidi"/>
          <w:b/>
          <w:bCs/>
          <w:szCs w:val="22"/>
        </w:rPr>
        <w:t>A.</w:t>
      </w:r>
      <w:r w:rsidRPr="000027C9">
        <w:rPr>
          <w:rFonts w:asciiTheme="majorBidi" w:hAnsiTheme="majorBidi" w:cstheme="majorBidi"/>
          <w:b/>
          <w:bCs/>
          <w:szCs w:val="22"/>
        </w:rPr>
        <w:tab/>
        <w:t>Process for the horizon scanning, monitoring and assessment</w:t>
      </w:r>
    </w:p>
    <w:p w14:paraId="1C31523E" w14:textId="77777777" w:rsidR="004678BE" w:rsidRPr="000027C9" w:rsidRDefault="004678BE" w:rsidP="00C40F3E">
      <w:pPr>
        <w:spacing w:before="120" w:after="120"/>
        <w:ind w:hanging="11"/>
        <w:rPr>
          <w:rFonts w:asciiTheme="majorBidi" w:hAnsiTheme="majorBidi" w:cstheme="majorBidi"/>
          <w:szCs w:val="22"/>
        </w:rPr>
      </w:pPr>
      <w:r w:rsidRPr="000027C9">
        <w:rPr>
          <w:rFonts w:asciiTheme="majorBidi" w:hAnsiTheme="majorBidi" w:cstheme="majorBidi"/>
          <w:szCs w:val="22"/>
        </w:rPr>
        <w:t>1.</w:t>
      </w:r>
      <w:r w:rsidRPr="000027C9">
        <w:rPr>
          <w:rFonts w:asciiTheme="majorBidi" w:hAnsiTheme="majorBidi" w:cstheme="majorBidi"/>
          <w:szCs w:val="22"/>
        </w:rPr>
        <w:tab/>
        <w:t>The process for broad and regular horizon scanning, monitoring and assessment (hereinafter “the process”) consists of the following steps:</w:t>
      </w:r>
    </w:p>
    <w:p w14:paraId="2B2CE4D9" w14:textId="77777777" w:rsidR="004678BE" w:rsidRPr="000027C9" w:rsidRDefault="004678B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(a)</w:t>
      </w:r>
      <w:r w:rsidRPr="000027C9">
        <w:rPr>
          <w:rFonts w:asciiTheme="majorBidi" w:hAnsiTheme="majorBidi" w:cstheme="majorBidi"/>
          <w:szCs w:val="22"/>
        </w:rPr>
        <w:tab/>
        <w:t>Information gathering;</w:t>
      </w:r>
    </w:p>
    <w:p w14:paraId="745427E1" w14:textId="77777777" w:rsidR="004678BE" w:rsidRPr="000027C9" w:rsidRDefault="004678B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(b)</w:t>
      </w:r>
      <w:r w:rsidRPr="000027C9">
        <w:rPr>
          <w:rFonts w:asciiTheme="majorBidi" w:hAnsiTheme="majorBidi" w:cstheme="majorBidi"/>
          <w:szCs w:val="22"/>
        </w:rPr>
        <w:tab/>
        <w:t>Compilation, organization and synthesis of information;</w:t>
      </w:r>
    </w:p>
    <w:p w14:paraId="5B8AD4C7" w14:textId="77777777" w:rsidR="004678BE" w:rsidRPr="000027C9" w:rsidRDefault="004678B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(c)</w:t>
      </w:r>
      <w:r w:rsidRPr="000027C9">
        <w:rPr>
          <w:rFonts w:asciiTheme="majorBidi" w:hAnsiTheme="majorBidi" w:cstheme="majorBidi"/>
          <w:szCs w:val="22"/>
        </w:rPr>
        <w:tab/>
        <w:t>Assessment;</w:t>
      </w:r>
    </w:p>
    <w:p w14:paraId="7811C1D0" w14:textId="77777777" w:rsidR="004678BE" w:rsidRPr="000027C9" w:rsidRDefault="004678BE" w:rsidP="00C40F3E">
      <w:pPr>
        <w:tabs>
          <w:tab w:val="left" w:pos="360"/>
        </w:tabs>
        <w:spacing w:before="120" w:after="120"/>
        <w:ind w:firstLine="704"/>
        <w:rPr>
          <w:rFonts w:asciiTheme="majorBidi" w:hAnsiTheme="majorBidi" w:cstheme="majorBidi"/>
          <w:szCs w:val="22"/>
        </w:rPr>
      </w:pPr>
      <w:r w:rsidRPr="000027C9">
        <w:rPr>
          <w:rFonts w:asciiTheme="majorBidi" w:hAnsiTheme="majorBidi" w:cstheme="majorBidi"/>
          <w:szCs w:val="22"/>
        </w:rPr>
        <w:t>(d)</w:t>
      </w:r>
      <w:r w:rsidRPr="000027C9">
        <w:rPr>
          <w:rFonts w:asciiTheme="majorBidi" w:hAnsiTheme="majorBidi" w:cstheme="majorBidi"/>
          <w:szCs w:val="22"/>
        </w:rPr>
        <w:tab/>
        <w:t>Reporting on outcomes.</w:t>
      </w:r>
    </w:p>
    <w:p w14:paraId="5C453B80" w14:textId="77777777" w:rsidR="004678BE" w:rsidRPr="000027C9" w:rsidRDefault="004678BE" w:rsidP="00C40F3E">
      <w:pPr>
        <w:spacing w:before="120" w:after="120"/>
        <w:ind w:hanging="11"/>
        <w:rPr>
          <w:rFonts w:asciiTheme="majorBidi" w:hAnsiTheme="majorBidi" w:cstheme="majorBidi"/>
          <w:szCs w:val="22"/>
          <w:lang w:val="en-US"/>
        </w:rPr>
      </w:pPr>
      <w:r w:rsidRPr="000027C9">
        <w:rPr>
          <w:rFonts w:asciiTheme="majorBidi" w:hAnsiTheme="majorBidi" w:cstheme="majorBidi"/>
          <w:szCs w:val="22"/>
        </w:rPr>
        <w:t xml:space="preserve">2. </w:t>
      </w:r>
      <w:r w:rsidRPr="000027C9">
        <w:rPr>
          <w:rFonts w:asciiTheme="majorBidi" w:hAnsiTheme="majorBidi" w:cstheme="majorBidi"/>
          <w:szCs w:val="22"/>
        </w:rPr>
        <w:tab/>
        <w:t xml:space="preserve">The coordinating actors for the steps 1(a) and 1(b) of the process will be the Secretariat with the support of consultants, as appropriate; for 1(c) the </w:t>
      </w:r>
      <w:r w:rsidRPr="000027C9">
        <w:rPr>
          <w:rFonts w:asciiTheme="majorBidi" w:hAnsiTheme="majorBidi" w:cstheme="majorBidi"/>
          <w:szCs w:val="22"/>
          <w:lang w:val="en-US"/>
        </w:rPr>
        <w:t>multidisciplinary Ad Hoc Technical Expert Group and the Subsidiary Body on Scientific, Technical and Technological Advice; for 1(d) the multidisciplinary Ad Hoc Technical Expert Group, the Subsidiary Body on Scientific, Technical and Technological Advice, Conference of Parties, and the Conference of Parties serving as a meeting of the Parties to the Cartagena Protocol on Biosafety and the Conference of Parties serving as a meeting of the Parties to the Nagoya Protocol. The actors involved in the process will, when possible, make use of digital tools for disseminating and collecting information, including among others, submissions of information; outreach to relevant institutions and organizations; online fora; and collaborative activities, as appropriate.</w:t>
      </w:r>
    </w:p>
    <w:p w14:paraId="67088FEA" w14:textId="77777777" w:rsidR="004678BE" w:rsidRPr="000027C9" w:rsidRDefault="004678BE" w:rsidP="00FC43BE">
      <w:pPr>
        <w:spacing w:before="120" w:after="120"/>
        <w:ind w:hanging="11"/>
        <w:rPr>
          <w:rFonts w:asciiTheme="majorBidi" w:hAnsiTheme="majorBidi" w:cstheme="majorBidi"/>
          <w:szCs w:val="22"/>
        </w:rPr>
      </w:pPr>
      <w:r w:rsidRPr="000027C9">
        <w:rPr>
          <w:rFonts w:asciiTheme="majorBidi" w:hAnsiTheme="majorBidi" w:cstheme="majorBidi"/>
          <w:szCs w:val="22"/>
        </w:rPr>
        <w:t>3.</w:t>
      </w:r>
      <w:r w:rsidRPr="000027C9">
        <w:rPr>
          <w:rFonts w:asciiTheme="majorBidi" w:hAnsiTheme="majorBidi" w:cstheme="majorBidi"/>
          <w:szCs w:val="22"/>
        </w:rPr>
        <w:tab/>
        <w:t xml:space="preserve">The Subsidiary Body on Scientific, Technical and Technological Advice shall review the outcomes of the process </w:t>
      </w:r>
      <w:r w:rsidRPr="000027C9">
        <w:rPr>
          <w:rFonts w:asciiTheme="majorBidi" w:hAnsiTheme="majorBidi" w:cstheme="majorBidi"/>
          <w:iCs/>
          <w:szCs w:val="22"/>
        </w:rPr>
        <w:t xml:space="preserve">and make recommendations on technological developments in synthetic biology and their potential positive and negative impacts for the objectives of the Convention. </w:t>
      </w:r>
    </w:p>
    <w:p w14:paraId="4E85EBDC" w14:textId="77777777" w:rsidR="004678BE" w:rsidRPr="000027C9" w:rsidRDefault="004678BE" w:rsidP="00C40F3E">
      <w:pPr>
        <w:spacing w:before="120" w:after="120"/>
        <w:ind w:hanging="11"/>
        <w:rPr>
          <w:rFonts w:asciiTheme="majorBidi" w:hAnsiTheme="majorBidi" w:cstheme="majorBidi"/>
          <w:szCs w:val="22"/>
        </w:rPr>
      </w:pPr>
      <w:r w:rsidRPr="000027C9">
        <w:rPr>
          <w:rFonts w:asciiTheme="majorBidi" w:hAnsiTheme="majorBidi" w:cstheme="majorBidi"/>
          <w:szCs w:val="22"/>
        </w:rPr>
        <w:t>4.</w:t>
      </w:r>
      <w:r w:rsidRPr="000027C9">
        <w:rPr>
          <w:rFonts w:asciiTheme="majorBidi" w:hAnsiTheme="majorBidi" w:cstheme="majorBidi"/>
          <w:szCs w:val="22"/>
        </w:rPr>
        <w:tab/>
        <w:t>The effectiveness of the process shall be considered by the Conference of the Parties.</w:t>
      </w:r>
    </w:p>
    <w:p w14:paraId="02B62753" w14:textId="77777777" w:rsidR="004678BE" w:rsidRPr="000027C9" w:rsidRDefault="004678BE" w:rsidP="000027C9">
      <w:pPr>
        <w:keepNext/>
        <w:tabs>
          <w:tab w:val="left" w:pos="360"/>
        </w:tabs>
        <w:spacing w:before="240" w:after="120"/>
        <w:ind w:left="1134" w:hanging="567"/>
        <w:jc w:val="left"/>
        <w:rPr>
          <w:rFonts w:asciiTheme="majorBidi" w:hAnsiTheme="majorBidi" w:cstheme="majorBidi"/>
          <w:b/>
          <w:bCs/>
          <w:szCs w:val="22"/>
        </w:rPr>
      </w:pPr>
      <w:r w:rsidRPr="000027C9">
        <w:rPr>
          <w:rFonts w:asciiTheme="majorBidi" w:hAnsiTheme="majorBidi" w:cstheme="majorBidi"/>
          <w:b/>
          <w:bCs/>
          <w:szCs w:val="22"/>
        </w:rPr>
        <w:t>B.</w:t>
      </w:r>
      <w:r w:rsidRPr="000027C9">
        <w:rPr>
          <w:rFonts w:asciiTheme="majorBidi" w:hAnsiTheme="majorBidi" w:cstheme="majorBidi"/>
          <w:b/>
          <w:bCs/>
          <w:szCs w:val="22"/>
        </w:rPr>
        <w:tab/>
        <w:t>Terms of reference for the multidisciplinary Ad Hoc Technical Expert Group on Synthetic Biology to Support the Process for Broad and Regular Horizon Scanning, Monitoring and Assessment</w:t>
      </w:r>
    </w:p>
    <w:p w14:paraId="210F4ACF" w14:textId="77777777" w:rsidR="004678BE" w:rsidRPr="000027C9" w:rsidRDefault="004678BE" w:rsidP="00C40F3E">
      <w:pPr>
        <w:spacing w:before="120" w:after="120"/>
        <w:rPr>
          <w:rFonts w:asciiTheme="majorBidi" w:hAnsiTheme="majorBidi" w:cstheme="majorBidi"/>
          <w:szCs w:val="22"/>
        </w:rPr>
      </w:pPr>
      <w:r w:rsidRPr="000027C9">
        <w:rPr>
          <w:rFonts w:asciiTheme="majorBidi" w:hAnsiTheme="majorBidi" w:cstheme="majorBidi"/>
          <w:szCs w:val="22"/>
        </w:rPr>
        <w:t>1.</w:t>
      </w:r>
      <w:r w:rsidRPr="000027C9">
        <w:rPr>
          <w:rFonts w:asciiTheme="majorBidi" w:hAnsiTheme="majorBidi" w:cstheme="majorBidi"/>
          <w:szCs w:val="22"/>
        </w:rPr>
        <w:tab/>
        <w:t>The multidisciplinary Ad Hoc Technical Expert Group, building on the previous relevant work under the Convention and its Protocols, including the work of the previous Ad Hoc Technical Expert Groups on Synthetic Biology, shall:</w:t>
      </w:r>
    </w:p>
    <w:p w14:paraId="62B5AEC2" w14:textId="77777777" w:rsidR="004678BE" w:rsidRPr="000027C9" w:rsidRDefault="004678B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(a)</w:t>
      </w:r>
      <w:r w:rsidRPr="000027C9">
        <w:rPr>
          <w:rFonts w:asciiTheme="majorBidi" w:hAnsiTheme="majorBidi" w:cstheme="majorBidi"/>
          <w:szCs w:val="22"/>
        </w:rPr>
        <w:tab/>
        <w:t xml:space="preserve">Make use of existing tools and approaches to enable a participatory process </w:t>
      </w:r>
      <w:r w:rsidRPr="000027C9">
        <w:rPr>
          <w:rFonts w:asciiTheme="majorBidi" w:hAnsiTheme="majorBidi" w:cstheme="majorBidi"/>
          <w:szCs w:val="22"/>
          <w:lang w:val="en-US"/>
        </w:rPr>
        <w:t>t</w:t>
      </w:r>
      <w:r w:rsidRPr="000027C9">
        <w:rPr>
          <w:rFonts w:asciiTheme="majorBidi" w:hAnsiTheme="majorBidi" w:cstheme="majorBidi"/>
          <w:szCs w:val="22"/>
        </w:rPr>
        <w:t xml:space="preserve">o review and assess the information gathered through the process for broad and regular horizon scanning, monitoring and assessment and, on this basis, consider technological developments in synthetic biology and their potential </w:t>
      </w:r>
      <w:r w:rsidRPr="000027C9">
        <w:rPr>
          <w:rFonts w:asciiTheme="majorBidi" w:hAnsiTheme="majorBidi" w:cstheme="majorBidi"/>
          <w:szCs w:val="22"/>
        </w:rPr>
        <w:lastRenderedPageBreak/>
        <w:t xml:space="preserve">positive and negative impacts vis-à-vis the objectives of the Convention, taking into account the 2019 report of the </w:t>
      </w:r>
      <w:r>
        <w:rPr>
          <w:rFonts w:asciiTheme="majorBidi" w:hAnsiTheme="majorBidi" w:cstheme="majorBidi"/>
          <w:szCs w:val="22"/>
        </w:rPr>
        <w:t>Ad Hoc Technical Expert Group</w:t>
      </w:r>
      <w:r w:rsidRPr="000027C9">
        <w:rPr>
          <w:rFonts w:asciiTheme="majorBidi" w:hAnsiTheme="majorBidi" w:cstheme="majorBidi"/>
          <w:szCs w:val="22"/>
        </w:rPr>
        <w:t xml:space="preserve"> on </w:t>
      </w:r>
      <w:r>
        <w:rPr>
          <w:rFonts w:asciiTheme="majorBidi" w:hAnsiTheme="majorBidi" w:cstheme="majorBidi"/>
          <w:szCs w:val="22"/>
        </w:rPr>
        <w:t>S</w:t>
      </w:r>
      <w:r w:rsidRPr="000027C9">
        <w:rPr>
          <w:rFonts w:asciiTheme="majorBidi" w:hAnsiTheme="majorBidi" w:cstheme="majorBidi"/>
          <w:szCs w:val="22"/>
        </w:rPr>
        <w:t xml:space="preserve">ynthetic </w:t>
      </w:r>
      <w:r>
        <w:rPr>
          <w:rFonts w:asciiTheme="majorBidi" w:hAnsiTheme="majorBidi" w:cstheme="majorBidi"/>
          <w:szCs w:val="22"/>
        </w:rPr>
        <w:t>B</w:t>
      </w:r>
      <w:r w:rsidRPr="000027C9">
        <w:rPr>
          <w:rFonts w:asciiTheme="majorBidi" w:hAnsiTheme="majorBidi" w:cstheme="majorBidi"/>
          <w:szCs w:val="22"/>
        </w:rPr>
        <w:t>iology</w:t>
      </w:r>
      <w:r>
        <w:rPr>
          <w:rFonts w:asciiTheme="majorBidi" w:hAnsiTheme="majorBidi" w:cstheme="majorBidi"/>
          <w:szCs w:val="22"/>
        </w:rPr>
        <w:t>,</w:t>
      </w:r>
      <w:r w:rsidRPr="00610646">
        <w:rPr>
          <w:rStyle w:val="FootnoteReference"/>
        </w:rPr>
        <w:footnoteReference w:id="386"/>
      </w:r>
      <w:r w:rsidRPr="000027C9">
        <w:rPr>
          <w:rFonts w:asciiTheme="majorBidi" w:hAnsiTheme="majorBidi" w:cstheme="majorBidi"/>
          <w:szCs w:val="22"/>
        </w:rPr>
        <w:t xml:space="preserve"> as appropriate;</w:t>
      </w:r>
    </w:p>
    <w:p w14:paraId="6EFE24DC" w14:textId="77777777" w:rsidR="004678BE" w:rsidRPr="000027C9" w:rsidRDefault="004678BE" w:rsidP="00F973A3">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(b)</w:t>
      </w:r>
      <w:r w:rsidRPr="000027C9">
        <w:rPr>
          <w:rFonts w:asciiTheme="majorBidi" w:hAnsiTheme="majorBidi" w:cstheme="majorBidi"/>
          <w:szCs w:val="22"/>
        </w:rPr>
        <w:tab/>
        <w:t xml:space="preserve">Identify and prioritize trends and issues regarding developments of synthetic biology that need to be considered vis-à-vis the three objectives of the Convention; </w:t>
      </w:r>
    </w:p>
    <w:p w14:paraId="26D90AB4" w14:textId="77777777" w:rsidR="004678BE" w:rsidRPr="000027C9" w:rsidRDefault="004678BE" w:rsidP="00F973A3">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(c)</w:t>
      </w:r>
      <w:r w:rsidRPr="000027C9">
        <w:rPr>
          <w:rFonts w:asciiTheme="majorBidi" w:hAnsiTheme="majorBidi" w:cstheme="majorBidi"/>
          <w:szCs w:val="22"/>
        </w:rPr>
        <w:tab/>
        <w:t>Identify capacity-building, technology transfer and knowledge-sharing needs based on priorities determined by Parties on issues related to synthetic biology and in the light of the outcomes of the horizon scanning process;</w:t>
      </w:r>
    </w:p>
    <w:p w14:paraId="6F7C5BC0" w14:textId="77777777" w:rsidR="004678BE" w:rsidRPr="000027C9" w:rsidRDefault="004678B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(d)</w:t>
      </w:r>
      <w:r w:rsidRPr="000027C9">
        <w:rPr>
          <w:rFonts w:asciiTheme="majorBidi" w:hAnsiTheme="majorBidi" w:cstheme="majorBidi"/>
          <w:szCs w:val="22"/>
        </w:rPr>
        <w:tab/>
        <w:t>Prepare a report on the outcomes of its assessment to be submitted to the Subsidiary Body on Scientific, Technical and Technological Advice;</w:t>
      </w:r>
    </w:p>
    <w:p w14:paraId="10D8D614" w14:textId="77777777" w:rsidR="004678BE" w:rsidRPr="000027C9" w:rsidRDefault="004678BE" w:rsidP="00C40F3E">
      <w:pPr>
        <w:tabs>
          <w:tab w:val="left" w:pos="360"/>
        </w:tabs>
        <w:spacing w:before="120" w:after="120"/>
        <w:ind w:firstLine="720"/>
        <w:rPr>
          <w:rFonts w:asciiTheme="majorBidi" w:hAnsiTheme="majorBidi" w:cstheme="majorBidi"/>
          <w:szCs w:val="22"/>
        </w:rPr>
      </w:pPr>
      <w:r w:rsidRPr="000027C9">
        <w:rPr>
          <w:rFonts w:asciiTheme="majorBidi" w:hAnsiTheme="majorBidi" w:cstheme="majorBidi"/>
          <w:szCs w:val="22"/>
        </w:rPr>
        <w:t>(e)</w:t>
      </w:r>
      <w:r w:rsidRPr="000027C9">
        <w:rPr>
          <w:rFonts w:asciiTheme="majorBidi" w:hAnsiTheme="majorBidi" w:cstheme="majorBidi"/>
          <w:szCs w:val="22"/>
        </w:rPr>
        <w:tab/>
        <w:t>Make recommendations to the Subsidiary Body on Scientific, Technical and Technological Advice on specific issues that may require further consideration by the Conference of the Parties and/or Conference of Parties serving as a meeting of the Parties to the Cartagena Protocol and Conference of Parties serving as a meeting of the Parties to the Nagoya Protocol.</w:t>
      </w:r>
    </w:p>
    <w:p w14:paraId="69998485" w14:textId="77777777" w:rsidR="004678BE" w:rsidRPr="000027C9" w:rsidRDefault="004678BE" w:rsidP="00C40F3E">
      <w:pPr>
        <w:spacing w:before="120" w:after="120"/>
        <w:rPr>
          <w:rFonts w:asciiTheme="majorBidi" w:hAnsiTheme="majorBidi" w:cstheme="majorBidi"/>
          <w:strike/>
          <w:szCs w:val="22"/>
        </w:rPr>
      </w:pPr>
      <w:r w:rsidRPr="000027C9">
        <w:rPr>
          <w:rFonts w:asciiTheme="majorBidi" w:hAnsiTheme="majorBidi" w:cstheme="majorBidi"/>
          <w:szCs w:val="22"/>
        </w:rPr>
        <w:t>2.</w:t>
      </w:r>
      <w:r w:rsidRPr="000027C9">
        <w:rPr>
          <w:rFonts w:asciiTheme="majorBidi" w:hAnsiTheme="majorBidi" w:cstheme="majorBidi"/>
          <w:szCs w:val="22"/>
        </w:rPr>
        <w:tab/>
        <w:t>The multidisciplinary Ad Hoc Technical Expert Group on Synthetic Biology will be convened to start its work for one intersessional period and according to section H of the consolidated modus operandi of the Subsidiary Body on Scientific, Technical and Technological Advice, including, whenever possible, expertise from a broad range of scientific disciplines, as well as interdisciplinary and intercultural expertise, indigenous peoples and local communities.</w:t>
      </w:r>
    </w:p>
    <w:p w14:paraId="417DD88E" w14:textId="77777777" w:rsidR="004678BE" w:rsidRPr="000027C9" w:rsidRDefault="004678BE" w:rsidP="00C40F3E">
      <w:pPr>
        <w:spacing w:before="120" w:after="120"/>
        <w:rPr>
          <w:rFonts w:asciiTheme="majorBidi" w:hAnsiTheme="majorBidi" w:cstheme="majorBidi"/>
          <w:bCs/>
          <w:iCs/>
          <w:szCs w:val="22"/>
        </w:rPr>
      </w:pPr>
      <w:r w:rsidRPr="000027C9">
        <w:rPr>
          <w:rFonts w:asciiTheme="majorBidi" w:hAnsiTheme="majorBidi" w:cstheme="majorBidi"/>
          <w:bCs/>
          <w:iCs/>
          <w:szCs w:val="22"/>
        </w:rPr>
        <w:t>3.</w:t>
      </w:r>
      <w:r w:rsidRPr="000027C9">
        <w:rPr>
          <w:rFonts w:asciiTheme="majorBidi" w:hAnsiTheme="majorBidi" w:cstheme="majorBidi"/>
          <w:bCs/>
          <w:iCs/>
          <w:szCs w:val="22"/>
        </w:rPr>
        <w:tab/>
      </w:r>
      <w:r w:rsidRPr="000027C9">
        <w:rPr>
          <w:rFonts w:asciiTheme="majorBidi" w:hAnsiTheme="majorBidi" w:cstheme="majorBidi"/>
          <w:szCs w:val="22"/>
        </w:rPr>
        <w:t>The procedure for avoiding or managing conflicts of interest in expert groups set out in the annex to decision 14/33 shall apply to the multidisciplinary Ad Hoc Technical Expert Group.</w:t>
      </w:r>
    </w:p>
    <w:p w14:paraId="13E98B31" w14:textId="77777777" w:rsidR="004678BE" w:rsidRPr="000027C9" w:rsidRDefault="004678BE" w:rsidP="00C40F3E">
      <w:pPr>
        <w:spacing w:before="120" w:after="120"/>
        <w:rPr>
          <w:rFonts w:asciiTheme="majorBidi" w:hAnsiTheme="majorBidi" w:cstheme="majorBidi"/>
          <w:bCs/>
          <w:iCs/>
          <w:szCs w:val="22"/>
        </w:rPr>
      </w:pPr>
      <w:r w:rsidRPr="000027C9">
        <w:rPr>
          <w:rFonts w:asciiTheme="majorBidi" w:hAnsiTheme="majorBidi" w:cstheme="majorBidi"/>
          <w:bCs/>
          <w:iCs/>
          <w:szCs w:val="22"/>
        </w:rPr>
        <w:t>4.</w:t>
      </w:r>
      <w:r w:rsidRPr="000027C9">
        <w:rPr>
          <w:rFonts w:asciiTheme="majorBidi" w:hAnsiTheme="majorBidi" w:cstheme="majorBidi"/>
          <w:bCs/>
          <w:iCs/>
          <w:szCs w:val="22"/>
        </w:rPr>
        <w:tab/>
      </w:r>
      <w:r w:rsidRPr="000027C9">
        <w:rPr>
          <w:rFonts w:asciiTheme="majorBidi" w:hAnsiTheme="majorBidi" w:cstheme="majorBidi"/>
          <w:bCs/>
          <w:szCs w:val="22"/>
        </w:rPr>
        <w:t>The multidisciplinary Ad Hoc Technical Expert Group on Synthetic Biology will work through a combination of face-to-face meetings, held physically and/or online, supported, as needed by online discussions.</w:t>
      </w:r>
    </w:p>
    <w:p w14:paraId="71FD1394" w14:textId="77777777" w:rsidR="005B203B" w:rsidRDefault="005B203B" w:rsidP="005B203B">
      <w:pPr>
        <w:jc w:val="center"/>
        <w:rPr>
          <w:szCs w:val="22"/>
        </w:rPr>
        <w:sectPr w:rsidR="005B203B" w:rsidSect="00441700">
          <w:footnotePr>
            <w:numRestart w:val="eachSect"/>
          </w:footnotePr>
          <w:pgSz w:w="12240" w:h="15840"/>
          <w:pgMar w:top="567" w:right="1440" w:bottom="1134" w:left="1440" w:header="709" w:footer="709" w:gutter="0"/>
          <w:cols w:space="708"/>
          <w:docGrid w:linePitch="360"/>
        </w:sectPr>
      </w:pPr>
    </w:p>
    <w:p w14:paraId="487BAC3F" w14:textId="77777777" w:rsidR="005B203B" w:rsidRPr="00890579" w:rsidRDefault="005B203B" w:rsidP="00186485">
      <w:pPr>
        <w:pStyle w:val="decision"/>
        <w:rPr>
          <w:caps/>
        </w:rPr>
      </w:pPr>
      <w:bookmarkStart w:id="384" w:name="_Toc150438830"/>
      <w:bookmarkStart w:id="385" w:name="_Toc150670537"/>
      <w:bookmarkStart w:id="386" w:name="_Toc150670647"/>
      <w:bookmarkStart w:id="387" w:name="_Toc150761142"/>
      <w:r>
        <w:lastRenderedPageBreak/>
        <w:t>15/32.</w:t>
      </w:r>
      <w:r>
        <w:tab/>
        <w:t>Date and venue of future meetings of the Conference of the Parties</w:t>
      </w:r>
      <w:bookmarkEnd w:id="384"/>
      <w:bookmarkEnd w:id="385"/>
      <w:bookmarkEnd w:id="386"/>
      <w:bookmarkEnd w:id="387"/>
    </w:p>
    <w:p w14:paraId="4B8BCD78" w14:textId="77777777" w:rsidR="005B203B" w:rsidRPr="00857488" w:rsidRDefault="005B203B" w:rsidP="00857488">
      <w:pPr>
        <w:snapToGrid w:val="0"/>
        <w:spacing w:before="120" w:after="120"/>
        <w:ind w:firstLine="720"/>
        <w:rPr>
          <w:i/>
          <w:kern w:val="22"/>
          <w:szCs w:val="18"/>
        </w:rPr>
      </w:pPr>
      <w:r w:rsidRPr="00857488">
        <w:rPr>
          <w:i/>
          <w:kern w:val="22"/>
          <w:szCs w:val="18"/>
        </w:rPr>
        <w:t>The Conference of the Parties,</w:t>
      </w:r>
    </w:p>
    <w:p w14:paraId="4D56539A" w14:textId="77777777" w:rsidR="005B203B" w:rsidRPr="00857488" w:rsidRDefault="005B203B" w:rsidP="00857488">
      <w:pPr>
        <w:snapToGrid w:val="0"/>
        <w:spacing w:before="120" w:after="120"/>
        <w:ind w:firstLine="720"/>
        <w:rPr>
          <w:kern w:val="22"/>
          <w:szCs w:val="18"/>
        </w:rPr>
      </w:pPr>
      <w:r w:rsidRPr="00857488">
        <w:rPr>
          <w:i/>
          <w:kern w:val="22"/>
          <w:szCs w:val="18"/>
        </w:rPr>
        <w:t>Recalling</w:t>
      </w:r>
      <w:r w:rsidRPr="00857488">
        <w:rPr>
          <w:kern w:val="22"/>
          <w:szCs w:val="18"/>
        </w:rPr>
        <w:t xml:space="preserve"> </w:t>
      </w:r>
      <w:r>
        <w:rPr>
          <w:kern w:val="22"/>
          <w:szCs w:val="18"/>
        </w:rPr>
        <w:t xml:space="preserve">its </w:t>
      </w:r>
      <w:r w:rsidRPr="00857488">
        <w:rPr>
          <w:kern w:val="22"/>
          <w:szCs w:val="18"/>
        </w:rPr>
        <w:t>decision</w:t>
      </w:r>
      <w:r>
        <w:rPr>
          <w:kern w:val="22"/>
          <w:szCs w:val="18"/>
        </w:rPr>
        <w:t xml:space="preserve"> XIII/33 and </w:t>
      </w:r>
      <w:r w:rsidRPr="00857488">
        <w:rPr>
          <w:kern w:val="22"/>
          <w:szCs w:val="18"/>
        </w:rPr>
        <w:t>X</w:t>
      </w:r>
      <w:r>
        <w:rPr>
          <w:kern w:val="22"/>
          <w:szCs w:val="18"/>
        </w:rPr>
        <w:t>IV</w:t>
      </w:r>
      <w:r w:rsidRPr="00857488">
        <w:rPr>
          <w:kern w:val="22"/>
          <w:szCs w:val="18"/>
        </w:rPr>
        <w:t>/3</w:t>
      </w:r>
      <w:r>
        <w:rPr>
          <w:kern w:val="22"/>
          <w:szCs w:val="18"/>
        </w:rPr>
        <w:t>8</w:t>
      </w:r>
      <w:r w:rsidRPr="00857488">
        <w:rPr>
          <w:kern w:val="22"/>
          <w:szCs w:val="18"/>
        </w:rPr>
        <w:t xml:space="preserve">, </w:t>
      </w:r>
    </w:p>
    <w:p w14:paraId="03D22114" w14:textId="77777777" w:rsidR="005B203B" w:rsidRDefault="005B203B" w:rsidP="00DC5DEF">
      <w:pPr>
        <w:tabs>
          <w:tab w:val="num" w:pos="360"/>
        </w:tabs>
        <w:snapToGrid w:val="0"/>
        <w:spacing w:before="120" w:after="120"/>
        <w:ind w:firstLine="720"/>
        <w:rPr>
          <w:i/>
          <w:kern w:val="22"/>
          <w:szCs w:val="18"/>
        </w:rPr>
      </w:pPr>
      <w:r w:rsidRPr="00857488">
        <w:rPr>
          <w:iCs/>
          <w:kern w:val="22"/>
          <w:szCs w:val="18"/>
        </w:rPr>
        <w:t>1.</w:t>
      </w:r>
      <w:r>
        <w:rPr>
          <w:i/>
          <w:kern w:val="22"/>
          <w:szCs w:val="18"/>
        </w:rPr>
        <w:tab/>
      </w:r>
      <w:r w:rsidRPr="00857488">
        <w:rPr>
          <w:i/>
          <w:kern w:val="22"/>
          <w:szCs w:val="18"/>
        </w:rPr>
        <w:t>Decides</w:t>
      </w:r>
      <w:r>
        <w:rPr>
          <w:i/>
          <w:iCs/>
          <w:kern w:val="22"/>
          <w:szCs w:val="22"/>
        </w:rPr>
        <w:t xml:space="preserve"> </w:t>
      </w:r>
      <w:r>
        <w:rPr>
          <w:kern w:val="22"/>
          <w:szCs w:val="22"/>
        </w:rPr>
        <w:t>that, following the fifteenth meeting of the Conference of the Parties, meetings of the Conference of the Parties will be held every two years unless otherwise decided by the Conference of the Parties;</w:t>
      </w:r>
    </w:p>
    <w:p w14:paraId="2F4B9F7C" w14:textId="77777777" w:rsidR="005B203B" w:rsidRDefault="005B203B" w:rsidP="00DC5DEF">
      <w:pPr>
        <w:tabs>
          <w:tab w:val="num" w:pos="360"/>
        </w:tabs>
        <w:snapToGrid w:val="0"/>
        <w:spacing w:before="120" w:after="120"/>
        <w:ind w:firstLine="720"/>
        <w:rPr>
          <w:i/>
          <w:kern w:val="22"/>
          <w:szCs w:val="18"/>
        </w:rPr>
      </w:pPr>
      <w:r w:rsidRPr="00DC5DEF">
        <w:rPr>
          <w:iCs/>
          <w:kern w:val="22"/>
          <w:szCs w:val="18"/>
        </w:rPr>
        <w:t>2.</w:t>
      </w:r>
      <w:r>
        <w:rPr>
          <w:i/>
          <w:kern w:val="22"/>
          <w:szCs w:val="18"/>
        </w:rPr>
        <w:tab/>
        <w:t xml:space="preserve">Also decides </w:t>
      </w:r>
      <w:r w:rsidRPr="00857488">
        <w:rPr>
          <w:kern w:val="22"/>
          <w:szCs w:val="18"/>
        </w:rPr>
        <w:t>that the sixteenth meeting of the Conference of the Parties</w:t>
      </w:r>
      <w:r>
        <w:rPr>
          <w:kern w:val="22"/>
          <w:szCs w:val="18"/>
        </w:rPr>
        <w:t xml:space="preserve">, </w:t>
      </w:r>
      <w:r w:rsidRPr="00DC5DEF">
        <w:rPr>
          <w:kern w:val="22"/>
          <w:szCs w:val="18"/>
        </w:rPr>
        <w:t xml:space="preserve">the eleventh meeting of the Conference of the Parties serving as the meeting of the Parties to the Cartagena Protocol and the fifth meeting of the Conference of the Parties </w:t>
      </w:r>
      <w:r>
        <w:rPr>
          <w:kern w:val="22"/>
          <w:szCs w:val="18"/>
        </w:rPr>
        <w:t xml:space="preserve">serving as the meeting of the Parties </w:t>
      </w:r>
      <w:r w:rsidRPr="00DC5DEF">
        <w:rPr>
          <w:kern w:val="22"/>
          <w:szCs w:val="18"/>
        </w:rPr>
        <w:t>to the Nagoya Protocol</w:t>
      </w:r>
      <w:r>
        <w:rPr>
          <w:kern w:val="22"/>
          <w:szCs w:val="18"/>
        </w:rPr>
        <w:t>,</w:t>
      </w:r>
      <w:r w:rsidRPr="00857488">
        <w:rPr>
          <w:kern w:val="22"/>
          <w:szCs w:val="18"/>
        </w:rPr>
        <w:t xml:space="preserve"> should be held in Türkiye in the last </w:t>
      </w:r>
      <w:r>
        <w:rPr>
          <w:kern w:val="22"/>
          <w:szCs w:val="18"/>
        </w:rPr>
        <w:t>half of 2024</w:t>
      </w:r>
      <w:r w:rsidRPr="00857488">
        <w:rPr>
          <w:kern w:val="22"/>
          <w:szCs w:val="18"/>
        </w:rPr>
        <w:t>;</w:t>
      </w:r>
    </w:p>
    <w:p w14:paraId="033219C3" w14:textId="77777777" w:rsidR="005B203B" w:rsidRPr="00C7483C" w:rsidRDefault="005B203B" w:rsidP="00DC5DEF">
      <w:pPr>
        <w:tabs>
          <w:tab w:val="num" w:pos="360"/>
        </w:tabs>
        <w:snapToGrid w:val="0"/>
        <w:spacing w:before="120" w:after="120"/>
        <w:ind w:firstLine="720"/>
        <w:rPr>
          <w:kern w:val="22"/>
          <w:szCs w:val="18"/>
        </w:rPr>
      </w:pPr>
      <w:r w:rsidRPr="00B4009F">
        <w:rPr>
          <w:iCs/>
          <w:kern w:val="22"/>
          <w:szCs w:val="18"/>
        </w:rPr>
        <w:t>3.</w:t>
      </w:r>
      <w:r w:rsidRPr="00B4009F">
        <w:rPr>
          <w:i/>
          <w:kern w:val="22"/>
          <w:szCs w:val="18"/>
        </w:rPr>
        <w:tab/>
        <w:t xml:space="preserve">Reiterates </w:t>
      </w:r>
      <w:r w:rsidRPr="00B4009F">
        <w:rPr>
          <w:iCs/>
          <w:kern w:val="22"/>
          <w:szCs w:val="18"/>
        </w:rPr>
        <w:t>its invitation to</w:t>
      </w:r>
      <w:r w:rsidRPr="00B4009F">
        <w:rPr>
          <w:i/>
          <w:kern w:val="22"/>
          <w:szCs w:val="18"/>
        </w:rPr>
        <w:t xml:space="preserve"> </w:t>
      </w:r>
      <w:r w:rsidRPr="00B4009F">
        <w:rPr>
          <w:kern w:val="22"/>
          <w:szCs w:val="18"/>
        </w:rPr>
        <w:t xml:space="preserve">Parties from the </w:t>
      </w:r>
      <w:r>
        <w:rPr>
          <w:kern w:val="22"/>
          <w:szCs w:val="18"/>
        </w:rPr>
        <w:t xml:space="preserve">regional group </w:t>
      </w:r>
      <w:r w:rsidRPr="00C7483C">
        <w:rPr>
          <w:kern w:val="22"/>
          <w:szCs w:val="18"/>
        </w:rPr>
        <w:t>of Eastern European States to notify the Executive Secretary of their offers to host the seventeenth meeting of the Conference of the Parties, as well as the twelfth meeting of the Conference of the Parties serving as the meeting of the Parties to the Cartagena Protocol and the sixth meeting of the Conference of the Parties serving as the meeting of the Parties to the Nagoya Protocol;</w:t>
      </w:r>
    </w:p>
    <w:p w14:paraId="34130CC8" w14:textId="77777777" w:rsidR="005B203B" w:rsidRPr="004400AA" w:rsidRDefault="005B203B" w:rsidP="004400AA">
      <w:pPr>
        <w:tabs>
          <w:tab w:val="num" w:pos="360"/>
        </w:tabs>
        <w:snapToGrid w:val="0"/>
        <w:spacing w:before="120" w:after="120"/>
        <w:ind w:firstLine="720"/>
        <w:rPr>
          <w:kern w:val="22"/>
          <w:szCs w:val="18"/>
        </w:rPr>
      </w:pPr>
      <w:r w:rsidRPr="00C7483C">
        <w:rPr>
          <w:kern w:val="22"/>
          <w:szCs w:val="18"/>
        </w:rPr>
        <w:t>4.</w:t>
      </w:r>
      <w:r w:rsidRPr="00C7483C">
        <w:rPr>
          <w:kern w:val="22"/>
          <w:szCs w:val="18"/>
        </w:rPr>
        <w:tab/>
      </w:r>
      <w:r w:rsidRPr="00C7483C">
        <w:rPr>
          <w:i/>
          <w:iCs/>
          <w:kern w:val="22"/>
          <w:szCs w:val="18"/>
        </w:rPr>
        <w:t>Invites</w:t>
      </w:r>
      <w:r w:rsidRPr="00C7483C">
        <w:rPr>
          <w:kern w:val="22"/>
          <w:szCs w:val="18"/>
        </w:rPr>
        <w:t xml:space="preserve"> Parties from the </w:t>
      </w:r>
      <w:r>
        <w:rPr>
          <w:kern w:val="22"/>
          <w:szCs w:val="18"/>
        </w:rPr>
        <w:t xml:space="preserve">regional group of </w:t>
      </w:r>
      <w:r w:rsidRPr="00C7483C">
        <w:rPr>
          <w:kern w:val="22"/>
          <w:szCs w:val="18"/>
        </w:rPr>
        <w:t>Latin America</w:t>
      </w:r>
      <w:r w:rsidRPr="00BD2C02">
        <w:rPr>
          <w:kern w:val="22"/>
          <w:szCs w:val="18"/>
        </w:rPr>
        <w:t>n</w:t>
      </w:r>
      <w:r w:rsidRPr="00C7483C">
        <w:rPr>
          <w:kern w:val="22"/>
          <w:szCs w:val="18"/>
        </w:rPr>
        <w:t xml:space="preserve"> and Caribbean </w:t>
      </w:r>
      <w:r>
        <w:rPr>
          <w:kern w:val="22"/>
          <w:szCs w:val="18"/>
        </w:rPr>
        <w:t>States</w:t>
      </w:r>
      <w:r w:rsidRPr="00C7483C">
        <w:rPr>
          <w:kern w:val="22"/>
          <w:szCs w:val="18"/>
        </w:rPr>
        <w:t xml:space="preserve"> to</w:t>
      </w:r>
      <w:r w:rsidRPr="00B4009F">
        <w:rPr>
          <w:kern w:val="22"/>
          <w:szCs w:val="18"/>
        </w:rPr>
        <w:t xml:space="preserve"> notify</w:t>
      </w:r>
      <w:r>
        <w:rPr>
          <w:kern w:val="22"/>
          <w:szCs w:val="18"/>
        </w:rPr>
        <w:t xml:space="preserve"> the Executive Secretary of their offers to host the eighteenth meetings of the Conference of the Parties to the Convention, as well as the thirteenth meeting of the Conference of the Parties serving as the meeting of the Parties to the Cartagena Protocol on Biosafety and the seventh meeting of the Conference of the Parties serving as the meeting of the Parties to the Nagoya Protocol.</w:t>
      </w:r>
    </w:p>
    <w:p w14:paraId="64B184C2" w14:textId="77777777" w:rsidR="005B203B" w:rsidRDefault="005B203B" w:rsidP="00C9161D">
      <w:pPr>
        <w:jc w:val="center"/>
        <w:sectPr w:rsidR="005B203B" w:rsidSect="00441700">
          <w:pgSz w:w="12240" w:h="15840"/>
          <w:pgMar w:top="567" w:right="1440" w:bottom="1134" w:left="1440" w:header="709" w:footer="709" w:gutter="0"/>
          <w:cols w:space="708"/>
          <w:docGrid w:linePitch="360"/>
        </w:sectPr>
      </w:pPr>
    </w:p>
    <w:p w14:paraId="2F0ABC1A" w14:textId="77777777" w:rsidR="005B203B" w:rsidRDefault="005B203B" w:rsidP="007A23C3">
      <w:pPr>
        <w:pStyle w:val="decision"/>
      </w:pPr>
      <w:bookmarkStart w:id="388" w:name="_Toc150438831"/>
      <w:bookmarkStart w:id="389" w:name="_Toc150670538"/>
      <w:bookmarkStart w:id="390" w:name="_Toc150670648"/>
      <w:bookmarkStart w:id="391" w:name="_Toc150761143"/>
      <w:r>
        <w:lastRenderedPageBreak/>
        <w:t>15/33.</w:t>
      </w:r>
      <w:r>
        <w:tab/>
      </w:r>
      <w:r w:rsidRPr="00C944F4">
        <w:t>Multi-year programme of work of the Conference of the Parties</w:t>
      </w:r>
      <w:bookmarkEnd w:id="388"/>
      <w:bookmarkEnd w:id="389"/>
      <w:bookmarkEnd w:id="390"/>
      <w:bookmarkEnd w:id="391"/>
      <w:r w:rsidRPr="00105372">
        <w:rPr>
          <w:caps/>
        </w:rPr>
        <w:t xml:space="preserve"> </w:t>
      </w:r>
    </w:p>
    <w:p w14:paraId="49DF1001" w14:textId="77777777" w:rsidR="005B203B" w:rsidRDefault="005B203B" w:rsidP="00986359">
      <w:pPr>
        <w:pStyle w:val="Para1"/>
        <w:numPr>
          <w:ilvl w:val="0"/>
          <w:numId w:val="0"/>
        </w:numPr>
        <w:shd w:val="clear" w:color="auto" w:fill="FFFFFF" w:themeFill="background1"/>
        <w:ind w:firstLine="709"/>
        <w:rPr>
          <w:i/>
        </w:rPr>
      </w:pPr>
      <w:r w:rsidRPr="00656A16">
        <w:rPr>
          <w:i/>
          <w:lang w:val="en-US"/>
        </w:rPr>
        <w:t>The Conference of the Parties,</w:t>
      </w:r>
      <w:r w:rsidRPr="00656A16">
        <w:rPr>
          <w:i/>
        </w:rPr>
        <w:t xml:space="preserve"> </w:t>
      </w:r>
    </w:p>
    <w:p w14:paraId="0D75D90C" w14:textId="77777777" w:rsidR="005B203B" w:rsidRDefault="005B203B" w:rsidP="00986359">
      <w:pPr>
        <w:shd w:val="clear" w:color="auto" w:fill="FFFFFF" w:themeFill="background1"/>
        <w:spacing w:before="120" w:after="120"/>
        <w:ind w:firstLine="709"/>
        <w:rPr>
          <w:snapToGrid w:val="0"/>
          <w:szCs w:val="18"/>
        </w:rPr>
      </w:pPr>
      <w:r w:rsidRPr="00087FB2">
        <w:rPr>
          <w:i/>
        </w:rPr>
        <w:t xml:space="preserve">Taking into </w:t>
      </w:r>
      <w:r w:rsidRPr="00E71889">
        <w:rPr>
          <w:i/>
          <w:iCs/>
          <w:snapToGrid w:val="0"/>
          <w:szCs w:val="18"/>
        </w:rPr>
        <w:t>account</w:t>
      </w:r>
      <w:r w:rsidRPr="00087FB2">
        <w:rPr>
          <w:snapToGrid w:val="0"/>
          <w:szCs w:val="18"/>
        </w:rPr>
        <w:t xml:space="preserve"> the </w:t>
      </w:r>
      <w:r>
        <w:rPr>
          <w:snapToGrid w:val="0"/>
          <w:szCs w:val="18"/>
        </w:rPr>
        <w:t xml:space="preserve">Kunming-Montreal Global Biodiversity Framework and other relevant </w:t>
      </w:r>
      <w:r w:rsidRPr="00601728">
        <w:rPr>
          <w:snapToGrid w:val="0"/>
          <w:szCs w:val="18"/>
        </w:rPr>
        <w:t>decisions,</w:t>
      </w:r>
      <w:r w:rsidRPr="00087FB2">
        <w:rPr>
          <w:snapToGrid w:val="0"/>
          <w:szCs w:val="18"/>
        </w:rPr>
        <w:t xml:space="preserve"> </w:t>
      </w:r>
    </w:p>
    <w:p w14:paraId="7D145D4C" w14:textId="77777777" w:rsidR="005B203B" w:rsidRDefault="005B203B" w:rsidP="00986359">
      <w:pPr>
        <w:shd w:val="clear" w:color="auto" w:fill="FFFFFF" w:themeFill="background1"/>
        <w:spacing w:before="120" w:after="120"/>
        <w:ind w:firstLine="567"/>
      </w:pPr>
      <w:r>
        <w:t>1.</w:t>
      </w:r>
      <w:r>
        <w:tab/>
      </w:r>
      <w:r>
        <w:rPr>
          <w:i/>
        </w:rPr>
        <w:t xml:space="preserve">Notes </w:t>
      </w:r>
      <w:r>
        <w:t xml:space="preserve">that the Conference of the Parties will </w:t>
      </w:r>
      <w:r w:rsidRPr="006569E3">
        <w:t xml:space="preserve">review progress in the implementation of the Convention and the </w:t>
      </w:r>
      <w:r>
        <w:t>Kunming-Montreal</w:t>
      </w:r>
      <w:r w:rsidRPr="006569E3">
        <w:t xml:space="preserve"> </w:t>
      </w:r>
      <w:r>
        <w:t>G</w:t>
      </w:r>
      <w:r w:rsidRPr="006569E3">
        <w:t xml:space="preserve">lobal </w:t>
      </w:r>
      <w:r>
        <w:t>B</w:t>
      </w:r>
      <w:r w:rsidRPr="006569E3">
        <w:t xml:space="preserve">iodiversity </w:t>
      </w:r>
      <w:r>
        <w:t>F</w:t>
      </w:r>
      <w:r w:rsidRPr="006569E3">
        <w:t>ramework at each of its meetings to 2030</w:t>
      </w:r>
      <w:r>
        <w:t xml:space="preserve">; </w:t>
      </w:r>
    </w:p>
    <w:p w14:paraId="114C38CE" w14:textId="77777777" w:rsidR="005B203B" w:rsidRDefault="005B203B" w:rsidP="00986359">
      <w:pPr>
        <w:shd w:val="clear" w:color="auto" w:fill="FFFFFF" w:themeFill="background1"/>
        <w:spacing w:before="120" w:after="120"/>
        <w:ind w:firstLine="567"/>
      </w:pPr>
      <w:r>
        <w:t>2</w:t>
      </w:r>
      <w:r>
        <w:rPr>
          <w:i/>
          <w:iCs/>
        </w:rPr>
        <w:t>.</w:t>
      </w:r>
      <w:r>
        <w:rPr>
          <w:i/>
          <w:iCs/>
        </w:rPr>
        <w:tab/>
        <w:t>D</w:t>
      </w:r>
      <w:r w:rsidRPr="000D62E2">
        <w:rPr>
          <w:i/>
          <w:iCs/>
        </w:rPr>
        <w:t>ecides</w:t>
      </w:r>
      <w:r>
        <w:rPr>
          <w:i/>
          <w:iCs/>
        </w:rPr>
        <w:t xml:space="preserve"> </w:t>
      </w:r>
      <w:r>
        <w:t xml:space="preserve">that the development of further guidance for policy development and implementation should support achievement of the goals and targets </w:t>
      </w:r>
      <w:r w:rsidRPr="008A679A">
        <w:t xml:space="preserve">set out in the </w:t>
      </w:r>
      <w:r>
        <w:t>Kunming-Montreal</w:t>
      </w:r>
      <w:r w:rsidRPr="008A679A">
        <w:t xml:space="preserve"> </w:t>
      </w:r>
      <w:r>
        <w:t>G</w:t>
      </w:r>
      <w:r w:rsidRPr="008A679A">
        <w:t xml:space="preserve">lobal </w:t>
      </w:r>
      <w:r>
        <w:t>B</w:t>
      </w:r>
      <w:r w:rsidRPr="008A679A">
        <w:t xml:space="preserve">iodiversity </w:t>
      </w:r>
      <w:r>
        <w:t>F</w:t>
      </w:r>
      <w:r w:rsidRPr="008A679A">
        <w:t>ramework, the outcome of the</w:t>
      </w:r>
      <w:r>
        <w:t xml:space="preserve"> global analysis of information in national biodiversity strategies and action plans, including the national targets, and global </w:t>
      </w:r>
      <w:r w:rsidRPr="008A679A">
        <w:t xml:space="preserve">review of </w:t>
      </w:r>
      <w:r>
        <w:t xml:space="preserve">collective progress in </w:t>
      </w:r>
      <w:r w:rsidRPr="008A679A">
        <w:t>implementation, as well as new information that may become available, including through scientific</w:t>
      </w:r>
      <w:r>
        <w:t xml:space="preserve"> assessments;</w:t>
      </w:r>
    </w:p>
    <w:p w14:paraId="342BE49E" w14:textId="77777777" w:rsidR="005B203B" w:rsidRDefault="005B203B" w:rsidP="00986359">
      <w:pPr>
        <w:shd w:val="clear" w:color="auto" w:fill="FFFFFF" w:themeFill="background1"/>
        <w:spacing w:before="120" w:after="120"/>
        <w:ind w:firstLine="567"/>
      </w:pPr>
      <w:r>
        <w:t>3.</w:t>
      </w:r>
      <w:r>
        <w:tab/>
      </w:r>
      <w:r w:rsidRPr="00227B39">
        <w:rPr>
          <w:i/>
        </w:rPr>
        <w:t>Takes note</w:t>
      </w:r>
      <w:r>
        <w:rPr>
          <w:iCs/>
        </w:rPr>
        <w:t xml:space="preserve"> of</w:t>
      </w:r>
      <w:r w:rsidRPr="008C291C">
        <w:rPr>
          <w:iCs/>
        </w:rPr>
        <w:t xml:space="preserve"> the </w:t>
      </w:r>
      <w:r>
        <w:rPr>
          <w:iCs/>
        </w:rPr>
        <w:t>preliminary</w:t>
      </w:r>
      <w:r w:rsidRPr="008C291C">
        <w:rPr>
          <w:iCs/>
        </w:rPr>
        <w:t xml:space="preserve"> list of issues to be addressed by meetings of the Conference of the Parties during the period</w:t>
      </w:r>
      <w:r>
        <w:rPr>
          <w:iCs/>
        </w:rPr>
        <w:t xml:space="preserve"> </w:t>
      </w:r>
      <w:r w:rsidRPr="008C291C">
        <w:rPr>
          <w:iCs/>
        </w:rPr>
        <w:t>202</w:t>
      </w:r>
      <w:r>
        <w:rPr>
          <w:iCs/>
        </w:rPr>
        <w:t>3–</w:t>
      </w:r>
      <w:r w:rsidRPr="00E503FF">
        <w:rPr>
          <w:iCs/>
        </w:rPr>
        <w:t>2030 contained in</w:t>
      </w:r>
      <w:r>
        <w:rPr>
          <w:iCs/>
        </w:rPr>
        <w:t xml:space="preserve"> the annex to the present decision;</w:t>
      </w:r>
    </w:p>
    <w:p w14:paraId="12EE5A91" w14:textId="77777777" w:rsidR="005B203B" w:rsidRDefault="005B203B" w:rsidP="00986359">
      <w:pPr>
        <w:shd w:val="clear" w:color="auto" w:fill="FFFFFF" w:themeFill="background1"/>
        <w:spacing w:before="120" w:after="120"/>
        <w:ind w:firstLine="567"/>
        <w:rPr>
          <w:snapToGrid w:val="0"/>
          <w:szCs w:val="18"/>
        </w:rPr>
      </w:pPr>
      <w:r>
        <w:t>4</w:t>
      </w:r>
      <w:r w:rsidRPr="005A2BB2">
        <w:t>.</w:t>
      </w:r>
      <w:r w:rsidRPr="005A2BB2">
        <w:tab/>
      </w:r>
      <w:r w:rsidRPr="008C291C">
        <w:rPr>
          <w:i/>
          <w:iCs/>
          <w:snapToGrid w:val="0"/>
          <w:szCs w:val="18"/>
        </w:rPr>
        <w:t>Requests</w:t>
      </w:r>
      <w:r w:rsidRPr="008C291C">
        <w:rPr>
          <w:snapToGrid w:val="0"/>
          <w:szCs w:val="18"/>
        </w:rPr>
        <w:t xml:space="preserve"> the Executive </w:t>
      </w:r>
      <w:r>
        <w:rPr>
          <w:iCs/>
        </w:rPr>
        <w:t xml:space="preserve">Secretary, </w:t>
      </w:r>
      <w:r>
        <w:rPr>
          <w:snapToGrid w:val="0"/>
          <w:szCs w:val="18"/>
        </w:rPr>
        <w:t>in consultation with the Bureau of the Conference of the Parties,</w:t>
      </w:r>
      <w:r>
        <w:rPr>
          <w:iCs/>
        </w:rPr>
        <w:t xml:space="preserve"> </w:t>
      </w:r>
      <w:r w:rsidRPr="008C291C">
        <w:rPr>
          <w:snapToGrid w:val="0"/>
          <w:szCs w:val="18"/>
        </w:rPr>
        <w:t xml:space="preserve">to </w:t>
      </w:r>
      <w:r>
        <w:rPr>
          <w:snapToGrid w:val="0"/>
          <w:szCs w:val="18"/>
        </w:rPr>
        <w:t>complete the list of issues to be considered by the Conference of the Parties at its sixteenth meeting, as specified in the annex, in the light of the decisions adopted by the Conference of the Parties at its fifteenth meeting</w:t>
      </w:r>
      <w:r w:rsidRPr="00D45DB3">
        <w:rPr>
          <w:snapToGrid w:val="0"/>
          <w:szCs w:val="18"/>
        </w:rPr>
        <w:t>, to make the list available</w:t>
      </w:r>
      <w:r>
        <w:rPr>
          <w:snapToGrid w:val="0"/>
          <w:szCs w:val="18"/>
        </w:rPr>
        <w:t xml:space="preserve"> on the Convention’s website, and to </w:t>
      </w:r>
      <w:r w:rsidRPr="008C291C">
        <w:rPr>
          <w:snapToGrid w:val="0"/>
          <w:szCs w:val="18"/>
        </w:rPr>
        <w:t xml:space="preserve">take into account the issues </w:t>
      </w:r>
      <w:r>
        <w:rPr>
          <w:snapToGrid w:val="0"/>
          <w:szCs w:val="18"/>
        </w:rPr>
        <w:t>listed</w:t>
      </w:r>
      <w:r w:rsidRPr="008C291C">
        <w:rPr>
          <w:snapToGrid w:val="0"/>
          <w:szCs w:val="18"/>
        </w:rPr>
        <w:t xml:space="preserve"> when preparing </w:t>
      </w:r>
      <w:r>
        <w:rPr>
          <w:snapToGrid w:val="0"/>
          <w:szCs w:val="18"/>
        </w:rPr>
        <w:t xml:space="preserve">the agendas for </w:t>
      </w:r>
      <w:r w:rsidRPr="008C291C">
        <w:rPr>
          <w:snapToGrid w:val="0"/>
          <w:szCs w:val="18"/>
        </w:rPr>
        <w:t>relevant meetings under the Convention</w:t>
      </w:r>
      <w:r>
        <w:rPr>
          <w:snapToGrid w:val="0"/>
          <w:szCs w:val="18"/>
        </w:rPr>
        <w:t xml:space="preserve">; </w:t>
      </w:r>
    </w:p>
    <w:p w14:paraId="5D1525FF" w14:textId="77777777" w:rsidR="005B203B" w:rsidRPr="00B71251" w:rsidRDefault="005B203B" w:rsidP="00986359">
      <w:pPr>
        <w:shd w:val="clear" w:color="auto" w:fill="FFFFFF" w:themeFill="background1"/>
        <w:spacing w:before="120" w:after="120"/>
        <w:ind w:firstLine="567"/>
        <w:rPr>
          <w:snapToGrid w:val="0"/>
          <w:szCs w:val="18"/>
          <w:lang w:val="en-CA"/>
        </w:rPr>
      </w:pPr>
      <w:r w:rsidRPr="00B71251">
        <w:rPr>
          <w:snapToGrid w:val="0"/>
          <w:szCs w:val="18"/>
          <w:lang w:val="en-CA"/>
        </w:rPr>
        <w:t>5.</w:t>
      </w:r>
      <w:r w:rsidRPr="00B71251">
        <w:rPr>
          <w:snapToGrid w:val="0"/>
          <w:szCs w:val="18"/>
          <w:lang w:val="en-CA"/>
        </w:rPr>
        <w:tab/>
      </w:r>
      <w:r w:rsidRPr="00B71251">
        <w:rPr>
          <w:i/>
          <w:iCs/>
          <w:snapToGrid w:val="0"/>
          <w:szCs w:val="18"/>
          <w:lang w:val="en-CA"/>
        </w:rPr>
        <w:t xml:space="preserve">Also </w:t>
      </w:r>
      <w:r w:rsidRPr="000D62E2">
        <w:rPr>
          <w:i/>
          <w:iCs/>
          <w:snapToGrid w:val="0"/>
          <w:szCs w:val="18"/>
          <w:lang w:val="en-CA"/>
        </w:rPr>
        <w:t>requests</w:t>
      </w:r>
      <w:r w:rsidRPr="000D62E2">
        <w:rPr>
          <w:snapToGrid w:val="0"/>
          <w:szCs w:val="18"/>
          <w:lang w:val="en-CA"/>
        </w:rPr>
        <w:t xml:space="preserve"> the Executive Secretary to propose specific elements that are aligned with the implementation of the </w:t>
      </w:r>
      <w:r>
        <w:rPr>
          <w:snapToGrid w:val="0"/>
          <w:szCs w:val="18"/>
          <w:lang w:val="en-CA"/>
        </w:rPr>
        <w:t>Kunming-Montreal</w:t>
      </w:r>
      <w:r w:rsidRPr="000D62E2">
        <w:rPr>
          <w:snapToGrid w:val="0"/>
          <w:szCs w:val="18"/>
          <w:lang w:val="en-CA"/>
        </w:rPr>
        <w:t xml:space="preserve"> </w:t>
      </w:r>
      <w:r>
        <w:rPr>
          <w:snapToGrid w:val="0"/>
          <w:szCs w:val="18"/>
          <w:lang w:val="en-CA"/>
        </w:rPr>
        <w:t>G</w:t>
      </w:r>
      <w:r w:rsidRPr="000D62E2">
        <w:rPr>
          <w:snapToGrid w:val="0"/>
          <w:szCs w:val="18"/>
          <w:lang w:val="en-CA"/>
        </w:rPr>
        <w:t xml:space="preserve">lobal </w:t>
      </w:r>
      <w:r>
        <w:rPr>
          <w:snapToGrid w:val="0"/>
          <w:szCs w:val="18"/>
          <w:lang w:val="en-CA"/>
        </w:rPr>
        <w:t>B</w:t>
      </w:r>
      <w:r w:rsidRPr="000D62E2">
        <w:rPr>
          <w:snapToGrid w:val="0"/>
          <w:szCs w:val="18"/>
          <w:lang w:val="en-CA"/>
        </w:rPr>
        <w:t xml:space="preserve">iodiversity </w:t>
      </w:r>
      <w:r>
        <w:rPr>
          <w:snapToGrid w:val="0"/>
          <w:szCs w:val="18"/>
          <w:lang w:val="en-CA"/>
        </w:rPr>
        <w:t>F</w:t>
      </w:r>
      <w:r w:rsidRPr="000D62E2">
        <w:rPr>
          <w:snapToGrid w:val="0"/>
          <w:szCs w:val="18"/>
          <w:lang w:val="en-CA"/>
        </w:rPr>
        <w:t>ramework, as well as other closely related themes, for consideration by the Subsidiary Body on Implementation at its fourth meeting, with a view to complet</w:t>
      </w:r>
      <w:r>
        <w:rPr>
          <w:snapToGrid w:val="0"/>
          <w:szCs w:val="18"/>
          <w:lang w:val="en-CA"/>
        </w:rPr>
        <w:t>ing</w:t>
      </w:r>
      <w:r w:rsidRPr="000D62E2">
        <w:rPr>
          <w:snapToGrid w:val="0"/>
          <w:szCs w:val="18"/>
          <w:lang w:val="en-CA"/>
        </w:rPr>
        <w:t xml:space="preserve"> the list of issues to be considered at the seventeenth, eighteenth and nineteenth meetings of the Conference of the Parties</w:t>
      </w:r>
      <w:r>
        <w:rPr>
          <w:snapToGrid w:val="0"/>
          <w:szCs w:val="18"/>
          <w:lang w:val="en-CA"/>
        </w:rPr>
        <w:t>,</w:t>
      </w:r>
      <w:r w:rsidRPr="000D62E2">
        <w:rPr>
          <w:snapToGrid w:val="0"/>
          <w:szCs w:val="18"/>
          <w:lang w:val="en-CA"/>
        </w:rPr>
        <w:t xml:space="preserve"> as s</w:t>
      </w:r>
      <w:r>
        <w:rPr>
          <w:snapToGrid w:val="0"/>
          <w:szCs w:val="18"/>
          <w:lang w:val="en-CA"/>
        </w:rPr>
        <w:t>uggested</w:t>
      </w:r>
      <w:r w:rsidRPr="000D62E2">
        <w:rPr>
          <w:snapToGrid w:val="0"/>
          <w:szCs w:val="18"/>
          <w:lang w:val="en-CA"/>
        </w:rPr>
        <w:t xml:space="preserve"> in the annex to </w:t>
      </w:r>
      <w:r>
        <w:rPr>
          <w:snapToGrid w:val="0"/>
          <w:szCs w:val="18"/>
          <w:lang w:val="en-CA"/>
        </w:rPr>
        <w:t>the present</w:t>
      </w:r>
      <w:r w:rsidRPr="000D62E2">
        <w:rPr>
          <w:snapToGrid w:val="0"/>
          <w:szCs w:val="18"/>
          <w:lang w:val="en-CA"/>
        </w:rPr>
        <w:t xml:space="preserve"> decision;</w:t>
      </w:r>
    </w:p>
    <w:p w14:paraId="0F5F7FC1" w14:textId="77777777" w:rsidR="005B203B" w:rsidRDefault="005B203B" w:rsidP="00986359">
      <w:pPr>
        <w:shd w:val="clear" w:color="auto" w:fill="FFFFFF" w:themeFill="background1"/>
        <w:spacing w:before="120" w:after="120"/>
        <w:ind w:firstLine="567"/>
      </w:pPr>
      <w:r>
        <w:rPr>
          <w:snapToGrid w:val="0"/>
          <w:szCs w:val="18"/>
          <w:lang w:val="en-CA"/>
        </w:rPr>
        <w:t>6</w:t>
      </w:r>
      <w:r w:rsidRPr="00B71251">
        <w:rPr>
          <w:snapToGrid w:val="0"/>
          <w:szCs w:val="18"/>
          <w:lang w:val="en-CA"/>
        </w:rPr>
        <w:t xml:space="preserve">. </w:t>
      </w:r>
      <w:r w:rsidRPr="00B71251">
        <w:rPr>
          <w:snapToGrid w:val="0"/>
          <w:szCs w:val="18"/>
          <w:lang w:val="en-CA"/>
        </w:rPr>
        <w:tab/>
      </w:r>
      <w:r w:rsidRPr="00B71251">
        <w:rPr>
          <w:i/>
          <w:iCs/>
          <w:snapToGrid w:val="0"/>
          <w:szCs w:val="18"/>
          <w:lang w:val="en-CA"/>
        </w:rPr>
        <w:t>D</w:t>
      </w:r>
      <w:r w:rsidRPr="000D62E2">
        <w:rPr>
          <w:i/>
          <w:snapToGrid w:val="0"/>
          <w:szCs w:val="18"/>
          <w:lang w:val="en-CA"/>
        </w:rPr>
        <w:t>ecides</w:t>
      </w:r>
      <w:r w:rsidRPr="000D62E2">
        <w:rPr>
          <w:snapToGrid w:val="0"/>
          <w:szCs w:val="18"/>
          <w:lang w:val="en-CA"/>
        </w:rPr>
        <w:t xml:space="preserve"> to address, at each of its meetings, standing items consistent with previous decisions</w:t>
      </w:r>
      <w:r>
        <w:rPr>
          <w:snapToGrid w:val="0"/>
          <w:szCs w:val="18"/>
          <w:lang w:val="en-CA"/>
        </w:rPr>
        <w:t>,</w:t>
      </w:r>
      <w:r w:rsidRPr="000D62E2">
        <w:rPr>
          <w:snapToGrid w:val="0"/>
          <w:szCs w:val="18"/>
          <w:lang w:val="en-CA"/>
        </w:rPr>
        <w:t xml:space="preserve"> as well as other issues arising from the decisions of the Conference of the Parties in relation to particular programmes of work and cross-cutting issues, and to maintain sufficient flexibility in the multiyear programme of work in order to accommodate emerging issues or opportunities as may be identified by the Conference of the Parties.</w:t>
      </w:r>
    </w:p>
    <w:p w14:paraId="5DB4D9F7" w14:textId="77777777" w:rsidR="005B203B" w:rsidRPr="00852583" w:rsidRDefault="005B203B" w:rsidP="00986359">
      <w:pPr>
        <w:keepNext/>
        <w:spacing w:before="140" w:after="140"/>
        <w:ind w:left="720" w:hanging="720"/>
        <w:jc w:val="center"/>
        <w:rPr>
          <w:i/>
          <w:lang w:val="en-US"/>
        </w:rPr>
      </w:pPr>
      <w:r w:rsidRPr="00852583">
        <w:rPr>
          <w:i/>
          <w:lang w:val="en-US"/>
        </w:rPr>
        <w:t xml:space="preserve">Annex </w:t>
      </w:r>
    </w:p>
    <w:p w14:paraId="7E1AC42D" w14:textId="77777777" w:rsidR="005B203B" w:rsidRPr="00852583" w:rsidRDefault="005B203B" w:rsidP="00986359">
      <w:pPr>
        <w:keepNext/>
        <w:spacing w:before="140"/>
        <w:ind w:left="720" w:hanging="720"/>
        <w:jc w:val="center"/>
      </w:pPr>
      <w:r w:rsidRPr="00852583">
        <w:rPr>
          <w:b/>
          <w:caps/>
        </w:rPr>
        <w:t>preliminary list of the</w:t>
      </w:r>
      <w:r>
        <w:rPr>
          <w:b/>
          <w:caps/>
        </w:rPr>
        <w:t xml:space="preserve"> </w:t>
      </w:r>
      <w:r w:rsidRPr="00852583">
        <w:rPr>
          <w:b/>
          <w:caps/>
        </w:rPr>
        <w:t>main issues to be addressed by meetings of the Conference of the Parties during the period 202</w:t>
      </w:r>
      <w:r>
        <w:rPr>
          <w:b/>
          <w:caps/>
        </w:rPr>
        <w:t>3–</w:t>
      </w:r>
      <w:r w:rsidRPr="00852583">
        <w:rPr>
          <w:b/>
          <w:caps/>
        </w:rPr>
        <w:t>2030</w:t>
      </w:r>
      <w:r w:rsidRPr="00610646">
        <w:rPr>
          <w:rStyle w:val="FootnoteReference"/>
        </w:rPr>
        <w:footnoteReference w:id="387"/>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5B203B" w:rsidRPr="00852583" w14:paraId="359B47F9" w14:textId="77777777" w:rsidTr="00FB1CE6">
        <w:tc>
          <w:tcPr>
            <w:tcW w:w="1548" w:type="dxa"/>
            <w:tcBorders>
              <w:top w:val="single" w:sz="4" w:space="0" w:color="auto"/>
              <w:left w:val="single" w:sz="4" w:space="0" w:color="auto"/>
              <w:bottom w:val="single" w:sz="4" w:space="0" w:color="auto"/>
              <w:right w:val="single" w:sz="4" w:space="0" w:color="auto"/>
            </w:tcBorders>
            <w:hideMark/>
          </w:tcPr>
          <w:p w14:paraId="63E4DE51" w14:textId="77777777" w:rsidR="005B203B" w:rsidRPr="00852583" w:rsidRDefault="005B203B" w:rsidP="00FB1CE6">
            <w:pPr>
              <w:keepNext/>
              <w:spacing w:before="60" w:after="60"/>
              <w:jc w:val="left"/>
              <w:rPr>
                <w:b/>
                <w:szCs w:val="22"/>
              </w:rPr>
            </w:pPr>
            <w:r w:rsidRPr="00852583">
              <w:rPr>
                <w:b/>
                <w:szCs w:val="22"/>
              </w:rPr>
              <w:t>Meeting</w:t>
            </w:r>
          </w:p>
        </w:tc>
        <w:tc>
          <w:tcPr>
            <w:tcW w:w="8199" w:type="dxa"/>
            <w:tcBorders>
              <w:top w:val="single" w:sz="4" w:space="0" w:color="auto"/>
              <w:left w:val="single" w:sz="4" w:space="0" w:color="auto"/>
              <w:bottom w:val="single" w:sz="4" w:space="0" w:color="auto"/>
              <w:right w:val="single" w:sz="4" w:space="0" w:color="auto"/>
            </w:tcBorders>
            <w:hideMark/>
          </w:tcPr>
          <w:p w14:paraId="5E31BFE3" w14:textId="77777777" w:rsidR="005B203B" w:rsidRPr="00852583" w:rsidRDefault="005B203B" w:rsidP="00FB1CE6">
            <w:pPr>
              <w:keepNext/>
              <w:spacing w:before="60" w:after="60"/>
              <w:jc w:val="left"/>
              <w:rPr>
                <w:b/>
                <w:szCs w:val="22"/>
              </w:rPr>
            </w:pPr>
            <w:r w:rsidRPr="00852583">
              <w:rPr>
                <w:b/>
                <w:szCs w:val="22"/>
              </w:rPr>
              <w:t>Strategic issues</w:t>
            </w:r>
          </w:p>
        </w:tc>
      </w:tr>
      <w:tr w:rsidR="005B203B" w:rsidRPr="00852583" w14:paraId="42328A90" w14:textId="77777777" w:rsidTr="00FB1CE6">
        <w:tc>
          <w:tcPr>
            <w:tcW w:w="1548" w:type="dxa"/>
            <w:tcBorders>
              <w:top w:val="single" w:sz="4" w:space="0" w:color="auto"/>
              <w:left w:val="single" w:sz="4" w:space="0" w:color="auto"/>
              <w:bottom w:val="single" w:sz="4" w:space="0" w:color="auto"/>
              <w:right w:val="single" w:sz="4" w:space="0" w:color="auto"/>
            </w:tcBorders>
            <w:hideMark/>
          </w:tcPr>
          <w:p w14:paraId="2124F380" w14:textId="77777777" w:rsidR="005B203B" w:rsidRPr="00852583" w:rsidRDefault="005B203B" w:rsidP="00FB1CE6">
            <w:pPr>
              <w:keepNext/>
              <w:spacing w:before="60" w:after="60"/>
              <w:jc w:val="left"/>
              <w:rPr>
                <w:szCs w:val="22"/>
              </w:rPr>
            </w:pPr>
            <w:r w:rsidRPr="00852583">
              <w:rPr>
                <w:szCs w:val="22"/>
              </w:rPr>
              <w:t>COP 16 (2024)</w:t>
            </w:r>
          </w:p>
        </w:tc>
        <w:tc>
          <w:tcPr>
            <w:tcW w:w="8199" w:type="dxa"/>
            <w:tcBorders>
              <w:top w:val="single" w:sz="4" w:space="0" w:color="auto"/>
              <w:left w:val="single" w:sz="4" w:space="0" w:color="auto"/>
              <w:bottom w:val="single" w:sz="4" w:space="0" w:color="auto"/>
              <w:right w:val="single" w:sz="4" w:space="0" w:color="auto"/>
            </w:tcBorders>
            <w:hideMark/>
          </w:tcPr>
          <w:p w14:paraId="219E3963" w14:textId="77777777" w:rsidR="005B203B" w:rsidRPr="00852583" w:rsidRDefault="005B203B" w:rsidP="00FB1CE6">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Pr>
                <w:snapToGrid w:val="0"/>
                <w:szCs w:val="22"/>
              </w:rPr>
              <w:t xml:space="preserve">Global analysis of information </w:t>
            </w:r>
            <w:r w:rsidRPr="00B76977">
              <w:rPr>
                <w:snapToGrid w:val="0"/>
                <w:szCs w:val="22"/>
              </w:rPr>
              <w:t xml:space="preserve">in national biodiversity strategies and action plans, including the </w:t>
            </w:r>
            <w:r w:rsidRPr="00852583">
              <w:rPr>
                <w:snapToGrid w:val="0"/>
                <w:szCs w:val="22"/>
              </w:rPr>
              <w:t>national targets</w:t>
            </w:r>
            <w:r>
              <w:rPr>
                <w:snapToGrid w:val="0"/>
                <w:szCs w:val="22"/>
              </w:rPr>
              <w:t>.</w:t>
            </w:r>
          </w:p>
          <w:p w14:paraId="4E0C542B" w14:textId="77777777" w:rsidR="005B203B" w:rsidRPr="005B07F0" w:rsidRDefault="005B203B" w:rsidP="00FB1CE6">
            <w:pPr>
              <w:keepNext/>
              <w:spacing w:before="60" w:after="60"/>
              <w:ind w:left="360" w:hanging="360"/>
              <w:jc w:val="left"/>
              <w:rPr>
                <w:snapToGrid w:val="0"/>
                <w:szCs w:val="22"/>
                <w:lang w:val="en-CA"/>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w:t>
            </w:r>
            <w:r w:rsidRPr="000D62E2">
              <w:rPr>
                <w:szCs w:val="22"/>
              </w:rPr>
              <w:t>actions</w:t>
            </w:r>
            <w:r w:rsidRPr="00852583">
              <w:rPr>
                <w:snapToGrid w:val="0"/>
                <w:szCs w:val="22"/>
              </w:rPr>
              <w:t xml:space="preserve"> to enhance implementation of the Convention and the </w:t>
            </w:r>
            <w:r>
              <w:rPr>
                <w:snapToGrid w:val="0"/>
                <w:szCs w:val="22"/>
              </w:rPr>
              <w:t>Kunming-Montreal</w:t>
            </w:r>
            <w:r w:rsidRPr="00852583">
              <w:rPr>
                <w:snapToGrid w:val="0"/>
                <w:szCs w:val="22"/>
              </w:rPr>
              <w:t xml:space="preserve"> </w:t>
            </w:r>
            <w:r>
              <w:rPr>
                <w:snapToGrid w:val="0"/>
                <w:szCs w:val="22"/>
              </w:rPr>
              <w:t>G</w:t>
            </w:r>
            <w:r w:rsidRPr="00852583">
              <w:rPr>
                <w:snapToGrid w:val="0"/>
                <w:szCs w:val="22"/>
              </w:rPr>
              <w:t xml:space="preserve">lobal </w:t>
            </w:r>
            <w:r>
              <w:rPr>
                <w:snapToGrid w:val="0"/>
                <w:szCs w:val="22"/>
              </w:rPr>
              <w:t>B</w:t>
            </w:r>
            <w:r w:rsidRPr="00852583">
              <w:rPr>
                <w:snapToGrid w:val="0"/>
                <w:szCs w:val="22"/>
              </w:rPr>
              <w:t xml:space="preserve">iodiversity </w:t>
            </w:r>
            <w:r>
              <w:rPr>
                <w:snapToGrid w:val="0"/>
                <w:szCs w:val="22"/>
              </w:rPr>
              <w:t>F</w:t>
            </w:r>
            <w:r w:rsidRPr="00852583">
              <w:rPr>
                <w:snapToGrid w:val="0"/>
                <w:szCs w:val="22"/>
              </w:rPr>
              <w:t>ramework</w:t>
            </w:r>
            <w:r>
              <w:rPr>
                <w:snapToGrid w:val="0"/>
                <w:szCs w:val="22"/>
              </w:rPr>
              <w:t>.</w:t>
            </w:r>
          </w:p>
          <w:p w14:paraId="4A05E138" w14:textId="77777777" w:rsidR="005B203B" w:rsidRPr="00852583" w:rsidRDefault="005B203B"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Four-year framework for outcome-oriented programme priorities and assessment of funding needs to inform the replenishment process for GEF-9 (2026</w:t>
            </w:r>
            <w:r>
              <w:rPr>
                <w:iCs/>
              </w:rPr>
              <w:t>–</w:t>
            </w:r>
            <w:r w:rsidRPr="00852583">
              <w:rPr>
                <w:szCs w:val="22"/>
              </w:rPr>
              <w:t>2030).</w:t>
            </w:r>
          </w:p>
          <w:p w14:paraId="5E9DF4E3" w14:textId="77777777" w:rsidR="005B203B" w:rsidRPr="00852583" w:rsidRDefault="005B203B"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 xml:space="preserve">Development of a new programme of work and institutional arrangements on Article 8(j) and related provisions. </w:t>
            </w:r>
          </w:p>
          <w:p w14:paraId="6CC8969B" w14:textId="77777777" w:rsidR="005B203B" w:rsidRPr="00852583" w:rsidRDefault="005B203B" w:rsidP="00FB1CE6">
            <w:pPr>
              <w:keepNext/>
              <w:spacing w:before="60" w:after="60"/>
              <w:ind w:left="360" w:hanging="360"/>
              <w:jc w:val="left"/>
              <w:rPr>
                <w:szCs w:val="22"/>
              </w:rPr>
            </w:pPr>
            <w:r w:rsidRPr="00852583">
              <w:rPr>
                <w:rFonts w:ascii="Symbol" w:hAnsi="Symbol"/>
                <w:szCs w:val="22"/>
              </w:rPr>
              <w:lastRenderedPageBreak/>
              <w:t>·</w:t>
            </w:r>
            <w:r w:rsidRPr="00852583">
              <w:rPr>
                <w:rFonts w:ascii="Symbol" w:hAnsi="Symbol"/>
                <w:szCs w:val="22"/>
              </w:rPr>
              <w:tab/>
            </w:r>
            <w:r w:rsidRPr="00852583">
              <w:rPr>
                <w:szCs w:val="22"/>
              </w:rPr>
              <w:t xml:space="preserve">Implications for the work of the Convention of the IPBES assessments on values, sustainable use and invasive alien species. </w:t>
            </w:r>
          </w:p>
          <w:p w14:paraId="6646B8F5" w14:textId="77777777" w:rsidR="005B203B" w:rsidRPr="00852583" w:rsidRDefault="005B203B" w:rsidP="00FB1CE6">
            <w:pPr>
              <w:keepNext/>
              <w:spacing w:before="60" w:after="120"/>
              <w:ind w:left="360" w:hanging="357"/>
              <w:jc w:val="left"/>
              <w:rPr>
                <w:szCs w:val="22"/>
              </w:rPr>
            </w:pPr>
            <w:r w:rsidRPr="00852583">
              <w:rPr>
                <w:rFonts w:ascii="Symbol" w:hAnsi="Symbol"/>
                <w:szCs w:val="22"/>
              </w:rPr>
              <w:t>·</w:t>
            </w:r>
            <w:r w:rsidRPr="00852583">
              <w:rPr>
                <w:rFonts w:ascii="Symbol" w:hAnsi="Symbol"/>
                <w:szCs w:val="22"/>
              </w:rPr>
              <w:tab/>
            </w:r>
            <w:r w:rsidRPr="00852583">
              <w:rPr>
                <w:szCs w:val="22"/>
              </w:rPr>
              <w:t>[</w:t>
            </w:r>
            <w:r w:rsidRPr="00852583">
              <w:rPr>
                <w:i/>
                <w:iCs/>
                <w:szCs w:val="22"/>
              </w:rPr>
              <w:t>to be completed</w:t>
            </w:r>
            <w:r w:rsidRPr="00852583">
              <w:rPr>
                <w:szCs w:val="22"/>
              </w:rPr>
              <w:t>]</w:t>
            </w:r>
          </w:p>
        </w:tc>
      </w:tr>
      <w:tr w:rsidR="005B203B" w:rsidRPr="00852583" w14:paraId="099740E0" w14:textId="77777777" w:rsidTr="00FB1CE6">
        <w:tc>
          <w:tcPr>
            <w:tcW w:w="1548" w:type="dxa"/>
            <w:tcBorders>
              <w:top w:val="single" w:sz="4" w:space="0" w:color="auto"/>
              <w:left w:val="single" w:sz="4" w:space="0" w:color="auto"/>
              <w:bottom w:val="single" w:sz="4" w:space="0" w:color="auto"/>
              <w:right w:val="single" w:sz="4" w:space="0" w:color="auto"/>
            </w:tcBorders>
          </w:tcPr>
          <w:p w14:paraId="27FA7DF2" w14:textId="77777777" w:rsidR="005B203B" w:rsidRPr="00852583" w:rsidRDefault="005B203B" w:rsidP="00FB1CE6">
            <w:pPr>
              <w:keepNext/>
              <w:spacing w:before="60" w:after="60"/>
              <w:jc w:val="left"/>
              <w:rPr>
                <w:szCs w:val="22"/>
              </w:rPr>
            </w:pPr>
            <w:r w:rsidRPr="00852583">
              <w:rPr>
                <w:szCs w:val="22"/>
              </w:rPr>
              <w:lastRenderedPageBreak/>
              <w:t>COP 17 (2026)</w:t>
            </w:r>
          </w:p>
        </w:tc>
        <w:tc>
          <w:tcPr>
            <w:tcW w:w="8199" w:type="dxa"/>
            <w:tcBorders>
              <w:top w:val="single" w:sz="4" w:space="0" w:color="auto"/>
              <w:left w:val="single" w:sz="4" w:space="0" w:color="auto"/>
              <w:bottom w:val="single" w:sz="4" w:space="0" w:color="auto"/>
              <w:right w:val="single" w:sz="4" w:space="0" w:color="auto"/>
            </w:tcBorders>
          </w:tcPr>
          <w:p w14:paraId="4FBE7944" w14:textId="77777777" w:rsidR="005B203B" w:rsidRPr="00852583" w:rsidRDefault="005B203B"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Pr>
                <w:szCs w:val="22"/>
              </w:rPr>
              <w:t xml:space="preserve">Global review of </w:t>
            </w:r>
            <w:r w:rsidRPr="00852583">
              <w:rPr>
                <w:szCs w:val="22"/>
              </w:rPr>
              <w:t xml:space="preserve">the </w:t>
            </w:r>
            <w:r w:rsidRPr="00852583">
              <w:rPr>
                <w:snapToGrid w:val="0"/>
                <w:szCs w:val="22"/>
              </w:rPr>
              <w:t xml:space="preserve">implementation of the </w:t>
            </w:r>
            <w:r>
              <w:rPr>
                <w:snapToGrid w:val="0"/>
                <w:szCs w:val="22"/>
              </w:rPr>
              <w:t>Kunming-Montreal</w:t>
            </w:r>
            <w:r w:rsidRPr="00852583">
              <w:rPr>
                <w:snapToGrid w:val="0"/>
                <w:szCs w:val="22"/>
              </w:rPr>
              <w:t xml:space="preserve"> </w:t>
            </w:r>
            <w:r>
              <w:rPr>
                <w:snapToGrid w:val="0"/>
                <w:szCs w:val="22"/>
              </w:rPr>
              <w:t>G</w:t>
            </w:r>
            <w:r w:rsidRPr="00852583">
              <w:rPr>
                <w:snapToGrid w:val="0"/>
                <w:szCs w:val="22"/>
              </w:rPr>
              <w:t xml:space="preserve">lobal </w:t>
            </w:r>
            <w:r>
              <w:rPr>
                <w:snapToGrid w:val="0"/>
                <w:szCs w:val="22"/>
              </w:rPr>
              <w:t>B</w:t>
            </w:r>
            <w:r w:rsidRPr="00852583">
              <w:rPr>
                <w:snapToGrid w:val="0"/>
                <w:szCs w:val="22"/>
              </w:rPr>
              <w:t xml:space="preserve">iodiversity </w:t>
            </w:r>
            <w:r>
              <w:rPr>
                <w:snapToGrid w:val="0"/>
                <w:szCs w:val="22"/>
              </w:rPr>
              <w:t>F</w:t>
            </w:r>
            <w:r w:rsidRPr="00852583">
              <w:rPr>
                <w:snapToGrid w:val="0"/>
                <w:szCs w:val="22"/>
              </w:rPr>
              <w:t>ramework and related means of implementation on the basis of</w:t>
            </w:r>
            <w:r>
              <w:rPr>
                <w:snapToGrid w:val="0"/>
                <w:szCs w:val="22"/>
              </w:rPr>
              <w:t xml:space="preserve">, </w:t>
            </w:r>
            <w:r w:rsidRPr="00115E38">
              <w:rPr>
                <w:snapToGrid w:val="0"/>
                <w:szCs w:val="22"/>
              </w:rPr>
              <w:t>inter alia, the</w:t>
            </w:r>
            <w:r w:rsidRPr="00852583">
              <w:rPr>
                <w:snapToGrid w:val="0"/>
                <w:szCs w:val="22"/>
              </w:rPr>
              <w:t xml:space="preserve"> seventh national reports.</w:t>
            </w:r>
          </w:p>
          <w:p w14:paraId="593F0310" w14:textId="77777777" w:rsidR="005B203B" w:rsidRPr="00115E38" w:rsidRDefault="005B203B" w:rsidP="00115E38">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actions to enhance implementation of the Convention and the </w:t>
            </w:r>
            <w:r>
              <w:rPr>
                <w:snapToGrid w:val="0"/>
                <w:szCs w:val="22"/>
              </w:rPr>
              <w:t>Kunming</w:t>
            </w:r>
            <w:r>
              <w:rPr>
                <w:snapToGrid w:val="0"/>
                <w:szCs w:val="22"/>
              </w:rPr>
              <w:noBreakHyphen/>
              <w:t>Montreal</w:t>
            </w:r>
            <w:r w:rsidRPr="00852583">
              <w:rPr>
                <w:snapToGrid w:val="0"/>
                <w:szCs w:val="22"/>
              </w:rPr>
              <w:t xml:space="preserve"> </w:t>
            </w:r>
            <w:r>
              <w:rPr>
                <w:snapToGrid w:val="0"/>
                <w:szCs w:val="22"/>
              </w:rPr>
              <w:t>G</w:t>
            </w:r>
            <w:r w:rsidRPr="00852583">
              <w:rPr>
                <w:snapToGrid w:val="0"/>
                <w:szCs w:val="22"/>
              </w:rPr>
              <w:t xml:space="preserve">lobal </w:t>
            </w:r>
            <w:r>
              <w:rPr>
                <w:snapToGrid w:val="0"/>
                <w:szCs w:val="22"/>
              </w:rPr>
              <w:t>B</w:t>
            </w:r>
            <w:r w:rsidRPr="00852583">
              <w:rPr>
                <w:snapToGrid w:val="0"/>
                <w:szCs w:val="22"/>
              </w:rPr>
              <w:t xml:space="preserve">iodiversity </w:t>
            </w:r>
            <w:r>
              <w:rPr>
                <w:snapToGrid w:val="0"/>
                <w:szCs w:val="22"/>
              </w:rPr>
              <w:t>F</w:t>
            </w:r>
            <w:r w:rsidRPr="00852583">
              <w:rPr>
                <w:snapToGrid w:val="0"/>
                <w:szCs w:val="22"/>
              </w:rPr>
              <w:t>ramework.</w:t>
            </w:r>
          </w:p>
          <w:p w14:paraId="61656317" w14:textId="77777777" w:rsidR="005B203B" w:rsidRPr="00852583" w:rsidRDefault="005B203B" w:rsidP="00FB1CE6">
            <w:pPr>
              <w:keepNext/>
              <w:spacing w:before="60" w:after="12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zCs w:val="22"/>
              </w:rPr>
              <w:t>[</w:t>
            </w:r>
            <w:r w:rsidRPr="00852583">
              <w:rPr>
                <w:i/>
                <w:iCs/>
                <w:szCs w:val="22"/>
              </w:rPr>
              <w:t>to be completed</w:t>
            </w:r>
            <w:r w:rsidRPr="00852583">
              <w:rPr>
                <w:szCs w:val="22"/>
              </w:rPr>
              <w:t>]</w:t>
            </w:r>
          </w:p>
        </w:tc>
      </w:tr>
      <w:tr w:rsidR="005B203B" w:rsidRPr="00852583" w14:paraId="552F2E0A" w14:textId="77777777" w:rsidTr="00FB1CE6">
        <w:tc>
          <w:tcPr>
            <w:tcW w:w="1548" w:type="dxa"/>
            <w:tcBorders>
              <w:top w:val="single" w:sz="4" w:space="0" w:color="auto"/>
              <w:left w:val="single" w:sz="4" w:space="0" w:color="auto"/>
              <w:bottom w:val="single" w:sz="4" w:space="0" w:color="auto"/>
              <w:right w:val="single" w:sz="4" w:space="0" w:color="auto"/>
            </w:tcBorders>
          </w:tcPr>
          <w:p w14:paraId="0AA08AD9" w14:textId="77777777" w:rsidR="005B203B" w:rsidRPr="00852583" w:rsidRDefault="005B203B" w:rsidP="00FB1CE6">
            <w:pPr>
              <w:keepNext/>
              <w:spacing w:before="60" w:after="60"/>
              <w:jc w:val="left"/>
              <w:rPr>
                <w:szCs w:val="22"/>
              </w:rPr>
            </w:pPr>
            <w:r w:rsidRPr="00852583">
              <w:rPr>
                <w:szCs w:val="22"/>
              </w:rPr>
              <w:t>COP 18 (2028)</w:t>
            </w:r>
          </w:p>
        </w:tc>
        <w:tc>
          <w:tcPr>
            <w:tcW w:w="8199" w:type="dxa"/>
            <w:tcBorders>
              <w:top w:val="single" w:sz="4" w:space="0" w:color="auto"/>
              <w:left w:val="single" w:sz="4" w:space="0" w:color="auto"/>
              <w:bottom w:val="single" w:sz="4" w:space="0" w:color="auto"/>
              <w:right w:val="single" w:sz="4" w:space="0" w:color="auto"/>
            </w:tcBorders>
          </w:tcPr>
          <w:p w14:paraId="4BFB6685" w14:textId="77777777" w:rsidR="005B203B" w:rsidRPr="00C03A9A" w:rsidRDefault="005B203B" w:rsidP="00950BE4">
            <w:pPr>
              <w:pStyle w:val="ListParagraph"/>
              <w:keepNext/>
              <w:numPr>
                <w:ilvl w:val="0"/>
                <w:numId w:val="81"/>
              </w:numPr>
              <w:spacing w:before="60" w:after="60"/>
              <w:ind w:left="360"/>
              <w:jc w:val="left"/>
              <w:rPr>
                <w:snapToGrid w:val="0"/>
                <w:szCs w:val="22"/>
              </w:rPr>
            </w:pPr>
            <w:r w:rsidRPr="00C03A9A">
              <w:rPr>
                <w:szCs w:val="22"/>
              </w:rPr>
              <w:t xml:space="preserve">Review of the </w:t>
            </w:r>
            <w:r w:rsidRPr="00C03A9A">
              <w:rPr>
                <w:snapToGrid w:val="0"/>
                <w:szCs w:val="22"/>
              </w:rPr>
              <w:t xml:space="preserve">implementation of the </w:t>
            </w:r>
            <w:r>
              <w:rPr>
                <w:snapToGrid w:val="0"/>
                <w:szCs w:val="22"/>
              </w:rPr>
              <w:t>Kunming-Montreal</w:t>
            </w:r>
            <w:r w:rsidRPr="00C03A9A" w:rsidDel="008A5388">
              <w:rPr>
                <w:snapToGrid w:val="0"/>
                <w:szCs w:val="22"/>
              </w:rPr>
              <w:t xml:space="preserve"> </w:t>
            </w:r>
            <w:r>
              <w:rPr>
                <w:snapToGrid w:val="0"/>
                <w:szCs w:val="22"/>
              </w:rPr>
              <w:t>G</w:t>
            </w:r>
            <w:r w:rsidRPr="00C03A9A">
              <w:rPr>
                <w:snapToGrid w:val="0"/>
                <w:szCs w:val="22"/>
              </w:rPr>
              <w:t xml:space="preserve">lobal </w:t>
            </w:r>
            <w:r>
              <w:rPr>
                <w:snapToGrid w:val="0"/>
                <w:szCs w:val="22"/>
              </w:rPr>
              <w:t>B</w:t>
            </w:r>
            <w:r w:rsidRPr="00C03A9A">
              <w:rPr>
                <w:snapToGrid w:val="0"/>
                <w:szCs w:val="22"/>
              </w:rPr>
              <w:t xml:space="preserve">iodiversity </w:t>
            </w:r>
            <w:r>
              <w:rPr>
                <w:snapToGrid w:val="0"/>
                <w:szCs w:val="22"/>
              </w:rPr>
              <w:t>F</w:t>
            </w:r>
            <w:r w:rsidRPr="00C03A9A">
              <w:rPr>
                <w:snapToGrid w:val="0"/>
                <w:szCs w:val="22"/>
              </w:rPr>
              <w:t>ramework and related means of implementation.</w:t>
            </w:r>
          </w:p>
          <w:p w14:paraId="0698E54B" w14:textId="77777777" w:rsidR="005B203B" w:rsidRPr="00852583" w:rsidRDefault="005B203B" w:rsidP="00FB1CE6">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actions to enhance implementation of the Convention and the </w:t>
            </w:r>
            <w:r>
              <w:rPr>
                <w:snapToGrid w:val="0"/>
                <w:szCs w:val="22"/>
              </w:rPr>
              <w:t>Kunming</w:t>
            </w:r>
            <w:r>
              <w:rPr>
                <w:snapToGrid w:val="0"/>
                <w:szCs w:val="22"/>
              </w:rPr>
              <w:noBreakHyphen/>
              <w:t>Montreal</w:t>
            </w:r>
            <w:r w:rsidRPr="00852583" w:rsidDel="008A5388">
              <w:rPr>
                <w:snapToGrid w:val="0"/>
                <w:szCs w:val="22"/>
              </w:rPr>
              <w:t xml:space="preserve"> </w:t>
            </w:r>
            <w:r>
              <w:rPr>
                <w:snapToGrid w:val="0"/>
                <w:szCs w:val="22"/>
              </w:rPr>
              <w:t>G</w:t>
            </w:r>
            <w:r w:rsidRPr="00852583">
              <w:rPr>
                <w:snapToGrid w:val="0"/>
                <w:szCs w:val="22"/>
              </w:rPr>
              <w:t xml:space="preserve">lobal </w:t>
            </w:r>
            <w:r>
              <w:rPr>
                <w:snapToGrid w:val="0"/>
                <w:szCs w:val="22"/>
              </w:rPr>
              <w:t>B</w:t>
            </w:r>
            <w:r w:rsidRPr="00852583">
              <w:rPr>
                <w:snapToGrid w:val="0"/>
                <w:szCs w:val="22"/>
              </w:rPr>
              <w:t xml:space="preserve">iodiversity </w:t>
            </w:r>
            <w:r>
              <w:rPr>
                <w:snapToGrid w:val="0"/>
                <w:szCs w:val="22"/>
              </w:rPr>
              <w:t>F</w:t>
            </w:r>
            <w:r w:rsidRPr="00852583">
              <w:rPr>
                <w:snapToGrid w:val="0"/>
                <w:szCs w:val="22"/>
              </w:rPr>
              <w:t>ramework.</w:t>
            </w:r>
          </w:p>
          <w:p w14:paraId="32A13415" w14:textId="77777777" w:rsidR="005B203B" w:rsidRDefault="005B203B"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Four-year framework for outcome-oriented programme priorities and assessment of funding needs to inform the replenishment process for GEF-10 (2030</w:t>
            </w:r>
            <w:r>
              <w:rPr>
                <w:iCs/>
              </w:rPr>
              <w:t>–</w:t>
            </w:r>
            <w:r w:rsidRPr="00852583">
              <w:rPr>
                <w:szCs w:val="22"/>
              </w:rPr>
              <w:t>2034).</w:t>
            </w:r>
          </w:p>
          <w:p w14:paraId="6D57C831" w14:textId="77777777" w:rsidR="005B203B" w:rsidRDefault="005B203B" w:rsidP="00DF03CA">
            <w:pPr>
              <w:keepNext/>
              <w:spacing w:before="60" w:after="60"/>
              <w:ind w:left="360" w:hanging="360"/>
              <w:jc w:val="left"/>
              <w:rPr>
                <w:rFonts w:ascii="Symbol" w:hAnsi="Symbol"/>
                <w:szCs w:val="22"/>
              </w:rPr>
            </w:pPr>
            <w:r w:rsidRPr="00852583">
              <w:rPr>
                <w:rFonts w:ascii="Symbol" w:hAnsi="Symbol"/>
                <w:szCs w:val="22"/>
              </w:rPr>
              <w:t>·</w:t>
            </w:r>
            <w:r w:rsidRPr="00852583">
              <w:rPr>
                <w:rFonts w:ascii="Symbol" w:hAnsi="Symbol"/>
                <w:szCs w:val="22"/>
              </w:rPr>
              <w:tab/>
            </w:r>
            <w:r w:rsidRPr="00852583">
              <w:rPr>
                <w:snapToGrid w:val="0"/>
                <w:szCs w:val="22"/>
              </w:rPr>
              <w:t xml:space="preserve">Considerations for a follow-up to the </w:t>
            </w:r>
            <w:r>
              <w:rPr>
                <w:snapToGrid w:val="0"/>
                <w:szCs w:val="22"/>
              </w:rPr>
              <w:t>Kunming-Montreal</w:t>
            </w:r>
            <w:r w:rsidRPr="00852583" w:rsidDel="008A5388">
              <w:rPr>
                <w:snapToGrid w:val="0"/>
                <w:szCs w:val="22"/>
              </w:rPr>
              <w:t xml:space="preserve"> </w:t>
            </w:r>
            <w:r>
              <w:rPr>
                <w:snapToGrid w:val="0"/>
                <w:szCs w:val="22"/>
              </w:rPr>
              <w:t>G</w:t>
            </w:r>
            <w:r w:rsidRPr="00852583">
              <w:rPr>
                <w:snapToGrid w:val="0"/>
                <w:szCs w:val="22"/>
              </w:rPr>
              <w:t xml:space="preserve">lobal </w:t>
            </w:r>
            <w:r>
              <w:rPr>
                <w:snapToGrid w:val="0"/>
                <w:szCs w:val="22"/>
              </w:rPr>
              <w:t>B</w:t>
            </w:r>
            <w:r w:rsidRPr="00852583">
              <w:rPr>
                <w:snapToGrid w:val="0"/>
                <w:szCs w:val="22"/>
              </w:rPr>
              <w:t xml:space="preserve">iodiversity </w:t>
            </w:r>
            <w:r>
              <w:rPr>
                <w:snapToGrid w:val="0"/>
                <w:szCs w:val="22"/>
              </w:rPr>
              <w:t>F</w:t>
            </w:r>
            <w:r w:rsidRPr="00852583">
              <w:rPr>
                <w:snapToGrid w:val="0"/>
                <w:szCs w:val="22"/>
              </w:rPr>
              <w:t>ramework.</w:t>
            </w:r>
          </w:p>
          <w:p w14:paraId="5BA7F357" w14:textId="77777777" w:rsidR="005B203B" w:rsidRPr="00852583" w:rsidRDefault="005B203B" w:rsidP="00950BE4">
            <w:pPr>
              <w:pStyle w:val="ListParagraph"/>
              <w:keepNext/>
              <w:numPr>
                <w:ilvl w:val="0"/>
                <w:numId w:val="82"/>
              </w:numPr>
              <w:spacing w:before="60" w:after="120"/>
              <w:ind w:left="366"/>
              <w:jc w:val="left"/>
            </w:pPr>
            <w:r w:rsidRPr="00852583">
              <w:rPr>
                <w:szCs w:val="22"/>
              </w:rPr>
              <w:t>[</w:t>
            </w:r>
            <w:r w:rsidRPr="00852583">
              <w:rPr>
                <w:i/>
                <w:iCs/>
                <w:szCs w:val="22"/>
              </w:rPr>
              <w:t>to be completed</w:t>
            </w:r>
            <w:r w:rsidRPr="00852583">
              <w:rPr>
                <w:szCs w:val="22"/>
              </w:rPr>
              <w:t>]</w:t>
            </w:r>
          </w:p>
        </w:tc>
      </w:tr>
      <w:tr w:rsidR="005B203B" w:rsidRPr="00852583" w14:paraId="1B52357C" w14:textId="77777777" w:rsidTr="00FB1CE6">
        <w:tc>
          <w:tcPr>
            <w:tcW w:w="1548" w:type="dxa"/>
            <w:tcBorders>
              <w:top w:val="single" w:sz="4" w:space="0" w:color="auto"/>
              <w:left w:val="single" w:sz="4" w:space="0" w:color="auto"/>
              <w:bottom w:val="single" w:sz="4" w:space="0" w:color="auto"/>
              <w:right w:val="single" w:sz="4" w:space="0" w:color="auto"/>
            </w:tcBorders>
          </w:tcPr>
          <w:p w14:paraId="0E0622E2" w14:textId="77777777" w:rsidR="005B203B" w:rsidRPr="00852583" w:rsidRDefault="005B203B" w:rsidP="00FB1CE6">
            <w:pPr>
              <w:keepNext/>
              <w:spacing w:before="60" w:after="60"/>
              <w:jc w:val="left"/>
              <w:rPr>
                <w:szCs w:val="22"/>
              </w:rPr>
            </w:pPr>
            <w:r w:rsidRPr="00852583">
              <w:rPr>
                <w:szCs w:val="22"/>
              </w:rPr>
              <w:t>COP 19 (2030)</w:t>
            </w:r>
          </w:p>
        </w:tc>
        <w:tc>
          <w:tcPr>
            <w:tcW w:w="8199" w:type="dxa"/>
            <w:tcBorders>
              <w:top w:val="single" w:sz="4" w:space="0" w:color="auto"/>
              <w:left w:val="single" w:sz="4" w:space="0" w:color="auto"/>
              <w:bottom w:val="single" w:sz="4" w:space="0" w:color="auto"/>
              <w:right w:val="single" w:sz="4" w:space="0" w:color="auto"/>
            </w:tcBorders>
          </w:tcPr>
          <w:p w14:paraId="1C74E523" w14:textId="77777777" w:rsidR="005B203B" w:rsidRPr="00115E38" w:rsidRDefault="005B203B" w:rsidP="00950BE4">
            <w:pPr>
              <w:pStyle w:val="ListParagraph"/>
              <w:keepNext/>
              <w:numPr>
                <w:ilvl w:val="0"/>
                <w:numId w:val="81"/>
              </w:numPr>
              <w:spacing w:before="60" w:after="60"/>
              <w:ind w:left="360"/>
              <w:jc w:val="left"/>
              <w:rPr>
                <w:snapToGrid w:val="0"/>
                <w:szCs w:val="22"/>
              </w:rPr>
            </w:pPr>
            <w:r w:rsidRPr="00C03A9A">
              <w:rPr>
                <w:snapToGrid w:val="0"/>
                <w:szCs w:val="22"/>
              </w:rPr>
              <w:t xml:space="preserve">Final assessment of the implementation of the </w:t>
            </w:r>
            <w:r>
              <w:rPr>
                <w:snapToGrid w:val="0"/>
                <w:szCs w:val="22"/>
              </w:rPr>
              <w:t>Kunming</w:t>
            </w:r>
            <w:r>
              <w:rPr>
                <w:snapToGrid w:val="0"/>
                <w:szCs w:val="22"/>
              </w:rPr>
              <w:noBreakHyphen/>
              <w:t>Montreal</w:t>
            </w:r>
            <w:r w:rsidRPr="00C03A9A" w:rsidDel="008A5388">
              <w:rPr>
                <w:snapToGrid w:val="0"/>
                <w:szCs w:val="22"/>
              </w:rPr>
              <w:t xml:space="preserve"> </w:t>
            </w:r>
            <w:r>
              <w:rPr>
                <w:snapToGrid w:val="0"/>
                <w:szCs w:val="22"/>
              </w:rPr>
              <w:t>G</w:t>
            </w:r>
            <w:r w:rsidRPr="00C03A9A">
              <w:rPr>
                <w:snapToGrid w:val="0"/>
                <w:szCs w:val="22"/>
              </w:rPr>
              <w:t xml:space="preserve">lobal </w:t>
            </w:r>
            <w:r>
              <w:rPr>
                <w:snapToGrid w:val="0"/>
                <w:szCs w:val="22"/>
              </w:rPr>
              <w:t>B</w:t>
            </w:r>
            <w:r w:rsidRPr="00C03A9A">
              <w:rPr>
                <w:snapToGrid w:val="0"/>
                <w:szCs w:val="22"/>
              </w:rPr>
              <w:t xml:space="preserve">iodiversity </w:t>
            </w:r>
            <w:r>
              <w:rPr>
                <w:snapToGrid w:val="0"/>
                <w:szCs w:val="22"/>
              </w:rPr>
              <w:t>F</w:t>
            </w:r>
            <w:r w:rsidRPr="00C03A9A">
              <w:rPr>
                <w:snapToGrid w:val="0"/>
                <w:szCs w:val="22"/>
              </w:rPr>
              <w:t xml:space="preserve">ramework on the basis of the </w:t>
            </w:r>
            <w:r w:rsidRPr="00C03A9A">
              <w:rPr>
                <w:szCs w:val="22"/>
              </w:rPr>
              <w:t>eighth national report.</w:t>
            </w:r>
          </w:p>
          <w:p w14:paraId="4B87298F" w14:textId="77777777" w:rsidR="005B203B" w:rsidRPr="00852583" w:rsidRDefault="005B203B" w:rsidP="00FB1CE6">
            <w:pPr>
              <w:keepNext/>
              <w:spacing w:before="60" w:after="12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zCs w:val="22"/>
              </w:rPr>
              <w:t>[</w:t>
            </w:r>
            <w:r w:rsidRPr="00852583">
              <w:rPr>
                <w:i/>
                <w:iCs/>
                <w:szCs w:val="22"/>
              </w:rPr>
              <w:t>to be completed</w:t>
            </w:r>
            <w:r w:rsidRPr="00852583">
              <w:rPr>
                <w:szCs w:val="22"/>
              </w:rPr>
              <w:t>]</w:t>
            </w:r>
          </w:p>
        </w:tc>
      </w:tr>
    </w:tbl>
    <w:p w14:paraId="3BDA840E" w14:textId="10AC1208" w:rsidR="005B203B" w:rsidRPr="00C9161D" w:rsidRDefault="005B203B" w:rsidP="00DC5ED5">
      <w:pPr>
        <w:pStyle w:val="Para1"/>
        <w:numPr>
          <w:ilvl w:val="0"/>
          <w:numId w:val="0"/>
        </w:numPr>
        <w:shd w:val="clear" w:color="auto" w:fill="FFFFFF" w:themeFill="background1"/>
        <w:jc w:val="center"/>
      </w:pPr>
    </w:p>
    <w:p w14:paraId="343C813E" w14:textId="77777777" w:rsidR="00FC752D" w:rsidRDefault="00FC752D" w:rsidP="00C9161D">
      <w:pPr>
        <w:jc w:val="center"/>
        <w:sectPr w:rsidR="00FC752D" w:rsidSect="00441700">
          <w:footnotePr>
            <w:numRestart w:val="eachSect"/>
          </w:footnotePr>
          <w:pgSz w:w="12240" w:h="15840"/>
          <w:pgMar w:top="567" w:right="1440" w:bottom="1134" w:left="1440" w:header="709" w:footer="709" w:gutter="0"/>
          <w:cols w:space="708"/>
          <w:docGrid w:linePitch="360"/>
        </w:sectPr>
      </w:pPr>
    </w:p>
    <w:p w14:paraId="230803DB" w14:textId="77777777" w:rsidR="00720D5C" w:rsidRDefault="00720D5C" w:rsidP="007A23C3">
      <w:pPr>
        <w:pStyle w:val="decision"/>
        <w:sectPr w:rsidR="00720D5C" w:rsidSect="002F7B48">
          <w:type w:val="continuous"/>
          <w:pgSz w:w="12240" w:h="15840"/>
          <w:pgMar w:top="567" w:right="1440" w:bottom="1134" w:left="1440" w:header="709" w:footer="709" w:gutter="0"/>
          <w:cols w:space="708"/>
          <w:titlePg/>
          <w:docGrid w:linePitch="360"/>
        </w:sectPr>
      </w:pPr>
      <w:bookmarkStart w:id="392" w:name="_Toc150438832"/>
      <w:bookmarkStart w:id="393" w:name="_Toc150670539"/>
      <w:bookmarkStart w:id="394" w:name="_Toc150670649"/>
      <w:bookmarkStart w:id="395" w:name="_Hlk122343954"/>
    </w:p>
    <w:p w14:paraId="3117F96B" w14:textId="77777777" w:rsidR="00FC752D" w:rsidRPr="00BC4AFE" w:rsidRDefault="00FC752D" w:rsidP="007A23C3">
      <w:pPr>
        <w:pStyle w:val="decision"/>
        <w:rPr>
          <w:caps/>
        </w:rPr>
      </w:pPr>
      <w:bookmarkStart w:id="396" w:name="_Toc150761144"/>
      <w:r w:rsidRPr="00BC4AFE">
        <w:lastRenderedPageBreak/>
        <w:t>15/34.</w:t>
      </w:r>
      <w:r w:rsidRPr="00BC4AFE">
        <w:tab/>
        <w:t>Budget for the integrated programme of work of the Secretariat</w:t>
      </w:r>
      <w:bookmarkEnd w:id="392"/>
      <w:bookmarkEnd w:id="393"/>
      <w:bookmarkEnd w:id="394"/>
      <w:bookmarkEnd w:id="396"/>
      <w:r w:rsidRPr="00BC4AFE">
        <w:rPr>
          <w:caps/>
        </w:rPr>
        <w:t xml:space="preserve"> </w:t>
      </w:r>
    </w:p>
    <w:bookmarkEnd w:id="395"/>
    <w:p w14:paraId="7FC85C21" w14:textId="77777777" w:rsidR="00FC752D" w:rsidRPr="00BC4AFE" w:rsidRDefault="00FC752D" w:rsidP="00AA0E75">
      <w:pPr>
        <w:pStyle w:val="NormalWeb"/>
        <w:spacing w:before="120" w:after="120"/>
        <w:ind w:firstLine="720"/>
        <w:rPr>
          <w:rFonts w:asciiTheme="majorBidi" w:hAnsiTheme="majorBidi" w:cstheme="majorBidi"/>
          <w:i/>
          <w:iCs/>
          <w:sz w:val="22"/>
          <w:szCs w:val="22"/>
        </w:rPr>
      </w:pPr>
      <w:r w:rsidRPr="00BC4AFE">
        <w:rPr>
          <w:rFonts w:asciiTheme="majorBidi" w:hAnsiTheme="majorBidi" w:cstheme="majorBidi"/>
          <w:i/>
          <w:iCs/>
          <w:sz w:val="22"/>
          <w:szCs w:val="22"/>
        </w:rPr>
        <w:t>The Conference of the Parties,</w:t>
      </w:r>
    </w:p>
    <w:p w14:paraId="44834B29"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i/>
          <w:iCs/>
          <w:sz w:val="22"/>
          <w:szCs w:val="22"/>
        </w:rPr>
        <w:t>Recalling</w:t>
      </w:r>
      <w:r w:rsidRPr="00BC4AFE">
        <w:rPr>
          <w:rFonts w:asciiTheme="majorBidi" w:hAnsiTheme="majorBidi" w:cstheme="majorBidi"/>
          <w:sz w:val="22"/>
          <w:szCs w:val="22"/>
        </w:rPr>
        <w:t xml:space="preserve"> its decision 14/37, decision CP-9/16 of the Conference of the Parties serving as the meeting of the Parties to the Cartagena Protocol on Biosafety, and decision 3/16 of the Conference of the Parties serving as the meeting of the Parties to the Nagoya Protocol on Access and Benefit-sharing,</w:t>
      </w:r>
    </w:p>
    <w:p w14:paraId="7BE73065"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i/>
          <w:iCs/>
          <w:sz w:val="22"/>
          <w:szCs w:val="22"/>
        </w:rPr>
        <w:t>Recalling also</w:t>
      </w:r>
      <w:r w:rsidRPr="00BC4AFE">
        <w:rPr>
          <w:rFonts w:asciiTheme="majorBidi" w:hAnsiTheme="majorBidi" w:cstheme="majorBidi"/>
          <w:sz w:val="22"/>
          <w:szCs w:val="22"/>
        </w:rPr>
        <w:t xml:space="preserve"> its decision EM-2/1, in which it approved the extension of the budget for the biennium 2019–2020 and, on an exceptional basis, a core interim budget for 2021,</w:t>
      </w:r>
    </w:p>
    <w:p w14:paraId="6F387DFC"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i/>
          <w:iCs/>
          <w:sz w:val="22"/>
          <w:szCs w:val="22"/>
        </w:rPr>
        <w:t>Recalling further</w:t>
      </w:r>
      <w:r w:rsidRPr="00BC4AFE">
        <w:rPr>
          <w:rFonts w:asciiTheme="majorBidi" w:hAnsiTheme="majorBidi" w:cstheme="majorBidi"/>
          <w:sz w:val="22"/>
          <w:szCs w:val="22"/>
        </w:rPr>
        <w:t xml:space="preserve"> its decision 15/1, in which it approved the extension of the budget for the biennium 2019–2020 and, on an exceptional basis, a core interim budget for 2022,</w:t>
      </w:r>
    </w:p>
    <w:p w14:paraId="654630F1" w14:textId="77777777" w:rsidR="00FC752D" w:rsidRPr="00BC4AFE" w:rsidRDefault="00FC752D" w:rsidP="00C10F84">
      <w:pPr>
        <w:pStyle w:val="Para1"/>
        <w:numPr>
          <w:ilvl w:val="0"/>
          <w:numId w:val="86"/>
        </w:numPr>
        <w:overflowPunct/>
        <w:autoSpaceDE/>
        <w:autoSpaceDN/>
        <w:snapToGrid/>
        <w:spacing w:before="120"/>
        <w:ind w:firstLine="709"/>
      </w:pPr>
      <w:r w:rsidRPr="00BC4AFE">
        <w:rPr>
          <w:i/>
          <w:iCs/>
        </w:rPr>
        <w:t>Decides</w:t>
      </w:r>
      <w:r w:rsidRPr="00BC4AFE">
        <w:t xml:space="preserve"> to adopt an integrated programme of work and budget for the Convention on Biological Diversity, the Cartagena Protocol on Biosafety and the Nagoya Protocol on Access and Benefit-sharing;</w:t>
      </w:r>
    </w:p>
    <w:p w14:paraId="50D08C41"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Also decides</w:t>
      </w:r>
      <w:r w:rsidRPr="00BC4AFE">
        <w:rPr>
          <w:rFonts w:asciiTheme="majorBidi" w:hAnsiTheme="majorBidi" w:cstheme="majorBidi"/>
        </w:rPr>
        <w:t xml:space="preserve"> to share </w:t>
      </w:r>
      <w:r w:rsidRPr="00BC4AFE">
        <w:t>all</w:t>
      </w:r>
      <w:r w:rsidRPr="00BC4AFE">
        <w:rPr>
          <w:rFonts w:asciiTheme="majorBidi" w:hAnsiTheme="majorBidi" w:cstheme="majorBidi"/>
        </w:rPr>
        <w:t xml:space="preserve"> costs for secretariat services among the Convention, the Cartagena Protocol and the Nagoya Protocol on a ratio of 72:15:13 for the biennium 2023–2024;</w:t>
      </w:r>
    </w:p>
    <w:p w14:paraId="6BA1795F"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Approves</w:t>
      </w:r>
      <w:r w:rsidRPr="00BC4AFE">
        <w:rPr>
          <w:rFonts w:asciiTheme="majorBidi" w:hAnsiTheme="majorBidi" w:cstheme="majorBidi"/>
        </w:rPr>
        <w:t xml:space="preserve"> a core (BY) programme budget for the Convention of 14,350,752 United States dollars for the year 2023 and of </w:t>
      </w:r>
      <w:r w:rsidRPr="00BC4AFE">
        <w:t>15</w:t>
      </w:r>
      <w:r w:rsidRPr="00BC4AFE">
        <w:rPr>
          <w:rFonts w:asciiTheme="majorBidi" w:hAnsiTheme="majorBidi" w:cstheme="majorBidi"/>
        </w:rPr>
        <w:t>,634,440 United States dollars for the year 2024, representing 72 per cent of the integrated budget of 19,931,600 United States dollars for the year 2023 and 21,714,500 United States dollars for the year 2024 for the Convention and the Protocols, for the purposes listed in the tables 1a and 1b below;</w:t>
      </w:r>
    </w:p>
    <w:p w14:paraId="2CBA1099"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Also approves</w:t>
      </w:r>
      <w:r w:rsidRPr="00BC4AFE">
        <w:rPr>
          <w:rFonts w:asciiTheme="majorBidi" w:hAnsiTheme="majorBidi" w:cstheme="majorBidi"/>
        </w:rPr>
        <w:t xml:space="preserve"> the use of unspent balance of the BY, BG and BB trust funds for the biennium 2021–2022 of 410,000 United States dollars to offset contributions from the Parties to the Convention, the Cartagena Protocol and the Nagoya Protocol for the </w:t>
      </w:r>
      <w:r w:rsidRPr="00BC4AFE">
        <w:t>biennium</w:t>
      </w:r>
      <w:r w:rsidRPr="00BC4AFE">
        <w:rPr>
          <w:rFonts w:asciiTheme="majorBidi" w:hAnsiTheme="majorBidi" w:cstheme="majorBidi"/>
        </w:rPr>
        <w:t xml:space="preserve"> 2023–2024 for the following areas: 160,000 United States dollars to support the work of the Advisory Committee on Resource Mobilization and the Ad Hoc Technical Expert Group on Indicators for the Kunming-Montreal Global Biodiversity Framework, established, respectively, in decisions 15/7 and 15/5; and 250,000 United States dollars for the functional review requested in paragraph 35 below;</w:t>
      </w:r>
    </w:p>
    <w:p w14:paraId="791B8463"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Expresses its appreciation</w:t>
      </w:r>
      <w:r w:rsidRPr="00BC4AFE">
        <w:rPr>
          <w:rFonts w:asciiTheme="majorBidi" w:hAnsiTheme="majorBidi" w:cstheme="majorBidi"/>
        </w:rPr>
        <w:t xml:space="preserve"> to Canada as the host country for its renewed support to the Secretariat and welcomes the contribution of 2,112,</w:t>
      </w:r>
      <w:r w:rsidRPr="00F95386">
        <w:rPr>
          <w:rFonts w:asciiTheme="majorBidi" w:hAnsiTheme="majorBidi" w:cstheme="majorBidi"/>
        </w:rPr>
        <w:t>535</w:t>
      </w:r>
      <w:r w:rsidRPr="003E7DB9">
        <w:rPr>
          <w:rFonts w:asciiTheme="majorBidi" w:hAnsiTheme="majorBidi" w:cstheme="majorBidi"/>
        </w:rPr>
        <w:t xml:space="preserve"> </w:t>
      </w:r>
      <w:r w:rsidRPr="00F95386">
        <w:rPr>
          <w:rFonts w:asciiTheme="majorBidi" w:hAnsiTheme="majorBidi" w:cstheme="majorBidi"/>
        </w:rPr>
        <w:t xml:space="preserve">Canadian </w:t>
      </w:r>
      <w:r w:rsidRPr="00BC4AFE">
        <w:rPr>
          <w:rFonts w:asciiTheme="majorBidi" w:hAnsiTheme="majorBidi" w:cstheme="majorBidi"/>
        </w:rPr>
        <w:t>dollars for the year 2023 and 2,153,</w:t>
      </w:r>
      <w:r w:rsidRPr="00F95386">
        <w:rPr>
          <w:rFonts w:asciiTheme="majorBidi" w:hAnsiTheme="majorBidi" w:cstheme="majorBidi"/>
        </w:rPr>
        <w:t>215</w:t>
      </w:r>
      <w:r w:rsidRPr="003E7DB9">
        <w:rPr>
          <w:rFonts w:asciiTheme="majorBidi" w:hAnsiTheme="majorBidi" w:cstheme="majorBidi"/>
        </w:rPr>
        <w:t> </w:t>
      </w:r>
      <w:r w:rsidRPr="00F95386">
        <w:rPr>
          <w:rFonts w:asciiTheme="majorBidi" w:hAnsiTheme="majorBidi" w:cstheme="majorBidi"/>
        </w:rPr>
        <w:t xml:space="preserve">Canadian </w:t>
      </w:r>
      <w:r w:rsidRPr="00BC4AFE">
        <w:rPr>
          <w:rFonts w:asciiTheme="majorBidi" w:hAnsiTheme="majorBidi" w:cstheme="majorBidi"/>
        </w:rPr>
        <w:t xml:space="preserve">dollars for the year 2024, </w:t>
      </w:r>
      <w:r w:rsidRPr="00BC4AFE">
        <w:t>from</w:t>
      </w:r>
      <w:r w:rsidRPr="00BC4AFE">
        <w:rPr>
          <w:rFonts w:asciiTheme="majorBidi" w:hAnsiTheme="majorBidi" w:cstheme="majorBidi"/>
        </w:rPr>
        <w:t xml:space="preserve"> the host country, Canada, and the Province of Quebec, to the rental and associated costs of the Secretariat, which will be allocated on a ratio of 72:15:13 to offset contributions from the Parties to the Convention, the Cartagena Protocol and the Nagoya Protocol, respectively, for the biennium 2023–2024;</w:t>
      </w:r>
    </w:p>
    <w:p w14:paraId="2FB2BCC2"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Notes with concern</w:t>
      </w:r>
      <w:r w:rsidRPr="00BC4AFE">
        <w:rPr>
          <w:rFonts w:asciiTheme="majorBidi" w:hAnsiTheme="majorBidi" w:cstheme="majorBidi"/>
        </w:rPr>
        <w:t xml:space="preserve"> the ongoing renovations at the conference centre of the International Civil Aviation Organization and that on an exceptional basis, meetings might have to be moved to an alternative venue with cost implications attached to that, within the current adopted framework of the budget, and invites Parties that may be in a position to do so to express interest in hosting such meetings;</w:t>
      </w:r>
    </w:p>
    <w:p w14:paraId="77001C70"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Adopts</w:t>
      </w:r>
      <w:r w:rsidRPr="00BC4AFE">
        <w:rPr>
          <w:rFonts w:asciiTheme="majorBidi" w:hAnsiTheme="majorBidi" w:cstheme="majorBidi"/>
        </w:rPr>
        <w:t xml:space="preserve"> the scale of assessments for the apportionment of expenses for 2023 and 2024, in accordance with the current scale of </w:t>
      </w:r>
      <w:r w:rsidRPr="00BC4AFE">
        <w:t>assessments</w:t>
      </w:r>
      <w:r w:rsidRPr="00BC4AFE">
        <w:rPr>
          <w:rFonts w:asciiTheme="majorBidi" w:hAnsiTheme="majorBidi" w:cstheme="majorBidi"/>
        </w:rPr>
        <w:t xml:space="preserve"> of the United Nations,</w:t>
      </w:r>
      <w:r w:rsidRPr="00610646">
        <w:rPr>
          <w:rStyle w:val="FootnoteReference"/>
        </w:rPr>
        <w:footnoteReference w:id="388"/>
      </w:r>
      <w:r w:rsidRPr="00BC4AFE">
        <w:rPr>
          <w:rFonts w:asciiTheme="majorBidi" w:hAnsiTheme="majorBidi" w:cstheme="majorBidi"/>
        </w:rPr>
        <w:t xml:space="preserve"> as contained in table 6 of the present decision;</w:t>
      </w:r>
    </w:p>
    <w:p w14:paraId="5A4FFD35"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Also adopts</w:t>
      </w:r>
      <w:r w:rsidRPr="00BC4AFE">
        <w:rPr>
          <w:rFonts w:asciiTheme="majorBidi" w:hAnsiTheme="majorBidi" w:cstheme="majorBidi"/>
        </w:rPr>
        <w:t xml:space="preserve"> the staffing table of the Secretariat for the biennium 2023–2024 (table 2 below) used for costing purposes to set the overall budget;</w:t>
      </w:r>
    </w:p>
    <w:p w14:paraId="49B1B24B"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Recalls</w:t>
      </w:r>
      <w:r w:rsidRPr="00BC4AFE">
        <w:rPr>
          <w:rFonts w:asciiTheme="majorBidi" w:hAnsiTheme="majorBidi" w:cstheme="majorBidi"/>
        </w:rPr>
        <w:t xml:space="preserve"> that the staffing arrangement of the Secretariat should ensure that the legal obligations under the Convention and its Protocols are met;</w:t>
      </w:r>
    </w:p>
    <w:p w14:paraId="4111D17F"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lastRenderedPageBreak/>
        <w:t>Requests</w:t>
      </w:r>
      <w:r w:rsidRPr="00BC4AFE">
        <w:rPr>
          <w:rFonts w:asciiTheme="majorBidi" w:hAnsiTheme="majorBidi" w:cstheme="majorBidi"/>
        </w:rPr>
        <w:t xml:space="preserve"> the Executive Secretary to report to the Bureau and provide it with all necessary information, including with regard to the application of the administrative arrangements between the United Nations Environment Programme and the Secretariat of the Convention on Biological Diversity, in order to ensure the guiding role of the Bureau with regard to preparations for and conduct of meetings of the Conference of the Parties;</w:t>
      </w:r>
    </w:p>
    <w:p w14:paraId="639EBE57"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Authorizes</w:t>
      </w:r>
      <w:r w:rsidRPr="00BC4AFE">
        <w:rPr>
          <w:rFonts w:asciiTheme="majorBidi" w:hAnsiTheme="majorBidi" w:cstheme="majorBidi"/>
        </w:rPr>
        <w:t xml:space="preserve"> the Executive Secretary to enter into commitments up to the level of the approved budget, drawing on available cash resources, including unspent balances, contributions from previous financial periods and miscellaneous income, in accordance with the decisions of the Conference of the Parties and with the Financial Rules and Regulations of the United Nations Environment Programme; and requests the Executive Secretary to make these disclosures in a timely manner;</w:t>
      </w:r>
    </w:p>
    <w:p w14:paraId="5BF8FB33"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Also authorizes</w:t>
      </w:r>
      <w:r w:rsidRPr="00BC4AFE">
        <w:rPr>
          <w:rFonts w:asciiTheme="majorBidi" w:hAnsiTheme="majorBidi" w:cstheme="majorBidi"/>
        </w:rPr>
        <w:t xml:space="preserve"> the Executive Secretary to transfer resources among the programmes between each of the main appropriation lines set out in table 1b below up to an aggregate of 15 per cent of the total programme budget, provided that a further limitation of up to a maximum of 25 per cent of each such appropriation line shall apply;</w:t>
      </w:r>
    </w:p>
    <w:p w14:paraId="79C9CD6F"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Urges</w:t>
      </w:r>
      <w:r w:rsidRPr="00BC4AFE">
        <w:rPr>
          <w:rFonts w:asciiTheme="majorBidi" w:hAnsiTheme="majorBidi" w:cstheme="majorBidi"/>
        </w:rPr>
        <w:t xml:space="preserve"> the Executive Secretary to further reduce the environmental impact of the operations of the Secretariat and to report on the actions taken to the Conference of the Parties;</w:t>
      </w:r>
    </w:p>
    <w:p w14:paraId="4DDB0978"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Executive Secretary, as a means to further enhance efforts to foster transparency and accountability, to maintain the section on the website of the Convention that provides links to up-to-date information relevant to the governance of the Convention, including, inter alia, completed and accepted audit reports, applicable financial rules and regulations, and any other relevant budgetary and financial information to facilitate due diligence and financing decisions by Parties and other potential donors;</w:t>
      </w:r>
    </w:p>
    <w:p w14:paraId="67071B08"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color w:val="000000" w:themeColor="text1"/>
        </w:rPr>
      </w:pPr>
      <w:r w:rsidRPr="00BC4AFE">
        <w:rPr>
          <w:rFonts w:asciiTheme="majorBidi" w:hAnsiTheme="majorBidi" w:cstheme="majorBidi"/>
          <w:i/>
          <w:iCs/>
        </w:rPr>
        <w:t>Also requests</w:t>
      </w:r>
      <w:r w:rsidRPr="00BC4AFE">
        <w:rPr>
          <w:rFonts w:asciiTheme="majorBidi" w:hAnsiTheme="majorBidi" w:cstheme="majorBidi"/>
        </w:rPr>
        <w:t xml:space="preserve"> the Executive Secretary, in accordance with Article 14 of the Financial Rules, to have an audit undertaken on a </w:t>
      </w:r>
      <w:r w:rsidRPr="00BC4AFE">
        <w:t>regular</w:t>
      </w:r>
      <w:r w:rsidRPr="00BC4AFE">
        <w:rPr>
          <w:rFonts w:asciiTheme="majorBidi" w:hAnsiTheme="majorBidi" w:cstheme="majorBidi"/>
          <w:color w:val="000000" w:themeColor="text1"/>
        </w:rPr>
        <w:t xml:space="preserve"> basis by the Office of Internal Oversight Services and to ask for reports on the United Nations Environment Programme from the United Nations Board of Auditors, and to have the reports submitted as part of the documentation for the next meeting of the Conference of the Parties, together with the management response;</w:t>
      </w:r>
    </w:p>
    <w:p w14:paraId="16A4E4F7"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Further requests</w:t>
      </w:r>
      <w:r w:rsidRPr="00BC4AFE">
        <w:rPr>
          <w:rFonts w:asciiTheme="majorBidi" w:hAnsiTheme="majorBidi" w:cstheme="majorBidi"/>
        </w:rPr>
        <w:t xml:space="preserve"> the Executive Secretary, in collaboration with the United Nations Environment Programme, to expeditiously respond to the outstanding audit </w:t>
      </w:r>
      <w:r w:rsidRPr="00BC4AFE">
        <w:t>observations</w:t>
      </w:r>
      <w:r w:rsidRPr="00BC4AFE">
        <w:rPr>
          <w:rFonts w:asciiTheme="majorBidi" w:hAnsiTheme="majorBidi" w:cstheme="majorBidi"/>
        </w:rPr>
        <w:t xml:space="preserve"> and recommendations, included in annex II to document CBD/COP/15/7, and to those recommendations made by the </w:t>
      </w:r>
      <w:r w:rsidRPr="00BC4AFE">
        <w:rPr>
          <w:color w:val="000000" w:themeColor="text1"/>
          <w:kern w:val="20"/>
        </w:rPr>
        <w:t>Office of Internal Oversight Services</w:t>
      </w:r>
      <w:r w:rsidRPr="00BC4AFE">
        <w:rPr>
          <w:rFonts w:asciiTheme="majorBidi" w:hAnsiTheme="majorBidi" w:cstheme="majorBidi"/>
        </w:rPr>
        <w:t xml:space="preserve"> in 2019 that have not yet been addressed, and to submit a report to the Conference of the Parties at its sixteenth meeting on actions undertaken;</w:t>
      </w:r>
    </w:p>
    <w:p w14:paraId="4EF09027"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Invites</w:t>
      </w:r>
      <w:r w:rsidRPr="00BC4AFE">
        <w:rPr>
          <w:rFonts w:asciiTheme="majorBidi" w:hAnsiTheme="majorBidi" w:cstheme="majorBidi"/>
        </w:rPr>
        <w:t xml:space="preserve"> all Parties to the Convention to note that contributions to the core programme budgets (BY, BG and BB) are due on 1 January of the year for which those contributions have been budgeted and to pay them promptly, and requests that Parties be notified of the amount of their contributions as early as possible in the year preceding the year in which the contributions are due;</w:t>
      </w:r>
    </w:p>
    <w:p w14:paraId="7DD6F963"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Notes</w:t>
      </w:r>
      <w:r w:rsidRPr="00BC4AFE">
        <w:rPr>
          <w:rFonts w:asciiTheme="majorBidi" w:hAnsiTheme="majorBidi" w:cstheme="majorBidi"/>
        </w:rPr>
        <w:t xml:space="preserve"> </w:t>
      </w:r>
      <w:r w:rsidRPr="00BC4AFE">
        <w:rPr>
          <w:rFonts w:asciiTheme="majorBidi" w:hAnsiTheme="majorBidi" w:cstheme="majorBidi"/>
          <w:i/>
          <w:iCs/>
        </w:rPr>
        <w:t>with concern</w:t>
      </w:r>
      <w:r w:rsidRPr="00BC4AFE">
        <w:rPr>
          <w:rFonts w:asciiTheme="majorBidi" w:hAnsiTheme="majorBidi" w:cstheme="majorBidi"/>
        </w:rPr>
        <w:t xml:space="preserve"> that a number of Parties to the Convention and its Protocols have not paid their contributions to the core budgets (BY, BG and BB Trust Funds) for 2022 and prior years, including Parties that have never paid their contributions, and also notes that, in accordance with the International Public Sector Accounting Standards adopted by the United Nations,</w:t>
      </w:r>
      <w:r w:rsidRPr="00610646">
        <w:rPr>
          <w:rStyle w:val="FootnoteReference"/>
        </w:rPr>
        <w:footnoteReference w:id="389"/>
      </w:r>
      <w:r w:rsidRPr="00BC4AFE">
        <w:rPr>
          <w:rFonts w:asciiTheme="majorBidi" w:hAnsiTheme="majorBidi" w:cstheme="majorBidi"/>
        </w:rPr>
        <w:t xml:space="preserve"> arrears estimated at 1,918,753 United States dollars for the Convention, 556,128 United States dollars for the Cartagena Protocol and 275,653 United States dollars for the Nagoya Protocol are outstanding at the end of 2021 and are deducted from the fund balance to cover </w:t>
      </w:r>
      <w:r w:rsidRPr="00BC4AFE">
        <w:t>doubtful</w:t>
      </w:r>
      <w:r w:rsidRPr="00BC4AFE">
        <w:rPr>
          <w:rFonts w:asciiTheme="majorBidi" w:hAnsiTheme="majorBidi" w:cstheme="majorBidi"/>
        </w:rPr>
        <w:t xml:space="preserve"> debt and so cannot be used for the benefit of all the respective Parties, and requests the United Nations Environment Programme to accept contributions from all Parties to the Convention in a timely manner; </w:t>
      </w:r>
    </w:p>
    <w:p w14:paraId="3B2A4746"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lastRenderedPageBreak/>
        <w:t>Urges</w:t>
      </w:r>
      <w:r w:rsidRPr="00BC4AFE">
        <w:rPr>
          <w:rFonts w:asciiTheme="majorBidi" w:hAnsiTheme="majorBidi" w:cstheme="majorBidi"/>
        </w:rPr>
        <w:t xml:space="preserve"> Parties that have still not paid their contributions to the core budgets (BY, BG, BB Trust Funds) for 2022 and prior years to do so without delay or conditionalities, and requests the Executive Secretary to publish and keep up-to-date the information on the status of contributions to the trust funds of the Convention (BY, BG, BB, BE, BZ and VB) and to keep the members of the Bureaux of the Convention and its Protocols updated so that they can provide information on unpaid contributions and their consequences to the respective regions as indicated in paragraph 21 below;</w:t>
      </w:r>
    </w:p>
    <w:p w14:paraId="5FFD0917"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United Nations Environment Programme, in its capacity as Trustee, to utilize all available diplomatic channels to communicate to the relevant Parties the arrears in their contributions to the trust funds of the Convention on Biological Diversity (BY, BG and BB) from 2022 and prior years with a view to the payment of such arrears in full for the benefit of all Parties to the Convention and its Protocols, and requests the Executive Secretary to report to the Bureau and the Conference of the Parties at its sixteenth meeting on the status of these arrears;</w:t>
      </w:r>
    </w:p>
    <w:p w14:paraId="0952AE32"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Confirms</w:t>
      </w:r>
      <w:r w:rsidRPr="00BC4AFE">
        <w:rPr>
          <w:rFonts w:asciiTheme="majorBidi" w:hAnsiTheme="majorBidi" w:cstheme="majorBidi"/>
        </w:rPr>
        <w:t xml:space="preserve"> that, with regard to contributions due from 1 January 2005 onwards, Parties whose contributions are in arrears for two (2) or more years will not be eligible to become a member of the Bureaux of the Convention, its Protocols or the Subsidiary Body on Scientific, Technical and Technological Advice or to nominate a member of a compliance committee, and decides that this will only apply in the case of Parties that are not least developed countries or small island developing States;</w:t>
      </w:r>
    </w:p>
    <w:p w14:paraId="43F16AC9"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Authorizes</w:t>
      </w:r>
      <w:r w:rsidRPr="00BC4AFE">
        <w:rPr>
          <w:rFonts w:asciiTheme="majorBidi" w:hAnsiTheme="majorBidi" w:cstheme="majorBidi"/>
        </w:rPr>
        <w:t xml:space="preserve"> the Executive Secretary to enter into arrangements with any Party whose contributions are in arrears for two or more years to mutually agree on a “schedule of payments” for such a Party to clear all outstanding arrears within six years depending on the financial circumstances of the Party in arrears and pay future contributions by the due date, and report on the implementation of any such arrangement to the Bureau at its next meeting and to the Conference of the Parties;</w:t>
      </w:r>
    </w:p>
    <w:p w14:paraId="1F9A8AD2"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Decides</w:t>
      </w:r>
      <w:r w:rsidRPr="00BC4AFE">
        <w:rPr>
          <w:rFonts w:asciiTheme="majorBidi" w:hAnsiTheme="majorBidi" w:cstheme="majorBidi"/>
        </w:rPr>
        <w:t xml:space="preserve"> that a Party with an agreed arrangement in accordance with paragraph 22 above and that is fully respecting the provisions of that arrangement will not be subject to the provisions of paragraph 21 above;</w:t>
      </w:r>
    </w:p>
    <w:p w14:paraId="06CC600D"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Executive Secretary and invites the President of the Conference of the Parties, through a jointly signed letter, to notify Parties whose contributions are in arrears inviting them to take timely action and to thank those Parties that have responded in a positive manner in paying their outstanding contributions;</w:t>
      </w:r>
    </w:p>
    <w:p w14:paraId="698D8A51"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Notes</w:t>
      </w:r>
      <w:r w:rsidRPr="00BC4AFE">
        <w:rPr>
          <w:rFonts w:asciiTheme="majorBidi" w:hAnsiTheme="majorBidi" w:cstheme="majorBidi"/>
        </w:rPr>
        <w:t xml:space="preserve"> that the trust funds for the Convention and its Protocols (BY, BG and BB) should be extended for a period of two years beginning 1 January 2024 and ending 31 December 2025, and requests the Executive Director of the United Nations Environment Programme to seek the approval of the United Nations Environment Assembly for their extension;</w:t>
      </w:r>
    </w:p>
    <w:p w14:paraId="76003D15"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Acknowledges</w:t>
      </w:r>
      <w:r w:rsidRPr="00BC4AFE">
        <w:rPr>
          <w:rFonts w:asciiTheme="majorBidi" w:hAnsiTheme="majorBidi" w:cstheme="majorBidi"/>
        </w:rPr>
        <w:t xml:space="preserve"> the funding estimates for:</w:t>
      </w:r>
    </w:p>
    <w:p w14:paraId="023451E8"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sz w:val="22"/>
          <w:szCs w:val="22"/>
        </w:rPr>
        <w:t xml:space="preserve">(a) </w:t>
      </w:r>
      <w:r w:rsidRPr="00BC4AFE">
        <w:rPr>
          <w:rFonts w:asciiTheme="majorBidi" w:hAnsiTheme="majorBidi" w:cstheme="majorBidi"/>
          <w:sz w:val="22"/>
          <w:szCs w:val="22"/>
        </w:rPr>
        <w:tab/>
        <w:t>The Special Voluntary Trust Fund (BE) for Contributions in Support of Additional Approved Activities under the Convention on Biological Diversity and its Protocols for the period 2023–2024, included in table 3 below;</w:t>
      </w:r>
    </w:p>
    <w:p w14:paraId="2C36EDC0"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sz w:val="22"/>
          <w:szCs w:val="22"/>
        </w:rPr>
        <w:t xml:space="preserve">(b) </w:t>
      </w:r>
      <w:r w:rsidRPr="00BC4AFE">
        <w:rPr>
          <w:rFonts w:asciiTheme="majorBidi" w:hAnsiTheme="majorBidi" w:cstheme="majorBidi"/>
          <w:sz w:val="22"/>
          <w:szCs w:val="22"/>
        </w:rPr>
        <w:tab/>
        <w:t>The Special Trust Fund (BZ) for Voluntary Contributions to Facilitate the Participation of Parties in the Process of the Convention on Biological Diversity) for the period 2023–2024, contained in table 4 below;</w:t>
      </w:r>
    </w:p>
    <w:p w14:paraId="524BA8A1" w14:textId="77777777" w:rsidR="00FC752D" w:rsidRPr="00BC4AFE" w:rsidRDefault="00FC752D" w:rsidP="00AA0E75">
      <w:pPr>
        <w:pStyle w:val="NormalWeb"/>
        <w:spacing w:before="120" w:after="120"/>
        <w:ind w:firstLine="720"/>
        <w:rPr>
          <w:rFonts w:asciiTheme="majorBidi" w:hAnsiTheme="majorBidi" w:cstheme="majorBidi"/>
          <w:sz w:val="22"/>
          <w:szCs w:val="22"/>
        </w:rPr>
      </w:pPr>
      <w:r w:rsidRPr="00BC4AFE">
        <w:rPr>
          <w:rFonts w:asciiTheme="majorBidi" w:hAnsiTheme="majorBidi" w:cstheme="majorBidi"/>
          <w:sz w:val="22"/>
          <w:szCs w:val="22"/>
        </w:rPr>
        <w:t xml:space="preserve">(c) </w:t>
      </w:r>
      <w:r w:rsidRPr="00BC4AFE">
        <w:rPr>
          <w:rFonts w:asciiTheme="majorBidi" w:hAnsiTheme="majorBidi" w:cstheme="majorBidi"/>
          <w:sz w:val="22"/>
          <w:szCs w:val="22"/>
        </w:rPr>
        <w:tab/>
        <w:t>The Special Voluntary Trust Fund (VB) for Contributions to Facilitate the Participation of Indigenous Peoples and Local Communities for the period 2023–2024, contained in table 5 below;</w:t>
      </w:r>
    </w:p>
    <w:p w14:paraId="3B911D14"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Recalls</w:t>
      </w:r>
      <w:r w:rsidRPr="00BC4AFE">
        <w:rPr>
          <w:rFonts w:asciiTheme="majorBidi" w:hAnsiTheme="majorBidi" w:cstheme="majorBidi"/>
        </w:rPr>
        <w:t xml:space="preserve"> rule 30 of the rules of procedure of the Convention, and stresses the need to have a wide range of Parties attending meetings of the Parties to the Convention and its Protocols, especially in order to reach the level of two thirds of Parties present needed to provide a quorum for the meeting allowing decisions to be taken;</w:t>
      </w:r>
    </w:p>
    <w:p w14:paraId="49155405"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lastRenderedPageBreak/>
        <w:t>Reaffirms</w:t>
      </w:r>
      <w:r w:rsidRPr="00BC4AFE">
        <w:rPr>
          <w:rFonts w:asciiTheme="majorBidi" w:hAnsiTheme="majorBidi" w:cstheme="majorBidi"/>
        </w:rPr>
        <w:t xml:space="preserve"> the importance of full and effective participation of the developing country Parties, in particular the least developed countries and small island developing States, as well as Parties with economies in transition, in the meetings of the Parties to the Convention and its Protocols and, in this context, requests the Executive Secretary to take into account the relevant decisions of the Conference of the Parties and the meetings of the Parties to its Protocols on concurrent meetings and on improving the efficiencies of the structures and processes of the Convention and its Protocols;</w:t>
      </w:r>
    </w:p>
    <w:p w14:paraId="52450FCB"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Strongly encourages</w:t>
      </w:r>
      <w:r w:rsidRPr="00BC4AFE">
        <w:rPr>
          <w:rFonts w:asciiTheme="majorBidi" w:hAnsiTheme="majorBidi" w:cstheme="majorBidi"/>
        </w:rPr>
        <w:t xml:space="preserve"> developed country Parties and other Parties in a position to do so, including in the context of South-South cooperation, to provide the necessary financial resources to the BZ Trust Fund in order to enable the full and effective participation of representatives of developing country Parties, in particular the least developed countries and small island developing States, as well as countries with economies in transition, at meetings of the Conference of the Parties, the Conference of the Parties serving as the meetings of the Parties to the Protocols, the Subsidiary Body on Scientific, Technical and Technological Advice, the Ad Hoc Open-ended Working Group on Article 8(j) and Related Provisions, and the Subsidiary Body on Implementation;</w:t>
      </w:r>
    </w:p>
    <w:p w14:paraId="3E7BBFA1"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Recalls</w:t>
      </w:r>
      <w:r w:rsidRPr="00BC4AFE">
        <w:rPr>
          <w:rFonts w:asciiTheme="majorBidi" w:hAnsiTheme="majorBidi" w:cstheme="majorBidi"/>
        </w:rPr>
        <w:t xml:space="preserve"> paragraph 31 of decision IX/34, and requests the Executive Secretary, when allocating the funding from the BZ Trust Fund, to continue to accord first priority to funding for least developed countries and small island developing States;</w:t>
      </w:r>
    </w:p>
    <w:p w14:paraId="2C735802"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Encourages</w:t>
      </w:r>
      <w:r w:rsidRPr="00BC4AFE">
        <w:rPr>
          <w:rFonts w:asciiTheme="majorBidi" w:hAnsiTheme="majorBidi" w:cstheme="majorBidi"/>
        </w:rPr>
        <w:t xml:space="preserve"> developed country Parties and other Parties in a position to do so, to facilitate engagement by the Secretariat with potential alternative donors to the BZ Trust Fund, including private and philanthropic bodies, to assist in funding the participation of eligible developing countries in meetings of the Parties to the Convention and its Protocols;</w:t>
      </w:r>
    </w:p>
    <w:p w14:paraId="60041A5E"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Executive Secretary to remind Parties in January of each fiscal year of the need to contribute to the BZ Trust Fund at least six months prior to the ordinary meetings of the Parties to the Convention and its Protocols, to issue requests in December of each year covering the needs of all relevant meetings in the subsequent year, and to issue early invitations to other donors to make contributions;</w:t>
      </w:r>
    </w:p>
    <w:p w14:paraId="18747998"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Also requests</w:t>
      </w:r>
      <w:r w:rsidRPr="00BC4AFE">
        <w:rPr>
          <w:rFonts w:asciiTheme="majorBidi" w:hAnsiTheme="majorBidi" w:cstheme="majorBidi"/>
        </w:rPr>
        <w:t xml:space="preserve"> the Executive Secretary, in consultation with the Bureaux, to continue to monitor the availability of voluntary contributions to the BZ Trust Fund, with a view to allowing members of those Bureaux to bring any shortfalls in contributions to the attention of member Parties, and potential donors, as appropriate, in their regions;</w:t>
      </w:r>
    </w:p>
    <w:p w14:paraId="47696FD8"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Further requests</w:t>
      </w:r>
      <w:r w:rsidRPr="00BC4AFE">
        <w:rPr>
          <w:rFonts w:asciiTheme="majorBidi" w:hAnsiTheme="majorBidi" w:cstheme="majorBidi"/>
        </w:rPr>
        <w:t xml:space="preserve"> the Executive Secretary, in preparation for the meetings of the Conference of the Parties and its Protocols, to provide a list of work addressed to the Executive Secretary in draft recommendations and decisions and its implications where applicable, and as appropriate, in order to inform Parties and without prejudice to decisions of the Conference of the Parties;</w:t>
      </w:r>
    </w:p>
    <w:p w14:paraId="32F49114"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Executive Secretary, in preparation for the meetings of the Conference of the Parties and its Protocols, the Subsidiary Body on Scientific, Technical and Technological Advice, the Ad Hoc Open-ended Working Group on Article 8(j) and Related Provisions, and the Subsidiary Body on Implementation, to undertake an external in-depth functional review of the structure of the Secretariat, in consultation with the Executive Director of the United Nations Environment Programme, and of the implementation of the programme of work of the Secretariat, taking into account the results-based budgeting framework and the preliminary risk assessment included in document CBD/COP/15/7/Add.1, the recommendations of the audit report of the </w:t>
      </w:r>
      <w:r w:rsidRPr="00BC4AFE">
        <w:rPr>
          <w:color w:val="000000" w:themeColor="text1"/>
          <w:kern w:val="20"/>
        </w:rPr>
        <w:t>Office of Internal Oversight Services</w:t>
      </w:r>
      <w:r w:rsidRPr="00BC4AFE">
        <w:rPr>
          <w:rFonts w:asciiTheme="majorBidi" w:hAnsiTheme="majorBidi" w:cstheme="majorBidi"/>
        </w:rPr>
        <w:t xml:space="preserve"> and the risks identified</w:t>
      </w:r>
      <w:r w:rsidRPr="00BC4AFE">
        <w:rPr>
          <w:color w:val="000000" w:themeColor="text1"/>
          <w:kern w:val="20"/>
        </w:rPr>
        <w:t>,</w:t>
      </w:r>
      <w:r w:rsidRPr="00BC4AFE">
        <w:rPr>
          <w:rFonts w:asciiTheme="majorBidi" w:hAnsiTheme="majorBidi" w:cstheme="majorBidi"/>
        </w:rPr>
        <w:t xml:space="preserve"> with a view to updating its structure and the grading of posts in the light of the Kunming-Montreal Global Biodiversity Framework</w:t>
      </w:r>
      <w:r w:rsidRPr="00610646">
        <w:rPr>
          <w:rStyle w:val="FootnoteReference"/>
        </w:rPr>
        <w:footnoteReference w:id="390"/>
      </w:r>
      <w:r w:rsidRPr="00BC4AFE">
        <w:rPr>
          <w:rFonts w:asciiTheme="majorBidi" w:hAnsiTheme="majorBidi" w:cstheme="majorBidi"/>
        </w:rPr>
        <w:t xml:space="preserve"> and a focus on implementation by Parties, to be submitted for consideration and action by the Conference of the Parties at its sixteenth meeting;</w:t>
      </w:r>
    </w:p>
    <w:p w14:paraId="6B6E7D69"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lastRenderedPageBreak/>
        <w:t>Also requests</w:t>
      </w:r>
      <w:r w:rsidRPr="00BC4AFE">
        <w:rPr>
          <w:rFonts w:asciiTheme="majorBidi" w:hAnsiTheme="majorBidi" w:cstheme="majorBidi"/>
        </w:rPr>
        <w:t xml:space="preserve"> the Executive Secretary to prepare and submit an updated, detailed and integrated programme of work for the period 2025–2026, which sets out the objectives, tasks to be completed by the Secretariat, and results expected in regard to each budget item, for the Convention and its Protocols, for the consideration of the Conference of the Parties to the Convention and the Parties to its Protocols at their next meetings, and a corresponding programme budget following the format of the proposed programme budget for the United Nations Environment Programme, including the supplementary information statement, for the biennium with two alternatives, taking into account the list requested in paragraph 34 above:</w:t>
      </w:r>
    </w:p>
    <w:p w14:paraId="08CE1A7C" w14:textId="77777777" w:rsidR="00FC752D" w:rsidRPr="00BC4AFE" w:rsidRDefault="00FC752D" w:rsidP="00950BE4">
      <w:pPr>
        <w:pStyle w:val="NormalWeb"/>
        <w:numPr>
          <w:ilvl w:val="1"/>
          <w:numId w:val="83"/>
        </w:numPr>
        <w:spacing w:before="120" w:after="120"/>
        <w:ind w:left="0" w:firstLine="720"/>
        <w:rPr>
          <w:rFonts w:asciiTheme="majorBidi" w:hAnsiTheme="majorBidi" w:cstheme="majorBidi"/>
          <w:sz w:val="22"/>
          <w:szCs w:val="22"/>
        </w:rPr>
      </w:pPr>
      <w:r w:rsidRPr="00BC4AFE">
        <w:rPr>
          <w:rFonts w:asciiTheme="majorBidi" w:hAnsiTheme="majorBidi" w:cstheme="majorBidi"/>
          <w:sz w:val="22"/>
          <w:szCs w:val="22"/>
          <w:lang w:eastAsia="ja-JP"/>
        </w:rPr>
        <w:t>Maintaining the programme budget (BY, BG and BB trust funds) at the total 2023</w:t>
      </w:r>
      <w:r w:rsidRPr="00BC4AFE">
        <w:rPr>
          <w:rFonts w:asciiTheme="majorBidi" w:hAnsiTheme="majorBidi" w:cstheme="majorBidi"/>
          <w:sz w:val="22"/>
          <w:szCs w:val="22"/>
        </w:rPr>
        <w:t>–</w:t>
      </w:r>
      <w:r w:rsidRPr="00BC4AFE">
        <w:rPr>
          <w:rFonts w:asciiTheme="majorBidi" w:hAnsiTheme="majorBidi" w:cstheme="majorBidi"/>
          <w:sz w:val="22"/>
          <w:szCs w:val="22"/>
          <w:lang w:eastAsia="ja-JP"/>
        </w:rPr>
        <w:t>2024 level in real terms minus the amount of the unspent balances used for the biennium 2023</w:t>
      </w:r>
      <w:r w:rsidRPr="00BC4AFE">
        <w:rPr>
          <w:rFonts w:asciiTheme="majorBidi" w:hAnsiTheme="majorBidi" w:cstheme="majorBidi"/>
          <w:sz w:val="22"/>
          <w:szCs w:val="22"/>
        </w:rPr>
        <w:t>–</w:t>
      </w:r>
      <w:r w:rsidRPr="00BC4AFE">
        <w:rPr>
          <w:rFonts w:asciiTheme="majorBidi" w:hAnsiTheme="majorBidi" w:cstheme="majorBidi"/>
          <w:sz w:val="22"/>
          <w:szCs w:val="22"/>
          <w:lang w:eastAsia="ja-JP"/>
        </w:rPr>
        <w:t>2024;</w:t>
      </w:r>
    </w:p>
    <w:p w14:paraId="65DACBE7" w14:textId="77777777" w:rsidR="00FC752D" w:rsidRPr="00BC4AFE" w:rsidRDefault="00FC752D" w:rsidP="00950BE4">
      <w:pPr>
        <w:pStyle w:val="NormalWeb"/>
        <w:numPr>
          <w:ilvl w:val="1"/>
          <w:numId w:val="83"/>
        </w:numPr>
        <w:spacing w:before="120" w:after="120"/>
        <w:ind w:left="0" w:firstLine="720"/>
        <w:rPr>
          <w:rFonts w:asciiTheme="majorBidi" w:hAnsiTheme="majorBidi" w:cstheme="majorBidi"/>
          <w:sz w:val="22"/>
          <w:szCs w:val="22"/>
        </w:rPr>
      </w:pPr>
      <w:r w:rsidRPr="00BC4AFE">
        <w:rPr>
          <w:rFonts w:asciiTheme="majorBidi" w:hAnsiTheme="majorBidi" w:cstheme="majorBidi"/>
          <w:sz w:val="22"/>
          <w:szCs w:val="22"/>
          <w:lang w:eastAsia="ja-JP"/>
        </w:rPr>
        <w:t>Maintaining the programme budget (BY, BG and BB trust funds) at the total 2023</w:t>
      </w:r>
      <w:r w:rsidRPr="00BC4AFE">
        <w:rPr>
          <w:rFonts w:asciiTheme="majorBidi" w:hAnsiTheme="majorBidi" w:cstheme="majorBidi"/>
          <w:sz w:val="22"/>
          <w:szCs w:val="22"/>
        </w:rPr>
        <w:t>–</w:t>
      </w:r>
      <w:r w:rsidRPr="00BC4AFE">
        <w:rPr>
          <w:rFonts w:asciiTheme="majorBidi" w:hAnsiTheme="majorBidi" w:cstheme="majorBidi"/>
          <w:sz w:val="22"/>
          <w:szCs w:val="22"/>
          <w:lang w:eastAsia="ja-JP"/>
        </w:rPr>
        <w:t>2024 level in nominal terms minus the amount of the unspent balances used for the biennium 2023</w:t>
      </w:r>
      <w:r w:rsidRPr="00BC4AFE">
        <w:rPr>
          <w:rFonts w:asciiTheme="majorBidi" w:hAnsiTheme="majorBidi" w:cstheme="majorBidi"/>
          <w:sz w:val="22"/>
          <w:szCs w:val="22"/>
        </w:rPr>
        <w:t>–</w:t>
      </w:r>
      <w:r w:rsidRPr="00BC4AFE">
        <w:rPr>
          <w:rFonts w:asciiTheme="majorBidi" w:hAnsiTheme="majorBidi" w:cstheme="majorBidi"/>
          <w:sz w:val="22"/>
          <w:szCs w:val="22"/>
          <w:lang w:eastAsia="ja-JP"/>
        </w:rPr>
        <w:t>2024;</w:t>
      </w:r>
    </w:p>
    <w:p w14:paraId="15CD5A5A"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i/>
          <w:iCs/>
          <w:shd w:val="clear" w:color="auto" w:fill="FFFFFF"/>
        </w:rPr>
        <w:t>Further requests</w:t>
      </w:r>
      <w:r w:rsidRPr="00BC4AFE">
        <w:rPr>
          <w:shd w:val="clear" w:color="auto" w:fill="FFFFFF"/>
        </w:rPr>
        <w:t xml:space="preserve"> the </w:t>
      </w:r>
      <w:r w:rsidRPr="00BC4AFE">
        <w:rPr>
          <w:rFonts w:asciiTheme="majorBidi" w:hAnsiTheme="majorBidi" w:cstheme="majorBidi"/>
        </w:rPr>
        <w:t>Executive</w:t>
      </w:r>
      <w:r w:rsidRPr="00BC4AFE">
        <w:rPr>
          <w:shd w:val="clear" w:color="auto" w:fill="FFFFFF"/>
        </w:rPr>
        <w:t xml:space="preserve"> Secretary to introduce all possible measures to improve the effectiveness and efficiency of the Secretariat, and to reflect these measures in the two scenarios above; </w:t>
      </w:r>
    </w:p>
    <w:p w14:paraId="020FE4B9" w14:textId="77777777" w:rsidR="00FC752D" w:rsidRPr="00BC4AFE" w:rsidRDefault="00FC752D" w:rsidP="00C10F84">
      <w:pPr>
        <w:pStyle w:val="Para1"/>
        <w:numPr>
          <w:ilvl w:val="0"/>
          <w:numId w:val="86"/>
        </w:numPr>
        <w:overflowPunct/>
        <w:autoSpaceDE/>
        <w:autoSpaceDN/>
        <w:snapToGrid/>
        <w:spacing w:before="120"/>
        <w:ind w:firstLine="720"/>
        <w:rPr>
          <w:rFonts w:asciiTheme="majorBidi" w:hAnsiTheme="majorBidi" w:cstheme="majorBidi"/>
        </w:rPr>
      </w:pPr>
      <w:r w:rsidRPr="00BC4AFE">
        <w:rPr>
          <w:rFonts w:asciiTheme="majorBidi" w:hAnsiTheme="majorBidi" w:cstheme="majorBidi"/>
          <w:i/>
          <w:iCs/>
        </w:rPr>
        <w:t>Requests</w:t>
      </w:r>
      <w:r w:rsidRPr="00BC4AFE">
        <w:rPr>
          <w:rFonts w:asciiTheme="majorBidi" w:hAnsiTheme="majorBidi" w:cstheme="majorBidi"/>
        </w:rPr>
        <w:t xml:space="preserve"> the Executive Secretary to report to the Conference of the Parties to the Convention and the Conference of the Parties serving as the meeting of the Parties to its Protocols at their next meetings on income and budget performance, unspent balances, and the status of surplus and carry-overs as well as any adjustments made to the budget for the biennium 2023–2024;</w:t>
      </w:r>
    </w:p>
    <w:p w14:paraId="6E75ADB4" w14:textId="40187C11" w:rsidR="00FC752D" w:rsidRPr="00150221" w:rsidRDefault="00FC752D" w:rsidP="00C10F84">
      <w:pPr>
        <w:pStyle w:val="Para1"/>
        <w:numPr>
          <w:ilvl w:val="0"/>
          <w:numId w:val="86"/>
        </w:numPr>
        <w:overflowPunct/>
        <w:autoSpaceDE/>
        <w:autoSpaceDN/>
        <w:snapToGrid/>
        <w:spacing w:before="120"/>
        <w:ind w:firstLine="720"/>
        <w:rPr>
          <w:rFonts w:asciiTheme="majorBidi" w:hAnsiTheme="majorBidi" w:cstheme="majorBidi"/>
          <w:color w:val="000000" w:themeColor="text1"/>
        </w:rPr>
      </w:pPr>
      <w:r w:rsidRPr="00BC4AFE">
        <w:rPr>
          <w:rFonts w:asciiTheme="majorBidi" w:hAnsiTheme="majorBidi" w:cstheme="majorBidi"/>
          <w:i/>
          <w:iCs/>
          <w:color w:val="000000" w:themeColor="text1"/>
        </w:rPr>
        <w:t>Notes with concern</w:t>
      </w:r>
      <w:r w:rsidRPr="00BC4AFE">
        <w:rPr>
          <w:rFonts w:asciiTheme="majorBidi" w:hAnsiTheme="majorBidi" w:cstheme="majorBidi"/>
          <w:color w:val="000000" w:themeColor="text1"/>
        </w:rPr>
        <w:t xml:space="preserve"> the late delivery of budgetary documents in advance of the fifteenth meeting of the Conference of the </w:t>
      </w:r>
      <w:r w:rsidRPr="00BC4AFE">
        <w:rPr>
          <w:rFonts w:asciiTheme="majorBidi" w:hAnsiTheme="majorBidi" w:cstheme="majorBidi"/>
        </w:rPr>
        <w:t>Parties</w:t>
      </w:r>
      <w:r w:rsidRPr="00BC4AFE">
        <w:rPr>
          <w:rFonts w:asciiTheme="majorBidi" w:hAnsiTheme="majorBidi" w:cstheme="majorBidi"/>
          <w:color w:val="000000" w:themeColor="text1"/>
        </w:rPr>
        <w:t>, and urges the Executive Secretary to take the measures necessary to ensure that documents for the sixteenth meeting of the Conference of the Parties are circulated in full respect of the rules in force and to keep the Bureau informed on the progress of budget preparation.</w:t>
      </w:r>
    </w:p>
    <w:p w14:paraId="3395C45C" w14:textId="77777777" w:rsidR="00FC752D" w:rsidRPr="00BC4AFE" w:rsidRDefault="00FC752D" w:rsidP="005079B3">
      <w:pPr>
        <w:keepNext/>
        <w:spacing w:before="240" w:after="60"/>
        <w:ind w:left="950" w:hanging="950"/>
        <w:rPr>
          <w:rFonts w:asciiTheme="majorBidi" w:hAnsiTheme="majorBidi" w:cstheme="majorBidi"/>
          <w:b/>
          <w:bCs/>
        </w:rPr>
      </w:pPr>
      <w:r w:rsidRPr="00BC4AFE">
        <w:rPr>
          <w:rFonts w:asciiTheme="majorBidi" w:hAnsiTheme="majorBidi" w:cstheme="majorBidi"/>
          <w:b/>
          <w:bCs/>
        </w:rPr>
        <w:t xml:space="preserve">Table 1a. Biennial budget for the trust fund of the Convention on Biological Diversity for the period 2023-2024 (by object of expenditure) </w:t>
      </w:r>
    </w:p>
    <w:tbl>
      <w:tblPr>
        <w:tblW w:w="8560" w:type="dxa"/>
        <w:tblLook w:val="04A0" w:firstRow="1" w:lastRow="0" w:firstColumn="1" w:lastColumn="0" w:noHBand="0" w:noVBand="1"/>
      </w:tblPr>
      <w:tblGrid>
        <w:gridCol w:w="4360"/>
        <w:gridCol w:w="1400"/>
        <w:gridCol w:w="1400"/>
        <w:gridCol w:w="1400"/>
      </w:tblGrid>
      <w:tr w:rsidR="00FC752D" w:rsidRPr="00BC4AFE" w14:paraId="2BC2BADF" w14:textId="77777777" w:rsidTr="0034642E">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139ABB8A" w14:textId="77777777" w:rsidR="00FC752D" w:rsidRPr="00BC4AFE" w:rsidRDefault="00FC752D" w:rsidP="0034642E">
            <w:pPr>
              <w:jc w:val="center"/>
              <w:rPr>
                <w:i/>
                <w:iCs/>
                <w:color w:val="000000"/>
                <w:sz w:val="17"/>
                <w:szCs w:val="17"/>
              </w:rPr>
            </w:pPr>
            <w:r w:rsidRPr="00BC4AFE">
              <w:rPr>
                <w:i/>
                <w:iCs/>
                <w:color w:val="000000"/>
                <w:sz w:val="17"/>
                <w:szCs w:val="17"/>
              </w:rPr>
              <w:t>Object of expenditure</w:t>
            </w:r>
          </w:p>
        </w:tc>
        <w:tc>
          <w:tcPr>
            <w:tcW w:w="1400" w:type="dxa"/>
            <w:tcBorders>
              <w:top w:val="single" w:sz="8" w:space="0" w:color="auto"/>
              <w:left w:val="nil"/>
              <w:bottom w:val="nil"/>
              <w:right w:val="nil"/>
            </w:tcBorders>
            <w:shd w:val="clear" w:color="auto" w:fill="auto"/>
            <w:vAlign w:val="center"/>
            <w:hideMark/>
          </w:tcPr>
          <w:p w14:paraId="321966DD" w14:textId="77777777" w:rsidR="00FC752D" w:rsidRPr="00BC4AFE" w:rsidRDefault="00FC752D" w:rsidP="0034642E">
            <w:pPr>
              <w:jc w:val="center"/>
              <w:rPr>
                <w:i/>
                <w:iCs/>
                <w:color w:val="000000"/>
                <w:sz w:val="17"/>
                <w:szCs w:val="17"/>
              </w:rPr>
            </w:pPr>
            <w:r w:rsidRPr="00BC4AFE">
              <w:rPr>
                <w:i/>
                <w:iCs/>
                <w:color w:val="000000"/>
                <w:sz w:val="17"/>
                <w:szCs w:val="17"/>
              </w:rPr>
              <w:t xml:space="preserve">2023 </w:t>
            </w:r>
          </w:p>
        </w:tc>
        <w:tc>
          <w:tcPr>
            <w:tcW w:w="1400" w:type="dxa"/>
            <w:tcBorders>
              <w:top w:val="single" w:sz="8" w:space="0" w:color="auto"/>
              <w:left w:val="nil"/>
              <w:bottom w:val="nil"/>
              <w:right w:val="nil"/>
            </w:tcBorders>
            <w:shd w:val="clear" w:color="auto" w:fill="auto"/>
            <w:vAlign w:val="center"/>
            <w:hideMark/>
          </w:tcPr>
          <w:p w14:paraId="138BFBF0" w14:textId="77777777" w:rsidR="00FC752D" w:rsidRPr="00BC4AFE" w:rsidRDefault="00FC752D" w:rsidP="0034642E">
            <w:pPr>
              <w:jc w:val="center"/>
              <w:rPr>
                <w:i/>
                <w:iCs/>
                <w:color w:val="000000"/>
                <w:sz w:val="17"/>
                <w:szCs w:val="17"/>
              </w:rPr>
            </w:pPr>
            <w:r w:rsidRPr="00BC4AFE">
              <w:rPr>
                <w:i/>
                <w:iCs/>
                <w:color w:val="000000"/>
                <w:sz w:val="17"/>
                <w:szCs w:val="17"/>
              </w:rPr>
              <w:t xml:space="preserve">2024 </w:t>
            </w:r>
          </w:p>
        </w:tc>
        <w:tc>
          <w:tcPr>
            <w:tcW w:w="1400" w:type="dxa"/>
            <w:tcBorders>
              <w:top w:val="single" w:sz="8" w:space="0" w:color="auto"/>
              <w:left w:val="nil"/>
              <w:bottom w:val="nil"/>
              <w:right w:val="nil"/>
            </w:tcBorders>
            <w:shd w:val="clear" w:color="auto" w:fill="auto"/>
            <w:vAlign w:val="center"/>
            <w:hideMark/>
          </w:tcPr>
          <w:p w14:paraId="7C4CDCE2" w14:textId="77777777" w:rsidR="00FC752D" w:rsidRPr="00BC4AFE" w:rsidRDefault="00FC752D" w:rsidP="0034642E">
            <w:pPr>
              <w:jc w:val="center"/>
              <w:rPr>
                <w:b/>
                <w:bCs/>
                <w:i/>
                <w:iCs/>
                <w:color w:val="000000"/>
                <w:sz w:val="17"/>
                <w:szCs w:val="17"/>
              </w:rPr>
            </w:pPr>
            <w:r w:rsidRPr="00BC4AFE">
              <w:rPr>
                <w:b/>
                <w:bCs/>
                <w:i/>
                <w:iCs/>
                <w:color w:val="000000"/>
                <w:sz w:val="17"/>
                <w:szCs w:val="17"/>
              </w:rPr>
              <w:t>Total</w:t>
            </w:r>
          </w:p>
        </w:tc>
      </w:tr>
      <w:tr w:rsidR="00FC752D" w:rsidRPr="00BC4AFE" w14:paraId="0C2FFF3F" w14:textId="77777777" w:rsidTr="0034642E">
        <w:trPr>
          <w:trHeight w:val="290"/>
        </w:trPr>
        <w:tc>
          <w:tcPr>
            <w:tcW w:w="4360" w:type="dxa"/>
            <w:vMerge/>
            <w:tcBorders>
              <w:top w:val="single" w:sz="8" w:space="0" w:color="auto"/>
              <w:left w:val="nil"/>
              <w:bottom w:val="single" w:sz="8" w:space="0" w:color="000000"/>
              <w:right w:val="nil"/>
            </w:tcBorders>
            <w:vAlign w:val="center"/>
            <w:hideMark/>
          </w:tcPr>
          <w:p w14:paraId="6887BEB9" w14:textId="77777777" w:rsidR="00FC752D" w:rsidRPr="00BC4AFE" w:rsidRDefault="00FC752D" w:rsidP="0034642E">
            <w:pPr>
              <w:rPr>
                <w:i/>
                <w:iCs/>
                <w:color w:val="000000"/>
                <w:sz w:val="17"/>
                <w:szCs w:val="17"/>
              </w:rPr>
            </w:pPr>
          </w:p>
        </w:tc>
        <w:tc>
          <w:tcPr>
            <w:tcW w:w="4200" w:type="dxa"/>
            <w:gridSpan w:val="3"/>
            <w:tcBorders>
              <w:top w:val="nil"/>
              <w:left w:val="nil"/>
              <w:bottom w:val="single" w:sz="8" w:space="0" w:color="auto"/>
              <w:right w:val="nil"/>
            </w:tcBorders>
            <w:shd w:val="clear" w:color="auto" w:fill="auto"/>
            <w:vAlign w:val="center"/>
            <w:hideMark/>
          </w:tcPr>
          <w:p w14:paraId="3AACA483" w14:textId="77777777" w:rsidR="00FC752D" w:rsidRPr="00BC4AFE" w:rsidRDefault="00FC752D" w:rsidP="0034642E">
            <w:pPr>
              <w:jc w:val="center"/>
              <w:rPr>
                <w:i/>
                <w:iCs/>
                <w:color w:val="000000"/>
                <w:sz w:val="17"/>
                <w:szCs w:val="17"/>
              </w:rPr>
            </w:pPr>
            <w:r w:rsidRPr="00BC4AFE">
              <w:rPr>
                <w:i/>
                <w:iCs/>
                <w:color w:val="000000" w:themeColor="text1"/>
                <w:kern w:val="20"/>
                <w:sz w:val="17"/>
                <w:szCs w:val="17"/>
              </w:rPr>
              <w:t>(Thousands of United States dollars)</w:t>
            </w:r>
          </w:p>
        </w:tc>
      </w:tr>
      <w:tr w:rsidR="00FC752D" w:rsidRPr="00BC4AFE" w14:paraId="45AA9D83" w14:textId="77777777" w:rsidTr="0034642E">
        <w:trPr>
          <w:trHeight w:val="280"/>
        </w:trPr>
        <w:tc>
          <w:tcPr>
            <w:tcW w:w="4360" w:type="dxa"/>
            <w:tcBorders>
              <w:top w:val="nil"/>
              <w:left w:val="nil"/>
              <w:bottom w:val="nil"/>
              <w:right w:val="nil"/>
            </w:tcBorders>
            <w:shd w:val="clear" w:color="auto" w:fill="auto"/>
            <w:vAlign w:val="center"/>
            <w:hideMark/>
          </w:tcPr>
          <w:p w14:paraId="285FDC92" w14:textId="77777777" w:rsidR="00FC752D" w:rsidRPr="00BC4AFE" w:rsidRDefault="00FC752D" w:rsidP="0034642E">
            <w:pPr>
              <w:rPr>
                <w:color w:val="000000"/>
                <w:sz w:val="17"/>
                <w:szCs w:val="17"/>
              </w:rPr>
            </w:pPr>
            <w:r w:rsidRPr="00BC4AFE">
              <w:rPr>
                <w:color w:val="000000" w:themeColor="text1"/>
                <w:kern w:val="20"/>
                <w:sz w:val="17"/>
                <w:szCs w:val="17"/>
              </w:rPr>
              <w:t>A. Staff costs</w:t>
            </w:r>
          </w:p>
        </w:tc>
        <w:tc>
          <w:tcPr>
            <w:tcW w:w="1400" w:type="dxa"/>
            <w:tcBorders>
              <w:top w:val="nil"/>
              <w:left w:val="nil"/>
              <w:bottom w:val="nil"/>
              <w:right w:val="nil"/>
            </w:tcBorders>
            <w:shd w:val="clear" w:color="auto" w:fill="auto"/>
            <w:vAlign w:val="center"/>
            <w:hideMark/>
          </w:tcPr>
          <w:p w14:paraId="009D87DD" w14:textId="77777777" w:rsidR="00FC752D" w:rsidRPr="00BC4AFE" w:rsidRDefault="00FC752D" w:rsidP="0034642E">
            <w:pPr>
              <w:jc w:val="right"/>
              <w:rPr>
                <w:color w:val="000000"/>
                <w:sz w:val="17"/>
                <w:szCs w:val="17"/>
              </w:rPr>
            </w:pPr>
            <w:r w:rsidRPr="00BC4AFE">
              <w:rPr>
                <w:color w:val="000000" w:themeColor="text1"/>
                <w:kern w:val="20"/>
                <w:sz w:val="17"/>
                <w:szCs w:val="17"/>
              </w:rPr>
              <w:t>11,890.2</w:t>
            </w:r>
          </w:p>
        </w:tc>
        <w:tc>
          <w:tcPr>
            <w:tcW w:w="1400" w:type="dxa"/>
            <w:tcBorders>
              <w:top w:val="nil"/>
              <w:left w:val="nil"/>
              <w:bottom w:val="nil"/>
              <w:right w:val="nil"/>
            </w:tcBorders>
            <w:shd w:val="clear" w:color="auto" w:fill="auto"/>
            <w:vAlign w:val="center"/>
            <w:hideMark/>
          </w:tcPr>
          <w:p w14:paraId="3671CCF4" w14:textId="77777777" w:rsidR="00FC752D" w:rsidRPr="00BC4AFE" w:rsidRDefault="00FC752D" w:rsidP="0034642E">
            <w:pPr>
              <w:jc w:val="right"/>
              <w:rPr>
                <w:color w:val="000000"/>
                <w:sz w:val="17"/>
                <w:szCs w:val="17"/>
              </w:rPr>
            </w:pPr>
            <w:r w:rsidRPr="00BC4AFE">
              <w:rPr>
                <w:color w:val="000000" w:themeColor="text1"/>
                <w:kern w:val="20"/>
                <w:sz w:val="17"/>
                <w:szCs w:val="17"/>
              </w:rPr>
              <w:t>12,267.1</w:t>
            </w:r>
          </w:p>
        </w:tc>
        <w:tc>
          <w:tcPr>
            <w:tcW w:w="1400" w:type="dxa"/>
            <w:tcBorders>
              <w:top w:val="nil"/>
              <w:left w:val="nil"/>
              <w:bottom w:val="nil"/>
              <w:right w:val="nil"/>
            </w:tcBorders>
            <w:shd w:val="clear" w:color="auto" w:fill="auto"/>
            <w:vAlign w:val="center"/>
            <w:hideMark/>
          </w:tcPr>
          <w:p w14:paraId="46D071CD"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24,157.3</w:t>
            </w:r>
          </w:p>
        </w:tc>
      </w:tr>
      <w:tr w:rsidR="00FC752D" w:rsidRPr="00BC4AFE" w14:paraId="7819EC4F" w14:textId="77777777" w:rsidTr="0034642E">
        <w:trPr>
          <w:trHeight w:val="280"/>
        </w:trPr>
        <w:tc>
          <w:tcPr>
            <w:tcW w:w="4360" w:type="dxa"/>
            <w:tcBorders>
              <w:top w:val="nil"/>
              <w:left w:val="nil"/>
              <w:bottom w:val="nil"/>
              <w:right w:val="nil"/>
            </w:tcBorders>
            <w:shd w:val="clear" w:color="auto" w:fill="auto"/>
            <w:vAlign w:val="center"/>
            <w:hideMark/>
          </w:tcPr>
          <w:p w14:paraId="3D6994D7" w14:textId="77777777" w:rsidR="00FC752D" w:rsidRPr="00BC4AFE" w:rsidRDefault="00FC752D" w:rsidP="0034642E">
            <w:pPr>
              <w:rPr>
                <w:color w:val="000000"/>
                <w:sz w:val="17"/>
                <w:szCs w:val="17"/>
              </w:rPr>
            </w:pPr>
            <w:r w:rsidRPr="00BC4AFE">
              <w:rPr>
                <w:color w:val="000000" w:themeColor="text1"/>
                <w:kern w:val="20"/>
                <w:sz w:val="17"/>
                <w:szCs w:val="17"/>
              </w:rPr>
              <w:t>B. Temporary assistance/overtime</w:t>
            </w:r>
          </w:p>
        </w:tc>
        <w:tc>
          <w:tcPr>
            <w:tcW w:w="1400" w:type="dxa"/>
            <w:tcBorders>
              <w:top w:val="nil"/>
              <w:left w:val="nil"/>
              <w:bottom w:val="nil"/>
              <w:right w:val="nil"/>
            </w:tcBorders>
            <w:shd w:val="clear" w:color="auto" w:fill="auto"/>
            <w:vAlign w:val="center"/>
            <w:hideMark/>
          </w:tcPr>
          <w:p w14:paraId="167FC550" w14:textId="77777777" w:rsidR="00FC752D" w:rsidRPr="00BC4AFE" w:rsidRDefault="00FC752D" w:rsidP="0034642E">
            <w:pPr>
              <w:jc w:val="right"/>
              <w:rPr>
                <w:color w:val="000000"/>
                <w:sz w:val="17"/>
                <w:szCs w:val="17"/>
              </w:rPr>
            </w:pPr>
            <w:r w:rsidRPr="00BC4AFE">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3EC1534C" w14:textId="77777777" w:rsidR="00FC752D" w:rsidRPr="00BC4AFE" w:rsidRDefault="00FC752D" w:rsidP="0034642E">
            <w:pPr>
              <w:jc w:val="right"/>
              <w:rPr>
                <w:color w:val="000000"/>
                <w:sz w:val="17"/>
                <w:szCs w:val="17"/>
              </w:rPr>
            </w:pPr>
            <w:r w:rsidRPr="00BC4AFE">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19A55E28"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200.0</w:t>
            </w:r>
          </w:p>
        </w:tc>
      </w:tr>
      <w:tr w:rsidR="00FC752D" w:rsidRPr="00BC4AFE" w14:paraId="02D38AC9" w14:textId="77777777" w:rsidTr="0034642E">
        <w:trPr>
          <w:trHeight w:val="280"/>
        </w:trPr>
        <w:tc>
          <w:tcPr>
            <w:tcW w:w="4360" w:type="dxa"/>
            <w:tcBorders>
              <w:top w:val="nil"/>
              <w:left w:val="nil"/>
              <w:bottom w:val="nil"/>
              <w:right w:val="nil"/>
            </w:tcBorders>
            <w:shd w:val="clear" w:color="auto" w:fill="auto"/>
            <w:vAlign w:val="center"/>
            <w:hideMark/>
          </w:tcPr>
          <w:p w14:paraId="158B935B" w14:textId="77777777" w:rsidR="00FC752D" w:rsidRPr="00BC4AFE" w:rsidRDefault="00FC752D" w:rsidP="0034642E">
            <w:pPr>
              <w:rPr>
                <w:color w:val="000000"/>
                <w:sz w:val="17"/>
                <w:szCs w:val="17"/>
              </w:rPr>
            </w:pPr>
            <w:r w:rsidRPr="00BC4AFE">
              <w:rPr>
                <w:color w:val="000000" w:themeColor="text1"/>
                <w:kern w:val="20"/>
                <w:sz w:val="17"/>
                <w:szCs w:val="17"/>
              </w:rPr>
              <w:t>C. Consultants/subcontractors</w:t>
            </w:r>
          </w:p>
        </w:tc>
        <w:tc>
          <w:tcPr>
            <w:tcW w:w="1400" w:type="dxa"/>
            <w:tcBorders>
              <w:top w:val="nil"/>
              <w:left w:val="nil"/>
              <w:bottom w:val="nil"/>
              <w:right w:val="nil"/>
            </w:tcBorders>
            <w:shd w:val="clear" w:color="auto" w:fill="auto"/>
            <w:vAlign w:val="center"/>
            <w:hideMark/>
          </w:tcPr>
          <w:p w14:paraId="26A0B8E4" w14:textId="77777777" w:rsidR="00FC752D" w:rsidRPr="00BC4AFE" w:rsidRDefault="00FC752D" w:rsidP="0034642E">
            <w:pPr>
              <w:jc w:val="right"/>
              <w:rPr>
                <w:color w:val="000000"/>
                <w:sz w:val="17"/>
                <w:szCs w:val="17"/>
              </w:rPr>
            </w:pPr>
            <w:r w:rsidRPr="00BC4AFE">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7EE1CA75" w14:textId="77777777" w:rsidR="00FC752D" w:rsidRPr="00BC4AFE" w:rsidRDefault="00FC752D" w:rsidP="0034642E">
            <w:pPr>
              <w:jc w:val="right"/>
              <w:rPr>
                <w:color w:val="000000"/>
                <w:sz w:val="17"/>
                <w:szCs w:val="17"/>
              </w:rPr>
            </w:pPr>
            <w:r w:rsidRPr="00BC4AFE">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3720DD38"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100.0</w:t>
            </w:r>
          </w:p>
        </w:tc>
      </w:tr>
      <w:tr w:rsidR="00FC752D" w:rsidRPr="00BC4AFE" w14:paraId="673DB63E" w14:textId="77777777" w:rsidTr="0034642E">
        <w:trPr>
          <w:trHeight w:val="280"/>
        </w:trPr>
        <w:tc>
          <w:tcPr>
            <w:tcW w:w="4360" w:type="dxa"/>
            <w:tcBorders>
              <w:top w:val="nil"/>
              <w:left w:val="nil"/>
              <w:bottom w:val="nil"/>
              <w:right w:val="nil"/>
            </w:tcBorders>
            <w:shd w:val="clear" w:color="auto" w:fill="auto"/>
            <w:vAlign w:val="center"/>
            <w:hideMark/>
          </w:tcPr>
          <w:p w14:paraId="087FE18B" w14:textId="77777777" w:rsidR="00FC752D" w:rsidRPr="00BC4AFE" w:rsidRDefault="00FC752D" w:rsidP="0034642E">
            <w:pPr>
              <w:rPr>
                <w:color w:val="000000"/>
                <w:sz w:val="17"/>
                <w:szCs w:val="17"/>
              </w:rPr>
            </w:pPr>
            <w:r w:rsidRPr="00BC4AFE">
              <w:rPr>
                <w:color w:val="000000" w:themeColor="text1"/>
                <w:kern w:val="20"/>
                <w:sz w:val="17"/>
                <w:szCs w:val="17"/>
              </w:rPr>
              <w:t>D. Training</w:t>
            </w:r>
          </w:p>
        </w:tc>
        <w:tc>
          <w:tcPr>
            <w:tcW w:w="1400" w:type="dxa"/>
            <w:tcBorders>
              <w:top w:val="nil"/>
              <w:left w:val="nil"/>
              <w:bottom w:val="nil"/>
              <w:right w:val="nil"/>
            </w:tcBorders>
            <w:shd w:val="clear" w:color="auto" w:fill="auto"/>
            <w:vAlign w:val="center"/>
            <w:hideMark/>
          </w:tcPr>
          <w:p w14:paraId="2CFC3E88" w14:textId="77777777" w:rsidR="00FC752D" w:rsidRPr="00BC4AFE" w:rsidRDefault="00FC752D" w:rsidP="0034642E">
            <w:pPr>
              <w:jc w:val="right"/>
              <w:rPr>
                <w:color w:val="000000"/>
                <w:sz w:val="17"/>
                <w:szCs w:val="17"/>
              </w:rPr>
            </w:pPr>
            <w:r w:rsidRPr="00BC4AFE">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63F7B83E" w14:textId="77777777" w:rsidR="00FC752D" w:rsidRPr="00BC4AFE" w:rsidRDefault="00FC752D" w:rsidP="0034642E">
            <w:pPr>
              <w:jc w:val="right"/>
              <w:rPr>
                <w:color w:val="000000"/>
                <w:sz w:val="17"/>
                <w:szCs w:val="17"/>
              </w:rPr>
            </w:pPr>
            <w:r w:rsidRPr="00BC4AFE">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3164131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10.0</w:t>
            </w:r>
          </w:p>
        </w:tc>
      </w:tr>
      <w:tr w:rsidR="00FC752D" w:rsidRPr="00BC4AFE" w14:paraId="03402DAA" w14:textId="77777777" w:rsidTr="0034642E">
        <w:trPr>
          <w:trHeight w:val="280"/>
        </w:trPr>
        <w:tc>
          <w:tcPr>
            <w:tcW w:w="4360" w:type="dxa"/>
            <w:tcBorders>
              <w:top w:val="nil"/>
              <w:left w:val="nil"/>
              <w:bottom w:val="nil"/>
              <w:right w:val="nil"/>
            </w:tcBorders>
            <w:shd w:val="clear" w:color="auto" w:fill="auto"/>
            <w:vAlign w:val="center"/>
            <w:hideMark/>
          </w:tcPr>
          <w:p w14:paraId="458554A5" w14:textId="77777777" w:rsidR="00FC752D" w:rsidRPr="00BC4AFE" w:rsidRDefault="00FC752D" w:rsidP="0034642E">
            <w:pPr>
              <w:rPr>
                <w:color w:val="000000"/>
                <w:sz w:val="17"/>
                <w:szCs w:val="17"/>
              </w:rPr>
            </w:pPr>
            <w:r w:rsidRPr="00BC4AFE">
              <w:rPr>
                <w:color w:val="000000" w:themeColor="text1"/>
                <w:kern w:val="20"/>
                <w:sz w:val="17"/>
                <w:szCs w:val="17"/>
              </w:rPr>
              <w:t>E. Structural review</w:t>
            </w:r>
          </w:p>
        </w:tc>
        <w:tc>
          <w:tcPr>
            <w:tcW w:w="1400" w:type="dxa"/>
            <w:tcBorders>
              <w:top w:val="nil"/>
              <w:left w:val="nil"/>
              <w:bottom w:val="nil"/>
              <w:right w:val="nil"/>
            </w:tcBorders>
            <w:shd w:val="clear" w:color="auto" w:fill="auto"/>
            <w:vAlign w:val="center"/>
            <w:hideMark/>
          </w:tcPr>
          <w:p w14:paraId="270D1BE7" w14:textId="77777777" w:rsidR="00FC752D" w:rsidRPr="00BC4AFE" w:rsidRDefault="00FC752D" w:rsidP="0034642E">
            <w:pPr>
              <w:jc w:val="right"/>
              <w:rPr>
                <w:color w:val="000000"/>
                <w:sz w:val="17"/>
                <w:szCs w:val="17"/>
              </w:rPr>
            </w:pPr>
            <w:r w:rsidRPr="00BC4AFE">
              <w:rPr>
                <w:color w:val="000000" w:themeColor="text1"/>
                <w:kern w:val="20"/>
                <w:sz w:val="17"/>
                <w:szCs w:val="17"/>
              </w:rPr>
              <w:t>250.0</w:t>
            </w:r>
          </w:p>
        </w:tc>
        <w:tc>
          <w:tcPr>
            <w:tcW w:w="1400" w:type="dxa"/>
            <w:tcBorders>
              <w:top w:val="nil"/>
              <w:left w:val="nil"/>
              <w:bottom w:val="nil"/>
              <w:right w:val="nil"/>
            </w:tcBorders>
            <w:shd w:val="clear" w:color="auto" w:fill="auto"/>
            <w:vAlign w:val="center"/>
            <w:hideMark/>
          </w:tcPr>
          <w:p w14:paraId="3CF43E37" w14:textId="77777777" w:rsidR="00FC752D" w:rsidRPr="00BC4AFE" w:rsidRDefault="00FC752D" w:rsidP="0034642E">
            <w:pPr>
              <w:jc w:val="right"/>
              <w:rPr>
                <w:color w:val="000000"/>
                <w:sz w:val="17"/>
                <w:szCs w:val="17"/>
              </w:rPr>
            </w:pPr>
            <w:r w:rsidRPr="00BC4AFE">
              <w:rPr>
                <w:color w:val="000000" w:themeColor="text1"/>
                <w:kern w:val="20"/>
                <w:sz w:val="17"/>
                <w:szCs w:val="17"/>
              </w:rPr>
              <w:t>0.0</w:t>
            </w:r>
          </w:p>
        </w:tc>
        <w:tc>
          <w:tcPr>
            <w:tcW w:w="1400" w:type="dxa"/>
            <w:tcBorders>
              <w:top w:val="nil"/>
              <w:left w:val="nil"/>
              <w:bottom w:val="nil"/>
              <w:right w:val="nil"/>
            </w:tcBorders>
            <w:shd w:val="clear" w:color="auto" w:fill="auto"/>
            <w:vAlign w:val="center"/>
            <w:hideMark/>
          </w:tcPr>
          <w:p w14:paraId="0103A0E5"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250.0</w:t>
            </w:r>
          </w:p>
        </w:tc>
      </w:tr>
      <w:tr w:rsidR="00FC752D" w:rsidRPr="00BC4AFE" w14:paraId="74C927B8" w14:textId="77777777" w:rsidTr="0034642E">
        <w:trPr>
          <w:trHeight w:val="280"/>
        </w:trPr>
        <w:tc>
          <w:tcPr>
            <w:tcW w:w="4360" w:type="dxa"/>
            <w:tcBorders>
              <w:top w:val="nil"/>
              <w:left w:val="nil"/>
              <w:bottom w:val="nil"/>
              <w:right w:val="nil"/>
            </w:tcBorders>
            <w:shd w:val="clear" w:color="auto" w:fill="auto"/>
            <w:vAlign w:val="center"/>
            <w:hideMark/>
          </w:tcPr>
          <w:p w14:paraId="50247646" w14:textId="77777777" w:rsidR="00FC752D" w:rsidRPr="00BC4AFE" w:rsidRDefault="00FC752D" w:rsidP="0034642E">
            <w:pPr>
              <w:rPr>
                <w:color w:val="000000"/>
                <w:sz w:val="17"/>
                <w:szCs w:val="17"/>
              </w:rPr>
            </w:pPr>
            <w:r w:rsidRPr="00BC4AFE">
              <w:rPr>
                <w:color w:val="000000" w:themeColor="text1"/>
                <w:kern w:val="20"/>
                <w:sz w:val="17"/>
                <w:szCs w:val="17"/>
              </w:rPr>
              <w:t>F. Bureau meetings</w:t>
            </w:r>
          </w:p>
        </w:tc>
        <w:tc>
          <w:tcPr>
            <w:tcW w:w="1400" w:type="dxa"/>
            <w:tcBorders>
              <w:top w:val="nil"/>
              <w:left w:val="nil"/>
              <w:bottom w:val="nil"/>
              <w:right w:val="nil"/>
            </w:tcBorders>
            <w:shd w:val="clear" w:color="auto" w:fill="auto"/>
            <w:vAlign w:val="center"/>
            <w:hideMark/>
          </w:tcPr>
          <w:p w14:paraId="21DA4484" w14:textId="77777777" w:rsidR="00FC752D" w:rsidRPr="00BC4AFE" w:rsidRDefault="00FC752D" w:rsidP="0034642E">
            <w:pPr>
              <w:jc w:val="right"/>
              <w:rPr>
                <w:color w:val="000000"/>
                <w:sz w:val="17"/>
                <w:szCs w:val="17"/>
              </w:rPr>
            </w:pPr>
            <w:r w:rsidRPr="00BC4AFE">
              <w:rPr>
                <w:color w:val="000000" w:themeColor="text1"/>
                <w:kern w:val="20"/>
                <w:sz w:val="17"/>
                <w:szCs w:val="17"/>
              </w:rPr>
              <w:t>108.0</w:t>
            </w:r>
          </w:p>
        </w:tc>
        <w:tc>
          <w:tcPr>
            <w:tcW w:w="1400" w:type="dxa"/>
            <w:tcBorders>
              <w:top w:val="nil"/>
              <w:left w:val="nil"/>
              <w:bottom w:val="nil"/>
              <w:right w:val="nil"/>
            </w:tcBorders>
            <w:shd w:val="clear" w:color="auto" w:fill="auto"/>
            <w:vAlign w:val="center"/>
            <w:hideMark/>
          </w:tcPr>
          <w:p w14:paraId="4D834874" w14:textId="77777777" w:rsidR="00FC752D" w:rsidRPr="00BC4AFE" w:rsidRDefault="00FC752D" w:rsidP="0034642E">
            <w:pPr>
              <w:jc w:val="right"/>
              <w:rPr>
                <w:color w:val="000000"/>
                <w:sz w:val="17"/>
                <w:szCs w:val="17"/>
              </w:rPr>
            </w:pPr>
            <w:r w:rsidRPr="00BC4AFE">
              <w:rPr>
                <w:color w:val="000000" w:themeColor="text1"/>
                <w:kern w:val="20"/>
                <w:sz w:val="17"/>
                <w:szCs w:val="17"/>
              </w:rPr>
              <w:t>170.9</w:t>
            </w:r>
          </w:p>
        </w:tc>
        <w:tc>
          <w:tcPr>
            <w:tcW w:w="1400" w:type="dxa"/>
            <w:tcBorders>
              <w:top w:val="nil"/>
              <w:left w:val="nil"/>
              <w:bottom w:val="nil"/>
              <w:right w:val="nil"/>
            </w:tcBorders>
            <w:shd w:val="clear" w:color="auto" w:fill="auto"/>
            <w:vAlign w:val="center"/>
            <w:hideMark/>
          </w:tcPr>
          <w:p w14:paraId="407F7570"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278.9</w:t>
            </w:r>
          </w:p>
        </w:tc>
      </w:tr>
      <w:tr w:rsidR="00FC752D" w:rsidRPr="00BC4AFE" w14:paraId="7B624026" w14:textId="77777777" w:rsidTr="0034642E">
        <w:trPr>
          <w:trHeight w:val="280"/>
        </w:trPr>
        <w:tc>
          <w:tcPr>
            <w:tcW w:w="4360" w:type="dxa"/>
            <w:tcBorders>
              <w:top w:val="nil"/>
              <w:left w:val="nil"/>
              <w:bottom w:val="nil"/>
              <w:right w:val="nil"/>
            </w:tcBorders>
            <w:shd w:val="clear" w:color="auto" w:fill="auto"/>
            <w:vAlign w:val="center"/>
            <w:hideMark/>
          </w:tcPr>
          <w:p w14:paraId="6405BC78" w14:textId="77777777" w:rsidR="00FC752D" w:rsidRPr="00BC4AFE" w:rsidRDefault="00FC752D" w:rsidP="0034642E">
            <w:pPr>
              <w:rPr>
                <w:color w:val="000000"/>
                <w:sz w:val="17"/>
                <w:szCs w:val="17"/>
              </w:rPr>
            </w:pPr>
            <w:r w:rsidRPr="00BC4AFE">
              <w:rPr>
                <w:color w:val="000000" w:themeColor="text1"/>
                <w:kern w:val="20"/>
                <w:sz w:val="17"/>
                <w:szCs w:val="17"/>
              </w:rPr>
              <w:t>G. Expert meetings</w:t>
            </w:r>
          </w:p>
        </w:tc>
        <w:tc>
          <w:tcPr>
            <w:tcW w:w="1400" w:type="dxa"/>
            <w:tcBorders>
              <w:top w:val="nil"/>
              <w:left w:val="nil"/>
              <w:bottom w:val="nil"/>
              <w:right w:val="nil"/>
            </w:tcBorders>
            <w:shd w:val="clear" w:color="auto" w:fill="auto"/>
            <w:vAlign w:val="center"/>
            <w:hideMark/>
          </w:tcPr>
          <w:p w14:paraId="4B1C46E6" w14:textId="77777777" w:rsidR="00FC752D" w:rsidRPr="00BC4AFE" w:rsidRDefault="00FC752D" w:rsidP="0034642E">
            <w:pPr>
              <w:jc w:val="right"/>
              <w:rPr>
                <w:color w:val="000000"/>
                <w:sz w:val="17"/>
                <w:szCs w:val="17"/>
              </w:rPr>
            </w:pPr>
            <w:r w:rsidRPr="00BC4AFE">
              <w:rPr>
                <w:color w:val="000000" w:themeColor="text1"/>
                <w:kern w:val="20"/>
                <w:sz w:val="17"/>
                <w:szCs w:val="17"/>
              </w:rPr>
              <w:t>130.0</w:t>
            </w:r>
          </w:p>
        </w:tc>
        <w:tc>
          <w:tcPr>
            <w:tcW w:w="1400" w:type="dxa"/>
            <w:tcBorders>
              <w:top w:val="nil"/>
              <w:left w:val="nil"/>
              <w:bottom w:val="nil"/>
              <w:right w:val="nil"/>
            </w:tcBorders>
            <w:shd w:val="clear" w:color="auto" w:fill="auto"/>
            <w:vAlign w:val="center"/>
            <w:hideMark/>
          </w:tcPr>
          <w:p w14:paraId="16D8B056" w14:textId="77777777" w:rsidR="00FC752D" w:rsidRPr="00BC4AFE" w:rsidRDefault="00FC752D" w:rsidP="0034642E">
            <w:pPr>
              <w:jc w:val="right"/>
              <w:rPr>
                <w:color w:val="000000"/>
                <w:sz w:val="17"/>
                <w:szCs w:val="17"/>
              </w:rPr>
            </w:pPr>
            <w:r w:rsidRPr="00BC4AFE">
              <w:rPr>
                <w:color w:val="000000" w:themeColor="text1"/>
                <w:kern w:val="20"/>
                <w:sz w:val="17"/>
                <w:szCs w:val="17"/>
              </w:rPr>
              <w:t>350.0</w:t>
            </w:r>
          </w:p>
        </w:tc>
        <w:tc>
          <w:tcPr>
            <w:tcW w:w="1400" w:type="dxa"/>
            <w:tcBorders>
              <w:top w:val="nil"/>
              <w:left w:val="nil"/>
              <w:bottom w:val="nil"/>
              <w:right w:val="nil"/>
            </w:tcBorders>
            <w:shd w:val="clear" w:color="auto" w:fill="auto"/>
            <w:vAlign w:val="center"/>
            <w:hideMark/>
          </w:tcPr>
          <w:p w14:paraId="11F1915C"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480.0</w:t>
            </w:r>
          </w:p>
        </w:tc>
      </w:tr>
      <w:tr w:rsidR="00FC752D" w:rsidRPr="00BC4AFE" w14:paraId="13B80EA6" w14:textId="77777777" w:rsidTr="0034642E">
        <w:trPr>
          <w:trHeight w:val="280"/>
        </w:trPr>
        <w:tc>
          <w:tcPr>
            <w:tcW w:w="4360" w:type="dxa"/>
            <w:tcBorders>
              <w:top w:val="nil"/>
              <w:left w:val="nil"/>
              <w:bottom w:val="nil"/>
              <w:right w:val="nil"/>
            </w:tcBorders>
            <w:shd w:val="clear" w:color="auto" w:fill="auto"/>
            <w:vAlign w:val="center"/>
            <w:hideMark/>
          </w:tcPr>
          <w:p w14:paraId="0343E7D2" w14:textId="77777777" w:rsidR="00FC752D" w:rsidRPr="00BC4AFE" w:rsidRDefault="00FC752D" w:rsidP="0034642E">
            <w:pPr>
              <w:rPr>
                <w:color w:val="000000"/>
                <w:sz w:val="17"/>
                <w:szCs w:val="17"/>
              </w:rPr>
            </w:pPr>
            <w:r w:rsidRPr="00BC4AFE">
              <w:rPr>
                <w:color w:val="000000" w:themeColor="text1"/>
                <w:kern w:val="20"/>
                <w:sz w:val="17"/>
                <w:szCs w:val="17"/>
              </w:rPr>
              <w:t>H. Meetings of intergovernmental bodies*</w:t>
            </w:r>
          </w:p>
        </w:tc>
        <w:tc>
          <w:tcPr>
            <w:tcW w:w="1400" w:type="dxa"/>
            <w:tcBorders>
              <w:top w:val="nil"/>
              <w:left w:val="nil"/>
              <w:bottom w:val="nil"/>
              <w:right w:val="nil"/>
            </w:tcBorders>
            <w:shd w:val="clear" w:color="auto" w:fill="auto"/>
            <w:vAlign w:val="center"/>
            <w:hideMark/>
          </w:tcPr>
          <w:p w14:paraId="5F211A0F" w14:textId="77777777" w:rsidR="00FC752D" w:rsidRPr="00BC4AFE" w:rsidRDefault="00FC752D" w:rsidP="0034642E">
            <w:pPr>
              <w:jc w:val="right"/>
              <w:rPr>
                <w:color w:val="000000"/>
                <w:sz w:val="17"/>
                <w:szCs w:val="17"/>
              </w:rPr>
            </w:pPr>
            <w:r w:rsidRPr="00BC4AFE">
              <w:rPr>
                <w:color w:val="000000" w:themeColor="text1"/>
                <w:kern w:val="20"/>
                <w:sz w:val="17"/>
                <w:szCs w:val="17"/>
              </w:rPr>
              <w:t>2,241.6</w:t>
            </w:r>
          </w:p>
        </w:tc>
        <w:tc>
          <w:tcPr>
            <w:tcW w:w="1400" w:type="dxa"/>
            <w:tcBorders>
              <w:top w:val="nil"/>
              <w:left w:val="nil"/>
              <w:bottom w:val="nil"/>
              <w:right w:val="nil"/>
            </w:tcBorders>
            <w:shd w:val="clear" w:color="auto" w:fill="auto"/>
            <w:vAlign w:val="center"/>
            <w:hideMark/>
          </w:tcPr>
          <w:p w14:paraId="13F1A931" w14:textId="77777777" w:rsidR="00FC752D" w:rsidRPr="00BC4AFE" w:rsidRDefault="00FC752D" w:rsidP="0034642E">
            <w:pPr>
              <w:jc w:val="right"/>
              <w:rPr>
                <w:color w:val="000000"/>
                <w:sz w:val="17"/>
                <w:szCs w:val="17"/>
              </w:rPr>
            </w:pPr>
            <w:r w:rsidRPr="00BC4AFE">
              <w:rPr>
                <w:color w:val="000000" w:themeColor="text1"/>
                <w:kern w:val="20"/>
                <w:sz w:val="17"/>
                <w:szCs w:val="17"/>
              </w:rPr>
              <w:t>3,343.0</w:t>
            </w:r>
          </w:p>
        </w:tc>
        <w:tc>
          <w:tcPr>
            <w:tcW w:w="1400" w:type="dxa"/>
            <w:tcBorders>
              <w:top w:val="nil"/>
              <w:left w:val="nil"/>
              <w:bottom w:val="nil"/>
              <w:right w:val="nil"/>
            </w:tcBorders>
            <w:shd w:val="clear" w:color="auto" w:fill="auto"/>
            <w:vAlign w:val="center"/>
            <w:hideMark/>
          </w:tcPr>
          <w:p w14:paraId="38F46AF5"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5,584.6</w:t>
            </w:r>
          </w:p>
        </w:tc>
      </w:tr>
      <w:tr w:rsidR="00FC752D" w:rsidRPr="00BC4AFE" w14:paraId="1D0D644A" w14:textId="77777777" w:rsidTr="0034642E">
        <w:trPr>
          <w:trHeight w:val="280"/>
        </w:trPr>
        <w:tc>
          <w:tcPr>
            <w:tcW w:w="4360" w:type="dxa"/>
            <w:tcBorders>
              <w:top w:val="nil"/>
              <w:left w:val="nil"/>
              <w:bottom w:val="nil"/>
              <w:right w:val="nil"/>
            </w:tcBorders>
            <w:shd w:val="clear" w:color="auto" w:fill="auto"/>
            <w:vAlign w:val="center"/>
            <w:hideMark/>
          </w:tcPr>
          <w:p w14:paraId="1716C163" w14:textId="77777777" w:rsidR="00FC752D" w:rsidRPr="00BC4AFE" w:rsidRDefault="00FC752D" w:rsidP="0034642E">
            <w:pPr>
              <w:rPr>
                <w:color w:val="000000"/>
                <w:sz w:val="17"/>
                <w:szCs w:val="17"/>
              </w:rPr>
            </w:pPr>
            <w:r w:rsidRPr="00BC4AFE">
              <w:rPr>
                <w:color w:val="000000" w:themeColor="text1"/>
                <w:kern w:val="20"/>
                <w:sz w:val="17"/>
                <w:szCs w:val="17"/>
              </w:rPr>
              <w:t>I. Public awareness material/communications</w:t>
            </w:r>
          </w:p>
        </w:tc>
        <w:tc>
          <w:tcPr>
            <w:tcW w:w="1400" w:type="dxa"/>
            <w:tcBorders>
              <w:top w:val="nil"/>
              <w:left w:val="nil"/>
              <w:bottom w:val="nil"/>
              <w:right w:val="nil"/>
            </w:tcBorders>
            <w:shd w:val="clear" w:color="auto" w:fill="auto"/>
            <w:vAlign w:val="center"/>
            <w:hideMark/>
          </w:tcPr>
          <w:p w14:paraId="5F05A697" w14:textId="77777777" w:rsidR="00FC752D" w:rsidRPr="00BC4AFE" w:rsidRDefault="00FC752D" w:rsidP="0034642E">
            <w:pPr>
              <w:jc w:val="right"/>
              <w:rPr>
                <w:color w:val="000000"/>
                <w:sz w:val="17"/>
                <w:szCs w:val="17"/>
              </w:rPr>
            </w:pPr>
            <w:r w:rsidRPr="00BC4AFE">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76D4CE76" w14:textId="77777777" w:rsidR="00FC752D" w:rsidRPr="00BC4AFE" w:rsidRDefault="00FC752D" w:rsidP="0034642E">
            <w:pPr>
              <w:jc w:val="right"/>
              <w:rPr>
                <w:color w:val="000000"/>
                <w:sz w:val="17"/>
                <w:szCs w:val="17"/>
              </w:rPr>
            </w:pPr>
            <w:r w:rsidRPr="00BC4AFE">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5D017C60"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100.0</w:t>
            </w:r>
          </w:p>
        </w:tc>
      </w:tr>
      <w:tr w:rsidR="00FC752D" w:rsidRPr="00BC4AFE" w14:paraId="7A70D7FD" w14:textId="77777777" w:rsidTr="0034642E">
        <w:trPr>
          <w:trHeight w:val="280"/>
        </w:trPr>
        <w:tc>
          <w:tcPr>
            <w:tcW w:w="4360" w:type="dxa"/>
            <w:tcBorders>
              <w:top w:val="nil"/>
              <w:left w:val="nil"/>
              <w:bottom w:val="nil"/>
              <w:right w:val="nil"/>
            </w:tcBorders>
            <w:shd w:val="clear" w:color="auto" w:fill="auto"/>
            <w:vAlign w:val="center"/>
            <w:hideMark/>
          </w:tcPr>
          <w:p w14:paraId="25CD3690" w14:textId="77777777" w:rsidR="00FC752D" w:rsidRPr="00BC4AFE" w:rsidRDefault="00FC752D" w:rsidP="0034642E">
            <w:pPr>
              <w:rPr>
                <w:color w:val="000000"/>
                <w:sz w:val="17"/>
                <w:szCs w:val="17"/>
              </w:rPr>
            </w:pPr>
            <w:r w:rsidRPr="00BC4AFE">
              <w:rPr>
                <w:color w:val="000000" w:themeColor="text1"/>
                <w:kern w:val="20"/>
                <w:sz w:val="17"/>
                <w:szCs w:val="17"/>
              </w:rPr>
              <w:t>J. Translation of CHM website/website projects</w:t>
            </w:r>
          </w:p>
        </w:tc>
        <w:tc>
          <w:tcPr>
            <w:tcW w:w="1400" w:type="dxa"/>
            <w:tcBorders>
              <w:top w:val="nil"/>
              <w:left w:val="nil"/>
              <w:bottom w:val="nil"/>
              <w:right w:val="nil"/>
            </w:tcBorders>
            <w:shd w:val="clear" w:color="auto" w:fill="auto"/>
            <w:vAlign w:val="center"/>
            <w:hideMark/>
          </w:tcPr>
          <w:p w14:paraId="4CB2F752" w14:textId="77777777" w:rsidR="00FC752D" w:rsidRPr="00BC4AFE" w:rsidRDefault="00FC752D" w:rsidP="0034642E">
            <w:pPr>
              <w:jc w:val="right"/>
              <w:rPr>
                <w:color w:val="000000"/>
                <w:sz w:val="17"/>
                <w:szCs w:val="17"/>
              </w:rPr>
            </w:pPr>
            <w:r w:rsidRPr="00BC4AFE">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08C6E9CC" w14:textId="77777777" w:rsidR="00FC752D" w:rsidRPr="00BC4AFE" w:rsidRDefault="00FC752D" w:rsidP="0034642E">
            <w:pPr>
              <w:jc w:val="right"/>
              <w:rPr>
                <w:color w:val="000000"/>
                <w:sz w:val="17"/>
                <w:szCs w:val="17"/>
              </w:rPr>
            </w:pPr>
            <w:r w:rsidRPr="00BC4AFE">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5203E4E4"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130.0</w:t>
            </w:r>
          </w:p>
        </w:tc>
      </w:tr>
      <w:tr w:rsidR="00FC752D" w:rsidRPr="00BC4AFE" w14:paraId="3DE0155C" w14:textId="77777777" w:rsidTr="0034642E">
        <w:trPr>
          <w:trHeight w:val="280"/>
        </w:trPr>
        <w:tc>
          <w:tcPr>
            <w:tcW w:w="4360" w:type="dxa"/>
            <w:tcBorders>
              <w:top w:val="nil"/>
              <w:left w:val="nil"/>
              <w:bottom w:val="nil"/>
              <w:right w:val="nil"/>
            </w:tcBorders>
            <w:shd w:val="clear" w:color="auto" w:fill="auto"/>
            <w:vAlign w:val="center"/>
            <w:hideMark/>
          </w:tcPr>
          <w:p w14:paraId="561B0AF5" w14:textId="77777777" w:rsidR="00FC752D" w:rsidRPr="00BC4AFE" w:rsidRDefault="00FC752D" w:rsidP="0034642E">
            <w:pPr>
              <w:rPr>
                <w:color w:val="000000"/>
                <w:sz w:val="17"/>
                <w:szCs w:val="17"/>
              </w:rPr>
            </w:pPr>
            <w:r w:rsidRPr="00BC4AFE">
              <w:rPr>
                <w:color w:val="000000" w:themeColor="text1"/>
                <w:kern w:val="20"/>
                <w:sz w:val="17"/>
                <w:szCs w:val="17"/>
              </w:rPr>
              <w:t>K. Travel on official business</w:t>
            </w:r>
          </w:p>
        </w:tc>
        <w:tc>
          <w:tcPr>
            <w:tcW w:w="1400" w:type="dxa"/>
            <w:tcBorders>
              <w:top w:val="nil"/>
              <w:left w:val="nil"/>
              <w:bottom w:val="nil"/>
              <w:right w:val="nil"/>
            </w:tcBorders>
            <w:shd w:val="clear" w:color="auto" w:fill="auto"/>
            <w:vAlign w:val="center"/>
            <w:hideMark/>
          </w:tcPr>
          <w:p w14:paraId="66803131" w14:textId="77777777" w:rsidR="00FC752D" w:rsidRPr="00BC4AFE" w:rsidRDefault="00FC752D" w:rsidP="0034642E">
            <w:pPr>
              <w:jc w:val="right"/>
              <w:rPr>
                <w:color w:val="000000"/>
                <w:sz w:val="17"/>
                <w:szCs w:val="17"/>
              </w:rPr>
            </w:pPr>
            <w:r w:rsidRPr="00BC4AFE">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5EEC1CFC" w14:textId="77777777" w:rsidR="00FC752D" w:rsidRPr="00BC4AFE" w:rsidRDefault="00FC752D" w:rsidP="0034642E">
            <w:pPr>
              <w:jc w:val="right"/>
              <w:rPr>
                <w:color w:val="000000"/>
                <w:sz w:val="17"/>
                <w:szCs w:val="17"/>
              </w:rPr>
            </w:pPr>
            <w:r w:rsidRPr="00BC4AFE">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2320D6E0"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640.0</w:t>
            </w:r>
          </w:p>
        </w:tc>
      </w:tr>
      <w:tr w:rsidR="00FC752D" w:rsidRPr="00BC4AFE" w14:paraId="4CAD3EB7" w14:textId="77777777" w:rsidTr="0034642E">
        <w:trPr>
          <w:trHeight w:val="280"/>
        </w:trPr>
        <w:tc>
          <w:tcPr>
            <w:tcW w:w="4360" w:type="dxa"/>
            <w:tcBorders>
              <w:top w:val="nil"/>
              <w:left w:val="nil"/>
              <w:bottom w:val="nil"/>
              <w:right w:val="nil"/>
            </w:tcBorders>
            <w:shd w:val="clear" w:color="auto" w:fill="auto"/>
            <w:vAlign w:val="center"/>
            <w:hideMark/>
          </w:tcPr>
          <w:p w14:paraId="58A036EC" w14:textId="77777777" w:rsidR="00FC752D" w:rsidRPr="00BC4AFE" w:rsidRDefault="00FC752D" w:rsidP="0034642E">
            <w:pPr>
              <w:rPr>
                <w:color w:val="000000"/>
                <w:sz w:val="17"/>
                <w:szCs w:val="17"/>
              </w:rPr>
            </w:pPr>
            <w:r w:rsidRPr="00BC4AFE">
              <w:rPr>
                <w:color w:val="000000" w:themeColor="text1"/>
                <w:kern w:val="20"/>
                <w:sz w:val="17"/>
                <w:szCs w:val="17"/>
              </w:rPr>
              <w:t>L. Rent and associated costs</w:t>
            </w:r>
          </w:p>
        </w:tc>
        <w:tc>
          <w:tcPr>
            <w:tcW w:w="1400" w:type="dxa"/>
            <w:tcBorders>
              <w:top w:val="nil"/>
              <w:left w:val="nil"/>
              <w:bottom w:val="nil"/>
              <w:right w:val="nil"/>
            </w:tcBorders>
            <w:shd w:val="clear" w:color="auto" w:fill="auto"/>
            <w:vAlign w:val="center"/>
            <w:hideMark/>
          </w:tcPr>
          <w:p w14:paraId="1567E709" w14:textId="77777777" w:rsidR="00FC752D" w:rsidRPr="00BC4AFE" w:rsidRDefault="00FC752D" w:rsidP="0034642E">
            <w:pPr>
              <w:jc w:val="right"/>
              <w:rPr>
                <w:color w:val="000000"/>
                <w:sz w:val="17"/>
                <w:szCs w:val="17"/>
              </w:rPr>
            </w:pPr>
            <w:r w:rsidRPr="00BC4AFE">
              <w:rPr>
                <w:color w:val="000000" w:themeColor="text1"/>
                <w:kern w:val="20"/>
                <w:sz w:val="17"/>
                <w:szCs w:val="17"/>
              </w:rPr>
              <w:t>1,445.7</w:t>
            </w:r>
          </w:p>
        </w:tc>
        <w:tc>
          <w:tcPr>
            <w:tcW w:w="1400" w:type="dxa"/>
            <w:tcBorders>
              <w:top w:val="nil"/>
              <w:left w:val="nil"/>
              <w:bottom w:val="nil"/>
              <w:right w:val="nil"/>
            </w:tcBorders>
            <w:shd w:val="clear" w:color="auto" w:fill="auto"/>
            <w:vAlign w:val="center"/>
            <w:hideMark/>
          </w:tcPr>
          <w:p w14:paraId="4E16FBF1" w14:textId="77777777" w:rsidR="00FC752D" w:rsidRPr="00BC4AFE" w:rsidRDefault="00FC752D" w:rsidP="0034642E">
            <w:pPr>
              <w:jc w:val="right"/>
              <w:rPr>
                <w:color w:val="000000"/>
                <w:sz w:val="17"/>
                <w:szCs w:val="17"/>
              </w:rPr>
            </w:pPr>
            <w:r w:rsidRPr="00BC4AFE">
              <w:rPr>
                <w:color w:val="000000" w:themeColor="text1"/>
                <w:kern w:val="20"/>
                <w:sz w:val="17"/>
                <w:szCs w:val="17"/>
              </w:rPr>
              <w:t>1,473.0</w:t>
            </w:r>
          </w:p>
        </w:tc>
        <w:tc>
          <w:tcPr>
            <w:tcW w:w="1400" w:type="dxa"/>
            <w:tcBorders>
              <w:top w:val="nil"/>
              <w:left w:val="nil"/>
              <w:bottom w:val="nil"/>
              <w:right w:val="nil"/>
            </w:tcBorders>
            <w:shd w:val="clear" w:color="auto" w:fill="auto"/>
            <w:vAlign w:val="center"/>
            <w:hideMark/>
          </w:tcPr>
          <w:p w14:paraId="62CC24D1"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2,918.7</w:t>
            </w:r>
          </w:p>
        </w:tc>
      </w:tr>
      <w:tr w:rsidR="00FC752D" w:rsidRPr="00BC4AFE" w14:paraId="3A3444C5" w14:textId="77777777" w:rsidTr="0034642E">
        <w:trPr>
          <w:trHeight w:val="280"/>
        </w:trPr>
        <w:tc>
          <w:tcPr>
            <w:tcW w:w="4360" w:type="dxa"/>
            <w:tcBorders>
              <w:top w:val="nil"/>
              <w:left w:val="nil"/>
              <w:bottom w:val="nil"/>
              <w:right w:val="nil"/>
            </w:tcBorders>
            <w:shd w:val="clear" w:color="auto" w:fill="auto"/>
            <w:vAlign w:val="center"/>
            <w:hideMark/>
          </w:tcPr>
          <w:p w14:paraId="2D4BD5B0" w14:textId="77777777" w:rsidR="00FC752D" w:rsidRPr="00BC4AFE" w:rsidRDefault="00FC752D" w:rsidP="0034642E">
            <w:pPr>
              <w:rPr>
                <w:color w:val="000000"/>
                <w:sz w:val="17"/>
                <w:szCs w:val="17"/>
              </w:rPr>
            </w:pPr>
            <w:r w:rsidRPr="00BC4AFE">
              <w:rPr>
                <w:color w:val="000000"/>
                <w:sz w:val="17"/>
                <w:szCs w:val="17"/>
              </w:rPr>
              <w:t>M. Information technology</w:t>
            </w:r>
          </w:p>
        </w:tc>
        <w:tc>
          <w:tcPr>
            <w:tcW w:w="1400" w:type="dxa"/>
            <w:tcBorders>
              <w:top w:val="nil"/>
              <w:left w:val="nil"/>
              <w:bottom w:val="nil"/>
              <w:right w:val="nil"/>
            </w:tcBorders>
            <w:shd w:val="clear" w:color="auto" w:fill="auto"/>
            <w:vAlign w:val="center"/>
            <w:hideMark/>
          </w:tcPr>
          <w:p w14:paraId="5151874B" w14:textId="77777777" w:rsidR="00FC752D" w:rsidRPr="00BC4AFE" w:rsidRDefault="00FC752D" w:rsidP="0034642E">
            <w:pPr>
              <w:jc w:val="right"/>
              <w:rPr>
                <w:color w:val="000000"/>
                <w:sz w:val="17"/>
                <w:szCs w:val="17"/>
              </w:rPr>
            </w:pPr>
            <w:r w:rsidRPr="00BC4AFE">
              <w:rPr>
                <w:color w:val="000000"/>
                <w:sz w:val="17"/>
                <w:szCs w:val="17"/>
              </w:rPr>
              <w:t>65.0</w:t>
            </w:r>
          </w:p>
        </w:tc>
        <w:tc>
          <w:tcPr>
            <w:tcW w:w="1400" w:type="dxa"/>
            <w:tcBorders>
              <w:top w:val="nil"/>
              <w:left w:val="nil"/>
              <w:bottom w:val="nil"/>
              <w:right w:val="nil"/>
            </w:tcBorders>
            <w:shd w:val="clear" w:color="auto" w:fill="auto"/>
            <w:vAlign w:val="center"/>
            <w:hideMark/>
          </w:tcPr>
          <w:p w14:paraId="3FC03797" w14:textId="77777777" w:rsidR="00FC752D" w:rsidRPr="00BC4AFE" w:rsidRDefault="00FC752D" w:rsidP="0034642E">
            <w:pPr>
              <w:jc w:val="right"/>
              <w:rPr>
                <w:color w:val="000000"/>
                <w:sz w:val="17"/>
                <w:szCs w:val="17"/>
              </w:rPr>
            </w:pPr>
            <w:r w:rsidRPr="00BC4AFE">
              <w:rPr>
                <w:color w:val="000000"/>
                <w:sz w:val="17"/>
                <w:szCs w:val="17"/>
              </w:rPr>
              <w:t>65.0</w:t>
            </w:r>
          </w:p>
        </w:tc>
        <w:tc>
          <w:tcPr>
            <w:tcW w:w="1400" w:type="dxa"/>
            <w:tcBorders>
              <w:top w:val="nil"/>
              <w:left w:val="nil"/>
              <w:bottom w:val="nil"/>
              <w:right w:val="nil"/>
            </w:tcBorders>
            <w:shd w:val="clear" w:color="auto" w:fill="auto"/>
            <w:vAlign w:val="center"/>
            <w:hideMark/>
          </w:tcPr>
          <w:p w14:paraId="4C21728C" w14:textId="77777777" w:rsidR="00FC752D" w:rsidRPr="00BC4AFE" w:rsidRDefault="00FC752D" w:rsidP="0034642E">
            <w:pPr>
              <w:jc w:val="right"/>
              <w:rPr>
                <w:b/>
                <w:bCs/>
                <w:color w:val="000000"/>
                <w:sz w:val="17"/>
                <w:szCs w:val="17"/>
              </w:rPr>
            </w:pPr>
            <w:r w:rsidRPr="00BC4AFE">
              <w:rPr>
                <w:b/>
                <w:bCs/>
                <w:color w:val="000000"/>
                <w:sz w:val="17"/>
                <w:szCs w:val="17"/>
              </w:rPr>
              <w:t>130.0</w:t>
            </w:r>
          </w:p>
        </w:tc>
      </w:tr>
      <w:tr w:rsidR="00FC752D" w:rsidRPr="00BC4AFE" w14:paraId="1A3D1871"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023F003A" w14:textId="77777777" w:rsidR="00FC752D" w:rsidRPr="00BC4AFE" w:rsidRDefault="00FC752D" w:rsidP="0034642E">
            <w:pPr>
              <w:rPr>
                <w:color w:val="000000"/>
                <w:sz w:val="17"/>
                <w:szCs w:val="17"/>
              </w:rPr>
            </w:pPr>
            <w:r w:rsidRPr="00BC4AFE">
              <w:rPr>
                <w:color w:val="000000" w:themeColor="text1"/>
                <w:kern w:val="20"/>
                <w:sz w:val="17"/>
                <w:szCs w:val="17"/>
              </w:rPr>
              <w:t>N. General operating expenses</w:t>
            </w:r>
          </w:p>
        </w:tc>
        <w:tc>
          <w:tcPr>
            <w:tcW w:w="1400" w:type="dxa"/>
            <w:tcBorders>
              <w:top w:val="nil"/>
              <w:left w:val="nil"/>
              <w:bottom w:val="single" w:sz="8" w:space="0" w:color="auto"/>
              <w:right w:val="nil"/>
            </w:tcBorders>
            <w:shd w:val="clear" w:color="auto" w:fill="auto"/>
            <w:vAlign w:val="center"/>
            <w:hideMark/>
          </w:tcPr>
          <w:p w14:paraId="45F86F8F" w14:textId="77777777" w:rsidR="00FC752D" w:rsidRPr="00BC4AFE" w:rsidRDefault="00FC752D" w:rsidP="0034642E">
            <w:pPr>
              <w:jc w:val="right"/>
              <w:rPr>
                <w:color w:val="000000"/>
                <w:sz w:val="17"/>
                <w:szCs w:val="17"/>
              </w:rPr>
            </w:pPr>
            <w:r w:rsidRPr="00BC4AFE">
              <w:rPr>
                <w:color w:val="000000" w:themeColor="text1"/>
                <w:kern w:val="20"/>
                <w:sz w:val="17"/>
                <w:szCs w:val="17"/>
              </w:rPr>
              <w:t>726.6</w:t>
            </w:r>
          </w:p>
        </w:tc>
        <w:tc>
          <w:tcPr>
            <w:tcW w:w="1400" w:type="dxa"/>
            <w:tcBorders>
              <w:top w:val="nil"/>
              <w:left w:val="nil"/>
              <w:bottom w:val="single" w:sz="8" w:space="0" w:color="auto"/>
              <w:right w:val="nil"/>
            </w:tcBorders>
            <w:shd w:val="clear" w:color="auto" w:fill="auto"/>
            <w:vAlign w:val="center"/>
            <w:hideMark/>
          </w:tcPr>
          <w:p w14:paraId="66DCAD85" w14:textId="77777777" w:rsidR="00FC752D" w:rsidRPr="00BC4AFE" w:rsidRDefault="00FC752D" w:rsidP="0034642E">
            <w:pPr>
              <w:jc w:val="right"/>
              <w:rPr>
                <w:color w:val="000000"/>
                <w:sz w:val="17"/>
                <w:szCs w:val="17"/>
              </w:rPr>
            </w:pPr>
            <w:r w:rsidRPr="00BC4AFE">
              <w:rPr>
                <w:color w:val="000000" w:themeColor="text1"/>
                <w:kern w:val="20"/>
                <w:sz w:val="17"/>
                <w:szCs w:val="17"/>
              </w:rPr>
              <w:t>726.6</w:t>
            </w:r>
          </w:p>
        </w:tc>
        <w:tc>
          <w:tcPr>
            <w:tcW w:w="1400" w:type="dxa"/>
            <w:tcBorders>
              <w:top w:val="nil"/>
              <w:left w:val="nil"/>
              <w:bottom w:val="nil"/>
              <w:right w:val="nil"/>
            </w:tcBorders>
            <w:shd w:val="clear" w:color="auto" w:fill="auto"/>
            <w:vAlign w:val="center"/>
            <w:hideMark/>
          </w:tcPr>
          <w:p w14:paraId="3AF9BFBA"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1,453.2</w:t>
            </w:r>
          </w:p>
        </w:tc>
      </w:tr>
      <w:tr w:rsidR="00FC752D" w:rsidRPr="00BC4AFE" w14:paraId="0401640C"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4DF60AC" w14:textId="77777777" w:rsidR="00FC752D" w:rsidRPr="00BC4AFE" w:rsidRDefault="00FC752D" w:rsidP="0034642E">
            <w:pPr>
              <w:rPr>
                <w:b/>
                <w:bCs/>
                <w:color w:val="000000"/>
                <w:sz w:val="17"/>
                <w:szCs w:val="17"/>
              </w:rPr>
            </w:pPr>
            <w:r w:rsidRPr="00BC4AFE">
              <w:rPr>
                <w:b/>
                <w:bCs/>
                <w:color w:val="000000" w:themeColor="text1"/>
                <w:kern w:val="20"/>
                <w:sz w:val="17"/>
                <w:szCs w:val="17"/>
              </w:rPr>
              <w:t>Subtotal (I)</w:t>
            </w:r>
          </w:p>
        </w:tc>
        <w:tc>
          <w:tcPr>
            <w:tcW w:w="1400" w:type="dxa"/>
            <w:tcBorders>
              <w:top w:val="nil"/>
              <w:left w:val="nil"/>
              <w:bottom w:val="single" w:sz="8" w:space="0" w:color="auto"/>
              <w:right w:val="nil"/>
            </w:tcBorders>
            <w:shd w:val="clear" w:color="auto" w:fill="auto"/>
            <w:vAlign w:val="center"/>
            <w:hideMark/>
          </w:tcPr>
          <w:p w14:paraId="788C741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17,447.1</w:t>
            </w:r>
          </w:p>
        </w:tc>
        <w:tc>
          <w:tcPr>
            <w:tcW w:w="1400" w:type="dxa"/>
            <w:tcBorders>
              <w:top w:val="nil"/>
              <w:left w:val="nil"/>
              <w:bottom w:val="single" w:sz="8" w:space="0" w:color="auto"/>
              <w:right w:val="nil"/>
            </w:tcBorders>
            <w:shd w:val="clear" w:color="auto" w:fill="auto"/>
            <w:vAlign w:val="center"/>
            <w:hideMark/>
          </w:tcPr>
          <w:p w14:paraId="3F4F36E8"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18,985.6</w:t>
            </w:r>
          </w:p>
        </w:tc>
        <w:tc>
          <w:tcPr>
            <w:tcW w:w="1400" w:type="dxa"/>
            <w:tcBorders>
              <w:top w:val="single" w:sz="8" w:space="0" w:color="auto"/>
              <w:left w:val="nil"/>
              <w:bottom w:val="single" w:sz="8" w:space="0" w:color="auto"/>
              <w:right w:val="nil"/>
            </w:tcBorders>
            <w:shd w:val="clear" w:color="auto" w:fill="auto"/>
            <w:vAlign w:val="center"/>
            <w:hideMark/>
          </w:tcPr>
          <w:p w14:paraId="5CFA28F0"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36,432.7</w:t>
            </w:r>
          </w:p>
        </w:tc>
      </w:tr>
      <w:tr w:rsidR="00FC752D" w:rsidRPr="00BC4AFE" w14:paraId="6C76EFBB"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4467C034" w14:textId="77777777" w:rsidR="00FC752D" w:rsidRPr="00BC4AFE" w:rsidRDefault="00FC752D" w:rsidP="0034642E">
            <w:pPr>
              <w:rPr>
                <w:b/>
                <w:bCs/>
                <w:color w:val="000000"/>
                <w:sz w:val="17"/>
                <w:szCs w:val="17"/>
              </w:rPr>
            </w:pPr>
            <w:r w:rsidRPr="00BC4AFE">
              <w:rPr>
                <w:b/>
                <w:bCs/>
                <w:color w:val="000000" w:themeColor="text1"/>
                <w:kern w:val="20"/>
                <w:sz w:val="17"/>
                <w:szCs w:val="17"/>
              </w:rPr>
              <w:t>II. Programme support costs (13%)</w:t>
            </w:r>
          </w:p>
        </w:tc>
        <w:tc>
          <w:tcPr>
            <w:tcW w:w="1400" w:type="dxa"/>
            <w:tcBorders>
              <w:top w:val="nil"/>
              <w:left w:val="nil"/>
              <w:bottom w:val="nil"/>
              <w:right w:val="nil"/>
            </w:tcBorders>
            <w:shd w:val="clear" w:color="auto" w:fill="auto"/>
            <w:vAlign w:val="center"/>
            <w:hideMark/>
          </w:tcPr>
          <w:p w14:paraId="5B456C4C" w14:textId="77777777" w:rsidR="00FC752D" w:rsidRPr="00BC4AFE" w:rsidRDefault="00FC752D" w:rsidP="0034642E">
            <w:pPr>
              <w:jc w:val="right"/>
              <w:rPr>
                <w:color w:val="000000"/>
                <w:sz w:val="17"/>
                <w:szCs w:val="17"/>
              </w:rPr>
            </w:pPr>
            <w:r w:rsidRPr="00BC4AFE">
              <w:rPr>
                <w:color w:val="000000" w:themeColor="text1"/>
                <w:kern w:val="20"/>
                <w:sz w:val="17"/>
                <w:szCs w:val="17"/>
              </w:rPr>
              <w:t>2,268.1</w:t>
            </w:r>
          </w:p>
        </w:tc>
        <w:tc>
          <w:tcPr>
            <w:tcW w:w="1400" w:type="dxa"/>
            <w:tcBorders>
              <w:top w:val="nil"/>
              <w:left w:val="nil"/>
              <w:bottom w:val="nil"/>
              <w:right w:val="nil"/>
            </w:tcBorders>
            <w:shd w:val="clear" w:color="auto" w:fill="auto"/>
            <w:vAlign w:val="center"/>
            <w:hideMark/>
          </w:tcPr>
          <w:p w14:paraId="11587E8C" w14:textId="77777777" w:rsidR="00FC752D" w:rsidRPr="00BC4AFE" w:rsidRDefault="00FC752D" w:rsidP="0034642E">
            <w:pPr>
              <w:jc w:val="right"/>
              <w:rPr>
                <w:color w:val="000000"/>
                <w:sz w:val="17"/>
                <w:szCs w:val="17"/>
              </w:rPr>
            </w:pPr>
            <w:r w:rsidRPr="00BC4AFE">
              <w:rPr>
                <w:color w:val="000000" w:themeColor="text1"/>
                <w:kern w:val="20"/>
                <w:sz w:val="17"/>
                <w:szCs w:val="17"/>
              </w:rPr>
              <w:t>2,468.1</w:t>
            </w:r>
          </w:p>
        </w:tc>
        <w:tc>
          <w:tcPr>
            <w:tcW w:w="1400" w:type="dxa"/>
            <w:tcBorders>
              <w:top w:val="nil"/>
              <w:left w:val="nil"/>
              <w:bottom w:val="nil"/>
              <w:right w:val="nil"/>
            </w:tcBorders>
            <w:shd w:val="clear" w:color="auto" w:fill="auto"/>
            <w:vAlign w:val="center"/>
            <w:hideMark/>
          </w:tcPr>
          <w:p w14:paraId="0AFB79A9"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4,736.2</w:t>
            </w:r>
          </w:p>
        </w:tc>
      </w:tr>
      <w:tr w:rsidR="00FC752D" w:rsidRPr="00BC4AFE" w14:paraId="28568F9D"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29D7C0A3" w14:textId="77777777" w:rsidR="00FC752D" w:rsidRPr="00BC4AFE" w:rsidRDefault="00FC752D" w:rsidP="0034642E">
            <w:pPr>
              <w:rPr>
                <w:b/>
                <w:bCs/>
                <w:color w:val="000000"/>
                <w:sz w:val="17"/>
                <w:szCs w:val="17"/>
              </w:rPr>
            </w:pPr>
            <w:r w:rsidRPr="00BC4AFE">
              <w:rPr>
                <w:b/>
                <w:bCs/>
                <w:color w:val="000000" w:themeColor="text1"/>
                <w:kern w:val="20"/>
                <w:sz w:val="17"/>
                <w:szCs w:val="17"/>
              </w:rPr>
              <w:t>Subtotal (I + II)</w:t>
            </w:r>
          </w:p>
        </w:tc>
        <w:tc>
          <w:tcPr>
            <w:tcW w:w="1400" w:type="dxa"/>
            <w:tcBorders>
              <w:top w:val="nil"/>
              <w:left w:val="nil"/>
              <w:bottom w:val="single" w:sz="8" w:space="0" w:color="auto"/>
              <w:right w:val="nil"/>
            </w:tcBorders>
            <w:shd w:val="clear" w:color="auto" w:fill="auto"/>
            <w:vAlign w:val="center"/>
            <w:hideMark/>
          </w:tcPr>
          <w:p w14:paraId="5505EFAD"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19,715.2</w:t>
            </w:r>
          </w:p>
        </w:tc>
        <w:tc>
          <w:tcPr>
            <w:tcW w:w="1400" w:type="dxa"/>
            <w:tcBorders>
              <w:top w:val="nil"/>
              <w:left w:val="nil"/>
              <w:bottom w:val="single" w:sz="8" w:space="0" w:color="auto"/>
              <w:right w:val="nil"/>
            </w:tcBorders>
            <w:shd w:val="clear" w:color="auto" w:fill="auto"/>
            <w:vAlign w:val="center"/>
            <w:hideMark/>
          </w:tcPr>
          <w:p w14:paraId="5FC89E1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21,453.7</w:t>
            </w:r>
          </w:p>
        </w:tc>
        <w:tc>
          <w:tcPr>
            <w:tcW w:w="1400" w:type="dxa"/>
            <w:tcBorders>
              <w:top w:val="nil"/>
              <w:left w:val="nil"/>
              <w:bottom w:val="single" w:sz="8" w:space="0" w:color="auto"/>
              <w:right w:val="nil"/>
            </w:tcBorders>
            <w:shd w:val="clear" w:color="auto" w:fill="auto"/>
            <w:vAlign w:val="center"/>
            <w:hideMark/>
          </w:tcPr>
          <w:p w14:paraId="2E665EF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41,168.9</w:t>
            </w:r>
          </w:p>
        </w:tc>
      </w:tr>
      <w:tr w:rsidR="00FC752D" w:rsidRPr="00BC4AFE" w14:paraId="716EF34E" w14:textId="77777777" w:rsidTr="0034642E">
        <w:trPr>
          <w:trHeight w:val="280"/>
        </w:trPr>
        <w:tc>
          <w:tcPr>
            <w:tcW w:w="4360" w:type="dxa"/>
            <w:tcBorders>
              <w:top w:val="single" w:sz="4" w:space="0" w:color="auto"/>
              <w:left w:val="nil"/>
              <w:bottom w:val="nil"/>
              <w:right w:val="nil"/>
            </w:tcBorders>
            <w:shd w:val="clear" w:color="auto" w:fill="auto"/>
            <w:vAlign w:val="center"/>
            <w:hideMark/>
          </w:tcPr>
          <w:p w14:paraId="1BD03801" w14:textId="77777777" w:rsidR="00FC752D" w:rsidRPr="00BC4AFE" w:rsidRDefault="00FC752D" w:rsidP="0034642E">
            <w:pPr>
              <w:rPr>
                <w:b/>
                <w:bCs/>
                <w:color w:val="000000"/>
                <w:sz w:val="17"/>
                <w:szCs w:val="17"/>
              </w:rPr>
            </w:pPr>
            <w:r w:rsidRPr="00BC4AFE">
              <w:rPr>
                <w:b/>
                <w:bCs/>
                <w:color w:val="000000" w:themeColor="text1"/>
                <w:kern w:val="20"/>
                <w:sz w:val="17"/>
                <w:szCs w:val="17"/>
              </w:rPr>
              <w:t>III. Working Capital Reserve</w:t>
            </w:r>
          </w:p>
        </w:tc>
        <w:tc>
          <w:tcPr>
            <w:tcW w:w="1400" w:type="dxa"/>
            <w:tcBorders>
              <w:top w:val="nil"/>
              <w:left w:val="nil"/>
              <w:bottom w:val="nil"/>
              <w:right w:val="nil"/>
            </w:tcBorders>
            <w:shd w:val="clear" w:color="auto" w:fill="auto"/>
            <w:vAlign w:val="center"/>
            <w:hideMark/>
          </w:tcPr>
          <w:p w14:paraId="1E013A29" w14:textId="77777777" w:rsidR="00FC752D" w:rsidRPr="00BC4AFE" w:rsidRDefault="00FC752D" w:rsidP="0034642E">
            <w:pPr>
              <w:jc w:val="right"/>
              <w:rPr>
                <w:color w:val="000000"/>
                <w:sz w:val="17"/>
                <w:szCs w:val="17"/>
              </w:rPr>
            </w:pPr>
            <w:r w:rsidRPr="00BC4AFE">
              <w:rPr>
                <w:color w:val="000000" w:themeColor="text1"/>
                <w:kern w:val="20"/>
                <w:sz w:val="17"/>
                <w:szCs w:val="17"/>
              </w:rPr>
              <w:t>216.4</w:t>
            </w:r>
          </w:p>
        </w:tc>
        <w:tc>
          <w:tcPr>
            <w:tcW w:w="1400" w:type="dxa"/>
            <w:tcBorders>
              <w:top w:val="nil"/>
              <w:left w:val="nil"/>
              <w:bottom w:val="nil"/>
              <w:right w:val="nil"/>
            </w:tcBorders>
            <w:shd w:val="clear" w:color="auto" w:fill="auto"/>
            <w:vAlign w:val="center"/>
            <w:hideMark/>
          </w:tcPr>
          <w:p w14:paraId="3020E86C" w14:textId="77777777" w:rsidR="00FC752D" w:rsidRPr="00BC4AFE" w:rsidRDefault="00FC752D" w:rsidP="0034642E">
            <w:pPr>
              <w:jc w:val="right"/>
              <w:rPr>
                <w:color w:val="000000"/>
                <w:sz w:val="17"/>
                <w:szCs w:val="17"/>
              </w:rPr>
            </w:pPr>
            <w:r w:rsidRPr="00BC4AFE">
              <w:rPr>
                <w:color w:val="000000" w:themeColor="text1"/>
                <w:kern w:val="20"/>
                <w:sz w:val="17"/>
                <w:szCs w:val="17"/>
              </w:rPr>
              <w:t>260.8</w:t>
            </w:r>
          </w:p>
        </w:tc>
        <w:tc>
          <w:tcPr>
            <w:tcW w:w="1400" w:type="dxa"/>
            <w:tcBorders>
              <w:top w:val="nil"/>
              <w:left w:val="nil"/>
              <w:bottom w:val="nil"/>
              <w:right w:val="nil"/>
            </w:tcBorders>
            <w:shd w:val="clear" w:color="auto" w:fill="auto"/>
            <w:vAlign w:val="center"/>
            <w:hideMark/>
          </w:tcPr>
          <w:p w14:paraId="7981538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477.2</w:t>
            </w:r>
          </w:p>
        </w:tc>
      </w:tr>
      <w:tr w:rsidR="00FC752D" w:rsidRPr="00BC4AFE" w14:paraId="45CC4FC5"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4878E242" w14:textId="77777777" w:rsidR="00FC752D" w:rsidRPr="00BC4AFE" w:rsidRDefault="00FC752D" w:rsidP="0034642E">
            <w:pPr>
              <w:rPr>
                <w:b/>
                <w:bCs/>
                <w:color w:val="000000"/>
                <w:sz w:val="17"/>
                <w:szCs w:val="17"/>
              </w:rPr>
            </w:pPr>
            <w:r w:rsidRPr="00BC4AFE">
              <w:rPr>
                <w:b/>
                <w:bCs/>
                <w:color w:val="000000" w:themeColor="text1"/>
                <w:kern w:val="20"/>
                <w:sz w:val="17"/>
                <w:szCs w:val="17"/>
              </w:rPr>
              <w:t>Grand total (I+II + III)</w:t>
            </w:r>
          </w:p>
        </w:tc>
        <w:tc>
          <w:tcPr>
            <w:tcW w:w="1400" w:type="dxa"/>
            <w:tcBorders>
              <w:top w:val="nil"/>
              <w:left w:val="nil"/>
              <w:bottom w:val="single" w:sz="8" w:space="0" w:color="auto"/>
              <w:right w:val="nil"/>
            </w:tcBorders>
            <w:shd w:val="clear" w:color="auto" w:fill="auto"/>
            <w:vAlign w:val="center"/>
            <w:hideMark/>
          </w:tcPr>
          <w:p w14:paraId="608CDF9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19,931.6</w:t>
            </w:r>
          </w:p>
        </w:tc>
        <w:tc>
          <w:tcPr>
            <w:tcW w:w="1400" w:type="dxa"/>
            <w:tcBorders>
              <w:top w:val="nil"/>
              <w:left w:val="nil"/>
              <w:bottom w:val="single" w:sz="8" w:space="0" w:color="auto"/>
              <w:right w:val="nil"/>
            </w:tcBorders>
            <w:shd w:val="clear" w:color="auto" w:fill="auto"/>
            <w:vAlign w:val="center"/>
            <w:hideMark/>
          </w:tcPr>
          <w:p w14:paraId="176B3127"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21,714.5</w:t>
            </w:r>
          </w:p>
        </w:tc>
        <w:tc>
          <w:tcPr>
            <w:tcW w:w="1400" w:type="dxa"/>
            <w:tcBorders>
              <w:top w:val="nil"/>
              <w:left w:val="nil"/>
              <w:bottom w:val="single" w:sz="8" w:space="0" w:color="auto"/>
              <w:right w:val="nil"/>
            </w:tcBorders>
            <w:shd w:val="clear" w:color="auto" w:fill="auto"/>
            <w:vAlign w:val="center"/>
            <w:hideMark/>
          </w:tcPr>
          <w:p w14:paraId="0649519B"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41,646.1</w:t>
            </w:r>
          </w:p>
        </w:tc>
      </w:tr>
      <w:tr w:rsidR="00FC752D" w:rsidRPr="00BC4AFE" w14:paraId="391D31D7"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A1D15B4" w14:textId="77777777" w:rsidR="00FC752D" w:rsidRPr="00BC4AFE" w:rsidRDefault="00FC752D" w:rsidP="0034642E">
            <w:pPr>
              <w:rPr>
                <w:b/>
                <w:bCs/>
                <w:color w:val="000000"/>
                <w:sz w:val="17"/>
                <w:szCs w:val="17"/>
              </w:rPr>
            </w:pPr>
            <w:r w:rsidRPr="00BC4AFE">
              <w:rPr>
                <w:b/>
                <w:bCs/>
                <w:color w:val="000000" w:themeColor="text1"/>
                <w:kern w:val="20"/>
                <w:sz w:val="17"/>
                <w:szCs w:val="17"/>
              </w:rPr>
              <w:lastRenderedPageBreak/>
              <w:t>Convention share of the integrated budget (72%)</w:t>
            </w:r>
          </w:p>
        </w:tc>
        <w:tc>
          <w:tcPr>
            <w:tcW w:w="1400" w:type="dxa"/>
            <w:tcBorders>
              <w:top w:val="nil"/>
              <w:left w:val="nil"/>
              <w:bottom w:val="single" w:sz="8" w:space="0" w:color="auto"/>
              <w:right w:val="nil"/>
            </w:tcBorders>
            <w:shd w:val="clear" w:color="auto" w:fill="auto"/>
            <w:vAlign w:val="center"/>
            <w:hideMark/>
          </w:tcPr>
          <w:p w14:paraId="58D66BC3"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14,350.8</w:t>
            </w:r>
          </w:p>
        </w:tc>
        <w:tc>
          <w:tcPr>
            <w:tcW w:w="1400" w:type="dxa"/>
            <w:tcBorders>
              <w:top w:val="nil"/>
              <w:left w:val="nil"/>
              <w:bottom w:val="single" w:sz="8" w:space="0" w:color="auto"/>
              <w:right w:val="nil"/>
            </w:tcBorders>
            <w:shd w:val="clear" w:color="auto" w:fill="auto"/>
            <w:vAlign w:val="center"/>
            <w:hideMark/>
          </w:tcPr>
          <w:p w14:paraId="34F0FBB8"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15,634.4</w:t>
            </w:r>
          </w:p>
        </w:tc>
        <w:tc>
          <w:tcPr>
            <w:tcW w:w="1400" w:type="dxa"/>
            <w:tcBorders>
              <w:top w:val="nil"/>
              <w:left w:val="nil"/>
              <w:bottom w:val="single" w:sz="8" w:space="0" w:color="auto"/>
              <w:right w:val="nil"/>
            </w:tcBorders>
            <w:shd w:val="clear" w:color="auto" w:fill="auto"/>
            <w:vAlign w:val="center"/>
            <w:hideMark/>
          </w:tcPr>
          <w:p w14:paraId="1BF5A08E"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29,985.2</w:t>
            </w:r>
          </w:p>
        </w:tc>
      </w:tr>
      <w:tr w:rsidR="00FC752D" w:rsidRPr="00BC4AFE" w14:paraId="0B7D3661"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00DDF2C" w14:textId="77777777" w:rsidR="00FC752D" w:rsidRPr="00BC4AFE" w:rsidRDefault="00FC752D" w:rsidP="0034642E">
            <w:pPr>
              <w:rPr>
                <w:color w:val="000000"/>
                <w:sz w:val="17"/>
                <w:szCs w:val="17"/>
              </w:rPr>
            </w:pPr>
            <w:r w:rsidRPr="00BC4AFE">
              <w:rPr>
                <w:color w:val="000000" w:themeColor="text1"/>
                <w:kern w:val="20"/>
                <w:sz w:val="17"/>
                <w:szCs w:val="17"/>
              </w:rPr>
              <w:t>Less contributions from host country</w:t>
            </w:r>
          </w:p>
        </w:tc>
        <w:tc>
          <w:tcPr>
            <w:tcW w:w="1400" w:type="dxa"/>
            <w:tcBorders>
              <w:top w:val="nil"/>
              <w:left w:val="nil"/>
              <w:bottom w:val="single" w:sz="8" w:space="0" w:color="auto"/>
              <w:right w:val="nil"/>
            </w:tcBorders>
            <w:shd w:val="clear" w:color="auto" w:fill="auto"/>
            <w:vAlign w:val="center"/>
            <w:hideMark/>
          </w:tcPr>
          <w:p w14:paraId="1F375B33" w14:textId="77777777" w:rsidR="00FC752D" w:rsidRPr="00BC4AFE" w:rsidRDefault="00FC752D" w:rsidP="0034642E">
            <w:pPr>
              <w:jc w:val="right"/>
              <w:rPr>
                <w:color w:val="000000"/>
                <w:sz w:val="17"/>
                <w:szCs w:val="17"/>
              </w:rPr>
            </w:pPr>
            <w:r w:rsidRPr="00BC4AFE">
              <w:rPr>
                <w:color w:val="000000"/>
                <w:sz w:val="17"/>
                <w:szCs w:val="17"/>
              </w:rPr>
              <w:t>-1,176.2</w:t>
            </w:r>
          </w:p>
        </w:tc>
        <w:tc>
          <w:tcPr>
            <w:tcW w:w="1400" w:type="dxa"/>
            <w:tcBorders>
              <w:top w:val="nil"/>
              <w:left w:val="nil"/>
              <w:bottom w:val="single" w:sz="8" w:space="0" w:color="auto"/>
              <w:right w:val="nil"/>
            </w:tcBorders>
            <w:shd w:val="clear" w:color="auto" w:fill="auto"/>
            <w:vAlign w:val="center"/>
            <w:hideMark/>
          </w:tcPr>
          <w:p w14:paraId="29B2808E" w14:textId="77777777" w:rsidR="00FC752D" w:rsidRPr="00BC4AFE" w:rsidRDefault="00FC752D" w:rsidP="0034642E">
            <w:pPr>
              <w:jc w:val="right"/>
              <w:rPr>
                <w:color w:val="000000"/>
                <w:sz w:val="17"/>
                <w:szCs w:val="17"/>
              </w:rPr>
            </w:pPr>
            <w:r w:rsidRPr="00BC4AFE">
              <w:rPr>
                <w:color w:val="000000"/>
                <w:sz w:val="17"/>
                <w:szCs w:val="17"/>
              </w:rPr>
              <w:t>-1,198.4</w:t>
            </w:r>
          </w:p>
        </w:tc>
        <w:tc>
          <w:tcPr>
            <w:tcW w:w="1400" w:type="dxa"/>
            <w:tcBorders>
              <w:top w:val="nil"/>
              <w:left w:val="nil"/>
              <w:bottom w:val="single" w:sz="8" w:space="0" w:color="auto"/>
              <w:right w:val="nil"/>
            </w:tcBorders>
            <w:shd w:val="clear" w:color="auto" w:fill="auto"/>
            <w:vAlign w:val="center"/>
            <w:hideMark/>
          </w:tcPr>
          <w:p w14:paraId="3FFA96EF"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-2,374.6</w:t>
            </w:r>
          </w:p>
        </w:tc>
      </w:tr>
      <w:tr w:rsidR="00FC752D" w:rsidRPr="00BC4AFE" w14:paraId="78BD4643"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D9BDBC3" w14:textId="77777777" w:rsidR="00FC752D" w:rsidRPr="00BC4AFE" w:rsidRDefault="00FC752D" w:rsidP="0034642E">
            <w:pPr>
              <w:rPr>
                <w:color w:val="000000"/>
                <w:sz w:val="17"/>
                <w:szCs w:val="17"/>
              </w:rPr>
            </w:pPr>
            <w:r w:rsidRPr="00BC4AFE">
              <w:rPr>
                <w:color w:val="000000" w:themeColor="text1"/>
                <w:kern w:val="20"/>
                <w:sz w:val="17"/>
                <w:szCs w:val="17"/>
              </w:rPr>
              <w:t xml:space="preserve">Less use of reserve </w:t>
            </w:r>
          </w:p>
        </w:tc>
        <w:tc>
          <w:tcPr>
            <w:tcW w:w="1400" w:type="dxa"/>
            <w:tcBorders>
              <w:top w:val="nil"/>
              <w:left w:val="nil"/>
              <w:bottom w:val="single" w:sz="8" w:space="0" w:color="auto"/>
              <w:right w:val="nil"/>
            </w:tcBorders>
            <w:shd w:val="clear" w:color="auto" w:fill="auto"/>
            <w:vAlign w:val="center"/>
            <w:hideMark/>
          </w:tcPr>
          <w:p w14:paraId="3F4AAE58" w14:textId="77777777" w:rsidR="00FC752D" w:rsidRPr="00BC4AFE" w:rsidRDefault="00FC752D" w:rsidP="0034642E">
            <w:pPr>
              <w:jc w:val="right"/>
              <w:rPr>
                <w:color w:val="000000"/>
                <w:sz w:val="17"/>
                <w:szCs w:val="17"/>
              </w:rPr>
            </w:pPr>
            <w:r w:rsidRPr="00BC4AFE">
              <w:rPr>
                <w:color w:val="000000"/>
                <w:sz w:val="17"/>
                <w:szCs w:val="17"/>
              </w:rPr>
              <w:t>-147.6</w:t>
            </w:r>
          </w:p>
        </w:tc>
        <w:tc>
          <w:tcPr>
            <w:tcW w:w="1400" w:type="dxa"/>
            <w:tcBorders>
              <w:top w:val="nil"/>
              <w:left w:val="nil"/>
              <w:bottom w:val="single" w:sz="8" w:space="0" w:color="auto"/>
              <w:right w:val="nil"/>
            </w:tcBorders>
            <w:shd w:val="clear" w:color="auto" w:fill="auto"/>
            <w:vAlign w:val="center"/>
            <w:hideMark/>
          </w:tcPr>
          <w:p w14:paraId="2F0F2C07" w14:textId="77777777" w:rsidR="00FC752D" w:rsidRPr="00BC4AFE" w:rsidRDefault="00FC752D" w:rsidP="0034642E">
            <w:pPr>
              <w:jc w:val="right"/>
              <w:rPr>
                <w:color w:val="000000"/>
                <w:sz w:val="17"/>
                <w:szCs w:val="17"/>
              </w:rPr>
            </w:pPr>
            <w:r w:rsidRPr="00BC4AFE">
              <w:rPr>
                <w:color w:val="000000"/>
                <w:sz w:val="17"/>
                <w:szCs w:val="17"/>
              </w:rPr>
              <w:t>-147.6</w:t>
            </w:r>
          </w:p>
        </w:tc>
        <w:tc>
          <w:tcPr>
            <w:tcW w:w="1400" w:type="dxa"/>
            <w:tcBorders>
              <w:top w:val="nil"/>
              <w:left w:val="nil"/>
              <w:bottom w:val="single" w:sz="8" w:space="0" w:color="auto"/>
              <w:right w:val="nil"/>
            </w:tcBorders>
            <w:shd w:val="clear" w:color="auto" w:fill="auto"/>
            <w:vAlign w:val="center"/>
            <w:hideMark/>
          </w:tcPr>
          <w:p w14:paraId="7418DC03" w14:textId="77777777" w:rsidR="00FC752D" w:rsidRPr="00BC4AFE" w:rsidRDefault="00FC752D" w:rsidP="0034642E">
            <w:pPr>
              <w:jc w:val="right"/>
              <w:rPr>
                <w:b/>
                <w:bCs/>
                <w:color w:val="000000"/>
                <w:sz w:val="17"/>
                <w:szCs w:val="17"/>
              </w:rPr>
            </w:pPr>
            <w:r w:rsidRPr="00BC4AFE">
              <w:rPr>
                <w:b/>
                <w:bCs/>
                <w:color w:val="000000" w:themeColor="text1"/>
                <w:kern w:val="20"/>
                <w:sz w:val="17"/>
                <w:szCs w:val="17"/>
              </w:rPr>
              <w:t>-295.2</w:t>
            </w:r>
          </w:p>
        </w:tc>
      </w:tr>
      <w:tr w:rsidR="00FC752D" w:rsidRPr="00BC4AFE" w14:paraId="1B241E43"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03D7D31" w14:textId="77777777" w:rsidR="00FC752D" w:rsidRPr="00BC4AFE" w:rsidRDefault="00FC752D" w:rsidP="0034642E">
            <w:pPr>
              <w:rPr>
                <w:b/>
                <w:bCs/>
                <w:i/>
                <w:iCs/>
                <w:color w:val="000000"/>
                <w:sz w:val="17"/>
                <w:szCs w:val="17"/>
              </w:rPr>
            </w:pPr>
            <w:r w:rsidRPr="00BC4AFE">
              <w:rPr>
                <w:b/>
                <w:bCs/>
                <w:i/>
                <w:iCs/>
                <w:color w:val="000000" w:themeColor="text1"/>
                <w:kern w:val="20"/>
                <w:sz w:val="17"/>
                <w:szCs w:val="17"/>
              </w:rPr>
              <w:t>Net total (to be shared by Parties)</w:t>
            </w:r>
          </w:p>
        </w:tc>
        <w:tc>
          <w:tcPr>
            <w:tcW w:w="1400" w:type="dxa"/>
            <w:tcBorders>
              <w:top w:val="nil"/>
              <w:left w:val="nil"/>
              <w:bottom w:val="single" w:sz="8" w:space="0" w:color="auto"/>
              <w:right w:val="nil"/>
            </w:tcBorders>
            <w:shd w:val="clear" w:color="auto" w:fill="auto"/>
            <w:vAlign w:val="center"/>
            <w:hideMark/>
          </w:tcPr>
          <w:p w14:paraId="21F8763A" w14:textId="77777777" w:rsidR="00FC752D" w:rsidRPr="00BC4AFE" w:rsidRDefault="00FC752D" w:rsidP="0034642E">
            <w:pPr>
              <w:jc w:val="right"/>
              <w:rPr>
                <w:b/>
                <w:bCs/>
                <w:i/>
                <w:iCs/>
                <w:color w:val="000000"/>
                <w:sz w:val="17"/>
                <w:szCs w:val="17"/>
              </w:rPr>
            </w:pPr>
            <w:r w:rsidRPr="00BC4AFE">
              <w:rPr>
                <w:b/>
                <w:bCs/>
                <w:i/>
                <w:iCs/>
                <w:color w:val="000000"/>
                <w:sz w:val="17"/>
                <w:szCs w:val="17"/>
              </w:rPr>
              <w:t>13,026.9</w:t>
            </w:r>
          </w:p>
        </w:tc>
        <w:tc>
          <w:tcPr>
            <w:tcW w:w="1400" w:type="dxa"/>
            <w:tcBorders>
              <w:top w:val="nil"/>
              <w:left w:val="nil"/>
              <w:bottom w:val="single" w:sz="8" w:space="0" w:color="auto"/>
              <w:right w:val="nil"/>
            </w:tcBorders>
            <w:shd w:val="clear" w:color="auto" w:fill="auto"/>
            <w:vAlign w:val="center"/>
            <w:hideMark/>
          </w:tcPr>
          <w:p w14:paraId="53DC561A" w14:textId="77777777" w:rsidR="00FC752D" w:rsidRPr="00BC4AFE" w:rsidRDefault="00FC752D" w:rsidP="0034642E">
            <w:pPr>
              <w:jc w:val="right"/>
              <w:rPr>
                <w:b/>
                <w:bCs/>
                <w:i/>
                <w:iCs/>
                <w:color w:val="000000"/>
                <w:sz w:val="17"/>
                <w:szCs w:val="17"/>
              </w:rPr>
            </w:pPr>
            <w:r w:rsidRPr="00BC4AFE">
              <w:rPr>
                <w:b/>
                <w:bCs/>
                <w:i/>
                <w:iCs/>
                <w:color w:val="000000"/>
                <w:sz w:val="17"/>
                <w:szCs w:val="17"/>
              </w:rPr>
              <w:t>14,288.4</w:t>
            </w:r>
          </w:p>
        </w:tc>
        <w:tc>
          <w:tcPr>
            <w:tcW w:w="1400" w:type="dxa"/>
            <w:tcBorders>
              <w:top w:val="nil"/>
              <w:left w:val="nil"/>
              <w:bottom w:val="single" w:sz="8" w:space="0" w:color="auto"/>
              <w:right w:val="nil"/>
            </w:tcBorders>
            <w:shd w:val="clear" w:color="auto" w:fill="auto"/>
            <w:vAlign w:val="center"/>
            <w:hideMark/>
          </w:tcPr>
          <w:p w14:paraId="46E004C7" w14:textId="77777777" w:rsidR="00FC752D" w:rsidRPr="00BC4AFE" w:rsidRDefault="00FC752D" w:rsidP="0034642E">
            <w:pPr>
              <w:jc w:val="right"/>
              <w:rPr>
                <w:b/>
                <w:bCs/>
                <w:i/>
                <w:iCs/>
                <w:color w:val="000000"/>
                <w:sz w:val="17"/>
                <w:szCs w:val="17"/>
              </w:rPr>
            </w:pPr>
            <w:r w:rsidRPr="00BC4AFE">
              <w:rPr>
                <w:b/>
                <w:bCs/>
                <w:i/>
                <w:iCs/>
                <w:color w:val="000000"/>
                <w:sz w:val="17"/>
                <w:szCs w:val="17"/>
              </w:rPr>
              <w:t>27,315.4</w:t>
            </w:r>
          </w:p>
        </w:tc>
      </w:tr>
      <w:tr w:rsidR="00FC752D" w:rsidRPr="00BC4AFE" w14:paraId="2F688A4E" w14:textId="77777777" w:rsidTr="0034642E">
        <w:trPr>
          <w:trHeight w:val="280"/>
        </w:trPr>
        <w:tc>
          <w:tcPr>
            <w:tcW w:w="8560" w:type="dxa"/>
            <w:gridSpan w:val="4"/>
            <w:tcBorders>
              <w:top w:val="single" w:sz="8" w:space="0" w:color="auto"/>
              <w:left w:val="nil"/>
              <w:bottom w:val="nil"/>
              <w:right w:val="nil"/>
            </w:tcBorders>
            <w:shd w:val="clear" w:color="auto" w:fill="auto"/>
            <w:vAlign w:val="bottom"/>
            <w:hideMark/>
          </w:tcPr>
          <w:p w14:paraId="53A9AD41" w14:textId="77777777" w:rsidR="00FC752D" w:rsidRPr="00BC4AFE" w:rsidRDefault="00FC752D" w:rsidP="005079B3">
            <w:pPr>
              <w:spacing w:after="60"/>
              <w:rPr>
                <w:color w:val="000000"/>
                <w:sz w:val="18"/>
                <w:szCs w:val="18"/>
              </w:rPr>
            </w:pPr>
            <w:r w:rsidRPr="00BC4AFE">
              <w:rPr>
                <w:color w:val="000000"/>
                <w:sz w:val="18"/>
                <w:szCs w:val="18"/>
              </w:rPr>
              <w:t>* Meetings funded from the core budget:</w:t>
            </w:r>
          </w:p>
        </w:tc>
      </w:tr>
      <w:tr w:rsidR="00FC752D" w:rsidRPr="00BC4AFE" w14:paraId="714B303A" w14:textId="77777777" w:rsidTr="0034642E">
        <w:trPr>
          <w:trHeight w:val="280"/>
        </w:trPr>
        <w:tc>
          <w:tcPr>
            <w:tcW w:w="8560" w:type="dxa"/>
            <w:gridSpan w:val="4"/>
            <w:tcBorders>
              <w:top w:val="nil"/>
              <w:left w:val="nil"/>
              <w:bottom w:val="nil"/>
              <w:right w:val="nil"/>
            </w:tcBorders>
            <w:shd w:val="clear" w:color="auto" w:fill="auto"/>
            <w:vAlign w:val="bottom"/>
            <w:hideMark/>
          </w:tcPr>
          <w:p w14:paraId="588E9732" w14:textId="77777777" w:rsidR="00FC752D" w:rsidRPr="00BC4AFE" w:rsidRDefault="00FC752D" w:rsidP="00AA0E75">
            <w:pPr>
              <w:spacing w:after="60"/>
              <w:rPr>
                <w:color w:val="000000"/>
                <w:sz w:val="18"/>
                <w:szCs w:val="18"/>
              </w:rPr>
            </w:pPr>
            <w:r w:rsidRPr="00BC4AFE">
              <w:rPr>
                <w:color w:val="000000"/>
                <w:sz w:val="18"/>
                <w:szCs w:val="18"/>
              </w:rPr>
              <w:t>Twelfth meeting of the Ad Hoc Open-ended Working Group on Article 8(j) and Related Provisions.</w:t>
            </w:r>
          </w:p>
        </w:tc>
      </w:tr>
      <w:tr w:rsidR="00FC752D" w:rsidRPr="00BC4AFE" w14:paraId="711907C7" w14:textId="77777777" w:rsidTr="0034642E">
        <w:trPr>
          <w:trHeight w:val="280"/>
        </w:trPr>
        <w:tc>
          <w:tcPr>
            <w:tcW w:w="8560" w:type="dxa"/>
            <w:gridSpan w:val="4"/>
            <w:tcBorders>
              <w:top w:val="nil"/>
              <w:left w:val="nil"/>
              <w:bottom w:val="nil"/>
              <w:right w:val="nil"/>
            </w:tcBorders>
            <w:shd w:val="clear" w:color="auto" w:fill="auto"/>
            <w:vAlign w:val="bottom"/>
            <w:hideMark/>
          </w:tcPr>
          <w:p w14:paraId="6C8623D1" w14:textId="77777777" w:rsidR="00FC752D" w:rsidRPr="00BC4AFE" w:rsidRDefault="00FC752D" w:rsidP="00AA0E75">
            <w:pPr>
              <w:spacing w:after="60"/>
              <w:rPr>
                <w:color w:val="000000"/>
                <w:sz w:val="18"/>
                <w:szCs w:val="18"/>
              </w:rPr>
            </w:pPr>
            <w:r w:rsidRPr="00BC4AFE">
              <w:rPr>
                <w:color w:val="000000"/>
                <w:sz w:val="18"/>
                <w:szCs w:val="18"/>
              </w:rPr>
              <w:t>Twenty-fifth and twenty-sixth meetings of the Subsidiary Body on Scientific Technical and Technological Advice.</w:t>
            </w:r>
          </w:p>
        </w:tc>
      </w:tr>
      <w:tr w:rsidR="00FC752D" w:rsidRPr="00BC4AFE" w14:paraId="51E882B2" w14:textId="77777777" w:rsidTr="0034642E">
        <w:trPr>
          <w:trHeight w:val="280"/>
        </w:trPr>
        <w:tc>
          <w:tcPr>
            <w:tcW w:w="8560" w:type="dxa"/>
            <w:gridSpan w:val="4"/>
            <w:tcBorders>
              <w:top w:val="nil"/>
              <w:left w:val="nil"/>
              <w:bottom w:val="nil"/>
              <w:right w:val="nil"/>
            </w:tcBorders>
            <w:shd w:val="clear" w:color="auto" w:fill="auto"/>
            <w:vAlign w:val="bottom"/>
            <w:hideMark/>
          </w:tcPr>
          <w:p w14:paraId="684C4B10" w14:textId="77777777" w:rsidR="00FC752D" w:rsidRPr="00BC4AFE" w:rsidRDefault="00FC752D" w:rsidP="00AA0E75">
            <w:pPr>
              <w:spacing w:after="60"/>
              <w:rPr>
                <w:color w:val="000000"/>
                <w:sz w:val="18"/>
                <w:szCs w:val="18"/>
              </w:rPr>
            </w:pPr>
            <w:r w:rsidRPr="00BC4AFE">
              <w:rPr>
                <w:color w:val="000000"/>
                <w:sz w:val="18"/>
                <w:szCs w:val="18"/>
              </w:rPr>
              <w:t>Fourth and fifth meetings of the Subsidiary Body on Implementation.</w:t>
            </w:r>
          </w:p>
        </w:tc>
      </w:tr>
      <w:tr w:rsidR="00FC752D" w:rsidRPr="00BC4AFE" w14:paraId="4F549F17" w14:textId="77777777" w:rsidTr="0034642E">
        <w:trPr>
          <w:trHeight w:val="280"/>
        </w:trPr>
        <w:tc>
          <w:tcPr>
            <w:tcW w:w="8560" w:type="dxa"/>
            <w:gridSpan w:val="4"/>
            <w:tcBorders>
              <w:top w:val="nil"/>
              <w:left w:val="nil"/>
              <w:bottom w:val="nil"/>
              <w:right w:val="nil"/>
            </w:tcBorders>
            <w:shd w:val="clear" w:color="auto" w:fill="auto"/>
            <w:vAlign w:val="bottom"/>
            <w:hideMark/>
          </w:tcPr>
          <w:p w14:paraId="5FEAD75B" w14:textId="77777777" w:rsidR="00FC752D" w:rsidRPr="00BC4AFE" w:rsidRDefault="00FC752D" w:rsidP="005079B3">
            <w:pPr>
              <w:spacing w:after="60"/>
              <w:rPr>
                <w:color w:val="000000"/>
                <w:sz w:val="18"/>
                <w:szCs w:val="18"/>
              </w:rPr>
            </w:pPr>
            <w:r w:rsidRPr="00BC4AFE">
              <w:rPr>
                <w:color w:val="000000"/>
                <w:sz w:val="18"/>
                <w:szCs w:val="18"/>
              </w:rPr>
              <w:t>Sixteenth meeting of the Conference of the Parties to the Convention / Eleventh meeting of the Parties to the Cartagena Protocol / Fifth meeting of the Parties to the Nagoya Protocol held concurrently.</w:t>
            </w:r>
          </w:p>
        </w:tc>
      </w:tr>
    </w:tbl>
    <w:p w14:paraId="406653F7" w14:textId="77777777" w:rsidR="00FC752D" w:rsidRPr="00BC4AFE" w:rsidRDefault="00FC752D" w:rsidP="00AA0E75">
      <w:pPr>
        <w:keepNext/>
        <w:pBdr>
          <w:bottom w:val="single" w:sz="4" w:space="1" w:color="auto"/>
        </w:pBdr>
        <w:spacing w:before="240" w:after="60"/>
        <w:ind w:left="950" w:hanging="950"/>
        <w:rPr>
          <w:rFonts w:asciiTheme="majorBidi" w:hAnsiTheme="majorBidi" w:cstheme="majorBidi"/>
          <w:b/>
          <w:bCs/>
        </w:rPr>
      </w:pPr>
      <w:r w:rsidRPr="00BC4AFE">
        <w:rPr>
          <w:rFonts w:asciiTheme="majorBidi" w:hAnsiTheme="majorBidi" w:cstheme="majorBidi"/>
          <w:b/>
          <w:bCs/>
        </w:rPr>
        <w:t>Table 1b. Integrated biennial budget for the trust funds of the Convention on Biological Diversity for the period 2023-2024</w:t>
      </w:r>
    </w:p>
    <w:tbl>
      <w:tblPr>
        <w:tblW w:w="8700" w:type="dxa"/>
        <w:tblLook w:val="04A0" w:firstRow="1" w:lastRow="0" w:firstColumn="1" w:lastColumn="0" w:noHBand="0" w:noVBand="1"/>
      </w:tblPr>
      <w:tblGrid>
        <w:gridCol w:w="5160"/>
        <w:gridCol w:w="1180"/>
        <w:gridCol w:w="1180"/>
        <w:gridCol w:w="1180"/>
      </w:tblGrid>
      <w:tr w:rsidR="00FC752D" w:rsidRPr="00BC4AFE" w14:paraId="6C424D42" w14:textId="77777777" w:rsidTr="002D6FE5">
        <w:trPr>
          <w:trHeight w:val="290"/>
        </w:trPr>
        <w:tc>
          <w:tcPr>
            <w:tcW w:w="5160" w:type="dxa"/>
            <w:tcBorders>
              <w:top w:val="nil"/>
              <w:left w:val="nil"/>
              <w:bottom w:val="nil"/>
              <w:right w:val="nil"/>
            </w:tcBorders>
            <w:shd w:val="clear" w:color="auto" w:fill="auto"/>
            <w:vAlign w:val="center"/>
          </w:tcPr>
          <w:p w14:paraId="30AFF6A2" w14:textId="77777777" w:rsidR="00FC752D" w:rsidRPr="00BC4AFE" w:rsidRDefault="00FC752D" w:rsidP="00F86AA9">
            <w:pPr>
              <w:keepNext/>
              <w:keepLines/>
              <w:rPr>
                <w:color w:val="000000"/>
                <w:sz w:val="18"/>
                <w:szCs w:val="18"/>
              </w:rPr>
            </w:pPr>
          </w:p>
        </w:tc>
        <w:tc>
          <w:tcPr>
            <w:tcW w:w="1180" w:type="dxa"/>
            <w:tcBorders>
              <w:top w:val="nil"/>
              <w:left w:val="nil"/>
              <w:bottom w:val="nil"/>
              <w:right w:val="nil"/>
            </w:tcBorders>
            <w:shd w:val="clear" w:color="auto" w:fill="auto"/>
            <w:vAlign w:val="center"/>
          </w:tcPr>
          <w:p w14:paraId="69957EC3" w14:textId="77777777" w:rsidR="00FC752D" w:rsidRPr="00BC4AFE" w:rsidRDefault="00FC752D" w:rsidP="00AA0E75">
            <w:pPr>
              <w:keepNext/>
              <w:keepLines/>
              <w:jc w:val="center"/>
              <w:rPr>
                <w:color w:val="000000"/>
                <w:sz w:val="18"/>
                <w:szCs w:val="18"/>
              </w:rPr>
            </w:pPr>
            <w:r w:rsidRPr="00BC4AFE">
              <w:rPr>
                <w:i/>
                <w:iCs/>
                <w:color w:val="000000"/>
                <w:sz w:val="18"/>
                <w:szCs w:val="18"/>
              </w:rPr>
              <w:t>2023</w:t>
            </w:r>
          </w:p>
        </w:tc>
        <w:tc>
          <w:tcPr>
            <w:tcW w:w="1180" w:type="dxa"/>
            <w:tcBorders>
              <w:top w:val="nil"/>
              <w:left w:val="nil"/>
              <w:bottom w:val="nil"/>
              <w:right w:val="nil"/>
            </w:tcBorders>
            <w:shd w:val="clear" w:color="auto" w:fill="auto"/>
            <w:vAlign w:val="center"/>
          </w:tcPr>
          <w:p w14:paraId="272CFDD8" w14:textId="77777777" w:rsidR="00FC752D" w:rsidRPr="00BC4AFE" w:rsidRDefault="00FC752D" w:rsidP="00AA0E75">
            <w:pPr>
              <w:keepNext/>
              <w:keepLines/>
              <w:jc w:val="center"/>
              <w:rPr>
                <w:color w:val="000000"/>
                <w:sz w:val="18"/>
                <w:szCs w:val="18"/>
              </w:rPr>
            </w:pPr>
            <w:r w:rsidRPr="00BC4AFE">
              <w:rPr>
                <w:i/>
                <w:iCs/>
                <w:color w:val="000000"/>
                <w:sz w:val="18"/>
                <w:szCs w:val="18"/>
              </w:rPr>
              <w:t>2024</w:t>
            </w:r>
          </w:p>
        </w:tc>
        <w:tc>
          <w:tcPr>
            <w:tcW w:w="1180" w:type="dxa"/>
            <w:tcBorders>
              <w:top w:val="nil"/>
              <w:left w:val="nil"/>
              <w:bottom w:val="nil"/>
              <w:right w:val="nil"/>
            </w:tcBorders>
            <w:shd w:val="clear" w:color="auto" w:fill="auto"/>
            <w:vAlign w:val="center"/>
          </w:tcPr>
          <w:p w14:paraId="04131CBE" w14:textId="77777777" w:rsidR="00FC752D" w:rsidRPr="00BC4AFE" w:rsidRDefault="00FC752D" w:rsidP="00AA0E75">
            <w:pPr>
              <w:keepNext/>
              <w:keepLines/>
              <w:jc w:val="center"/>
              <w:rPr>
                <w:b/>
                <w:bCs/>
                <w:color w:val="000000"/>
                <w:sz w:val="18"/>
                <w:szCs w:val="18"/>
              </w:rPr>
            </w:pPr>
            <w:r w:rsidRPr="00BC4AFE">
              <w:rPr>
                <w:i/>
                <w:iCs/>
                <w:color w:val="000000"/>
                <w:sz w:val="18"/>
                <w:szCs w:val="18"/>
              </w:rPr>
              <w:t>2023-2024</w:t>
            </w:r>
          </w:p>
        </w:tc>
      </w:tr>
      <w:tr w:rsidR="00FC752D" w:rsidRPr="00BC4AFE" w14:paraId="4B65F7AF" w14:textId="77777777" w:rsidTr="00BD0043">
        <w:trPr>
          <w:trHeight w:val="290"/>
        </w:trPr>
        <w:tc>
          <w:tcPr>
            <w:tcW w:w="5160" w:type="dxa"/>
            <w:tcBorders>
              <w:top w:val="nil"/>
              <w:left w:val="nil"/>
              <w:bottom w:val="single" w:sz="4" w:space="0" w:color="auto"/>
              <w:right w:val="nil"/>
            </w:tcBorders>
            <w:shd w:val="clear" w:color="auto" w:fill="auto"/>
            <w:vAlign w:val="center"/>
          </w:tcPr>
          <w:p w14:paraId="469ACB92" w14:textId="77777777" w:rsidR="00FC752D" w:rsidRPr="00BC4AFE" w:rsidRDefault="00FC752D" w:rsidP="00F86AA9">
            <w:pPr>
              <w:keepNext/>
              <w:keepLines/>
              <w:rPr>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3B807DC6" w14:textId="77777777" w:rsidR="00FC752D" w:rsidRPr="00BC4AFE" w:rsidRDefault="00FC752D" w:rsidP="00AA0E75">
            <w:pPr>
              <w:keepNext/>
              <w:keepLines/>
              <w:jc w:val="center"/>
              <w:rPr>
                <w:b/>
                <w:bCs/>
                <w:color w:val="000000"/>
                <w:sz w:val="18"/>
                <w:szCs w:val="18"/>
              </w:rPr>
            </w:pPr>
            <w:r w:rsidRPr="00BC4AFE">
              <w:rPr>
                <w:i/>
                <w:iCs/>
                <w:color w:val="000000" w:themeColor="text1"/>
                <w:kern w:val="20"/>
                <w:sz w:val="17"/>
                <w:szCs w:val="17"/>
              </w:rPr>
              <w:t>(Thousands of United States dollars)</w:t>
            </w:r>
          </w:p>
        </w:tc>
      </w:tr>
      <w:tr w:rsidR="00FC752D" w:rsidRPr="00BC4AFE" w14:paraId="7C81C740" w14:textId="77777777" w:rsidTr="00AA0E75">
        <w:trPr>
          <w:trHeight w:val="290"/>
        </w:trPr>
        <w:tc>
          <w:tcPr>
            <w:tcW w:w="5160" w:type="dxa"/>
            <w:tcBorders>
              <w:top w:val="single" w:sz="4" w:space="0" w:color="auto"/>
              <w:left w:val="nil"/>
              <w:bottom w:val="nil"/>
              <w:right w:val="nil"/>
            </w:tcBorders>
            <w:shd w:val="clear" w:color="auto" w:fill="auto"/>
            <w:vAlign w:val="center"/>
            <w:hideMark/>
          </w:tcPr>
          <w:p w14:paraId="21DBDDDA" w14:textId="77777777" w:rsidR="00FC752D" w:rsidRPr="00BC4AFE" w:rsidRDefault="00FC752D" w:rsidP="00F86AA9">
            <w:pPr>
              <w:keepNext/>
              <w:keepLines/>
              <w:rPr>
                <w:color w:val="000000"/>
                <w:sz w:val="18"/>
                <w:szCs w:val="18"/>
              </w:rPr>
            </w:pPr>
            <w:r w:rsidRPr="00BC4AFE">
              <w:rPr>
                <w:color w:val="000000"/>
                <w:sz w:val="18"/>
                <w:szCs w:val="18"/>
              </w:rPr>
              <w:t>A. Governing and Subsidiary bodies</w:t>
            </w:r>
          </w:p>
        </w:tc>
        <w:tc>
          <w:tcPr>
            <w:tcW w:w="1180" w:type="dxa"/>
            <w:tcBorders>
              <w:top w:val="single" w:sz="4" w:space="0" w:color="auto"/>
              <w:left w:val="nil"/>
              <w:bottom w:val="nil"/>
              <w:right w:val="nil"/>
            </w:tcBorders>
            <w:shd w:val="clear" w:color="auto" w:fill="auto"/>
            <w:vAlign w:val="center"/>
            <w:hideMark/>
          </w:tcPr>
          <w:p w14:paraId="0ADAAF8B" w14:textId="77777777" w:rsidR="00FC752D" w:rsidRPr="00BC4AFE" w:rsidRDefault="00FC752D" w:rsidP="00F86AA9">
            <w:pPr>
              <w:keepNext/>
              <w:keepLines/>
              <w:jc w:val="right"/>
              <w:rPr>
                <w:color w:val="000000"/>
                <w:sz w:val="18"/>
                <w:szCs w:val="18"/>
              </w:rPr>
            </w:pPr>
            <w:r w:rsidRPr="00BC4AFE">
              <w:rPr>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028D1595" w14:textId="77777777" w:rsidR="00FC752D" w:rsidRPr="00BC4AFE" w:rsidRDefault="00FC752D" w:rsidP="00F86AA9">
            <w:pPr>
              <w:keepNext/>
              <w:keepLines/>
              <w:jc w:val="right"/>
              <w:rPr>
                <w:color w:val="000000"/>
                <w:sz w:val="18"/>
                <w:szCs w:val="18"/>
              </w:rPr>
            </w:pPr>
            <w:r w:rsidRPr="00BC4AFE">
              <w:rPr>
                <w:color w:val="000000"/>
                <w:sz w:val="18"/>
                <w:szCs w:val="18"/>
              </w:rPr>
              <w:t>3,863.9</w:t>
            </w:r>
          </w:p>
        </w:tc>
        <w:tc>
          <w:tcPr>
            <w:tcW w:w="1180" w:type="dxa"/>
            <w:tcBorders>
              <w:top w:val="single" w:sz="4" w:space="0" w:color="auto"/>
              <w:left w:val="nil"/>
              <w:bottom w:val="nil"/>
              <w:right w:val="nil"/>
            </w:tcBorders>
            <w:shd w:val="clear" w:color="auto" w:fill="auto"/>
            <w:vAlign w:val="center"/>
            <w:hideMark/>
          </w:tcPr>
          <w:p w14:paraId="79819D70" w14:textId="77777777" w:rsidR="00FC752D" w:rsidRPr="00BC4AFE" w:rsidRDefault="00FC752D" w:rsidP="00F86AA9">
            <w:pPr>
              <w:keepNext/>
              <w:keepLines/>
              <w:jc w:val="right"/>
              <w:rPr>
                <w:b/>
                <w:bCs/>
                <w:color w:val="000000"/>
                <w:sz w:val="18"/>
                <w:szCs w:val="18"/>
              </w:rPr>
            </w:pPr>
            <w:r w:rsidRPr="00BC4AFE">
              <w:rPr>
                <w:b/>
                <w:bCs/>
                <w:color w:val="000000"/>
                <w:sz w:val="18"/>
                <w:szCs w:val="18"/>
              </w:rPr>
              <w:t>6,343.5</w:t>
            </w:r>
          </w:p>
        </w:tc>
      </w:tr>
      <w:tr w:rsidR="00FC752D" w:rsidRPr="00BC4AFE" w14:paraId="521C2EDA" w14:textId="77777777" w:rsidTr="002D6FE5">
        <w:trPr>
          <w:trHeight w:val="290"/>
        </w:trPr>
        <w:tc>
          <w:tcPr>
            <w:tcW w:w="5160" w:type="dxa"/>
            <w:tcBorders>
              <w:top w:val="nil"/>
              <w:left w:val="nil"/>
              <w:bottom w:val="nil"/>
              <w:right w:val="nil"/>
            </w:tcBorders>
            <w:shd w:val="clear" w:color="auto" w:fill="auto"/>
            <w:vAlign w:val="center"/>
            <w:hideMark/>
          </w:tcPr>
          <w:p w14:paraId="19C5D2DF" w14:textId="77777777" w:rsidR="00FC752D" w:rsidRPr="00BC4AFE" w:rsidRDefault="00FC752D" w:rsidP="00F86AA9">
            <w:pPr>
              <w:keepNext/>
              <w:keepLines/>
              <w:rPr>
                <w:color w:val="000000"/>
                <w:sz w:val="18"/>
                <w:szCs w:val="18"/>
              </w:rPr>
            </w:pPr>
            <w:r w:rsidRPr="00BC4AFE">
              <w:rPr>
                <w:color w:val="000000"/>
                <w:sz w:val="18"/>
                <w:szCs w:val="18"/>
              </w:rPr>
              <w:t>B. Executive direction and management</w:t>
            </w:r>
          </w:p>
        </w:tc>
        <w:tc>
          <w:tcPr>
            <w:tcW w:w="1180" w:type="dxa"/>
            <w:tcBorders>
              <w:top w:val="nil"/>
              <w:left w:val="nil"/>
              <w:bottom w:val="nil"/>
              <w:right w:val="nil"/>
            </w:tcBorders>
            <w:shd w:val="clear" w:color="auto" w:fill="auto"/>
            <w:vAlign w:val="center"/>
            <w:hideMark/>
          </w:tcPr>
          <w:p w14:paraId="553768C9" w14:textId="77777777" w:rsidR="00FC752D" w:rsidRPr="00BC4AFE" w:rsidRDefault="00FC752D" w:rsidP="00F86AA9">
            <w:pPr>
              <w:keepNext/>
              <w:keepLines/>
              <w:jc w:val="right"/>
              <w:rPr>
                <w:color w:val="000000"/>
                <w:sz w:val="18"/>
                <w:szCs w:val="18"/>
              </w:rPr>
            </w:pPr>
            <w:r w:rsidRPr="00BC4AFE">
              <w:rPr>
                <w:color w:val="000000"/>
                <w:sz w:val="18"/>
                <w:szCs w:val="18"/>
              </w:rPr>
              <w:t>2,909.8</w:t>
            </w:r>
          </w:p>
        </w:tc>
        <w:tc>
          <w:tcPr>
            <w:tcW w:w="1180" w:type="dxa"/>
            <w:tcBorders>
              <w:top w:val="nil"/>
              <w:left w:val="nil"/>
              <w:bottom w:val="nil"/>
              <w:right w:val="nil"/>
            </w:tcBorders>
            <w:shd w:val="clear" w:color="auto" w:fill="auto"/>
            <w:vAlign w:val="center"/>
            <w:hideMark/>
          </w:tcPr>
          <w:p w14:paraId="49BBD490" w14:textId="77777777" w:rsidR="00FC752D" w:rsidRPr="00BC4AFE" w:rsidRDefault="00FC752D" w:rsidP="00F86AA9">
            <w:pPr>
              <w:keepNext/>
              <w:keepLines/>
              <w:jc w:val="right"/>
              <w:rPr>
                <w:color w:val="000000"/>
                <w:sz w:val="18"/>
                <w:szCs w:val="18"/>
              </w:rPr>
            </w:pPr>
            <w:r w:rsidRPr="00BC4AFE">
              <w:rPr>
                <w:color w:val="000000"/>
                <w:sz w:val="18"/>
                <w:szCs w:val="18"/>
              </w:rPr>
              <w:t>3,028.0</w:t>
            </w:r>
          </w:p>
        </w:tc>
        <w:tc>
          <w:tcPr>
            <w:tcW w:w="1180" w:type="dxa"/>
            <w:tcBorders>
              <w:top w:val="nil"/>
              <w:left w:val="nil"/>
              <w:bottom w:val="nil"/>
              <w:right w:val="nil"/>
            </w:tcBorders>
            <w:shd w:val="clear" w:color="auto" w:fill="auto"/>
            <w:vAlign w:val="center"/>
            <w:hideMark/>
          </w:tcPr>
          <w:p w14:paraId="45D68795" w14:textId="77777777" w:rsidR="00FC752D" w:rsidRPr="00BC4AFE" w:rsidRDefault="00FC752D" w:rsidP="00F86AA9">
            <w:pPr>
              <w:keepNext/>
              <w:keepLines/>
              <w:jc w:val="right"/>
              <w:rPr>
                <w:b/>
                <w:bCs/>
                <w:color w:val="000000"/>
                <w:sz w:val="18"/>
                <w:szCs w:val="18"/>
              </w:rPr>
            </w:pPr>
            <w:r w:rsidRPr="00BC4AFE">
              <w:rPr>
                <w:b/>
                <w:bCs/>
                <w:color w:val="000000"/>
                <w:sz w:val="18"/>
                <w:szCs w:val="18"/>
              </w:rPr>
              <w:t>5,937.8</w:t>
            </w:r>
          </w:p>
        </w:tc>
      </w:tr>
      <w:tr w:rsidR="00FC752D" w:rsidRPr="00BC4AFE" w14:paraId="1DF58A3B" w14:textId="77777777" w:rsidTr="002D6FE5">
        <w:trPr>
          <w:trHeight w:val="290"/>
        </w:trPr>
        <w:tc>
          <w:tcPr>
            <w:tcW w:w="5160" w:type="dxa"/>
            <w:tcBorders>
              <w:top w:val="nil"/>
              <w:left w:val="nil"/>
              <w:bottom w:val="nil"/>
              <w:right w:val="nil"/>
            </w:tcBorders>
            <w:shd w:val="clear" w:color="auto" w:fill="auto"/>
            <w:vAlign w:val="center"/>
            <w:hideMark/>
          </w:tcPr>
          <w:p w14:paraId="1E3E453A" w14:textId="77777777" w:rsidR="00FC752D" w:rsidRPr="00BC4AFE" w:rsidRDefault="00FC752D" w:rsidP="00F86AA9">
            <w:pPr>
              <w:keepNext/>
              <w:keepLines/>
              <w:rPr>
                <w:color w:val="000000"/>
                <w:sz w:val="18"/>
                <w:szCs w:val="18"/>
              </w:rPr>
            </w:pPr>
            <w:r w:rsidRPr="00BC4AFE">
              <w:rPr>
                <w:color w:val="000000"/>
                <w:sz w:val="18"/>
                <w:szCs w:val="18"/>
              </w:rPr>
              <w:t>C. Programme of work</w:t>
            </w:r>
          </w:p>
        </w:tc>
        <w:tc>
          <w:tcPr>
            <w:tcW w:w="1180" w:type="dxa"/>
            <w:tcBorders>
              <w:top w:val="nil"/>
              <w:left w:val="nil"/>
              <w:bottom w:val="nil"/>
              <w:right w:val="nil"/>
            </w:tcBorders>
            <w:shd w:val="clear" w:color="auto" w:fill="auto"/>
            <w:vAlign w:val="center"/>
            <w:hideMark/>
          </w:tcPr>
          <w:p w14:paraId="55F2885A" w14:textId="77777777" w:rsidR="00FC752D" w:rsidRPr="00BC4AFE" w:rsidRDefault="00FC752D" w:rsidP="00F86AA9">
            <w:pPr>
              <w:keepNext/>
              <w:keepLines/>
              <w:jc w:val="right"/>
              <w:rPr>
                <w:color w:val="000000"/>
                <w:sz w:val="18"/>
                <w:szCs w:val="18"/>
              </w:rPr>
            </w:pPr>
            <w:r w:rsidRPr="00BC4AFE">
              <w:rPr>
                <w:color w:val="000000"/>
                <w:sz w:val="18"/>
                <w:szCs w:val="18"/>
              </w:rPr>
              <w:t>8,909.1</w:t>
            </w:r>
          </w:p>
        </w:tc>
        <w:tc>
          <w:tcPr>
            <w:tcW w:w="1180" w:type="dxa"/>
            <w:tcBorders>
              <w:top w:val="nil"/>
              <w:left w:val="nil"/>
              <w:bottom w:val="nil"/>
              <w:right w:val="nil"/>
            </w:tcBorders>
            <w:shd w:val="clear" w:color="auto" w:fill="auto"/>
            <w:vAlign w:val="center"/>
            <w:hideMark/>
          </w:tcPr>
          <w:p w14:paraId="5465CD12" w14:textId="77777777" w:rsidR="00FC752D" w:rsidRPr="00BC4AFE" w:rsidRDefault="00FC752D" w:rsidP="00F86AA9">
            <w:pPr>
              <w:keepNext/>
              <w:keepLines/>
              <w:jc w:val="right"/>
              <w:rPr>
                <w:color w:val="000000"/>
                <w:sz w:val="18"/>
                <w:szCs w:val="18"/>
              </w:rPr>
            </w:pPr>
            <w:r w:rsidRPr="00BC4AFE">
              <w:rPr>
                <w:color w:val="000000"/>
                <w:sz w:val="18"/>
                <w:szCs w:val="18"/>
              </w:rPr>
              <w:t>9,094.9</w:t>
            </w:r>
          </w:p>
        </w:tc>
        <w:tc>
          <w:tcPr>
            <w:tcW w:w="1180" w:type="dxa"/>
            <w:tcBorders>
              <w:top w:val="nil"/>
              <w:left w:val="nil"/>
              <w:bottom w:val="nil"/>
              <w:right w:val="nil"/>
            </w:tcBorders>
            <w:shd w:val="clear" w:color="auto" w:fill="auto"/>
            <w:vAlign w:val="center"/>
            <w:hideMark/>
          </w:tcPr>
          <w:p w14:paraId="6079065A" w14:textId="77777777" w:rsidR="00FC752D" w:rsidRPr="00BC4AFE" w:rsidRDefault="00FC752D" w:rsidP="00F86AA9">
            <w:pPr>
              <w:keepNext/>
              <w:keepLines/>
              <w:jc w:val="right"/>
              <w:rPr>
                <w:b/>
                <w:bCs/>
                <w:color w:val="000000"/>
                <w:sz w:val="18"/>
                <w:szCs w:val="18"/>
              </w:rPr>
            </w:pPr>
            <w:r w:rsidRPr="00BC4AFE">
              <w:rPr>
                <w:b/>
                <w:bCs/>
                <w:color w:val="000000"/>
                <w:sz w:val="18"/>
                <w:szCs w:val="18"/>
              </w:rPr>
              <w:t>18,004.0</w:t>
            </w:r>
          </w:p>
        </w:tc>
      </w:tr>
      <w:tr w:rsidR="00FC752D" w:rsidRPr="00BC4AFE" w14:paraId="31BC8A9E" w14:textId="77777777" w:rsidTr="002D6FE5">
        <w:trPr>
          <w:trHeight w:val="300"/>
        </w:trPr>
        <w:tc>
          <w:tcPr>
            <w:tcW w:w="5160" w:type="dxa"/>
            <w:tcBorders>
              <w:top w:val="nil"/>
              <w:left w:val="nil"/>
              <w:bottom w:val="nil"/>
              <w:right w:val="nil"/>
            </w:tcBorders>
            <w:shd w:val="clear" w:color="auto" w:fill="auto"/>
            <w:vAlign w:val="center"/>
            <w:hideMark/>
          </w:tcPr>
          <w:p w14:paraId="6FC4C39C" w14:textId="77777777" w:rsidR="00FC752D" w:rsidRPr="00BC4AFE" w:rsidRDefault="00FC752D" w:rsidP="00F86AA9">
            <w:pPr>
              <w:keepNext/>
              <w:keepLines/>
              <w:rPr>
                <w:color w:val="000000"/>
                <w:sz w:val="18"/>
                <w:szCs w:val="18"/>
              </w:rPr>
            </w:pPr>
            <w:r w:rsidRPr="00BC4AFE">
              <w:rPr>
                <w:color w:val="000000"/>
                <w:sz w:val="18"/>
                <w:szCs w:val="18"/>
              </w:rPr>
              <w:t>D. Administrative support</w:t>
            </w:r>
          </w:p>
        </w:tc>
        <w:tc>
          <w:tcPr>
            <w:tcW w:w="1180" w:type="dxa"/>
            <w:tcBorders>
              <w:top w:val="nil"/>
              <w:left w:val="nil"/>
              <w:bottom w:val="nil"/>
              <w:right w:val="nil"/>
            </w:tcBorders>
            <w:shd w:val="clear" w:color="auto" w:fill="auto"/>
            <w:vAlign w:val="center"/>
            <w:hideMark/>
          </w:tcPr>
          <w:p w14:paraId="6A913121" w14:textId="77777777" w:rsidR="00FC752D" w:rsidRPr="00BC4AFE" w:rsidRDefault="00FC752D" w:rsidP="00F86AA9">
            <w:pPr>
              <w:keepNext/>
              <w:keepLines/>
              <w:jc w:val="right"/>
              <w:rPr>
                <w:color w:val="000000"/>
                <w:sz w:val="18"/>
                <w:szCs w:val="18"/>
              </w:rPr>
            </w:pPr>
            <w:r w:rsidRPr="00BC4AFE">
              <w:rPr>
                <w:color w:val="000000"/>
                <w:sz w:val="18"/>
                <w:szCs w:val="18"/>
              </w:rPr>
              <w:t>3,148.6</w:t>
            </w:r>
          </w:p>
        </w:tc>
        <w:tc>
          <w:tcPr>
            <w:tcW w:w="1180" w:type="dxa"/>
            <w:tcBorders>
              <w:top w:val="nil"/>
              <w:left w:val="nil"/>
              <w:bottom w:val="nil"/>
              <w:right w:val="nil"/>
            </w:tcBorders>
            <w:shd w:val="clear" w:color="auto" w:fill="auto"/>
            <w:vAlign w:val="center"/>
            <w:hideMark/>
          </w:tcPr>
          <w:p w14:paraId="5F16A9C2" w14:textId="77777777" w:rsidR="00FC752D" w:rsidRPr="00BC4AFE" w:rsidRDefault="00FC752D" w:rsidP="00F86AA9">
            <w:pPr>
              <w:keepNext/>
              <w:keepLines/>
              <w:jc w:val="right"/>
              <w:rPr>
                <w:color w:val="000000"/>
                <w:sz w:val="18"/>
                <w:szCs w:val="18"/>
              </w:rPr>
            </w:pPr>
            <w:r w:rsidRPr="00BC4AFE">
              <w:rPr>
                <w:color w:val="000000"/>
                <w:sz w:val="18"/>
                <w:szCs w:val="18"/>
              </w:rPr>
              <w:t>2,998.8</w:t>
            </w:r>
          </w:p>
        </w:tc>
        <w:tc>
          <w:tcPr>
            <w:tcW w:w="1180" w:type="dxa"/>
            <w:tcBorders>
              <w:top w:val="nil"/>
              <w:left w:val="nil"/>
              <w:bottom w:val="nil"/>
              <w:right w:val="nil"/>
            </w:tcBorders>
            <w:shd w:val="clear" w:color="auto" w:fill="auto"/>
            <w:vAlign w:val="center"/>
            <w:hideMark/>
          </w:tcPr>
          <w:p w14:paraId="037B7177" w14:textId="77777777" w:rsidR="00FC752D" w:rsidRPr="00BC4AFE" w:rsidRDefault="00FC752D" w:rsidP="00F86AA9">
            <w:pPr>
              <w:keepNext/>
              <w:keepLines/>
              <w:jc w:val="right"/>
              <w:rPr>
                <w:b/>
                <w:bCs/>
                <w:color w:val="000000"/>
                <w:sz w:val="18"/>
                <w:szCs w:val="18"/>
              </w:rPr>
            </w:pPr>
            <w:r w:rsidRPr="00BC4AFE">
              <w:rPr>
                <w:b/>
                <w:bCs/>
                <w:color w:val="000000"/>
                <w:sz w:val="18"/>
                <w:szCs w:val="18"/>
              </w:rPr>
              <w:t>6,147.4</w:t>
            </w:r>
          </w:p>
        </w:tc>
      </w:tr>
      <w:tr w:rsidR="00FC752D" w:rsidRPr="00BC4AFE" w14:paraId="41CACB6B"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291EA591" w14:textId="77777777" w:rsidR="00FC752D" w:rsidRPr="00BC4AFE" w:rsidRDefault="00FC752D" w:rsidP="00F86AA9">
            <w:pPr>
              <w:rPr>
                <w:b/>
                <w:bCs/>
                <w:color w:val="000000"/>
                <w:sz w:val="18"/>
                <w:szCs w:val="18"/>
              </w:rPr>
            </w:pPr>
            <w:r w:rsidRPr="00BC4AFE">
              <w:rPr>
                <w:b/>
                <w:bCs/>
                <w:color w:val="000000"/>
                <w:sz w:val="18"/>
                <w:szCs w:val="18"/>
              </w:rPr>
              <w:t>Subtotal</w:t>
            </w:r>
          </w:p>
        </w:tc>
        <w:tc>
          <w:tcPr>
            <w:tcW w:w="1180" w:type="dxa"/>
            <w:tcBorders>
              <w:top w:val="single" w:sz="8" w:space="0" w:color="auto"/>
              <w:left w:val="nil"/>
              <w:bottom w:val="single" w:sz="8" w:space="0" w:color="auto"/>
              <w:right w:val="nil"/>
            </w:tcBorders>
            <w:shd w:val="clear" w:color="auto" w:fill="auto"/>
            <w:vAlign w:val="center"/>
            <w:hideMark/>
          </w:tcPr>
          <w:p w14:paraId="17C2812C" w14:textId="77777777" w:rsidR="00FC752D" w:rsidRPr="00BC4AFE" w:rsidRDefault="00FC752D" w:rsidP="00F86AA9">
            <w:pPr>
              <w:jc w:val="right"/>
              <w:rPr>
                <w:b/>
                <w:bCs/>
                <w:color w:val="000000"/>
                <w:sz w:val="18"/>
                <w:szCs w:val="18"/>
              </w:rPr>
            </w:pPr>
            <w:r w:rsidRPr="00BC4AFE">
              <w:rPr>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1BE23221" w14:textId="77777777" w:rsidR="00FC752D" w:rsidRPr="00BC4AFE" w:rsidRDefault="00FC752D" w:rsidP="00F86AA9">
            <w:pPr>
              <w:jc w:val="right"/>
              <w:rPr>
                <w:b/>
                <w:bCs/>
                <w:color w:val="000000"/>
                <w:sz w:val="18"/>
                <w:szCs w:val="18"/>
              </w:rPr>
            </w:pPr>
            <w:r w:rsidRPr="00BC4AFE">
              <w:rPr>
                <w:b/>
                <w:bCs/>
                <w:color w:val="000000"/>
                <w:sz w:val="18"/>
                <w:szCs w:val="18"/>
              </w:rPr>
              <w:t>18,985.6</w:t>
            </w:r>
          </w:p>
        </w:tc>
        <w:tc>
          <w:tcPr>
            <w:tcW w:w="1180" w:type="dxa"/>
            <w:tcBorders>
              <w:top w:val="single" w:sz="8" w:space="0" w:color="auto"/>
              <w:left w:val="nil"/>
              <w:bottom w:val="single" w:sz="8" w:space="0" w:color="auto"/>
              <w:right w:val="nil"/>
            </w:tcBorders>
            <w:shd w:val="clear" w:color="auto" w:fill="auto"/>
            <w:vAlign w:val="center"/>
            <w:hideMark/>
          </w:tcPr>
          <w:p w14:paraId="4FA9D7DB" w14:textId="77777777" w:rsidR="00FC752D" w:rsidRPr="00BC4AFE" w:rsidRDefault="00FC752D" w:rsidP="00F86AA9">
            <w:pPr>
              <w:jc w:val="right"/>
              <w:rPr>
                <w:b/>
                <w:bCs/>
                <w:color w:val="000000"/>
                <w:sz w:val="18"/>
                <w:szCs w:val="18"/>
              </w:rPr>
            </w:pPr>
            <w:r w:rsidRPr="00BC4AFE">
              <w:rPr>
                <w:b/>
                <w:bCs/>
                <w:color w:val="000000"/>
                <w:sz w:val="18"/>
                <w:szCs w:val="18"/>
              </w:rPr>
              <w:t>36,432.7</w:t>
            </w:r>
          </w:p>
        </w:tc>
      </w:tr>
      <w:tr w:rsidR="00FC752D" w:rsidRPr="00BC4AFE" w14:paraId="61E00C2A" w14:textId="77777777" w:rsidTr="002D6FE5">
        <w:trPr>
          <w:trHeight w:val="290"/>
        </w:trPr>
        <w:tc>
          <w:tcPr>
            <w:tcW w:w="5160" w:type="dxa"/>
            <w:tcBorders>
              <w:top w:val="nil"/>
              <w:left w:val="nil"/>
              <w:bottom w:val="nil"/>
              <w:right w:val="nil"/>
            </w:tcBorders>
            <w:shd w:val="clear" w:color="auto" w:fill="auto"/>
            <w:vAlign w:val="center"/>
            <w:hideMark/>
          </w:tcPr>
          <w:p w14:paraId="1BEAA010" w14:textId="77777777" w:rsidR="00FC752D" w:rsidRPr="00BC4AFE" w:rsidRDefault="00FC752D" w:rsidP="00F86AA9">
            <w:pPr>
              <w:rPr>
                <w:color w:val="000000"/>
                <w:sz w:val="18"/>
                <w:szCs w:val="18"/>
              </w:rPr>
            </w:pPr>
            <w:r w:rsidRPr="00BC4AFE">
              <w:rPr>
                <w:color w:val="000000"/>
                <w:sz w:val="18"/>
                <w:szCs w:val="18"/>
              </w:rPr>
              <w:t>Programme support costs</w:t>
            </w:r>
          </w:p>
        </w:tc>
        <w:tc>
          <w:tcPr>
            <w:tcW w:w="1180" w:type="dxa"/>
            <w:tcBorders>
              <w:top w:val="nil"/>
              <w:left w:val="nil"/>
              <w:bottom w:val="nil"/>
              <w:right w:val="nil"/>
            </w:tcBorders>
            <w:shd w:val="clear" w:color="auto" w:fill="auto"/>
            <w:vAlign w:val="center"/>
            <w:hideMark/>
          </w:tcPr>
          <w:p w14:paraId="130B57A3" w14:textId="77777777" w:rsidR="00FC752D" w:rsidRPr="00BC4AFE" w:rsidRDefault="00FC752D" w:rsidP="00F86AA9">
            <w:pPr>
              <w:jc w:val="right"/>
              <w:rPr>
                <w:color w:val="000000"/>
                <w:sz w:val="18"/>
                <w:szCs w:val="18"/>
              </w:rPr>
            </w:pPr>
            <w:r w:rsidRPr="00BC4AFE">
              <w:rPr>
                <w:color w:val="000000"/>
                <w:sz w:val="18"/>
                <w:szCs w:val="18"/>
              </w:rPr>
              <w:t>2,268.1</w:t>
            </w:r>
          </w:p>
        </w:tc>
        <w:tc>
          <w:tcPr>
            <w:tcW w:w="1180" w:type="dxa"/>
            <w:tcBorders>
              <w:top w:val="nil"/>
              <w:left w:val="nil"/>
              <w:bottom w:val="nil"/>
              <w:right w:val="nil"/>
            </w:tcBorders>
            <w:shd w:val="clear" w:color="auto" w:fill="auto"/>
            <w:vAlign w:val="center"/>
            <w:hideMark/>
          </w:tcPr>
          <w:p w14:paraId="352DC92E" w14:textId="77777777" w:rsidR="00FC752D" w:rsidRPr="00BC4AFE" w:rsidRDefault="00FC752D" w:rsidP="00F86AA9">
            <w:pPr>
              <w:jc w:val="right"/>
              <w:rPr>
                <w:color w:val="000000"/>
                <w:sz w:val="18"/>
                <w:szCs w:val="18"/>
              </w:rPr>
            </w:pPr>
            <w:r w:rsidRPr="00BC4AFE">
              <w:rPr>
                <w:color w:val="000000"/>
                <w:sz w:val="18"/>
                <w:szCs w:val="18"/>
              </w:rPr>
              <w:t>2,468.1</w:t>
            </w:r>
          </w:p>
        </w:tc>
        <w:tc>
          <w:tcPr>
            <w:tcW w:w="1180" w:type="dxa"/>
            <w:tcBorders>
              <w:top w:val="nil"/>
              <w:left w:val="nil"/>
              <w:bottom w:val="nil"/>
              <w:right w:val="nil"/>
            </w:tcBorders>
            <w:shd w:val="clear" w:color="auto" w:fill="auto"/>
            <w:vAlign w:val="center"/>
            <w:hideMark/>
          </w:tcPr>
          <w:p w14:paraId="388BAFB2" w14:textId="77777777" w:rsidR="00FC752D" w:rsidRPr="00BC4AFE" w:rsidRDefault="00FC752D" w:rsidP="00F86AA9">
            <w:pPr>
              <w:jc w:val="right"/>
              <w:rPr>
                <w:b/>
                <w:bCs/>
                <w:color w:val="000000"/>
                <w:sz w:val="18"/>
                <w:szCs w:val="18"/>
              </w:rPr>
            </w:pPr>
            <w:r w:rsidRPr="00BC4AFE">
              <w:rPr>
                <w:b/>
                <w:bCs/>
                <w:color w:val="000000"/>
                <w:sz w:val="18"/>
                <w:szCs w:val="18"/>
              </w:rPr>
              <w:t>4,736.2</w:t>
            </w:r>
          </w:p>
        </w:tc>
      </w:tr>
      <w:tr w:rsidR="00FC752D" w:rsidRPr="00BC4AFE" w14:paraId="3A683D7A" w14:textId="77777777" w:rsidTr="002D6FE5">
        <w:trPr>
          <w:trHeight w:val="300"/>
        </w:trPr>
        <w:tc>
          <w:tcPr>
            <w:tcW w:w="5160" w:type="dxa"/>
            <w:tcBorders>
              <w:top w:val="nil"/>
              <w:left w:val="nil"/>
              <w:bottom w:val="nil"/>
              <w:right w:val="nil"/>
            </w:tcBorders>
            <w:shd w:val="clear" w:color="auto" w:fill="auto"/>
            <w:vAlign w:val="center"/>
            <w:hideMark/>
          </w:tcPr>
          <w:p w14:paraId="6B3F928E" w14:textId="77777777" w:rsidR="00FC752D" w:rsidRPr="00BC4AFE" w:rsidRDefault="00FC752D" w:rsidP="00F86AA9">
            <w:pPr>
              <w:rPr>
                <w:color w:val="000000"/>
                <w:sz w:val="18"/>
                <w:szCs w:val="18"/>
              </w:rPr>
            </w:pPr>
            <w:r w:rsidRPr="00BC4AFE">
              <w:rPr>
                <w:color w:val="000000"/>
                <w:sz w:val="18"/>
                <w:szCs w:val="18"/>
              </w:rPr>
              <w:t>Working Capital Reserve</w:t>
            </w:r>
          </w:p>
        </w:tc>
        <w:tc>
          <w:tcPr>
            <w:tcW w:w="1180" w:type="dxa"/>
            <w:tcBorders>
              <w:top w:val="nil"/>
              <w:left w:val="nil"/>
              <w:bottom w:val="nil"/>
              <w:right w:val="nil"/>
            </w:tcBorders>
            <w:shd w:val="clear" w:color="auto" w:fill="auto"/>
            <w:vAlign w:val="center"/>
            <w:hideMark/>
          </w:tcPr>
          <w:p w14:paraId="00E62FA0" w14:textId="77777777" w:rsidR="00FC752D" w:rsidRPr="00BC4AFE" w:rsidRDefault="00FC752D" w:rsidP="00F86AA9">
            <w:pPr>
              <w:jc w:val="right"/>
              <w:rPr>
                <w:color w:val="000000"/>
                <w:sz w:val="18"/>
                <w:szCs w:val="18"/>
              </w:rPr>
            </w:pPr>
            <w:r w:rsidRPr="00BC4AFE">
              <w:rPr>
                <w:color w:val="000000"/>
                <w:sz w:val="18"/>
                <w:szCs w:val="18"/>
              </w:rPr>
              <w:t>216.4</w:t>
            </w:r>
          </w:p>
        </w:tc>
        <w:tc>
          <w:tcPr>
            <w:tcW w:w="1180" w:type="dxa"/>
            <w:tcBorders>
              <w:top w:val="nil"/>
              <w:left w:val="nil"/>
              <w:bottom w:val="nil"/>
              <w:right w:val="nil"/>
            </w:tcBorders>
            <w:shd w:val="clear" w:color="auto" w:fill="auto"/>
            <w:vAlign w:val="center"/>
            <w:hideMark/>
          </w:tcPr>
          <w:p w14:paraId="19BDBF1B" w14:textId="77777777" w:rsidR="00FC752D" w:rsidRPr="00BC4AFE" w:rsidRDefault="00FC752D" w:rsidP="00F86AA9">
            <w:pPr>
              <w:jc w:val="right"/>
              <w:rPr>
                <w:color w:val="000000"/>
                <w:sz w:val="18"/>
                <w:szCs w:val="18"/>
              </w:rPr>
            </w:pPr>
            <w:r w:rsidRPr="00BC4AFE">
              <w:rPr>
                <w:color w:val="000000"/>
                <w:sz w:val="18"/>
                <w:szCs w:val="18"/>
              </w:rPr>
              <w:t>260.8</w:t>
            </w:r>
          </w:p>
        </w:tc>
        <w:tc>
          <w:tcPr>
            <w:tcW w:w="1180" w:type="dxa"/>
            <w:tcBorders>
              <w:top w:val="nil"/>
              <w:left w:val="nil"/>
              <w:bottom w:val="nil"/>
              <w:right w:val="nil"/>
            </w:tcBorders>
            <w:shd w:val="clear" w:color="auto" w:fill="auto"/>
            <w:noWrap/>
            <w:vAlign w:val="center"/>
            <w:hideMark/>
          </w:tcPr>
          <w:p w14:paraId="1F592835" w14:textId="77777777" w:rsidR="00FC752D" w:rsidRPr="00BC4AFE" w:rsidRDefault="00FC752D" w:rsidP="00F86AA9">
            <w:pPr>
              <w:jc w:val="right"/>
              <w:rPr>
                <w:b/>
                <w:bCs/>
                <w:color w:val="000000"/>
                <w:sz w:val="18"/>
                <w:szCs w:val="18"/>
              </w:rPr>
            </w:pPr>
            <w:r w:rsidRPr="00BC4AFE">
              <w:rPr>
                <w:b/>
                <w:bCs/>
                <w:color w:val="000000"/>
                <w:sz w:val="18"/>
                <w:szCs w:val="18"/>
              </w:rPr>
              <w:t>477.2</w:t>
            </w:r>
          </w:p>
        </w:tc>
      </w:tr>
      <w:tr w:rsidR="00FC752D" w:rsidRPr="00BC4AFE" w14:paraId="4661F39D" w14:textId="77777777" w:rsidTr="002D6FE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4C0B46B3" w14:textId="77777777" w:rsidR="00FC752D" w:rsidRPr="00BC4AFE" w:rsidRDefault="00FC752D" w:rsidP="00F86AA9">
            <w:pPr>
              <w:rPr>
                <w:b/>
                <w:bCs/>
                <w:color w:val="000000"/>
                <w:sz w:val="18"/>
                <w:szCs w:val="18"/>
              </w:rPr>
            </w:pPr>
            <w:r w:rsidRPr="00BC4AFE">
              <w:rPr>
                <w:b/>
                <w:bCs/>
                <w:color w:val="000000"/>
                <w:sz w:val="18"/>
                <w:szCs w:val="18"/>
              </w:rPr>
              <w:t>Total requirements</w:t>
            </w:r>
          </w:p>
        </w:tc>
        <w:tc>
          <w:tcPr>
            <w:tcW w:w="1180" w:type="dxa"/>
            <w:tcBorders>
              <w:top w:val="single" w:sz="8" w:space="0" w:color="auto"/>
              <w:left w:val="nil"/>
              <w:bottom w:val="single" w:sz="8" w:space="0" w:color="auto"/>
              <w:right w:val="nil"/>
            </w:tcBorders>
            <w:shd w:val="clear" w:color="auto" w:fill="auto"/>
            <w:vAlign w:val="center"/>
            <w:hideMark/>
          </w:tcPr>
          <w:p w14:paraId="67A42D39" w14:textId="77777777" w:rsidR="00FC752D" w:rsidRPr="00BC4AFE" w:rsidRDefault="00FC752D" w:rsidP="00F86AA9">
            <w:pPr>
              <w:jc w:val="right"/>
              <w:rPr>
                <w:b/>
                <w:bCs/>
                <w:color w:val="000000"/>
                <w:sz w:val="18"/>
                <w:szCs w:val="18"/>
              </w:rPr>
            </w:pPr>
            <w:r w:rsidRPr="00BC4AFE">
              <w:rPr>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2067C8A3" w14:textId="77777777" w:rsidR="00FC752D" w:rsidRPr="00BC4AFE" w:rsidRDefault="00FC752D" w:rsidP="00F86AA9">
            <w:pPr>
              <w:jc w:val="right"/>
              <w:rPr>
                <w:b/>
                <w:bCs/>
                <w:color w:val="000000"/>
                <w:sz w:val="18"/>
                <w:szCs w:val="18"/>
              </w:rPr>
            </w:pPr>
            <w:r w:rsidRPr="00BC4AFE">
              <w:rPr>
                <w:b/>
                <w:bCs/>
                <w:color w:val="000000"/>
                <w:sz w:val="18"/>
                <w:szCs w:val="18"/>
              </w:rPr>
              <w:t>21,714.5</w:t>
            </w:r>
          </w:p>
        </w:tc>
        <w:tc>
          <w:tcPr>
            <w:tcW w:w="1180" w:type="dxa"/>
            <w:tcBorders>
              <w:top w:val="single" w:sz="8" w:space="0" w:color="auto"/>
              <w:left w:val="nil"/>
              <w:bottom w:val="single" w:sz="8" w:space="0" w:color="auto"/>
              <w:right w:val="nil"/>
            </w:tcBorders>
            <w:shd w:val="clear" w:color="auto" w:fill="auto"/>
            <w:vAlign w:val="center"/>
            <w:hideMark/>
          </w:tcPr>
          <w:p w14:paraId="4888E264" w14:textId="77777777" w:rsidR="00FC752D" w:rsidRPr="00BC4AFE" w:rsidRDefault="00FC752D" w:rsidP="00F86AA9">
            <w:pPr>
              <w:jc w:val="right"/>
              <w:rPr>
                <w:b/>
                <w:bCs/>
                <w:color w:val="000000"/>
                <w:sz w:val="18"/>
                <w:szCs w:val="18"/>
              </w:rPr>
            </w:pPr>
            <w:r w:rsidRPr="00BC4AFE">
              <w:rPr>
                <w:b/>
                <w:bCs/>
                <w:color w:val="000000"/>
                <w:sz w:val="18"/>
                <w:szCs w:val="18"/>
              </w:rPr>
              <w:t>41,646.1</w:t>
            </w:r>
          </w:p>
        </w:tc>
      </w:tr>
      <w:tr w:rsidR="00FC752D" w:rsidRPr="00BC4AFE" w14:paraId="1D00E683"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36CBAD58" w14:textId="77777777" w:rsidR="00FC752D" w:rsidRPr="00BC4AFE" w:rsidRDefault="00FC752D" w:rsidP="00F86AA9">
            <w:pPr>
              <w:rPr>
                <w:b/>
                <w:bCs/>
                <w:color w:val="000000"/>
                <w:sz w:val="18"/>
                <w:szCs w:val="18"/>
              </w:rPr>
            </w:pPr>
            <w:r w:rsidRPr="00BC4AFE">
              <w:rPr>
                <w:b/>
                <w:bCs/>
                <w:color w:val="000000"/>
                <w:sz w:val="18"/>
                <w:szCs w:val="18"/>
              </w:rPr>
              <w:t>Convention share of the integrated budget (72%)</w:t>
            </w:r>
          </w:p>
        </w:tc>
        <w:tc>
          <w:tcPr>
            <w:tcW w:w="1180" w:type="dxa"/>
            <w:tcBorders>
              <w:top w:val="nil"/>
              <w:left w:val="nil"/>
              <w:bottom w:val="single" w:sz="8" w:space="0" w:color="auto"/>
              <w:right w:val="nil"/>
            </w:tcBorders>
            <w:shd w:val="clear" w:color="auto" w:fill="auto"/>
            <w:vAlign w:val="center"/>
            <w:hideMark/>
          </w:tcPr>
          <w:p w14:paraId="3EC5E49B" w14:textId="77777777" w:rsidR="00FC752D" w:rsidRPr="00BC4AFE" w:rsidRDefault="00FC752D" w:rsidP="00F86AA9">
            <w:pPr>
              <w:jc w:val="right"/>
              <w:rPr>
                <w:b/>
                <w:bCs/>
                <w:color w:val="000000"/>
                <w:sz w:val="18"/>
                <w:szCs w:val="18"/>
              </w:rPr>
            </w:pPr>
            <w:r w:rsidRPr="00BC4AFE">
              <w:rPr>
                <w:b/>
                <w:bCs/>
                <w:color w:val="000000"/>
                <w:sz w:val="18"/>
                <w:szCs w:val="18"/>
              </w:rPr>
              <w:t>14,350.8</w:t>
            </w:r>
          </w:p>
        </w:tc>
        <w:tc>
          <w:tcPr>
            <w:tcW w:w="1180" w:type="dxa"/>
            <w:tcBorders>
              <w:top w:val="nil"/>
              <w:left w:val="nil"/>
              <w:bottom w:val="single" w:sz="8" w:space="0" w:color="auto"/>
              <w:right w:val="nil"/>
            </w:tcBorders>
            <w:shd w:val="clear" w:color="auto" w:fill="auto"/>
            <w:vAlign w:val="center"/>
            <w:hideMark/>
          </w:tcPr>
          <w:p w14:paraId="48DFEDC4" w14:textId="77777777" w:rsidR="00FC752D" w:rsidRPr="00BC4AFE" w:rsidRDefault="00FC752D" w:rsidP="00F86AA9">
            <w:pPr>
              <w:jc w:val="right"/>
              <w:rPr>
                <w:b/>
                <w:bCs/>
                <w:color w:val="000000"/>
                <w:sz w:val="18"/>
                <w:szCs w:val="18"/>
              </w:rPr>
            </w:pPr>
            <w:r w:rsidRPr="00BC4AFE">
              <w:rPr>
                <w:b/>
                <w:bCs/>
                <w:color w:val="000000"/>
                <w:sz w:val="18"/>
                <w:szCs w:val="18"/>
              </w:rPr>
              <w:t>15,634.4</w:t>
            </w:r>
          </w:p>
        </w:tc>
        <w:tc>
          <w:tcPr>
            <w:tcW w:w="1180" w:type="dxa"/>
            <w:tcBorders>
              <w:top w:val="nil"/>
              <w:left w:val="nil"/>
              <w:bottom w:val="single" w:sz="8" w:space="0" w:color="auto"/>
              <w:right w:val="nil"/>
            </w:tcBorders>
            <w:shd w:val="clear" w:color="auto" w:fill="auto"/>
            <w:vAlign w:val="center"/>
            <w:hideMark/>
          </w:tcPr>
          <w:p w14:paraId="51B161C7" w14:textId="77777777" w:rsidR="00FC752D" w:rsidRPr="00BC4AFE" w:rsidRDefault="00FC752D" w:rsidP="00F86AA9">
            <w:pPr>
              <w:jc w:val="right"/>
              <w:rPr>
                <w:b/>
                <w:bCs/>
                <w:color w:val="000000"/>
                <w:sz w:val="18"/>
                <w:szCs w:val="18"/>
              </w:rPr>
            </w:pPr>
            <w:r w:rsidRPr="00BC4AFE">
              <w:rPr>
                <w:b/>
                <w:bCs/>
                <w:color w:val="000000"/>
                <w:sz w:val="18"/>
                <w:szCs w:val="18"/>
              </w:rPr>
              <w:t>29,985.2</w:t>
            </w:r>
          </w:p>
        </w:tc>
      </w:tr>
      <w:tr w:rsidR="00FC752D" w:rsidRPr="00BC4AFE" w14:paraId="13899BC2" w14:textId="77777777" w:rsidTr="002D6FE5">
        <w:trPr>
          <w:trHeight w:val="290"/>
        </w:trPr>
        <w:tc>
          <w:tcPr>
            <w:tcW w:w="5160" w:type="dxa"/>
            <w:tcBorders>
              <w:top w:val="nil"/>
              <w:left w:val="nil"/>
              <w:bottom w:val="nil"/>
              <w:right w:val="nil"/>
            </w:tcBorders>
            <w:shd w:val="clear" w:color="auto" w:fill="auto"/>
            <w:vAlign w:val="center"/>
            <w:hideMark/>
          </w:tcPr>
          <w:p w14:paraId="4697F38D" w14:textId="77777777" w:rsidR="00FC752D" w:rsidRPr="00BC4AFE" w:rsidRDefault="00FC752D" w:rsidP="00F86AA9">
            <w:pPr>
              <w:rPr>
                <w:color w:val="000000"/>
                <w:sz w:val="18"/>
                <w:szCs w:val="18"/>
              </w:rPr>
            </w:pPr>
            <w:r w:rsidRPr="00BC4AFE">
              <w:rPr>
                <w:color w:val="000000"/>
                <w:sz w:val="18"/>
                <w:szCs w:val="18"/>
              </w:rPr>
              <w:t>Less contributions from host country</w:t>
            </w:r>
          </w:p>
        </w:tc>
        <w:tc>
          <w:tcPr>
            <w:tcW w:w="1180" w:type="dxa"/>
            <w:tcBorders>
              <w:top w:val="nil"/>
              <w:left w:val="nil"/>
              <w:bottom w:val="nil"/>
              <w:right w:val="nil"/>
            </w:tcBorders>
            <w:shd w:val="clear" w:color="auto" w:fill="auto"/>
            <w:vAlign w:val="center"/>
            <w:hideMark/>
          </w:tcPr>
          <w:p w14:paraId="4E673865" w14:textId="77777777" w:rsidR="00FC752D" w:rsidRPr="00BC4AFE" w:rsidRDefault="00FC752D" w:rsidP="00F86AA9">
            <w:pPr>
              <w:jc w:val="right"/>
              <w:rPr>
                <w:color w:val="000000"/>
                <w:sz w:val="18"/>
                <w:szCs w:val="18"/>
              </w:rPr>
            </w:pPr>
            <w:r w:rsidRPr="00BC4AFE">
              <w:rPr>
                <w:color w:val="000000"/>
                <w:sz w:val="18"/>
                <w:szCs w:val="18"/>
              </w:rPr>
              <w:t>-1,176.2</w:t>
            </w:r>
          </w:p>
        </w:tc>
        <w:tc>
          <w:tcPr>
            <w:tcW w:w="1180" w:type="dxa"/>
            <w:tcBorders>
              <w:top w:val="nil"/>
              <w:left w:val="nil"/>
              <w:bottom w:val="nil"/>
              <w:right w:val="nil"/>
            </w:tcBorders>
            <w:shd w:val="clear" w:color="auto" w:fill="auto"/>
            <w:vAlign w:val="center"/>
            <w:hideMark/>
          </w:tcPr>
          <w:p w14:paraId="68EB622A" w14:textId="77777777" w:rsidR="00FC752D" w:rsidRPr="00BC4AFE" w:rsidRDefault="00FC752D" w:rsidP="00F86AA9">
            <w:pPr>
              <w:jc w:val="right"/>
              <w:rPr>
                <w:color w:val="000000"/>
                <w:sz w:val="18"/>
                <w:szCs w:val="18"/>
              </w:rPr>
            </w:pPr>
            <w:r w:rsidRPr="00BC4AFE">
              <w:rPr>
                <w:color w:val="000000"/>
                <w:sz w:val="18"/>
                <w:szCs w:val="18"/>
              </w:rPr>
              <w:t>-1,198.4</w:t>
            </w:r>
          </w:p>
        </w:tc>
        <w:tc>
          <w:tcPr>
            <w:tcW w:w="1180" w:type="dxa"/>
            <w:tcBorders>
              <w:top w:val="nil"/>
              <w:left w:val="nil"/>
              <w:bottom w:val="nil"/>
              <w:right w:val="nil"/>
            </w:tcBorders>
            <w:shd w:val="clear" w:color="auto" w:fill="auto"/>
            <w:vAlign w:val="center"/>
            <w:hideMark/>
          </w:tcPr>
          <w:p w14:paraId="2921DF8B" w14:textId="77777777" w:rsidR="00FC752D" w:rsidRPr="00BC4AFE" w:rsidRDefault="00FC752D" w:rsidP="00F86AA9">
            <w:pPr>
              <w:jc w:val="right"/>
              <w:rPr>
                <w:b/>
                <w:bCs/>
                <w:color w:val="000000"/>
                <w:sz w:val="18"/>
                <w:szCs w:val="18"/>
              </w:rPr>
            </w:pPr>
            <w:r w:rsidRPr="00BC4AFE">
              <w:rPr>
                <w:b/>
                <w:bCs/>
                <w:color w:val="000000"/>
                <w:sz w:val="18"/>
                <w:szCs w:val="18"/>
              </w:rPr>
              <w:t>-2,374.6</w:t>
            </w:r>
          </w:p>
        </w:tc>
      </w:tr>
      <w:tr w:rsidR="00FC752D" w:rsidRPr="00BC4AFE" w14:paraId="7D790490" w14:textId="77777777" w:rsidTr="002D6FE5">
        <w:trPr>
          <w:trHeight w:val="300"/>
        </w:trPr>
        <w:tc>
          <w:tcPr>
            <w:tcW w:w="5160" w:type="dxa"/>
            <w:tcBorders>
              <w:top w:val="nil"/>
              <w:left w:val="nil"/>
              <w:bottom w:val="single" w:sz="8" w:space="0" w:color="auto"/>
              <w:right w:val="nil"/>
            </w:tcBorders>
            <w:shd w:val="clear" w:color="auto" w:fill="auto"/>
            <w:vAlign w:val="center"/>
            <w:hideMark/>
          </w:tcPr>
          <w:p w14:paraId="21292729" w14:textId="77777777" w:rsidR="00FC752D" w:rsidRPr="00BC4AFE" w:rsidRDefault="00FC752D" w:rsidP="00F86AA9">
            <w:pPr>
              <w:rPr>
                <w:color w:val="000000"/>
                <w:sz w:val="18"/>
                <w:szCs w:val="18"/>
              </w:rPr>
            </w:pPr>
            <w:r w:rsidRPr="00BC4AFE">
              <w:rPr>
                <w:color w:val="000000"/>
                <w:sz w:val="18"/>
                <w:szCs w:val="18"/>
              </w:rPr>
              <w:t xml:space="preserve">Less reserve </w:t>
            </w:r>
          </w:p>
        </w:tc>
        <w:tc>
          <w:tcPr>
            <w:tcW w:w="1180" w:type="dxa"/>
            <w:tcBorders>
              <w:top w:val="nil"/>
              <w:left w:val="nil"/>
              <w:bottom w:val="single" w:sz="8" w:space="0" w:color="auto"/>
              <w:right w:val="nil"/>
            </w:tcBorders>
            <w:shd w:val="clear" w:color="auto" w:fill="auto"/>
            <w:vAlign w:val="center"/>
            <w:hideMark/>
          </w:tcPr>
          <w:p w14:paraId="42D026E3" w14:textId="77777777" w:rsidR="00FC752D" w:rsidRPr="00BC4AFE" w:rsidRDefault="00FC752D" w:rsidP="00F86AA9">
            <w:pPr>
              <w:jc w:val="right"/>
              <w:rPr>
                <w:color w:val="000000"/>
                <w:sz w:val="18"/>
                <w:szCs w:val="18"/>
              </w:rPr>
            </w:pPr>
            <w:r w:rsidRPr="00BC4AFE">
              <w:rPr>
                <w:color w:val="000000"/>
                <w:sz w:val="18"/>
                <w:szCs w:val="18"/>
              </w:rPr>
              <w:t>-147.6</w:t>
            </w:r>
          </w:p>
        </w:tc>
        <w:tc>
          <w:tcPr>
            <w:tcW w:w="1180" w:type="dxa"/>
            <w:tcBorders>
              <w:top w:val="nil"/>
              <w:left w:val="nil"/>
              <w:bottom w:val="single" w:sz="8" w:space="0" w:color="auto"/>
              <w:right w:val="nil"/>
            </w:tcBorders>
            <w:shd w:val="clear" w:color="auto" w:fill="auto"/>
            <w:vAlign w:val="center"/>
            <w:hideMark/>
          </w:tcPr>
          <w:p w14:paraId="4670A7E2" w14:textId="77777777" w:rsidR="00FC752D" w:rsidRPr="00BC4AFE" w:rsidRDefault="00FC752D" w:rsidP="00F86AA9">
            <w:pPr>
              <w:jc w:val="right"/>
              <w:rPr>
                <w:color w:val="000000"/>
                <w:sz w:val="18"/>
                <w:szCs w:val="18"/>
              </w:rPr>
            </w:pPr>
            <w:r w:rsidRPr="00BC4AFE">
              <w:rPr>
                <w:color w:val="000000"/>
                <w:sz w:val="18"/>
                <w:szCs w:val="18"/>
              </w:rPr>
              <w:t>-147.6</w:t>
            </w:r>
          </w:p>
        </w:tc>
        <w:tc>
          <w:tcPr>
            <w:tcW w:w="1180" w:type="dxa"/>
            <w:tcBorders>
              <w:top w:val="nil"/>
              <w:left w:val="nil"/>
              <w:bottom w:val="nil"/>
              <w:right w:val="nil"/>
            </w:tcBorders>
            <w:shd w:val="clear" w:color="auto" w:fill="auto"/>
            <w:vAlign w:val="center"/>
            <w:hideMark/>
          </w:tcPr>
          <w:p w14:paraId="6AE565A3" w14:textId="77777777" w:rsidR="00FC752D" w:rsidRPr="00BC4AFE" w:rsidRDefault="00FC752D" w:rsidP="00F86AA9">
            <w:pPr>
              <w:jc w:val="right"/>
              <w:rPr>
                <w:b/>
                <w:bCs/>
                <w:color w:val="000000"/>
                <w:sz w:val="18"/>
                <w:szCs w:val="18"/>
              </w:rPr>
            </w:pPr>
            <w:r w:rsidRPr="00BC4AFE">
              <w:rPr>
                <w:b/>
                <w:bCs/>
                <w:color w:val="000000"/>
                <w:sz w:val="18"/>
                <w:szCs w:val="18"/>
              </w:rPr>
              <w:t>-295.2</w:t>
            </w:r>
          </w:p>
        </w:tc>
      </w:tr>
      <w:tr w:rsidR="00FC752D" w:rsidRPr="00BC4AFE" w14:paraId="4F514606" w14:textId="77777777" w:rsidTr="002D6FE5">
        <w:trPr>
          <w:trHeight w:val="470"/>
        </w:trPr>
        <w:tc>
          <w:tcPr>
            <w:tcW w:w="5160" w:type="dxa"/>
            <w:tcBorders>
              <w:top w:val="nil"/>
              <w:left w:val="nil"/>
              <w:bottom w:val="single" w:sz="8" w:space="0" w:color="auto"/>
              <w:right w:val="nil"/>
            </w:tcBorders>
            <w:shd w:val="clear" w:color="auto" w:fill="auto"/>
            <w:vAlign w:val="center"/>
            <w:hideMark/>
          </w:tcPr>
          <w:p w14:paraId="26B10D50" w14:textId="77777777" w:rsidR="00FC752D" w:rsidRPr="00BC4AFE" w:rsidRDefault="00FC752D" w:rsidP="00F86AA9">
            <w:pPr>
              <w:rPr>
                <w:b/>
                <w:bCs/>
                <w:i/>
                <w:iCs/>
                <w:color w:val="000000"/>
                <w:sz w:val="18"/>
                <w:szCs w:val="18"/>
              </w:rPr>
            </w:pPr>
            <w:r w:rsidRPr="00BC4AFE">
              <w:rPr>
                <w:b/>
                <w:bCs/>
                <w:i/>
                <w:iCs/>
                <w:color w:val="000000"/>
                <w:sz w:val="18"/>
                <w:szCs w:val="18"/>
              </w:rPr>
              <w:t>Net total (to be shared by Parties)</w:t>
            </w:r>
          </w:p>
        </w:tc>
        <w:tc>
          <w:tcPr>
            <w:tcW w:w="1180" w:type="dxa"/>
            <w:tcBorders>
              <w:top w:val="nil"/>
              <w:left w:val="nil"/>
              <w:bottom w:val="single" w:sz="8" w:space="0" w:color="auto"/>
              <w:right w:val="nil"/>
            </w:tcBorders>
            <w:shd w:val="clear" w:color="auto" w:fill="auto"/>
            <w:vAlign w:val="center"/>
            <w:hideMark/>
          </w:tcPr>
          <w:p w14:paraId="7158796C" w14:textId="77777777" w:rsidR="00FC752D" w:rsidRPr="00BC4AFE" w:rsidRDefault="00FC752D" w:rsidP="00F86AA9">
            <w:pPr>
              <w:jc w:val="right"/>
              <w:rPr>
                <w:b/>
                <w:bCs/>
                <w:i/>
                <w:iCs/>
                <w:color w:val="000000"/>
                <w:sz w:val="18"/>
                <w:szCs w:val="18"/>
              </w:rPr>
            </w:pPr>
            <w:r w:rsidRPr="00BC4AFE">
              <w:rPr>
                <w:b/>
                <w:bCs/>
                <w:i/>
                <w:iCs/>
                <w:color w:val="000000"/>
                <w:sz w:val="18"/>
                <w:szCs w:val="18"/>
              </w:rPr>
              <w:t>13,027.0</w:t>
            </w:r>
          </w:p>
        </w:tc>
        <w:tc>
          <w:tcPr>
            <w:tcW w:w="1180" w:type="dxa"/>
            <w:tcBorders>
              <w:top w:val="nil"/>
              <w:left w:val="nil"/>
              <w:bottom w:val="single" w:sz="8" w:space="0" w:color="auto"/>
              <w:right w:val="nil"/>
            </w:tcBorders>
            <w:shd w:val="clear" w:color="auto" w:fill="auto"/>
            <w:vAlign w:val="center"/>
            <w:hideMark/>
          </w:tcPr>
          <w:p w14:paraId="6A370963" w14:textId="77777777" w:rsidR="00FC752D" w:rsidRPr="00BC4AFE" w:rsidRDefault="00FC752D" w:rsidP="00F86AA9">
            <w:pPr>
              <w:jc w:val="right"/>
              <w:rPr>
                <w:b/>
                <w:bCs/>
                <w:i/>
                <w:iCs/>
                <w:color w:val="000000"/>
                <w:sz w:val="18"/>
                <w:szCs w:val="18"/>
              </w:rPr>
            </w:pPr>
            <w:r w:rsidRPr="00BC4AFE">
              <w:rPr>
                <w:b/>
                <w:bCs/>
                <w:i/>
                <w:iCs/>
                <w:color w:val="000000"/>
                <w:sz w:val="18"/>
                <w:szCs w:val="18"/>
              </w:rPr>
              <w:t>14,288.4</w:t>
            </w:r>
          </w:p>
        </w:tc>
        <w:tc>
          <w:tcPr>
            <w:tcW w:w="1180" w:type="dxa"/>
            <w:tcBorders>
              <w:top w:val="single" w:sz="8" w:space="0" w:color="auto"/>
              <w:left w:val="nil"/>
              <w:bottom w:val="single" w:sz="8" w:space="0" w:color="auto"/>
              <w:right w:val="nil"/>
            </w:tcBorders>
            <w:shd w:val="clear" w:color="auto" w:fill="auto"/>
            <w:vAlign w:val="center"/>
            <w:hideMark/>
          </w:tcPr>
          <w:p w14:paraId="5C6FFD32" w14:textId="77777777" w:rsidR="00FC752D" w:rsidRPr="00BC4AFE" w:rsidRDefault="00FC752D" w:rsidP="00F86AA9">
            <w:pPr>
              <w:jc w:val="right"/>
              <w:rPr>
                <w:b/>
                <w:bCs/>
                <w:i/>
                <w:iCs/>
                <w:color w:val="000000"/>
                <w:sz w:val="18"/>
                <w:szCs w:val="18"/>
              </w:rPr>
            </w:pPr>
            <w:r w:rsidRPr="00BC4AFE">
              <w:rPr>
                <w:b/>
                <w:bCs/>
                <w:i/>
                <w:iCs/>
                <w:color w:val="000000"/>
                <w:sz w:val="18"/>
                <w:szCs w:val="18"/>
              </w:rPr>
              <w:t>27,315.4</w:t>
            </w:r>
          </w:p>
        </w:tc>
      </w:tr>
    </w:tbl>
    <w:p w14:paraId="7BF82C5E" w14:textId="77777777" w:rsidR="00FC752D" w:rsidRPr="00BC4AFE" w:rsidRDefault="00FC752D" w:rsidP="00EF0C04">
      <w:pPr>
        <w:pStyle w:val="NormalWeb"/>
        <w:spacing w:before="120" w:after="120" w:line="480" w:lineRule="auto"/>
        <w:rPr>
          <w:rFonts w:asciiTheme="majorBidi" w:hAnsiTheme="majorBidi" w:cstheme="majorBidi"/>
          <w:color w:val="000000"/>
          <w:sz w:val="22"/>
          <w:szCs w:val="22"/>
        </w:rPr>
      </w:pPr>
    </w:p>
    <w:p w14:paraId="7ACB0A55" w14:textId="77777777" w:rsidR="00FC752D" w:rsidRPr="00BC4AFE" w:rsidRDefault="00FC752D" w:rsidP="00AA0E75">
      <w:pPr>
        <w:keepNext/>
        <w:spacing w:before="240" w:after="60"/>
        <w:ind w:left="792" w:right="360" w:hanging="792"/>
        <w:rPr>
          <w:rFonts w:asciiTheme="majorBidi" w:hAnsiTheme="majorBidi" w:cstheme="majorBidi"/>
          <w:b/>
          <w:bCs/>
        </w:rPr>
      </w:pPr>
      <w:r w:rsidRPr="00BC4AFE">
        <w:rPr>
          <w:rFonts w:asciiTheme="majorBidi" w:hAnsiTheme="majorBidi" w:cstheme="majorBidi"/>
          <w:b/>
          <w:bCs/>
        </w:rPr>
        <w:lastRenderedPageBreak/>
        <w:t>Table 2. Secretariat staffing requirements from the core budgets of the Convention and its Protocols for 2023-2024</w:t>
      </w:r>
    </w:p>
    <w:tbl>
      <w:tblPr>
        <w:tblW w:w="8550" w:type="dxa"/>
        <w:tblLook w:val="04A0" w:firstRow="1" w:lastRow="0" w:firstColumn="1" w:lastColumn="0" w:noHBand="0" w:noVBand="1"/>
      </w:tblPr>
      <w:tblGrid>
        <w:gridCol w:w="3651"/>
        <w:gridCol w:w="2289"/>
        <w:gridCol w:w="2610"/>
      </w:tblGrid>
      <w:tr w:rsidR="00FC752D" w:rsidRPr="00BC4AFE" w14:paraId="25CCE596" w14:textId="77777777" w:rsidTr="00AA0E75">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5A584634" w14:textId="77777777" w:rsidR="00FC752D" w:rsidRPr="00BC4AFE" w:rsidRDefault="00FC752D" w:rsidP="007B3ECE">
            <w:pPr>
              <w:keepNext/>
              <w:keepLines/>
              <w:suppressLineNumbers/>
              <w:suppressAutoHyphens/>
              <w:spacing w:after="120"/>
              <w:jc w:val="center"/>
              <w:rPr>
                <w:rFonts w:asciiTheme="majorBidi" w:hAnsiTheme="majorBidi" w:cstheme="majorBidi"/>
                <w:b/>
                <w:kern w:val="22"/>
              </w:rPr>
            </w:pPr>
            <w:r w:rsidRPr="00BC4AFE">
              <w:rPr>
                <w:rFonts w:asciiTheme="majorBidi" w:hAnsiTheme="majorBidi" w:cstheme="majorBidi"/>
                <w:b/>
                <w:kern w:val="22"/>
              </w:rPr>
              <w:t>Category and level</w:t>
            </w:r>
          </w:p>
        </w:tc>
        <w:tc>
          <w:tcPr>
            <w:tcW w:w="2289" w:type="dxa"/>
            <w:tcBorders>
              <w:top w:val="single" w:sz="4" w:space="0" w:color="auto"/>
              <w:left w:val="nil"/>
              <w:bottom w:val="single" w:sz="8" w:space="0" w:color="auto"/>
              <w:right w:val="nil"/>
            </w:tcBorders>
            <w:shd w:val="clear" w:color="auto" w:fill="auto"/>
          </w:tcPr>
          <w:p w14:paraId="078A2551" w14:textId="77777777" w:rsidR="00FC752D" w:rsidRPr="00BC4AFE" w:rsidRDefault="00FC752D">
            <w:pPr>
              <w:keepNext/>
              <w:keepLines/>
              <w:suppressLineNumbers/>
              <w:suppressAutoHyphens/>
              <w:spacing w:after="120"/>
              <w:jc w:val="center"/>
              <w:rPr>
                <w:rFonts w:asciiTheme="majorBidi" w:hAnsiTheme="majorBidi" w:cstheme="majorBidi"/>
                <w:b/>
                <w:kern w:val="22"/>
              </w:rPr>
            </w:pPr>
            <w:r w:rsidRPr="00BC4AFE">
              <w:rPr>
                <w:rFonts w:asciiTheme="majorBidi" w:hAnsiTheme="majorBidi" w:cstheme="majorBidi"/>
                <w:b/>
                <w:kern w:val="22"/>
              </w:rPr>
              <w:t>Approved 2022</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59C64188" w14:textId="77777777" w:rsidR="00FC752D" w:rsidRPr="00BC4AFE" w:rsidRDefault="00FC752D" w:rsidP="007B3ECE">
            <w:pPr>
              <w:keepNext/>
              <w:keepLines/>
              <w:suppressLineNumbers/>
              <w:suppressAutoHyphens/>
              <w:spacing w:after="120"/>
              <w:jc w:val="center"/>
              <w:rPr>
                <w:rFonts w:asciiTheme="majorBidi" w:hAnsiTheme="majorBidi" w:cstheme="majorBidi"/>
                <w:b/>
                <w:kern w:val="22"/>
              </w:rPr>
            </w:pPr>
            <w:r w:rsidRPr="00BC4AFE">
              <w:rPr>
                <w:rFonts w:asciiTheme="majorBidi" w:hAnsiTheme="majorBidi" w:cstheme="majorBidi"/>
                <w:b/>
                <w:kern w:val="22"/>
              </w:rPr>
              <w:t>Approved 2023-2024*</w:t>
            </w:r>
          </w:p>
        </w:tc>
      </w:tr>
      <w:tr w:rsidR="00FC752D" w:rsidRPr="00BC4AFE" w14:paraId="12C7F2F7" w14:textId="77777777" w:rsidTr="00AA0E75">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4090638A" w14:textId="77777777" w:rsidR="00FC752D" w:rsidRPr="00BC4AFE" w:rsidRDefault="00FC752D" w:rsidP="00AA0E75">
            <w:pPr>
              <w:keepNext/>
              <w:keepLines/>
              <w:suppressLineNumbers/>
              <w:suppressAutoHyphens/>
              <w:spacing w:before="60" w:after="60"/>
              <w:rPr>
                <w:rFonts w:asciiTheme="majorBidi" w:hAnsiTheme="majorBidi" w:cstheme="majorBidi"/>
                <w:b/>
                <w:kern w:val="22"/>
                <w:sz w:val="20"/>
                <w:szCs w:val="20"/>
              </w:rPr>
            </w:pPr>
            <w:r w:rsidRPr="00BC4AFE">
              <w:rPr>
                <w:rFonts w:asciiTheme="majorBidi" w:hAnsiTheme="majorBidi" w:cstheme="majorBidi"/>
                <w:b/>
                <w:kern w:val="22"/>
                <w:sz w:val="20"/>
                <w:szCs w:val="20"/>
              </w:rPr>
              <w:t>Professional and higher</w:t>
            </w:r>
          </w:p>
        </w:tc>
        <w:tc>
          <w:tcPr>
            <w:tcW w:w="2289" w:type="dxa"/>
            <w:tcBorders>
              <w:top w:val="nil"/>
              <w:left w:val="nil"/>
              <w:bottom w:val="nil"/>
              <w:right w:val="nil"/>
            </w:tcBorders>
            <w:shd w:val="clear" w:color="auto" w:fill="auto"/>
          </w:tcPr>
          <w:p w14:paraId="7E4779E0"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p>
        </w:tc>
        <w:tc>
          <w:tcPr>
            <w:tcW w:w="2610" w:type="dxa"/>
            <w:tcBorders>
              <w:top w:val="nil"/>
              <w:left w:val="nil"/>
              <w:bottom w:val="nil"/>
              <w:right w:val="nil"/>
            </w:tcBorders>
            <w:tcMar>
              <w:top w:w="14" w:type="dxa"/>
              <w:left w:w="115" w:type="dxa"/>
              <w:bottom w:w="14" w:type="dxa"/>
              <w:right w:w="115" w:type="dxa"/>
            </w:tcMar>
            <w:vAlign w:val="center"/>
            <w:hideMark/>
          </w:tcPr>
          <w:p w14:paraId="171B70ED"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p>
        </w:tc>
      </w:tr>
      <w:tr w:rsidR="00FC752D" w:rsidRPr="00BC4AFE" w14:paraId="571462CC"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BC0B06B"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ASG</w:t>
            </w:r>
          </w:p>
        </w:tc>
        <w:tc>
          <w:tcPr>
            <w:tcW w:w="2289" w:type="dxa"/>
            <w:tcBorders>
              <w:top w:val="nil"/>
              <w:left w:val="nil"/>
              <w:bottom w:val="nil"/>
              <w:right w:val="nil"/>
            </w:tcBorders>
            <w:shd w:val="clear" w:color="auto" w:fill="auto"/>
          </w:tcPr>
          <w:p w14:paraId="4A3CC5AC"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w:t>
            </w:r>
          </w:p>
        </w:tc>
        <w:tc>
          <w:tcPr>
            <w:tcW w:w="2610" w:type="dxa"/>
            <w:tcBorders>
              <w:top w:val="nil"/>
              <w:left w:val="nil"/>
              <w:bottom w:val="nil"/>
              <w:right w:val="nil"/>
            </w:tcBorders>
            <w:tcMar>
              <w:top w:w="14" w:type="dxa"/>
              <w:left w:w="115" w:type="dxa"/>
              <w:bottom w:w="14" w:type="dxa"/>
              <w:right w:w="115" w:type="dxa"/>
            </w:tcMar>
            <w:vAlign w:val="center"/>
            <w:hideMark/>
          </w:tcPr>
          <w:p w14:paraId="1878384B"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w:t>
            </w:r>
          </w:p>
        </w:tc>
      </w:tr>
      <w:tr w:rsidR="00FC752D" w:rsidRPr="00BC4AFE" w14:paraId="2F6AE125"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41F05E0"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D-1</w:t>
            </w:r>
          </w:p>
        </w:tc>
        <w:tc>
          <w:tcPr>
            <w:tcW w:w="2289" w:type="dxa"/>
            <w:tcBorders>
              <w:top w:val="nil"/>
              <w:left w:val="nil"/>
              <w:bottom w:val="nil"/>
              <w:right w:val="nil"/>
            </w:tcBorders>
            <w:shd w:val="clear" w:color="auto" w:fill="auto"/>
          </w:tcPr>
          <w:p w14:paraId="75312D13"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3</w:t>
            </w:r>
          </w:p>
        </w:tc>
        <w:tc>
          <w:tcPr>
            <w:tcW w:w="2610" w:type="dxa"/>
            <w:tcBorders>
              <w:top w:val="nil"/>
              <w:left w:val="nil"/>
              <w:bottom w:val="nil"/>
              <w:right w:val="nil"/>
            </w:tcBorders>
            <w:tcMar>
              <w:top w:w="14" w:type="dxa"/>
              <w:left w:w="115" w:type="dxa"/>
              <w:bottom w:w="14" w:type="dxa"/>
              <w:right w:w="115" w:type="dxa"/>
            </w:tcMar>
            <w:vAlign w:val="center"/>
            <w:hideMark/>
          </w:tcPr>
          <w:p w14:paraId="7A9B35C6"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3</w:t>
            </w:r>
          </w:p>
        </w:tc>
      </w:tr>
      <w:tr w:rsidR="00FC752D" w:rsidRPr="00BC4AFE" w14:paraId="200E4A9F"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24C17CB"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P-5</w:t>
            </w:r>
          </w:p>
        </w:tc>
        <w:tc>
          <w:tcPr>
            <w:tcW w:w="2289" w:type="dxa"/>
            <w:tcBorders>
              <w:top w:val="nil"/>
              <w:left w:val="nil"/>
              <w:bottom w:val="nil"/>
              <w:right w:val="nil"/>
            </w:tcBorders>
            <w:shd w:val="clear" w:color="auto" w:fill="auto"/>
          </w:tcPr>
          <w:p w14:paraId="2C3987EF"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c>
          <w:tcPr>
            <w:tcW w:w="2610" w:type="dxa"/>
            <w:tcBorders>
              <w:top w:val="nil"/>
              <w:left w:val="nil"/>
              <w:bottom w:val="nil"/>
              <w:right w:val="nil"/>
            </w:tcBorders>
            <w:tcMar>
              <w:top w:w="14" w:type="dxa"/>
              <w:left w:w="115" w:type="dxa"/>
              <w:bottom w:w="14" w:type="dxa"/>
              <w:right w:w="115" w:type="dxa"/>
            </w:tcMar>
            <w:vAlign w:val="center"/>
            <w:hideMark/>
          </w:tcPr>
          <w:p w14:paraId="3620B6B7"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r>
      <w:tr w:rsidR="00FC752D" w:rsidRPr="00BC4AFE" w14:paraId="1830A415"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F517BD1"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P-4</w:t>
            </w:r>
          </w:p>
        </w:tc>
        <w:tc>
          <w:tcPr>
            <w:tcW w:w="2289" w:type="dxa"/>
            <w:tcBorders>
              <w:top w:val="nil"/>
              <w:left w:val="nil"/>
              <w:bottom w:val="nil"/>
              <w:right w:val="nil"/>
            </w:tcBorders>
            <w:shd w:val="clear" w:color="auto" w:fill="auto"/>
          </w:tcPr>
          <w:p w14:paraId="5407FAC2"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512BCBA7"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14</w:t>
            </w:r>
          </w:p>
        </w:tc>
      </w:tr>
      <w:tr w:rsidR="00FC752D" w:rsidRPr="00BC4AFE" w14:paraId="65C72756"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D136803"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P-3</w:t>
            </w:r>
          </w:p>
        </w:tc>
        <w:tc>
          <w:tcPr>
            <w:tcW w:w="2289" w:type="dxa"/>
            <w:tcBorders>
              <w:top w:val="nil"/>
              <w:left w:val="nil"/>
              <w:bottom w:val="nil"/>
              <w:right w:val="nil"/>
            </w:tcBorders>
            <w:shd w:val="clear" w:color="auto" w:fill="auto"/>
          </w:tcPr>
          <w:p w14:paraId="0C89FF47"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25130583"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15</w:t>
            </w:r>
          </w:p>
        </w:tc>
      </w:tr>
      <w:tr w:rsidR="00FC752D" w:rsidRPr="00BC4AFE" w14:paraId="2B8986DA" w14:textId="77777777" w:rsidTr="00AA0E7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43D09A7" w14:textId="77777777" w:rsidR="00FC752D" w:rsidRPr="00BC4AFE" w:rsidRDefault="00FC752D" w:rsidP="00AA0E75">
            <w:pPr>
              <w:keepNext/>
              <w:keepLines/>
              <w:suppressLineNumbers/>
              <w:suppressAutoHyphens/>
              <w:spacing w:before="60" w:after="60"/>
              <w:rPr>
                <w:rFonts w:asciiTheme="majorBidi" w:hAnsiTheme="majorBidi" w:cstheme="majorBidi"/>
                <w:kern w:val="22"/>
                <w:sz w:val="20"/>
                <w:szCs w:val="20"/>
              </w:rPr>
            </w:pPr>
            <w:r w:rsidRPr="00BC4AFE">
              <w:rPr>
                <w:rFonts w:asciiTheme="majorBidi" w:hAnsiTheme="majorBidi" w:cstheme="majorBidi"/>
                <w:kern w:val="22"/>
                <w:sz w:val="20"/>
                <w:szCs w:val="20"/>
              </w:rPr>
              <w:t>P-2/1</w:t>
            </w:r>
          </w:p>
        </w:tc>
        <w:tc>
          <w:tcPr>
            <w:tcW w:w="2289" w:type="dxa"/>
            <w:tcBorders>
              <w:top w:val="nil"/>
              <w:left w:val="nil"/>
              <w:bottom w:val="nil"/>
              <w:right w:val="nil"/>
            </w:tcBorders>
            <w:shd w:val="clear" w:color="auto" w:fill="auto"/>
          </w:tcPr>
          <w:p w14:paraId="54A8055D"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9</w:t>
            </w:r>
          </w:p>
        </w:tc>
        <w:tc>
          <w:tcPr>
            <w:tcW w:w="2610" w:type="dxa"/>
            <w:tcBorders>
              <w:top w:val="nil"/>
              <w:left w:val="nil"/>
              <w:bottom w:val="nil"/>
              <w:right w:val="nil"/>
            </w:tcBorders>
            <w:tcMar>
              <w:top w:w="14" w:type="dxa"/>
              <w:left w:w="115" w:type="dxa"/>
              <w:bottom w:w="14" w:type="dxa"/>
              <w:right w:w="115" w:type="dxa"/>
            </w:tcMar>
            <w:vAlign w:val="center"/>
            <w:hideMark/>
          </w:tcPr>
          <w:p w14:paraId="4CE29561"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10</w:t>
            </w:r>
          </w:p>
        </w:tc>
      </w:tr>
      <w:tr w:rsidR="00FC752D" w:rsidRPr="00BC4AFE" w14:paraId="617C4FAD" w14:textId="77777777" w:rsidTr="00AA0E75">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56072027" w14:textId="77777777" w:rsidR="00FC752D" w:rsidRPr="00BC4AFE" w:rsidRDefault="00FC752D" w:rsidP="00AA0E75">
            <w:pPr>
              <w:keepNext/>
              <w:keepLines/>
              <w:suppressLineNumbers/>
              <w:suppressAutoHyphens/>
              <w:spacing w:before="60" w:after="60"/>
              <w:rPr>
                <w:rFonts w:asciiTheme="majorBidi" w:hAnsiTheme="majorBidi" w:cstheme="majorBidi"/>
                <w:b/>
                <w:kern w:val="22"/>
                <w:sz w:val="20"/>
                <w:szCs w:val="20"/>
              </w:rPr>
            </w:pPr>
            <w:r w:rsidRPr="00BC4AFE">
              <w:rPr>
                <w:rFonts w:asciiTheme="majorBidi" w:hAnsiTheme="majorBidi" w:cstheme="majorBidi"/>
                <w:b/>
                <w:kern w:val="22"/>
                <w:sz w:val="20"/>
                <w:szCs w:val="20"/>
              </w:rPr>
              <w:t>Subtotal</w:t>
            </w:r>
          </w:p>
        </w:tc>
        <w:tc>
          <w:tcPr>
            <w:tcW w:w="2289" w:type="dxa"/>
            <w:tcBorders>
              <w:top w:val="single" w:sz="8" w:space="0" w:color="auto"/>
              <w:left w:val="nil"/>
              <w:bottom w:val="single" w:sz="8" w:space="0" w:color="auto"/>
              <w:right w:val="nil"/>
            </w:tcBorders>
            <w:shd w:val="clear" w:color="auto" w:fill="auto"/>
          </w:tcPr>
          <w:p w14:paraId="6A695287"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6590077E"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53</w:t>
            </w:r>
          </w:p>
        </w:tc>
      </w:tr>
      <w:tr w:rsidR="00FC752D" w:rsidRPr="00BC4AFE" w14:paraId="335EAB57" w14:textId="77777777" w:rsidTr="00AA0E75">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909970E" w14:textId="77777777" w:rsidR="00FC752D" w:rsidRPr="00BC4AFE" w:rsidRDefault="00FC752D" w:rsidP="00AA0E75">
            <w:pPr>
              <w:keepNext/>
              <w:keepLines/>
              <w:suppressLineNumbers/>
              <w:suppressAutoHyphens/>
              <w:spacing w:before="60" w:after="60"/>
              <w:rPr>
                <w:rFonts w:asciiTheme="majorBidi" w:hAnsiTheme="majorBidi" w:cstheme="majorBidi"/>
                <w:b/>
                <w:kern w:val="22"/>
                <w:sz w:val="20"/>
                <w:szCs w:val="20"/>
              </w:rPr>
            </w:pPr>
            <w:r w:rsidRPr="00BC4AFE">
              <w:rPr>
                <w:rFonts w:asciiTheme="majorBidi" w:hAnsiTheme="majorBidi" w:cstheme="majorBidi"/>
                <w:b/>
                <w:kern w:val="22"/>
                <w:sz w:val="20"/>
                <w:szCs w:val="20"/>
              </w:rPr>
              <w:t>General Service</w:t>
            </w:r>
          </w:p>
        </w:tc>
        <w:tc>
          <w:tcPr>
            <w:tcW w:w="2289" w:type="dxa"/>
            <w:tcBorders>
              <w:top w:val="nil"/>
              <w:left w:val="nil"/>
              <w:bottom w:val="single" w:sz="8" w:space="0" w:color="auto"/>
              <w:right w:val="nil"/>
            </w:tcBorders>
            <w:shd w:val="clear" w:color="auto" w:fill="auto"/>
          </w:tcPr>
          <w:p w14:paraId="7FF4F3E9"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733E2D59"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kern w:val="22"/>
                <w:sz w:val="20"/>
                <w:szCs w:val="20"/>
              </w:rPr>
            </w:pPr>
            <w:r w:rsidRPr="00BC4AFE">
              <w:rPr>
                <w:rFonts w:asciiTheme="majorBidi" w:hAnsiTheme="majorBidi" w:cstheme="majorBidi"/>
                <w:kern w:val="22"/>
                <w:sz w:val="20"/>
                <w:szCs w:val="20"/>
              </w:rPr>
              <w:t>29</w:t>
            </w:r>
          </w:p>
        </w:tc>
      </w:tr>
      <w:tr w:rsidR="00FC752D" w:rsidRPr="00BC4AFE" w14:paraId="46FEF016" w14:textId="77777777" w:rsidTr="00AA0E75">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51DFF3C2" w14:textId="77777777" w:rsidR="00FC752D" w:rsidRPr="00BC4AFE" w:rsidRDefault="00FC752D" w:rsidP="00AA0E75">
            <w:pPr>
              <w:keepNext/>
              <w:keepLines/>
              <w:suppressLineNumbers/>
              <w:suppressAutoHyphens/>
              <w:spacing w:before="60" w:after="60"/>
              <w:rPr>
                <w:rFonts w:asciiTheme="majorBidi" w:hAnsiTheme="majorBidi" w:cstheme="majorBidi"/>
                <w:b/>
                <w:kern w:val="22"/>
                <w:sz w:val="20"/>
                <w:szCs w:val="20"/>
              </w:rPr>
            </w:pPr>
            <w:r w:rsidRPr="00BC4AFE">
              <w:rPr>
                <w:rFonts w:asciiTheme="majorBidi" w:hAnsiTheme="majorBidi" w:cstheme="majorBidi"/>
                <w:b/>
                <w:kern w:val="22"/>
                <w:sz w:val="20"/>
                <w:szCs w:val="20"/>
              </w:rPr>
              <w:t>Total</w:t>
            </w:r>
          </w:p>
        </w:tc>
        <w:tc>
          <w:tcPr>
            <w:tcW w:w="2289" w:type="dxa"/>
            <w:tcBorders>
              <w:top w:val="single" w:sz="8" w:space="0" w:color="auto"/>
              <w:left w:val="nil"/>
              <w:bottom w:val="single" w:sz="4" w:space="0" w:color="auto"/>
              <w:right w:val="nil"/>
            </w:tcBorders>
            <w:shd w:val="clear" w:color="auto" w:fill="auto"/>
          </w:tcPr>
          <w:p w14:paraId="17973A70"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1FA98FD0" w14:textId="77777777" w:rsidR="00FC752D" w:rsidRPr="00BC4AFE" w:rsidRDefault="00FC752D" w:rsidP="00AA0E75">
            <w:pPr>
              <w:keepNext/>
              <w:keepLines/>
              <w:suppressLineNumbers/>
              <w:suppressAutoHyphens/>
              <w:spacing w:before="60" w:after="60"/>
              <w:ind w:right="432"/>
              <w:jc w:val="right"/>
              <w:rPr>
                <w:rFonts w:asciiTheme="majorBidi" w:hAnsiTheme="majorBidi" w:cstheme="majorBidi"/>
                <w:b/>
                <w:kern w:val="22"/>
                <w:sz w:val="20"/>
                <w:szCs w:val="20"/>
              </w:rPr>
            </w:pPr>
            <w:r w:rsidRPr="00BC4AFE">
              <w:rPr>
                <w:rFonts w:asciiTheme="majorBidi" w:hAnsiTheme="majorBidi" w:cstheme="majorBidi"/>
                <w:b/>
                <w:kern w:val="22"/>
                <w:sz w:val="20"/>
                <w:szCs w:val="20"/>
              </w:rPr>
              <w:t>82</w:t>
            </w:r>
          </w:p>
        </w:tc>
      </w:tr>
      <w:tr w:rsidR="00FC752D" w:rsidRPr="00BC4AFE" w14:paraId="58BAB6E1" w14:textId="77777777" w:rsidTr="00AA0E75">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3D4D4772" w14:textId="77777777" w:rsidR="00FC752D" w:rsidRPr="00BC4AFE" w:rsidRDefault="00FC752D" w:rsidP="00AA0E75">
            <w:pPr>
              <w:keepNext/>
              <w:keepLines/>
              <w:suppressLineNumbers/>
              <w:suppressAutoHyphens/>
              <w:ind w:right="432"/>
              <w:rPr>
                <w:rFonts w:asciiTheme="majorBidi" w:hAnsiTheme="majorBidi" w:cstheme="majorBidi"/>
                <w:bCs/>
                <w:kern w:val="22"/>
                <w:sz w:val="18"/>
                <w:szCs w:val="18"/>
              </w:rPr>
            </w:pPr>
            <w:r w:rsidRPr="00BC4AFE">
              <w:rPr>
                <w:rFonts w:asciiTheme="majorBidi" w:hAnsiTheme="majorBidi" w:cstheme="majorBidi"/>
                <w:bCs/>
                <w:kern w:val="22"/>
                <w:sz w:val="18"/>
                <w:szCs w:val="18"/>
              </w:rPr>
              <w:t>* New posts approved by COP 15: Programme Management Officer - Results-based budgeting (P-4); Programme Management Officer – Monitoring (P-3); Programme Officer Biosafety Clearing-House (P-3); Associate Finance Officer (P-2)</w:t>
            </w:r>
          </w:p>
        </w:tc>
      </w:tr>
    </w:tbl>
    <w:p w14:paraId="351129D5" w14:textId="77777777" w:rsidR="00FC752D" w:rsidRPr="00BC4AFE" w:rsidRDefault="00FC752D" w:rsidP="0028225A">
      <w:pPr>
        <w:keepNext/>
        <w:spacing w:before="240" w:after="60"/>
        <w:ind w:left="806" w:hanging="806"/>
        <w:rPr>
          <w:rFonts w:asciiTheme="majorBidi" w:hAnsiTheme="majorBidi" w:cstheme="majorBidi"/>
          <w:b/>
          <w:bCs/>
        </w:rPr>
      </w:pPr>
      <w:r w:rsidRPr="00BC4AFE">
        <w:rPr>
          <w:rFonts w:asciiTheme="majorBidi" w:hAnsiTheme="majorBidi" w:cstheme="majorBidi"/>
          <w:b/>
          <w:bCs/>
        </w:rPr>
        <w:t>Table 3. Resource requirements from the Special Voluntary Trust Fund (BE) for Contributions in Support of Additional Approved Activities of the Convention on Biological Diversity and its Protocols for the period 2023-2024</w:t>
      </w:r>
    </w:p>
    <w:tbl>
      <w:tblPr>
        <w:tblW w:w="9445" w:type="dxa"/>
        <w:jc w:val="center"/>
        <w:tblLook w:val="04A0" w:firstRow="1" w:lastRow="0" w:firstColumn="1" w:lastColumn="0" w:noHBand="0" w:noVBand="1"/>
      </w:tblPr>
      <w:tblGrid>
        <w:gridCol w:w="6565"/>
        <w:gridCol w:w="2880"/>
      </w:tblGrid>
      <w:tr w:rsidR="00FC752D" w:rsidRPr="00BC4AFE" w14:paraId="02365C8B" w14:textId="77777777" w:rsidTr="00A60395">
        <w:trPr>
          <w:trHeight w:val="255"/>
          <w:jc w:val="center"/>
        </w:trPr>
        <w:tc>
          <w:tcPr>
            <w:tcW w:w="9445" w:type="dxa"/>
            <w:gridSpan w:val="2"/>
            <w:shd w:val="clear" w:color="auto" w:fill="auto"/>
            <w:noWrap/>
            <w:vAlign w:val="bottom"/>
          </w:tcPr>
          <w:p w14:paraId="6E7E8DBE" w14:textId="77777777" w:rsidR="00FC752D" w:rsidRPr="00BC4AFE" w:rsidRDefault="00FC752D" w:rsidP="0004777E">
            <w:pPr>
              <w:keepNext/>
              <w:spacing w:before="120" w:after="120"/>
              <w:jc w:val="center"/>
              <w:rPr>
                <w:b/>
                <w:bCs/>
                <w:color w:val="000000"/>
                <w:lang w:eastAsia="en-CA"/>
              </w:rPr>
            </w:pPr>
            <w:r w:rsidRPr="00BC4AFE">
              <w:rPr>
                <w:b/>
                <w:bCs/>
                <w:color w:val="000000"/>
                <w:lang w:eastAsia="en-CA"/>
              </w:rPr>
              <w:t>A.</w:t>
            </w:r>
            <w:r w:rsidRPr="00BC4AFE">
              <w:rPr>
                <w:b/>
                <w:color w:val="000000" w:themeColor="text1"/>
                <w:kern w:val="20"/>
                <w:sz w:val="24"/>
                <w:szCs w:val="28"/>
                <w:lang w:eastAsia="en-CA"/>
              </w:rPr>
              <w:tab/>
            </w:r>
            <w:r w:rsidRPr="00BC4AFE">
              <w:rPr>
                <w:b/>
                <w:bCs/>
                <w:color w:val="000000"/>
                <w:lang w:eastAsia="en-CA"/>
              </w:rPr>
              <w:t>Convention on Biological Diversity</w:t>
            </w:r>
          </w:p>
          <w:p w14:paraId="0810A92A" w14:textId="77777777" w:rsidR="00FC752D" w:rsidRPr="00BC4AFE" w:rsidRDefault="00FC752D" w:rsidP="00E01BB0">
            <w:pPr>
              <w:keepNext/>
              <w:spacing w:after="120"/>
              <w:jc w:val="center"/>
              <w:rPr>
                <w:b/>
                <w:bCs/>
                <w:color w:val="000000"/>
                <w:sz w:val="20"/>
                <w:szCs w:val="20"/>
                <w:lang w:eastAsia="en-CA"/>
              </w:rPr>
            </w:pPr>
            <w:r w:rsidRPr="00BC4AFE">
              <w:rPr>
                <w:color w:val="000000" w:themeColor="text1"/>
                <w:kern w:val="20"/>
                <w:sz w:val="20"/>
                <w:szCs w:val="20"/>
                <w:lang w:eastAsia="en-CA"/>
              </w:rPr>
              <w:t>(</w:t>
            </w:r>
            <w:r w:rsidRPr="00BC4AFE">
              <w:rPr>
                <w:i/>
                <w:color w:val="000000" w:themeColor="text1"/>
                <w:kern w:val="20"/>
                <w:sz w:val="20"/>
                <w:szCs w:val="20"/>
                <w:lang w:eastAsia="en-CA"/>
              </w:rPr>
              <w:t>United States dollars</w:t>
            </w:r>
            <w:r w:rsidRPr="00BC4AFE">
              <w:rPr>
                <w:color w:val="000000" w:themeColor="text1"/>
                <w:kern w:val="20"/>
                <w:sz w:val="20"/>
                <w:szCs w:val="20"/>
                <w:lang w:eastAsia="en-CA"/>
              </w:rPr>
              <w:t>)</w:t>
            </w:r>
          </w:p>
        </w:tc>
      </w:tr>
      <w:tr w:rsidR="00FC752D" w:rsidRPr="00BC4AFE" w14:paraId="267E11D0" w14:textId="77777777" w:rsidTr="00A60395">
        <w:trPr>
          <w:trHeight w:val="255"/>
          <w:jc w:val="center"/>
        </w:trPr>
        <w:tc>
          <w:tcPr>
            <w:tcW w:w="6565" w:type="dxa"/>
            <w:tcBorders>
              <w:top w:val="single" w:sz="4" w:space="0" w:color="auto"/>
            </w:tcBorders>
            <w:shd w:val="clear" w:color="auto" w:fill="auto"/>
            <w:noWrap/>
            <w:vAlign w:val="bottom"/>
            <w:hideMark/>
          </w:tcPr>
          <w:p w14:paraId="7A890161"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Consultancy and other contracts</w:t>
            </w:r>
          </w:p>
        </w:tc>
        <w:tc>
          <w:tcPr>
            <w:tcW w:w="2880" w:type="dxa"/>
            <w:tcBorders>
              <w:top w:val="single" w:sz="4" w:space="0" w:color="auto"/>
            </w:tcBorders>
            <w:shd w:val="clear" w:color="auto" w:fill="auto"/>
            <w:noWrap/>
            <w:vAlign w:val="bottom"/>
            <w:hideMark/>
          </w:tcPr>
          <w:p w14:paraId="7506F1FB" w14:textId="77777777" w:rsidR="00FC752D" w:rsidRPr="00BC4AFE" w:rsidRDefault="00FC752D" w:rsidP="00E01BB0">
            <w:pPr>
              <w:jc w:val="right"/>
              <w:rPr>
                <w:b/>
                <w:bCs/>
                <w:color w:val="000000"/>
                <w:sz w:val="20"/>
                <w:szCs w:val="20"/>
                <w:lang w:val="en-CA" w:eastAsia="en-CA"/>
              </w:rPr>
            </w:pPr>
          </w:p>
        </w:tc>
      </w:tr>
      <w:tr w:rsidR="00FC752D" w:rsidRPr="00BC4AFE" w14:paraId="6FDA0EEA" w14:textId="77777777" w:rsidTr="00A60395">
        <w:trPr>
          <w:trHeight w:val="255"/>
          <w:jc w:val="center"/>
        </w:trPr>
        <w:tc>
          <w:tcPr>
            <w:tcW w:w="6565" w:type="dxa"/>
            <w:shd w:val="clear" w:color="auto" w:fill="auto"/>
            <w:noWrap/>
            <w:vAlign w:val="bottom"/>
            <w:hideMark/>
          </w:tcPr>
          <w:p w14:paraId="4D7E1421"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Article 8(j)</w:t>
            </w:r>
          </w:p>
        </w:tc>
        <w:tc>
          <w:tcPr>
            <w:tcW w:w="2880" w:type="dxa"/>
            <w:shd w:val="clear" w:color="auto" w:fill="auto"/>
            <w:noWrap/>
            <w:vAlign w:val="bottom"/>
            <w:hideMark/>
          </w:tcPr>
          <w:p w14:paraId="78D71F5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5E1DF5EB" w14:textId="77777777" w:rsidTr="00A60395">
        <w:trPr>
          <w:trHeight w:val="255"/>
          <w:jc w:val="center"/>
        </w:trPr>
        <w:tc>
          <w:tcPr>
            <w:tcW w:w="6565" w:type="dxa"/>
            <w:shd w:val="clear" w:color="auto" w:fill="auto"/>
            <w:noWrap/>
            <w:vAlign w:val="bottom"/>
            <w:hideMark/>
          </w:tcPr>
          <w:p w14:paraId="1B7B1DC6"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Business and mainstreaming</w:t>
            </w:r>
          </w:p>
        </w:tc>
        <w:tc>
          <w:tcPr>
            <w:tcW w:w="2880" w:type="dxa"/>
            <w:shd w:val="clear" w:color="auto" w:fill="auto"/>
            <w:noWrap/>
            <w:vAlign w:val="bottom"/>
            <w:hideMark/>
          </w:tcPr>
          <w:p w14:paraId="5D31E4A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002AD329" w14:textId="77777777" w:rsidTr="00A60395">
        <w:trPr>
          <w:trHeight w:val="255"/>
          <w:jc w:val="center"/>
        </w:trPr>
        <w:tc>
          <w:tcPr>
            <w:tcW w:w="6565" w:type="dxa"/>
            <w:shd w:val="clear" w:color="auto" w:fill="auto"/>
            <w:noWrap/>
            <w:vAlign w:val="bottom"/>
            <w:hideMark/>
          </w:tcPr>
          <w:p w14:paraId="3E701FFF"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Capacity-building and technical and scientific cooperation</w:t>
            </w:r>
          </w:p>
        </w:tc>
        <w:tc>
          <w:tcPr>
            <w:tcW w:w="2880" w:type="dxa"/>
            <w:shd w:val="clear" w:color="auto" w:fill="auto"/>
            <w:noWrap/>
            <w:vAlign w:val="bottom"/>
            <w:hideMark/>
          </w:tcPr>
          <w:p w14:paraId="6E885B7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486,000</w:t>
            </w:r>
          </w:p>
        </w:tc>
      </w:tr>
      <w:tr w:rsidR="00FC752D" w:rsidRPr="00BC4AFE" w14:paraId="06F7080C" w14:textId="77777777" w:rsidTr="00A60395">
        <w:trPr>
          <w:trHeight w:val="255"/>
          <w:jc w:val="center"/>
        </w:trPr>
        <w:tc>
          <w:tcPr>
            <w:tcW w:w="6565" w:type="dxa"/>
            <w:shd w:val="clear" w:color="auto" w:fill="auto"/>
            <w:noWrap/>
            <w:vAlign w:val="bottom"/>
            <w:hideMark/>
          </w:tcPr>
          <w:p w14:paraId="05F36C0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Communication</w:t>
            </w:r>
          </w:p>
        </w:tc>
        <w:tc>
          <w:tcPr>
            <w:tcW w:w="2880" w:type="dxa"/>
            <w:shd w:val="clear" w:color="auto" w:fill="auto"/>
            <w:noWrap/>
            <w:vAlign w:val="bottom"/>
            <w:hideMark/>
          </w:tcPr>
          <w:p w14:paraId="6684928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420,000</w:t>
            </w:r>
          </w:p>
        </w:tc>
      </w:tr>
      <w:tr w:rsidR="00FC752D" w:rsidRPr="00BC4AFE" w14:paraId="5CB1DC50" w14:textId="77777777" w:rsidTr="00A60395">
        <w:trPr>
          <w:trHeight w:val="255"/>
          <w:jc w:val="center"/>
        </w:trPr>
        <w:tc>
          <w:tcPr>
            <w:tcW w:w="6565" w:type="dxa"/>
            <w:shd w:val="clear" w:color="auto" w:fill="auto"/>
            <w:noWrap/>
            <w:vAlign w:val="bottom"/>
            <w:hideMark/>
          </w:tcPr>
          <w:p w14:paraId="4DFC795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69C8F02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52,000</w:t>
            </w:r>
          </w:p>
        </w:tc>
      </w:tr>
      <w:tr w:rsidR="00FC752D" w:rsidRPr="00BC4AFE" w14:paraId="0336663C" w14:textId="77777777" w:rsidTr="00A60395">
        <w:trPr>
          <w:trHeight w:val="255"/>
          <w:jc w:val="center"/>
        </w:trPr>
        <w:tc>
          <w:tcPr>
            <w:tcW w:w="6565" w:type="dxa"/>
            <w:shd w:val="clear" w:color="auto" w:fill="auto"/>
            <w:noWrap/>
            <w:vAlign w:val="bottom"/>
            <w:hideMark/>
          </w:tcPr>
          <w:p w14:paraId="2E5DC23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Cooperation with other conventions and international organizations</w:t>
            </w:r>
          </w:p>
        </w:tc>
        <w:tc>
          <w:tcPr>
            <w:tcW w:w="2880" w:type="dxa"/>
            <w:shd w:val="clear" w:color="auto" w:fill="auto"/>
            <w:noWrap/>
            <w:vAlign w:val="bottom"/>
            <w:hideMark/>
          </w:tcPr>
          <w:p w14:paraId="5DF10AC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39B4C5B5" w14:textId="77777777" w:rsidTr="00A60395">
        <w:trPr>
          <w:trHeight w:val="255"/>
          <w:jc w:val="center"/>
        </w:trPr>
        <w:tc>
          <w:tcPr>
            <w:tcW w:w="6565" w:type="dxa"/>
            <w:shd w:val="clear" w:color="auto" w:fill="auto"/>
            <w:noWrap/>
            <w:vAlign w:val="bottom"/>
            <w:hideMark/>
          </w:tcPr>
          <w:p w14:paraId="58FCB04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Digital sequence information on genetic resources</w:t>
            </w:r>
            <w:r>
              <w:rPr>
                <w:color w:val="000000"/>
                <w:sz w:val="20"/>
                <w:szCs w:val="20"/>
                <w:lang w:val="en-CA" w:eastAsia="en-CA"/>
              </w:rPr>
              <w:t xml:space="preserve"> (Studies)</w:t>
            </w:r>
          </w:p>
        </w:tc>
        <w:tc>
          <w:tcPr>
            <w:tcW w:w="2880" w:type="dxa"/>
            <w:shd w:val="clear" w:color="auto" w:fill="auto"/>
            <w:noWrap/>
            <w:vAlign w:val="bottom"/>
            <w:hideMark/>
          </w:tcPr>
          <w:p w14:paraId="7103CBF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405,000</w:t>
            </w:r>
          </w:p>
        </w:tc>
      </w:tr>
      <w:tr w:rsidR="00FC752D" w:rsidRPr="00BC4AFE" w14:paraId="080459C6" w14:textId="77777777" w:rsidTr="0063480F">
        <w:trPr>
          <w:trHeight w:val="255"/>
          <w:jc w:val="center"/>
        </w:trPr>
        <w:tc>
          <w:tcPr>
            <w:tcW w:w="6565" w:type="dxa"/>
            <w:shd w:val="clear" w:color="auto" w:fill="auto"/>
            <w:noWrap/>
            <w:vAlign w:val="bottom"/>
            <w:hideMark/>
          </w:tcPr>
          <w:p w14:paraId="671177B5" w14:textId="77777777" w:rsidR="00FC752D" w:rsidRPr="00BC4AFE" w:rsidRDefault="00FC752D" w:rsidP="0063480F">
            <w:pPr>
              <w:rPr>
                <w:color w:val="000000"/>
                <w:sz w:val="20"/>
                <w:szCs w:val="20"/>
                <w:lang w:val="en-CA" w:eastAsia="en-CA"/>
              </w:rPr>
            </w:pPr>
            <w:r w:rsidRPr="00BC4AFE">
              <w:rPr>
                <w:color w:val="000000"/>
                <w:sz w:val="20"/>
                <w:szCs w:val="20"/>
                <w:lang w:val="en-CA" w:eastAsia="en-CA"/>
              </w:rPr>
              <w:t>Digital sequence information on genetic resources</w:t>
            </w:r>
            <w:r>
              <w:rPr>
                <w:color w:val="000000"/>
                <w:sz w:val="20"/>
                <w:szCs w:val="20"/>
                <w:lang w:val="en-CA" w:eastAsia="en-CA"/>
              </w:rPr>
              <w:t xml:space="preserve"> (General support)</w:t>
            </w:r>
          </w:p>
        </w:tc>
        <w:tc>
          <w:tcPr>
            <w:tcW w:w="2880" w:type="dxa"/>
            <w:shd w:val="clear" w:color="auto" w:fill="auto"/>
            <w:noWrap/>
            <w:vAlign w:val="bottom"/>
            <w:hideMark/>
          </w:tcPr>
          <w:p w14:paraId="242A5B7C" w14:textId="77777777" w:rsidR="00FC752D" w:rsidRPr="00BC4AFE" w:rsidRDefault="00FC752D" w:rsidP="0063480F">
            <w:pPr>
              <w:jc w:val="right"/>
              <w:rPr>
                <w:color w:val="000000"/>
                <w:sz w:val="20"/>
                <w:szCs w:val="20"/>
                <w:lang w:val="en-CA" w:eastAsia="en-CA"/>
              </w:rPr>
            </w:pPr>
            <w:r w:rsidRPr="00BC4AFE">
              <w:rPr>
                <w:color w:val="000000"/>
                <w:sz w:val="20"/>
                <w:szCs w:val="20"/>
                <w:lang w:val="en-CA" w:eastAsia="en-CA"/>
              </w:rPr>
              <w:t>5</w:t>
            </w:r>
            <w:r>
              <w:rPr>
                <w:color w:val="000000"/>
                <w:sz w:val="20"/>
                <w:szCs w:val="20"/>
                <w:lang w:val="en-CA" w:eastAsia="en-CA"/>
              </w:rPr>
              <w:t>2</w:t>
            </w:r>
            <w:r w:rsidRPr="00BC4AFE">
              <w:rPr>
                <w:color w:val="000000"/>
                <w:sz w:val="20"/>
                <w:szCs w:val="20"/>
                <w:lang w:val="en-CA" w:eastAsia="en-CA"/>
              </w:rPr>
              <w:t>,000</w:t>
            </w:r>
          </w:p>
        </w:tc>
      </w:tr>
      <w:tr w:rsidR="00FC752D" w:rsidRPr="00BC4AFE" w14:paraId="3107074D" w14:textId="77777777" w:rsidTr="00A60395">
        <w:trPr>
          <w:trHeight w:val="255"/>
          <w:jc w:val="center"/>
        </w:trPr>
        <w:tc>
          <w:tcPr>
            <w:tcW w:w="6565" w:type="dxa"/>
            <w:shd w:val="clear" w:color="auto" w:fill="auto"/>
            <w:noWrap/>
            <w:vAlign w:val="bottom"/>
            <w:hideMark/>
          </w:tcPr>
          <w:p w14:paraId="29F4BD7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Ecologically or biologically significant marine areas</w:t>
            </w:r>
          </w:p>
        </w:tc>
        <w:tc>
          <w:tcPr>
            <w:tcW w:w="2880" w:type="dxa"/>
            <w:shd w:val="clear" w:color="auto" w:fill="auto"/>
            <w:noWrap/>
            <w:vAlign w:val="bottom"/>
            <w:hideMark/>
          </w:tcPr>
          <w:p w14:paraId="2D159BC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26,000</w:t>
            </w:r>
          </w:p>
        </w:tc>
      </w:tr>
      <w:tr w:rsidR="00FC752D" w:rsidRPr="00BC4AFE" w14:paraId="2868F8F8" w14:textId="77777777" w:rsidTr="00A60395">
        <w:trPr>
          <w:trHeight w:val="255"/>
          <w:jc w:val="center"/>
        </w:trPr>
        <w:tc>
          <w:tcPr>
            <w:tcW w:w="6565" w:type="dxa"/>
            <w:shd w:val="clear" w:color="auto" w:fill="auto"/>
            <w:noWrap/>
            <w:vAlign w:val="bottom"/>
            <w:hideMark/>
          </w:tcPr>
          <w:p w14:paraId="75AFEA2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Effectiveness of the process</w:t>
            </w:r>
          </w:p>
        </w:tc>
        <w:tc>
          <w:tcPr>
            <w:tcW w:w="2880" w:type="dxa"/>
            <w:shd w:val="clear" w:color="auto" w:fill="auto"/>
            <w:noWrap/>
            <w:vAlign w:val="bottom"/>
            <w:hideMark/>
          </w:tcPr>
          <w:p w14:paraId="78B73B40"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180,000</w:t>
            </w:r>
          </w:p>
        </w:tc>
      </w:tr>
      <w:tr w:rsidR="00FC752D" w:rsidRPr="00BC4AFE" w14:paraId="0B7F0143" w14:textId="77777777" w:rsidTr="00A60395">
        <w:trPr>
          <w:trHeight w:val="255"/>
          <w:jc w:val="center"/>
        </w:trPr>
        <w:tc>
          <w:tcPr>
            <w:tcW w:w="6565" w:type="dxa"/>
            <w:shd w:val="clear" w:color="auto" w:fill="auto"/>
            <w:noWrap/>
            <w:vAlign w:val="bottom"/>
            <w:hideMark/>
          </w:tcPr>
          <w:p w14:paraId="5E23F92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Engagement with subnational governments, cities </w:t>
            </w:r>
          </w:p>
        </w:tc>
        <w:tc>
          <w:tcPr>
            <w:tcW w:w="2880" w:type="dxa"/>
            <w:shd w:val="clear" w:color="auto" w:fill="auto"/>
            <w:noWrap/>
            <w:vAlign w:val="bottom"/>
            <w:hideMark/>
          </w:tcPr>
          <w:p w14:paraId="251AAD8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215,000</w:t>
            </w:r>
          </w:p>
        </w:tc>
      </w:tr>
      <w:tr w:rsidR="00FC752D" w:rsidRPr="00BC4AFE" w14:paraId="7B6610AD" w14:textId="77777777" w:rsidTr="00A60395">
        <w:trPr>
          <w:trHeight w:val="255"/>
          <w:jc w:val="center"/>
        </w:trPr>
        <w:tc>
          <w:tcPr>
            <w:tcW w:w="6565" w:type="dxa"/>
            <w:shd w:val="clear" w:color="auto" w:fill="auto"/>
            <w:noWrap/>
            <w:vAlign w:val="bottom"/>
            <w:hideMark/>
          </w:tcPr>
          <w:p w14:paraId="22602130"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Financial mechanism</w:t>
            </w:r>
          </w:p>
        </w:tc>
        <w:tc>
          <w:tcPr>
            <w:tcW w:w="2880" w:type="dxa"/>
            <w:shd w:val="clear" w:color="auto" w:fill="auto"/>
            <w:noWrap/>
            <w:vAlign w:val="bottom"/>
            <w:hideMark/>
          </w:tcPr>
          <w:p w14:paraId="5CE5EA9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350,000</w:t>
            </w:r>
          </w:p>
        </w:tc>
      </w:tr>
      <w:tr w:rsidR="00FC752D" w:rsidRPr="00BC4AFE" w14:paraId="190B5B6A" w14:textId="77777777" w:rsidTr="00A60395">
        <w:trPr>
          <w:trHeight w:val="255"/>
          <w:jc w:val="center"/>
        </w:trPr>
        <w:tc>
          <w:tcPr>
            <w:tcW w:w="6565" w:type="dxa"/>
            <w:shd w:val="clear" w:color="auto" w:fill="auto"/>
            <w:noWrap/>
            <w:vAlign w:val="bottom"/>
            <w:hideMark/>
          </w:tcPr>
          <w:p w14:paraId="159AAAEC"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Global Biodiversity Framework - implementation facilitation/engagement</w:t>
            </w:r>
          </w:p>
        </w:tc>
        <w:tc>
          <w:tcPr>
            <w:tcW w:w="2880" w:type="dxa"/>
            <w:shd w:val="clear" w:color="auto" w:fill="auto"/>
            <w:noWrap/>
            <w:vAlign w:val="bottom"/>
            <w:hideMark/>
          </w:tcPr>
          <w:p w14:paraId="699BCCC4"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623E1E0C" w14:textId="77777777" w:rsidTr="00A60395">
        <w:trPr>
          <w:trHeight w:val="255"/>
          <w:jc w:val="center"/>
        </w:trPr>
        <w:tc>
          <w:tcPr>
            <w:tcW w:w="6565" w:type="dxa"/>
            <w:shd w:val="clear" w:color="auto" w:fill="auto"/>
            <w:noWrap/>
            <w:vAlign w:val="bottom"/>
            <w:hideMark/>
          </w:tcPr>
          <w:p w14:paraId="63BEADAC"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Gender Plan of Action</w:t>
            </w:r>
          </w:p>
        </w:tc>
        <w:tc>
          <w:tcPr>
            <w:tcW w:w="2880" w:type="dxa"/>
            <w:shd w:val="clear" w:color="auto" w:fill="auto"/>
            <w:noWrap/>
            <w:vAlign w:val="bottom"/>
            <w:hideMark/>
          </w:tcPr>
          <w:p w14:paraId="25199A3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23A21373" w14:textId="77777777" w:rsidTr="00A60395">
        <w:trPr>
          <w:trHeight w:val="255"/>
          <w:jc w:val="center"/>
        </w:trPr>
        <w:tc>
          <w:tcPr>
            <w:tcW w:w="6565" w:type="dxa"/>
            <w:shd w:val="clear" w:color="auto" w:fill="auto"/>
            <w:noWrap/>
            <w:vAlign w:val="bottom"/>
            <w:hideMark/>
          </w:tcPr>
          <w:p w14:paraId="0413AC0C"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Health</w:t>
            </w:r>
          </w:p>
        </w:tc>
        <w:tc>
          <w:tcPr>
            <w:tcW w:w="2880" w:type="dxa"/>
            <w:shd w:val="clear" w:color="auto" w:fill="auto"/>
            <w:noWrap/>
            <w:vAlign w:val="bottom"/>
            <w:hideMark/>
          </w:tcPr>
          <w:p w14:paraId="01BBFB3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w:t>
            </w:r>
          </w:p>
        </w:tc>
      </w:tr>
      <w:tr w:rsidR="00FC752D" w:rsidRPr="00BC4AFE" w14:paraId="714BBFC0" w14:textId="77777777" w:rsidTr="00A60395">
        <w:trPr>
          <w:trHeight w:val="255"/>
          <w:jc w:val="center"/>
        </w:trPr>
        <w:tc>
          <w:tcPr>
            <w:tcW w:w="6565" w:type="dxa"/>
            <w:shd w:val="clear" w:color="auto" w:fill="auto"/>
            <w:noWrap/>
            <w:vAlign w:val="bottom"/>
            <w:hideMark/>
          </w:tcPr>
          <w:p w14:paraId="1BD0F6C7"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Invasive alien species</w:t>
            </w:r>
          </w:p>
        </w:tc>
        <w:tc>
          <w:tcPr>
            <w:tcW w:w="2880" w:type="dxa"/>
            <w:shd w:val="clear" w:color="auto" w:fill="auto"/>
            <w:noWrap/>
            <w:vAlign w:val="bottom"/>
            <w:hideMark/>
          </w:tcPr>
          <w:p w14:paraId="3A97EC2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81,000</w:t>
            </w:r>
          </w:p>
        </w:tc>
      </w:tr>
      <w:tr w:rsidR="00FC752D" w:rsidRPr="00BC4AFE" w14:paraId="4C7A9EBB" w14:textId="77777777" w:rsidTr="00A60395">
        <w:trPr>
          <w:trHeight w:val="255"/>
          <w:jc w:val="center"/>
        </w:trPr>
        <w:tc>
          <w:tcPr>
            <w:tcW w:w="6565" w:type="dxa"/>
            <w:shd w:val="clear" w:color="auto" w:fill="auto"/>
            <w:noWrap/>
            <w:vAlign w:val="bottom"/>
            <w:hideMark/>
          </w:tcPr>
          <w:p w14:paraId="0208274F"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Indigenous peoples and local communities</w:t>
            </w:r>
          </w:p>
        </w:tc>
        <w:tc>
          <w:tcPr>
            <w:tcW w:w="2880" w:type="dxa"/>
            <w:shd w:val="clear" w:color="auto" w:fill="auto"/>
            <w:noWrap/>
            <w:vAlign w:val="bottom"/>
            <w:hideMark/>
          </w:tcPr>
          <w:p w14:paraId="0DD8AD3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131D22C2" w14:textId="77777777" w:rsidTr="00A60395">
        <w:trPr>
          <w:trHeight w:val="255"/>
          <w:jc w:val="center"/>
        </w:trPr>
        <w:tc>
          <w:tcPr>
            <w:tcW w:w="6565" w:type="dxa"/>
            <w:shd w:val="clear" w:color="auto" w:fill="auto"/>
            <w:noWrap/>
            <w:vAlign w:val="bottom"/>
            <w:hideMark/>
          </w:tcPr>
          <w:p w14:paraId="172844CD"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Knowledge management and the clearing-house mechanism</w:t>
            </w:r>
          </w:p>
        </w:tc>
        <w:tc>
          <w:tcPr>
            <w:tcW w:w="2880" w:type="dxa"/>
            <w:shd w:val="clear" w:color="auto" w:fill="auto"/>
            <w:noWrap/>
            <w:vAlign w:val="bottom"/>
            <w:hideMark/>
          </w:tcPr>
          <w:p w14:paraId="7EE4304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720,000</w:t>
            </w:r>
          </w:p>
        </w:tc>
      </w:tr>
      <w:tr w:rsidR="00FC752D" w:rsidRPr="00BC4AFE" w14:paraId="66448F86" w14:textId="77777777" w:rsidTr="00A60395">
        <w:trPr>
          <w:trHeight w:val="255"/>
          <w:jc w:val="center"/>
        </w:trPr>
        <w:tc>
          <w:tcPr>
            <w:tcW w:w="6565" w:type="dxa"/>
            <w:shd w:val="clear" w:color="auto" w:fill="auto"/>
            <w:noWrap/>
            <w:vAlign w:val="bottom"/>
            <w:hideMark/>
          </w:tcPr>
          <w:p w14:paraId="5FCB35D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Monitoring - </w:t>
            </w:r>
            <w:r>
              <w:rPr>
                <w:color w:val="000000"/>
                <w:sz w:val="20"/>
                <w:szCs w:val="20"/>
                <w:lang w:val="en-CA" w:eastAsia="en-CA"/>
              </w:rPr>
              <w:t xml:space="preserve">Kunming-Montreal </w:t>
            </w:r>
            <w:r w:rsidRPr="00BC4AFE">
              <w:rPr>
                <w:color w:val="000000"/>
                <w:sz w:val="20"/>
                <w:szCs w:val="20"/>
                <w:lang w:val="en-CA" w:eastAsia="en-CA"/>
              </w:rPr>
              <w:t>Global Biodiversity Framework</w:t>
            </w:r>
          </w:p>
        </w:tc>
        <w:tc>
          <w:tcPr>
            <w:tcW w:w="2880" w:type="dxa"/>
            <w:shd w:val="clear" w:color="auto" w:fill="auto"/>
            <w:noWrap/>
            <w:vAlign w:val="bottom"/>
            <w:hideMark/>
          </w:tcPr>
          <w:p w14:paraId="11DCFF8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w:t>
            </w:r>
          </w:p>
        </w:tc>
      </w:tr>
      <w:tr w:rsidR="00FC752D" w:rsidRPr="00BC4AFE" w14:paraId="785C0AA6" w14:textId="77777777" w:rsidTr="00A60395">
        <w:trPr>
          <w:trHeight w:val="255"/>
          <w:jc w:val="center"/>
        </w:trPr>
        <w:tc>
          <w:tcPr>
            <w:tcW w:w="6565" w:type="dxa"/>
            <w:shd w:val="clear" w:color="auto" w:fill="auto"/>
            <w:noWrap/>
            <w:vAlign w:val="bottom"/>
            <w:hideMark/>
          </w:tcPr>
          <w:p w14:paraId="6F42F69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Planning, monitoring, reporting and review</w:t>
            </w:r>
          </w:p>
        </w:tc>
        <w:tc>
          <w:tcPr>
            <w:tcW w:w="2880" w:type="dxa"/>
            <w:shd w:val="clear" w:color="auto" w:fill="auto"/>
            <w:noWrap/>
            <w:vAlign w:val="bottom"/>
            <w:hideMark/>
          </w:tcPr>
          <w:p w14:paraId="76FA38A5" w14:textId="77777777" w:rsidR="00FC752D" w:rsidRPr="00BC4AFE" w:rsidRDefault="00FC752D" w:rsidP="00E01BB0">
            <w:pPr>
              <w:jc w:val="right"/>
              <w:rPr>
                <w:sz w:val="20"/>
                <w:szCs w:val="20"/>
                <w:lang w:val="en-CA" w:eastAsia="en-CA"/>
              </w:rPr>
            </w:pPr>
            <w:r w:rsidRPr="00BC4AFE">
              <w:rPr>
                <w:sz w:val="20"/>
                <w:szCs w:val="20"/>
                <w:lang w:val="en-CA" w:eastAsia="en-CA"/>
              </w:rPr>
              <w:t>100,000</w:t>
            </w:r>
          </w:p>
        </w:tc>
      </w:tr>
      <w:tr w:rsidR="00FC752D" w:rsidRPr="00BC4AFE" w14:paraId="731F73E1" w14:textId="77777777" w:rsidTr="00A60395">
        <w:trPr>
          <w:trHeight w:val="255"/>
          <w:jc w:val="center"/>
        </w:trPr>
        <w:tc>
          <w:tcPr>
            <w:tcW w:w="6565" w:type="dxa"/>
            <w:shd w:val="clear" w:color="auto" w:fill="auto"/>
            <w:noWrap/>
            <w:vAlign w:val="bottom"/>
            <w:hideMark/>
          </w:tcPr>
          <w:p w14:paraId="7E11741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Resource mobilization</w:t>
            </w:r>
          </w:p>
        </w:tc>
        <w:tc>
          <w:tcPr>
            <w:tcW w:w="2880" w:type="dxa"/>
            <w:shd w:val="clear" w:color="auto" w:fill="auto"/>
            <w:noWrap/>
            <w:vAlign w:val="bottom"/>
            <w:hideMark/>
          </w:tcPr>
          <w:p w14:paraId="7EA09FC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514982A7" w14:textId="77777777" w:rsidTr="00A60395">
        <w:trPr>
          <w:trHeight w:val="255"/>
          <w:jc w:val="center"/>
        </w:trPr>
        <w:tc>
          <w:tcPr>
            <w:tcW w:w="6565" w:type="dxa"/>
            <w:shd w:val="clear" w:color="auto" w:fill="auto"/>
            <w:noWrap/>
            <w:vAlign w:val="bottom"/>
            <w:hideMark/>
          </w:tcPr>
          <w:p w14:paraId="18AD7B0C"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Sustainable wildlife</w:t>
            </w:r>
          </w:p>
        </w:tc>
        <w:tc>
          <w:tcPr>
            <w:tcW w:w="2880" w:type="dxa"/>
            <w:shd w:val="clear" w:color="auto" w:fill="auto"/>
            <w:noWrap/>
            <w:vAlign w:val="bottom"/>
            <w:hideMark/>
          </w:tcPr>
          <w:p w14:paraId="52563C0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w:t>
            </w:r>
          </w:p>
        </w:tc>
      </w:tr>
      <w:tr w:rsidR="00FC752D" w:rsidRPr="00BC4AFE" w14:paraId="69DCB65A" w14:textId="77777777" w:rsidTr="00A60395">
        <w:trPr>
          <w:trHeight w:val="255"/>
          <w:jc w:val="center"/>
        </w:trPr>
        <w:tc>
          <w:tcPr>
            <w:tcW w:w="6565" w:type="dxa"/>
            <w:tcBorders>
              <w:bottom w:val="single" w:sz="4" w:space="0" w:color="auto"/>
            </w:tcBorders>
            <w:shd w:val="clear" w:color="auto" w:fill="auto"/>
            <w:noWrap/>
            <w:vAlign w:val="bottom"/>
            <w:hideMark/>
          </w:tcPr>
          <w:p w14:paraId="0C261DA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lastRenderedPageBreak/>
              <w:t>Synthetic biology</w:t>
            </w:r>
          </w:p>
        </w:tc>
        <w:tc>
          <w:tcPr>
            <w:tcW w:w="2880" w:type="dxa"/>
            <w:tcBorders>
              <w:bottom w:val="single" w:sz="4" w:space="0" w:color="auto"/>
            </w:tcBorders>
            <w:shd w:val="clear" w:color="auto" w:fill="auto"/>
            <w:noWrap/>
            <w:vAlign w:val="bottom"/>
            <w:hideMark/>
          </w:tcPr>
          <w:p w14:paraId="2D4C797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w:t>
            </w:r>
          </w:p>
        </w:tc>
      </w:tr>
      <w:tr w:rsidR="00FC752D" w:rsidRPr="00BC4AFE" w14:paraId="7F3CF16C"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534C78A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37BD9654" w14:textId="77777777" w:rsidR="00FC752D" w:rsidRPr="00BC4AFE" w:rsidRDefault="00FC752D" w:rsidP="00E01BB0">
            <w:pPr>
              <w:jc w:val="right"/>
              <w:rPr>
                <w:color w:val="000000"/>
                <w:sz w:val="20"/>
                <w:szCs w:val="20"/>
                <w:lang w:val="en-CA" w:eastAsia="en-CA"/>
              </w:rPr>
            </w:pPr>
            <w:r>
              <w:rPr>
                <w:color w:val="000000"/>
                <w:sz w:val="20"/>
                <w:szCs w:val="20"/>
                <w:lang w:val="en-CA" w:eastAsia="en-CA"/>
              </w:rPr>
              <w:t>4,027</w:t>
            </w:r>
            <w:r w:rsidRPr="00BC4AFE">
              <w:rPr>
                <w:color w:val="000000"/>
                <w:sz w:val="20"/>
                <w:szCs w:val="20"/>
                <w:lang w:val="en-CA" w:eastAsia="en-CA"/>
              </w:rPr>
              <w:t>,000</w:t>
            </w:r>
          </w:p>
        </w:tc>
      </w:tr>
      <w:tr w:rsidR="00FC752D" w:rsidRPr="00BC4AFE" w14:paraId="2CD1B390" w14:textId="77777777" w:rsidTr="00A60395">
        <w:trPr>
          <w:trHeight w:val="255"/>
          <w:jc w:val="center"/>
        </w:trPr>
        <w:tc>
          <w:tcPr>
            <w:tcW w:w="6565" w:type="dxa"/>
            <w:tcBorders>
              <w:top w:val="single" w:sz="4" w:space="0" w:color="auto"/>
            </w:tcBorders>
            <w:shd w:val="clear" w:color="auto" w:fill="auto"/>
            <w:noWrap/>
            <w:vAlign w:val="bottom"/>
            <w:hideMark/>
          </w:tcPr>
          <w:p w14:paraId="6006C56D"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Staff travel</w:t>
            </w:r>
          </w:p>
        </w:tc>
        <w:tc>
          <w:tcPr>
            <w:tcW w:w="2880" w:type="dxa"/>
            <w:tcBorders>
              <w:top w:val="single" w:sz="4" w:space="0" w:color="auto"/>
            </w:tcBorders>
            <w:shd w:val="clear" w:color="auto" w:fill="auto"/>
            <w:noWrap/>
            <w:vAlign w:val="bottom"/>
          </w:tcPr>
          <w:p w14:paraId="7ED0D6E9" w14:textId="77777777" w:rsidR="00FC752D" w:rsidRPr="00BC4AFE" w:rsidRDefault="00FC752D" w:rsidP="00E01BB0">
            <w:pPr>
              <w:keepNext/>
              <w:jc w:val="right"/>
              <w:rPr>
                <w:b/>
                <w:bCs/>
                <w:color w:val="000000"/>
                <w:sz w:val="20"/>
                <w:szCs w:val="20"/>
                <w:lang w:val="en-CA" w:eastAsia="en-CA"/>
              </w:rPr>
            </w:pPr>
          </w:p>
        </w:tc>
      </w:tr>
      <w:tr w:rsidR="00FC752D" w:rsidRPr="00BC4AFE" w14:paraId="0D37B09E" w14:textId="77777777" w:rsidTr="00A60395">
        <w:trPr>
          <w:trHeight w:val="255"/>
          <w:jc w:val="center"/>
        </w:trPr>
        <w:tc>
          <w:tcPr>
            <w:tcW w:w="6565" w:type="dxa"/>
            <w:shd w:val="clear" w:color="auto" w:fill="auto"/>
            <w:noWrap/>
            <w:vAlign w:val="bottom"/>
            <w:hideMark/>
          </w:tcPr>
          <w:p w14:paraId="03E26C2A"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Biodiversity and agriculture</w:t>
            </w:r>
          </w:p>
        </w:tc>
        <w:tc>
          <w:tcPr>
            <w:tcW w:w="2880" w:type="dxa"/>
            <w:shd w:val="clear" w:color="auto" w:fill="auto"/>
            <w:noWrap/>
            <w:vAlign w:val="bottom"/>
            <w:hideMark/>
          </w:tcPr>
          <w:p w14:paraId="205C3A5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5B9DB156" w14:textId="77777777" w:rsidTr="0063480F">
        <w:trPr>
          <w:trHeight w:val="255"/>
          <w:jc w:val="center"/>
        </w:trPr>
        <w:tc>
          <w:tcPr>
            <w:tcW w:w="6565" w:type="dxa"/>
            <w:shd w:val="clear" w:color="auto" w:fill="auto"/>
            <w:noWrap/>
            <w:vAlign w:val="bottom"/>
            <w:hideMark/>
          </w:tcPr>
          <w:p w14:paraId="2C7F6508" w14:textId="77777777" w:rsidR="00FC752D" w:rsidRPr="0047773A" w:rsidRDefault="00FC752D" w:rsidP="0063480F">
            <w:pPr>
              <w:keepNext/>
              <w:rPr>
                <w:color w:val="000000"/>
                <w:sz w:val="20"/>
                <w:szCs w:val="20"/>
                <w:lang w:val="en-CA" w:eastAsia="en-CA"/>
              </w:rPr>
            </w:pPr>
            <w:r w:rsidRPr="0047773A">
              <w:rPr>
                <w:color w:val="000000"/>
                <w:sz w:val="20"/>
                <w:szCs w:val="20"/>
                <w:lang w:val="en-CA" w:eastAsia="en-CA"/>
              </w:rPr>
              <w:t>Biodiversity and climate change</w:t>
            </w:r>
          </w:p>
        </w:tc>
        <w:tc>
          <w:tcPr>
            <w:tcW w:w="2880" w:type="dxa"/>
            <w:shd w:val="clear" w:color="auto" w:fill="auto"/>
            <w:noWrap/>
            <w:vAlign w:val="bottom"/>
            <w:hideMark/>
          </w:tcPr>
          <w:p w14:paraId="2E53B042" w14:textId="77777777" w:rsidR="00FC752D" w:rsidRPr="0047773A" w:rsidRDefault="00FC752D" w:rsidP="0063480F">
            <w:pPr>
              <w:jc w:val="right"/>
              <w:rPr>
                <w:color w:val="000000"/>
                <w:sz w:val="20"/>
                <w:szCs w:val="20"/>
                <w:lang w:val="en-CA" w:eastAsia="en-CA"/>
              </w:rPr>
            </w:pPr>
            <w:r w:rsidRPr="0047773A">
              <w:rPr>
                <w:color w:val="000000"/>
                <w:sz w:val="20"/>
                <w:szCs w:val="20"/>
                <w:lang w:val="en-CA" w:eastAsia="en-CA"/>
              </w:rPr>
              <w:t>20,000</w:t>
            </w:r>
          </w:p>
        </w:tc>
      </w:tr>
      <w:tr w:rsidR="00FC752D" w:rsidRPr="00BC4AFE" w14:paraId="7A52A235" w14:textId="77777777" w:rsidTr="0063480F">
        <w:trPr>
          <w:trHeight w:val="255"/>
          <w:jc w:val="center"/>
        </w:trPr>
        <w:tc>
          <w:tcPr>
            <w:tcW w:w="6565" w:type="dxa"/>
            <w:shd w:val="clear" w:color="auto" w:fill="auto"/>
            <w:noWrap/>
            <w:vAlign w:val="bottom"/>
            <w:hideMark/>
          </w:tcPr>
          <w:p w14:paraId="4BA91685" w14:textId="77777777" w:rsidR="00FC752D" w:rsidRPr="0047773A" w:rsidRDefault="00FC752D" w:rsidP="0063480F">
            <w:pPr>
              <w:keepNext/>
              <w:rPr>
                <w:color w:val="000000"/>
                <w:sz w:val="20"/>
                <w:szCs w:val="20"/>
                <w:lang w:val="en-CA" w:eastAsia="en-CA"/>
              </w:rPr>
            </w:pPr>
            <w:r w:rsidRPr="0047773A">
              <w:rPr>
                <w:color w:val="000000"/>
                <w:sz w:val="20"/>
                <w:szCs w:val="20"/>
                <w:lang w:val="en-CA" w:eastAsia="en-CA"/>
              </w:rPr>
              <w:t>Biodiversity and health</w:t>
            </w:r>
          </w:p>
        </w:tc>
        <w:tc>
          <w:tcPr>
            <w:tcW w:w="2880" w:type="dxa"/>
            <w:shd w:val="clear" w:color="auto" w:fill="auto"/>
            <w:noWrap/>
            <w:vAlign w:val="bottom"/>
            <w:hideMark/>
          </w:tcPr>
          <w:p w14:paraId="30D1C3D5" w14:textId="77777777" w:rsidR="00FC752D" w:rsidRPr="0047773A" w:rsidRDefault="00FC752D" w:rsidP="0063480F">
            <w:pPr>
              <w:jc w:val="right"/>
              <w:rPr>
                <w:color w:val="000000"/>
                <w:sz w:val="20"/>
                <w:szCs w:val="20"/>
                <w:lang w:val="en-CA" w:eastAsia="en-CA"/>
              </w:rPr>
            </w:pPr>
            <w:r w:rsidRPr="0047773A">
              <w:rPr>
                <w:color w:val="000000"/>
                <w:sz w:val="20"/>
                <w:szCs w:val="20"/>
                <w:lang w:val="en-CA" w:eastAsia="en-CA"/>
              </w:rPr>
              <w:t>20,000</w:t>
            </w:r>
          </w:p>
        </w:tc>
      </w:tr>
      <w:tr w:rsidR="00FC752D" w:rsidRPr="00BC4AFE" w14:paraId="2DDCD8A8" w14:textId="77777777" w:rsidTr="00A60395">
        <w:trPr>
          <w:trHeight w:val="255"/>
          <w:jc w:val="center"/>
        </w:trPr>
        <w:tc>
          <w:tcPr>
            <w:tcW w:w="6565" w:type="dxa"/>
            <w:shd w:val="clear" w:color="auto" w:fill="auto"/>
            <w:noWrap/>
            <w:vAlign w:val="bottom"/>
            <w:hideMark/>
          </w:tcPr>
          <w:p w14:paraId="4F25D7AB"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Business engagement</w:t>
            </w:r>
          </w:p>
        </w:tc>
        <w:tc>
          <w:tcPr>
            <w:tcW w:w="2880" w:type="dxa"/>
            <w:shd w:val="clear" w:color="auto" w:fill="auto"/>
            <w:noWrap/>
            <w:vAlign w:val="bottom"/>
            <w:hideMark/>
          </w:tcPr>
          <w:p w14:paraId="79CFA43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30,000</w:t>
            </w:r>
          </w:p>
        </w:tc>
      </w:tr>
      <w:tr w:rsidR="00FC752D" w:rsidRPr="00BC4AFE" w14:paraId="66345897" w14:textId="77777777" w:rsidTr="00A60395">
        <w:trPr>
          <w:trHeight w:val="255"/>
          <w:jc w:val="center"/>
        </w:trPr>
        <w:tc>
          <w:tcPr>
            <w:tcW w:w="6565" w:type="dxa"/>
            <w:shd w:val="clear" w:color="auto" w:fill="auto"/>
            <w:noWrap/>
            <w:vAlign w:val="bottom"/>
            <w:hideMark/>
          </w:tcPr>
          <w:p w14:paraId="0C7081DF"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Capacity-building and technical and scientific cooperation</w:t>
            </w:r>
          </w:p>
        </w:tc>
        <w:tc>
          <w:tcPr>
            <w:tcW w:w="2880" w:type="dxa"/>
            <w:shd w:val="clear" w:color="auto" w:fill="auto"/>
            <w:noWrap/>
            <w:vAlign w:val="bottom"/>
            <w:hideMark/>
          </w:tcPr>
          <w:p w14:paraId="5332FD82"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w:t>
            </w:r>
          </w:p>
        </w:tc>
      </w:tr>
      <w:tr w:rsidR="00FC752D" w:rsidRPr="00BC4AFE" w14:paraId="2939A1B7" w14:textId="77777777" w:rsidTr="00A60395">
        <w:trPr>
          <w:trHeight w:val="255"/>
          <w:jc w:val="center"/>
        </w:trPr>
        <w:tc>
          <w:tcPr>
            <w:tcW w:w="6565" w:type="dxa"/>
            <w:shd w:val="clear" w:color="auto" w:fill="auto"/>
            <w:noWrap/>
            <w:vAlign w:val="bottom"/>
            <w:hideMark/>
          </w:tcPr>
          <w:p w14:paraId="0137761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Communication</w:t>
            </w:r>
          </w:p>
        </w:tc>
        <w:tc>
          <w:tcPr>
            <w:tcW w:w="2880" w:type="dxa"/>
            <w:shd w:val="clear" w:color="auto" w:fill="auto"/>
            <w:noWrap/>
            <w:vAlign w:val="bottom"/>
            <w:hideMark/>
          </w:tcPr>
          <w:p w14:paraId="47B94284"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7EF6E7DA" w14:textId="77777777" w:rsidTr="00A60395">
        <w:trPr>
          <w:trHeight w:val="255"/>
          <w:jc w:val="center"/>
        </w:trPr>
        <w:tc>
          <w:tcPr>
            <w:tcW w:w="6565" w:type="dxa"/>
            <w:shd w:val="clear" w:color="auto" w:fill="auto"/>
            <w:noWrap/>
            <w:vAlign w:val="bottom"/>
            <w:hideMark/>
          </w:tcPr>
          <w:p w14:paraId="22FDADA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78FC37D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18,000</w:t>
            </w:r>
          </w:p>
        </w:tc>
      </w:tr>
      <w:tr w:rsidR="00FC752D" w:rsidRPr="00BC4AFE" w14:paraId="760757D3" w14:textId="77777777" w:rsidTr="00A60395">
        <w:trPr>
          <w:trHeight w:val="255"/>
          <w:jc w:val="center"/>
        </w:trPr>
        <w:tc>
          <w:tcPr>
            <w:tcW w:w="6565" w:type="dxa"/>
            <w:shd w:val="clear" w:color="auto" w:fill="auto"/>
            <w:noWrap/>
            <w:vAlign w:val="bottom"/>
            <w:hideMark/>
          </w:tcPr>
          <w:p w14:paraId="6129919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Cooperation with other conventions and international organizations</w:t>
            </w:r>
          </w:p>
        </w:tc>
        <w:tc>
          <w:tcPr>
            <w:tcW w:w="2880" w:type="dxa"/>
            <w:shd w:val="clear" w:color="auto" w:fill="auto"/>
            <w:noWrap/>
            <w:vAlign w:val="bottom"/>
            <w:hideMark/>
          </w:tcPr>
          <w:p w14:paraId="12C3A11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67B616A9" w14:textId="77777777" w:rsidTr="00A60395">
        <w:trPr>
          <w:trHeight w:val="255"/>
          <w:jc w:val="center"/>
        </w:trPr>
        <w:tc>
          <w:tcPr>
            <w:tcW w:w="6565" w:type="dxa"/>
            <w:shd w:val="clear" w:color="auto" w:fill="auto"/>
            <w:noWrap/>
            <w:vAlign w:val="bottom"/>
            <w:hideMark/>
          </w:tcPr>
          <w:p w14:paraId="12C1388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Effectiveness of the process</w:t>
            </w:r>
          </w:p>
        </w:tc>
        <w:tc>
          <w:tcPr>
            <w:tcW w:w="2880" w:type="dxa"/>
            <w:shd w:val="clear" w:color="auto" w:fill="auto"/>
            <w:noWrap/>
            <w:vAlign w:val="bottom"/>
            <w:hideMark/>
          </w:tcPr>
          <w:p w14:paraId="19A19AA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15,000</w:t>
            </w:r>
          </w:p>
        </w:tc>
      </w:tr>
      <w:tr w:rsidR="00FC752D" w:rsidRPr="00BC4AFE" w14:paraId="7E057BCD" w14:textId="77777777" w:rsidTr="00A60395">
        <w:trPr>
          <w:trHeight w:val="255"/>
          <w:jc w:val="center"/>
        </w:trPr>
        <w:tc>
          <w:tcPr>
            <w:tcW w:w="6565" w:type="dxa"/>
            <w:shd w:val="clear" w:color="auto" w:fill="auto"/>
            <w:noWrap/>
            <w:vAlign w:val="bottom"/>
            <w:hideMark/>
          </w:tcPr>
          <w:p w14:paraId="4F903B1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Engagement with subnational governments, cities </w:t>
            </w:r>
          </w:p>
        </w:tc>
        <w:tc>
          <w:tcPr>
            <w:tcW w:w="2880" w:type="dxa"/>
            <w:shd w:val="clear" w:color="auto" w:fill="auto"/>
            <w:noWrap/>
            <w:vAlign w:val="bottom"/>
            <w:hideMark/>
          </w:tcPr>
          <w:p w14:paraId="6B38D30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55,000</w:t>
            </w:r>
          </w:p>
        </w:tc>
      </w:tr>
      <w:tr w:rsidR="00FC752D" w:rsidRPr="00BC4AFE" w14:paraId="6754BD7A" w14:textId="77777777" w:rsidTr="00A60395">
        <w:trPr>
          <w:trHeight w:val="255"/>
          <w:jc w:val="center"/>
        </w:trPr>
        <w:tc>
          <w:tcPr>
            <w:tcW w:w="6565" w:type="dxa"/>
            <w:shd w:val="clear" w:color="auto" w:fill="auto"/>
            <w:noWrap/>
            <w:vAlign w:val="bottom"/>
            <w:hideMark/>
          </w:tcPr>
          <w:p w14:paraId="336B5ED6"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Global Biodiversity Framework - implementation facilitation/engagement</w:t>
            </w:r>
          </w:p>
        </w:tc>
        <w:tc>
          <w:tcPr>
            <w:tcW w:w="2880" w:type="dxa"/>
            <w:shd w:val="clear" w:color="auto" w:fill="auto"/>
            <w:noWrap/>
            <w:vAlign w:val="bottom"/>
            <w:hideMark/>
          </w:tcPr>
          <w:p w14:paraId="3921F8DB"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6401FC92" w14:textId="77777777" w:rsidTr="00A60395">
        <w:trPr>
          <w:trHeight w:val="255"/>
          <w:jc w:val="center"/>
        </w:trPr>
        <w:tc>
          <w:tcPr>
            <w:tcW w:w="6565" w:type="dxa"/>
            <w:shd w:val="clear" w:color="auto" w:fill="auto"/>
            <w:noWrap/>
            <w:vAlign w:val="bottom"/>
            <w:hideMark/>
          </w:tcPr>
          <w:p w14:paraId="38F5DBF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Gender Plan of Action</w:t>
            </w:r>
          </w:p>
        </w:tc>
        <w:tc>
          <w:tcPr>
            <w:tcW w:w="2880" w:type="dxa"/>
            <w:shd w:val="clear" w:color="auto" w:fill="auto"/>
            <w:noWrap/>
            <w:vAlign w:val="bottom"/>
            <w:hideMark/>
          </w:tcPr>
          <w:p w14:paraId="4B03989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7273B100" w14:textId="77777777" w:rsidTr="00A60395">
        <w:trPr>
          <w:trHeight w:val="255"/>
          <w:jc w:val="center"/>
        </w:trPr>
        <w:tc>
          <w:tcPr>
            <w:tcW w:w="6565" w:type="dxa"/>
            <w:shd w:val="clear" w:color="auto" w:fill="auto"/>
            <w:noWrap/>
            <w:vAlign w:val="bottom"/>
            <w:hideMark/>
          </w:tcPr>
          <w:p w14:paraId="3B4368D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Invasive alien species</w:t>
            </w:r>
          </w:p>
        </w:tc>
        <w:tc>
          <w:tcPr>
            <w:tcW w:w="2880" w:type="dxa"/>
            <w:shd w:val="clear" w:color="auto" w:fill="auto"/>
            <w:noWrap/>
            <w:vAlign w:val="bottom"/>
            <w:hideMark/>
          </w:tcPr>
          <w:p w14:paraId="24191CD4"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0D9713CC" w14:textId="77777777" w:rsidTr="00A60395">
        <w:trPr>
          <w:trHeight w:val="255"/>
          <w:jc w:val="center"/>
        </w:trPr>
        <w:tc>
          <w:tcPr>
            <w:tcW w:w="6565" w:type="dxa"/>
            <w:shd w:val="clear" w:color="auto" w:fill="auto"/>
            <w:noWrap/>
            <w:vAlign w:val="bottom"/>
            <w:hideMark/>
          </w:tcPr>
          <w:p w14:paraId="5B5A51D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IPBES</w:t>
            </w:r>
          </w:p>
        </w:tc>
        <w:tc>
          <w:tcPr>
            <w:tcW w:w="2880" w:type="dxa"/>
            <w:shd w:val="clear" w:color="auto" w:fill="auto"/>
            <w:noWrap/>
            <w:vAlign w:val="bottom"/>
            <w:hideMark/>
          </w:tcPr>
          <w:p w14:paraId="3302CD9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7D64A9DC" w14:textId="77777777" w:rsidTr="00A60395">
        <w:trPr>
          <w:trHeight w:val="255"/>
          <w:jc w:val="center"/>
        </w:trPr>
        <w:tc>
          <w:tcPr>
            <w:tcW w:w="6565" w:type="dxa"/>
            <w:shd w:val="clear" w:color="auto" w:fill="auto"/>
            <w:noWrap/>
            <w:vAlign w:val="bottom"/>
            <w:hideMark/>
          </w:tcPr>
          <w:p w14:paraId="77DF341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Indigenous peoples and local communities</w:t>
            </w:r>
          </w:p>
        </w:tc>
        <w:tc>
          <w:tcPr>
            <w:tcW w:w="2880" w:type="dxa"/>
            <w:shd w:val="clear" w:color="auto" w:fill="auto"/>
            <w:noWrap/>
            <w:vAlign w:val="bottom"/>
            <w:hideMark/>
          </w:tcPr>
          <w:p w14:paraId="48DDBB3B"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6E3AE6A9" w14:textId="77777777" w:rsidTr="00A60395">
        <w:trPr>
          <w:trHeight w:val="255"/>
          <w:jc w:val="center"/>
        </w:trPr>
        <w:tc>
          <w:tcPr>
            <w:tcW w:w="6565" w:type="dxa"/>
            <w:shd w:val="clear" w:color="auto" w:fill="auto"/>
            <w:noWrap/>
            <w:vAlign w:val="bottom"/>
            <w:hideMark/>
          </w:tcPr>
          <w:p w14:paraId="19D55E8D"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Monitoring - Global Biodiversity Framework</w:t>
            </w:r>
          </w:p>
        </w:tc>
        <w:tc>
          <w:tcPr>
            <w:tcW w:w="2880" w:type="dxa"/>
            <w:shd w:val="clear" w:color="auto" w:fill="auto"/>
            <w:noWrap/>
            <w:vAlign w:val="bottom"/>
            <w:hideMark/>
          </w:tcPr>
          <w:p w14:paraId="299903F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40,000</w:t>
            </w:r>
          </w:p>
        </w:tc>
      </w:tr>
      <w:tr w:rsidR="00FC752D" w:rsidRPr="00BC4AFE" w14:paraId="50E23176" w14:textId="77777777" w:rsidTr="00A60395">
        <w:trPr>
          <w:trHeight w:val="255"/>
          <w:jc w:val="center"/>
        </w:trPr>
        <w:tc>
          <w:tcPr>
            <w:tcW w:w="6565" w:type="dxa"/>
            <w:shd w:val="clear" w:color="auto" w:fill="auto"/>
            <w:noWrap/>
            <w:vAlign w:val="bottom"/>
            <w:hideMark/>
          </w:tcPr>
          <w:p w14:paraId="64AFD4D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Planning, monitoring, reporting and review</w:t>
            </w:r>
          </w:p>
        </w:tc>
        <w:tc>
          <w:tcPr>
            <w:tcW w:w="2880" w:type="dxa"/>
            <w:shd w:val="clear" w:color="auto" w:fill="auto"/>
            <w:noWrap/>
            <w:vAlign w:val="bottom"/>
            <w:hideMark/>
          </w:tcPr>
          <w:p w14:paraId="4885D250"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5F9294EC" w14:textId="77777777" w:rsidTr="00A60395">
        <w:trPr>
          <w:trHeight w:val="255"/>
          <w:jc w:val="center"/>
        </w:trPr>
        <w:tc>
          <w:tcPr>
            <w:tcW w:w="6565" w:type="dxa"/>
            <w:shd w:val="clear" w:color="auto" w:fill="auto"/>
            <w:noWrap/>
            <w:vAlign w:val="bottom"/>
            <w:hideMark/>
          </w:tcPr>
          <w:p w14:paraId="1090530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Resource mobilization</w:t>
            </w:r>
          </w:p>
        </w:tc>
        <w:tc>
          <w:tcPr>
            <w:tcW w:w="2880" w:type="dxa"/>
            <w:shd w:val="clear" w:color="auto" w:fill="auto"/>
            <w:noWrap/>
            <w:vAlign w:val="bottom"/>
            <w:hideMark/>
          </w:tcPr>
          <w:p w14:paraId="0BCD571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3990D0F1" w14:textId="77777777" w:rsidTr="00A60395">
        <w:trPr>
          <w:trHeight w:val="255"/>
          <w:jc w:val="center"/>
        </w:trPr>
        <w:tc>
          <w:tcPr>
            <w:tcW w:w="6565" w:type="dxa"/>
            <w:shd w:val="clear" w:color="auto" w:fill="auto"/>
            <w:noWrap/>
            <w:vAlign w:val="bottom"/>
            <w:hideMark/>
          </w:tcPr>
          <w:p w14:paraId="156808D7"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Sustainable wildlife</w:t>
            </w:r>
          </w:p>
        </w:tc>
        <w:tc>
          <w:tcPr>
            <w:tcW w:w="2880" w:type="dxa"/>
            <w:shd w:val="clear" w:color="auto" w:fill="auto"/>
            <w:noWrap/>
            <w:vAlign w:val="bottom"/>
            <w:hideMark/>
          </w:tcPr>
          <w:p w14:paraId="5327D12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w:t>
            </w:r>
          </w:p>
        </w:tc>
      </w:tr>
      <w:tr w:rsidR="00FC752D" w:rsidRPr="00BC4AFE" w14:paraId="6AFE1288" w14:textId="77777777" w:rsidTr="00A60395">
        <w:trPr>
          <w:trHeight w:val="255"/>
          <w:jc w:val="center"/>
        </w:trPr>
        <w:tc>
          <w:tcPr>
            <w:tcW w:w="6565" w:type="dxa"/>
            <w:tcBorders>
              <w:bottom w:val="single" w:sz="4" w:space="0" w:color="auto"/>
            </w:tcBorders>
            <w:shd w:val="clear" w:color="auto" w:fill="auto"/>
            <w:noWrap/>
            <w:vAlign w:val="bottom"/>
            <w:hideMark/>
          </w:tcPr>
          <w:p w14:paraId="03AC715D"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Synthetic biology</w:t>
            </w:r>
          </w:p>
        </w:tc>
        <w:tc>
          <w:tcPr>
            <w:tcW w:w="2880" w:type="dxa"/>
            <w:tcBorders>
              <w:bottom w:val="single" w:sz="4" w:space="0" w:color="auto"/>
            </w:tcBorders>
            <w:shd w:val="clear" w:color="auto" w:fill="auto"/>
            <w:noWrap/>
            <w:vAlign w:val="bottom"/>
            <w:hideMark/>
          </w:tcPr>
          <w:p w14:paraId="0985BF0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40,000</w:t>
            </w:r>
          </w:p>
        </w:tc>
      </w:tr>
      <w:tr w:rsidR="00FC752D" w:rsidRPr="00BC4AFE" w14:paraId="3C0FA5D5"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3019E4F1"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6C70BD00" w14:textId="77777777" w:rsidR="00FC752D" w:rsidRPr="00BC4AFE" w:rsidRDefault="00FC752D" w:rsidP="00E01BB0">
            <w:pPr>
              <w:jc w:val="right"/>
              <w:rPr>
                <w:color w:val="000000"/>
                <w:sz w:val="20"/>
                <w:szCs w:val="20"/>
                <w:lang w:val="en-CA" w:eastAsia="en-CA"/>
              </w:rPr>
            </w:pPr>
            <w:r>
              <w:rPr>
                <w:color w:val="000000"/>
                <w:sz w:val="20"/>
                <w:szCs w:val="20"/>
                <w:lang w:val="en-CA" w:eastAsia="en-CA"/>
              </w:rPr>
              <w:t>638</w:t>
            </w:r>
            <w:r w:rsidRPr="00BC4AFE">
              <w:rPr>
                <w:color w:val="000000"/>
                <w:sz w:val="20"/>
                <w:szCs w:val="20"/>
                <w:lang w:val="en-CA" w:eastAsia="en-CA"/>
              </w:rPr>
              <w:t>,000</w:t>
            </w:r>
          </w:p>
        </w:tc>
      </w:tr>
      <w:tr w:rsidR="00FC752D" w:rsidRPr="00BC4AFE" w14:paraId="6CAAE445" w14:textId="77777777" w:rsidTr="00A60395">
        <w:trPr>
          <w:trHeight w:val="255"/>
          <w:jc w:val="center"/>
        </w:trPr>
        <w:tc>
          <w:tcPr>
            <w:tcW w:w="6565" w:type="dxa"/>
            <w:tcBorders>
              <w:top w:val="single" w:sz="4" w:space="0" w:color="auto"/>
            </w:tcBorders>
            <w:shd w:val="clear" w:color="auto" w:fill="auto"/>
            <w:noWrap/>
            <w:vAlign w:val="bottom"/>
            <w:hideMark/>
          </w:tcPr>
          <w:p w14:paraId="3F59A788"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Workshops</w:t>
            </w:r>
          </w:p>
        </w:tc>
        <w:tc>
          <w:tcPr>
            <w:tcW w:w="2880" w:type="dxa"/>
            <w:tcBorders>
              <w:top w:val="single" w:sz="4" w:space="0" w:color="auto"/>
            </w:tcBorders>
            <w:shd w:val="clear" w:color="auto" w:fill="auto"/>
            <w:noWrap/>
            <w:vAlign w:val="bottom"/>
            <w:hideMark/>
          </w:tcPr>
          <w:p w14:paraId="6D7CED5C" w14:textId="77777777" w:rsidR="00FC752D" w:rsidRPr="00BC4AFE" w:rsidRDefault="00FC752D" w:rsidP="00E01BB0">
            <w:pPr>
              <w:jc w:val="right"/>
              <w:rPr>
                <w:b/>
                <w:bCs/>
                <w:color w:val="000000"/>
                <w:sz w:val="20"/>
                <w:szCs w:val="20"/>
                <w:lang w:val="en-CA" w:eastAsia="en-CA"/>
              </w:rPr>
            </w:pPr>
          </w:p>
        </w:tc>
      </w:tr>
      <w:tr w:rsidR="00FC752D" w:rsidRPr="00BC4AFE" w14:paraId="7748D705" w14:textId="77777777" w:rsidTr="00A60395">
        <w:trPr>
          <w:trHeight w:val="255"/>
          <w:jc w:val="center"/>
        </w:trPr>
        <w:tc>
          <w:tcPr>
            <w:tcW w:w="6565" w:type="dxa"/>
            <w:shd w:val="clear" w:color="auto" w:fill="auto"/>
            <w:noWrap/>
            <w:vAlign w:val="bottom"/>
            <w:hideMark/>
          </w:tcPr>
          <w:p w14:paraId="73042306"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Article 8(j)</w:t>
            </w:r>
          </w:p>
        </w:tc>
        <w:tc>
          <w:tcPr>
            <w:tcW w:w="2880" w:type="dxa"/>
            <w:shd w:val="clear" w:color="auto" w:fill="auto"/>
            <w:noWrap/>
            <w:vAlign w:val="bottom"/>
            <w:hideMark/>
          </w:tcPr>
          <w:p w14:paraId="00C0960B"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373,000</w:t>
            </w:r>
          </w:p>
        </w:tc>
      </w:tr>
      <w:tr w:rsidR="00FC752D" w:rsidRPr="00BC4AFE" w14:paraId="459BC3D5" w14:textId="77777777" w:rsidTr="00A60395">
        <w:trPr>
          <w:trHeight w:val="255"/>
          <w:jc w:val="center"/>
        </w:trPr>
        <w:tc>
          <w:tcPr>
            <w:tcW w:w="6565" w:type="dxa"/>
            <w:shd w:val="clear" w:color="auto" w:fill="auto"/>
            <w:noWrap/>
            <w:vAlign w:val="bottom"/>
            <w:hideMark/>
          </w:tcPr>
          <w:p w14:paraId="406DCF68"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Capacity-building and technical and scientific cooperation</w:t>
            </w:r>
          </w:p>
        </w:tc>
        <w:tc>
          <w:tcPr>
            <w:tcW w:w="2880" w:type="dxa"/>
            <w:shd w:val="clear" w:color="auto" w:fill="auto"/>
            <w:noWrap/>
            <w:vAlign w:val="bottom"/>
            <w:hideMark/>
          </w:tcPr>
          <w:p w14:paraId="4FBAA012"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705,000</w:t>
            </w:r>
          </w:p>
        </w:tc>
      </w:tr>
      <w:tr w:rsidR="00FC752D" w:rsidRPr="00BC4AFE" w14:paraId="792470F5" w14:textId="77777777" w:rsidTr="00A60395">
        <w:trPr>
          <w:trHeight w:val="255"/>
          <w:jc w:val="center"/>
        </w:trPr>
        <w:tc>
          <w:tcPr>
            <w:tcW w:w="6565" w:type="dxa"/>
            <w:shd w:val="clear" w:color="auto" w:fill="auto"/>
            <w:noWrap/>
            <w:vAlign w:val="bottom"/>
            <w:hideMark/>
          </w:tcPr>
          <w:p w14:paraId="03B48E6F"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Conservation and sustainable use of marine and coastal biodiversity</w:t>
            </w:r>
          </w:p>
        </w:tc>
        <w:tc>
          <w:tcPr>
            <w:tcW w:w="2880" w:type="dxa"/>
            <w:shd w:val="clear" w:color="auto" w:fill="auto"/>
            <w:noWrap/>
            <w:vAlign w:val="bottom"/>
            <w:hideMark/>
          </w:tcPr>
          <w:p w14:paraId="40C8F9D0"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263,000</w:t>
            </w:r>
          </w:p>
        </w:tc>
      </w:tr>
      <w:tr w:rsidR="00FC752D" w:rsidRPr="00BC4AFE" w14:paraId="4AD99E10" w14:textId="77777777" w:rsidTr="00A60395">
        <w:trPr>
          <w:trHeight w:val="255"/>
          <w:jc w:val="center"/>
        </w:trPr>
        <w:tc>
          <w:tcPr>
            <w:tcW w:w="6565" w:type="dxa"/>
            <w:shd w:val="clear" w:color="auto" w:fill="auto"/>
            <w:noWrap/>
            <w:vAlign w:val="bottom"/>
            <w:hideMark/>
          </w:tcPr>
          <w:p w14:paraId="060E636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EBSAs</w:t>
            </w:r>
          </w:p>
        </w:tc>
        <w:tc>
          <w:tcPr>
            <w:tcW w:w="2880" w:type="dxa"/>
            <w:shd w:val="clear" w:color="auto" w:fill="auto"/>
            <w:noWrap/>
            <w:vAlign w:val="bottom"/>
            <w:hideMark/>
          </w:tcPr>
          <w:p w14:paraId="7107948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263,000</w:t>
            </w:r>
          </w:p>
        </w:tc>
      </w:tr>
      <w:tr w:rsidR="00FC752D" w:rsidRPr="00BC4AFE" w14:paraId="17AFECA0" w14:textId="77777777" w:rsidTr="00A60395">
        <w:trPr>
          <w:trHeight w:val="255"/>
          <w:jc w:val="center"/>
        </w:trPr>
        <w:tc>
          <w:tcPr>
            <w:tcW w:w="6565" w:type="dxa"/>
            <w:shd w:val="clear" w:color="auto" w:fill="auto"/>
            <w:noWrap/>
            <w:vAlign w:val="bottom"/>
            <w:hideMark/>
          </w:tcPr>
          <w:p w14:paraId="1991AD7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Engagement with subnational governments, cities </w:t>
            </w:r>
          </w:p>
        </w:tc>
        <w:tc>
          <w:tcPr>
            <w:tcW w:w="2880" w:type="dxa"/>
            <w:shd w:val="clear" w:color="auto" w:fill="auto"/>
            <w:noWrap/>
            <w:vAlign w:val="bottom"/>
            <w:hideMark/>
          </w:tcPr>
          <w:p w14:paraId="04B7BBE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70,000</w:t>
            </w:r>
          </w:p>
        </w:tc>
      </w:tr>
      <w:tr w:rsidR="00FC752D" w:rsidRPr="00BC4AFE" w14:paraId="66E622E1" w14:textId="77777777" w:rsidTr="00A60395">
        <w:trPr>
          <w:trHeight w:val="255"/>
          <w:jc w:val="center"/>
        </w:trPr>
        <w:tc>
          <w:tcPr>
            <w:tcW w:w="6565" w:type="dxa"/>
            <w:shd w:val="clear" w:color="auto" w:fill="auto"/>
            <w:noWrap/>
            <w:vAlign w:val="bottom"/>
            <w:hideMark/>
          </w:tcPr>
          <w:p w14:paraId="531584F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Global Biodiversity Framework - implementation facilitation/engagement</w:t>
            </w:r>
          </w:p>
        </w:tc>
        <w:tc>
          <w:tcPr>
            <w:tcW w:w="2880" w:type="dxa"/>
            <w:shd w:val="clear" w:color="auto" w:fill="auto"/>
            <w:noWrap/>
            <w:vAlign w:val="bottom"/>
            <w:hideMark/>
          </w:tcPr>
          <w:p w14:paraId="7B9A3B6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200,000</w:t>
            </w:r>
          </w:p>
        </w:tc>
      </w:tr>
      <w:tr w:rsidR="00FC752D" w:rsidRPr="00BC4AFE" w14:paraId="78C20934" w14:textId="77777777" w:rsidTr="00A60395">
        <w:trPr>
          <w:trHeight w:val="255"/>
          <w:jc w:val="center"/>
        </w:trPr>
        <w:tc>
          <w:tcPr>
            <w:tcW w:w="6565" w:type="dxa"/>
            <w:shd w:val="clear" w:color="auto" w:fill="auto"/>
            <w:noWrap/>
            <w:vAlign w:val="bottom"/>
            <w:hideMark/>
          </w:tcPr>
          <w:p w14:paraId="25D4F5C5"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Gender Plan of Action</w:t>
            </w:r>
          </w:p>
        </w:tc>
        <w:tc>
          <w:tcPr>
            <w:tcW w:w="2880" w:type="dxa"/>
            <w:shd w:val="clear" w:color="auto" w:fill="auto"/>
            <w:noWrap/>
            <w:vAlign w:val="bottom"/>
            <w:hideMark/>
          </w:tcPr>
          <w:p w14:paraId="75E54CD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80,000</w:t>
            </w:r>
          </w:p>
        </w:tc>
      </w:tr>
      <w:tr w:rsidR="00FC752D" w:rsidRPr="00BC4AFE" w14:paraId="57AF920E" w14:textId="77777777" w:rsidTr="00A60395">
        <w:trPr>
          <w:trHeight w:val="255"/>
          <w:jc w:val="center"/>
        </w:trPr>
        <w:tc>
          <w:tcPr>
            <w:tcW w:w="6565" w:type="dxa"/>
            <w:shd w:val="clear" w:color="auto" w:fill="auto"/>
            <w:noWrap/>
            <w:vAlign w:val="bottom"/>
            <w:hideMark/>
          </w:tcPr>
          <w:p w14:paraId="46E8112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Knowledge management and the clearing-house mechanism</w:t>
            </w:r>
          </w:p>
        </w:tc>
        <w:tc>
          <w:tcPr>
            <w:tcW w:w="2880" w:type="dxa"/>
            <w:shd w:val="clear" w:color="auto" w:fill="auto"/>
            <w:noWrap/>
            <w:vAlign w:val="bottom"/>
            <w:hideMark/>
          </w:tcPr>
          <w:p w14:paraId="4FE678A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550,000</w:t>
            </w:r>
          </w:p>
        </w:tc>
      </w:tr>
      <w:tr w:rsidR="00FC752D" w:rsidRPr="00BC4AFE" w14:paraId="728CFB48" w14:textId="77777777" w:rsidTr="00A60395">
        <w:trPr>
          <w:trHeight w:val="255"/>
          <w:jc w:val="center"/>
        </w:trPr>
        <w:tc>
          <w:tcPr>
            <w:tcW w:w="6565" w:type="dxa"/>
            <w:shd w:val="clear" w:color="auto" w:fill="auto"/>
            <w:noWrap/>
            <w:vAlign w:val="bottom"/>
            <w:hideMark/>
          </w:tcPr>
          <w:p w14:paraId="058318CD"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Indigenous peoples and local communities</w:t>
            </w:r>
          </w:p>
        </w:tc>
        <w:tc>
          <w:tcPr>
            <w:tcW w:w="2880" w:type="dxa"/>
            <w:shd w:val="clear" w:color="auto" w:fill="auto"/>
            <w:noWrap/>
            <w:vAlign w:val="bottom"/>
            <w:hideMark/>
          </w:tcPr>
          <w:p w14:paraId="115B31A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190,000</w:t>
            </w:r>
          </w:p>
        </w:tc>
      </w:tr>
      <w:tr w:rsidR="00FC752D" w:rsidRPr="00BC4AFE" w14:paraId="740D619C" w14:textId="77777777" w:rsidTr="00A60395">
        <w:trPr>
          <w:trHeight w:val="255"/>
          <w:jc w:val="center"/>
        </w:trPr>
        <w:tc>
          <w:tcPr>
            <w:tcW w:w="6565" w:type="dxa"/>
            <w:shd w:val="clear" w:color="auto" w:fill="auto"/>
            <w:noWrap/>
            <w:vAlign w:val="bottom"/>
            <w:hideMark/>
          </w:tcPr>
          <w:p w14:paraId="2590DFA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Nature and culture</w:t>
            </w:r>
          </w:p>
        </w:tc>
        <w:tc>
          <w:tcPr>
            <w:tcW w:w="2880" w:type="dxa"/>
            <w:shd w:val="clear" w:color="auto" w:fill="auto"/>
            <w:noWrap/>
            <w:vAlign w:val="bottom"/>
            <w:hideMark/>
          </w:tcPr>
          <w:p w14:paraId="41E11C74"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190,000</w:t>
            </w:r>
          </w:p>
        </w:tc>
      </w:tr>
      <w:tr w:rsidR="00FC752D" w:rsidRPr="00BC4AFE" w14:paraId="73399A23" w14:textId="77777777" w:rsidTr="00A60395">
        <w:trPr>
          <w:trHeight w:val="255"/>
          <w:jc w:val="center"/>
        </w:trPr>
        <w:tc>
          <w:tcPr>
            <w:tcW w:w="6565" w:type="dxa"/>
            <w:shd w:val="clear" w:color="auto" w:fill="auto"/>
            <w:noWrap/>
            <w:vAlign w:val="bottom"/>
            <w:hideMark/>
          </w:tcPr>
          <w:p w14:paraId="406684D9"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Planning, monitoring, reporting and review</w:t>
            </w:r>
          </w:p>
        </w:tc>
        <w:tc>
          <w:tcPr>
            <w:tcW w:w="2880" w:type="dxa"/>
            <w:shd w:val="clear" w:color="auto" w:fill="auto"/>
            <w:noWrap/>
            <w:vAlign w:val="bottom"/>
            <w:hideMark/>
          </w:tcPr>
          <w:p w14:paraId="3803575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162,500</w:t>
            </w:r>
          </w:p>
        </w:tc>
      </w:tr>
      <w:tr w:rsidR="00FC752D" w:rsidRPr="00BC4AFE" w14:paraId="17C509DF" w14:textId="77777777" w:rsidTr="00A60395">
        <w:trPr>
          <w:trHeight w:val="255"/>
          <w:jc w:val="center"/>
        </w:trPr>
        <w:tc>
          <w:tcPr>
            <w:tcW w:w="6565" w:type="dxa"/>
            <w:tcBorders>
              <w:bottom w:val="single" w:sz="4" w:space="0" w:color="auto"/>
            </w:tcBorders>
            <w:shd w:val="clear" w:color="auto" w:fill="auto"/>
            <w:noWrap/>
            <w:vAlign w:val="bottom"/>
            <w:hideMark/>
          </w:tcPr>
          <w:p w14:paraId="03DB1725"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Synthetic biology</w:t>
            </w:r>
          </w:p>
        </w:tc>
        <w:tc>
          <w:tcPr>
            <w:tcW w:w="2880" w:type="dxa"/>
            <w:tcBorders>
              <w:bottom w:val="single" w:sz="4" w:space="0" w:color="auto"/>
            </w:tcBorders>
            <w:shd w:val="clear" w:color="auto" w:fill="auto"/>
            <w:noWrap/>
            <w:vAlign w:val="bottom"/>
            <w:hideMark/>
          </w:tcPr>
          <w:p w14:paraId="0713A59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131,500</w:t>
            </w:r>
          </w:p>
        </w:tc>
      </w:tr>
      <w:tr w:rsidR="00FC752D" w:rsidRPr="00BC4AFE" w14:paraId="0F25C21F"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7D186C5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2D00B4D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3,178,000</w:t>
            </w:r>
          </w:p>
        </w:tc>
      </w:tr>
      <w:tr w:rsidR="00FC752D" w:rsidRPr="00BC4AFE" w14:paraId="5118B2B0" w14:textId="77777777" w:rsidTr="00A60395">
        <w:trPr>
          <w:trHeight w:val="255"/>
          <w:jc w:val="center"/>
        </w:trPr>
        <w:tc>
          <w:tcPr>
            <w:tcW w:w="6565" w:type="dxa"/>
            <w:shd w:val="clear" w:color="auto" w:fill="auto"/>
            <w:noWrap/>
            <w:vAlign w:val="bottom"/>
            <w:hideMark/>
          </w:tcPr>
          <w:p w14:paraId="3694CCF8"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Expert meetings and committees</w:t>
            </w:r>
          </w:p>
        </w:tc>
        <w:tc>
          <w:tcPr>
            <w:tcW w:w="2880" w:type="dxa"/>
            <w:shd w:val="clear" w:color="auto" w:fill="auto"/>
            <w:noWrap/>
            <w:vAlign w:val="bottom"/>
            <w:hideMark/>
          </w:tcPr>
          <w:p w14:paraId="0588184B" w14:textId="77777777" w:rsidR="00FC752D" w:rsidRPr="00BC4AFE" w:rsidRDefault="00FC752D" w:rsidP="00E01BB0">
            <w:pPr>
              <w:jc w:val="right"/>
              <w:rPr>
                <w:b/>
                <w:bCs/>
                <w:color w:val="000000"/>
                <w:sz w:val="20"/>
                <w:szCs w:val="20"/>
                <w:lang w:val="en-CA" w:eastAsia="en-CA"/>
              </w:rPr>
            </w:pPr>
          </w:p>
        </w:tc>
      </w:tr>
      <w:tr w:rsidR="00FC752D" w:rsidRPr="00BC4AFE" w14:paraId="2299BA2F" w14:textId="77777777" w:rsidTr="00A60395">
        <w:trPr>
          <w:trHeight w:val="255"/>
          <w:jc w:val="center"/>
        </w:trPr>
        <w:tc>
          <w:tcPr>
            <w:tcW w:w="6565" w:type="dxa"/>
            <w:shd w:val="clear" w:color="auto" w:fill="auto"/>
            <w:noWrap/>
            <w:vAlign w:val="center"/>
            <w:hideMark/>
          </w:tcPr>
          <w:p w14:paraId="3B8BE1AE"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Article 8(j)</w:t>
            </w:r>
          </w:p>
        </w:tc>
        <w:tc>
          <w:tcPr>
            <w:tcW w:w="2880" w:type="dxa"/>
            <w:shd w:val="clear" w:color="auto" w:fill="auto"/>
            <w:noWrap/>
            <w:vAlign w:val="center"/>
            <w:hideMark/>
          </w:tcPr>
          <w:p w14:paraId="005D9E97" w14:textId="77777777" w:rsidR="00FC752D" w:rsidRPr="00BC4AFE" w:rsidRDefault="00FC752D" w:rsidP="00E01BB0">
            <w:pPr>
              <w:jc w:val="right"/>
              <w:rPr>
                <w:sz w:val="20"/>
                <w:szCs w:val="20"/>
                <w:lang w:val="en-CA" w:eastAsia="en-CA"/>
              </w:rPr>
            </w:pPr>
            <w:r w:rsidRPr="00BC4AFE">
              <w:rPr>
                <w:sz w:val="20"/>
                <w:szCs w:val="20"/>
                <w:lang w:val="en-CA" w:eastAsia="en-CA"/>
              </w:rPr>
              <w:t>157,000</w:t>
            </w:r>
          </w:p>
        </w:tc>
      </w:tr>
      <w:tr w:rsidR="00FC752D" w:rsidRPr="00BC4AFE" w14:paraId="285E8E1A" w14:textId="77777777" w:rsidTr="00A60395">
        <w:trPr>
          <w:trHeight w:val="255"/>
          <w:jc w:val="center"/>
        </w:trPr>
        <w:tc>
          <w:tcPr>
            <w:tcW w:w="6565" w:type="dxa"/>
            <w:shd w:val="clear" w:color="auto" w:fill="auto"/>
            <w:noWrap/>
            <w:vAlign w:val="center"/>
            <w:hideMark/>
          </w:tcPr>
          <w:p w14:paraId="7E8860CF"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Communication</w:t>
            </w:r>
          </w:p>
        </w:tc>
        <w:tc>
          <w:tcPr>
            <w:tcW w:w="2880" w:type="dxa"/>
            <w:shd w:val="clear" w:color="auto" w:fill="auto"/>
            <w:noWrap/>
            <w:vAlign w:val="center"/>
            <w:hideMark/>
          </w:tcPr>
          <w:p w14:paraId="50F6D537" w14:textId="77777777" w:rsidR="00FC752D" w:rsidRPr="00BC4AFE" w:rsidRDefault="00FC752D" w:rsidP="00E01BB0">
            <w:pPr>
              <w:jc w:val="right"/>
              <w:rPr>
                <w:sz w:val="20"/>
                <w:szCs w:val="20"/>
                <w:lang w:val="en-CA" w:eastAsia="en-CA"/>
              </w:rPr>
            </w:pPr>
            <w:r w:rsidRPr="00BC4AFE">
              <w:rPr>
                <w:sz w:val="20"/>
                <w:szCs w:val="20"/>
                <w:lang w:val="en-CA" w:eastAsia="en-CA"/>
              </w:rPr>
              <w:t>75,000</w:t>
            </w:r>
          </w:p>
        </w:tc>
      </w:tr>
      <w:tr w:rsidR="00FC752D" w:rsidRPr="00BC4AFE" w14:paraId="0428A14B" w14:textId="77777777" w:rsidTr="00A60395">
        <w:trPr>
          <w:trHeight w:val="255"/>
          <w:jc w:val="center"/>
        </w:trPr>
        <w:tc>
          <w:tcPr>
            <w:tcW w:w="6565" w:type="dxa"/>
            <w:shd w:val="clear" w:color="auto" w:fill="auto"/>
            <w:noWrap/>
            <w:vAlign w:val="bottom"/>
            <w:hideMark/>
          </w:tcPr>
          <w:p w14:paraId="4E7E3D3B"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Gender Plan of Action</w:t>
            </w:r>
          </w:p>
        </w:tc>
        <w:tc>
          <w:tcPr>
            <w:tcW w:w="2880" w:type="dxa"/>
            <w:shd w:val="clear" w:color="auto" w:fill="auto"/>
            <w:noWrap/>
            <w:vAlign w:val="center"/>
            <w:hideMark/>
          </w:tcPr>
          <w:p w14:paraId="5BFFECB4" w14:textId="77777777" w:rsidR="00FC752D" w:rsidRPr="00BC4AFE" w:rsidRDefault="00FC752D" w:rsidP="00E01BB0">
            <w:pPr>
              <w:jc w:val="right"/>
              <w:rPr>
                <w:sz w:val="20"/>
                <w:szCs w:val="20"/>
                <w:lang w:val="en-CA" w:eastAsia="en-CA"/>
              </w:rPr>
            </w:pPr>
            <w:r w:rsidRPr="00BC4AFE">
              <w:rPr>
                <w:sz w:val="20"/>
                <w:szCs w:val="20"/>
                <w:lang w:val="en-CA" w:eastAsia="en-CA"/>
              </w:rPr>
              <w:t>80,000</w:t>
            </w:r>
          </w:p>
        </w:tc>
      </w:tr>
      <w:tr w:rsidR="00FC752D" w:rsidRPr="00BC4AFE" w14:paraId="0756A09F" w14:textId="77777777" w:rsidTr="00A60395">
        <w:trPr>
          <w:trHeight w:val="255"/>
          <w:jc w:val="center"/>
        </w:trPr>
        <w:tc>
          <w:tcPr>
            <w:tcW w:w="6565" w:type="dxa"/>
            <w:shd w:val="clear" w:color="auto" w:fill="auto"/>
            <w:noWrap/>
            <w:vAlign w:val="center"/>
            <w:hideMark/>
          </w:tcPr>
          <w:p w14:paraId="25C05CF1" w14:textId="77777777" w:rsidR="00FC752D" w:rsidRPr="00BC4AFE" w:rsidRDefault="00FC752D" w:rsidP="00E01BB0">
            <w:pPr>
              <w:keepNext/>
              <w:rPr>
                <w:sz w:val="20"/>
                <w:szCs w:val="20"/>
                <w:lang w:val="en-CA" w:eastAsia="en-CA"/>
              </w:rPr>
            </w:pPr>
            <w:r w:rsidRPr="00BC4AFE">
              <w:rPr>
                <w:sz w:val="20"/>
                <w:szCs w:val="20"/>
                <w:lang w:val="en-CA" w:eastAsia="en-CA"/>
              </w:rPr>
              <w:t xml:space="preserve">Monitoring </w:t>
            </w:r>
            <w:r>
              <w:rPr>
                <w:sz w:val="20"/>
                <w:szCs w:val="20"/>
                <w:lang w:val="en-CA" w:eastAsia="en-CA"/>
              </w:rPr>
              <w:t>–</w:t>
            </w:r>
            <w:r w:rsidRPr="00BC4AFE">
              <w:rPr>
                <w:sz w:val="20"/>
                <w:szCs w:val="20"/>
                <w:lang w:val="en-CA" w:eastAsia="en-CA"/>
              </w:rPr>
              <w:t xml:space="preserve"> </w:t>
            </w:r>
            <w:r>
              <w:rPr>
                <w:sz w:val="20"/>
                <w:szCs w:val="20"/>
                <w:lang w:val="en-CA" w:eastAsia="en-CA"/>
              </w:rPr>
              <w:t xml:space="preserve">Kunming Montreal </w:t>
            </w:r>
            <w:r w:rsidRPr="00BC4AFE">
              <w:rPr>
                <w:sz w:val="20"/>
                <w:szCs w:val="20"/>
                <w:lang w:val="en-CA" w:eastAsia="en-CA"/>
              </w:rPr>
              <w:t>Global Biodiversity Framework</w:t>
            </w:r>
          </w:p>
        </w:tc>
        <w:tc>
          <w:tcPr>
            <w:tcW w:w="2880" w:type="dxa"/>
            <w:shd w:val="clear" w:color="auto" w:fill="auto"/>
            <w:noWrap/>
            <w:vAlign w:val="center"/>
            <w:hideMark/>
          </w:tcPr>
          <w:p w14:paraId="5FBA40D9" w14:textId="77777777" w:rsidR="00FC752D" w:rsidRPr="00BC4AFE" w:rsidRDefault="00FC752D" w:rsidP="00E01BB0">
            <w:pPr>
              <w:jc w:val="right"/>
              <w:rPr>
                <w:sz w:val="20"/>
                <w:szCs w:val="20"/>
                <w:lang w:val="en-CA" w:eastAsia="en-CA"/>
              </w:rPr>
            </w:pPr>
            <w:r w:rsidRPr="00BC4AFE">
              <w:rPr>
                <w:sz w:val="20"/>
                <w:szCs w:val="20"/>
                <w:lang w:val="en-CA" w:eastAsia="en-CA"/>
              </w:rPr>
              <w:t>70,000</w:t>
            </w:r>
          </w:p>
        </w:tc>
      </w:tr>
      <w:tr w:rsidR="00FC752D" w:rsidRPr="00BC4AFE" w14:paraId="5458DA3B" w14:textId="77777777" w:rsidTr="00A60395">
        <w:trPr>
          <w:trHeight w:val="255"/>
          <w:jc w:val="center"/>
        </w:trPr>
        <w:tc>
          <w:tcPr>
            <w:tcW w:w="6565" w:type="dxa"/>
            <w:shd w:val="clear" w:color="auto" w:fill="auto"/>
            <w:noWrap/>
            <w:vAlign w:val="bottom"/>
            <w:hideMark/>
          </w:tcPr>
          <w:p w14:paraId="215CBACC"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Resource mobilization</w:t>
            </w:r>
          </w:p>
        </w:tc>
        <w:tc>
          <w:tcPr>
            <w:tcW w:w="2880" w:type="dxa"/>
            <w:shd w:val="clear" w:color="auto" w:fill="auto"/>
            <w:noWrap/>
            <w:vAlign w:val="bottom"/>
            <w:hideMark/>
          </w:tcPr>
          <w:p w14:paraId="7D76DF1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600,000</w:t>
            </w:r>
          </w:p>
        </w:tc>
      </w:tr>
      <w:tr w:rsidR="00FC752D" w:rsidRPr="00BC4AFE" w14:paraId="20389EFE" w14:textId="77777777" w:rsidTr="00A60395">
        <w:trPr>
          <w:trHeight w:val="255"/>
          <w:jc w:val="center"/>
        </w:trPr>
        <w:tc>
          <w:tcPr>
            <w:tcW w:w="6565" w:type="dxa"/>
            <w:tcBorders>
              <w:bottom w:val="single" w:sz="4" w:space="0" w:color="auto"/>
            </w:tcBorders>
            <w:shd w:val="clear" w:color="auto" w:fill="auto"/>
            <w:noWrap/>
            <w:vAlign w:val="center"/>
            <w:hideMark/>
          </w:tcPr>
          <w:p w14:paraId="6FB8ECDC"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Synthetic biology</w:t>
            </w:r>
          </w:p>
        </w:tc>
        <w:tc>
          <w:tcPr>
            <w:tcW w:w="2880" w:type="dxa"/>
            <w:tcBorders>
              <w:bottom w:val="single" w:sz="4" w:space="0" w:color="auto"/>
            </w:tcBorders>
            <w:shd w:val="clear" w:color="auto" w:fill="auto"/>
            <w:noWrap/>
            <w:vAlign w:val="center"/>
            <w:hideMark/>
          </w:tcPr>
          <w:p w14:paraId="2463B58D" w14:textId="77777777" w:rsidR="00FC752D" w:rsidRPr="00BC4AFE" w:rsidRDefault="00FC752D" w:rsidP="00E01BB0">
            <w:pPr>
              <w:jc w:val="right"/>
              <w:rPr>
                <w:sz w:val="20"/>
                <w:szCs w:val="20"/>
                <w:lang w:val="en-CA" w:eastAsia="en-CA"/>
              </w:rPr>
            </w:pPr>
            <w:r w:rsidRPr="00BC4AFE">
              <w:rPr>
                <w:sz w:val="20"/>
                <w:szCs w:val="20"/>
                <w:lang w:val="en-CA" w:eastAsia="en-CA"/>
              </w:rPr>
              <w:t>294,000</w:t>
            </w:r>
          </w:p>
        </w:tc>
      </w:tr>
      <w:tr w:rsidR="00FC752D" w:rsidRPr="00BC4AFE" w14:paraId="0BBBD93E"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373835A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026F87D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1,276,000</w:t>
            </w:r>
          </w:p>
        </w:tc>
      </w:tr>
      <w:tr w:rsidR="00FC752D" w:rsidRPr="00BC4AFE" w14:paraId="5679462A" w14:textId="77777777" w:rsidTr="00A60395">
        <w:trPr>
          <w:trHeight w:val="255"/>
          <w:jc w:val="center"/>
        </w:trPr>
        <w:tc>
          <w:tcPr>
            <w:tcW w:w="6565" w:type="dxa"/>
            <w:shd w:val="clear" w:color="auto" w:fill="auto"/>
            <w:noWrap/>
            <w:vAlign w:val="bottom"/>
            <w:hideMark/>
          </w:tcPr>
          <w:p w14:paraId="4089DC98"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Other costs</w:t>
            </w:r>
          </w:p>
        </w:tc>
        <w:tc>
          <w:tcPr>
            <w:tcW w:w="2880" w:type="dxa"/>
            <w:shd w:val="clear" w:color="auto" w:fill="auto"/>
            <w:noWrap/>
            <w:vAlign w:val="bottom"/>
            <w:hideMark/>
          </w:tcPr>
          <w:p w14:paraId="03E07F1E" w14:textId="77777777" w:rsidR="00FC752D" w:rsidRPr="00BC4AFE" w:rsidRDefault="00FC752D" w:rsidP="00E01BB0">
            <w:pPr>
              <w:jc w:val="right"/>
              <w:rPr>
                <w:b/>
                <w:bCs/>
                <w:color w:val="000000"/>
                <w:sz w:val="20"/>
                <w:szCs w:val="20"/>
                <w:lang w:val="en-CA" w:eastAsia="en-CA"/>
              </w:rPr>
            </w:pPr>
          </w:p>
        </w:tc>
      </w:tr>
      <w:tr w:rsidR="00FC752D" w:rsidRPr="00BC4AFE" w14:paraId="11DB4D51" w14:textId="77777777" w:rsidTr="00A60395">
        <w:trPr>
          <w:trHeight w:val="255"/>
          <w:jc w:val="center"/>
        </w:trPr>
        <w:tc>
          <w:tcPr>
            <w:tcW w:w="6565" w:type="dxa"/>
            <w:shd w:val="clear" w:color="auto" w:fill="auto"/>
            <w:noWrap/>
            <w:vAlign w:val="center"/>
            <w:hideMark/>
          </w:tcPr>
          <w:p w14:paraId="05858FCE" w14:textId="77777777" w:rsidR="00FC752D" w:rsidRPr="00BC4AFE" w:rsidRDefault="00FC752D" w:rsidP="00E01BB0">
            <w:pPr>
              <w:keepNext/>
              <w:rPr>
                <w:sz w:val="20"/>
                <w:szCs w:val="20"/>
                <w:lang w:val="en-CA" w:eastAsia="en-CA"/>
              </w:rPr>
            </w:pPr>
            <w:r w:rsidRPr="00BC4AFE">
              <w:rPr>
                <w:sz w:val="20"/>
                <w:szCs w:val="20"/>
                <w:lang w:val="en-CA" w:eastAsia="en-CA"/>
              </w:rPr>
              <w:t>Capacity-building and technical and scientific cooperation</w:t>
            </w:r>
          </w:p>
        </w:tc>
        <w:tc>
          <w:tcPr>
            <w:tcW w:w="2880" w:type="dxa"/>
            <w:shd w:val="clear" w:color="auto" w:fill="auto"/>
            <w:noWrap/>
            <w:vAlign w:val="center"/>
            <w:hideMark/>
          </w:tcPr>
          <w:p w14:paraId="6FEA7D71" w14:textId="77777777" w:rsidR="00FC752D" w:rsidRPr="00BC4AFE" w:rsidRDefault="00FC752D" w:rsidP="00E01BB0">
            <w:pPr>
              <w:jc w:val="right"/>
              <w:rPr>
                <w:sz w:val="20"/>
                <w:szCs w:val="20"/>
                <w:lang w:val="en-CA" w:eastAsia="en-CA"/>
              </w:rPr>
            </w:pPr>
            <w:r w:rsidRPr="00BC4AFE">
              <w:rPr>
                <w:sz w:val="20"/>
                <w:szCs w:val="20"/>
                <w:lang w:val="en-CA" w:eastAsia="en-CA"/>
              </w:rPr>
              <w:t>100,000</w:t>
            </w:r>
          </w:p>
        </w:tc>
      </w:tr>
      <w:tr w:rsidR="00FC752D" w:rsidRPr="00BC4AFE" w14:paraId="62BC6928" w14:textId="77777777" w:rsidTr="00A60395">
        <w:trPr>
          <w:trHeight w:val="255"/>
          <w:jc w:val="center"/>
        </w:trPr>
        <w:tc>
          <w:tcPr>
            <w:tcW w:w="6565" w:type="dxa"/>
            <w:shd w:val="clear" w:color="auto" w:fill="auto"/>
            <w:noWrap/>
            <w:vAlign w:val="center"/>
            <w:hideMark/>
          </w:tcPr>
          <w:p w14:paraId="2531DA3E"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Communication</w:t>
            </w:r>
          </w:p>
        </w:tc>
        <w:tc>
          <w:tcPr>
            <w:tcW w:w="2880" w:type="dxa"/>
            <w:shd w:val="clear" w:color="auto" w:fill="auto"/>
            <w:noWrap/>
            <w:vAlign w:val="center"/>
            <w:hideMark/>
          </w:tcPr>
          <w:p w14:paraId="048E50BF" w14:textId="77777777" w:rsidR="00FC752D" w:rsidRPr="00BC4AFE" w:rsidRDefault="00FC752D" w:rsidP="00E01BB0">
            <w:pPr>
              <w:jc w:val="right"/>
              <w:rPr>
                <w:sz w:val="20"/>
                <w:szCs w:val="20"/>
                <w:lang w:val="en-CA" w:eastAsia="en-CA"/>
              </w:rPr>
            </w:pPr>
            <w:r w:rsidRPr="00BC4AFE">
              <w:rPr>
                <w:sz w:val="20"/>
                <w:szCs w:val="20"/>
                <w:lang w:val="en-CA" w:eastAsia="en-CA"/>
              </w:rPr>
              <w:t>100,000</w:t>
            </w:r>
          </w:p>
        </w:tc>
      </w:tr>
      <w:tr w:rsidR="00FC752D" w:rsidRPr="00BC4AFE" w14:paraId="5E492306" w14:textId="77777777" w:rsidTr="00A60395">
        <w:trPr>
          <w:trHeight w:val="255"/>
          <w:jc w:val="center"/>
        </w:trPr>
        <w:tc>
          <w:tcPr>
            <w:tcW w:w="6565" w:type="dxa"/>
            <w:shd w:val="clear" w:color="auto" w:fill="auto"/>
            <w:noWrap/>
            <w:vAlign w:val="center"/>
            <w:hideMark/>
          </w:tcPr>
          <w:p w14:paraId="711AFF17" w14:textId="77777777" w:rsidR="00FC752D" w:rsidRPr="00BC4AFE" w:rsidRDefault="00FC752D" w:rsidP="00E01BB0">
            <w:pPr>
              <w:rPr>
                <w:sz w:val="20"/>
                <w:szCs w:val="20"/>
                <w:lang w:val="en-CA" w:eastAsia="en-CA"/>
              </w:rPr>
            </w:pPr>
            <w:r w:rsidRPr="00BC4AFE">
              <w:rPr>
                <w:sz w:val="20"/>
                <w:szCs w:val="20"/>
                <w:lang w:val="en-CA" w:eastAsia="en-CA"/>
              </w:rPr>
              <w:t xml:space="preserve">Engagement with subnational governments, cities </w:t>
            </w:r>
          </w:p>
        </w:tc>
        <w:tc>
          <w:tcPr>
            <w:tcW w:w="2880" w:type="dxa"/>
            <w:shd w:val="clear" w:color="auto" w:fill="auto"/>
            <w:noWrap/>
            <w:vAlign w:val="center"/>
            <w:hideMark/>
          </w:tcPr>
          <w:p w14:paraId="33B91436" w14:textId="77777777" w:rsidR="00FC752D" w:rsidRPr="00BC4AFE" w:rsidRDefault="00FC752D" w:rsidP="00E01BB0">
            <w:pPr>
              <w:jc w:val="right"/>
              <w:rPr>
                <w:sz w:val="20"/>
                <w:szCs w:val="20"/>
                <w:lang w:val="en-CA" w:eastAsia="en-CA"/>
              </w:rPr>
            </w:pPr>
            <w:r w:rsidRPr="00BC4AFE">
              <w:rPr>
                <w:sz w:val="20"/>
                <w:szCs w:val="20"/>
                <w:lang w:val="en-CA" w:eastAsia="en-CA"/>
              </w:rPr>
              <w:t>60,000</w:t>
            </w:r>
          </w:p>
        </w:tc>
      </w:tr>
      <w:tr w:rsidR="00FC752D" w:rsidRPr="00BC4AFE" w14:paraId="3F789D01" w14:textId="77777777" w:rsidTr="00A60395">
        <w:trPr>
          <w:trHeight w:val="255"/>
          <w:jc w:val="center"/>
        </w:trPr>
        <w:tc>
          <w:tcPr>
            <w:tcW w:w="6565" w:type="dxa"/>
            <w:shd w:val="clear" w:color="auto" w:fill="auto"/>
            <w:noWrap/>
            <w:vAlign w:val="center"/>
            <w:hideMark/>
          </w:tcPr>
          <w:p w14:paraId="36D17AFE" w14:textId="77777777" w:rsidR="00FC752D" w:rsidRPr="00BC4AFE" w:rsidRDefault="00FC752D" w:rsidP="00E01BB0">
            <w:pPr>
              <w:rPr>
                <w:sz w:val="20"/>
                <w:szCs w:val="20"/>
                <w:lang w:val="en-CA" w:eastAsia="en-CA"/>
              </w:rPr>
            </w:pPr>
            <w:r w:rsidRPr="00BC4AFE">
              <w:rPr>
                <w:sz w:val="20"/>
                <w:szCs w:val="20"/>
                <w:lang w:val="en-CA" w:eastAsia="en-CA"/>
              </w:rPr>
              <w:t>Financial mechanism</w:t>
            </w:r>
          </w:p>
        </w:tc>
        <w:tc>
          <w:tcPr>
            <w:tcW w:w="2880" w:type="dxa"/>
            <w:shd w:val="clear" w:color="auto" w:fill="auto"/>
            <w:noWrap/>
            <w:vAlign w:val="center"/>
            <w:hideMark/>
          </w:tcPr>
          <w:p w14:paraId="1D6825A3" w14:textId="77777777" w:rsidR="00FC752D" w:rsidRPr="00BC4AFE" w:rsidRDefault="00FC752D" w:rsidP="00E01BB0">
            <w:pPr>
              <w:jc w:val="right"/>
              <w:rPr>
                <w:sz w:val="20"/>
                <w:szCs w:val="20"/>
                <w:lang w:val="en-CA" w:eastAsia="en-CA"/>
              </w:rPr>
            </w:pPr>
            <w:r w:rsidRPr="00BC4AFE">
              <w:rPr>
                <w:sz w:val="20"/>
                <w:szCs w:val="20"/>
                <w:lang w:val="en-CA" w:eastAsia="en-CA"/>
              </w:rPr>
              <w:t>50,000</w:t>
            </w:r>
          </w:p>
        </w:tc>
      </w:tr>
      <w:tr w:rsidR="00FC752D" w:rsidRPr="00BC4AFE" w14:paraId="1840AAAD" w14:textId="77777777" w:rsidTr="00A60395">
        <w:trPr>
          <w:trHeight w:val="255"/>
          <w:jc w:val="center"/>
        </w:trPr>
        <w:tc>
          <w:tcPr>
            <w:tcW w:w="6565" w:type="dxa"/>
            <w:shd w:val="clear" w:color="auto" w:fill="auto"/>
            <w:noWrap/>
            <w:vAlign w:val="bottom"/>
            <w:hideMark/>
          </w:tcPr>
          <w:p w14:paraId="112C117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lastRenderedPageBreak/>
              <w:t>Gender Plan of Action</w:t>
            </w:r>
          </w:p>
        </w:tc>
        <w:tc>
          <w:tcPr>
            <w:tcW w:w="2880" w:type="dxa"/>
            <w:shd w:val="clear" w:color="auto" w:fill="auto"/>
            <w:noWrap/>
            <w:vAlign w:val="center"/>
            <w:hideMark/>
          </w:tcPr>
          <w:p w14:paraId="62A61356" w14:textId="77777777" w:rsidR="00FC752D" w:rsidRPr="00BC4AFE" w:rsidRDefault="00FC752D" w:rsidP="00E01BB0">
            <w:pPr>
              <w:jc w:val="right"/>
              <w:rPr>
                <w:sz w:val="20"/>
                <w:szCs w:val="20"/>
                <w:lang w:val="en-CA" w:eastAsia="en-CA"/>
              </w:rPr>
            </w:pPr>
            <w:r w:rsidRPr="00BC4AFE">
              <w:rPr>
                <w:sz w:val="20"/>
                <w:szCs w:val="20"/>
                <w:lang w:val="en-CA" w:eastAsia="en-CA"/>
              </w:rPr>
              <w:t>10,000</w:t>
            </w:r>
          </w:p>
        </w:tc>
      </w:tr>
      <w:tr w:rsidR="00FC752D" w:rsidRPr="00BC4AFE" w14:paraId="2B2B69DB" w14:textId="77777777" w:rsidTr="00A60395">
        <w:trPr>
          <w:trHeight w:val="255"/>
          <w:jc w:val="center"/>
        </w:trPr>
        <w:tc>
          <w:tcPr>
            <w:tcW w:w="6565" w:type="dxa"/>
            <w:shd w:val="clear" w:color="auto" w:fill="auto"/>
            <w:noWrap/>
            <w:vAlign w:val="center"/>
            <w:hideMark/>
          </w:tcPr>
          <w:p w14:paraId="03E07FED"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Invasive alien species</w:t>
            </w:r>
          </w:p>
        </w:tc>
        <w:tc>
          <w:tcPr>
            <w:tcW w:w="2880" w:type="dxa"/>
            <w:shd w:val="clear" w:color="auto" w:fill="auto"/>
            <w:noWrap/>
            <w:vAlign w:val="center"/>
            <w:hideMark/>
          </w:tcPr>
          <w:p w14:paraId="569848BD" w14:textId="77777777" w:rsidR="00FC752D" w:rsidRPr="00BC4AFE" w:rsidRDefault="00FC752D" w:rsidP="00E01BB0">
            <w:pPr>
              <w:jc w:val="right"/>
              <w:rPr>
                <w:sz w:val="20"/>
                <w:szCs w:val="20"/>
                <w:lang w:val="en-CA" w:eastAsia="en-CA"/>
              </w:rPr>
            </w:pPr>
            <w:r w:rsidRPr="00BC4AFE">
              <w:rPr>
                <w:sz w:val="20"/>
                <w:szCs w:val="20"/>
                <w:lang w:val="en-CA" w:eastAsia="en-CA"/>
              </w:rPr>
              <w:t>15,000</w:t>
            </w:r>
          </w:p>
        </w:tc>
      </w:tr>
      <w:tr w:rsidR="00FC752D" w:rsidRPr="00BC4AFE" w14:paraId="597F2BE3" w14:textId="77777777" w:rsidTr="00A60395">
        <w:trPr>
          <w:trHeight w:val="255"/>
          <w:jc w:val="center"/>
        </w:trPr>
        <w:tc>
          <w:tcPr>
            <w:tcW w:w="6565" w:type="dxa"/>
            <w:tcBorders>
              <w:bottom w:val="single" w:sz="4" w:space="0" w:color="auto"/>
            </w:tcBorders>
            <w:shd w:val="clear" w:color="auto" w:fill="auto"/>
            <w:noWrap/>
            <w:vAlign w:val="center"/>
            <w:hideMark/>
          </w:tcPr>
          <w:p w14:paraId="3B88BF51" w14:textId="77777777" w:rsidR="00FC752D" w:rsidRPr="00BC4AFE" w:rsidRDefault="00FC752D" w:rsidP="00E01BB0">
            <w:pPr>
              <w:keepNext/>
              <w:rPr>
                <w:sz w:val="20"/>
                <w:szCs w:val="20"/>
                <w:lang w:val="en-CA" w:eastAsia="en-CA"/>
              </w:rPr>
            </w:pPr>
            <w:r w:rsidRPr="00BC4AFE">
              <w:rPr>
                <w:sz w:val="20"/>
                <w:szCs w:val="20"/>
                <w:lang w:val="en-CA" w:eastAsia="en-CA"/>
              </w:rPr>
              <w:t>Planning, monitoring, reporting and review</w:t>
            </w:r>
          </w:p>
        </w:tc>
        <w:tc>
          <w:tcPr>
            <w:tcW w:w="2880" w:type="dxa"/>
            <w:tcBorders>
              <w:bottom w:val="single" w:sz="4" w:space="0" w:color="auto"/>
            </w:tcBorders>
            <w:shd w:val="clear" w:color="auto" w:fill="auto"/>
            <w:noWrap/>
            <w:vAlign w:val="center"/>
            <w:hideMark/>
          </w:tcPr>
          <w:p w14:paraId="08204837" w14:textId="77777777" w:rsidR="00FC752D" w:rsidRPr="00BC4AFE" w:rsidRDefault="00FC752D" w:rsidP="00E01BB0">
            <w:pPr>
              <w:jc w:val="right"/>
              <w:rPr>
                <w:sz w:val="20"/>
                <w:szCs w:val="20"/>
                <w:lang w:val="en-CA" w:eastAsia="en-CA"/>
              </w:rPr>
            </w:pPr>
            <w:r w:rsidRPr="00BC4AFE">
              <w:rPr>
                <w:sz w:val="20"/>
                <w:szCs w:val="20"/>
                <w:lang w:val="en-CA" w:eastAsia="en-CA"/>
              </w:rPr>
              <w:t>100,000</w:t>
            </w:r>
          </w:p>
        </w:tc>
      </w:tr>
      <w:tr w:rsidR="00FC752D" w:rsidRPr="00BC4AFE" w14:paraId="045034D8" w14:textId="77777777" w:rsidTr="00A60395">
        <w:trPr>
          <w:trHeight w:val="255"/>
          <w:jc w:val="center"/>
        </w:trPr>
        <w:tc>
          <w:tcPr>
            <w:tcW w:w="6565" w:type="dxa"/>
            <w:tcBorders>
              <w:top w:val="single" w:sz="4" w:space="0" w:color="auto"/>
              <w:bottom w:val="single" w:sz="4" w:space="0" w:color="auto"/>
            </w:tcBorders>
            <w:shd w:val="clear" w:color="auto" w:fill="auto"/>
            <w:noWrap/>
            <w:vAlign w:val="bottom"/>
            <w:hideMark/>
          </w:tcPr>
          <w:p w14:paraId="7EC38F5C"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2F5FABD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435,000</w:t>
            </w:r>
          </w:p>
        </w:tc>
      </w:tr>
      <w:tr w:rsidR="00FC752D" w:rsidRPr="00BC4AFE" w14:paraId="6CF18ADE" w14:textId="77777777" w:rsidTr="00A60395">
        <w:trPr>
          <w:trHeight w:val="255"/>
          <w:jc w:val="center"/>
        </w:trPr>
        <w:tc>
          <w:tcPr>
            <w:tcW w:w="6565" w:type="dxa"/>
            <w:shd w:val="clear" w:color="auto" w:fill="auto"/>
            <w:noWrap/>
            <w:vAlign w:val="bottom"/>
            <w:hideMark/>
          </w:tcPr>
          <w:p w14:paraId="1407FEDD"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Staff resources</w:t>
            </w:r>
          </w:p>
        </w:tc>
        <w:tc>
          <w:tcPr>
            <w:tcW w:w="2880" w:type="dxa"/>
            <w:shd w:val="clear" w:color="auto" w:fill="auto"/>
            <w:noWrap/>
            <w:vAlign w:val="bottom"/>
            <w:hideMark/>
          </w:tcPr>
          <w:p w14:paraId="11C92733" w14:textId="77777777" w:rsidR="00FC752D" w:rsidRPr="00BC4AFE" w:rsidRDefault="00FC752D" w:rsidP="00E01BB0">
            <w:pPr>
              <w:jc w:val="right"/>
              <w:rPr>
                <w:b/>
                <w:bCs/>
                <w:color w:val="000000"/>
                <w:sz w:val="20"/>
                <w:szCs w:val="20"/>
                <w:lang w:val="en-CA" w:eastAsia="en-CA"/>
              </w:rPr>
            </w:pPr>
          </w:p>
        </w:tc>
      </w:tr>
      <w:tr w:rsidR="00FC752D" w:rsidRPr="00BC4AFE" w14:paraId="056057C9" w14:textId="77777777" w:rsidTr="00A60395">
        <w:trPr>
          <w:trHeight w:val="255"/>
          <w:jc w:val="center"/>
        </w:trPr>
        <w:tc>
          <w:tcPr>
            <w:tcW w:w="6565" w:type="dxa"/>
            <w:shd w:val="clear" w:color="auto" w:fill="auto"/>
            <w:vAlign w:val="bottom"/>
            <w:hideMark/>
          </w:tcPr>
          <w:p w14:paraId="09696176"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 xml:space="preserve">Programme Officer - Communications (P-3) </w:t>
            </w:r>
          </w:p>
        </w:tc>
        <w:tc>
          <w:tcPr>
            <w:tcW w:w="2880" w:type="dxa"/>
            <w:shd w:val="clear" w:color="auto" w:fill="auto"/>
            <w:noWrap/>
            <w:vAlign w:val="bottom"/>
            <w:hideMark/>
          </w:tcPr>
          <w:p w14:paraId="2ACC944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67824AEE" w14:textId="77777777" w:rsidTr="00A60395">
        <w:trPr>
          <w:trHeight w:val="255"/>
          <w:jc w:val="center"/>
        </w:trPr>
        <w:tc>
          <w:tcPr>
            <w:tcW w:w="6565" w:type="dxa"/>
            <w:shd w:val="clear" w:color="auto" w:fill="auto"/>
            <w:vAlign w:val="bottom"/>
            <w:hideMark/>
          </w:tcPr>
          <w:p w14:paraId="5C146926"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Programme Officer - Digital sequence information on genetic resources (P-4) </w:t>
            </w:r>
          </w:p>
        </w:tc>
        <w:tc>
          <w:tcPr>
            <w:tcW w:w="2880" w:type="dxa"/>
            <w:shd w:val="clear" w:color="auto" w:fill="auto"/>
            <w:noWrap/>
            <w:vAlign w:val="bottom"/>
            <w:hideMark/>
          </w:tcPr>
          <w:p w14:paraId="1612BA50"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60D56F01" w14:textId="77777777" w:rsidTr="00A60395">
        <w:trPr>
          <w:trHeight w:val="255"/>
          <w:jc w:val="center"/>
        </w:trPr>
        <w:tc>
          <w:tcPr>
            <w:tcW w:w="6565" w:type="dxa"/>
            <w:shd w:val="clear" w:color="auto" w:fill="auto"/>
            <w:vAlign w:val="bottom"/>
            <w:hideMark/>
          </w:tcPr>
          <w:p w14:paraId="0C816B53"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Biodiversity Mainstreaming (P-4)</w:t>
            </w:r>
          </w:p>
        </w:tc>
        <w:tc>
          <w:tcPr>
            <w:tcW w:w="2880" w:type="dxa"/>
            <w:shd w:val="clear" w:color="auto" w:fill="auto"/>
            <w:noWrap/>
            <w:vAlign w:val="bottom"/>
            <w:hideMark/>
          </w:tcPr>
          <w:p w14:paraId="5BFF00F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0061B92D" w14:textId="77777777" w:rsidTr="00A60395">
        <w:trPr>
          <w:trHeight w:val="255"/>
          <w:jc w:val="center"/>
        </w:trPr>
        <w:tc>
          <w:tcPr>
            <w:tcW w:w="6565" w:type="dxa"/>
            <w:shd w:val="clear" w:color="auto" w:fill="auto"/>
            <w:vAlign w:val="bottom"/>
            <w:hideMark/>
          </w:tcPr>
          <w:p w14:paraId="771060B0"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Biodiversity and Business (P-3)</w:t>
            </w:r>
          </w:p>
        </w:tc>
        <w:tc>
          <w:tcPr>
            <w:tcW w:w="2880" w:type="dxa"/>
            <w:shd w:val="clear" w:color="auto" w:fill="auto"/>
            <w:noWrap/>
            <w:vAlign w:val="bottom"/>
            <w:hideMark/>
          </w:tcPr>
          <w:p w14:paraId="4A5A2C4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446AE619" w14:textId="77777777" w:rsidTr="00A60395">
        <w:trPr>
          <w:trHeight w:val="255"/>
          <w:jc w:val="center"/>
        </w:trPr>
        <w:tc>
          <w:tcPr>
            <w:tcW w:w="6565" w:type="dxa"/>
            <w:shd w:val="clear" w:color="auto" w:fill="auto"/>
            <w:vAlign w:val="bottom"/>
            <w:hideMark/>
          </w:tcPr>
          <w:p w14:paraId="40099FD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One Health (P-3)</w:t>
            </w:r>
          </w:p>
        </w:tc>
        <w:tc>
          <w:tcPr>
            <w:tcW w:w="2880" w:type="dxa"/>
            <w:shd w:val="clear" w:color="auto" w:fill="auto"/>
            <w:noWrap/>
            <w:vAlign w:val="bottom"/>
            <w:hideMark/>
          </w:tcPr>
          <w:p w14:paraId="4C466A5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5F4E32FA" w14:textId="77777777" w:rsidTr="00A60395">
        <w:trPr>
          <w:trHeight w:val="255"/>
          <w:jc w:val="center"/>
        </w:trPr>
        <w:tc>
          <w:tcPr>
            <w:tcW w:w="6565" w:type="dxa"/>
            <w:shd w:val="clear" w:color="auto" w:fill="auto"/>
            <w:vAlign w:val="bottom"/>
            <w:hideMark/>
          </w:tcPr>
          <w:p w14:paraId="540A1A0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Senior Programme Management Officer (P-5)</w:t>
            </w:r>
          </w:p>
        </w:tc>
        <w:tc>
          <w:tcPr>
            <w:tcW w:w="2880" w:type="dxa"/>
            <w:shd w:val="clear" w:color="auto" w:fill="auto"/>
            <w:noWrap/>
            <w:vAlign w:val="bottom"/>
            <w:hideMark/>
          </w:tcPr>
          <w:p w14:paraId="229593A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380,400</w:t>
            </w:r>
          </w:p>
        </w:tc>
      </w:tr>
      <w:tr w:rsidR="00FC752D" w:rsidRPr="00BC4AFE" w14:paraId="5B0A5994" w14:textId="77777777" w:rsidTr="00A60395">
        <w:trPr>
          <w:trHeight w:val="255"/>
          <w:jc w:val="center"/>
        </w:trPr>
        <w:tc>
          <w:tcPr>
            <w:tcW w:w="6565" w:type="dxa"/>
            <w:shd w:val="clear" w:color="auto" w:fill="auto"/>
            <w:vAlign w:val="bottom"/>
            <w:hideMark/>
          </w:tcPr>
          <w:p w14:paraId="56067B55"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Assistant (G-6)</w:t>
            </w:r>
          </w:p>
        </w:tc>
        <w:tc>
          <w:tcPr>
            <w:tcW w:w="2880" w:type="dxa"/>
            <w:shd w:val="clear" w:color="auto" w:fill="auto"/>
            <w:noWrap/>
            <w:vAlign w:val="bottom"/>
            <w:hideMark/>
          </w:tcPr>
          <w:p w14:paraId="51B655E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113,000</w:t>
            </w:r>
          </w:p>
        </w:tc>
      </w:tr>
      <w:tr w:rsidR="00FC752D" w:rsidRPr="00BC4AFE" w14:paraId="16E5F99F" w14:textId="77777777" w:rsidTr="00A60395">
        <w:trPr>
          <w:trHeight w:val="255"/>
          <w:jc w:val="center"/>
        </w:trPr>
        <w:tc>
          <w:tcPr>
            <w:tcW w:w="6565" w:type="dxa"/>
            <w:shd w:val="clear" w:color="auto" w:fill="auto"/>
            <w:vAlign w:val="bottom"/>
            <w:hideMark/>
          </w:tcPr>
          <w:p w14:paraId="371B7AB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Reporting/NBSAP Support (P-4)</w:t>
            </w:r>
          </w:p>
        </w:tc>
        <w:tc>
          <w:tcPr>
            <w:tcW w:w="2880" w:type="dxa"/>
            <w:shd w:val="clear" w:color="auto" w:fill="auto"/>
            <w:noWrap/>
            <w:vAlign w:val="bottom"/>
            <w:hideMark/>
          </w:tcPr>
          <w:p w14:paraId="344003F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76A194E3" w14:textId="77777777" w:rsidTr="00A60395">
        <w:trPr>
          <w:trHeight w:val="255"/>
          <w:jc w:val="center"/>
        </w:trPr>
        <w:tc>
          <w:tcPr>
            <w:tcW w:w="6565" w:type="dxa"/>
            <w:shd w:val="clear" w:color="auto" w:fill="auto"/>
            <w:vAlign w:val="bottom"/>
            <w:hideMark/>
          </w:tcPr>
          <w:p w14:paraId="0FA61425" w14:textId="77777777" w:rsidR="00FC752D" w:rsidRPr="00BC4AFE" w:rsidRDefault="00FC752D" w:rsidP="00E01BB0">
            <w:pPr>
              <w:rPr>
                <w:sz w:val="20"/>
                <w:szCs w:val="20"/>
                <w:lang w:val="en-CA" w:eastAsia="en-CA"/>
              </w:rPr>
            </w:pPr>
            <w:r w:rsidRPr="00BC4AFE">
              <w:rPr>
                <w:sz w:val="20"/>
                <w:szCs w:val="20"/>
                <w:lang w:val="en-CA" w:eastAsia="en-CA"/>
              </w:rPr>
              <w:t>Programme Officer - Monitoring (P-4)</w:t>
            </w:r>
          </w:p>
        </w:tc>
        <w:tc>
          <w:tcPr>
            <w:tcW w:w="2880" w:type="dxa"/>
            <w:shd w:val="clear" w:color="auto" w:fill="auto"/>
            <w:noWrap/>
            <w:vAlign w:val="bottom"/>
            <w:hideMark/>
          </w:tcPr>
          <w:p w14:paraId="715F789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65298480" w14:textId="77777777" w:rsidTr="00A60395">
        <w:trPr>
          <w:trHeight w:val="255"/>
          <w:jc w:val="center"/>
        </w:trPr>
        <w:tc>
          <w:tcPr>
            <w:tcW w:w="6565" w:type="dxa"/>
            <w:shd w:val="clear" w:color="auto" w:fill="auto"/>
            <w:vAlign w:val="bottom"/>
            <w:hideMark/>
          </w:tcPr>
          <w:p w14:paraId="2FD9C17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Monitoring (P-2)</w:t>
            </w:r>
          </w:p>
        </w:tc>
        <w:tc>
          <w:tcPr>
            <w:tcW w:w="2880" w:type="dxa"/>
            <w:shd w:val="clear" w:color="auto" w:fill="auto"/>
            <w:noWrap/>
            <w:vAlign w:val="bottom"/>
            <w:hideMark/>
          </w:tcPr>
          <w:p w14:paraId="4FE0264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218,700</w:t>
            </w:r>
          </w:p>
        </w:tc>
      </w:tr>
      <w:tr w:rsidR="00FC752D" w:rsidRPr="00BC4AFE" w14:paraId="48DA0FAA" w14:textId="77777777" w:rsidTr="00A60395">
        <w:trPr>
          <w:trHeight w:val="255"/>
          <w:jc w:val="center"/>
        </w:trPr>
        <w:tc>
          <w:tcPr>
            <w:tcW w:w="6565" w:type="dxa"/>
            <w:shd w:val="clear" w:color="auto" w:fill="auto"/>
            <w:vAlign w:val="bottom"/>
            <w:hideMark/>
          </w:tcPr>
          <w:p w14:paraId="04CD155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Cooperation (P-3)</w:t>
            </w:r>
          </w:p>
        </w:tc>
        <w:tc>
          <w:tcPr>
            <w:tcW w:w="2880" w:type="dxa"/>
            <w:shd w:val="clear" w:color="auto" w:fill="auto"/>
            <w:noWrap/>
            <w:vAlign w:val="bottom"/>
            <w:hideMark/>
          </w:tcPr>
          <w:p w14:paraId="4AB97C1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67FEC05F" w14:textId="77777777" w:rsidTr="00A60395">
        <w:trPr>
          <w:trHeight w:val="255"/>
          <w:jc w:val="center"/>
        </w:trPr>
        <w:tc>
          <w:tcPr>
            <w:tcW w:w="6565" w:type="dxa"/>
            <w:shd w:val="clear" w:color="auto" w:fill="auto"/>
            <w:noWrap/>
            <w:vAlign w:val="center"/>
            <w:hideMark/>
          </w:tcPr>
          <w:p w14:paraId="7097C505" w14:textId="77777777" w:rsidR="00FC752D" w:rsidRPr="00BC4AFE" w:rsidRDefault="00FC752D" w:rsidP="00E01BB0">
            <w:pPr>
              <w:rPr>
                <w:sz w:val="20"/>
                <w:szCs w:val="20"/>
                <w:lang w:val="en-CA" w:eastAsia="en-CA"/>
              </w:rPr>
            </w:pPr>
            <w:r w:rsidRPr="00BC4AFE">
              <w:rPr>
                <w:sz w:val="20"/>
                <w:szCs w:val="20"/>
                <w:lang w:val="en-CA" w:eastAsia="en-CA"/>
              </w:rPr>
              <w:t xml:space="preserve">Programme Officer (P-3) - Engagement with subnational governments, cities </w:t>
            </w:r>
          </w:p>
        </w:tc>
        <w:tc>
          <w:tcPr>
            <w:tcW w:w="2880" w:type="dxa"/>
            <w:shd w:val="clear" w:color="auto" w:fill="auto"/>
            <w:noWrap/>
            <w:vAlign w:val="bottom"/>
            <w:hideMark/>
          </w:tcPr>
          <w:p w14:paraId="096E4FF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779DFFD0" w14:textId="77777777" w:rsidTr="00BC4AFE">
        <w:trPr>
          <w:trHeight w:val="87"/>
          <w:jc w:val="center"/>
        </w:trPr>
        <w:tc>
          <w:tcPr>
            <w:tcW w:w="6565" w:type="dxa"/>
            <w:shd w:val="clear" w:color="auto" w:fill="auto"/>
            <w:vAlign w:val="bottom"/>
            <w:hideMark/>
          </w:tcPr>
          <w:p w14:paraId="3326F03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Programme Support - Nature and culture (G-7) </w:t>
            </w:r>
          </w:p>
        </w:tc>
        <w:tc>
          <w:tcPr>
            <w:tcW w:w="2880" w:type="dxa"/>
            <w:shd w:val="clear" w:color="auto" w:fill="auto"/>
            <w:noWrap/>
            <w:vAlign w:val="bottom"/>
            <w:hideMark/>
          </w:tcPr>
          <w:p w14:paraId="77D9BFB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113,000</w:t>
            </w:r>
          </w:p>
        </w:tc>
      </w:tr>
      <w:tr w:rsidR="00FC752D" w:rsidRPr="00BC4AFE" w14:paraId="37465CB3" w14:textId="77777777" w:rsidTr="00A60395">
        <w:trPr>
          <w:trHeight w:val="255"/>
          <w:jc w:val="center"/>
        </w:trPr>
        <w:tc>
          <w:tcPr>
            <w:tcW w:w="6565" w:type="dxa"/>
            <w:shd w:val="clear" w:color="auto" w:fill="auto"/>
            <w:vAlign w:val="bottom"/>
            <w:hideMark/>
          </w:tcPr>
          <w:p w14:paraId="036BD177"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Sustainable use (P-3)</w:t>
            </w:r>
          </w:p>
        </w:tc>
        <w:tc>
          <w:tcPr>
            <w:tcW w:w="2880" w:type="dxa"/>
            <w:shd w:val="clear" w:color="auto" w:fill="auto"/>
            <w:noWrap/>
            <w:vAlign w:val="bottom"/>
            <w:hideMark/>
          </w:tcPr>
          <w:p w14:paraId="5A4F824B"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363C9076" w14:textId="77777777" w:rsidTr="00A60395">
        <w:trPr>
          <w:trHeight w:val="255"/>
          <w:jc w:val="center"/>
        </w:trPr>
        <w:tc>
          <w:tcPr>
            <w:tcW w:w="6565" w:type="dxa"/>
            <w:shd w:val="clear" w:color="auto" w:fill="auto"/>
            <w:vAlign w:val="bottom"/>
            <w:hideMark/>
          </w:tcPr>
          <w:p w14:paraId="215F169F"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Programme Support - Resource mobilization (G-7) </w:t>
            </w:r>
          </w:p>
        </w:tc>
        <w:tc>
          <w:tcPr>
            <w:tcW w:w="2880" w:type="dxa"/>
            <w:shd w:val="clear" w:color="auto" w:fill="auto"/>
            <w:noWrap/>
            <w:vAlign w:val="bottom"/>
            <w:hideMark/>
          </w:tcPr>
          <w:p w14:paraId="57F3923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113,000</w:t>
            </w:r>
          </w:p>
        </w:tc>
      </w:tr>
      <w:tr w:rsidR="00FC752D" w:rsidRPr="00BC4AFE" w14:paraId="61912B55" w14:textId="77777777" w:rsidTr="00A60395">
        <w:trPr>
          <w:trHeight w:val="255"/>
          <w:jc w:val="center"/>
        </w:trPr>
        <w:tc>
          <w:tcPr>
            <w:tcW w:w="6565" w:type="dxa"/>
            <w:shd w:val="clear" w:color="auto" w:fill="auto"/>
            <w:vAlign w:val="bottom"/>
            <w:hideMark/>
          </w:tcPr>
          <w:p w14:paraId="4C7EC1DA"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RBB Programme Support (G-6/G-5), 2 posts</w:t>
            </w:r>
          </w:p>
        </w:tc>
        <w:tc>
          <w:tcPr>
            <w:tcW w:w="2880" w:type="dxa"/>
            <w:shd w:val="clear" w:color="auto" w:fill="auto"/>
            <w:noWrap/>
            <w:vAlign w:val="bottom"/>
            <w:hideMark/>
          </w:tcPr>
          <w:p w14:paraId="35DFB0D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226,000</w:t>
            </w:r>
          </w:p>
        </w:tc>
      </w:tr>
      <w:tr w:rsidR="00FC752D" w:rsidRPr="00BC4AFE" w14:paraId="541FCA1B" w14:textId="77777777" w:rsidTr="00A60395">
        <w:trPr>
          <w:trHeight w:val="255"/>
          <w:jc w:val="center"/>
        </w:trPr>
        <w:tc>
          <w:tcPr>
            <w:tcW w:w="6565" w:type="dxa"/>
            <w:shd w:val="clear" w:color="auto" w:fill="auto"/>
            <w:vAlign w:val="bottom"/>
            <w:hideMark/>
          </w:tcPr>
          <w:p w14:paraId="1938514B"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Meeting Assistants (G-6), 5 posts</w:t>
            </w:r>
          </w:p>
        </w:tc>
        <w:tc>
          <w:tcPr>
            <w:tcW w:w="2880" w:type="dxa"/>
            <w:shd w:val="clear" w:color="auto" w:fill="auto"/>
            <w:noWrap/>
            <w:vAlign w:val="bottom"/>
            <w:hideMark/>
          </w:tcPr>
          <w:p w14:paraId="209375E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565,000</w:t>
            </w:r>
          </w:p>
        </w:tc>
      </w:tr>
      <w:tr w:rsidR="00FC752D" w:rsidRPr="00BC4AFE" w14:paraId="4BE8FDEB" w14:textId="77777777" w:rsidTr="00A60395">
        <w:trPr>
          <w:trHeight w:val="255"/>
          <w:jc w:val="center"/>
        </w:trPr>
        <w:tc>
          <w:tcPr>
            <w:tcW w:w="6565" w:type="dxa"/>
            <w:shd w:val="clear" w:color="auto" w:fill="auto"/>
            <w:noWrap/>
            <w:vAlign w:val="bottom"/>
            <w:hideMark/>
          </w:tcPr>
          <w:p w14:paraId="629952CF" w14:textId="77777777" w:rsidR="00FC752D" w:rsidRPr="00BC4AFE" w:rsidRDefault="00FC752D" w:rsidP="00E01BB0">
            <w:pPr>
              <w:rPr>
                <w:sz w:val="20"/>
                <w:szCs w:val="20"/>
                <w:lang w:val="en-CA" w:eastAsia="en-CA"/>
              </w:rPr>
            </w:pPr>
            <w:r w:rsidRPr="00BC4AFE">
              <w:rPr>
                <w:sz w:val="20"/>
                <w:szCs w:val="20"/>
                <w:lang w:val="en-CA" w:eastAsia="en-CA"/>
              </w:rPr>
              <w:t xml:space="preserve">Programme Officer - Restoration (P-3) </w:t>
            </w:r>
          </w:p>
        </w:tc>
        <w:tc>
          <w:tcPr>
            <w:tcW w:w="2880" w:type="dxa"/>
            <w:shd w:val="clear" w:color="auto" w:fill="auto"/>
            <w:noWrap/>
            <w:vAlign w:val="bottom"/>
            <w:hideMark/>
          </w:tcPr>
          <w:p w14:paraId="2F0AC9B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323A22BF" w14:textId="77777777" w:rsidTr="0063480F">
        <w:trPr>
          <w:trHeight w:val="255"/>
          <w:jc w:val="center"/>
        </w:trPr>
        <w:tc>
          <w:tcPr>
            <w:tcW w:w="6565" w:type="dxa"/>
            <w:shd w:val="clear" w:color="auto" w:fill="auto"/>
            <w:vAlign w:val="bottom"/>
            <w:hideMark/>
          </w:tcPr>
          <w:p w14:paraId="4462000E" w14:textId="77777777" w:rsidR="00FC752D" w:rsidRPr="00BC4AFE" w:rsidRDefault="00FC752D" w:rsidP="0063480F">
            <w:pPr>
              <w:rPr>
                <w:color w:val="000000"/>
                <w:sz w:val="20"/>
                <w:szCs w:val="20"/>
                <w:lang w:val="en-CA" w:eastAsia="en-CA"/>
              </w:rPr>
            </w:pPr>
            <w:r>
              <w:rPr>
                <w:color w:val="000000"/>
                <w:sz w:val="20"/>
                <w:szCs w:val="20"/>
                <w:lang w:val="en-CA" w:eastAsia="en-CA"/>
              </w:rPr>
              <w:t xml:space="preserve">Junior </w:t>
            </w:r>
            <w:r w:rsidRPr="00BC4AFE">
              <w:rPr>
                <w:color w:val="000000"/>
                <w:sz w:val="20"/>
                <w:szCs w:val="20"/>
                <w:lang w:val="en-CA" w:eastAsia="en-CA"/>
              </w:rPr>
              <w:t>Programme Officer - Digital sequence information (P-</w:t>
            </w:r>
            <w:r>
              <w:rPr>
                <w:color w:val="000000"/>
                <w:sz w:val="20"/>
                <w:szCs w:val="20"/>
                <w:lang w:val="en-CA" w:eastAsia="en-CA"/>
              </w:rPr>
              <w:t>2</w:t>
            </w:r>
            <w:r w:rsidRPr="00BC4AFE">
              <w:rPr>
                <w:color w:val="000000"/>
                <w:sz w:val="20"/>
                <w:szCs w:val="20"/>
                <w:lang w:val="en-CA" w:eastAsia="en-CA"/>
              </w:rPr>
              <w:t xml:space="preserve">) </w:t>
            </w:r>
          </w:p>
        </w:tc>
        <w:tc>
          <w:tcPr>
            <w:tcW w:w="2880" w:type="dxa"/>
            <w:shd w:val="clear" w:color="auto" w:fill="auto"/>
            <w:noWrap/>
            <w:vAlign w:val="bottom"/>
            <w:hideMark/>
          </w:tcPr>
          <w:p w14:paraId="7EA8F133" w14:textId="77777777" w:rsidR="00FC752D" w:rsidRPr="00BC4AFE" w:rsidRDefault="00FC752D" w:rsidP="0063480F">
            <w:pPr>
              <w:jc w:val="right"/>
              <w:rPr>
                <w:color w:val="000000"/>
                <w:sz w:val="20"/>
                <w:szCs w:val="20"/>
                <w:lang w:val="en-CA" w:eastAsia="en-CA"/>
              </w:rPr>
            </w:pPr>
            <w:r>
              <w:rPr>
                <w:color w:val="000000"/>
                <w:sz w:val="20"/>
                <w:szCs w:val="20"/>
                <w:lang w:val="en-CA" w:eastAsia="en-CA"/>
              </w:rPr>
              <w:t>218,700</w:t>
            </w:r>
          </w:p>
        </w:tc>
      </w:tr>
      <w:tr w:rsidR="00FC752D" w:rsidRPr="00BC4AFE" w14:paraId="63F30DBD" w14:textId="77777777" w:rsidTr="00A60395">
        <w:trPr>
          <w:trHeight w:val="255"/>
          <w:jc w:val="center"/>
        </w:trPr>
        <w:tc>
          <w:tcPr>
            <w:tcW w:w="6565" w:type="dxa"/>
            <w:shd w:val="clear" w:color="auto" w:fill="auto"/>
            <w:noWrap/>
            <w:vAlign w:val="bottom"/>
            <w:hideMark/>
          </w:tcPr>
          <w:p w14:paraId="7B53BE8B" w14:textId="77777777" w:rsidR="00FC752D" w:rsidRPr="00BC4AFE" w:rsidRDefault="00FC752D" w:rsidP="00E01BB0">
            <w:pPr>
              <w:rPr>
                <w:sz w:val="20"/>
                <w:szCs w:val="20"/>
                <w:lang w:val="en-CA" w:eastAsia="en-CA"/>
              </w:rPr>
            </w:pPr>
            <w:r w:rsidRPr="00BC4AFE">
              <w:rPr>
                <w:sz w:val="20"/>
                <w:szCs w:val="20"/>
                <w:lang w:val="en-CA" w:eastAsia="en-CA"/>
              </w:rPr>
              <w:t xml:space="preserve">Programme Officer - Global taxonomy/Species-based conservation (P-3) </w:t>
            </w:r>
          </w:p>
        </w:tc>
        <w:tc>
          <w:tcPr>
            <w:tcW w:w="2880" w:type="dxa"/>
            <w:shd w:val="clear" w:color="auto" w:fill="auto"/>
            <w:noWrap/>
            <w:vAlign w:val="bottom"/>
            <w:hideMark/>
          </w:tcPr>
          <w:p w14:paraId="56C1CD6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5CD99800" w14:textId="77777777" w:rsidTr="00A60395">
        <w:trPr>
          <w:trHeight w:val="255"/>
          <w:jc w:val="center"/>
        </w:trPr>
        <w:tc>
          <w:tcPr>
            <w:tcW w:w="6565" w:type="dxa"/>
            <w:shd w:val="clear" w:color="auto" w:fill="auto"/>
            <w:noWrap/>
            <w:vAlign w:val="bottom"/>
            <w:hideMark/>
          </w:tcPr>
          <w:p w14:paraId="7E62F38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Programme Officer - Resource mobilization (P-4) </w:t>
            </w:r>
          </w:p>
        </w:tc>
        <w:tc>
          <w:tcPr>
            <w:tcW w:w="2880" w:type="dxa"/>
            <w:shd w:val="clear" w:color="auto" w:fill="auto"/>
            <w:noWrap/>
            <w:vAlign w:val="bottom"/>
            <w:hideMark/>
          </w:tcPr>
          <w:p w14:paraId="3524B8F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62739C36" w14:textId="77777777" w:rsidTr="00A60395">
        <w:trPr>
          <w:trHeight w:val="255"/>
          <w:jc w:val="center"/>
        </w:trPr>
        <w:tc>
          <w:tcPr>
            <w:tcW w:w="6565" w:type="dxa"/>
            <w:shd w:val="clear" w:color="auto" w:fill="auto"/>
            <w:noWrap/>
            <w:vAlign w:val="bottom"/>
            <w:hideMark/>
          </w:tcPr>
          <w:p w14:paraId="22A92CE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 xml:space="preserve">Programme Officer - Technical scientific cooperation (P-4) </w:t>
            </w:r>
          </w:p>
        </w:tc>
        <w:tc>
          <w:tcPr>
            <w:tcW w:w="2880" w:type="dxa"/>
            <w:shd w:val="clear" w:color="auto" w:fill="auto"/>
            <w:noWrap/>
            <w:vAlign w:val="bottom"/>
            <w:hideMark/>
          </w:tcPr>
          <w:p w14:paraId="4F2BE81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330,000</w:t>
            </w:r>
          </w:p>
        </w:tc>
      </w:tr>
      <w:tr w:rsidR="00FC752D" w:rsidRPr="00BC4AFE" w14:paraId="6C51B645" w14:textId="77777777" w:rsidTr="00A60395">
        <w:trPr>
          <w:trHeight w:val="255"/>
          <w:jc w:val="center"/>
        </w:trPr>
        <w:tc>
          <w:tcPr>
            <w:tcW w:w="6565" w:type="dxa"/>
            <w:tcBorders>
              <w:bottom w:val="single" w:sz="2" w:space="0" w:color="auto"/>
            </w:tcBorders>
            <w:shd w:val="clear" w:color="auto" w:fill="auto"/>
            <w:noWrap/>
            <w:vAlign w:val="bottom"/>
            <w:hideMark/>
          </w:tcPr>
          <w:p w14:paraId="083CA600"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 xml:space="preserve">Programme Officer - Financial mechanism (P-3) </w:t>
            </w:r>
          </w:p>
        </w:tc>
        <w:tc>
          <w:tcPr>
            <w:tcW w:w="2880" w:type="dxa"/>
            <w:tcBorders>
              <w:bottom w:val="single" w:sz="2" w:space="0" w:color="auto"/>
            </w:tcBorders>
            <w:shd w:val="clear" w:color="auto" w:fill="auto"/>
            <w:noWrap/>
            <w:vAlign w:val="bottom"/>
            <w:hideMark/>
          </w:tcPr>
          <w:p w14:paraId="19B9146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A45FCF" w14:paraId="79313165"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15CA6E01"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11EAD670" w14:textId="77777777" w:rsidR="00FC752D" w:rsidRPr="0047773A" w:rsidRDefault="00FC752D" w:rsidP="00E01BB0">
            <w:pPr>
              <w:jc w:val="right"/>
              <w:rPr>
                <w:color w:val="000000"/>
                <w:sz w:val="20"/>
                <w:szCs w:val="20"/>
                <w:lang w:val="en-CA" w:eastAsia="en-CA"/>
              </w:rPr>
            </w:pPr>
            <w:r w:rsidRPr="00B154D6">
              <w:rPr>
                <w:color w:val="000000"/>
                <w:sz w:val="20"/>
                <w:szCs w:val="20"/>
                <w:lang w:val="en-CA" w:eastAsia="en-CA"/>
              </w:rPr>
              <w:t>6,195,800</w:t>
            </w:r>
          </w:p>
        </w:tc>
      </w:tr>
      <w:tr w:rsidR="00FC752D" w:rsidRPr="00BC4AFE" w14:paraId="105466A5" w14:textId="77777777" w:rsidTr="00A60395">
        <w:trPr>
          <w:trHeight w:val="255"/>
          <w:jc w:val="center"/>
        </w:trPr>
        <w:tc>
          <w:tcPr>
            <w:tcW w:w="6565" w:type="dxa"/>
            <w:tcBorders>
              <w:top w:val="single" w:sz="2" w:space="0" w:color="auto"/>
            </w:tcBorders>
            <w:shd w:val="clear" w:color="auto" w:fill="auto"/>
            <w:noWrap/>
            <w:vAlign w:val="bottom"/>
            <w:hideMark/>
          </w:tcPr>
          <w:p w14:paraId="6F40DE0F"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Ad Hoc Open-ended Working Group on Digital Sequence Information on Genetic Resources*</w:t>
            </w:r>
          </w:p>
        </w:tc>
        <w:tc>
          <w:tcPr>
            <w:tcW w:w="2880" w:type="dxa"/>
            <w:tcBorders>
              <w:top w:val="single" w:sz="2" w:space="0" w:color="auto"/>
            </w:tcBorders>
            <w:shd w:val="clear" w:color="auto" w:fill="auto"/>
            <w:noWrap/>
            <w:vAlign w:val="bottom"/>
            <w:hideMark/>
          </w:tcPr>
          <w:p w14:paraId="2693D4B8" w14:textId="77777777" w:rsidR="00FC752D" w:rsidRPr="0047773A" w:rsidRDefault="00FC752D" w:rsidP="00E01BB0">
            <w:pPr>
              <w:jc w:val="right"/>
              <w:rPr>
                <w:color w:val="000000"/>
                <w:sz w:val="20"/>
                <w:szCs w:val="20"/>
                <w:lang w:val="en-CA" w:eastAsia="en-CA"/>
              </w:rPr>
            </w:pPr>
          </w:p>
        </w:tc>
      </w:tr>
      <w:tr w:rsidR="00FC752D" w:rsidRPr="00BC4AFE" w14:paraId="7A272BD8" w14:textId="77777777" w:rsidTr="00A60395">
        <w:trPr>
          <w:trHeight w:val="255"/>
          <w:jc w:val="center"/>
        </w:trPr>
        <w:tc>
          <w:tcPr>
            <w:tcW w:w="6565" w:type="dxa"/>
            <w:tcBorders>
              <w:bottom w:val="single" w:sz="2" w:space="0" w:color="auto"/>
            </w:tcBorders>
            <w:shd w:val="clear" w:color="auto" w:fill="auto"/>
            <w:noWrap/>
            <w:vAlign w:val="bottom"/>
          </w:tcPr>
          <w:p w14:paraId="10F28C94" w14:textId="77777777" w:rsidR="00FC752D" w:rsidRPr="00BC4AFE" w:rsidRDefault="00FC752D" w:rsidP="00E01BB0">
            <w:pPr>
              <w:keepNext/>
              <w:rPr>
                <w:bCs/>
                <w:sz w:val="20"/>
                <w:szCs w:val="20"/>
                <w:lang w:val="en-CA" w:eastAsia="en-CA"/>
              </w:rPr>
            </w:pPr>
            <w:r w:rsidRPr="00BC4AFE">
              <w:rPr>
                <w:bCs/>
                <w:sz w:val="20"/>
                <w:szCs w:val="20"/>
                <w:lang w:val="en-CA" w:eastAsia="en-CA"/>
              </w:rPr>
              <w:t>Ad Hoc Open-ended Working Group on Digital Sequence Information</w:t>
            </w:r>
          </w:p>
        </w:tc>
        <w:tc>
          <w:tcPr>
            <w:tcW w:w="2880" w:type="dxa"/>
            <w:tcBorders>
              <w:bottom w:val="single" w:sz="2" w:space="0" w:color="auto"/>
            </w:tcBorders>
            <w:shd w:val="clear" w:color="auto" w:fill="auto"/>
            <w:noWrap/>
            <w:vAlign w:val="bottom"/>
          </w:tcPr>
          <w:p w14:paraId="4407CBED" w14:textId="77777777" w:rsidR="00FC752D" w:rsidRPr="0047773A" w:rsidRDefault="00FC752D" w:rsidP="00E01BB0">
            <w:pPr>
              <w:jc w:val="right"/>
              <w:rPr>
                <w:b/>
                <w:bCs/>
                <w:sz w:val="20"/>
                <w:szCs w:val="20"/>
                <w:lang w:val="en-CA" w:eastAsia="en-CA"/>
              </w:rPr>
            </w:pPr>
            <w:r w:rsidRPr="0047773A">
              <w:rPr>
                <w:color w:val="000000"/>
                <w:sz w:val="20"/>
                <w:szCs w:val="20"/>
                <w:lang w:val="en-CA" w:eastAsia="en-CA"/>
              </w:rPr>
              <w:t>780,000</w:t>
            </w:r>
          </w:p>
        </w:tc>
      </w:tr>
      <w:tr w:rsidR="00FC752D" w:rsidRPr="00BC4AFE" w14:paraId="71B18482" w14:textId="77777777" w:rsidTr="00A60395">
        <w:trPr>
          <w:trHeight w:val="255"/>
          <w:jc w:val="center"/>
        </w:trPr>
        <w:tc>
          <w:tcPr>
            <w:tcW w:w="6565" w:type="dxa"/>
            <w:tcBorders>
              <w:top w:val="single" w:sz="2" w:space="0" w:color="auto"/>
            </w:tcBorders>
            <w:shd w:val="clear" w:color="auto" w:fill="auto"/>
            <w:noWrap/>
            <w:vAlign w:val="bottom"/>
          </w:tcPr>
          <w:p w14:paraId="4BC9FB20" w14:textId="77777777" w:rsidR="00FC752D" w:rsidRPr="00BC4AFE" w:rsidRDefault="00FC752D" w:rsidP="00E01BB0">
            <w:pPr>
              <w:rPr>
                <w:bCs/>
                <w:sz w:val="20"/>
                <w:szCs w:val="20"/>
                <w:lang w:val="en-CA" w:eastAsia="en-CA"/>
              </w:rPr>
            </w:pPr>
            <w:r w:rsidRPr="00BC4AFE">
              <w:rPr>
                <w:bCs/>
                <w:sz w:val="20"/>
                <w:szCs w:val="20"/>
                <w:lang w:val="en-CA" w:eastAsia="en-CA"/>
              </w:rPr>
              <w:t>Subtotal</w:t>
            </w:r>
          </w:p>
        </w:tc>
        <w:tc>
          <w:tcPr>
            <w:tcW w:w="2880" w:type="dxa"/>
            <w:tcBorders>
              <w:top w:val="single" w:sz="2" w:space="0" w:color="auto"/>
            </w:tcBorders>
            <w:shd w:val="clear" w:color="auto" w:fill="auto"/>
            <w:noWrap/>
            <w:vAlign w:val="bottom"/>
          </w:tcPr>
          <w:p w14:paraId="1EB3C5A1" w14:textId="77777777" w:rsidR="00FC752D" w:rsidRPr="0047773A" w:rsidRDefault="00FC752D" w:rsidP="00E01BB0">
            <w:pPr>
              <w:jc w:val="right"/>
              <w:rPr>
                <w:b/>
                <w:bCs/>
                <w:sz w:val="20"/>
                <w:szCs w:val="20"/>
                <w:lang w:val="en-CA" w:eastAsia="en-CA"/>
              </w:rPr>
            </w:pPr>
            <w:r w:rsidRPr="0047773A">
              <w:rPr>
                <w:color w:val="000000"/>
                <w:sz w:val="20"/>
                <w:szCs w:val="20"/>
                <w:lang w:val="en-CA" w:eastAsia="en-CA"/>
              </w:rPr>
              <w:t>780,000</w:t>
            </w:r>
          </w:p>
        </w:tc>
      </w:tr>
      <w:tr w:rsidR="00FC752D" w:rsidRPr="00BC4AFE" w14:paraId="5D9CF1A9" w14:textId="77777777" w:rsidTr="00A60395">
        <w:trPr>
          <w:trHeight w:val="255"/>
          <w:jc w:val="center"/>
        </w:trPr>
        <w:tc>
          <w:tcPr>
            <w:tcW w:w="6565" w:type="dxa"/>
            <w:tcBorders>
              <w:top w:val="single" w:sz="4" w:space="0" w:color="auto"/>
              <w:bottom w:val="single" w:sz="12" w:space="0" w:color="auto"/>
            </w:tcBorders>
            <w:shd w:val="clear" w:color="auto" w:fill="auto"/>
            <w:noWrap/>
            <w:vAlign w:val="bottom"/>
          </w:tcPr>
          <w:p w14:paraId="423552F5" w14:textId="77777777" w:rsidR="00FC752D" w:rsidRPr="00BC4AFE" w:rsidRDefault="00FC752D" w:rsidP="00E01BB0">
            <w:pPr>
              <w:keepNext/>
              <w:rPr>
                <w:b/>
                <w:bCs/>
                <w:color w:val="000000"/>
                <w:sz w:val="20"/>
                <w:szCs w:val="20"/>
                <w:lang w:val="en-CA" w:eastAsia="en-CA"/>
              </w:rPr>
            </w:pPr>
          </w:p>
        </w:tc>
        <w:tc>
          <w:tcPr>
            <w:tcW w:w="2880" w:type="dxa"/>
            <w:tcBorders>
              <w:top w:val="single" w:sz="4" w:space="0" w:color="auto"/>
              <w:bottom w:val="single" w:sz="12" w:space="0" w:color="auto"/>
            </w:tcBorders>
            <w:shd w:val="clear" w:color="auto" w:fill="auto"/>
            <w:noWrap/>
            <w:vAlign w:val="bottom"/>
          </w:tcPr>
          <w:p w14:paraId="12BC51DB" w14:textId="77777777" w:rsidR="00FC752D" w:rsidRPr="0047773A" w:rsidRDefault="00FC752D" w:rsidP="00E01BB0">
            <w:pPr>
              <w:keepNext/>
              <w:jc w:val="right"/>
              <w:rPr>
                <w:b/>
                <w:bCs/>
                <w:sz w:val="20"/>
                <w:szCs w:val="20"/>
                <w:lang w:val="en-CA" w:eastAsia="en-CA"/>
              </w:rPr>
            </w:pPr>
          </w:p>
        </w:tc>
      </w:tr>
      <w:tr w:rsidR="00FC752D" w:rsidRPr="00A45FCF" w14:paraId="20426CC4"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68EFB596"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 xml:space="preserve">Subtotal I (Convention on Biological Diversity)  </w:t>
            </w:r>
          </w:p>
        </w:tc>
        <w:tc>
          <w:tcPr>
            <w:tcW w:w="2880" w:type="dxa"/>
            <w:tcBorders>
              <w:top w:val="single" w:sz="12" w:space="0" w:color="auto"/>
              <w:bottom w:val="single" w:sz="2" w:space="0" w:color="auto"/>
            </w:tcBorders>
            <w:shd w:val="clear" w:color="auto" w:fill="auto"/>
            <w:noWrap/>
            <w:vAlign w:val="bottom"/>
            <w:hideMark/>
          </w:tcPr>
          <w:p w14:paraId="4F16297C" w14:textId="77777777" w:rsidR="00FC752D" w:rsidRPr="00877BA9" w:rsidRDefault="00FC752D" w:rsidP="00E01BB0">
            <w:pPr>
              <w:keepNext/>
              <w:jc w:val="right"/>
              <w:rPr>
                <w:b/>
                <w:bCs/>
                <w:sz w:val="20"/>
                <w:szCs w:val="20"/>
                <w:lang w:val="en-CA" w:eastAsia="en-CA"/>
              </w:rPr>
            </w:pPr>
            <w:r w:rsidRPr="00877BA9">
              <w:rPr>
                <w:b/>
                <w:bCs/>
                <w:sz w:val="20"/>
                <w:szCs w:val="20"/>
                <w:lang w:val="en-CA" w:eastAsia="en-CA"/>
              </w:rPr>
              <w:t>16,529,800</w:t>
            </w:r>
          </w:p>
        </w:tc>
      </w:tr>
      <w:tr w:rsidR="00FC752D" w:rsidRPr="00A45FCF" w14:paraId="58133A5A"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2F535234"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2A8554CE" w14:textId="77777777" w:rsidR="00FC752D" w:rsidRPr="00877BA9" w:rsidRDefault="00FC752D" w:rsidP="00E01BB0">
            <w:pPr>
              <w:keepNext/>
              <w:jc w:val="right"/>
              <w:rPr>
                <w:color w:val="000000"/>
                <w:sz w:val="20"/>
                <w:szCs w:val="20"/>
                <w:lang w:val="en-CA" w:eastAsia="en-CA"/>
              </w:rPr>
            </w:pPr>
            <w:r w:rsidRPr="00877BA9">
              <w:rPr>
                <w:color w:val="000000"/>
                <w:sz w:val="20"/>
                <w:szCs w:val="20"/>
                <w:lang w:val="en-CA" w:eastAsia="en-CA"/>
              </w:rPr>
              <w:t>2,148,874</w:t>
            </w:r>
          </w:p>
        </w:tc>
      </w:tr>
      <w:tr w:rsidR="00FC752D" w:rsidRPr="00A45FCF" w14:paraId="4E4DDCD8"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74B26E87"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TOTAL COST (I + II) (Convention on Biological Diversity)</w:t>
            </w:r>
          </w:p>
        </w:tc>
        <w:tc>
          <w:tcPr>
            <w:tcW w:w="2880" w:type="dxa"/>
            <w:tcBorders>
              <w:top w:val="single" w:sz="2" w:space="0" w:color="auto"/>
              <w:bottom w:val="single" w:sz="12" w:space="0" w:color="auto"/>
            </w:tcBorders>
            <w:shd w:val="clear" w:color="auto" w:fill="auto"/>
            <w:noWrap/>
            <w:vAlign w:val="bottom"/>
            <w:hideMark/>
          </w:tcPr>
          <w:p w14:paraId="7C471718" w14:textId="77777777" w:rsidR="00FC752D" w:rsidRPr="00877BA9" w:rsidRDefault="00FC752D" w:rsidP="00E01BB0">
            <w:pPr>
              <w:jc w:val="right"/>
              <w:rPr>
                <w:b/>
                <w:bCs/>
                <w:color w:val="000000"/>
                <w:sz w:val="20"/>
                <w:szCs w:val="20"/>
                <w:lang w:val="en-CA" w:eastAsia="en-CA"/>
              </w:rPr>
            </w:pPr>
            <w:r w:rsidRPr="00877BA9">
              <w:rPr>
                <w:b/>
                <w:bCs/>
                <w:color w:val="000000"/>
                <w:sz w:val="20"/>
                <w:szCs w:val="20"/>
                <w:lang w:val="en-CA" w:eastAsia="en-CA"/>
              </w:rPr>
              <w:t>18,678,674</w:t>
            </w:r>
          </w:p>
        </w:tc>
      </w:tr>
      <w:tr w:rsidR="00FC752D" w:rsidRPr="00BC4AFE" w14:paraId="4A7DC6B8" w14:textId="77777777" w:rsidTr="00A60395">
        <w:trPr>
          <w:trHeight w:val="465"/>
          <w:jc w:val="center"/>
        </w:trPr>
        <w:tc>
          <w:tcPr>
            <w:tcW w:w="9445" w:type="dxa"/>
            <w:gridSpan w:val="2"/>
            <w:tcBorders>
              <w:top w:val="single" w:sz="12" w:space="0" w:color="auto"/>
            </w:tcBorders>
            <w:shd w:val="clear" w:color="auto" w:fill="auto"/>
            <w:noWrap/>
            <w:hideMark/>
          </w:tcPr>
          <w:p w14:paraId="1C1E1E51" w14:textId="77777777" w:rsidR="00FC752D" w:rsidRPr="00BC4AFE" w:rsidRDefault="00FC752D" w:rsidP="00E01BB0">
            <w:pPr>
              <w:spacing w:before="120"/>
              <w:rPr>
                <w:color w:val="000000"/>
                <w:sz w:val="20"/>
                <w:szCs w:val="20"/>
                <w:lang w:val="en-CA" w:eastAsia="en-CA"/>
              </w:rPr>
            </w:pPr>
            <w:r w:rsidRPr="00BC4AFE">
              <w:rPr>
                <w:color w:val="000000"/>
                <w:sz w:val="20"/>
                <w:szCs w:val="20"/>
                <w:lang w:val="en-CA" w:eastAsia="en-CA"/>
              </w:rPr>
              <w:t>* Norway pledged NOK 10 million to support DSI-related activities</w:t>
            </w:r>
          </w:p>
        </w:tc>
      </w:tr>
      <w:tr w:rsidR="00FC752D" w:rsidRPr="00BC4AFE" w14:paraId="3CA86EAD" w14:textId="77777777" w:rsidTr="00A60395">
        <w:trPr>
          <w:trHeight w:val="255"/>
          <w:jc w:val="center"/>
        </w:trPr>
        <w:tc>
          <w:tcPr>
            <w:tcW w:w="6565" w:type="dxa"/>
            <w:shd w:val="clear" w:color="auto" w:fill="auto"/>
            <w:noWrap/>
            <w:vAlign w:val="bottom"/>
            <w:hideMark/>
          </w:tcPr>
          <w:p w14:paraId="563D4AA6" w14:textId="77777777" w:rsidR="00FC752D" w:rsidRPr="00BC4AFE" w:rsidRDefault="00FC752D" w:rsidP="00E01BB0">
            <w:pPr>
              <w:jc w:val="right"/>
              <w:rPr>
                <w:sz w:val="20"/>
                <w:szCs w:val="20"/>
                <w:lang w:val="en-CA" w:eastAsia="en-CA"/>
              </w:rPr>
            </w:pPr>
          </w:p>
        </w:tc>
        <w:tc>
          <w:tcPr>
            <w:tcW w:w="2880" w:type="dxa"/>
            <w:shd w:val="clear" w:color="auto" w:fill="auto"/>
            <w:noWrap/>
            <w:vAlign w:val="bottom"/>
            <w:hideMark/>
          </w:tcPr>
          <w:p w14:paraId="086598ED" w14:textId="77777777" w:rsidR="00FC752D" w:rsidRPr="00BC4AFE" w:rsidRDefault="00FC752D" w:rsidP="00E01BB0">
            <w:pPr>
              <w:rPr>
                <w:sz w:val="20"/>
                <w:szCs w:val="20"/>
                <w:lang w:val="en-CA" w:eastAsia="en-CA"/>
              </w:rPr>
            </w:pPr>
          </w:p>
        </w:tc>
      </w:tr>
      <w:tr w:rsidR="00FC752D" w:rsidRPr="00BC4AFE" w14:paraId="4F377F0A" w14:textId="77777777" w:rsidTr="00A60395">
        <w:trPr>
          <w:trHeight w:val="255"/>
          <w:jc w:val="center"/>
        </w:trPr>
        <w:tc>
          <w:tcPr>
            <w:tcW w:w="9445" w:type="dxa"/>
            <w:gridSpan w:val="2"/>
            <w:shd w:val="clear" w:color="auto" w:fill="auto"/>
            <w:noWrap/>
            <w:vAlign w:val="bottom"/>
            <w:hideMark/>
          </w:tcPr>
          <w:p w14:paraId="24AAADA1" w14:textId="77777777" w:rsidR="00FC752D" w:rsidRPr="00BC4AFE" w:rsidRDefault="00FC752D" w:rsidP="002442FB">
            <w:pPr>
              <w:keepNext/>
              <w:keepLines/>
              <w:spacing w:before="120" w:after="120"/>
              <w:jc w:val="center"/>
              <w:rPr>
                <w:b/>
                <w:bCs/>
                <w:color w:val="000000"/>
                <w:lang w:eastAsia="en-CA"/>
              </w:rPr>
            </w:pPr>
            <w:r w:rsidRPr="00BC4AFE">
              <w:rPr>
                <w:b/>
                <w:bCs/>
                <w:color w:val="000000"/>
                <w:lang w:eastAsia="en-CA"/>
              </w:rPr>
              <w:t>B.</w:t>
            </w:r>
            <w:r w:rsidRPr="00BC4AFE">
              <w:rPr>
                <w:b/>
                <w:color w:val="000000" w:themeColor="text1"/>
                <w:kern w:val="20"/>
                <w:sz w:val="24"/>
                <w:szCs w:val="28"/>
                <w:lang w:eastAsia="en-CA"/>
              </w:rPr>
              <w:tab/>
            </w:r>
            <w:r w:rsidRPr="00BC4AFE">
              <w:rPr>
                <w:b/>
                <w:bCs/>
                <w:color w:val="000000"/>
                <w:lang w:eastAsia="en-CA"/>
              </w:rPr>
              <w:t>Cartagena Protocol on Biosafety</w:t>
            </w:r>
          </w:p>
          <w:p w14:paraId="42D3B79B" w14:textId="77777777" w:rsidR="00FC752D" w:rsidRPr="00BC4AFE" w:rsidRDefault="00FC752D" w:rsidP="002442FB">
            <w:pPr>
              <w:keepNext/>
              <w:keepLines/>
              <w:spacing w:before="120" w:after="120"/>
              <w:jc w:val="center"/>
              <w:rPr>
                <w:b/>
                <w:bCs/>
                <w:color w:val="000000"/>
                <w:sz w:val="20"/>
                <w:szCs w:val="20"/>
                <w:lang w:val="en-CA" w:eastAsia="en-CA"/>
              </w:rPr>
            </w:pPr>
            <w:r w:rsidRPr="00BC4AFE">
              <w:rPr>
                <w:color w:val="000000" w:themeColor="text1"/>
                <w:kern w:val="20"/>
                <w:sz w:val="20"/>
                <w:szCs w:val="20"/>
                <w:lang w:eastAsia="en-CA"/>
              </w:rPr>
              <w:t>(</w:t>
            </w:r>
            <w:r w:rsidRPr="00BC4AFE">
              <w:rPr>
                <w:i/>
                <w:color w:val="000000" w:themeColor="text1"/>
                <w:kern w:val="20"/>
                <w:sz w:val="20"/>
                <w:szCs w:val="20"/>
                <w:lang w:eastAsia="en-CA"/>
              </w:rPr>
              <w:t>United States dollars</w:t>
            </w:r>
            <w:r w:rsidRPr="00BC4AFE">
              <w:rPr>
                <w:color w:val="000000" w:themeColor="text1"/>
                <w:kern w:val="20"/>
                <w:sz w:val="20"/>
                <w:szCs w:val="20"/>
                <w:lang w:eastAsia="en-CA"/>
              </w:rPr>
              <w:t>)</w:t>
            </w:r>
          </w:p>
        </w:tc>
      </w:tr>
      <w:tr w:rsidR="00FC752D" w:rsidRPr="00BC4AFE" w14:paraId="49535BBF" w14:textId="77777777" w:rsidTr="00A60395">
        <w:trPr>
          <w:trHeight w:val="255"/>
          <w:jc w:val="center"/>
        </w:trPr>
        <w:tc>
          <w:tcPr>
            <w:tcW w:w="6565" w:type="dxa"/>
            <w:tcBorders>
              <w:top w:val="single" w:sz="2" w:space="0" w:color="auto"/>
            </w:tcBorders>
            <w:shd w:val="clear" w:color="auto" w:fill="auto"/>
            <w:noWrap/>
            <w:vAlign w:val="center"/>
            <w:hideMark/>
          </w:tcPr>
          <w:p w14:paraId="1F117249" w14:textId="77777777" w:rsidR="00FC752D" w:rsidRPr="00BC4AFE" w:rsidRDefault="00FC752D" w:rsidP="002442FB">
            <w:pPr>
              <w:keepNext/>
              <w:keepLines/>
              <w:rPr>
                <w:b/>
                <w:bCs/>
                <w:color w:val="000000"/>
                <w:sz w:val="20"/>
                <w:szCs w:val="20"/>
                <w:lang w:val="en-CA" w:eastAsia="en-CA"/>
              </w:rPr>
            </w:pPr>
            <w:r w:rsidRPr="00BC4AFE">
              <w:rPr>
                <w:b/>
                <w:bCs/>
                <w:color w:val="000000"/>
                <w:sz w:val="20"/>
                <w:szCs w:val="20"/>
                <w:lang w:val="en-CA" w:eastAsia="en-CA"/>
              </w:rPr>
              <w:t>Consultancy</w:t>
            </w:r>
          </w:p>
        </w:tc>
        <w:tc>
          <w:tcPr>
            <w:tcW w:w="2880" w:type="dxa"/>
            <w:tcBorders>
              <w:top w:val="single" w:sz="2" w:space="0" w:color="auto"/>
            </w:tcBorders>
            <w:shd w:val="clear" w:color="auto" w:fill="auto"/>
            <w:noWrap/>
            <w:vAlign w:val="center"/>
            <w:hideMark/>
          </w:tcPr>
          <w:p w14:paraId="7B5A1137" w14:textId="77777777" w:rsidR="00FC752D" w:rsidRPr="00BC4AFE" w:rsidRDefault="00FC752D" w:rsidP="00E01BB0">
            <w:pPr>
              <w:rPr>
                <w:b/>
                <w:bCs/>
                <w:color w:val="000000"/>
                <w:sz w:val="20"/>
                <w:szCs w:val="20"/>
                <w:lang w:val="en-CA" w:eastAsia="en-CA"/>
              </w:rPr>
            </w:pPr>
          </w:p>
        </w:tc>
      </w:tr>
      <w:tr w:rsidR="00FC752D" w:rsidRPr="00BC4AFE" w14:paraId="4325EBA4" w14:textId="77777777" w:rsidTr="00A60395">
        <w:trPr>
          <w:trHeight w:val="255"/>
          <w:jc w:val="center"/>
        </w:trPr>
        <w:tc>
          <w:tcPr>
            <w:tcW w:w="6565" w:type="dxa"/>
            <w:shd w:val="clear" w:color="auto" w:fill="auto"/>
            <w:noWrap/>
            <w:vAlign w:val="center"/>
            <w:hideMark/>
          </w:tcPr>
          <w:p w14:paraId="1DF39677" w14:textId="77777777" w:rsidR="00FC752D" w:rsidRPr="00BC4AFE" w:rsidRDefault="00FC752D" w:rsidP="002442FB">
            <w:pPr>
              <w:keepNext/>
              <w:keepLines/>
              <w:rPr>
                <w:color w:val="000000"/>
                <w:sz w:val="20"/>
                <w:szCs w:val="20"/>
                <w:lang w:val="en-CA" w:eastAsia="en-CA"/>
              </w:rPr>
            </w:pPr>
            <w:r w:rsidRPr="00BC4AFE">
              <w:rPr>
                <w:color w:val="000000"/>
                <w:sz w:val="20"/>
                <w:szCs w:val="20"/>
                <w:lang w:val="en-CA" w:eastAsia="en-CA"/>
              </w:rPr>
              <w:t>Biosafety Clearing-House</w:t>
            </w:r>
          </w:p>
        </w:tc>
        <w:tc>
          <w:tcPr>
            <w:tcW w:w="2880" w:type="dxa"/>
            <w:shd w:val="clear" w:color="auto" w:fill="auto"/>
            <w:noWrap/>
            <w:vAlign w:val="center"/>
            <w:hideMark/>
          </w:tcPr>
          <w:p w14:paraId="24E0122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7D2D52EC" w14:textId="77777777" w:rsidTr="00A60395">
        <w:trPr>
          <w:trHeight w:val="255"/>
          <w:jc w:val="center"/>
        </w:trPr>
        <w:tc>
          <w:tcPr>
            <w:tcW w:w="6565" w:type="dxa"/>
            <w:shd w:val="clear" w:color="auto" w:fill="auto"/>
            <w:noWrap/>
            <w:vAlign w:val="center"/>
            <w:hideMark/>
          </w:tcPr>
          <w:p w14:paraId="20CDBB43" w14:textId="77777777" w:rsidR="00FC752D" w:rsidRPr="00BC4AFE" w:rsidRDefault="00FC752D" w:rsidP="002442FB">
            <w:pPr>
              <w:keepNext/>
              <w:keepLines/>
              <w:rPr>
                <w:color w:val="000000"/>
                <w:sz w:val="20"/>
                <w:szCs w:val="20"/>
                <w:lang w:val="en-CA" w:eastAsia="en-CA"/>
              </w:rPr>
            </w:pPr>
            <w:r w:rsidRPr="00BC4AFE">
              <w:rPr>
                <w:color w:val="000000"/>
                <w:sz w:val="20"/>
                <w:szCs w:val="20"/>
                <w:lang w:val="en-CA" w:eastAsia="en-CA"/>
              </w:rPr>
              <w:t>Compliance</w:t>
            </w:r>
          </w:p>
        </w:tc>
        <w:tc>
          <w:tcPr>
            <w:tcW w:w="2880" w:type="dxa"/>
            <w:shd w:val="clear" w:color="auto" w:fill="auto"/>
            <w:noWrap/>
            <w:vAlign w:val="center"/>
            <w:hideMark/>
          </w:tcPr>
          <w:p w14:paraId="0F95B42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30,000</w:t>
            </w:r>
          </w:p>
        </w:tc>
      </w:tr>
      <w:tr w:rsidR="00FC752D" w:rsidRPr="00BC4AFE" w14:paraId="3643CE5C" w14:textId="77777777" w:rsidTr="00A60395">
        <w:trPr>
          <w:trHeight w:val="255"/>
          <w:jc w:val="center"/>
        </w:trPr>
        <w:tc>
          <w:tcPr>
            <w:tcW w:w="6565" w:type="dxa"/>
            <w:shd w:val="clear" w:color="auto" w:fill="auto"/>
            <w:noWrap/>
            <w:vAlign w:val="center"/>
            <w:hideMark/>
          </w:tcPr>
          <w:p w14:paraId="4ED31342"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Financial mechanism and resource mobilization</w:t>
            </w:r>
          </w:p>
        </w:tc>
        <w:tc>
          <w:tcPr>
            <w:tcW w:w="2880" w:type="dxa"/>
            <w:shd w:val="clear" w:color="auto" w:fill="auto"/>
            <w:noWrap/>
            <w:vAlign w:val="center"/>
            <w:hideMark/>
          </w:tcPr>
          <w:p w14:paraId="129697A2"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60,000</w:t>
            </w:r>
          </w:p>
        </w:tc>
      </w:tr>
      <w:tr w:rsidR="00FC752D" w:rsidRPr="00BC4AFE" w14:paraId="75ACE361" w14:textId="77777777" w:rsidTr="00A60395">
        <w:trPr>
          <w:trHeight w:val="255"/>
          <w:jc w:val="center"/>
        </w:trPr>
        <w:tc>
          <w:tcPr>
            <w:tcW w:w="6565" w:type="dxa"/>
            <w:shd w:val="clear" w:color="auto" w:fill="auto"/>
            <w:noWrap/>
            <w:vAlign w:val="center"/>
            <w:hideMark/>
          </w:tcPr>
          <w:p w14:paraId="62507537"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Implementation Plan for the Cartagena Protocol on Biosafety</w:t>
            </w:r>
          </w:p>
        </w:tc>
        <w:tc>
          <w:tcPr>
            <w:tcW w:w="2880" w:type="dxa"/>
            <w:shd w:val="clear" w:color="auto" w:fill="auto"/>
            <w:noWrap/>
            <w:vAlign w:val="center"/>
            <w:hideMark/>
          </w:tcPr>
          <w:p w14:paraId="43AD97F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23E70ED4" w14:textId="77777777" w:rsidTr="00A60395">
        <w:trPr>
          <w:trHeight w:val="255"/>
          <w:jc w:val="center"/>
        </w:trPr>
        <w:tc>
          <w:tcPr>
            <w:tcW w:w="6565" w:type="dxa"/>
            <w:shd w:val="clear" w:color="auto" w:fill="auto"/>
            <w:noWrap/>
            <w:vAlign w:val="center"/>
            <w:hideMark/>
          </w:tcPr>
          <w:p w14:paraId="049C06F7"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Monitoring and reporting (Art. 33)</w:t>
            </w:r>
          </w:p>
        </w:tc>
        <w:tc>
          <w:tcPr>
            <w:tcW w:w="2880" w:type="dxa"/>
            <w:shd w:val="clear" w:color="auto" w:fill="auto"/>
            <w:noWrap/>
            <w:vAlign w:val="center"/>
            <w:hideMark/>
          </w:tcPr>
          <w:p w14:paraId="70C3D59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26,800</w:t>
            </w:r>
          </w:p>
        </w:tc>
      </w:tr>
      <w:tr w:rsidR="00FC752D" w:rsidRPr="00BC4AFE" w14:paraId="34789926" w14:textId="77777777" w:rsidTr="00A60395">
        <w:trPr>
          <w:trHeight w:val="255"/>
          <w:jc w:val="center"/>
        </w:trPr>
        <w:tc>
          <w:tcPr>
            <w:tcW w:w="6565" w:type="dxa"/>
            <w:shd w:val="clear" w:color="auto" w:fill="auto"/>
            <w:noWrap/>
            <w:vAlign w:val="center"/>
            <w:hideMark/>
          </w:tcPr>
          <w:p w14:paraId="72309B60"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lastRenderedPageBreak/>
              <w:t>Socioeconomic considerations</w:t>
            </w:r>
          </w:p>
        </w:tc>
        <w:tc>
          <w:tcPr>
            <w:tcW w:w="2880" w:type="dxa"/>
            <w:shd w:val="clear" w:color="auto" w:fill="auto"/>
            <w:noWrap/>
            <w:vAlign w:val="center"/>
            <w:hideMark/>
          </w:tcPr>
          <w:p w14:paraId="4DC5B33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30,000</w:t>
            </w:r>
          </w:p>
        </w:tc>
      </w:tr>
      <w:tr w:rsidR="00FC752D" w:rsidRPr="00BC4AFE" w14:paraId="3FE5FBF7" w14:textId="77777777" w:rsidTr="00A60395">
        <w:trPr>
          <w:trHeight w:val="259"/>
          <w:jc w:val="center"/>
        </w:trPr>
        <w:tc>
          <w:tcPr>
            <w:tcW w:w="6565" w:type="dxa"/>
            <w:shd w:val="clear" w:color="auto" w:fill="auto"/>
            <w:hideMark/>
          </w:tcPr>
          <w:p w14:paraId="119816AE"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12AADCD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w:t>
            </w:r>
          </w:p>
        </w:tc>
      </w:tr>
      <w:tr w:rsidR="00FC752D" w:rsidRPr="00BC4AFE" w14:paraId="5730975A" w14:textId="77777777" w:rsidTr="00A60395">
        <w:trPr>
          <w:trHeight w:val="255"/>
          <w:jc w:val="center"/>
        </w:trPr>
        <w:tc>
          <w:tcPr>
            <w:tcW w:w="6565" w:type="dxa"/>
            <w:tcBorders>
              <w:bottom w:val="single" w:sz="4" w:space="0" w:color="auto"/>
            </w:tcBorders>
            <w:shd w:val="clear" w:color="auto" w:fill="auto"/>
            <w:noWrap/>
            <w:vAlign w:val="center"/>
            <w:hideMark/>
          </w:tcPr>
          <w:p w14:paraId="75001BDA"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2039745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160,000</w:t>
            </w:r>
          </w:p>
        </w:tc>
      </w:tr>
      <w:tr w:rsidR="00FC752D" w:rsidRPr="00BC4AFE" w14:paraId="0CF4C191"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7E2B338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5A65C2F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516,800</w:t>
            </w:r>
          </w:p>
        </w:tc>
      </w:tr>
      <w:tr w:rsidR="00FC752D" w:rsidRPr="00BC4AFE" w14:paraId="7DECCB83" w14:textId="77777777" w:rsidTr="00A60395">
        <w:trPr>
          <w:trHeight w:val="255"/>
          <w:jc w:val="center"/>
        </w:trPr>
        <w:tc>
          <w:tcPr>
            <w:tcW w:w="6565" w:type="dxa"/>
            <w:tcBorders>
              <w:top w:val="single" w:sz="4" w:space="0" w:color="auto"/>
            </w:tcBorders>
            <w:shd w:val="clear" w:color="auto" w:fill="auto"/>
            <w:noWrap/>
            <w:vAlign w:val="center"/>
            <w:hideMark/>
          </w:tcPr>
          <w:p w14:paraId="24B290A0"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Official travel</w:t>
            </w:r>
          </w:p>
        </w:tc>
        <w:tc>
          <w:tcPr>
            <w:tcW w:w="2880" w:type="dxa"/>
            <w:tcBorders>
              <w:top w:val="single" w:sz="4" w:space="0" w:color="auto"/>
            </w:tcBorders>
            <w:shd w:val="clear" w:color="auto" w:fill="auto"/>
            <w:noWrap/>
            <w:vAlign w:val="center"/>
            <w:hideMark/>
          </w:tcPr>
          <w:p w14:paraId="7162FF65" w14:textId="77777777" w:rsidR="00FC752D" w:rsidRPr="00BC4AFE" w:rsidRDefault="00FC752D" w:rsidP="00E01BB0">
            <w:pPr>
              <w:rPr>
                <w:b/>
                <w:bCs/>
                <w:color w:val="000000"/>
                <w:sz w:val="20"/>
                <w:szCs w:val="20"/>
                <w:lang w:val="en-CA" w:eastAsia="en-CA"/>
              </w:rPr>
            </w:pPr>
          </w:p>
        </w:tc>
      </w:tr>
      <w:tr w:rsidR="00FC752D" w:rsidRPr="00BC4AFE" w14:paraId="721233EE" w14:textId="77777777" w:rsidTr="00A60395">
        <w:trPr>
          <w:trHeight w:val="255"/>
          <w:jc w:val="center"/>
        </w:trPr>
        <w:tc>
          <w:tcPr>
            <w:tcW w:w="6565" w:type="dxa"/>
            <w:shd w:val="clear" w:color="auto" w:fill="auto"/>
            <w:noWrap/>
            <w:vAlign w:val="center"/>
            <w:hideMark/>
          </w:tcPr>
          <w:p w14:paraId="00484A51"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Biosafety Clearing-House</w:t>
            </w:r>
          </w:p>
        </w:tc>
        <w:tc>
          <w:tcPr>
            <w:tcW w:w="2880" w:type="dxa"/>
            <w:shd w:val="clear" w:color="auto" w:fill="auto"/>
            <w:noWrap/>
            <w:vAlign w:val="center"/>
            <w:hideMark/>
          </w:tcPr>
          <w:p w14:paraId="7057C44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30,000</w:t>
            </w:r>
          </w:p>
        </w:tc>
      </w:tr>
      <w:tr w:rsidR="00FC752D" w:rsidRPr="00BC4AFE" w14:paraId="00095F42" w14:textId="77777777" w:rsidTr="00A60395">
        <w:trPr>
          <w:trHeight w:val="259"/>
          <w:jc w:val="center"/>
        </w:trPr>
        <w:tc>
          <w:tcPr>
            <w:tcW w:w="6565" w:type="dxa"/>
            <w:shd w:val="clear" w:color="auto" w:fill="auto"/>
            <w:hideMark/>
          </w:tcPr>
          <w:p w14:paraId="3F5F3303"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4234D62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75,000</w:t>
            </w:r>
          </w:p>
        </w:tc>
      </w:tr>
      <w:tr w:rsidR="00FC752D" w:rsidRPr="00BC4AFE" w14:paraId="7A5360BA" w14:textId="77777777" w:rsidTr="00A60395">
        <w:trPr>
          <w:trHeight w:val="255"/>
          <w:jc w:val="center"/>
        </w:trPr>
        <w:tc>
          <w:tcPr>
            <w:tcW w:w="6565" w:type="dxa"/>
            <w:tcBorders>
              <w:bottom w:val="single" w:sz="4" w:space="0" w:color="auto"/>
            </w:tcBorders>
            <w:shd w:val="clear" w:color="auto" w:fill="auto"/>
            <w:noWrap/>
            <w:vAlign w:val="center"/>
            <w:hideMark/>
          </w:tcPr>
          <w:p w14:paraId="02981177"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1EE2B55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40,000</w:t>
            </w:r>
          </w:p>
        </w:tc>
      </w:tr>
      <w:tr w:rsidR="00FC752D" w:rsidRPr="00BC4AFE" w14:paraId="5407A40C"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6BB2A7F1"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3FE1C9C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145,000</w:t>
            </w:r>
          </w:p>
        </w:tc>
      </w:tr>
      <w:tr w:rsidR="00FC752D" w:rsidRPr="00BC4AFE" w14:paraId="1026F2A3" w14:textId="77777777" w:rsidTr="00A60395">
        <w:trPr>
          <w:trHeight w:val="255"/>
          <w:jc w:val="center"/>
        </w:trPr>
        <w:tc>
          <w:tcPr>
            <w:tcW w:w="6565" w:type="dxa"/>
            <w:tcBorders>
              <w:top w:val="single" w:sz="4" w:space="0" w:color="auto"/>
            </w:tcBorders>
            <w:shd w:val="clear" w:color="auto" w:fill="auto"/>
            <w:noWrap/>
            <w:vAlign w:val="center"/>
            <w:hideMark/>
          </w:tcPr>
          <w:p w14:paraId="442D53C0"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Staff resources</w:t>
            </w:r>
          </w:p>
        </w:tc>
        <w:tc>
          <w:tcPr>
            <w:tcW w:w="2880" w:type="dxa"/>
            <w:tcBorders>
              <w:top w:val="single" w:sz="4" w:space="0" w:color="auto"/>
            </w:tcBorders>
            <w:shd w:val="clear" w:color="auto" w:fill="auto"/>
            <w:noWrap/>
            <w:vAlign w:val="center"/>
            <w:hideMark/>
          </w:tcPr>
          <w:p w14:paraId="19F2BC1A" w14:textId="77777777" w:rsidR="00FC752D" w:rsidRPr="00BC4AFE" w:rsidRDefault="00FC752D" w:rsidP="00E01BB0">
            <w:pPr>
              <w:rPr>
                <w:b/>
                <w:bCs/>
                <w:color w:val="000000"/>
                <w:sz w:val="20"/>
                <w:szCs w:val="20"/>
                <w:lang w:val="en-CA" w:eastAsia="en-CA"/>
              </w:rPr>
            </w:pPr>
          </w:p>
        </w:tc>
      </w:tr>
      <w:tr w:rsidR="00FC752D" w:rsidRPr="00BC4AFE" w14:paraId="23D96951" w14:textId="77777777" w:rsidTr="00A60395">
        <w:trPr>
          <w:trHeight w:val="255"/>
          <w:jc w:val="center"/>
        </w:trPr>
        <w:tc>
          <w:tcPr>
            <w:tcW w:w="6565" w:type="dxa"/>
            <w:tcBorders>
              <w:bottom w:val="single" w:sz="4" w:space="0" w:color="auto"/>
            </w:tcBorders>
            <w:shd w:val="clear" w:color="auto" w:fill="auto"/>
            <w:vAlign w:val="bottom"/>
            <w:hideMark/>
          </w:tcPr>
          <w:p w14:paraId="41370BBD"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Biosafety Associate Programme Officer (P-2)</w:t>
            </w:r>
          </w:p>
        </w:tc>
        <w:tc>
          <w:tcPr>
            <w:tcW w:w="2880" w:type="dxa"/>
            <w:tcBorders>
              <w:bottom w:val="single" w:sz="4" w:space="0" w:color="auto"/>
            </w:tcBorders>
            <w:shd w:val="clear" w:color="auto" w:fill="auto"/>
            <w:noWrap/>
            <w:vAlign w:val="bottom"/>
            <w:hideMark/>
          </w:tcPr>
          <w:p w14:paraId="77CA382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218,700</w:t>
            </w:r>
          </w:p>
        </w:tc>
      </w:tr>
      <w:tr w:rsidR="00FC752D" w:rsidRPr="00BC4AFE" w14:paraId="4256E973"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66AA1BF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26FFE73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218,700</w:t>
            </w:r>
          </w:p>
        </w:tc>
      </w:tr>
      <w:tr w:rsidR="00FC752D" w:rsidRPr="00BC4AFE" w14:paraId="26B1A9D2" w14:textId="77777777" w:rsidTr="00A60395">
        <w:trPr>
          <w:trHeight w:val="255"/>
          <w:jc w:val="center"/>
        </w:trPr>
        <w:tc>
          <w:tcPr>
            <w:tcW w:w="6565" w:type="dxa"/>
            <w:tcBorders>
              <w:top w:val="single" w:sz="4" w:space="0" w:color="auto"/>
            </w:tcBorders>
            <w:shd w:val="clear" w:color="auto" w:fill="auto"/>
            <w:noWrap/>
            <w:vAlign w:val="center"/>
            <w:hideMark/>
          </w:tcPr>
          <w:p w14:paraId="1B46B5E6"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Workshops</w:t>
            </w:r>
          </w:p>
        </w:tc>
        <w:tc>
          <w:tcPr>
            <w:tcW w:w="2880" w:type="dxa"/>
            <w:tcBorders>
              <w:top w:val="single" w:sz="4" w:space="0" w:color="auto"/>
            </w:tcBorders>
            <w:shd w:val="clear" w:color="auto" w:fill="auto"/>
            <w:noWrap/>
            <w:vAlign w:val="center"/>
            <w:hideMark/>
          </w:tcPr>
          <w:p w14:paraId="02BCF939" w14:textId="77777777" w:rsidR="00FC752D" w:rsidRPr="00BC4AFE" w:rsidRDefault="00FC752D" w:rsidP="00E01BB0">
            <w:pPr>
              <w:rPr>
                <w:b/>
                <w:bCs/>
                <w:color w:val="000000"/>
                <w:sz w:val="20"/>
                <w:szCs w:val="20"/>
                <w:lang w:val="en-CA" w:eastAsia="en-CA"/>
              </w:rPr>
            </w:pPr>
          </w:p>
        </w:tc>
      </w:tr>
      <w:tr w:rsidR="00FC752D" w:rsidRPr="00BC4AFE" w14:paraId="368EC278" w14:textId="77777777" w:rsidTr="00A60395">
        <w:trPr>
          <w:trHeight w:val="255"/>
          <w:jc w:val="center"/>
        </w:trPr>
        <w:tc>
          <w:tcPr>
            <w:tcW w:w="6565" w:type="dxa"/>
            <w:shd w:val="clear" w:color="auto" w:fill="auto"/>
            <w:noWrap/>
            <w:vAlign w:val="center"/>
            <w:hideMark/>
          </w:tcPr>
          <w:p w14:paraId="08CC93EB"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Biosafety Clearing-House</w:t>
            </w:r>
          </w:p>
        </w:tc>
        <w:tc>
          <w:tcPr>
            <w:tcW w:w="2880" w:type="dxa"/>
            <w:shd w:val="clear" w:color="auto" w:fill="auto"/>
            <w:noWrap/>
            <w:vAlign w:val="center"/>
            <w:hideMark/>
          </w:tcPr>
          <w:p w14:paraId="2B535273"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103,000</w:t>
            </w:r>
          </w:p>
        </w:tc>
      </w:tr>
      <w:tr w:rsidR="00FC752D" w:rsidRPr="00BC4AFE" w14:paraId="39EF2AD0" w14:textId="77777777" w:rsidTr="00A60395">
        <w:trPr>
          <w:trHeight w:val="255"/>
          <w:jc w:val="center"/>
        </w:trPr>
        <w:tc>
          <w:tcPr>
            <w:tcW w:w="6565" w:type="dxa"/>
            <w:shd w:val="clear" w:color="auto" w:fill="auto"/>
            <w:noWrap/>
            <w:vAlign w:val="center"/>
            <w:hideMark/>
          </w:tcPr>
          <w:p w14:paraId="1DC75461"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Implementation Plan for the Cartagena Protocol on Biosafety</w:t>
            </w:r>
          </w:p>
        </w:tc>
        <w:tc>
          <w:tcPr>
            <w:tcW w:w="2880" w:type="dxa"/>
            <w:shd w:val="clear" w:color="auto" w:fill="auto"/>
            <w:noWrap/>
            <w:vAlign w:val="center"/>
            <w:hideMark/>
          </w:tcPr>
          <w:p w14:paraId="02FCDE7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250,000</w:t>
            </w:r>
          </w:p>
        </w:tc>
      </w:tr>
      <w:tr w:rsidR="00FC752D" w:rsidRPr="00BC4AFE" w14:paraId="2777BAE4" w14:textId="77777777" w:rsidTr="00A60395">
        <w:trPr>
          <w:trHeight w:val="259"/>
          <w:jc w:val="center"/>
        </w:trPr>
        <w:tc>
          <w:tcPr>
            <w:tcW w:w="6565" w:type="dxa"/>
            <w:shd w:val="clear" w:color="auto" w:fill="auto"/>
            <w:hideMark/>
          </w:tcPr>
          <w:p w14:paraId="274A2E28"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Ratification support for Supplementary Protocol on Liability and Redress</w:t>
            </w:r>
          </w:p>
        </w:tc>
        <w:tc>
          <w:tcPr>
            <w:tcW w:w="2880" w:type="dxa"/>
            <w:shd w:val="clear" w:color="auto" w:fill="auto"/>
            <w:noWrap/>
            <w:vAlign w:val="center"/>
            <w:hideMark/>
          </w:tcPr>
          <w:p w14:paraId="63D96EA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351,000</w:t>
            </w:r>
          </w:p>
        </w:tc>
      </w:tr>
      <w:tr w:rsidR="00FC752D" w:rsidRPr="00BC4AFE" w14:paraId="1CD5E62C" w14:textId="77777777" w:rsidTr="00A60395">
        <w:trPr>
          <w:trHeight w:val="255"/>
          <w:jc w:val="center"/>
        </w:trPr>
        <w:tc>
          <w:tcPr>
            <w:tcW w:w="6565" w:type="dxa"/>
            <w:tcBorders>
              <w:bottom w:val="single" w:sz="4" w:space="0" w:color="auto"/>
            </w:tcBorders>
            <w:shd w:val="clear" w:color="auto" w:fill="auto"/>
            <w:noWrap/>
            <w:vAlign w:val="center"/>
            <w:hideMark/>
          </w:tcPr>
          <w:p w14:paraId="374980B7"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Risk assessment and risk management</w:t>
            </w:r>
          </w:p>
        </w:tc>
        <w:tc>
          <w:tcPr>
            <w:tcW w:w="2880" w:type="dxa"/>
            <w:tcBorders>
              <w:bottom w:val="single" w:sz="4" w:space="0" w:color="auto"/>
            </w:tcBorders>
            <w:shd w:val="clear" w:color="auto" w:fill="auto"/>
            <w:noWrap/>
            <w:vAlign w:val="center"/>
            <w:hideMark/>
          </w:tcPr>
          <w:p w14:paraId="19DBB5B0"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234,000</w:t>
            </w:r>
          </w:p>
        </w:tc>
      </w:tr>
      <w:tr w:rsidR="00FC752D" w:rsidRPr="00BC4AFE" w14:paraId="0D5171BB"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54EBF987"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center"/>
            <w:hideMark/>
          </w:tcPr>
          <w:p w14:paraId="7BD09E2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938,000</w:t>
            </w:r>
          </w:p>
        </w:tc>
      </w:tr>
      <w:tr w:rsidR="00FC752D" w:rsidRPr="00BC4AFE" w14:paraId="6CD93517" w14:textId="77777777" w:rsidTr="00A60395">
        <w:trPr>
          <w:trHeight w:val="255"/>
          <w:jc w:val="center"/>
        </w:trPr>
        <w:tc>
          <w:tcPr>
            <w:tcW w:w="6565" w:type="dxa"/>
            <w:tcBorders>
              <w:top w:val="single" w:sz="4" w:space="0" w:color="auto"/>
            </w:tcBorders>
            <w:shd w:val="clear" w:color="auto" w:fill="auto"/>
            <w:noWrap/>
            <w:vAlign w:val="center"/>
            <w:hideMark/>
          </w:tcPr>
          <w:p w14:paraId="0884C1C4"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Expert meetings</w:t>
            </w:r>
          </w:p>
        </w:tc>
        <w:tc>
          <w:tcPr>
            <w:tcW w:w="2880" w:type="dxa"/>
            <w:tcBorders>
              <w:top w:val="single" w:sz="4" w:space="0" w:color="auto"/>
            </w:tcBorders>
            <w:shd w:val="clear" w:color="auto" w:fill="auto"/>
            <w:noWrap/>
            <w:vAlign w:val="center"/>
            <w:hideMark/>
          </w:tcPr>
          <w:p w14:paraId="680A43D5" w14:textId="77777777" w:rsidR="00FC752D" w:rsidRPr="00BC4AFE" w:rsidRDefault="00FC752D" w:rsidP="00E01BB0">
            <w:pPr>
              <w:rPr>
                <w:b/>
                <w:bCs/>
                <w:color w:val="000000"/>
                <w:sz w:val="20"/>
                <w:szCs w:val="20"/>
                <w:lang w:val="en-CA" w:eastAsia="en-CA"/>
              </w:rPr>
            </w:pPr>
          </w:p>
        </w:tc>
      </w:tr>
      <w:tr w:rsidR="00FC752D" w:rsidRPr="00BC4AFE" w14:paraId="3D9C4BC1" w14:textId="77777777" w:rsidTr="00A60395">
        <w:trPr>
          <w:trHeight w:val="255"/>
          <w:jc w:val="center"/>
        </w:trPr>
        <w:tc>
          <w:tcPr>
            <w:tcW w:w="6565" w:type="dxa"/>
            <w:shd w:val="clear" w:color="auto" w:fill="auto"/>
            <w:noWrap/>
            <w:vAlign w:val="center"/>
            <w:hideMark/>
          </w:tcPr>
          <w:p w14:paraId="63D6B714"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Biosafety Clearing-House</w:t>
            </w:r>
          </w:p>
        </w:tc>
        <w:tc>
          <w:tcPr>
            <w:tcW w:w="2880" w:type="dxa"/>
            <w:shd w:val="clear" w:color="auto" w:fill="auto"/>
            <w:noWrap/>
            <w:vAlign w:val="center"/>
            <w:hideMark/>
          </w:tcPr>
          <w:p w14:paraId="3F3A60B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40,000</w:t>
            </w:r>
          </w:p>
        </w:tc>
      </w:tr>
      <w:tr w:rsidR="00FC752D" w:rsidRPr="00BC4AFE" w14:paraId="29372BBC" w14:textId="77777777" w:rsidTr="00A60395">
        <w:trPr>
          <w:trHeight w:val="255"/>
          <w:jc w:val="center"/>
        </w:trPr>
        <w:tc>
          <w:tcPr>
            <w:tcW w:w="6565" w:type="dxa"/>
            <w:tcBorders>
              <w:bottom w:val="single" w:sz="4" w:space="0" w:color="auto"/>
            </w:tcBorders>
            <w:shd w:val="clear" w:color="auto" w:fill="auto"/>
            <w:noWrap/>
            <w:vAlign w:val="center"/>
            <w:hideMark/>
          </w:tcPr>
          <w:p w14:paraId="301302B5"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Detection and identification of living modified organisms</w:t>
            </w:r>
          </w:p>
        </w:tc>
        <w:tc>
          <w:tcPr>
            <w:tcW w:w="2880" w:type="dxa"/>
            <w:tcBorders>
              <w:bottom w:val="single" w:sz="4" w:space="0" w:color="auto"/>
            </w:tcBorders>
            <w:shd w:val="clear" w:color="auto" w:fill="auto"/>
            <w:noWrap/>
            <w:vAlign w:val="center"/>
            <w:hideMark/>
          </w:tcPr>
          <w:p w14:paraId="645B9A31"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234,000</w:t>
            </w:r>
          </w:p>
        </w:tc>
      </w:tr>
      <w:tr w:rsidR="00FC752D" w:rsidRPr="00BC4AFE" w14:paraId="2C76E3B4" w14:textId="77777777" w:rsidTr="00A60395">
        <w:trPr>
          <w:trHeight w:val="255"/>
          <w:jc w:val="center"/>
        </w:trPr>
        <w:tc>
          <w:tcPr>
            <w:tcW w:w="6565" w:type="dxa"/>
            <w:tcBorders>
              <w:top w:val="single" w:sz="4" w:space="0" w:color="auto"/>
              <w:bottom w:val="single" w:sz="4" w:space="0" w:color="auto"/>
            </w:tcBorders>
            <w:shd w:val="clear" w:color="auto" w:fill="auto"/>
            <w:noWrap/>
            <w:vAlign w:val="center"/>
            <w:hideMark/>
          </w:tcPr>
          <w:p w14:paraId="44958E4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4" w:space="0" w:color="auto"/>
              <w:bottom w:val="single" w:sz="4" w:space="0" w:color="auto"/>
            </w:tcBorders>
            <w:shd w:val="clear" w:color="auto" w:fill="auto"/>
            <w:noWrap/>
            <w:vAlign w:val="bottom"/>
            <w:hideMark/>
          </w:tcPr>
          <w:p w14:paraId="388048D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274,000</w:t>
            </w:r>
          </w:p>
        </w:tc>
      </w:tr>
      <w:tr w:rsidR="00FC752D" w:rsidRPr="00BC4AFE" w14:paraId="201FD3F2" w14:textId="77777777" w:rsidTr="00A60395">
        <w:trPr>
          <w:trHeight w:val="255"/>
          <w:jc w:val="center"/>
        </w:trPr>
        <w:tc>
          <w:tcPr>
            <w:tcW w:w="6565" w:type="dxa"/>
            <w:tcBorders>
              <w:top w:val="single" w:sz="4" w:space="0" w:color="auto"/>
            </w:tcBorders>
            <w:shd w:val="clear" w:color="auto" w:fill="auto"/>
            <w:noWrap/>
            <w:vAlign w:val="bottom"/>
            <w:hideMark/>
          </w:tcPr>
          <w:p w14:paraId="680A3F70" w14:textId="77777777" w:rsidR="00FC752D" w:rsidRPr="00BC4AFE" w:rsidRDefault="00FC752D" w:rsidP="00E01BB0">
            <w:pPr>
              <w:jc w:val="right"/>
              <w:rPr>
                <w:b/>
                <w:bCs/>
                <w:color w:val="000000"/>
                <w:sz w:val="20"/>
                <w:szCs w:val="20"/>
                <w:lang w:val="en-CA" w:eastAsia="en-CA"/>
              </w:rPr>
            </w:pPr>
          </w:p>
        </w:tc>
        <w:tc>
          <w:tcPr>
            <w:tcW w:w="2880" w:type="dxa"/>
            <w:tcBorders>
              <w:top w:val="single" w:sz="4" w:space="0" w:color="auto"/>
            </w:tcBorders>
            <w:shd w:val="clear" w:color="auto" w:fill="auto"/>
            <w:noWrap/>
            <w:vAlign w:val="bottom"/>
            <w:hideMark/>
          </w:tcPr>
          <w:p w14:paraId="6C309DBA" w14:textId="77777777" w:rsidR="00FC752D" w:rsidRPr="00BC4AFE" w:rsidRDefault="00FC752D" w:rsidP="00E01BB0">
            <w:pPr>
              <w:rPr>
                <w:sz w:val="20"/>
                <w:szCs w:val="20"/>
                <w:lang w:val="en-CA" w:eastAsia="en-CA"/>
              </w:rPr>
            </w:pPr>
          </w:p>
        </w:tc>
      </w:tr>
      <w:tr w:rsidR="00FC752D" w:rsidRPr="00BC4AFE" w14:paraId="6140C8FD" w14:textId="77777777" w:rsidTr="00A60395">
        <w:trPr>
          <w:trHeight w:val="255"/>
          <w:jc w:val="center"/>
        </w:trPr>
        <w:tc>
          <w:tcPr>
            <w:tcW w:w="6565" w:type="dxa"/>
            <w:tcBorders>
              <w:top w:val="single" w:sz="12" w:space="0" w:color="auto"/>
              <w:bottom w:val="single" w:sz="2" w:space="0" w:color="auto"/>
            </w:tcBorders>
            <w:shd w:val="clear" w:color="auto" w:fill="auto"/>
            <w:noWrap/>
            <w:vAlign w:val="bottom"/>
            <w:hideMark/>
          </w:tcPr>
          <w:p w14:paraId="0012A9A2" w14:textId="77777777" w:rsidR="00FC752D" w:rsidRPr="00BC4AFE" w:rsidRDefault="00FC752D" w:rsidP="00E01BB0">
            <w:pPr>
              <w:keepNext/>
              <w:keepLines/>
              <w:rPr>
                <w:b/>
                <w:bCs/>
                <w:color w:val="000000"/>
                <w:sz w:val="20"/>
                <w:szCs w:val="20"/>
                <w:lang w:val="en-CA" w:eastAsia="en-CA"/>
              </w:rPr>
            </w:pPr>
            <w:r w:rsidRPr="00BC4AFE">
              <w:rPr>
                <w:b/>
                <w:bCs/>
                <w:color w:val="000000"/>
                <w:sz w:val="20"/>
                <w:szCs w:val="20"/>
                <w:lang w:val="en-CA" w:eastAsia="en-CA"/>
              </w:rPr>
              <w:t xml:space="preserve">Subtotal I (Cartagena Protocol)  </w:t>
            </w:r>
          </w:p>
        </w:tc>
        <w:tc>
          <w:tcPr>
            <w:tcW w:w="2880" w:type="dxa"/>
            <w:tcBorders>
              <w:top w:val="single" w:sz="12" w:space="0" w:color="auto"/>
              <w:bottom w:val="single" w:sz="2" w:space="0" w:color="auto"/>
            </w:tcBorders>
            <w:shd w:val="clear" w:color="auto" w:fill="auto"/>
            <w:noWrap/>
            <w:vAlign w:val="bottom"/>
            <w:hideMark/>
          </w:tcPr>
          <w:p w14:paraId="67026099" w14:textId="77777777" w:rsidR="00FC752D" w:rsidRPr="00BC4AFE" w:rsidRDefault="00FC752D" w:rsidP="00E01BB0">
            <w:pPr>
              <w:keepNext/>
              <w:keepLines/>
              <w:jc w:val="right"/>
              <w:rPr>
                <w:b/>
                <w:bCs/>
                <w:color w:val="000000"/>
                <w:sz w:val="20"/>
                <w:szCs w:val="20"/>
                <w:lang w:val="en-CA" w:eastAsia="en-CA"/>
              </w:rPr>
            </w:pPr>
            <w:r w:rsidRPr="00BC4AFE">
              <w:rPr>
                <w:b/>
                <w:bCs/>
                <w:color w:val="000000"/>
                <w:sz w:val="20"/>
                <w:szCs w:val="20"/>
                <w:lang w:val="en-CA" w:eastAsia="en-CA"/>
              </w:rPr>
              <w:t>2,092,500</w:t>
            </w:r>
          </w:p>
        </w:tc>
      </w:tr>
      <w:tr w:rsidR="00FC752D" w:rsidRPr="00BC4AFE" w14:paraId="78DC83A5" w14:textId="77777777" w:rsidTr="00A60395">
        <w:trPr>
          <w:trHeight w:val="255"/>
          <w:jc w:val="center"/>
        </w:trPr>
        <w:tc>
          <w:tcPr>
            <w:tcW w:w="6565" w:type="dxa"/>
            <w:tcBorders>
              <w:top w:val="single" w:sz="2" w:space="0" w:color="auto"/>
              <w:bottom w:val="single" w:sz="2" w:space="0" w:color="auto"/>
            </w:tcBorders>
            <w:shd w:val="clear" w:color="auto" w:fill="auto"/>
            <w:noWrap/>
            <w:vAlign w:val="bottom"/>
            <w:hideMark/>
          </w:tcPr>
          <w:p w14:paraId="0D6B7F9C" w14:textId="77777777" w:rsidR="00FC752D" w:rsidRPr="00BC4AFE" w:rsidRDefault="00FC752D" w:rsidP="00E01BB0">
            <w:pPr>
              <w:keepNext/>
              <w:keepLines/>
              <w:rPr>
                <w:color w:val="000000"/>
                <w:sz w:val="20"/>
                <w:szCs w:val="20"/>
                <w:lang w:val="en-CA" w:eastAsia="en-CA"/>
              </w:rPr>
            </w:pPr>
            <w:r w:rsidRPr="00BC4AFE">
              <w:rPr>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700B3426" w14:textId="77777777" w:rsidR="00FC752D" w:rsidRPr="00BC4AFE" w:rsidRDefault="00FC752D" w:rsidP="00E01BB0">
            <w:pPr>
              <w:keepNext/>
              <w:keepLines/>
              <w:jc w:val="right"/>
              <w:rPr>
                <w:color w:val="000000"/>
                <w:sz w:val="20"/>
                <w:szCs w:val="20"/>
                <w:lang w:val="en-CA" w:eastAsia="en-CA"/>
              </w:rPr>
            </w:pPr>
            <w:r w:rsidRPr="00BC4AFE">
              <w:rPr>
                <w:color w:val="000000"/>
                <w:sz w:val="20"/>
                <w:szCs w:val="20"/>
                <w:lang w:val="en-CA" w:eastAsia="en-CA"/>
              </w:rPr>
              <w:t>272,025</w:t>
            </w:r>
          </w:p>
        </w:tc>
      </w:tr>
      <w:tr w:rsidR="00FC752D" w:rsidRPr="00BC4AFE" w14:paraId="77DAAB9C" w14:textId="77777777" w:rsidTr="00A60395">
        <w:trPr>
          <w:trHeight w:val="255"/>
          <w:jc w:val="center"/>
        </w:trPr>
        <w:tc>
          <w:tcPr>
            <w:tcW w:w="6565" w:type="dxa"/>
            <w:tcBorders>
              <w:top w:val="single" w:sz="2" w:space="0" w:color="auto"/>
              <w:bottom w:val="single" w:sz="12" w:space="0" w:color="auto"/>
            </w:tcBorders>
            <w:shd w:val="clear" w:color="auto" w:fill="auto"/>
            <w:noWrap/>
            <w:vAlign w:val="bottom"/>
            <w:hideMark/>
          </w:tcPr>
          <w:p w14:paraId="3EB35C3C" w14:textId="77777777" w:rsidR="00FC752D" w:rsidRPr="00BC4AFE" w:rsidRDefault="00FC752D" w:rsidP="00E01BB0">
            <w:pPr>
              <w:keepLines/>
              <w:rPr>
                <w:b/>
                <w:bCs/>
                <w:color w:val="000000"/>
                <w:sz w:val="20"/>
                <w:szCs w:val="20"/>
                <w:lang w:val="pt-PT" w:eastAsia="en-CA"/>
              </w:rPr>
            </w:pPr>
            <w:r w:rsidRPr="00BC4AFE">
              <w:rPr>
                <w:b/>
                <w:bCs/>
                <w:color w:val="000000"/>
                <w:sz w:val="20"/>
                <w:szCs w:val="20"/>
                <w:lang w:val="pt-PT" w:eastAsia="en-CA"/>
              </w:rPr>
              <w:t>TOTAL COST (I + II) (Cartagena Protocol)</w:t>
            </w:r>
          </w:p>
        </w:tc>
        <w:tc>
          <w:tcPr>
            <w:tcW w:w="2880" w:type="dxa"/>
            <w:tcBorders>
              <w:top w:val="single" w:sz="2" w:space="0" w:color="auto"/>
              <w:bottom w:val="single" w:sz="12" w:space="0" w:color="auto"/>
            </w:tcBorders>
            <w:shd w:val="clear" w:color="auto" w:fill="auto"/>
            <w:noWrap/>
            <w:vAlign w:val="bottom"/>
            <w:hideMark/>
          </w:tcPr>
          <w:p w14:paraId="01E6370D" w14:textId="77777777" w:rsidR="00FC752D" w:rsidRPr="00BC4AFE" w:rsidRDefault="00FC752D" w:rsidP="00E01BB0">
            <w:pPr>
              <w:keepLines/>
              <w:jc w:val="right"/>
              <w:rPr>
                <w:b/>
                <w:bCs/>
                <w:color w:val="000000"/>
                <w:sz w:val="20"/>
                <w:szCs w:val="20"/>
                <w:lang w:val="en-CA" w:eastAsia="en-CA"/>
              </w:rPr>
            </w:pPr>
            <w:r w:rsidRPr="00BC4AFE">
              <w:rPr>
                <w:b/>
                <w:bCs/>
                <w:color w:val="000000"/>
                <w:sz w:val="20"/>
                <w:szCs w:val="20"/>
                <w:lang w:val="en-CA" w:eastAsia="en-CA"/>
              </w:rPr>
              <w:t>2,364,525</w:t>
            </w:r>
          </w:p>
        </w:tc>
      </w:tr>
      <w:tr w:rsidR="00FC752D" w:rsidRPr="00BC4AFE" w14:paraId="0A4D3E15" w14:textId="77777777" w:rsidTr="00A60395">
        <w:trPr>
          <w:trHeight w:val="255"/>
          <w:jc w:val="center"/>
        </w:trPr>
        <w:tc>
          <w:tcPr>
            <w:tcW w:w="6565" w:type="dxa"/>
            <w:tcBorders>
              <w:top w:val="single" w:sz="12" w:space="0" w:color="auto"/>
            </w:tcBorders>
            <w:shd w:val="clear" w:color="auto" w:fill="auto"/>
            <w:noWrap/>
            <w:vAlign w:val="bottom"/>
            <w:hideMark/>
          </w:tcPr>
          <w:p w14:paraId="1AF6813A" w14:textId="77777777" w:rsidR="00FC752D" w:rsidRPr="00BC4AFE" w:rsidRDefault="00FC752D" w:rsidP="00E01BB0">
            <w:pPr>
              <w:jc w:val="right"/>
              <w:rPr>
                <w:b/>
                <w:bCs/>
                <w:color w:val="000000"/>
                <w:sz w:val="20"/>
                <w:szCs w:val="20"/>
                <w:lang w:val="en-CA" w:eastAsia="en-CA"/>
              </w:rPr>
            </w:pPr>
          </w:p>
        </w:tc>
        <w:tc>
          <w:tcPr>
            <w:tcW w:w="2880" w:type="dxa"/>
            <w:tcBorders>
              <w:top w:val="single" w:sz="12" w:space="0" w:color="auto"/>
            </w:tcBorders>
            <w:shd w:val="clear" w:color="auto" w:fill="auto"/>
            <w:noWrap/>
            <w:vAlign w:val="bottom"/>
            <w:hideMark/>
          </w:tcPr>
          <w:p w14:paraId="7DC85AB8" w14:textId="77777777" w:rsidR="00FC752D" w:rsidRPr="00BC4AFE" w:rsidRDefault="00FC752D" w:rsidP="00E01BB0">
            <w:pPr>
              <w:rPr>
                <w:sz w:val="20"/>
                <w:szCs w:val="20"/>
                <w:lang w:val="en-CA" w:eastAsia="en-CA"/>
              </w:rPr>
            </w:pPr>
          </w:p>
        </w:tc>
      </w:tr>
      <w:tr w:rsidR="00FC752D" w:rsidRPr="00BC4AFE" w14:paraId="0A58A5C3" w14:textId="77777777" w:rsidTr="00A60395">
        <w:trPr>
          <w:trHeight w:val="300"/>
          <w:jc w:val="center"/>
        </w:trPr>
        <w:tc>
          <w:tcPr>
            <w:tcW w:w="6565" w:type="dxa"/>
            <w:shd w:val="clear" w:color="auto" w:fill="auto"/>
            <w:noWrap/>
            <w:vAlign w:val="bottom"/>
            <w:hideMark/>
          </w:tcPr>
          <w:p w14:paraId="50535B35" w14:textId="77777777" w:rsidR="00FC752D" w:rsidRPr="00BC4AFE" w:rsidRDefault="00FC752D" w:rsidP="00E01BB0">
            <w:pPr>
              <w:jc w:val="right"/>
              <w:rPr>
                <w:sz w:val="20"/>
                <w:szCs w:val="20"/>
                <w:lang w:val="en-CA" w:eastAsia="en-CA"/>
              </w:rPr>
            </w:pPr>
          </w:p>
        </w:tc>
        <w:tc>
          <w:tcPr>
            <w:tcW w:w="2880" w:type="dxa"/>
            <w:shd w:val="clear" w:color="auto" w:fill="auto"/>
            <w:noWrap/>
            <w:vAlign w:val="bottom"/>
            <w:hideMark/>
          </w:tcPr>
          <w:p w14:paraId="28DEE735" w14:textId="77777777" w:rsidR="00FC752D" w:rsidRPr="00BC4AFE" w:rsidRDefault="00FC752D" w:rsidP="00E01BB0">
            <w:pPr>
              <w:rPr>
                <w:sz w:val="20"/>
                <w:szCs w:val="20"/>
                <w:lang w:val="en-CA" w:eastAsia="en-CA"/>
              </w:rPr>
            </w:pPr>
          </w:p>
        </w:tc>
      </w:tr>
      <w:tr w:rsidR="00FC752D" w:rsidRPr="00BC4AFE" w14:paraId="3EF73DDE" w14:textId="77777777" w:rsidTr="00A60395">
        <w:trPr>
          <w:trHeight w:val="300"/>
          <w:jc w:val="center"/>
        </w:trPr>
        <w:tc>
          <w:tcPr>
            <w:tcW w:w="9445" w:type="dxa"/>
            <w:gridSpan w:val="2"/>
            <w:shd w:val="clear" w:color="auto" w:fill="auto"/>
            <w:noWrap/>
            <w:vAlign w:val="bottom"/>
            <w:hideMark/>
          </w:tcPr>
          <w:p w14:paraId="05DBE496" w14:textId="77777777" w:rsidR="00FC752D" w:rsidRPr="00BC4AFE" w:rsidRDefault="00FC752D" w:rsidP="00E01BB0">
            <w:pPr>
              <w:keepNext/>
              <w:spacing w:before="120" w:after="120"/>
              <w:jc w:val="center"/>
              <w:rPr>
                <w:b/>
                <w:bCs/>
                <w:color w:val="000000"/>
                <w:lang w:eastAsia="en-CA"/>
              </w:rPr>
            </w:pPr>
            <w:r w:rsidRPr="00BC4AFE">
              <w:rPr>
                <w:b/>
                <w:bCs/>
                <w:color w:val="000000"/>
                <w:lang w:eastAsia="en-CA"/>
              </w:rPr>
              <w:t>C.</w:t>
            </w:r>
            <w:r w:rsidRPr="00BC4AFE">
              <w:rPr>
                <w:b/>
                <w:color w:val="000000" w:themeColor="text1"/>
                <w:kern w:val="20"/>
                <w:sz w:val="24"/>
                <w:szCs w:val="28"/>
                <w:lang w:eastAsia="en-CA"/>
              </w:rPr>
              <w:tab/>
            </w:r>
            <w:r w:rsidRPr="00BC4AFE">
              <w:rPr>
                <w:b/>
                <w:bCs/>
                <w:color w:val="000000"/>
                <w:lang w:eastAsia="en-CA"/>
              </w:rPr>
              <w:t>Nagoya Protocol on Access and Benefit-sharing</w:t>
            </w:r>
          </w:p>
          <w:p w14:paraId="5FDD118D" w14:textId="77777777" w:rsidR="00FC752D" w:rsidRPr="00BC4AFE" w:rsidRDefault="00FC752D" w:rsidP="00E01BB0">
            <w:pPr>
              <w:keepNext/>
              <w:spacing w:before="120" w:after="120"/>
              <w:jc w:val="center"/>
              <w:rPr>
                <w:b/>
                <w:bCs/>
                <w:color w:val="000000"/>
                <w:sz w:val="20"/>
                <w:szCs w:val="20"/>
                <w:lang w:val="en-CA" w:eastAsia="en-CA"/>
              </w:rPr>
            </w:pPr>
            <w:r w:rsidRPr="00BC4AFE">
              <w:rPr>
                <w:color w:val="000000" w:themeColor="text1"/>
                <w:kern w:val="20"/>
                <w:sz w:val="20"/>
                <w:szCs w:val="20"/>
                <w:lang w:eastAsia="en-CA"/>
              </w:rPr>
              <w:t>(</w:t>
            </w:r>
            <w:r w:rsidRPr="00BC4AFE">
              <w:rPr>
                <w:i/>
                <w:color w:val="000000" w:themeColor="text1"/>
                <w:kern w:val="20"/>
                <w:sz w:val="20"/>
                <w:szCs w:val="20"/>
                <w:lang w:eastAsia="en-CA"/>
              </w:rPr>
              <w:t>United States dollars</w:t>
            </w:r>
            <w:r w:rsidRPr="00BC4AFE">
              <w:rPr>
                <w:color w:val="000000" w:themeColor="text1"/>
                <w:kern w:val="20"/>
                <w:sz w:val="20"/>
                <w:szCs w:val="20"/>
                <w:lang w:eastAsia="en-CA"/>
              </w:rPr>
              <w:t>)</w:t>
            </w:r>
          </w:p>
        </w:tc>
      </w:tr>
      <w:tr w:rsidR="00FC752D" w:rsidRPr="00BC4AFE" w14:paraId="2D3CAEEB" w14:textId="77777777" w:rsidTr="00A60395">
        <w:trPr>
          <w:trHeight w:val="259"/>
          <w:jc w:val="center"/>
        </w:trPr>
        <w:tc>
          <w:tcPr>
            <w:tcW w:w="6565" w:type="dxa"/>
            <w:tcBorders>
              <w:top w:val="single" w:sz="2" w:space="0" w:color="auto"/>
            </w:tcBorders>
            <w:shd w:val="clear" w:color="auto" w:fill="auto"/>
            <w:noWrap/>
            <w:vAlign w:val="bottom"/>
            <w:hideMark/>
          </w:tcPr>
          <w:p w14:paraId="2E0D39DA"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Consultancy</w:t>
            </w:r>
          </w:p>
        </w:tc>
        <w:tc>
          <w:tcPr>
            <w:tcW w:w="2880" w:type="dxa"/>
            <w:tcBorders>
              <w:top w:val="single" w:sz="2" w:space="0" w:color="auto"/>
            </w:tcBorders>
            <w:shd w:val="clear" w:color="auto" w:fill="auto"/>
            <w:noWrap/>
            <w:vAlign w:val="bottom"/>
            <w:hideMark/>
          </w:tcPr>
          <w:p w14:paraId="4C712F9E" w14:textId="77777777" w:rsidR="00FC752D" w:rsidRPr="00BC4AFE" w:rsidRDefault="00FC752D" w:rsidP="00E01BB0">
            <w:pPr>
              <w:rPr>
                <w:b/>
                <w:bCs/>
                <w:color w:val="000000"/>
                <w:sz w:val="20"/>
                <w:szCs w:val="20"/>
                <w:lang w:val="en-CA" w:eastAsia="en-CA"/>
              </w:rPr>
            </w:pPr>
          </w:p>
        </w:tc>
      </w:tr>
      <w:tr w:rsidR="00FC752D" w:rsidRPr="00BC4AFE" w14:paraId="1B695EC2" w14:textId="77777777" w:rsidTr="00A60395">
        <w:trPr>
          <w:trHeight w:val="259"/>
          <w:jc w:val="center"/>
        </w:trPr>
        <w:tc>
          <w:tcPr>
            <w:tcW w:w="6565" w:type="dxa"/>
            <w:shd w:val="clear" w:color="auto" w:fill="auto"/>
            <w:noWrap/>
            <w:vAlign w:val="bottom"/>
            <w:hideMark/>
          </w:tcPr>
          <w:p w14:paraId="0C0F4424"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Capacity-building, capacity development and awareness-raising</w:t>
            </w:r>
          </w:p>
        </w:tc>
        <w:tc>
          <w:tcPr>
            <w:tcW w:w="2880" w:type="dxa"/>
            <w:shd w:val="clear" w:color="auto" w:fill="auto"/>
            <w:noWrap/>
            <w:vAlign w:val="bottom"/>
            <w:hideMark/>
          </w:tcPr>
          <w:p w14:paraId="40B5D99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80,000</w:t>
            </w:r>
          </w:p>
        </w:tc>
      </w:tr>
      <w:tr w:rsidR="00FC752D" w:rsidRPr="00BC4AFE" w14:paraId="441FD2D5" w14:textId="77777777" w:rsidTr="00A60395">
        <w:trPr>
          <w:trHeight w:val="259"/>
          <w:jc w:val="center"/>
        </w:trPr>
        <w:tc>
          <w:tcPr>
            <w:tcW w:w="6565" w:type="dxa"/>
            <w:shd w:val="clear" w:color="auto" w:fill="auto"/>
            <w:noWrap/>
            <w:vAlign w:val="bottom"/>
            <w:hideMark/>
          </w:tcPr>
          <w:p w14:paraId="3464F758"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ABS Clearing-House and information-sharing</w:t>
            </w:r>
          </w:p>
        </w:tc>
        <w:tc>
          <w:tcPr>
            <w:tcW w:w="2880" w:type="dxa"/>
            <w:shd w:val="clear" w:color="auto" w:fill="auto"/>
            <w:noWrap/>
            <w:vAlign w:val="bottom"/>
            <w:hideMark/>
          </w:tcPr>
          <w:p w14:paraId="2071ADA8"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100,000</w:t>
            </w:r>
          </w:p>
        </w:tc>
      </w:tr>
      <w:tr w:rsidR="00FC752D" w:rsidRPr="00BC4AFE" w14:paraId="4CA14FAC" w14:textId="77777777" w:rsidTr="00A60395">
        <w:trPr>
          <w:trHeight w:val="259"/>
          <w:jc w:val="center"/>
        </w:trPr>
        <w:tc>
          <w:tcPr>
            <w:tcW w:w="6565" w:type="dxa"/>
            <w:tcBorders>
              <w:bottom w:val="single" w:sz="2" w:space="0" w:color="auto"/>
            </w:tcBorders>
            <w:shd w:val="clear" w:color="auto" w:fill="auto"/>
            <w:noWrap/>
            <w:vAlign w:val="bottom"/>
            <w:hideMark/>
          </w:tcPr>
          <w:p w14:paraId="13E81630"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Financial mechanism and resources</w:t>
            </w:r>
          </w:p>
        </w:tc>
        <w:tc>
          <w:tcPr>
            <w:tcW w:w="2880" w:type="dxa"/>
            <w:tcBorders>
              <w:bottom w:val="single" w:sz="2" w:space="0" w:color="auto"/>
            </w:tcBorders>
            <w:shd w:val="clear" w:color="auto" w:fill="auto"/>
            <w:noWrap/>
            <w:vAlign w:val="bottom"/>
            <w:hideMark/>
          </w:tcPr>
          <w:p w14:paraId="49A7FCFD"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50,000</w:t>
            </w:r>
          </w:p>
        </w:tc>
      </w:tr>
      <w:tr w:rsidR="00FC752D" w:rsidRPr="00BC4AFE" w14:paraId="13957A27"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637A6A8D"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6A5680BB"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230,000</w:t>
            </w:r>
          </w:p>
        </w:tc>
      </w:tr>
      <w:tr w:rsidR="00FC752D" w:rsidRPr="00BC4AFE" w14:paraId="2C0B11D8" w14:textId="77777777" w:rsidTr="00A60395">
        <w:trPr>
          <w:trHeight w:val="259"/>
          <w:jc w:val="center"/>
        </w:trPr>
        <w:tc>
          <w:tcPr>
            <w:tcW w:w="6565" w:type="dxa"/>
            <w:tcBorders>
              <w:top w:val="single" w:sz="4" w:space="0" w:color="auto"/>
            </w:tcBorders>
            <w:shd w:val="clear" w:color="auto" w:fill="auto"/>
            <w:noWrap/>
            <w:vAlign w:val="bottom"/>
            <w:hideMark/>
          </w:tcPr>
          <w:p w14:paraId="687BD314"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Official travel</w:t>
            </w:r>
          </w:p>
        </w:tc>
        <w:tc>
          <w:tcPr>
            <w:tcW w:w="2880" w:type="dxa"/>
            <w:tcBorders>
              <w:top w:val="single" w:sz="4" w:space="0" w:color="auto"/>
            </w:tcBorders>
            <w:shd w:val="clear" w:color="auto" w:fill="auto"/>
            <w:noWrap/>
            <w:vAlign w:val="bottom"/>
            <w:hideMark/>
          </w:tcPr>
          <w:p w14:paraId="715D86D8" w14:textId="77777777" w:rsidR="00FC752D" w:rsidRPr="00BC4AFE" w:rsidRDefault="00FC752D" w:rsidP="00E01BB0">
            <w:pPr>
              <w:keepNext/>
              <w:rPr>
                <w:b/>
                <w:bCs/>
                <w:color w:val="000000"/>
                <w:sz w:val="20"/>
                <w:szCs w:val="20"/>
                <w:lang w:val="en-CA" w:eastAsia="en-CA"/>
              </w:rPr>
            </w:pPr>
          </w:p>
        </w:tc>
      </w:tr>
      <w:tr w:rsidR="00FC752D" w:rsidRPr="00BC4AFE" w14:paraId="39A078F3" w14:textId="77777777" w:rsidTr="00A60395">
        <w:trPr>
          <w:trHeight w:val="259"/>
          <w:jc w:val="center"/>
        </w:trPr>
        <w:tc>
          <w:tcPr>
            <w:tcW w:w="6565" w:type="dxa"/>
            <w:tcBorders>
              <w:bottom w:val="single" w:sz="2" w:space="0" w:color="auto"/>
            </w:tcBorders>
            <w:shd w:val="clear" w:color="auto" w:fill="auto"/>
            <w:noWrap/>
            <w:vAlign w:val="bottom"/>
            <w:hideMark/>
          </w:tcPr>
          <w:p w14:paraId="3FB84B3C"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1C2B0661" w14:textId="77777777" w:rsidR="00FC752D" w:rsidRPr="00BC4AFE" w:rsidRDefault="00FC752D" w:rsidP="00E01BB0">
            <w:pPr>
              <w:keepNext/>
              <w:jc w:val="right"/>
              <w:rPr>
                <w:color w:val="000000"/>
                <w:sz w:val="20"/>
                <w:szCs w:val="20"/>
                <w:lang w:val="en-CA" w:eastAsia="en-CA"/>
              </w:rPr>
            </w:pPr>
            <w:r w:rsidRPr="00BC4AFE">
              <w:rPr>
                <w:color w:val="000000"/>
                <w:sz w:val="20"/>
                <w:szCs w:val="20"/>
                <w:lang w:val="en-CA" w:eastAsia="en-CA"/>
              </w:rPr>
              <w:t>30,000</w:t>
            </w:r>
          </w:p>
        </w:tc>
      </w:tr>
      <w:tr w:rsidR="00FC752D" w:rsidRPr="00BC4AFE" w14:paraId="4526CFB3" w14:textId="77777777" w:rsidTr="00A60395">
        <w:trPr>
          <w:trHeight w:val="259"/>
          <w:jc w:val="center"/>
        </w:trPr>
        <w:tc>
          <w:tcPr>
            <w:tcW w:w="6565" w:type="dxa"/>
            <w:tcBorders>
              <w:top w:val="single" w:sz="2" w:space="0" w:color="auto"/>
            </w:tcBorders>
            <w:shd w:val="clear" w:color="auto" w:fill="auto"/>
            <w:noWrap/>
            <w:vAlign w:val="center"/>
            <w:hideMark/>
          </w:tcPr>
          <w:p w14:paraId="5C4CE794"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tcBorders>
            <w:shd w:val="clear" w:color="auto" w:fill="auto"/>
            <w:noWrap/>
            <w:vAlign w:val="bottom"/>
            <w:hideMark/>
          </w:tcPr>
          <w:p w14:paraId="0D5D08C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30,000</w:t>
            </w:r>
          </w:p>
        </w:tc>
      </w:tr>
      <w:tr w:rsidR="00FC752D" w:rsidRPr="00BC4AFE" w14:paraId="41ABC177" w14:textId="77777777" w:rsidTr="00A60395">
        <w:trPr>
          <w:trHeight w:val="259"/>
          <w:jc w:val="center"/>
        </w:trPr>
        <w:tc>
          <w:tcPr>
            <w:tcW w:w="6565" w:type="dxa"/>
            <w:tcBorders>
              <w:top w:val="single" w:sz="2" w:space="0" w:color="auto"/>
            </w:tcBorders>
            <w:shd w:val="clear" w:color="auto" w:fill="auto"/>
            <w:noWrap/>
            <w:vAlign w:val="bottom"/>
            <w:hideMark/>
          </w:tcPr>
          <w:p w14:paraId="7CFAE735"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Staff resources</w:t>
            </w:r>
          </w:p>
        </w:tc>
        <w:tc>
          <w:tcPr>
            <w:tcW w:w="2880" w:type="dxa"/>
            <w:tcBorders>
              <w:top w:val="single" w:sz="2" w:space="0" w:color="auto"/>
            </w:tcBorders>
            <w:shd w:val="clear" w:color="auto" w:fill="auto"/>
            <w:noWrap/>
            <w:vAlign w:val="bottom"/>
            <w:hideMark/>
          </w:tcPr>
          <w:p w14:paraId="4084CCA6" w14:textId="77777777" w:rsidR="00FC752D" w:rsidRPr="00BC4AFE" w:rsidRDefault="00FC752D" w:rsidP="00E01BB0">
            <w:pPr>
              <w:rPr>
                <w:b/>
                <w:bCs/>
                <w:color w:val="000000"/>
                <w:sz w:val="20"/>
                <w:szCs w:val="20"/>
                <w:lang w:val="en-CA" w:eastAsia="en-CA"/>
              </w:rPr>
            </w:pPr>
          </w:p>
        </w:tc>
      </w:tr>
      <w:tr w:rsidR="00FC752D" w:rsidRPr="00BC4AFE" w14:paraId="0C0DDA70" w14:textId="77777777" w:rsidTr="00A60395">
        <w:trPr>
          <w:trHeight w:val="259"/>
          <w:jc w:val="center"/>
        </w:trPr>
        <w:tc>
          <w:tcPr>
            <w:tcW w:w="6565" w:type="dxa"/>
            <w:shd w:val="clear" w:color="auto" w:fill="auto"/>
            <w:vAlign w:val="bottom"/>
            <w:hideMark/>
          </w:tcPr>
          <w:p w14:paraId="7529BECE"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(P-3)</w:t>
            </w:r>
          </w:p>
        </w:tc>
        <w:tc>
          <w:tcPr>
            <w:tcW w:w="2880" w:type="dxa"/>
            <w:shd w:val="clear" w:color="auto" w:fill="auto"/>
            <w:noWrap/>
            <w:vAlign w:val="bottom"/>
            <w:hideMark/>
          </w:tcPr>
          <w:p w14:paraId="5D89D71A"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41BF276F" w14:textId="77777777" w:rsidTr="00A60395">
        <w:trPr>
          <w:trHeight w:val="259"/>
          <w:jc w:val="center"/>
        </w:trPr>
        <w:tc>
          <w:tcPr>
            <w:tcW w:w="6565" w:type="dxa"/>
            <w:tcBorders>
              <w:bottom w:val="single" w:sz="2" w:space="0" w:color="auto"/>
            </w:tcBorders>
            <w:shd w:val="clear" w:color="auto" w:fill="auto"/>
            <w:vAlign w:val="bottom"/>
            <w:hideMark/>
          </w:tcPr>
          <w:p w14:paraId="0A81B3F0"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Programme Officer - ABS Capacity-Building (P-3)</w:t>
            </w:r>
          </w:p>
        </w:tc>
        <w:tc>
          <w:tcPr>
            <w:tcW w:w="2880" w:type="dxa"/>
            <w:tcBorders>
              <w:bottom w:val="single" w:sz="2" w:space="0" w:color="auto"/>
            </w:tcBorders>
            <w:shd w:val="clear" w:color="auto" w:fill="auto"/>
            <w:noWrap/>
            <w:vAlign w:val="bottom"/>
            <w:hideMark/>
          </w:tcPr>
          <w:p w14:paraId="2CE0A8F9"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252,000</w:t>
            </w:r>
          </w:p>
        </w:tc>
      </w:tr>
      <w:tr w:rsidR="00FC752D" w:rsidRPr="00BC4AFE" w14:paraId="249F29AF" w14:textId="77777777" w:rsidTr="00A60395">
        <w:trPr>
          <w:trHeight w:val="259"/>
          <w:jc w:val="center"/>
        </w:trPr>
        <w:tc>
          <w:tcPr>
            <w:tcW w:w="6565" w:type="dxa"/>
            <w:tcBorders>
              <w:top w:val="single" w:sz="2" w:space="0" w:color="auto"/>
              <w:bottom w:val="single" w:sz="2" w:space="0" w:color="auto"/>
            </w:tcBorders>
            <w:shd w:val="clear" w:color="auto" w:fill="auto"/>
            <w:noWrap/>
            <w:vAlign w:val="center"/>
            <w:hideMark/>
          </w:tcPr>
          <w:p w14:paraId="5D589208"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29E72C67"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504,000</w:t>
            </w:r>
          </w:p>
        </w:tc>
      </w:tr>
      <w:tr w:rsidR="00FC752D" w:rsidRPr="00BC4AFE" w14:paraId="6B17DB45" w14:textId="77777777" w:rsidTr="00A60395">
        <w:trPr>
          <w:trHeight w:val="259"/>
          <w:jc w:val="center"/>
        </w:trPr>
        <w:tc>
          <w:tcPr>
            <w:tcW w:w="6565" w:type="dxa"/>
            <w:tcBorders>
              <w:top w:val="single" w:sz="4" w:space="0" w:color="auto"/>
            </w:tcBorders>
            <w:shd w:val="clear" w:color="auto" w:fill="auto"/>
            <w:noWrap/>
            <w:vAlign w:val="bottom"/>
            <w:hideMark/>
          </w:tcPr>
          <w:p w14:paraId="090EF63E"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Workshops</w:t>
            </w:r>
          </w:p>
        </w:tc>
        <w:tc>
          <w:tcPr>
            <w:tcW w:w="2880" w:type="dxa"/>
            <w:tcBorders>
              <w:top w:val="single" w:sz="4" w:space="0" w:color="auto"/>
            </w:tcBorders>
            <w:shd w:val="clear" w:color="auto" w:fill="auto"/>
            <w:noWrap/>
            <w:vAlign w:val="bottom"/>
            <w:hideMark/>
          </w:tcPr>
          <w:p w14:paraId="1E096FEF" w14:textId="77777777" w:rsidR="00FC752D" w:rsidRPr="00BC4AFE" w:rsidRDefault="00FC752D" w:rsidP="00E01BB0">
            <w:pPr>
              <w:rPr>
                <w:b/>
                <w:bCs/>
                <w:color w:val="000000"/>
                <w:sz w:val="20"/>
                <w:szCs w:val="20"/>
                <w:lang w:val="en-CA" w:eastAsia="en-CA"/>
              </w:rPr>
            </w:pPr>
          </w:p>
        </w:tc>
      </w:tr>
      <w:tr w:rsidR="00FC752D" w:rsidRPr="00BC4AFE" w14:paraId="4D1F12B9" w14:textId="77777777" w:rsidTr="00A60395">
        <w:trPr>
          <w:trHeight w:val="259"/>
          <w:jc w:val="center"/>
        </w:trPr>
        <w:tc>
          <w:tcPr>
            <w:tcW w:w="6565" w:type="dxa"/>
            <w:tcBorders>
              <w:bottom w:val="single" w:sz="2" w:space="0" w:color="auto"/>
            </w:tcBorders>
            <w:shd w:val="clear" w:color="auto" w:fill="auto"/>
            <w:noWrap/>
            <w:vAlign w:val="bottom"/>
            <w:hideMark/>
          </w:tcPr>
          <w:p w14:paraId="0D43CFCB"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7D875D9C"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250,000</w:t>
            </w:r>
          </w:p>
        </w:tc>
      </w:tr>
      <w:tr w:rsidR="00FC752D" w:rsidRPr="00BC4AFE" w14:paraId="1590121B"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3C1E102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685EBD46"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250,000</w:t>
            </w:r>
          </w:p>
        </w:tc>
      </w:tr>
      <w:tr w:rsidR="00FC752D" w:rsidRPr="00BC4AFE" w14:paraId="4804B535" w14:textId="77777777" w:rsidTr="00A60395">
        <w:trPr>
          <w:trHeight w:val="259"/>
          <w:jc w:val="center"/>
        </w:trPr>
        <w:tc>
          <w:tcPr>
            <w:tcW w:w="6565" w:type="dxa"/>
            <w:tcBorders>
              <w:top w:val="single" w:sz="4" w:space="0" w:color="auto"/>
            </w:tcBorders>
            <w:shd w:val="clear" w:color="auto" w:fill="auto"/>
            <w:noWrap/>
            <w:vAlign w:val="bottom"/>
            <w:hideMark/>
          </w:tcPr>
          <w:p w14:paraId="531349F5"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Other costs</w:t>
            </w:r>
          </w:p>
        </w:tc>
        <w:tc>
          <w:tcPr>
            <w:tcW w:w="2880" w:type="dxa"/>
            <w:tcBorders>
              <w:top w:val="single" w:sz="4" w:space="0" w:color="auto"/>
            </w:tcBorders>
            <w:shd w:val="clear" w:color="auto" w:fill="auto"/>
            <w:noWrap/>
            <w:vAlign w:val="bottom"/>
            <w:hideMark/>
          </w:tcPr>
          <w:p w14:paraId="26092608" w14:textId="77777777" w:rsidR="00FC752D" w:rsidRPr="00BC4AFE" w:rsidRDefault="00FC752D" w:rsidP="00E01BB0">
            <w:pPr>
              <w:rPr>
                <w:b/>
                <w:bCs/>
                <w:color w:val="000000"/>
                <w:sz w:val="20"/>
                <w:szCs w:val="20"/>
                <w:lang w:val="en-CA" w:eastAsia="en-CA"/>
              </w:rPr>
            </w:pPr>
          </w:p>
        </w:tc>
      </w:tr>
      <w:tr w:rsidR="00FC752D" w:rsidRPr="00BC4AFE" w14:paraId="543EC3BE" w14:textId="77777777" w:rsidTr="00A60395">
        <w:trPr>
          <w:trHeight w:val="259"/>
          <w:jc w:val="center"/>
        </w:trPr>
        <w:tc>
          <w:tcPr>
            <w:tcW w:w="6565" w:type="dxa"/>
            <w:shd w:val="clear" w:color="auto" w:fill="auto"/>
            <w:noWrap/>
            <w:vAlign w:val="bottom"/>
            <w:hideMark/>
          </w:tcPr>
          <w:p w14:paraId="77A883D9"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Capacity-building, capacity development and awareness-raising</w:t>
            </w:r>
          </w:p>
        </w:tc>
        <w:tc>
          <w:tcPr>
            <w:tcW w:w="2880" w:type="dxa"/>
            <w:shd w:val="clear" w:color="auto" w:fill="auto"/>
            <w:noWrap/>
            <w:vAlign w:val="bottom"/>
            <w:hideMark/>
          </w:tcPr>
          <w:p w14:paraId="16D7149F"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10,000</w:t>
            </w:r>
          </w:p>
        </w:tc>
      </w:tr>
      <w:tr w:rsidR="00FC752D" w:rsidRPr="00BC4AFE" w14:paraId="1FA68784" w14:textId="77777777" w:rsidTr="00A60395">
        <w:trPr>
          <w:trHeight w:val="259"/>
          <w:jc w:val="center"/>
        </w:trPr>
        <w:tc>
          <w:tcPr>
            <w:tcW w:w="6565" w:type="dxa"/>
            <w:tcBorders>
              <w:bottom w:val="single" w:sz="2" w:space="0" w:color="auto"/>
            </w:tcBorders>
            <w:shd w:val="clear" w:color="auto" w:fill="auto"/>
            <w:noWrap/>
            <w:vAlign w:val="bottom"/>
            <w:hideMark/>
          </w:tcPr>
          <w:p w14:paraId="06E841C5"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ABS Clearing-House and information-sharing</w:t>
            </w:r>
          </w:p>
        </w:tc>
        <w:tc>
          <w:tcPr>
            <w:tcW w:w="2880" w:type="dxa"/>
            <w:tcBorders>
              <w:bottom w:val="single" w:sz="2" w:space="0" w:color="auto"/>
            </w:tcBorders>
            <w:shd w:val="clear" w:color="auto" w:fill="auto"/>
            <w:noWrap/>
            <w:vAlign w:val="bottom"/>
            <w:hideMark/>
          </w:tcPr>
          <w:p w14:paraId="172FCBB4"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6,000</w:t>
            </w:r>
          </w:p>
        </w:tc>
      </w:tr>
      <w:tr w:rsidR="00FC752D" w:rsidRPr="00BC4AFE" w14:paraId="09AC61C3"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52A9A599" w14:textId="77777777" w:rsidR="00FC752D" w:rsidRPr="00BC4AFE" w:rsidRDefault="00FC752D" w:rsidP="00E01BB0">
            <w:pPr>
              <w:rPr>
                <w:color w:val="000000"/>
                <w:sz w:val="20"/>
                <w:szCs w:val="20"/>
                <w:lang w:val="en-CA" w:eastAsia="en-CA"/>
              </w:rPr>
            </w:pPr>
            <w:r w:rsidRPr="00BC4AFE">
              <w:rPr>
                <w:color w:val="000000"/>
                <w:sz w:val="20"/>
                <w:szCs w:val="20"/>
                <w:lang w:val="en-CA" w:eastAsia="en-CA"/>
              </w:rPr>
              <w:t>Subtotal</w:t>
            </w:r>
          </w:p>
        </w:tc>
        <w:tc>
          <w:tcPr>
            <w:tcW w:w="2880" w:type="dxa"/>
            <w:tcBorders>
              <w:top w:val="single" w:sz="2" w:space="0" w:color="auto"/>
              <w:bottom w:val="single" w:sz="2" w:space="0" w:color="auto"/>
            </w:tcBorders>
            <w:shd w:val="clear" w:color="auto" w:fill="auto"/>
            <w:noWrap/>
            <w:vAlign w:val="bottom"/>
            <w:hideMark/>
          </w:tcPr>
          <w:p w14:paraId="5142C5D5"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16,000</w:t>
            </w:r>
          </w:p>
        </w:tc>
      </w:tr>
      <w:tr w:rsidR="00FC752D" w:rsidRPr="00BC4AFE" w14:paraId="55F6E9EB"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352F201A" w14:textId="77777777" w:rsidR="00FC752D" w:rsidRPr="00BC4AFE" w:rsidRDefault="00FC752D" w:rsidP="00E01BB0">
            <w:pPr>
              <w:rPr>
                <w:color w:val="000000"/>
                <w:sz w:val="20"/>
                <w:szCs w:val="20"/>
                <w:lang w:val="en-CA" w:eastAsia="en-CA"/>
              </w:rPr>
            </w:pPr>
          </w:p>
        </w:tc>
        <w:tc>
          <w:tcPr>
            <w:tcW w:w="2880" w:type="dxa"/>
            <w:tcBorders>
              <w:top w:val="single" w:sz="2" w:space="0" w:color="auto"/>
              <w:bottom w:val="single" w:sz="2" w:space="0" w:color="auto"/>
            </w:tcBorders>
            <w:shd w:val="clear" w:color="auto" w:fill="auto"/>
            <w:noWrap/>
            <w:vAlign w:val="bottom"/>
          </w:tcPr>
          <w:p w14:paraId="6BEF4A01" w14:textId="77777777" w:rsidR="00FC752D" w:rsidRPr="00BC4AFE" w:rsidRDefault="00FC752D" w:rsidP="00E01BB0">
            <w:pPr>
              <w:jc w:val="right"/>
              <w:rPr>
                <w:color w:val="000000"/>
                <w:sz w:val="20"/>
                <w:szCs w:val="20"/>
                <w:lang w:val="en-CA" w:eastAsia="en-CA"/>
              </w:rPr>
            </w:pPr>
          </w:p>
        </w:tc>
      </w:tr>
      <w:tr w:rsidR="00FC752D" w:rsidRPr="00BC4AFE" w14:paraId="75D55F6E" w14:textId="77777777" w:rsidTr="00A60395">
        <w:trPr>
          <w:trHeight w:val="259"/>
          <w:jc w:val="center"/>
        </w:trPr>
        <w:tc>
          <w:tcPr>
            <w:tcW w:w="6565" w:type="dxa"/>
            <w:tcBorders>
              <w:top w:val="single" w:sz="12" w:space="0" w:color="auto"/>
              <w:bottom w:val="single" w:sz="2" w:space="0" w:color="auto"/>
            </w:tcBorders>
            <w:shd w:val="clear" w:color="auto" w:fill="auto"/>
            <w:noWrap/>
            <w:vAlign w:val="bottom"/>
            <w:hideMark/>
          </w:tcPr>
          <w:p w14:paraId="7C78C963" w14:textId="77777777" w:rsidR="00FC752D" w:rsidRPr="00BC4AFE" w:rsidRDefault="00FC752D" w:rsidP="00E01BB0">
            <w:pPr>
              <w:keepNext/>
              <w:rPr>
                <w:b/>
                <w:bCs/>
                <w:color w:val="000000"/>
                <w:sz w:val="20"/>
                <w:szCs w:val="20"/>
                <w:lang w:val="en-CA" w:eastAsia="en-CA"/>
              </w:rPr>
            </w:pPr>
            <w:r w:rsidRPr="00BC4AFE">
              <w:rPr>
                <w:b/>
                <w:bCs/>
                <w:color w:val="000000"/>
                <w:sz w:val="20"/>
                <w:szCs w:val="20"/>
                <w:lang w:val="en-CA" w:eastAsia="en-CA"/>
              </w:rPr>
              <w:t xml:space="preserve">Subtotal I (Nagoya Protocol)  </w:t>
            </w:r>
          </w:p>
        </w:tc>
        <w:tc>
          <w:tcPr>
            <w:tcW w:w="2880" w:type="dxa"/>
            <w:tcBorders>
              <w:top w:val="single" w:sz="12" w:space="0" w:color="auto"/>
              <w:bottom w:val="single" w:sz="2" w:space="0" w:color="auto"/>
            </w:tcBorders>
            <w:shd w:val="clear" w:color="auto" w:fill="auto"/>
            <w:noWrap/>
            <w:vAlign w:val="bottom"/>
            <w:hideMark/>
          </w:tcPr>
          <w:p w14:paraId="40D2E62F" w14:textId="77777777" w:rsidR="00FC752D" w:rsidRPr="00BC4AFE" w:rsidRDefault="00FC752D" w:rsidP="00E01BB0">
            <w:pPr>
              <w:jc w:val="right"/>
              <w:rPr>
                <w:b/>
                <w:bCs/>
                <w:color w:val="000000"/>
                <w:sz w:val="20"/>
                <w:szCs w:val="20"/>
                <w:lang w:val="en-CA" w:eastAsia="en-CA"/>
              </w:rPr>
            </w:pPr>
            <w:r w:rsidRPr="00BC4AFE">
              <w:rPr>
                <w:b/>
                <w:bCs/>
                <w:color w:val="000000"/>
                <w:sz w:val="20"/>
                <w:szCs w:val="20"/>
                <w:lang w:val="en-CA" w:eastAsia="en-CA"/>
              </w:rPr>
              <w:t>1,030,000</w:t>
            </w:r>
          </w:p>
        </w:tc>
      </w:tr>
      <w:tr w:rsidR="00FC752D" w:rsidRPr="00BC4AFE" w14:paraId="3A819531"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hideMark/>
          </w:tcPr>
          <w:p w14:paraId="15BAEE4F" w14:textId="77777777" w:rsidR="00FC752D" w:rsidRPr="00BC4AFE" w:rsidRDefault="00FC752D" w:rsidP="00E01BB0">
            <w:pPr>
              <w:keepNext/>
              <w:rPr>
                <w:color w:val="000000"/>
                <w:sz w:val="20"/>
                <w:szCs w:val="20"/>
                <w:lang w:val="en-CA" w:eastAsia="en-CA"/>
              </w:rPr>
            </w:pPr>
            <w:r w:rsidRPr="00BC4AFE">
              <w:rPr>
                <w:color w:val="000000"/>
                <w:sz w:val="20"/>
                <w:szCs w:val="20"/>
                <w:lang w:val="en-CA" w:eastAsia="en-CA"/>
              </w:rPr>
              <w:t>II. Programme support costs (13%)</w:t>
            </w:r>
          </w:p>
        </w:tc>
        <w:tc>
          <w:tcPr>
            <w:tcW w:w="2880" w:type="dxa"/>
            <w:tcBorders>
              <w:top w:val="single" w:sz="2" w:space="0" w:color="auto"/>
              <w:bottom w:val="single" w:sz="2" w:space="0" w:color="auto"/>
            </w:tcBorders>
            <w:shd w:val="clear" w:color="auto" w:fill="auto"/>
            <w:noWrap/>
            <w:vAlign w:val="bottom"/>
            <w:hideMark/>
          </w:tcPr>
          <w:p w14:paraId="3F54FD2E" w14:textId="77777777" w:rsidR="00FC752D" w:rsidRPr="00BC4AFE" w:rsidRDefault="00FC752D" w:rsidP="00E01BB0">
            <w:pPr>
              <w:jc w:val="right"/>
              <w:rPr>
                <w:color w:val="000000"/>
                <w:sz w:val="20"/>
                <w:szCs w:val="20"/>
                <w:lang w:val="en-CA" w:eastAsia="en-CA"/>
              </w:rPr>
            </w:pPr>
            <w:r w:rsidRPr="00BC4AFE">
              <w:rPr>
                <w:color w:val="000000"/>
                <w:sz w:val="20"/>
                <w:szCs w:val="20"/>
                <w:lang w:val="en-CA" w:eastAsia="en-CA"/>
              </w:rPr>
              <w:t>133,900</w:t>
            </w:r>
          </w:p>
        </w:tc>
      </w:tr>
      <w:tr w:rsidR="00FC752D" w:rsidRPr="00BC4AFE" w14:paraId="52C9E7AD"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hideMark/>
          </w:tcPr>
          <w:p w14:paraId="18455D95" w14:textId="77777777" w:rsidR="00FC752D" w:rsidRPr="00BC4AFE" w:rsidRDefault="00FC752D" w:rsidP="00E01BB0">
            <w:pPr>
              <w:keepNext/>
              <w:rPr>
                <w:b/>
                <w:bCs/>
                <w:color w:val="000000"/>
                <w:sz w:val="20"/>
                <w:szCs w:val="20"/>
                <w:lang w:val="pt-PT" w:eastAsia="en-CA"/>
              </w:rPr>
            </w:pPr>
            <w:r w:rsidRPr="00BC4AFE">
              <w:rPr>
                <w:b/>
                <w:bCs/>
                <w:color w:val="000000"/>
                <w:sz w:val="20"/>
                <w:szCs w:val="20"/>
                <w:lang w:val="pt-PT" w:eastAsia="en-CA"/>
              </w:rPr>
              <w:t>TOTAL COST (I + II) (Nagoya Protocol)</w:t>
            </w:r>
          </w:p>
        </w:tc>
        <w:tc>
          <w:tcPr>
            <w:tcW w:w="2880" w:type="dxa"/>
            <w:tcBorders>
              <w:top w:val="single" w:sz="2" w:space="0" w:color="auto"/>
              <w:bottom w:val="single" w:sz="12" w:space="0" w:color="auto"/>
            </w:tcBorders>
            <w:shd w:val="clear" w:color="auto" w:fill="auto"/>
            <w:noWrap/>
            <w:vAlign w:val="bottom"/>
            <w:hideMark/>
          </w:tcPr>
          <w:p w14:paraId="3823DC5F" w14:textId="77777777" w:rsidR="00FC752D" w:rsidRPr="00BC4AFE" w:rsidRDefault="00FC752D" w:rsidP="00E01BB0">
            <w:pPr>
              <w:jc w:val="right"/>
              <w:rPr>
                <w:b/>
                <w:bCs/>
                <w:color w:val="000000"/>
                <w:sz w:val="20"/>
                <w:szCs w:val="20"/>
                <w:lang w:val="en-CA" w:eastAsia="en-CA"/>
              </w:rPr>
            </w:pPr>
            <w:r w:rsidRPr="00BC4AFE">
              <w:rPr>
                <w:b/>
                <w:bCs/>
                <w:color w:val="000000"/>
                <w:sz w:val="20"/>
                <w:szCs w:val="20"/>
                <w:lang w:val="en-CA" w:eastAsia="en-CA"/>
              </w:rPr>
              <w:t>1,163,900</w:t>
            </w:r>
          </w:p>
        </w:tc>
      </w:tr>
      <w:tr w:rsidR="00FC752D" w:rsidRPr="00BC4AFE" w14:paraId="58040F2C" w14:textId="77777777" w:rsidTr="00A60395">
        <w:trPr>
          <w:trHeight w:val="259"/>
          <w:jc w:val="center"/>
        </w:trPr>
        <w:tc>
          <w:tcPr>
            <w:tcW w:w="6565" w:type="dxa"/>
            <w:tcBorders>
              <w:top w:val="single" w:sz="12" w:space="0" w:color="auto"/>
            </w:tcBorders>
            <w:shd w:val="clear" w:color="auto" w:fill="auto"/>
            <w:noWrap/>
            <w:vAlign w:val="bottom"/>
            <w:hideMark/>
          </w:tcPr>
          <w:p w14:paraId="26C9B669" w14:textId="77777777" w:rsidR="00FC752D" w:rsidRPr="00BC4AFE" w:rsidRDefault="00FC752D" w:rsidP="00E01BB0">
            <w:pPr>
              <w:jc w:val="right"/>
              <w:rPr>
                <w:sz w:val="20"/>
                <w:szCs w:val="20"/>
                <w:lang w:val="en-CA" w:eastAsia="en-CA"/>
              </w:rPr>
            </w:pPr>
          </w:p>
        </w:tc>
        <w:tc>
          <w:tcPr>
            <w:tcW w:w="2880" w:type="dxa"/>
            <w:tcBorders>
              <w:top w:val="single" w:sz="12" w:space="0" w:color="auto"/>
            </w:tcBorders>
            <w:shd w:val="clear" w:color="auto" w:fill="auto"/>
            <w:noWrap/>
            <w:vAlign w:val="bottom"/>
            <w:hideMark/>
          </w:tcPr>
          <w:p w14:paraId="23679677" w14:textId="77777777" w:rsidR="00FC752D" w:rsidRPr="00BC4AFE" w:rsidRDefault="00FC752D" w:rsidP="00E01BB0">
            <w:pPr>
              <w:rPr>
                <w:sz w:val="20"/>
                <w:szCs w:val="20"/>
                <w:lang w:val="en-CA" w:eastAsia="en-CA"/>
              </w:rPr>
            </w:pPr>
          </w:p>
        </w:tc>
      </w:tr>
      <w:tr w:rsidR="00FC752D" w:rsidRPr="00BC4AFE" w14:paraId="2B5D2C0D" w14:textId="77777777" w:rsidTr="00A60395">
        <w:trPr>
          <w:trHeight w:val="259"/>
          <w:jc w:val="center"/>
        </w:trPr>
        <w:tc>
          <w:tcPr>
            <w:tcW w:w="6565" w:type="dxa"/>
            <w:shd w:val="clear" w:color="auto" w:fill="auto"/>
            <w:noWrap/>
            <w:vAlign w:val="bottom"/>
          </w:tcPr>
          <w:p w14:paraId="2EC6F0D0" w14:textId="77777777" w:rsidR="00FC752D" w:rsidRPr="00BC4AFE" w:rsidRDefault="00FC752D" w:rsidP="00E01BB0">
            <w:pPr>
              <w:jc w:val="right"/>
              <w:rPr>
                <w:sz w:val="20"/>
                <w:szCs w:val="20"/>
                <w:lang w:val="en-CA" w:eastAsia="en-CA"/>
              </w:rPr>
            </w:pPr>
          </w:p>
        </w:tc>
        <w:tc>
          <w:tcPr>
            <w:tcW w:w="2880" w:type="dxa"/>
            <w:shd w:val="clear" w:color="auto" w:fill="auto"/>
            <w:noWrap/>
            <w:vAlign w:val="bottom"/>
          </w:tcPr>
          <w:p w14:paraId="21112FA2" w14:textId="77777777" w:rsidR="00FC752D" w:rsidRPr="00BC4AFE" w:rsidRDefault="00FC752D" w:rsidP="00E01BB0">
            <w:pPr>
              <w:rPr>
                <w:sz w:val="20"/>
                <w:szCs w:val="20"/>
                <w:lang w:val="en-CA" w:eastAsia="en-CA"/>
              </w:rPr>
            </w:pPr>
          </w:p>
        </w:tc>
      </w:tr>
      <w:tr w:rsidR="00FC752D" w:rsidRPr="00BC4AFE" w14:paraId="15DC9161" w14:textId="77777777" w:rsidTr="00A60395">
        <w:trPr>
          <w:trHeight w:val="259"/>
          <w:jc w:val="center"/>
        </w:trPr>
        <w:tc>
          <w:tcPr>
            <w:tcW w:w="6565" w:type="dxa"/>
            <w:tcBorders>
              <w:bottom w:val="single" w:sz="2" w:space="0" w:color="auto"/>
            </w:tcBorders>
            <w:shd w:val="clear" w:color="auto" w:fill="auto"/>
            <w:noWrap/>
            <w:vAlign w:val="bottom"/>
          </w:tcPr>
          <w:p w14:paraId="306FAC2A" w14:textId="77777777" w:rsidR="00FC752D" w:rsidRPr="00BC4AFE" w:rsidRDefault="00FC752D" w:rsidP="00E01BB0">
            <w:pPr>
              <w:jc w:val="right"/>
              <w:rPr>
                <w:sz w:val="20"/>
                <w:szCs w:val="20"/>
                <w:lang w:val="en-CA" w:eastAsia="en-CA"/>
              </w:rPr>
            </w:pPr>
          </w:p>
        </w:tc>
        <w:tc>
          <w:tcPr>
            <w:tcW w:w="2880" w:type="dxa"/>
            <w:tcBorders>
              <w:bottom w:val="single" w:sz="2" w:space="0" w:color="auto"/>
            </w:tcBorders>
            <w:shd w:val="clear" w:color="auto" w:fill="auto"/>
            <w:noWrap/>
            <w:vAlign w:val="bottom"/>
          </w:tcPr>
          <w:p w14:paraId="472C9F00" w14:textId="77777777" w:rsidR="00FC752D" w:rsidRPr="00BC4AFE" w:rsidRDefault="00FC752D" w:rsidP="00E01BB0">
            <w:pPr>
              <w:rPr>
                <w:sz w:val="20"/>
                <w:szCs w:val="20"/>
                <w:lang w:val="en-CA" w:eastAsia="en-CA"/>
              </w:rPr>
            </w:pPr>
          </w:p>
        </w:tc>
      </w:tr>
      <w:tr w:rsidR="00FC752D" w:rsidRPr="00A45FCF" w14:paraId="7E9D54C6"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49C1E990" w14:textId="77777777" w:rsidR="00FC752D" w:rsidRPr="00BC4AFE" w:rsidRDefault="00FC752D" w:rsidP="00E01BB0">
            <w:pPr>
              <w:keepNext/>
              <w:rPr>
                <w:sz w:val="20"/>
                <w:szCs w:val="20"/>
                <w:lang w:val="en-CA" w:eastAsia="en-CA"/>
              </w:rPr>
            </w:pPr>
            <w:r w:rsidRPr="00BC4AFE">
              <w:rPr>
                <w:color w:val="000000" w:themeColor="text1"/>
                <w:kern w:val="20"/>
                <w:sz w:val="20"/>
                <w:szCs w:val="20"/>
                <w:lang w:eastAsia="en-CA"/>
              </w:rPr>
              <w:t xml:space="preserve">Convention on Biological Diversity </w:t>
            </w:r>
          </w:p>
        </w:tc>
        <w:tc>
          <w:tcPr>
            <w:tcW w:w="2880" w:type="dxa"/>
            <w:tcBorders>
              <w:top w:val="single" w:sz="2" w:space="0" w:color="auto"/>
              <w:bottom w:val="single" w:sz="2" w:space="0" w:color="auto"/>
            </w:tcBorders>
            <w:shd w:val="clear" w:color="auto" w:fill="auto"/>
            <w:noWrap/>
            <w:vAlign w:val="bottom"/>
          </w:tcPr>
          <w:p w14:paraId="2F2A236A" w14:textId="77777777" w:rsidR="00FC752D" w:rsidRPr="00877BA9" w:rsidRDefault="00FC752D" w:rsidP="00E01BB0">
            <w:pPr>
              <w:keepNext/>
              <w:jc w:val="right"/>
              <w:rPr>
                <w:sz w:val="20"/>
                <w:szCs w:val="20"/>
                <w:lang w:val="en-CA" w:eastAsia="en-CA"/>
              </w:rPr>
            </w:pPr>
            <w:r w:rsidRPr="00877BA9">
              <w:rPr>
                <w:color w:val="000000"/>
                <w:sz w:val="20"/>
                <w:szCs w:val="20"/>
                <w:lang w:val="en-CA" w:eastAsia="en-CA"/>
              </w:rPr>
              <w:t>18,678,674</w:t>
            </w:r>
          </w:p>
        </w:tc>
      </w:tr>
      <w:tr w:rsidR="00FC752D" w:rsidRPr="00BC4AFE" w14:paraId="4E1EF16D" w14:textId="77777777" w:rsidTr="00A60395">
        <w:trPr>
          <w:trHeight w:val="259"/>
          <w:jc w:val="center"/>
        </w:trPr>
        <w:tc>
          <w:tcPr>
            <w:tcW w:w="6565" w:type="dxa"/>
            <w:tcBorders>
              <w:top w:val="single" w:sz="2" w:space="0" w:color="auto"/>
              <w:bottom w:val="single" w:sz="2" w:space="0" w:color="auto"/>
            </w:tcBorders>
            <w:shd w:val="clear" w:color="auto" w:fill="auto"/>
            <w:noWrap/>
            <w:vAlign w:val="bottom"/>
          </w:tcPr>
          <w:p w14:paraId="74CA23C4" w14:textId="77777777" w:rsidR="00FC752D" w:rsidRPr="00BC4AFE" w:rsidRDefault="00FC752D" w:rsidP="00E01BB0">
            <w:pPr>
              <w:keepNext/>
              <w:rPr>
                <w:sz w:val="20"/>
                <w:szCs w:val="20"/>
                <w:lang w:val="en-CA" w:eastAsia="en-CA"/>
              </w:rPr>
            </w:pPr>
            <w:r w:rsidRPr="00BC4AFE">
              <w:rPr>
                <w:color w:val="000000"/>
                <w:sz w:val="20"/>
                <w:szCs w:val="20"/>
                <w:lang w:val="en-CA" w:eastAsia="en-CA"/>
              </w:rPr>
              <w:t>Cartagena Protocol</w:t>
            </w:r>
            <w:r w:rsidRPr="00BC4AFE">
              <w:rPr>
                <w:color w:val="000000" w:themeColor="text1"/>
                <w:kern w:val="20"/>
                <w:sz w:val="20"/>
                <w:szCs w:val="20"/>
                <w:lang w:eastAsia="en-CA"/>
              </w:rPr>
              <w:t xml:space="preserve"> </w:t>
            </w:r>
          </w:p>
        </w:tc>
        <w:tc>
          <w:tcPr>
            <w:tcW w:w="2880" w:type="dxa"/>
            <w:tcBorders>
              <w:top w:val="single" w:sz="2" w:space="0" w:color="auto"/>
              <w:bottom w:val="single" w:sz="2" w:space="0" w:color="auto"/>
            </w:tcBorders>
            <w:shd w:val="clear" w:color="auto" w:fill="auto"/>
            <w:noWrap/>
            <w:vAlign w:val="bottom"/>
          </w:tcPr>
          <w:p w14:paraId="09CB0F84" w14:textId="77777777" w:rsidR="00FC752D" w:rsidRPr="0047773A" w:rsidRDefault="00FC752D" w:rsidP="00E01BB0">
            <w:pPr>
              <w:keepNext/>
              <w:jc w:val="right"/>
              <w:rPr>
                <w:sz w:val="20"/>
                <w:szCs w:val="20"/>
                <w:lang w:val="en-CA" w:eastAsia="en-CA"/>
              </w:rPr>
            </w:pPr>
            <w:r w:rsidRPr="0047773A">
              <w:rPr>
                <w:color w:val="000000"/>
                <w:sz w:val="20"/>
                <w:szCs w:val="20"/>
                <w:lang w:val="en-CA" w:eastAsia="en-CA"/>
              </w:rPr>
              <w:t>2,364,525</w:t>
            </w:r>
          </w:p>
        </w:tc>
      </w:tr>
      <w:tr w:rsidR="00FC752D" w:rsidRPr="00BC4AFE" w14:paraId="37A45BDC" w14:textId="77777777" w:rsidTr="00A60395">
        <w:trPr>
          <w:trHeight w:val="259"/>
          <w:jc w:val="center"/>
        </w:trPr>
        <w:tc>
          <w:tcPr>
            <w:tcW w:w="6565" w:type="dxa"/>
            <w:tcBorders>
              <w:top w:val="single" w:sz="2" w:space="0" w:color="auto"/>
              <w:bottom w:val="single" w:sz="12" w:space="0" w:color="auto"/>
            </w:tcBorders>
            <w:shd w:val="clear" w:color="auto" w:fill="auto"/>
            <w:noWrap/>
            <w:vAlign w:val="bottom"/>
          </w:tcPr>
          <w:p w14:paraId="1420BE76" w14:textId="77777777" w:rsidR="00FC752D" w:rsidRPr="00BC4AFE" w:rsidRDefault="00FC752D" w:rsidP="00E01BB0">
            <w:pPr>
              <w:keepNext/>
              <w:rPr>
                <w:sz w:val="20"/>
                <w:szCs w:val="20"/>
                <w:lang w:val="en-CA" w:eastAsia="en-CA"/>
              </w:rPr>
            </w:pPr>
            <w:r w:rsidRPr="00BC4AFE">
              <w:rPr>
                <w:color w:val="000000"/>
                <w:sz w:val="20"/>
                <w:szCs w:val="20"/>
                <w:lang w:val="en-CA" w:eastAsia="en-CA"/>
              </w:rPr>
              <w:t>Nagoya Protocol</w:t>
            </w:r>
            <w:r w:rsidRPr="00BC4AFE">
              <w:rPr>
                <w:color w:val="000000" w:themeColor="text1"/>
                <w:kern w:val="20"/>
                <w:sz w:val="20"/>
                <w:szCs w:val="20"/>
                <w:lang w:eastAsia="en-CA"/>
              </w:rPr>
              <w:t xml:space="preserve"> </w:t>
            </w:r>
          </w:p>
        </w:tc>
        <w:tc>
          <w:tcPr>
            <w:tcW w:w="2880" w:type="dxa"/>
            <w:tcBorders>
              <w:top w:val="single" w:sz="2" w:space="0" w:color="auto"/>
              <w:bottom w:val="single" w:sz="12" w:space="0" w:color="auto"/>
            </w:tcBorders>
            <w:shd w:val="clear" w:color="auto" w:fill="auto"/>
            <w:noWrap/>
            <w:vAlign w:val="bottom"/>
          </w:tcPr>
          <w:p w14:paraId="473782DE" w14:textId="77777777" w:rsidR="00FC752D" w:rsidRPr="0047773A" w:rsidRDefault="00FC752D" w:rsidP="00E01BB0">
            <w:pPr>
              <w:keepNext/>
              <w:jc w:val="right"/>
              <w:rPr>
                <w:sz w:val="20"/>
                <w:szCs w:val="20"/>
                <w:lang w:val="en-CA" w:eastAsia="en-CA"/>
              </w:rPr>
            </w:pPr>
            <w:r w:rsidRPr="0047773A">
              <w:rPr>
                <w:color w:val="000000"/>
                <w:sz w:val="20"/>
                <w:szCs w:val="20"/>
                <w:lang w:val="en-CA" w:eastAsia="en-CA"/>
              </w:rPr>
              <w:t>1,163,900</w:t>
            </w:r>
          </w:p>
        </w:tc>
      </w:tr>
      <w:tr w:rsidR="00FC752D" w:rsidRPr="00A45FCF" w14:paraId="30F5B72B" w14:textId="77777777" w:rsidTr="00A60395">
        <w:trPr>
          <w:trHeight w:val="259"/>
          <w:jc w:val="center"/>
        </w:trPr>
        <w:tc>
          <w:tcPr>
            <w:tcW w:w="6565" w:type="dxa"/>
            <w:tcBorders>
              <w:top w:val="single" w:sz="12" w:space="0" w:color="auto"/>
              <w:bottom w:val="single" w:sz="12" w:space="0" w:color="auto"/>
            </w:tcBorders>
            <w:shd w:val="clear" w:color="auto" w:fill="auto"/>
            <w:noWrap/>
            <w:vAlign w:val="bottom"/>
          </w:tcPr>
          <w:p w14:paraId="3764DF43" w14:textId="77777777" w:rsidR="00FC752D" w:rsidRPr="00BC4AFE" w:rsidRDefault="00FC752D" w:rsidP="00E01BB0">
            <w:pPr>
              <w:spacing w:before="60" w:after="60"/>
              <w:rPr>
                <w:sz w:val="20"/>
                <w:szCs w:val="20"/>
                <w:lang w:val="en-CA" w:eastAsia="en-CA"/>
              </w:rPr>
            </w:pPr>
            <w:r w:rsidRPr="00BC4AFE">
              <w:rPr>
                <w:b/>
                <w:bCs/>
                <w:color w:val="000000"/>
                <w:lang w:val="en-CA" w:eastAsia="en-CA"/>
              </w:rPr>
              <w:t>Grand total</w:t>
            </w:r>
            <w:r w:rsidRPr="00BC4AFE">
              <w:rPr>
                <w:color w:val="000000"/>
                <w:lang w:val="en-CA" w:eastAsia="en-CA"/>
              </w:rPr>
              <w:t xml:space="preserve"> </w:t>
            </w:r>
            <w:r w:rsidRPr="00BC4AFE">
              <w:rPr>
                <w:color w:val="000000"/>
                <w:sz w:val="20"/>
                <w:szCs w:val="20"/>
                <w:lang w:val="en-CA" w:eastAsia="en-CA"/>
              </w:rPr>
              <w:t>(including programme support costs)</w:t>
            </w:r>
          </w:p>
        </w:tc>
        <w:tc>
          <w:tcPr>
            <w:tcW w:w="2880" w:type="dxa"/>
            <w:tcBorders>
              <w:top w:val="single" w:sz="12" w:space="0" w:color="auto"/>
              <w:bottom w:val="single" w:sz="12" w:space="0" w:color="auto"/>
            </w:tcBorders>
            <w:shd w:val="clear" w:color="auto" w:fill="auto"/>
            <w:noWrap/>
            <w:vAlign w:val="bottom"/>
          </w:tcPr>
          <w:p w14:paraId="33D5ED19" w14:textId="77777777" w:rsidR="00FC752D" w:rsidRPr="00877BA9" w:rsidRDefault="00FC752D" w:rsidP="00E01BB0">
            <w:pPr>
              <w:spacing w:before="60" w:after="60"/>
              <w:jc w:val="right"/>
              <w:rPr>
                <w:sz w:val="20"/>
                <w:szCs w:val="20"/>
                <w:lang w:val="en-CA" w:eastAsia="en-CA"/>
              </w:rPr>
            </w:pPr>
            <w:r w:rsidRPr="00877BA9">
              <w:rPr>
                <w:b/>
                <w:bCs/>
                <w:color w:val="000000"/>
                <w:lang w:val="en-CA" w:eastAsia="en-CA"/>
              </w:rPr>
              <w:t>22,207,099</w:t>
            </w:r>
          </w:p>
        </w:tc>
      </w:tr>
    </w:tbl>
    <w:p w14:paraId="5D80B35A" w14:textId="77777777" w:rsidR="00FC752D" w:rsidRPr="00BC4AFE" w:rsidRDefault="00FC752D" w:rsidP="00EF0C04">
      <w:pPr>
        <w:pStyle w:val="NormalWeb"/>
        <w:spacing w:before="120" w:after="120" w:line="480" w:lineRule="auto"/>
        <w:rPr>
          <w:rFonts w:asciiTheme="majorBidi" w:hAnsiTheme="majorBidi" w:cstheme="majorBidi"/>
          <w:color w:val="000000"/>
          <w:sz w:val="22"/>
          <w:szCs w:val="22"/>
        </w:rPr>
      </w:pPr>
    </w:p>
    <w:p w14:paraId="5A5C0367" w14:textId="77777777" w:rsidR="00FC752D" w:rsidRPr="00BC4AFE" w:rsidRDefault="00FC752D" w:rsidP="00AA0E75">
      <w:pPr>
        <w:keepNext/>
        <w:spacing w:before="240" w:after="60"/>
        <w:ind w:left="806" w:hanging="806"/>
        <w:rPr>
          <w:b/>
          <w:bCs/>
        </w:rPr>
      </w:pPr>
      <w:r w:rsidRPr="00BC4AFE">
        <w:rPr>
          <w:b/>
          <w:bCs/>
        </w:rPr>
        <w:t>Table 4.</w:t>
      </w:r>
      <w:r w:rsidRPr="00BC4AFE">
        <w:rPr>
          <w:b/>
          <w:bCs/>
        </w:rPr>
        <w:tab/>
        <w:t xml:space="preserve">Resource requirements from the Special Trust Fund (BZ) for Voluntary Contributions to </w:t>
      </w:r>
      <w:r w:rsidRPr="00BC4AFE">
        <w:rPr>
          <w:b/>
          <w:color w:val="000000" w:themeColor="text1"/>
          <w:kern w:val="20"/>
        </w:rPr>
        <w:t xml:space="preserve">Facilitate the Participation of Parties in the </w:t>
      </w:r>
      <w:r w:rsidRPr="00BC4AFE">
        <w:rPr>
          <w:b/>
          <w:bCs/>
        </w:rPr>
        <w:t>Process of the Convention on Biological Diversity for the period 2023-2024</w:t>
      </w:r>
    </w:p>
    <w:tbl>
      <w:tblPr>
        <w:tblW w:w="8640" w:type="dxa"/>
        <w:jc w:val="center"/>
        <w:tblLook w:val="04A0" w:firstRow="1" w:lastRow="0" w:firstColumn="1" w:lastColumn="0" w:noHBand="0" w:noVBand="1"/>
      </w:tblPr>
      <w:tblGrid>
        <w:gridCol w:w="6843"/>
        <w:gridCol w:w="1797"/>
      </w:tblGrid>
      <w:tr w:rsidR="00FC752D" w:rsidRPr="00BC4AFE" w14:paraId="3BA9B31B" w14:textId="77777777" w:rsidTr="0034642E">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16FB6834" w14:textId="77777777" w:rsidR="00FC752D" w:rsidRPr="00BC4AFE" w:rsidRDefault="00FC752D" w:rsidP="007E0ADF">
            <w:pPr>
              <w:keepNext/>
              <w:keepLines/>
              <w:jc w:val="center"/>
              <w:rPr>
                <w:i/>
                <w:iCs/>
                <w:color w:val="000000" w:themeColor="text1"/>
                <w:kern w:val="20"/>
                <w:sz w:val="15"/>
                <w:szCs w:val="15"/>
              </w:rPr>
            </w:pPr>
            <w:r w:rsidRPr="00BC4AFE">
              <w:rPr>
                <w:i/>
                <w:iCs/>
                <w:color w:val="000000" w:themeColor="text1"/>
                <w:kern w:val="20"/>
                <w:sz w:val="15"/>
                <w:szCs w:val="15"/>
              </w:rPr>
              <w:t>Description of meetings</w:t>
            </w:r>
          </w:p>
        </w:tc>
        <w:tc>
          <w:tcPr>
            <w:tcW w:w="1797" w:type="dxa"/>
            <w:tcBorders>
              <w:top w:val="single" w:sz="8" w:space="0" w:color="000000"/>
              <w:left w:val="nil"/>
              <w:bottom w:val="nil"/>
              <w:right w:val="nil"/>
            </w:tcBorders>
            <w:shd w:val="clear" w:color="auto" w:fill="auto"/>
            <w:vAlign w:val="center"/>
            <w:hideMark/>
          </w:tcPr>
          <w:p w14:paraId="45D947F1" w14:textId="77777777" w:rsidR="00FC752D" w:rsidRPr="00BC4AFE" w:rsidRDefault="00FC752D" w:rsidP="007E0ADF">
            <w:pPr>
              <w:keepNext/>
              <w:keepLines/>
              <w:jc w:val="center"/>
              <w:rPr>
                <w:i/>
                <w:iCs/>
                <w:color w:val="000000" w:themeColor="text1"/>
                <w:kern w:val="20"/>
                <w:sz w:val="15"/>
                <w:szCs w:val="15"/>
              </w:rPr>
            </w:pPr>
            <w:r w:rsidRPr="00BC4AFE">
              <w:rPr>
                <w:i/>
                <w:iCs/>
                <w:color w:val="000000" w:themeColor="text1"/>
                <w:kern w:val="20"/>
                <w:sz w:val="15"/>
                <w:szCs w:val="15"/>
              </w:rPr>
              <w:t>2019-2020</w:t>
            </w:r>
          </w:p>
        </w:tc>
      </w:tr>
      <w:tr w:rsidR="00FC752D" w:rsidRPr="00BC4AFE" w14:paraId="67F83E43" w14:textId="77777777" w:rsidTr="0034642E">
        <w:trPr>
          <w:trHeight w:val="300"/>
          <w:jc w:val="center"/>
        </w:trPr>
        <w:tc>
          <w:tcPr>
            <w:tcW w:w="6843" w:type="dxa"/>
            <w:vMerge/>
            <w:tcBorders>
              <w:top w:val="single" w:sz="8" w:space="0" w:color="000000"/>
              <w:left w:val="nil"/>
              <w:bottom w:val="single" w:sz="8" w:space="0" w:color="000000"/>
              <w:right w:val="nil"/>
            </w:tcBorders>
            <w:vAlign w:val="center"/>
            <w:hideMark/>
          </w:tcPr>
          <w:p w14:paraId="7848E261" w14:textId="77777777" w:rsidR="00FC752D" w:rsidRPr="00BC4AFE" w:rsidRDefault="00FC752D" w:rsidP="007E0ADF">
            <w:pPr>
              <w:keepNext/>
              <w:keepLines/>
              <w:rPr>
                <w:i/>
                <w:iCs/>
                <w:color w:val="000000" w:themeColor="text1"/>
                <w:kern w:val="20"/>
                <w:sz w:val="15"/>
                <w:szCs w:val="15"/>
              </w:rPr>
            </w:pPr>
          </w:p>
        </w:tc>
        <w:tc>
          <w:tcPr>
            <w:tcW w:w="1797" w:type="dxa"/>
            <w:tcBorders>
              <w:top w:val="nil"/>
              <w:left w:val="nil"/>
              <w:bottom w:val="single" w:sz="8" w:space="0" w:color="000000"/>
              <w:right w:val="nil"/>
            </w:tcBorders>
            <w:shd w:val="clear" w:color="auto" w:fill="auto"/>
            <w:vAlign w:val="center"/>
            <w:hideMark/>
          </w:tcPr>
          <w:p w14:paraId="1F219FB2" w14:textId="77777777" w:rsidR="00FC752D" w:rsidRPr="00BC4AFE" w:rsidRDefault="00FC752D" w:rsidP="007E0ADF">
            <w:pPr>
              <w:keepNext/>
              <w:keepLines/>
              <w:jc w:val="center"/>
              <w:rPr>
                <w:i/>
                <w:iCs/>
                <w:color w:val="000000" w:themeColor="text1"/>
                <w:kern w:val="20"/>
                <w:sz w:val="15"/>
                <w:szCs w:val="15"/>
              </w:rPr>
            </w:pPr>
            <w:r w:rsidRPr="00BC4AFE">
              <w:rPr>
                <w:i/>
                <w:iCs/>
                <w:color w:val="000000" w:themeColor="text1"/>
                <w:kern w:val="20"/>
                <w:sz w:val="15"/>
                <w:szCs w:val="15"/>
              </w:rPr>
              <w:t>(Thousands of United States dollars)</w:t>
            </w:r>
          </w:p>
        </w:tc>
      </w:tr>
      <w:tr w:rsidR="00FC752D" w:rsidRPr="00BC4AFE" w14:paraId="0A0F74B5" w14:textId="77777777" w:rsidTr="0034642E">
        <w:trPr>
          <w:trHeight w:val="288"/>
          <w:jc w:val="center"/>
        </w:trPr>
        <w:tc>
          <w:tcPr>
            <w:tcW w:w="6843" w:type="dxa"/>
            <w:tcBorders>
              <w:top w:val="nil"/>
              <w:left w:val="nil"/>
              <w:bottom w:val="nil"/>
              <w:right w:val="nil"/>
            </w:tcBorders>
            <w:shd w:val="clear" w:color="auto" w:fill="auto"/>
            <w:vAlign w:val="center"/>
            <w:hideMark/>
          </w:tcPr>
          <w:p w14:paraId="39797EEF" w14:textId="77777777" w:rsidR="00FC752D" w:rsidRPr="00BC4AFE" w:rsidRDefault="00FC752D" w:rsidP="007E0ADF">
            <w:pPr>
              <w:keepNext/>
              <w:keepLines/>
              <w:rPr>
                <w:b/>
                <w:bCs/>
                <w:color w:val="000000" w:themeColor="text1"/>
                <w:kern w:val="20"/>
                <w:sz w:val="17"/>
                <w:szCs w:val="17"/>
              </w:rPr>
            </w:pPr>
            <w:r w:rsidRPr="00BC4AFE">
              <w:rPr>
                <w:b/>
                <w:bCs/>
                <w:color w:val="000000" w:themeColor="text1"/>
                <w:kern w:val="20"/>
                <w:sz w:val="17"/>
                <w:szCs w:val="17"/>
              </w:rPr>
              <w:t>I. Meetings</w:t>
            </w:r>
          </w:p>
        </w:tc>
        <w:tc>
          <w:tcPr>
            <w:tcW w:w="1797" w:type="dxa"/>
            <w:tcBorders>
              <w:top w:val="nil"/>
              <w:left w:val="nil"/>
              <w:bottom w:val="nil"/>
              <w:right w:val="nil"/>
            </w:tcBorders>
            <w:shd w:val="clear" w:color="auto" w:fill="auto"/>
            <w:vAlign w:val="center"/>
            <w:hideMark/>
          </w:tcPr>
          <w:p w14:paraId="05077490" w14:textId="77777777" w:rsidR="00FC752D" w:rsidRPr="00BC4AFE" w:rsidRDefault="00FC752D" w:rsidP="007E0ADF">
            <w:pPr>
              <w:keepNext/>
              <w:keepLines/>
              <w:jc w:val="right"/>
              <w:rPr>
                <w:color w:val="000000" w:themeColor="text1"/>
                <w:kern w:val="20"/>
                <w:sz w:val="17"/>
                <w:szCs w:val="17"/>
              </w:rPr>
            </w:pPr>
          </w:p>
        </w:tc>
      </w:tr>
      <w:tr w:rsidR="00FC752D" w:rsidRPr="00BC4AFE" w14:paraId="6CA76EAC"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0DFD06AB" w14:textId="77777777" w:rsidR="00FC752D" w:rsidRPr="00BC4AFE" w:rsidRDefault="00FC752D" w:rsidP="007E0ADF">
            <w:pPr>
              <w:keepNext/>
              <w:keepLines/>
              <w:rPr>
                <w:color w:val="000000" w:themeColor="text1"/>
                <w:kern w:val="20"/>
                <w:sz w:val="17"/>
                <w:szCs w:val="17"/>
                <w:lang w:val="pt-PT"/>
              </w:rPr>
            </w:pPr>
            <w:r w:rsidRPr="00BC4AFE">
              <w:rPr>
                <w:color w:val="000000" w:themeColor="text1"/>
                <w:kern w:val="20"/>
                <w:sz w:val="17"/>
                <w:szCs w:val="17"/>
                <w:lang w:val="pt-PT"/>
              </w:rPr>
              <w:t xml:space="preserve">COP-16, Cartagena Protocol </w:t>
            </w:r>
            <w:r w:rsidRPr="00BC4AFE">
              <w:rPr>
                <w:color w:val="000000" w:themeColor="text1"/>
                <w:kern w:val="20"/>
                <w:sz w:val="17"/>
                <w:szCs w:val="17"/>
              </w:rPr>
              <w:t>COP</w:t>
            </w:r>
            <w:r w:rsidRPr="00BC4AFE">
              <w:rPr>
                <w:color w:val="000000" w:themeColor="text1"/>
                <w:kern w:val="20"/>
                <w:sz w:val="17"/>
                <w:szCs w:val="17"/>
                <w:lang w:val="pt-PT"/>
              </w:rPr>
              <w:t>-MOP 11 and Nagoya Protocol COP-MOP 5*</w:t>
            </w:r>
          </w:p>
        </w:tc>
        <w:tc>
          <w:tcPr>
            <w:tcW w:w="1797" w:type="dxa"/>
            <w:tcBorders>
              <w:top w:val="nil"/>
              <w:left w:val="nil"/>
              <w:bottom w:val="nil"/>
              <w:right w:val="nil"/>
            </w:tcBorders>
            <w:shd w:val="clear" w:color="auto" w:fill="auto"/>
            <w:vAlign w:val="center"/>
            <w:hideMark/>
          </w:tcPr>
          <w:p w14:paraId="3EF58977" w14:textId="77777777" w:rsidR="00FC752D" w:rsidRPr="00BC4AFE" w:rsidRDefault="00FC752D" w:rsidP="007E0ADF">
            <w:pPr>
              <w:keepNext/>
              <w:keepLines/>
              <w:jc w:val="right"/>
              <w:rPr>
                <w:color w:val="000000" w:themeColor="text1"/>
                <w:kern w:val="20"/>
                <w:sz w:val="17"/>
                <w:szCs w:val="17"/>
              </w:rPr>
            </w:pPr>
            <w:r w:rsidRPr="00BC4AFE">
              <w:rPr>
                <w:color w:val="000000" w:themeColor="text1"/>
                <w:kern w:val="20"/>
                <w:sz w:val="17"/>
                <w:szCs w:val="17"/>
              </w:rPr>
              <w:t>2 621.50</w:t>
            </w:r>
          </w:p>
        </w:tc>
      </w:tr>
      <w:tr w:rsidR="00FC752D" w:rsidRPr="00BC4AFE" w14:paraId="5D85C12B"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E4DB185" w14:textId="77777777" w:rsidR="00FC752D" w:rsidRPr="00BC4AFE" w:rsidRDefault="00FC752D" w:rsidP="007E0ADF">
            <w:pPr>
              <w:keepNext/>
              <w:keepLines/>
              <w:rPr>
                <w:color w:val="000000" w:themeColor="text1"/>
                <w:kern w:val="20"/>
                <w:sz w:val="17"/>
                <w:szCs w:val="17"/>
              </w:rPr>
            </w:pPr>
            <w:r w:rsidRPr="00BC4AFE">
              <w:rPr>
                <w:color w:val="000000" w:themeColor="text1"/>
                <w:kern w:val="20"/>
                <w:sz w:val="17"/>
                <w:szCs w:val="17"/>
              </w:rPr>
              <w:t>Subsidiary Body on Scientific, Technical and Technological Advice (SBSTTA 25 and SBSTTA 26)**</w:t>
            </w:r>
          </w:p>
        </w:tc>
        <w:tc>
          <w:tcPr>
            <w:tcW w:w="1797" w:type="dxa"/>
            <w:tcBorders>
              <w:top w:val="nil"/>
              <w:left w:val="nil"/>
              <w:bottom w:val="nil"/>
              <w:right w:val="nil"/>
            </w:tcBorders>
            <w:shd w:val="clear" w:color="auto" w:fill="auto"/>
            <w:vAlign w:val="center"/>
            <w:hideMark/>
          </w:tcPr>
          <w:p w14:paraId="35A03108" w14:textId="77777777" w:rsidR="00FC752D" w:rsidRPr="00BC4AFE" w:rsidRDefault="00FC752D" w:rsidP="007E0ADF">
            <w:pPr>
              <w:keepNext/>
              <w:keepLines/>
              <w:jc w:val="right"/>
              <w:rPr>
                <w:color w:val="000000" w:themeColor="text1"/>
                <w:kern w:val="20"/>
                <w:sz w:val="17"/>
                <w:szCs w:val="17"/>
              </w:rPr>
            </w:pPr>
            <w:r w:rsidRPr="00BC4AFE">
              <w:rPr>
                <w:color w:val="000000" w:themeColor="text1"/>
                <w:kern w:val="20"/>
                <w:sz w:val="17"/>
                <w:szCs w:val="17"/>
              </w:rPr>
              <w:t>1 796.40</w:t>
            </w:r>
          </w:p>
        </w:tc>
      </w:tr>
      <w:tr w:rsidR="00FC752D" w:rsidRPr="00BC4AFE" w14:paraId="6E8DF1E5"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6F50707A" w14:textId="77777777" w:rsidR="00FC752D" w:rsidRPr="00BC4AFE" w:rsidRDefault="00FC752D" w:rsidP="007E0ADF">
            <w:pPr>
              <w:keepNext/>
              <w:keepLines/>
              <w:rPr>
                <w:color w:val="000000" w:themeColor="text1"/>
                <w:kern w:val="20"/>
                <w:sz w:val="17"/>
                <w:szCs w:val="17"/>
              </w:rPr>
            </w:pPr>
            <w:r w:rsidRPr="00BC4AFE">
              <w:rPr>
                <w:color w:val="000000" w:themeColor="text1"/>
                <w:kern w:val="20"/>
                <w:sz w:val="17"/>
                <w:szCs w:val="17"/>
              </w:rPr>
              <w:t>Ad Hoc Open-ended Working Group on Article 8(j) and Related Provisions (WG8J 12)**</w:t>
            </w:r>
          </w:p>
        </w:tc>
        <w:tc>
          <w:tcPr>
            <w:tcW w:w="1797" w:type="dxa"/>
            <w:tcBorders>
              <w:top w:val="nil"/>
              <w:left w:val="nil"/>
              <w:bottom w:val="nil"/>
              <w:right w:val="nil"/>
            </w:tcBorders>
            <w:shd w:val="clear" w:color="auto" w:fill="auto"/>
            <w:vAlign w:val="center"/>
            <w:hideMark/>
          </w:tcPr>
          <w:p w14:paraId="7BF7DAB3" w14:textId="77777777" w:rsidR="00FC752D" w:rsidRPr="00BC4AFE" w:rsidRDefault="00FC752D" w:rsidP="007E0ADF">
            <w:pPr>
              <w:keepNext/>
              <w:keepLines/>
              <w:jc w:val="right"/>
              <w:rPr>
                <w:color w:val="000000" w:themeColor="text1"/>
                <w:kern w:val="20"/>
                <w:sz w:val="17"/>
                <w:szCs w:val="17"/>
              </w:rPr>
            </w:pPr>
            <w:r w:rsidRPr="00BC4AFE">
              <w:rPr>
                <w:color w:val="000000" w:themeColor="text1"/>
                <w:kern w:val="20"/>
                <w:sz w:val="17"/>
                <w:szCs w:val="17"/>
              </w:rPr>
              <w:t>853.2</w:t>
            </w:r>
          </w:p>
        </w:tc>
      </w:tr>
      <w:tr w:rsidR="00FC752D" w:rsidRPr="00BC4AFE" w14:paraId="220AE334" w14:textId="77777777" w:rsidTr="0034642E">
        <w:trPr>
          <w:trHeight w:val="288"/>
          <w:jc w:val="center"/>
        </w:trPr>
        <w:tc>
          <w:tcPr>
            <w:tcW w:w="6843" w:type="dxa"/>
            <w:tcBorders>
              <w:top w:val="nil"/>
              <w:left w:val="nil"/>
              <w:bottom w:val="nil"/>
              <w:right w:val="nil"/>
            </w:tcBorders>
            <w:shd w:val="clear" w:color="auto" w:fill="auto"/>
            <w:noWrap/>
            <w:vAlign w:val="center"/>
            <w:hideMark/>
          </w:tcPr>
          <w:p w14:paraId="5685DB8C" w14:textId="77777777" w:rsidR="00FC752D" w:rsidRPr="00BC4AFE" w:rsidRDefault="00FC752D" w:rsidP="0034642E">
            <w:pPr>
              <w:rPr>
                <w:color w:val="000000" w:themeColor="text1"/>
                <w:kern w:val="20"/>
                <w:sz w:val="17"/>
                <w:szCs w:val="17"/>
              </w:rPr>
            </w:pPr>
            <w:r w:rsidRPr="00BC4AFE">
              <w:rPr>
                <w:color w:val="000000" w:themeColor="text1"/>
                <w:kern w:val="20"/>
                <w:sz w:val="17"/>
                <w:szCs w:val="17"/>
              </w:rPr>
              <w:t>Subsidiary Body on Implementation (SBI 4 and SBI 5)***</w:t>
            </w:r>
          </w:p>
        </w:tc>
        <w:tc>
          <w:tcPr>
            <w:tcW w:w="1797" w:type="dxa"/>
            <w:tcBorders>
              <w:top w:val="nil"/>
              <w:left w:val="nil"/>
              <w:bottom w:val="nil"/>
              <w:right w:val="nil"/>
            </w:tcBorders>
            <w:shd w:val="clear" w:color="auto" w:fill="auto"/>
            <w:vAlign w:val="center"/>
            <w:hideMark/>
          </w:tcPr>
          <w:p w14:paraId="68445F5A" w14:textId="77777777" w:rsidR="00FC752D" w:rsidRPr="00BC4AFE" w:rsidRDefault="00FC752D" w:rsidP="0034642E">
            <w:pPr>
              <w:jc w:val="right"/>
              <w:rPr>
                <w:color w:val="000000" w:themeColor="text1"/>
                <w:kern w:val="20"/>
                <w:sz w:val="17"/>
                <w:szCs w:val="17"/>
              </w:rPr>
            </w:pPr>
            <w:r w:rsidRPr="00BC4AFE">
              <w:rPr>
                <w:color w:val="000000" w:themeColor="text1"/>
                <w:kern w:val="20"/>
                <w:sz w:val="17"/>
                <w:szCs w:val="17"/>
              </w:rPr>
              <w:t>1 638.9</w:t>
            </w:r>
          </w:p>
        </w:tc>
      </w:tr>
      <w:tr w:rsidR="00FC752D" w:rsidRPr="00BC4AFE" w14:paraId="5BB5ED6E" w14:textId="77777777" w:rsidTr="0034642E">
        <w:trPr>
          <w:trHeight w:val="300"/>
          <w:jc w:val="center"/>
        </w:trPr>
        <w:tc>
          <w:tcPr>
            <w:tcW w:w="6843" w:type="dxa"/>
            <w:tcBorders>
              <w:top w:val="nil"/>
              <w:left w:val="nil"/>
              <w:bottom w:val="single" w:sz="8" w:space="0" w:color="000000"/>
              <w:right w:val="nil"/>
            </w:tcBorders>
            <w:shd w:val="clear" w:color="auto" w:fill="auto"/>
            <w:noWrap/>
            <w:vAlign w:val="center"/>
            <w:hideMark/>
          </w:tcPr>
          <w:p w14:paraId="16BAFDC3" w14:textId="77777777" w:rsidR="00FC752D" w:rsidRPr="00BC4AFE" w:rsidRDefault="00FC752D" w:rsidP="0034642E">
            <w:pPr>
              <w:rPr>
                <w:color w:val="000000" w:themeColor="text1"/>
                <w:kern w:val="20"/>
                <w:sz w:val="17"/>
                <w:szCs w:val="17"/>
              </w:rPr>
            </w:pPr>
            <w:r w:rsidRPr="00BC4AFE">
              <w:rPr>
                <w:color w:val="000000" w:themeColor="text1"/>
                <w:kern w:val="20"/>
                <w:sz w:val="17"/>
                <w:szCs w:val="17"/>
              </w:rPr>
              <w:t>Ad Hoc Open-ended Working Group on Digital Sequence Information on Genetic Resources***</w:t>
            </w:r>
          </w:p>
        </w:tc>
        <w:tc>
          <w:tcPr>
            <w:tcW w:w="1797" w:type="dxa"/>
            <w:tcBorders>
              <w:top w:val="nil"/>
              <w:left w:val="nil"/>
              <w:bottom w:val="single" w:sz="8" w:space="0" w:color="000000"/>
              <w:right w:val="nil"/>
            </w:tcBorders>
            <w:shd w:val="clear" w:color="auto" w:fill="auto"/>
            <w:vAlign w:val="center"/>
            <w:hideMark/>
          </w:tcPr>
          <w:p w14:paraId="1EA5DA57" w14:textId="77777777" w:rsidR="00FC752D" w:rsidRPr="00BC4AFE" w:rsidRDefault="00FC752D" w:rsidP="0034642E">
            <w:pPr>
              <w:jc w:val="right"/>
              <w:rPr>
                <w:color w:val="000000" w:themeColor="text1"/>
                <w:kern w:val="20"/>
                <w:sz w:val="17"/>
                <w:szCs w:val="17"/>
              </w:rPr>
            </w:pPr>
            <w:r w:rsidRPr="00BC4AFE">
              <w:rPr>
                <w:color w:val="000000" w:themeColor="text1"/>
                <w:kern w:val="20"/>
                <w:sz w:val="17"/>
                <w:szCs w:val="17"/>
              </w:rPr>
              <w:t>695.7</w:t>
            </w:r>
          </w:p>
        </w:tc>
      </w:tr>
      <w:tr w:rsidR="00FC752D" w:rsidRPr="00BC4AFE" w14:paraId="05436AA1"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6D628D25" w14:textId="77777777" w:rsidR="00FC752D" w:rsidRPr="00BC4AFE" w:rsidRDefault="00FC752D" w:rsidP="0034642E">
            <w:pPr>
              <w:rPr>
                <w:b/>
                <w:bCs/>
                <w:color w:val="000000" w:themeColor="text1"/>
                <w:kern w:val="20"/>
                <w:sz w:val="17"/>
                <w:szCs w:val="17"/>
              </w:rPr>
            </w:pPr>
            <w:r w:rsidRPr="00BC4AFE">
              <w:rPr>
                <w:b/>
                <w:bCs/>
                <w:color w:val="000000" w:themeColor="text1"/>
                <w:kern w:val="20"/>
                <w:sz w:val="17"/>
                <w:szCs w:val="17"/>
              </w:rPr>
              <w:t>Subtotal cost</w:t>
            </w:r>
          </w:p>
        </w:tc>
        <w:tc>
          <w:tcPr>
            <w:tcW w:w="1797" w:type="dxa"/>
            <w:tcBorders>
              <w:top w:val="nil"/>
              <w:left w:val="nil"/>
              <w:bottom w:val="single" w:sz="8" w:space="0" w:color="000000"/>
              <w:right w:val="nil"/>
            </w:tcBorders>
            <w:shd w:val="clear" w:color="auto" w:fill="auto"/>
            <w:vAlign w:val="center"/>
            <w:hideMark/>
          </w:tcPr>
          <w:p w14:paraId="78CDABC4" w14:textId="77777777" w:rsidR="00FC752D" w:rsidRPr="00BC4AFE" w:rsidRDefault="00FC752D" w:rsidP="0034642E">
            <w:pPr>
              <w:jc w:val="right"/>
              <w:rPr>
                <w:b/>
                <w:bCs/>
                <w:color w:val="000000" w:themeColor="text1"/>
                <w:kern w:val="20"/>
                <w:sz w:val="17"/>
                <w:szCs w:val="17"/>
              </w:rPr>
            </w:pPr>
            <w:r w:rsidRPr="00BC4AFE">
              <w:rPr>
                <w:b/>
                <w:bCs/>
                <w:color w:val="000000" w:themeColor="text1"/>
                <w:kern w:val="20"/>
                <w:sz w:val="17"/>
                <w:szCs w:val="17"/>
              </w:rPr>
              <w:t>7 605.7</w:t>
            </w:r>
          </w:p>
        </w:tc>
      </w:tr>
      <w:tr w:rsidR="00FC752D" w:rsidRPr="00BC4AFE" w14:paraId="428BA7FE"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065E4FAD" w14:textId="77777777" w:rsidR="00FC752D" w:rsidRPr="00BC4AFE" w:rsidRDefault="00FC752D" w:rsidP="0034642E">
            <w:pPr>
              <w:rPr>
                <w:b/>
                <w:bCs/>
                <w:color w:val="000000" w:themeColor="text1"/>
                <w:kern w:val="20"/>
                <w:sz w:val="17"/>
                <w:szCs w:val="17"/>
              </w:rPr>
            </w:pPr>
            <w:r w:rsidRPr="00BC4AFE">
              <w:rPr>
                <w:b/>
                <w:bCs/>
                <w:color w:val="000000" w:themeColor="text1"/>
                <w:kern w:val="20"/>
                <w:sz w:val="17"/>
                <w:szCs w:val="17"/>
              </w:rPr>
              <w:t>II. Programme support costs</w:t>
            </w:r>
          </w:p>
        </w:tc>
        <w:tc>
          <w:tcPr>
            <w:tcW w:w="1797" w:type="dxa"/>
            <w:tcBorders>
              <w:top w:val="nil"/>
              <w:left w:val="nil"/>
              <w:bottom w:val="single" w:sz="8" w:space="0" w:color="000000"/>
              <w:right w:val="nil"/>
            </w:tcBorders>
            <w:shd w:val="clear" w:color="auto" w:fill="auto"/>
            <w:vAlign w:val="center"/>
            <w:hideMark/>
          </w:tcPr>
          <w:p w14:paraId="6B234143" w14:textId="77777777" w:rsidR="00FC752D" w:rsidRPr="00BC4AFE" w:rsidRDefault="00FC752D" w:rsidP="0034642E">
            <w:pPr>
              <w:jc w:val="right"/>
              <w:rPr>
                <w:b/>
                <w:bCs/>
                <w:color w:val="000000" w:themeColor="text1"/>
                <w:kern w:val="20"/>
                <w:sz w:val="17"/>
                <w:szCs w:val="17"/>
              </w:rPr>
            </w:pPr>
            <w:r w:rsidRPr="00BC4AFE">
              <w:rPr>
                <w:b/>
                <w:bCs/>
                <w:color w:val="000000" w:themeColor="text1"/>
                <w:kern w:val="20"/>
                <w:sz w:val="17"/>
                <w:szCs w:val="17"/>
              </w:rPr>
              <w:t>998.7</w:t>
            </w:r>
          </w:p>
        </w:tc>
      </w:tr>
      <w:tr w:rsidR="00FC752D" w:rsidRPr="00BC4AFE" w14:paraId="5B6D646C" w14:textId="77777777" w:rsidTr="0034642E">
        <w:trPr>
          <w:trHeight w:val="300"/>
          <w:jc w:val="center"/>
        </w:trPr>
        <w:tc>
          <w:tcPr>
            <w:tcW w:w="6843" w:type="dxa"/>
            <w:tcBorders>
              <w:top w:val="nil"/>
              <w:left w:val="nil"/>
              <w:bottom w:val="single" w:sz="8" w:space="0" w:color="000000"/>
              <w:right w:val="nil"/>
            </w:tcBorders>
            <w:shd w:val="clear" w:color="auto" w:fill="auto"/>
            <w:vAlign w:val="center"/>
            <w:hideMark/>
          </w:tcPr>
          <w:p w14:paraId="02B89079" w14:textId="77777777" w:rsidR="00FC752D" w:rsidRPr="00BC4AFE" w:rsidRDefault="00FC752D" w:rsidP="0034642E">
            <w:pPr>
              <w:rPr>
                <w:b/>
                <w:bCs/>
                <w:color w:val="000000" w:themeColor="text1"/>
                <w:kern w:val="20"/>
                <w:sz w:val="17"/>
                <w:szCs w:val="17"/>
              </w:rPr>
            </w:pPr>
            <w:r w:rsidRPr="00BC4AFE">
              <w:rPr>
                <w:b/>
                <w:bCs/>
                <w:color w:val="000000" w:themeColor="text1"/>
                <w:kern w:val="20"/>
                <w:sz w:val="17"/>
                <w:szCs w:val="17"/>
              </w:rPr>
              <w:t>Total cost (I+II)</w:t>
            </w:r>
          </w:p>
        </w:tc>
        <w:tc>
          <w:tcPr>
            <w:tcW w:w="1797" w:type="dxa"/>
            <w:tcBorders>
              <w:top w:val="nil"/>
              <w:left w:val="nil"/>
              <w:bottom w:val="single" w:sz="8" w:space="0" w:color="000000"/>
              <w:right w:val="nil"/>
            </w:tcBorders>
            <w:shd w:val="clear" w:color="auto" w:fill="auto"/>
            <w:vAlign w:val="center"/>
            <w:hideMark/>
          </w:tcPr>
          <w:p w14:paraId="7D8B1339" w14:textId="77777777" w:rsidR="00FC752D" w:rsidRPr="00BC4AFE" w:rsidRDefault="00FC752D" w:rsidP="0034642E">
            <w:pPr>
              <w:jc w:val="right"/>
              <w:rPr>
                <w:b/>
                <w:bCs/>
                <w:color w:val="000000" w:themeColor="text1"/>
                <w:kern w:val="20"/>
                <w:sz w:val="17"/>
                <w:szCs w:val="17"/>
              </w:rPr>
            </w:pPr>
            <w:r w:rsidRPr="00BC4AFE">
              <w:rPr>
                <w:b/>
                <w:bCs/>
                <w:color w:val="000000" w:themeColor="text1"/>
                <w:kern w:val="20"/>
                <w:sz w:val="17"/>
                <w:szCs w:val="17"/>
              </w:rPr>
              <w:t>8 604.4</w:t>
            </w:r>
          </w:p>
        </w:tc>
      </w:tr>
      <w:tr w:rsidR="00FC752D" w:rsidRPr="00BC4AFE" w14:paraId="228FCCD4" w14:textId="77777777" w:rsidTr="002E1784">
        <w:trPr>
          <w:trHeight w:val="288"/>
          <w:jc w:val="center"/>
        </w:trPr>
        <w:tc>
          <w:tcPr>
            <w:tcW w:w="8640" w:type="dxa"/>
            <w:gridSpan w:val="2"/>
            <w:tcBorders>
              <w:top w:val="nil"/>
              <w:left w:val="nil"/>
              <w:bottom w:val="nil"/>
              <w:right w:val="nil"/>
            </w:tcBorders>
            <w:shd w:val="clear" w:color="auto" w:fill="auto"/>
            <w:noWrap/>
            <w:vAlign w:val="center"/>
          </w:tcPr>
          <w:p w14:paraId="0EB2779A" w14:textId="77777777" w:rsidR="00FC752D" w:rsidRPr="00BC4AFE" w:rsidRDefault="00FC752D" w:rsidP="00AA0E75">
            <w:pPr>
              <w:spacing w:after="60"/>
              <w:rPr>
                <w:color w:val="000000" w:themeColor="text1"/>
                <w:kern w:val="20"/>
                <w:sz w:val="16"/>
                <w:szCs w:val="16"/>
              </w:rPr>
            </w:pPr>
            <w:r w:rsidRPr="00BC4AFE">
              <w:rPr>
                <w:color w:val="000000" w:themeColor="text1"/>
                <w:kern w:val="20"/>
                <w:sz w:val="16"/>
                <w:szCs w:val="16"/>
              </w:rPr>
              <w:t>*Three delegates funded from each eligible Party.</w:t>
            </w:r>
          </w:p>
          <w:p w14:paraId="6FA305CA" w14:textId="77777777" w:rsidR="00FC752D" w:rsidRPr="00BC4AFE" w:rsidRDefault="00FC752D" w:rsidP="00AA0E75">
            <w:pPr>
              <w:spacing w:after="60"/>
              <w:rPr>
                <w:color w:val="000000" w:themeColor="text1"/>
                <w:kern w:val="20"/>
                <w:sz w:val="16"/>
                <w:szCs w:val="16"/>
              </w:rPr>
            </w:pPr>
            <w:r w:rsidRPr="00BC4AFE">
              <w:rPr>
                <w:color w:val="000000" w:themeColor="text1"/>
                <w:kern w:val="20"/>
                <w:sz w:val="16"/>
                <w:szCs w:val="16"/>
              </w:rPr>
              <w:t xml:space="preserve">**Two delegates funded from each eligible Party (SBSTTA 25 back-to-back with WG8J 12, SBSTTA 26 back-to-back with SBI 4). </w:t>
            </w:r>
          </w:p>
          <w:p w14:paraId="5C221516" w14:textId="77777777" w:rsidR="00FC752D" w:rsidRPr="00BC4AFE" w:rsidRDefault="00FC752D" w:rsidP="0034642E">
            <w:pPr>
              <w:rPr>
                <w:color w:val="000000" w:themeColor="text1"/>
                <w:kern w:val="20"/>
                <w:sz w:val="16"/>
                <w:szCs w:val="16"/>
              </w:rPr>
            </w:pPr>
            <w:r w:rsidRPr="00BC4AFE">
              <w:rPr>
                <w:color w:val="000000" w:themeColor="text1"/>
                <w:kern w:val="20"/>
                <w:sz w:val="16"/>
                <w:szCs w:val="16"/>
              </w:rPr>
              <w:t>*** Two delegates funded from each eligible Party (SBI 5 back-to-back with WG-DSI).</w:t>
            </w:r>
          </w:p>
        </w:tc>
      </w:tr>
      <w:tr w:rsidR="00FC752D" w:rsidRPr="00BC4AFE" w14:paraId="166F025E" w14:textId="77777777" w:rsidTr="0034642E">
        <w:trPr>
          <w:cantSplit/>
          <w:jc w:val="center"/>
        </w:trPr>
        <w:tc>
          <w:tcPr>
            <w:tcW w:w="8640" w:type="dxa"/>
            <w:gridSpan w:val="2"/>
            <w:tcBorders>
              <w:top w:val="nil"/>
              <w:left w:val="nil"/>
              <w:bottom w:val="nil"/>
              <w:right w:val="nil"/>
            </w:tcBorders>
            <w:shd w:val="clear" w:color="auto" w:fill="auto"/>
            <w:vAlign w:val="center"/>
          </w:tcPr>
          <w:p w14:paraId="01B1A0B5" w14:textId="77777777" w:rsidR="00FC752D" w:rsidRPr="00BC4AFE" w:rsidRDefault="00FC752D" w:rsidP="0034642E">
            <w:pPr>
              <w:rPr>
                <w:color w:val="000000" w:themeColor="text1"/>
                <w:kern w:val="20"/>
                <w:sz w:val="16"/>
                <w:szCs w:val="16"/>
              </w:rPr>
            </w:pPr>
          </w:p>
        </w:tc>
      </w:tr>
    </w:tbl>
    <w:p w14:paraId="3BBA95FC" w14:textId="77777777" w:rsidR="00FC752D" w:rsidRPr="00BC4AFE" w:rsidRDefault="00FC752D" w:rsidP="004E688F">
      <w:pPr>
        <w:ind w:left="2160" w:hanging="1440"/>
        <w:rPr>
          <w:color w:val="000000" w:themeColor="text1"/>
          <w:kern w:val="20"/>
        </w:rPr>
      </w:pPr>
    </w:p>
    <w:p w14:paraId="0018BA1F" w14:textId="77777777" w:rsidR="00FC752D" w:rsidRPr="00BC4AFE" w:rsidRDefault="00FC752D" w:rsidP="002442FB">
      <w:pPr>
        <w:keepNext/>
        <w:keepLines/>
        <w:spacing w:before="240" w:after="60"/>
        <w:ind w:left="806" w:hanging="806"/>
        <w:rPr>
          <w:color w:val="000000" w:themeColor="text1"/>
          <w:kern w:val="20"/>
        </w:rPr>
      </w:pPr>
      <w:r w:rsidRPr="00BC4AFE">
        <w:rPr>
          <w:rFonts w:asciiTheme="majorBidi" w:hAnsiTheme="majorBidi" w:cstheme="majorBidi"/>
          <w:b/>
          <w:bCs/>
        </w:rPr>
        <w:t>Table 5. Special Voluntary Trust Fund (VB) for Contributions to Facilitate the Participation of Indigenous Peoples and Local Communities for the period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FC752D" w:rsidRPr="00BC4AFE" w14:paraId="7F017D9C" w14:textId="77777777" w:rsidTr="0034642E">
        <w:trPr>
          <w:trHeight w:val="133"/>
          <w:jc w:val="center"/>
        </w:trPr>
        <w:tc>
          <w:tcPr>
            <w:tcW w:w="6792" w:type="dxa"/>
            <w:vMerge w:val="restart"/>
            <w:tcBorders>
              <w:top w:val="single" w:sz="8" w:space="0" w:color="000000"/>
              <w:left w:val="nil"/>
              <w:right w:val="nil"/>
            </w:tcBorders>
            <w:vAlign w:val="center"/>
          </w:tcPr>
          <w:p w14:paraId="4FA8D502" w14:textId="77777777" w:rsidR="00FC752D" w:rsidRPr="00BC4AFE" w:rsidRDefault="00FC752D" w:rsidP="002442FB">
            <w:pPr>
              <w:pStyle w:val="Default"/>
              <w:keepNext/>
              <w:keepLines/>
              <w:jc w:val="center"/>
              <w:rPr>
                <w:i/>
                <w:iCs/>
                <w:color w:val="000000" w:themeColor="text1"/>
                <w:kern w:val="20"/>
                <w:sz w:val="18"/>
                <w:szCs w:val="18"/>
                <w:lang w:val="en-GB"/>
              </w:rPr>
            </w:pPr>
            <w:r w:rsidRPr="00BC4AFE">
              <w:rPr>
                <w:i/>
                <w:iCs/>
                <w:color w:val="000000" w:themeColor="text1"/>
                <w:kern w:val="20"/>
                <w:sz w:val="18"/>
                <w:szCs w:val="18"/>
                <w:lang w:val="en-GB"/>
              </w:rPr>
              <w:t>Description</w:t>
            </w:r>
          </w:p>
        </w:tc>
        <w:tc>
          <w:tcPr>
            <w:tcW w:w="2112" w:type="dxa"/>
            <w:tcBorders>
              <w:top w:val="single" w:sz="8" w:space="0" w:color="000000"/>
              <w:left w:val="nil"/>
              <w:bottom w:val="nil"/>
              <w:right w:val="nil"/>
            </w:tcBorders>
          </w:tcPr>
          <w:p w14:paraId="1B008BD7" w14:textId="77777777" w:rsidR="00FC752D" w:rsidRPr="00BC4AFE" w:rsidRDefault="00FC752D" w:rsidP="002442FB">
            <w:pPr>
              <w:pStyle w:val="Default"/>
              <w:keepNext/>
              <w:keepLines/>
              <w:jc w:val="center"/>
              <w:rPr>
                <w:i/>
                <w:iCs/>
                <w:color w:val="000000" w:themeColor="text1"/>
                <w:kern w:val="20"/>
                <w:sz w:val="18"/>
                <w:szCs w:val="18"/>
                <w:lang w:val="en-GB"/>
              </w:rPr>
            </w:pPr>
            <w:r w:rsidRPr="00BC4AFE">
              <w:rPr>
                <w:i/>
                <w:iCs/>
                <w:color w:val="000000" w:themeColor="text1"/>
                <w:kern w:val="20"/>
                <w:sz w:val="18"/>
                <w:szCs w:val="18"/>
                <w:lang w:val="en-GB"/>
              </w:rPr>
              <w:t>2023-2024</w:t>
            </w:r>
          </w:p>
        </w:tc>
      </w:tr>
      <w:tr w:rsidR="00FC752D" w:rsidRPr="00BC4AFE" w14:paraId="06FF4C17" w14:textId="77777777" w:rsidTr="0034642E">
        <w:trPr>
          <w:trHeight w:val="151"/>
          <w:jc w:val="center"/>
        </w:trPr>
        <w:tc>
          <w:tcPr>
            <w:tcW w:w="6792" w:type="dxa"/>
            <w:vMerge/>
            <w:tcBorders>
              <w:bottom w:val="nil"/>
            </w:tcBorders>
            <w:vAlign w:val="center"/>
          </w:tcPr>
          <w:p w14:paraId="773CC6F3" w14:textId="77777777" w:rsidR="00FC752D" w:rsidRPr="00BC4AFE" w:rsidRDefault="00FC752D" w:rsidP="002442FB">
            <w:pPr>
              <w:pStyle w:val="Default"/>
              <w:keepNext/>
              <w:keepLines/>
              <w:rPr>
                <w:color w:val="000000" w:themeColor="text1"/>
                <w:kern w:val="20"/>
                <w:sz w:val="18"/>
                <w:szCs w:val="18"/>
                <w:lang w:val="en-GB"/>
              </w:rPr>
            </w:pPr>
          </w:p>
        </w:tc>
        <w:tc>
          <w:tcPr>
            <w:tcW w:w="2112" w:type="dxa"/>
            <w:tcBorders>
              <w:top w:val="nil"/>
              <w:bottom w:val="nil"/>
            </w:tcBorders>
          </w:tcPr>
          <w:p w14:paraId="71A94D16" w14:textId="77777777" w:rsidR="00FC752D" w:rsidRPr="00BC4AFE" w:rsidRDefault="00FC752D" w:rsidP="002442FB">
            <w:pPr>
              <w:pStyle w:val="Default"/>
              <w:keepNext/>
              <w:keepLines/>
              <w:jc w:val="center"/>
              <w:rPr>
                <w:i/>
                <w:iCs/>
                <w:color w:val="000000" w:themeColor="text1"/>
                <w:spacing w:val="-10"/>
                <w:kern w:val="20"/>
                <w:sz w:val="18"/>
                <w:szCs w:val="18"/>
                <w:lang w:val="en-GB"/>
              </w:rPr>
            </w:pPr>
            <w:r w:rsidRPr="00BC4AFE">
              <w:rPr>
                <w:i/>
                <w:iCs/>
                <w:color w:val="000000" w:themeColor="text1"/>
                <w:spacing w:val="-10"/>
                <w:kern w:val="20"/>
                <w:sz w:val="18"/>
                <w:szCs w:val="18"/>
                <w:lang w:val="en-GB"/>
              </w:rPr>
              <w:t>(Thousands of United States dollars)</w:t>
            </w:r>
          </w:p>
        </w:tc>
      </w:tr>
      <w:tr w:rsidR="00FC752D" w:rsidRPr="00BC4AFE" w14:paraId="6521E21F" w14:textId="77777777" w:rsidTr="00AA0E75">
        <w:trPr>
          <w:trHeight w:val="150"/>
          <w:jc w:val="center"/>
        </w:trPr>
        <w:tc>
          <w:tcPr>
            <w:tcW w:w="6792" w:type="dxa"/>
            <w:tcBorders>
              <w:top w:val="single" w:sz="4" w:space="0" w:color="auto"/>
              <w:bottom w:val="nil"/>
            </w:tcBorders>
          </w:tcPr>
          <w:p w14:paraId="0B16D504" w14:textId="77777777" w:rsidR="00FC752D" w:rsidRPr="00BC4AFE" w:rsidRDefault="00FC752D" w:rsidP="002442FB">
            <w:pPr>
              <w:pStyle w:val="Default"/>
              <w:keepNext/>
              <w:keepLines/>
              <w:rPr>
                <w:b/>
                <w:color w:val="000000" w:themeColor="text1"/>
                <w:kern w:val="20"/>
                <w:sz w:val="18"/>
                <w:szCs w:val="18"/>
                <w:lang w:val="en-GB"/>
              </w:rPr>
            </w:pPr>
            <w:r w:rsidRPr="00BC4AFE">
              <w:rPr>
                <w:b/>
                <w:bCs/>
                <w:color w:val="000000" w:themeColor="text1"/>
                <w:kern w:val="20"/>
                <w:sz w:val="18"/>
                <w:szCs w:val="18"/>
                <w:lang w:val="en-GB"/>
              </w:rPr>
              <w:t>I. Meetings:</w:t>
            </w:r>
          </w:p>
        </w:tc>
        <w:tc>
          <w:tcPr>
            <w:tcW w:w="2112" w:type="dxa"/>
            <w:tcBorders>
              <w:top w:val="single" w:sz="4" w:space="0" w:color="auto"/>
              <w:bottom w:val="nil"/>
            </w:tcBorders>
          </w:tcPr>
          <w:p w14:paraId="05F6B8F2" w14:textId="77777777" w:rsidR="00FC752D" w:rsidRPr="00BC4AFE" w:rsidRDefault="00FC752D" w:rsidP="002442FB">
            <w:pPr>
              <w:pStyle w:val="Default"/>
              <w:keepNext/>
              <w:keepLines/>
              <w:jc w:val="right"/>
              <w:rPr>
                <w:color w:val="000000" w:themeColor="text1"/>
                <w:kern w:val="20"/>
                <w:sz w:val="18"/>
                <w:szCs w:val="18"/>
                <w:lang w:val="en-GB"/>
              </w:rPr>
            </w:pPr>
          </w:p>
        </w:tc>
      </w:tr>
      <w:tr w:rsidR="00FC752D" w:rsidRPr="00BC4AFE" w14:paraId="11CEBB3F" w14:textId="77777777" w:rsidTr="00AA0E75">
        <w:trPr>
          <w:trHeight w:val="132"/>
          <w:jc w:val="center"/>
        </w:trPr>
        <w:tc>
          <w:tcPr>
            <w:tcW w:w="6792" w:type="dxa"/>
            <w:tcBorders>
              <w:top w:val="nil"/>
              <w:bottom w:val="single" w:sz="8" w:space="0" w:color="000000"/>
            </w:tcBorders>
            <w:vAlign w:val="center"/>
          </w:tcPr>
          <w:p w14:paraId="5FECA0AB" w14:textId="77777777" w:rsidR="00FC752D" w:rsidRPr="00BC4AFE" w:rsidRDefault="00FC752D" w:rsidP="0034642E">
            <w:pPr>
              <w:pStyle w:val="Default"/>
              <w:rPr>
                <w:color w:val="000000" w:themeColor="text1"/>
                <w:kern w:val="20"/>
                <w:sz w:val="18"/>
                <w:szCs w:val="18"/>
                <w:lang w:val="en-GB"/>
              </w:rPr>
            </w:pPr>
            <w:r w:rsidRPr="00BC4AFE">
              <w:rPr>
                <w:color w:val="000000" w:themeColor="text1"/>
                <w:kern w:val="20"/>
                <w:sz w:val="18"/>
                <w:szCs w:val="18"/>
                <w:lang w:val="en-GB"/>
              </w:rPr>
              <w:t>Support to indigenous peoples and local communities*</w:t>
            </w:r>
          </w:p>
        </w:tc>
        <w:tc>
          <w:tcPr>
            <w:tcW w:w="2112" w:type="dxa"/>
            <w:tcBorders>
              <w:top w:val="nil"/>
              <w:bottom w:val="single" w:sz="8" w:space="0" w:color="000000"/>
            </w:tcBorders>
            <w:vAlign w:val="center"/>
          </w:tcPr>
          <w:p w14:paraId="13DC9F0F" w14:textId="77777777" w:rsidR="00FC752D" w:rsidRPr="00BC4AFE" w:rsidRDefault="00FC752D" w:rsidP="0034642E">
            <w:pPr>
              <w:pStyle w:val="Default"/>
              <w:ind w:right="498"/>
              <w:jc w:val="right"/>
              <w:rPr>
                <w:color w:val="000000" w:themeColor="text1"/>
                <w:kern w:val="20"/>
                <w:sz w:val="18"/>
                <w:szCs w:val="18"/>
                <w:lang w:val="en-GB"/>
              </w:rPr>
            </w:pPr>
            <w:r w:rsidRPr="00BC4AFE">
              <w:rPr>
                <w:color w:val="000000" w:themeColor="text1"/>
                <w:kern w:val="20"/>
                <w:sz w:val="18"/>
                <w:szCs w:val="18"/>
                <w:lang w:val="en-GB"/>
              </w:rPr>
              <w:t>792.4</w:t>
            </w:r>
          </w:p>
        </w:tc>
      </w:tr>
      <w:tr w:rsidR="00FC752D" w:rsidRPr="00BC4AFE" w14:paraId="25D92FA1" w14:textId="77777777" w:rsidTr="0034642E">
        <w:trPr>
          <w:trHeight w:val="132"/>
          <w:jc w:val="center"/>
        </w:trPr>
        <w:tc>
          <w:tcPr>
            <w:tcW w:w="6792" w:type="dxa"/>
            <w:tcBorders>
              <w:top w:val="single" w:sz="8" w:space="0" w:color="000000"/>
              <w:bottom w:val="single" w:sz="8" w:space="0" w:color="000000"/>
            </w:tcBorders>
            <w:vAlign w:val="center"/>
          </w:tcPr>
          <w:p w14:paraId="42F22D96" w14:textId="77777777" w:rsidR="00FC752D" w:rsidRPr="00BC4AFE" w:rsidRDefault="00FC752D" w:rsidP="0034642E">
            <w:pPr>
              <w:pStyle w:val="Default"/>
              <w:rPr>
                <w:color w:val="000000" w:themeColor="text1"/>
                <w:kern w:val="20"/>
                <w:sz w:val="18"/>
                <w:szCs w:val="18"/>
                <w:lang w:val="en-GB"/>
              </w:rPr>
            </w:pPr>
            <w:r w:rsidRPr="00BC4AFE">
              <w:rPr>
                <w:b/>
                <w:bCs/>
                <w:color w:val="000000" w:themeColor="text1"/>
                <w:kern w:val="20"/>
                <w:sz w:val="18"/>
                <w:szCs w:val="18"/>
                <w:lang w:val="en-GB"/>
              </w:rPr>
              <w:t>Subtotal</w:t>
            </w:r>
          </w:p>
        </w:tc>
        <w:tc>
          <w:tcPr>
            <w:tcW w:w="2112" w:type="dxa"/>
            <w:tcBorders>
              <w:top w:val="single" w:sz="8" w:space="0" w:color="000000"/>
              <w:bottom w:val="single" w:sz="8" w:space="0" w:color="000000"/>
            </w:tcBorders>
            <w:vAlign w:val="center"/>
          </w:tcPr>
          <w:p w14:paraId="5FCBBB31" w14:textId="77777777" w:rsidR="00FC752D" w:rsidRPr="00BC4AFE" w:rsidRDefault="00FC752D" w:rsidP="0034642E">
            <w:pPr>
              <w:pStyle w:val="Default"/>
              <w:ind w:right="498"/>
              <w:jc w:val="right"/>
              <w:rPr>
                <w:color w:val="000000" w:themeColor="text1"/>
                <w:kern w:val="20"/>
                <w:sz w:val="18"/>
                <w:szCs w:val="18"/>
                <w:lang w:val="en-GB"/>
              </w:rPr>
            </w:pPr>
            <w:r w:rsidRPr="00BC4AFE">
              <w:rPr>
                <w:b/>
                <w:bCs/>
                <w:color w:val="000000" w:themeColor="text1"/>
                <w:kern w:val="20"/>
                <w:sz w:val="18"/>
                <w:szCs w:val="18"/>
                <w:lang w:val="en-GB"/>
              </w:rPr>
              <w:t>792.4</w:t>
            </w:r>
          </w:p>
        </w:tc>
      </w:tr>
      <w:tr w:rsidR="00FC752D" w:rsidRPr="00BC4AFE" w14:paraId="5FB5A75B" w14:textId="77777777" w:rsidTr="0034642E">
        <w:trPr>
          <w:trHeight w:val="132"/>
          <w:jc w:val="center"/>
        </w:trPr>
        <w:tc>
          <w:tcPr>
            <w:tcW w:w="6792" w:type="dxa"/>
            <w:tcBorders>
              <w:top w:val="single" w:sz="8" w:space="0" w:color="000000"/>
              <w:bottom w:val="single" w:sz="8" w:space="0" w:color="000000"/>
            </w:tcBorders>
            <w:vAlign w:val="center"/>
          </w:tcPr>
          <w:p w14:paraId="1804EB63" w14:textId="77777777" w:rsidR="00FC752D" w:rsidRPr="00BC4AFE" w:rsidRDefault="00FC752D" w:rsidP="0034642E">
            <w:pPr>
              <w:pStyle w:val="Default"/>
              <w:rPr>
                <w:b/>
                <w:bCs/>
                <w:color w:val="000000" w:themeColor="text1"/>
                <w:kern w:val="20"/>
                <w:sz w:val="18"/>
                <w:szCs w:val="18"/>
                <w:lang w:val="en-GB"/>
              </w:rPr>
            </w:pPr>
            <w:r w:rsidRPr="00BC4AFE">
              <w:rPr>
                <w:b/>
                <w:bCs/>
                <w:color w:val="000000" w:themeColor="text1"/>
                <w:kern w:val="20"/>
                <w:sz w:val="18"/>
                <w:szCs w:val="18"/>
                <w:lang w:val="en-GB"/>
              </w:rPr>
              <w:t>II. Programme support costs</w:t>
            </w:r>
          </w:p>
        </w:tc>
        <w:tc>
          <w:tcPr>
            <w:tcW w:w="2112" w:type="dxa"/>
            <w:tcBorders>
              <w:top w:val="single" w:sz="8" w:space="0" w:color="000000"/>
              <w:bottom w:val="single" w:sz="8" w:space="0" w:color="000000"/>
            </w:tcBorders>
            <w:vAlign w:val="center"/>
          </w:tcPr>
          <w:p w14:paraId="0FC6FBC6" w14:textId="77777777" w:rsidR="00FC752D" w:rsidRPr="00BC4AFE" w:rsidRDefault="00FC752D" w:rsidP="0034642E">
            <w:pPr>
              <w:pStyle w:val="Default"/>
              <w:ind w:right="498"/>
              <w:jc w:val="right"/>
              <w:rPr>
                <w:b/>
                <w:bCs/>
                <w:color w:val="000000" w:themeColor="text1"/>
                <w:kern w:val="20"/>
                <w:sz w:val="18"/>
                <w:szCs w:val="18"/>
                <w:lang w:val="en-GB"/>
              </w:rPr>
            </w:pPr>
            <w:r w:rsidRPr="00BC4AFE">
              <w:rPr>
                <w:b/>
                <w:bCs/>
                <w:color w:val="000000" w:themeColor="text1"/>
                <w:kern w:val="20"/>
                <w:sz w:val="18"/>
                <w:szCs w:val="18"/>
                <w:lang w:val="en-GB"/>
              </w:rPr>
              <w:t>103.0</w:t>
            </w:r>
          </w:p>
        </w:tc>
      </w:tr>
      <w:tr w:rsidR="00FC752D" w:rsidRPr="00BC4AFE" w14:paraId="15F69728" w14:textId="77777777" w:rsidTr="0034642E">
        <w:trPr>
          <w:trHeight w:val="132"/>
          <w:jc w:val="center"/>
        </w:trPr>
        <w:tc>
          <w:tcPr>
            <w:tcW w:w="6792" w:type="dxa"/>
            <w:tcBorders>
              <w:top w:val="single" w:sz="8" w:space="0" w:color="000000"/>
              <w:bottom w:val="single" w:sz="8" w:space="0" w:color="000000"/>
            </w:tcBorders>
            <w:vAlign w:val="center"/>
          </w:tcPr>
          <w:p w14:paraId="56E23263" w14:textId="77777777" w:rsidR="00FC752D" w:rsidRPr="00BC4AFE" w:rsidRDefault="00FC752D" w:rsidP="0034642E">
            <w:pPr>
              <w:pStyle w:val="Default"/>
              <w:rPr>
                <w:b/>
                <w:bCs/>
                <w:color w:val="000000" w:themeColor="text1"/>
                <w:kern w:val="20"/>
                <w:sz w:val="18"/>
                <w:szCs w:val="18"/>
                <w:lang w:val="en-GB"/>
              </w:rPr>
            </w:pPr>
            <w:r w:rsidRPr="00BC4AFE">
              <w:rPr>
                <w:b/>
                <w:bCs/>
                <w:color w:val="000000" w:themeColor="text1"/>
                <w:kern w:val="20"/>
                <w:sz w:val="18"/>
                <w:szCs w:val="18"/>
                <w:lang w:val="en-GB"/>
              </w:rPr>
              <w:t>Total costs (I+II)</w:t>
            </w:r>
          </w:p>
        </w:tc>
        <w:tc>
          <w:tcPr>
            <w:tcW w:w="2112" w:type="dxa"/>
            <w:tcBorders>
              <w:top w:val="single" w:sz="8" w:space="0" w:color="000000"/>
              <w:bottom w:val="single" w:sz="8" w:space="0" w:color="000000"/>
            </w:tcBorders>
            <w:vAlign w:val="center"/>
          </w:tcPr>
          <w:p w14:paraId="3EB3E21F" w14:textId="77777777" w:rsidR="00FC752D" w:rsidRPr="00BC4AFE" w:rsidRDefault="00FC752D" w:rsidP="0034642E">
            <w:pPr>
              <w:pStyle w:val="Default"/>
              <w:ind w:right="498"/>
              <w:jc w:val="right"/>
              <w:rPr>
                <w:b/>
                <w:bCs/>
                <w:i/>
                <w:iCs/>
                <w:color w:val="000000" w:themeColor="text1"/>
                <w:kern w:val="20"/>
                <w:sz w:val="18"/>
                <w:szCs w:val="18"/>
                <w:lang w:val="en-GB"/>
              </w:rPr>
            </w:pPr>
            <w:r w:rsidRPr="00BC4AFE">
              <w:rPr>
                <w:b/>
                <w:bCs/>
                <w:color w:val="000000" w:themeColor="text1"/>
                <w:kern w:val="20"/>
                <w:sz w:val="18"/>
                <w:szCs w:val="18"/>
                <w:lang w:val="en-GB"/>
              </w:rPr>
              <w:t>895.4</w:t>
            </w:r>
          </w:p>
        </w:tc>
      </w:tr>
    </w:tbl>
    <w:p w14:paraId="30118F7B" w14:textId="77777777" w:rsidR="00FC752D" w:rsidRPr="00BC4AFE" w:rsidRDefault="00FC752D" w:rsidP="00936697">
      <w:pPr>
        <w:pStyle w:val="NormalWeb"/>
        <w:spacing w:before="120" w:after="120" w:line="480" w:lineRule="auto"/>
        <w:rPr>
          <w:rFonts w:asciiTheme="majorBidi" w:hAnsiTheme="majorBidi" w:cstheme="majorBidi"/>
          <w:color w:val="000000"/>
          <w:sz w:val="18"/>
          <w:szCs w:val="18"/>
        </w:rPr>
      </w:pPr>
      <w:r w:rsidRPr="00BC4AFE">
        <w:rPr>
          <w:rFonts w:asciiTheme="majorBidi" w:hAnsiTheme="majorBidi" w:cstheme="majorBidi"/>
          <w:color w:val="000000"/>
          <w:sz w:val="18"/>
          <w:szCs w:val="18"/>
        </w:rPr>
        <w:t>*Two participants funded from each region.</w:t>
      </w:r>
    </w:p>
    <w:p w14:paraId="2CBA3322" w14:textId="77777777" w:rsidR="00FC752D" w:rsidRPr="00BC4AFE" w:rsidRDefault="00FC752D" w:rsidP="00AA0E75">
      <w:pPr>
        <w:rPr>
          <w:rFonts w:asciiTheme="majorBidi" w:hAnsiTheme="majorBidi" w:cstheme="majorBidi"/>
          <w:color w:val="000000"/>
        </w:rPr>
      </w:pPr>
      <w:r w:rsidRPr="00BC4AFE">
        <w:rPr>
          <w:rFonts w:asciiTheme="majorBidi" w:hAnsiTheme="majorBidi" w:cstheme="majorBidi"/>
          <w:color w:val="000000"/>
        </w:rPr>
        <w:br w:type="page"/>
      </w:r>
    </w:p>
    <w:p w14:paraId="7E4863D5" w14:textId="77777777" w:rsidR="00FC752D" w:rsidRPr="00BC4AFE" w:rsidRDefault="00FC752D">
      <w:pPr>
        <w:keepNext/>
        <w:spacing w:before="240" w:after="60"/>
        <w:ind w:left="806" w:hanging="806"/>
        <w:rPr>
          <w:b/>
          <w:color w:val="000000" w:themeColor="text1"/>
          <w:kern w:val="20"/>
        </w:rPr>
      </w:pPr>
      <w:r w:rsidRPr="00BC4AFE">
        <w:rPr>
          <w:b/>
          <w:kern w:val="20"/>
        </w:rPr>
        <w:lastRenderedPageBreak/>
        <w:t xml:space="preserve">Table 6. </w:t>
      </w:r>
      <w:r w:rsidRPr="00BC4AFE">
        <w:rPr>
          <w:b/>
          <w:bCs/>
          <w:color w:val="000000" w:themeColor="text1"/>
        </w:rPr>
        <w:t>Contributions</w:t>
      </w:r>
      <w:r w:rsidRPr="00BC4AFE">
        <w:rPr>
          <w:b/>
          <w:color w:val="000000" w:themeColor="text1"/>
          <w:kern w:val="20"/>
        </w:rPr>
        <w:t xml:space="preserve"> to the Trust Fund for the Convention on Biological Diversity for the biennium 2023-2024</w:t>
      </w:r>
      <w:r w:rsidRPr="00610646">
        <w:rPr>
          <w:rStyle w:val="FootnoteReference"/>
        </w:rPr>
        <w:footnoteReference w:id="391"/>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171"/>
      </w:tblGrid>
      <w:tr w:rsidR="00FC752D" w:rsidRPr="00BC4AFE" w14:paraId="2C1794F7" w14:textId="77777777" w:rsidTr="00A60395">
        <w:trPr>
          <w:cantSplit/>
          <w:trHeight w:val="245"/>
          <w:tblHeader/>
        </w:trPr>
        <w:tc>
          <w:tcPr>
            <w:tcW w:w="3605" w:type="dxa"/>
            <w:shd w:val="clear" w:color="auto" w:fill="auto"/>
            <w:noWrap/>
            <w:vAlign w:val="bottom"/>
          </w:tcPr>
          <w:p w14:paraId="3A2AE355" w14:textId="77777777" w:rsidR="00FC752D" w:rsidRPr="00BC4AFE" w:rsidRDefault="00FC752D" w:rsidP="006211D7">
            <w:pPr>
              <w:widowControl w:val="0"/>
              <w:ind w:right="144"/>
              <w:rPr>
                <w:b/>
                <w:bCs/>
                <w:sz w:val="18"/>
                <w:szCs w:val="18"/>
              </w:rPr>
            </w:pPr>
            <w:r w:rsidRPr="00BC4AFE">
              <w:rPr>
                <w:b/>
                <w:bCs/>
                <w:sz w:val="18"/>
                <w:szCs w:val="18"/>
              </w:rPr>
              <w:t>Party</w:t>
            </w:r>
          </w:p>
        </w:tc>
        <w:tc>
          <w:tcPr>
            <w:tcW w:w="1182" w:type="dxa"/>
            <w:shd w:val="clear" w:color="auto" w:fill="auto"/>
            <w:vAlign w:val="bottom"/>
          </w:tcPr>
          <w:p w14:paraId="1A5FFE96" w14:textId="77777777" w:rsidR="00FC752D" w:rsidRPr="00BC4AFE" w:rsidRDefault="00FC752D" w:rsidP="006211D7">
            <w:pPr>
              <w:widowControl w:val="0"/>
              <w:ind w:right="144"/>
              <w:jc w:val="center"/>
              <w:rPr>
                <w:b/>
                <w:bCs/>
                <w:sz w:val="16"/>
                <w:szCs w:val="16"/>
              </w:rPr>
            </w:pPr>
            <w:r w:rsidRPr="00BC4AFE">
              <w:rPr>
                <w:b/>
                <w:bCs/>
                <w:sz w:val="16"/>
                <w:szCs w:val="16"/>
              </w:rPr>
              <w:t>Scale of assessments 2022-2024</w:t>
            </w:r>
          </w:p>
        </w:tc>
        <w:tc>
          <w:tcPr>
            <w:tcW w:w="1182" w:type="dxa"/>
            <w:shd w:val="clear" w:color="auto" w:fill="auto"/>
            <w:vAlign w:val="bottom"/>
          </w:tcPr>
          <w:p w14:paraId="6FB677A3" w14:textId="77777777" w:rsidR="00FC752D" w:rsidRPr="00BC4AFE" w:rsidRDefault="00FC752D" w:rsidP="006211D7">
            <w:pPr>
              <w:widowControl w:val="0"/>
              <w:jc w:val="center"/>
              <w:rPr>
                <w:b/>
                <w:bCs/>
                <w:sz w:val="18"/>
                <w:szCs w:val="18"/>
              </w:rPr>
            </w:pPr>
            <w:r w:rsidRPr="00BC4AFE">
              <w:rPr>
                <w:b/>
                <w:bCs/>
                <w:sz w:val="16"/>
                <w:szCs w:val="16"/>
              </w:rPr>
              <w:t xml:space="preserve">Scale with 22% ceiling, no LDC paying more than 0.01% </w:t>
            </w:r>
          </w:p>
        </w:tc>
        <w:tc>
          <w:tcPr>
            <w:tcW w:w="1182" w:type="dxa"/>
            <w:shd w:val="clear" w:color="auto" w:fill="auto"/>
            <w:vAlign w:val="bottom"/>
          </w:tcPr>
          <w:p w14:paraId="46189C6E" w14:textId="77777777" w:rsidR="00FC752D" w:rsidRPr="00BC4AFE" w:rsidRDefault="00FC752D" w:rsidP="006211D7">
            <w:pPr>
              <w:widowControl w:val="0"/>
              <w:jc w:val="center"/>
              <w:rPr>
                <w:b/>
                <w:bCs/>
                <w:sz w:val="16"/>
                <w:szCs w:val="16"/>
              </w:rPr>
            </w:pPr>
            <w:r w:rsidRPr="00BC4AFE">
              <w:rPr>
                <w:b/>
                <w:bCs/>
                <w:sz w:val="16"/>
                <w:szCs w:val="16"/>
              </w:rPr>
              <w:t xml:space="preserve">Contribution due as of 1 January 2023 </w:t>
            </w:r>
          </w:p>
          <w:p w14:paraId="3935F750" w14:textId="77777777" w:rsidR="00FC752D" w:rsidRPr="00BC4AFE" w:rsidRDefault="00FC752D" w:rsidP="006211D7">
            <w:pPr>
              <w:widowControl w:val="0"/>
              <w:jc w:val="center"/>
              <w:rPr>
                <w:b/>
                <w:bCs/>
                <w:sz w:val="18"/>
                <w:szCs w:val="18"/>
              </w:rPr>
            </w:pPr>
            <w:r w:rsidRPr="00BC4AFE">
              <w:rPr>
                <w:b/>
                <w:bCs/>
                <w:sz w:val="16"/>
                <w:szCs w:val="16"/>
              </w:rPr>
              <w:t>(US$)</w:t>
            </w:r>
          </w:p>
        </w:tc>
        <w:tc>
          <w:tcPr>
            <w:tcW w:w="1182" w:type="dxa"/>
            <w:shd w:val="clear" w:color="auto" w:fill="auto"/>
            <w:vAlign w:val="bottom"/>
          </w:tcPr>
          <w:p w14:paraId="665D7940" w14:textId="77777777" w:rsidR="00FC752D" w:rsidRPr="00BC4AFE" w:rsidRDefault="00FC752D" w:rsidP="006211D7">
            <w:pPr>
              <w:widowControl w:val="0"/>
              <w:jc w:val="center"/>
              <w:rPr>
                <w:b/>
                <w:bCs/>
                <w:sz w:val="16"/>
                <w:szCs w:val="16"/>
              </w:rPr>
            </w:pPr>
            <w:r w:rsidRPr="00BC4AFE">
              <w:rPr>
                <w:b/>
                <w:bCs/>
                <w:sz w:val="16"/>
                <w:szCs w:val="16"/>
              </w:rPr>
              <w:t>Contribution due as of 1 January 2024</w:t>
            </w:r>
          </w:p>
          <w:p w14:paraId="2B016724" w14:textId="77777777" w:rsidR="00FC752D" w:rsidRPr="00BC4AFE" w:rsidRDefault="00FC752D" w:rsidP="006211D7">
            <w:pPr>
              <w:widowControl w:val="0"/>
              <w:jc w:val="center"/>
              <w:rPr>
                <w:b/>
                <w:bCs/>
                <w:sz w:val="18"/>
                <w:szCs w:val="18"/>
              </w:rPr>
            </w:pPr>
            <w:r w:rsidRPr="00BC4AFE">
              <w:rPr>
                <w:b/>
                <w:bCs/>
                <w:sz w:val="16"/>
                <w:szCs w:val="16"/>
              </w:rPr>
              <w:t>(US$)</w:t>
            </w:r>
          </w:p>
        </w:tc>
        <w:tc>
          <w:tcPr>
            <w:tcW w:w="1171" w:type="dxa"/>
            <w:shd w:val="clear" w:color="auto" w:fill="auto"/>
            <w:vAlign w:val="bottom"/>
          </w:tcPr>
          <w:p w14:paraId="6FDE9037" w14:textId="77777777" w:rsidR="00FC752D" w:rsidRPr="00BC4AFE" w:rsidRDefault="00FC752D" w:rsidP="006211D7">
            <w:pPr>
              <w:widowControl w:val="0"/>
              <w:ind w:right="144"/>
              <w:jc w:val="center"/>
              <w:rPr>
                <w:b/>
                <w:bCs/>
                <w:sz w:val="16"/>
                <w:szCs w:val="16"/>
              </w:rPr>
            </w:pPr>
            <w:r w:rsidRPr="00BC4AFE">
              <w:rPr>
                <w:b/>
                <w:bCs/>
                <w:sz w:val="16"/>
                <w:szCs w:val="16"/>
              </w:rPr>
              <w:t xml:space="preserve">Total 2023-2024 </w:t>
            </w:r>
          </w:p>
          <w:p w14:paraId="484F7A67" w14:textId="77777777" w:rsidR="00FC752D" w:rsidRPr="00BC4AFE" w:rsidRDefault="00FC752D" w:rsidP="006211D7">
            <w:pPr>
              <w:widowControl w:val="0"/>
              <w:ind w:right="144"/>
              <w:jc w:val="center"/>
              <w:rPr>
                <w:b/>
                <w:bCs/>
                <w:sz w:val="18"/>
                <w:szCs w:val="18"/>
              </w:rPr>
            </w:pPr>
            <w:r w:rsidRPr="00BC4AFE">
              <w:rPr>
                <w:b/>
                <w:bCs/>
                <w:sz w:val="16"/>
                <w:szCs w:val="16"/>
              </w:rPr>
              <w:t>(US$)</w:t>
            </w:r>
          </w:p>
        </w:tc>
      </w:tr>
      <w:tr w:rsidR="00FC752D" w:rsidRPr="00BC4AFE" w14:paraId="52A48A47" w14:textId="77777777" w:rsidTr="00A60395">
        <w:trPr>
          <w:cantSplit/>
          <w:trHeight w:val="245"/>
        </w:trPr>
        <w:tc>
          <w:tcPr>
            <w:tcW w:w="3605" w:type="dxa"/>
            <w:shd w:val="clear" w:color="auto" w:fill="auto"/>
            <w:vAlign w:val="center"/>
            <w:hideMark/>
          </w:tcPr>
          <w:p w14:paraId="1FBA8F84" w14:textId="77777777" w:rsidR="00FC752D" w:rsidRPr="00BC4AFE" w:rsidRDefault="00FC752D" w:rsidP="006211D7">
            <w:pPr>
              <w:widowControl w:val="0"/>
              <w:ind w:left="144" w:hanging="144"/>
              <w:rPr>
                <w:sz w:val="18"/>
                <w:szCs w:val="18"/>
              </w:rPr>
            </w:pPr>
            <w:r w:rsidRPr="00BC4AFE">
              <w:rPr>
                <w:sz w:val="18"/>
                <w:szCs w:val="18"/>
              </w:rPr>
              <w:t>Afghanistan</w:t>
            </w:r>
          </w:p>
        </w:tc>
        <w:tc>
          <w:tcPr>
            <w:tcW w:w="1182" w:type="dxa"/>
            <w:shd w:val="clear" w:color="auto" w:fill="auto"/>
            <w:vAlign w:val="center"/>
            <w:hideMark/>
          </w:tcPr>
          <w:p w14:paraId="53206EE1"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1E4A82DC"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2B8AF296" w14:textId="77777777" w:rsidR="00FC752D" w:rsidRPr="00BC4AFE" w:rsidRDefault="00FC752D" w:rsidP="006211D7">
            <w:pPr>
              <w:widowControl w:val="0"/>
              <w:ind w:right="144"/>
              <w:jc w:val="right"/>
              <w:rPr>
                <w:sz w:val="18"/>
                <w:szCs w:val="18"/>
              </w:rPr>
            </w:pPr>
            <w:r w:rsidRPr="00BC4AFE">
              <w:rPr>
                <w:sz w:val="18"/>
                <w:szCs w:val="18"/>
              </w:rPr>
              <w:t>977</w:t>
            </w:r>
          </w:p>
        </w:tc>
        <w:tc>
          <w:tcPr>
            <w:tcW w:w="1182" w:type="dxa"/>
            <w:shd w:val="clear" w:color="auto" w:fill="auto"/>
            <w:noWrap/>
            <w:vAlign w:val="center"/>
            <w:hideMark/>
          </w:tcPr>
          <w:p w14:paraId="0C8934F8" w14:textId="77777777" w:rsidR="00FC752D" w:rsidRPr="00BC4AFE" w:rsidRDefault="00FC752D" w:rsidP="006211D7">
            <w:pPr>
              <w:widowControl w:val="0"/>
              <w:ind w:right="144"/>
              <w:jc w:val="right"/>
              <w:rPr>
                <w:sz w:val="18"/>
                <w:szCs w:val="18"/>
              </w:rPr>
            </w:pPr>
            <w:r w:rsidRPr="00BC4AFE">
              <w:rPr>
                <w:sz w:val="18"/>
                <w:szCs w:val="18"/>
              </w:rPr>
              <w:t>1,072</w:t>
            </w:r>
          </w:p>
        </w:tc>
        <w:tc>
          <w:tcPr>
            <w:tcW w:w="1171" w:type="dxa"/>
            <w:shd w:val="clear" w:color="auto" w:fill="auto"/>
            <w:noWrap/>
            <w:vAlign w:val="center"/>
            <w:hideMark/>
          </w:tcPr>
          <w:p w14:paraId="06C1C4B8" w14:textId="77777777" w:rsidR="00FC752D" w:rsidRPr="00BC4AFE" w:rsidRDefault="00FC752D" w:rsidP="006211D7">
            <w:pPr>
              <w:widowControl w:val="0"/>
              <w:ind w:right="144"/>
              <w:jc w:val="right"/>
              <w:rPr>
                <w:sz w:val="18"/>
                <w:szCs w:val="18"/>
              </w:rPr>
            </w:pPr>
            <w:r w:rsidRPr="00BC4AFE">
              <w:rPr>
                <w:sz w:val="18"/>
                <w:szCs w:val="18"/>
              </w:rPr>
              <w:t>2,049</w:t>
            </w:r>
          </w:p>
        </w:tc>
      </w:tr>
      <w:tr w:rsidR="00FC752D" w:rsidRPr="00BC4AFE" w14:paraId="223B44A0" w14:textId="77777777" w:rsidTr="00A60395">
        <w:trPr>
          <w:cantSplit/>
          <w:trHeight w:val="245"/>
        </w:trPr>
        <w:tc>
          <w:tcPr>
            <w:tcW w:w="3605" w:type="dxa"/>
            <w:shd w:val="clear" w:color="auto" w:fill="auto"/>
            <w:vAlign w:val="center"/>
            <w:hideMark/>
          </w:tcPr>
          <w:p w14:paraId="0D59B1EB" w14:textId="77777777" w:rsidR="00FC752D" w:rsidRPr="00BC4AFE" w:rsidRDefault="00FC752D" w:rsidP="006211D7">
            <w:pPr>
              <w:widowControl w:val="0"/>
              <w:ind w:left="144" w:hanging="144"/>
              <w:rPr>
                <w:sz w:val="18"/>
                <w:szCs w:val="18"/>
              </w:rPr>
            </w:pPr>
            <w:r w:rsidRPr="00BC4AFE">
              <w:rPr>
                <w:sz w:val="18"/>
                <w:szCs w:val="18"/>
              </w:rPr>
              <w:t>Albania</w:t>
            </w:r>
          </w:p>
        </w:tc>
        <w:tc>
          <w:tcPr>
            <w:tcW w:w="1182" w:type="dxa"/>
            <w:shd w:val="clear" w:color="auto" w:fill="auto"/>
            <w:vAlign w:val="center"/>
            <w:hideMark/>
          </w:tcPr>
          <w:p w14:paraId="450B3BF8"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5B086A64"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6CE65B3D"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5C4715FD"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2E237B3B"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22EC6C87" w14:textId="77777777" w:rsidTr="00A60395">
        <w:trPr>
          <w:cantSplit/>
          <w:trHeight w:val="245"/>
        </w:trPr>
        <w:tc>
          <w:tcPr>
            <w:tcW w:w="3605" w:type="dxa"/>
            <w:shd w:val="clear" w:color="auto" w:fill="auto"/>
            <w:vAlign w:val="center"/>
            <w:hideMark/>
          </w:tcPr>
          <w:p w14:paraId="56C47ED2" w14:textId="77777777" w:rsidR="00FC752D" w:rsidRPr="00BC4AFE" w:rsidRDefault="00FC752D" w:rsidP="006211D7">
            <w:pPr>
              <w:widowControl w:val="0"/>
              <w:ind w:left="144" w:hanging="144"/>
              <w:rPr>
                <w:sz w:val="18"/>
                <w:szCs w:val="18"/>
              </w:rPr>
            </w:pPr>
            <w:r w:rsidRPr="00BC4AFE">
              <w:rPr>
                <w:sz w:val="18"/>
                <w:szCs w:val="18"/>
              </w:rPr>
              <w:t>Algeria</w:t>
            </w:r>
          </w:p>
        </w:tc>
        <w:tc>
          <w:tcPr>
            <w:tcW w:w="1182" w:type="dxa"/>
            <w:shd w:val="clear" w:color="auto" w:fill="auto"/>
            <w:vAlign w:val="center"/>
            <w:hideMark/>
          </w:tcPr>
          <w:p w14:paraId="4B42302E" w14:textId="77777777" w:rsidR="00FC752D" w:rsidRPr="00BC4AFE" w:rsidRDefault="00FC752D" w:rsidP="006211D7">
            <w:pPr>
              <w:widowControl w:val="0"/>
              <w:ind w:right="144"/>
              <w:jc w:val="right"/>
              <w:rPr>
                <w:sz w:val="18"/>
                <w:szCs w:val="18"/>
              </w:rPr>
            </w:pPr>
            <w:r w:rsidRPr="00BC4AFE">
              <w:rPr>
                <w:sz w:val="18"/>
                <w:szCs w:val="18"/>
              </w:rPr>
              <w:t>0.109</w:t>
            </w:r>
          </w:p>
        </w:tc>
        <w:tc>
          <w:tcPr>
            <w:tcW w:w="1182" w:type="dxa"/>
            <w:shd w:val="clear" w:color="auto" w:fill="auto"/>
            <w:noWrap/>
            <w:vAlign w:val="center"/>
            <w:hideMark/>
          </w:tcPr>
          <w:p w14:paraId="453F3226" w14:textId="77777777" w:rsidR="00FC752D" w:rsidRPr="00BC4AFE" w:rsidRDefault="00FC752D" w:rsidP="006211D7">
            <w:pPr>
              <w:widowControl w:val="0"/>
              <w:ind w:right="144"/>
              <w:jc w:val="right"/>
              <w:rPr>
                <w:sz w:val="18"/>
                <w:szCs w:val="18"/>
              </w:rPr>
            </w:pPr>
            <w:r w:rsidRPr="00BC4AFE">
              <w:rPr>
                <w:sz w:val="18"/>
                <w:szCs w:val="18"/>
              </w:rPr>
              <w:t>0.136</w:t>
            </w:r>
          </w:p>
        </w:tc>
        <w:tc>
          <w:tcPr>
            <w:tcW w:w="1182" w:type="dxa"/>
            <w:shd w:val="clear" w:color="auto" w:fill="auto"/>
            <w:noWrap/>
            <w:vAlign w:val="center"/>
            <w:hideMark/>
          </w:tcPr>
          <w:p w14:paraId="2473A2B0" w14:textId="77777777" w:rsidR="00FC752D" w:rsidRPr="00BC4AFE" w:rsidRDefault="00FC752D" w:rsidP="006211D7">
            <w:pPr>
              <w:widowControl w:val="0"/>
              <w:ind w:right="144"/>
              <w:jc w:val="right"/>
              <w:rPr>
                <w:sz w:val="18"/>
                <w:szCs w:val="18"/>
              </w:rPr>
            </w:pPr>
            <w:r w:rsidRPr="00BC4AFE">
              <w:rPr>
                <w:sz w:val="18"/>
                <w:szCs w:val="18"/>
              </w:rPr>
              <w:t>17,750</w:t>
            </w:r>
          </w:p>
        </w:tc>
        <w:tc>
          <w:tcPr>
            <w:tcW w:w="1182" w:type="dxa"/>
            <w:shd w:val="clear" w:color="auto" w:fill="auto"/>
            <w:noWrap/>
            <w:vAlign w:val="center"/>
            <w:hideMark/>
          </w:tcPr>
          <w:p w14:paraId="03350D56" w14:textId="77777777" w:rsidR="00FC752D" w:rsidRPr="00BC4AFE" w:rsidRDefault="00FC752D" w:rsidP="006211D7">
            <w:pPr>
              <w:widowControl w:val="0"/>
              <w:ind w:right="144"/>
              <w:jc w:val="right"/>
              <w:rPr>
                <w:sz w:val="18"/>
                <w:szCs w:val="18"/>
              </w:rPr>
            </w:pPr>
            <w:r w:rsidRPr="00BC4AFE">
              <w:rPr>
                <w:sz w:val="18"/>
                <w:szCs w:val="18"/>
              </w:rPr>
              <w:t>19,469</w:t>
            </w:r>
          </w:p>
        </w:tc>
        <w:tc>
          <w:tcPr>
            <w:tcW w:w="1171" w:type="dxa"/>
            <w:shd w:val="clear" w:color="auto" w:fill="auto"/>
            <w:noWrap/>
            <w:vAlign w:val="center"/>
            <w:hideMark/>
          </w:tcPr>
          <w:p w14:paraId="254D5617" w14:textId="77777777" w:rsidR="00FC752D" w:rsidRPr="00BC4AFE" w:rsidRDefault="00FC752D" w:rsidP="006211D7">
            <w:pPr>
              <w:widowControl w:val="0"/>
              <w:ind w:right="144"/>
              <w:jc w:val="right"/>
              <w:rPr>
                <w:sz w:val="18"/>
                <w:szCs w:val="18"/>
              </w:rPr>
            </w:pPr>
            <w:r w:rsidRPr="00BC4AFE">
              <w:rPr>
                <w:sz w:val="18"/>
                <w:szCs w:val="18"/>
              </w:rPr>
              <w:t>37,220</w:t>
            </w:r>
          </w:p>
        </w:tc>
      </w:tr>
      <w:tr w:rsidR="00FC752D" w:rsidRPr="00BC4AFE" w14:paraId="4E9FE360" w14:textId="77777777" w:rsidTr="00A60395">
        <w:trPr>
          <w:cantSplit/>
          <w:trHeight w:val="245"/>
        </w:trPr>
        <w:tc>
          <w:tcPr>
            <w:tcW w:w="3605" w:type="dxa"/>
            <w:shd w:val="clear" w:color="auto" w:fill="auto"/>
            <w:vAlign w:val="center"/>
            <w:hideMark/>
          </w:tcPr>
          <w:p w14:paraId="630C3C0D" w14:textId="77777777" w:rsidR="00FC752D" w:rsidRPr="00BC4AFE" w:rsidRDefault="00FC752D" w:rsidP="006211D7">
            <w:pPr>
              <w:widowControl w:val="0"/>
              <w:ind w:left="144" w:hanging="144"/>
              <w:rPr>
                <w:sz w:val="18"/>
                <w:szCs w:val="18"/>
              </w:rPr>
            </w:pPr>
            <w:r w:rsidRPr="00BC4AFE">
              <w:rPr>
                <w:sz w:val="18"/>
                <w:szCs w:val="18"/>
              </w:rPr>
              <w:t>Andorra</w:t>
            </w:r>
          </w:p>
        </w:tc>
        <w:tc>
          <w:tcPr>
            <w:tcW w:w="1182" w:type="dxa"/>
            <w:shd w:val="clear" w:color="auto" w:fill="auto"/>
            <w:vAlign w:val="center"/>
            <w:hideMark/>
          </w:tcPr>
          <w:p w14:paraId="6768A3B9"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45DEAB7"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120247A6"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7C83649F"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57B8263D"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181AA96B" w14:textId="77777777" w:rsidTr="00A60395">
        <w:trPr>
          <w:cantSplit/>
          <w:trHeight w:val="245"/>
        </w:trPr>
        <w:tc>
          <w:tcPr>
            <w:tcW w:w="3605" w:type="dxa"/>
            <w:shd w:val="clear" w:color="auto" w:fill="auto"/>
            <w:vAlign w:val="center"/>
            <w:hideMark/>
          </w:tcPr>
          <w:p w14:paraId="66E2C552" w14:textId="77777777" w:rsidR="00FC752D" w:rsidRPr="00BC4AFE" w:rsidRDefault="00FC752D" w:rsidP="006211D7">
            <w:pPr>
              <w:widowControl w:val="0"/>
              <w:ind w:left="144" w:hanging="144"/>
              <w:rPr>
                <w:sz w:val="18"/>
                <w:szCs w:val="18"/>
              </w:rPr>
            </w:pPr>
            <w:r w:rsidRPr="00BC4AFE">
              <w:rPr>
                <w:sz w:val="18"/>
                <w:szCs w:val="18"/>
              </w:rPr>
              <w:t>Angola</w:t>
            </w:r>
          </w:p>
        </w:tc>
        <w:tc>
          <w:tcPr>
            <w:tcW w:w="1182" w:type="dxa"/>
            <w:shd w:val="clear" w:color="auto" w:fill="auto"/>
            <w:vAlign w:val="center"/>
            <w:hideMark/>
          </w:tcPr>
          <w:p w14:paraId="24B8C6C3"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5FADF6DD"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2FE455D3"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65BD5BD0"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2C782470"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2889EA24" w14:textId="77777777" w:rsidTr="00A60395">
        <w:trPr>
          <w:cantSplit/>
          <w:trHeight w:val="245"/>
        </w:trPr>
        <w:tc>
          <w:tcPr>
            <w:tcW w:w="3605" w:type="dxa"/>
            <w:shd w:val="clear" w:color="auto" w:fill="auto"/>
            <w:vAlign w:val="center"/>
            <w:hideMark/>
          </w:tcPr>
          <w:p w14:paraId="51E22159" w14:textId="77777777" w:rsidR="00FC752D" w:rsidRPr="00BC4AFE" w:rsidRDefault="00FC752D" w:rsidP="006211D7">
            <w:pPr>
              <w:widowControl w:val="0"/>
              <w:ind w:left="144" w:hanging="144"/>
              <w:rPr>
                <w:sz w:val="18"/>
                <w:szCs w:val="18"/>
              </w:rPr>
            </w:pPr>
            <w:r w:rsidRPr="00BC4AFE">
              <w:rPr>
                <w:sz w:val="18"/>
                <w:szCs w:val="18"/>
              </w:rPr>
              <w:t>Antigua and Barbuda</w:t>
            </w:r>
          </w:p>
        </w:tc>
        <w:tc>
          <w:tcPr>
            <w:tcW w:w="1182" w:type="dxa"/>
            <w:shd w:val="clear" w:color="auto" w:fill="auto"/>
            <w:vAlign w:val="center"/>
            <w:hideMark/>
          </w:tcPr>
          <w:p w14:paraId="6B262500"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316670C1"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42006A6A"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24FF373B"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6DF69A4A"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34F03D47" w14:textId="77777777" w:rsidTr="00A60395">
        <w:trPr>
          <w:cantSplit/>
          <w:trHeight w:val="245"/>
        </w:trPr>
        <w:tc>
          <w:tcPr>
            <w:tcW w:w="3605" w:type="dxa"/>
            <w:shd w:val="clear" w:color="auto" w:fill="auto"/>
            <w:vAlign w:val="center"/>
            <w:hideMark/>
          </w:tcPr>
          <w:p w14:paraId="4DE8383A" w14:textId="77777777" w:rsidR="00FC752D" w:rsidRPr="00BC4AFE" w:rsidRDefault="00FC752D" w:rsidP="006211D7">
            <w:pPr>
              <w:widowControl w:val="0"/>
              <w:ind w:left="144" w:hanging="144"/>
              <w:rPr>
                <w:sz w:val="18"/>
                <w:szCs w:val="18"/>
              </w:rPr>
            </w:pPr>
            <w:r w:rsidRPr="00BC4AFE">
              <w:rPr>
                <w:sz w:val="18"/>
                <w:szCs w:val="18"/>
              </w:rPr>
              <w:t>Argentina</w:t>
            </w:r>
          </w:p>
        </w:tc>
        <w:tc>
          <w:tcPr>
            <w:tcW w:w="1182" w:type="dxa"/>
            <w:shd w:val="clear" w:color="auto" w:fill="auto"/>
            <w:vAlign w:val="center"/>
            <w:hideMark/>
          </w:tcPr>
          <w:p w14:paraId="60C1D80B" w14:textId="77777777" w:rsidR="00FC752D" w:rsidRPr="00BC4AFE" w:rsidRDefault="00FC752D" w:rsidP="006211D7">
            <w:pPr>
              <w:widowControl w:val="0"/>
              <w:ind w:right="144"/>
              <w:jc w:val="right"/>
              <w:rPr>
                <w:sz w:val="18"/>
                <w:szCs w:val="18"/>
              </w:rPr>
            </w:pPr>
            <w:r w:rsidRPr="00BC4AFE">
              <w:rPr>
                <w:sz w:val="18"/>
                <w:szCs w:val="18"/>
              </w:rPr>
              <w:t>0.719</w:t>
            </w:r>
          </w:p>
        </w:tc>
        <w:tc>
          <w:tcPr>
            <w:tcW w:w="1182" w:type="dxa"/>
            <w:shd w:val="clear" w:color="auto" w:fill="auto"/>
            <w:noWrap/>
            <w:vAlign w:val="center"/>
            <w:hideMark/>
          </w:tcPr>
          <w:p w14:paraId="078A0913" w14:textId="77777777" w:rsidR="00FC752D" w:rsidRPr="00BC4AFE" w:rsidRDefault="00FC752D" w:rsidP="006211D7">
            <w:pPr>
              <w:widowControl w:val="0"/>
              <w:ind w:right="144"/>
              <w:jc w:val="right"/>
              <w:rPr>
                <w:sz w:val="18"/>
                <w:szCs w:val="18"/>
              </w:rPr>
            </w:pPr>
            <w:r w:rsidRPr="00BC4AFE">
              <w:rPr>
                <w:sz w:val="18"/>
                <w:szCs w:val="18"/>
              </w:rPr>
              <w:t>0.899</w:t>
            </w:r>
          </w:p>
        </w:tc>
        <w:tc>
          <w:tcPr>
            <w:tcW w:w="1182" w:type="dxa"/>
            <w:shd w:val="clear" w:color="auto" w:fill="auto"/>
            <w:noWrap/>
            <w:vAlign w:val="center"/>
            <w:hideMark/>
          </w:tcPr>
          <w:p w14:paraId="558AC0AB" w14:textId="77777777" w:rsidR="00FC752D" w:rsidRPr="00BC4AFE" w:rsidRDefault="00FC752D" w:rsidP="006211D7">
            <w:pPr>
              <w:widowControl w:val="0"/>
              <w:ind w:right="144"/>
              <w:jc w:val="right"/>
              <w:rPr>
                <w:sz w:val="18"/>
                <w:szCs w:val="18"/>
              </w:rPr>
            </w:pPr>
            <w:r w:rsidRPr="00BC4AFE">
              <w:rPr>
                <w:sz w:val="18"/>
                <w:szCs w:val="18"/>
              </w:rPr>
              <w:t>117,087</w:t>
            </w:r>
          </w:p>
        </w:tc>
        <w:tc>
          <w:tcPr>
            <w:tcW w:w="1182" w:type="dxa"/>
            <w:shd w:val="clear" w:color="auto" w:fill="auto"/>
            <w:noWrap/>
            <w:vAlign w:val="center"/>
            <w:hideMark/>
          </w:tcPr>
          <w:p w14:paraId="470E44C0" w14:textId="77777777" w:rsidR="00FC752D" w:rsidRPr="00BC4AFE" w:rsidRDefault="00FC752D" w:rsidP="006211D7">
            <w:pPr>
              <w:widowControl w:val="0"/>
              <w:ind w:right="144"/>
              <w:jc w:val="right"/>
              <w:rPr>
                <w:sz w:val="18"/>
                <w:szCs w:val="18"/>
              </w:rPr>
            </w:pPr>
            <w:r w:rsidRPr="00BC4AFE">
              <w:rPr>
                <w:sz w:val="18"/>
                <w:szCs w:val="18"/>
              </w:rPr>
              <w:t>128,425</w:t>
            </w:r>
          </w:p>
        </w:tc>
        <w:tc>
          <w:tcPr>
            <w:tcW w:w="1171" w:type="dxa"/>
            <w:shd w:val="clear" w:color="auto" w:fill="auto"/>
            <w:noWrap/>
            <w:vAlign w:val="center"/>
            <w:hideMark/>
          </w:tcPr>
          <w:p w14:paraId="0970516B" w14:textId="77777777" w:rsidR="00FC752D" w:rsidRPr="00BC4AFE" w:rsidRDefault="00FC752D" w:rsidP="006211D7">
            <w:pPr>
              <w:widowControl w:val="0"/>
              <w:ind w:right="144"/>
              <w:jc w:val="right"/>
              <w:rPr>
                <w:sz w:val="18"/>
                <w:szCs w:val="18"/>
              </w:rPr>
            </w:pPr>
            <w:r w:rsidRPr="00BC4AFE">
              <w:rPr>
                <w:sz w:val="18"/>
                <w:szCs w:val="18"/>
              </w:rPr>
              <w:t>245,512</w:t>
            </w:r>
          </w:p>
        </w:tc>
      </w:tr>
      <w:tr w:rsidR="00FC752D" w:rsidRPr="00BC4AFE" w14:paraId="40D08D9F" w14:textId="77777777" w:rsidTr="00A60395">
        <w:trPr>
          <w:cantSplit/>
          <w:trHeight w:val="245"/>
        </w:trPr>
        <w:tc>
          <w:tcPr>
            <w:tcW w:w="3605" w:type="dxa"/>
            <w:shd w:val="clear" w:color="auto" w:fill="auto"/>
            <w:vAlign w:val="center"/>
            <w:hideMark/>
          </w:tcPr>
          <w:p w14:paraId="7F6BAA9A" w14:textId="77777777" w:rsidR="00FC752D" w:rsidRPr="00BC4AFE" w:rsidRDefault="00FC752D" w:rsidP="006211D7">
            <w:pPr>
              <w:widowControl w:val="0"/>
              <w:ind w:left="144" w:hanging="144"/>
              <w:rPr>
                <w:sz w:val="18"/>
                <w:szCs w:val="18"/>
              </w:rPr>
            </w:pPr>
            <w:r w:rsidRPr="00BC4AFE">
              <w:rPr>
                <w:sz w:val="18"/>
                <w:szCs w:val="18"/>
              </w:rPr>
              <w:t>Armenia</w:t>
            </w:r>
          </w:p>
        </w:tc>
        <w:tc>
          <w:tcPr>
            <w:tcW w:w="1182" w:type="dxa"/>
            <w:shd w:val="clear" w:color="auto" w:fill="auto"/>
            <w:vAlign w:val="center"/>
            <w:hideMark/>
          </w:tcPr>
          <w:p w14:paraId="607CBFAB"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hideMark/>
          </w:tcPr>
          <w:p w14:paraId="2CD1E85A"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0BCB8763"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hideMark/>
          </w:tcPr>
          <w:p w14:paraId="1A158768"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hideMark/>
          </w:tcPr>
          <w:p w14:paraId="46F85B3A"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3A00ED35" w14:textId="77777777" w:rsidTr="00A60395">
        <w:trPr>
          <w:cantSplit/>
          <w:trHeight w:val="245"/>
        </w:trPr>
        <w:tc>
          <w:tcPr>
            <w:tcW w:w="3605" w:type="dxa"/>
            <w:shd w:val="clear" w:color="auto" w:fill="auto"/>
            <w:vAlign w:val="center"/>
            <w:hideMark/>
          </w:tcPr>
          <w:p w14:paraId="1BD5E687" w14:textId="77777777" w:rsidR="00FC752D" w:rsidRPr="00BC4AFE" w:rsidRDefault="00FC752D" w:rsidP="006211D7">
            <w:pPr>
              <w:widowControl w:val="0"/>
              <w:ind w:left="144" w:hanging="144"/>
              <w:rPr>
                <w:sz w:val="18"/>
                <w:szCs w:val="18"/>
              </w:rPr>
            </w:pPr>
            <w:r w:rsidRPr="00BC4AFE">
              <w:rPr>
                <w:sz w:val="18"/>
                <w:szCs w:val="18"/>
              </w:rPr>
              <w:t>Australia</w:t>
            </w:r>
          </w:p>
        </w:tc>
        <w:tc>
          <w:tcPr>
            <w:tcW w:w="1182" w:type="dxa"/>
            <w:shd w:val="clear" w:color="auto" w:fill="auto"/>
            <w:vAlign w:val="center"/>
            <w:hideMark/>
          </w:tcPr>
          <w:p w14:paraId="77F993BE" w14:textId="77777777" w:rsidR="00FC752D" w:rsidRPr="00BC4AFE" w:rsidRDefault="00FC752D" w:rsidP="006211D7">
            <w:pPr>
              <w:widowControl w:val="0"/>
              <w:ind w:right="144"/>
              <w:jc w:val="right"/>
              <w:rPr>
                <w:sz w:val="18"/>
                <w:szCs w:val="18"/>
              </w:rPr>
            </w:pPr>
            <w:r w:rsidRPr="00BC4AFE">
              <w:rPr>
                <w:sz w:val="18"/>
                <w:szCs w:val="18"/>
              </w:rPr>
              <w:t>2.111</w:t>
            </w:r>
          </w:p>
        </w:tc>
        <w:tc>
          <w:tcPr>
            <w:tcW w:w="1182" w:type="dxa"/>
            <w:shd w:val="clear" w:color="auto" w:fill="auto"/>
            <w:noWrap/>
            <w:vAlign w:val="center"/>
            <w:hideMark/>
          </w:tcPr>
          <w:p w14:paraId="3CA5E3E6" w14:textId="77777777" w:rsidR="00FC752D" w:rsidRPr="00BC4AFE" w:rsidRDefault="00FC752D" w:rsidP="006211D7">
            <w:pPr>
              <w:widowControl w:val="0"/>
              <w:ind w:right="144"/>
              <w:jc w:val="right"/>
              <w:rPr>
                <w:sz w:val="18"/>
                <w:szCs w:val="18"/>
              </w:rPr>
            </w:pPr>
            <w:r w:rsidRPr="00BC4AFE">
              <w:rPr>
                <w:sz w:val="18"/>
                <w:szCs w:val="18"/>
              </w:rPr>
              <w:t>2.639</w:t>
            </w:r>
          </w:p>
        </w:tc>
        <w:tc>
          <w:tcPr>
            <w:tcW w:w="1182" w:type="dxa"/>
            <w:shd w:val="clear" w:color="auto" w:fill="auto"/>
            <w:noWrap/>
            <w:vAlign w:val="center"/>
            <w:hideMark/>
          </w:tcPr>
          <w:p w14:paraId="4324BC68" w14:textId="77777777" w:rsidR="00FC752D" w:rsidRPr="00BC4AFE" w:rsidRDefault="00FC752D" w:rsidP="006211D7">
            <w:pPr>
              <w:widowControl w:val="0"/>
              <w:ind w:right="144"/>
              <w:jc w:val="right"/>
              <w:rPr>
                <w:sz w:val="18"/>
                <w:szCs w:val="18"/>
              </w:rPr>
            </w:pPr>
            <w:r w:rsidRPr="00BC4AFE">
              <w:rPr>
                <w:sz w:val="18"/>
                <w:szCs w:val="18"/>
              </w:rPr>
              <w:t>343,770</w:t>
            </w:r>
          </w:p>
        </w:tc>
        <w:tc>
          <w:tcPr>
            <w:tcW w:w="1182" w:type="dxa"/>
            <w:shd w:val="clear" w:color="auto" w:fill="auto"/>
            <w:noWrap/>
            <w:vAlign w:val="center"/>
            <w:hideMark/>
          </w:tcPr>
          <w:p w14:paraId="735CB10D" w14:textId="77777777" w:rsidR="00FC752D" w:rsidRPr="00BC4AFE" w:rsidRDefault="00FC752D" w:rsidP="006211D7">
            <w:pPr>
              <w:widowControl w:val="0"/>
              <w:ind w:right="144"/>
              <w:jc w:val="right"/>
              <w:rPr>
                <w:sz w:val="18"/>
                <w:szCs w:val="18"/>
              </w:rPr>
            </w:pPr>
            <w:r w:rsidRPr="00BC4AFE">
              <w:rPr>
                <w:sz w:val="18"/>
                <w:szCs w:val="18"/>
              </w:rPr>
              <w:t>377,060</w:t>
            </w:r>
          </w:p>
        </w:tc>
        <w:tc>
          <w:tcPr>
            <w:tcW w:w="1171" w:type="dxa"/>
            <w:shd w:val="clear" w:color="auto" w:fill="auto"/>
            <w:noWrap/>
            <w:vAlign w:val="center"/>
            <w:hideMark/>
          </w:tcPr>
          <w:p w14:paraId="460146AB" w14:textId="77777777" w:rsidR="00FC752D" w:rsidRPr="00BC4AFE" w:rsidRDefault="00FC752D" w:rsidP="006211D7">
            <w:pPr>
              <w:widowControl w:val="0"/>
              <w:ind w:right="144"/>
              <w:jc w:val="right"/>
              <w:rPr>
                <w:sz w:val="18"/>
                <w:szCs w:val="18"/>
              </w:rPr>
            </w:pPr>
            <w:r w:rsidRPr="00BC4AFE">
              <w:rPr>
                <w:sz w:val="18"/>
                <w:szCs w:val="18"/>
              </w:rPr>
              <w:t>720,830</w:t>
            </w:r>
          </w:p>
        </w:tc>
      </w:tr>
      <w:tr w:rsidR="00FC752D" w:rsidRPr="00BC4AFE" w14:paraId="4AE16734" w14:textId="77777777" w:rsidTr="00A60395">
        <w:trPr>
          <w:cantSplit/>
          <w:trHeight w:val="245"/>
        </w:trPr>
        <w:tc>
          <w:tcPr>
            <w:tcW w:w="3605" w:type="dxa"/>
            <w:shd w:val="clear" w:color="auto" w:fill="auto"/>
            <w:vAlign w:val="center"/>
            <w:hideMark/>
          </w:tcPr>
          <w:p w14:paraId="5098D0FC" w14:textId="77777777" w:rsidR="00FC752D" w:rsidRPr="00BC4AFE" w:rsidRDefault="00FC752D" w:rsidP="006211D7">
            <w:pPr>
              <w:widowControl w:val="0"/>
              <w:ind w:left="144" w:hanging="144"/>
              <w:rPr>
                <w:sz w:val="18"/>
                <w:szCs w:val="18"/>
              </w:rPr>
            </w:pPr>
            <w:r w:rsidRPr="00BC4AFE">
              <w:rPr>
                <w:sz w:val="18"/>
                <w:szCs w:val="18"/>
              </w:rPr>
              <w:t>Austria</w:t>
            </w:r>
          </w:p>
        </w:tc>
        <w:tc>
          <w:tcPr>
            <w:tcW w:w="1182" w:type="dxa"/>
            <w:shd w:val="clear" w:color="auto" w:fill="auto"/>
            <w:vAlign w:val="center"/>
            <w:hideMark/>
          </w:tcPr>
          <w:p w14:paraId="11963F5F" w14:textId="77777777" w:rsidR="00FC752D" w:rsidRPr="00BC4AFE" w:rsidRDefault="00FC752D" w:rsidP="006211D7">
            <w:pPr>
              <w:widowControl w:val="0"/>
              <w:ind w:right="144"/>
              <w:jc w:val="right"/>
              <w:rPr>
                <w:sz w:val="18"/>
                <w:szCs w:val="18"/>
              </w:rPr>
            </w:pPr>
            <w:r w:rsidRPr="00BC4AFE">
              <w:rPr>
                <w:sz w:val="18"/>
                <w:szCs w:val="18"/>
              </w:rPr>
              <w:t>0.679</w:t>
            </w:r>
          </w:p>
        </w:tc>
        <w:tc>
          <w:tcPr>
            <w:tcW w:w="1182" w:type="dxa"/>
            <w:shd w:val="clear" w:color="auto" w:fill="auto"/>
            <w:noWrap/>
            <w:vAlign w:val="center"/>
            <w:hideMark/>
          </w:tcPr>
          <w:p w14:paraId="4C09E199" w14:textId="77777777" w:rsidR="00FC752D" w:rsidRPr="00BC4AFE" w:rsidRDefault="00FC752D" w:rsidP="006211D7">
            <w:pPr>
              <w:widowControl w:val="0"/>
              <w:ind w:right="144"/>
              <w:jc w:val="right"/>
              <w:rPr>
                <w:sz w:val="18"/>
                <w:szCs w:val="18"/>
              </w:rPr>
            </w:pPr>
            <w:r w:rsidRPr="00BC4AFE">
              <w:rPr>
                <w:sz w:val="18"/>
                <w:szCs w:val="18"/>
              </w:rPr>
              <w:t>0.849</w:t>
            </w:r>
          </w:p>
        </w:tc>
        <w:tc>
          <w:tcPr>
            <w:tcW w:w="1182" w:type="dxa"/>
            <w:shd w:val="clear" w:color="auto" w:fill="auto"/>
            <w:noWrap/>
            <w:vAlign w:val="center"/>
            <w:hideMark/>
          </w:tcPr>
          <w:p w14:paraId="32208C5D" w14:textId="77777777" w:rsidR="00FC752D" w:rsidRPr="00BC4AFE" w:rsidRDefault="00FC752D" w:rsidP="006211D7">
            <w:pPr>
              <w:widowControl w:val="0"/>
              <w:ind w:right="144"/>
              <w:jc w:val="right"/>
              <w:rPr>
                <w:sz w:val="18"/>
                <w:szCs w:val="18"/>
              </w:rPr>
            </w:pPr>
            <w:r w:rsidRPr="00BC4AFE">
              <w:rPr>
                <w:sz w:val="18"/>
                <w:szCs w:val="18"/>
              </w:rPr>
              <w:t>110,573</w:t>
            </w:r>
          </w:p>
        </w:tc>
        <w:tc>
          <w:tcPr>
            <w:tcW w:w="1182" w:type="dxa"/>
            <w:shd w:val="clear" w:color="auto" w:fill="auto"/>
            <w:noWrap/>
            <w:vAlign w:val="center"/>
            <w:hideMark/>
          </w:tcPr>
          <w:p w14:paraId="25B5A733" w14:textId="77777777" w:rsidR="00FC752D" w:rsidRPr="00BC4AFE" w:rsidRDefault="00FC752D" w:rsidP="006211D7">
            <w:pPr>
              <w:widowControl w:val="0"/>
              <w:ind w:right="144"/>
              <w:jc w:val="right"/>
              <w:rPr>
                <w:sz w:val="18"/>
                <w:szCs w:val="18"/>
              </w:rPr>
            </w:pPr>
            <w:r w:rsidRPr="00BC4AFE">
              <w:rPr>
                <w:sz w:val="18"/>
                <w:szCs w:val="18"/>
              </w:rPr>
              <w:t>121,281</w:t>
            </w:r>
          </w:p>
        </w:tc>
        <w:tc>
          <w:tcPr>
            <w:tcW w:w="1171" w:type="dxa"/>
            <w:shd w:val="clear" w:color="auto" w:fill="auto"/>
            <w:noWrap/>
            <w:vAlign w:val="center"/>
            <w:hideMark/>
          </w:tcPr>
          <w:p w14:paraId="44DC1A15" w14:textId="77777777" w:rsidR="00FC752D" w:rsidRPr="00BC4AFE" w:rsidRDefault="00FC752D" w:rsidP="006211D7">
            <w:pPr>
              <w:widowControl w:val="0"/>
              <w:ind w:right="144"/>
              <w:jc w:val="right"/>
              <w:rPr>
                <w:sz w:val="18"/>
                <w:szCs w:val="18"/>
              </w:rPr>
            </w:pPr>
            <w:r w:rsidRPr="00BC4AFE">
              <w:rPr>
                <w:sz w:val="18"/>
                <w:szCs w:val="18"/>
              </w:rPr>
              <w:t>231,854</w:t>
            </w:r>
          </w:p>
        </w:tc>
      </w:tr>
      <w:tr w:rsidR="00FC752D" w:rsidRPr="00BC4AFE" w14:paraId="590EF9C9" w14:textId="77777777" w:rsidTr="00A60395">
        <w:trPr>
          <w:cantSplit/>
          <w:trHeight w:val="245"/>
        </w:trPr>
        <w:tc>
          <w:tcPr>
            <w:tcW w:w="3605" w:type="dxa"/>
            <w:shd w:val="clear" w:color="auto" w:fill="auto"/>
            <w:vAlign w:val="center"/>
            <w:hideMark/>
          </w:tcPr>
          <w:p w14:paraId="44410BFC" w14:textId="77777777" w:rsidR="00FC752D" w:rsidRPr="00BC4AFE" w:rsidRDefault="00FC752D" w:rsidP="006211D7">
            <w:pPr>
              <w:widowControl w:val="0"/>
              <w:ind w:left="144" w:hanging="144"/>
              <w:rPr>
                <w:sz w:val="18"/>
                <w:szCs w:val="18"/>
              </w:rPr>
            </w:pPr>
            <w:r w:rsidRPr="00BC4AFE">
              <w:rPr>
                <w:sz w:val="18"/>
                <w:szCs w:val="18"/>
              </w:rPr>
              <w:t>Azerbaijan</w:t>
            </w:r>
          </w:p>
        </w:tc>
        <w:tc>
          <w:tcPr>
            <w:tcW w:w="1182" w:type="dxa"/>
            <w:shd w:val="clear" w:color="auto" w:fill="auto"/>
            <w:vAlign w:val="center"/>
            <w:hideMark/>
          </w:tcPr>
          <w:p w14:paraId="0E759113" w14:textId="77777777" w:rsidR="00FC752D" w:rsidRPr="00BC4AFE" w:rsidRDefault="00FC752D" w:rsidP="006211D7">
            <w:pPr>
              <w:widowControl w:val="0"/>
              <w:ind w:right="144"/>
              <w:jc w:val="right"/>
              <w:rPr>
                <w:sz w:val="18"/>
                <w:szCs w:val="18"/>
              </w:rPr>
            </w:pPr>
            <w:r w:rsidRPr="00BC4AFE">
              <w:rPr>
                <w:sz w:val="18"/>
                <w:szCs w:val="18"/>
              </w:rPr>
              <w:t>0.030</w:t>
            </w:r>
          </w:p>
        </w:tc>
        <w:tc>
          <w:tcPr>
            <w:tcW w:w="1182" w:type="dxa"/>
            <w:shd w:val="clear" w:color="auto" w:fill="auto"/>
            <w:noWrap/>
            <w:vAlign w:val="center"/>
            <w:hideMark/>
          </w:tcPr>
          <w:p w14:paraId="4F4B472A" w14:textId="77777777" w:rsidR="00FC752D" w:rsidRPr="00BC4AFE" w:rsidRDefault="00FC752D" w:rsidP="006211D7">
            <w:pPr>
              <w:widowControl w:val="0"/>
              <w:ind w:right="144"/>
              <w:jc w:val="right"/>
              <w:rPr>
                <w:sz w:val="18"/>
                <w:szCs w:val="18"/>
              </w:rPr>
            </w:pPr>
            <w:r w:rsidRPr="00BC4AFE">
              <w:rPr>
                <w:sz w:val="18"/>
                <w:szCs w:val="18"/>
              </w:rPr>
              <w:t>0.038</w:t>
            </w:r>
          </w:p>
        </w:tc>
        <w:tc>
          <w:tcPr>
            <w:tcW w:w="1182" w:type="dxa"/>
            <w:shd w:val="clear" w:color="auto" w:fill="auto"/>
            <w:noWrap/>
            <w:vAlign w:val="center"/>
            <w:hideMark/>
          </w:tcPr>
          <w:p w14:paraId="15F5F81E" w14:textId="77777777" w:rsidR="00FC752D" w:rsidRPr="00BC4AFE" w:rsidRDefault="00FC752D" w:rsidP="006211D7">
            <w:pPr>
              <w:widowControl w:val="0"/>
              <w:ind w:right="144"/>
              <w:jc w:val="right"/>
              <w:rPr>
                <w:sz w:val="18"/>
                <w:szCs w:val="18"/>
              </w:rPr>
            </w:pPr>
            <w:r w:rsidRPr="00BC4AFE">
              <w:rPr>
                <w:sz w:val="18"/>
                <w:szCs w:val="18"/>
              </w:rPr>
              <w:t>4,885</w:t>
            </w:r>
          </w:p>
        </w:tc>
        <w:tc>
          <w:tcPr>
            <w:tcW w:w="1182" w:type="dxa"/>
            <w:shd w:val="clear" w:color="auto" w:fill="auto"/>
            <w:noWrap/>
            <w:vAlign w:val="center"/>
            <w:hideMark/>
          </w:tcPr>
          <w:p w14:paraId="183C52EB" w14:textId="77777777" w:rsidR="00FC752D" w:rsidRPr="00BC4AFE" w:rsidRDefault="00FC752D" w:rsidP="006211D7">
            <w:pPr>
              <w:widowControl w:val="0"/>
              <w:ind w:right="144"/>
              <w:jc w:val="right"/>
              <w:rPr>
                <w:sz w:val="18"/>
                <w:szCs w:val="18"/>
              </w:rPr>
            </w:pPr>
            <w:r w:rsidRPr="00BC4AFE">
              <w:rPr>
                <w:sz w:val="18"/>
                <w:szCs w:val="18"/>
              </w:rPr>
              <w:t>5,358</w:t>
            </w:r>
          </w:p>
        </w:tc>
        <w:tc>
          <w:tcPr>
            <w:tcW w:w="1171" w:type="dxa"/>
            <w:shd w:val="clear" w:color="auto" w:fill="auto"/>
            <w:noWrap/>
            <w:vAlign w:val="center"/>
            <w:hideMark/>
          </w:tcPr>
          <w:p w14:paraId="5D45C7CD" w14:textId="77777777" w:rsidR="00FC752D" w:rsidRPr="00BC4AFE" w:rsidRDefault="00FC752D" w:rsidP="006211D7">
            <w:pPr>
              <w:widowControl w:val="0"/>
              <w:ind w:right="144"/>
              <w:jc w:val="right"/>
              <w:rPr>
                <w:sz w:val="18"/>
                <w:szCs w:val="18"/>
              </w:rPr>
            </w:pPr>
            <w:r w:rsidRPr="00BC4AFE">
              <w:rPr>
                <w:sz w:val="18"/>
                <w:szCs w:val="18"/>
              </w:rPr>
              <w:t>10,244</w:t>
            </w:r>
          </w:p>
        </w:tc>
      </w:tr>
      <w:tr w:rsidR="00FC752D" w:rsidRPr="00BC4AFE" w14:paraId="21BE7391" w14:textId="77777777" w:rsidTr="00A60395">
        <w:trPr>
          <w:cantSplit/>
          <w:trHeight w:val="245"/>
        </w:trPr>
        <w:tc>
          <w:tcPr>
            <w:tcW w:w="3605" w:type="dxa"/>
            <w:shd w:val="clear" w:color="auto" w:fill="auto"/>
            <w:vAlign w:val="center"/>
            <w:hideMark/>
          </w:tcPr>
          <w:p w14:paraId="2E916698" w14:textId="77777777" w:rsidR="00FC752D" w:rsidRPr="00BC4AFE" w:rsidRDefault="00FC752D" w:rsidP="006211D7">
            <w:pPr>
              <w:widowControl w:val="0"/>
              <w:ind w:left="144" w:hanging="144"/>
              <w:rPr>
                <w:sz w:val="18"/>
                <w:szCs w:val="18"/>
              </w:rPr>
            </w:pPr>
            <w:r w:rsidRPr="00BC4AFE">
              <w:rPr>
                <w:sz w:val="18"/>
                <w:szCs w:val="18"/>
              </w:rPr>
              <w:t>Bahamas</w:t>
            </w:r>
          </w:p>
        </w:tc>
        <w:tc>
          <w:tcPr>
            <w:tcW w:w="1182" w:type="dxa"/>
            <w:shd w:val="clear" w:color="auto" w:fill="auto"/>
            <w:vAlign w:val="center"/>
            <w:hideMark/>
          </w:tcPr>
          <w:p w14:paraId="1B198F24"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3E951B37"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7941DD3A" w14:textId="77777777" w:rsidR="00FC752D" w:rsidRPr="00BC4AFE" w:rsidRDefault="00FC752D" w:rsidP="006211D7">
            <w:pPr>
              <w:widowControl w:val="0"/>
              <w:ind w:right="144"/>
              <w:jc w:val="right"/>
              <w:rPr>
                <w:sz w:val="18"/>
                <w:szCs w:val="18"/>
              </w:rPr>
            </w:pPr>
            <w:r w:rsidRPr="00BC4AFE">
              <w:rPr>
                <w:sz w:val="18"/>
                <w:szCs w:val="18"/>
              </w:rPr>
              <w:t>3,094</w:t>
            </w:r>
          </w:p>
        </w:tc>
        <w:tc>
          <w:tcPr>
            <w:tcW w:w="1182" w:type="dxa"/>
            <w:shd w:val="clear" w:color="auto" w:fill="auto"/>
            <w:noWrap/>
            <w:vAlign w:val="center"/>
            <w:hideMark/>
          </w:tcPr>
          <w:p w14:paraId="6ED0E883" w14:textId="77777777" w:rsidR="00FC752D" w:rsidRPr="00BC4AFE" w:rsidRDefault="00FC752D" w:rsidP="006211D7">
            <w:pPr>
              <w:widowControl w:val="0"/>
              <w:ind w:right="144"/>
              <w:jc w:val="right"/>
              <w:rPr>
                <w:sz w:val="18"/>
                <w:szCs w:val="18"/>
              </w:rPr>
            </w:pPr>
            <w:r w:rsidRPr="00BC4AFE">
              <w:rPr>
                <w:sz w:val="18"/>
                <w:szCs w:val="18"/>
              </w:rPr>
              <w:t>3,394</w:t>
            </w:r>
          </w:p>
        </w:tc>
        <w:tc>
          <w:tcPr>
            <w:tcW w:w="1171" w:type="dxa"/>
            <w:shd w:val="clear" w:color="auto" w:fill="auto"/>
            <w:noWrap/>
            <w:vAlign w:val="center"/>
            <w:hideMark/>
          </w:tcPr>
          <w:p w14:paraId="5F74DFE6" w14:textId="77777777" w:rsidR="00FC752D" w:rsidRPr="00BC4AFE" w:rsidRDefault="00FC752D" w:rsidP="006211D7">
            <w:pPr>
              <w:widowControl w:val="0"/>
              <w:ind w:right="144"/>
              <w:jc w:val="right"/>
              <w:rPr>
                <w:sz w:val="18"/>
                <w:szCs w:val="18"/>
              </w:rPr>
            </w:pPr>
            <w:r w:rsidRPr="00BC4AFE">
              <w:rPr>
                <w:sz w:val="18"/>
                <w:szCs w:val="18"/>
              </w:rPr>
              <w:t>6,488</w:t>
            </w:r>
          </w:p>
        </w:tc>
      </w:tr>
      <w:tr w:rsidR="00FC752D" w:rsidRPr="00BC4AFE" w14:paraId="339144B4" w14:textId="77777777" w:rsidTr="00A60395">
        <w:trPr>
          <w:cantSplit/>
          <w:trHeight w:val="245"/>
        </w:trPr>
        <w:tc>
          <w:tcPr>
            <w:tcW w:w="3605" w:type="dxa"/>
            <w:shd w:val="clear" w:color="auto" w:fill="auto"/>
            <w:vAlign w:val="center"/>
            <w:hideMark/>
          </w:tcPr>
          <w:p w14:paraId="22644291" w14:textId="77777777" w:rsidR="00FC752D" w:rsidRPr="00BC4AFE" w:rsidRDefault="00FC752D" w:rsidP="006211D7">
            <w:pPr>
              <w:widowControl w:val="0"/>
              <w:ind w:left="144" w:hanging="144"/>
              <w:rPr>
                <w:sz w:val="18"/>
                <w:szCs w:val="18"/>
              </w:rPr>
            </w:pPr>
            <w:r w:rsidRPr="00BC4AFE">
              <w:rPr>
                <w:sz w:val="18"/>
                <w:szCs w:val="18"/>
              </w:rPr>
              <w:t>Bahrain</w:t>
            </w:r>
          </w:p>
        </w:tc>
        <w:tc>
          <w:tcPr>
            <w:tcW w:w="1182" w:type="dxa"/>
            <w:shd w:val="clear" w:color="auto" w:fill="auto"/>
            <w:vAlign w:val="center"/>
            <w:hideMark/>
          </w:tcPr>
          <w:p w14:paraId="7B5A73B0" w14:textId="77777777" w:rsidR="00FC752D" w:rsidRPr="00BC4AFE" w:rsidRDefault="00FC752D" w:rsidP="006211D7">
            <w:pPr>
              <w:widowControl w:val="0"/>
              <w:ind w:right="144"/>
              <w:jc w:val="right"/>
              <w:rPr>
                <w:sz w:val="18"/>
                <w:szCs w:val="18"/>
              </w:rPr>
            </w:pPr>
            <w:r w:rsidRPr="00BC4AFE">
              <w:rPr>
                <w:sz w:val="18"/>
                <w:szCs w:val="18"/>
              </w:rPr>
              <w:t>0.054</w:t>
            </w:r>
          </w:p>
        </w:tc>
        <w:tc>
          <w:tcPr>
            <w:tcW w:w="1182" w:type="dxa"/>
            <w:shd w:val="clear" w:color="auto" w:fill="auto"/>
            <w:noWrap/>
            <w:vAlign w:val="center"/>
            <w:hideMark/>
          </w:tcPr>
          <w:p w14:paraId="58151DEC" w14:textId="77777777" w:rsidR="00FC752D" w:rsidRPr="00BC4AFE" w:rsidRDefault="00FC752D" w:rsidP="006211D7">
            <w:pPr>
              <w:widowControl w:val="0"/>
              <w:ind w:right="144"/>
              <w:jc w:val="right"/>
              <w:rPr>
                <w:sz w:val="18"/>
                <w:szCs w:val="18"/>
              </w:rPr>
            </w:pPr>
            <w:r w:rsidRPr="00BC4AFE">
              <w:rPr>
                <w:sz w:val="18"/>
                <w:szCs w:val="18"/>
              </w:rPr>
              <w:t>0.068</w:t>
            </w:r>
          </w:p>
        </w:tc>
        <w:tc>
          <w:tcPr>
            <w:tcW w:w="1182" w:type="dxa"/>
            <w:shd w:val="clear" w:color="auto" w:fill="auto"/>
            <w:noWrap/>
            <w:vAlign w:val="center"/>
            <w:hideMark/>
          </w:tcPr>
          <w:p w14:paraId="3D29D1A8" w14:textId="77777777" w:rsidR="00FC752D" w:rsidRPr="00BC4AFE" w:rsidRDefault="00FC752D" w:rsidP="006211D7">
            <w:pPr>
              <w:widowControl w:val="0"/>
              <w:ind w:right="144"/>
              <w:jc w:val="right"/>
              <w:rPr>
                <w:sz w:val="18"/>
                <w:szCs w:val="18"/>
              </w:rPr>
            </w:pPr>
            <w:r w:rsidRPr="00BC4AFE">
              <w:rPr>
                <w:sz w:val="18"/>
                <w:szCs w:val="18"/>
              </w:rPr>
              <w:t>8,794</w:t>
            </w:r>
          </w:p>
        </w:tc>
        <w:tc>
          <w:tcPr>
            <w:tcW w:w="1182" w:type="dxa"/>
            <w:shd w:val="clear" w:color="auto" w:fill="auto"/>
            <w:noWrap/>
            <w:vAlign w:val="center"/>
            <w:hideMark/>
          </w:tcPr>
          <w:p w14:paraId="085CFB97" w14:textId="77777777" w:rsidR="00FC752D" w:rsidRPr="00BC4AFE" w:rsidRDefault="00FC752D" w:rsidP="006211D7">
            <w:pPr>
              <w:widowControl w:val="0"/>
              <w:ind w:right="144"/>
              <w:jc w:val="right"/>
              <w:rPr>
                <w:sz w:val="18"/>
                <w:szCs w:val="18"/>
              </w:rPr>
            </w:pPr>
            <w:r w:rsidRPr="00BC4AFE">
              <w:rPr>
                <w:sz w:val="18"/>
                <w:szCs w:val="18"/>
              </w:rPr>
              <w:t>9,645</w:t>
            </w:r>
          </w:p>
        </w:tc>
        <w:tc>
          <w:tcPr>
            <w:tcW w:w="1171" w:type="dxa"/>
            <w:shd w:val="clear" w:color="auto" w:fill="auto"/>
            <w:noWrap/>
            <w:vAlign w:val="center"/>
            <w:hideMark/>
          </w:tcPr>
          <w:p w14:paraId="722C965C" w14:textId="77777777" w:rsidR="00FC752D" w:rsidRPr="00BC4AFE" w:rsidRDefault="00FC752D" w:rsidP="006211D7">
            <w:pPr>
              <w:widowControl w:val="0"/>
              <w:ind w:right="144"/>
              <w:jc w:val="right"/>
              <w:rPr>
                <w:sz w:val="18"/>
                <w:szCs w:val="18"/>
              </w:rPr>
            </w:pPr>
            <w:r w:rsidRPr="00BC4AFE">
              <w:rPr>
                <w:sz w:val="18"/>
                <w:szCs w:val="18"/>
              </w:rPr>
              <w:t>18,439</w:t>
            </w:r>
          </w:p>
        </w:tc>
      </w:tr>
      <w:tr w:rsidR="00FC752D" w:rsidRPr="00BC4AFE" w14:paraId="6A94F566" w14:textId="77777777" w:rsidTr="00A60395">
        <w:trPr>
          <w:cantSplit/>
          <w:trHeight w:val="245"/>
        </w:trPr>
        <w:tc>
          <w:tcPr>
            <w:tcW w:w="3605" w:type="dxa"/>
            <w:shd w:val="clear" w:color="auto" w:fill="auto"/>
            <w:vAlign w:val="center"/>
            <w:hideMark/>
          </w:tcPr>
          <w:p w14:paraId="67057BD7" w14:textId="77777777" w:rsidR="00FC752D" w:rsidRPr="00BC4AFE" w:rsidRDefault="00FC752D" w:rsidP="006211D7">
            <w:pPr>
              <w:widowControl w:val="0"/>
              <w:ind w:left="144" w:hanging="144"/>
              <w:rPr>
                <w:sz w:val="18"/>
                <w:szCs w:val="18"/>
              </w:rPr>
            </w:pPr>
            <w:r w:rsidRPr="00BC4AFE">
              <w:rPr>
                <w:sz w:val="18"/>
                <w:szCs w:val="18"/>
              </w:rPr>
              <w:t>Bangladesh</w:t>
            </w:r>
          </w:p>
        </w:tc>
        <w:tc>
          <w:tcPr>
            <w:tcW w:w="1182" w:type="dxa"/>
            <w:shd w:val="clear" w:color="auto" w:fill="auto"/>
            <w:vAlign w:val="center"/>
            <w:hideMark/>
          </w:tcPr>
          <w:p w14:paraId="586CC7C3"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603869D1"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6F4058EE"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12A092C8"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352BC0EC"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644842B1" w14:textId="77777777" w:rsidTr="00A60395">
        <w:trPr>
          <w:cantSplit/>
          <w:trHeight w:val="245"/>
        </w:trPr>
        <w:tc>
          <w:tcPr>
            <w:tcW w:w="3605" w:type="dxa"/>
            <w:shd w:val="clear" w:color="auto" w:fill="auto"/>
            <w:vAlign w:val="center"/>
            <w:hideMark/>
          </w:tcPr>
          <w:p w14:paraId="6F9737D2" w14:textId="77777777" w:rsidR="00FC752D" w:rsidRPr="00BC4AFE" w:rsidRDefault="00FC752D" w:rsidP="006211D7">
            <w:pPr>
              <w:widowControl w:val="0"/>
              <w:ind w:left="144" w:hanging="144"/>
              <w:rPr>
                <w:sz w:val="18"/>
                <w:szCs w:val="18"/>
              </w:rPr>
            </w:pPr>
            <w:r w:rsidRPr="00BC4AFE">
              <w:rPr>
                <w:sz w:val="18"/>
                <w:szCs w:val="18"/>
              </w:rPr>
              <w:t>Barbados</w:t>
            </w:r>
          </w:p>
        </w:tc>
        <w:tc>
          <w:tcPr>
            <w:tcW w:w="1182" w:type="dxa"/>
            <w:shd w:val="clear" w:color="auto" w:fill="auto"/>
            <w:vAlign w:val="center"/>
            <w:hideMark/>
          </w:tcPr>
          <w:p w14:paraId="17457777"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5F04D397"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57362D02"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546987CF"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6F8BE11F"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5DE152ED" w14:textId="77777777" w:rsidTr="00A60395">
        <w:trPr>
          <w:cantSplit/>
          <w:trHeight w:val="245"/>
        </w:trPr>
        <w:tc>
          <w:tcPr>
            <w:tcW w:w="3605" w:type="dxa"/>
            <w:shd w:val="clear" w:color="auto" w:fill="auto"/>
            <w:vAlign w:val="center"/>
            <w:hideMark/>
          </w:tcPr>
          <w:p w14:paraId="433377D0" w14:textId="77777777" w:rsidR="00FC752D" w:rsidRPr="00BC4AFE" w:rsidRDefault="00FC752D" w:rsidP="006211D7">
            <w:pPr>
              <w:widowControl w:val="0"/>
              <w:ind w:left="144" w:hanging="144"/>
              <w:rPr>
                <w:sz w:val="18"/>
                <w:szCs w:val="18"/>
              </w:rPr>
            </w:pPr>
            <w:r w:rsidRPr="00BC4AFE">
              <w:rPr>
                <w:sz w:val="18"/>
                <w:szCs w:val="18"/>
              </w:rPr>
              <w:t>Belarus</w:t>
            </w:r>
          </w:p>
        </w:tc>
        <w:tc>
          <w:tcPr>
            <w:tcW w:w="1182" w:type="dxa"/>
            <w:shd w:val="clear" w:color="auto" w:fill="auto"/>
            <w:vAlign w:val="center"/>
            <w:hideMark/>
          </w:tcPr>
          <w:p w14:paraId="2888358A" w14:textId="77777777" w:rsidR="00FC752D" w:rsidRPr="00BC4AFE" w:rsidRDefault="00FC752D" w:rsidP="006211D7">
            <w:pPr>
              <w:widowControl w:val="0"/>
              <w:ind w:right="144"/>
              <w:jc w:val="right"/>
              <w:rPr>
                <w:sz w:val="18"/>
                <w:szCs w:val="18"/>
              </w:rPr>
            </w:pPr>
            <w:r w:rsidRPr="00BC4AFE">
              <w:rPr>
                <w:sz w:val="18"/>
                <w:szCs w:val="18"/>
              </w:rPr>
              <w:t>0.041</w:t>
            </w:r>
          </w:p>
        </w:tc>
        <w:tc>
          <w:tcPr>
            <w:tcW w:w="1182" w:type="dxa"/>
            <w:shd w:val="clear" w:color="auto" w:fill="auto"/>
            <w:noWrap/>
            <w:vAlign w:val="center"/>
            <w:hideMark/>
          </w:tcPr>
          <w:p w14:paraId="0C7AB3D8" w14:textId="77777777" w:rsidR="00FC752D" w:rsidRPr="00BC4AFE" w:rsidRDefault="00FC752D" w:rsidP="006211D7">
            <w:pPr>
              <w:widowControl w:val="0"/>
              <w:ind w:right="144"/>
              <w:jc w:val="right"/>
              <w:rPr>
                <w:sz w:val="18"/>
                <w:szCs w:val="18"/>
              </w:rPr>
            </w:pPr>
            <w:r w:rsidRPr="00BC4AFE">
              <w:rPr>
                <w:sz w:val="18"/>
                <w:szCs w:val="18"/>
              </w:rPr>
              <w:t>0.051</w:t>
            </w:r>
          </w:p>
        </w:tc>
        <w:tc>
          <w:tcPr>
            <w:tcW w:w="1182" w:type="dxa"/>
            <w:shd w:val="clear" w:color="auto" w:fill="auto"/>
            <w:noWrap/>
            <w:vAlign w:val="center"/>
            <w:hideMark/>
          </w:tcPr>
          <w:p w14:paraId="5A522E99" w14:textId="77777777" w:rsidR="00FC752D" w:rsidRPr="00BC4AFE" w:rsidRDefault="00FC752D" w:rsidP="006211D7">
            <w:pPr>
              <w:widowControl w:val="0"/>
              <w:ind w:right="144"/>
              <w:jc w:val="right"/>
              <w:rPr>
                <w:sz w:val="18"/>
                <w:szCs w:val="18"/>
              </w:rPr>
            </w:pPr>
            <w:r w:rsidRPr="00BC4AFE">
              <w:rPr>
                <w:sz w:val="18"/>
                <w:szCs w:val="18"/>
              </w:rPr>
              <w:t>6,677</w:t>
            </w:r>
          </w:p>
        </w:tc>
        <w:tc>
          <w:tcPr>
            <w:tcW w:w="1182" w:type="dxa"/>
            <w:shd w:val="clear" w:color="auto" w:fill="auto"/>
            <w:noWrap/>
            <w:vAlign w:val="center"/>
            <w:hideMark/>
          </w:tcPr>
          <w:p w14:paraId="1DD28837" w14:textId="77777777" w:rsidR="00FC752D" w:rsidRPr="00BC4AFE" w:rsidRDefault="00FC752D" w:rsidP="006211D7">
            <w:pPr>
              <w:widowControl w:val="0"/>
              <w:ind w:right="144"/>
              <w:jc w:val="right"/>
              <w:rPr>
                <w:sz w:val="18"/>
                <w:szCs w:val="18"/>
              </w:rPr>
            </w:pPr>
            <w:r w:rsidRPr="00BC4AFE">
              <w:rPr>
                <w:sz w:val="18"/>
                <w:szCs w:val="18"/>
              </w:rPr>
              <w:t>7,323</w:t>
            </w:r>
          </w:p>
        </w:tc>
        <w:tc>
          <w:tcPr>
            <w:tcW w:w="1171" w:type="dxa"/>
            <w:shd w:val="clear" w:color="auto" w:fill="auto"/>
            <w:noWrap/>
            <w:vAlign w:val="center"/>
            <w:hideMark/>
          </w:tcPr>
          <w:p w14:paraId="30C05749" w14:textId="77777777" w:rsidR="00FC752D" w:rsidRPr="00BC4AFE" w:rsidRDefault="00FC752D" w:rsidP="006211D7">
            <w:pPr>
              <w:widowControl w:val="0"/>
              <w:ind w:right="144"/>
              <w:jc w:val="right"/>
              <w:rPr>
                <w:sz w:val="18"/>
                <w:szCs w:val="18"/>
              </w:rPr>
            </w:pPr>
            <w:r w:rsidRPr="00BC4AFE">
              <w:rPr>
                <w:sz w:val="18"/>
                <w:szCs w:val="18"/>
              </w:rPr>
              <w:t>14,000</w:t>
            </w:r>
          </w:p>
        </w:tc>
      </w:tr>
      <w:tr w:rsidR="00FC752D" w:rsidRPr="00BC4AFE" w14:paraId="52EB20C2" w14:textId="77777777" w:rsidTr="00A60395">
        <w:trPr>
          <w:cantSplit/>
          <w:trHeight w:val="245"/>
        </w:trPr>
        <w:tc>
          <w:tcPr>
            <w:tcW w:w="3605" w:type="dxa"/>
            <w:shd w:val="clear" w:color="auto" w:fill="auto"/>
            <w:vAlign w:val="center"/>
            <w:hideMark/>
          </w:tcPr>
          <w:p w14:paraId="28372BE9" w14:textId="77777777" w:rsidR="00FC752D" w:rsidRPr="00BC4AFE" w:rsidRDefault="00FC752D" w:rsidP="006211D7">
            <w:pPr>
              <w:widowControl w:val="0"/>
              <w:ind w:left="144" w:hanging="144"/>
              <w:rPr>
                <w:sz w:val="18"/>
                <w:szCs w:val="18"/>
              </w:rPr>
            </w:pPr>
            <w:r w:rsidRPr="00BC4AFE">
              <w:rPr>
                <w:sz w:val="18"/>
                <w:szCs w:val="18"/>
              </w:rPr>
              <w:t>Belgium</w:t>
            </w:r>
          </w:p>
        </w:tc>
        <w:tc>
          <w:tcPr>
            <w:tcW w:w="1182" w:type="dxa"/>
            <w:shd w:val="clear" w:color="auto" w:fill="auto"/>
            <w:vAlign w:val="center"/>
            <w:hideMark/>
          </w:tcPr>
          <w:p w14:paraId="679C4D01" w14:textId="77777777" w:rsidR="00FC752D" w:rsidRPr="00BC4AFE" w:rsidRDefault="00FC752D" w:rsidP="006211D7">
            <w:pPr>
              <w:widowControl w:val="0"/>
              <w:ind w:right="144"/>
              <w:jc w:val="right"/>
              <w:rPr>
                <w:sz w:val="18"/>
                <w:szCs w:val="18"/>
              </w:rPr>
            </w:pPr>
            <w:r w:rsidRPr="00BC4AFE">
              <w:rPr>
                <w:sz w:val="18"/>
                <w:szCs w:val="18"/>
              </w:rPr>
              <w:t>0.828</w:t>
            </w:r>
          </w:p>
        </w:tc>
        <w:tc>
          <w:tcPr>
            <w:tcW w:w="1182" w:type="dxa"/>
            <w:shd w:val="clear" w:color="auto" w:fill="auto"/>
            <w:noWrap/>
            <w:vAlign w:val="center"/>
            <w:hideMark/>
          </w:tcPr>
          <w:p w14:paraId="72430484" w14:textId="77777777" w:rsidR="00FC752D" w:rsidRPr="00BC4AFE" w:rsidRDefault="00FC752D" w:rsidP="006211D7">
            <w:pPr>
              <w:widowControl w:val="0"/>
              <w:ind w:right="144"/>
              <w:jc w:val="right"/>
              <w:rPr>
                <w:sz w:val="18"/>
                <w:szCs w:val="18"/>
              </w:rPr>
            </w:pPr>
            <w:r w:rsidRPr="00BC4AFE">
              <w:rPr>
                <w:sz w:val="18"/>
                <w:szCs w:val="18"/>
              </w:rPr>
              <w:t>1.035</w:t>
            </w:r>
          </w:p>
        </w:tc>
        <w:tc>
          <w:tcPr>
            <w:tcW w:w="1182" w:type="dxa"/>
            <w:shd w:val="clear" w:color="auto" w:fill="auto"/>
            <w:noWrap/>
            <w:vAlign w:val="center"/>
            <w:hideMark/>
          </w:tcPr>
          <w:p w14:paraId="10111E0A" w14:textId="77777777" w:rsidR="00FC752D" w:rsidRPr="00BC4AFE" w:rsidRDefault="00FC752D" w:rsidP="006211D7">
            <w:pPr>
              <w:widowControl w:val="0"/>
              <w:ind w:right="144"/>
              <w:jc w:val="right"/>
              <w:rPr>
                <w:sz w:val="18"/>
                <w:szCs w:val="18"/>
              </w:rPr>
            </w:pPr>
            <w:r w:rsidRPr="00BC4AFE">
              <w:rPr>
                <w:sz w:val="18"/>
                <w:szCs w:val="18"/>
              </w:rPr>
              <w:t>134,837</w:t>
            </w:r>
          </w:p>
        </w:tc>
        <w:tc>
          <w:tcPr>
            <w:tcW w:w="1182" w:type="dxa"/>
            <w:shd w:val="clear" w:color="auto" w:fill="auto"/>
            <w:noWrap/>
            <w:vAlign w:val="center"/>
            <w:hideMark/>
          </w:tcPr>
          <w:p w14:paraId="7BBA1044" w14:textId="77777777" w:rsidR="00FC752D" w:rsidRPr="00BC4AFE" w:rsidRDefault="00FC752D" w:rsidP="006211D7">
            <w:pPr>
              <w:widowControl w:val="0"/>
              <w:ind w:right="144"/>
              <w:jc w:val="right"/>
              <w:rPr>
                <w:sz w:val="18"/>
                <w:szCs w:val="18"/>
              </w:rPr>
            </w:pPr>
            <w:r w:rsidRPr="00BC4AFE">
              <w:rPr>
                <w:sz w:val="18"/>
                <w:szCs w:val="18"/>
              </w:rPr>
              <w:t>147,895</w:t>
            </w:r>
          </w:p>
        </w:tc>
        <w:tc>
          <w:tcPr>
            <w:tcW w:w="1171" w:type="dxa"/>
            <w:shd w:val="clear" w:color="auto" w:fill="auto"/>
            <w:noWrap/>
            <w:vAlign w:val="center"/>
            <w:hideMark/>
          </w:tcPr>
          <w:p w14:paraId="2C0EE81B" w14:textId="77777777" w:rsidR="00FC752D" w:rsidRPr="00BC4AFE" w:rsidRDefault="00FC752D" w:rsidP="006211D7">
            <w:pPr>
              <w:widowControl w:val="0"/>
              <w:ind w:right="144"/>
              <w:jc w:val="right"/>
              <w:rPr>
                <w:sz w:val="18"/>
                <w:szCs w:val="18"/>
              </w:rPr>
            </w:pPr>
            <w:r w:rsidRPr="00BC4AFE">
              <w:rPr>
                <w:sz w:val="18"/>
                <w:szCs w:val="18"/>
              </w:rPr>
              <w:t>282,732</w:t>
            </w:r>
          </w:p>
        </w:tc>
      </w:tr>
      <w:tr w:rsidR="00FC752D" w:rsidRPr="00BC4AFE" w14:paraId="34C8F740" w14:textId="77777777" w:rsidTr="00A60395">
        <w:trPr>
          <w:cantSplit/>
          <w:trHeight w:val="245"/>
        </w:trPr>
        <w:tc>
          <w:tcPr>
            <w:tcW w:w="3605" w:type="dxa"/>
            <w:shd w:val="clear" w:color="auto" w:fill="auto"/>
            <w:vAlign w:val="center"/>
            <w:hideMark/>
          </w:tcPr>
          <w:p w14:paraId="2154A139" w14:textId="77777777" w:rsidR="00FC752D" w:rsidRPr="00BC4AFE" w:rsidRDefault="00FC752D" w:rsidP="006211D7">
            <w:pPr>
              <w:widowControl w:val="0"/>
              <w:ind w:left="144" w:hanging="144"/>
              <w:rPr>
                <w:sz w:val="18"/>
                <w:szCs w:val="18"/>
              </w:rPr>
            </w:pPr>
            <w:r w:rsidRPr="00BC4AFE">
              <w:rPr>
                <w:sz w:val="18"/>
                <w:szCs w:val="18"/>
              </w:rPr>
              <w:t>Belize</w:t>
            </w:r>
          </w:p>
        </w:tc>
        <w:tc>
          <w:tcPr>
            <w:tcW w:w="1182" w:type="dxa"/>
            <w:shd w:val="clear" w:color="auto" w:fill="auto"/>
            <w:vAlign w:val="center"/>
            <w:hideMark/>
          </w:tcPr>
          <w:p w14:paraId="46B9CD04"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0FAECF7"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561A9C2"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5EBA2BC6"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272E42E4"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6673F70B" w14:textId="77777777" w:rsidTr="00A60395">
        <w:trPr>
          <w:cantSplit/>
          <w:trHeight w:val="245"/>
        </w:trPr>
        <w:tc>
          <w:tcPr>
            <w:tcW w:w="3605" w:type="dxa"/>
            <w:shd w:val="clear" w:color="auto" w:fill="auto"/>
            <w:vAlign w:val="center"/>
            <w:hideMark/>
          </w:tcPr>
          <w:p w14:paraId="1CC22499" w14:textId="77777777" w:rsidR="00FC752D" w:rsidRPr="00BC4AFE" w:rsidRDefault="00FC752D" w:rsidP="006211D7">
            <w:pPr>
              <w:widowControl w:val="0"/>
              <w:ind w:left="144" w:hanging="144"/>
              <w:rPr>
                <w:sz w:val="18"/>
                <w:szCs w:val="18"/>
              </w:rPr>
            </w:pPr>
            <w:r w:rsidRPr="00BC4AFE">
              <w:rPr>
                <w:sz w:val="18"/>
                <w:szCs w:val="18"/>
              </w:rPr>
              <w:t>Benin</w:t>
            </w:r>
          </w:p>
        </w:tc>
        <w:tc>
          <w:tcPr>
            <w:tcW w:w="1182" w:type="dxa"/>
            <w:shd w:val="clear" w:color="auto" w:fill="auto"/>
            <w:vAlign w:val="center"/>
            <w:hideMark/>
          </w:tcPr>
          <w:p w14:paraId="5F02CCF5"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097DC8DF"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398FBBC6"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5A236D93"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1C2F87A8"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482643B5" w14:textId="77777777" w:rsidTr="00A60395">
        <w:trPr>
          <w:cantSplit/>
          <w:trHeight w:val="245"/>
        </w:trPr>
        <w:tc>
          <w:tcPr>
            <w:tcW w:w="3605" w:type="dxa"/>
            <w:shd w:val="clear" w:color="auto" w:fill="auto"/>
            <w:vAlign w:val="center"/>
            <w:hideMark/>
          </w:tcPr>
          <w:p w14:paraId="09D957FC" w14:textId="77777777" w:rsidR="00FC752D" w:rsidRPr="00BC4AFE" w:rsidRDefault="00FC752D" w:rsidP="006211D7">
            <w:pPr>
              <w:widowControl w:val="0"/>
              <w:ind w:left="144" w:hanging="144"/>
              <w:rPr>
                <w:sz w:val="18"/>
                <w:szCs w:val="18"/>
              </w:rPr>
            </w:pPr>
            <w:r w:rsidRPr="00BC4AFE">
              <w:rPr>
                <w:sz w:val="18"/>
                <w:szCs w:val="18"/>
              </w:rPr>
              <w:t>Bhutan</w:t>
            </w:r>
          </w:p>
        </w:tc>
        <w:tc>
          <w:tcPr>
            <w:tcW w:w="1182" w:type="dxa"/>
            <w:shd w:val="clear" w:color="auto" w:fill="auto"/>
            <w:vAlign w:val="center"/>
            <w:hideMark/>
          </w:tcPr>
          <w:p w14:paraId="7211231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67CA45E"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46BA70CE"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798673B0"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36111382"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41FC1753" w14:textId="77777777" w:rsidTr="00A60395">
        <w:trPr>
          <w:cantSplit/>
          <w:trHeight w:val="245"/>
        </w:trPr>
        <w:tc>
          <w:tcPr>
            <w:tcW w:w="3605" w:type="dxa"/>
            <w:shd w:val="clear" w:color="auto" w:fill="auto"/>
            <w:vAlign w:val="center"/>
            <w:hideMark/>
          </w:tcPr>
          <w:p w14:paraId="7F005CA7" w14:textId="77777777" w:rsidR="00FC752D" w:rsidRPr="00BC4AFE" w:rsidRDefault="00FC752D" w:rsidP="006211D7">
            <w:pPr>
              <w:widowControl w:val="0"/>
              <w:ind w:left="144" w:hanging="144"/>
              <w:rPr>
                <w:sz w:val="18"/>
                <w:szCs w:val="18"/>
              </w:rPr>
            </w:pPr>
            <w:r w:rsidRPr="00BC4AFE">
              <w:rPr>
                <w:sz w:val="18"/>
                <w:szCs w:val="18"/>
              </w:rPr>
              <w:t>Bolivia (Plurinational State of)</w:t>
            </w:r>
          </w:p>
        </w:tc>
        <w:tc>
          <w:tcPr>
            <w:tcW w:w="1182" w:type="dxa"/>
            <w:shd w:val="clear" w:color="auto" w:fill="auto"/>
            <w:vAlign w:val="center"/>
            <w:hideMark/>
          </w:tcPr>
          <w:p w14:paraId="4BEF7412"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3C44A4B1"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306EDF16" w14:textId="77777777" w:rsidR="00FC752D" w:rsidRPr="00BC4AFE" w:rsidRDefault="00FC752D" w:rsidP="006211D7">
            <w:pPr>
              <w:widowControl w:val="0"/>
              <w:ind w:right="144"/>
              <w:jc w:val="right"/>
              <w:rPr>
                <w:sz w:val="18"/>
                <w:szCs w:val="18"/>
              </w:rPr>
            </w:pPr>
            <w:r w:rsidRPr="00BC4AFE">
              <w:rPr>
                <w:sz w:val="18"/>
                <w:szCs w:val="18"/>
              </w:rPr>
              <w:t>3,094</w:t>
            </w:r>
          </w:p>
        </w:tc>
        <w:tc>
          <w:tcPr>
            <w:tcW w:w="1182" w:type="dxa"/>
            <w:shd w:val="clear" w:color="auto" w:fill="auto"/>
            <w:noWrap/>
            <w:vAlign w:val="center"/>
            <w:hideMark/>
          </w:tcPr>
          <w:p w14:paraId="28711F18" w14:textId="77777777" w:rsidR="00FC752D" w:rsidRPr="00BC4AFE" w:rsidRDefault="00FC752D" w:rsidP="006211D7">
            <w:pPr>
              <w:widowControl w:val="0"/>
              <w:ind w:right="144"/>
              <w:jc w:val="right"/>
              <w:rPr>
                <w:sz w:val="18"/>
                <w:szCs w:val="18"/>
              </w:rPr>
            </w:pPr>
            <w:r w:rsidRPr="00BC4AFE">
              <w:rPr>
                <w:sz w:val="18"/>
                <w:szCs w:val="18"/>
              </w:rPr>
              <w:t>3,394</w:t>
            </w:r>
          </w:p>
        </w:tc>
        <w:tc>
          <w:tcPr>
            <w:tcW w:w="1171" w:type="dxa"/>
            <w:shd w:val="clear" w:color="auto" w:fill="auto"/>
            <w:noWrap/>
            <w:vAlign w:val="center"/>
            <w:hideMark/>
          </w:tcPr>
          <w:p w14:paraId="16C295DE" w14:textId="77777777" w:rsidR="00FC752D" w:rsidRPr="00BC4AFE" w:rsidRDefault="00FC752D" w:rsidP="006211D7">
            <w:pPr>
              <w:widowControl w:val="0"/>
              <w:ind w:right="144"/>
              <w:jc w:val="right"/>
              <w:rPr>
                <w:sz w:val="18"/>
                <w:szCs w:val="18"/>
              </w:rPr>
            </w:pPr>
            <w:r w:rsidRPr="00BC4AFE">
              <w:rPr>
                <w:sz w:val="18"/>
                <w:szCs w:val="18"/>
              </w:rPr>
              <w:t>6,488</w:t>
            </w:r>
          </w:p>
        </w:tc>
      </w:tr>
      <w:tr w:rsidR="00FC752D" w:rsidRPr="00BC4AFE" w14:paraId="3C87D553" w14:textId="77777777" w:rsidTr="00A60395">
        <w:trPr>
          <w:cantSplit/>
          <w:trHeight w:val="245"/>
        </w:trPr>
        <w:tc>
          <w:tcPr>
            <w:tcW w:w="3605" w:type="dxa"/>
            <w:shd w:val="clear" w:color="auto" w:fill="auto"/>
            <w:vAlign w:val="center"/>
            <w:hideMark/>
          </w:tcPr>
          <w:p w14:paraId="7F17B566" w14:textId="77777777" w:rsidR="00FC752D" w:rsidRPr="00BC4AFE" w:rsidRDefault="00FC752D" w:rsidP="006211D7">
            <w:pPr>
              <w:widowControl w:val="0"/>
              <w:ind w:left="144" w:hanging="144"/>
              <w:rPr>
                <w:sz w:val="18"/>
                <w:szCs w:val="18"/>
              </w:rPr>
            </w:pPr>
            <w:r w:rsidRPr="00BC4AFE">
              <w:rPr>
                <w:sz w:val="18"/>
                <w:szCs w:val="18"/>
              </w:rPr>
              <w:t>Bosnia and Herzegovina</w:t>
            </w:r>
          </w:p>
        </w:tc>
        <w:tc>
          <w:tcPr>
            <w:tcW w:w="1182" w:type="dxa"/>
            <w:shd w:val="clear" w:color="auto" w:fill="auto"/>
            <w:vAlign w:val="center"/>
            <w:hideMark/>
          </w:tcPr>
          <w:p w14:paraId="4B96F99F" w14:textId="77777777" w:rsidR="00FC752D" w:rsidRPr="00BC4AFE" w:rsidRDefault="00FC752D" w:rsidP="006211D7">
            <w:pPr>
              <w:widowControl w:val="0"/>
              <w:ind w:right="144"/>
              <w:jc w:val="right"/>
              <w:rPr>
                <w:sz w:val="18"/>
                <w:szCs w:val="18"/>
              </w:rPr>
            </w:pPr>
            <w:r w:rsidRPr="00BC4AFE">
              <w:rPr>
                <w:sz w:val="18"/>
                <w:szCs w:val="18"/>
              </w:rPr>
              <w:t>0.012</w:t>
            </w:r>
          </w:p>
        </w:tc>
        <w:tc>
          <w:tcPr>
            <w:tcW w:w="1182" w:type="dxa"/>
            <w:shd w:val="clear" w:color="auto" w:fill="auto"/>
            <w:noWrap/>
            <w:vAlign w:val="center"/>
            <w:hideMark/>
          </w:tcPr>
          <w:p w14:paraId="79F3346E" w14:textId="77777777" w:rsidR="00FC752D" w:rsidRPr="00BC4AFE" w:rsidRDefault="00FC752D" w:rsidP="006211D7">
            <w:pPr>
              <w:widowControl w:val="0"/>
              <w:ind w:right="144"/>
              <w:jc w:val="right"/>
              <w:rPr>
                <w:sz w:val="18"/>
                <w:szCs w:val="18"/>
              </w:rPr>
            </w:pPr>
            <w:r w:rsidRPr="00BC4AFE">
              <w:rPr>
                <w:sz w:val="18"/>
                <w:szCs w:val="18"/>
              </w:rPr>
              <w:t>0.015</w:t>
            </w:r>
          </w:p>
        </w:tc>
        <w:tc>
          <w:tcPr>
            <w:tcW w:w="1182" w:type="dxa"/>
            <w:shd w:val="clear" w:color="auto" w:fill="auto"/>
            <w:noWrap/>
            <w:vAlign w:val="center"/>
            <w:hideMark/>
          </w:tcPr>
          <w:p w14:paraId="022F60D7" w14:textId="77777777" w:rsidR="00FC752D" w:rsidRPr="00BC4AFE" w:rsidRDefault="00FC752D" w:rsidP="006211D7">
            <w:pPr>
              <w:widowControl w:val="0"/>
              <w:ind w:right="144"/>
              <w:jc w:val="right"/>
              <w:rPr>
                <w:sz w:val="18"/>
                <w:szCs w:val="18"/>
              </w:rPr>
            </w:pPr>
            <w:r w:rsidRPr="00BC4AFE">
              <w:rPr>
                <w:sz w:val="18"/>
                <w:szCs w:val="18"/>
              </w:rPr>
              <w:t>1,954</w:t>
            </w:r>
          </w:p>
        </w:tc>
        <w:tc>
          <w:tcPr>
            <w:tcW w:w="1182" w:type="dxa"/>
            <w:shd w:val="clear" w:color="auto" w:fill="auto"/>
            <w:noWrap/>
            <w:vAlign w:val="center"/>
            <w:hideMark/>
          </w:tcPr>
          <w:p w14:paraId="6EA2DBC3" w14:textId="77777777" w:rsidR="00FC752D" w:rsidRPr="00BC4AFE" w:rsidRDefault="00FC752D" w:rsidP="006211D7">
            <w:pPr>
              <w:widowControl w:val="0"/>
              <w:ind w:right="144"/>
              <w:jc w:val="right"/>
              <w:rPr>
                <w:sz w:val="18"/>
                <w:szCs w:val="18"/>
              </w:rPr>
            </w:pPr>
            <w:r w:rsidRPr="00BC4AFE">
              <w:rPr>
                <w:sz w:val="18"/>
                <w:szCs w:val="18"/>
              </w:rPr>
              <w:t>2,143</w:t>
            </w:r>
          </w:p>
        </w:tc>
        <w:tc>
          <w:tcPr>
            <w:tcW w:w="1171" w:type="dxa"/>
            <w:shd w:val="clear" w:color="auto" w:fill="auto"/>
            <w:noWrap/>
            <w:vAlign w:val="center"/>
            <w:hideMark/>
          </w:tcPr>
          <w:p w14:paraId="78D5C8DE" w14:textId="77777777" w:rsidR="00FC752D" w:rsidRPr="00BC4AFE" w:rsidRDefault="00FC752D" w:rsidP="006211D7">
            <w:pPr>
              <w:widowControl w:val="0"/>
              <w:ind w:right="144"/>
              <w:jc w:val="right"/>
              <w:rPr>
                <w:sz w:val="18"/>
                <w:szCs w:val="18"/>
              </w:rPr>
            </w:pPr>
            <w:r w:rsidRPr="00BC4AFE">
              <w:rPr>
                <w:sz w:val="18"/>
                <w:szCs w:val="18"/>
              </w:rPr>
              <w:t>4,098</w:t>
            </w:r>
          </w:p>
        </w:tc>
      </w:tr>
      <w:tr w:rsidR="00FC752D" w:rsidRPr="00BC4AFE" w14:paraId="0754D7CC" w14:textId="77777777" w:rsidTr="00A60395">
        <w:trPr>
          <w:cantSplit/>
          <w:trHeight w:val="245"/>
        </w:trPr>
        <w:tc>
          <w:tcPr>
            <w:tcW w:w="3605" w:type="dxa"/>
            <w:shd w:val="clear" w:color="auto" w:fill="auto"/>
            <w:vAlign w:val="center"/>
            <w:hideMark/>
          </w:tcPr>
          <w:p w14:paraId="420FA18D" w14:textId="77777777" w:rsidR="00FC752D" w:rsidRPr="00BC4AFE" w:rsidRDefault="00FC752D" w:rsidP="006211D7">
            <w:pPr>
              <w:widowControl w:val="0"/>
              <w:ind w:left="144" w:hanging="144"/>
              <w:rPr>
                <w:sz w:val="18"/>
                <w:szCs w:val="18"/>
              </w:rPr>
            </w:pPr>
            <w:r w:rsidRPr="00BC4AFE">
              <w:rPr>
                <w:sz w:val="18"/>
                <w:szCs w:val="18"/>
              </w:rPr>
              <w:t>Botswana</w:t>
            </w:r>
          </w:p>
        </w:tc>
        <w:tc>
          <w:tcPr>
            <w:tcW w:w="1182" w:type="dxa"/>
            <w:shd w:val="clear" w:color="auto" w:fill="auto"/>
            <w:vAlign w:val="center"/>
            <w:hideMark/>
          </w:tcPr>
          <w:p w14:paraId="6CB5743D" w14:textId="77777777" w:rsidR="00FC752D" w:rsidRPr="00BC4AFE" w:rsidRDefault="00FC752D" w:rsidP="006211D7">
            <w:pPr>
              <w:widowControl w:val="0"/>
              <w:ind w:right="144"/>
              <w:jc w:val="right"/>
              <w:rPr>
                <w:sz w:val="18"/>
                <w:szCs w:val="18"/>
              </w:rPr>
            </w:pPr>
            <w:r w:rsidRPr="00BC4AFE">
              <w:rPr>
                <w:sz w:val="18"/>
                <w:szCs w:val="18"/>
              </w:rPr>
              <w:t>0.015</w:t>
            </w:r>
          </w:p>
        </w:tc>
        <w:tc>
          <w:tcPr>
            <w:tcW w:w="1182" w:type="dxa"/>
            <w:shd w:val="clear" w:color="auto" w:fill="auto"/>
            <w:noWrap/>
            <w:vAlign w:val="center"/>
            <w:hideMark/>
          </w:tcPr>
          <w:p w14:paraId="08393615"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15DC8917" w14:textId="77777777" w:rsidR="00FC752D" w:rsidRPr="00BC4AFE" w:rsidRDefault="00FC752D" w:rsidP="006211D7">
            <w:pPr>
              <w:widowControl w:val="0"/>
              <w:ind w:right="144"/>
              <w:jc w:val="right"/>
              <w:rPr>
                <w:sz w:val="18"/>
                <w:szCs w:val="18"/>
              </w:rPr>
            </w:pPr>
            <w:r w:rsidRPr="00BC4AFE">
              <w:rPr>
                <w:sz w:val="18"/>
                <w:szCs w:val="18"/>
              </w:rPr>
              <w:t>2,443</w:t>
            </w:r>
          </w:p>
        </w:tc>
        <w:tc>
          <w:tcPr>
            <w:tcW w:w="1182" w:type="dxa"/>
            <w:shd w:val="clear" w:color="auto" w:fill="auto"/>
            <w:noWrap/>
            <w:vAlign w:val="center"/>
            <w:hideMark/>
          </w:tcPr>
          <w:p w14:paraId="4883F971" w14:textId="77777777" w:rsidR="00FC752D" w:rsidRPr="00BC4AFE" w:rsidRDefault="00FC752D" w:rsidP="006211D7">
            <w:pPr>
              <w:widowControl w:val="0"/>
              <w:ind w:right="144"/>
              <w:jc w:val="right"/>
              <w:rPr>
                <w:sz w:val="18"/>
                <w:szCs w:val="18"/>
              </w:rPr>
            </w:pPr>
            <w:r w:rsidRPr="00BC4AFE">
              <w:rPr>
                <w:sz w:val="18"/>
                <w:szCs w:val="18"/>
              </w:rPr>
              <w:t>2,679</w:t>
            </w:r>
          </w:p>
        </w:tc>
        <w:tc>
          <w:tcPr>
            <w:tcW w:w="1171" w:type="dxa"/>
            <w:shd w:val="clear" w:color="auto" w:fill="auto"/>
            <w:noWrap/>
            <w:vAlign w:val="center"/>
            <w:hideMark/>
          </w:tcPr>
          <w:p w14:paraId="0A0545D6" w14:textId="77777777" w:rsidR="00FC752D" w:rsidRPr="00BC4AFE" w:rsidRDefault="00FC752D" w:rsidP="006211D7">
            <w:pPr>
              <w:widowControl w:val="0"/>
              <w:ind w:right="144"/>
              <w:jc w:val="right"/>
              <w:rPr>
                <w:sz w:val="18"/>
                <w:szCs w:val="18"/>
              </w:rPr>
            </w:pPr>
            <w:r w:rsidRPr="00BC4AFE">
              <w:rPr>
                <w:sz w:val="18"/>
                <w:szCs w:val="18"/>
              </w:rPr>
              <w:t>5,122</w:t>
            </w:r>
          </w:p>
        </w:tc>
      </w:tr>
      <w:tr w:rsidR="00FC752D" w:rsidRPr="00BC4AFE" w14:paraId="5E4D1741" w14:textId="77777777" w:rsidTr="00A60395">
        <w:trPr>
          <w:cantSplit/>
          <w:trHeight w:val="245"/>
        </w:trPr>
        <w:tc>
          <w:tcPr>
            <w:tcW w:w="3605" w:type="dxa"/>
            <w:shd w:val="clear" w:color="auto" w:fill="auto"/>
            <w:vAlign w:val="center"/>
            <w:hideMark/>
          </w:tcPr>
          <w:p w14:paraId="5CE7514C" w14:textId="77777777" w:rsidR="00FC752D" w:rsidRPr="00BC4AFE" w:rsidRDefault="00FC752D" w:rsidP="006211D7">
            <w:pPr>
              <w:widowControl w:val="0"/>
              <w:ind w:left="144" w:hanging="144"/>
              <w:rPr>
                <w:sz w:val="18"/>
                <w:szCs w:val="18"/>
              </w:rPr>
            </w:pPr>
            <w:r w:rsidRPr="00BC4AFE">
              <w:rPr>
                <w:sz w:val="18"/>
                <w:szCs w:val="18"/>
              </w:rPr>
              <w:t>Brazil</w:t>
            </w:r>
          </w:p>
        </w:tc>
        <w:tc>
          <w:tcPr>
            <w:tcW w:w="1182" w:type="dxa"/>
            <w:shd w:val="clear" w:color="auto" w:fill="auto"/>
            <w:vAlign w:val="center"/>
            <w:hideMark/>
          </w:tcPr>
          <w:p w14:paraId="3126C68C" w14:textId="77777777" w:rsidR="00FC752D" w:rsidRPr="00BC4AFE" w:rsidRDefault="00FC752D" w:rsidP="006211D7">
            <w:pPr>
              <w:widowControl w:val="0"/>
              <w:ind w:right="144"/>
              <w:jc w:val="right"/>
              <w:rPr>
                <w:sz w:val="18"/>
                <w:szCs w:val="18"/>
              </w:rPr>
            </w:pPr>
            <w:r w:rsidRPr="00BC4AFE">
              <w:rPr>
                <w:sz w:val="18"/>
                <w:szCs w:val="18"/>
              </w:rPr>
              <w:t>2.013</w:t>
            </w:r>
          </w:p>
        </w:tc>
        <w:tc>
          <w:tcPr>
            <w:tcW w:w="1182" w:type="dxa"/>
            <w:shd w:val="clear" w:color="auto" w:fill="auto"/>
            <w:noWrap/>
            <w:vAlign w:val="center"/>
            <w:hideMark/>
          </w:tcPr>
          <w:p w14:paraId="379BBEF4" w14:textId="77777777" w:rsidR="00FC752D" w:rsidRPr="00BC4AFE" w:rsidRDefault="00FC752D" w:rsidP="006211D7">
            <w:pPr>
              <w:widowControl w:val="0"/>
              <w:ind w:right="144"/>
              <w:jc w:val="right"/>
              <w:rPr>
                <w:sz w:val="18"/>
                <w:szCs w:val="18"/>
              </w:rPr>
            </w:pPr>
            <w:r w:rsidRPr="00BC4AFE">
              <w:rPr>
                <w:sz w:val="18"/>
                <w:szCs w:val="18"/>
              </w:rPr>
              <w:t>2.516</w:t>
            </w:r>
          </w:p>
        </w:tc>
        <w:tc>
          <w:tcPr>
            <w:tcW w:w="1182" w:type="dxa"/>
            <w:shd w:val="clear" w:color="auto" w:fill="auto"/>
            <w:noWrap/>
            <w:vAlign w:val="center"/>
            <w:hideMark/>
          </w:tcPr>
          <w:p w14:paraId="6CF9652A" w14:textId="77777777" w:rsidR="00FC752D" w:rsidRPr="00BC4AFE" w:rsidRDefault="00FC752D" w:rsidP="006211D7">
            <w:pPr>
              <w:widowControl w:val="0"/>
              <w:ind w:right="144"/>
              <w:jc w:val="right"/>
              <w:rPr>
                <w:sz w:val="18"/>
                <w:szCs w:val="18"/>
              </w:rPr>
            </w:pPr>
            <w:r w:rsidRPr="00BC4AFE">
              <w:rPr>
                <w:sz w:val="18"/>
                <w:szCs w:val="18"/>
              </w:rPr>
              <w:t>327,811</w:t>
            </w:r>
          </w:p>
        </w:tc>
        <w:tc>
          <w:tcPr>
            <w:tcW w:w="1182" w:type="dxa"/>
            <w:shd w:val="clear" w:color="auto" w:fill="auto"/>
            <w:noWrap/>
            <w:vAlign w:val="center"/>
            <w:hideMark/>
          </w:tcPr>
          <w:p w14:paraId="36AAE3E2" w14:textId="77777777" w:rsidR="00FC752D" w:rsidRPr="00BC4AFE" w:rsidRDefault="00FC752D" w:rsidP="006211D7">
            <w:pPr>
              <w:widowControl w:val="0"/>
              <w:ind w:right="144"/>
              <w:jc w:val="right"/>
              <w:rPr>
                <w:sz w:val="18"/>
                <w:szCs w:val="18"/>
              </w:rPr>
            </w:pPr>
            <w:r w:rsidRPr="00BC4AFE">
              <w:rPr>
                <w:sz w:val="18"/>
                <w:szCs w:val="18"/>
              </w:rPr>
              <w:t>359,555</w:t>
            </w:r>
          </w:p>
        </w:tc>
        <w:tc>
          <w:tcPr>
            <w:tcW w:w="1171" w:type="dxa"/>
            <w:shd w:val="clear" w:color="auto" w:fill="auto"/>
            <w:noWrap/>
            <w:vAlign w:val="center"/>
            <w:hideMark/>
          </w:tcPr>
          <w:p w14:paraId="54F53708" w14:textId="77777777" w:rsidR="00FC752D" w:rsidRPr="00BC4AFE" w:rsidRDefault="00FC752D" w:rsidP="006211D7">
            <w:pPr>
              <w:widowControl w:val="0"/>
              <w:ind w:right="144"/>
              <w:jc w:val="right"/>
              <w:rPr>
                <w:sz w:val="18"/>
                <w:szCs w:val="18"/>
              </w:rPr>
            </w:pPr>
            <w:r w:rsidRPr="00BC4AFE">
              <w:rPr>
                <w:sz w:val="18"/>
                <w:szCs w:val="18"/>
              </w:rPr>
              <w:t>687,366</w:t>
            </w:r>
          </w:p>
        </w:tc>
      </w:tr>
      <w:tr w:rsidR="00FC752D" w:rsidRPr="00BC4AFE" w14:paraId="071EE45D" w14:textId="77777777" w:rsidTr="00A60395">
        <w:trPr>
          <w:cantSplit/>
          <w:trHeight w:val="245"/>
        </w:trPr>
        <w:tc>
          <w:tcPr>
            <w:tcW w:w="3605" w:type="dxa"/>
            <w:shd w:val="clear" w:color="auto" w:fill="auto"/>
            <w:vAlign w:val="center"/>
            <w:hideMark/>
          </w:tcPr>
          <w:p w14:paraId="4E82014A" w14:textId="77777777" w:rsidR="00FC752D" w:rsidRPr="00BC4AFE" w:rsidRDefault="00FC752D" w:rsidP="006211D7">
            <w:pPr>
              <w:widowControl w:val="0"/>
              <w:ind w:left="144" w:hanging="144"/>
              <w:rPr>
                <w:sz w:val="18"/>
                <w:szCs w:val="18"/>
              </w:rPr>
            </w:pPr>
            <w:r w:rsidRPr="00BC4AFE">
              <w:rPr>
                <w:sz w:val="18"/>
                <w:szCs w:val="18"/>
              </w:rPr>
              <w:t>Brunei-Darussalam</w:t>
            </w:r>
          </w:p>
        </w:tc>
        <w:tc>
          <w:tcPr>
            <w:tcW w:w="1182" w:type="dxa"/>
            <w:shd w:val="clear" w:color="auto" w:fill="auto"/>
            <w:vAlign w:val="center"/>
            <w:hideMark/>
          </w:tcPr>
          <w:p w14:paraId="6C784434" w14:textId="77777777" w:rsidR="00FC752D" w:rsidRPr="00BC4AFE" w:rsidRDefault="00FC752D" w:rsidP="006211D7">
            <w:pPr>
              <w:widowControl w:val="0"/>
              <w:ind w:right="144"/>
              <w:jc w:val="right"/>
              <w:rPr>
                <w:sz w:val="18"/>
                <w:szCs w:val="18"/>
              </w:rPr>
            </w:pPr>
            <w:r w:rsidRPr="00BC4AFE">
              <w:rPr>
                <w:sz w:val="18"/>
                <w:szCs w:val="18"/>
              </w:rPr>
              <w:t>0.021</w:t>
            </w:r>
          </w:p>
        </w:tc>
        <w:tc>
          <w:tcPr>
            <w:tcW w:w="1182" w:type="dxa"/>
            <w:shd w:val="clear" w:color="auto" w:fill="auto"/>
            <w:noWrap/>
            <w:vAlign w:val="center"/>
            <w:hideMark/>
          </w:tcPr>
          <w:p w14:paraId="5CDD744D" w14:textId="77777777" w:rsidR="00FC752D" w:rsidRPr="00BC4AFE" w:rsidRDefault="00FC752D" w:rsidP="006211D7">
            <w:pPr>
              <w:widowControl w:val="0"/>
              <w:ind w:right="144"/>
              <w:jc w:val="right"/>
              <w:rPr>
                <w:sz w:val="18"/>
                <w:szCs w:val="18"/>
              </w:rPr>
            </w:pPr>
            <w:r w:rsidRPr="00BC4AFE">
              <w:rPr>
                <w:sz w:val="18"/>
                <w:szCs w:val="18"/>
              </w:rPr>
              <w:t>0.026</w:t>
            </w:r>
          </w:p>
        </w:tc>
        <w:tc>
          <w:tcPr>
            <w:tcW w:w="1182" w:type="dxa"/>
            <w:shd w:val="clear" w:color="auto" w:fill="auto"/>
            <w:noWrap/>
            <w:vAlign w:val="center"/>
            <w:hideMark/>
          </w:tcPr>
          <w:p w14:paraId="36C3A017" w14:textId="77777777" w:rsidR="00FC752D" w:rsidRPr="00BC4AFE" w:rsidRDefault="00FC752D" w:rsidP="006211D7">
            <w:pPr>
              <w:widowControl w:val="0"/>
              <w:ind w:right="144"/>
              <w:jc w:val="right"/>
              <w:rPr>
                <w:sz w:val="18"/>
                <w:szCs w:val="18"/>
              </w:rPr>
            </w:pPr>
            <w:r w:rsidRPr="00BC4AFE">
              <w:rPr>
                <w:sz w:val="18"/>
                <w:szCs w:val="18"/>
              </w:rPr>
              <w:t>3,420</w:t>
            </w:r>
          </w:p>
        </w:tc>
        <w:tc>
          <w:tcPr>
            <w:tcW w:w="1182" w:type="dxa"/>
            <w:shd w:val="clear" w:color="auto" w:fill="auto"/>
            <w:noWrap/>
            <w:vAlign w:val="center"/>
            <w:hideMark/>
          </w:tcPr>
          <w:p w14:paraId="09E15E56" w14:textId="77777777" w:rsidR="00FC752D" w:rsidRPr="00BC4AFE" w:rsidRDefault="00FC752D" w:rsidP="006211D7">
            <w:pPr>
              <w:widowControl w:val="0"/>
              <w:ind w:right="144"/>
              <w:jc w:val="right"/>
              <w:rPr>
                <w:sz w:val="18"/>
                <w:szCs w:val="18"/>
              </w:rPr>
            </w:pPr>
            <w:r w:rsidRPr="00BC4AFE">
              <w:rPr>
                <w:sz w:val="18"/>
                <w:szCs w:val="18"/>
              </w:rPr>
              <w:t>3,751</w:t>
            </w:r>
          </w:p>
        </w:tc>
        <w:tc>
          <w:tcPr>
            <w:tcW w:w="1171" w:type="dxa"/>
            <w:shd w:val="clear" w:color="auto" w:fill="auto"/>
            <w:noWrap/>
            <w:vAlign w:val="center"/>
            <w:hideMark/>
          </w:tcPr>
          <w:p w14:paraId="25ECC3C3" w14:textId="77777777" w:rsidR="00FC752D" w:rsidRPr="00BC4AFE" w:rsidRDefault="00FC752D" w:rsidP="006211D7">
            <w:pPr>
              <w:widowControl w:val="0"/>
              <w:ind w:right="144"/>
              <w:jc w:val="right"/>
              <w:rPr>
                <w:sz w:val="18"/>
                <w:szCs w:val="18"/>
              </w:rPr>
            </w:pPr>
            <w:r w:rsidRPr="00BC4AFE">
              <w:rPr>
                <w:sz w:val="18"/>
                <w:szCs w:val="18"/>
              </w:rPr>
              <w:t>7,171</w:t>
            </w:r>
          </w:p>
        </w:tc>
      </w:tr>
      <w:tr w:rsidR="00FC752D" w:rsidRPr="00BC4AFE" w14:paraId="5D3D1523" w14:textId="77777777" w:rsidTr="00A60395">
        <w:trPr>
          <w:cantSplit/>
          <w:trHeight w:val="245"/>
        </w:trPr>
        <w:tc>
          <w:tcPr>
            <w:tcW w:w="3605" w:type="dxa"/>
            <w:shd w:val="clear" w:color="auto" w:fill="auto"/>
            <w:vAlign w:val="center"/>
            <w:hideMark/>
          </w:tcPr>
          <w:p w14:paraId="472B7311" w14:textId="77777777" w:rsidR="00FC752D" w:rsidRPr="00BC4AFE" w:rsidRDefault="00FC752D" w:rsidP="006211D7">
            <w:pPr>
              <w:widowControl w:val="0"/>
              <w:ind w:left="144" w:hanging="144"/>
              <w:rPr>
                <w:sz w:val="18"/>
                <w:szCs w:val="18"/>
              </w:rPr>
            </w:pPr>
            <w:r w:rsidRPr="00BC4AFE">
              <w:rPr>
                <w:sz w:val="18"/>
                <w:szCs w:val="18"/>
              </w:rPr>
              <w:t>Bulgaria</w:t>
            </w:r>
          </w:p>
        </w:tc>
        <w:tc>
          <w:tcPr>
            <w:tcW w:w="1182" w:type="dxa"/>
            <w:shd w:val="clear" w:color="auto" w:fill="auto"/>
            <w:vAlign w:val="center"/>
            <w:hideMark/>
          </w:tcPr>
          <w:p w14:paraId="68EA1E40" w14:textId="77777777" w:rsidR="00FC752D" w:rsidRPr="00BC4AFE" w:rsidRDefault="00FC752D" w:rsidP="006211D7">
            <w:pPr>
              <w:widowControl w:val="0"/>
              <w:ind w:right="144"/>
              <w:jc w:val="right"/>
              <w:rPr>
                <w:sz w:val="18"/>
                <w:szCs w:val="18"/>
              </w:rPr>
            </w:pPr>
            <w:r w:rsidRPr="00BC4AFE">
              <w:rPr>
                <w:sz w:val="18"/>
                <w:szCs w:val="18"/>
              </w:rPr>
              <w:t>0.056</w:t>
            </w:r>
          </w:p>
        </w:tc>
        <w:tc>
          <w:tcPr>
            <w:tcW w:w="1182" w:type="dxa"/>
            <w:shd w:val="clear" w:color="auto" w:fill="auto"/>
            <w:noWrap/>
            <w:vAlign w:val="center"/>
            <w:hideMark/>
          </w:tcPr>
          <w:p w14:paraId="78977D99" w14:textId="77777777" w:rsidR="00FC752D" w:rsidRPr="00BC4AFE" w:rsidRDefault="00FC752D" w:rsidP="006211D7">
            <w:pPr>
              <w:widowControl w:val="0"/>
              <w:ind w:right="144"/>
              <w:jc w:val="right"/>
              <w:rPr>
                <w:sz w:val="18"/>
                <w:szCs w:val="18"/>
              </w:rPr>
            </w:pPr>
            <w:r w:rsidRPr="00BC4AFE">
              <w:rPr>
                <w:sz w:val="18"/>
                <w:szCs w:val="18"/>
              </w:rPr>
              <w:t>0.070</w:t>
            </w:r>
          </w:p>
        </w:tc>
        <w:tc>
          <w:tcPr>
            <w:tcW w:w="1182" w:type="dxa"/>
            <w:shd w:val="clear" w:color="auto" w:fill="auto"/>
            <w:noWrap/>
            <w:vAlign w:val="center"/>
            <w:hideMark/>
          </w:tcPr>
          <w:p w14:paraId="66BA5C8D" w14:textId="77777777" w:rsidR="00FC752D" w:rsidRPr="00BC4AFE" w:rsidRDefault="00FC752D" w:rsidP="006211D7">
            <w:pPr>
              <w:widowControl w:val="0"/>
              <w:ind w:right="144"/>
              <w:jc w:val="right"/>
              <w:rPr>
                <w:sz w:val="18"/>
                <w:szCs w:val="18"/>
              </w:rPr>
            </w:pPr>
            <w:r w:rsidRPr="00BC4AFE">
              <w:rPr>
                <w:sz w:val="18"/>
                <w:szCs w:val="18"/>
              </w:rPr>
              <w:t>9,119</w:t>
            </w:r>
          </w:p>
        </w:tc>
        <w:tc>
          <w:tcPr>
            <w:tcW w:w="1182" w:type="dxa"/>
            <w:shd w:val="clear" w:color="auto" w:fill="auto"/>
            <w:noWrap/>
            <w:vAlign w:val="center"/>
            <w:hideMark/>
          </w:tcPr>
          <w:p w14:paraId="167D84BC" w14:textId="77777777" w:rsidR="00FC752D" w:rsidRPr="00BC4AFE" w:rsidRDefault="00FC752D" w:rsidP="006211D7">
            <w:pPr>
              <w:widowControl w:val="0"/>
              <w:ind w:right="144"/>
              <w:jc w:val="right"/>
              <w:rPr>
                <w:sz w:val="18"/>
                <w:szCs w:val="18"/>
              </w:rPr>
            </w:pPr>
            <w:r w:rsidRPr="00BC4AFE">
              <w:rPr>
                <w:sz w:val="18"/>
                <w:szCs w:val="18"/>
              </w:rPr>
              <w:t>10,003</w:t>
            </w:r>
          </w:p>
        </w:tc>
        <w:tc>
          <w:tcPr>
            <w:tcW w:w="1171" w:type="dxa"/>
            <w:shd w:val="clear" w:color="auto" w:fill="auto"/>
            <w:noWrap/>
            <w:vAlign w:val="center"/>
            <w:hideMark/>
          </w:tcPr>
          <w:p w14:paraId="6859EF45" w14:textId="77777777" w:rsidR="00FC752D" w:rsidRPr="00BC4AFE" w:rsidRDefault="00FC752D" w:rsidP="006211D7">
            <w:pPr>
              <w:widowControl w:val="0"/>
              <w:ind w:right="144"/>
              <w:jc w:val="right"/>
              <w:rPr>
                <w:sz w:val="18"/>
                <w:szCs w:val="18"/>
              </w:rPr>
            </w:pPr>
            <w:r w:rsidRPr="00BC4AFE">
              <w:rPr>
                <w:sz w:val="18"/>
                <w:szCs w:val="18"/>
              </w:rPr>
              <w:t>19,122</w:t>
            </w:r>
          </w:p>
        </w:tc>
      </w:tr>
      <w:tr w:rsidR="00FC752D" w:rsidRPr="00BC4AFE" w14:paraId="603B73C0" w14:textId="77777777" w:rsidTr="00A60395">
        <w:trPr>
          <w:cantSplit/>
          <w:trHeight w:val="245"/>
        </w:trPr>
        <w:tc>
          <w:tcPr>
            <w:tcW w:w="3605" w:type="dxa"/>
            <w:shd w:val="clear" w:color="auto" w:fill="auto"/>
            <w:vAlign w:val="center"/>
            <w:hideMark/>
          </w:tcPr>
          <w:p w14:paraId="0B60CF36" w14:textId="77777777" w:rsidR="00FC752D" w:rsidRPr="00BC4AFE" w:rsidRDefault="00FC752D" w:rsidP="006211D7">
            <w:pPr>
              <w:widowControl w:val="0"/>
              <w:ind w:left="144" w:hanging="144"/>
              <w:rPr>
                <w:sz w:val="18"/>
                <w:szCs w:val="18"/>
              </w:rPr>
            </w:pPr>
            <w:r w:rsidRPr="00BC4AFE">
              <w:rPr>
                <w:sz w:val="18"/>
                <w:szCs w:val="18"/>
              </w:rPr>
              <w:t>Burkina Faso</w:t>
            </w:r>
          </w:p>
        </w:tc>
        <w:tc>
          <w:tcPr>
            <w:tcW w:w="1182" w:type="dxa"/>
            <w:shd w:val="clear" w:color="auto" w:fill="auto"/>
            <w:vAlign w:val="center"/>
            <w:hideMark/>
          </w:tcPr>
          <w:p w14:paraId="1BFA08E3"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62339DC4"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713855F8"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19470F45"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56218D6D"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02494DFC" w14:textId="77777777" w:rsidTr="00A60395">
        <w:trPr>
          <w:cantSplit/>
          <w:trHeight w:val="245"/>
        </w:trPr>
        <w:tc>
          <w:tcPr>
            <w:tcW w:w="3605" w:type="dxa"/>
            <w:shd w:val="clear" w:color="auto" w:fill="auto"/>
            <w:vAlign w:val="center"/>
            <w:hideMark/>
          </w:tcPr>
          <w:p w14:paraId="63D46ED4" w14:textId="77777777" w:rsidR="00FC752D" w:rsidRPr="00BC4AFE" w:rsidRDefault="00FC752D" w:rsidP="006211D7">
            <w:pPr>
              <w:widowControl w:val="0"/>
              <w:ind w:left="144" w:hanging="144"/>
              <w:rPr>
                <w:sz w:val="18"/>
                <w:szCs w:val="18"/>
              </w:rPr>
            </w:pPr>
            <w:r w:rsidRPr="00BC4AFE">
              <w:rPr>
                <w:sz w:val="18"/>
                <w:szCs w:val="18"/>
              </w:rPr>
              <w:t>Burundi</w:t>
            </w:r>
          </w:p>
        </w:tc>
        <w:tc>
          <w:tcPr>
            <w:tcW w:w="1182" w:type="dxa"/>
            <w:shd w:val="clear" w:color="auto" w:fill="auto"/>
            <w:vAlign w:val="center"/>
            <w:hideMark/>
          </w:tcPr>
          <w:p w14:paraId="67ACB24D"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7411467"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46B8AADB"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357F5B9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71E89281"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3CC3CC6" w14:textId="77777777" w:rsidTr="00A60395">
        <w:trPr>
          <w:cantSplit/>
          <w:trHeight w:val="245"/>
        </w:trPr>
        <w:tc>
          <w:tcPr>
            <w:tcW w:w="3605" w:type="dxa"/>
            <w:shd w:val="clear" w:color="auto" w:fill="auto"/>
            <w:vAlign w:val="center"/>
            <w:hideMark/>
          </w:tcPr>
          <w:p w14:paraId="51417E68" w14:textId="77777777" w:rsidR="00FC752D" w:rsidRPr="00BC4AFE" w:rsidRDefault="00FC752D" w:rsidP="006211D7">
            <w:pPr>
              <w:widowControl w:val="0"/>
              <w:ind w:left="144" w:hanging="144"/>
              <w:rPr>
                <w:sz w:val="18"/>
                <w:szCs w:val="18"/>
              </w:rPr>
            </w:pPr>
            <w:r w:rsidRPr="00BC4AFE">
              <w:rPr>
                <w:sz w:val="18"/>
                <w:szCs w:val="18"/>
              </w:rPr>
              <w:t>Cabo Verde</w:t>
            </w:r>
          </w:p>
        </w:tc>
        <w:tc>
          <w:tcPr>
            <w:tcW w:w="1182" w:type="dxa"/>
            <w:shd w:val="clear" w:color="auto" w:fill="auto"/>
            <w:vAlign w:val="center"/>
            <w:hideMark/>
          </w:tcPr>
          <w:p w14:paraId="589B4F06"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9337198"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599BAF3"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15A5B0E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07F6ED9"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14BB933" w14:textId="77777777" w:rsidTr="00A60395">
        <w:trPr>
          <w:cantSplit/>
          <w:trHeight w:val="245"/>
        </w:trPr>
        <w:tc>
          <w:tcPr>
            <w:tcW w:w="3605" w:type="dxa"/>
            <w:shd w:val="clear" w:color="auto" w:fill="auto"/>
            <w:vAlign w:val="center"/>
            <w:hideMark/>
          </w:tcPr>
          <w:p w14:paraId="4D442569" w14:textId="77777777" w:rsidR="00FC752D" w:rsidRPr="00BC4AFE" w:rsidRDefault="00FC752D" w:rsidP="006211D7">
            <w:pPr>
              <w:widowControl w:val="0"/>
              <w:ind w:left="144" w:hanging="144"/>
              <w:rPr>
                <w:sz w:val="18"/>
                <w:szCs w:val="18"/>
              </w:rPr>
            </w:pPr>
            <w:r w:rsidRPr="00BC4AFE">
              <w:rPr>
                <w:sz w:val="18"/>
                <w:szCs w:val="18"/>
              </w:rPr>
              <w:t>Cambodia</w:t>
            </w:r>
          </w:p>
        </w:tc>
        <w:tc>
          <w:tcPr>
            <w:tcW w:w="1182" w:type="dxa"/>
            <w:shd w:val="clear" w:color="auto" w:fill="auto"/>
            <w:vAlign w:val="center"/>
            <w:hideMark/>
          </w:tcPr>
          <w:p w14:paraId="4A5C10CD"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hideMark/>
          </w:tcPr>
          <w:p w14:paraId="48FD5247"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394A4469"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hideMark/>
          </w:tcPr>
          <w:p w14:paraId="712F4915"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hideMark/>
          </w:tcPr>
          <w:p w14:paraId="3E139BC5"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34C8D8DD" w14:textId="77777777" w:rsidTr="00A60395">
        <w:trPr>
          <w:cantSplit/>
          <w:trHeight w:val="245"/>
        </w:trPr>
        <w:tc>
          <w:tcPr>
            <w:tcW w:w="3605" w:type="dxa"/>
            <w:shd w:val="clear" w:color="auto" w:fill="auto"/>
            <w:vAlign w:val="center"/>
            <w:hideMark/>
          </w:tcPr>
          <w:p w14:paraId="210C8AD5" w14:textId="77777777" w:rsidR="00FC752D" w:rsidRPr="00BC4AFE" w:rsidRDefault="00FC752D" w:rsidP="006211D7">
            <w:pPr>
              <w:widowControl w:val="0"/>
              <w:ind w:left="144" w:hanging="144"/>
              <w:rPr>
                <w:sz w:val="18"/>
                <w:szCs w:val="18"/>
              </w:rPr>
            </w:pPr>
            <w:r w:rsidRPr="00BC4AFE">
              <w:rPr>
                <w:sz w:val="18"/>
                <w:szCs w:val="18"/>
              </w:rPr>
              <w:t>Cameroon</w:t>
            </w:r>
          </w:p>
        </w:tc>
        <w:tc>
          <w:tcPr>
            <w:tcW w:w="1182" w:type="dxa"/>
            <w:shd w:val="clear" w:color="auto" w:fill="auto"/>
            <w:vAlign w:val="center"/>
            <w:hideMark/>
          </w:tcPr>
          <w:p w14:paraId="7936D4C8" w14:textId="77777777" w:rsidR="00FC752D" w:rsidRPr="00BC4AFE" w:rsidRDefault="00FC752D" w:rsidP="006211D7">
            <w:pPr>
              <w:widowControl w:val="0"/>
              <w:ind w:right="144"/>
              <w:jc w:val="right"/>
              <w:rPr>
                <w:sz w:val="18"/>
                <w:szCs w:val="18"/>
              </w:rPr>
            </w:pPr>
            <w:r w:rsidRPr="00BC4AFE">
              <w:rPr>
                <w:sz w:val="18"/>
                <w:szCs w:val="18"/>
              </w:rPr>
              <w:t>0.013</w:t>
            </w:r>
          </w:p>
        </w:tc>
        <w:tc>
          <w:tcPr>
            <w:tcW w:w="1182" w:type="dxa"/>
            <w:shd w:val="clear" w:color="auto" w:fill="auto"/>
            <w:noWrap/>
            <w:vAlign w:val="center"/>
            <w:hideMark/>
          </w:tcPr>
          <w:p w14:paraId="478E00D4" w14:textId="77777777" w:rsidR="00FC752D" w:rsidRPr="00BC4AFE" w:rsidRDefault="00FC752D" w:rsidP="006211D7">
            <w:pPr>
              <w:widowControl w:val="0"/>
              <w:ind w:right="144"/>
              <w:jc w:val="right"/>
              <w:rPr>
                <w:sz w:val="18"/>
                <w:szCs w:val="18"/>
              </w:rPr>
            </w:pPr>
            <w:r w:rsidRPr="00BC4AFE">
              <w:rPr>
                <w:sz w:val="18"/>
                <w:szCs w:val="18"/>
              </w:rPr>
              <w:t>0.016</w:t>
            </w:r>
          </w:p>
        </w:tc>
        <w:tc>
          <w:tcPr>
            <w:tcW w:w="1182" w:type="dxa"/>
            <w:shd w:val="clear" w:color="auto" w:fill="auto"/>
            <w:noWrap/>
            <w:vAlign w:val="center"/>
            <w:hideMark/>
          </w:tcPr>
          <w:p w14:paraId="2DC2AEBE" w14:textId="77777777" w:rsidR="00FC752D" w:rsidRPr="00BC4AFE" w:rsidRDefault="00FC752D" w:rsidP="006211D7">
            <w:pPr>
              <w:widowControl w:val="0"/>
              <w:ind w:right="144"/>
              <w:jc w:val="right"/>
              <w:rPr>
                <w:sz w:val="18"/>
                <w:szCs w:val="18"/>
              </w:rPr>
            </w:pPr>
            <w:r w:rsidRPr="00BC4AFE">
              <w:rPr>
                <w:sz w:val="18"/>
                <w:szCs w:val="18"/>
              </w:rPr>
              <w:t>2,117</w:t>
            </w:r>
          </w:p>
        </w:tc>
        <w:tc>
          <w:tcPr>
            <w:tcW w:w="1182" w:type="dxa"/>
            <w:shd w:val="clear" w:color="auto" w:fill="auto"/>
            <w:noWrap/>
            <w:vAlign w:val="center"/>
            <w:hideMark/>
          </w:tcPr>
          <w:p w14:paraId="20B66DD1" w14:textId="77777777" w:rsidR="00FC752D" w:rsidRPr="00BC4AFE" w:rsidRDefault="00FC752D" w:rsidP="006211D7">
            <w:pPr>
              <w:widowControl w:val="0"/>
              <w:ind w:right="144"/>
              <w:jc w:val="right"/>
              <w:rPr>
                <w:sz w:val="18"/>
                <w:szCs w:val="18"/>
              </w:rPr>
            </w:pPr>
            <w:r w:rsidRPr="00BC4AFE">
              <w:rPr>
                <w:sz w:val="18"/>
                <w:szCs w:val="18"/>
              </w:rPr>
              <w:t>2,322</w:t>
            </w:r>
          </w:p>
        </w:tc>
        <w:tc>
          <w:tcPr>
            <w:tcW w:w="1171" w:type="dxa"/>
            <w:shd w:val="clear" w:color="auto" w:fill="auto"/>
            <w:noWrap/>
            <w:vAlign w:val="center"/>
            <w:hideMark/>
          </w:tcPr>
          <w:p w14:paraId="119FA6A6" w14:textId="77777777" w:rsidR="00FC752D" w:rsidRPr="00BC4AFE" w:rsidRDefault="00FC752D" w:rsidP="006211D7">
            <w:pPr>
              <w:widowControl w:val="0"/>
              <w:ind w:right="144"/>
              <w:jc w:val="right"/>
              <w:rPr>
                <w:sz w:val="18"/>
                <w:szCs w:val="18"/>
              </w:rPr>
            </w:pPr>
            <w:r w:rsidRPr="00BC4AFE">
              <w:rPr>
                <w:sz w:val="18"/>
                <w:szCs w:val="18"/>
              </w:rPr>
              <w:t>4,439</w:t>
            </w:r>
          </w:p>
        </w:tc>
      </w:tr>
      <w:tr w:rsidR="00FC752D" w:rsidRPr="00BC4AFE" w14:paraId="33CE08F7" w14:textId="77777777" w:rsidTr="00A60395">
        <w:trPr>
          <w:cantSplit/>
          <w:trHeight w:val="245"/>
        </w:trPr>
        <w:tc>
          <w:tcPr>
            <w:tcW w:w="3605" w:type="dxa"/>
            <w:shd w:val="clear" w:color="auto" w:fill="auto"/>
            <w:vAlign w:val="center"/>
            <w:hideMark/>
          </w:tcPr>
          <w:p w14:paraId="183476B8" w14:textId="77777777" w:rsidR="00FC752D" w:rsidRPr="00BC4AFE" w:rsidRDefault="00FC752D" w:rsidP="006211D7">
            <w:pPr>
              <w:widowControl w:val="0"/>
              <w:ind w:left="144" w:hanging="144"/>
              <w:rPr>
                <w:sz w:val="18"/>
                <w:szCs w:val="18"/>
              </w:rPr>
            </w:pPr>
            <w:r w:rsidRPr="00BC4AFE">
              <w:rPr>
                <w:sz w:val="18"/>
                <w:szCs w:val="18"/>
              </w:rPr>
              <w:t>Canada</w:t>
            </w:r>
          </w:p>
        </w:tc>
        <w:tc>
          <w:tcPr>
            <w:tcW w:w="1182" w:type="dxa"/>
            <w:shd w:val="clear" w:color="auto" w:fill="auto"/>
            <w:vAlign w:val="center"/>
            <w:hideMark/>
          </w:tcPr>
          <w:p w14:paraId="2FBB41EB" w14:textId="77777777" w:rsidR="00FC752D" w:rsidRPr="00BC4AFE" w:rsidRDefault="00FC752D" w:rsidP="006211D7">
            <w:pPr>
              <w:widowControl w:val="0"/>
              <w:ind w:right="144"/>
              <w:jc w:val="right"/>
              <w:rPr>
                <w:sz w:val="18"/>
                <w:szCs w:val="18"/>
              </w:rPr>
            </w:pPr>
            <w:r w:rsidRPr="00BC4AFE">
              <w:rPr>
                <w:sz w:val="18"/>
                <w:szCs w:val="18"/>
              </w:rPr>
              <w:t>2.628</w:t>
            </w:r>
          </w:p>
        </w:tc>
        <w:tc>
          <w:tcPr>
            <w:tcW w:w="1182" w:type="dxa"/>
            <w:shd w:val="clear" w:color="auto" w:fill="auto"/>
            <w:noWrap/>
            <w:vAlign w:val="center"/>
            <w:hideMark/>
          </w:tcPr>
          <w:p w14:paraId="3DDC9C61" w14:textId="77777777" w:rsidR="00FC752D" w:rsidRPr="00BC4AFE" w:rsidRDefault="00FC752D" w:rsidP="006211D7">
            <w:pPr>
              <w:widowControl w:val="0"/>
              <w:ind w:right="144"/>
              <w:jc w:val="right"/>
              <w:rPr>
                <w:sz w:val="18"/>
                <w:szCs w:val="18"/>
              </w:rPr>
            </w:pPr>
            <w:r w:rsidRPr="00BC4AFE">
              <w:rPr>
                <w:sz w:val="18"/>
                <w:szCs w:val="18"/>
              </w:rPr>
              <w:t>3.285</w:t>
            </w:r>
          </w:p>
        </w:tc>
        <w:tc>
          <w:tcPr>
            <w:tcW w:w="1182" w:type="dxa"/>
            <w:shd w:val="clear" w:color="auto" w:fill="auto"/>
            <w:noWrap/>
            <w:vAlign w:val="center"/>
            <w:hideMark/>
          </w:tcPr>
          <w:p w14:paraId="5367FE11" w14:textId="77777777" w:rsidR="00FC752D" w:rsidRPr="00BC4AFE" w:rsidRDefault="00FC752D" w:rsidP="006211D7">
            <w:pPr>
              <w:widowControl w:val="0"/>
              <w:ind w:right="144"/>
              <w:jc w:val="right"/>
              <w:rPr>
                <w:sz w:val="18"/>
                <w:szCs w:val="18"/>
              </w:rPr>
            </w:pPr>
            <w:r w:rsidRPr="00BC4AFE">
              <w:rPr>
                <w:sz w:val="18"/>
                <w:szCs w:val="18"/>
              </w:rPr>
              <w:t>427,962</w:t>
            </w:r>
          </w:p>
        </w:tc>
        <w:tc>
          <w:tcPr>
            <w:tcW w:w="1182" w:type="dxa"/>
            <w:shd w:val="clear" w:color="auto" w:fill="auto"/>
            <w:noWrap/>
            <w:vAlign w:val="center"/>
            <w:hideMark/>
          </w:tcPr>
          <w:p w14:paraId="578AC14B" w14:textId="77777777" w:rsidR="00FC752D" w:rsidRPr="00BC4AFE" w:rsidRDefault="00FC752D" w:rsidP="006211D7">
            <w:pPr>
              <w:widowControl w:val="0"/>
              <w:ind w:right="144"/>
              <w:jc w:val="right"/>
              <w:rPr>
                <w:sz w:val="18"/>
                <w:szCs w:val="18"/>
              </w:rPr>
            </w:pPr>
            <w:r w:rsidRPr="00BC4AFE">
              <w:rPr>
                <w:sz w:val="18"/>
                <w:szCs w:val="18"/>
              </w:rPr>
              <w:t>469,404</w:t>
            </w:r>
          </w:p>
        </w:tc>
        <w:tc>
          <w:tcPr>
            <w:tcW w:w="1171" w:type="dxa"/>
            <w:shd w:val="clear" w:color="auto" w:fill="auto"/>
            <w:noWrap/>
            <w:vAlign w:val="center"/>
            <w:hideMark/>
          </w:tcPr>
          <w:p w14:paraId="01264267" w14:textId="77777777" w:rsidR="00FC752D" w:rsidRPr="00BC4AFE" w:rsidRDefault="00FC752D" w:rsidP="006211D7">
            <w:pPr>
              <w:widowControl w:val="0"/>
              <w:ind w:right="144"/>
              <w:jc w:val="right"/>
              <w:rPr>
                <w:sz w:val="18"/>
                <w:szCs w:val="18"/>
              </w:rPr>
            </w:pPr>
            <w:r w:rsidRPr="00BC4AFE">
              <w:rPr>
                <w:sz w:val="18"/>
                <w:szCs w:val="18"/>
              </w:rPr>
              <w:t>897,367</w:t>
            </w:r>
          </w:p>
        </w:tc>
      </w:tr>
      <w:tr w:rsidR="00FC752D" w:rsidRPr="00BC4AFE" w14:paraId="35881242" w14:textId="77777777" w:rsidTr="00A60395">
        <w:trPr>
          <w:cantSplit/>
          <w:trHeight w:val="245"/>
        </w:trPr>
        <w:tc>
          <w:tcPr>
            <w:tcW w:w="3605" w:type="dxa"/>
            <w:shd w:val="clear" w:color="auto" w:fill="auto"/>
            <w:vAlign w:val="center"/>
            <w:hideMark/>
          </w:tcPr>
          <w:p w14:paraId="023AB145" w14:textId="77777777" w:rsidR="00FC752D" w:rsidRPr="00BC4AFE" w:rsidRDefault="00FC752D" w:rsidP="006211D7">
            <w:pPr>
              <w:widowControl w:val="0"/>
              <w:ind w:left="144" w:hanging="144"/>
              <w:rPr>
                <w:sz w:val="18"/>
                <w:szCs w:val="18"/>
              </w:rPr>
            </w:pPr>
            <w:r w:rsidRPr="00BC4AFE">
              <w:rPr>
                <w:sz w:val="18"/>
                <w:szCs w:val="18"/>
              </w:rPr>
              <w:t>Central African Republic</w:t>
            </w:r>
          </w:p>
        </w:tc>
        <w:tc>
          <w:tcPr>
            <w:tcW w:w="1182" w:type="dxa"/>
            <w:shd w:val="clear" w:color="auto" w:fill="auto"/>
            <w:vAlign w:val="center"/>
            <w:hideMark/>
          </w:tcPr>
          <w:p w14:paraId="20AF524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0F39A4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C72D5B9"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7C7DEB5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05B96C9A"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4746880A" w14:textId="77777777" w:rsidTr="00A60395">
        <w:trPr>
          <w:cantSplit/>
          <w:trHeight w:val="245"/>
        </w:trPr>
        <w:tc>
          <w:tcPr>
            <w:tcW w:w="3605" w:type="dxa"/>
            <w:shd w:val="clear" w:color="auto" w:fill="auto"/>
            <w:vAlign w:val="center"/>
            <w:hideMark/>
          </w:tcPr>
          <w:p w14:paraId="40313E4D" w14:textId="77777777" w:rsidR="00FC752D" w:rsidRPr="00BC4AFE" w:rsidRDefault="00FC752D" w:rsidP="006211D7">
            <w:pPr>
              <w:widowControl w:val="0"/>
              <w:ind w:left="144" w:hanging="144"/>
              <w:rPr>
                <w:sz w:val="18"/>
                <w:szCs w:val="18"/>
              </w:rPr>
            </w:pPr>
            <w:r w:rsidRPr="00BC4AFE">
              <w:rPr>
                <w:sz w:val="18"/>
                <w:szCs w:val="18"/>
              </w:rPr>
              <w:t>Chad</w:t>
            </w:r>
          </w:p>
        </w:tc>
        <w:tc>
          <w:tcPr>
            <w:tcW w:w="1182" w:type="dxa"/>
            <w:shd w:val="clear" w:color="auto" w:fill="auto"/>
            <w:vAlign w:val="center"/>
            <w:hideMark/>
          </w:tcPr>
          <w:p w14:paraId="3C2FDF06"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138BB4DC"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71A620EE"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shd w:val="clear" w:color="auto" w:fill="auto"/>
            <w:noWrap/>
            <w:vAlign w:val="center"/>
            <w:hideMark/>
          </w:tcPr>
          <w:p w14:paraId="0D4A2F78"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shd w:val="clear" w:color="auto" w:fill="auto"/>
            <w:noWrap/>
            <w:vAlign w:val="center"/>
            <w:hideMark/>
          </w:tcPr>
          <w:p w14:paraId="720BBC5F"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0147F829" w14:textId="77777777" w:rsidTr="00A60395">
        <w:trPr>
          <w:cantSplit/>
          <w:trHeight w:val="245"/>
        </w:trPr>
        <w:tc>
          <w:tcPr>
            <w:tcW w:w="3605" w:type="dxa"/>
            <w:shd w:val="clear" w:color="auto" w:fill="auto"/>
            <w:vAlign w:val="center"/>
            <w:hideMark/>
          </w:tcPr>
          <w:p w14:paraId="77DDC777" w14:textId="77777777" w:rsidR="00FC752D" w:rsidRPr="00BC4AFE" w:rsidRDefault="00FC752D" w:rsidP="006211D7">
            <w:pPr>
              <w:widowControl w:val="0"/>
              <w:ind w:left="144" w:hanging="144"/>
              <w:rPr>
                <w:sz w:val="18"/>
                <w:szCs w:val="18"/>
              </w:rPr>
            </w:pPr>
            <w:r w:rsidRPr="00BC4AFE">
              <w:rPr>
                <w:sz w:val="18"/>
                <w:szCs w:val="18"/>
              </w:rPr>
              <w:t>Chile</w:t>
            </w:r>
          </w:p>
        </w:tc>
        <w:tc>
          <w:tcPr>
            <w:tcW w:w="1182" w:type="dxa"/>
            <w:shd w:val="clear" w:color="auto" w:fill="auto"/>
            <w:vAlign w:val="center"/>
            <w:hideMark/>
          </w:tcPr>
          <w:p w14:paraId="123A0649" w14:textId="77777777" w:rsidR="00FC752D" w:rsidRPr="00BC4AFE" w:rsidRDefault="00FC752D" w:rsidP="006211D7">
            <w:pPr>
              <w:widowControl w:val="0"/>
              <w:ind w:right="144"/>
              <w:jc w:val="right"/>
              <w:rPr>
                <w:sz w:val="18"/>
                <w:szCs w:val="18"/>
              </w:rPr>
            </w:pPr>
            <w:r w:rsidRPr="00BC4AFE">
              <w:rPr>
                <w:sz w:val="18"/>
                <w:szCs w:val="18"/>
              </w:rPr>
              <w:t>0.420</w:t>
            </w:r>
          </w:p>
        </w:tc>
        <w:tc>
          <w:tcPr>
            <w:tcW w:w="1182" w:type="dxa"/>
            <w:shd w:val="clear" w:color="auto" w:fill="auto"/>
            <w:noWrap/>
            <w:vAlign w:val="center"/>
            <w:hideMark/>
          </w:tcPr>
          <w:p w14:paraId="570FE148" w14:textId="77777777" w:rsidR="00FC752D" w:rsidRPr="00BC4AFE" w:rsidRDefault="00FC752D" w:rsidP="006211D7">
            <w:pPr>
              <w:widowControl w:val="0"/>
              <w:ind w:right="144"/>
              <w:jc w:val="right"/>
              <w:rPr>
                <w:sz w:val="18"/>
                <w:szCs w:val="18"/>
              </w:rPr>
            </w:pPr>
            <w:r w:rsidRPr="00BC4AFE">
              <w:rPr>
                <w:sz w:val="18"/>
                <w:szCs w:val="18"/>
              </w:rPr>
              <w:t>0.525</w:t>
            </w:r>
          </w:p>
        </w:tc>
        <w:tc>
          <w:tcPr>
            <w:tcW w:w="1182" w:type="dxa"/>
            <w:shd w:val="clear" w:color="auto" w:fill="auto"/>
            <w:noWrap/>
            <w:vAlign w:val="center"/>
            <w:hideMark/>
          </w:tcPr>
          <w:p w14:paraId="17425AEE" w14:textId="77777777" w:rsidR="00FC752D" w:rsidRPr="00BC4AFE" w:rsidRDefault="00FC752D" w:rsidP="006211D7">
            <w:pPr>
              <w:widowControl w:val="0"/>
              <w:ind w:right="144"/>
              <w:jc w:val="right"/>
              <w:rPr>
                <w:sz w:val="18"/>
                <w:szCs w:val="18"/>
              </w:rPr>
            </w:pPr>
            <w:r w:rsidRPr="00BC4AFE">
              <w:rPr>
                <w:sz w:val="18"/>
                <w:szCs w:val="18"/>
              </w:rPr>
              <w:t>68,396</w:t>
            </w:r>
          </w:p>
        </w:tc>
        <w:tc>
          <w:tcPr>
            <w:tcW w:w="1182" w:type="dxa"/>
            <w:shd w:val="clear" w:color="auto" w:fill="auto"/>
            <w:noWrap/>
            <w:vAlign w:val="center"/>
            <w:hideMark/>
          </w:tcPr>
          <w:p w14:paraId="67A712C8" w14:textId="77777777" w:rsidR="00FC752D" w:rsidRPr="00BC4AFE" w:rsidRDefault="00FC752D" w:rsidP="006211D7">
            <w:pPr>
              <w:widowControl w:val="0"/>
              <w:ind w:right="144"/>
              <w:jc w:val="right"/>
              <w:rPr>
                <w:sz w:val="18"/>
                <w:szCs w:val="18"/>
              </w:rPr>
            </w:pPr>
            <w:r w:rsidRPr="00BC4AFE">
              <w:rPr>
                <w:sz w:val="18"/>
                <w:szCs w:val="18"/>
              </w:rPr>
              <w:t>75,019</w:t>
            </w:r>
          </w:p>
        </w:tc>
        <w:tc>
          <w:tcPr>
            <w:tcW w:w="1171" w:type="dxa"/>
            <w:shd w:val="clear" w:color="auto" w:fill="auto"/>
            <w:noWrap/>
            <w:vAlign w:val="center"/>
            <w:hideMark/>
          </w:tcPr>
          <w:p w14:paraId="0F8876F3" w14:textId="77777777" w:rsidR="00FC752D" w:rsidRPr="00BC4AFE" w:rsidRDefault="00FC752D" w:rsidP="006211D7">
            <w:pPr>
              <w:widowControl w:val="0"/>
              <w:ind w:right="144"/>
              <w:jc w:val="right"/>
              <w:rPr>
                <w:sz w:val="18"/>
                <w:szCs w:val="18"/>
              </w:rPr>
            </w:pPr>
            <w:r w:rsidRPr="00BC4AFE">
              <w:rPr>
                <w:sz w:val="18"/>
                <w:szCs w:val="18"/>
              </w:rPr>
              <w:t>143,415</w:t>
            </w:r>
          </w:p>
        </w:tc>
      </w:tr>
      <w:tr w:rsidR="00FC752D" w:rsidRPr="00BC4AFE" w14:paraId="5838AE62" w14:textId="77777777" w:rsidTr="00A60395">
        <w:trPr>
          <w:cantSplit/>
          <w:trHeight w:val="245"/>
        </w:trPr>
        <w:tc>
          <w:tcPr>
            <w:tcW w:w="3605" w:type="dxa"/>
            <w:shd w:val="clear" w:color="auto" w:fill="auto"/>
            <w:vAlign w:val="center"/>
            <w:hideMark/>
          </w:tcPr>
          <w:p w14:paraId="4107F2FE" w14:textId="77777777" w:rsidR="00FC752D" w:rsidRPr="00BC4AFE" w:rsidRDefault="00FC752D" w:rsidP="006211D7">
            <w:pPr>
              <w:widowControl w:val="0"/>
              <w:ind w:left="144" w:hanging="144"/>
              <w:rPr>
                <w:sz w:val="18"/>
                <w:szCs w:val="18"/>
              </w:rPr>
            </w:pPr>
            <w:r w:rsidRPr="00BC4AFE">
              <w:rPr>
                <w:sz w:val="18"/>
                <w:szCs w:val="18"/>
              </w:rPr>
              <w:t>China</w:t>
            </w:r>
          </w:p>
        </w:tc>
        <w:tc>
          <w:tcPr>
            <w:tcW w:w="1182" w:type="dxa"/>
            <w:shd w:val="clear" w:color="auto" w:fill="auto"/>
            <w:vAlign w:val="center"/>
            <w:hideMark/>
          </w:tcPr>
          <w:p w14:paraId="6901D9A8" w14:textId="77777777" w:rsidR="00FC752D" w:rsidRPr="00BC4AFE" w:rsidRDefault="00FC752D" w:rsidP="006211D7">
            <w:pPr>
              <w:widowControl w:val="0"/>
              <w:ind w:right="144"/>
              <w:jc w:val="right"/>
              <w:rPr>
                <w:sz w:val="18"/>
                <w:szCs w:val="18"/>
              </w:rPr>
            </w:pPr>
            <w:r w:rsidRPr="00BC4AFE">
              <w:rPr>
                <w:sz w:val="18"/>
                <w:szCs w:val="18"/>
              </w:rPr>
              <w:t>15.254</w:t>
            </w:r>
          </w:p>
        </w:tc>
        <w:tc>
          <w:tcPr>
            <w:tcW w:w="1182" w:type="dxa"/>
            <w:shd w:val="clear" w:color="auto" w:fill="auto"/>
            <w:noWrap/>
            <w:vAlign w:val="center"/>
            <w:hideMark/>
          </w:tcPr>
          <w:p w14:paraId="0707F01B" w14:textId="77777777" w:rsidR="00FC752D" w:rsidRPr="00BC4AFE" w:rsidRDefault="00FC752D" w:rsidP="006211D7">
            <w:pPr>
              <w:widowControl w:val="0"/>
              <w:ind w:right="144"/>
              <w:jc w:val="right"/>
              <w:rPr>
                <w:sz w:val="18"/>
                <w:szCs w:val="18"/>
              </w:rPr>
            </w:pPr>
            <w:r w:rsidRPr="00BC4AFE">
              <w:rPr>
                <w:sz w:val="18"/>
                <w:szCs w:val="18"/>
              </w:rPr>
              <w:t>19.069</w:t>
            </w:r>
          </w:p>
        </w:tc>
        <w:tc>
          <w:tcPr>
            <w:tcW w:w="1182" w:type="dxa"/>
            <w:shd w:val="clear" w:color="auto" w:fill="auto"/>
            <w:noWrap/>
            <w:vAlign w:val="center"/>
            <w:hideMark/>
          </w:tcPr>
          <w:p w14:paraId="5692E8C4" w14:textId="77777777" w:rsidR="00FC752D" w:rsidRPr="00BC4AFE" w:rsidRDefault="00FC752D" w:rsidP="006211D7">
            <w:pPr>
              <w:widowControl w:val="0"/>
              <w:ind w:right="144"/>
              <w:jc w:val="right"/>
              <w:rPr>
                <w:sz w:val="18"/>
                <w:szCs w:val="18"/>
              </w:rPr>
            </w:pPr>
            <w:r w:rsidRPr="00BC4AFE">
              <w:rPr>
                <w:sz w:val="18"/>
                <w:szCs w:val="18"/>
              </w:rPr>
              <w:t>2,484,070</w:t>
            </w:r>
          </w:p>
        </w:tc>
        <w:tc>
          <w:tcPr>
            <w:tcW w:w="1182" w:type="dxa"/>
            <w:shd w:val="clear" w:color="auto" w:fill="auto"/>
            <w:noWrap/>
            <w:vAlign w:val="center"/>
            <w:hideMark/>
          </w:tcPr>
          <w:p w14:paraId="5CF88071" w14:textId="77777777" w:rsidR="00FC752D" w:rsidRPr="00BC4AFE" w:rsidRDefault="00FC752D" w:rsidP="006211D7">
            <w:pPr>
              <w:widowControl w:val="0"/>
              <w:ind w:right="144"/>
              <w:jc w:val="right"/>
              <w:rPr>
                <w:sz w:val="18"/>
                <w:szCs w:val="18"/>
              </w:rPr>
            </w:pPr>
            <w:r w:rsidRPr="00BC4AFE">
              <w:rPr>
                <w:sz w:val="18"/>
                <w:szCs w:val="18"/>
              </w:rPr>
              <w:t>2,724,617</w:t>
            </w:r>
          </w:p>
        </w:tc>
        <w:tc>
          <w:tcPr>
            <w:tcW w:w="1171" w:type="dxa"/>
            <w:shd w:val="clear" w:color="auto" w:fill="auto"/>
            <w:noWrap/>
            <w:vAlign w:val="center"/>
            <w:hideMark/>
          </w:tcPr>
          <w:p w14:paraId="446455B4" w14:textId="77777777" w:rsidR="00FC752D" w:rsidRPr="00BC4AFE" w:rsidRDefault="00FC752D" w:rsidP="006211D7">
            <w:pPr>
              <w:widowControl w:val="0"/>
              <w:ind w:right="144"/>
              <w:jc w:val="right"/>
              <w:rPr>
                <w:sz w:val="18"/>
                <w:szCs w:val="18"/>
              </w:rPr>
            </w:pPr>
            <w:r w:rsidRPr="00BC4AFE">
              <w:rPr>
                <w:sz w:val="18"/>
                <w:szCs w:val="18"/>
              </w:rPr>
              <w:t>5,208,688</w:t>
            </w:r>
          </w:p>
        </w:tc>
      </w:tr>
      <w:tr w:rsidR="00FC752D" w:rsidRPr="00BC4AFE" w14:paraId="4E871BA6" w14:textId="77777777" w:rsidTr="00A60395">
        <w:trPr>
          <w:cantSplit/>
          <w:trHeight w:val="245"/>
        </w:trPr>
        <w:tc>
          <w:tcPr>
            <w:tcW w:w="3605" w:type="dxa"/>
            <w:shd w:val="clear" w:color="auto" w:fill="auto"/>
            <w:vAlign w:val="center"/>
            <w:hideMark/>
          </w:tcPr>
          <w:p w14:paraId="1186D732" w14:textId="77777777" w:rsidR="00FC752D" w:rsidRPr="00BC4AFE" w:rsidRDefault="00FC752D" w:rsidP="006211D7">
            <w:pPr>
              <w:widowControl w:val="0"/>
              <w:ind w:left="144" w:hanging="144"/>
              <w:rPr>
                <w:sz w:val="18"/>
                <w:szCs w:val="18"/>
              </w:rPr>
            </w:pPr>
            <w:r w:rsidRPr="00BC4AFE">
              <w:rPr>
                <w:sz w:val="18"/>
                <w:szCs w:val="18"/>
              </w:rPr>
              <w:t>Colombia</w:t>
            </w:r>
          </w:p>
        </w:tc>
        <w:tc>
          <w:tcPr>
            <w:tcW w:w="1182" w:type="dxa"/>
            <w:shd w:val="clear" w:color="auto" w:fill="auto"/>
            <w:vAlign w:val="center"/>
            <w:hideMark/>
          </w:tcPr>
          <w:p w14:paraId="7CFA5AB9" w14:textId="77777777" w:rsidR="00FC752D" w:rsidRPr="00BC4AFE" w:rsidRDefault="00FC752D" w:rsidP="006211D7">
            <w:pPr>
              <w:widowControl w:val="0"/>
              <w:ind w:right="144"/>
              <w:jc w:val="right"/>
              <w:rPr>
                <w:sz w:val="18"/>
                <w:szCs w:val="18"/>
              </w:rPr>
            </w:pPr>
            <w:r w:rsidRPr="00BC4AFE">
              <w:rPr>
                <w:sz w:val="18"/>
                <w:szCs w:val="18"/>
              </w:rPr>
              <w:t>0.246</w:t>
            </w:r>
          </w:p>
        </w:tc>
        <w:tc>
          <w:tcPr>
            <w:tcW w:w="1182" w:type="dxa"/>
            <w:shd w:val="clear" w:color="auto" w:fill="auto"/>
            <w:noWrap/>
            <w:vAlign w:val="center"/>
            <w:hideMark/>
          </w:tcPr>
          <w:p w14:paraId="2B7768F0" w14:textId="77777777" w:rsidR="00FC752D" w:rsidRPr="00BC4AFE" w:rsidRDefault="00FC752D" w:rsidP="006211D7">
            <w:pPr>
              <w:widowControl w:val="0"/>
              <w:ind w:right="144"/>
              <w:jc w:val="right"/>
              <w:rPr>
                <w:sz w:val="18"/>
                <w:szCs w:val="18"/>
              </w:rPr>
            </w:pPr>
            <w:r w:rsidRPr="00BC4AFE">
              <w:rPr>
                <w:sz w:val="18"/>
                <w:szCs w:val="18"/>
              </w:rPr>
              <w:t>0.308</w:t>
            </w:r>
          </w:p>
        </w:tc>
        <w:tc>
          <w:tcPr>
            <w:tcW w:w="1182" w:type="dxa"/>
            <w:shd w:val="clear" w:color="auto" w:fill="auto"/>
            <w:noWrap/>
            <w:vAlign w:val="center"/>
            <w:hideMark/>
          </w:tcPr>
          <w:p w14:paraId="1F01913C" w14:textId="77777777" w:rsidR="00FC752D" w:rsidRPr="00BC4AFE" w:rsidRDefault="00FC752D" w:rsidP="006211D7">
            <w:pPr>
              <w:widowControl w:val="0"/>
              <w:ind w:right="144"/>
              <w:jc w:val="right"/>
              <w:rPr>
                <w:sz w:val="18"/>
                <w:szCs w:val="18"/>
              </w:rPr>
            </w:pPr>
            <w:r w:rsidRPr="00BC4AFE">
              <w:rPr>
                <w:sz w:val="18"/>
                <w:szCs w:val="18"/>
              </w:rPr>
              <w:t>40,060</w:t>
            </w:r>
          </w:p>
        </w:tc>
        <w:tc>
          <w:tcPr>
            <w:tcW w:w="1182" w:type="dxa"/>
            <w:shd w:val="clear" w:color="auto" w:fill="auto"/>
            <w:noWrap/>
            <w:vAlign w:val="center"/>
            <w:hideMark/>
          </w:tcPr>
          <w:p w14:paraId="1A2D80AB" w14:textId="77777777" w:rsidR="00FC752D" w:rsidRPr="00BC4AFE" w:rsidRDefault="00FC752D" w:rsidP="006211D7">
            <w:pPr>
              <w:widowControl w:val="0"/>
              <w:ind w:right="144"/>
              <w:jc w:val="right"/>
              <w:rPr>
                <w:sz w:val="18"/>
                <w:szCs w:val="18"/>
              </w:rPr>
            </w:pPr>
            <w:r w:rsidRPr="00BC4AFE">
              <w:rPr>
                <w:sz w:val="18"/>
                <w:szCs w:val="18"/>
              </w:rPr>
              <w:t>43,940</w:t>
            </w:r>
          </w:p>
        </w:tc>
        <w:tc>
          <w:tcPr>
            <w:tcW w:w="1171" w:type="dxa"/>
            <w:shd w:val="clear" w:color="auto" w:fill="auto"/>
            <w:noWrap/>
            <w:vAlign w:val="center"/>
            <w:hideMark/>
          </w:tcPr>
          <w:p w14:paraId="5EADD9BD" w14:textId="77777777" w:rsidR="00FC752D" w:rsidRPr="00BC4AFE" w:rsidRDefault="00FC752D" w:rsidP="006211D7">
            <w:pPr>
              <w:widowControl w:val="0"/>
              <w:ind w:right="144"/>
              <w:jc w:val="right"/>
              <w:rPr>
                <w:sz w:val="18"/>
                <w:szCs w:val="18"/>
              </w:rPr>
            </w:pPr>
            <w:r w:rsidRPr="00BC4AFE">
              <w:rPr>
                <w:sz w:val="18"/>
                <w:szCs w:val="18"/>
              </w:rPr>
              <w:t>84,000</w:t>
            </w:r>
          </w:p>
        </w:tc>
      </w:tr>
      <w:tr w:rsidR="00FC752D" w:rsidRPr="00BC4AFE" w14:paraId="08D88B39" w14:textId="77777777" w:rsidTr="00A60395">
        <w:trPr>
          <w:cantSplit/>
          <w:trHeight w:val="245"/>
        </w:trPr>
        <w:tc>
          <w:tcPr>
            <w:tcW w:w="3605" w:type="dxa"/>
            <w:shd w:val="clear" w:color="auto" w:fill="auto"/>
            <w:vAlign w:val="center"/>
            <w:hideMark/>
          </w:tcPr>
          <w:p w14:paraId="303C900A" w14:textId="77777777" w:rsidR="00FC752D" w:rsidRPr="00BC4AFE" w:rsidRDefault="00FC752D" w:rsidP="006211D7">
            <w:pPr>
              <w:widowControl w:val="0"/>
              <w:ind w:left="144" w:hanging="144"/>
              <w:rPr>
                <w:sz w:val="18"/>
                <w:szCs w:val="18"/>
              </w:rPr>
            </w:pPr>
            <w:r w:rsidRPr="00BC4AFE">
              <w:rPr>
                <w:sz w:val="18"/>
                <w:szCs w:val="18"/>
              </w:rPr>
              <w:t>Comoros</w:t>
            </w:r>
          </w:p>
        </w:tc>
        <w:tc>
          <w:tcPr>
            <w:tcW w:w="1182" w:type="dxa"/>
            <w:shd w:val="clear" w:color="auto" w:fill="auto"/>
            <w:vAlign w:val="center"/>
            <w:hideMark/>
          </w:tcPr>
          <w:p w14:paraId="1E6E9638"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38599DE"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76CA3FB"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6DDB8EDA"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B0423A7"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6E0BC90C" w14:textId="77777777" w:rsidTr="00A60395">
        <w:trPr>
          <w:cantSplit/>
          <w:trHeight w:val="245"/>
        </w:trPr>
        <w:tc>
          <w:tcPr>
            <w:tcW w:w="3605" w:type="dxa"/>
            <w:shd w:val="clear" w:color="auto" w:fill="auto"/>
            <w:vAlign w:val="center"/>
            <w:hideMark/>
          </w:tcPr>
          <w:p w14:paraId="7661BD1B" w14:textId="77777777" w:rsidR="00FC752D" w:rsidRPr="00BC4AFE" w:rsidRDefault="00FC752D" w:rsidP="006211D7">
            <w:pPr>
              <w:widowControl w:val="0"/>
              <w:ind w:left="144" w:hanging="144"/>
              <w:rPr>
                <w:sz w:val="18"/>
                <w:szCs w:val="18"/>
              </w:rPr>
            </w:pPr>
            <w:r w:rsidRPr="00BC4AFE">
              <w:rPr>
                <w:sz w:val="18"/>
                <w:szCs w:val="18"/>
              </w:rPr>
              <w:t>Congo</w:t>
            </w:r>
          </w:p>
        </w:tc>
        <w:tc>
          <w:tcPr>
            <w:tcW w:w="1182" w:type="dxa"/>
            <w:shd w:val="clear" w:color="auto" w:fill="auto"/>
            <w:vAlign w:val="center"/>
            <w:hideMark/>
          </w:tcPr>
          <w:p w14:paraId="1EA0A5E1"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14085FF7"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20563530"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26433D98"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7C9EAACF"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6CC43CB0" w14:textId="77777777" w:rsidTr="00A60395">
        <w:trPr>
          <w:cantSplit/>
          <w:trHeight w:val="245"/>
        </w:trPr>
        <w:tc>
          <w:tcPr>
            <w:tcW w:w="3605" w:type="dxa"/>
            <w:shd w:val="clear" w:color="auto" w:fill="auto"/>
            <w:vAlign w:val="center"/>
            <w:hideMark/>
          </w:tcPr>
          <w:p w14:paraId="552CC952" w14:textId="77777777" w:rsidR="00FC752D" w:rsidRPr="00BC4AFE" w:rsidRDefault="00FC752D" w:rsidP="006211D7">
            <w:pPr>
              <w:widowControl w:val="0"/>
              <w:ind w:left="144" w:hanging="144"/>
              <w:rPr>
                <w:sz w:val="18"/>
                <w:szCs w:val="18"/>
              </w:rPr>
            </w:pPr>
            <w:r w:rsidRPr="00BC4AFE">
              <w:rPr>
                <w:sz w:val="18"/>
                <w:szCs w:val="18"/>
              </w:rPr>
              <w:t>Cook Islands</w:t>
            </w:r>
          </w:p>
        </w:tc>
        <w:tc>
          <w:tcPr>
            <w:tcW w:w="1182" w:type="dxa"/>
            <w:shd w:val="clear" w:color="auto" w:fill="auto"/>
            <w:vAlign w:val="center"/>
            <w:hideMark/>
          </w:tcPr>
          <w:p w14:paraId="32342149"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4EDC6D6"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0F1C701"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566C1ADF"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0C4FCEFB"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677617BC" w14:textId="77777777" w:rsidTr="00A60395">
        <w:trPr>
          <w:cantSplit/>
          <w:trHeight w:val="245"/>
        </w:trPr>
        <w:tc>
          <w:tcPr>
            <w:tcW w:w="3605" w:type="dxa"/>
            <w:shd w:val="clear" w:color="auto" w:fill="auto"/>
            <w:vAlign w:val="center"/>
            <w:hideMark/>
          </w:tcPr>
          <w:p w14:paraId="3F590D0C" w14:textId="77777777" w:rsidR="00FC752D" w:rsidRPr="00BC4AFE" w:rsidRDefault="00FC752D" w:rsidP="006211D7">
            <w:pPr>
              <w:widowControl w:val="0"/>
              <w:ind w:left="144" w:hanging="144"/>
              <w:rPr>
                <w:sz w:val="18"/>
                <w:szCs w:val="18"/>
              </w:rPr>
            </w:pPr>
            <w:r w:rsidRPr="00BC4AFE">
              <w:rPr>
                <w:sz w:val="18"/>
                <w:szCs w:val="18"/>
              </w:rPr>
              <w:t>Costa Rica</w:t>
            </w:r>
          </w:p>
        </w:tc>
        <w:tc>
          <w:tcPr>
            <w:tcW w:w="1182" w:type="dxa"/>
            <w:shd w:val="clear" w:color="auto" w:fill="auto"/>
            <w:vAlign w:val="center"/>
            <w:hideMark/>
          </w:tcPr>
          <w:p w14:paraId="5656486B" w14:textId="77777777" w:rsidR="00FC752D" w:rsidRPr="00BC4AFE" w:rsidRDefault="00FC752D" w:rsidP="006211D7">
            <w:pPr>
              <w:widowControl w:val="0"/>
              <w:ind w:right="144"/>
              <w:jc w:val="right"/>
              <w:rPr>
                <w:sz w:val="18"/>
                <w:szCs w:val="18"/>
              </w:rPr>
            </w:pPr>
            <w:r w:rsidRPr="00BC4AFE">
              <w:rPr>
                <w:sz w:val="18"/>
                <w:szCs w:val="18"/>
              </w:rPr>
              <w:t>0.069</w:t>
            </w:r>
          </w:p>
        </w:tc>
        <w:tc>
          <w:tcPr>
            <w:tcW w:w="1182" w:type="dxa"/>
            <w:shd w:val="clear" w:color="auto" w:fill="auto"/>
            <w:noWrap/>
            <w:vAlign w:val="center"/>
            <w:hideMark/>
          </w:tcPr>
          <w:p w14:paraId="47252084" w14:textId="77777777" w:rsidR="00FC752D" w:rsidRPr="00BC4AFE" w:rsidRDefault="00FC752D" w:rsidP="006211D7">
            <w:pPr>
              <w:widowControl w:val="0"/>
              <w:ind w:right="144"/>
              <w:jc w:val="right"/>
              <w:rPr>
                <w:sz w:val="18"/>
                <w:szCs w:val="18"/>
              </w:rPr>
            </w:pPr>
            <w:r w:rsidRPr="00BC4AFE">
              <w:rPr>
                <w:sz w:val="18"/>
                <w:szCs w:val="18"/>
              </w:rPr>
              <w:t>0.086</w:t>
            </w:r>
          </w:p>
        </w:tc>
        <w:tc>
          <w:tcPr>
            <w:tcW w:w="1182" w:type="dxa"/>
            <w:shd w:val="clear" w:color="auto" w:fill="auto"/>
            <w:noWrap/>
            <w:vAlign w:val="center"/>
            <w:hideMark/>
          </w:tcPr>
          <w:p w14:paraId="765D3427" w14:textId="77777777" w:rsidR="00FC752D" w:rsidRPr="00BC4AFE" w:rsidRDefault="00FC752D" w:rsidP="006211D7">
            <w:pPr>
              <w:widowControl w:val="0"/>
              <w:ind w:right="144"/>
              <w:jc w:val="right"/>
              <w:rPr>
                <w:sz w:val="18"/>
                <w:szCs w:val="18"/>
              </w:rPr>
            </w:pPr>
            <w:r w:rsidRPr="00BC4AFE">
              <w:rPr>
                <w:sz w:val="18"/>
                <w:szCs w:val="18"/>
              </w:rPr>
              <w:t>11,236</w:t>
            </w:r>
          </w:p>
        </w:tc>
        <w:tc>
          <w:tcPr>
            <w:tcW w:w="1182" w:type="dxa"/>
            <w:shd w:val="clear" w:color="auto" w:fill="auto"/>
            <w:noWrap/>
            <w:vAlign w:val="center"/>
            <w:hideMark/>
          </w:tcPr>
          <w:p w14:paraId="70A6B1F4" w14:textId="77777777" w:rsidR="00FC752D" w:rsidRPr="00BC4AFE" w:rsidRDefault="00FC752D" w:rsidP="006211D7">
            <w:pPr>
              <w:widowControl w:val="0"/>
              <w:ind w:right="144"/>
              <w:jc w:val="right"/>
              <w:rPr>
                <w:sz w:val="18"/>
                <w:szCs w:val="18"/>
              </w:rPr>
            </w:pPr>
            <w:r w:rsidRPr="00BC4AFE">
              <w:rPr>
                <w:sz w:val="18"/>
                <w:szCs w:val="18"/>
              </w:rPr>
              <w:t>12,325</w:t>
            </w:r>
          </w:p>
        </w:tc>
        <w:tc>
          <w:tcPr>
            <w:tcW w:w="1171" w:type="dxa"/>
            <w:shd w:val="clear" w:color="auto" w:fill="auto"/>
            <w:noWrap/>
            <w:vAlign w:val="center"/>
            <w:hideMark/>
          </w:tcPr>
          <w:p w14:paraId="4605CC29" w14:textId="77777777" w:rsidR="00FC752D" w:rsidRPr="00BC4AFE" w:rsidRDefault="00FC752D" w:rsidP="006211D7">
            <w:pPr>
              <w:widowControl w:val="0"/>
              <w:ind w:right="144"/>
              <w:jc w:val="right"/>
              <w:rPr>
                <w:sz w:val="18"/>
                <w:szCs w:val="18"/>
              </w:rPr>
            </w:pPr>
            <w:r w:rsidRPr="00BC4AFE">
              <w:rPr>
                <w:sz w:val="18"/>
                <w:szCs w:val="18"/>
              </w:rPr>
              <w:t>23,561</w:t>
            </w:r>
          </w:p>
        </w:tc>
      </w:tr>
      <w:tr w:rsidR="00FC752D" w:rsidRPr="00BC4AFE" w14:paraId="76B3C7F1" w14:textId="77777777" w:rsidTr="00A60395">
        <w:trPr>
          <w:cantSplit/>
          <w:trHeight w:val="245"/>
        </w:trPr>
        <w:tc>
          <w:tcPr>
            <w:tcW w:w="3605" w:type="dxa"/>
            <w:shd w:val="clear" w:color="auto" w:fill="auto"/>
            <w:vAlign w:val="center"/>
            <w:hideMark/>
          </w:tcPr>
          <w:p w14:paraId="38797524" w14:textId="77777777" w:rsidR="00FC752D" w:rsidRPr="00BC4AFE" w:rsidRDefault="00FC752D" w:rsidP="006211D7">
            <w:pPr>
              <w:widowControl w:val="0"/>
              <w:ind w:left="144" w:hanging="144"/>
              <w:rPr>
                <w:sz w:val="18"/>
                <w:szCs w:val="18"/>
              </w:rPr>
            </w:pPr>
            <w:r w:rsidRPr="00BC4AFE">
              <w:rPr>
                <w:sz w:val="18"/>
                <w:szCs w:val="18"/>
              </w:rPr>
              <w:t>Côte d’Ivoire</w:t>
            </w:r>
          </w:p>
        </w:tc>
        <w:tc>
          <w:tcPr>
            <w:tcW w:w="1182" w:type="dxa"/>
            <w:shd w:val="clear" w:color="auto" w:fill="auto"/>
            <w:vAlign w:val="center"/>
            <w:hideMark/>
          </w:tcPr>
          <w:p w14:paraId="268FCADC" w14:textId="77777777" w:rsidR="00FC752D" w:rsidRPr="00BC4AFE" w:rsidRDefault="00FC752D" w:rsidP="006211D7">
            <w:pPr>
              <w:widowControl w:val="0"/>
              <w:ind w:right="144"/>
              <w:jc w:val="right"/>
              <w:rPr>
                <w:sz w:val="18"/>
                <w:szCs w:val="18"/>
              </w:rPr>
            </w:pPr>
            <w:r w:rsidRPr="00BC4AFE">
              <w:rPr>
                <w:sz w:val="18"/>
                <w:szCs w:val="18"/>
              </w:rPr>
              <w:t>0.022</w:t>
            </w:r>
          </w:p>
        </w:tc>
        <w:tc>
          <w:tcPr>
            <w:tcW w:w="1182" w:type="dxa"/>
            <w:shd w:val="clear" w:color="auto" w:fill="auto"/>
            <w:noWrap/>
            <w:vAlign w:val="center"/>
            <w:hideMark/>
          </w:tcPr>
          <w:p w14:paraId="75661929" w14:textId="77777777" w:rsidR="00FC752D" w:rsidRPr="00BC4AFE" w:rsidRDefault="00FC752D" w:rsidP="006211D7">
            <w:pPr>
              <w:widowControl w:val="0"/>
              <w:ind w:right="144"/>
              <w:jc w:val="right"/>
              <w:rPr>
                <w:sz w:val="18"/>
                <w:szCs w:val="18"/>
              </w:rPr>
            </w:pPr>
            <w:r w:rsidRPr="00BC4AFE">
              <w:rPr>
                <w:sz w:val="18"/>
                <w:szCs w:val="18"/>
              </w:rPr>
              <w:t>0.028</w:t>
            </w:r>
          </w:p>
        </w:tc>
        <w:tc>
          <w:tcPr>
            <w:tcW w:w="1182" w:type="dxa"/>
            <w:shd w:val="clear" w:color="auto" w:fill="auto"/>
            <w:noWrap/>
            <w:vAlign w:val="center"/>
            <w:hideMark/>
          </w:tcPr>
          <w:p w14:paraId="68E01F6C" w14:textId="77777777" w:rsidR="00FC752D" w:rsidRPr="00BC4AFE" w:rsidRDefault="00FC752D" w:rsidP="006211D7">
            <w:pPr>
              <w:widowControl w:val="0"/>
              <w:ind w:right="144"/>
              <w:jc w:val="right"/>
              <w:rPr>
                <w:sz w:val="18"/>
                <w:szCs w:val="18"/>
              </w:rPr>
            </w:pPr>
            <w:r w:rsidRPr="00BC4AFE">
              <w:rPr>
                <w:sz w:val="18"/>
                <w:szCs w:val="18"/>
              </w:rPr>
              <w:t>3,583</w:t>
            </w:r>
          </w:p>
        </w:tc>
        <w:tc>
          <w:tcPr>
            <w:tcW w:w="1182" w:type="dxa"/>
            <w:shd w:val="clear" w:color="auto" w:fill="auto"/>
            <w:noWrap/>
            <w:vAlign w:val="center"/>
            <w:hideMark/>
          </w:tcPr>
          <w:p w14:paraId="792250DE" w14:textId="77777777" w:rsidR="00FC752D" w:rsidRPr="00BC4AFE" w:rsidRDefault="00FC752D" w:rsidP="006211D7">
            <w:pPr>
              <w:widowControl w:val="0"/>
              <w:ind w:right="144"/>
              <w:jc w:val="right"/>
              <w:rPr>
                <w:sz w:val="18"/>
                <w:szCs w:val="18"/>
              </w:rPr>
            </w:pPr>
            <w:r w:rsidRPr="00BC4AFE">
              <w:rPr>
                <w:sz w:val="18"/>
                <w:szCs w:val="18"/>
              </w:rPr>
              <w:t>3,930</w:t>
            </w:r>
          </w:p>
        </w:tc>
        <w:tc>
          <w:tcPr>
            <w:tcW w:w="1171" w:type="dxa"/>
            <w:shd w:val="clear" w:color="auto" w:fill="auto"/>
            <w:noWrap/>
            <w:vAlign w:val="center"/>
            <w:hideMark/>
          </w:tcPr>
          <w:p w14:paraId="34853E4C" w14:textId="77777777" w:rsidR="00FC752D" w:rsidRPr="00BC4AFE" w:rsidRDefault="00FC752D" w:rsidP="006211D7">
            <w:pPr>
              <w:widowControl w:val="0"/>
              <w:ind w:right="144"/>
              <w:jc w:val="right"/>
              <w:rPr>
                <w:sz w:val="18"/>
                <w:szCs w:val="18"/>
              </w:rPr>
            </w:pPr>
            <w:r w:rsidRPr="00BC4AFE">
              <w:rPr>
                <w:sz w:val="18"/>
                <w:szCs w:val="18"/>
              </w:rPr>
              <w:t>7,512</w:t>
            </w:r>
          </w:p>
        </w:tc>
      </w:tr>
      <w:tr w:rsidR="00FC752D" w:rsidRPr="00BC4AFE" w14:paraId="5CF8C009" w14:textId="77777777" w:rsidTr="00A60395">
        <w:trPr>
          <w:cantSplit/>
          <w:trHeight w:val="245"/>
        </w:trPr>
        <w:tc>
          <w:tcPr>
            <w:tcW w:w="3605" w:type="dxa"/>
            <w:shd w:val="clear" w:color="auto" w:fill="auto"/>
            <w:vAlign w:val="center"/>
            <w:hideMark/>
          </w:tcPr>
          <w:p w14:paraId="6A0A5CB0" w14:textId="77777777" w:rsidR="00FC752D" w:rsidRPr="00BC4AFE" w:rsidRDefault="00FC752D" w:rsidP="006211D7">
            <w:pPr>
              <w:widowControl w:val="0"/>
              <w:ind w:left="144" w:hanging="144"/>
              <w:rPr>
                <w:sz w:val="18"/>
                <w:szCs w:val="18"/>
              </w:rPr>
            </w:pPr>
            <w:r w:rsidRPr="00BC4AFE">
              <w:rPr>
                <w:sz w:val="18"/>
                <w:szCs w:val="18"/>
              </w:rPr>
              <w:t>Croatia</w:t>
            </w:r>
          </w:p>
        </w:tc>
        <w:tc>
          <w:tcPr>
            <w:tcW w:w="1182" w:type="dxa"/>
            <w:shd w:val="clear" w:color="auto" w:fill="auto"/>
            <w:vAlign w:val="center"/>
            <w:hideMark/>
          </w:tcPr>
          <w:p w14:paraId="2A92BAC2" w14:textId="77777777" w:rsidR="00FC752D" w:rsidRPr="00BC4AFE" w:rsidRDefault="00FC752D" w:rsidP="006211D7">
            <w:pPr>
              <w:widowControl w:val="0"/>
              <w:ind w:right="144"/>
              <w:jc w:val="right"/>
              <w:rPr>
                <w:sz w:val="18"/>
                <w:szCs w:val="18"/>
              </w:rPr>
            </w:pPr>
            <w:r w:rsidRPr="00BC4AFE">
              <w:rPr>
                <w:sz w:val="18"/>
                <w:szCs w:val="18"/>
              </w:rPr>
              <w:t>0.091</w:t>
            </w:r>
          </w:p>
        </w:tc>
        <w:tc>
          <w:tcPr>
            <w:tcW w:w="1182" w:type="dxa"/>
            <w:shd w:val="clear" w:color="auto" w:fill="auto"/>
            <w:noWrap/>
            <w:vAlign w:val="center"/>
            <w:hideMark/>
          </w:tcPr>
          <w:p w14:paraId="5A1370C1" w14:textId="77777777" w:rsidR="00FC752D" w:rsidRPr="00BC4AFE" w:rsidRDefault="00FC752D" w:rsidP="006211D7">
            <w:pPr>
              <w:widowControl w:val="0"/>
              <w:ind w:right="144"/>
              <w:jc w:val="right"/>
              <w:rPr>
                <w:sz w:val="18"/>
                <w:szCs w:val="18"/>
              </w:rPr>
            </w:pPr>
            <w:r w:rsidRPr="00BC4AFE">
              <w:rPr>
                <w:sz w:val="18"/>
                <w:szCs w:val="18"/>
              </w:rPr>
              <w:t>0.114</w:t>
            </w:r>
          </w:p>
        </w:tc>
        <w:tc>
          <w:tcPr>
            <w:tcW w:w="1182" w:type="dxa"/>
            <w:shd w:val="clear" w:color="auto" w:fill="auto"/>
            <w:noWrap/>
            <w:vAlign w:val="center"/>
            <w:hideMark/>
          </w:tcPr>
          <w:p w14:paraId="36D97282" w14:textId="77777777" w:rsidR="00FC752D" w:rsidRPr="00BC4AFE" w:rsidRDefault="00FC752D" w:rsidP="006211D7">
            <w:pPr>
              <w:widowControl w:val="0"/>
              <w:ind w:right="144"/>
              <w:jc w:val="right"/>
              <w:rPr>
                <w:sz w:val="18"/>
                <w:szCs w:val="18"/>
              </w:rPr>
            </w:pPr>
            <w:r w:rsidRPr="00BC4AFE">
              <w:rPr>
                <w:sz w:val="18"/>
                <w:szCs w:val="18"/>
              </w:rPr>
              <w:t>14,819</w:t>
            </w:r>
          </w:p>
        </w:tc>
        <w:tc>
          <w:tcPr>
            <w:tcW w:w="1182" w:type="dxa"/>
            <w:shd w:val="clear" w:color="auto" w:fill="auto"/>
            <w:noWrap/>
            <w:vAlign w:val="center"/>
            <w:hideMark/>
          </w:tcPr>
          <w:p w14:paraId="4F0AA943" w14:textId="77777777" w:rsidR="00FC752D" w:rsidRPr="00BC4AFE" w:rsidRDefault="00FC752D" w:rsidP="006211D7">
            <w:pPr>
              <w:widowControl w:val="0"/>
              <w:ind w:right="144"/>
              <w:jc w:val="right"/>
              <w:rPr>
                <w:sz w:val="18"/>
                <w:szCs w:val="18"/>
              </w:rPr>
            </w:pPr>
            <w:r w:rsidRPr="00BC4AFE">
              <w:rPr>
                <w:sz w:val="18"/>
                <w:szCs w:val="18"/>
              </w:rPr>
              <w:t>16,254</w:t>
            </w:r>
          </w:p>
        </w:tc>
        <w:tc>
          <w:tcPr>
            <w:tcW w:w="1171" w:type="dxa"/>
            <w:shd w:val="clear" w:color="auto" w:fill="auto"/>
            <w:noWrap/>
            <w:vAlign w:val="center"/>
            <w:hideMark/>
          </w:tcPr>
          <w:p w14:paraId="670C467B" w14:textId="77777777" w:rsidR="00FC752D" w:rsidRPr="00BC4AFE" w:rsidRDefault="00FC752D" w:rsidP="006211D7">
            <w:pPr>
              <w:widowControl w:val="0"/>
              <w:ind w:right="144"/>
              <w:jc w:val="right"/>
              <w:rPr>
                <w:sz w:val="18"/>
                <w:szCs w:val="18"/>
              </w:rPr>
            </w:pPr>
            <w:r w:rsidRPr="00BC4AFE">
              <w:rPr>
                <w:sz w:val="18"/>
                <w:szCs w:val="18"/>
              </w:rPr>
              <w:t>31,073</w:t>
            </w:r>
          </w:p>
        </w:tc>
      </w:tr>
      <w:tr w:rsidR="00FC752D" w:rsidRPr="00BC4AFE" w14:paraId="33BD99D6" w14:textId="77777777" w:rsidTr="00A60395">
        <w:trPr>
          <w:cantSplit/>
          <w:trHeight w:val="245"/>
        </w:trPr>
        <w:tc>
          <w:tcPr>
            <w:tcW w:w="3605" w:type="dxa"/>
            <w:shd w:val="clear" w:color="auto" w:fill="auto"/>
            <w:vAlign w:val="center"/>
            <w:hideMark/>
          </w:tcPr>
          <w:p w14:paraId="4DEC13ED" w14:textId="77777777" w:rsidR="00FC752D" w:rsidRPr="00BC4AFE" w:rsidRDefault="00FC752D" w:rsidP="006211D7">
            <w:pPr>
              <w:widowControl w:val="0"/>
              <w:ind w:left="144" w:hanging="144"/>
              <w:rPr>
                <w:sz w:val="18"/>
                <w:szCs w:val="18"/>
              </w:rPr>
            </w:pPr>
            <w:r w:rsidRPr="00BC4AFE">
              <w:rPr>
                <w:sz w:val="18"/>
                <w:szCs w:val="18"/>
              </w:rPr>
              <w:lastRenderedPageBreak/>
              <w:t>Cuba</w:t>
            </w:r>
          </w:p>
        </w:tc>
        <w:tc>
          <w:tcPr>
            <w:tcW w:w="1182" w:type="dxa"/>
            <w:shd w:val="clear" w:color="auto" w:fill="auto"/>
            <w:vAlign w:val="center"/>
            <w:hideMark/>
          </w:tcPr>
          <w:p w14:paraId="74C55232" w14:textId="77777777" w:rsidR="00FC752D" w:rsidRPr="00BC4AFE" w:rsidRDefault="00FC752D" w:rsidP="006211D7">
            <w:pPr>
              <w:widowControl w:val="0"/>
              <w:ind w:right="144"/>
              <w:jc w:val="right"/>
              <w:rPr>
                <w:sz w:val="18"/>
                <w:szCs w:val="18"/>
              </w:rPr>
            </w:pPr>
            <w:r w:rsidRPr="00BC4AFE">
              <w:rPr>
                <w:sz w:val="18"/>
                <w:szCs w:val="18"/>
              </w:rPr>
              <w:t>0.095</w:t>
            </w:r>
          </w:p>
        </w:tc>
        <w:tc>
          <w:tcPr>
            <w:tcW w:w="1182" w:type="dxa"/>
            <w:shd w:val="clear" w:color="auto" w:fill="auto"/>
            <w:noWrap/>
            <w:vAlign w:val="center"/>
            <w:hideMark/>
          </w:tcPr>
          <w:p w14:paraId="50EF45F8" w14:textId="77777777" w:rsidR="00FC752D" w:rsidRPr="00BC4AFE" w:rsidRDefault="00FC752D" w:rsidP="006211D7">
            <w:pPr>
              <w:widowControl w:val="0"/>
              <w:ind w:right="144"/>
              <w:jc w:val="right"/>
              <w:rPr>
                <w:sz w:val="18"/>
                <w:szCs w:val="18"/>
              </w:rPr>
            </w:pPr>
            <w:r w:rsidRPr="00BC4AFE">
              <w:rPr>
                <w:sz w:val="18"/>
                <w:szCs w:val="18"/>
              </w:rPr>
              <w:t>0.119</w:t>
            </w:r>
          </w:p>
        </w:tc>
        <w:tc>
          <w:tcPr>
            <w:tcW w:w="1182" w:type="dxa"/>
            <w:shd w:val="clear" w:color="auto" w:fill="auto"/>
            <w:noWrap/>
            <w:vAlign w:val="center"/>
            <w:hideMark/>
          </w:tcPr>
          <w:p w14:paraId="065C140A" w14:textId="77777777" w:rsidR="00FC752D" w:rsidRPr="00BC4AFE" w:rsidRDefault="00FC752D" w:rsidP="006211D7">
            <w:pPr>
              <w:widowControl w:val="0"/>
              <w:ind w:right="144"/>
              <w:jc w:val="right"/>
              <w:rPr>
                <w:sz w:val="18"/>
                <w:szCs w:val="18"/>
              </w:rPr>
            </w:pPr>
            <w:r w:rsidRPr="00BC4AFE">
              <w:rPr>
                <w:sz w:val="18"/>
                <w:szCs w:val="18"/>
              </w:rPr>
              <w:t>15,470</w:t>
            </w:r>
          </w:p>
        </w:tc>
        <w:tc>
          <w:tcPr>
            <w:tcW w:w="1182" w:type="dxa"/>
            <w:shd w:val="clear" w:color="auto" w:fill="auto"/>
            <w:noWrap/>
            <w:vAlign w:val="center"/>
            <w:hideMark/>
          </w:tcPr>
          <w:p w14:paraId="1579680D" w14:textId="77777777" w:rsidR="00FC752D" w:rsidRPr="00BC4AFE" w:rsidRDefault="00FC752D" w:rsidP="006211D7">
            <w:pPr>
              <w:widowControl w:val="0"/>
              <w:ind w:right="144"/>
              <w:jc w:val="right"/>
              <w:rPr>
                <w:sz w:val="18"/>
                <w:szCs w:val="18"/>
              </w:rPr>
            </w:pPr>
            <w:r w:rsidRPr="00BC4AFE">
              <w:rPr>
                <w:sz w:val="18"/>
                <w:szCs w:val="18"/>
              </w:rPr>
              <w:t>16,969</w:t>
            </w:r>
          </w:p>
        </w:tc>
        <w:tc>
          <w:tcPr>
            <w:tcW w:w="1171" w:type="dxa"/>
            <w:shd w:val="clear" w:color="auto" w:fill="auto"/>
            <w:noWrap/>
            <w:vAlign w:val="center"/>
            <w:hideMark/>
          </w:tcPr>
          <w:p w14:paraId="6D9978D6" w14:textId="77777777" w:rsidR="00FC752D" w:rsidRPr="00BC4AFE" w:rsidRDefault="00FC752D" w:rsidP="006211D7">
            <w:pPr>
              <w:widowControl w:val="0"/>
              <w:ind w:right="144"/>
              <w:jc w:val="right"/>
              <w:rPr>
                <w:sz w:val="18"/>
                <w:szCs w:val="18"/>
              </w:rPr>
            </w:pPr>
            <w:r w:rsidRPr="00BC4AFE">
              <w:rPr>
                <w:sz w:val="18"/>
                <w:szCs w:val="18"/>
              </w:rPr>
              <w:t>32,439</w:t>
            </w:r>
          </w:p>
        </w:tc>
      </w:tr>
      <w:tr w:rsidR="00FC752D" w:rsidRPr="00BC4AFE" w14:paraId="50C691CA" w14:textId="77777777" w:rsidTr="00A60395">
        <w:trPr>
          <w:cantSplit/>
          <w:trHeight w:val="245"/>
        </w:trPr>
        <w:tc>
          <w:tcPr>
            <w:tcW w:w="3605" w:type="dxa"/>
            <w:shd w:val="clear" w:color="auto" w:fill="auto"/>
            <w:vAlign w:val="center"/>
            <w:hideMark/>
          </w:tcPr>
          <w:p w14:paraId="0BC37665" w14:textId="77777777" w:rsidR="00FC752D" w:rsidRPr="00BC4AFE" w:rsidRDefault="00FC752D" w:rsidP="006211D7">
            <w:pPr>
              <w:widowControl w:val="0"/>
              <w:ind w:left="144" w:hanging="144"/>
              <w:rPr>
                <w:sz w:val="18"/>
                <w:szCs w:val="18"/>
              </w:rPr>
            </w:pPr>
            <w:r w:rsidRPr="00BC4AFE">
              <w:rPr>
                <w:sz w:val="18"/>
                <w:szCs w:val="18"/>
              </w:rPr>
              <w:t>Cyprus</w:t>
            </w:r>
          </w:p>
        </w:tc>
        <w:tc>
          <w:tcPr>
            <w:tcW w:w="1182" w:type="dxa"/>
            <w:shd w:val="clear" w:color="auto" w:fill="auto"/>
            <w:vAlign w:val="center"/>
            <w:hideMark/>
          </w:tcPr>
          <w:p w14:paraId="64A1B763" w14:textId="77777777" w:rsidR="00FC752D" w:rsidRPr="00BC4AFE" w:rsidRDefault="00FC752D" w:rsidP="006211D7">
            <w:pPr>
              <w:widowControl w:val="0"/>
              <w:ind w:right="144"/>
              <w:jc w:val="right"/>
              <w:rPr>
                <w:sz w:val="18"/>
                <w:szCs w:val="18"/>
              </w:rPr>
            </w:pPr>
            <w:r w:rsidRPr="00BC4AFE">
              <w:rPr>
                <w:sz w:val="18"/>
                <w:szCs w:val="18"/>
              </w:rPr>
              <w:t>0.036</w:t>
            </w:r>
          </w:p>
        </w:tc>
        <w:tc>
          <w:tcPr>
            <w:tcW w:w="1182" w:type="dxa"/>
            <w:shd w:val="clear" w:color="auto" w:fill="auto"/>
            <w:noWrap/>
            <w:vAlign w:val="center"/>
            <w:hideMark/>
          </w:tcPr>
          <w:p w14:paraId="2B0541BC" w14:textId="77777777" w:rsidR="00FC752D" w:rsidRPr="00BC4AFE" w:rsidRDefault="00FC752D" w:rsidP="006211D7">
            <w:pPr>
              <w:widowControl w:val="0"/>
              <w:ind w:right="144"/>
              <w:jc w:val="right"/>
              <w:rPr>
                <w:sz w:val="18"/>
                <w:szCs w:val="18"/>
              </w:rPr>
            </w:pPr>
            <w:r w:rsidRPr="00BC4AFE">
              <w:rPr>
                <w:sz w:val="18"/>
                <w:szCs w:val="18"/>
              </w:rPr>
              <w:t>0.045</w:t>
            </w:r>
          </w:p>
        </w:tc>
        <w:tc>
          <w:tcPr>
            <w:tcW w:w="1182" w:type="dxa"/>
            <w:shd w:val="clear" w:color="auto" w:fill="auto"/>
            <w:noWrap/>
            <w:vAlign w:val="center"/>
            <w:hideMark/>
          </w:tcPr>
          <w:p w14:paraId="03B78AF0" w14:textId="77777777" w:rsidR="00FC752D" w:rsidRPr="00BC4AFE" w:rsidRDefault="00FC752D" w:rsidP="006211D7">
            <w:pPr>
              <w:widowControl w:val="0"/>
              <w:ind w:right="144"/>
              <w:jc w:val="right"/>
              <w:rPr>
                <w:sz w:val="18"/>
                <w:szCs w:val="18"/>
              </w:rPr>
            </w:pPr>
            <w:r w:rsidRPr="00BC4AFE">
              <w:rPr>
                <w:sz w:val="18"/>
                <w:szCs w:val="18"/>
              </w:rPr>
              <w:t>5,862</w:t>
            </w:r>
          </w:p>
        </w:tc>
        <w:tc>
          <w:tcPr>
            <w:tcW w:w="1182" w:type="dxa"/>
            <w:shd w:val="clear" w:color="auto" w:fill="auto"/>
            <w:noWrap/>
            <w:vAlign w:val="center"/>
            <w:hideMark/>
          </w:tcPr>
          <w:p w14:paraId="3359D129" w14:textId="77777777" w:rsidR="00FC752D" w:rsidRPr="00BC4AFE" w:rsidRDefault="00FC752D" w:rsidP="006211D7">
            <w:pPr>
              <w:widowControl w:val="0"/>
              <w:ind w:right="144"/>
              <w:jc w:val="right"/>
              <w:rPr>
                <w:sz w:val="18"/>
                <w:szCs w:val="18"/>
              </w:rPr>
            </w:pPr>
            <w:r w:rsidRPr="00BC4AFE">
              <w:rPr>
                <w:sz w:val="18"/>
                <w:szCs w:val="18"/>
              </w:rPr>
              <w:t>6,430</w:t>
            </w:r>
          </w:p>
        </w:tc>
        <w:tc>
          <w:tcPr>
            <w:tcW w:w="1171" w:type="dxa"/>
            <w:shd w:val="clear" w:color="auto" w:fill="auto"/>
            <w:noWrap/>
            <w:vAlign w:val="center"/>
            <w:hideMark/>
          </w:tcPr>
          <w:p w14:paraId="17B9DFAC" w14:textId="77777777" w:rsidR="00FC752D" w:rsidRPr="00BC4AFE" w:rsidRDefault="00FC752D" w:rsidP="006211D7">
            <w:pPr>
              <w:widowControl w:val="0"/>
              <w:ind w:right="144"/>
              <w:jc w:val="right"/>
              <w:rPr>
                <w:sz w:val="18"/>
                <w:szCs w:val="18"/>
              </w:rPr>
            </w:pPr>
            <w:r w:rsidRPr="00BC4AFE">
              <w:rPr>
                <w:sz w:val="18"/>
                <w:szCs w:val="18"/>
              </w:rPr>
              <w:t>12,293</w:t>
            </w:r>
          </w:p>
        </w:tc>
      </w:tr>
      <w:tr w:rsidR="00FC752D" w:rsidRPr="00BC4AFE" w14:paraId="256EF794" w14:textId="77777777" w:rsidTr="00A60395">
        <w:trPr>
          <w:cantSplit/>
          <w:trHeight w:val="245"/>
        </w:trPr>
        <w:tc>
          <w:tcPr>
            <w:tcW w:w="3605" w:type="dxa"/>
            <w:shd w:val="clear" w:color="auto" w:fill="auto"/>
            <w:vAlign w:val="center"/>
            <w:hideMark/>
          </w:tcPr>
          <w:p w14:paraId="6CD3D716" w14:textId="77777777" w:rsidR="00FC752D" w:rsidRPr="00BC4AFE" w:rsidRDefault="00FC752D" w:rsidP="006211D7">
            <w:pPr>
              <w:widowControl w:val="0"/>
              <w:ind w:left="144" w:hanging="144"/>
              <w:rPr>
                <w:sz w:val="18"/>
                <w:szCs w:val="18"/>
              </w:rPr>
            </w:pPr>
            <w:r w:rsidRPr="00BC4AFE">
              <w:rPr>
                <w:sz w:val="18"/>
                <w:szCs w:val="18"/>
              </w:rPr>
              <w:t>Czechia</w:t>
            </w:r>
          </w:p>
        </w:tc>
        <w:tc>
          <w:tcPr>
            <w:tcW w:w="1182" w:type="dxa"/>
            <w:shd w:val="clear" w:color="auto" w:fill="auto"/>
            <w:vAlign w:val="center"/>
            <w:hideMark/>
          </w:tcPr>
          <w:p w14:paraId="15EF45A1" w14:textId="77777777" w:rsidR="00FC752D" w:rsidRPr="00BC4AFE" w:rsidRDefault="00FC752D" w:rsidP="006211D7">
            <w:pPr>
              <w:widowControl w:val="0"/>
              <w:ind w:right="144"/>
              <w:jc w:val="right"/>
              <w:rPr>
                <w:sz w:val="18"/>
                <w:szCs w:val="18"/>
              </w:rPr>
            </w:pPr>
            <w:r w:rsidRPr="00BC4AFE">
              <w:rPr>
                <w:sz w:val="18"/>
                <w:szCs w:val="18"/>
              </w:rPr>
              <w:t>0.340</w:t>
            </w:r>
          </w:p>
        </w:tc>
        <w:tc>
          <w:tcPr>
            <w:tcW w:w="1182" w:type="dxa"/>
            <w:shd w:val="clear" w:color="auto" w:fill="auto"/>
            <w:noWrap/>
            <w:vAlign w:val="center"/>
            <w:hideMark/>
          </w:tcPr>
          <w:p w14:paraId="174EF4DA" w14:textId="77777777" w:rsidR="00FC752D" w:rsidRPr="00BC4AFE" w:rsidRDefault="00FC752D" w:rsidP="006211D7">
            <w:pPr>
              <w:widowControl w:val="0"/>
              <w:ind w:right="144"/>
              <w:jc w:val="right"/>
              <w:rPr>
                <w:sz w:val="18"/>
                <w:szCs w:val="18"/>
              </w:rPr>
            </w:pPr>
            <w:r w:rsidRPr="00BC4AFE">
              <w:rPr>
                <w:sz w:val="18"/>
                <w:szCs w:val="18"/>
              </w:rPr>
              <w:t>0.425</w:t>
            </w:r>
          </w:p>
        </w:tc>
        <w:tc>
          <w:tcPr>
            <w:tcW w:w="1182" w:type="dxa"/>
            <w:shd w:val="clear" w:color="auto" w:fill="auto"/>
            <w:noWrap/>
            <w:vAlign w:val="center"/>
            <w:hideMark/>
          </w:tcPr>
          <w:p w14:paraId="4B140DFC" w14:textId="77777777" w:rsidR="00FC752D" w:rsidRPr="00BC4AFE" w:rsidRDefault="00FC752D" w:rsidP="006211D7">
            <w:pPr>
              <w:widowControl w:val="0"/>
              <w:ind w:right="144"/>
              <w:jc w:val="right"/>
              <w:rPr>
                <w:sz w:val="18"/>
                <w:szCs w:val="18"/>
              </w:rPr>
            </w:pPr>
            <w:r w:rsidRPr="00BC4AFE">
              <w:rPr>
                <w:sz w:val="18"/>
                <w:szCs w:val="18"/>
              </w:rPr>
              <w:t>55,368</w:t>
            </w:r>
          </w:p>
        </w:tc>
        <w:tc>
          <w:tcPr>
            <w:tcW w:w="1182" w:type="dxa"/>
            <w:shd w:val="clear" w:color="auto" w:fill="auto"/>
            <w:noWrap/>
            <w:vAlign w:val="center"/>
            <w:hideMark/>
          </w:tcPr>
          <w:p w14:paraId="5B695EA0" w14:textId="77777777" w:rsidR="00FC752D" w:rsidRPr="00BC4AFE" w:rsidRDefault="00FC752D" w:rsidP="006211D7">
            <w:pPr>
              <w:widowControl w:val="0"/>
              <w:ind w:right="144"/>
              <w:jc w:val="right"/>
              <w:rPr>
                <w:sz w:val="18"/>
                <w:szCs w:val="18"/>
              </w:rPr>
            </w:pPr>
            <w:r w:rsidRPr="00BC4AFE">
              <w:rPr>
                <w:sz w:val="18"/>
                <w:szCs w:val="18"/>
              </w:rPr>
              <w:t>60,730</w:t>
            </w:r>
          </w:p>
        </w:tc>
        <w:tc>
          <w:tcPr>
            <w:tcW w:w="1171" w:type="dxa"/>
            <w:shd w:val="clear" w:color="auto" w:fill="auto"/>
            <w:noWrap/>
            <w:vAlign w:val="center"/>
            <w:hideMark/>
          </w:tcPr>
          <w:p w14:paraId="74601768" w14:textId="77777777" w:rsidR="00FC752D" w:rsidRPr="00BC4AFE" w:rsidRDefault="00FC752D" w:rsidP="006211D7">
            <w:pPr>
              <w:widowControl w:val="0"/>
              <w:ind w:right="144"/>
              <w:jc w:val="right"/>
              <w:rPr>
                <w:sz w:val="18"/>
                <w:szCs w:val="18"/>
              </w:rPr>
            </w:pPr>
            <w:r w:rsidRPr="00BC4AFE">
              <w:rPr>
                <w:sz w:val="18"/>
                <w:szCs w:val="18"/>
              </w:rPr>
              <w:t>116,098</w:t>
            </w:r>
          </w:p>
        </w:tc>
      </w:tr>
      <w:tr w:rsidR="00FC752D" w:rsidRPr="00BC4AFE" w14:paraId="4ADFE777" w14:textId="77777777" w:rsidTr="00A60395">
        <w:trPr>
          <w:cantSplit/>
          <w:trHeight w:val="245"/>
        </w:trPr>
        <w:tc>
          <w:tcPr>
            <w:tcW w:w="3605" w:type="dxa"/>
            <w:shd w:val="clear" w:color="auto" w:fill="auto"/>
            <w:vAlign w:val="center"/>
            <w:hideMark/>
          </w:tcPr>
          <w:p w14:paraId="2D1CB9EA" w14:textId="77777777" w:rsidR="00FC752D" w:rsidRPr="00BC4AFE" w:rsidRDefault="00FC752D" w:rsidP="006211D7">
            <w:pPr>
              <w:widowControl w:val="0"/>
              <w:ind w:left="144" w:hanging="144"/>
              <w:rPr>
                <w:sz w:val="18"/>
                <w:szCs w:val="18"/>
              </w:rPr>
            </w:pPr>
            <w:r w:rsidRPr="00BC4AFE">
              <w:rPr>
                <w:sz w:val="18"/>
                <w:szCs w:val="18"/>
              </w:rPr>
              <w:t>Democratic People’s Republic of Korea</w:t>
            </w:r>
          </w:p>
        </w:tc>
        <w:tc>
          <w:tcPr>
            <w:tcW w:w="1182" w:type="dxa"/>
            <w:shd w:val="clear" w:color="auto" w:fill="auto"/>
            <w:vAlign w:val="center"/>
            <w:hideMark/>
          </w:tcPr>
          <w:p w14:paraId="421514FC"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DD2CC42"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5AF2C91B"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2F19F570"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11E9A15B"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4AF61C98" w14:textId="77777777" w:rsidTr="00A60395">
        <w:trPr>
          <w:cantSplit/>
          <w:trHeight w:val="245"/>
        </w:trPr>
        <w:tc>
          <w:tcPr>
            <w:tcW w:w="3605" w:type="dxa"/>
            <w:shd w:val="clear" w:color="auto" w:fill="auto"/>
            <w:vAlign w:val="center"/>
            <w:hideMark/>
          </w:tcPr>
          <w:p w14:paraId="0ABF9E0B" w14:textId="77777777" w:rsidR="00FC752D" w:rsidRPr="00BC4AFE" w:rsidRDefault="00FC752D" w:rsidP="006211D7">
            <w:pPr>
              <w:widowControl w:val="0"/>
              <w:ind w:left="144" w:hanging="144"/>
              <w:rPr>
                <w:sz w:val="18"/>
                <w:szCs w:val="18"/>
              </w:rPr>
            </w:pPr>
            <w:r w:rsidRPr="00BC4AFE">
              <w:rPr>
                <w:sz w:val="18"/>
                <w:szCs w:val="18"/>
              </w:rPr>
              <w:t>Democratic Republic of the Congo</w:t>
            </w:r>
          </w:p>
        </w:tc>
        <w:tc>
          <w:tcPr>
            <w:tcW w:w="1182" w:type="dxa"/>
            <w:shd w:val="clear" w:color="auto" w:fill="auto"/>
            <w:vAlign w:val="center"/>
            <w:hideMark/>
          </w:tcPr>
          <w:p w14:paraId="741ECF5B"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5D05BB36"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3FEBE8D9"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5850ABB1"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29D77D7E"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09605A85" w14:textId="77777777" w:rsidTr="00A60395">
        <w:trPr>
          <w:cantSplit/>
          <w:trHeight w:val="245"/>
        </w:trPr>
        <w:tc>
          <w:tcPr>
            <w:tcW w:w="3605" w:type="dxa"/>
            <w:shd w:val="clear" w:color="auto" w:fill="auto"/>
            <w:vAlign w:val="center"/>
            <w:hideMark/>
          </w:tcPr>
          <w:p w14:paraId="5EB3DA8B" w14:textId="77777777" w:rsidR="00FC752D" w:rsidRPr="00BC4AFE" w:rsidRDefault="00FC752D" w:rsidP="006211D7">
            <w:pPr>
              <w:widowControl w:val="0"/>
              <w:ind w:left="144" w:hanging="144"/>
              <w:rPr>
                <w:sz w:val="18"/>
                <w:szCs w:val="18"/>
              </w:rPr>
            </w:pPr>
            <w:r w:rsidRPr="00BC4AFE">
              <w:rPr>
                <w:sz w:val="18"/>
                <w:szCs w:val="18"/>
              </w:rPr>
              <w:t>Denmark</w:t>
            </w:r>
          </w:p>
        </w:tc>
        <w:tc>
          <w:tcPr>
            <w:tcW w:w="1182" w:type="dxa"/>
            <w:shd w:val="clear" w:color="auto" w:fill="auto"/>
            <w:vAlign w:val="center"/>
            <w:hideMark/>
          </w:tcPr>
          <w:p w14:paraId="34D3F2D8" w14:textId="77777777" w:rsidR="00FC752D" w:rsidRPr="00BC4AFE" w:rsidRDefault="00FC752D" w:rsidP="006211D7">
            <w:pPr>
              <w:widowControl w:val="0"/>
              <w:ind w:right="144"/>
              <w:jc w:val="right"/>
              <w:rPr>
                <w:sz w:val="18"/>
                <w:szCs w:val="18"/>
              </w:rPr>
            </w:pPr>
            <w:r w:rsidRPr="00BC4AFE">
              <w:rPr>
                <w:sz w:val="18"/>
                <w:szCs w:val="18"/>
              </w:rPr>
              <w:t>0.553</w:t>
            </w:r>
          </w:p>
        </w:tc>
        <w:tc>
          <w:tcPr>
            <w:tcW w:w="1182" w:type="dxa"/>
            <w:shd w:val="clear" w:color="auto" w:fill="auto"/>
            <w:noWrap/>
            <w:vAlign w:val="center"/>
            <w:hideMark/>
          </w:tcPr>
          <w:p w14:paraId="421814F9" w14:textId="77777777" w:rsidR="00FC752D" w:rsidRPr="00BC4AFE" w:rsidRDefault="00FC752D" w:rsidP="006211D7">
            <w:pPr>
              <w:widowControl w:val="0"/>
              <w:ind w:right="144"/>
              <w:jc w:val="right"/>
              <w:rPr>
                <w:sz w:val="18"/>
                <w:szCs w:val="18"/>
              </w:rPr>
            </w:pPr>
            <w:r w:rsidRPr="00BC4AFE">
              <w:rPr>
                <w:sz w:val="18"/>
                <w:szCs w:val="18"/>
              </w:rPr>
              <w:t>0.691</w:t>
            </w:r>
          </w:p>
        </w:tc>
        <w:tc>
          <w:tcPr>
            <w:tcW w:w="1182" w:type="dxa"/>
            <w:shd w:val="clear" w:color="auto" w:fill="auto"/>
            <w:noWrap/>
            <w:vAlign w:val="center"/>
            <w:hideMark/>
          </w:tcPr>
          <w:p w14:paraId="30E95964" w14:textId="77777777" w:rsidR="00FC752D" w:rsidRPr="00BC4AFE" w:rsidRDefault="00FC752D" w:rsidP="006211D7">
            <w:pPr>
              <w:widowControl w:val="0"/>
              <w:ind w:right="144"/>
              <w:jc w:val="right"/>
              <w:rPr>
                <w:sz w:val="18"/>
                <w:szCs w:val="18"/>
              </w:rPr>
            </w:pPr>
            <w:r w:rsidRPr="00BC4AFE">
              <w:rPr>
                <w:sz w:val="18"/>
                <w:szCs w:val="18"/>
              </w:rPr>
              <w:t>90,054</w:t>
            </w:r>
          </w:p>
        </w:tc>
        <w:tc>
          <w:tcPr>
            <w:tcW w:w="1182" w:type="dxa"/>
            <w:shd w:val="clear" w:color="auto" w:fill="auto"/>
            <w:noWrap/>
            <w:vAlign w:val="center"/>
            <w:hideMark/>
          </w:tcPr>
          <w:p w14:paraId="03172F5E" w14:textId="77777777" w:rsidR="00FC752D" w:rsidRPr="00BC4AFE" w:rsidRDefault="00FC752D" w:rsidP="006211D7">
            <w:pPr>
              <w:widowControl w:val="0"/>
              <w:ind w:right="144"/>
              <w:jc w:val="right"/>
              <w:rPr>
                <w:sz w:val="18"/>
                <w:szCs w:val="18"/>
              </w:rPr>
            </w:pPr>
            <w:r w:rsidRPr="00BC4AFE">
              <w:rPr>
                <w:sz w:val="18"/>
                <w:szCs w:val="18"/>
              </w:rPr>
              <w:t>98,775</w:t>
            </w:r>
          </w:p>
        </w:tc>
        <w:tc>
          <w:tcPr>
            <w:tcW w:w="1171" w:type="dxa"/>
            <w:shd w:val="clear" w:color="auto" w:fill="auto"/>
            <w:noWrap/>
            <w:vAlign w:val="center"/>
            <w:hideMark/>
          </w:tcPr>
          <w:p w14:paraId="2B80DB0D" w14:textId="77777777" w:rsidR="00FC752D" w:rsidRPr="00BC4AFE" w:rsidRDefault="00FC752D" w:rsidP="006211D7">
            <w:pPr>
              <w:widowControl w:val="0"/>
              <w:ind w:right="144"/>
              <w:jc w:val="right"/>
              <w:rPr>
                <w:sz w:val="18"/>
                <w:szCs w:val="18"/>
              </w:rPr>
            </w:pPr>
            <w:r w:rsidRPr="00BC4AFE">
              <w:rPr>
                <w:sz w:val="18"/>
                <w:szCs w:val="18"/>
              </w:rPr>
              <w:t>188,829</w:t>
            </w:r>
          </w:p>
        </w:tc>
      </w:tr>
      <w:tr w:rsidR="00FC752D" w:rsidRPr="00BC4AFE" w14:paraId="356C6AEB" w14:textId="77777777" w:rsidTr="00A60395">
        <w:trPr>
          <w:cantSplit/>
          <w:trHeight w:val="245"/>
        </w:trPr>
        <w:tc>
          <w:tcPr>
            <w:tcW w:w="3605" w:type="dxa"/>
            <w:shd w:val="clear" w:color="auto" w:fill="auto"/>
            <w:vAlign w:val="center"/>
            <w:hideMark/>
          </w:tcPr>
          <w:p w14:paraId="507D4DCC" w14:textId="77777777" w:rsidR="00FC752D" w:rsidRPr="00BC4AFE" w:rsidRDefault="00FC752D" w:rsidP="006211D7">
            <w:pPr>
              <w:widowControl w:val="0"/>
              <w:ind w:left="144" w:hanging="144"/>
              <w:rPr>
                <w:sz w:val="18"/>
                <w:szCs w:val="18"/>
              </w:rPr>
            </w:pPr>
            <w:r w:rsidRPr="00BC4AFE">
              <w:rPr>
                <w:sz w:val="18"/>
                <w:szCs w:val="18"/>
              </w:rPr>
              <w:t>Djibouti</w:t>
            </w:r>
          </w:p>
        </w:tc>
        <w:tc>
          <w:tcPr>
            <w:tcW w:w="1182" w:type="dxa"/>
            <w:shd w:val="clear" w:color="auto" w:fill="auto"/>
            <w:vAlign w:val="center"/>
            <w:hideMark/>
          </w:tcPr>
          <w:p w14:paraId="721E6EC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48C1F0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E8E666B"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17FBF6C8"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38371D50"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39ECA00D" w14:textId="77777777" w:rsidTr="00A60395">
        <w:trPr>
          <w:cantSplit/>
          <w:trHeight w:val="245"/>
        </w:trPr>
        <w:tc>
          <w:tcPr>
            <w:tcW w:w="3605" w:type="dxa"/>
            <w:shd w:val="clear" w:color="auto" w:fill="auto"/>
            <w:vAlign w:val="center"/>
            <w:hideMark/>
          </w:tcPr>
          <w:p w14:paraId="1B4E7F95" w14:textId="77777777" w:rsidR="00FC752D" w:rsidRPr="00BC4AFE" w:rsidRDefault="00FC752D" w:rsidP="006211D7">
            <w:pPr>
              <w:widowControl w:val="0"/>
              <w:ind w:left="144" w:hanging="144"/>
              <w:rPr>
                <w:sz w:val="18"/>
                <w:szCs w:val="18"/>
              </w:rPr>
            </w:pPr>
            <w:r w:rsidRPr="00BC4AFE">
              <w:rPr>
                <w:sz w:val="18"/>
                <w:szCs w:val="18"/>
              </w:rPr>
              <w:t>Dominica</w:t>
            </w:r>
          </w:p>
        </w:tc>
        <w:tc>
          <w:tcPr>
            <w:tcW w:w="1182" w:type="dxa"/>
            <w:shd w:val="clear" w:color="auto" w:fill="auto"/>
            <w:vAlign w:val="center"/>
            <w:hideMark/>
          </w:tcPr>
          <w:p w14:paraId="2D81322D"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06EA0E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3F203688"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51D8CD1B"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05416C83"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0DB6B6D" w14:textId="77777777" w:rsidTr="00A60395">
        <w:trPr>
          <w:cantSplit/>
          <w:trHeight w:val="245"/>
        </w:trPr>
        <w:tc>
          <w:tcPr>
            <w:tcW w:w="3605" w:type="dxa"/>
            <w:shd w:val="clear" w:color="auto" w:fill="auto"/>
            <w:vAlign w:val="center"/>
            <w:hideMark/>
          </w:tcPr>
          <w:p w14:paraId="45C4F0FB" w14:textId="77777777" w:rsidR="00FC752D" w:rsidRPr="00BC4AFE" w:rsidRDefault="00FC752D" w:rsidP="006211D7">
            <w:pPr>
              <w:widowControl w:val="0"/>
              <w:ind w:left="144" w:hanging="144"/>
              <w:rPr>
                <w:sz w:val="18"/>
                <w:szCs w:val="18"/>
              </w:rPr>
            </w:pPr>
            <w:r w:rsidRPr="00BC4AFE">
              <w:rPr>
                <w:sz w:val="18"/>
                <w:szCs w:val="18"/>
              </w:rPr>
              <w:t>Dominican Republic</w:t>
            </w:r>
          </w:p>
        </w:tc>
        <w:tc>
          <w:tcPr>
            <w:tcW w:w="1182" w:type="dxa"/>
            <w:shd w:val="clear" w:color="auto" w:fill="auto"/>
            <w:vAlign w:val="center"/>
            <w:hideMark/>
          </w:tcPr>
          <w:p w14:paraId="2F5DBA5B" w14:textId="77777777" w:rsidR="00FC752D" w:rsidRPr="00BC4AFE" w:rsidRDefault="00FC752D" w:rsidP="006211D7">
            <w:pPr>
              <w:widowControl w:val="0"/>
              <w:ind w:right="144"/>
              <w:jc w:val="right"/>
              <w:rPr>
                <w:sz w:val="18"/>
                <w:szCs w:val="18"/>
              </w:rPr>
            </w:pPr>
            <w:r w:rsidRPr="00BC4AFE">
              <w:rPr>
                <w:sz w:val="18"/>
                <w:szCs w:val="18"/>
              </w:rPr>
              <w:t>0.067</w:t>
            </w:r>
          </w:p>
        </w:tc>
        <w:tc>
          <w:tcPr>
            <w:tcW w:w="1182" w:type="dxa"/>
            <w:shd w:val="clear" w:color="auto" w:fill="auto"/>
            <w:noWrap/>
            <w:vAlign w:val="center"/>
            <w:hideMark/>
          </w:tcPr>
          <w:p w14:paraId="39C3017C" w14:textId="77777777" w:rsidR="00FC752D" w:rsidRPr="00BC4AFE" w:rsidRDefault="00FC752D" w:rsidP="006211D7">
            <w:pPr>
              <w:widowControl w:val="0"/>
              <w:ind w:right="144"/>
              <w:jc w:val="right"/>
              <w:rPr>
                <w:sz w:val="18"/>
                <w:szCs w:val="18"/>
              </w:rPr>
            </w:pPr>
            <w:r w:rsidRPr="00BC4AFE">
              <w:rPr>
                <w:sz w:val="18"/>
                <w:szCs w:val="18"/>
              </w:rPr>
              <w:t>0.084</w:t>
            </w:r>
          </w:p>
        </w:tc>
        <w:tc>
          <w:tcPr>
            <w:tcW w:w="1182" w:type="dxa"/>
            <w:shd w:val="clear" w:color="auto" w:fill="auto"/>
            <w:noWrap/>
            <w:vAlign w:val="center"/>
            <w:hideMark/>
          </w:tcPr>
          <w:p w14:paraId="091CD661" w14:textId="77777777" w:rsidR="00FC752D" w:rsidRPr="00BC4AFE" w:rsidRDefault="00FC752D" w:rsidP="006211D7">
            <w:pPr>
              <w:widowControl w:val="0"/>
              <w:ind w:right="144"/>
              <w:jc w:val="right"/>
              <w:rPr>
                <w:sz w:val="18"/>
                <w:szCs w:val="18"/>
              </w:rPr>
            </w:pPr>
            <w:r w:rsidRPr="00BC4AFE">
              <w:rPr>
                <w:sz w:val="18"/>
                <w:szCs w:val="18"/>
              </w:rPr>
              <w:t>10,911</w:t>
            </w:r>
          </w:p>
        </w:tc>
        <w:tc>
          <w:tcPr>
            <w:tcW w:w="1182" w:type="dxa"/>
            <w:shd w:val="clear" w:color="auto" w:fill="auto"/>
            <w:noWrap/>
            <w:vAlign w:val="center"/>
            <w:hideMark/>
          </w:tcPr>
          <w:p w14:paraId="32590308" w14:textId="77777777" w:rsidR="00FC752D" w:rsidRPr="00BC4AFE" w:rsidRDefault="00FC752D" w:rsidP="006211D7">
            <w:pPr>
              <w:widowControl w:val="0"/>
              <w:ind w:right="144"/>
              <w:jc w:val="right"/>
              <w:rPr>
                <w:sz w:val="18"/>
                <w:szCs w:val="18"/>
              </w:rPr>
            </w:pPr>
            <w:r w:rsidRPr="00BC4AFE">
              <w:rPr>
                <w:sz w:val="18"/>
                <w:szCs w:val="18"/>
              </w:rPr>
              <w:t>11,967</w:t>
            </w:r>
          </w:p>
        </w:tc>
        <w:tc>
          <w:tcPr>
            <w:tcW w:w="1171" w:type="dxa"/>
            <w:shd w:val="clear" w:color="auto" w:fill="auto"/>
            <w:noWrap/>
            <w:vAlign w:val="center"/>
            <w:hideMark/>
          </w:tcPr>
          <w:p w14:paraId="1BD621CD" w14:textId="77777777" w:rsidR="00FC752D" w:rsidRPr="00BC4AFE" w:rsidRDefault="00FC752D" w:rsidP="006211D7">
            <w:pPr>
              <w:widowControl w:val="0"/>
              <w:ind w:right="144"/>
              <w:jc w:val="right"/>
              <w:rPr>
                <w:sz w:val="18"/>
                <w:szCs w:val="18"/>
              </w:rPr>
            </w:pPr>
            <w:r w:rsidRPr="00BC4AFE">
              <w:rPr>
                <w:sz w:val="18"/>
                <w:szCs w:val="18"/>
              </w:rPr>
              <w:t>22,878</w:t>
            </w:r>
          </w:p>
        </w:tc>
      </w:tr>
      <w:tr w:rsidR="00FC752D" w:rsidRPr="00BC4AFE" w14:paraId="2F999FA1" w14:textId="77777777" w:rsidTr="00A60395">
        <w:trPr>
          <w:cantSplit/>
          <w:trHeight w:val="245"/>
        </w:trPr>
        <w:tc>
          <w:tcPr>
            <w:tcW w:w="3605" w:type="dxa"/>
            <w:shd w:val="clear" w:color="auto" w:fill="auto"/>
            <w:vAlign w:val="center"/>
            <w:hideMark/>
          </w:tcPr>
          <w:p w14:paraId="7CB4DFAE" w14:textId="77777777" w:rsidR="00FC752D" w:rsidRPr="00BC4AFE" w:rsidRDefault="00FC752D" w:rsidP="006211D7">
            <w:pPr>
              <w:widowControl w:val="0"/>
              <w:ind w:left="144" w:hanging="144"/>
              <w:rPr>
                <w:sz w:val="18"/>
                <w:szCs w:val="18"/>
              </w:rPr>
            </w:pPr>
            <w:r w:rsidRPr="00BC4AFE">
              <w:rPr>
                <w:sz w:val="18"/>
                <w:szCs w:val="18"/>
              </w:rPr>
              <w:t>Ecuador</w:t>
            </w:r>
          </w:p>
        </w:tc>
        <w:tc>
          <w:tcPr>
            <w:tcW w:w="1182" w:type="dxa"/>
            <w:shd w:val="clear" w:color="auto" w:fill="auto"/>
            <w:vAlign w:val="center"/>
            <w:hideMark/>
          </w:tcPr>
          <w:p w14:paraId="41F6010F" w14:textId="77777777" w:rsidR="00FC752D" w:rsidRPr="00BC4AFE" w:rsidRDefault="00FC752D" w:rsidP="006211D7">
            <w:pPr>
              <w:widowControl w:val="0"/>
              <w:ind w:right="144"/>
              <w:jc w:val="right"/>
              <w:rPr>
                <w:sz w:val="18"/>
                <w:szCs w:val="18"/>
              </w:rPr>
            </w:pPr>
            <w:r w:rsidRPr="00BC4AFE">
              <w:rPr>
                <w:sz w:val="18"/>
                <w:szCs w:val="18"/>
              </w:rPr>
              <w:t>0.077</w:t>
            </w:r>
          </w:p>
        </w:tc>
        <w:tc>
          <w:tcPr>
            <w:tcW w:w="1182" w:type="dxa"/>
            <w:shd w:val="clear" w:color="auto" w:fill="auto"/>
            <w:noWrap/>
            <w:vAlign w:val="center"/>
            <w:hideMark/>
          </w:tcPr>
          <w:p w14:paraId="15938294" w14:textId="77777777" w:rsidR="00FC752D" w:rsidRPr="00BC4AFE" w:rsidRDefault="00FC752D" w:rsidP="006211D7">
            <w:pPr>
              <w:widowControl w:val="0"/>
              <w:ind w:right="144"/>
              <w:jc w:val="right"/>
              <w:rPr>
                <w:sz w:val="18"/>
                <w:szCs w:val="18"/>
              </w:rPr>
            </w:pPr>
            <w:r w:rsidRPr="00BC4AFE">
              <w:rPr>
                <w:sz w:val="18"/>
                <w:szCs w:val="18"/>
              </w:rPr>
              <w:t>0.096</w:t>
            </w:r>
          </w:p>
        </w:tc>
        <w:tc>
          <w:tcPr>
            <w:tcW w:w="1182" w:type="dxa"/>
            <w:shd w:val="clear" w:color="auto" w:fill="auto"/>
            <w:noWrap/>
            <w:vAlign w:val="center"/>
            <w:hideMark/>
          </w:tcPr>
          <w:p w14:paraId="57053158" w14:textId="77777777" w:rsidR="00FC752D" w:rsidRPr="00BC4AFE" w:rsidRDefault="00FC752D" w:rsidP="006211D7">
            <w:pPr>
              <w:widowControl w:val="0"/>
              <w:ind w:right="144"/>
              <w:jc w:val="right"/>
              <w:rPr>
                <w:sz w:val="18"/>
                <w:szCs w:val="18"/>
              </w:rPr>
            </w:pPr>
            <w:r w:rsidRPr="00BC4AFE">
              <w:rPr>
                <w:sz w:val="18"/>
                <w:szCs w:val="18"/>
              </w:rPr>
              <w:t>12,539</w:t>
            </w:r>
          </w:p>
        </w:tc>
        <w:tc>
          <w:tcPr>
            <w:tcW w:w="1182" w:type="dxa"/>
            <w:shd w:val="clear" w:color="auto" w:fill="auto"/>
            <w:noWrap/>
            <w:vAlign w:val="center"/>
            <w:hideMark/>
          </w:tcPr>
          <w:p w14:paraId="7D42E50A" w14:textId="77777777" w:rsidR="00FC752D" w:rsidRPr="00BC4AFE" w:rsidRDefault="00FC752D" w:rsidP="006211D7">
            <w:pPr>
              <w:widowControl w:val="0"/>
              <w:ind w:right="144"/>
              <w:jc w:val="right"/>
              <w:rPr>
                <w:sz w:val="18"/>
                <w:szCs w:val="18"/>
              </w:rPr>
            </w:pPr>
            <w:r w:rsidRPr="00BC4AFE">
              <w:rPr>
                <w:sz w:val="18"/>
                <w:szCs w:val="18"/>
              </w:rPr>
              <w:t>13,753</w:t>
            </w:r>
          </w:p>
        </w:tc>
        <w:tc>
          <w:tcPr>
            <w:tcW w:w="1171" w:type="dxa"/>
            <w:shd w:val="clear" w:color="auto" w:fill="auto"/>
            <w:noWrap/>
            <w:vAlign w:val="center"/>
            <w:hideMark/>
          </w:tcPr>
          <w:p w14:paraId="0A59BC4E" w14:textId="77777777" w:rsidR="00FC752D" w:rsidRPr="00BC4AFE" w:rsidRDefault="00FC752D" w:rsidP="006211D7">
            <w:pPr>
              <w:widowControl w:val="0"/>
              <w:ind w:right="144"/>
              <w:jc w:val="right"/>
              <w:rPr>
                <w:sz w:val="18"/>
                <w:szCs w:val="18"/>
              </w:rPr>
            </w:pPr>
            <w:r w:rsidRPr="00BC4AFE">
              <w:rPr>
                <w:sz w:val="18"/>
                <w:szCs w:val="18"/>
              </w:rPr>
              <w:t>26,293</w:t>
            </w:r>
          </w:p>
        </w:tc>
      </w:tr>
      <w:tr w:rsidR="00FC752D" w:rsidRPr="00BC4AFE" w14:paraId="1192E215" w14:textId="77777777" w:rsidTr="00A60395">
        <w:trPr>
          <w:cantSplit/>
          <w:trHeight w:val="245"/>
        </w:trPr>
        <w:tc>
          <w:tcPr>
            <w:tcW w:w="3605" w:type="dxa"/>
            <w:shd w:val="clear" w:color="auto" w:fill="auto"/>
            <w:vAlign w:val="center"/>
            <w:hideMark/>
          </w:tcPr>
          <w:p w14:paraId="338DAC2B" w14:textId="77777777" w:rsidR="00FC752D" w:rsidRPr="00BC4AFE" w:rsidRDefault="00FC752D" w:rsidP="006211D7">
            <w:pPr>
              <w:widowControl w:val="0"/>
              <w:ind w:left="144" w:hanging="144"/>
              <w:rPr>
                <w:sz w:val="18"/>
                <w:szCs w:val="18"/>
              </w:rPr>
            </w:pPr>
            <w:r w:rsidRPr="00BC4AFE">
              <w:rPr>
                <w:sz w:val="18"/>
                <w:szCs w:val="18"/>
              </w:rPr>
              <w:t>Egypt</w:t>
            </w:r>
          </w:p>
        </w:tc>
        <w:tc>
          <w:tcPr>
            <w:tcW w:w="1182" w:type="dxa"/>
            <w:shd w:val="clear" w:color="auto" w:fill="auto"/>
            <w:vAlign w:val="center"/>
            <w:hideMark/>
          </w:tcPr>
          <w:p w14:paraId="5D12CECD" w14:textId="77777777" w:rsidR="00FC752D" w:rsidRPr="00BC4AFE" w:rsidRDefault="00FC752D" w:rsidP="006211D7">
            <w:pPr>
              <w:widowControl w:val="0"/>
              <w:ind w:right="144"/>
              <w:jc w:val="right"/>
              <w:rPr>
                <w:sz w:val="18"/>
                <w:szCs w:val="18"/>
              </w:rPr>
            </w:pPr>
            <w:r w:rsidRPr="00BC4AFE">
              <w:rPr>
                <w:sz w:val="18"/>
                <w:szCs w:val="18"/>
              </w:rPr>
              <w:t>0.139</w:t>
            </w:r>
          </w:p>
        </w:tc>
        <w:tc>
          <w:tcPr>
            <w:tcW w:w="1182" w:type="dxa"/>
            <w:shd w:val="clear" w:color="auto" w:fill="auto"/>
            <w:noWrap/>
            <w:vAlign w:val="center"/>
            <w:hideMark/>
          </w:tcPr>
          <w:p w14:paraId="35947EDE" w14:textId="77777777" w:rsidR="00FC752D" w:rsidRPr="00BC4AFE" w:rsidRDefault="00FC752D" w:rsidP="006211D7">
            <w:pPr>
              <w:widowControl w:val="0"/>
              <w:ind w:right="144"/>
              <w:jc w:val="right"/>
              <w:rPr>
                <w:sz w:val="18"/>
                <w:szCs w:val="18"/>
              </w:rPr>
            </w:pPr>
            <w:r w:rsidRPr="00BC4AFE">
              <w:rPr>
                <w:sz w:val="18"/>
                <w:szCs w:val="18"/>
              </w:rPr>
              <w:t>0.174</w:t>
            </w:r>
          </w:p>
        </w:tc>
        <w:tc>
          <w:tcPr>
            <w:tcW w:w="1182" w:type="dxa"/>
            <w:shd w:val="clear" w:color="auto" w:fill="auto"/>
            <w:noWrap/>
            <w:vAlign w:val="center"/>
            <w:hideMark/>
          </w:tcPr>
          <w:p w14:paraId="1CD3CFCF" w14:textId="77777777" w:rsidR="00FC752D" w:rsidRPr="00BC4AFE" w:rsidRDefault="00FC752D" w:rsidP="006211D7">
            <w:pPr>
              <w:widowControl w:val="0"/>
              <w:ind w:right="144"/>
              <w:jc w:val="right"/>
              <w:rPr>
                <w:sz w:val="18"/>
                <w:szCs w:val="18"/>
              </w:rPr>
            </w:pPr>
            <w:r w:rsidRPr="00BC4AFE">
              <w:rPr>
                <w:sz w:val="18"/>
                <w:szCs w:val="18"/>
              </w:rPr>
              <w:t>22,636</w:t>
            </w:r>
          </w:p>
        </w:tc>
        <w:tc>
          <w:tcPr>
            <w:tcW w:w="1182" w:type="dxa"/>
            <w:shd w:val="clear" w:color="auto" w:fill="auto"/>
            <w:noWrap/>
            <w:vAlign w:val="center"/>
            <w:hideMark/>
          </w:tcPr>
          <w:p w14:paraId="04D804C8" w14:textId="77777777" w:rsidR="00FC752D" w:rsidRPr="00BC4AFE" w:rsidRDefault="00FC752D" w:rsidP="006211D7">
            <w:pPr>
              <w:widowControl w:val="0"/>
              <w:ind w:right="144"/>
              <w:jc w:val="right"/>
              <w:rPr>
                <w:sz w:val="18"/>
                <w:szCs w:val="18"/>
              </w:rPr>
            </w:pPr>
            <w:r w:rsidRPr="00BC4AFE">
              <w:rPr>
                <w:sz w:val="18"/>
                <w:szCs w:val="18"/>
              </w:rPr>
              <w:t>24,828</w:t>
            </w:r>
          </w:p>
        </w:tc>
        <w:tc>
          <w:tcPr>
            <w:tcW w:w="1171" w:type="dxa"/>
            <w:shd w:val="clear" w:color="auto" w:fill="auto"/>
            <w:noWrap/>
            <w:vAlign w:val="center"/>
            <w:hideMark/>
          </w:tcPr>
          <w:p w14:paraId="6E3C1231" w14:textId="77777777" w:rsidR="00FC752D" w:rsidRPr="00BC4AFE" w:rsidRDefault="00FC752D" w:rsidP="006211D7">
            <w:pPr>
              <w:widowControl w:val="0"/>
              <w:ind w:right="144"/>
              <w:jc w:val="right"/>
              <w:rPr>
                <w:sz w:val="18"/>
                <w:szCs w:val="18"/>
              </w:rPr>
            </w:pPr>
            <w:r w:rsidRPr="00BC4AFE">
              <w:rPr>
                <w:sz w:val="18"/>
                <w:szCs w:val="18"/>
              </w:rPr>
              <w:t>47,463</w:t>
            </w:r>
          </w:p>
        </w:tc>
      </w:tr>
      <w:tr w:rsidR="00FC752D" w:rsidRPr="00BC4AFE" w14:paraId="134D9349" w14:textId="77777777" w:rsidTr="00A60395">
        <w:trPr>
          <w:cantSplit/>
          <w:trHeight w:val="245"/>
        </w:trPr>
        <w:tc>
          <w:tcPr>
            <w:tcW w:w="3605" w:type="dxa"/>
            <w:shd w:val="clear" w:color="auto" w:fill="auto"/>
            <w:vAlign w:val="center"/>
            <w:hideMark/>
          </w:tcPr>
          <w:p w14:paraId="4AF7F1E8" w14:textId="77777777" w:rsidR="00FC752D" w:rsidRPr="00BC4AFE" w:rsidRDefault="00FC752D" w:rsidP="006211D7">
            <w:pPr>
              <w:widowControl w:val="0"/>
              <w:ind w:left="144" w:hanging="144"/>
              <w:rPr>
                <w:sz w:val="18"/>
                <w:szCs w:val="18"/>
              </w:rPr>
            </w:pPr>
            <w:r w:rsidRPr="00BC4AFE">
              <w:rPr>
                <w:sz w:val="18"/>
                <w:szCs w:val="18"/>
              </w:rPr>
              <w:t>El Salvador</w:t>
            </w:r>
          </w:p>
        </w:tc>
        <w:tc>
          <w:tcPr>
            <w:tcW w:w="1182" w:type="dxa"/>
            <w:shd w:val="clear" w:color="auto" w:fill="auto"/>
            <w:vAlign w:val="center"/>
            <w:hideMark/>
          </w:tcPr>
          <w:p w14:paraId="2508268D" w14:textId="77777777" w:rsidR="00FC752D" w:rsidRPr="00BC4AFE" w:rsidRDefault="00FC752D" w:rsidP="006211D7">
            <w:pPr>
              <w:widowControl w:val="0"/>
              <w:ind w:right="144"/>
              <w:jc w:val="right"/>
              <w:rPr>
                <w:sz w:val="18"/>
                <w:szCs w:val="18"/>
              </w:rPr>
            </w:pPr>
            <w:r w:rsidRPr="00BC4AFE">
              <w:rPr>
                <w:sz w:val="18"/>
                <w:szCs w:val="18"/>
              </w:rPr>
              <w:t>0.013</w:t>
            </w:r>
          </w:p>
        </w:tc>
        <w:tc>
          <w:tcPr>
            <w:tcW w:w="1182" w:type="dxa"/>
            <w:shd w:val="clear" w:color="auto" w:fill="auto"/>
            <w:noWrap/>
            <w:vAlign w:val="center"/>
            <w:hideMark/>
          </w:tcPr>
          <w:p w14:paraId="44BBBDD3" w14:textId="77777777" w:rsidR="00FC752D" w:rsidRPr="00BC4AFE" w:rsidRDefault="00FC752D" w:rsidP="006211D7">
            <w:pPr>
              <w:widowControl w:val="0"/>
              <w:ind w:right="144"/>
              <w:jc w:val="right"/>
              <w:rPr>
                <w:sz w:val="18"/>
                <w:szCs w:val="18"/>
              </w:rPr>
            </w:pPr>
            <w:r w:rsidRPr="00BC4AFE">
              <w:rPr>
                <w:sz w:val="18"/>
                <w:szCs w:val="18"/>
              </w:rPr>
              <w:t>0.016</w:t>
            </w:r>
          </w:p>
        </w:tc>
        <w:tc>
          <w:tcPr>
            <w:tcW w:w="1182" w:type="dxa"/>
            <w:shd w:val="clear" w:color="auto" w:fill="auto"/>
            <w:noWrap/>
            <w:vAlign w:val="center"/>
            <w:hideMark/>
          </w:tcPr>
          <w:p w14:paraId="716E0FE1" w14:textId="77777777" w:rsidR="00FC752D" w:rsidRPr="00BC4AFE" w:rsidRDefault="00FC752D" w:rsidP="006211D7">
            <w:pPr>
              <w:widowControl w:val="0"/>
              <w:ind w:right="144"/>
              <w:jc w:val="right"/>
              <w:rPr>
                <w:sz w:val="18"/>
                <w:szCs w:val="18"/>
              </w:rPr>
            </w:pPr>
            <w:r w:rsidRPr="00BC4AFE">
              <w:rPr>
                <w:sz w:val="18"/>
                <w:szCs w:val="18"/>
              </w:rPr>
              <w:t>2,117</w:t>
            </w:r>
          </w:p>
        </w:tc>
        <w:tc>
          <w:tcPr>
            <w:tcW w:w="1182" w:type="dxa"/>
            <w:shd w:val="clear" w:color="auto" w:fill="auto"/>
            <w:noWrap/>
            <w:vAlign w:val="center"/>
            <w:hideMark/>
          </w:tcPr>
          <w:p w14:paraId="26642ED7" w14:textId="77777777" w:rsidR="00FC752D" w:rsidRPr="00BC4AFE" w:rsidRDefault="00FC752D" w:rsidP="006211D7">
            <w:pPr>
              <w:widowControl w:val="0"/>
              <w:ind w:right="144"/>
              <w:jc w:val="right"/>
              <w:rPr>
                <w:sz w:val="18"/>
                <w:szCs w:val="18"/>
              </w:rPr>
            </w:pPr>
            <w:r w:rsidRPr="00BC4AFE">
              <w:rPr>
                <w:sz w:val="18"/>
                <w:szCs w:val="18"/>
              </w:rPr>
              <w:t>2,322</w:t>
            </w:r>
          </w:p>
        </w:tc>
        <w:tc>
          <w:tcPr>
            <w:tcW w:w="1171" w:type="dxa"/>
            <w:shd w:val="clear" w:color="auto" w:fill="auto"/>
            <w:noWrap/>
            <w:vAlign w:val="center"/>
            <w:hideMark/>
          </w:tcPr>
          <w:p w14:paraId="6C65AA92" w14:textId="77777777" w:rsidR="00FC752D" w:rsidRPr="00BC4AFE" w:rsidRDefault="00FC752D" w:rsidP="006211D7">
            <w:pPr>
              <w:widowControl w:val="0"/>
              <w:ind w:right="144"/>
              <w:jc w:val="right"/>
              <w:rPr>
                <w:sz w:val="18"/>
                <w:szCs w:val="18"/>
              </w:rPr>
            </w:pPr>
            <w:r w:rsidRPr="00BC4AFE">
              <w:rPr>
                <w:sz w:val="18"/>
                <w:szCs w:val="18"/>
              </w:rPr>
              <w:t>4,439</w:t>
            </w:r>
          </w:p>
        </w:tc>
      </w:tr>
      <w:tr w:rsidR="00FC752D" w:rsidRPr="00BC4AFE" w14:paraId="73D0330C" w14:textId="77777777" w:rsidTr="00A60395">
        <w:trPr>
          <w:cantSplit/>
          <w:trHeight w:val="245"/>
        </w:trPr>
        <w:tc>
          <w:tcPr>
            <w:tcW w:w="3605" w:type="dxa"/>
            <w:shd w:val="clear" w:color="auto" w:fill="auto"/>
            <w:vAlign w:val="center"/>
            <w:hideMark/>
          </w:tcPr>
          <w:p w14:paraId="22180EE5" w14:textId="77777777" w:rsidR="00FC752D" w:rsidRPr="00BC4AFE" w:rsidRDefault="00FC752D" w:rsidP="006211D7">
            <w:pPr>
              <w:widowControl w:val="0"/>
              <w:ind w:left="144" w:hanging="144"/>
              <w:rPr>
                <w:sz w:val="18"/>
                <w:szCs w:val="18"/>
              </w:rPr>
            </w:pPr>
            <w:r w:rsidRPr="00BC4AFE">
              <w:rPr>
                <w:sz w:val="18"/>
                <w:szCs w:val="18"/>
              </w:rPr>
              <w:t>Equatorial Guinea</w:t>
            </w:r>
          </w:p>
        </w:tc>
        <w:tc>
          <w:tcPr>
            <w:tcW w:w="1182" w:type="dxa"/>
            <w:shd w:val="clear" w:color="auto" w:fill="auto"/>
            <w:vAlign w:val="center"/>
            <w:hideMark/>
          </w:tcPr>
          <w:p w14:paraId="10002396" w14:textId="77777777" w:rsidR="00FC752D" w:rsidRPr="00BC4AFE" w:rsidRDefault="00FC752D" w:rsidP="006211D7">
            <w:pPr>
              <w:widowControl w:val="0"/>
              <w:ind w:right="144"/>
              <w:jc w:val="right"/>
              <w:rPr>
                <w:sz w:val="18"/>
                <w:szCs w:val="18"/>
              </w:rPr>
            </w:pPr>
            <w:r w:rsidRPr="00BC4AFE">
              <w:rPr>
                <w:sz w:val="18"/>
                <w:szCs w:val="18"/>
              </w:rPr>
              <w:t>0.012</w:t>
            </w:r>
          </w:p>
        </w:tc>
        <w:tc>
          <w:tcPr>
            <w:tcW w:w="1182" w:type="dxa"/>
            <w:shd w:val="clear" w:color="auto" w:fill="auto"/>
            <w:noWrap/>
            <w:vAlign w:val="center"/>
            <w:hideMark/>
          </w:tcPr>
          <w:p w14:paraId="7061F467" w14:textId="77777777" w:rsidR="00FC752D" w:rsidRPr="00BC4AFE" w:rsidRDefault="00FC752D" w:rsidP="006211D7">
            <w:pPr>
              <w:widowControl w:val="0"/>
              <w:ind w:right="144"/>
              <w:jc w:val="right"/>
              <w:rPr>
                <w:sz w:val="18"/>
                <w:szCs w:val="18"/>
              </w:rPr>
            </w:pPr>
            <w:r w:rsidRPr="00BC4AFE">
              <w:rPr>
                <w:sz w:val="18"/>
                <w:szCs w:val="18"/>
              </w:rPr>
              <w:t>0.015</w:t>
            </w:r>
          </w:p>
        </w:tc>
        <w:tc>
          <w:tcPr>
            <w:tcW w:w="1182" w:type="dxa"/>
            <w:shd w:val="clear" w:color="auto" w:fill="auto"/>
            <w:noWrap/>
            <w:vAlign w:val="center"/>
            <w:hideMark/>
          </w:tcPr>
          <w:p w14:paraId="78E9F51F" w14:textId="77777777" w:rsidR="00FC752D" w:rsidRPr="00BC4AFE" w:rsidRDefault="00FC752D" w:rsidP="006211D7">
            <w:pPr>
              <w:widowControl w:val="0"/>
              <w:ind w:right="144"/>
              <w:jc w:val="right"/>
              <w:rPr>
                <w:sz w:val="18"/>
                <w:szCs w:val="18"/>
              </w:rPr>
            </w:pPr>
            <w:r w:rsidRPr="00BC4AFE">
              <w:rPr>
                <w:sz w:val="18"/>
                <w:szCs w:val="18"/>
              </w:rPr>
              <w:t>1,954</w:t>
            </w:r>
          </w:p>
        </w:tc>
        <w:tc>
          <w:tcPr>
            <w:tcW w:w="1182" w:type="dxa"/>
            <w:shd w:val="clear" w:color="auto" w:fill="auto"/>
            <w:noWrap/>
            <w:vAlign w:val="center"/>
            <w:hideMark/>
          </w:tcPr>
          <w:p w14:paraId="426DA112" w14:textId="77777777" w:rsidR="00FC752D" w:rsidRPr="00BC4AFE" w:rsidRDefault="00FC752D" w:rsidP="006211D7">
            <w:pPr>
              <w:widowControl w:val="0"/>
              <w:ind w:right="144"/>
              <w:jc w:val="right"/>
              <w:rPr>
                <w:sz w:val="18"/>
                <w:szCs w:val="18"/>
              </w:rPr>
            </w:pPr>
            <w:r w:rsidRPr="00BC4AFE">
              <w:rPr>
                <w:sz w:val="18"/>
                <w:szCs w:val="18"/>
              </w:rPr>
              <w:t>2,143</w:t>
            </w:r>
          </w:p>
        </w:tc>
        <w:tc>
          <w:tcPr>
            <w:tcW w:w="1171" w:type="dxa"/>
            <w:shd w:val="clear" w:color="auto" w:fill="auto"/>
            <w:noWrap/>
            <w:vAlign w:val="center"/>
            <w:hideMark/>
          </w:tcPr>
          <w:p w14:paraId="02C8FE4B" w14:textId="77777777" w:rsidR="00FC752D" w:rsidRPr="00BC4AFE" w:rsidRDefault="00FC752D" w:rsidP="006211D7">
            <w:pPr>
              <w:widowControl w:val="0"/>
              <w:ind w:right="144"/>
              <w:jc w:val="right"/>
              <w:rPr>
                <w:sz w:val="18"/>
                <w:szCs w:val="18"/>
              </w:rPr>
            </w:pPr>
            <w:r w:rsidRPr="00BC4AFE">
              <w:rPr>
                <w:sz w:val="18"/>
                <w:szCs w:val="18"/>
              </w:rPr>
              <w:t>4,098</w:t>
            </w:r>
          </w:p>
        </w:tc>
      </w:tr>
      <w:tr w:rsidR="00FC752D" w:rsidRPr="00BC4AFE" w14:paraId="7B532E63" w14:textId="77777777" w:rsidTr="00A60395">
        <w:trPr>
          <w:cantSplit/>
          <w:trHeight w:val="245"/>
        </w:trPr>
        <w:tc>
          <w:tcPr>
            <w:tcW w:w="3605" w:type="dxa"/>
            <w:shd w:val="clear" w:color="auto" w:fill="auto"/>
            <w:vAlign w:val="center"/>
            <w:hideMark/>
          </w:tcPr>
          <w:p w14:paraId="15434F39" w14:textId="77777777" w:rsidR="00FC752D" w:rsidRPr="00BC4AFE" w:rsidRDefault="00FC752D" w:rsidP="006211D7">
            <w:pPr>
              <w:widowControl w:val="0"/>
              <w:ind w:left="144" w:hanging="144"/>
              <w:rPr>
                <w:sz w:val="18"/>
                <w:szCs w:val="18"/>
              </w:rPr>
            </w:pPr>
            <w:r w:rsidRPr="00BC4AFE">
              <w:rPr>
                <w:sz w:val="18"/>
                <w:szCs w:val="18"/>
              </w:rPr>
              <w:t>Eritrea</w:t>
            </w:r>
          </w:p>
        </w:tc>
        <w:tc>
          <w:tcPr>
            <w:tcW w:w="1182" w:type="dxa"/>
            <w:shd w:val="clear" w:color="auto" w:fill="auto"/>
            <w:vAlign w:val="center"/>
            <w:hideMark/>
          </w:tcPr>
          <w:p w14:paraId="5242EB7D"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C50F39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789D2E15"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40FDDA2F"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65A80EF8"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2F5FB9ED" w14:textId="77777777" w:rsidTr="00A60395">
        <w:trPr>
          <w:cantSplit/>
          <w:trHeight w:val="245"/>
        </w:trPr>
        <w:tc>
          <w:tcPr>
            <w:tcW w:w="3605" w:type="dxa"/>
            <w:shd w:val="clear" w:color="auto" w:fill="auto"/>
            <w:vAlign w:val="center"/>
            <w:hideMark/>
          </w:tcPr>
          <w:p w14:paraId="41277431" w14:textId="77777777" w:rsidR="00FC752D" w:rsidRPr="00BC4AFE" w:rsidRDefault="00FC752D" w:rsidP="006211D7">
            <w:pPr>
              <w:widowControl w:val="0"/>
              <w:ind w:left="144" w:hanging="144"/>
              <w:rPr>
                <w:sz w:val="18"/>
                <w:szCs w:val="18"/>
              </w:rPr>
            </w:pPr>
            <w:r w:rsidRPr="00BC4AFE">
              <w:rPr>
                <w:sz w:val="18"/>
                <w:szCs w:val="18"/>
              </w:rPr>
              <w:t>Estonia</w:t>
            </w:r>
          </w:p>
        </w:tc>
        <w:tc>
          <w:tcPr>
            <w:tcW w:w="1182" w:type="dxa"/>
            <w:shd w:val="clear" w:color="auto" w:fill="auto"/>
            <w:vAlign w:val="center"/>
            <w:hideMark/>
          </w:tcPr>
          <w:p w14:paraId="21A148C1" w14:textId="77777777" w:rsidR="00FC752D" w:rsidRPr="00BC4AFE" w:rsidRDefault="00FC752D" w:rsidP="006211D7">
            <w:pPr>
              <w:widowControl w:val="0"/>
              <w:ind w:right="144"/>
              <w:jc w:val="right"/>
              <w:rPr>
                <w:sz w:val="18"/>
                <w:szCs w:val="18"/>
              </w:rPr>
            </w:pPr>
            <w:r w:rsidRPr="00BC4AFE">
              <w:rPr>
                <w:sz w:val="18"/>
                <w:szCs w:val="18"/>
              </w:rPr>
              <w:t>0.044</w:t>
            </w:r>
          </w:p>
        </w:tc>
        <w:tc>
          <w:tcPr>
            <w:tcW w:w="1182" w:type="dxa"/>
            <w:shd w:val="clear" w:color="auto" w:fill="auto"/>
            <w:noWrap/>
            <w:vAlign w:val="center"/>
            <w:hideMark/>
          </w:tcPr>
          <w:p w14:paraId="4370DC7E" w14:textId="77777777" w:rsidR="00FC752D" w:rsidRPr="00BC4AFE" w:rsidRDefault="00FC752D" w:rsidP="006211D7">
            <w:pPr>
              <w:widowControl w:val="0"/>
              <w:ind w:right="144"/>
              <w:jc w:val="right"/>
              <w:rPr>
                <w:sz w:val="18"/>
                <w:szCs w:val="18"/>
              </w:rPr>
            </w:pPr>
            <w:r w:rsidRPr="00BC4AFE">
              <w:rPr>
                <w:sz w:val="18"/>
                <w:szCs w:val="18"/>
              </w:rPr>
              <w:t>0.055</w:t>
            </w:r>
          </w:p>
        </w:tc>
        <w:tc>
          <w:tcPr>
            <w:tcW w:w="1182" w:type="dxa"/>
            <w:shd w:val="clear" w:color="auto" w:fill="auto"/>
            <w:noWrap/>
            <w:vAlign w:val="center"/>
            <w:hideMark/>
          </w:tcPr>
          <w:p w14:paraId="5BC7B972" w14:textId="77777777" w:rsidR="00FC752D" w:rsidRPr="00BC4AFE" w:rsidRDefault="00FC752D" w:rsidP="006211D7">
            <w:pPr>
              <w:widowControl w:val="0"/>
              <w:ind w:right="144"/>
              <w:jc w:val="right"/>
              <w:rPr>
                <w:sz w:val="18"/>
                <w:szCs w:val="18"/>
              </w:rPr>
            </w:pPr>
            <w:r w:rsidRPr="00BC4AFE">
              <w:rPr>
                <w:sz w:val="18"/>
                <w:szCs w:val="18"/>
              </w:rPr>
              <w:t>7,165</w:t>
            </w:r>
          </w:p>
        </w:tc>
        <w:tc>
          <w:tcPr>
            <w:tcW w:w="1182" w:type="dxa"/>
            <w:shd w:val="clear" w:color="auto" w:fill="auto"/>
            <w:noWrap/>
            <w:vAlign w:val="center"/>
            <w:hideMark/>
          </w:tcPr>
          <w:p w14:paraId="182224EE" w14:textId="77777777" w:rsidR="00FC752D" w:rsidRPr="00BC4AFE" w:rsidRDefault="00FC752D" w:rsidP="006211D7">
            <w:pPr>
              <w:widowControl w:val="0"/>
              <w:ind w:right="144"/>
              <w:jc w:val="right"/>
              <w:rPr>
                <w:sz w:val="18"/>
                <w:szCs w:val="18"/>
              </w:rPr>
            </w:pPr>
            <w:r w:rsidRPr="00BC4AFE">
              <w:rPr>
                <w:sz w:val="18"/>
                <w:szCs w:val="18"/>
              </w:rPr>
              <w:t>7,859</w:t>
            </w:r>
          </w:p>
        </w:tc>
        <w:tc>
          <w:tcPr>
            <w:tcW w:w="1171" w:type="dxa"/>
            <w:shd w:val="clear" w:color="auto" w:fill="auto"/>
            <w:noWrap/>
            <w:vAlign w:val="center"/>
            <w:hideMark/>
          </w:tcPr>
          <w:p w14:paraId="70EF821E" w14:textId="77777777" w:rsidR="00FC752D" w:rsidRPr="00BC4AFE" w:rsidRDefault="00FC752D" w:rsidP="006211D7">
            <w:pPr>
              <w:widowControl w:val="0"/>
              <w:ind w:right="144"/>
              <w:jc w:val="right"/>
              <w:rPr>
                <w:sz w:val="18"/>
                <w:szCs w:val="18"/>
              </w:rPr>
            </w:pPr>
            <w:r w:rsidRPr="00BC4AFE">
              <w:rPr>
                <w:sz w:val="18"/>
                <w:szCs w:val="18"/>
              </w:rPr>
              <w:t>15,024</w:t>
            </w:r>
          </w:p>
        </w:tc>
      </w:tr>
      <w:tr w:rsidR="00FC752D" w:rsidRPr="00BC4AFE" w14:paraId="2DBF5101" w14:textId="77777777" w:rsidTr="00A60395">
        <w:trPr>
          <w:cantSplit/>
          <w:trHeight w:val="245"/>
        </w:trPr>
        <w:tc>
          <w:tcPr>
            <w:tcW w:w="3605" w:type="dxa"/>
            <w:shd w:val="clear" w:color="auto" w:fill="auto"/>
            <w:vAlign w:val="center"/>
            <w:hideMark/>
          </w:tcPr>
          <w:p w14:paraId="066C8AD9" w14:textId="77777777" w:rsidR="00FC752D" w:rsidRPr="00BC4AFE" w:rsidRDefault="00FC752D" w:rsidP="006211D7">
            <w:pPr>
              <w:widowControl w:val="0"/>
              <w:ind w:left="144" w:hanging="144"/>
              <w:rPr>
                <w:sz w:val="18"/>
                <w:szCs w:val="18"/>
              </w:rPr>
            </w:pPr>
            <w:r w:rsidRPr="00BC4AFE">
              <w:rPr>
                <w:sz w:val="18"/>
                <w:szCs w:val="18"/>
              </w:rPr>
              <w:t>Eswatini</w:t>
            </w:r>
          </w:p>
        </w:tc>
        <w:tc>
          <w:tcPr>
            <w:tcW w:w="1182" w:type="dxa"/>
            <w:shd w:val="clear" w:color="auto" w:fill="auto"/>
            <w:vAlign w:val="center"/>
            <w:hideMark/>
          </w:tcPr>
          <w:p w14:paraId="0D1760D4"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54EA6F1E"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40B5C464"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183BF8C9"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4FC4034C"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53F925C8" w14:textId="77777777" w:rsidTr="00A60395">
        <w:trPr>
          <w:cantSplit/>
          <w:trHeight w:val="245"/>
        </w:trPr>
        <w:tc>
          <w:tcPr>
            <w:tcW w:w="3605" w:type="dxa"/>
            <w:shd w:val="clear" w:color="auto" w:fill="auto"/>
            <w:vAlign w:val="center"/>
            <w:hideMark/>
          </w:tcPr>
          <w:p w14:paraId="1F935767" w14:textId="77777777" w:rsidR="00FC752D" w:rsidRPr="00BC4AFE" w:rsidRDefault="00FC752D" w:rsidP="006211D7">
            <w:pPr>
              <w:widowControl w:val="0"/>
              <w:ind w:left="144" w:hanging="144"/>
              <w:rPr>
                <w:sz w:val="18"/>
                <w:szCs w:val="18"/>
              </w:rPr>
            </w:pPr>
            <w:r w:rsidRPr="00BC4AFE">
              <w:rPr>
                <w:sz w:val="18"/>
                <w:szCs w:val="18"/>
              </w:rPr>
              <w:t>Ethiopia</w:t>
            </w:r>
          </w:p>
        </w:tc>
        <w:tc>
          <w:tcPr>
            <w:tcW w:w="1182" w:type="dxa"/>
            <w:shd w:val="clear" w:color="auto" w:fill="auto"/>
            <w:vAlign w:val="center"/>
            <w:hideMark/>
          </w:tcPr>
          <w:p w14:paraId="728CBB32"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1BF65086"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537BD2C2"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50515184"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5AB10427"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13A3AF04" w14:textId="77777777" w:rsidTr="00A60395">
        <w:trPr>
          <w:cantSplit/>
          <w:trHeight w:val="245"/>
        </w:trPr>
        <w:tc>
          <w:tcPr>
            <w:tcW w:w="3605" w:type="dxa"/>
            <w:shd w:val="clear" w:color="auto" w:fill="auto"/>
            <w:vAlign w:val="center"/>
            <w:hideMark/>
          </w:tcPr>
          <w:p w14:paraId="182B4CCA" w14:textId="77777777" w:rsidR="00FC752D" w:rsidRPr="00BC4AFE" w:rsidRDefault="00FC752D" w:rsidP="006211D7">
            <w:pPr>
              <w:widowControl w:val="0"/>
              <w:ind w:left="144" w:hanging="144"/>
              <w:rPr>
                <w:sz w:val="18"/>
                <w:szCs w:val="18"/>
              </w:rPr>
            </w:pPr>
            <w:r w:rsidRPr="00BC4AFE">
              <w:rPr>
                <w:sz w:val="18"/>
                <w:szCs w:val="18"/>
              </w:rPr>
              <w:t>European Union</w:t>
            </w:r>
          </w:p>
        </w:tc>
        <w:tc>
          <w:tcPr>
            <w:tcW w:w="1182" w:type="dxa"/>
            <w:shd w:val="clear" w:color="auto" w:fill="auto"/>
            <w:vAlign w:val="center"/>
            <w:hideMark/>
          </w:tcPr>
          <w:p w14:paraId="502DA0C6" w14:textId="77777777" w:rsidR="00FC752D" w:rsidRPr="00BC4AFE" w:rsidRDefault="00FC752D" w:rsidP="006211D7">
            <w:pPr>
              <w:widowControl w:val="0"/>
              <w:ind w:right="144"/>
              <w:jc w:val="right"/>
              <w:rPr>
                <w:sz w:val="18"/>
                <w:szCs w:val="18"/>
              </w:rPr>
            </w:pPr>
          </w:p>
        </w:tc>
        <w:tc>
          <w:tcPr>
            <w:tcW w:w="1182" w:type="dxa"/>
            <w:shd w:val="clear" w:color="auto" w:fill="auto"/>
            <w:noWrap/>
            <w:vAlign w:val="center"/>
            <w:hideMark/>
          </w:tcPr>
          <w:p w14:paraId="017D9909" w14:textId="77777777" w:rsidR="00FC752D" w:rsidRPr="00BC4AFE" w:rsidRDefault="00FC752D" w:rsidP="006211D7">
            <w:pPr>
              <w:widowControl w:val="0"/>
              <w:ind w:right="144"/>
              <w:jc w:val="right"/>
              <w:rPr>
                <w:sz w:val="18"/>
                <w:szCs w:val="18"/>
              </w:rPr>
            </w:pPr>
            <w:r w:rsidRPr="00BC4AFE">
              <w:rPr>
                <w:sz w:val="18"/>
                <w:szCs w:val="18"/>
              </w:rPr>
              <w:t>2.500</w:t>
            </w:r>
          </w:p>
        </w:tc>
        <w:tc>
          <w:tcPr>
            <w:tcW w:w="1182" w:type="dxa"/>
            <w:shd w:val="clear" w:color="auto" w:fill="auto"/>
            <w:noWrap/>
            <w:vAlign w:val="center"/>
            <w:hideMark/>
          </w:tcPr>
          <w:p w14:paraId="4A649E39" w14:textId="77777777" w:rsidR="00FC752D" w:rsidRPr="00BC4AFE" w:rsidRDefault="00FC752D" w:rsidP="006211D7">
            <w:pPr>
              <w:widowControl w:val="0"/>
              <w:ind w:right="144"/>
              <w:jc w:val="right"/>
              <w:rPr>
                <w:sz w:val="18"/>
                <w:szCs w:val="18"/>
              </w:rPr>
            </w:pPr>
            <w:r w:rsidRPr="00BC4AFE">
              <w:rPr>
                <w:sz w:val="18"/>
                <w:szCs w:val="18"/>
              </w:rPr>
              <w:t>325,673</w:t>
            </w:r>
          </w:p>
        </w:tc>
        <w:tc>
          <w:tcPr>
            <w:tcW w:w="1182" w:type="dxa"/>
            <w:shd w:val="clear" w:color="auto" w:fill="auto"/>
            <w:noWrap/>
            <w:vAlign w:val="center"/>
            <w:hideMark/>
          </w:tcPr>
          <w:p w14:paraId="1116D424" w14:textId="77777777" w:rsidR="00FC752D" w:rsidRPr="00BC4AFE" w:rsidRDefault="00FC752D" w:rsidP="006211D7">
            <w:pPr>
              <w:widowControl w:val="0"/>
              <w:ind w:right="144"/>
              <w:jc w:val="right"/>
              <w:rPr>
                <w:sz w:val="18"/>
                <w:szCs w:val="18"/>
              </w:rPr>
            </w:pPr>
            <w:r w:rsidRPr="00BC4AFE">
              <w:rPr>
                <w:sz w:val="18"/>
                <w:szCs w:val="18"/>
              </w:rPr>
              <w:t>357,210</w:t>
            </w:r>
          </w:p>
        </w:tc>
        <w:tc>
          <w:tcPr>
            <w:tcW w:w="1171" w:type="dxa"/>
            <w:shd w:val="clear" w:color="auto" w:fill="auto"/>
            <w:noWrap/>
            <w:vAlign w:val="center"/>
            <w:hideMark/>
          </w:tcPr>
          <w:p w14:paraId="33D52971" w14:textId="77777777" w:rsidR="00FC752D" w:rsidRPr="00BC4AFE" w:rsidRDefault="00FC752D" w:rsidP="006211D7">
            <w:pPr>
              <w:widowControl w:val="0"/>
              <w:ind w:right="144"/>
              <w:jc w:val="right"/>
              <w:rPr>
                <w:sz w:val="18"/>
                <w:szCs w:val="18"/>
              </w:rPr>
            </w:pPr>
            <w:r w:rsidRPr="00BC4AFE">
              <w:rPr>
                <w:sz w:val="18"/>
                <w:szCs w:val="18"/>
              </w:rPr>
              <w:t>682,884</w:t>
            </w:r>
          </w:p>
        </w:tc>
      </w:tr>
      <w:tr w:rsidR="00FC752D" w:rsidRPr="00BC4AFE" w14:paraId="54F4CED3" w14:textId="77777777" w:rsidTr="00A60395">
        <w:trPr>
          <w:cantSplit/>
          <w:trHeight w:val="245"/>
        </w:trPr>
        <w:tc>
          <w:tcPr>
            <w:tcW w:w="3605" w:type="dxa"/>
            <w:shd w:val="clear" w:color="auto" w:fill="auto"/>
            <w:vAlign w:val="center"/>
            <w:hideMark/>
          </w:tcPr>
          <w:p w14:paraId="097DF390" w14:textId="77777777" w:rsidR="00FC752D" w:rsidRPr="00BC4AFE" w:rsidRDefault="00FC752D" w:rsidP="006211D7">
            <w:pPr>
              <w:widowControl w:val="0"/>
              <w:ind w:left="144" w:hanging="144"/>
              <w:rPr>
                <w:sz w:val="18"/>
                <w:szCs w:val="18"/>
              </w:rPr>
            </w:pPr>
            <w:r w:rsidRPr="00BC4AFE">
              <w:rPr>
                <w:sz w:val="18"/>
                <w:szCs w:val="18"/>
              </w:rPr>
              <w:t>Fiji</w:t>
            </w:r>
          </w:p>
        </w:tc>
        <w:tc>
          <w:tcPr>
            <w:tcW w:w="1182" w:type="dxa"/>
            <w:shd w:val="clear" w:color="auto" w:fill="auto"/>
            <w:vAlign w:val="center"/>
            <w:hideMark/>
          </w:tcPr>
          <w:p w14:paraId="3FF59D40"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4C9E7418"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75D8A05F"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128D4CAF"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51C385E7"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0EEE3A18" w14:textId="77777777" w:rsidTr="00A60395">
        <w:trPr>
          <w:cantSplit/>
          <w:trHeight w:val="245"/>
        </w:trPr>
        <w:tc>
          <w:tcPr>
            <w:tcW w:w="3605" w:type="dxa"/>
            <w:shd w:val="clear" w:color="auto" w:fill="auto"/>
            <w:vAlign w:val="center"/>
            <w:hideMark/>
          </w:tcPr>
          <w:p w14:paraId="4EAF61AC" w14:textId="77777777" w:rsidR="00FC752D" w:rsidRPr="00BC4AFE" w:rsidRDefault="00FC752D" w:rsidP="006211D7">
            <w:pPr>
              <w:widowControl w:val="0"/>
              <w:ind w:left="144" w:hanging="144"/>
              <w:rPr>
                <w:sz w:val="18"/>
                <w:szCs w:val="18"/>
              </w:rPr>
            </w:pPr>
            <w:r w:rsidRPr="00BC4AFE">
              <w:rPr>
                <w:sz w:val="18"/>
                <w:szCs w:val="18"/>
              </w:rPr>
              <w:t>Finland</w:t>
            </w:r>
          </w:p>
        </w:tc>
        <w:tc>
          <w:tcPr>
            <w:tcW w:w="1182" w:type="dxa"/>
            <w:shd w:val="clear" w:color="auto" w:fill="auto"/>
            <w:vAlign w:val="center"/>
            <w:hideMark/>
          </w:tcPr>
          <w:p w14:paraId="3942E857" w14:textId="77777777" w:rsidR="00FC752D" w:rsidRPr="00BC4AFE" w:rsidRDefault="00FC752D" w:rsidP="006211D7">
            <w:pPr>
              <w:widowControl w:val="0"/>
              <w:ind w:right="144"/>
              <w:jc w:val="right"/>
              <w:rPr>
                <w:sz w:val="18"/>
                <w:szCs w:val="18"/>
              </w:rPr>
            </w:pPr>
            <w:r w:rsidRPr="00BC4AFE">
              <w:rPr>
                <w:sz w:val="18"/>
                <w:szCs w:val="18"/>
              </w:rPr>
              <w:t>0.417</w:t>
            </w:r>
          </w:p>
        </w:tc>
        <w:tc>
          <w:tcPr>
            <w:tcW w:w="1182" w:type="dxa"/>
            <w:shd w:val="clear" w:color="auto" w:fill="auto"/>
            <w:noWrap/>
            <w:vAlign w:val="center"/>
            <w:hideMark/>
          </w:tcPr>
          <w:p w14:paraId="56D817D0" w14:textId="77777777" w:rsidR="00FC752D" w:rsidRPr="00BC4AFE" w:rsidRDefault="00FC752D" w:rsidP="006211D7">
            <w:pPr>
              <w:widowControl w:val="0"/>
              <w:ind w:right="144"/>
              <w:jc w:val="right"/>
              <w:rPr>
                <w:sz w:val="18"/>
                <w:szCs w:val="18"/>
              </w:rPr>
            </w:pPr>
            <w:r w:rsidRPr="00BC4AFE">
              <w:rPr>
                <w:sz w:val="18"/>
                <w:szCs w:val="18"/>
              </w:rPr>
              <w:t>0.521</w:t>
            </w:r>
          </w:p>
        </w:tc>
        <w:tc>
          <w:tcPr>
            <w:tcW w:w="1182" w:type="dxa"/>
            <w:shd w:val="clear" w:color="auto" w:fill="auto"/>
            <w:noWrap/>
            <w:vAlign w:val="center"/>
            <w:hideMark/>
          </w:tcPr>
          <w:p w14:paraId="3B1667F8" w14:textId="77777777" w:rsidR="00FC752D" w:rsidRPr="00BC4AFE" w:rsidRDefault="00FC752D" w:rsidP="006211D7">
            <w:pPr>
              <w:widowControl w:val="0"/>
              <w:ind w:right="144"/>
              <w:jc w:val="right"/>
              <w:rPr>
                <w:sz w:val="18"/>
                <w:szCs w:val="18"/>
              </w:rPr>
            </w:pPr>
            <w:r w:rsidRPr="00BC4AFE">
              <w:rPr>
                <w:sz w:val="18"/>
                <w:szCs w:val="18"/>
              </w:rPr>
              <w:t>67,907</w:t>
            </w:r>
          </w:p>
        </w:tc>
        <w:tc>
          <w:tcPr>
            <w:tcW w:w="1182" w:type="dxa"/>
            <w:shd w:val="clear" w:color="auto" w:fill="auto"/>
            <w:noWrap/>
            <w:vAlign w:val="center"/>
            <w:hideMark/>
          </w:tcPr>
          <w:p w14:paraId="659F7407" w14:textId="77777777" w:rsidR="00FC752D" w:rsidRPr="00BC4AFE" w:rsidRDefault="00FC752D" w:rsidP="006211D7">
            <w:pPr>
              <w:widowControl w:val="0"/>
              <w:ind w:right="144"/>
              <w:jc w:val="right"/>
              <w:rPr>
                <w:sz w:val="18"/>
                <w:szCs w:val="18"/>
              </w:rPr>
            </w:pPr>
            <w:r w:rsidRPr="00BC4AFE">
              <w:rPr>
                <w:sz w:val="18"/>
                <w:szCs w:val="18"/>
              </w:rPr>
              <w:t>74,483</w:t>
            </w:r>
          </w:p>
        </w:tc>
        <w:tc>
          <w:tcPr>
            <w:tcW w:w="1171" w:type="dxa"/>
            <w:shd w:val="clear" w:color="auto" w:fill="auto"/>
            <w:noWrap/>
            <w:vAlign w:val="center"/>
            <w:hideMark/>
          </w:tcPr>
          <w:p w14:paraId="31330FB4" w14:textId="77777777" w:rsidR="00FC752D" w:rsidRPr="00BC4AFE" w:rsidRDefault="00FC752D" w:rsidP="006211D7">
            <w:pPr>
              <w:widowControl w:val="0"/>
              <w:ind w:right="144"/>
              <w:jc w:val="right"/>
              <w:rPr>
                <w:sz w:val="18"/>
                <w:szCs w:val="18"/>
              </w:rPr>
            </w:pPr>
            <w:r w:rsidRPr="00BC4AFE">
              <w:rPr>
                <w:sz w:val="18"/>
                <w:szCs w:val="18"/>
              </w:rPr>
              <w:t>142,390</w:t>
            </w:r>
          </w:p>
        </w:tc>
      </w:tr>
      <w:tr w:rsidR="00FC752D" w:rsidRPr="00BC4AFE" w14:paraId="2BBCB7B4" w14:textId="77777777" w:rsidTr="00A60395">
        <w:trPr>
          <w:cantSplit/>
          <w:trHeight w:val="245"/>
        </w:trPr>
        <w:tc>
          <w:tcPr>
            <w:tcW w:w="3605" w:type="dxa"/>
            <w:shd w:val="clear" w:color="auto" w:fill="auto"/>
            <w:vAlign w:val="center"/>
            <w:hideMark/>
          </w:tcPr>
          <w:p w14:paraId="64376C0E" w14:textId="77777777" w:rsidR="00FC752D" w:rsidRPr="00BC4AFE" w:rsidRDefault="00FC752D" w:rsidP="006211D7">
            <w:pPr>
              <w:widowControl w:val="0"/>
              <w:ind w:left="144" w:hanging="144"/>
              <w:rPr>
                <w:sz w:val="18"/>
                <w:szCs w:val="18"/>
              </w:rPr>
            </w:pPr>
            <w:r w:rsidRPr="00BC4AFE">
              <w:rPr>
                <w:sz w:val="18"/>
                <w:szCs w:val="18"/>
              </w:rPr>
              <w:t>France</w:t>
            </w:r>
          </w:p>
        </w:tc>
        <w:tc>
          <w:tcPr>
            <w:tcW w:w="1182" w:type="dxa"/>
            <w:shd w:val="clear" w:color="auto" w:fill="auto"/>
            <w:vAlign w:val="center"/>
            <w:hideMark/>
          </w:tcPr>
          <w:p w14:paraId="3D393DE9" w14:textId="77777777" w:rsidR="00FC752D" w:rsidRPr="00BC4AFE" w:rsidRDefault="00FC752D" w:rsidP="006211D7">
            <w:pPr>
              <w:widowControl w:val="0"/>
              <w:ind w:right="144"/>
              <w:jc w:val="right"/>
              <w:rPr>
                <w:sz w:val="18"/>
                <w:szCs w:val="18"/>
              </w:rPr>
            </w:pPr>
            <w:r w:rsidRPr="00BC4AFE">
              <w:rPr>
                <w:sz w:val="18"/>
                <w:szCs w:val="18"/>
              </w:rPr>
              <w:t>4.318</w:t>
            </w:r>
          </w:p>
        </w:tc>
        <w:tc>
          <w:tcPr>
            <w:tcW w:w="1182" w:type="dxa"/>
            <w:shd w:val="clear" w:color="auto" w:fill="auto"/>
            <w:noWrap/>
            <w:vAlign w:val="center"/>
            <w:hideMark/>
          </w:tcPr>
          <w:p w14:paraId="5808F1E7" w14:textId="77777777" w:rsidR="00FC752D" w:rsidRPr="00BC4AFE" w:rsidRDefault="00FC752D" w:rsidP="006211D7">
            <w:pPr>
              <w:widowControl w:val="0"/>
              <w:ind w:right="144"/>
              <w:jc w:val="right"/>
              <w:rPr>
                <w:sz w:val="18"/>
                <w:szCs w:val="18"/>
              </w:rPr>
            </w:pPr>
            <w:r w:rsidRPr="00BC4AFE">
              <w:rPr>
                <w:sz w:val="18"/>
                <w:szCs w:val="18"/>
              </w:rPr>
              <w:t>5.398</w:t>
            </w:r>
          </w:p>
        </w:tc>
        <w:tc>
          <w:tcPr>
            <w:tcW w:w="1182" w:type="dxa"/>
            <w:shd w:val="clear" w:color="auto" w:fill="auto"/>
            <w:noWrap/>
            <w:vAlign w:val="center"/>
            <w:hideMark/>
          </w:tcPr>
          <w:p w14:paraId="6A351816" w14:textId="77777777" w:rsidR="00FC752D" w:rsidRPr="00BC4AFE" w:rsidRDefault="00FC752D" w:rsidP="006211D7">
            <w:pPr>
              <w:widowControl w:val="0"/>
              <w:ind w:right="144"/>
              <w:jc w:val="right"/>
              <w:rPr>
                <w:sz w:val="18"/>
                <w:szCs w:val="18"/>
              </w:rPr>
            </w:pPr>
            <w:r w:rsidRPr="00BC4AFE">
              <w:rPr>
                <w:sz w:val="18"/>
                <w:szCs w:val="18"/>
              </w:rPr>
              <w:t>703,174</w:t>
            </w:r>
          </w:p>
        </w:tc>
        <w:tc>
          <w:tcPr>
            <w:tcW w:w="1182" w:type="dxa"/>
            <w:shd w:val="clear" w:color="auto" w:fill="auto"/>
            <w:noWrap/>
            <w:vAlign w:val="center"/>
            <w:hideMark/>
          </w:tcPr>
          <w:p w14:paraId="11E9F6C9" w14:textId="77777777" w:rsidR="00FC752D" w:rsidRPr="00BC4AFE" w:rsidRDefault="00FC752D" w:rsidP="006211D7">
            <w:pPr>
              <w:widowControl w:val="0"/>
              <w:ind w:right="144"/>
              <w:jc w:val="right"/>
              <w:rPr>
                <w:sz w:val="18"/>
                <w:szCs w:val="18"/>
              </w:rPr>
            </w:pPr>
            <w:r w:rsidRPr="00BC4AFE">
              <w:rPr>
                <w:sz w:val="18"/>
                <w:szCs w:val="18"/>
              </w:rPr>
              <w:t>771,266</w:t>
            </w:r>
          </w:p>
        </w:tc>
        <w:tc>
          <w:tcPr>
            <w:tcW w:w="1171" w:type="dxa"/>
            <w:shd w:val="clear" w:color="auto" w:fill="auto"/>
            <w:noWrap/>
            <w:vAlign w:val="center"/>
            <w:hideMark/>
          </w:tcPr>
          <w:p w14:paraId="57AD3AFC" w14:textId="77777777" w:rsidR="00FC752D" w:rsidRPr="00BC4AFE" w:rsidRDefault="00FC752D" w:rsidP="006211D7">
            <w:pPr>
              <w:widowControl w:val="0"/>
              <w:ind w:right="144"/>
              <w:jc w:val="right"/>
              <w:rPr>
                <w:sz w:val="18"/>
                <w:szCs w:val="18"/>
              </w:rPr>
            </w:pPr>
            <w:r w:rsidRPr="00BC4AFE">
              <w:rPr>
                <w:sz w:val="18"/>
                <w:szCs w:val="18"/>
              </w:rPr>
              <w:t>1,474,440</w:t>
            </w:r>
          </w:p>
        </w:tc>
      </w:tr>
      <w:tr w:rsidR="00FC752D" w:rsidRPr="00BC4AFE" w14:paraId="375A463E" w14:textId="77777777" w:rsidTr="00A60395">
        <w:trPr>
          <w:cantSplit/>
          <w:trHeight w:val="245"/>
        </w:trPr>
        <w:tc>
          <w:tcPr>
            <w:tcW w:w="3605" w:type="dxa"/>
            <w:shd w:val="clear" w:color="auto" w:fill="auto"/>
            <w:vAlign w:val="center"/>
            <w:hideMark/>
          </w:tcPr>
          <w:p w14:paraId="01E04C49" w14:textId="77777777" w:rsidR="00FC752D" w:rsidRPr="00BC4AFE" w:rsidRDefault="00FC752D" w:rsidP="006211D7">
            <w:pPr>
              <w:widowControl w:val="0"/>
              <w:ind w:left="144" w:hanging="144"/>
              <w:rPr>
                <w:sz w:val="18"/>
                <w:szCs w:val="18"/>
              </w:rPr>
            </w:pPr>
            <w:r w:rsidRPr="00BC4AFE">
              <w:rPr>
                <w:sz w:val="18"/>
                <w:szCs w:val="18"/>
              </w:rPr>
              <w:t>Gabon</w:t>
            </w:r>
          </w:p>
        </w:tc>
        <w:tc>
          <w:tcPr>
            <w:tcW w:w="1182" w:type="dxa"/>
            <w:shd w:val="clear" w:color="auto" w:fill="auto"/>
            <w:vAlign w:val="center"/>
            <w:hideMark/>
          </w:tcPr>
          <w:p w14:paraId="14DB4279" w14:textId="77777777" w:rsidR="00FC752D" w:rsidRPr="00BC4AFE" w:rsidRDefault="00FC752D" w:rsidP="006211D7">
            <w:pPr>
              <w:widowControl w:val="0"/>
              <w:ind w:right="144"/>
              <w:jc w:val="right"/>
              <w:rPr>
                <w:sz w:val="18"/>
                <w:szCs w:val="18"/>
              </w:rPr>
            </w:pPr>
            <w:r w:rsidRPr="00BC4AFE">
              <w:rPr>
                <w:sz w:val="18"/>
                <w:szCs w:val="18"/>
              </w:rPr>
              <w:t>0.013</w:t>
            </w:r>
          </w:p>
        </w:tc>
        <w:tc>
          <w:tcPr>
            <w:tcW w:w="1182" w:type="dxa"/>
            <w:shd w:val="clear" w:color="auto" w:fill="auto"/>
            <w:noWrap/>
            <w:vAlign w:val="center"/>
            <w:hideMark/>
          </w:tcPr>
          <w:p w14:paraId="3A91C70B" w14:textId="77777777" w:rsidR="00FC752D" w:rsidRPr="00BC4AFE" w:rsidRDefault="00FC752D" w:rsidP="006211D7">
            <w:pPr>
              <w:widowControl w:val="0"/>
              <w:ind w:right="144"/>
              <w:jc w:val="right"/>
              <w:rPr>
                <w:sz w:val="18"/>
                <w:szCs w:val="18"/>
              </w:rPr>
            </w:pPr>
            <w:r w:rsidRPr="00BC4AFE">
              <w:rPr>
                <w:sz w:val="18"/>
                <w:szCs w:val="18"/>
              </w:rPr>
              <w:t>0.016</w:t>
            </w:r>
          </w:p>
        </w:tc>
        <w:tc>
          <w:tcPr>
            <w:tcW w:w="1182" w:type="dxa"/>
            <w:shd w:val="clear" w:color="auto" w:fill="auto"/>
            <w:noWrap/>
            <w:vAlign w:val="center"/>
            <w:hideMark/>
          </w:tcPr>
          <w:p w14:paraId="058DCC7D" w14:textId="77777777" w:rsidR="00FC752D" w:rsidRPr="00BC4AFE" w:rsidRDefault="00FC752D" w:rsidP="006211D7">
            <w:pPr>
              <w:widowControl w:val="0"/>
              <w:ind w:right="144"/>
              <w:jc w:val="right"/>
              <w:rPr>
                <w:sz w:val="18"/>
                <w:szCs w:val="18"/>
              </w:rPr>
            </w:pPr>
            <w:r w:rsidRPr="00BC4AFE">
              <w:rPr>
                <w:sz w:val="18"/>
                <w:szCs w:val="18"/>
              </w:rPr>
              <w:t>2,117</w:t>
            </w:r>
          </w:p>
        </w:tc>
        <w:tc>
          <w:tcPr>
            <w:tcW w:w="1182" w:type="dxa"/>
            <w:shd w:val="clear" w:color="auto" w:fill="auto"/>
            <w:noWrap/>
            <w:vAlign w:val="center"/>
            <w:hideMark/>
          </w:tcPr>
          <w:p w14:paraId="2BEA8292" w14:textId="77777777" w:rsidR="00FC752D" w:rsidRPr="00BC4AFE" w:rsidRDefault="00FC752D" w:rsidP="006211D7">
            <w:pPr>
              <w:widowControl w:val="0"/>
              <w:ind w:right="144"/>
              <w:jc w:val="right"/>
              <w:rPr>
                <w:sz w:val="18"/>
                <w:szCs w:val="18"/>
              </w:rPr>
            </w:pPr>
            <w:r w:rsidRPr="00BC4AFE">
              <w:rPr>
                <w:sz w:val="18"/>
                <w:szCs w:val="18"/>
              </w:rPr>
              <w:t>2,322</w:t>
            </w:r>
          </w:p>
        </w:tc>
        <w:tc>
          <w:tcPr>
            <w:tcW w:w="1171" w:type="dxa"/>
            <w:shd w:val="clear" w:color="auto" w:fill="auto"/>
            <w:noWrap/>
            <w:vAlign w:val="center"/>
            <w:hideMark/>
          </w:tcPr>
          <w:p w14:paraId="5E9FE67E" w14:textId="77777777" w:rsidR="00FC752D" w:rsidRPr="00BC4AFE" w:rsidRDefault="00FC752D" w:rsidP="006211D7">
            <w:pPr>
              <w:widowControl w:val="0"/>
              <w:ind w:right="144"/>
              <w:jc w:val="right"/>
              <w:rPr>
                <w:sz w:val="18"/>
                <w:szCs w:val="18"/>
              </w:rPr>
            </w:pPr>
            <w:r w:rsidRPr="00BC4AFE">
              <w:rPr>
                <w:sz w:val="18"/>
                <w:szCs w:val="18"/>
              </w:rPr>
              <w:t>4,439</w:t>
            </w:r>
          </w:p>
        </w:tc>
      </w:tr>
      <w:tr w:rsidR="00FC752D" w:rsidRPr="00BC4AFE" w14:paraId="02CE44C0" w14:textId="77777777" w:rsidTr="00A60395">
        <w:trPr>
          <w:cantSplit/>
          <w:trHeight w:val="245"/>
        </w:trPr>
        <w:tc>
          <w:tcPr>
            <w:tcW w:w="3605" w:type="dxa"/>
            <w:shd w:val="clear" w:color="auto" w:fill="auto"/>
            <w:vAlign w:val="center"/>
            <w:hideMark/>
          </w:tcPr>
          <w:p w14:paraId="1D458387" w14:textId="77777777" w:rsidR="00FC752D" w:rsidRPr="00BC4AFE" w:rsidRDefault="00FC752D" w:rsidP="006211D7">
            <w:pPr>
              <w:widowControl w:val="0"/>
              <w:ind w:left="144" w:hanging="144"/>
              <w:rPr>
                <w:sz w:val="18"/>
                <w:szCs w:val="18"/>
              </w:rPr>
            </w:pPr>
            <w:r w:rsidRPr="00BC4AFE">
              <w:rPr>
                <w:sz w:val="18"/>
                <w:szCs w:val="18"/>
              </w:rPr>
              <w:t>Gambia</w:t>
            </w:r>
          </w:p>
        </w:tc>
        <w:tc>
          <w:tcPr>
            <w:tcW w:w="1182" w:type="dxa"/>
            <w:shd w:val="clear" w:color="auto" w:fill="auto"/>
            <w:vAlign w:val="center"/>
            <w:hideMark/>
          </w:tcPr>
          <w:p w14:paraId="0ED3A511"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8703A8A"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3482B745"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15BDA49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275F01A1"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B85E486" w14:textId="77777777" w:rsidTr="00A60395">
        <w:trPr>
          <w:cantSplit/>
          <w:trHeight w:val="245"/>
        </w:trPr>
        <w:tc>
          <w:tcPr>
            <w:tcW w:w="3605" w:type="dxa"/>
            <w:shd w:val="clear" w:color="auto" w:fill="auto"/>
            <w:vAlign w:val="center"/>
            <w:hideMark/>
          </w:tcPr>
          <w:p w14:paraId="3E302343" w14:textId="77777777" w:rsidR="00FC752D" w:rsidRPr="00BC4AFE" w:rsidRDefault="00FC752D" w:rsidP="006211D7">
            <w:pPr>
              <w:widowControl w:val="0"/>
              <w:ind w:left="144" w:hanging="144"/>
              <w:rPr>
                <w:sz w:val="18"/>
                <w:szCs w:val="18"/>
              </w:rPr>
            </w:pPr>
            <w:r w:rsidRPr="00BC4AFE">
              <w:rPr>
                <w:sz w:val="18"/>
                <w:szCs w:val="18"/>
              </w:rPr>
              <w:t>Georgia</w:t>
            </w:r>
          </w:p>
        </w:tc>
        <w:tc>
          <w:tcPr>
            <w:tcW w:w="1182" w:type="dxa"/>
            <w:shd w:val="clear" w:color="auto" w:fill="auto"/>
            <w:vAlign w:val="center"/>
            <w:hideMark/>
          </w:tcPr>
          <w:p w14:paraId="57C58CF2"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50BCF4F5"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7C0E3B0F"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48FCA968"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1FFBD778"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5E246F79" w14:textId="77777777" w:rsidTr="00A60395">
        <w:trPr>
          <w:cantSplit/>
          <w:trHeight w:val="245"/>
        </w:trPr>
        <w:tc>
          <w:tcPr>
            <w:tcW w:w="3605" w:type="dxa"/>
            <w:shd w:val="clear" w:color="auto" w:fill="auto"/>
            <w:vAlign w:val="center"/>
            <w:hideMark/>
          </w:tcPr>
          <w:p w14:paraId="7A9C988E" w14:textId="77777777" w:rsidR="00FC752D" w:rsidRPr="00BC4AFE" w:rsidRDefault="00FC752D" w:rsidP="006211D7">
            <w:pPr>
              <w:widowControl w:val="0"/>
              <w:ind w:left="144" w:hanging="144"/>
              <w:rPr>
                <w:sz w:val="18"/>
                <w:szCs w:val="18"/>
              </w:rPr>
            </w:pPr>
            <w:r w:rsidRPr="00BC4AFE">
              <w:rPr>
                <w:sz w:val="18"/>
                <w:szCs w:val="18"/>
              </w:rPr>
              <w:t>Germany</w:t>
            </w:r>
          </w:p>
        </w:tc>
        <w:tc>
          <w:tcPr>
            <w:tcW w:w="1182" w:type="dxa"/>
            <w:shd w:val="clear" w:color="auto" w:fill="auto"/>
            <w:vAlign w:val="center"/>
            <w:hideMark/>
          </w:tcPr>
          <w:p w14:paraId="64958269" w14:textId="77777777" w:rsidR="00FC752D" w:rsidRPr="00BC4AFE" w:rsidRDefault="00FC752D" w:rsidP="006211D7">
            <w:pPr>
              <w:widowControl w:val="0"/>
              <w:ind w:right="144"/>
              <w:jc w:val="right"/>
              <w:rPr>
                <w:sz w:val="18"/>
                <w:szCs w:val="18"/>
              </w:rPr>
            </w:pPr>
            <w:r w:rsidRPr="00BC4AFE">
              <w:rPr>
                <w:sz w:val="18"/>
                <w:szCs w:val="18"/>
              </w:rPr>
              <w:t>6.111</w:t>
            </w:r>
          </w:p>
        </w:tc>
        <w:tc>
          <w:tcPr>
            <w:tcW w:w="1182" w:type="dxa"/>
            <w:shd w:val="clear" w:color="auto" w:fill="auto"/>
            <w:noWrap/>
            <w:vAlign w:val="center"/>
            <w:hideMark/>
          </w:tcPr>
          <w:p w14:paraId="56B8D5AD" w14:textId="77777777" w:rsidR="00FC752D" w:rsidRPr="00BC4AFE" w:rsidRDefault="00FC752D" w:rsidP="006211D7">
            <w:pPr>
              <w:widowControl w:val="0"/>
              <w:ind w:right="144"/>
              <w:jc w:val="right"/>
              <w:rPr>
                <w:sz w:val="18"/>
                <w:szCs w:val="18"/>
              </w:rPr>
            </w:pPr>
            <w:r w:rsidRPr="00BC4AFE">
              <w:rPr>
                <w:sz w:val="18"/>
                <w:szCs w:val="18"/>
              </w:rPr>
              <w:t>7.639</w:t>
            </w:r>
          </w:p>
        </w:tc>
        <w:tc>
          <w:tcPr>
            <w:tcW w:w="1182" w:type="dxa"/>
            <w:shd w:val="clear" w:color="auto" w:fill="auto"/>
            <w:noWrap/>
            <w:vAlign w:val="center"/>
            <w:hideMark/>
          </w:tcPr>
          <w:p w14:paraId="0BEA3E65" w14:textId="77777777" w:rsidR="00FC752D" w:rsidRPr="00BC4AFE" w:rsidRDefault="00FC752D" w:rsidP="006211D7">
            <w:pPr>
              <w:widowControl w:val="0"/>
              <w:ind w:right="144"/>
              <w:jc w:val="right"/>
              <w:rPr>
                <w:sz w:val="18"/>
                <w:szCs w:val="18"/>
              </w:rPr>
            </w:pPr>
            <w:r w:rsidRPr="00BC4AFE">
              <w:rPr>
                <w:sz w:val="18"/>
                <w:szCs w:val="18"/>
              </w:rPr>
              <w:t>995,159</w:t>
            </w:r>
          </w:p>
        </w:tc>
        <w:tc>
          <w:tcPr>
            <w:tcW w:w="1182" w:type="dxa"/>
            <w:shd w:val="clear" w:color="auto" w:fill="auto"/>
            <w:noWrap/>
            <w:vAlign w:val="center"/>
            <w:hideMark/>
          </w:tcPr>
          <w:p w14:paraId="3468556D" w14:textId="77777777" w:rsidR="00FC752D" w:rsidRPr="00BC4AFE" w:rsidRDefault="00FC752D" w:rsidP="006211D7">
            <w:pPr>
              <w:widowControl w:val="0"/>
              <w:ind w:right="144"/>
              <w:jc w:val="right"/>
              <w:rPr>
                <w:sz w:val="18"/>
                <w:szCs w:val="18"/>
              </w:rPr>
            </w:pPr>
            <w:r w:rsidRPr="00BC4AFE">
              <w:rPr>
                <w:sz w:val="18"/>
                <w:szCs w:val="18"/>
              </w:rPr>
              <w:t>1,091,526</w:t>
            </w:r>
          </w:p>
        </w:tc>
        <w:tc>
          <w:tcPr>
            <w:tcW w:w="1171" w:type="dxa"/>
            <w:shd w:val="clear" w:color="auto" w:fill="auto"/>
            <w:noWrap/>
            <w:vAlign w:val="center"/>
            <w:hideMark/>
          </w:tcPr>
          <w:p w14:paraId="21A1FAEF" w14:textId="77777777" w:rsidR="00FC752D" w:rsidRPr="00BC4AFE" w:rsidRDefault="00FC752D" w:rsidP="006211D7">
            <w:pPr>
              <w:widowControl w:val="0"/>
              <w:ind w:right="144"/>
              <w:jc w:val="right"/>
              <w:rPr>
                <w:sz w:val="18"/>
                <w:szCs w:val="18"/>
              </w:rPr>
            </w:pPr>
            <w:r w:rsidRPr="00BC4AFE">
              <w:rPr>
                <w:sz w:val="18"/>
                <w:szCs w:val="18"/>
              </w:rPr>
              <w:t>2,086,685</w:t>
            </w:r>
          </w:p>
        </w:tc>
      </w:tr>
      <w:tr w:rsidR="00FC752D" w:rsidRPr="00BC4AFE" w14:paraId="49A5BAB3" w14:textId="77777777" w:rsidTr="00A60395">
        <w:trPr>
          <w:cantSplit/>
          <w:trHeight w:val="245"/>
        </w:trPr>
        <w:tc>
          <w:tcPr>
            <w:tcW w:w="3605" w:type="dxa"/>
            <w:shd w:val="clear" w:color="auto" w:fill="auto"/>
            <w:vAlign w:val="center"/>
            <w:hideMark/>
          </w:tcPr>
          <w:p w14:paraId="36D56E31" w14:textId="77777777" w:rsidR="00FC752D" w:rsidRPr="00BC4AFE" w:rsidRDefault="00FC752D" w:rsidP="006211D7">
            <w:pPr>
              <w:widowControl w:val="0"/>
              <w:ind w:left="144" w:hanging="144"/>
              <w:rPr>
                <w:sz w:val="18"/>
                <w:szCs w:val="18"/>
              </w:rPr>
            </w:pPr>
            <w:r w:rsidRPr="00BC4AFE">
              <w:rPr>
                <w:sz w:val="18"/>
                <w:szCs w:val="18"/>
              </w:rPr>
              <w:t>Ghana</w:t>
            </w:r>
          </w:p>
        </w:tc>
        <w:tc>
          <w:tcPr>
            <w:tcW w:w="1182" w:type="dxa"/>
            <w:shd w:val="clear" w:color="auto" w:fill="auto"/>
            <w:vAlign w:val="center"/>
            <w:hideMark/>
          </w:tcPr>
          <w:p w14:paraId="34F12398"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21EF573C" w14:textId="77777777" w:rsidR="00FC752D" w:rsidRPr="00BC4AFE" w:rsidRDefault="00FC752D" w:rsidP="006211D7">
            <w:pPr>
              <w:widowControl w:val="0"/>
              <w:ind w:right="144"/>
              <w:jc w:val="right"/>
              <w:rPr>
                <w:sz w:val="18"/>
                <w:szCs w:val="18"/>
              </w:rPr>
            </w:pPr>
            <w:r w:rsidRPr="00BC4AFE">
              <w:rPr>
                <w:sz w:val="18"/>
                <w:szCs w:val="18"/>
              </w:rPr>
              <w:t>0.030</w:t>
            </w:r>
          </w:p>
        </w:tc>
        <w:tc>
          <w:tcPr>
            <w:tcW w:w="1182" w:type="dxa"/>
            <w:shd w:val="clear" w:color="auto" w:fill="auto"/>
            <w:noWrap/>
            <w:vAlign w:val="center"/>
            <w:hideMark/>
          </w:tcPr>
          <w:p w14:paraId="75F26A8A" w14:textId="77777777" w:rsidR="00FC752D" w:rsidRPr="00BC4AFE" w:rsidRDefault="00FC752D" w:rsidP="006211D7">
            <w:pPr>
              <w:widowControl w:val="0"/>
              <w:ind w:right="144"/>
              <w:jc w:val="right"/>
              <w:rPr>
                <w:sz w:val="18"/>
                <w:szCs w:val="18"/>
              </w:rPr>
            </w:pPr>
            <w:r w:rsidRPr="00BC4AFE">
              <w:rPr>
                <w:sz w:val="18"/>
                <w:szCs w:val="18"/>
              </w:rPr>
              <w:t>3,908</w:t>
            </w:r>
          </w:p>
        </w:tc>
        <w:tc>
          <w:tcPr>
            <w:tcW w:w="1182" w:type="dxa"/>
            <w:shd w:val="clear" w:color="auto" w:fill="auto"/>
            <w:noWrap/>
            <w:vAlign w:val="center"/>
            <w:hideMark/>
          </w:tcPr>
          <w:p w14:paraId="6FEE36DA" w14:textId="77777777" w:rsidR="00FC752D" w:rsidRPr="00BC4AFE" w:rsidRDefault="00FC752D" w:rsidP="006211D7">
            <w:pPr>
              <w:widowControl w:val="0"/>
              <w:ind w:right="144"/>
              <w:jc w:val="right"/>
              <w:rPr>
                <w:sz w:val="18"/>
                <w:szCs w:val="18"/>
              </w:rPr>
            </w:pPr>
            <w:r w:rsidRPr="00BC4AFE">
              <w:rPr>
                <w:sz w:val="18"/>
                <w:szCs w:val="18"/>
              </w:rPr>
              <w:t>4,287</w:t>
            </w:r>
          </w:p>
        </w:tc>
        <w:tc>
          <w:tcPr>
            <w:tcW w:w="1171" w:type="dxa"/>
            <w:shd w:val="clear" w:color="auto" w:fill="auto"/>
            <w:noWrap/>
            <w:vAlign w:val="center"/>
            <w:hideMark/>
          </w:tcPr>
          <w:p w14:paraId="20BB39D1" w14:textId="77777777" w:rsidR="00FC752D" w:rsidRPr="00BC4AFE" w:rsidRDefault="00FC752D" w:rsidP="006211D7">
            <w:pPr>
              <w:widowControl w:val="0"/>
              <w:ind w:right="144"/>
              <w:jc w:val="right"/>
              <w:rPr>
                <w:sz w:val="18"/>
                <w:szCs w:val="18"/>
              </w:rPr>
            </w:pPr>
            <w:r w:rsidRPr="00BC4AFE">
              <w:rPr>
                <w:sz w:val="18"/>
                <w:szCs w:val="18"/>
              </w:rPr>
              <w:t>8,195</w:t>
            </w:r>
          </w:p>
        </w:tc>
      </w:tr>
      <w:tr w:rsidR="00FC752D" w:rsidRPr="00BC4AFE" w14:paraId="6E6DCBEA" w14:textId="77777777" w:rsidTr="00A60395">
        <w:trPr>
          <w:cantSplit/>
          <w:trHeight w:val="245"/>
        </w:trPr>
        <w:tc>
          <w:tcPr>
            <w:tcW w:w="3605" w:type="dxa"/>
            <w:shd w:val="clear" w:color="auto" w:fill="auto"/>
            <w:vAlign w:val="center"/>
            <w:hideMark/>
          </w:tcPr>
          <w:p w14:paraId="75F85292" w14:textId="77777777" w:rsidR="00FC752D" w:rsidRPr="00BC4AFE" w:rsidRDefault="00FC752D" w:rsidP="006211D7">
            <w:pPr>
              <w:widowControl w:val="0"/>
              <w:ind w:left="144" w:hanging="144"/>
              <w:rPr>
                <w:sz w:val="18"/>
                <w:szCs w:val="18"/>
              </w:rPr>
            </w:pPr>
            <w:r w:rsidRPr="00BC4AFE">
              <w:rPr>
                <w:sz w:val="18"/>
                <w:szCs w:val="18"/>
              </w:rPr>
              <w:t>Greece</w:t>
            </w:r>
          </w:p>
        </w:tc>
        <w:tc>
          <w:tcPr>
            <w:tcW w:w="1182" w:type="dxa"/>
            <w:shd w:val="clear" w:color="auto" w:fill="auto"/>
            <w:vAlign w:val="center"/>
            <w:hideMark/>
          </w:tcPr>
          <w:p w14:paraId="52849A4F" w14:textId="77777777" w:rsidR="00FC752D" w:rsidRPr="00BC4AFE" w:rsidRDefault="00FC752D" w:rsidP="006211D7">
            <w:pPr>
              <w:widowControl w:val="0"/>
              <w:ind w:right="144"/>
              <w:jc w:val="right"/>
              <w:rPr>
                <w:sz w:val="18"/>
                <w:szCs w:val="18"/>
              </w:rPr>
            </w:pPr>
            <w:r w:rsidRPr="00BC4AFE">
              <w:rPr>
                <w:sz w:val="18"/>
                <w:szCs w:val="18"/>
              </w:rPr>
              <w:t>0.325</w:t>
            </w:r>
          </w:p>
        </w:tc>
        <w:tc>
          <w:tcPr>
            <w:tcW w:w="1182" w:type="dxa"/>
            <w:shd w:val="clear" w:color="auto" w:fill="auto"/>
            <w:noWrap/>
            <w:vAlign w:val="center"/>
            <w:hideMark/>
          </w:tcPr>
          <w:p w14:paraId="4420987F" w14:textId="77777777" w:rsidR="00FC752D" w:rsidRPr="00BC4AFE" w:rsidRDefault="00FC752D" w:rsidP="006211D7">
            <w:pPr>
              <w:widowControl w:val="0"/>
              <w:ind w:right="144"/>
              <w:jc w:val="right"/>
              <w:rPr>
                <w:sz w:val="18"/>
                <w:szCs w:val="18"/>
              </w:rPr>
            </w:pPr>
            <w:r w:rsidRPr="00BC4AFE">
              <w:rPr>
                <w:sz w:val="18"/>
                <w:szCs w:val="18"/>
              </w:rPr>
              <w:t>0.406</w:t>
            </w:r>
          </w:p>
        </w:tc>
        <w:tc>
          <w:tcPr>
            <w:tcW w:w="1182" w:type="dxa"/>
            <w:shd w:val="clear" w:color="auto" w:fill="auto"/>
            <w:noWrap/>
            <w:vAlign w:val="center"/>
            <w:hideMark/>
          </w:tcPr>
          <w:p w14:paraId="31872B23" w14:textId="77777777" w:rsidR="00FC752D" w:rsidRPr="00BC4AFE" w:rsidRDefault="00FC752D" w:rsidP="006211D7">
            <w:pPr>
              <w:widowControl w:val="0"/>
              <w:ind w:right="144"/>
              <w:jc w:val="right"/>
              <w:rPr>
                <w:sz w:val="18"/>
                <w:szCs w:val="18"/>
              </w:rPr>
            </w:pPr>
            <w:r w:rsidRPr="00BC4AFE">
              <w:rPr>
                <w:sz w:val="18"/>
                <w:szCs w:val="18"/>
              </w:rPr>
              <w:t>52,925</w:t>
            </w:r>
          </w:p>
        </w:tc>
        <w:tc>
          <w:tcPr>
            <w:tcW w:w="1182" w:type="dxa"/>
            <w:shd w:val="clear" w:color="auto" w:fill="auto"/>
            <w:noWrap/>
            <w:vAlign w:val="center"/>
            <w:hideMark/>
          </w:tcPr>
          <w:p w14:paraId="298E9FE1" w14:textId="77777777" w:rsidR="00FC752D" w:rsidRPr="00BC4AFE" w:rsidRDefault="00FC752D" w:rsidP="006211D7">
            <w:pPr>
              <w:widowControl w:val="0"/>
              <w:ind w:right="144"/>
              <w:jc w:val="right"/>
              <w:rPr>
                <w:sz w:val="18"/>
                <w:szCs w:val="18"/>
              </w:rPr>
            </w:pPr>
            <w:r w:rsidRPr="00BC4AFE">
              <w:rPr>
                <w:sz w:val="18"/>
                <w:szCs w:val="18"/>
              </w:rPr>
              <w:t>58,050</w:t>
            </w:r>
          </w:p>
        </w:tc>
        <w:tc>
          <w:tcPr>
            <w:tcW w:w="1171" w:type="dxa"/>
            <w:shd w:val="clear" w:color="auto" w:fill="auto"/>
            <w:noWrap/>
            <w:vAlign w:val="center"/>
            <w:hideMark/>
          </w:tcPr>
          <w:p w14:paraId="5F983D20" w14:textId="77777777" w:rsidR="00FC752D" w:rsidRPr="00BC4AFE" w:rsidRDefault="00FC752D" w:rsidP="006211D7">
            <w:pPr>
              <w:widowControl w:val="0"/>
              <w:ind w:right="144"/>
              <w:jc w:val="right"/>
              <w:rPr>
                <w:sz w:val="18"/>
                <w:szCs w:val="18"/>
              </w:rPr>
            </w:pPr>
            <w:r w:rsidRPr="00BC4AFE">
              <w:rPr>
                <w:sz w:val="18"/>
                <w:szCs w:val="18"/>
              </w:rPr>
              <w:t>110,976</w:t>
            </w:r>
          </w:p>
        </w:tc>
      </w:tr>
      <w:tr w:rsidR="00FC752D" w:rsidRPr="00BC4AFE" w14:paraId="1E13DEC9" w14:textId="77777777" w:rsidTr="00A60395">
        <w:trPr>
          <w:cantSplit/>
          <w:trHeight w:val="245"/>
        </w:trPr>
        <w:tc>
          <w:tcPr>
            <w:tcW w:w="3605" w:type="dxa"/>
            <w:shd w:val="clear" w:color="auto" w:fill="auto"/>
            <w:vAlign w:val="center"/>
            <w:hideMark/>
          </w:tcPr>
          <w:p w14:paraId="0534C14E" w14:textId="77777777" w:rsidR="00FC752D" w:rsidRPr="00BC4AFE" w:rsidRDefault="00FC752D" w:rsidP="006211D7">
            <w:pPr>
              <w:widowControl w:val="0"/>
              <w:ind w:left="144" w:hanging="144"/>
              <w:rPr>
                <w:sz w:val="18"/>
                <w:szCs w:val="18"/>
              </w:rPr>
            </w:pPr>
            <w:r w:rsidRPr="00BC4AFE">
              <w:rPr>
                <w:sz w:val="18"/>
                <w:szCs w:val="18"/>
              </w:rPr>
              <w:t>Grenada</w:t>
            </w:r>
          </w:p>
        </w:tc>
        <w:tc>
          <w:tcPr>
            <w:tcW w:w="1182" w:type="dxa"/>
            <w:shd w:val="clear" w:color="auto" w:fill="auto"/>
            <w:vAlign w:val="center"/>
            <w:hideMark/>
          </w:tcPr>
          <w:p w14:paraId="53E87306"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7919508"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470F244E"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AF09A5B"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6B5E5C9D"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54D6BB73" w14:textId="77777777" w:rsidTr="00A60395">
        <w:trPr>
          <w:cantSplit/>
          <w:trHeight w:val="245"/>
        </w:trPr>
        <w:tc>
          <w:tcPr>
            <w:tcW w:w="3605" w:type="dxa"/>
            <w:shd w:val="clear" w:color="auto" w:fill="auto"/>
            <w:vAlign w:val="center"/>
            <w:hideMark/>
          </w:tcPr>
          <w:p w14:paraId="7B568049" w14:textId="77777777" w:rsidR="00FC752D" w:rsidRPr="00BC4AFE" w:rsidRDefault="00FC752D" w:rsidP="006211D7">
            <w:pPr>
              <w:widowControl w:val="0"/>
              <w:ind w:left="144" w:hanging="144"/>
              <w:rPr>
                <w:sz w:val="18"/>
                <w:szCs w:val="18"/>
              </w:rPr>
            </w:pPr>
            <w:r w:rsidRPr="00BC4AFE">
              <w:rPr>
                <w:sz w:val="18"/>
                <w:szCs w:val="18"/>
              </w:rPr>
              <w:t>Guatemala</w:t>
            </w:r>
          </w:p>
        </w:tc>
        <w:tc>
          <w:tcPr>
            <w:tcW w:w="1182" w:type="dxa"/>
            <w:shd w:val="clear" w:color="auto" w:fill="auto"/>
            <w:vAlign w:val="center"/>
            <w:hideMark/>
          </w:tcPr>
          <w:p w14:paraId="4084645C" w14:textId="77777777" w:rsidR="00FC752D" w:rsidRPr="00BC4AFE" w:rsidRDefault="00FC752D" w:rsidP="006211D7">
            <w:pPr>
              <w:widowControl w:val="0"/>
              <w:ind w:right="144"/>
              <w:jc w:val="right"/>
              <w:rPr>
                <w:sz w:val="18"/>
                <w:szCs w:val="18"/>
              </w:rPr>
            </w:pPr>
            <w:r w:rsidRPr="00BC4AFE">
              <w:rPr>
                <w:sz w:val="18"/>
                <w:szCs w:val="18"/>
              </w:rPr>
              <w:t>0.041</w:t>
            </w:r>
          </w:p>
        </w:tc>
        <w:tc>
          <w:tcPr>
            <w:tcW w:w="1182" w:type="dxa"/>
            <w:shd w:val="clear" w:color="auto" w:fill="auto"/>
            <w:noWrap/>
            <w:vAlign w:val="center"/>
            <w:hideMark/>
          </w:tcPr>
          <w:p w14:paraId="320AF05E" w14:textId="77777777" w:rsidR="00FC752D" w:rsidRPr="00BC4AFE" w:rsidRDefault="00FC752D" w:rsidP="006211D7">
            <w:pPr>
              <w:widowControl w:val="0"/>
              <w:ind w:right="144"/>
              <w:jc w:val="right"/>
              <w:rPr>
                <w:sz w:val="18"/>
                <w:szCs w:val="18"/>
              </w:rPr>
            </w:pPr>
            <w:r w:rsidRPr="00BC4AFE">
              <w:rPr>
                <w:sz w:val="18"/>
                <w:szCs w:val="18"/>
              </w:rPr>
              <w:t>0.051</w:t>
            </w:r>
          </w:p>
        </w:tc>
        <w:tc>
          <w:tcPr>
            <w:tcW w:w="1182" w:type="dxa"/>
            <w:shd w:val="clear" w:color="auto" w:fill="auto"/>
            <w:noWrap/>
            <w:vAlign w:val="center"/>
            <w:hideMark/>
          </w:tcPr>
          <w:p w14:paraId="68B422E8" w14:textId="77777777" w:rsidR="00FC752D" w:rsidRPr="00BC4AFE" w:rsidRDefault="00FC752D" w:rsidP="006211D7">
            <w:pPr>
              <w:widowControl w:val="0"/>
              <w:ind w:right="144"/>
              <w:jc w:val="right"/>
              <w:rPr>
                <w:sz w:val="18"/>
                <w:szCs w:val="18"/>
              </w:rPr>
            </w:pPr>
            <w:r w:rsidRPr="00BC4AFE">
              <w:rPr>
                <w:sz w:val="18"/>
                <w:szCs w:val="18"/>
              </w:rPr>
              <w:t>6,677</w:t>
            </w:r>
          </w:p>
        </w:tc>
        <w:tc>
          <w:tcPr>
            <w:tcW w:w="1182" w:type="dxa"/>
            <w:shd w:val="clear" w:color="auto" w:fill="auto"/>
            <w:noWrap/>
            <w:vAlign w:val="center"/>
            <w:hideMark/>
          </w:tcPr>
          <w:p w14:paraId="61AC1989" w14:textId="77777777" w:rsidR="00FC752D" w:rsidRPr="00BC4AFE" w:rsidRDefault="00FC752D" w:rsidP="006211D7">
            <w:pPr>
              <w:widowControl w:val="0"/>
              <w:ind w:right="144"/>
              <w:jc w:val="right"/>
              <w:rPr>
                <w:sz w:val="18"/>
                <w:szCs w:val="18"/>
              </w:rPr>
            </w:pPr>
            <w:r w:rsidRPr="00BC4AFE">
              <w:rPr>
                <w:sz w:val="18"/>
                <w:szCs w:val="18"/>
              </w:rPr>
              <w:t>7,323</w:t>
            </w:r>
          </w:p>
        </w:tc>
        <w:tc>
          <w:tcPr>
            <w:tcW w:w="1171" w:type="dxa"/>
            <w:shd w:val="clear" w:color="auto" w:fill="auto"/>
            <w:noWrap/>
            <w:vAlign w:val="center"/>
            <w:hideMark/>
          </w:tcPr>
          <w:p w14:paraId="225C9542" w14:textId="77777777" w:rsidR="00FC752D" w:rsidRPr="00BC4AFE" w:rsidRDefault="00FC752D" w:rsidP="006211D7">
            <w:pPr>
              <w:widowControl w:val="0"/>
              <w:ind w:right="144"/>
              <w:jc w:val="right"/>
              <w:rPr>
                <w:sz w:val="18"/>
                <w:szCs w:val="18"/>
              </w:rPr>
            </w:pPr>
            <w:r w:rsidRPr="00BC4AFE">
              <w:rPr>
                <w:sz w:val="18"/>
                <w:szCs w:val="18"/>
              </w:rPr>
              <w:t>14,000</w:t>
            </w:r>
          </w:p>
        </w:tc>
      </w:tr>
      <w:tr w:rsidR="00FC752D" w:rsidRPr="00BC4AFE" w14:paraId="1AF1DF97" w14:textId="77777777" w:rsidTr="00A60395">
        <w:trPr>
          <w:cantSplit/>
          <w:trHeight w:val="245"/>
        </w:trPr>
        <w:tc>
          <w:tcPr>
            <w:tcW w:w="3605" w:type="dxa"/>
            <w:shd w:val="clear" w:color="auto" w:fill="auto"/>
            <w:vAlign w:val="center"/>
            <w:hideMark/>
          </w:tcPr>
          <w:p w14:paraId="4CE206A4" w14:textId="77777777" w:rsidR="00FC752D" w:rsidRPr="00BC4AFE" w:rsidRDefault="00FC752D" w:rsidP="006211D7">
            <w:pPr>
              <w:widowControl w:val="0"/>
              <w:ind w:left="144" w:hanging="144"/>
              <w:rPr>
                <w:sz w:val="18"/>
                <w:szCs w:val="18"/>
              </w:rPr>
            </w:pPr>
            <w:r w:rsidRPr="00BC4AFE">
              <w:rPr>
                <w:sz w:val="18"/>
                <w:szCs w:val="18"/>
              </w:rPr>
              <w:t>Guinea</w:t>
            </w:r>
          </w:p>
        </w:tc>
        <w:tc>
          <w:tcPr>
            <w:tcW w:w="1182" w:type="dxa"/>
            <w:shd w:val="clear" w:color="auto" w:fill="auto"/>
            <w:vAlign w:val="center"/>
            <w:hideMark/>
          </w:tcPr>
          <w:p w14:paraId="16258F95"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3A01FDFA"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79793828"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shd w:val="clear" w:color="auto" w:fill="auto"/>
            <w:noWrap/>
            <w:vAlign w:val="center"/>
            <w:hideMark/>
          </w:tcPr>
          <w:p w14:paraId="3A6C5CA7"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shd w:val="clear" w:color="auto" w:fill="auto"/>
            <w:noWrap/>
            <w:vAlign w:val="center"/>
            <w:hideMark/>
          </w:tcPr>
          <w:p w14:paraId="6A2B51E6"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6D2633A0" w14:textId="77777777" w:rsidTr="00A60395">
        <w:trPr>
          <w:cantSplit/>
          <w:trHeight w:val="245"/>
        </w:trPr>
        <w:tc>
          <w:tcPr>
            <w:tcW w:w="3605" w:type="dxa"/>
            <w:shd w:val="clear" w:color="auto" w:fill="auto"/>
            <w:vAlign w:val="center"/>
            <w:hideMark/>
          </w:tcPr>
          <w:p w14:paraId="4C1B6112" w14:textId="77777777" w:rsidR="00FC752D" w:rsidRPr="00BC4AFE" w:rsidRDefault="00FC752D" w:rsidP="006211D7">
            <w:pPr>
              <w:widowControl w:val="0"/>
              <w:ind w:left="144" w:hanging="144"/>
              <w:rPr>
                <w:sz w:val="18"/>
                <w:szCs w:val="18"/>
              </w:rPr>
            </w:pPr>
            <w:r w:rsidRPr="00BC4AFE">
              <w:rPr>
                <w:sz w:val="18"/>
                <w:szCs w:val="18"/>
              </w:rPr>
              <w:t>Guinea-Bissau</w:t>
            </w:r>
          </w:p>
        </w:tc>
        <w:tc>
          <w:tcPr>
            <w:tcW w:w="1182" w:type="dxa"/>
            <w:shd w:val="clear" w:color="auto" w:fill="auto"/>
            <w:vAlign w:val="center"/>
            <w:hideMark/>
          </w:tcPr>
          <w:p w14:paraId="5167D8BD"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7F2A567"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2C0129E"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D972C10"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B823489"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7CD71A9E" w14:textId="77777777" w:rsidTr="00A60395">
        <w:trPr>
          <w:cantSplit/>
          <w:trHeight w:val="245"/>
        </w:trPr>
        <w:tc>
          <w:tcPr>
            <w:tcW w:w="3605" w:type="dxa"/>
            <w:shd w:val="clear" w:color="auto" w:fill="auto"/>
            <w:vAlign w:val="center"/>
            <w:hideMark/>
          </w:tcPr>
          <w:p w14:paraId="6D976261" w14:textId="77777777" w:rsidR="00FC752D" w:rsidRPr="00BC4AFE" w:rsidRDefault="00FC752D" w:rsidP="006211D7">
            <w:pPr>
              <w:widowControl w:val="0"/>
              <w:ind w:left="144" w:hanging="144"/>
              <w:rPr>
                <w:sz w:val="18"/>
                <w:szCs w:val="18"/>
              </w:rPr>
            </w:pPr>
            <w:r w:rsidRPr="00BC4AFE">
              <w:rPr>
                <w:sz w:val="18"/>
                <w:szCs w:val="18"/>
              </w:rPr>
              <w:t>Guyana</w:t>
            </w:r>
          </w:p>
        </w:tc>
        <w:tc>
          <w:tcPr>
            <w:tcW w:w="1182" w:type="dxa"/>
            <w:shd w:val="clear" w:color="auto" w:fill="auto"/>
            <w:vAlign w:val="center"/>
            <w:hideMark/>
          </w:tcPr>
          <w:p w14:paraId="63A61ABF"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765D06CC"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69DAB226"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05F14755"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144A2E18"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2236FE71" w14:textId="77777777" w:rsidTr="00A60395">
        <w:trPr>
          <w:cantSplit/>
          <w:trHeight w:val="245"/>
        </w:trPr>
        <w:tc>
          <w:tcPr>
            <w:tcW w:w="3605" w:type="dxa"/>
            <w:shd w:val="clear" w:color="auto" w:fill="auto"/>
            <w:vAlign w:val="center"/>
            <w:hideMark/>
          </w:tcPr>
          <w:p w14:paraId="63251FAD" w14:textId="77777777" w:rsidR="00FC752D" w:rsidRPr="00BC4AFE" w:rsidRDefault="00FC752D" w:rsidP="006211D7">
            <w:pPr>
              <w:widowControl w:val="0"/>
              <w:ind w:left="144" w:hanging="144"/>
              <w:rPr>
                <w:sz w:val="18"/>
                <w:szCs w:val="18"/>
              </w:rPr>
            </w:pPr>
            <w:r w:rsidRPr="00BC4AFE">
              <w:rPr>
                <w:sz w:val="18"/>
                <w:szCs w:val="18"/>
              </w:rPr>
              <w:t>Haiti</w:t>
            </w:r>
          </w:p>
        </w:tc>
        <w:tc>
          <w:tcPr>
            <w:tcW w:w="1182" w:type="dxa"/>
            <w:shd w:val="clear" w:color="auto" w:fill="auto"/>
            <w:vAlign w:val="center"/>
            <w:hideMark/>
          </w:tcPr>
          <w:p w14:paraId="223D087D"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1A7B78AE"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0DD179D0" w14:textId="77777777" w:rsidR="00FC752D" w:rsidRPr="00BC4AFE" w:rsidRDefault="00FC752D" w:rsidP="006211D7">
            <w:pPr>
              <w:widowControl w:val="0"/>
              <w:ind w:right="144"/>
              <w:jc w:val="right"/>
              <w:rPr>
                <w:sz w:val="18"/>
                <w:szCs w:val="18"/>
              </w:rPr>
            </w:pPr>
            <w:r w:rsidRPr="00BC4AFE">
              <w:rPr>
                <w:sz w:val="18"/>
                <w:szCs w:val="18"/>
              </w:rPr>
              <w:t>977</w:t>
            </w:r>
          </w:p>
        </w:tc>
        <w:tc>
          <w:tcPr>
            <w:tcW w:w="1182" w:type="dxa"/>
            <w:shd w:val="clear" w:color="auto" w:fill="auto"/>
            <w:noWrap/>
            <w:vAlign w:val="center"/>
            <w:hideMark/>
          </w:tcPr>
          <w:p w14:paraId="383AE8CB" w14:textId="77777777" w:rsidR="00FC752D" w:rsidRPr="00BC4AFE" w:rsidRDefault="00FC752D" w:rsidP="006211D7">
            <w:pPr>
              <w:widowControl w:val="0"/>
              <w:ind w:right="144"/>
              <w:jc w:val="right"/>
              <w:rPr>
                <w:sz w:val="18"/>
                <w:szCs w:val="18"/>
              </w:rPr>
            </w:pPr>
            <w:r w:rsidRPr="00BC4AFE">
              <w:rPr>
                <w:sz w:val="18"/>
                <w:szCs w:val="18"/>
              </w:rPr>
              <w:t>1,072</w:t>
            </w:r>
          </w:p>
        </w:tc>
        <w:tc>
          <w:tcPr>
            <w:tcW w:w="1171" w:type="dxa"/>
            <w:shd w:val="clear" w:color="auto" w:fill="auto"/>
            <w:noWrap/>
            <w:vAlign w:val="center"/>
            <w:hideMark/>
          </w:tcPr>
          <w:p w14:paraId="4701917B" w14:textId="77777777" w:rsidR="00FC752D" w:rsidRPr="00BC4AFE" w:rsidRDefault="00FC752D" w:rsidP="006211D7">
            <w:pPr>
              <w:widowControl w:val="0"/>
              <w:ind w:right="144"/>
              <w:jc w:val="right"/>
              <w:rPr>
                <w:sz w:val="18"/>
                <w:szCs w:val="18"/>
              </w:rPr>
            </w:pPr>
            <w:r w:rsidRPr="00BC4AFE">
              <w:rPr>
                <w:sz w:val="18"/>
                <w:szCs w:val="18"/>
              </w:rPr>
              <w:t>2,049</w:t>
            </w:r>
          </w:p>
        </w:tc>
      </w:tr>
      <w:tr w:rsidR="00FC752D" w:rsidRPr="00BC4AFE" w14:paraId="3B800D3F" w14:textId="77777777" w:rsidTr="00A60395">
        <w:trPr>
          <w:cantSplit/>
          <w:trHeight w:val="245"/>
        </w:trPr>
        <w:tc>
          <w:tcPr>
            <w:tcW w:w="3605" w:type="dxa"/>
            <w:shd w:val="clear" w:color="auto" w:fill="auto"/>
            <w:vAlign w:val="center"/>
            <w:hideMark/>
          </w:tcPr>
          <w:p w14:paraId="32CBF7F6" w14:textId="77777777" w:rsidR="00FC752D" w:rsidRPr="00BC4AFE" w:rsidRDefault="00FC752D" w:rsidP="006211D7">
            <w:pPr>
              <w:widowControl w:val="0"/>
              <w:ind w:left="144" w:hanging="144"/>
              <w:rPr>
                <w:sz w:val="18"/>
                <w:szCs w:val="18"/>
              </w:rPr>
            </w:pPr>
            <w:r w:rsidRPr="00BC4AFE">
              <w:rPr>
                <w:sz w:val="18"/>
                <w:szCs w:val="18"/>
              </w:rPr>
              <w:t>Honduras</w:t>
            </w:r>
          </w:p>
        </w:tc>
        <w:tc>
          <w:tcPr>
            <w:tcW w:w="1182" w:type="dxa"/>
            <w:shd w:val="clear" w:color="auto" w:fill="auto"/>
            <w:vAlign w:val="center"/>
            <w:hideMark/>
          </w:tcPr>
          <w:p w14:paraId="55F47A13"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1EFBFF59" w14:textId="77777777" w:rsidR="00FC752D" w:rsidRPr="00BC4AFE" w:rsidRDefault="00FC752D" w:rsidP="006211D7">
            <w:pPr>
              <w:widowControl w:val="0"/>
              <w:ind w:right="144"/>
              <w:jc w:val="right"/>
              <w:rPr>
                <w:sz w:val="18"/>
                <w:szCs w:val="18"/>
              </w:rPr>
            </w:pPr>
            <w:r w:rsidRPr="00BC4AFE">
              <w:rPr>
                <w:sz w:val="18"/>
                <w:szCs w:val="18"/>
              </w:rPr>
              <w:t>0.011</w:t>
            </w:r>
          </w:p>
        </w:tc>
        <w:tc>
          <w:tcPr>
            <w:tcW w:w="1182" w:type="dxa"/>
            <w:shd w:val="clear" w:color="auto" w:fill="auto"/>
            <w:noWrap/>
            <w:vAlign w:val="center"/>
            <w:hideMark/>
          </w:tcPr>
          <w:p w14:paraId="447FC802" w14:textId="77777777" w:rsidR="00FC752D" w:rsidRPr="00BC4AFE" w:rsidRDefault="00FC752D" w:rsidP="006211D7">
            <w:pPr>
              <w:widowControl w:val="0"/>
              <w:ind w:right="144"/>
              <w:jc w:val="right"/>
              <w:rPr>
                <w:sz w:val="18"/>
                <w:szCs w:val="18"/>
              </w:rPr>
            </w:pPr>
            <w:r w:rsidRPr="00BC4AFE">
              <w:rPr>
                <w:sz w:val="18"/>
                <w:szCs w:val="18"/>
              </w:rPr>
              <w:t>1,466</w:t>
            </w:r>
          </w:p>
        </w:tc>
        <w:tc>
          <w:tcPr>
            <w:tcW w:w="1182" w:type="dxa"/>
            <w:shd w:val="clear" w:color="auto" w:fill="auto"/>
            <w:noWrap/>
            <w:vAlign w:val="center"/>
            <w:hideMark/>
          </w:tcPr>
          <w:p w14:paraId="7528C3EC" w14:textId="77777777" w:rsidR="00FC752D" w:rsidRPr="00BC4AFE" w:rsidRDefault="00FC752D" w:rsidP="006211D7">
            <w:pPr>
              <w:widowControl w:val="0"/>
              <w:ind w:right="144"/>
              <w:jc w:val="right"/>
              <w:rPr>
                <w:sz w:val="18"/>
                <w:szCs w:val="18"/>
              </w:rPr>
            </w:pPr>
            <w:r w:rsidRPr="00BC4AFE">
              <w:rPr>
                <w:sz w:val="18"/>
                <w:szCs w:val="18"/>
              </w:rPr>
              <w:t>1,608</w:t>
            </w:r>
          </w:p>
        </w:tc>
        <w:tc>
          <w:tcPr>
            <w:tcW w:w="1171" w:type="dxa"/>
            <w:shd w:val="clear" w:color="auto" w:fill="auto"/>
            <w:noWrap/>
            <w:vAlign w:val="center"/>
            <w:hideMark/>
          </w:tcPr>
          <w:p w14:paraId="37F134B6" w14:textId="77777777" w:rsidR="00FC752D" w:rsidRPr="00BC4AFE" w:rsidRDefault="00FC752D" w:rsidP="006211D7">
            <w:pPr>
              <w:widowControl w:val="0"/>
              <w:ind w:right="144"/>
              <w:jc w:val="right"/>
              <w:rPr>
                <w:sz w:val="18"/>
                <w:szCs w:val="18"/>
              </w:rPr>
            </w:pPr>
            <w:r w:rsidRPr="00BC4AFE">
              <w:rPr>
                <w:sz w:val="18"/>
                <w:szCs w:val="18"/>
              </w:rPr>
              <w:t>3,073</w:t>
            </w:r>
          </w:p>
        </w:tc>
      </w:tr>
      <w:tr w:rsidR="00FC752D" w:rsidRPr="00BC4AFE" w14:paraId="4FC0DE0B" w14:textId="77777777" w:rsidTr="00A60395">
        <w:trPr>
          <w:cantSplit/>
          <w:trHeight w:val="245"/>
        </w:trPr>
        <w:tc>
          <w:tcPr>
            <w:tcW w:w="3605" w:type="dxa"/>
            <w:shd w:val="clear" w:color="auto" w:fill="auto"/>
            <w:vAlign w:val="center"/>
            <w:hideMark/>
          </w:tcPr>
          <w:p w14:paraId="3A890FA4" w14:textId="77777777" w:rsidR="00FC752D" w:rsidRPr="00BC4AFE" w:rsidRDefault="00FC752D" w:rsidP="006211D7">
            <w:pPr>
              <w:widowControl w:val="0"/>
              <w:ind w:left="144" w:hanging="144"/>
              <w:rPr>
                <w:sz w:val="18"/>
                <w:szCs w:val="18"/>
              </w:rPr>
            </w:pPr>
            <w:r w:rsidRPr="00BC4AFE">
              <w:rPr>
                <w:sz w:val="18"/>
                <w:szCs w:val="18"/>
              </w:rPr>
              <w:t>Hungary</w:t>
            </w:r>
          </w:p>
        </w:tc>
        <w:tc>
          <w:tcPr>
            <w:tcW w:w="1182" w:type="dxa"/>
            <w:shd w:val="clear" w:color="auto" w:fill="auto"/>
            <w:vAlign w:val="center"/>
            <w:hideMark/>
          </w:tcPr>
          <w:p w14:paraId="3729D3AE" w14:textId="77777777" w:rsidR="00FC752D" w:rsidRPr="00BC4AFE" w:rsidRDefault="00FC752D" w:rsidP="006211D7">
            <w:pPr>
              <w:widowControl w:val="0"/>
              <w:ind w:right="144"/>
              <w:jc w:val="right"/>
              <w:rPr>
                <w:sz w:val="18"/>
                <w:szCs w:val="18"/>
              </w:rPr>
            </w:pPr>
            <w:r w:rsidRPr="00BC4AFE">
              <w:rPr>
                <w:sz w:val="18"/>
                <w:szCs w:val="18"/>
              </w:rPr>
              <w:t>0.228</w:t>
            </w:r>
          </w:p>
        </w:tc>
        <w:tc>
          <w:tcPr>
            <w:tcW w:w="1182" w:type="dxa"/>
            <w:shd w:val="clear" w:color="auto" w:fill="auto"/>
            <w:noWrap/>
            <w:vAlign w:val="center"/>
            <w:hideMark/>
          </w:tcPr>
          <w:p w14:paraId="5AAA9087" w14:textId="77777777" w:rsidR="00FC752D" w:rsidRPr="00BC4AFE" w:rsidRDefault="00FC752D" w:rsidP="006211D7">
            <w:pPr>
              <w:widowControl w:val="0"/>
              <w:ind w:right="144"/>
              <w:jc w:val="right"/>
              <w:rPr>
                <w:sz w:val="18"/>
                <w:szCs w:val="18"/>
              </w:rPr>
            </w:pPr>
            <w:r w:rsidRPr="00BC4AFE">
              <w:rPr>
                <w:sz w:val="18"/>
                <w:szCs w:val="18"/>
              </w:rPr>
              <w:t>0.285</w:t>
            </w:r>
          </w:p>
        </w:tc>
        <w:tc>
          <w:tcPr>
            <w:tcW w:w="1182" w:type="dxa"/>
            <w:shd w:val="clear" w:color="auto" w:fill="auto"/>
            <w:noWrap/>
            <w:vAlign w:val="center"/>
            <w:hideMark/>
          </w:tcPr>
          <w:p w14:paraId="5C776E79" w14:textId="77777777" w:rsidR="00FC752D" w:rsidRPr="00BC4AFE" w:rsidRDefault="00FC752D" w:rsidP="006211D7">
            <w:pPr>
              <w:widowControl w:val="0"/>
              <w:ind w:right="144"/>
              <w:jc w:val="right"/>
              <w:rPr>
                <w:sz w:val="18"/>
                <w:szCs w:val="18"/>
              </w:rPr>
            </w:pPr>
            <w:r w:rsidRPr="00BC4AFE">
              <w:rPr>
                <w:sz w:val="18"/>
                <w:szCs w:val="18"/>
              </w:rPr>
              <w:t>37,129</w:t>
            </w:r>
          </w:p>
        </w:tc>
        <w:tc>
          <w:tcPr>
            <w:tcW w:w="1182" w:type="dxa"/>
            <w:shd w:val="clear" w:color="auto" w:fill="auto"/>
            <w:noWrap/>
            <w:vAlign w:val="center"/>
            <w:hideMark/>
          </w:tcPr>
          <w:p w14:paraId="6CD5F338" w14:textId="77777777" w:rsidR="00FC752D" w:rsidRPr="00BC4AFE" w:rsidRDefault="00FC752D" w:rsidP="006211D7">
            <w:pPr>
              <w:widowControl w:val="0"/>
              <w:ind w:right="144"/>
              <w:jc w:val="right"/>
              <w:rPr>
                <w:sz w:val="18"/>
                <w:szCs w:val="18"/>
              </w:rPr>
            </w:pPr>
            <w:r w:rsidRPr="00BC4AFE">
              <w:rPr>
                <w:sz w:val="18"/>
                <w:szCs w:val="18"/>
              </w:rPr>
              <w:t>40,725</w:t>
            </w:r>
          </w:p>
        </w:tc>
        <w:tc>
          <w:tcPr>
            <w:tcW w:w="1171" w:type="dxa"/>
            <w:shd w:val="clear" w:color="auto" w:fill="auto"/>
            <w:noWrap/>
            <w:vAlign w:val="center"/>
            <w:hideMark/>
          </w:tcPr>
          <w:p w14:paraId="66E08E52" w14:textId="77777777" w:rsidR="00FC752D" w:rsidRPr="00BC4AFE" w:rsidRDefault="00FC752D" w:rsidP="006211D7">
            <w:pPr>
              <w:widowControl w:val="0"/>
              <w:ind w:right="144"/>
              <w:jc w:val="right"/>
              <w:rPr>
                <w:sz w:val="18"/>
                <w:szCs w:val="18"/>
              </w:rPr>
            </w:pPr>
            <w:r w:rsidRPr="00BC4AFE">
              <w:rPr>
                <w:sz w:val="18"/>
                <w:szCs w:val="18"/>
              </w:rPr>
              <w:t>77,854</w:t>
            </w:r>
          </w:p>
        </w:tc>
      </w:tr>
      <w:tr w:rsidR="00FC752D" w:rsidRPr="00BC4AFE" w14:paraId="774A5F3D" w14:textId="77777777" w:rsidTr="00A60395">
        <w:trPr>
          <w:cantSplit/>
          <w:trHeight w:val="245"/>
        </w:trPr>
        <w:tc>
          <w:tcPr>
            <w:tcW w:w="3605" w:type="dxa"/>
            <w:shd w:val="clear" w:color="auto" w:fill="auto"/>
            <w:vAlign w:val="center"/>
            <w:hideMark/>
          </w:tcPr>
          <w:p w14:paraId="3513284F" w14:textId="77777777" w:rsidR="00FC752D" w:rsidRPr="00BC4AFE" w:rsidRDefault="00FC752D" w:rsidP="006211D7">
            <w:pPr>
              <w:widowControl w:val="0"/>
              <w:ind w:left="144" w:hanging="144"/>
              <w:rPr>
                <w:sz w:val="18"/>
                <w:szCs w:val="18"/>
              </w:rPr>
            </w:pPr>
            <w:r w:rsidRPr="00BC4AFE">
              <w:rPr>
                <w:sz w:val="18"/>
                <w:szCs w:val="18"/>
              </w:rPr>
              <w:t>Iceland</w:t>
            </w:r>
          </w:p>
        </w:tc>
        <w:tc>
          <w:tcPr>
            <w:tcW w:w="1182" w:type="dxa"/>
            <w:shd w:val="clear" w:color="auto" w:fill="auto"/>
            <w:vAlign w:val="center"/>
            <w:hideMark/>
          </w:tcPr>
          <w:p w14:paraId="3AFE3026" w14:textId="77777777" w:rsidR="00FC752D" w:rsidRPr="00BC4AFE" w:rsidRDefault="00FC752D" w:rsidP="006211D7">
            <w:pPr>
              <w:widowControl w:val="0"/>
              <w:ind w:right="144"/>
              <w:jc w:val="right"/>
              <w:rPr>
                <w:sz w:val="18"/>
                <w:szCs w:val="18"/>
              </w:rPr>
            </w:pPr>
            <w:r w:rsidRPr="00BC4AFE">
              <w:rPr>
                <w:sz w:val="18"/>
                <w:szCs w:val="18"/>
              </w:rPr>
              <w:t>0.036</w:t>
            </w:r>
          </w:p>
        </w:tc>
        <w:tc>
          <w:tcPr>
            <w:tcW w:w="1182" w:type="dxa"/>
            <w:shd w:val="clear" w:color="auto" w:fill="auto"/>
            <w:noWrap/>
            <w:vAlign w:val="center"/>
            <w:hideMark/>
          </w:tcPr>
          <w:p w14:paraId="4489E64A" w14:textId="77777777" w:rsidR="00FC752D" w:rsidRPr="00BC4AFE" w:rsidRDefault="00FC752D" w:rsidP="006211D7">
            <w:pPr>
              <w:widowControl w:val="0"/>
              <w:ind w:right="144"/>
              <w:jc w:val="right"/>
              <w:rPr>
                <w:sz w:val="18"/>
                <w:szCs w:val="18"/>
              </w:rPr>
            </w:pPr>
            <w:r w:rsidRPr="00BC4AFE">
              <w:rPr>
                <w:sz w:val="18"/>
                <w:szCs w:val="18"/>
              </w:rPr>
              <w:t>0.045</w:t>
            </w:r>
          </w:p>
        </w:tc>
        <w:tc>
          <w:tcPr>
            <w:tcW w:w="1182" w:type="dxa"/>
            <w:shd w:val="clear" w:color="auto" w:fill="auto"/>
            <w:noWrap/>
            <w:vAlign w:val="center"/>
            <w:hideMark/>
          </w:tcPr>
          <w:p w14:paraId="79547F78" w14:textId="77777777" w:rsidR="00FC752D" w:rsidRPr="00BC4AFE" w:rsidRDefault="00FC752D" w:rsidP="006211D7">
            <w:pPr>
              <w:widowControl w:val="0"/>
              <w:ind w:right="144"/>
              <w:jc w:val="right"/>
              <w:rPr>
                <w:sz w:val="18"/>
                <w:szCs w:val="18"/>
              </w:rPr>
            </w:pPr>
            <w:r w:rsidRPr="00BC4AFE">
              <w:rPr>
                <w:sz w:val="18"/>
                <w:szCs w:val="18"/>
              </w:rPr>
              <w:t>5,862</w:t>
            </w:r>
          </w:p>
        </w:tc>
        <w:tc>
          <w:tcPr>
            <w:tcW w:w="1182" w:type="dxa"/>
            <w:shd w:val="clear" w:color="auto" w:fill="auto"/>
            <w:noWrap/>
            <w:vAlign w:val="center"/>
            <w:hideMark/>
          </w:tcPr>
          <w:p w14:paraId="39AB0F96" w14:textId="77777777" w:rsidR="00FC752D" w:rsidRPr="00BC4AFE" w:rsidRDefault="00FC752D" w:rsidP="006211D7">
            <w:pPr>
              <w:widowControl w:val="0"/>
              <w:ind w:right="144"/>
              <w:jc w:val="right"/>
              <w:rPr>
                <w:sz w:val="18"/>
                <w:szCs w:val="18"/>
              </w:rPr>
            </w:pPr>
            <w:r w:rsidRPr="00BC4AFE">
              <w:rPr>
                <w:sz w:val="18"/>
                <w:szCs w:val="18"/>
              </w:rPr>
              <w:t>6,430</w:t>
            </w:r>
          </w:p>
        </w:tc>
        <w:tc>
          <w:tcPr>
            <w:tcW w:w="1171" w:type="dxa"/>
            <w:shd w:val="clear" w:color="auto" w:fill="auto"/>
            <w:noWrap/>
            <w:vAlign w:val="center"/>
            <w:hideMark/>
          </w:tcPr>
          <w:p w14:paraId="7281C408" w14:textId="77777777" w:rsidR="00FC752D" w:rsidRPr="00BC4AFE" w:rsidRDefault="00FC752D" w:rsidP="006211D7">
            <w:pPr>
              <w:widowControl w:val="0"/>
              <w:ind w:right="144"/>
              <w:jc w:val="right"/>
              <w:rPr>
                <w:sz w:val="18"/>
                <w:szCs w:val="18"/>
              </w:rPr>
            </w:pPr>
            <w:r w:rsidRPr="00BC4AFE">
              <w:rPr>
                <w:sz w:val="18"/>
                <w:szCs w:val="18"/>
              </w:rPr>
              <w:t>12,293</w:t>
            </w:r>
          </w:p>
        </w:tc>
      </w:tr>
      <w:tr w:rsidR="00FC752D" w:rsidRPr="00BC4AFE" w14:paraId="1E9EF45D" w14:textId="77777777" w:rsidTr="00A60395">
        <w:trPr>
          <w:cantSplit/>
          <w:trHeight w:val="245"/>
        </w:trPr>
        <w:tc>
          <w:tcPr>
            <w:tcW w:w="3605" w:type="dxa"/>
            <w:shd w:val="clear" w:color="auto" w:fill="auto"/>
            <w:vAlign w:val="center"/>
            <w:hideMark/>
          </w:tcPr>
          <w:p w14:paraId="7B349C92" w14:textId="77777777" w:rsidR="00FC752D" w:rsidRPr="00BC4AFE" w:rsidRDefault="00FC752D" w:rsidP="006211D7">
            <w:pPr>
              <w:widowControl w:val="0"/>
              <w:ind w:left="144" w:hanging="144"/>
              <w:rPr>
                <w:sz w:val="18"/>
                <w:szCs w:val="18"/>
              </w:rPr>
            </w:pPr>
            <w:r w:rsidRPr="00BC4AFE">
              <w:rPr>
                <w:sz w:val="18"/>
                <w:szCs w:val="18"/>
              </w:rPr>
              <w:t>India</w:t>
            </w:r>
          </w:p>
        </w:tc>
        <w:tc>
          <w:tcPr>
            <w:tcW w:w="1182" w:type="dxa"/>
            <w:shd w:val="clear" w:color="auto" w:fill="auto"/>
            <w:vAlign w:val="center"/>
            <w:hideMark/>
          </w:tcPr>
          <w:p w14:paraId="2C677F28" w14:textId="77777777" w:rsidR="00FC752D" w:rsidRPr="00BC4AFE" w:rsidRDefault="00FC752D" w:rsidP="006211D7">
            <w:pPr>
              <w:widowControl w:val="0"/>
              <w:ind w:right="144"/>
              <w:jc w:val="right"/>
              <w:rPr>
                <w:sz w:val="18"/>
                <w:szCs w:val="18"/>
              </w:rPr>
            </w:pPr>
            <w:r w:rsidRPr="00BC4AFE">
              <w:rPr>
                <w:sz w:val="18"/>
                <w:szCs w:val="18"/>
              </w:rPr>
              <w:t>1.044</w:t>
            </w:r>
          </w:p>
        </w:tc>
        <w:tc>
          <w:tcPr>
            <w:tcW w:w="1182" w:type="dxa"/>
            <w:shd w:val="clear" w:color="auto" w:fill="auto"/>
            <w:noWrap/>
            <w:vAlign w:val="center"/>
            <w:hideMark/>
          </w:tcPr>
          <w:p w14:paraId="1985ED96" w14:textId="77777777" w:rsidR="00FC752D" w:rsidRPr="00BC4AFE" w:rsidRDefault="00FC752D" w:rsidP="006211D7">
            <w:pPr>
              <w:widowControl w:val="0"/>
              <w:ind w:right="144"/>
              <w:jc w:val="right"/>
              <w:rPr>
                <w:sz w:val="18"/>
                <w:szCs w:val="18"/>
              </w:rPr>
            </w:pPr>
            <w:r w:rsidRPr="00BC4AFE">
              <w:rPr>
                <w:sz w:val="18"/>
                <w:szCs w:val="18"/>
              </w:rPr>
              <w:t>1.305</w:t>
            </w:r>
          </w:p>
        </w:tc>
        <w:tc>
          <w:tcPr>
            <w:tcW w:w="1182" w:type="dxa"/>
            <w:shd w:val="clear" w:color="auto" w:fill="auto"/>
            <w:noWrap/>
            <w:vAlign w:val="center"/>
            <w:hideMark/>
          </w:tcPr>
          <w:p w14:paraId="41F854FB" w14:textId="77777777" w:rsidR="00FC752D" w:rsidRPr="00BC4AFE" w:rsidRDefault="00FC752D" w:rsidP="006211D7">
            <w:pPr>
              <w:widowControl w:val="0"/>
              <w:ind w:right="144"/>
              <w:jc w:val="right"/>
              <w:rPr>
                <w:sz w:val="18"/>
                <w:szCs w:val="18"/>
              </w:rPr>
            </w:pPr>
            <w:r w:rsidRPr="00BC4AFE">
              <w:rPr>
                <w:sz w:val="18"/>
                <w:szCs w:val="18"/>
              </w:rPr>
              <w:t>170,012</w:t>
            </w:r>
          </w:p>
        </w:tc>
        <w:tc>
          <w:tcPr>
            <w:tcW w:w="1182" w:type="dxa"/>
            <w:shd w:val="clear" w:color="auto" w:fill="auto"/>
            <w:noWrap/>
            <w:vAlign w:val="center"/>
            <w:hideMark/>
          </w:tcPr>
          <w:p w14:paraId="6EE0F194" w14:textId="77777777" w:rsidR="00FC752D" w:rsidRPr="00BC4AFE" w:rsidRDefault="00FC752D" w:rsidP="006211D7">
            <w:pPr>
              <w:widowControl w:val="0"/>
              <w:ind w:right="144"/>
              <w:jc w:val="right"/>
              <w:rPr>
                <w:sz w:val="18"/>
                <w:szCs w:val="18"/>
              </w:rPr>
            </w:pPr>
            <w:r w:rsidRPr="00BC4AFE">
              <w:rPr>
                <w:sz w:val="18"/>
                <w:szCs w:val="18"/>
              </w:rPr>
              <w:t>186,476</w:t>
            </w:r>
          </w:p>
        </w:tc>
        <w:tc>
          <w:tcPr>
            <w:tcW w:w="1171" w:type="dxa"/>
            <w:shd w:val="clear" w:color="auto" w:fill="auto"/>
            <w:noWrap/>
            <w:vAlign w:val="center"/>
            <w:hideMark/>
          </w:tcPr>
          <w:p w14:paraId="46A0B726" w14:textId="77777777" w:rsidR="00FC752D" w:rsidRPr="00BC4AFE" w:rsidRDefault="00FC752D" w:rsidP="006211D7">
            <w:pPr>
              <w:widowControl w:val="0"/>
              <w:ind w:right="144"/>
              <w:jc w:val="right"/>
              <w:rPr>
                <w:sz w:val="18"/>
                <w:szCs w:val="18"/>
              </w:rPr>
            </w:pPr>
            <w:r w:rsidRPr="00BC4AFE">
              <w:rPr>
                <w:sz w:val="18"/>
                <w:szCs w:val="18"/>
              </w:rPr>
              <w:t>356,488</w:t>
            </w:r>
          </w:p>
        </w:tc>
      </w:tr>
      <w:tr w:rsidR="00FC752D" w:rsidRPr="00BC4AFE" w14:paraId="2497D2B5" w14:textId="77777777" w:rsidTr="00A60395">
        <w:trPr>
          <w:cantSplit/>
          <w:trHeight w:val="245"/>
        </w:trPr>
        <w:tc>
          <w:tcPr>
            <w:tcW w:w="3605" w:type="dxa"/>
            <w:shd w:val="clear" w:color="auto" w:fill="auto"/>
            <w:vAlign w:val="center"/>
            <w:hideMark/>
          </w:tcPr>
          <w:p w14:paraId="5311592B" w14:textId="77777777" w:rsidR="00FC752D" w:rsidRPr="00BC4AFE" w:rsidRDefault="00FC752D" w:rsidP="006211D7">
            <w:pPr>
              <w:widowControl w:val="0"/>
              <w:ind w:left="144" w:hanging="144"/>
              <w:rPr>
                <w:sz w:val="18"/>
                <w:szCs w:val="18"/>
              </w:rPr>
            </w:pPr>
            <w:r w:rsidRPr="00BC4AFE">
              <w:rPr>
                <w:sz w:val="18"/>
                <w:szCs w:val="18"/>
              </w:rPr>
              <w:t>Indonesia</w:t>
            </w:r>
          </w:p>
        </w:tc>
        <w:tc>
          <w:tcPr>
            <w:tcW w:w="1182" w:type="dxa"/>
            <w:shd w:val="clear" w:color="auto" w:fill="auto"/>
            <w:vAlign w:val="center"/>
            <w:hideMark/>
          </w:tcPr>
          <w:p w14:paraId="5B96A81A" w14:textId="77777777" w:rsidR="00FC752D" w:rsidRPr="00BC4AFE" w:rsidRDefault="00FC752D" w:rsidP="006211D7">
            <w:pPr>
              <w:widowControl w:val="0"/>
              <w:ind w:right="144"/>
              <w:jc w:val="right"/>
              <w:rPr>
                <w:sz w:val="18"/>
                <w:szCs w:val="18"/>
              </w:rPr>
            </w:pPr>
            <w:r w:rsidRPr="00BC4AFE">
              <w:rPr>
                <w:sz w:val="18"/>
                <w:szCs w:val="18"/>
              </w:rPr>
              <w:t>0.549</w:t>
            </w:r>
          </w:p>
        </w:tc>
        <w:tc>
          <w:tcPr>
            <w:tcW w:w="1182" w:type="dxa"/>
            <w:shd w:val="clear" w:color="auto" w:fill="auto"/>
            <w:noWrap/>
            <w:vAlign w:val="center"/>
            <w:hideMark/>
          </w:tcPr>
          <w:p w14:paraId="3DBBD359" w14:textId="77777777" w:rsidR="00FC752D" w:rsidRPr="00BC4AFE" w:rsidRDefault="00FC752D" w:rsidP="006211D7">
            <w:pPr>
              <w:widowControl w:val="0"/>
              <w:ind w:right="144"/>
              <w:jc w:val="right"/>
              <w:rPr>
                <w:sz w:val="18"/>
                <w:szCs w:val="18"/>
              </w:rPr>
            </w:pPr>
            <w:r w:rsidRPr="00BC4AFE">
              <w:rPr>
                <w:sz w:val="18"/>
                <w:szCs w:val="18"/>
              </w:rPr>
              <w:t>0.686</w:t>
            </w:r>
          </w:p>
        </w:tc>
        <w:tc>
          <w:tcPr>
            <w:tcW w:w="1182" w:type="dxa"/>
            <w:shd w:val="clear" w:color="auto" w:fill="auto"/>
            <w:noWrap/>
            <w:vAlign w:val="center"/>
            <w:hideMark/>
          </w:tcPr>
          <w:p w14:paraId="69A7D85E" w14:textId="77777777" w:rsidR="00FC752D" w:rsidRPr="00BC4AFE" w:rsidRDefault="00FC752D" w:rsidP="006211D7">
            <w:pPr>
              <w:widowControl w:val="0"/>
              <w:ind w:right="144"/>
              <w:jc w:val="right"/>
              <w:rPr>
                <w:sz w:val="18"/>
                <w:szCs w:val="18"/>
              </w:rPr>
            </w:pPr>
            <w:r w:rsidRPr="00BC4AFE">
              <w:rPr>
                <w:sz w:val="18"/>
                <w:szCs w:val="18"/>
              </w:rPr>
              <w:t>89,403</w:t>
            </w:r>
          </w:p>
        </w:tc>
        <w:tc>
          <w:tcPr>
            <w:tcW w:w="1182" w:type="dxa"/>
            <w:shd w:val="clear" w:color="auto" w:fill="auto"/>
            <w:noWrap/>
            <w:vAlign w:val="center"/>
            <w:hideMark/>
          </w:tcPr>
          <w:p w14:paraId="67248296" w14:textId="77777777" w:rsidR="00FC752D" w:rsidRPr="00BC4AFE" w:rsidRDefault="00FC752D" w:rsidP="006211D7">
            <w:pPr>
              <w:widowControl w:val="0"/>
              <w:ind w:right="144"/>
              <w:jc w:val="right"/>
              <w:rPr>
                <w:sz w:val="18"/>
                <w:szCs w:val="18"/>
              </w:rPr>
            </w:pPr>
            <w:r w:rsidRPr="00BC4AFE">
              <w:rPr>
                <w:sz w:val="18"/>
                <w:szCs w:val="18"/>
              </w:rPr>
              <w:t>98,061</w:t>
            </w:r>
          </w:p>
        </w:tc>
        <w:tc>
          <w:tcPr>
            <w:tcW w:w="1171" w:type="dxa"/>
            <w:shd w:val="clear" w:color="auto" w:fill="auto"/>
            <w:noWrap/>
            <w:vAlign w:val="center"/>
            <w:hideMark/>
          </w:tcPr>
          <w:p w14:paraId="7EB298AB" w14:textId="77777777" w:rsidR="00FC752D" w:rsidRPr="00BC4AFE" w:rsidRDefault="00FC752D" w:rsidP="006211D7">
            <w:pPr>
              <w:widowControl w:val="0"/>
              <w:ind w:right="144"/>
              <w:jc w:val="right"/>
              <w:rPr>
                <w:sz w:val="18"/>
                <w:szCs w:val="18"/>
              </w:rPr>
            </w:pPr>
            <w:r w:rsidRPr="00BC4AFE">
              <w:rPr>
                <w:sz w:val="18"/>
                <w:szCs w:val="18"/>
              </w:rPr>
              <w:t>187,464</w:t>
            </w:r>
          </w:p>
        </w:tc>
      </w:tr>
      <w:tr w:rsidR="00FC752D" w:rsidRPr="00BC4AFE" w14:paraId="3A508EB9" w14:textId="77777777" w:rsidTr="00A60395">
        <w:trPr>
          <w:cantSplit/>
          <w:trHeight w:val="245"/>
        </w:trPr>
        <w:tc>
          <w:tcPr>
            <w:tcW w:w="3605" w:type="dxa"/>
            <w:shd w:val="clear" w:color="auto" w:fill="auto"/>
            <w:vAlign w:val="center"/>
            <w:hideMark/>
          </w:tcPr>
          <w:p w14:paraId="6F7B2385" w14:textId="77777777" w:rsidR="00FC752D" w:rsidRPr="00BC4AFE" w:rsidRDefault="00FC752D" w:rsidP="006211D7">
            <w:pPr>
              <w:widowControl w:val="0"/>
              <w:ind w:left="144" w:hanging="144"/>
              <w:rPr>
                <w:sz w:val="18"/>
                <w:szCs w:val="18"/>
              </w:rPr>
            </w:pPr>
            <w:r w:rsidRPr="00BC4AFE">
              <w:rPr>
                <w:sz w:val="18"/>
                <w:szCs w:val="18"/>
              </w:rPr>
              <w:t>Iran (Islamic Republic of)</w:t>
            </w:r>
          </w:p>
        </w:tc>
        <w:tc>
          <w:tcPr>
            <w:tcW w:w="1182" w:type="dxa"/>
            <w:shd w:val="clear" w:color="auto" w:fill="auto"/>
            <w:vAlign w:val="center"/>
            <w:hideMark/>
          </w:tcPr>
          <w:p w14:paraId="620EA73E" w14:textId="77777777" w:rsidR="00FC752D" w:rsidRPr="00BC4AFE" w:rsidRDefault="00FC752D" w:rsidP="006211D7">
            <w:pPr>
              <w:widowControl w:val="0"/>
              <w:ind w:right="144"/>
              <w:jc w:val="right"/>
              <w:rPr>
                <w:sz w:val="18"/>
                <w:szCs w:val="18"/>
              </w:rPr>
            </w:pPr>
            <w:r w:rsidRPr="00BC4AFE">
              <w:rPr>
                <w:sz w:val="18"/>
                <w:szCs w:val="18"/>
              </w:rPr>
              <w:t>0.371</w:t>
            </w:r>
          </w:p>
        </w:tc>
        <w:tc>
          <w:tcPr>
            <w:tcW w:w="1182" w:type="dxa"/>
            <w:shd w:val="clear" w:color="auto" w:fill="auto"/>
            <w:noWrap/>
            <w:vAlign w:val="center"/>
            <w:hideMark/>
          </w:tcPr>
          <w:p w14:paraId="6732CE29" w14:textId="77777777" w:rsidR="00FC752D" w:rsidRPr="00BC4AFE" w:rsidRDefault="00FC752D" w:rsidP="006211D7">
            <w:pPr>
              <w:widowControl w:val="0"/>
              <w:ind w:right="144"/>
              <w:jc w:val="right"/>
              <w:rPr>
                <w:sz w:val="18"/>
                <w:szCs w:val="18"/>
              </w:rPr>
            </w:pPr>
            <w:r w:rsidRPr="00BC4AFE">
              <w:rPr>
                <w:sz w:val="18"/>
                <w:szCs w:val="18"/>
              </w:rPr>
              <w:t>0.464</w:t>
            </w:r>
          </w:p>
        </w:tc>
        <w:tc>
          <w:tcPr>
            <w:tcW w:w="1182" w:type="dxa"/>
            <w:shd w:val="clear" w:color="auto" w:fill="auto"/>
            <w:noWrap/>
            <w:vAlign w:val="center"/>
            <w:hideMark/>
          </w:tcPr>
          <w:p w14:paraId="231BF687" w14:textId="77777777" w:rsidR="00FC752D" w:rsidRPr="00BC4AFE" w:rsidRDefault="00FC752D" w:rsidP="006211D7">
            <w:pPr>
              <w:widowControl w:val="0"/>
              <w:ind w:right="144"/>
              <w:jc w:val="right"/>
              <w:rPr>
                <w:sz w:val="18"/>
                <w:szCs w:val="18"/>
              </w:rPr>
            </w:pPr>
            <w:r w:rsidRPr="00BC4AFE">
              <w:rPr>
                <w:sz w:val="18"/>
                <w:szCs w:val="18"/>
              </w:rPr>
              <w:t>60,416</w:t>
            </w:r>
          </w:p>
        </w:tc>
        <w:tc>
          <w:tcPr>
            <w:tcW w:w="1182" w:type="dxa"/>
            <w:shd w:val="clear" w:color="auto" w:fill="auto"/>
            <w:noWrap/>
            <w:vAlign w:val="center"/>
            <w:hideMark/>
          </w:tcPr>
          <w:p w14:paraId="02CD67A6" w14:textId="77777777" w:rsidR="00FC752D" w:rsidRPr="00BC4AFE" w:rsidRDefault="00FC752D" w:rsidP="006211D7">
            <w:pPr>
              <w:widowControl w:val="0"/>
              <w:ind w:right="144"/>
              <w:jc w:val="right"/>
              <w:rPr>
                <w:sz w:val="18"/>
                <w:szCs w:val="18"/>
              </w:rPr>
            </w:pPr>
            <w:r w:rsidRPr="00BC4AFE">
              <w:rPr>
                <w:sz w:val="18"/>
                <w:szCs w:val="18"/>
              </w:rPr>
              <w:t>66,267</w:t>
            </w:r>
          </w:p>
        </w:tc>
        <w:tc>
          <w:tcPr>
            <w:tcW w:w="1171" w:type="dxa"/>
            <w:shd w:val="clear" w:color="auto" w:fill="auto"/>
            <w:noWrap/>
            <w:vAlign w:val="center"/>
            <w:hideMark/>
          </w:tcPr>
          <w:p w14:paraId="1D0DED2D" w14:textId="77777777" w:rsidR="00FC752D" w:rsidRPr="00BC4AFE" w:rsidRDefault="00FC752D" w:rsidP="006211D7">
            <w:pPr>
              <w:widowControl w:val="0"/>
              <w:ind w:right="144"/>
              <w:jc w:val="right"/>
              <w:rPr>
                <w:sz w:val="18"/>
                <w:szCs w:val="18"/>
              </w:rPr>
            </w:pPr>
            <w:r w:rsidRPr="00BC4AFE">
              <w:rPr>
                <w:sz w:val="18"/>
                <w:szCs w:val="18"/>
              </w:rPr>
              <w:t>126,683</w:t>
            </w:r>
          </w:p>
        </w:tc>
      </w:tr>
      <w:tr w:rsidR="00FC752D" w:rsidRPr="00BC4AFE" w14:paraId="0AF71D02" w14:textId="77777777" w:rsidTr="00A60395">
        <w:trPr>
          <w:cantSplit/>
          <w:trHeight w:val="245"/>
        </w:trPr>
        <w:tc>
          <w:tcPr>
            <w:tcW w:w="3605" w:type="dxa"/>
            <w:shd w:val="clear" w:color="auto" w:fill="auto"/>
            <w:vAlign w:val="center"/>
            <w:hideMark/>
          </w:tcPr>
          <w:p w14:paraId="3F80229A" w14:textId="77777777" w:rsidR="00FC752D" w:rsidRPr="00BC4AFE" w:rsidRDefault="00FC752D" w:rsidP="006211D7">
            <w:pPr>
              <w:widowControl w:val="0"/>
              <w:ind w:left="144" w:hanging="144"/>
              <w:rPr>
                <w:sz w:val="18"/>
                <w:szCs w:val="18"/>
              </w:rPr>
            </w:pPr>
            <w:r w:rsidRPr="00BC4AFE">
              <w:rPr>
                <w:sz w:val="18"/>
                <w:szCs w:val="18"/>
              </w:rPr>
              <w:t>Iraq</w:t>
            </w:r>
          </w:p>
        </w:tc>
        <w:tc>
          <w:tcPr>
            <w:tcW w:w="1182" w:type="dxa"/>
            <w:shd w:val="clear" w:color="auto" w:fill="auto"/>
            <w:vAlign w:val="center"/>
            <w:hideMark/>
          </w:tcPr>
          <w:p w14:paraId="31BC4E28" w14:textId="77777777" w:rsidR="00FC752D" w:rsidRPr="00BC4AFE" w:rsidRDefault="00FC752D" w:rsidP="006211D7">
            <w:pPr>
              <w:widowControl w:val="0"/>
              <w:ind w:right="144"/>
              <w:jc w:val="right"/>
              <w:rPr>
                <w:sz w:val="18"/>
                <w:szCs w:val="18"/>
              </w:rPr>
            </w:pPr>
            <w:r w:rsidRPr="00BC4AFE">
              <w:rPr>
                <w:sz w:val="18"/>
                <w:szCs w:val="18"/>
              </w:rPr>
              <w:t>0.128</w:t>
            </w:r>
          </w:p>
        </w:tc>
        <w:tc>
          <w:tcPr>
            <w:tcW w:w="1182" w:type="dxa"/>
            <w:shd w:val="clear" w:color="auto" w:fill="auto"/>
            <w:noWrap/>
            <w:vAlign w:val="center"/>
            <w:hideMark/>
          </w:tcPr>
          <w:p w14:paraId="200F10B3" w14:textId="77777777" w:rsidR="00FC752D" w:rsidRPr="00BC4AFE" w:rsidRDefault="00FC752D" w:rsidP="006211D7">
            <w:pPr>
              <w:widowControl w:val="0"/>
              <w:ind w:right="144"/>
              <w:jc w:val="right"/>
              <w:rPr>
                <w:sz w:val="18"/>
                <w:szCs w:val="18"/>
              </w:rPr>
            </w:pPr>
            <w:r w:rsidRPr="00BC4AFE">
              <w:rPr>
                <w:sz w:val="18"/>
                <w:szCs w:val="18"/>
              </w:rPr>
              <w:t>0.160</w:t>
            </w:r>
          </w:p>
        </w:tc>
        <w:tc>
          <w:tcPr>
            <w:tcW w:w="1182" w:type="dxa"/>
            <w:shd w:val="clear" w:color="auto" w:fill="auto"/>
            <w:noWrap/>
            <w:vAlign w:val="center"/>
            <w:hideMark/>
          </w:tcPr>
          <w:p w14:paraId="7D007765" w14:textId="77777777" w:rsidR="00FC752D" w:rsidRPr="00BC4AFE" w:rsidRDefault="00FC752D" w:rsidP="006211D7">
            <w:pPr>
              <w:widowControl w:val="0"/>
              <w:ind w:right="144"/>
              <w:jc w:val="right"/>
              <w:rPr>
                <w:sz w:val="18"/>
                <w:szCs w:val="18"/>
              </w:rPr>
            </w:pPr>
            <w:r w:rsidRPr="00BC4AFE">
              <w:rPr>
                <w:sz w:val="18"/>
                <w:szCs w:val="18"/>
              </w:rPr>
              <w:t>20,844</w:t>
            </w:r>
          </w:p>
        </w:tc>
        <w:tc>
          <w:tcPr>
            <w:tcW w:w="1182" w:type="dxa"/>
            <w:shd w:val="clear" w:color="auto" w:fill="auto"/>
            <w:noWrap/>
            <w:vAlign w:val="center"/>
            <w:hideMark/>
          </w:tcPr>
          <w:p w14:paraId="15F14BC4" w14:textId="77777777" w:rsidR="00FC752D" w:rsidRPr="00BC4AFE" w:rsidRDefault="00FC752D" w:rsidP="006211D7">
            <w:pPr>
              <w:widowControl w:val="0"/>
              <w:ind w:right="144"/>
              <w:jc w:val="right"/>
              <w:rPr>
                <w:sz w:val="18"/>
                <w:szCs w:val="18"/>
              </w:rPr>
            </w:pPr>
            <w:r w:rsidRPr="00BC4AFE">
              <w:rPr>
                <w:sz w:val="18"/>
                <w:szCs w:val="18"/>
              </w:rPr>
              <w:t>22,863</w:t>
            </w:r>
          </w:p>
        </w:tc>
        <w:tc>
          <w:tcPr>
            <w:tcW w:w="1171" w:type="dxa"/>
            <w:shd w:val="clear" w:color="auto" w:fill="auto"/>
            <w:noWrap/>
            <w:vAlign w:val="center"/>
            <w:hideMark/>
          </w:tcPr>
          <w:p w14:paraId="64F44B3C" w14:textId="77777777" w:rsidR="00FC752D" w:rsidRPr="00BC4AFE" w:rsidRDefault="00FC752D" w:rsidP="006211D7">
            <w:pPr>
              <w:widowControl w:val="0"/>
              <w:ind w:right="144"/>
              <w:jc w:val="right"/>
              <w:rPr>
                <w:sz w:val="18"/>
                <w:szCs w:val="18"/>
              </w:rPr>
            </w:pPr>
            <w:r w:rsidRPr="00BC4AFE">
              <w:rPr>
                <w:sz w:val="18"/>
                <w:szCs w:val="18"/>
              </w:rPr>
              <w:t>43,707</w:t>
            </w:r>
          </w:p>
        </w:tc>
      </w:tr>
      <w:tr w:rsidR="00FC752D" w:rsidRPr="00BC4AFE" w14:paraId="58E5C03D" w14:textId="77777777" w:rsidTr="00A60395">
        <w:trPr>
          <w:cantSplit/>
          <w:trHeight w:val="245"/>
        </w:trPr>
        <w:tc>
          <w:tcPr>
            <w:tcW w:w="3605" w:type="dxa"/>
            <w:shd w:val="clear" w:color="auto" w:fill="auto"/>
            <w:vAlign w:val="center"/>
            <w:hideMark/>
          </w:tcPr>
          <w:p w14:paraId="452091E5" w14:textId="77777777" w:rsidR="00FC752D" w:rsidRPr="00BC4AFE" w:rsidRDefault="00FC752D" w:rsidP="006211D7">
            <w:pPr>
              <w:widowControl w:val="0"/>
              <w:ind w:left="144" w:hanging="144"/>
              <w:rPr>
                <w:sz w:val="18"/>
                <w:szCs w:val="18"/>
              </w:rPr>
            </w:pPr>
            <w:r w:rsidRPr="00BC4AFE">
              <w:rPr>
                <w:sz w:val="18"/>
                <w:szCs w:val="18"/>
              </w:rPr>
              <w:t>Ireland</w:t>
            </w:r>
          </w:p>
        </w:tc>
        <w:tc>
          <w:tcPr>
            <w:tcW w:w="1182" w:type="dxa"/>
            <w:shd w:val="clear" w:color="auto" w:fill="auto"/>
            <w:vAlign w:val="center"/>
            <w:hideMark/>
          </w:tcPr>
          <w:p w14:paraId="0D89D290" w14:textId="77777777" w:rsidR="00FC752D" w:rsidRPr="00BC4AFE" w:rsidRDefault="00FC752D" w:rsidP="006211D7">
            <w:pPr>
              <w:widowControl w:val="0"/>
              <w:ind w:right="144"/>
              <w:jc w:val="right"/>
              <w:rPr>
                <w:sz w:val="18"/>
                <w:szCs w:val="18"/>
              </w:rPr>
            </w:pPr>
            <w:r w:rsidRPr="00BC4AFE">
              <w:rPr>
                <w:sz w:val="18"/>
                <w:szCs w:val="18"/>
              </w:rPr>
              <w:t>0.439</w:t>
            </w:r>
          </w:p>
        </w:tc>
        <w:tc>
          <w:tcPr>
            <w:tcW w:w="1182" w:type="dxa"/>
            <w:shd w:val="clear" w:color="auto" w:fill="auto"/>
            <w:noWrap/>
            <w:vAlign w:val="center"/>
            <w:hideMark/>
          </w:tcPr>
          <w:p w14:paraId="7B5FA604" w14:textId="77777777" w:rsidR="00FC752D" w:rsidRPr="00BC4AFE" w:rsidRDefault="00FC752D" w:rsidP="006211D7">
            <w:pPr>
              <w:widowControl w:val="0"/>
              <w:ind w:right="144"/>
              <w:jc w:val="right"/>
              <w:rPr>
                <w:sz w:val="18"/>
                <w:szCs w:val="18"/>
              </w:rPr>
            </w:pPr>
            <w:r w:rsidRPr="00BC4AFE">
              <w:rPr>
                <w:sz w:val="18"/>
                <w:szCs w:val="18"/>
              </w:rPr>
              <w:t>0.549</w:t>
            </w:r>
          </w:p>
        </w:tc>
        <w:tc>
          <w:tcPr>
            <w:tcW w:w="1182" w:type="dxa"/>
            <w:shd w:val="clear" w:color="auto" w:fill="auto"/>
            <w:noWrap/>
            <w:vAlign w:val="center"/>
            <w:hideMark/>
          </w:tcPr>
          <w:p w14:paraId="1F70E124" w14:textId="77777777" w:rsidR="00FC752D" w:rsidRPr="00BC4AFE" w:rsidRDefault="00FC752D" w:rsidP="006211D7">
            <w:pPr>
              <w:widowControl w:val="0"/>
              <w:ind w:right="144"/>
              <w:jc w:val="right"/>
              <w:rPr>
                <w:sz w:val="18"/>
                <w:szCs w:val="18"/>
              </w:rPr>
            </w:pPr>
            <w:r w:rsidRPr="00BC4AFE">
              <w:rPr>
                <w:sz w:val="18"/>
                <w:szCs w:val="18"/>
              </w:rPr>
              <w:t>71,490</w:t>
            </w:r>
          </w:p>
        </w:tc>
        <w:tc>
          <w:tcPr>
            <w:tcW w:w="1182" w:type="dxa"/>
            <w:shd w:val="clear" w:color="auto" w:fill="auto"/>
            <w:noWrap/>
            <w:vAlign w:val="center"/>
            <w:hideMark/>
          </w:tcPr>
          <w:p w14:paraId="4879D4F4" w14:textId="77777777" w:rsidR="00FC752D" w:rsidRPr="00BC4AFE" w:rsidRDefault="00FC752D" w:rsidP="006211D7">
            <w:pPr>
              <w:widowControl w:val="0"/>
              <w:ind w:right="144"/>
              <w:jc w:val="right"/>
              <w:rPr>
                <w:sz w:val="18"/>
                <w:szCs w:val="18"/>
              </w:rPr>
            </w:pPr>
            <w:r w:rsidRPr="00BC4AFE">
              <w:rPr>
                <w:sz w:val="18"/>
                <w:szCs w:val="18"/>
              </w:rPr>
              <w:t>78,413</w:t>
            </w:r>
          </w:p>
        </w:tc>
        <w:tc>
          <w:tcPr>
            <w:tcW w:w="1171" w:type="dxa"/>
            <w:shd w:val="clear" w:color="auto" w:fill="auto"/>
            <w:noWrap/>
            <w:vAlign w:val="center"/>
            <w:hideMark/>
          </w:tcPr>
          <w:p w14:paraId="04EB7B4C" w14:textId="77777777" w:rsidR="00FC752D" w:rsidRPr="00BC4AFE" w:rsidRDefault="00FC752D" w:rsidP="006211D7">
            <w:pPr>
              <w:widowControl w:val="0"/>
              <w:ind w:right="144"/>
              <w:jc w:val="right"/>
              <w:rPr>
                <w:sz w:val="18"/>
                <w:szCs w:val="18"/>
              </w:rPr>
            </w:pPr>
            <w:r w:rsidRPr="00BC4AFE">
              <w:rPr>
                <w:sz w:val="18"/>
                <w:szCs w:val="18"/>
              </w:rPr>
              <w:t>149,903</w:t>
            </w:r>
          </w:p>
        </w:tc>
      </w:tr>
      <w:tr w:rsidR="00FC752D" w:rsidRPr="00BC4AFE" w14:paraId="37C2561A" w14:textId="77777777" w:rsidTr="00A60395">
        <w:trPr>
          <w:cantSplit/>
          <w:trHeight w:val="245"/>
        </w:trPr>
        <w:tc>
          <w:tcPr>
            <w:tcW w:w="3605" w:type="dxa"/>
            <w:shd w:val="clear" w:color="auto" w:fill="auto"/>
            <w:vAlign w:val="center"/>
            <w:hideMark/>
          </w:tcPr>
          <w:p w14:paraId="010CD5C1" w14:textId="77777777" w:rsidR="00FC752D" w:rsidRPr="00BC4AFE" w:rsidRDefault="00FC752D" w:rsidP="006211D7">
            <w:pPr>
              <w:widowControl w:val="0"/>
              <w:ind w:left="144" w:hanging="144"/>
              <w:rPr>
                <w:sz w:val="18"/>
                <w:szCs w:val="18"/>
              </w:rPr>
            </w:pPr>
            <w:r w:rsidRPr="00BC4AFE">
              <w:rPr>
                <w:sz w:val="18"/>
                <w:szCs w:val="18"/>
              </w:rPr>
              <w:t>Israel</w:t>
            </w:r>
          </w:p>
        </w:tc>
        <w:tc>
          <w:tcPr>
            <w:tcW w:w="1182" w:type="dxa"/>
            <w:shd w:val="clear" w:color="auto" w:fill="auto"/>
            <w:vAlign w:val="center"/>
            <w:hideMark/>
          </w:tcPr>
          <w:p w14:paraId="64710EAC" w14:textId="77777777" w:rsidR="00FC752D" w:rsidRPr="00BC4AFE" w:rsidRDefault="00FC752D" w:rsidP="006211D7">
            <w:pPr>
              <w:widowControl w:val="0"/>
              <w:ind w:right="144"/>
              <w:jc w:val="right"/>
              <w:rPr>
                <w:sz w:val="18"/>
                <w:szCs w:val="18"/>
              </w:rPr>
            </w:pPr>
            <w:r w:rsidRPr="00BC4AFE">
              <w:rPr>
                <w:sz w:val="18"/>
                <w:szCs w:val="18"/>
              </w:rPr>
              <w:t>0.561</w:t>
            </w:r>
          </w:p>
        </w:tc>
        <w:tc>
          <w:tcPr>
            <w:tcW w:w="1182" w:type="dxa"/>
            <w:shd w:val="clear" w:color="auto" w:fill="auto"/>
            <w:noWrap/>
            <w:vAlign w:val="center"/>
            <w:hideMark/>
          </w:tcPr>
          <w:p w14:paraId="604CDA37" w14:textId="77777777" w:rsidR="00FC752D" w:rsidRPr="00BC4AFE" w:rsidRDefault="00FC752D" w:rsidP="006211D7">
            <w:pPr>
              <w:widowControl w:val="0"/>
              <w:ind w:right="144"/>
              <w:jc w:val="right"/>
              <w:rPr>
                <w:sz w:val="18"/>
                <w:szCs w:val="18"/>
              </w:rPr>
            </w:pPr>
            <w:r w:rsidRPr="00BC4AFE">
              <w:rPr>
                <w:sz w:val="18"/>
                <w:szCs w:val="18"/>
              </w:rPr>
              <w:t>0.701</w:t>
            </w:r>
          </w:p>
        </w:tc>
        <w:tc>
          <w:tcPr>
            <w:tcW w:w="1182" w:type="dxa"/>
            <w:shd w:val="clear" w:color="auto" w:fill="auto"/>
            <w:noWrap/>
            <w:vAlign w:val="center"/>
            <w:hideMark/>
          </w:tcPr>
          <w:p w14:paraId="7F5C4D56" w14:textId="77777777" w:rsidR="00FC752D" w:rsidRPr="00BC4AFE" w:rsidRDefault="00FC752D" w:rsidP="006211D7">
            <w:pPr>
              <w:widowControl w:val="0"/>
              <w:ind w:right="144"/>
              <w:jc w:val="right"/>
              <w:rPr>
                <w:sz w:val="18"/>
                <w:szCs w:val="18"/>
              </w:rPr>
            </w:pPr>
            <w:r w:rsidRPr="00BC4AFE">
              <w:rPr>
                <w:sz w:val="18"/>
                <w:szCs w:val="18"/>
              </w:rPr>
              <w:t>91,357</w:t>
            </w:r>
          </w:p>
        </w:tc>
        <w:tc>
          <w:tcPr>
            <w:tcW w:w="1182" w:type="dxa"/>
            <w:shd w:val="clear" w:color="auto" w:fill="auto"/>
            <w:noWrap/>
            <w:vAlign w:val="center"/>
            <w:hideMark/>
          </w:tcPr>
          <w:p w14:paraId="130FE8E3" w14:textId="77777777" w:rsidR="00FC752D" w:rsidRPr="00BC4AFE" w:rsidRDefault="00FC752D" w:rsidP="006211D7">
            <w:pPr>
              <w:widowControl w:val="0"/>
              <w:ind w:right="144"/>
              <w:jc w:val="right"/>
              <w:rPr>
                <w:sz w:val="18"/>
                <w:szCs w:val="18"/>
              </w:rPr>
            </w:pPr>
            <w:r w:rsidRPr="00BC4AFE">
              <w:rPr>
                <w:sz w:val="18"/>
                <w:szCs w:val="18"/>
              </w:rPr>
              <w:t>100,204</w:t>
            </w:r>
          </w:p>
        </w:tc>
        <w:tc>
          <w:tcPr>
            <w:tcW w:w="1171" w:type="dxa"/>
            <w:shd w:val="clear" w:color="auto" w:fill="auto"/>
            <w:noWrap/>
            <w:vAlign w:val="center"/>
            <w:hideMark/>
          </w:tcPr>
          <w:p w14:paraId="6465FDB1" w14:textId="77777777" w:rsidR="00FC752D" w:rsidRPr="00BC4AFE" w:rsidRDefault="00FC752D" w:rsidP="006211D7">
            <w:pPr>
              <w:widowControl w:val="0"/>
              <w:ind w:right="144"/>
              <w:jc w:val="right"/>
              <w:rPr>
                <w:sz w:val="18"/>
                <w:szCs w:val="18"/>
              </w:rPr>
            </w:pPr>
            <w:r w:rsidRPr="00BC4AFE">
              <w:rPr>
                <w:sz w:val="18"/>
                <w:szCs w:val="18"/>
              </w:rPr>
              <w:t>191,561</w:t>
            </w:r>
          </w:p>
        </w:tc>
      </w:tr>
      <w:tr w:rsidR="00FC752D" w:rsidRPr="00BC4AFE" w14:paraId="710A2534" w14:textId="77777777" w:rsidTr="00A60395">
        <w:trPr>
          <w:cantSplit/>
          <w:trHeight w:val="245"/>
        </w:trPr>
        <w:tc>
          <w:tcPr>
            <w:tcW w:w="3605" w:type="dxa"/>
            <w:shd w:val="clear" w:color="auto" w:fill="auto"/>
            <w:vAlign w:val="center"/>
            <w:hideMark/>
          </w:tcPr>
          <w:p w14:paraId="356E0561" w14:textId="77777777" w:rsidR="00FC752D" w:rsidRPr="00BC4AFE" w:rsidRDefault="00FC752D" w:rsidP="006211D7">
            <w:pPr>
              <w:widowControl w:val="0"/>
              <w:ind w:left="144" w:hanging="144"/>
              <w:rPr>
                <w:sz w:val="18"/>
                <w:szCs w:val="18"/>
              </w:rPr>
            </w:pPr>
            <w:r w:rsidRPr="00BC4AFE">
              <w:rPr>
                <w:sz w:val="18"/>
                <w:szCs w:val="18"/>
              </w:rPr>
              <w:t>Italy</w:t>
            </w:r>
          </w:p>
        </w:tc>
        <w:tc>
          <w:tcPr>
            <w:tcW w:w="1182" w:type="dxa"/>
            <w:shd w:val="clear" w:color="auto" w:fill="auto"/>
            <w:vAlign w:val="center"/>
            <w:hideMark/>
          </w:tcPr>
          <w:p w14:paraId="58D11D39" w14:textId="77777777" w:rsidR="00FC752D" w:rsidRPr="00BC4AFE" w:rsidRDefault="00FC752D" w:rsidP="006211D7">
            <w:pPr>
              <w:widowControl w:val="0"/>
              <w:ind w:right="144"/>
              <w:jc w:val="right"/>
              <w:rPr>
                <w:sz w:val="18"/>
                <w:szCs w:val="18"/>
              </w:rPr>
            </w:pPr>
            <w:r w:rsidRPr="00BC4AFE">
              <w:rPr>
                <w:sz w:val="18"/>
                <w:szCs w:val="18"/>
              </w:rPr>
              <w:t>3.189</w:t>
            </w:r>
          </w:p>
        </w:tc>
        <w:tc>
          <w:tcPr>
            <w:tcW w:w="1182" w:type="dxa"/>
            <w:shd w:val="clear" w:color="auto" w:fill="auto"/>
            <w:noWrap/>
            <w:vAlign w:val="center"/>
            <w:hideMark/>
          </w:tcPr>
          <w:p w14:paraId="695AFC61" w14:textId="77777777" w:rsidR="00FC752D" w:rsidRPr="00BC4AFE" w:rsidRDefault="00FC752D" w:rsidP="006211D7">
            <w:pPr>
              <w:widowControl w:val="0"/>
              <w:ind w:right="144"/>
              <w:jc w:val="right"/>
              <w:rPr>
                <w:sz w:val="18"/>
                <w:szCs w:val="18"/>
              </w:rPr>
            </w:pPr>
            <w:r w:rsidRPr="00BC4AFE">
              <w:rPr>
                <w:sz w:val="18"/>
                <w:szCs w:val="18"/>
              </w:rPr>
              <w:t>3.987</w:t>
            </w:r>
          </w:p>
        </w:tc>
        <w:tc>
          <w:tcPr>
            <w:tcW w:w="1182" w:type="dxa"/>
            <w:shd w:val="clear" w:color="auto" w:fill="auto"/>
            <w:noWrap/>
            <w:vAlign w:val="center"/>
            <w:hideMark/>
          </w:tcPr>
          <w:p w14:paraId="62910BEC" w14:textId="77777777" w:rsidR="00FC752D" w:rsidRPr="00BC4AFE" w:rsidRDefault="00FC752D" w:rsidP="006211D7">
            <w:pPr>
              <w:widowControl w:val="0"/>
              <w:ind w:right="144"/>
              <w:jc w:val="right"/>
              <w:rPr>
                <w:sz w:val="18"/>
                <w:szCs w:val="18"/>
              </w:rPr>
            </w:pPr>
            <w:r w:rsidRPr="00BC4AFE">
              <w:rPr>
                <w:sz w:val="18"/>
                <w:szCs w:val="18"/>
              </w:rPr>
              <w:t>519,320</w:t>
            </w:r>
          </w:p>
        </w:tc>
        <w:tc>
          <w:tcPr>
            <w:tcW w:w="1182" w:type="dxa"/>
            <w:shd w:val="clear" w:color="auto" w:fill="auto"/>
            <w:noWrap/>
            <w:vAlign w:val="center"/>
            <w:hideMark/>
          </w:tcPr>
          <w:p w14:paraId="71835225" w14:textId="77777777" w:rsidR="00FC752D" w:rsidRPr="00BC4AFE" w:rsidRDefault="00FC752D" w:rsidP="006211D7">
            <w:pPr>
              <w:widowControl w:val="0"/>
              <w:ind w:right="144"/>
              <w:jc w:val="right"/>
              <w:rPr>
                <w:sz w:val="18"/>
                <w:szCs w:val="18"/>
              </w:rPr>
            </w:pPr>
            <w:r w:rsidRPr="00BC4AFE">
              <w:rPr>
                <w:sz w:val="18"/>
                <w:szCs w:val="18"/>
              </w:rPr>
              <w:t>569,608</w:t>
            </w:r>
          </w:p>
        </w:tc>
        <w:tc>
          <w:tcPr>
            <w:tcW w:w="1171" w:type="dxa"/>
            <w:shd w:val="clear" w:color="auto" w:fill="auto"/>
            <w:noWrap/>
            <w:vAlign w:val="center"/>
            <w:hideMark/>
          </w:tcPr>
          <w:p w14:paraId="55F3477B" w14:textId="77777777" w:rsidR="00FC752D" w:rsidRPr="00BC4AFE" w:rsidRDefault="00FC752D" w:rsidP="006211D7">
            <w:pPr>
              <w:widowControl w:val="0"/>
              <w:ind w:right="144"/>
              <w:jc w:val="right"/>
              <w:rPr>
                <w:sz w:val="18"/>
                <w:szCs w:val="18"/>
              </w:rPr>
            </w:pPr>
            <w:r w:rsidRPr="00BC4AFE">
              <w:rPr>
                <w:sz w:val="18"/>
                <w:szCs w:val="18"/>
              </w:rPr>
              <w:t>1,088,928</w:t>
            </w:r>
          </w:p>
        </w:tc>
      </w:tr>
      <w:tr w:rsidR="00FC752D" w:rsidRPr="00BC4AFE" w14:paraId="380A1124" w14:textId="77777777" w:rsidTr="00A60395">
        <w:trPr>
          <w:cantSplit/>
          <w:trHeight w:val="245"/>
        </w:trPr>
        <w:tc>
          <w:tcPr>
            <w:tcW w:w="3605" w:type="dxa"/>
            <w:shd w:val="clear" w:color="auto" w:fill="auto"/>
            <w:vAlign w:val="center"/>
            <w:hideMark/>
          </w:tcPr>
          <w:p w14:paraId="2D422ED5" w14:textId="77777777" w:rsidR="00FC752D" w:rsidRPr="00BC4AFE" w:rsidRDefault="00FC752D" w:rsidP="006211D7">
            <w:pPr>
              <w:widowControl w:val="0"/>
              <w:ind w:left="144" w:hanging="144"/>
              <w:rPr>
                <w:sz w:val="18"/>
                <w:szCs w:val="18"/>
              </w:rPr>
            </w:pPr>
            <w:r w:rsidRPr="00BC4AFE">
              <w:rPr>
                <w:sz w:val="18"/>
                <w:szCs w:val="18"/>
              </w:rPr>
              <w:t>Jamaica</w:t>
            </w:r>
          </w:p>
        </w:tc>
        <w:tc>
          <w:tcPr>
            <w:tcW w:w="1182" w:type="dxa"/>
            <w:shd w:val="clear" w:color="auto" w:fill="auto"/>
            <w:vAlign w:val="center"/>
            <w:hideMark/>
          </w:tcPr>
          <w:p w14:paraId="5F0B6D6E"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5471FCD0"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33FC87F6"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79F8BE62"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56ACA385"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6D44E0F8" w14:textId="77777777" w:rsidTr="00A60395">
        <w:trPr>
          <w:cantSplit/>
          <w:trHeight w:val="245"/>
        </w:trPr>
        <w:tc>
          <w:tcPr>
            <w:tcW w:w="3605" w:type="dxa"/>
            <w:shd w:val="clear" w:color="auto" w:fill="auto"/>
            <w:vAlign w:val="center"/>
            <w:hideMark/>
          </w:tcPr>
          <w:p w14:paraId="75405429" w14:textId="77777777" w:rsidR="00FC752D" w:rsidRPr="00BC4AFE" w:rsidRDefault="00FC752D" w:rsidP="006211D7">
            <w:pPr>
              <w:widowControl w:val="0"/>
              <w:ind w:left="144" w:hanging="144"/>
              <w:rPr>
                <w:sz w:val="18"/>
                <w:szCs w:val="18"/>
              </w:rPr>
            </w:pPr>
            <w:r w:rsidRPr="00BC4AFE">
              <w:rPr>
                <w:sz w:val="18"/>
                <w:szCs w:val="18"/>
              </w:rPr>
              <w:t>Japan</w:t>
            </w:r>
          </w:p>
        </w:tc>
        <w:tc>
          <w:tcPr>
            <w:tcW w:w="1182" w:type="dxa"/>
            <w:shd w:val="clear" w:color="auto" w:fill="auto"/>
            <w:noWrap/>
            <w:vAlign w:val="center"/>
            <w:hideMark/>
          </w:tcPr>
          <w:p w14:paraId="3FE9B10A" w14:textId="77777777" w:rsidR="00FC752D" w:rsidRPr="00BC4AFE" w:rsidRDefault="00FC752D" w:rsidP="006211D7">
            <w:pPr>
              <w:widowControl w:val="0"/>
              <w:ind w:right="144"/>
              <w:jc w:val="right"/>
              <w:rPr>
                <w:sz w:val="18"/>
                <w:szCs w:val="18"/>
              </w:rPr>
            </w:pPr>
            <w:r w:rsidRPr="00BC4AFE">
              <w:rPr>
                <w:sz w:val="18"/>
                <w:szCs w:val="18"/>
              </w:rPr>
              <w:t>8.033</w:t>
            </w:r>
          </w:p>
        </w:tc>
        <w:tc>
          <w:tcPr>
            <w:tcW w:w="1182" w:type="dxa"/>
            <w:shd w:val="clear" w:color="auto" w:fill="auto"/>
            <w:noWrap/>
            <w:vAlign w:val="center"/>
            <w:hideMark/>
          </w:tcPr>
          <w:p w14:paraId="0339A820" w14:textId="77777777" w:rsidR="00FC752D" w:rsidRPr="00BC4AFE" w:rsidRDefault="00FC752D" w:rsidP="006211D7">
            <w:pPr>
              <w:widowControl w:val="0"/>
              <w:ind w:right="144"/>
              <w:jc w:val="right"/>
              <w:rPr>
                <w:sz w:val="18"/>
                <w:szCs w:val="18"/>
              </w:rPr>
            </w:pPr>
            <w:r w:rsidRPr="00BC4AFE">
              <w:rPr>
                <w:sz w:val="18"/>
                <w:szCs w:val="18"/>
              </w:rPr>
              <w:t>10.042</w:t>
            </w:r>
          </w:p>
        </w:tc>
        <w:tc>
          <w:tcPr>
            <w:tcW w:w="1182" w:type="dxa"/>
            <w:shd w:val="clear" w:color="auto" w:fill="auto"/>
            <w:noWrap/>
            <w:vAlign w:val="center"/>
            <w:hideMark/>
          </w:tcPr>
          <w:p w14:paraId="55F37EC8" w14:textId="77777777" w:rsidR="00FC752D" w:rsidRPr="00BC4AFE" w:rsidRDefault="00FC752D" w:rsidP="006211D7">
            <w:pPr>
              <w:widowControl w:val="0"/>
              <w:ind w:right="144"/>
              <w:jc w:val="right"/>
              <w:rPr>
                <w:sz w:val="18"/>
                <w:szCs w:val="18"/>
              </w:rPr>
            </w:pPr>
            <w:r w:rsidRPr="00BC4AFE">
              <w:rPr>
                <w:sz w:val="18"/>
                <w:szCs w:val="18"/>
              </w:rPr>
              <w:t>1,308,151</w:t>
            </w:r>
          </w:p>
        </w:tc>
        <w:tc>
          <w:tcPr>
            <w:tcW w:w="1182" w:type="dxa"/>
            <w:shd w:val="clear" w:color="auto" w:fill="auto"/>
            <w:noWrap/>
            <w:vAlign w:val="center"/>
            <w:hideMark/>
          </w:tcPr>
          <w:p w14:paraId="7953B079" w14:textId="77777777" w:rsidR="00FC752D" w:rsidRPr="00BC4AFE" w:rsidRDefault="00FC752D" w:rsidP="006211D7">
            <w:pPr>
              <w:widowControl w:val="0"/>
              <w:ind w:right="144"/>
              <w:jc w:val="right"/>
              <w:rPr>
                <w:sz w:val="18"/>
                <w:szCs w:val="18"/>
              </w:rPr>
            </w:pPr>
            <w:r w:rsidRPr="00BC4AFE">
              <w:rPr>
                <w:sz w:val="18"/>
                <w:szCs w:val="18"/>
              </w:rPr>
              <w:t>1,434,827</w:t>
            </w:r>
          </w:p>
        </w:tc>
        <w:tc>
          <w:tcPr>
            <w:tcW w:w="1171" w:type="dxa"/>
            <w:shd w:val="clear" w:color="auto" w:fill="auto"/>
            <w:noWrap/>
            <w:vAlign w:val="center"/>
            <w:hideMark/>
          </w:tcPr>
          <w:p w14:paraId="1AA5FF6E" w14:textId="77777777" w:rsidR="00FC752D" w:rsidRPr="00BC4AFE" w:rsidRDefault="00FC752D" w:rsidP="006211D7">
            <w:pPr>
              <w:widowControl w:val="0"/>
              <w:ind w:right="144"/>
              <w:jc w:val="right"/>
              <w:rPr>
                <w:sz w:val="18"/>
                <w:szCs w:val="18"/>
              </w:rPr>
            </w:pPr>
            <w:r w:rsidRPr="00BC4AFE">
              <w:rPr>
                <w:sz w:val="18"/>
                <w:szCs w:val="18"/>
              </w:rPr>
              <w:t>2,742,978</w:t>
            </w:r>
          </w:p>
        </w:tc>
      </w:tr>
      <w:tr w:rsidR="00FC752D" w:rsidRPr="00BC4AFE" w14:paraId="05AD7592" w14:textId="77777777" w:rsidTr="00A60395">
        <w:trPr>
          <w:cantSplit/>
          <w:trHeight w:val="245"/>
        </w:trPr>
        <w:tc>
          <w:tcPr>
            <w:tcW w:w="3605" w:type="dxa"/>
            <w:shd w:val="clear" w:color="auto" w:fill="auto"/>
            <w:vAlign w:val="center"/>
            <w:hideMark/>
          </w:tcPr>
          <w:p w14:paraId="06778B46" w14:textId="77777777" w:rsidR="00FC752D" w:rsidRPr="00BC4AFE" w:rsidRDefault="00FC752D" w:rsidP="006211D7">
            <w:pPr>
              <w:widowControl w:val="0"/>
              <w:ind w:left="144" w:hanging="144"/>
              <w:rPr>
                <w:sz w:val="18"/>
                <w:szCs w:val="18"/>
              </w:rPr>
            </w:pPr>
            <w:r w:rsidRPr="00BC4AFE">
              <w:rPr>
                <w:sz w:val="18"/>
                <w:szCs w:val="18"/>
              </w:rPr>
              <w:t>Jordan</w:t>
            </w:r>
          </w:p>
        </w:tc>
        <w:tc>
          <w:tcPr>
            <w:tcW w:w="1182" w:type="dxa"/>
            <w:shd w:val="clear" w:color="auto" w:fill="auto"/>
            <w:vAlign w:val="center"/>
            <w:hideMark/>
          </w:tcPr>
          <w:p w14:paraId="3326B59A" w14:textId="77777777" w:rsidR="00FC752D" w:rsidRPr="00BC4AFE" w:rsidRDefault="00FC752D" w:rsidP="006211D7">
            <w:pPr>
              <w:widowControl w:val="0"/>
              <w:ind w:right="144"/>
              <w:jc w:val="right"/>
              <w:rPr>
                <w:sz w:val="18"/>
                <w:szCs w:val="18"/>
              </w:rPr>
            </w:pPr>
            <w:r w:rsidRPr="00BC4AFE">
              <w:rPr>
                <w:sz w:val="18"/>
                <w:szCs w:val="18"/>
              </w:rPr>
              <w:t>0.022</w:t>
            </w:r>
          </w:p>
        </w:tc>
        <w:tc>
          <w:tcPr>
            <w:tcW w:w="1182" w:type="dxa"/>
            <w:shd w:val="clear" w:color="auto" w:fill="auto"/>
            <w:noWrap/>
            <w:vAlign w:val="center"/>
            <w:hideMark/>
          </w:tcPr>
          <w:p w14:paraId="6F119F1F" w14:textId="77777777" w:rsidR="00FC752D" w:rsidRPr="00BC4AFE" w:rsidRDefault="00FC752D" w:rsidP="006211D7">
            <w:pPr>
              <w:widowControl w:val="0"/>
              <w:ind w:right="144"/>
              <w:jc w:val="right"/>
              <w:rPr>
                <w:sz w:val="18"/>
                <w:szCs w:val="18"/>
              </w:rPr>
            </w:pPr>
            <w:r w:rsidRPr="00BC4AFE">
              <w:rPr>
                <w:sz w:val="18"/>
                <w:szCs w:val="18"/>
              </w:rPr>
              <w:t>0.028</w:t>
            </w:r>
          </w:p>
        </w:tc>
        <w:tc>
          <w:tcPr>
            <w:tcW w:w="1182" w:type="dxa"/>
            <w:shd w:val="clear" w:color="auto" w:fill="auto"/>
            <w:noWrap/>
            <w:vAlign w:val="center"/>
            <w:hideMark/>
          </w:tcPr>
          <w:p w14:paraId="121261B9" w14:textId="77777777" w:rsidR="00FC752D" w:rsidRPr="00BC4AFE" w:rsidRDefault="00FC752D" w:rsidP="006211D7">
            <w:pPr>
              <w:widowControl w:val="0"/>
              <w:ind w:right="144"/>
              <w:jc w:val="right"/>
              <w:rPr>
                <w:sz w:val="18"/>
                <w:szCs w:val="18"/>
              </w:rPr>
            </w:pPr>
            <w:r w:rsidRPr="00BC4AFE">
              <w:rPr>
                <w:sz w:val="18"/>
                <w:szCs w:val="18"/>
              </w:rPr>
              <w:t>3,583</w:t>
            </w:r>
          </w:p>
        </w:tc>
        <w:tc>
          <w:tcPr>
            <w:tcW w:w="1182" w:type="dxa"/>
            <w:shd w:val="clear" w:color="auto" w:fill="auto"/>
            <w:noWrap/>
            <w:vAlign w:val="center"/>
            <w:hideMark/>
          </w:tcPr>
          <w:p w14:paraId="663BBA9D" w14:textId="77777777" w:rsidR="00FC752D" w:rsidRPr="00BC4AFE" w:rsidRDefault="00FC752D" w:rsidP="006211D7">
            <w:pPr>
              <w:widowControl w:val="0"/>
              <w:ind w:right="144"/>
              <w:jc w:val="right"/>
              <w:rPr>
                <w:sz w:val="18"/>
                <w:szCs w:val="18"/>
              </w:rPr>
            </w:pPr>
            <w:r w:rsidRPr="00BC4AFE">
              <w:rPr>
                <w:sz w:val="18"/>
                <w:szCs w:val="18"/>
              </w:rPr>
              <w:t>3,930</w:t>
            </w:r>
          </w:p>
        </w:tc>
        <w:tc>
          <w:tcPr>
            <w:tcW w:w="1171" w:type="dxa"/>
            <w:shd w:val="clear" w:color="auto" w:fill="auto"/>
            <w:noWrap/>
            <w:vAlign w:val="center"/>
            <w:hideMark/>
          </w:tcPr>
          <w:p w14:paraId="1C731305" w14:textId="77777777" w:rsidR="00FC752D" w:rsidRPr="00BC4AFE" w:rsidRDefault="00FC752D" w:rsidP="006211D7">
            <w:pPr>
              <w:widowControl w:val="0"/>
              <w:ind w:right="144"/>
              <w:jc w:val="right"/>
              <w:rPr>
                <w:sz w:val="18"/>
                <w:szCs w:val="18"/>
              </w:rPr>
            </w:pPr>
            <w:r w:rsidRPr="00BC4AFE">
              <w:rPr>
                <w:sz w:val="18"/>
                <w:szCs w:val="18"/>
              </w:rPr>
              <w:t>7,512</w:t>
            </w:r>
          </w:p>
        </w:tc>
      </w:tr>
      <w:tr w:rsidR="00FC752D" w:rsidRPr="00BC4AFE" w14:paraId="348766C8" w14:textId="77777777" w:rsidTr="00A60395">
        <w:trPr>
          <w:cantSplit/>
          <w:trHeight w:val="245"/>
        </w:trPr>
        <w:tc>
          <w:tcPr>
            <w:tcW w:w="3605" w:type="dxa"/>
            <w:shd w:val="clear" w:color="auto" w:fill="auto"/>
            <w:vAlign w:val="center"/>
            <w:hideMark/>
          </w:tcPr>
          <w:p w14:paraId="6A8411D7" w14:textId="77777777" w:rsidR="00FC752D" w:rsidRPr="00BC4AFE" w:rsidRDefault="00FC752D" w:rsidP="006211D7">
            <w:pPr>
              <w:widowControl w:val="0"/>
              <w:ind w:left="144" w:hanging="144"/>
              <w:rPr>
                <w:sz w:val="18"/>
                <w:szCs w:val="18"/>
              </w:rPr>
            </w:pPr>
            <w:r w:rsidRPr="00BC4AFE">
              <w:rPr>
                <w:sz w:val="18"/>
                <w:szCs w:val="18"/>
              </w:rPr>
              <w:t>Kazakhstan</w:t>
            </w:r>
          </w:p>
        </w:tc>
        <w:tc>
          <w:tcPr>
            <w:tcW w:w="1182" w:type="dxa"/>
            <w:shd w:val="clear" w:color="auto" w:fill="auto"/>
            <w:vAlign w:val="center"/>
            <w:hideMark/>
          </w:tcPr>
          <w:p w14:paraId="67AD60F6" w14:textId="77777777" w:rsidR="00FC752D" w:rsidRPr="00BC4AFE" w:rsidRDefault="00FC752D" w:rsidP="006211D7">
            <w:pPr>
              <w:widowControl w:val="0"/>
              <w:ind w:right="144"/>
              <w:jc w:val="right"/>
              <w:rPr>
                <w:sz w:val="18"/>
                <w:szCs w:val="18"/>
              </w:rPr>
            </w:pPr>
            <w:r w:rsidRPr="00BC4AFE">
              <w:rPr>
                <w:sz w:val="18"/>
                <w:szCs w:val="18"/>
              </w:rPr>
              <w:t>0.133</w:t>
            </w:r>
          </w:p>
        </w:tc>
        <w:tc>
          <w:tcPr>
            <w:tcW w:w="1182" w:type="dxa"/>
            <w:shd w:val="clear" w:color="auto" w:fill="auto"/>
            <w:noWrap/>
            <w:vAlign w:val="center"/>
            <w:hideMark/>
          </w:tcPr>
          <w:p w14:paraId="016DA0E0" w14:textId="77777777" w:rsidR="00FC752D" w:rsidRPr="00BC4AFE" w:rsidRDefault="00FC752D" w:rsidP="006211D7">
            <w:pPr>
              <w:widowControl w:val="0"/>
              <w:ind w:right="144"/>
              <w:jc w:val="right"/>
              <w:rPr>
                <w:sz w:val="18"/>
                <w:szCs w:val="18"/>
              </w:rPr>
            </w:pPr>
            <w:r w:rsidRPr="00BC4AFE">
              <w:rPr>
                <w:sz w:val="18"/>
                <w:szCs w:val="18"/>
              </w:rPr>
              <w:t>0.166</w:t>
            </w:r>
          </w:p>
        </w:tc>
        <w:tc>
          <w:tcPr>
            <w:tcW w:w="1182" w:type="dxa"/>
            <w:shd w:val="clear" w:color="auto" w:fill="auto"/>
            <w:noWrap/>
            <w:vAlign w:val="center"/>
            <w:hideMark/>
          </w:tcPr>
          <w:p w14:paraId="65C16D3E" w14:textId="77777777" w:rsidR="00FC752D" w:rsidRPr="00BC4AFE" w:rsidRDefault="00FC752D" w:rsidP="006211D7">
            <w:pPr>
              <w:widowControl w:val="0"/>
              <w:ind w:right="144"/>
              <w:jc w:val="right"/>
              <w:rPr>
                <w:sz w:val="18"/>
                <w:szCs w:val="18"/>
              </w:rPr>
            </w:pPr>
            <w:r w:rsidRPr="00BC4AFE">
              <w:rPr>
                <w:sz w:val="18"/>
                <w:szCs w:val="18"/>
              </w:rPr>
              <w:t>21,659</w:t>
            </w:r>
          </w:p>
        </w:tc>
        <w:tc>
          <w:tcPr>
            <w:tcW w:w="1182" w:type="dxa"/>
            <w:shd w:val="clear" w:color="auto" w:fill="auto"/>
            <w:noWrap/>
            <w:vAlign w:val="center"/>
            <w:hideMark/>
          </w:tcPr>
          <w:p w14:paraId="4888C262" w14:textId="77777777" w:rsidR="00FC752D" w:rsidRPr="00BC4AFE" w:rsidRDefault="00FC752D" w:rsidP="006211D7">
            <w:pPr>
              <w:widowControl w:val="0"/>
              <w:ind w:right="144"/>
              <w:jc w:val="right"/>
              <w:rPr>
                <w:sz w:val="18"/>
                <w:szCs w:val="18"/>
              </w:rPr>
            </w:pPr>
            <w:r w:rsidRPr="00BC4AFE">
              <w:rPr>
                <w:sz w:val="18"/>
                <w:szCs w:val="18"/>
              </w:rPr>
              <w:t>23,756</w:t>
            </w:r>
          </w:p>
        </w:tc>
        <w:tc>
          <w:tcPr>
            <w:tcW w:w="1171" w:type="dxa"/>
            <w:shd w:val="clear" w:color="auto" w:fill="auto"/>
            <w:noWrap/>
            <w:vAlign w:val="center"/>
            <w:hideMark/>
          </w:tcPr>
          <w:p w14:paraId="41960D42" w14:textId="77777777" w:rsidR="00FC752D" w:rsidRPr="00BC4AFE" w:rsidRDefault="00FC752D" w:rsidP="006211D7">
            <w:pPr>
              <w:widowControl w:val="0"/>
              <w:ind w:right="144"/>
              <w:jc w:val="right"/>
              <w:rPr>
                <w:sz w:val="18"/>
                <w:szCs w:val="18"/>
              </w:rPr>
            </w:pPr>
            <w:r w:rsidRPr="00BC4AFE">
              <w:rPr>
                <w:sz w:val="18"/>
                <w:szCs w:val="18"/>
              </w:rPr>
              <w:t>45,415</w:t>
            </w:r>
          </w:p>
        </w:tc>
      </w:tr>
      <w:tr w:rsidR="00FC752D" w:rsidRPr="00BC4AFE" w14:paraId="191CDE02" w14:textId="77777777" w:rsidTr="00A60395">
        <w:trPr>
          <w:cantSplit/>
          <w:trHeight w:val="245"/>
        </w:trPr>
        <w:tc>
          <w:tcPr>
            <w:tcW w:w="3605" w:type="dxa"/>
            <w:shd w:val="clear" w:color="auto" w:fill="auto"/>
            <w:vAlign w:val="center"/>
            <w:hideMark/>
          </w:tcPr>
          <w:p w14:paraId="497EDD46" w14:textId="77777777" w:rsidR="00FC752D" w:rsidRPr="00BC4AFE" w:rsidRDefault="00FC752D" w:rsidP="006211D7">
            <w:pPr>
              <w:widowControl w:val="0"/>
              <w:ind w:left="144" w:hanging="144"/>
              <w:rPr>
                <w:sz w:val="18"/>
                <w:szCs w:val="18"/>
              </w:rPr>
            </w:pPr>
            <w:r w:rsidRPr="00BC4AFE">
              <w:rPr>
                <w:sz w:val="18"/>
                <w:szCs w:val="18"/>
              </w:rPr>
              <w:t>Kenya</w:t>
            </w:r>
          </w:p>
        </w:tc>
        <w:tc>
          <w:tcPr>
            <w:tcW w:w="1182" w:type="dxa"/>
            <w:shd w:val="clear" w:color="auto" w:fill="auto"/>
            <w:vAlign w:val="center"/>
            <w:hideMark/>
          </w:tcPr>
          <w:p w14:paraId="22FB9F5F" w14:textId="77777777" w:rsidR="00FC752D" w:rsidRPr="00BC4AFE" w:rsidRDefault="00FC752D" w:rsidP="006211D7">
            <w:pPr>
              <w:widowControl w:val="0"/>
              <w:ind w:right="144"/>
              <w:jc w:val="right"/>
              <w:rPr>
                <w:sz w:val="18"/>
                <w:szCs w:val="18"/>
              </w:rPr>
            </w:pPr>
            <w:r w:rsidRPr="00BC4AFE">
              <w:rPr>
                <w:sz w:val="18"/>
                <w:szCs w:val="18"/>
              </w:rPr>
              <w:t>0.030</w:t>
            </w:r>
          </w:p>
        </w:tc>
        <w:tc>
          <w:tcPr>
            <w:tcW w:w="1182" w:type="dxa"/>
            <w:shd w:val="clear" w:color="auto" w:fill="auto"/>
            <w:noWrap/>
            <w:vAlign w:val="center"/>
            <w:hideMark/>
          </w:tcPr>
          <w:p w14:paraId="2A1DCA4B" w14:textId="77777777" w:rsidR="00FC752D" w:rsidRPr="00BC4AFE" w:rsidRDefault="00FC752D" w:rsidP="006211D7">
            <w:pPr>
              <w:widowControl w:val="0"/>
              <w:ind w:right="144"/>
              <w:jc w:val="right"/>
              <w:rPr>
                <w:sz w:val="18"/>
                <w:szCs w:val="18"/>
              </w:rPr>
            </w:pPr>
            <w:r w:rsidRPr="00BC4AFE">
              <w:rPr>
                <w:sz w:val="18"/>
                <w:szCs w:val="18"/>
              </w:rPr>
              <w:t>0.038</w:t>
            </w:r>
          </w:p>
        </w:tc>
        <w:tc>
          <w:tcPr>
            <w:tcW w:w="1182" w:type="dxa"/>
            <w:shd w:val="clear" w:color="auto" w:fill="auto"/>
            <w:noWrap/>
            <w:vAlign w:val="center"/>
            <w:hideMark/>
          </w:tcPr>
          <w:p w14:paraId="53E65D5C" w14:textId="77777777" w:rsidR="00FC752D" w:rsidRPr="00BC4AFE" w:rsidRDefault="00FC752D" w:rsidP="006211D7">
            <w:pPr>
              <w:widowControl w:val="0"/>
              <w:ind w:right="144"/>
              <w:jc w:val="right"/>
              <w:rPr>
                <w:sz w:val="18"/>
                <w:szCs w:val="18"/>
              </w:rPr>
            </w:pPr>
            <w:r w:rsidRPr="00BC4AFE">
              <w:rPr>
                <w:sz w:val="18"/>
                <w:szCs w:val="18"/>
              </w:rPr>
              <w:t>4,885</w:t>
            </w:r>
          </w:p>
        </w:tc>
        <w:tc>
          <w:tcPr>
            <w:tcW w:w="1182" w:type="dxa"/>
            <w:shd w:val="clear" w:color="auto" w:fill="auto"/>
            <w:noWrap/>
            <w:vAlign w:val="center"/>
            <w:hideMark/>
          </w:tcPr>
          <w:p w14:paraId="47988284" w14:textId="77777777" w:rsidR="00FC752D" w:rsidRPr="00BC4AFE" w:rsidRDefault="00FC752D" w:rsidP="006211D7">
            <w:pPr>
              <w:widowControl w:val="0"/>
              <w:ind w:right="144"/>
              <w:jc w:val="right"/>
              <w:rPr>
                <w:sz w:val="18"/>
                <w:szCs w:val="18"/>
              </w:rPr>
            </w:pPr>
            <w:r w:rsidRPr="00BC4AFE">
              <w:rPr>
                <w:sz w:val="18"/>
                <w:szCs w:val="18"/>
              </w:rPr>
              <w:t>5,358</w:t>
            </w:r>
          </w:p>
        </w:tc>
        <w:tc>
          <w:tcPr>
            <w:tcW w:w="1171" w:type="dxa"/>
            <w:shd w:val="clear" w:color="auto" w:fill="auto"/>
            <w:noWrap/>
            <w:vAlign w:val="center"/>
            <w:hideMark/>
          </w:tcPr>
          <w:p w14:paraId="40D3D19A" w14:textId="77777777" w:rsidR="00FC752D" w:rsidRPr="00BC4AFE" w:rsidRDefault="00FC752D" w:rsidP="006211D7">
            <w:pPr>
              <w:widowControl w:val="0"/>
              <w:ind w:right="144"/>
              <w:jc w:val="right"/>
              <w:rPr>
                <w:sz w:val="18"/>
                <w:szCs w:val="18"/>
              </w:rPr>
            </w:pPr>
            <w:r w:rsidRPr="00BC4AFE">
              <w:rPr>
                <w:sz w:val="18"/>
                <w:szCs w:val="18"/>
              </w:rPr>
              <w:t>10,244</w:t>
            </w:r>
          </w:p>
        </w:tc>
      </w:tr>
      <w:tr w:rsidR="00FC752D" w:rsidRPr="00BC4AFE" w14:paraId="01F71276" w14:textId="77777777" w:rsidTr="00A60395">
        <w:trPr>
          <w:cantSplit/>
          <w:trHeight w:val="245"/>
        </w:trPr>
        <w:tc>
          <w:tcPr>
            <w:tcW w:w="3605" w:type="dxa"/>
            <w:shd w:val="clear" w:color="auto" w:fill="auto"/>
            <w:vAlign w:val="center"/>
            <w:hideMark/>
          </w:tcPr>
          <w:p w14:paraId="037DBD22" w14:textId="77777777" w:rsidR="00FC752D" w:rsidRPr="00BC4AFE" w:rsidRDefault="00FC752D" w:rsidP="006211D7">
            <w:pPr>
              <w:widowControl w:val="0"/>
              <w:ind w:left="144" w:hanging="144"/>
              <w:rPr>
                <w:sz w:val="18"/>
                <w:szCs w:val="18"/>
              </w:rPr>
            </w:pPr>
            <w:r w:rsidRPr="00BC4AFE">
              <w:rPr>
                <w:sz w:val="18"/>
                <w:szCs w:val="18"/>
              </w:rPr>
              <w:lastRenderedPageBreak/>
              <w:t>Kiribati</w:t>
            </w:r>
          </w:p>
        </w:tc>
        <w:tc>
          <w:tcPr>
            <w:tcW w:w="1182" w:type="dxa"/>
            <w:shd w:val="clear" w:color="auto" w:fill="auto"/>
            <w:vAlign w:val="center"/>
            <w:hideMark/>
          </w:tcPr>
          <w:p w14:paraId="09CD82FE"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C27023F"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F8DF8A9"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34895A1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450FC98"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B64D296" w14:textId="77777777" w:rsidTr="00A60395">
        <w:trPr>
          <w:cantSplit/>
          <w:trHeight w:val="245"/>
        </w:trPr>
        <w:tc>
          <w:tcPr>
            <w:tcW w:w="3605" w:type="dxa"/>
            <w:shd w:val="clear" w:color="auto" w:fill="auto"/>
            <w:vAlign w:val="center"/>
            <w:hideMark/>
          </w:tcPr>
          <w:p w14:paraId="7E8BF807" w14:textId="77777777" w:rsidR="00FC752D" w:rsidRPr="00BC4AFE" w:rsidRDefault="00FC752D" w:rsidP="006211D7">
            <w:pPr>
              <w:widowControl w:val="0"/>
              <w:ind w:left="144" w:hanging="144"/>
              <w:rPr>
                <w:sz w:val="18"/>
                <w:szCs w:val="18"/>
              </w:rPr>
            </w:pPr>
            <w:r w:rsidRPr="00BC4AFE">
              <w:rPr>
                <w:sz w:val="18"/>
                <w:szCs w:val="18"/>
              </w:rPr>
              <w:t>Kuwait</w:t>
            </w:r>
          </w:p>
        </w:tc>
        <w:tc>
          <w:tcPr>
            <w:tcW w:w="1182" w:type="dxa"/>
            <w:shd w:val="clear" w:color="auto" w:fill="auto"/>
            <w:vAlign w:val="center"/>
            <w:hideMark/>
          </w:tcPr>
          <w:p w14:paraId="5AB72978" w14:textId="77777777" w:rsidR="00FC752D" w:rsidRPr="00BC4AFE" w:rsidRDefault="00FC752D" w:rsidP="006211D7">
            <w:pPr>
              <w:widowControl w:val="0"/>
              <w:ind w:right="144"/>
              <w:jc w:val="right"/>
              <w:rPr>
                <w:sz w:val="18"/>
                <w:szCs w:val="18"/>
              </w:rPr>
            </w:pPr>
            <w:r w:rsidRPr="00BC4AFE">
              <w:rPr>
                <w:sz w:val="18"/>
                <w:szCs w:val="18"/>
              </w:rPr>
              <w:t>0.234</w:t>
            </w:r>
          </w:p>
        </w:tc>
        <w:tc>
          <w:tcPr>
            <w:tcW w:w="1182" w:type="dxa"/>
            <w:shd w:val="clear" w:color="auto" w:fill="auto"/>
            <w:noWrap/>
            <w:vAlign w:val="center"/>
            <w:hideMark/>
          </w:tcPr>
          <w:p w14:paraId="3FBEB3FD" w14:textId="77777777" w:rsidR="00FC752D" w:rsidRPr="00BC4AFE" w:rsidRDefault="00FC752D" w:rsidP="006211D7">
            <w:pPr>
              <w:widowControl w:val="0"/>
              <w:ind w:right="144"/>
              <w:jc w:val="right"/>
              <w:rPr>
                <w:sz w:val="18"/>
                <w:szCs w:val="18"/>
              </w:rPr>
            </w:pPr>
            <w:r w:rsidRPr="00BC4AFE">
              <w:rPr>
                <w:sz w:val="18"/>
                <w:szCs w:val="18"/>
              </w:rPr>
              <w:t>0.293</w:t>
            </w:r>
          </w:p>
        </w:tc>
        <w:tc>
          <w:tcPr>
            <w:tcW w:w="1182" w:type="dxa"/>
            <w:shd w:val="clear" w:color="auto" w:fill="auto"/>
            <w:noWrap/>
            <w:vAlign w:val="center"/>
            <w:hideMark/>
          </w:tcPr>
          <w:p w14:paraId="120BD11F" w14:textId="77777777" w:rsidR="00FC752D" w:rsidRPr="00BC4AFE" w:rsidRDefault="00FC752D" w:rsidP="006211D7">
            <w:pPr>
              <w:widowControl w:val="0"/>
              <w:ind w:right="144"/>
              <w:jc w:val="right"/>
              <w:rPr>
                <w:sz w:val="18"/>
                <w:szCs w:val="18"/>
              </w:rPr>
            </w:pPr>
            <w:r w:rsidRPr="00BC4AFE">
              <w:rPr>
                <w:sz w:val="18"/>
                <w:szCs w:val="18"/>
              </w:rPr>
              <w:t>38,106</w:t>
            </w:r>
          </w:p>
        </w:tc>
        <w:tc>
          <w:tcPr>
            <w:tcW w:w="1182" w:type="dxa"/>
            <w:shd w:val="clear" w:color="auto" w:fill="auto"/>
            <w:noWrap/>
            <w:vAlign w:val="center"/>
            <w:hideMark/>
          </w:tcPr>
          <w:p w14:paraId="6A624E6D" w14:textId="77777777" w:rsidR="00FC752D" w:rsidRPr="00BC4AFE" w:rsidRDefault="00FC752D" w:rsidP="006211D7">
            <w:pPr>
              <w:widowControl w:val="0"/>
              <w:ind w:right="144"/>
              <w:jc w:val="right"/>
              <w:rPr>
                <w:sz w:val="18"/>
                <w:szCs w:val="18"/>
              </w:rPr>
            </w:pPr>
            <w:r w:rsidRPr="00BC4AFE">
              <w:rPr>
                <w:sz w:val="18"/>
                <w:szCs w:val="18"/>
              </w:rPr>
              <w:t>41,796</w:t>
            </w:r>
          </w:p>
        </w:tc>
        <w:tc>
          <w:tcPr>
            <w:tcW w:w="1171" w:type="dxa"/>
            <w:shd w:val="clear" w:color="auto" w:fill="auto"/>
            <w:noWrap/>
            <w:vAlign w:val="center"/>
            <w:hideMark/>
          </w:tcPr>
          <w:p w14:paraId="5867A654" w14:textId="77777777" w:rsidR="00FC752D" w:rsidRPr="00BC4AFE" w:rsidRDefault="00FC752D" w:rsidP="006211D7">
            <w:pPr>
              <w:widowControl w:val="0"/>
              <w:ind w:right="144"/>
              <w:jc w:val="right"/>
              <w:rPr>
                <w:sz w:val="18"/>
                <w:szCs w:val="18"/>
              </w:rPr>
            </w:pPr>
            <w:r w:rsidRPr="00BC4AFE">
              <w:rPr>
                <w:sz w:val="18"/>
                <w:szCs w:val="18"/>
              </w:rPr>
              <w:t>79,903</w:t>
            </w:r>
          </w:p>
        </w:tc>
      </w:tr>
      <w:tr w:rsidR="00FC752D" w:rsidRPr="00BC4AFE" w14:paraId="1AFA411C" w14:textId="77777777" w:rsidTr="00A60395">
        <w:trPr>
          <w:cantSplit/>
          <w:trHeight w:val="245"/>
        </w:trPr>
        <w:tc>
          <w:tcPr>
            <w:tcW w:w="3605" w:type="dxa"/>
            <w:shd w:val="clear" w:color="auto" w:fill="auto"/>
            <w:vAlign w:val="center"/>
            <w:hideMark/>
          </w:tcPr>
          <w:p w14:paraId="05EF97D1" w14:textId="77777777" w:rsidR="00FC752D" w:rsidRPr="00BC4AFE" w:rsidRDefault="00FC752D" w:rsidP="006211D7">
            <w:pPr>
              <w:widowControl w:val="0"/>
              <w:ind w:left="144" w:hanging="144"/>
              <w:rPr>
                <w:sz w:val="18"/>
                <w:szCs w:val="18"/>
              </w:rPr>
            </w:pPr>
            <w:r w:rsidRPr="00BC4AFE">
              <w:rPr>
                <w:sz w:val="18"/>
                <w:szCs w:val="18"/>
              </w:rPr>
              <w:t>Kyrgyzstan</w:t>
            </w:r>
          </w:p>
        </w:tc>
        <w:tc>
          <w:tcPr>
            <w:tcW w:w="1182" w:type="dxa"/>
            <w:shd w:val="clear" w:color="auto" w:fill="auto"/>
            <w:vAlign w:val="center"/>
            <w:hideMark/>
          </w:tcPr>
          <w:p w14:paraId="539FDFCD"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3759A220"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04AD79A0"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0E1F93FE"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6C7D38D5"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3DAEB5B0" w14:textId="77777777" w:rsidTr="00A60395">
        <w:trPr>
          <w:cantSplit/>
          <w:trHeight w:val="245"/>
        </w:trPr>
        <w:tc>
          <w:tcPr>
            <w:tcW w:w="3605" w:type="dxa"/>
            <w:shd w:val="clear" w:color="auto" w:fill="auto"/>
            <w:vAlign w:val="center"/>
            <w:hideMark/>
          </w:tcPr>
          <w:p w14:paraId="0DA0A139" w14:textId="77777777" w:rsidR="00FC752D" w:rsidRPr="00BC4AFE" w:rsidRDefault="00FC752D" w:rsidP="006211D7">
            <w:pPr>
              <w:widowControl w:val="0"/>
              <w:ind w:left="144" w:hanging="144"/>
              <w:rPr>
                <w:sz w:val="18"/>
                <w:szCs w:val="18"/>
              </w:rPr>
            </w:pPr>
            <w:r w:rsidRPr="00BC4AFE">
              <w:rPr>
                <w:sz w:val="18"/>
                <w:szCs w:val="18"/>
              </w:rPr>
              <w:t>Lao People’s Democratic Republic</w:t>
            </w:r>
          </w:p>
        </w:tc>
        <w:tc>
          <w:tcPr>
            <w:tcW w:w="1182" w:type="dxa"/>
            <w:shd w:val="clear" w:color="auto" w:fill="auto"/>
            <w:vAlign w:val="center"/>
            <w:hideMark/>
          </w:tcPr>
          <w:p w14:paraId="6655B736"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hideMark/>
          </w:tcPr>
          <w:p w14:paraId="0162729B"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38D34B92"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hideMark/>
          </w:tcPr>
          <w:p w14:paraId="1D0700C6"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hideMark/>
          </w:tcPr>
          <w:p w14:paraId="30B57DFA"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2FD1C259" w14:textId="77777777" w:rsidTr="00A60395">
        <w:trPr>
          <w:cantSplit/>
          <w:trHeight w:val="245"/>
        </w:trPr>
        <w:tc>
          <w:tcPr>
            <w:tcW w:w="3605" w:type="dxa"/>
            <w:shd w:val="clear" w:color="auto" w:fill="auto"/>
            <w:vAlign w:val="center"/>
            <w:hideMark/>
          </w:tcPr>
          <w:p w14:paraId="727D00EB" w14:textId="77777777" w:rsidR="00FC752D" w:rsidRPr="00BC4AFE" w:rsidRDefault="00FC752D" w:rsidP="006211D7">
            <w:pPr>
              <w:widowControl w:val="0"/>
              <w:ind w:left="144" w:hanging="144"/>
              <w:rPr>
                <w:sz w:val="18"/>
                <w:szCs w:val="18"/>
              </w:rPr>
            </w:pPr>
            <w:r w:rsidRPr="00BC4AFE">
              <w:rPr>
                <w:sz w:val="18"/>
                <w:szCs w:val="18"/>
              </w:rPr>
              <w:t>Latvia</w:t>
            </w:r>
          </w:p>
        </w:tc>
        <w:tc>
          <w:tcPr>
            <w:tcW w:w="1182" w:type="dxa"/>
            <w:shd w:val="clear" w:color="auto" w:fill="auto"/>
            <w:vAlign w:val="center"/>
            <w:hideMark/>
          </w:tcPr>
          <w:p w14:paraId="40992B5C" w14:textId="77777777" w:rsidR="00FC752D" w:rsidRPr="00BC4AFE" w:rsidRDefault="00FC752D" w:rsidP="006211D7">
            <w:pPr>
              <w:widowControl w:val="0"/>
              <w:ind w:right="144"/>
              <w:jc w:val="right"/>
              <w:rPr>
                <w:sz w:val="18"/>
                <w:szCs w:val="18"/>
              </w:rPr>
            </w:pPr>
            <w:r w:rsidRPr="00BC4AFE">
              <w:rPr>
                <w:sz w:val="18"/>
                <w:szCs w:val="18"/>
              </w:rPr>
              <w:t>0.050</w:t>
            </w:r>
          </w:p>
        </w:tc>
        <w:tc>
          <w:tcPr>
            <w:tcW w:w="1182" w:type="dxa"/>
            <w:shd w:val="clear" w:color="auto" w:fill="auto"/>
            <w:noWrap/>
            <w:vAlign w:val="center"/>
            <w:hideMark/>
          </w:tcPr>
          <w:p w14:paraId="4F214927" w14:textId="77777777" w:rsidR="00FC752D" w:rsidRPr="00BC4AFE" w:rsidRDefault="00FC752D" w:rsidP="006211D7">
            <w:pPr>
              <w:widowControl w:val="0"/>
              <w:ind w:right="144"/>
              <w:jc w:val="right"/>
              <w:rPr>
                <w:sz w:val="18"/>
                <w:szCs w:val="18"/>
              </w:rPr>
            </w:pPr>
            <w:r w:rsidRPr="00BC4AFE">
              <w:rPr>
                <w:sz w:val="18"/>
                <w:szCs w:val="18"/>
              </w:rPr>
              <w:t>0.063</w:t>
            </w:r>
          </w:p>
        </w:tc>
        <w:tc>
          <w:tcPr>
            <w:tcW w:w="1182" w:type="dxa"/>
            <w:shd w:val="clear" w:color="auto" w:fill="auto"/>
            <w:noWrap/>
            <w:vAlign w:val="center"/>
            <w:hideMark/>
          </w:tcPr>
          <w:p w14:paraId="4B004A1D" w14:textId="77777777" w:rsidR="00FC752D" w:rsidRPr="00BC4AFE" w:rsidRDefault="00FC752D" w:rsidP="006211D7">
            <w:pPr>
              <w:widowControl w:val="0"/>
              <w:ind w:right="144"/>
              <w:jc w:val="right"/>
              <w:rPr>
                <w:sz w:val="18"/>
                <w:szCs w:val="18"/>
              </w:rPr>
            </w:pPr>
            <w:r w:rsidRPr="00BC4AFE">
              <w:rPr>
                <w:sz w:val="18"/>
                <w:szCs w:val="18"/>
              </w:rPr>
              <w:t>8,142</w:t>
            </w:r>
          </w:p>
        </w:tc>
        <w:tc>
          <w:tcPr>
            <w:tcW w:w="1182" w:type="dxa"/>
            <w:shd w:val="clear" w:color="auto" w:fill="auto"/>
            <w:noWrap/>
            <w:vAlign w:val="center"/>
            <w:hideMark/>
          </w:tcPr>
          <w:p w14:paraId="6528186B" w14:textId="77777777" w:rsidR="00FC752D" w:rsidRPr="00BC4AFE" w:rsidRDefault="00FC752D" w:rsidP="006211D7">
            <w:pPr>
              <w:widowControl w:val="0"/>
              <w:ind w:right="144"/>
              <w:jc w:val="right"/>
              <w:rPr>
                <w:sz w:val="18"/>
                <w:szCs w:val="18"/>
              </w:rPr>
            </w:pPr>
            <w:r w:rsidRPr="00BC4AFE">
              <w:rPr>
                <w:sz w:val="18"/>
                <w:szCs w:val="18"/>
              </w:rPr>
              <w:t>8,931</w:t>
            </w:r>
          </w:p>
        </w:tc>
        <w:tc>
          <w:tcPr>
            <w:tcW w:w="1171" w:type="dxa"/>
            <w:shd w:val="clear" w:color="auto" w:fill="auto"/>
            <w:noWrap/>
            <w:vAlign w:val="center"/>
            <w:hideMark/>
          </w:tcPr>
          <w:p w14:paraId="4E3DB190" w14:textId="77777777" w:rsidR="00FC752D" w:rsidRPr="00BC4AFE" w:rsidRDefault="00FC752D" w:rsidP="006211D7">
            <w:pPr>
              <w:widowControl w:val="0"/>
              <w:ind w:right="144"/>
              <w:jc w:val="right"/>
              <w:rPr>
                <w:sz w:val="18"/>
                <w:szCs w:val="18"/>
              </w:rPr>
            </w:pPr>
            <w:r w:rsidRPr="00BC4AFE">
              <w:rPr>
                <w:sz w:val="18"/>
                <w:szCs w:val="18"/>
              </w:rPr>
              <w:t>17,073</w:t>
            </w:r>
          </w:p>
        </w:tc>
      </w:tr>
      <w:tr w:rsidR="00FC752D" w:rsidRPr="00BC4AFE" w14:paraId="658CD31D" w14:textId="77777777" w:rsidTr="00A60395">
        <w:trPr>
          <w:cantSplit/>
          <w:trHeight w:val="245"/>
        </w:trPr>
        <w:tc>
          <w:tcPr>
            <w:tcW w:w="3605" w:type="dxa"/>
            <w:shd w:val="clear" w:color="auto" w:fill="auto"/>
            <w:vAlign w:val="center"/>
            <w:hideMark/>
          </w:tcPr>
          <w:p w14:paraId="1D198C6D" w14:textId="77777777" w:rsidR="00FC752D" w:rsidRPr="00BC4AFE" w:rsidRDefault="00FC752D" w:rsidP="006211D7">
            <w:pPr>
              <w:widowControl w:val="0"/>
              <w:ind w:left="144" w:hanging="144"/>
              <w:rPr>
                <w:sz w:val="18"/>
                <w:szCs w:val="18"/>
              </w:rPr>
            </w:pPr>
            <w:r w:rsidRPr="00BC4AFE">
              <w:rPr>
                <w:sz w:val="18"/>
                <w:szCs w:val="18"/>
              </w:rPr>
              <w:t>Lebanon</w:t>
            </w:r>
          </w:p>
        </w:tc>
        <w:tc>
          <w:tcPr>
            <w:tcW w:w="1182" w:type="dxa"/>
            <w:shd w:val="clear" w:color="auto" w:fill="auto"/>
            <w:vAlign w:val="center"/>
            <w:hideMark/>
          </w:tcPr>
          <w:p w14:paraId="782CFEFF" w14:textId="77777777" w:rsidR="00FC752D" w:rsidRPr="00BC4AFE" w:rsidRDefault="00FC752D" w:rsidP="006211D7">
            <w:pPr>
              <w:widowControl w:val="0"/>
              <w:ind w:right="144"/>
              <w:jc w:val="right"/>
              <w:rPr>
                <w:sz w:val="18"/>
                <w:szCs w:val="18"/>
              </w:rPr>
            </w:pPr>
            <w:r w:rsidRPr="00BC4AFE">
              <w:rPr>
                <w:sz w:val="18"/>
                <w:szCs w:val="18"/>
              </w:rPr>
              <w:t>0.036</w:t>
            </w:r>
          </w:p>
        </w:tc>
        <w:tc>
          <w:tcPr>
            <w:tcW w:w="1182" w:type="dxa"/>
            <w:shd w:val="clear" w:color="auto" w:fill="auto"/>
            <w:noWrap/>
            <w:vAlign w:val="center"/>
            <w:hideMark/>
          </w:tcPr>
          <w:p w14:paraId="713F6ED3" w14:textId="77777777" w:rsidR="00FC752D" w:rsidRPr="00BC4AFE" w:rsidRDefault="00FC752D" w:rsidP="006211D7">
            <w:pPr>
              <w:widowControl w:val="0"/>
              <w:ind w:right="144"/>
              <w:jc w:val="right"/>
              <w:rPr>
                <w:sz w:val="18"/>
                <w:szCs w:val="18"/>
              </w:rPr>
            </w:pPr>
            <w:r w:rsidRPr="00BC4AFE">
              <w:rPr>
                <w:sz w:val="18"/>
                <w:szCs w:val="18"/>
              </w:rPr>
              <w:t>0.045</w:t>
            </w:r>
          </w:p>
        </w:tc>
        <w:tc>
          <w:tcPr>
            <w:tcW w:w="1182" w:type="dxa"/>
            <w:shd w:val="clear" w:color="auto" w:fill="auto"/>
            <w:noWrap/>
            <w:vAlign w:val="center"/>
            <w:hideMark/>
          </w:tcPr>
          <w:p w14:paraId="298B8DF7" w14:textId="77777777" w:rsidR="00FC752D" w:rsidRPr="00BC4AFE" w:rsidRDefault="00FC752D" w:rsidP="006211D7">
            <w:pPr>
              <w:widowControl w:val="0"/>
              <w:ind w:right="144"/>
              <w:jc w:val="right"/>
              <w:rPr>
                <w:sz w:val="18"/>
                <w:szCs w:val="18"/>
              </w:rPr>
            </w:pPr>
            <w:r w:rsidRPr="00BC4AFE">
              <w:rPr>
                <w:sz w:val="18"/>
                <w:szCs w:val="18"/>
              </w:rPr>
              <w:t>5,862</w:t>
            </w:r>
          </w:p>
        </w:tc>
        <w:tc>
          <w:tcPr>
            <w:tcW w:w="1182" w:type="dxa"/>
            <w:shd w:val="clear" w:color="auto" w:fill="auto"/>
            <w:noWrap/>
            <w:vAlign w:val="center"/>
            <w:hideMark/>
          </w:tcPr>
          <w:p w14:paraId="69D1F333" w14:textId="77777777" w:rsidR="00FC752D" w:rsidRPr="00BC4AFE" w:rsidRDefault="00FC752D" w:rsidP="006211D7">
            <w:pPr>
              <w:widowControl w:val="0"/>
              <w:ind w:right="144"/>
              <w:jc w:val="right"/>
              <w:rPr>
                <w:sz w:val="18"/>
                <w:szCs w:val="18"/>
              </w:rPr>
            </w:pPr>
            <w:r w:rsidRPr="00BC4AFE">
              <w:rPr>
                <w:sz w:val="18"/>
                <w:szCs w:val="18"/>
              </w:rPr>
              <w:t>6,430</w:t>
            </w:r>
          </w:p>
        </w:tc>
        <w:tc>
          <w:tcPr>
            <w:tcW w:w="1171" w:type="dxa"/>
            <w:shd w:val="clear" w:color="auto" w:fill="auto"/>
            <w:noWrap/>
            <w:vAlign w:val="center"/>
            <w:hideMark/>
          </w:tcPr>
          <w:p w14:paraId="366BEDC1" w14:textId="77777777" w:rsidR="00FC752D" w:rsidRPr="00BC4AFE" w:rsidRDefault="00FC752D" w:rsidP="006211D7">
            <w:pPr>
              <w:widowControl w:val="0"/>
              <w:ind w:right="144"/>
              <w:jc w:val="right"/>
              <w:rPr>
                <w:sz w:val="18"/>
                <w:szCs w:val="18"/>
              </w:rPr>
            </w:pPr>
            <w:r w:rsidRPr="00BC4AFE">
              <w:rPr>
                <w:sz w:val="18"/>
                <w:szCs w:val="18"/>
              </w:rPr>
              <w:t>12,293</w:t>
            </w:r>
          </w:p>
        </w:tc>
      </w:tr>
      <w:tr w:rsidR="00FC752D" w:rsidRPr="00BC4AFE" w14:paraId="619F0992" w14:textId="77777777" w:rsidTr="00A60395">
        <w:trPr>
          <w:cantSplit/>
          <w:trHeight w:val="245"/>
        </w:trPr>
        <w:tc>
          <w:tcPr>
            <w:tcW w:w="3605" w:type="dxa"/>
            <w:shd w:val="clear" w:color="auto" w:fill="auto"/>
            <w:vAlign w:val="center"/>
            <w:hideMark/>
          </w:tcPr>
          <w:p w14:paraId="668BDCBE" w14:textId="77777777" w:rsidR="00FC752D" w:rsidRPr="00BC4AFE" w:rsidRDefault="00FC752D" w:rsidP="006211D7">
            <w:pPr>
              <w:widowControl w:val="0"/>
              <w:ind w:left="144" w:hanging="144"/>
              <w:rPr>
                <w:sz w:val="18"/>
                <w:szCs w:val="18"/>
              </w:rPr>
            </w:pPr>
            <w:r w:rsidRPr="00BC4AFE">
              <w:rPr>
                <w:sz w:val="18"/>
                <w:szCs w:val="18"/>
              </w:rPr>
              <w:t>Lesotho</w:t>
            </w:r>
          </w:p>
        </w:tc>
        <w:tc>
          <w:tcPr>
            <w:tcW w:w="1182" w:type="dxa"/>
            <w:shd w:val="clear" w:color="auto" w:fill="auto"/>
            <w:vAlign w:val="center"/>
            <w:hideMark/>
          </w:tcPr>
          <w:p w14:paraId="1EA063B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A1EB655"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7459399"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33C41AE"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59B075AB"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795D6596" w14:textId="77777777" w:rsidTr="00A60395">
        <w:trPr>
          <w:cantSplit/>
          <w:trHeight w:val="245"/>
        </w:trPr>
        <w:tc>
          <w:tcPr>
            <w:tcW w:w="3605" w:type="dxa"/>
            <w:shd w:val="clear" w:color="auto" w:fill="auto"/>
            <w:vAlign w:val="center"/>
            <w:hideMark/>
          </w:tcPr>
          <w:p w14:paraId="2D3F07D2" w14:textId="77777777" w:rsidR="00FC752D" w:rsidRPr="00BC4AFE" w:rsidRDefault="00FC752D" w:rsidP="006211D7">
            <w:pPr>
              <w:widowControl w:val="0"/>
              <w:ind w:left="144" w:hanging="144"/>
              <w:rPr>
                <w:sz w:val="18"/>
                <w:szCs w:val="18"/>
              </w:rPr>
            </w:pPr>
            <w:r w:rsidRPr="00BC4AFE">
              <w:rPr>
                <w:sz w:val="18"/>
                <w:szCs w:val="18"/>
              </w:rPr>
              <w:t>Liberia</w:t>
            </w:r>
          </w:p>
        </w:tc>
        <w:tc>
          <w:tcPr>
            <w:tcW w:w="1182" w:type="dxa"/>
            <w:shd w:val="clear" w:color="auto" w:fill="auto"/>
            <w:vAlign w:val="center"/>
            <w:hideMark/>
          </w:tcPr>
          <w:p w14:paraId="661BDEB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63B69F1"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405C387D"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CEFE98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0ADDC864"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5C1C2F9" w14:textId="77777777" w:rsidTr="00A60395">
        <w:trPr>
          <w:cantSplit/>
          <w:trHeight w:val="245"/>
        </w:trPr>
        <w:tc>
          <w:tcPr>
            <w:tcW w:w="3605" w:type="dxa"/>
            <w:shd w:val="clear" w:color="auto" w:fill="auto"/>
            <w:vAlign w:val="center"/>
            <w:hideMark/>
          </w:tcPr>
          <w:p w14:paraId="0F0F33B7" w14:textId="77777777" w:rsidR="00FC752D" w:rsidRPr="00BC4AFE" w:rsidRDefault="00FC752D" w:rsidP="006211D7">
            <w:pPr>
              <w:widowControl w:val="0"/>
              <w:ind w:left="144" w:hanging="144"/>
              <w:rPr>
                <w:sz w:val="18"/>
                <w:szCs w:val="18"/>
              </w:rPr>
            </w:pPr>
            <w:r w:rsidRPr="00BC4AFE">
              <w:rPr>
                <w:sz w:val="18"/>
                <w:szCs w:val="18"/>
              </w:rPr>
              <w:t>Libya</w:t>
            </w:r>
          </w:p>
        </w:tc>
        <w:tc>
          <w:tcPr>
            <w:tcW w:w="1182" w:type="dxa"/>
            <w:shd w:val="clear" w:color="auto" w:fill="auto"/>
            <w:vAlign w:val="center"/>
            <w:hideMark/>
          </w:tcPr>
          <w:p w14:paraId="553FAFA6" w14:textId="77777777" w:rsidR="00FC752D" w:rsidRPr="00BC4AFE" w:rsidRDefault="00FC752D" w:rsidP="006211D7">
            <w:pPr>
              <w:widowControl w:val="0"/>
              <w:ind w:right="144"/>
              <w:jc w:val="right"/>
              <w:rPr>
                <w:sz w:val="18"/>
                <w:szCs w:val="18"/>
              </w:rPr>
            </w:pPr>
            <w:r w:rsidRPr="00BC4AFE">
              <w:rPr>
                <w:sz w:val="18"/>
                <w:szCs w:val="18"/>
              </w:rPr>
              <w:t>0.018</w:t>
            </w:r>
          </w:p>
        </w:tc>
        <w:tc>
          <w:tcPr>
            <w:tcW w:w="1182" w:type="dxa"/>
            <w:shd w:val="clear" w:color="auto" w:fill="auto"/>
            <w:noWrap/>
            <w:vAlign w:val="center"/>
            <w:hideMark/>
          </w:tcPr>
          <w:p w14:paraId="074247AD" w14:textId="77777777" w:rsidR="00FC752D" w:rsidRPr="00BC4AFE" w:rsidRDefault="00FC752D" w:rsidP="006211D7">
            <w:pPr>
              <w:widowControl w:val="0"/>
              <w:ind w:right="144"/>
              <w:jc w:val="right"/>
              <w:rPr>
                <w:sz w:val="18"/>
                <w:szCs w:val="18"/>
              </w:rPr>
            </w:pPr>
            <w:r w:rsidRPr="00BC4AFE">
              <w:rPr>
                <w:sz w:val="18"/>
                <w:szCs w:val="18"/>
              </w:rPr>
              <w:t>0.023</w:t>
            </w:r>
          </w:p>
        </w:tc>
        <w:tc>
          <w:tcPr>
            <w:tcW w:w="1182" w:type="dxa"/>
            <w:shd w:val="clear" w:color="auto" w:fill="auto"/>
            <w:noWrap/>
            <w:vAlign w:val="center"/>
            <w:hideMark/>
          </w:tcPr>
          <w:p w14:paraId="14C47F8F" w14:textId="77777777" w:rsidR="00FC752D" w:rsidRPr="00BC4AFE" w:rsidRDefault="00FC752D" w:rsidP="006211D7">
            <w:pPr>
              <w:widowControl w:val="0"/>
              <w:ind w:right="144"/>
              <w:jc w:val="right"/>
              <w:rPr>
                <w:sz w:val="18"/>
                <w:szCs w:val="18"/>
              </w:rPr>
            </w:pPr>
            <w:r w:rsidRPr="00BC4AFE">
              <w:rPr>
                <w:sz w:val="18"/>
                <w:szCs w:val="18"/>
              </w:rPr>
              <w:t>2,931</w:t>
            </w:r>
          </w:p>
        </w:tc>
        <w:tc>
          <w:tcPr>
            <w:tcW w:w="1182" w:type="dxa"/>
            <w:shd w:val="clear" w:color="auto" w:fill="auto"/>
            <w:noWrap/>
            <w:vAlign w:val="center"/>
            <w:hideMark/>
          </w:tcPr>
          <w:p w14:paraId="515E3DE8" w14:textId="77777777" w:rsidR="00FC752D" w:rsidRPr="00BC4AFE" w:rsidRDefault="00FC752D" w:rsidP="006211D7">
            <w:pPr>
              <w:widowControl w:val="0"/>
              <w:ind w:right="144"/>
              <w:jc w:val="right"/>
              <w:rPr>
                <w:sz w:val="18"/>
                <w:szCs w:val="18"/>
              </w:rPr>
            </w:pPr>
            <w:r w:rsidRPr="00BC4AFE">
              <w:rPr>
                <w:sz w:val="18"/>
                <w:szCs w:val="18"/>
              </w:rPr>
              <w:t>3,215</w:t>
            </w:r>
          </w:p>
        </w:tc>
        <w:tc>
          <w:tcPr>
            <w:tcW w:w="1171" w:type="dxa"/>
            <w:shd w:val="clear" w:color="auto" w:fill="auto"/>
            <w:noWrap/>
            <w:vAlign w:val="center"/>
            <w:hideMark/>
          </w:tcPr>
          <w:p w14:paraId="2779C686" w14:textId="77777777" w:rsidR="00FC752D" w:rsidRPr="00BC4AFE" w:rsidRDefault="00FC752D" w:rsidP="006211D7">
            <w:pPr>
              <w:widowControl w:val="0"/>
              <w:ind w:right="144"/>
              <w:jc w:val="right"/>
              <w:rPr>
                <w:sz w:val="18"/>
                <w:szCs w:val="18"/>
              </w:rPr>
            </w:pPr>
            <w:r w:rsidRPr="00BC4AFE">
              <w:rPr>
                <w:sz w:val="18"/>
                <w:szCs w:val="18"/>
              </w:rPr>
              <w:t>6,146</w:t>
            </w:r>
          </w:p>
        </w:tc>
      </w:tr>
      <w:tr w:rsidR="00FC752D" w:rsidRPr="00BC4AFE" w14:paraId="3BAADFB5" w14:textId="77777777" w:rsidTr="00A60395">
        <w:trPr>
          <w:cantSplit/>
          <w:trHeight w:val="245"/>
        </w:trPr>
        <w:tc>
          <w:tcPr>
            <w:tcW w:w="3605" w:type="dxa"/>
            <w:shd w:val="clear" w:color="auto" w:fill="auto"/>
            <w:vAlign w:val="center"/>
            <w:hideMark/>
          </w:tcPr>
          <w:p w14:paraId="75617816" w14:textId="77777777" w:rsidR="00FC752D" w:rsidRPr="00BC4AFE" w:rsidRDefault="00FC752D" w:rsidP="006211D7">
            <w:pPr>
              <w:widowControl w:val="0"/>
              <w:ind w:left="144" w:hanging="144"/>
              <w:rPr>
                <w:sz w:val="18"/>
                <w:szCs w:val="18"/>
              </w:rPr>
            </w:pPr>
            <w:r w:rsidRPr="00BC4AFE">
              <w:rPr>
                <w:sz w:val="18"/>
                <w:szCs w:val="18"/>
              </w:rPr>
              <w:t>Liechtenstein</w:t>
            </w:r>
          </w:p>
        </w:tc>
        <w:tc>
          <w:tcPr>
            <w:tcW w:w="1182" w:type="dxa"/>
            <w:shd w:val="clear" w:color="auto" w:fill="auto"/>
            <w:vAlign w:val="center"/>
            <w:hideMark/>
          </w:tcPr>
          <w:p w14:paraId="3748D596"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00369D0F" w14:textId="77777777" w:rsidR="00FC752D" w:rsidRPr="00BC4AFE" w:rsidRDefault="00FC752D" w:rsidP="006211D7">
            <w:pPr>
              <w:widowControl w:val="0"/>
              <w:ind w:right="144"/>
              <w:jc w:val="right"/>
              <w:rPr>
                <w:sz w:val="18"/>
                <w:szCs w:val="18"/>
              </w:rPr>
            </w:pPr>
            <w:r w:rsidRPr="00BC4AFE">
              <w:rPr>
                <w:sz w:val="18"/>
                <w:szCs w:val="18"/>
              </w:rPr>
              <w:t>0.013</w:t>
            </w:r>
          </w:p>
        </w:tc>
        <w:tc>
          <w:tcPr>
            <w:tcW w:w="1182" w:type="dxa"/>
            <w:shd w:val="clear" w:color="auto" w:fill="auto"/>
            <w:noWrap/>
            <w:vAlign w:val="center"/>
            <w:hideMark/>
          </w:tcPr>
          <w:p w14:paraId="4A33F974" w14:textId="77777777" w:rsidR="00FC752D" w:rsidRPr="00BC4AFE" w:rsidRDefault="00FC752D" w:rsidP="006211D7">
            <w:pPr>
              <w:widowControl w:val="0"/>
              <w:ind w:right="144"/>
              <w:jc w:val="right"/>
              <w:rPr>
                <w:sz w:val="18"/>
                <w:szCs w:val="18"/>
              </w:rPr>
            </w:pPr>
            <w:r w:rsidRPr="00BC4AFE">
              <w:rPr>
                <w:sz w:val="18"/>
                <w:szCs w:val="18"/>
              </w:rPr>
              <w:t>1,628</w:t>
            </w:r>
          </w:p>
        </w:tc>
        <w:tc>
          <w:tcPr>
            <w:tcW w:w="1182" w:type="dxa"/>
            <w:shd w:val="clear" w:color="auto" w:fill="auto"/>
            <w:noWrap/>
            <w:vAlign w:val="center"/>
            <w:hideMark/>
          </w:tcPr>
          <w:p w14:paraId="46F5A90A" w14:textId="77777777" w:rsidR="00FC752D" w:rsidRPr="00BC4AFE" w:rsidRDefault="00FC752D" w:rsidP="006211D7">
            <w:pPr>
              <w:widowControl w:val="0"/>
              <w:ind w:right="144"/>
              <w:jc w:val="right"/>
              <w:rPr>
                <w:sz w:val="18"/>
                <w:szCs w:val="18"/>
              </w:rPr>
            </w:pPr>
            <w:r w:rsidRPr="00BC4AFE">
              <w:rPr>
                <w:sz w:val="18"/>
                <w:szCs w:val="18"/>
              </w:rPr>
              <w:t>1,786</w:t>
            </w:r>
          </w:p>
        </w:tc>
        <w:tc>
          <w:tcPr>
            <w:tcW w:w="1171" w:type="dxa"/>
            <w:shd w:val="clear" w:color="auto" w:fill="auto"/>
            <w:noWrap/>
            <w:vAlign w:val="center"/>
            <w:hideMark/>
          </w:tcPr>
          <w:p w14:paraId="5962BAF3" w14:textId="77777777" w:rsidR="00FC752D" w:rsidRPr="00BC4AFE" w:rsidRDefault="00FC752D" w:rsidP="006211D7">
            <w:pPr>
              <w:widowControl w:val="0"/>
              <w:ind w:right="144"/>
              <w:jc w:val="right"/>
              <w:rPr>
                <w:sz w:val="18"/>
                <w:szCs w:val="18"/>
              </w:rPr>
            </w:pPr>
            <w:r w:rsidRPr="00BC4AFE">
              <w:rPr>
                <w:sz w:val="18"/>
                <w:szCs w:val="18"/>
              </w:rPr>
              <w:t>3,415</w:t>
            </w:r>
          </w:p>
        </w:tc>
      </w:tr>
      <w:tr w:rsidR="00FC752D" w:rsidRPr="00BC4AFE" w14:paraId="5D968434" w14:textId="77777777" w:rsidTr="00A60395">
        <w:trPr>
          <w:cantSplit/>
          <w:trHeight w:val="245"/>
        </w:trPr>
        <w:tc>
          <w:tcPr>
            <w:tcW w:w="3605" w:type="dxa"/>
            <w:shd w:val="clear" w:color="auto" w:fill="auto"/>
            <w:vAlign w:val="center"/>
            <w:hideMark/>
          </w:tcPr>
          <w:p w14:paraId="2554FE05" w14:textId="77777777" w:rsidR="00FC752D" w:rsidRPr="00BC4AFE" w:rsidRDefault="00FC752D" w:rsidP="006211D7">
            <w:pPr>
              <w:widowControl w:val="0"/>
              <w:ind w:left="144" w:hanging="144"/>
              <w:rPr>
                <w:sz w:val="18"/>
                <w:szCs w:val="18"/>
              </w:rPr>
            </w:pPr>
            <w:r w:rsidRPr="00BC4AFE">
              <w:rPr>
                <w:sz w:val="18"/>
                <w:szCs w:val="18"/>
              </w:rPr>
              <w:t>Lithuania</w:t>
            </w:r>
          </w:p>
        </w:tc>
        <w:tc>
          <w:tcPr>
            <w:tcW w:w="1182" w:type="dxa"/>
            <w:shd w:val="clear" w:color="auto" w:fill="auto"/>
            <w:vAlign w:val="center"/>
            <w:hideMark/>
          </w:tcPr>
          <w:p w14:paraId="48A1C26F" w14:textId="77777777" w:rsidR="00FC752D" w:rsidRPr="00BC4AFE" w:rsidRDefault="00FC752D" w:rsidP="006211D7">
            <w:pPr>
              <w:widowControl w:val="0"/>
              <w:ind w:right="144"/>
              <w:jc w:val="right"/>
              <w:rPr>
                <w:sz w:val="18"/>
                <w:szCs w:val="18"/>
              </w:rPr>
            </w:pPr>
            <w:r w:rsidRPr="00BC4AFE">
              <w:rPr>
                <w:sz w:val="18"/>
                <w:szCs w:val="18"/>
              </w:rPr>
              <w:t>0.077</w:t>
            </w:r>
          </w:p>
        </w:tc>
        <w:tc>
          <w:tcPr>
            <w:tcW w:w="1182" w:type="dxa"/>
            <w:shd w:val="clear" w:color="auto" w:fill="auto"/>
            <w:noWrap/>
            <w:vAlign w:val="center"/>
            <w:hideMark/>
          </w:tcPr>
          <w:p w14:paraId="00ACF425" w14:textId="77777777" w:rsidR="00FC752D" w:rsidRPr="00BC4AFE" w:rsidRDefault="00FC752D" w:rsidP="006211D7">
            <w:pPr>
              <w:widowControl w:val="0"/>
              <w:ind w:right="144"/>
              <w:jc w:val="right"/>
              <w:rPr>
                <w:sz w:val="18"/>
                <w:szCs w:val="18"/>
              </w:rPr>
            </w:pPr>
            <w:r w:rsidRPr="00BC4AFE">
              <w:rPr>
                <w:sz w:val="18"/>
                <w:szCs w:val="18"/>
              </w:rPr>
              <w:t>0.096</w:t>
            </w:r>
          </w:p>
        </w:tc>
        <w:tc>
          <w:tcPr>
            <w:tcW w:w="1182" w:type="dxa"/>
            <w:shd w:val="clear" w:color="auto" w:fill="auto"/>
            <w:noWrap/>
            <w:vAlign w:val="center"/>
            <w:hideMark/>
          </w:tcPr>
          <w:p w14:paraId="061EDE6D" w14:textId="77777777" w:rsidR="00FC752D" w:rsidRPr="00BC4AFE" w:rsidRDefault="00FC752D" w:rsidP="006211D7">
            <w:pPr>
              <w:widowControl w:val="0"/>
              <w:ind w:right="144"/>
              <w:jc w:val="right"/>
              <w:rPr>
                <w:sz w:val="18"/>
                <w:szCs w:val="18"/>
              </w:rPr>
            </w:pPr>
            <w:r w:rsidRPr="00BC4AFE">
              <w:rPr>
                <w:sz w:val="18"/>
                <w:szCs w:val="18"/>
              </w:rPr>
              <w:t>12,539</w:t>
            </w:r>
          </w:p>
        </w:tc>
        <w:tc>
          <w:tcPr>
            <w:tcW w:w="1182" w:type="dxa"/>
            <w:shd w:val="clear" w:color="auto" w:fill="auto"/>
            <w:noWrap/>
            <w:vAlign w:val="center"/>
            <w:hideMark/>
          </w:tcPr>
          <w:p w14:paraId="6947AACD" w14:textId="77777777" w:rsidR="00FC752D" w:rsidRPr="00BC4AFE" w:rsidRDefault="00FC752D" w:rsidP="006211D7">
            <w:pPr>
              <w:widowControl w:val="0"/>
              <w:ind w:right="144"/>
              <w:jc w:val="right"/>
              <w:rPr>
                <w:sz w:val="18"/>
                <w:szCs w:val="18"/>
              </w:rPr>
            </w:pPr>
            <w:r w:rsidRPr="00BC4AFE">
              <w:rPr>
                <w:sz w:val="18"/>
                <w:szCs w:val="18"/>
              </w:rPr>
              <w:t>13,753</w:t>
            </w:r>
          </w:p>
        </w:tc>
        <w:tc>
          <w:tcPr>
            <w:tcW w:w="1171" w:type="dxa"/>
            <w:shd w:val="clear" w:color="auto" w:fill="auto"/>
            <w:noWrap/>
            <w:vAlign w:val="center"/>
            <w:hideMark/>
          </w:tcPr>
          <w:p w14:paraId="7D707070" w14:textId="77777777" w:rsidR="00FC752D" w:rsidRPr="00BC4AFE" w:rsidRDefault="00FC752D" w:rsidP="006211D7">
            <w:pPr>
              <w:widowControl w:val="0"/>
              <w:ind w:right="144"/>
              <w:jc w:val="right"/>
              <w:rPr>
                <w:sz w:val="18"/>
                <w:szCs w:val="18"/>
              </w:rPr>
            </w:pPr>
            <w:r w:rsidRPr="00BC4AFE">
              <w:rPr>
                <w:sz w:val="18"/>
                <w:szCs w:val="18"/>
              </w:rPr>
              <w:t>26,293</w:t>
            </w:r>
          </w:p>
        </w:tc>
      </w:tr>
      <w:tr w:rsidR="00FC752D" w:rsidRPr="00BC4AFE" w14:paraId="3643826B" w14:textId="77777777" w:rsidTr="00A60395">
        <w:trPr>
          <w:cantSplit/>
          <w:trHeight w:val="245"/>
        </w:trPr>
        <w:tc>
          <w:tcPr>
            <w:tcW w:w="3605" w:type="dxa"/>
            <w:shd w:val="clear" w:color="auto" w:fill="auto"/>
            <w:vAlign w:val="center"/>
            <w:hideMark/>
          </w:tcPr>
          <w:p w14:paraId="725AA11E" w14:textId="77777777" w:rsidR="00FC752D" w:rsidRPr="00BC4AFE" w:rsidRDefault="00FC752D" w:rsidP="006211D7">
            <w:pPr>
              <w:widowControl w:val="0"/>
              <w:ind w:left="144" w:hanging="144"/>
              <w:rPr>
                <w:sz w:val="18"/>
                <w:szCs w:val="18"/>
              </w:rPr>
            </w:pPr>
            <w:r w:rsidRPr="00BC4AFE">
              <w:rPr>
                <w:sz w:val="18"/>
                <w:szCs w:val="18"/>
              </w:rPr>
              <w:t>Luxembourg</w:t>
            </w:r>
          </w:p>
        </w:tc>
        <w:tc>
          <w:tcPr>
            <w:tcW w:w="1182" w:type="dxa"/>
            <w:shd w:val="clear" w:color="auto" w:fill="auto"/>
            <w:vAlign w:val="center"/>
            <w:hideMark/>
          </w:tcPr>
          <w:p w14:paraId="19E40120" w14:textId="77777777" w:rsidR="00FC752D" w:rsidRPr="00BC4AFE" w:rsidRDefault="00FC752D" w:rsidP="006211D7">
            <w:pPr>
              <w:widowControl w:val="0"/>
              <w:ind w:right="144"/>
              <w:jc w:val="right"/>
              <w:rPr>
                <w:sz w:val="18"/>
                <w:szCs w:val="18"/>
              </w:rPr>
            </w:pPr>
            <w:r w:rsidRPr="00BC4AFE">
              <w:rPr>
                <w:sz w:val="18"/>
                <w:szCs w:val="18"/>
              </w:rPr>
              <w:t>0.068</w:t>
            </w:r>
          </w:p>
        </w:tc>
        <w:tc>
          <w:tcPr>
            <w:tcW w:w="1182" w:type="dxa"/>
            <w:shd w:val="clear" w:color="auto" w:fill="auto"/>
            <w:noWrap/>
            <w:vAlign w:val="center"/>
            <w:hideMark/>
          </w:tcPr>
          <w:p w14:paraId="5B0BDA9A" w14:textId="77777777" w:rsidR="00FC752D" w:rsidRPr="00BC4AFE" w:rsidRDefault="00FC752D" w:rsidP="006211D7">
            <w:pPr>
              <w:widowControl w:val="0"/>
              <w:ind w:right="144"/>
              <w:jc w:val="right"/>
              <w:rPr>
                <w:sz w:val="18"/>
                <w:szCs w:val="18"/>
              </w:rPr>
            </w:pPr>
            <w:r w:rsidRPr="00BC4AFE">
              <w:rPr>
                <w:sz w:val="18"/>
                <w:szCs w:val="18"/>
              </w:rPr>
              <w:t>0.085</w:t>
            </w:r>
          </w:p>
        </w:tc>
        <w:tc>
          <w:tcPr>
            <w:tcW w:w="1182" w:type="dxa"/>
            <w:shd w:val="clear" w:color="auto" w:fill="auto"/>
            <w:noWrap/>
            <w:vAlign w:val="center"/>
            <w:hideMark/>
          </w:tcPr>
          <w:p w14:paraId="70CE25B3" w14:textId="77777777" w:rsidR="00FC752D" w:rsidRPr="00BC4AFE" w:rsidRDefault="00FC752D" w:rsidP="006211D7">
            <w:pPr>
              <w:widowControl w:val="0"/>
              <w:ind w:right="144"/>
              <w:jc w:val="right"/>
              <w:rPr>
                <w:sz w:val="18"/>
                <w:szCs w:val="18"/>
              </w:rPr>
            </w:pPr>
            <w:r w:rsidRPr="00BC4AFE">
              <w:rPr>
                <w:sz w:val="18"/>
                <w:szCs w:val="18"/>
              </w:rPr>
              <w:t>11,074</w:t>
            </w:r>
          </w:p>
        </w:tc>
        <w:tc>
          <w:tcPr>
            <w:tcW w:w="1182" w:type="dxa"/>
            <w:shd w:val="clear" w:color="auto" w:fill="auto"/>
            <w:noWrap/>
            <w:vAlign w:val="center"/>
            <w:hideMark/>
          </w:tcPr>
          <w:p w14:paraId="2F89497A" w14:textId="77777777" w:rsidR="00FC752D" w:rsidRPr="00BC4AFE" w:rsidRDefault="00FC752D" w:rsidP="006211D7">
            <w:pPr>
              <w:widowControl w:val="0"/>
              <w:ind w:right="144"/>
              <w:jc w:val="right"/>
              <w:rPr>
                <w:sz w:val="18"/>
                <w:szCs w:val="18"/>
              </w:rPr>
            </w:pPr>
            <w:r w:rsidRPr="00BC4AFE">
              <w:rPr>
                <w:sz w:val="18"/>
                <w:szCs w:val="18"/>
              </w:rPr>
              <w:t>12,146</w:t>
            </w:r>
          </w:p>
        </w:tc>
        <w:tc>
          <w:tcPr>
            <w:tcW w:w="1171" w:type="dxa"/>
            <w:shd w:val="clear" w:color="auto" w:fill="auto"/>
            <w:noWrap/>
            <w:vAlign w:val="center"/>
            <w:hideMark/>
          </w:tcPr>
          <w:p w14:paraId="40D49421" w14:textId="77777777" w:rsidR="00FC752D" w:rsidRPr="00BC4AFE" w:rsidRDefault="00FC752D" w:rsidP="006211D7">
            <w:pPr>
              <w:widowControl w:val="0"/>
              <w:ind w:right="144"/>
              <w:jc w:val="right"/>
              <w:rPr>
                <w:sz w:val="18"/>
                <w:szCs w:val="18"/>
              </w:rPr>
            </w:pPr>
            <w:r w:rsidRPr="00BC4AFE">
              <w:rPr>
                <w:sz w:val="18"/>
                <w:szCs w:val="18"/>
              </w:rPr>
              <w:t>23,220</w:t>
            </w:r>
          </w:p>
        </w:tc>
      </w:tr>
      <w:tr w:rsidR="00FC752D" w:rsidRPr="00BC4AFE" w14:paraId="08E77C91" w14:textId="77777777" w:rsidTr="00A60395">
        <w:trPr>
          <w:cantSplit/>
          <w:trHeight w:val="245"/>
        </w:trPr>
        <w:tc>
          <w:tcPr>
            <w:tcW w:w="3605" w:type="dxa"/>
            <w:shd w:val="clear" w:color="auto" w:fill="auto"/>
            <w:vAlign w:val="center"/>
            <w:hideMark/>
          </w:tcPr>
          <w:p w14:paraId="56EF00D6" w14:textId="77777777" w:rsidR="00FC752D" w:rsidRPr="00BC4AFE" w:rsidRDefault="00FC752D" w:rsidP="006211D7">
            <w:pPr>
              <w:widowControl w:val="0"/>
              <w:ind w:left="144" w:hanging="144"/>
              <w:rPr>
                <w:sz w:val="18"/>
                <w:szCs w:val="18"/>
              </w:rPr>
            </w:pPr>
            <w:r w:rsidRPr="00BC4AFE">
              <w:rPr>
                <w:sz w:val="18"/>
                <w:szCs w:val="18"/>
              </w:rPr>
              <w:t>Madagascar</w:t>
            </w:r>
          </w:p>
        </w:tc>
        <w:tc>
          <w:tcPr>
            <w:tcW w:w="1182" w:type="dxa"/>
            <w:shd w:val="clear" w:color="auto" w:fill="auto"/>
            <w:vAlign w:val="center"/>
            <w:hideMark/>
          </w:tcPr>
          <w:p w14:paraId="29FFF3E6"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5B3C9672"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E646FBA"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2E1F0405"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76E9F84C"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29205722" w14:textId="77777777" w:rsidTr="00A60395">
        <w:trPr>
          <w:cantSplit/>
          <w:trHeight w:val="245"/>
        </w:trPr>
        <w:tc>
          <w:tcPr>
            <w:tcW w:w="3605" w:type="dxa"/>
            <w:shd w:val="clear" w:color="auto" w:fill="auto"/>
            <w:vAlign w:val="center"/>
            <w:hideMark/>
          </w:tcPr>
          <w:p w14:paraId="33A26B04" w14:textId="77777777" w:rsidR="00FC752D" w:rsidRPr="00BC4AFE" w:rsidRDefault="00FC752D" w:rsidP="006211D7">
            <w:pPr>
              <w:widowControl w:val="0"/>
              <w:ind w:left="144" w:hanging="144"/>
              <w:rPr>
                <w:sz w:val="18"/>
                <w:szCs w:val="18"/>
              </w:rPr>
            </w:pPr>
            <w:r w:rsidRPr="00BC4AFE">
              <w:rPr>
                <w:sz w:val="18"/>
                <w:szCs w:val="18"/>
              </w:rPr>
              <w:t>Malawi</w:t>
            </w:r>
          </w:p>
        </w:tc>
        <w:tc>
          <w:tcPr>
            <w:tcW w:w="1182" w:type="dxa"/>
            <w:shd w:val="clear" w:color="auto" w:fill="auto"/>
            <w:vAlign w:val="center"/>
            <w:hideMark/>
          </w:tcPr>
          <w:p w14:paraId="78F055F6"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371EB295"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2FB5CD7B"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6C98A8DE"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37934DE7"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687447B1" w14:textId="77777777" w:rsidTr="00A60395">
        <w:trPr>
          <w:cantSplit/>
          <w:trHeight w:val="245"/>
        </w:trPr>
        <w:tc>
          <w:tcPr>
            <w:tcW w:w="3605" w:type="dxa"/>
            <w:shd w:val="clear" w:color="auto" w:fill="auto"/>
            <w:vAlign w:val="center"/>
            <w:hideMark/>
          </w:tcPr>
          <w:p w14:paraId="58BB8060" w14:textId="77777777" w:rsidR="00FC752D" w:rsidRPr="00BC4AFE" w:rsidRDefault="00FC752D" w:rsidP="006211D7">
            <w:pPr>
              <w:widowControl w:val="0"/>
              <w:ind w:left="144" w:hanging="144"/>
              <w:rPr>
                <w:sz w:val="18"/>
                <w:szCs w:val="18"/>
              </w:rPr>
            </w:pPr>
            <w:r w:rsidRPr="00BC4AFE">
              <w:rPr>
                <w:sz w:val="18"/>
                <w:szCs w:val="18"/>
              </w:rPr>
              <w:t>Malaysia</w:t>
            </w:r>
          </w:p>
        </w:tc>
        <w:tc>
          <w:tcPr>
            <w:tcW w:w="1182" w:type="dxa"/>
            <w:shd w:val="clear" w:color="auto" w:fill="auto"/>
            <w:vAlign w:val="center"/>
            <w:hideMark/>
          </w:tcPr>
          <w:p w14:paraId="2C38D897" w14:textId="77777777" w:rsidR="00FC752D" w:rsidRPr="00BC4AFE" w:rsidRDefault="00FC752D" w:rsidP="006211D7">
            <w:pPr>
              <w:widowControl w:val="0"/>
              <w:ind w:right="144"/>
              <w:jc w:val="right"/>
              <w:rPr>
                <w:sz w:val="18"/>
                <w:szCs w:val="18"/>
              </w:rPr>
            </w:pPr>
            <w:r w:rsidRPr="00BC4AFE">
              <w:rPr>
                <w:sz w:val="18"/>
                <w:szCs w:val="18"/>
              </w:rPr>
              <w:t>0.348</w:t>
            </w:r>
          </w:p>
        </w:tc>
        <w:tc>
          <w:tcPr>
            <w:tcW w:w="1182" w:type="dxa"/>
            <w:shd w:val="clear" w:color="auto" w:fill="auto"/>
            <w:noWrap/>
            <w:vAlign w:val="center"/>
            <w:hideMark/>
          </w:tcPr>
          <w:p w14:paraId="1BD9DA0C" w14:textId="77777777" w:rsidR="00FC752D" w:rsidRPr="00BC4AFE" w:rsidRDefault="00FC752D" w:rsidP="006211D7">
            <w:pPr>
              <w:widowControl w:val="0"/>
              <w:ind w:right="144"/>
              <w:jc w:val="right"/>
              <w:rPr>
                <w:sz w:val="18"/>
                <w:szCs w:val="18"/>
              </w:rPr>
            </w:pPr>
            <w:r w:rsidRPr="00BC4AFE">
              <w:rPr>
                <w:sz w:val="18"/>
                <w:szCs w:val="18"/>
              </w:rPr>
              <w:t>0.435</w:t>
            </w:r>
          </w:p>
        </w:tc>
        <w:tc>
          <w:tcPr>
            <w:tcW w:w="1182" w:type="dxa"/>
            <w:shd w:val="clear" w:color="auto" w:fill="auto"/>
            <w:noWrap/>
            <w:vAlign w:val="center"/>
            <w:hideMark/>
          </w:tcPr>
          <w:p w14:paraId="0F8EB2E3" w14:textId="77777777" w:rsidR="00FC752D" w:rsidRPr="00BC4AFE" w:rsidRDefault="00FC752D" w:rsidP="006211D7">
            <w:pPr>
              <w:widowControl w:val="0"/>
              <w:ind w:right="144"/>
              <w:jc w:val="right"/>
              <w:rPr>
                <w:sz w:val="18"/>
                <w:szCs w:val="18"/>
              </w:rPr>
            </w:pPr>
            <w:r w:rsidRPr="00BC4AFE">
              <w:rPr>
                <w:sz w:val="18"/>
                <w:szCs w:val="18"/>
              </w:rPr>
              <w:t>56,671</w:t>
            </w:r>
          </w:p>
        </w:tc>
        <w:tc>
          <w:tcPr>
            <w:tcW w:w="1182" w:type="dxa"/>
            <w:shd w:val="clear" w:color="auto" w:fill="auto"/>
            <w:noWrap/>
            <w:vAlign w:val="center"/>
            <w:hideMark/>
          </w:tcPr>
          <w:p w14:paraId="70716E9A" w14:textId="77777777" w:rsidR="00FC752D" w:rsidRPr="00BC4AFE" w:rsidRDefault="00FC752D" w:rsidP="006211D7">
            <w:pPr>
              <w:widowControl w:val="0"/>
              <w:ind w:right="144"/>
              <w:jc w:val="right"/>
              <w:rPr>
                <w:sz w:val="18"/>
                <w:szCs w:val="18"/>
              </w:rPr>
            </w:pPr>
            <w:r w:rsidRPr="00BC4AFE">
              <w:rPr>
                <w:sz w:val="18"/>
                <w:szCs w:val="18"/>
              </w:rPr>
              <w:t>62,159</w:t>
            </w:r>
          </w:p>
        </w:tc>
        <w:tc>
          <w:tcPr>
            <w:tcW w:w="1171" w:type="dxa"/>
            <w:shd w:val="clear" w:color="auto" w:fill="auto"/>
            <w:noWrap/>
            <w:vAlign w:val="center"/>
            <w:hideMark/>
          </w:tcPr>
          <w:p w14:paraId="4AACF65E" w14:textId="77777777" w:rsidR="00FC752D" w:rsidRPr="00BC4AFE" w:rsidRDefault="00FC752D" w:rsidP="006211D7">
            <w:pPr>
              <w:widowControl w:val="0"/>
              <w:ind w:right="144"/>
              <w:jc w:val="right"/>
              <w:rPr>
                <w:sz w:val="18"/>
                <w:szCs w:val="18"/>
              </w:rPr>
            </w:pPr>
            <w:r w:rsidRPr="00BC4AFE">
              <w:rPr>
                <w:sz w:val="18"/>
                <w:szCs w:val="18"/>
              </w:rPr>
              <w:t>118,829</w:t>
            </w:r>
          </w:p>
        </w:tc>
      </w:tr>
      <w:tr w:rsidR="00FC752D" w:rsidRPr="00BC4AFE" w14:paraId="31ECA870" w14:textId="77777777" w:rsidTr="00A60395">
        <w:trPr>
          <w:cantSplit/>
          <w:trHeight w:val="245"/>
        </w:trPr>
        <w:tc>
          <w:tcPr>
            <w:tcW w:w="3605" w:type="dxa"/>
            <w:shd w:val="clear" w:color="auto" w:fill="auto"/>
            <w:vAlign w:val="center"/>
            <w:hideMark/>
          </w:tcPr>
          <w:p w14:paraId="4FEF3F72" w14:textId="77777777" w:rsidR="00FC752D" w:rsidRPr="00BC4AFE" w:rsidRDefault="00FC752D" w:rsidP="006211D7">
            <w:pPr>
              <w:widowControl w:val="0"/>
              <w:ind w:left="144" w:hanging="144"/>
              <w:rPr>
                <w:sz w:val="18"/>
                <w:szCs w:val="18"/>
              </w:rPr>
            </w:pPr>
            <w:r w:rsidRPr="00BC4AFE">
              <w:rPr>
                <w:sz w:val="18"/>
                <w:szCs w:val="18"/>
              </w:rPr>
              <w:t>Maldives</w:t>
            </w:r>
          </w:p>
        </w:tc>
        <w:tc>
          <w:tcPr>
            <w:tcW w:w="1182" w:type="dxa"/>
            <w:shd w:val="clear" w:color="auto" w:fill="auto"/>
            <w:vAlign w:val="center"/>
            <w:hideMark/>
          </w:tcPr>
          <w:p w14:paraId="2861D2B4"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4BDD1882"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7C021A40"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77B60015"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1C2E2921"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7256DD4C" w14:textId="77777777" w:rsidTr="00A60395">
        <w:trPr>
          <w:cantSplit/>
          <w:trHeight w:val="245"/>
        </w:trPr>
        <w:tc>
          <w:tcPr>
            <w:tcW w:w="3605" w:type="dxa"/>
            <w:shd w:val="clear" w:color="auto" w:fill="auto"/>
            <w:vAlign w:val="center"/>
            <w:hideMark/>
          </w:tcPr>
          <w:p w14:paraId="5F06952C" w14:textId="77777777" w:rsidR="00FC752D" w:rsidRPr="00BC4AFE" w:rsidRDefault="00FC752D" w:rsidP="006211D7">
            <w:pPr>
              <w:widowControl w:val="0"/>
              <w:ind w:left="144" w:hanging="144"/>
              <w:rPr>
                <w:sz w:val="18"/>
                <w:szCs w:val="18"/>
              </w:rPr>
            </w:pPr>
            <w:r w:rsidRPr="00BC4AFE">
              <w:rPr>
                <w:sz w:val="18"/>
                <w:szCs w:val="18"/>
              </w:rPr>
              <w:t>Mali</w:t>
            </w:r>
          </w:p>
        </w:tc>
        <w:tc>
          <w:tcPr>
            <w:tcW w:w="1182" w:type="dxa"/>
            <w:shd w:val="clear" w:color="auto" w:fill="auto"/>
            <w:vAlign w:val="center"/>
            <w:hideMark/>
          </w:tcPr>
          <w:p w14:paraId="1A959393"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774B3907"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1BD7BE73"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3EB213D3"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50AF5B85"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0E7A8F63" w14:textId="77777777" w:rsidTr="00A60395">
        <w:trPr>
          <w:cantSplit/>
          <w:trHeight w:val="245"/>
        </w:trPr>
        <w:tc>
          <w:tcPr>
            <w:tcW w:w="3605" w:type="dxa"/>
            <w:shd w:val="clear" w:color="auto" w:fill="auto"/>
            <w:vAlign w:val="center"/>
            <w:hideMark/>
          </w:tcPr>
          <w:p w14:paraId="0974A09A" w14:textId="77777777" w:rsidR="00FC752D" w:rsidRPr="00BC4AFE" w:rsidRDefault="00FC752D" w:rsidP="006211D7">
            <w:pPr>
              <w:widowControl w:val="0"/>
              <w:ind w:left="144" w:hanging="144"/>
              <w:rPr>
                <w:sz w:val="18"/>
                <w:szCs w:val="18"/>
              </w:rPr>
            </w:pPr>
            <w:r w:rsidRPr="00BC4AFE">
              <w:rPr>
                <w:sz w:val="18"/>
                <w:szCs w:val="18"/>
              </w:rPr>
              <w:t>Malta</w:t>
            </w:r>
          </w:p>
        </w:tc>
        <w:tc>
          <w:tcPr>
            <w:tcW w:w="1182" w:type="dxa"/>
            <w:shd w:val="clear" w:color="auto" w:fill="auto"/>
            <w:vAlign w:val="center"/>
            <w:hideMark/>
          </w:tcPr>
          <w:p w14:paraId="5A41EE50"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2E606002"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42500A9D" w14:textId="77777777" w:rsidR="00FC752D" w:rsidRPr="00BC4AFE" w:rsidRDefault="00FC752D" w:rsidP="006211D7">
            <w:pPr>
              <w:widowControl w:val="0"/>
              <w:ind w:right="144"/>
              <w:jc w:val="right"/>
              <w:rPr>
                <w:sz w:val="18"/>
                <w:szCs w:val="18"/>
              </w:rPr>
            </w:pPr>
            <w:r w:rsidRPr="00BC4AFE">
              <w:rPr>
                <w:sz w:val="18"/>
                <w:szCs w:val="18"/>
              </w:rPr>
              <w:t>3,094</w:t>
            </w:r>
          </w:p>
        </w:tc>
        <w:tc>
          <w:tcPr>
            <w:tcW w:w="1182" w:type="dxa"/>
            <w:shd w:val="clear" w:color="auto" w:fill="auto"/>
            <w:noWrap/>
            <w:vAlign w:val="center"/>
            <w:hideMark/>
          </w:tcPr>
          <w:p w14:paraId="13B3F35E" w14:textId="77777777" w:rsidR="00FC752D" w:rsidRPr="00BC4AFE" w:rsidRDefault="00FC752D" w:rsidP="006211D7">
            <w:pPr>
              <w:widowControl w:val="0"/>
              <w:ind w:right="144"/>
              <w:jc w:val="right"/>
              <w:rPr>
                <w:sz w:val="18"/>
                <w:szCs w:val="18"/>
              </w:rPr>
            </w:pPr>
            <w:r w:rsidRPr="00BC4AFE">
              <w:rPr>
                <w:sz w:val="18"/>
                <w:szCs w:val="18"/>
              </w:rPr>
              <w:t>3,394</w:t>
            </w:r>
          </w:p>
        </w:tc>
        <w:tc>
          <w:tcPr>
            <w:tcW w:w="1171" w:type="dxa"/>
            <w:shd w:val="clear" w:color="auto" w:fill="auto"/>
            <w:noWrap/>
            <w:vAlign w:val="center"/>
            <w:hideMark/>
          </w:tcPr>
          <w:p w14:paraId="798C17D0" w14:textId="77777777" w:rsidR="00FC752D" w:rsidRPr="00BC4AFE" w:rsidRDefault="00FC752D" w:rsidP="006211D7">
            <w:pPr>
              <w:widowControl w:val="0"/>
              <w:ind w:right="144"/>
              <w:jc w:val="right"/>
              <w:rPr>
                <w:sz w:val="18"/>
                <w:szCs w:val="18"/>
              </w:rPr>
            </w:pPr>
            <w:r w:rsidRPr="00BC4AFE">
              <w:rPr>
                <w:sz w:val="18"/>
                <w:szCs w:val="18"/>
              </w:rPr>
              <w:t>6,488</w:t>
            </w:r>
          </w:p>
        </w:tc>
      </w:tr>
      <w:tr w:rsidR="00FC752D" w:rsidRPr="00BC4AFE" w14:paraId="4DC7E5F3" w14:textId="77777777" w:rsidTr="00A60395">
        <w:trPr>
          <w:cantSplit/>
          <w:trHeight w:val="245"/>
        </w:trPr>
        <w:tc>
          <w:tcPr>
            <w:tcW w:w="3605" w:type="dxa"/>
            <w:shd w:val="clear" w:color="auto" w:fill="auto"/>
            <w:vAlign w:val="center"/>
            <w:hideMark/>
          </w:tcPr>
          <w:p w14:paraId="0EDB7028" w14:textId="77777777" w:rsidR="00FC752D" w:rsidRPr="00BC4AFE" w:rsidRDefault="00FC752D" w:rsidP="006211D7">
            <w:pPr>
              <w:widowControl w:val="0"/>
              <w:ind w:left="144" w:hanging="144"/>
              <w:rPr>
                <w:sz w:val="18"/>
                <w:szCs w:val="18"/>
              </w:rPr>
            </w:pPr>
            <w:r w:rsidRPr="00BC4AFE">
              <w:rPr>
                <w:sz w:val="18"/>
                <w:szCs w:val="18"/>
              </w:rPr>
              <w:t>Marshall Islands</w:t>
            </w:r>
          </w:p>
        </w:tc>
        <w:tc>
          <w:tcPr>
            <w:tcW w:w="1182" w:type="dxa"/>
            <w:shd w:val="clear" w:color="auto" w:fill="auto"/>
            <w:vAlign w:val="center"/>
            <w:hideMark/>
          </w:tcPr>
          <w:p w14:paraId="136A61EF"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733BD886"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9EE908D"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302C6570"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323C48F6"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6439A2D5" w14:textId="77777777" w:rsidTr="00A60395">
        <w:trPr>
          <w:cantSplit/>
          <w:trHeight w:val="245"/>
        </w:trPr>
        <w:tc>
          <w:tcPr>
            <w:tcW w:w="3605" w:type="dxa"/>
            <w:shd w:val="clear" w:color="auto" w:fill="auto"/>
            <w:vAlign w:val="center"/>
            <w:hideMark/>
          </w:tcPr>
          <w:p w14:paraId="08CD7A4A" w14:textId="77777777" w:rsidR="00FC752D" w:rsidRPr="00BC4AFE" w:rsidRDefault="00FC752D" w:rsidP="006211D7">
            <w:pPr>
              <w:widowControl w:val="0"/>
              <w:ind w:left="144" w:hanging="144"/>
              <w:rPr>
                <w:sz w:val="18"/>
                <w:szCs w:val="18"/>
              </w:rPr>
            </w:pPr>
            <w:r w:rsidRPr="00BC4AFE">
              <w:rPr>
                <w:sz w:val="18"/>
                <w:szCs w:val="18"/>
              </w:rPr>
              <w:t>Mauritania</w:t>
            </w:r>
          </w:p>
        </w:tc>
        <w:tc>
          <w:tcPr>
            <w:tcW w:w="1182" w:type="dxa"/>
            <w:shd w:val="clear" w:color="auto" w:fill="auto"/>
            <w:vAlign w:val="center"/>
            <w:hideMark/>
          </w:tcPr>
          <w:p w14:paraId="4DD928A5"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1EF931E3"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58FB932D"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464A0AA7"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21877253"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6931A3D9" w14:textId="77777777" w:rsidTr="00A60395">
        <w:trPr>
          <w:cantSplit/>
          <w:trHeight w:val="245"/>
        </w:trPr>
        <w:tc>
          <w:tcPr>
            <w:tcW w:w="3605" w:type="dxa"/>
            <w:shd w:val="clear" w:color="auto" w:fill="auto"/>
            <w:vAlign w:val="center"/>
            <w:hideMark/>
          </w:tcPr>
          <w:p w14:paraId="1228A690" w14:textId="77777777" w:rsidR="00FC752D" w:rsidRPr="00BC4AFE" w:rsidRDefault="00FC752D" w:rsidP="006211D7">
            <w:pPr>
              <w:widowControl w:val="0"/>
              <w:ind w:left="144" w:hanging="144"/>
              <w:rPr>
                <w:sz w:val="18"/>
                <w:szCs w:val="18"/>
              </w:rPr>
            </w:pPr>
            <w:r w:rsidRPr="00BC4AFE">
              <w:rPr>
                <w:sz w:val="18"/>
                <w:szCs w:val="18"/>
              </w:rPr>
              <w:t>Mauritius</w:t>
            </w:r>
          </w:p>
        </w:tc>
        <w:tc>
          <w:tcPr>
            <w:tcW w:w="1182" w:type="dxa"/>
            <w:shd w:val="clear" w:color="auto" w:fill="auto"/>
            <w:vAlign w:val="center"/>
            <w:hideMark/>
          </w:tcPr>
          <w:p w14:paraId="3C8AAC58"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2F027121"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0BBACB92" w14:textId="77777777" w:rsidR="00FC752D" w:rsidRPr="00BC4AFE" w:rsidRDefault="00FC752D" w:rsidP="006211D7">
            <w:pPr>
              <w:widowControl w:val="0"/>
              <w:ind w:right="144"/>
              <w:jc w:val="right"/>
              <w:rPr>
                <w:sz w:val="18"/>
                <w:szCs w:val="18"/>
              </w:rPr>
            </w:pPr>
            <w:r w:rsidRPr="00BC4AFE">
              <w:rPr>
                <w:sz w:val="18"/>
                <w:szCs w:val="18"/>
              </w:rPr>
              <w:t>3,094</w:t>
            </w:r>
          </w:p>
        </w:tc>
        <w:tc>
          <w:tcPr>
            <w:tcW w:w="1182" w:type="dxa"/>
            <w:shd w:val="clear" w:color="auto" w:fill="auto"/>
            <w:noWrap/>
            <w:vAlign w:val="center"/>
            <w:hideMark/>
          </w:tcPr>
          <w:p w14:paraId="18204595" w14:textId="77777777" w:rsidR="00FC752D" w:rsidRPr="00BC4AFE" w:rsidRDefault="00FC752D" w:rsidP="006211D7">
            <w:pPr>
              <w:widowControl w:val="0"/>
              <w:ind w:right="144"/>
              <w:jc w:val="right"/>
              <w:rPr>
                <w:sz w:val="18"/>
                <w:szCs w:val="18"/>
              </w:rPr>
            </w:pPr>
            <w:r w:rsidRPr="00BC4AFE">
              <w:rPr>
                <w:sz w:val="18"/>
                <w:szCs w:val="18"/>
              </w:rPr>
              <w:t>3,394</w:t>
            </w:r>
          </w:p>
        </w:tc>
        <w:tc>
          <w:tcPr>
            <w:tcW w:w="1171" w:type="dxa"/>
            <w:shd w:val="clear" w:color="auto" w:fill="auto"/>
            <w:noWrap/>
            <w:vAlign w:val="center"/>
            <w:hideMark/>
          </w:tcPr>
          <w:p w14:paraId="291A18AE" w14:textId="77777777" w:rsidR="00FC752D" w:rsidRPr="00BC4AFE" w:rsidRDefault="00FC752D" w:rsidP="006211D7">
            <w:pPr>
              <w:widowControl w:val="0"/>
              <w:ind w:right="144"/>
              <w:jc w:val="right"/>
              <w:rPr>
                <w:sz w:val="18"/>
                <w:szCs w:val="18"/>
              </w:rPr>
            </w:pPr>
            <w:r w:rsidRPr="00BC4AFE">
              <w:rPr>
                <w:sz w:val="18"/>
                <w:szCs w:val="18"/>
              </w:rPr>
              <w:t>6,488</w:t>
            </w:r>
          </w:p>
        </w:tc>
      </w:tr>
      <w:tr w:rsidR="00FC752D" w:rsidRPr="00BC4AFE" w14:paraId="377CAB72" w14:textId="77777777" w:rsidTr="00A60395">
        <w:trPr>
          <w:cantSplit/>
          <w:trHeight w:val="245"/>
        </w:trPr>
        <w:tc>
          <w:tcPr>
            <w:tcW w:w="3605" w:type="dxa"/>
            <w:shd w:val="clear" w:color="auto" w:fill="auto"/>
            <w:vAlign w:val="center"/>
            <w:hideMark/>
          </w:tcPr>
          <w:p w14:paraId="3067B777" w14:textId="77777777" w:rsidR="00FC752D" w:rsidRPr="00BC4AFE" w:rsidRDefault="00FC752D" w:rsidP="006211D7">
            <w:pPr>
              <w:widowControl w:val="0"/>
              <w:ind w:left="144" w:hanging="144"/>
              <w:rPr>
                <w:sz w:val="18"/>
                <w:szCs w:val="18"/>
              </w:rPr>
            </w:pPr>
            <w:r w:rsidRPr="00BC4AFE">
              <w:rPr>
                <w:sz w:val="18"/>
                <w:szCs w:val="18"/>
              </w:rPr>
              <w:t>Mexico</w:t>
            </w:r>
          </w:p>
        </w:tc>
        <w:tc>
          <w:tcPr>
            <w:tcW w:w="1182" w:type="dxa"/>
            <w:shd w:val="clear" w:color="auto" w:fill="auto"/>
            <w:vAlign w:val="center"/>
            <w:hideMark/>
          </w:tcPr>
          <w:p w14:paraId="15F61ED5" w14:textId="77777777" w:rsidR="00FC752D" w:rsidRPr="00BC4AFE" w:rsidRDefault="00FC752D" w:rsidP="006211D7">
            <w:pPr>
              <w:widowControl w:val="0"/>
              <w:ind w:right="144"/>
              <w:jc w:val="right"/>
              <w:rPr>
                <w:sz w:val="18"/>
                <w:szCs w:val="18"/>
              </w:rPr>
            </w:pPr>
            <w:r w:rsidRPr="00BC4AFE">
              <w:rPr>
                <w:sz w:val="18"/>
                <w:szCs w:val="18"/>
              </w:rPr>
              <w:t>1.221</w:t>
            </w:r>
          </w:p>
        </w:tc>
        <w:tc>
          <w:tcPr>
            <w:tcW w:w="1182" w:type="dxa"/>
            <w:shd w:val="clear" w:color="auto" w:fill="auto"/>
            <w:noWrap/>
            <w:vAlign w:val="center"/>
            <w:hideMark/>
          </w:tcPr>
          <w:p w14:paraId="1E09999D" w14:textId="77777777" w:rsidR="00FC752D" w:rsidRPr="00BC4AFE" w:rsidRDefault="00FC752D" w:rsidP="006211D7">
            <w:pPr>
              <w:widowControl w:val="0"/>
              <w:ind w:right="144"/>
              <w:jc w:val="right"/>
              <w:rPr>
                <w:sz w:val="18"/>
                <w:szCs w:val="18"/>
              </w:rPr>
            </w:pPr>
            <w:r w:rsidRPr="00BC4AFE">
              <w:rPr>
                <w:sz w:val="18"/>
                <w:szCs w:val="18"/>
              </w:rPr>
              <w:t>1.526</w:t>
            </w:r>
          </w:p>
        </w:tc>
        <w:tc>
          <w:tcPr>
            <w:tcW w:w="1182" w:type="dxa"/>
            <w:shd w:val="clear" w:color="auto" w:fill="auto"/>
            <w:noWrap/>
            <w:vAlign w:val="center"/>
            <w:hideMark/>
          </w:tcPr>
          <w:p w14:paraId="7156D368" w14:textId="77777777" w:rsidR="00FC752D" w:rsidRPr="00BC4AFE" w:rsidRDefault="00FC752D" w:rsidP="006211D7">
            <w:pPr>
              <w:widowControl w:val="0"/>
              <w:ind w:right="144"/>
              <w:jc w:val="right"/>
              <w:rPr>
                <w:sz w:val="18"/>
                <w:szCs w:val="18"/>
              </w:rPr>
            </w:pPr>
            <w:r w:rsidRPr="00BC4AFE">
              <w:rPr>
                <w:sz w:val="18"/>
                <w:szCs w:val="18"/>
              </w:rPr>
              <w:t>198,836</w:t>
            </w:r>
          </w:p>
        </w:tc>
        <w:tc>
          <w:tcPr>
            <w:tcW w:w="1182" w:type="dxa"/>
            <w:shd w:val="clear" w:color="auto" w:fill="auto"/>
            <w:noWrap/>
            <w:vAlign w:val="center"/>
            <w:hideMark/>
          </w:tcPr>
          <w:p w14:paraId="2AF91F8A" w14:textId="77777777" w:rsidR="00FC752D" w:rsidRPr="00BC4AFE" w:rsidRDefault="00FC752D" w:rsidP="006211D7">
            <w:pPr>
              <w:widowControl w:val="0"/>
              <w:ind w:right="144"/>
              <w:jc w:val="right"/>
              <w:rPr>
                <w:sz w:val="18"/>
                <w:szCs w:val="18"/>
              </w:rPr>
            </w:pPr>
            <w:r w:rsidRPr="00BC4AFE">
              <w:rPr>
                <w:sz w:val="18"/>
                <w:szCs w:val="18"/>
              </w:rPr>
              <w:t>218,091</w:t>
            </w:r>
          </w:p>
        </w:tc>
        <w:tc>
          <w:tcPr>
            <w:tcW w:w="1171" w:type="dxa"/>
            <w:shd w:val="clear" w:color="auto" w:fill="auto"/>
            <w:noWrap/>
            <w:vAlign w:val="center"/>
            <w:hideMark/>
          </w:tcPr>
          <w:p w14:paraId="323BB432" w14:textId="77777777" w:rsidR="00FC752D" w:rsidRPr="00BC4AFE" w:rsidRDefault="00FC752D" w:rsidP="006211D7">
            <w:pPr>
              <w:widowControl w:val="0"/>
              <w:ind w:right="144"/>
              <w:jc w:val="right"/>
              <w:rPr>
                <w:sz w:val="18"/>
                <w:szCs w:val="18"/>
              </w:rPr>
            </w:pPr>
            <w:r w:rsidRPr="00BC4AFE">
              <w:rPr>
                <w:sz w:val="18"/>
                <w:szCs w:val="18"/>
              </w:rPr>
              <w:t>416,927</w:t>
            </w:r>
          </w:p>
        </w:tc>
      </w:tr>
      <w:tr w:rsidR="00FC752D" w:rsidRPr="00BC4AFE" w14:paraId="422A805A" w14:textId="77777777" w:rsidTr="00A60395">
        <w:trPr>
          <w:cantSplit/>
          <w:trHeight w:val="245"/>
        </w:trPr>
        <w:tc>
          <w:tcPr>
            <w:tcW w:w="3605" w:type="dxa"/>
            <w:shd w:val="clear" w:color="auto" w:fill="auto"/>
            <w:vAlign w:val="center"/>
            <w:hideMark/>
          </w:tcPr>
          <w:p w14:paraId="44CA009E" w14:textId="77777777" w:rsidR="00FC752D" w:rsidRPr="00BC4AFE" w:rsidRDefault="00FC752D" w:rsidP="006211D7">
            <w:pPr>
              <w:widowControl w:val="0"/>
              <w:ind w:left="144" w:hanging="144"/>
              <w:rPr>
                <w:sz w:val="18"/>
                <w:szCs w:val="18"/>
              </w:rPr>
            </w:pPr>
            <w:r w:rsidRPr="00BC4AFE">
              <w:rPr>
                <w:sz w:val="18"/>
                <w:szCs w:val="18"/>
              </w:rPr>
              <w:t>Micronesia (Federated States of)</w:t>
            </w:r>
          </w:p>
        </w:tc>
        <w:tc>
          <w:tcPr>
            <w:tcW w:w="1182" w:type="dxa"/>
            <w:shd w:val="clear" w:color="auto" w:fill="auto"/>
            <w:vAlign w:val="center"/>
            <w:hideMark/>
          </w:tcPr>
          <w:p w14:paraId="14867CD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66F72D0"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7C9445F6"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5F4CFB9B"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275D5249"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91F113A" w14:textId="77777777" w:rsidTr="00A60395">
        <w:trPr>
          <w:cantSplit/>
          <w:trHeight w:val="245"/>
        </w:trPr>
        <w:tc>
          <w:tcPr>
            <w:tcW w:w="3605" w:type="dxa"/>
            <w:shd w:val="clear" w:color="auto" w:fill="auto"/>
            <w:vAlign w:val="center"/>
            <w:hideMark/>
          </w:tcPr>
          <w:p w14:paraId="738AE19F" w14:textId="77777777" w:rsidR="00FC752D" w:rsidRPr="00BC4AFE" w:rsidRDefault="00FC752D" w:rsidP="006211D7">
            <w:pPr>
              <w:widowControl w:val="0"/>
              <w:ind w:left="144" w:hanging="144"/>
              <w:rPr>
                <w:sz w:val="18"/>
                <w:szCs w:val="18"/>
              </w:rPr>
            </w:pPr>
            <w:r w:rsidRPr="00BC4AFE">
              <w:rPr>
                <w:sz w:val="18"/>
                <w:szCs w:val="18"/>
              </w:rPr>
              <w:t>Monaco</w:t>
            </w:r>
          </w:p>
        </w:tc>
        <w:tc>
          <w:tcPr>
            <w:tcW w:w="1182" w:type="dxa"/>
            <w:shd w:val="clear" w:color="auto" w:fill="auto"/>
            <w:vAlign w:val="center"/>
            <w:hideMark/>
          </w:tcPr>
          <w:p w14:paraId="31FE844D" w14:textId="77777777" w:rsidR="00FC752D" w:rsidRPr="00BC4AFE" w:rsidRDefault="00FC752D" w:rsidP="006211D7">
            <w:pPr>
              <w:widowControl w:val="0"/>
              <w:ind w:right="144"/>
              <w:jc w:val="right"/>
              <w:rPr>
                <w:sz w:val="18"/>
                <w:szCs w:val="18"/>
              </w:rPr>
            </w:pPr>
            <w:r w:rsidRPr="00BC4AFE">
              <w:rPr>
                <w:sz w:val="18"/>
                <w:szCs w:val="18"/>
              </w:rPr>
              <w:t>0.011</w:t>
            </w:r>
          </w:p>
        </w:tc>
        <w:tc>
          <w:tcPr>
            <w:tcW w:w="1182" w:type="dxa"/>
            <w:shd w:val="clear" w:color="auto" w:fill="auto"/>
            <w:noWrap/>
            <w:vAlign w:val="center"/>
            <w:hideMark/>
          </w:tcPr>
          <w:p w14:paraId="0C265B69" w14:textId="77777777" w:rsidR="00FC752D" w:rsidRPr="00BC4AFE" w:rsidRDefault="00FC752D" w:rsidP="006211D7">
            <w:pPr>
              <w:widowControl w:val="0"/>
              <w:ind w:right="144"/>
              <w:jc w:val="right"/>
              <w:rPr>
                <w:sz w:val="18"/>
                <w:szCs w:val="18"/>
              </w:rPr>
            </w:pPr>
            <w:r w:rsidRPr="00BC4AFE">
              <w:rPr>
                <w:sz w:val="18"/>
                <w:szCs w:val="18"/>
              </w:rPr>
              <w:t>0.014</w:t>
            </w:r>
          </w:p>
        </w:tc>
        <w:tc>
          <w:tcPr>
            <w:tcW w:w="1182" w:type="dxa"/>
            <w:shd w:val="clear" w:color="auto" w:fill="auto"/>
            <w:noWrap/>
            <w:vAlign w:val="center"/>
            <w:hideMark/>
          </w:tcPr>
          <w:p w14:paraId="368D9207" w14:textId="77777777" w:rsidR="00FC752D" w:rsidRPr="00BC4AFE" w:rsidRDefault="00FC752D" w:rsidP="006211D7">
            <w:pPr>
              <w:widowControl w:val="0"/>
              <w:ind w:right="144"/>
              <w:jc w:val="right"/>
              <w:rPr>
                <w:sz w:val="18"/>
                <w:szCs w:val="18"/>
              </w:rPr>
            </w:pPr>
            <w:r w:rsidRPr="00BC4AFE">
              <w:rPr>
                <w:sz w:val="18"/>
                <w:szCs w:val="18"/>
              </w:rPr>
              <w:t>1,791</w:t>
            </w:r>
          </w:p>
        </w:tc>
        <w:tc>
          <w:tcPr>
            <w:tcW w:w="1182" w:type="dxa"/>
            <w:shd w:val="clear" w:color="auto" w:fill="auto"/>
            <w:noWrap/>
            <w:vAlign w:val="center"/>
            <w:hideMark/>
          </w:tcPr>
          <w:p w14:paraId="7027E9EF" w14:textId="77777777" w:rsidR="00FC752D" w:rsidRPr="00BC4AFE" w:rsidRDefault="00FC752D" w:rsidP="006211D7">
            <w:pPr>
              <w:widowControl w:val="0"/>
              <w:ind w:right="144"/>
              <w:jc w:val="right"/>
              <w:rPr>
                <w:sz w:val="18"/>
                <w:szCs w:val="18"/>
              </w:rPr>
            </w:pPr>
            <w:r w:rsidRPr="00BC4AFE">
              <w:rPr>
                <w:sz w:val="18"/>
                <w:szCs w:val="18"/>
              </w:rPr>
              <w:t>1,965</w:t>
            </w:r>
          </w:p>
        </w:tc>
        <w:tc>
          <w:tcPr>
            <w:tcW w:w="1171" w:type="dxa"/>
            <w:shd w:val="clear" w:color="auto" w:fill="auto"/>
            <w:noWrap/>
            <w:vAlign w:val="center"/>
            <w:hideMark/>
          </w:tcPr>
          <w:p w14:paraId="46467C65" w14:textId="77777777" w:rsidR="00FC752D" w:rsidRPr="00BC4AFE" w:rsidRDefault="00FC752D" w:rsidP="006211D7">
            <w:pPr>
              <w:widowControl w:val="0"/>
              <w:ind w:right="144"/>
              <w:jc w:val="right"/>
              <w:rPr>
                <w:sz w:val="18"/>
                <w:szCs w:val="18"/>
              </w:rPr>
            </w:pPr>
            <w:r w:rsidRPr="00BC4AFE">
              <w:rPr>
                <w:sz w:val="18"/>
                <w:szCs w:val="18"/>
              </w:rPr>
              <w:t>3,756</w:t>
            </w:r>
          </w:p>
        </w:tc>
      </w:tr>
      <w:tr w:rsidR="00FC752D" w:rsidRPr="00BC4AFE" w14:paraId="7A7E9D88" w14:textId="77777777" w:rsidTr="00A60395">
        <w:trPr>
          <w:cantSplit/>
          <w:trHeight w:val="245"/>
        </w:trPr>
        <w:tc>
          <w:tcPr>
            <w:tcW w:w="3605" w:type="dxa"/>
            <w:shd w:val="clear" w:color="auto" w:fill="auto"/>
            <w:vAlign w:val="center"/>
            <w:hideMark/>
          </w:tcPr>
          <w:p w14:paraId="57E48C13" w14:textId="77777777" w:rsidR="00FC752D" w:rsidRPr="00BC4AFE" w:rsidRDefault="00FC752D" w:rsidP="006211D7">
            <w:pPr>
              <w:widowControl w:val="0"/>
              <w:ind w:left="144" w:hanging="144"/>
              <w:rPr>
                <w:sz w:val="18"/>
                <w:szCs w:val="18"/>
              </w:rPr>
            </w:pPr>
            <w:r w:rsidRPr="00BC4AFE">
              <w:rPr>
                <w:sz w:val="18"/>
                <w:szCs w:val="18"/>
              </w:rPr>
              <w:t>Mongolia</w:t>
            </w:r>
          </w:p>
        </w:tc>
        <w:tc>
          <w:tcPr>
            <w:tcW w:w="1182" w:type="dxa"/>
            <w:shd w:val="clear" w:color="auto" w:fill="auto"/>
            <w:vAlign w:val="center"/>
            <w:hideMark/>
          </w:tcPr>
          <w:p w14:paraId="75DEA2F8"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791EFDC6"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4FA9489"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0C210C23"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6ADB4F50"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7AE5C344" w14:textId="77777777" w:rsidTr="00A60395">
        <w:trPr>
          <w:cantSplit/>
          <w:trHeight w:val="245"/>
        </w:trPr>
        <w:tc>
          <w:tcPr>
            <w:tcW w:w="3605" w:type="dxa"/>
            <w:shd w:val="clear" w:color="auto" w:fill="auto"/>
            <w:vAlign w:val="center"/>
            <w:hideMark/>
          </w:tcPr>
          <w:p w14:paraId="666E52C8" w14:textId="77777777" w:rsidR="00FC752D" w:rsidRPr="00BC4AFE" w:rsidRDefault="00FC752D" w:rsidP="006211D7">
            <w:pPr>
              <w:widowControl w:val="0"/>
              <w:ind w:left="144" w:hanging="144"/>
              <w:rPr>
                <w:sz w:val="18"/>
                <w:szCs w:val="18"/>
              </w:rPr>
            </w:pPr>
            <w:r w:rsidRPr="00BC4AFE">
              <w:rPr>
                <w:sz w:val="18"/>
                <w:szCs w:val="18"/>
              </w:rPr>
              <w:t>Montenegro</w:t>
            </w:r>
          </w:p>
        </w:tc>
        <w:tc>
          <w:tcPr>
            <w:tcW w:w="1182" w:type="dxa"/>
            <w:shd w:val="clear" w:color="auto" w:fill="auto"/>
            <w:vAlign w:val="center"/>
            <w:hideMark/>
          </w:tcPr>
          <w:p w14:paraId="316A9D8C"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622AC3FF"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1DADFA0F"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365EE4EC"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7180F28B"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0ADD26B7" w14:textId="77777777" w:rsidTr="00A60395">
        <w:trPr>
          <w:cantSplit/>
          <w:trHeight w:val="245"/>
        </w:trPr>
        <w:tc>
          <w:tcPr>
            <w:tcW w:w="3605" w:type="dxa"/>
            <w:shd w:val="clear" w:color="auto" w:fill="auto"/>
            <w:vAlign w:val="center"/>
            <w:hideMark/>
          </w:tcPr>
          <w:p w14:paraId="5B8102CF" w14:textId="77777777" w:rsidR="00FC752D" w:rsidRPr="00BC4AFE" w:rsidRDefault="00FC752D" w:rsidP="006211D7">
            <w:pPr>
              <w:widowControl w:val="0"/>
              <w:ind w:left="144" w:hanging="144"/>
              <w:rPr>
                <w:sz w:val="18"/>
                <w:szCs w:val="18"/>
              </w:rPr>
            </w:pPr>
            <w:r w:rsidRPr="00BC4AFE">
              <w:rPr>
                <w:sz w:val="18"/>
                <w:szCs w:val="18"/>
              </w:rPr>
              <w:t>Morocco</w:t>
            </w:r>
          </w:p>
        </w:tc>
        <w:tc>
          <w:tcPr>
            <w:tcW w:w="1182" w:type="dxa"/>
            <w:shd w:val="clear" w:color="auto" w:fill="auto"/>
            <w:vAlign w:val="center"/>
            <w:hideMark/>
          </w:tcPr>
          <w:p w14:paraId="7F55A9D2" w14:textId="77777777" w:rsidR="00FC752D" w:rsidRPr="00BC4AFE" w:rsidRDefault="00FC752D" w:rsidP="006211D7">
            <w:pPr>
              <w:widowControl w:val="0"/>
              <w:ind w:right="144"/>
              <w:jc w:val="right"/>
              <w:rPr>
                <w:sz w:val="18"/>
                <w:szCs w:val="18"/>
              </w:rPr>
            </w:pPr>
            <w:r w:rsidRPr="00BC4AFE">
              <w:rPr>
                <w:sz w:val="18"/>
                <w:szCs w:val="18"/>
              </w:rPr>
              <w:t>0.055</w:t>
            </w:r>
          </w:p>
        </w:tc>
        <w:tc>
          <w:tcPr>
            <w:tcW w:w="1182" w:type="dxa"/>
            <w:shd w:val="clear" w:color="auto" w:fill="auto"/>
            <w:noWrap/>
            <w:vAlign w:val="center"/>
            <w:hideMark/>
          </w:tcPr>
          <w:p w14:paraId="1460C957" w14:textId="77777777" w:rsidR="00FC752D" w:rsidRPr="00BC4AFE" w:rsidRDefault="00FC752D" w:rsidP="006211D7">
            <w:pPr>
              <w:widowControl w:val="0"/>
              <w:ind w:right="144"/>
              <w:jc w:val="right"/>
              <w:rPr>
                <w:sz w:val="18"/>
                <w:szCs w:val="18"/>
              </w:rPr>
            </w:pPr>
            <w:r w:rsidRPr="00BC4AFE">
              <w:rPr>
                <w:sz w:val="18"/>
                <w:szCs w:val="18"/>
              </w:rPr>
              <w:t>0.069</w:t>
            </w:r>
          </w:p>
        </w:tc>
        <w:tc>
          <w:tcPr>
            <w:tcW w:w="1182" w:type="dxa"/>
            <w:shd w:val="clear" w:color="auto" w:fill="auto"/>
            <w:noWrap/>
            <w:vAlign w:val="center"/>
            <w:hideMark/>
          </w:tcPr>
          <w:p w14:paraId="6018BF62" w14:textId="77777777" w:rsidR="00FC752D" w:rsidRPr="00BC4AFE" w:rsidRDefault="00FC752D" w:rsidP="006211D7">
            <w:pPr>
              <w:widowControl w:val="0"/>
              <w:ind w:right="144"/>
              <w:jc w:val="right"/>
              <w:rPr>
                <w:sz w:val="18"/>
                <w:szCs w:val="18"/>
              </w:rPr>
            </w:pPr>
            <w:r w:rsidRPr="00BC4AFE">
              <w:rPr>
                <w:sz w:val="18"/>
                <w:szCs w:val="18"/>
              </w:rPr>
              <w:t>8,957</w:t>
            </w:r>
          </w:p>
        </w:tc>
        <w:tc>
          <w:tcPr>
            <w:tcW w:w="1182" w:type="dxa"/>
            <w:shd w:val="clear" w:color="auto" w:fill="auto"/>
            <w:noWrap/>
            <w:vAlign w:val="center"/>
            <w:hideMark/>
          </w:tcPr>
          <w:p w14:paraId="3072F5F5" w14:textId="77777777" w:rsidR="00FC752D" w:rsidRPr="00BC4AFE" w:rsidRDefault="00FC752D" w:rsidP="006211D7">
            <w:pPr>
              <w:widowControl w:val="0"/>
              <w:ind w:right="144"/>
              <w:jc w:val="right"/>
              <w:rPr>
                <w:sz w:val="18"/>
                <w:szCs w:val="18"/>
              </w:rPr>
            </w:pPr>
            <w:r w:rsidRPr="00BC4AFE">
              <w:rPr>
                <w:sz w:val="18"/>
                <w:szCs w:val="18"/>
              </w:rPr>
              <w:t>9,824</w:t>
            </w:r>
          </w:p>
        </w:tc>
        <w:tc>
          <w:tcPr>
            <w:tcW w:w="1171" w:type="dxa"/>
            <w:shd w:val="clear" w:color="auto" w:fill="auto"/>
            <w:noWrap/>
            <w:vAlign w:val="center"/>
            <w:hideMark/>
          </w:tcPr>
          <w:p w14:paraId="45528C4C" w14:textId="77777777" w:rsidR="00FC752D" w:rsidRPr="00BC4AFE" w:rsidRDefault="00FC752D" w:rsidP="006211D7">
            <w:pPr>
              <w:widowControl w:val="0"/>
              <w:ind w:right="144"/>
              <w:jc w:val="right"/>
              <w:rPr>
                <w:sz w:val="18"/>
                <w:szCs w:val="18"/>
              </w:rPr>
            </w:pPr>
            <w:r w:rsidRPr="00BC4AFE">
              <w:rPr>
                <w:sz w:val="18"/>
                <w:szCs w:val="18"/>
              </w:rPr>
              <w:t>18,781</w:t>
            </w:r>
          </w:p>
        </w:tc>
      </w:tr>
      <w:tr w:rsidR="00FC752D" w:rsidRPr="00BC4AFE" w14:paraId="0344503C" w14:textId="77777777" w:rsidTr="00A60395">
        <w:trPr>
          <w:cantSplit/>
          <w:trHeight w:val="245"/>
        </w:trPr>
        <w:tc>
          <w:tcPr>
            <w:tcW w:w="3605" w:type="dxa"/>
            <w:shd w:val="clear" w:color="auto" w:fill="auto"/>
            <w:vAlign w:val="center"/>
            <w:hideMark/>
          </w:tcPr>
          <w:p w14:paraId="6122EB8F" w14:textId="77777777" w:rsidR="00FC752D" w:rsidRPr="00BC4AFE" w:rsidRDefault="00FC752D" w:rsidP="006211D7">
            <w:pPr>
              <w:widowControl w:val="0"/>
              <w:ind w:left="144" w:hanging="144"/>
              <w:rPr>
                <w:sz w:val="18"/>
                <w:szCs w:val="18"/>
              </w:rPr>
            </w:pPr>
            <w:r w:rsidRPr="00BC4AFE">
              <w:rPr>
                <w:sz w:val="18"/>
                <w:szCs w:val="18"/>
              </w:rPr>
              <w:t>Mozambique</w:t>
            </w:r>
          </w:p>
        </w:tc>
        <w:tc>
          <w:tcPr>
            <w:tcW w:w="1182" w:type="dxa"/>
            <w:shd w:val="clear" w:color="auto" w:fill="auto"/>
            <w:vAlign w:val="center"/>
            <w:hideMark/>
          </w:tcPr>
          <w:p w14:paraId="13B3A5D1"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6DED06BC"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92842E6" w14:textId="77777777" w:rsidR="00FC752D" w:rsidRPr="00BC4AFE" w:rsidRDefault="00FC752D" w:rsidP="006211D7">
            <w:pPr>
              <w:widowControl w:val="0"/>
              <w:ind w:right="144"/>
              <w:jc w:val="right"/>
              <w:rPr>
                <w:sz w:val="18"/>
                <w:szCs w:val="18"/>
              </w:rPr>
            </w:pPr>
            <w:r w:rsidRPr="00BC4AFE">
              <w:rPr>
                <w:sz w:val="18"/>
                <w:szCs w:val="18"/>
              </w:rPr>
              <w:t>651</w:t>
            </w:r>
          </w:p>
        </w:tc>
        <w:tc>
          <w:tcPr>
            <w:tcW w:w="1182" w:type="dxa"/>
            <w:shd w:val="clear" w:color="auto" w:fill="auto"/>
            <w:noWrap/>
            <w:vAlign w:val="center"/>
            <w:hideMark/>
          </w:tcPr>
          <w:p w14:paraId="589B3AE9" w14:textId="77777777" w:rsidR="00FC752D" w:rsidRPr="00BC4AFE" w:rsidRDefault="00FC752D" w:rsidP="006211D7">
            <w:pPr>
              <w:widowControl w:val="0"/>
              <w:ind w:right="144"/>
              <w:jc w:val="right"/>
              <w:rPr>
                <w:sz w:val="18"/>
                <w:szCs w:val="18"/>
              </w:rPr>
            </w:pPr>
            <w:r w:rsidRPr="00BC4AFE">
              <w:rPr>
                <w:sz w:val="18"/>
                <w:szCs w:val="18"/>
              </w:rPr>
              <w:t>714</w:t>
            </w:r>
          </w:p>
        </w:tc>
        <w:tc>
          <w:tcPr>
            <w:tcW w:w="1171" w:type="dxa"/>
            <w:shd w:val="clear" w:color="auto" w:fill="auto"/>
            <w:noWrap/>
            <w:vAlign w:val="center"/>
            <w:hideMark/>
          </w:tcPr>
          <w:p w14:paraId="562FCFD0" w14:textId="77777777" w:rsidR="00FC752D" w:rsidRPr="00BC4AFE" w:rsidRDefault="00FC752D" w:rsidP="006211D7">
            <w:pPr>
              <w:widowControl w:val="0"/>
              <w:ind w:right="144"/>
              <w:jc w:val="right"/>
              <w:rPr>
                <w:sz w:val="18"/>
                <w:szCs w:val="18"/>
              </w:rPr>
            </w:pPr>
            <w:r w:rsidRPr="00BC4AFE">
              <w:rPr>
                <w:sz w:val="18"/>
                <w:szCs w:val="18"/>
              </w:rPr>
              <w:t>1,366</w:t>
            </w:r>
          </w:p>
        </w:tc>
      </w:tr>
      <w:tr w:rsidR="00FC752D" w:rsidRPr="00BC4AFE" w14:paraId="0ECBAAB0" w14:textId="77777777" w:rsidTr="00A60395">
        <w:trPr>
          <w:cantSplit/>
          <w:trHeight w:val="245"/>
        </w:trPr>
        <w:tc>
          <w:tcPr>
            <w:tcW w:w="3605" w:type="dxa"/>
            <w:shd w:val="clear" w:color="auto" w:fill="auto"/>
            <w:vAlign w:val="center"/>
            <w:hideMark/>
          </w:tcPr>
          <w:p w14:paraId="6EC6AFF6" w14:textId="77777777" w:rsidR="00FC752D" w:rsidRPr="00BC4AFE" w:rsidRDefault="00FC752D" w:rsidP="006211D7">
            <w:pPr>
              <w:widowControl w:val="0"/>
              <w:ind w:left="144" w:hanging="144"/>
              <w:rPr>
                <w:sz w:val="18"/>
                <w:szCs w:val="18"/>
              </w:rPr>
            </w:pPr>
            <w:r w:rsidRPr="00BC4AFE">
              <w:rPr>
                <w:sz w:val="18"/>
                <w:szCs w:val="18"/>
              </w:rPr>
              <w:t>Myanmar</w:t>
            </w:r>
          </w:p>
        </w:tc>
        <w:tc>
          <w:tcPr>
            <w:tcW w:w="1182" w:type="dxa"/>
            <w:shd w:val="clear" w:color="auto" w:fill="auto"/>
            <w:vAlign w:val="center"/>
            <w:hideMark/>
          </w:tcPr>
          <w:p w14:paraId="575969FA"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1C438519"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6555CB6C"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2769E90B"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251E19AC"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3F68BF22" w14:textId="77777777" w:rsidTr="00A60395">
        <w:trPr>
          <w:cantSplit/>
          <w:trHeight w:val="245"/>
        </w:trPr>
        <w:tc>
          <w:tcPr>
            <w:tcW w:w="3605" w:type="dxa"/>
            <w:shd w:val="clear" w:color="auto" w:fill="auto"/>
            <w:vAlign w:val="center"/>
            <w:hideMark/>
          </w:tcPr>
          <w:p w14:paraId="365FD530" w14:textId="77777777" w:rsidR="00FC752D" w:rsidRPr="00BC4AFE" w:rsidRDefault="00FC752D" w:rsidP="006211D7">
            <w:pPr>
              <w:widowControl w:val="0"/>
              <w:ind w:left="144" w:hanging="144"/>
              <w:rPr>
                <w:sz w:val="18"/>
                <w:szCs w:val="18"/>
              </w:rPr>
            </w:pPr>
            <w:r w:rsidRPr="00BC4AFE">
              <w:rPr>
                <w:sz w:val="18"/>
                <w:szCs w:val="18"/>
              </w:rPr>
              <w:t>Namibia</w:t>
            </w:r>
          </w:p>
        </w:tc>
        <w:tc>
          <w:tcPr>
            <w:tcW w:w="1182" w:type="dxa"/>
            <w:shd w:val="clear" w:color="auto" w:fill="auto"/>
            <w:vAlign w:val="center"/>
            <w:hideMark/>
          </w:tcPr>
          <w:p w14:paraId="15827592"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48E5216E" w14:textId="77777777" w:rsidR="00FC752D" w:rsidRPr="00BC4AFE" w:rsidRDefault="00FC752D" w:rsidP="006211D7">
            <w:pPr>
              <w:widowControl w:val="0"/>
              <w:ind w:right="144"/>
              <w:jc w:val="right"/>
              <w:rPr>
                <w:sz w:val="18"/>
                <w:szCs w:val="18"/>
              </w:rPr>
            </w:pPr>
            <w:r w:rsidRPr="00BC4AFE">
              <w:rPr>
                <w:sz w:val="18"/>
                <w:szCs w:val="18"/>
              </w:rPr>
              <w:t>0.011</w:t>
            </w:r>
          </w:p>
        </w:tc>
        <w:tc>
          <w:tcPr>
            <w:tcW w:w="1182" w:type="dxa"/>
            <w:shd w:val="clear" w:color="auto" w:fill="auto"/>
            <w:noWrap/>
            <w:vAlign w:val="center"/>
            <w:hideMark/>
          </w:tcPr>
          <w:p w14:paraId="19404611" w14:textId="77777777" w:rsidR="00FC752D" w:rsidRPr="00BC4AFE" w:rsidRDefault="00FC752D" w:rsidP="006211D7">
            <w:pPr>
              <w:widowControl w:val="0"/>
              <w:ind w:right="144"/>
              <w:jc w:val="right"/>
              <w:rPr>
                <w:sz w:val="18"/>
                <w:szCs w:val="18"/>
              </w:rPr>
            </w:pPr>
            <w:r w:rsidRPr="00BC4AFE">
              <w:rPr>
                <w:sz w:val="18"/>
                <w:szCs w:val="18"/>
              </w:rPr>
              <w:t>1,466</w:t>
            </w:r>
          </w:p>
        </w:tc>
        <w:tc>
          <w:tcPr>
            <w:tcW w:w="1182" w:type="dxa"/>
            <w:shd w:val="clear" w:color="auto" w:fill="auto"/>
            <w:noWrap/>
            <w:vAlign w:val="center"/>
            <w:hideMark/>
          </w:tcPr>
          <w:p w14:paraId="51CCAA21" w14:textId="77777777" w:rsidR="00FC752D" w:rsidRPr="00BC4AFE" w:rsidRDefault="00FC752D" w:rsidP="006211D7">
            <w:pPr>
              <w:widowControl w:val="0"/>
              <w:ind w:right="144"/>
              <w:jc w:val="right"/>
              <w:rPr>
                <w:sz w:val="18"/>
                <w:szCs w:val="18"/>
              </w:rPr>
            </w:pPr>
            <w:r w:rsidRPr="00BC4AFE">
              <w:rPr>
                <w:sz w:val="18"/>
                <w:szCs w:val="18"/>
              </w:rPr>
              <w:t>1,608</w:t>
            </w:r>
          </w:p>
        </w:tc>
        <w:tc>
          <w:tcPr>
            <w:tcW w:w="1171" w:type="dxa"/>
            <w:shd w:val="clear" w:color="auto" w:fill="auto"/>
            <w:noWrap/>
            <w:vAlign w:val="center"/>
            <w:hideMark/>
          </w:tcPr>
          <w:p w14:paraId="33A7976B" w14:textId="77777777" w:rsidR="00FC752D" w:rsidRPr="00BC4AFE" w:rsidRDefault="00FC752D" w:rsidP="006211D7">
            <w:pPr>
              <w:widowControl w:val="0"/>
              <w:ind w:right="144"/>
              <w:jc w:val="right"/>
              <w:rPr>
                <w:sz w:val="18"/>
                <w:szCs w:val="18"/>
              </w:rPr>
            </w:pPr>
            <w:r w:rsidRPr="00BC4AFE">
              <w:rPr>
                <w:sz w:val="18"/>
                <w:szCs w:val="18"/>
              </w:rPr>
              <w:t>3,073</w:t>
            </w:r>
          </w:p>
        </w:tc>
      </w:tr>
      <w:tr w:rsidR="00FC752D" w:rsidRPr="00BC4AFE" w14:paraId="733CBCDF" w14:textId="77777777" w:rsidTr="00A60395">
        <w:trPr>
          <w:cantSplit/>
          <w:trHeight w:val="245"/>
        </w:trPr>
        <w:tc>
          <w:tcPr>
            <w:tcW w:w="3605" w:type="dxa"/>
            <w:shd w:val="clear" w:color="auto" w:fill="auto"/>
            <w:vAlign w:val="center"/>
            <w:hideMark/>
          </w:tcPr>
          <w:p w14:paraId="30795E55" w14:textId="77777777" w:rsidR="00FC752D" w:rsidRPr="00BC4AFE" w:rsidRDefault="00FC752D" w:rsidP="006211D7">
            <w:pPr>
              <w:widowControl w:val="0"/>
              <w:ind w:left="144" w:hanging="144"/>
              <w:rPr>
                <w:sz w:val="18"/>
                <w:szCs w:val="18"/>
              </w:rPr>
            </w:pPr>
            <w:r w:rsidRPr="00BC4AFE">
              <w:rPr>
                <w:sz w:val="18"/>
                <w:szCs w:val="18"/>
              </w:rPr>
              <w:t>Nauru</w:t>
            </w:r>
          </w:p>
        </w:tc>
        <w:tc>
          <w:tcPr>
            <w:tcW w:w="1182" w:type="dxa"/>
            <w:shd w:val="clear" w:color="auto" w:fill="auto"/>
            <w:vAlign w:val="center"/>
            <w:hideMark/>
          </w:tcPr>
          <w:p w14:paraId="3B24BAB2"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B1B140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8DB664C"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03F035B9"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3149B1F4"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2072E93D" w14:textId="77777777" w:rsidTr="00A60395">
        <w:trPr>
          <w:cantSplit/>
          <w:trHeight w:val="245"/>
        </w:trPr>
        <w:tc>
          <w:tcPr>
            <w:tcW w:w="3605" w:type="dxa"/>
            <w:shd w:val="clear" w:color="auto" w:fill="auto"/>
            <w:vAlign w:val="center"/>
            <w:hideMark/>
          </w:tcPr>
          <w:p w14:paraId="7C26B20A" w14:textId="77777777" w:rsidR="00FC752D" w:rsidRPr="00BC4AFE" w:rsidRDefault="00FC752D" w:rsidP="006211D7">
            <w:pPr>
              <w:widowControl w:val="0"/>
              <w:ind w:left="144" w:hanging="144"/>
              <w:rPr>
                <w:sz w:val="18"/>
                <w:szCs w:val="18"/>
              </w:rPr>
            </w:pPr>
            <w:r w:rsidRPr="00BC4AFE">
              <w:rPr>
                <w:sz w:val="18"/>
                <w:szCs w:val="18"/>
              </w:rPr>
              <w:t>Nepal</w:t>
            </w:r>
          </w:p>
        </w:tc>
        <w:tc>
          <w:tcPr>
            <w:tcW w:w="1182" w:type="dxa"/>
            <w:shd w:val="clear" w:color="auto" w:fill="auto"/>
            <w:vAlign w:val="center"/>
            <w:hideMark/>
          </w:tcPr>
          <w:p w14:paraId="738933B9"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7192376A"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1164DD6A"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658EE161"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35693715"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09353C4F" w14:textId="77777777" w:rsidTr="00A60395">
        <w:trPr>
          <w:cantSplit/>
          <w:trHeight w:val="245"/>
        </w:trPr>
        <w:tc>
          <w:tcPr>
            <w:tcW w:w="3605" w:type="dxa"/>
            <w:shd w:val="clear" w:color="auto" w:fill="auto"/>
            <w:vAlign w:val="center"/>
            <w:hideMark/>
          </w:tcPr>
          <w:p w14:paraId="736A7D02" w14:textId="77777777" w:rsidR="00FC752D" w:rsidRPr="00BC4AFE" w:rsidRDefault="00FC752D" w:rsidP="006211D7">
            <w:pPr>
              <w:widowControl w:val="0"/>
              <w:ind w:left="144" w:hanging="144"/>
              <w:rPr>
                <w:sz w:val="18"/>
                <w:szCs w:val="18"/>
              </w:rPr>
            </w:pPr>
            <w:r w:rsidRPr="00BC4AFE">
              <w:rPr>
                <w:sz w:val="18"/>
                <w:szCs w:val="18"/>
              </w:rPr>
              <w:t>Netherlands</w:t>
            </w:r>
          </w:p>
        </w:tc>
        <w:tc>
          <w:tcPr>
            <w:tcW w:w="1182" w:type="dxa"/>
            <w:shd w:val="clear" w:color="auto" w:fill="auto"/>
            <w:vAlign w:val="center"/>
            <w:hideMark/>
          </w:tcPr>
          <w:p w14:paraId="574AAA3D" w14:textId="77777777" w:rsidR="00FC752D" w:rsidRPr="00BC4AFE" w:rsidRDefault="00FC752D" w:rsidP="006211D7">
            <w:pPr>
              <w:widowControl w:val="0"/>
              <w:ind w:right="144"/>
              <w:jc w:val="right"/>
              <w:rPr>
                <w:sz w:val="18"/>
                <w:szCs w:val="18"/>
              </w:rPr>
            </w:pPr>
            <w:r w:rsidRPr="00BC4AFE">
              <w:rPr>
                <w:sz w:val="18"/>
                <w:szCs w:val="18"/>
              </w:rPr>
              <w:t>1.377</w:t>
            </w:r>
          </w:p>
        </w:tc>
        <w:tc>
          <w:tcPr>
            <w:tcW w:w="1182" w:type="dxa"/>
            <w:shd w:val="clear" w:color="auto" w:fill="auto"/>
            <w:noWrap/>
            <w:vAlign w:val="center"/>
            <w:hideMark/>
          </w:tcPr>
          <w:p w14:paraId="6671D161" w14:textId="77777777" w:rsidR="00FC752D" w:rsidRPr="00BC4AFE" w:rsidRDefault="00FC752D" w:rsidP="006211D7">
            <w:pPr>
              <w:widowControl w:val="0"/>
              <w:ind w:right="144"/>
              <w:jc w:val="right"/>
              <w:rPr>
                <w:sz w:val="18"/>
                <w:szCs w:val="18"/>
              </w:rPr>
            </w:pPr>
            <w:r w:rsidRPr="00BC4AFE">
              <w:rPr>
                <w:sz w:val="18"/>
                <w:szCs w:val="18"/>
              </w:rPr>
              <w:t>1.721</w:t>
            </w:r>
          </w:p>
        </w:tc>
        <w:tc>
          <w:tcPr>
            <w:tcW w:w="1182" w:type="dxa"/>
            <w:shd w:val="clear" w:color="auto" w:fill="auto"/>
            <w:noWrap/>
            <w:vAlign w:val="center"/>
            <w:hideMark/>
          </w:tcPr>
          <w:p w14:paraId="377A73AB" w14:textId="77777777" w:rsidR="00FC752D" w:rsidRPr="00BC4AFE" w:rsidRDefault="00FC752D" w:rsidP="006211D7">
            <w:pPr>
              <w:widowControl w:val="0"/>
              <w:ind w:right="144"/>
              <w:jc w:val="right"/>
              <w:rPr>
                <w:sz w:val="18"/>
                <w:szCs w:val="18"/>
              </w:rPr>
            </w:pPr>
            <w:r w:rsidRPr="00BC4AFE">
              <w:rPr>
                <w:sz w:val="18"/>
                <w:szCs w:val="18"/>
              </w:rPr>
              <w:t>224,241</w:t>
            </w:r>
          </w:p>
        </w:tc>
        <w:tc>
          <w:tcPr>
            <w:tcW w:w="1182" w:type="dxa"/>
            <w:shd w:val="clear" w:color="auto" w:fill="auto"/>
            <w:noWrap/>
            <w:vAlign w:val="center"/>
            <w:hideMark/>
          </w:tcPr>
          <w:p w14:paraId="6FB44381" w14:textId="77777777" w:rsidR="00FC752D" w:rsidRPr="00BC4AFE" w:rsidRDefault="00FC752D" w:rsidP="006211D7">
            <w:pPr>
              <w:widowControl w:val="0"/>
              <w:ind w:right="144"/>
              <w:jc w:val="right"/>
              <w:rPr>
                <w:sz w:val="18"/>
                <w:szCs w:val="18"/>
              </w:rPr>
            </w:pPr>
            <w:r w:rsidRPr="00BC4AFE">
              <w:rPr>
                <w:sz w:val="18"/>
                <w:szCs w:val="18"/>
              </w:rPr>
              <w:t>245,955</w:t>
            </w:r>
          </w:p>
        </w:tc>
        <w:tc>
          <w:tcPr>
            <w:tcW w:w="1171" w:type="dxa"/>
            <w:shd w:val="clear" w:color="auto" w:fill="auto"/>
            <w:noWrap/>
            <w:vAlign w:val="center"/>
            <w:hideMark/>
          </w:tcPr>
          <w:p w14:paraId="718EAAA4" w14:textId="77777777" w:rsidR="00FC752D" w:rsidRPr="00BC4AFE" w:rsidRDefault="00FC752D" w:rsidP="006211D7">
            <w:pPr>
              <w:widowControl w:val="0"/>
              <w:ind w:right="144"/>
              <w:jc w:val="right"/>
              <w:rPr>
                <w:sz w:val="18"/>
                <w:szCs w:val="18"/>
              </w:rPr>
            </w:pPr>
            <w:r w:rsidRPr="00BC4AFE">
              <w:rPr>
                <w:sz w:val="18"/>
                <w:szCs w:val="18"/>
              </w:rPr>
              <w:t>470,196</w:t>
            </w:r>
          </w:p>
        </w:tc>
      </w:tr>
      <w:tr w:rsidR="00FC752D" w:rsidRPr="00BC4AFE" w14:paraId="470C051C" w14:textId="77777777" w:rsidTr="00A60395">
        <w:trPr>
          <w:cantSplit/>
          <w:trHeight w:val="245"/>
        </w:trPr>
        <w:tc>
          <w:tcPr>
            <w:tcW w:w="3605" w:type="dxa"/>
            <w:shd w:val="clear" w:color="auto" w:fill="auto"/>
            <w:vAlign w:val="center"/>
            <w:hideMark/>
          </w:tcPr>
          <w:p w14:paraId="5A57575F" w14:textId="77777777" w:rsidR="00FC752D" w:rsidRPr="00BC4AFE" w:rsidRDefault="00FC752D" w:rsidP="006211D7">
            <w:pPr>
              <w:widowControl w:val="0"/>
              <w:ind w:left="144" w:hanging="144"/>
              <w:rPr>
                <w:sz w:val="18"/>
                <w:szCs w:val="18"/>
              </w:rPr>
            </w:pPr>
            <w:r w:rsidRPr="00BC4AFE">
              <w:rPr>
                <w:sz w:val="18"/>
                <w:szCs w:val="18"/>
              </w:rPr>
              <w:t>New Zealand</w:t>
            </w:r>
          </w:p>
        </w:tc>
        <w:tc>
          <w:tcPr>
            <w:tcW w:w="1182" w:type="dxa"/>
            <w:shd w:val="clear" w:color="auto" w:fill="auto"/>
            <w:vAlign w:val="center"/>
            <w:hideMark/>
          </w:tcPr>
          <w:p w14:paraId="63BFCBF3" w14:textId="77777777" w:rsidR="00FC752D" w:rsidRPr="00BC4AFE" w:rsidRDefault="00FC752D" w:rsidP="006211D7">
            <w:pPr>
              <w:widowControl w:val="0"/>
              <w:ind w:right="144"/>
              <w:jc w:val="right"/>
              <w:rPr>
                <w:sz w:val="18"/>
                <w:szCs w:val="18"/>
              </w:rPr>
            </w:pPr>
            <w:r w:rsidRPr="00BC4AFE">
              <w:rPr>
                <w:sz w:val="18"/>
                <w:szCs w:val="18"/>
              </w:rPr>
              <w:t>0.309</w:t>
            </w:r>
          </w:p>
        </w:tc>
        <w:tc>
          <w:tcPr>
            <w:tcW w:w="1182" w:type="dxa"/>
            <w:shd w:val="clear" w:color="auto" w:fill="auto"/>
            <w:noWrap/>
            <w:vAlign w:val="center"/>
            <w:hideMark/>
          </w:tcPr>
          <w:p w14:paraId="50000D75" w14:textId="77777777" w:rsidR="00FC752D" w:rsidRPr="00BC4AFE" w:rsidRDefault="00FC752D" w:rsidP="006211D7">
            <w:pPr>
              <w:widowControl w:val="0"/>
              <w:ind w:right="144"/>
              <w:jc w:val="right"/>
              <w:rPr>
                <w:sz w:val="18"/>
                <w:szCs w:val="18"/>
              </w:rPr>
            </w:pPr>
            <w:r w:rsidRPr="00BC4AFE">
              <w:rPr>
                <w:sz w:val="18"/>
                <w:szCs w:val="18"/>
              </w:rPr>
              <w:t>0.386</w:t>
            </w:r>
          </w:p>
        </w:tc>
        <w:tc>
          <w:tcPr>
            <w:tcW w:w="1182" w:type="dxa"/>
            <w:shd w:val="clear" w:color="auto" w:fill="auto"/>
            <w:noWrap/>
            <w:vAlign w:val="center"/>
            <w:hideMark/>
          </w:tcPr>
          <w:p w14:paraId="2D1115BA" w14:textId="77777777" w:rsidR="00FC752D" w:rsidRPr="00BC4AFE" w:rsidRDefault="00FC752D" w:rsidP="006211D7">
            <w:pPr>
              <w:widowControl w:val="0"/>
              <w:ind w:right="144"/>
              <w:jc w:val="right"/>
              <w:rPr>
                <w:sz w:val="18"/>
                <w:szCs w:val="18"/>
              </w:rPr>
            </w:pPr>
            <w:r w:rsidRPr="00BC4AFE">
              <w:rPr>
                <w:sz w:val="18"/>
                <w:szCs w:val="18"/>
              </w:rPr>
              <w:t>50,320</w:t>
            </w:r>
          </w:p>
        </w:tc>
        <w:tc>
          <w:tcPr>
            <w:tcW w:w="1182" w:type="dxa"/>
            <w:shd w:val="clear" w:color="auto" w:fill="auto"/>
            <w:noWrap/>
            <w:vAlign w:val="center"/>
            <w:hideMark/>
          </w:tcPr>
          <w:p w14:paraId="037B3A58" w14:textId="77777777" w:rsidR="00FC752D" w:rsidRPr="00BC4AFE" w:rsidRDefault="00FC752D" w:rsidP="006211D7">
            <w:pPr>
              <w:widowControl w:val="0"/>
              <w:ind w:right="144"/>
              <w:jc w:val="right"/>
              <w:rPr>
                <w:sz w:val="18"/>
                <w:szCs w:val="18"/>
              </w:rPr>
            </w:pPr>
            <w:r w:rsidRPr="00BC4AFE">
              <w:rPr>
                <w:sz w:val="18"/>
                <w:szCs w:val="18"/>
              </w:rPr>
              <w:t>55,193</w:t>
            </w:r>
          </w:p>
        </w:tc>
        <w:tc>
          <w:tcPr>
            <w:tcW w:w="1171" w:type="dxa"/>
            <w:shd w:val="clear" w:color="auto" w:fill="auto"/>
            <w:noWrap/>
            <w:vAlign w:val="center"/>
            <w:hideMark/>
          </w:tcPr>
          <w:p w14:paraId="2979F72B" w14:textId="77777777" w:rsidR="00FC752D" w:rsidRPr="00BC4AFE" w:rsidRDefault="00FC752D" w:rsidP="006211D7">
            <w:pPr>
              <w:widowControl w:val="0"/>
              <w:ind w:right="144"/>
              <w:jc w:val="right"/>
              <w:rPr>
                <w:sz w:val="18"/>
                <w:szCs w:val="18"/>
              </w:rPr>
            </w:pPr>
            <w:r w:rsidRPr="00BC4AFE">
              <w:rPr>
                <w:sz w:val="18"/>
                <w:szCs w:val="18"/>
              </w:rPr>
              <w:t>105,512</w:t>
            </w:r>
          </w:p>
        </w:tc>
      </w:tr>
      <w:tr w:rsidR="00FC752D" w:rsidRPr="00BC4AFE" w14:paraId="3DD0F678" w14:textId="77777777" w:rsidTr="00A60395">
        <w:trPr>
          <w:cantSplit/>
          <w:trHeight w:val="245"/>
        </w:trPr>
        <w:tc>
          <w:tcPr>
            <w:tcW w:w="3605" w:type="dxa"/>
            <w:shd w:val="clear" w:color="auto" w:fill="auto"/>
            <w:vAlign w:val="center"/>
            <w:hideMark/>
          </w:tcPr>
          <w:p w14:paraId="332CF0DE" w14:textId="77777777" w:rsidR="00FC752D" w:rsidRPr="00BC4AFE" w:rsidRDefault="00FC752D" w:rsidP="006211D7">
            <w:pPr>
              <w:widowControl w:val="0"/>
              <w:ind w:left="144" w:hanging="144"/>
              <w:rPr>
                <w:sz w:val="18"/>
                <w:szCs w:val="18"/>
              </w:rPr>
            </w:pPr>
            <w:r w:rsidRPr="00BC4AFE">
              <w:rPr>
                <w:sz w:val="18"/>
                <w:szCs w:val="18"/>
              </w:rPr>
              <w:t>Nicaragua</w:t>
            </w:r>
          </w:p>
        </w:tc>
        <w:tc>
          <w:tcPr>
            <w:tcW w:w="1182" w:type="dxa"/>
            <w:shd w:val="clear" w:color="auto" w:fill="auto"/>
            <w:vAlign w:val="center"/>
            <w:hideMark/>
          </w:tcPr>
          <w:p w14:paraId="5E214B7D"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3E59E841"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1A2FEA65"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3B3FE3EE"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1D1806FE"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7F89D04F" w14:textId="77777777" w:rsidTr="00A60395">
        <w:trPr>
          <w:cantSplit/>
          <w:trHeight w:val="245"/>
        </w:trPr>
        <w:tc>
          <w:tcPr>
            <w:tcW w:w="3605" w:type="dxa"/>
            <w:shd w:val="clear" w:color="auto" w:fill="auto"/>
            <w:vAlign w:val="center"/>
            <w:hideMark/>
          </w:tcPr>
          <w:p w14:paraId="148C3C47" w14:textId="77777777" w:rsidR="00FC752D" w:rsidRPr="00BC4AFE" w:rsidRDefault="00FC752D" w:rsidP="006211D7">
            <w:pPr>
              <w:widowControl w:val="0"/>
              <w:ind w:left="144" w:hanging="144"/>
              <w:rPr>
                <w:sz w:val="18"/>
                <w:szCs w:val="18"/>
              </w:rPr>
            </w:pPr>
            <w:r w:rsidRPr="00BC4AFE">
              <w:rPr>
                <w:sz w:val="18"/>
                <w:szCs w:val="18"/>
              </w:rPr>
              <w:t>Niger</w:t>
            </w:r>
          </w:p>
        </w:tc>
        <w:tc>
          <w:tcPr>
            <w:tcW w:w="1182" w:type="dxa"/>
            <w:shd w:val="clear" w:color="auto" w:fill="auto"/>
            <w:vAlign w:val="center"/>
            <w:hideMark/>
          </w:tcPr>
          <w:p w14:paraId="62F12BBC"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5927B120"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62C2ECB1"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shd w:val="clear" w:color="auto" w:fill="auto"/>
            <w:noWrap/>
            <w:vAlign w:val="center"/>
            <w:hideMark/>
          </w:tcPr>
          <w:p w14:paraId="6AFF3ADC"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shd w:val="clear" w:color="auto" w:fill="auto"/>
            <w:noWrap/>
            <w:vAlign w:val="center"/>
            <w:hideMark/>
          </w:tcPr>
          <w:p w14:paraId="5C81EDBA"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2708DCE1" w14:textId="77777777" w:rsidTr="00A60395">
        <w:trPr>
          <w:cantSplit/>
          <w:trHeight w:val="245"/>
        </w:trPr>
        <w:tc>
          <w:tcPr>
            <w:tcW w:w="3605" w:type="dxa"/>
            <w:shd w:val="clear" w:color="auto" w:fill="auto"/>
            <w:vAlign w:val="center"/>
            <w:hideMark/>
          </w:tcPr>
          <w:p w14:paraId="65095B70" w14:textId="77777777" w:rsidR="00FC752D" w:rsidRPr="00BC4AFE" w:rsidRDefault="00FC752D" w:rsidP="006211D7">
            <w:pPr>
              <w:widowControl w:val="0"/>
              <w:ind w:left="144" w:hanging="144"/>
              <w:rPr>
                <w:sz w:val="18"/>
                <w:szCs w:val="18"/>
              </w:rPr>
            </w:pPr>
            <w:r w:rsidRPr="00BC4AFE">
              <w:rPr>
                <w:sz w:val="18"/>
                <w:szCs w:val="18"/>
              </w:rPr>
              <w:t>Nigeria</w:t>
            </w:r>
          </w:p>
        </w:tc>
        <w:tc>
          <w:tcPr>
            <w:tcW w:w="1182" w:type="dxa"/>
            <w:shd w:val="clear" w:color="auto" w:fill="auto"/>
            <w:vAlign w:val="center"/>
            <w:hideMark/>
          </w:tcPr>
          <w:p w14:paraId="3305B187" w14:textId="77777777" w:rsidR="00FC752D" w:rsidRPr="00BC4AFE" w:rsidRDefault="00FC752D" w:rsidP="006211D7">
            <w:pPr>
              <w:widowControl w:val="0"/>
              <w:ind w:right="144"/>
              <w:jc w:val="right"/>
              <w:rPr>
                <w:sz w:val="18"/>
                <w:szCs w:val="18"/>
              </w:rPr>
            </w:pPr>
            <w:r w:rsidRPr="00BC4AFE">
              <w:rPr>
                <w:sz w:val="18"/>
                <w:szCs w:val="18"/>
              </w:rPr>
              <w:t>0.182</w:t>
            </w:r>
          </w:p>
        </w:tc>
        <w:tc>
          <w:tcPr>
            <w:tcW w:w="1182" w:type="dxa"/>
            <w:shd w:val="clear" w:color="auto" w:fill="auto"/>
            <w:noWrap/>
            <w:vAlign w:val="center"/>
            <w:hideMark/>
          </w:tcPr>
          <w:p w14:paraId="7C7859B6" w14:textId="77777777" w:rsidR="00FC752D" w:rsidRPr="00BC4AFE" w:rsidRDefault="00FC752D" w:rsidP="006211D7">
            <w:pPr>
              <w:widowControl w:val="0"/>
              <w:ind w:right="144"/>
              <w:jc w:val="right"/>
              <w:rPr>
                <w:sz w:val="18"/>
                <w:szCs w:val="18"/>
              </w:rPr>
            </w:pPr>
            <w:r w:rsidRPr="00BC4AFE">
              <w:rPr>
                <w:sz w:val="18"/>
                <w:szCs w:val="18"/>
              </w:rPr>
              <w:t>0.228</w:t>
            </w:r>
          </w:p>
        </w:tc>
        <w:tc>
          <w:tcPr>
            <w:tcW w:w="1182" w:type="dxa"/>
            <w:shd w:val="clear" w:color="auto" w:fill="auto"/>
            <w:noWrap/>
            <w:vAlign w:val="center"/>
            <w:hideMark/>
          </w:tcPr>
          <w:p w14:paraId="30169ADF" w14:textId="77777777" w:rsidR="00FC752D" w:rsidRPr="00BC4AFE" w:rsidRDefault="00FC752D" w:rsidP="006211D7">
            <w:pPr>
              <w:widowControl w:val="0"/>
              <w:ind w:right="144"/>
              <w:jc w:val="right"/>
              <w:rPr>
                <w:sz w:val="18"/>
                <w:szCs w:val="18"/>
              </w:rPr>
            </w:pPr>
            <w:r w:rsidRPr="00BC4AFE">
              <w:rPr>
                <w:sz w:val="18"/>
                <w:szCs w:val="18"/>
              </w:rPr>
              <w:t>29,638</w:t>
            </w:r>
          </w:p>
        </w:tc>
        <w:tc>
          <w:tcPr>
            <w:tcW w:w="1182" w:type="dxa"/>
            <w:shd w:val="clear" w:color="auto" w:fill="auto"/>
            <w:noWrap/>
            <w:vAlign w:val="center"/>
            <w:hideMark/>
          </w:tcPr>
          <w:p w14:paraId="6E402B4F" w14:textId="77777777" w:rsidR="00FC752D" w:rsidRPr="00BC4AFE" w:rsidRDefault="00FC752D" w:rsidP="006211D7">
            <w:pPr>
              <w:widowControl w:val="0"/>
              <w:ind w:right="144"/>
              <w:jc w:val="right"/>
              <w:rPr>
                <w:sz w:val="18"/>
                <w:szCs w:val="18"/>
              </w:rPr>
            </w:pPr>
            <w:r w:rsidRPr="00BC4AFE">
              <w:rPr>
                <w:sz w:val="18"/>
                <w:szCs w:val="18"/>
              </w:rPr>
              <w:t>32,508</w:t>
            </w:r>
          </w:p>
        </w:tc>
        <w:tc>
          <w:tcPr>
            <w:tcW w:w="1171" w:type="dxa"/>
            <w:shd w:val="clear" w:color="auto" w:fill="auto"/>
            <w:noWrap/>
            <w:vAlign w:val="center"/>
            <w:hideMark/>
          </w:tcPr>
          <w:p w14:paraId="2ECA6EC9" w14:textId="77777777" w:rsidR="00FC752D" w:rsidRPr="00BC4AFE" w:rsidRDefault="00FC752D" w:rsidP="006211D7">
            <w:pPr>
              <w:widowControl w:val="0"/>
              <w:ind w:right="144"/>
              <w:jc w:val="right"/>
              <w:rPr>
                <w:sz w:val="18"/>
                <w:szCs w:val="18"/>
              </w:rPr>
            </w:pPr>
            <w:r w:rsidRPr="00BC4AFE">
              <w:rPr>
                <w:sz w:val="18"/>
                <w:szCs w:val="18"/>
              </w:rPr>
              <w:t>62,146</w:t>
            </w:r>
          </w:p>
        </w:tc>
      </w:tr>
      <w:tr w:rsidR="00FC752D" w:rsidRPr="00BC4AFE" w14:paraId="1AAF8BE9" w14:textId="77777777" w:rsidTr="00A60395">
        <w:trPr>
          <w:cantSplit/>
          <w:trHeight w:val="245"/>
        </w:trPr>
        <w:tc>
          <w:tcPr>
            <w:tcW w:w="3605" w:type="dxa"/>
            <w:shd w:val="clear" w:color="auto" w:fill="auto"/>
            <w:vAlign w:val="center"/>
            <w:hideMark/>
          </w:tcPr>
          <w:p w14:paraId="1A0E5EA2" w14:textId="77777777" w:rsidR="00FC752D" w:rsidRPr="00BC4AFE" w:rsidRDefault="00FC752D" w:rsidP="006211D7">
            <w:pPr>
              <w:widowControl w:val="0"/>
              <w:ind w:left="144" w:hanging="144"/>
              <w:rPr>
                <w:sz w:val="18"/>
                <w:szCs w:val="18"/>
              </w:rPr>
            </w:pPr>
            <w:r w:rsidRPr="00BC4AFE">
              <w:rPr>
                <w:sz w:val="18"/>
                <w:szCs w:val="18"/>
              </w:rPr>
              <w:t>Niue</w:t>
            </w:r>
          </w:p>
        </w:tc>
        <w:tc>
          <w:tcPr>
            <w:tcW w:w="1182" w:type="dxa"/>
            <w:shd w:val="clear" w:color="auto" w:fill="auto"/>
            <w:vAlign w:val="center"/>
            <w:hideMark/>
          </w:tcPr>
          <w:p w14:paraId="34513DDA"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BBE953C"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496FEBBF"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65B3ED21"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429CF6A9"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3DE1182" w14:textId="77777777" w:rsidTr="00A60395">
        <w:trPr>
          <w:cantSplit/>
          <w:trHeight w:val="245"/>
        </w:trPr>
        <w:tc>
          <w:tcPr>
            <w:tcW w:w="3605" w:type="dxa"/>
            <w:shd w:val="clear" w:color="auto" w:fill="auto"/>
            <w:vAlign w:val="center"/>
          </w:tcPr>
          <w:p w14:paraId="5B972D4E" w14:textId="77777777" w:rsidR="00FC752D" w:rsidRPr="00BC4AFE" w:rsidRDefault="00FC752D" w:rsidP="006211D7">
            <w:pPr>
              <w:widowControl w:val="0"/>
              <w:ind w:left="144" w:hanging="144"/>
              <w:rPr>
                <w:sz w:val="18"/>
                <w:szCs w:val="18"/>
              </w:rPr>
            </w:pPr>
            <w:r w:rsidRPr="00BC4AFE">
              <w:rPr>
                <w:sz w:val="18"/>
                <w:szCs w:val="18"/>
              </w:rPr>
              <w:t>North Macedonia</w:t>
            </w:r>
          </w:p>
        </w:tc>
        <w:tc>
          <w:tcPr>
            <w:tcW w:w="1182" w:type="dxa"/>
            <w:shd w:val="clear" w:color="auto" w:fill="auto"/>
            <w:vAlign w:val="center"/>
          </w:tcPr>
          <w:p w14:paraId="51B1E400"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tcPr>
          <w:p w14:paraId="3084A599"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tcPr>
          <w:p w14:paraId="6BD1B100"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tcPr>
          <w:p w14:paraId="668045B5"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tcPr>
          <w:p w14:paraId="61FF2291"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4EA43D9A" w14:textId="77777777" w:rsidTr="00A60395">
        <w:trPr>
          <w:cantSplit/>
          <w:trHeight w:val="245"/>
        </w:trPr>
        <w:tc>
          <w:tcPr>
            <w:tcW w:w="3605" w:type="dxa"/>
            <w:shd w:val="clear" w:color="auto" w:fill="auto"/>
            <w:vAlign w:val="center"/>
            <w:hideMark/>
          </w:tcPr>
          <w:p w14:paraId="4952733B" w14:textId="77777777" w:rsidR="00FC752D" w:rsidRPr="00BC4AFE" w:rsidRDefault="00FC752D" w:rsidP="006211D7">
            <w:pPr>
              <w:widowControl w:val="0"/>
              <w:ind w:left="144" w:hanging="144"/>
              <w:rPr>
                <w:sz w:val="18"/>
                <w:szCs w:val="18"/>
              </w:rPr>
            </w:pPr>
            <w:r w:rsidRPr="00BC4AFE">
              <w:rPr>
                <w:sz w:val="18"/>
                <w:szCs w:val="18"/>
              </w:rPr>
              <w:t>Norway</w:t>
            </w:r>
          </w:p>
        </w:tc>
        <w:tc>
          <w:tcPr>
            <w:tcW w:w="1182" w:type="dxa"/>
            <w:shd w:val="clear" w:color="auto" w:fill="auto"/>
            <w:vAlign w:val="center"/>
            <w:hideMark/>
          </w:tcPr>
          <w:p w14:paraId="7B1B7173" w14:textId="77777777" w:rsidR="00FC752D" w:rsidRPr="00BC4AFE" w:rsidRDefault="00FC752D" w:rsidP="006211D7">
            <w:pPr>
              <w:widowControl w:val="0"/>
              <w:ind w:right="144"/>
              <w:jc w:val="right"/>
              <w:rPr>
                <w:sz w:val="18"/>
                <w:szCs w:val="18"/>
              </w:rPr>
            </w:pPr>
            <w:r w:rsidRPr="00BC4AFE">
              <w:rPr>
                <w:sz w:val="18"/>
                <w:szCs w:val="18"/>
              </w:rPr>
              <w:t>0.679</w:t>
            </w:r>
          </w:p>
        </w:tc>
        <w:tc>
          <w:tcPr>
            <w:tcW w:w="1182" w:type="dxa"/>
            <w:shd w:val="clear" w:color="auto" w:fill="auto"/>
            <w:noWrap/>
            <w:vAlign w:val="center"/>
            <w:hideMark/>
          </w:tcPr>
          <w:p w14:paraId="66DC52DE" w14:textId="77777777" w:rsidR="00FC752D" w:rsidRPr="00BC4AFE" w:rsidRDefault="00FC752D" w:rsidP="006211D7">
            <w:pPr>
              <w:widowControl w:val="0"/>
              <w:ind w:right="144"/>
              <w:jc w:val="right"/>
              <w:rPr>
                <w:sz w:val="18"/>
                <w:szCs w:val="18"/>
              </w:rPr>
            </w:pPr>
            <w:r w:rsidRPr="00BC4AFE">
              <w:rPr>
                <w:sz w:val="18"/>
                <w:szCs w:val="18"/>
              </w:rPr>
              <w:t>0.849</w:t>
            </w:r>
          </w:p>
        </w:tc>
        <w:tc>
          <w:tcPr>
            <w:tcW w:w="1182" w:type="dxa"/>
            <w:shd w:val="clear" w:color="auto" w:fill="auto"/>
            <w:noWrap/>
            <w:vAlign w:val="center"/>
            <w:hideMark/>
          </w:tcPr>
          <w:p w14:paraId="2D6405DC" w14:textId="77777777" w:rsidR="00FC752D" w:rsidRPr="00BC4AFE" w:rsidRDefault="00FC752D" w:rsidP="006211D7">
            <w:pPr>
              <w:widowControl w:val="0"/>
              <w:ind w:right="144"/>
              <w:jc w:val="right"/>
              <w:rPr>
                <w:sz w:val="18"/>
                <w:szCs w:val="18"/>
              </w:rPr>
            </w:pPr>
            <w:r w:rsidRPr="00BC4AFE">
              <w:rPr>
                <w:sz w:val="18"/>
                <w:szCs w:val="18"/>
              </w:rPr>
              <w:t>110,573</w:t>
            </w:r>
          </w:p>
        </w:tc>
        <w:tc>
          <w:tcPr>
            <w:tcW w:w="1182" w:type="dxa"/>
            <w:shd w:val="clear" w:color="auto" w:fill="auto"/>
            <w:noWrap/>
            <w:vAlign w:val="center"/>
            <w:hideMark/>
          </w:tcPr>
          <w:p w14:paraId="7141A262" w14:textId="77777777" w:rsidR="00FC752D" w:rsidRPr="00BC4AFE" w:rsidRDefault="00FC752D" w:rsidP="006211D7">
            <w:pPr>
              <w:widowControl w:val="0"/>
              <w:ind w:right="144"/>
              <w:jc w:val="right"/>
              <w:rPr>
                <w:sz w:val="18"/>
                <w:szCs w:val="18"/>
              </w:rPr>
            </w:pPr>
            <w:r w:rsidRPr="00BC4AFE">
              <w:rPr>
                <w:sz w:val="18"/>
                <w:szCs w:val="18"/>
              </w:rPr>
              <w:t>121,281</w:t>
            </w:r>
          </w:p>
        </w:tc>
        <w:tc>
          <w:tcPr>
            <w:tcW w:w="1171" w:type="dxa"/>
            <w:shd w:val="clear" w:color="auto" w:fill="auto"/>
            <w:noWrap/>
            <w:vAlign w:val="center"/>
            <w:hideMark/>
          </w:tcPr>
          <w:p w14:paraId="7DFF8528" w14:textId="77777777" w:rsidR="00FC752D" w:rsidRPr="00BC4AFE" w:rsidRDefault="00FC752D" w:rsidP="006211D7">
            <w:pPr>
              <w:widowControl w:val="0"/>
              <w:ind w:right="144"/>
              <w:jc w:val="right"/>
              <w:rPr>
                <w:sz w:val="18"/>
                <w:szCs w:val="18"/>
              </w:rPr>
            </w:pPr>
            <w:r w:rsidRPr="00BC4AFE">
              <w:rPr>
                <w:sz w:val="18"/>
                <w:szCs w:val="18"/>
              </w:rPr>
              <w:t>231,854</w:t>
            </w:r>
          </w:p>
        </w:tc>
      </w:tr>
      <w:tr w:rsidR="00FC752D" w:rsidRPr="00BC4AFE" w14:paraId="02490498" w14:textId="77777777" w:rsidTr="00A60395">
        <w:trPr>
          <w:cantSplit/>
          <w:trHeight w:val="245"/>
        </w:trPr>
        <w:tc>
          <w:tcPr>
            <w:tcW w:w="3605" w:type="dxa"/>
            <w:shd w:val="clear" w:color="auto" w:fill="auto"/>
            <w:vAlign w:val="center"/>
            <w:hideMark/>
          </w:tcPr>
          <w:p w14:paraId="0DDC1058" w14:textId="77777777" w:rsidR="00FC752D" w:rsidRPr="00BC4AFE" w:rsidRDefault="00FC752D" w:rsidP="006211D7">
            <w:pPr>
              <w:widowControl w:val="0"/>
              <w:ind w:left="144" w:hanging="144"/>
              <w:rPr>
                <w:sz w:val="18"/>
                <w:szCs w:val="18"/>
              </w:rPr>
            </w:pPr>
            <w:r w:rsidRPr="00BC4AFE">
              <w:rPr>
                <w:sz w:val="18"/>
                <w:szCs w:val="18"/>
              </w:rPr>
              <w:t>Oman</w:t>
            </w:r>
          </w:p>
        </w:tc>
        <w:tc>
          <w:tcPr>
            <w:tcW w:w="1182" w:type="dxa"/>
            <w:shd w:val="clear" w:color="auto" w:fill="auto"/>
            <w:vAlign w:val="center"/>
            <w:hideMark/>
          </w:tcPr>
          <w:p w14:paraId="4E6BB9D0" w14:textId="77777777" w:rsidR="00FC752D" w:rsidRPr="00BC4AFE" w:rsidRDefault="00FC752D" w:rsidP="006211D7">
            <w:pPr>
              <w:widowControl w:val="0"/>
              <w:ind w:right="144"/>
              <w:jc w:val="right"/>
              <w:rPr>
                <w:sz w:val="18"/>
                <w:szCs w:val="18"/>
              </w:rPr>
            </w:pPr>
            <w:r w:rsidRPr="00BC4AFE">
              <w:rPr>
                <w:sz w:val="18"/>
                <w:szCs w:val="18"/>
              </w:rPr>
              <w:t>0.111</w:t>
            </w:r>
          </w:p>
        </w:tc>
        <w:tc>
          <w:tcPr>
            <w:tcW w:w="1182" w:type="dxa"/>
            <w:shd w:val="clear" w:color="auto" w:fill="auto"/>
            <w:noWrap/>
            <w:vAlign w:val="center"/>
            <w:hideMark/>
          </w:tcPr>
          <w:p w14:paraId="15C44319" w14:textId="77777777" w:rsidR="00FC752D" w:rsidRPr="00BC4AFE" w:rsidRDefault="00FC752D" w:rsidP="006211D7">
            <w:pPr>
              <w:widowControl w:val="0"/>
              <w:ind w:right="144"/>
              <w:jc w:val="right"/>
              <w:rPr>
                <w:sz w:val="18"/>
                <w:szCs w:val="18"/>
              </w:rPr>
            </w:pPr>
            <w:r w:rsidRPr="00BC4AFE">
              <w:rPr>
                <w:sz w:val="18"/>
                <w:szCs w:val="18"/>
              </w:rPr>
              <w:t>0.139</w:t>
            </w:r>
          </w:p>
        </w:tc>
        <w:tc>
          <w:tcPr>
            <w:tcW w:w="1182" w:type="dxa"/>
            <w:shd w:val="clear" w:color="auto" w:fill="auto"/>
            <w:noWrap/>
            <w:vAlign w:val="center"/>
            <w:hideMark/>
          </w:tcPr>
          <w:p w14:paraId="254EC417" w14:textId="77777777" w:rsidR="00FC752D" w:rsidRPr="00BC4AFE" w:rsidRDefault="00FC752D" w:rsidP="006211D7">
            <w:pPr>
              <w:widowControl w:val="0"/>
              <w:ind w:right="144"/>
              <w:jc w:val="right"/>
              <w:rPr>
                <w:sz w:val="18"/>
                <w:szCs w:val="18"/>
              </w:rPr>
            </w:pPr>
            <w:r w:rsidRPr="00BC4AFE">
              <w:rPr>
                <w:sz w:val="18"/>
                <w:szCs w:val="18"/>
              </w:rPr>
              <w:t>18,076</w:t>
            </w:r>
          </w:p>
        </w:tc>
        <w:tc>
          <w:tcPr>
            <w:tcW w:w="1182" w:type="dxa"/>
            <w:shd w:val="clear" w:color="auto" w:fill="auto"/>
            <w:noWrap/>
            <w:vAlign w:val="center"/>
            <w:hideMark/>
          </w:tcPr>
          <w:p w14:paraId="59C56E10" w14:textId="77777777" w:rsidR="00FC752D" w:rsidRPr="00BC4AFE" w:rsidRDefault="00FC752D" w:rsidP="006211D7">
            <w:pPr>
              <w:widowControl w:val="0"/>
              <w:ind w:right="144"/>
              <w:jc w:val="right"/>
              <w:rPr>
                <w:sz w:val="18"/>
                <w:szCs w:val="18"/>
              </w:rPr>
            </w:pPr>
            <w:r w:rsidRPr="00BC4AFE">
              <w:rPr>
                <w:sz w:val="18"/>
                <w:szCs w:val="18"/>
              </w:rPr>
              <w:t>19,826</w:t>
            </w:r>
          </w:p>
        </w:tc>
        <w:tc>
          <w:tcPr>
            <w:tcW w:w="1171" w:type="dxa"/>
            <w:shd w:val="clear" w:color="auto" w:fill="auto"/>
            <w:noWrap/>
            <w:vAlign w:val="center"/>
            <w:hideMark/>
          </w:tcPr>
          <w:p w14:paraId="061C2F23" w14:textId="77777777" w:rsidR="00FC752D" w:rsidRPr="00BC4AFE" w:rsidRDefault="00FC752D" w:rsidP="006211D7">
            <w:pPr>
              <w:widowControl w:val="0"/>
              <w:ind w:right="144"/>
              <w:jc w:val="right"/>
              <w:rPr>
                <w:sz w:val="18"/>
                <w:szCs w:val="18"/>
              </w:rPr>
            </w:pPr>
            <w:r w:rsidRPr="00BC4AFE">
              <w:rPr>
                <w:sz w:val="18"/>
                <w:szCs w:val="18"/>
              </w:rPr>
              <w:t>37,902</w:t>
            </w:r>
          </w:p>
        </w:tc>
      </w:tr>
      <w:tr w:rsidR="00FC752D" w:rsidRPr="00BC4AFE" w14:paraId="21B8E887" w14:textId="77777777" w:rsidTr="00A60395">
        <w:trPr>
          <w:cantSplit/>
          <w:trHeight w:val="245"/>
        </w:trPr>
        <w:tc>
          <w:tcPr>
            <w:tcW w:w="3605" w:type="dxa"/>
            <w:shd w:val="clear" w:color="auto" w:fill="auto"/>
            <w:vAlign w:val="center"/>
            <w:hideMark/>
          </w:tcPr>
          <w:p w14:paraId="4641FB82" w14:textId="77777777" w:rsidR="00FC752D" w:rsidRPr="00BC4AFE" w:rsidRDefault="00FC752D" w:rsidP="006211D7">
            <w:pPr>
              <w:widowControl w:val="0"/>
              <w:ind w:left="144" w:hanging="144"/>
              <w:rPr>
                <w:sz w:val="18"/>
                <w:szCs w:val="18"/>
              </w:rPr>
            </w:pPr>
            <w:r w:rsidRPr="00BC4AFE">
              <w:rPr>
                <w:sz w:val="18"/>
                <w:szCs w:val="18"/>
              </w:rPr>
              <w:t>Pakistan</w:t>
            </w:r>
          </w:p>
        </w:tc>
        <w:tc>
          <w:tcPr>
            <w:tcW w:w="1182" w:type="dxa"/>
            <w:shd w:val="clear" w:color="auto" w:fill="auto"/>
            <w:vAlign w:val="center"/>
            <w:hideMark/>
          </w:tcPr>
          <w:p w14:paraId="6C5A7E39" w14:textId="77777777" w:rsidR="00FC752D" w:rsidRPr="00BC4AFE" w:rsidRDefault="00FC752D" w:rsidP="006211D7">
            <w:pPr>
              <w:widowControl w:val="0"/>
              <w:ind w:right="144"/>
              <w:jc w:val="right"/>
              <w:rPr>
                <w:sz w:val="18"/>
                <w:szCs w:val="18"/>
              </w:rPr>
            </w:pPr>
            <w:r w:rsidRPr="00BC4AFE">
              <w:rPr>
                <w:sz w:val="18"/>
                <w:szCs w:val="18"/>
              </w:rPr>
              <w:t>0.114</w:t>
            </w:r>
          </w:p>
        </w:tc>
        <w:tc>
          <w:tcPr>
            <w:tcW w:w="1182" w:type="dxa"/>
            <w:shd w:val="clear" w:color="auto" w:fill="auto"/>
            <w:noWrap/>
            <w:vAlign w:val="center"/>
            <w:hideMark/>
          </w:tcPr>
          <w:p w14:paraId="66A932F0" w14:textId="77777777" w:rsidR="00FC752D" w:rsidRPr="00BC4AFE" w:rsidRDefault="00FC752D" w:rsidP="006211D7">
            <w:pPr>
              <w:widowControl w:val="0"/>
              <w:ind w:right="144"/>
              <w:jc w:val="right"/>
              <w:rPr>
                <w:sz w:val="18"/>
                <w:szCs w:val="18"/>
              </w:rPr>
            </w:pPr>
            <w:r w:rsidRPr="00BC4AFE">
              <w:rPr>
                <w:sz w:val="18"/>
                <w:szCs w:val="18"/>
              </w:rPr>
              <w:t>0.143</w:t>
            </w:r>
          </w:p>
        </w:tc>
        <w:tc>
          <w:tcPr>
            <w:tcW w:w="1182" w:type="dxa"/>
            <w:shd w:val="clear" w:color="auto" w:fill="auto"/>
            <w:noWrap/>
            <w:vAlign w:val="center"/>
            <w:hideMark/>
          </w:tcPr>
          <w:p w14:paraId="04140020" w14:textId="77777777" w:rsidR="00FC752D" w:rsidRPr="00BC4AFE" w:rsidRDefault="00FC752D" w:rsidP="006211D7">
            <w:pPr>
              <w:widowControl w:val="0"/>
              <w:ind w:right="144"/>
              <w:jc w:val="right"/>
              <w:rPr>
                <w:sz w:val="18"/>
                <w:szCs w:val="18"/>
              </w:rPr>
            </w:pPr>
            <w:r w:rsidRPr="00BC4AFE">
              <w:rPr>
                <w:sz w:val="18"/>
                <w:szCs w:val="18"/>
              </w:rPr>
              <w:t>18,565</w:t>
            </w:r>
          </w:p>
        </w:tc>
        <w:tc>
          <w:tcPr>
            <w:tcW w:w="1182" w:type="dxa"/>
            <w:shd w:val="clear" w:color="auto" w:fill="auto"/>
            <w:noWrap/>
            <w:vAlign w:val="center"/>
            <w:hideMark/>
          </w:tcPr>
          <w:p w14:paraId="0E55846D" w14:textId="77777777" w:rsidR="00FC752D" w:rsidRPr="00BC4AFE" w:rsidRDefault="00FC752D" w:rsidP="006211D7">
            <w:pPr>
              <w:widowControl w:val="0"/>
              <w:ind w:right="144"/>
              <w:jc w:val="right"/>
              <w:rPr>
                <w:sz w:val="18"/>
                <w:szCs w:val="18"/>
              </w:rPr>
            </w:pPr>
            <w:r w:rsidRPr="00BC4AFE">
              <w:rPr>
                <w:sz w:val="18"/>
                <w:szCs w:val="18"/>
              </w:rPr>
              <w:t>20,362</w:t>
            </w:r>
          </w:p>
        </w:tc>
        <w:tc>
          <w:tcPr>
            <w:tcW w:w="1171" w:type="dxa"/>
            <w:shd w:val="clear" w:color="auto" w:fill="auto"/>
            <w:noWrap/>
            <w:vAlign w:val="center"/>
            <w:hideMark/>
          </w:tcPr>
          <w:p w14:paraId="01C5F0F0" w14:textId="77777777" w:rsidR="00FC752D" w:rsidRPr="00BC4AFE" w:rsidRDefault="00FC752D" w:rsidP="006211D7">
            <w:pPr>
              <w:widowControl w:val="0"/>
              <w:ind w:right="144"/>
              <w:jc w:val="right"/>
              <w:rPr>
                <w:sz w:val="18"/>
                <w:szCs w:val="18"/>
              </w:rPr>
            </w:pPr>
            <w:r w:rsidRPr="00BC4AFE">
              <w:rPr>
                <w:sz w:val="18"/>
                <w:szCs w:val="18"/>
              </w:rPr>
              <w:t>38,927</w:t>
            </w:r>
          </w:p>
        </w:tc>
      </w:tr>
      <w:tr w:rsidR="00FC752D" w:rsidRPr="00BC4AFE" w14:paraId="4B440297" w14:textId="77777777" w:rsidTr="00A60395">
        <w:trPr>
          <w:cantSplit/>
          <w:trHeight w:val="245"/>
        </w:trPr>
        <w:tc>
          <w:tcPr>
            <w:tcW w:w="3605" w:type="dxa"/>
            <w:shd w:val="clear" w:color="auto" w:fill="auto"/>
            <w:vAlign w:val="center"/>
            <w:hideMark/>
          </w:tcPr>
          <w:p w14:paraId="4DBD4582" w14:textId="77777777" w:rsidR="00FC752D" w:rsidRPr="00BC4AFE" w:rsidRDefault="00FC752D" w:rsidP="006211D7">
            <w:pPr>
              <w:widowControl w:val="0"/>
              <w:ind w:left="144" w:hanging="144"/>
              <w:rPr>
                <w:sz w:val="18"/>
                <w:szCs w:val="18"/>
              </w:rPr>
            </w:pPr>
            <w:r w:rsidRPr="00BC4AFE">
              <w:rPr>
                <w:sz w:val="18"/>
                <w:szCs w:val="18"/>
              </w:rPr>
              <w:t>Palau</w:t>
            </w:r>
          </w:p>
        </w:tc>
        <w:tc>
          <w:tcPr>
            <w:tcW w:w="1182" w:type="dxa"/>
            <w:shd w:val="clear" w:color="auto" w:fill="auto"/>
            <w:vAlign w:val="center"/>
            <w:hideMark/>
          </w:tcPr>
          <w:p w14:paraId="71205B20"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0154BEBC"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B25D930"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6609C454"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FBDB135"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4762B272" w14:textId="77777777" w:rsidTr="00A60395">
        <w:trPr>
          <w:cantSplit/>
          <w:trHeight w:val="245"/>
        </w:trPr>
        <w:tc>
          <w:tcPr>
            <w:tcW w:w="3605" w:type="dxa"/>
            <w:shd w:val="clear" w:color="auto" w:fill="auto"/>
            <w:vAlign w:val="center"/>
            <w:hideMark/>
          </w:tcPr>
          <w:p w14:paraId="0B242783" w14:textId="77777777" w:rsidR="00FC752D" w:rsidRPr="00BC4AFE" w:rsidRDefault="00FC752D" w:rsidP="006211D7">
            <w:pPr>
              <w:widowControl w:val="0"/>
              <w:ind w:left="144" w:hanging="144"/>
              <w:rPr>
                <w:sz w:val="18"/>
                <w:szCs w:val="18"/>
              </w:rPr>
            </w:pPr>
            <w:r w:rsidRPr="00BC4AFE">
              <w:rPr>
                <w:sz w:val="18"/>
                <w:szCs w:val="18"/>
              </w:rPr>
              <w:t>Panama</w:t>
            </w:r>
          </w:p>
        </w:tc>
        <w:tc>
          <w:tcPr>
            <w:tcW w:w="1182" w:type="dxa"/>
            <w:shd w:val="clear" w:color="auto" w:fill="auto"/>
            <w:vAlign w:val="center"/>
            <w:hideMark/>
          </w:tcPr>
          <w:p w14:paraId="050C791A" w14:textId="77777777" w:rsidR="00FC752D" w:rsidRPr="00BC4AFE" w:rsidRDefault="00FC752D" w:rsidP="006211D7">
            <w:pPr>
              <w:widowControl w:val="0"/>
              <w:ind w:right="144"/>
              <w:jc w:val="right"/>
              <w:rPr>
                <w:sz w:val="18"/>
                <w:szCs w:val="18"/>
              </w:rPr>
            </w:pPr>
            <w:r w:rsidRPr="00BC4AFE">
              <w:rPr>
                <w:sz w:val="18"/>
                <w:szCs w:val="18"/>
              </w:rPr>
              <w:t>0.090</w:t>
            </w:r>
          </w:p>
        </w:tc>
        <w:tc>
          <w:tcPr>
            <w:tcW w:w="1182" w:type="dxa"/>
            <w:shd w:val="clear" w:color="auto" w:fill="auto"/>
            <w:noWrap/>
            <w:vAlign w:val="center"/>
            <w:hideMark/>
          </w:tcPr>
          <w:p w14:paraId="4A8E89E0" w14:textId="77777777" w:rsidR="00FC752D" w:rsidRPr="00BC4AFE" w:rsidRDefault="00FC752D" w:rsidP="006211D7">
            <w:pPr>
              <w:widowControl w:val="0"/>
              <w:ind w:right="144"/>
              <w:jc w:val="right"/>
              <w:rPr>
                <w:sz w:val="18"/>
                <w:szCs w:val="18"/>
              </w:rPr>
            </w:pPr>
            <w:r w:rsidRPr="00BC4AFE">
              <w:rPr>
                <w:sz w:val="18"/>
                <w:szCs w:val="18"/>
              </w:rPr>
              <w:t>0.113</w:t>
            </w:r>
          </w:p>
        </w:tc>
        <w:tc>
          <w:tcPr>
            <w:tcW w:w="1182" w:type="dxa"/>
            <w:shd w:val="clear" w:color="auto" w:fill="auto"/>
            <w:noWrap/>
            <w:vAlign w:val="center"/>
            <w:hideMark/>
          </w:tcPr>
          <w:p w14:paraId="594C2F63" w14:textId="77777777" w:rsidR="00FC752D" w:rsidRPr="00BC4AFE" w:rsidRDefault="00FC752D" w:rsidP="006211D7">
            <w:pPr>
              <w:widowControl w:val="0"/>
              <w:ind w:right="144"/>
              <w:jc w:val="right"/>
              <w:rPr>
                <w:sz w:val="18"/>
                <w:szCs w:val="18"/>
              </w:rPr>
            </w:pPr>
            <w:r w:rsidRPr="00BC4AFE">
              <w:rPr>
                <w:sz w:val="18"/>
                <w:szCs w:val="18"/>
              </w:rPr>
              <w:t>14,656</w:t>
            </w:r>
          </w:p>
        </w:tc>
        <w:tc>
          <w:tcPr>
            <w:tcW w:w="1182" w:type="dxa"/>
            <w:shd w:val="clear" w:color="auto" w:fill="auto"/>
            <w:noWrap/>
            <w:vAlign w:val="center"/>
            <w:hideMark/>
          </w:tcPr>
          <w:p w14:paraId="5AC2E113" w14:textId="77777777" w:rsidR="00FC752D" w:rsidRPr="00BC4AFE" w:rsidRDefault="00FC752D" w:rsidP="006211D7">
            <w:pPr>
              <w:widowControl w:val="0"/>
              <w:ind w:right="144"/>
              <w:jc w:val="right"/>
              <w:rPr>
                <w:sz w:val="18"/>
                <w:szCs w:val="18"/>
              </w:rPr>
            </w:pPr>
            <w:r w:rsidRPr="00BC4AFE">
              <w:rPr>
                <w:sz w:val="18"/>
                <w:szCs w:val="18"/>
              </w:rPr>
              <w:t>16,075</w:t>
            </w:r>
          </w:p>
        </w:tc>
        <w:tc>
          <w:tcPr>
            <w:tcW w:w="1171" w:type="dxa"/>
            <w:shd w:val="clear" w:color="auto" w:fill="auto"/>
            <w:noWrap/>
            <w:vAlign w:val="center"/>
            <w:hideMark/>
          </w:tcPr>
          <w:p w14:paraId="01417644" w14:textId="77777777" w:rsidR="00FC752D" w:rsidRPr="00BC4AFE" w:rsidRDefault="00FC752D" w:rsidP="006211D7">
            <w:pPr>
              <w:widowControl w:val="0"/>
              <w:ind w:right="144"/>
              <w:jc w:val="right"/>
              <w:rPr>
                <w:sz w:val="18"/>
                <w:szCs w:val="18"/>
              </w:rPr>
            </w:pPr>
            <w:r w:rsidRPr="00BC4AFE">
              <w:rPr>
                <w:sz w:val="18"/>
                <w:szCs w:val="18"/>
              </w:rPr>
              <w:t>30,732</w:t>
            </w:r>
          </w:p>
        </w:tc>
      </w:tr>
      <w:tr w:rsidR="00FC752D" w:rsidRPr="00BC4AFE" w14:paraId="56387003" w14:textId="77777777" w:rsidTr="00A60395">
        <w:trPr>
          <w:cantSplit/>
          <w:trHeight w:val="245"/>
        </w:trPr>
        <w:tc>
          <w:tcPr>
            <w:tcW w:w="3605" w:type="dxa"/>
            <w:shd w:val="clear" w:color="auto" w:fill="auto"/>
            <w:vAlign w:val="center"/>
            <w:hideMark/>
          </w:tcPr>
          <w:p w14:paraId="30648B8B" w14:textId="77777777" w:rsidR="00FC752D" w:rsidRPr="00BC4AFE" w:rsidRDefault="00FC752D" w:rsidP="006211D7">
            <w:pPr>
              <w:widowControl w:val="0"/>
              <w:ind w:left="144" w:hanging="144"/>
              <w:rPr>
                <w:sz w:val="18"/>
                <w:szCs w:val="18"/>
              </w:rPr>
            </w:pPr>
            <w:r w:rsidRPr="00BC4AFE">
              <w:rPr>
                <w:sz w:val="18"/>
                <w:szCs w:val="18"/>
              </w:rPr>
              <w:t>Papua New Guinea</w:t>
            </w:r>
          </w:p>
        </w:tc>
        <w:tc>
          <w:tcPr>
            <w:tcW w:w="1182" w:type="dxa"/>
            <w:shd w:val="clear" w:color="auto" w:fill="auto"/>
            <w:vAlign w:val="center"/>
            <w:hideMark/>
          </w:tcPr>
          <w:p w14:paraId="1C4A276B"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63D6F821" w14:textId="77777777" w:rsidR="00FC752D" w:rsidRPr="00BC4AFE" w:rsidRDefault="00FC752D" w:rsidP="006211D7">
            <w:pPr>
              <w:widowControl w:val="0"/>
              <w:ind w:right="144"/>
              <w:jc w:val="right"/>
              <w:rPr>
                <w:sz w:val="18"/>
                <w:szCs w:val="18"/>
              </w:rPr>
            </w:pPr>
            <w:r w:rsidRPr="00BC4AFE">
              <w:rPr>
                <w:sz w:val="18"/>
                <w:szCs w:val="18"/>
              </w:rPr>
              <w:t>0.013</w:t>
            </w:r>
          </w:p>
        </w:tc>
        <w:tc>
          <w:tcPr>
            <w:tcW w:w="1182" w:type="dxa"/>
            <w:shd w:val="clear" w:color="auto" w:fill="auto"/>
            <w:noWrap/>
            <w:vAlign w:val="center"/>
            <w:hideMark/>
          </w:tcPr>
          <w:p w14:paraId="48F9F609" w14:textId="77777777" w:rsidR="00FC752D" w:rsidRPr="00BC4AFE" w:rsidRDefault="00FC752D" w:rsidP="006211D7">
            <w:pPr>
              <w:widowControl w:val="0"/>
              <w:ind w:right="144"/>
              <w:jc w:val="right"/>
              <w:rPr>
                <w:sz w:val="18"/>
                <w:szCs w:val="18"/>
              </w:rPr>
            </w:pPr>
            <w:r w:rsidRPr="00BC4AFE">
              <w:rPr>
                <w:sz w:val="18"/>
                <w:szCs w:val="18"/>
              </w:rPr>
              <w:t>1,628</w:t>
            </w:r>
          </w:p>
        </w:tc>
        <w:tc>
          <w:tcPr>
            <w:tcW w:w="1182" w:type="dxa"/>
            <w:shd w:val="clear" w:color="auto" w:fill="auto"/>
            <w:noWrap/>
            <w:vAlign w:val="center"/>
            <w:hideMark/>
          </w:tcPr>
          <w:p w14:paraId="38608E43" w14:textId="77777777" w:rsidR="00FC752D" w:rsidRPr="00BC4AFE" w:rsidRDefault="00FC752D" w:rsidP="006211D7">
            <w:pPr>
              <w:widowControl w:val="0"/>
              <w:ind w:right="144"/>
              <w:jc w:val="right"/>
              <w:rPr>
                <w:sz w:val="18"/>
                <w:szCs w:val="18"/>
              </w:rPr>
            </w:pPr>
            <w:r w:rsidRPr="00BC4AFE">
              <w:rPr>
                <w:sz w:val="18"/>
                <w:szCs w:val="18"/>
              </w:rPr>
              <w:t>1,786</w:t>
            </w:r>
          </w:p>
        </w:tc>
        <w:tc>
          <w:tcPr>
            <w:tcW w:w="1171" w:type="dxa"/>
            <w:shd w:val="clear" w:color="auto" w:fill="auto"/>
            <w:noWrap/>
            <w:vAlign w:val="center"/>
            <w:hideMark/>
          </w:tcPr>
          <w:p w14:paraId="6B3E75C1" w14:textId="77777777" w:rsidR="00FC752D" w:rsidRPr="00BC4AFE" w:rsidRDefault="00FC752D" w:rsidP="006211D7">
            <w:pPr>
              <w:widowControl w:val="0"/>
              <w:ind w:right="144"/>
              <w:jc w:val="right"/>
              <w:rPr>
                <w:sz w:val="18"/>
                <w:szCs w:val="18"/>
              </w:rPr>
            </w:pPr>
            <w:r w:rsidRPr="00BC4AFE">
              <w:rPr>
                <w:sz w:val="18"/>
                <w:szCs w:val="18"/>
              </w:rPr>
              <w:t>3,415</w:t>
            </w:r>
          </w:p>
        </w:tc>
      </w:tr>
      <w:tr w:rsidR="00FC752D" w:rsidRPr="00BC4AFE" w14:paraId="01163571" w14:textId="77777777" w:rsidTr="00A60395">
        <w:trPr>
          <w:cantSplit/>
          <w:trHeight w:val="245"/>
        </w:trPr>
        <w:tc>
          <w:tcPr>
            <w:tcW w:w="3605" w:type="dxa"/>
            <w:shd w:val="clear" w:color="auto" w:fill="auto"/>
            <w:vAlign w:val="center"/>
            <w:hideMark/>
          </w:tcPr>
          <w:p w14:paraId="4E2E0984" w14:textId="77777777" w:rsidR="00FC752D" w:rsidRPr="00BC4AFE" w:rsidRDefault="00FC752D" w:rsidP="006211D7">
            <w:pPr>
              <w:widowControl w:val="0"/>
              <w:ind w:left="144" w:hanging="144"/>
              <w:rPr>
                <w:sz w:val="18"/>
                <w:szCs w:val="18"/>
              </w:rPr>
            </w:pPr>
            <w:r w:rsidRPr="00BC4AFE">
              <w:rPr>
                <w:sz w:val="18"/>
                <w:szCs w:val="18"/>
              </w:rPr>
              <w:t>Paraguay</w:t>
            </w:r>
          </w:p>
        </w:tc>
        <w:tc>
          <w:tcPr>
            <w:tcW w:w="1182" w:type="dxa"/>
            <w:shd w:val="clear" w:color="auto" w:fill="auto"/>
            <w:vAlign w:val="center"/>
            <w:hideMark/>
          </w:tcPr>
          <w:p w14:paraId="572FF268" w14:textId="77777777" w:rsidR="00FC752D" w:rsidRPr="00BC4AFE" w:rsidRDefault="00FC752D" w:rsidP="006211D7">
            <w:pPr>
              <w:widowControl w:val="0"/>
              <w:ind w:right="144"/>
              <w:jc w:val="right"/>
              <w:rPr>
                <w:sz w:val="18"/>
                <w:szCs w:val="18"/>
              </w:rPr>
            </w:pPr>
            <w:r w:rsidRPr="00BC4AFE">
              <w:rPr>
                <w:sz w:val="18"/>
                <w:szCs w:val="18"/>
              </w:rPr>
              <w:t>0.026</w:t>
            </w:r>
          </w:p>
        </w:tc>
        <w:tc>
          <w:tcPr>
            <w:tcW w:w="1182" w:type="dxa"/>
            <w:shd w:val="clear" w:color="auto" w:fill="auto"/>
            <w:noWrap/>
            <w:vAlign w:val="center"/>
            <w:hideMark/>
          </w:tcPr>
          <w:p w14:paraId="6573575F" w14:textId="77777777" w:rsidR="00FC752D" w:rsidRPr="00BC4AFE" w:rsidRDefault="00FC752D" w:rsidP="006211D7">
            <w:pPr>
              <w:widowControl w:val="0"/>
              <w:ind w:right="144"/>
              <w:jc w:val="right"/>
              <w:rPr>
                <w:sz w:val="18"/>
                <w:szCs w:val="18"/>
              </w:rPr>
            </w:pPr>
            <w:r w:rsidRPr="00BC4AFE">
              <w:rPr>
                <w:sz w:val="18"/>
                <w:szCs w:val="18"/>
              </w:rPr>
              <w:t>0.033</w:t>
            </w:r>
          </w:p>
        </w:tc>
        <w:tc>
          <w:tcPr>
            <w:tcW w:w="1182" w:type="dxa"/>
            <w:shd w:val="clear" w:color="auto" w:fill="auto"/>
            <w:noWrap/>
            <w:vAlign w:val="center"/>
            <w:hideMark/>
          </w:tcPr>
          <w:p w14:paraId="14EBBE51" w14:textId="77777777" w:rsidR="00FC752D" w:rsidRPr="00BC4AFE" w:rsidRDefault="00FC752D" w:rsidP="006211D7">
            <w:pPr>
              <w:widowControl w:val="0"/>
              <w:ind w:right="144"/>
              <w:jc w:val="right"/>
              <w:rPr>
                <w:sz w:val="18"/>
                <w:szCs w:val="18"/>
              </w:rPr>
            </w:pPr>
            <w:r w:rsidRPr="00BC4AFE">
              <w:rPr>
                <w:sz w:val="18"/>
                <w:szCs w:val="18"/>
              </w:rPr>
              <w:t>4,234</w:t>
            </w:r>
          </w:p>
        </w:tc>
        <w:tc>
          <w:tcPr>
            <w:tcW w:w="1182" w:type="dxa"/>
            <w:shd w:val="clear" w:color="auto" w:fill="auto"/>
            <w:noWrap/>
            <w:vAlign w:val="center"/>
            <w:hideMark/>
          </w:tcPr>
          <w:p w14:paraId="32F0E4FF" w14:textId="77777777" w:rsidR="00FC752D" w:rsidRPr="00BC4AFE" w:rsidRDefault="00FC752D" w:rsidP="006211D7">
            <w:pPr>
              <w:widowControl w:val="0"/>
              <w:ind w:right="144"/>
              <w:jc w:val="right"/>
              <w:rPr>
                <w:sz w:val="18"/>
                <w:szCs w:val="18"/>
              </w:rPr>
            </w:pPr>
            <w:r w:rsidRPr="00BC4AFE">
              <w:rPr>
                <w:sz w:val="18"/>
                <w:szCs w:val="18"/>
              </w:rPr>
              <w:t>4,644</w:t>
            </w:r>
          </w:p>
        </w:tc>
        <w:tc>
          <w:tcPr>
            <w:tcW w:w="1171" w:type="dxa"/>
            <w:shd w:val="clear" w:color="auto" w:fill="auto"/>
            <w:noWrap/>
            <w:vAlign w:val="center"/>
            <w:hideMark/>
          </w:tcPr>
          <w:p w14:paraId="5E8DCD9F" w14:textId="77777777" w:rsidR="00FC752D" w:rsidRPr="00BC4AFE" w:rsidRDefault="00FC752D" w:rsidP="006211D7">
            <w:pPr>
              <w:widowControl w:val="0"/>
              <w:ind w:right="144"/>
              <w:jc w:val="right"/>
              <w:rPr>
                <w:sz w:val="18"/>
                <w:szCs w:val="18"/>
              </w:rPr>
            </w:pPr>
            <w:r w:rsidRPr="00BC4AFE">
              <w:rPr>
                <w:sz w:val="18"/>
                <w:szCs w:val="18"/>
              </w:rPr>
              <w:t>8,878</w:t>
            </w:r>
          </w:p>
        </w:tc>
      </w:tr>
      <w:tr w:rsidR="00FC752D" w:rsidRPr="00BC4AFE" w14:paraId="41EB5445" w14:textId="77777777" w:rsidTr="00A60395">
        <w:trPr>
          <w:cantSplit/>
          <w:trHeight w:val="245"/>
        </w:trPr>
        <w:tc>
          <w:tcPr>
            <w:tcW w:w="3605" w:type="dxa"/>
            <w:shd w:val="clear" w:color="auto" w:fill="auto"/>
            <w:vAlign w:val="center"/>
            <w:hideMark/>
          </w:tcPr>
          <w:p w14:paraId="4C0CDA03" w14:textId="77777777" w:rsidR="00FC752D" w:rsidRPr="00BC4AFE" w:rsidRDefault="00FC752D" w:rsidP="006211D7">
            <w:pPr>
              <w:widowControl w:val="0"/>
              <w:ind w:left="144" w:hanging="144"/>
              <w:rPr>
                <w:sz w:val="18"/>
                <w:szCs w:val="18"/>
              </w:rPr>
            </w:pPr>
            <w:r w:rsidRPr="00BC4AFE">
              <w:rPr>
                <w:sz w:val="18"/>
                <w:szCs w:val="18"/>
              </w:rPr>
              <w:t>Peru</w:t>
            </w:r>
          </w:p>
        </w:tc>
        <w:tc>
          <w:tcPr>
            <w:tcW w:w="1182" w:type="dxa"/>
            <w:shd w:val="clear" w:color="auto" w:fill="auto"/>
            <w:vAlign w:val="center"/>
            <w:hideMark/>
          </w:tcPr>
          <w:p w14:paraId="24147424" w14:textId="77777777" w:rsidR="00FC752D" w:rsidRPr="00BC4AFE" w:rsidRDefault="00FC752D" w:rsidP="006211D7">
            <w:pPr>
              <w:widowControl w:val="0"/>
              <w:ind w:right="144"/>
              <w:jc w:val="right"/>
              <w:rPr>
                <w:sz w:val="18"/>
                <w:szCs w:val="18"/>
              </w:rPr>
            </w:pPr>
            <w:r w:rsidRPr="00BC4AFE">
              <w:rPr>
                <w:sz w:val="18"/>
                <w:szCs w:val="18"/>
              </w:rPr>
              <w:t>0.163</w:t>
            </w:r>
          </w:p>
        </w:tc>
        <w:tc>
          <w:tcPr>
            <w:tcW w:w="1182" w:type="dxa"/>
            <w:shd w:val="clear" w:color="auto" w:fill="auto"/>
            <w:noWrap/>
            <w:vAlign w:val="center"/>
            <w:hideMark/>
          </w:tcPr>
          <w:p w14:paraId="3FB86038" w14:textId="77777777" w:rsidR="00FC752D" w:rsidRPr="00BC4AFE" w:rsidRDefault="00FC752D" w:rsidP="006211D7">
            <w:pPr>
              <w:widowControl w:val="0"/>
              <w:ind w:right="144"/>
              <w:jc w:val="right"/>
              <w:rPr>
                <w:sz w:val="18"/>
                <w:szCs w:val="18"/>
              </w:rPr>
            </w:pPr>
            <w:r w:rsidRPr="00BC4AFE">
              <w:rPr>
                <w:sz w:val="18"/>
                <w:szCs w:val="18"/>
              </w:rPr>
              <w:t>0.204</w:t>
            </w:r>
          </w:p>
        </w:tc>
        <w:tc>
          <w:tcPr>
            <w:tcW w:w="1182" w:type="dxa"/>
            <w:shd w:val="clear" w:color="auto" w:fill="auto"/>
            <w:noWrap/>
            <w:vAlign w:val="center"/>
            <w:hideMark/>
          </w:tcPr>
          <w:p w14:paraId="1F5027B3" w14:textId="77777777" w:rsidR="00FC752D" w:rsidRPr="00BC4AFE" w:rsidRDefault="00FC752D" w:rsidP="006211D7">
            <w:pPr>
              <w:widowControl w:val="0"/>
              <w:ind w:right="144"/>
              <w:jc w:val="right"/>
              <w:rPr>
                <w:sz w:val="18"/>
                <w:szCs w:val="18"/>
              </w:rPr>
            </w:pPr>
            <w:r w:rsidRPr="00BC4AFE">
              <w:rPr>
                <w:sz w:val="18"/>
                <w:szCs w:val="18"/>
              </w:rPr>
              <w:t>26,544</w:t>
            </w:r>
          </w:p>
        </w:tc>
        <w:tc>
          <w:tcPr>
            <w:tcW w:w="1182" w:type="dxa"/>
            <w:shd w:val="clear" w:color="auto" w:fill="auto"/>
            <w:noWrap/>
            <w:vAlign w:val="center"/>
            <w:hideMark/>
          </w:tcPr>
          <w:p w14:paraId="610FD252" w14:textId="77777777" w:rsidR="00FC752D" w:rsidRPr="00BC4AFE" w:rsidRDefault="00FC752D" w:rsidP="006211D7">
            <w:pPr>
              <w:widowControl w:val="0"/>
              <w:ind w:right="144"/>
              <w:jc w:val="right"/>
              <w:rPr>
                <w:sz w:val="18"/>
                <w:szCs w:val="18"/>
              </w:rPr>
            </w:pPr>
            <w:r w:rsidRPr="00BC4AFE">
              <w:rPr>
                <w:sz w:val="18"/>
                <w:szCs w:val="18"/>
              </w:rPr>
              <w:t>29,115</w:t>
            </w:r>
          </w:p>
        </w:tc>
        <w:tc>
          <w:tcPr>
            <w:tcW w:w="1171" w:type="dxa"/>
            <w:shd w:val="clear" w:color="auto" w:fill="auto"/>
            <w:noWrap/>
            <w:vAlign w:val="center"/>
            <w:hideMark/>
          </w:tcPr>
          <w:p w14:paraId="37047AE4" w14:textId="77777777" w:rsidR="00FC752D" w:rsidRPr="00BC4AFE" w:rsidRDefault="00FC752D" w:rsidP="006211D7">
            <w:pPr>
              <w:widowControl w:val="0"/>
              <w:ind w:right="144"/>
              <w:jc w:val="right"/>
              <w:rPr>
                <w:sz w:val="18"/>
                <w:szCs w:val="18"/>
              </w:rPr>
            </w:pPr>
            <w:r w:rsidRPr="00BC4AFE">
              <w:rPr>
                <w:sz w:val="18"/>
                <w:szCs w:val="18"/>
              </w:rPr>
              <w:t>55,659</w:t>
            </w:r>
          </w:p>
        </w:tc>
      </w:tr>
      <w:tr w:rsidR="00FC752D" w:rsidRPr="00BC4AFE" w14:paraId="3F2856A6" w14:textId="77777777" w:rsidTr="00A60395">
        <w:trPr>
          <w:cantSplit/>
          <w:trHeight w:val="245"/>
        </w:trPr>
        <w:tc>
          <w:tcPr>
            <w:tcW w:w="3605" w:type="dxa"/>
            <w:shd w:val="clear" w:color="auto" w:fill="auto"/>
            <w:vAlign w:val="center"/>
            <w:hideMark/>
          </w:tcPr>
          <w:p w14:paraId="7C0CB3EE" w14:textId="77777777" w:rsidR="00FC752D" w:rsidRPr="00BC4AFE" w:rsidRDefault="00FC752D" w:rsidP="006211D7">
            <w:pPr>
              <w:widowControl w:val="0"/>
              <w:ind w:left="144" w:hanging="144"/>
              <w:rPr>
                <w:sz w:val="18"/>
                <w:szCs w:val="18"/>
              </w:rPr>
            </w:pPr>
            <w:r w:rsidRPr="00BC4AFE">
              <w:rPr>
                <w:sz w:val="18"/>
                <w:szCs w:val="18"/>
              </w:rPr>
              <w:t>Philippines</w:t>
            </w:r>
          </w:p>
        </w:tc>
        <w:tc>
          <w:tcPr>
            <w:tcW w:w="1182" w:type="dxa"/>
            <w:shd w:val="clear" w:color="auto" w:fill="auto"/>
            <w:vAlign w:val="center"/>
            <w:hideMark/>
          </w:tcPr>
          <w:p w14:paraId="0E5F9BA3" w14:textId="77777777" w:rsidR="00FC752D" w:rsidRPr="00BC4AFE" w:rsidRDefault="00FC752D" w:rsidP="006211D7">
            <w:pPr>
              <w:widowControl w:val="0"/>
              <w:ind w:right="144"/>
              <w:jc w:val="right"/>
              <w:rPr>
                <w:sz w:val="18"/>
                <w:szCs w:val="18"/>
              </w:rPr>
            </w:pPr>
            <w:r w:rsidRPr="00BC4AFE">
              <w:rPr>
                <w:sz w:val="18"/>
                <w:szCs w:val="18"/>
              </w:rPr>
              <w:t>0.212</w:t>
            </w:r>
          </w:p>
        </w:tc>
        <w:tc>
          <w:tcPr>
            <w:tcW w:w="1182" w:type="dxa"/>
            <w:shd w:val="clear" w:color="auto" w:fill="auto"/>
            <w:noWrap/>
            <w:vAlign w:val="center"/>
            <w:hideMark/>
          </w:tcPr>
          <w:p w14:paraId="04E27E88" w14:textId="77777777" w:rsidR="00FC752D" w:rsidRPr="00BC4AFE" w:rsidRDefault="00FC752D" w:rsidP="006211D7">
            <w:pPr>
              <w:widowControl w:val="0"/>
              <w:ind w:right="144"/>
              <w:jc w:val="right"/>
              <w:rPr>
                <w:sz w:val="18"/>
                <w:szCs w:val="18"/>
              </w:rPr>
            </w:pPr>
            <w:r w:rsidRPr="00BC4AFE">
              <w:rPr>
                <w:sz w:val="18"/>
                <w:szCs w:val="18"/>
              </w:rPr>
              <w:t>0.265</w:t>
            </w:r>
          </w:p>
        </w:tc>
        <w:tc>
          <w:tcPr>
            <w:tcW w:w="1182" w:type="dxa"/>
            <w:shd w:val="clear" w:color="auto" w:fill="auto"/>
            <w:noWrap/>
            <w:vAlign w:val="center"/>
            <w:hideMark/>
          </w:tcPr>
          <w:p w14:paraId="001CD15F" w14:textId="77777777" w:rsidR="00FC752D" w:rsidRPr="00BC4AFE" w:rsidRDefault="00FC752D" w:rsidP="006211D7">
            <w:pPr>
              <w:widowControl w:val="0"/>
              <w:ind w:right="144"/>
              <w:jc w:val="right"/>
              <w:rPr>
                <w:sz w:val="18"/>
                <w:szCs w:val="18"/>
              </w:rPr>
            </w:pPr>
            <w:r w:rsidRPr="00BC4AFE">
              <w:rPr>
                <w:sz w:val="18"/>
                <w:szCs w:val="18"/>
              </w:rPr>
              <w:t>34,524</w:t>
            </w:r>
          </w:p>
        </w:tc>
        <w:tc>
          <w:tcPr>
            <w:tcW w:w="1182" w:type="dxa"/>
            <w:shd w:val="clear" w:color="auto" w:fill="auto"/>
            <w:noWrap/>
            <w:vAlign w:val="center"/>
            <w:hideMark/>
          </w:tcPr>
          <w:p w14:paraId="6C98D232" w14:textId="77777777" w:rsidR="00FC752D" w:rsidRPr="00BC4AFE" w:rsidRDefault="00FC752D" w:rsidP="006211D7">
            <w:pPr>
              <w:widowControl w:val="0"/>
              <w:ind w:right="144"/>
              <w:jc w:val="right"/>
              <w:rPr>
                <w:sz w:val="18"/>
                <w:szCs w:val="18"/>
              </w:rPr>
            </w:pPr>
            <w:r w:rsidRPr="00BC4AFE">
              <w:rPr>
                <w:sz w:val="18"/>
                <w:szCs w:val="18"/>
              </w:rPr>
              <w:t>37,867</w:t>
            </w:r>
          </w:p>
        </w:tc>
        <w:tc>
          <w:tcPr>
            <w:tcW w:w="1171" w:type="dxa"/>
            <w:shd w:val="clear" w:color="auto" w:fill="auto"/>
            <w:noWrap/>
            <w:vAlign w:val="center"/>
            <w:hideMark/>
          </w:tcPr>
          <w:p w14:paraId="3DC4BA35" w14:textId="77777777" w:rsidR="00FC752D" w:rsidRPr="00BC4AFE" w:rsidRDefault="00FC752D" w:rsidP="006211D7">
            <w:pPr>
              <w:widowControl w:val="0"/>
              <w:ind w:right="144"/>
              <w:jc w:val="right"/>
              <w:rPr>
                <w:sz w:val="18"/>
                <w:szCs w:val="18"/>
              </w:rPr>
            </w:pPr>
            <w:r w:rsidRPr="00BC4AFE">
              <w:rPr>
                <w:sz w:val="18"/>
                <w:szCs w:val="18"/>
              </w:rPr>
              <w:t>72,390</w:t>
            </w:r>
          </w:p>
        </w:tc>
      </w:tr>
      <w:tr w:rsidR="00FC752D" w:rsidRPr="00BC4AFE" w14:paraId="29B620FD" w14:textId="77777777" w:rsidTr="00A60395">
        <w:trPr>
          <w:cantSplit/>
          <w:trHeight w:val="245"/>
        </w:trPr>
        <w:tc>
          <w:tcPr>
            <w:tcW w:w="3605" w:type="dxa"/>
            <w:shd w:val="clear" w:color="auto" w:fill="auto"/>
            <w:vAlign w:val="center"/>
            <w:hideMark/>
          </w:tcPr>
          <w:p w14:paraId="0990FE84" w14:textId="77777777" w:rsidR="00FC752D" w:rsidRPr="00BC4AFE" w:rsidRDefault="00FC752D" w:rsidP="006211D7">
            <w:pPr>
              <w:widowControl w:val="0"/>
              <w:ind w:left="144" w:hanging="144"/>
              <w:rPr>
                <w:sz w:val="18"/>
                <w:szCs w:val="18"/>
              </w:rPr>
            </w:pPr>
            <w:r w:rsidRPr="00BC4AFE">
              <w:rPr>
                <w:sz w:val="18"/>
                <w:szCs w:val="18"/>
              </w:rPr>
              <w:lastRenderedPageBreak/>
              <w:t>Poland</w:t>
            </w:r>
          </w:p>
        </w:tc>
        <w:tc>
          <w:tcPr>
            <w:tcW w:w="1182" w:type="dxa"/>
            <w:shd w:val="clear" w:color="auto" w:fill="auto"/>
            <w:vAlign w:val="center"/>
            <w:hideMark/>
          </w:tcPr>
          <w:p w14:paraId="1A80CA20" w14:textId="77777777" w:rsidR="00FC752D" w:rsidRPr="00BC4AFE" w:rsidRDefault="00FC752D" w:rsidP="006211D7">
            <w:pPr>
              <w:widowControl w:val="0"/>
              <w:ind w:right="144"/>
              <w:jc w:val="right"/>
              <w:rPr>
                <w:sz w:val="18"/>
                <w:szCs w:val="18"/>
              </w:rPr>
            </w:pPr>
            <w:r w:rsidRPr="00BC4AFE">
              <w:rPr>
                <w:sz w:val="18"/>
                <w:szCs w:val="18"/>
              </w:rPr>
              <w:t>0.837</w:t>
            </w:r>
          </w:p>
        </w:tc>
        <w:tc>
          <w:tcPr>
            <w:tcW w:w="1182" w:type="dxa"/>
            <w:shd w:val="clear" w:color="auto" w:fill="auto"/>
            <w:noWrap/>
            <w:vAlign w:val="center"/>
            <w:hideMark/>
          </w:tcPr>
          <w:p w14:paraId="59D6DBA1" w14:textId="77777777" w:rsidR="00FC752D" w:rsidRPr="00BC4AFE" w:rsidRDefault="00FC752D" w:rsidP="006211D7">
            <w:pPr>
              <w:widowControl w:val="0"/>
              <w:ind w:right="144"/>
              <w:jc w:val="right"/>
              <w:rPr>
                <w:sz w:val="18"/>
                <w:szCs w:val="18"/>
              </w:rPr>
            </w:pPr>
            <w:r w:rsidRPr="00BC4AFE">
              <w:rPr>
                <w:sz w:val="18"/>
                <w:szCs w:val="18"/>
              </w:rPr>
              <w:t>1.046</w:t>
            </w:r>
          </w:p>
        </w:tc>
        <w:tc>
          <w:tcPr>
            <w:tcW w:w="1182" w:type="dxa"/>
            <w:shd w:val="clear" w:color="auto" w:fill="auto"/>
            <w:noWrap/>
            <w:vAlign w:val="center"/>
            <w:hideMark/>
          </w:tcPr>
          <w:p w14:paraId="22B49D8F" w14:textId="77777777" w:rsidR="00FC752D" w:rsidRPr="00BC4AFE" w:rsidRDefault="00FC752D" w:rsidP="006211D7">
            <w:pPr>
              <w:widowControl w:val="0"/>
              <w:ind w:right="144"/>
              <w:jc w:val="right"/>
              <w:rPr>
                <w:sz w:val="18"/>
                <w:szCs w:val="18"/>
              </w:rPr>
            </w:pPr>
            <w:r w:rsidRPr="00BC4AFE">
              <w:rPr>
                <w:sz w:val="18"/>
                <w:szCs w:val="18"/>
              </w:rPr>
              <w:t>136,303</w:t>
            </w:r>
          </w:p>
        </w:tc>
        <w:tc>
          <w:tcPr>
            <w:tcW w:w="1182" w:type="dxa"/>
            <w:shd w:val="clear" w:color="auto" w:fill="auto"/>
            <w:noWrap/>
            <w:vAlign w:val="center"/>
            <w:hideMark/>
          </w:tcPr>
          <w:p w14:paraId="060D4A46" w14:textId="77777777" w:rsidR="00FC752D" w:rsidRPr="00BC4AFE" w:rsidRDefault="00FC752D" w:rsidP="006211D7">
            <w:pPr>
              <w:widowControl w:val="0"/>
              <w:ind w:right="144"/>
              <w:jc w:val="right"/>
              <w:rPr>
                <w:sz w:val="18"/>
                <w:szCs w:val="18"/>
              </w:rPr>
            </w:pPr>
            <w:r w:rsidRPr="00BC4AFE">
              <w:rPr>
                <w:sz w:val="18"/>
                <w:szCs w:val="18"/>
              </w:rPr>
              <w:t>149,502</w:t>
            </w:r>
          </w:p>
        </w:tc>
        <w:tc>
          <w:tcPr>
            <w:tcW w:w="1171" w:type="dxa"/>
            <w:shd w:val="clear" w:color="auto" w:fill="auto"/>
            <w:noWrap/>
            <w:vAlign w:val="center"/>
            <w:hideMark/>
          </w:tcPr>
          <w:p w14:paraId="46E7124E" w14:textId="77777777" w:rsidR="00FC752D" w:rsidRPr="00BC4AFE" w:rsidRDefault="00FC752D" w:rsidP="006211D7">
            <w:pPr>
              <w:widowControl w:val="0"/>
              <w:ind w:right="144"/>
              <w:jc w:val="right"/>
              <w:rPr>
                <w:sz w:val="18"/>
                <w:szCs w:val="18"/>
              </w:rPr>
            </w:pPr>
            <w:r w:rsidRPr="00BC4AFE">
              <w:rPr>
                <w:sz w:val="18"/>
                <w:szCs w:val="18"/>
              </w:rPr>
              <w:t>285,805</w:t>
            </w:r>
          </w:p>
        </w:tc>
      </w:tr>
      <w:tr w:rsidR="00FC752D" w:rsidRPr="00BC4AFE" w14:paraId="651239F2" w14:textId="77777777" w:rsidTr="00A60395">
        <w:trPr>
          <w:cantSplit/>
          <w:trHeight w:val="245"/>
        </w:trPr>
        <w:tc>
          <w:tcPr>
            <w:tcW w:w="3605" w:type="dxa"/>
            <w:shd w:val="clear" w:color="auto" w:fill="auto"/>
            <w:vAlign w:val="center"/>
            <w:hideMark/>
          </w:tcPr>
          <w:p w14:paraId="4B1C5DE8" w14:textId="77777777" w:rsidR="00FC752D" w:rsidRPr="00BC4AFE" w:rsidRDefault="00FC752D" w:rsidP="006211D7">
            <w:pPr>
              <w:widowControl w:val="0"/>
              <w:ind w:left="144" w:hanging="144"/>
              <w:rPr>
                <w:sz w:val="18"/>
                <w:szCs w:val="18"/>
              </w:rPr>
            </w:pPr>
            <w:r w:rsidRPr="00BC4AFE">
              <w:rPr>
                <w:sz w:val="18"/>
                <w:szCs w:val="18"/>
              </w:rPr>
              <w:t>Portugal</w:t>
            </w:r>
          </w:p>
        </w:tc>
        <w:tc>
          <w:tcPr>
            <w:tcW w:w="1182" w:type="dxa"/>
            <w:shd w:val="clear" w:color="auto" w:fill="auto"/>
            <w:vAlign w:val="center"/>
            <w:hideMark/>
          </w:tcPr>
          <w:p w14:paraId="1A4B5883" w14:textId="77777777" w:rsidR="00FC752D" w:rsidRPr="00BC4AFE" w:rsidRDefault="00FC752D" w:rsidP="006211D7">
            <w:pPr>
              <w:widowControl w:val="0"/>
              <w:ind w:right="144"/>
              <w:jc w:val="right"/>
              <w:rPr>
                <w:sz w:val="18"/>
                <w:szCs w:val="18"/>
              </w:rPr>
            </w:pPr>
            <w:r w:rsidRPr="00BC4AFE">
              <w:rPr>
                <w:sz w:val="18"/>
                <w:szCs w:val="18"/>
              </w:rPr>
              <w:t>0.353</w:t>
            </w:r>
          </w:p>
        </w:tc>
        <w:tc>
          <w:tcPr>
            <w:tcW w:w="1182" w:type="dxa"/>
            <w:shd w:val="clear" w:color="auto" w:fill="auto"/>
            <w:noWrap/>
            <w:vAlign w:val="center"/>
            <w:hideMark/>
          </w:tcPr>
          <w:p w14:paraId="578F5B27" w14:textId="77777777" w:rsidR="00FC752D" w:rsidRPr="00BC4AFE" w:rsidRDefault="00FC752D" w:rsidP="006211D7">
            <w:pPr>
              <w:widowControl w:val="0"/>
              <w:ind w:right="144"/>
              <w:jc w:val="right"/>
              <w:rPr>
                <w:sz w:val="18"/>
                <w:szCs w:val="18"/>
              </w:rPr>
            </w:pPr>
            <w:r w:rsidRPr="00BC4AFE">
              <w:rPr>
                <w:sz w:val="18"/>
                <w:szCs w:val="18"/>
              </w:rPr>
              <w:t>0.441</w:t>
            </w:r>
          </w:p>
        </w:tc>
        <w:tc>
          <w:tcPr>
            <w:tcW w:w="1182" w:type="dxa"/>
            <w:shd w:val="clear" w:color="auto" w:fill="auto"/>
            <w:noWrap/>
            <w:vAlign w:val="center"/>
            <w:hideMark/>
          </w:tcPr>
          <w:p w14:paraId="31A8BE89" w14:textId="77777777" w:rsidR="00FC752D" w:rsidRPr="00BC4AFE" w:rsidRDefault="00FC752D" w:rsidP="006211D7">
            <w:pPr>
              <w:widowControl w:val="0"/>
              <w:ind w:right="144"/>
              <w:jc w:val="right"/>
              <w:rPr>
                <w:sz w:val="18"/>
                <w:szCs w:val="18"/>
              </w:rPr>
            </w:pPr>
            <w:r w:rsidRPr="00BC4AFE">
              <w:rPr>
                <w:sz w:val="18"/>
                <w:szCs w:val="18"/>
              </w:rPr>
              <w:t>57,485</w:t>
            </w:r>
          </w:p>
        </w:tc>
        <w:tc>
          <w:tcPr>
            <w:tcW w:w="1182" w:type="dxa"/>
            <w:shd w:val="clear" w:color="auto" w:fill="auto"/>
            <w:noWrap/>
            <w:vAlign w:val="center"/>
            <w:hideMark/>
          </w:tcPr>
          <w:p w14:paraId="31A25FAB" w14:textId="77777777" w:rsidR="00FC752D" w:rsidRPr="00BC4AFE" w:rsidRDefault="00FC752D" w:rsidP="006211D7">
            <w:pPr>
              <w:widowControl w:val="0"/>
              <w:ind w:right="144"/>
              <w:jc w:val="right"/>
              <w:rPr>
                <w:sz w:val="18"/>
                <w:szCs w:val="18"/>
              </w:rPr>
            </w:pPr>
            <w:r w:rsidRPr="00BC4AFE">
              <w:rPr>
                <w:sz w:val="18"/>
                <w:szCs w:val="18"/>
              </w:rPr>
              <w:t>63,052</w:t>
            </w:r>
          </w:p>
        </w:tc>
        <w:tc>
          <w:tcPr>
            <w:tcW w:w="1171" w:type="dxa"/>
            <w:shd w:val="clear" w:color="auto" w:fill="auto"/>
            <w:noWrap/>
            <w:vAlign w:val="center"/>
            <w:hideMark/>
          </w:tcPr>
          <w:p w14:paraId="3D3CEB0E" w14:textId="77777777" w:rsidR="00FC752D" w:rsidRPr="00BC4AFE" w:rsidRDefault="00FC752D" w:rsidP="006211D7">
            <w:pPr>
              <w:widowControl w:val="0"/>
              <w:ind w:right="144"/>
              <w:jc w:val="right"/>
              <w:rPr>
                <w:sz w:val="18"/>
                <w:szCs w:val="18"/>
              </w:rPr>
            </w:pPr>
            <w:r w:rsidRPr="00BC4AFE">
              <w:rPr>
                <w:sz w:val="18"/>
                <w:szCs w:val="18"/>
              </w:rPr>
              <w:t>120,537</w:t>
            </w:r>
          </w:p>
        </w:tc>
      </w:tr>
      <w:tr w:rsidR="00FC752D" w:rsidRPr="00BC4AFE" w14:paraId="63A0E174" w14:textId="77777777" w:rsidTr="00A60395">
        <w:trPr>
          <w:cantSplit/>
          <w:trHeight w:val="245"/>
        </w:trPr>
        <w:tc>
          <w:tcPr>
            <w:tcW w:w="3605" w:type="dxa"/>
            <w:shd w:val="clear" w:color="auto" w:fill="auto"/>
            <w:vAlign w:val="center"/>
            <w:hideMark/>
          </w:tcPr>
          <w:p w14:paraId="0745EC28" w14:textId="77777777" w:rsidR="00FC752D" w:rsidRPr="00BC4AFE" w:rsidRDefault="00FC752D" w:rsidP="006211D7">
            <w:pPr>
              <w:widowControl w:val="0"/>
              <w:ind w:left="144" w:hanging="144"/>
              <w:rPr>
                <w:sz w:val="18"/>
                <w:szCs w:val="18"/>
              </w:rPr>
            </w:pPr>
            <w:r w:rsidRPr="00BC4AFE">
              <w:rPr>
                <w:sz w:val="18"/>
                <w:szCs w:val="18"/>
              </w:rPr>
              <w:t>Qatar</w:t>
            </w:r>
          </w:p>
        </w:tc>
        <w:tc>
          <w:tcPr>
            <w:tcW w:w="1182" w:type="dxa"/>
            <w:shd w:val="clear" w:color="auto" w:fill="auto"/>
            <w:vAlign w:val="center"/>
            <w:hideMark/>
          </w:tcPr>
          <w:p w14:paraId="20817BF2" w14:textId="77777777" w:rsidR="00FC752D" w:rsidRPr="00BC4AFE" w:rsidRDefault="00FC752D" w:rsidP="006211D7">
            <w:pPr>
              <w:widowControl w:val="0"/>
              <w:ind w:right="144"/>
              <w:jc w:val="right"/>
              <w:rPr>
                <w:sz w:val="18"/>
                <w:szCs w:val="18"/>
              </w:rPr>
            </w:pPr>
            <w:r w:rsidRPr="00BC4AFE">
              <w:rPr>
                <w:sz w:val="18"/>
                <w:szCs w:val="18"/>
              </w:rPr>
              <w:t>0.269</w:t>
            </w:r>
          </w:p>
        </w:tc>
        <w:tc>
          <w:tcPr>
            <w:tcW w:w="1182" w:type="dxa"/>
            <w:shd w:val="clear" w:color="auto" w:fill="auto"/>
            <w:noWrap/>
            <w:vAlign w:val="center"/>
            <w:hideMark/>
          </w:tcPr>
          <w:p w14:paraId="227CBC59" w14:textId="77777777" w:rsidR="00FC752D" w:rsidRPr="00BC4AFE" w:rsidRDefault="00FC752D" w:rsidP="006211D7">
            <w:pPr>
              <w:widowControl w:val="0"/>
              <w:ind w:right="144"/>
              <w:jc w:val="right"/>
              <w:rPr>
                <w:sz w:val="18"/>
                <w:szCs w:val="18"/>
              </w:rPr>
            </w:pPr>
            <w:r w:rsidRPr="00BC4AFE">
              <w:rPr>
                <w:sz w:val="18"/>
                <w:szCs w:val="18"/>
              </w:rPr>
              <w:t>0.336</w:t>
            </w:r>
          </w:p>
        </w:tc>
        <w:tc>
          <w:tcPr>
            <w:tcW w:w="1182" w:type="dxa"/>
            <w:shd w:val="clear" w:color="auto" w:fill="auto"/>
            <w:noWrap/>
            <w:vAlign w:val="center"/>
            <w:hideMark/>
          </w:tcPr>
          <w:p w14:paraId="2652561C" w14:textId="77777777" w:rsidR="00FC752D" w:rsidRPr="00BC4AFE" w:rsidRDefault="00FC752D" w:rsidP="006211D7">
            <w:pPr>
              <w:widowControl w:val="0"/>
              <w:ind w:right="144"/>
              <w:jc w:val="right"/>
              <w:rPr>
                <w:sz w:val="18"/>
                <w:szCs w:val="18"/>
              </w:rPr>
            </w:pPr>
            <w:r w:rsidRPr="00BC4AFE">
              <w:rPr>
                <w:sz w:val="18"/>
                <w:szCs w:val="18"/>
              </w:rPr>
              <w:t>43,806</w:t>
            </w:r>
          </w:p>
        </w:tc>
        <w:tc>
          <w:tcPr>
            <w:tcW w:w="1182" w:type="dxa"/>
            <w:shd w:val="clear" w:color="auto" w:fill="auto"/>
            <w:noWrap/>
            <w:vAlign w:val="center"/>
            <w:hideMark/>
          </w:tcPr>
          <w:p w14:paraId="3FBE375B" w14:textId="77777777" w:rsidR="00FC752D" w:rsidRPr="00BC4AFE" w:rsidRDefault="00FC752D" w:rsidP="006211D7">
            <w:pPr>
              <w:widowControl w:val="0"/>
              <w:ind w:right="144"/>
              <w:jc w:val="right"/>
              <w:rPr>
                <w:sz w:val="18"/>
                <w:szCs w:val="18"/>
              </w:rPr>
            </w:pPr>
            <w:r w:rsidRPr="00BC4AFE">
              <w:rPr>
                <w:sz w:val="18"/>
                <w:szCs w:val="18"/>
              </w:rPr>
              <w:t>48,048</w:t>
            </w:r>
          </w:p>
        </w:tc>
        <w:tc>
          <w:tcPr>
            <w:tcW w:w="1171" w:type="dxa"/>
            <w:shd w:val="clear" w:color="auto" w:fill="auto"/>
            <w:noWrap/>
            <w:vAlign w:val="center"/>
            <w:hideMark/>
          </w:tcPr>
          <w:p w14:paraId="7F5E66F6" w14:textId="77777777" w:rsidR="00FC752D" w:rsidRPr="00BC4AFE" w:rsidRDefault="00FC752D" w:rsidP="006211D7">
            <w:pPr>
              <w:widowControl w:val="0"/>
              <w:ind w:right="144"/>
              <w:jc w:val="right"/>
              <w:rPr>
                <w:sz w:val="18"/>
                <w:szCs w:val="18"/>
              </w:rPr>
            </w:pPr>
            <w:r w:rsidRPr="00BC4AFE">
              <w:rPr>
                <w:sz w:val="18"/>
                <w:szCs w:val="18"/>
              </w:rPr>
              <w:t>91,854</w:t>
            </w:r>
          </w:p>
        </w:tc>
      </w:tr>
      <w:tr w:rsidR="00FC752D" w:rsidRPr="00BC4AFE" w14:paraId="44915DC3" w14:textId="77777777" w:rsidTr="00A60395">
        <w:trPr>
          <w:cantSplit/>
          <w:trHeight w:val="245"/>
        </w:trPr>
        <w:tc>
          <w:tcPr>
            <w:tcW w:w="3605" w:type="dxa"/>
            <w:shd w:val="clear" w:color="auto" w:fill="auto"/>
            <w:vAlign w:val="center"/>
            <w:hideMark/>
          </w:tcPr>
          <w:p w14:paraId="2DF6032C" w14:textId="77777777" w:rsidR="00FC752D" w:rsidRPr="00BC4AFE" w:rsidRDefault="00FC752D" w:rsidP="006211D7">
            <w:pPr>
              <w:widowControl w:val="0"/>
              <w:ind w:left="144" w:hanging="144"/>
              <w:rPr>
                <w:sz w:val="18"/>
                <w:szCs w:val="18"/>
              </w:rPr>
            </w:pPr>
            <w:r w:rsidRPr="00BC4AFE">
              <w:rPr>
                <w:sz w:val="18"/>
                <w:szCs w:val="18"/>
              </w:rPr>
              <w:t>Republic of Korea</w:t>
            </w:r>
          </w:p>
        </w:tc>
        <w:tc>
          <w:tcPr>
            <w:tcW w:w="1182" w:type="dxa"/>
            <w:shd w:val="clear" w:color="auto" w:fill="auto"/>
            <w:vAlign w:val="center"/>
            <w:hideMark/>
          </w:tcPr>
          <w:p w14:paraId="51E47544" w14:textId="77777777" w:rsidR="00FC752D" w:rsidRPr="00BC4AFE" w:rsidRDefault="00FC752D" w:rsidP="006211D7">
            <w:pPr>
              <w:widowControl w:val="0"/>
              <w:ind w:right="144"/>
              <w:jc w:val="right"/>
              <w:rPr>
                <w:sz w:val="18"/>
                <w:szCs w:val="18"/>
              </w:rPr>
            </w:pPr>
            <w:r w:rsidRPr="00BC4AFE">
              <w:rPr>
                <w:sz w:val="18"/>
                <w:szCs w:val="18"/>
              </w:rPr>
              <w:t>2.574</w:t>
            </w:r>
          </w:p>
        </w:tc>
        <w:tc>
          <w:tcPr>
            <w:tcW w:w="1182" w:type="dxa"/>
            <w:shd w:val="clear" w:color="auto" w:fill="auto"/>
            <w:noWrap/>
            <w:vAlign w:val="center"/>
            <w:hideMark/>
          </w:tcPr>
          <w:p w14:paraId="44739A14" w14:textId="77777777" w:rsidR="00FC752D" w:rsidRPr="00BC4AFE" w:rsidRDefault="00FC752D" w:rsidP="006211D7">
            <w:pPr>
              <w:widowControl w:val="0"/>
              <w:ind w:right="144"/>
              <w:jc w:val="right"/>
              <w:rPr>
                <w:sz w:val="18"/>
                <w:szCs w:val="18"/>
              </w:rPr>
            </w:pPr>
            <w:r w:rsidRPr="00BC4AFE">
              <w:rPr>
                <w:sz w:val="18"/>
                <w:szCs w:val="18"/>
              </w:rPr>
              <w:t>3.218</w:t>
            </w:r>
          </w:p>
        </w:tc>
        <w:tc>
          <w:tcPr>
            <w:tcW w:w="1182" w:type="dxa"/>
            <w:shd w:val="clear" w:color="auto" w:fill="auto"/>
            <w:noWrap/>
            <w:vAlign w:val="center"/>
            <w:hideMark/>
          </w:tcPr>
          <w:p w14:paraId="21EACC15" w14:textId="77777777" w:rsidR="00FC752D" w:rsidRPr="00BC4AFE" w:rsidRDefault="00FC752D" w:rsidP="006211D7">
            <w:pPr>
              <w:widowControl w:val="0"/>
              <w:ind w:right="144"/>
              <w:jc w:val="right"/>
              <w:rPr>
                <w:sz w:val="18"/>
                <w:szCs w:val="18"/>
              </w:rPr>
            </w:pPr>
            <w:r w:rsidRPr="00BC4AFE">
              <w:rPr>
                <w:sz w:val="18"/>
                <w:szCs w:val="18"/>
              </w:rPr>
              <w:t>419,169</w:t>
            </w:r>
          </w:p>
        </w:tc>
        <w:tc>
          <w:tcPr>
            <w:tcW w:w="1182" w:type="dxa"/>
            <w:shd w:val="clear" w:color="auto" w:fill="auto"/>
            <w:noWrap/>
            <w:vAlign w:val="center"/>
            <w:hideMark/>
          </w:tcPr>
          <w:p w14:paraId="47A3FACD" w14:textId="77777777" w:rsidR="00FC752D" w:rsidRPr="00BC4AFE" w:rsidRDefault="00FC752D" w:rsidP="006211D7">
            <w:pPr>
              <w:widowControl w:val="0"/>
              <w:ind w:right="144"/>
              <w:jc w:val="right"/>
              <w:rPr>
                <w:sz w:val="18"/>
                <w:szCs w:val="18"/>
              </w:rPr>
            </w:pPr>
            <w:r w:rsidRPr="00BC4AFE">
              <w:rPr>
                <w:sz w:val="18"/>
                <w:szCs w:val="18"/>
              </w:rPr>
              <w:t>459,759</w:t>
            </w:r>
          </w:p>
        </w:tc>
        <w:tc>
          <w:tcPr>
            <w:tcW w:w="1171" w:type="dxa"/>
            <w:shd w:val="clear" w:color="auto" w:fill="auto"/>
            <w:noWrap/>
            <w:vAlign w:val="center"/>
            <w:hideMark/>
          </w:tcPr>
          <w:p w14:paraId="78D954A6" w14:textId="77777777" w:rsidR="00FC752D" w:rsidRPr="00BC4AFE" w:rsidRDefault="00FC752D" w:rsidP="006211D7">
            <w:pPr>
              <w:widowControl w:val="0"/>
              <w:ind w:right="144"/>
              <w:jc w:val="right"/>
              <w:rPr>
                <w:sz w:val="18"/>
                <w:szCs w:val="18"/>
              </w:rPr>
            </w:pPr>
            <w:r w:rsidRPr="00BC4AFE">
              <w:rPr>
                <w:sz w:val="18"/>
                <w:szCs w:val="18"/>
              </w:rPr>
              <w:t>878,928</w:t>
            </w:r>
          </w:p>
        </w:tc>
      </w:tr>
      <w:tr w:rsidR="00FC752D" w:rsidRPr="00BC4AFE" w14:paraId="5F0052ED" w14:textId="77777777" w:rsidTr="00A60395">
        <w:trPr>
          <w:cantSplit/>
          <w:trHeight w:val="245"/>
        </w:trPr>
        <w:tc>
          <w:tcPr>
            <w:tcW w:w="3605" w:type="dxa"/>
            <w:shd w:val="clear" w:color="auto" w:fill="auto"/>
            <w:vAlign w:val="center"/>
            <w:hideMark/>
          </w:tcPr>
          <w:p w14:paraId="17C6EC9E" w14:textId="77777777" w:rsidR="00FC752D" w:rsidRPr="00BC4AFE" w:rsidRDefault="00FC752D" w:rsidP="006211D7">
            <w:pPr>
              <w:widowControl w:val="0"/>
              <w:ind w:left="144" w:hanging="144"/>
              <w:rPr>
                <w:sz w:val="18"/>
                <w:szCs w:val="18"/>
              </w:rPr>
            </w:pPr>
            <w:r w:rsidRPr="00BC4AFE">
              <w:rPr>
                <w:sz w:val="18"/>
                <w:szCs w:val="18"/>
              </w:rPr>
              <w:t>Republic of Moldova</w:t>
            </w:r>
          </w:p>
        </w:tc>
        <w:tc>
          <w:tcPr>
            <w:tcW w:w="1182" w:type="dxa"/>
            <w:shd w:val="clear" w:color="auto" w:fill="auto"/>
            <w:vAlign w:val="center"/>
            <w:hideMark/>
          </w:tcPr>
          <w:p w14:paraId="457016A8" w14:textId="77777777" w:rsidR="00FC752D" w:rsidRPr="00BC4AFE" w:rsidRDefault="00FC752D" w:rsidP="006211D7">
            <w:pPr>
              <w:widowControl w:val="0"/>
              <w:ind w:right="144"/>
              <w:jc w:val="right"/>
              <w:rPr>
                <w:sz w:val="18"/>
                <w:szCs w:val="18"/>
              </w:rPr>
            </w:pPr>
            <w:r w:rsidRPr="00BC4AFE">
              <w:rPr>
                <w:sz w:val="18"/>
                <w:szCs w:val="18"/>
              </w:rPr>
              <w:t>0.005</w:t>
            </w:r>
          </w:p>
        </w:tc>
        <w:tc>
          <w:tcPr>
            <w:tcW w:w="1182" w:type="dxa"/>
            <w:shd w:val="clear" w:color="auto" w:fill="auto"/>
            <w:noWrap/>
            <w:vAlign w:val="center"/>
            <w:hideMark/>
          </w:tcPr>
          <w:p w14:paraId="7821F9C7" w14:textId="77777777" w:rsidR="00FC752D" w:rsidRPr="00BC4AFE" w:rsidRDefault="00FC752D" w:rsidP="006211D7">
            <w:pPr>
              <w:widowControl w:val="0"/>
              <w:ind w:right="144"/>
              <w:jc w:val="right"/>
              <w:rPr>
                <w:sz w:val="18"/>
                <w:szCs w:val="18"/>
              </w:rPr>
            </w:pPr>
            <w:r w:rsidRPr="00BC4AFE">
              <w:rPr>
                <w:sz w:val="18"/>
                <w:szCs w:val="18"/>
              </w:rPr>
              <w:t>0.006</w:t>
            </w:r>
          </w:p>
        </w:tc>
        <w:tc>
          <w:tcPr>
            <w:tcW w:w="1182" w:type="dxa"/>
            <w:shd w:val="clear" w:color="auto" w:fill="auto"/>
            <w:noWrap/>
            <w:vAlign w:val="center"/>
            <w:hideMark/>
          </w:tcPr>
          <w:p w14:paraId="4A7843D3" w14:textId="77777777" w:rsidR="00FC752D" w:rsidRPr="00BC4AFE" w:rsidRDefault="00FC752D" w:rsidP="006211D7">
            <w:pPr>
              <w:widowControl w:val="0"/>
              <w:ind w:right="144"/>
              <w:jc w:val="right"/>
              <w:rPr>
                <w:sz w:val="18"/>
                <w:szCs w:val="18"/>
              </w:rPr>
            </w:pPr>
            <w:r w:rsidRPr="00BC4AFE">
              <w:rPr>
                <w:sz w:val="18"/>
                <w:szCs w:val="18"/>
              </w:rPr>
              <w:t>814</w:t>
            </w:r>
          </w:p>
        </w:tc>
        <w:tc>
          <w:tcPr>
            <w:tcW w:w="1182" w:type="dxa"/>
            <w:shd w:val="clear" w:color="auto" w:fill="auto"/>
            <w:noWrap/>
            <w:vAlign w:val="center"/>
            <w:hideMark/>
          </w:tcPr>
          <w:p w14:paraId="02CECB4D" w14:textId="77777777" w:rsidR="00FC752D" w:rsidRPr="00BC4AFE" w:rsidRDefault="00FC752D" w:rsidP="006211D7">
            <w:pPr>
              <w:widowControl w:val="0"/>
              <w:ind w:right="144"/>
              <w:jc w:val="right"/>
              <w:rPr>
                <w:sz w:val="18"/>
                <w:szCs w:val="18"/>
              </w:rPr>
            </w:pPr>
            <w:r w:rsidRPr="00BC4AFE">
              <w:rPr>
                <w:sz w:val="18"/>
                <w:szCs w:val="18"/>
              </w:rPr>
              <w:t>893</w:t>
            </w:r>
          </w:p>
        </w:tc>
        <w:tc>
          <w:tcPr>
            <w:tcW w:w="1171" w:type="dxa"/>
            <w:shd w:val="clear" w:color="auto" w:fill="auto"/>
            <w:noWrap/>
            <w:vAlign w:val="center"/>
            <w:hideMark/>
          </w:tcPr>
          <w:p w14:paraId="5259EDB0" w14:textId="77777777" w:rsidR="00FC752D" w:rsidRPr="00BC4AFE" w:rsidRDefault="00FC752D" w:rsidP="006211D7">
            <w:pPr>
              <w:widowControl w:val="0"/>
              <w:ind w:right="144"/>
              <w:jc w:val="right"/>
              <w:rPr>
                <w:sz w:val="18"/>
                <w:szCs w:val="18"/>
              </w:rPr>
            </w:pPr>
            <w:r w:rsidRPr="00BC4AFE">
              <w:rPr>
                <w:sz w:val="18"/>
                <w:szCs w:val="18"/>
              </w:rPr>
              <w:t>1,707</w:t>
            </w:r>
          </w:p>
        </w:tc>
      </w:tr>
      <w:tr w:rsidR="00FC752D" w:rsidRPr="00BC4AFE" w14:paraId="310429FF" w14:textId="77777777" w:rsidTr="00A60395">
        <w:trPr>
          <w:cantSplit/>
          <w:trHeight w:val="245"/>
        </w:trPr>
        <w:tc>
          <w:tcPr>
            <w:tcW w:w="3605" w:type="dxa"/>
            <w:shd w:val="clear" w:color="auto" w:fill="auto"/>
            <w:vAlign w:val="center"/>
            <w:hideMark/>
          </w:tcPr>
          <w:p w14:paraId="2A7A44B6" w14:textId="77777777" w:rsidR="00FC752D" w:rsidRPr="00BC4AFE" w:rsidRDefault="00FC752D" w:rsidP="006211D7">
            <w:pPr>
              <w:widowControl w:val="0"/>
              <w:ind w:left="144" w:hanging="144"/>
              <w:rPr>
                <w:sz w:val="18"/>
                <w:szCs w:val="18"/>
              </w:rPr>
            </w:pPr>
            <w:r w:rsidRPr="00BC4AFE">
              <w:rPr>
                <w:sz w:val="18"/>
                <w:szCs w:val="18"/>
              </w:rPr>
              <w:t>Romania</w:t>
            </w:r>
          </w:p>
        </w:tc>
        <w:tc>
          <w:tcPr>
            <w:tcW w:w="1182" w:type="dxa"/>
            <w:shd w:val="clear" w:color="auto" w:fill="auto"/>
            <w:vAlign w:val="center"/>
            <w:hideMark/>
          </w:tcPr>
          <w:p w14:paraId="2FAAC233" w14:textId="77777777" w:rsidR="00FC752D" w:rsidRPr="00BC4AFE" w:rsidRDefault="00FC752D" w:rsidP="006211D7">
            <w:pPr>
              <w:widowControl w:val="0"/>
              <w:ind w:right="144"/>
              <w:jc w:val="right"/>
              <w:rPr>
                <w:sz w:val="18"/>
                <w:szCs w:val="18"/>
              </w:rPr>
            </w:pPr>
            <w:r w:rsidRPr="00BC4AFE">
              <w:rPr>
                <w:sz w:val="18"/>
                <w:szCs w:val="18"/>
              </w:rPr>
              <w:t>0.312</w:t>
            </w:r>
          </w:p>
        </w:tc>
        <w:tc>
          <w:tcPr>
            <w:tcW w:w="1182" w:type="dxa"/>
            <w:shd w:val="clear" w:color="auto" w:fill="auto"/>
            <w:noWrap/>
            <w:vAlign w:val="center"/>
            <w:hideMark/>
          </w:tcPr>
          <w:p w14:paraId="44E8EE53" w14:textId="77777777" w:rsidR="00FC752D" w:rsidRPr="00BC4AFE" w:rsidRDefault="00FC752D" w:rsidP="006211D7">
            <w:pPr>
              <w:widowControl w:val="0"/>
              <w:ind w:right="144"/>
              <w:jc w:val="right"/>
              <w:rPr>
                <w:sz w:val="18"/>
                <w:szCs w:val="18"/>
              </w:rPr>
            </w:pPr>
            <w:r w:rsidRPr="00BC4AFE">
              <w:rPr>
                <w:sz w:val="18"/>
                <w:szCs w:val="18"/>
              </w:rPr>
              <w:t>0.390</w:t>
            </w:r>
          </w:p>
        </w:tc>
        <w:tc>
          <w:tcPr>
            <w:tcW w:w="1182" w:type="dxa"/>
            <w:shd w:val="clear" w:color="auto" w:fill="auto"/>
            <w:noWrap/>
            <w:vAlign w:val="center"/>
            <w:hideMark/>
          </w:tcPr>
          <w:p w14:paraId="370BD127" w14:textId="77777777" w:rsidR="00FC752D" w:rsidRPr="00BC4AFE" w:rsidRDefault="00FC752D" w:rsidP="006211D7">
            <w:pPr>
              <w:widowControl w:val="0"/>
              <w:ind w:right="144"/>
              <w:jc w:val="right"/>
              <w:rPr>
                <w:sz w:val="18"/>
                <w:szCs w:val="18"/>
              </w:rPr>
            </w:pPr>
            <w:r w:rsidRPr="00BC4AFE">
              <w:rPr>
                <w:sz w:val="18"/>
                <w:szCs w:val="18"/>
              </w:rPr>
              <w:t>50,808</w:t>
            </w:r>
          </w:p>
        </w:tc>
        <w:tc>
          <w:tcPr>
            <w:tcW w:w="1182" w:type="dxa"/>
            <w:shd w:val="clear" w:color="auto" w:fill="auto"/>
            <w:noWrap/>
            <w:vAlign w:val="center"/>
            <w:hideMark/>
          </w:tcPr>
          <w:p w14:paraId="5B638754" w14:textId="77777777" w:rsidR="00FC752D" w:rsidRPr="00BC4AFE" w:rsidRDefault="00FC752D" w:rsidP="006211D7">
            <w:pPr>
              <w:widowControl w:val="0"/>
              <w:ind w:right="144"/>
              <w:jc w:val="right"/>
              <w:rPr>
                <w:sz w:val="18"/>
                <w:szCs w:val="18"/>
              </w:rPr>
            </w:pPr>
            <w:r w:rsidRPr="00BC4AFE">
              <w:rPr>
                <w:sz w:val="18"/>
                <w:szCs w:val="18"/>
              </w:rPr>
              <w:t>55,728</w:t>
            </w:r>
          </w:p>
        </w:tc>
        <w:tc>
          <w:tcPr>
            <w:tcW w:w="1171" w:type="dxa"/>
            <w:shd w:val="clear" w:color="auto" w:fill="auto"/>
            <w:noWrap/>
            <w:vAlign w:val="center"/>
            <w:hideMark/>
          </w:tcPr>
          <w:p w14:paraId="144B8A45" w14:textId="77777777" w:rsidR="00FC752D" w:rsidRPr="00BC4AFE" w:rsidRDefault="00FC752D" w:rsidP="006211D7">
            <w:pPr>
              <w:widowControl w:val="0"/>
              <w:ind w:right="144"/>
              <w:jc w:val="right"/>
              <w:rPr>
                <w:sz w:val="18"/>
                <w:szCs w:val="18"/>
              </w:rPr>
            </w:pPr>
            <w:r w:rsidRPr="00BC4AFE">
              <w:rPr>
                <w:sz w:val="18"/>
                <w:szCs w:val="18"/>
              </w:rPr>
              <w:t>106,537</w:t>
            </w:r>
          </w:p>
        </w:tc>
      </w:tr>
      <w:tr w:rsidR="00FC752D" w:rsidRPr="00BC4AFE" w14:paraId="3971C26C" w14:textId="77777777" w:rsidTr="00A60395">
        <w:trPr>
          <w:cantSplit/>
          <w:trHeight w:val="245"/>
        </w:trPr>
        <w:tc>
          <w:tcPr>
            <w:tcW w:w="3605" w:type="dxa"/>
            <w:shd w:val="clear" w:color="auto" w:fill="auto"/>
            <w:vAlign w:val="center"/>
            <w:hideMark/>
          </w:tcPr>
          <w:p w14:paraId="07CBE692" w14:textId="77777777" w:rsidR="00FC752D" w:rsidRPr="00BC4AFE" w:rsidRDefault="00FC752D" w:rsidP="006211D7">
            <w:pPr>
              <w:widowControl w:val="0"/>
              <w:ind w:left="144" w:hanging="144"/>
              <w:rPr>
                <w:sz w:val="18"/>
                <w:szCs w:val="18"/>
              </w:rPr>
            </w:pPr>
            <w:r w:rsidRPr="00BC4AFE">
              <w:rPr>
                <w:sz w:val="18"/>
                <w:szCs w:val="18"/>
              </w:rPr>
              <w:t>Russian Federation</w:t>
            </w:r>
          </w:p>
        </w:tc>
        <w:tc>
          <w:tcPr>
            <w:tcW w:w="1182" w:type="dxa"/>
            <w:shd w:val="clear" w:color="auto" w:fill="auto"/>
            <w:vAlign w:val="center"/>
            <w:hideMark/>
          </w:tcPr>
          <w:p w14:paraId="345914BB" w14:textId="77777777" w:rsidR="00FC752D" w:rsidRPr="00BC4AFE" w:rsidRDefault="00FC752D" w:rsidP="006211D7">
            <w:pPr>
              <w:widowControl w:val="0"/>
              <w:ind w:right="144"/>
              <w:jc w:val="right"/>
              <w:rPr>
                <w:sz w:val="18"/>
                <w:szCs w:val="18"/>
              </w:rPr>
            </w:pPr>
            <w:r w:rsidRPr="00BC4AFE">
              <w:rPr>
                <w:sz w:val="18"/>
                <w:szCs w:val="18"/>
              </w:rPr>
              <w:t>1.866</w:t>
            </w:r>
          </w:p>
        </w:tc>
        <w:tc>
          <w:tcPr>
            <w:tcW w:w="1182" w:type="dxa"/>
            <w:shd w:val="clear" w:color="auto" w:fill="auto"/>
            <w:noWrap/>
            <w:vAlign w:val="center"/>
            <w:hideMark/>
          </w:tcPr>
          <w:p w14:paraId="587D0B6B" w14:textId="77777777" w:rsidR="00FC752D" w:rsidRPr="00BC4AFE" w:rsidRDefault="00FC752D" w:rsidP="006211D7">
            <w:pPr>
              <w:widowControl w:val="0"/>
              <w:ind w:right="144"/>
              <w:jc w:val="right"/>
              <w:rPr>
                <w:sz w:val="18"/>
                <w:szCs w:val="18"/>
              </w:rPr>
            </w:pPr>
            <w:r w:rsidRPr="00BC4AFE">
              <w:rPr>
                <w:sz w:val="18"/>
                <w:szCs w:val="18"/>
              </w:rPr>
              <w:t>2.333</w:t>
            </w:r>
          </w:p>
        </w:tc>
        <w:tc>
          <w:tcPr>
            <w:tcW w:w="1182" w:type="dxa"/>
            <w:shd w:val="clear" w:color="auto" w:fill="auto"/>
            <w:noWrap/>
            <w:vAlign w:val="center"/>
            <w:hideMark/>
          </w:tcPr>
          <w:p w14:paraId="502BFEA2" w14:textId="77777777" w:rsidR="00FC752D" w:rsidRPr="00BC4AFE" w:rsidRDefault="00FC752D" w:rsidP="006211D7">
            <w:pPr>
              <w:widowControl w:val="0"/>
              <w:ind w:right="144"/>
              <w:jc w:val="right"/>
              <w:rPr>
                <w:sz w:val="18"/>
                <w:szCs w:val="18"/>
              </w:rPr>
            </w:pPr>
            <w:r w:rsidRPr="00BC4AFE">
              <w:rPr>
                <w:sz w:val="18"/>
                <w:szCs w:val="18"/>
              </w:rPr>
              <w:t>303,873</w:t>
            </w:r>
          </w:p>
        </w:tc>
        <w:tc>
          <w:tcPr>
            <w:tcW w:w="1182" w:type="dxa"/>
            <w:shd w:val="clear" w:color="auto" w:fill="auto"/>
            <w:noWrap/>
            <w:vAlign w:val="center"/>
            <w:hideMark/>
          </w:tcPr>
          <w:p w14:paraId="42D462DF" w14:textId="77777777" w:rsidR="00FC752D" w:rsidRPr="00BC4AFE" w:rsidRDefault="00FC752D" w:rsidP="006211D7">
            <w:pPr>
              <w:widowControl w:val="0"/>
              <w:ind w:right="144"/>
              <w:jc w:val="right"/>
              <w:rPr>
                <w:sz w:val="18"/>
                <w:szCs w:val="18"/>
              </w:rPr>
            </w:pPr>
            <w:r w:rsidRPr="00BC4AFE">
              <w:rPr>
                <w:sz w:val="18"/>
                <w:szCs w:val="18"/>
              </w:rPr>
              <w:t>333,299</w:t>
            </w:r>
          </w:p>
        </w:tc>
        <w:tc>
          <w:tcPr>
            <w:tcW w:w="1171" w:type="dxa"/>
            <w:shd w:val="clear" w:color="auto" w:fill="auto"/>
            <w:noWrap/>
            <w:vAlign w:val="center"/>
            <w:hideMark/>
          </w:tcPr>
          <w:p w14:paraId="68E1CC91" w14:textId="77777777" w:rsidR="00FC752D" w:rsidRPr="00BC4AFE" w:rsidRDefault="00FC752D" w:rsidP="006211D7">
            <w:pPr>
              <w:widowControl w:val="0"/>
              <w:ind w:right="144"/>
              <w:jc w:val="right"/>
              <w:rPr>
                <w:sz w:val="18"/>
                <w:szCs w:val="18"/>
              </w:rPr>
            </w:pPr>
            <w:r w:rsidRPr="00BC4AFE">
              <w:rPr>
                <w:sz w:val="18"/>
                <w:szCs w:val="18"/>
              </w:rPr>
              <w:t>637,171</w:t>
            </w:r>
          </w:p>
        </w:tc>
      </w:tr>
      <w:tr w:rsidR="00FC752D" w:rsidRPr="00BC4AFE" w14:paraId="1F5ED4DC" w14:textId="77777777" w:rsidTr="00A60395">
        <w:trPr>
          <w:cantSplit/>
          <w:trHeight w:val="245"/>
        </w:trPr>
        <w:tc>
          <w:tcPr>
            <w:tcW w:w="3605" w:type="dxa"/>
            <w:shd w:val="clear" w:color="auto" w:fill="auto"/>
            <w:vAlign w:val="center"/>
            <w:hideMark/>
          </w:tcPr>
          <w:p w14:paraId="5C3C8AB7" w14:textId="77777777" w:rsidR="00FC752D" w:rsidRPr="00BC4AFE" w:rsidRDefault="00FC752D" w:rsidP="006211D7">
            <w:pPr>
              <w:widowControl w:val="0"/>
              <w:ind w:left="144" w:hanging="144"/>
              <w:rPr>
                <w:sz w:val="18"/>
                <w:szCs w:val="18"/>
              </w:rPr>
            </w:pPr>
            <w:r w:rsidRPr="00BC4AFE">
              <w:rPr>
                <w:sz w:val="18"/>
                <w:szCs w:val="18"/>
              </w:rPr>
              <w:t>Rwanda</w:t>
            </w:r>
          </w:p>
        </w:tc>
        <w:tc>
          <w:tcPr>
            <w:tcW w:w="1182" w:type="dxa"/>
            <w:shd w:val="clear" w:color="auto" w:fill="auto"/>
            <w:vAlign w:val="center"/>
            <w:hideMark/>
          </w:tcPr>
          <w:p w14:paraId="19A27463"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0857AEA5"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shd w:val="clear" w:color="auto" w:fill="auto"/>
            <w:noWrap/>
            <w:vAlign w:val="center"/>
            <w:hideMark/>
          </w:tcPr>
          <w:p w14:paraId="26D397A8"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shd w:val="clear" w:color="auto" w:fill="auto"/>
            <w:noWrap/>
            <w:vAlign w:val="center"/>
            <w:hideMark/>
          </w:tcPr>
          <w:p w14:paraId="1E6DC5D9"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shd w:val="clear" w:color="auto" w:fill="auto"/>
            <w:noWrap/>
            <w:vAlign w:val="center"/>
            <w:hideMark/>
          </w:tcPr>
          <w:p w14:paraId="744BEA0C"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22AF0CEA" w14:textId="77777777" w:rsidTr="00A60395">
        <w:trPr>
          <w:cantSplit/>
          <w:trHeight w:val="245"/>
        </w:trPr>
        <w:tc>
          <w:tcPr>
            <w:tcW w:w="3605" w:type="dxa"/>
            <w:shd w:val="clear" w:color="auto" w:fill="auto"/>
            <w:vAlign w:val="center"/>
            <w:hideMark/>
          </w:tcPr>
          <w:p w14:paraId="1418B133" w14:textId="77777777" w:rsidR="00FC752D" w:rsidRPr="00BC4AFE" w:rsidRDefault="00FC752D" w:rsidP="006211D7">
            <w:pPr>
              <w:widowControl w:val="0"/>
              <w:ind w:left="144" w:hanging="144"/>
              <w:rPr>
                <w:sz w:val="18"/>
                <w:szCs w:val="18"/>
              </w:rPr>
            </w:pPr>
            <w:r w:rsidRPr="00BC4AFE">
              <w:rPr>
                <w:sz w:val="18"/>
                <w:szCs w:val="18"/>
              </w:rPr>
              <w:t>Saint Kitts and Nevis</w:t>
            </w:r>
          </w:p>
        </w:tc>
        <w:tc>
          <w:tcPr>
            <w:tcW w:w="1182" w:type="dxa"/>
            <w:shd w:val="clear" w:color="auto" w:fill="auto"/>
            <w:vAlign w:val="center"/>
            <w:hideMark/>
          </w:tcPr>
          <w:p w14:paraId="1252AAA0"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08687F57"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2BE9DD76"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45E1BBD4"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7FEF842F"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4C3CB3D3" w14:textId="77777777" w:rsidTr="00A60395">
        <w:trPr>
          <w:cantSplit/>
          <w:trHeight w:val="245"/>
        </w:trPr>
        <w:tc>
          <w:tcPr>
            <w:tcW w:w="3605" w:type="dxa"/>
            <w:shd w:val="clear" w:color="auto" w:fill="auto"/>
            <w:vAlign w:val="center"/>
            <w:hideMark/>
          </w:tcPr>
          <w:p w14:paraId="308F4101" w14:textId="77777777" w:rsidR="00FC752D" w:rsidRPr="00BC4AFE" w:rsidRDefault="00FC752D" w:rsidP="006211D7">
            <w:pPr>
              <w:widowControl w:val="0"/>
              <w:ind w:left="144" w:hanging="144"/>
              <w:rPr>
                <w:sz w:val="18"/>
                <w:szCs w:val="18"/>
              </w:rPr>
            </w:pPr>
            <w:r w:rsidRPr="00BC4AFE">
              <w:rPr>
                <w:sz w:val="18"/>
                <w:szCs w:val="18"/>
              </w:rPr>
              <w:t>Saint Lucia</w:t>
            </w:r>
          </w:p>
        </w:tc>
        <w:tc>
          <w:tcPr>
            <w:tcW w:w="1182" w:type="dxa"/>
            <w:shd w:val="clear" w:color="auto" w:fill="auto"/>
            <w:vAlign w:val="center"/>
            <w:hideMark/>
          </w:tcPr>
          <w:p w14:paraId="02BD8E98"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3D141EC8"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47EDB606"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056CED15"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3ECFFD7F"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4AA440AD" w14:textId="77777777" w:rsidTr="00A60395">
        <w:trPr>
          <w:cantSplit/>
          <w:trHeight w:val="245"/>
        </w:trPr>
        <w:tc>
          <w:tcPr>
            <w:tcW w:w="3605" w:type="dxa"/>
            <w:shd w:val="clear" w:color="auto" w:fill="auto"/>
            <w:vAlign w:val="center"/>
            <w:hideMark/>
          </w:tcPr>
          <w:p w14:paraId="4FCB7274" w14:textId="77777777" w:rsidR="00FC752D" w:rsidRPr="00BC4AFE" w:rsidRDefault="00FC752D" w:rsidP="006211D7">
            <w:pPr>
              <w:widowControl w:val="0"/>
              <w:ind w:left="144" w:hanging="144"/>
              <w:rPr>
                <w:sz w:val="18"/>
                <w:szCs w:val="18"/>
              </w:rPr>
            </w:pPr>
            <w:r w:rsidRPr="00BC4AFE">
              <w:rPr>
                <w:sz w:val="18"/>
                <w:szCs w:val="18"/>
              </w:rPr>
              <w:t>Saint Vincent and the Grenadines</w:t>
            </w:r>
          </w:p>
        </w:tc>
        <w:tc>
          <w:tcPr>
            <w:tcW w:w="1182" w:type="dxa"/>
            <w:shd w:val="clear" w:color="auto" w:fill="auto"/>
            <w:vAlign w:val="center"/>
            <w:hideMark/>
          </w:tcPr>
          <w:p w14:paraId="4AF2ACF3"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5AE1B3D4"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FBCA5C8"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330B45D"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1E840AEF"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5246D9A7" w14:textId="77777777" w:rsidTr="00A60395">
        <w:trPr>
          <w:cantSplit/>
          <w:trHeight w:val="245"/>
        </w:trPr>
        <w:tc>
          <w:tcPr>
            <w:tcW w:w="3605" w:type="dxa"/>
            <w:shd w:val="clear" w:color="auto" w:fill="auto"/>
            <w:vAlign w:val="center"/>
            <w:hideMark/>
          </w:tcPr>
          <w:p w14:paraId="1A51FC20" w14:textId="77777777" w:rsidR="00FC752D" w:rsidRPr="00BC4AFE" w:rsidRDefault="00FC752D" w:rsidP="006211D7">
            <w:pPr>
              <w:widowControl w:val="0"/>
              <w:ind w:left="144" w:hanging="144"/>
              <w:rPr>
                <w:sz w:val="18"/>
                <w:szCs w:val="18"/>
              </w:rPr>
            </w:pPr>
            <w:r w:rsidRPr="00BC4AFE">
              <w:rPr>
                <w:sz w:val="18"/>
                <w:szCs w:val="18"/>
              </w:rPr>
              <w:t>Samoa</w:t>
            </w:r>
          </w:p>
        </w:tc>
        <w:tc>
          <w:tcPr>
            <w:tcW w:w="1182" w:type="dxa"/>
            <w:shd w:val="clear" w:color="auto" w:fill="auto"/>
            <w:vAlign w:val="center"/>
            <w:hideMark/>
          </w:tcPr>
          <w:p w14:paraId="564211D8"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3FB36A7A"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108B072"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565F55C"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53828C22"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240927CD" w14:textId="77777777" w:rsidTr="00A60395">
        <w:trPr>
          <w:cantSplit/>
          <w:trHeight w:val="245"/>
        </w:trPr>
        <w:tc>
          <w:tcPr>
            <w:tcW w:w="3605" w:type="dxa"/>
            <w:shd w:val="clear" w:color="auto" w:fill="auto"/>
            <w:vAlign w:val="center"/>
            <w:hideMark/>
          </w:tcPr>
          <w:p w14:paraId="0318CBB1" w14:textId="77777777" w:rsidR="00FC752D" w:rsidRPr="00BC4AFE" w:rsidRDefault="00FC752D" w:rsidP="006211D7">
            <w:pPr>
              <w:widowControl w:val="0"/>
              <w:ind w:left="144" w:hanging="144"/>
              <w:rPr>
                <w:sz w:val="18"/>
                <w:szCs w:val="18"/>
              </w:rPr>
            </w:pPr>
            <w:r w:rsidRPr="00BC4AFE">
              <w:rPr>
                <w:sz w:val="18"/>
                <w:szCs w:val="18"/>
              </w:rPr>
              <w:t>San Marino</w:t>
            </w:r>
          </w:p>
        </w:tc>
        <w:tc>
          <w:tcPr>
            <w:tcW w:w="1182" w:type="dxa"/>
            <w:shd w:val="clear" w:color="auto" w:fill="auto"/>
            <w:vAlign w:val="center"/>
            <w:hideMark/>
          </w:tcPr>
          <w:p w14:paraId="694AE79E"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shd w:val="clear" w:color="auto" w:fill="auto"/>
            <w:noWrap/>
            <w:vAlign w:val="center"/>
            <w:hideMark/>
          </w:tcPr>
          <w:p w14:paraId="79A47994"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shd w:val="clear" w:color="auto" w:fill="auto"/>
            <w:noWrap/>
            <w:vAlign w:val="center"/>
            <w:hideMark/>
          </w:tcPr>
          <w:p w14:paraId="35D92A29"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shd w:val="clear" w:color="auto" w:fill="auto"/>
            <w:noWrap/>
            <w:vAlign w:val="center"/>
            <w:hideMark/>
          </w:tcPr>
          <w:p w14:paraId="6733496C"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shd w:val="clear" w:color="auto" w:fill="auto"/>
            <w:noWrap/>
            <w:vAlign w:val="center"/>
            <w:hideMark/>
          </w:tcPr>
          <w:p w14:paraId="3594AEF8"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7141379E" w14:textId="77777777" w:rsidTr="00A60395">
        <w:trPr>
          <w:cantSplit/>
          <w:trHeight w:val="245"/>
        </w:trPr>
        <w:tc>
          <w:tcPr>
            <w:tcW w:w="3605" w:type="dxa"/>
            <w:shd w:val="clear" w:color="auto" w:fill="auto"/>
            <w:vAlign w:val="center"/>
            <w:hideMark/>
          </w:tcPr>
          <w:p w14:paraId="0E48B6CC" w14:textId="77777777" w:rsidR="00FC752D" w:rsidRPr="00BC4AFE" w:rsidRDefault="00FC752D" w:rsidP="006211D7">
            <w:pPr>
              <w:widowControl w:val="0"/>
              <w:ind w:left="144" w:hanging="144"/>
              <w:rPr>
                <w:sz w:val="18"/>
                <w:szCs w:val="18"/>
              </w:rPr>
            </w:pPr>
            <w:r w:rsidRPr="00BC4AFE">
              <w:rPr>
                <w:sz w:val="18"/>
                <w:szCs w:val="18"/>
              </w:rPr>
              <w:t>Sao Tome and Principe</w:t>
            </w:r>
          </w:p>
        </w:tc>
        <w:tc>
          <w:tcPr>
            <w:tcW w:w="1182" w:type="dxa"/>
            <w:shd w:val="clear" w:color="auto" w:fill="auto"/>
            <w:vAlign w:val="center"/>
            <w:hideMark/>
          </w:tcPr>
          <w:p w14:paraId="169962FD"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5774434"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B802C86"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1F38DBE9"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63593B34"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9AFE55E" w14:textId="77777777" w:rsidTr="00A60395">
        <w:trPr>
          <w:cantSplit/>
          <w:trHeight w:val="245"/>
        </w:trPr>
        <w:tc>
          <w:tcPr>
            <w:tcW w:w="3605" w:type="dxa"/>
            <w:shd w:val="clear" w:color="auto" w:fill="auto"/>
            <w:vAlign w:val="center"/>
            <w:hideMark/>
          </w:tcPr>
          <w:p w14:paraId="6DFFA0A8" w14:textId="77777777" w:rsidR="00FC752D" w:rsidRPr="00BC4AFE" w:rsidRDefault="00FC752D" w:rsidP="006211D7">
            <w:pPr>
              <w:widowControl w:val="0"/>
              <w:ind w:left="144" w:hanging="144"/>
              <w:rPr>
                <w:sz w:val="18"/>
                <w:szCs w:val="18"/>
              </w:rPr>
            </w:pPr>
            <w:r w:rsidRPr="00BC4AFE">
              <w:rPr>
                <w:sz w:val="18"/>
                <w:szCs w:val="18"/>
              </w:rPr>
              <w:t>Saudi Arabia</w:t>
            </w:r>
          </w:p>
        </w:tc>
        <w:tc>
          <w:tcPr>
            <w:tcW w:w="1182" w:type="dxa"/>
            <w:shd w:val="clear" w:color="auto" w:fill="auto"/>
            <w:vAlign w:val="center"/>
            <w:hideMark/>
          </w:tcPr>
          <w:p w14:paraId="02C33B68" w14:textId="77777777" w:rsidR="00FC752D" w:rsidRPr="00BC4AFE" w:rsidRDefault="00FC752D" w:rsidP="006211D7">
            <w:pPr>
              <w:widowControl w:val="0"/>
              <w:ind w:right="144"/>
              <w:jc w:val="right"/>
              <w:rPr>
                <w:sz w:val="18"/>
                <w:szCs w:val="18"/>
              </w:rPr>
            </w:pPr>
            <w:r w:rsidRPr="00BC4AFE">
              <w:rPr>
                <w:sz w:val="18"/>
                <w:szCs w:val="18"/>
              </w:rPr>
              <w:t>1.184</w:t>
            </w:r>
          </w:p>
        </w:tc>
        <w:tc>
          <w:tcPr>
            <w:tcW w:w="1182" w:type="dxa"/>
            <w:shd w:val="clear" w:color="auto" w:fill="auto"/>
            <w:noWrap/>
            <w:vAlign w:val="center"/>
            <w:hideMark/>
          </w:tcPr>
          <w:p w14:paraId="16CAA753" w14:textId="77777777" w:rsidR="00FC752D" w:rsidRPr="00BC4AFE" w:rsidRDefault="00FC752D" w:rsidP="006211D7">
            <w:pPr>
              <w:widowControl w:val="0"/>
              <w:ind w:right="144"/>
              <w:jc w:val="right"/>
              <w:rPr>
                <w:sz w:val="18"/>
                <w:szCs w:val="18"/>
              </w:rPr>
            </w:pPr>
            <w:r w:rsidRPr="00BC4AFE">
              <w:rPr>
                <w:sz w:val="18"/>
                <w:szCs w:val="18"/>
              </w:rPr>
              <w:t>1.480</w:t>
            </w:r>
          </w:p>
        </w:tc>
        <w:tc>
          <w:tcPr>
            <w:tcW w:w="1182" w:type="dxa"/>
            <w:shd w:val="clear" w:color="auto" w:fill="auto"/>
            <w:noWrap/>
            <w:vAlign w:val="center"/>
            <w:hideMark/>
          </w:tcPr>
          <w:p w14:paraId="7781EAE0" w14:textId="77777777" w:rsidR="00FC752D" w:rsidRPr="00BC4AFE" w:rsidRDefault="00FC752D" w:rsidP="006211D7">
            <w:pPr>
              <w:widowControl w:val="0"/>
              <w:ind w:right="144"/>
              <w:jc w:val="right"/>
              <w:rPr>
                <w:sz w:val="18"/>
                <w:szCs w:val="18"/>
              </w:rPr>
            </w:pPr>
            <w:r w:rsidRPr="00BC4AFE">
              <w:rPr>
                <w:sz w:val="18"/>
                <w:szCs w:val="18"/>
              </w:rPr>
              <w:t>192,811</w:t>
            </w:r>
          </w:p>
        </w:tc>
        <w:tc>
          <w:tcPr>
            <w:tcW w:w="1182" w:type="dxa"/>
            <w:shd w:val="clear" w:color="auto" w:fill="auto"/>
            <w:noWrap/>
            <w:vAlign w:val="center"/>
            <w:hideMark/>
          </w:tcPr>
          <w:p w14:paraId="4E1C8E68" w14:textId="77777777" w:rsidR="00FC752D" w:rsidRPr="00BC4AFE" w:rsidRDefault="00FC752D" w:rsidP="006211D7">
            <w:pPr>
              <w:widowControl w:val="0"/>
              <w:ind w:right="144"/>
              <w:jc w:val="right"/>
              <w:rPr>
                <w:sz w:val="18"/>
                <w:szCs w:val="18"/>
              </w:rPr>
            </w:pPr>
            <w:r w:rsidRPr="00BC4AFE">
              <w:rPr>
                <w:sz w:val="18"/>
                <w:szCs w:val="18"/>
              </w:rPr>
              <w:t>211,482</w:t>
            </w:r>
          </w:p>
        </w:tc>
        <w:tc>
          <w:tcPr>
            <w:tcW w:w="1171" w:type="dxa"/>
            <w:shd w:val="clear" w:color="auto" w:fill="auto"/>
            <w:noWrap/>
            <w:vAlign w:val="center"/>
            <w:hideMark/>
          </w:tcPr>
          <w:p w14:paraId="38900F83" w14:textId="77777777" w:rsidR="00FC752D" w:rsidRPr="00BC4AFE" w:rsidRDefault="00FC752D" w:rsidP="006211D7">
            <w:pPr>
              <w:widowControl w:val="0"/>
              <w:ind w:right="144"/>
              <w:jc w:val="right"/>
              <w:rPr>
                <w:sz w:val="18"/>
                <w:szCs w:val="18"/>
              </w:rPr>
            </w:pPr>
            <w:r w:rsidRPr="00BC4AFE">
              <w:rPr>
                <w:sz w:val="18"/>
                <w:szCs w:val="18"/>
              </w:rPr>
              <w:t>404,293</w:t>
            </w:r>
          </w:p>
        </w:tc>
      </w:tr>
      <w:tr w:rsidR="00FC752D" w:rsidRPr="00BC4AFE" w14:paraId="4A89F2BC" w14:textId="77777777" w:rsidTr="00A60395">
        <w:trPr>
          <w:cantSplit/>
          <w:trHeight w:val="245"/>
        </w:trPr>
        <w:tc>
          <w:tcPr>
            <w:tcW w:w="3605" w:type="dxa"/>
            <w:shd w:val="clear" w:color="auto" w:fill="auto"/>
            <w:vAlign w:val="center"/>
            <w:hideMark/>
          </w:tcPr>
          <w:p w14:paraId="3BFEF348" w14:textId="77777777" w:rsidR="00FC752D" w:rsidRPr="00BC4AFE" w:rsidRDefault="00FC752D" w:rsidP="006211D7">
            <w:pPr>
              <w:widowControl w:val="0"/>
              <w:ind w:left="144" w:hanging="144"/>
              <w:rPr>
                <w:sz w:val="18"/>
                <w:szCs w:val="18"/>
              </w:rPr>
            </w:pPr>
            <w:r w:rsidRPr="00BC4AFE">
              <w:rPr>
                <w:sz w:val="18"/>
                <w:szCs w:val="18"/>
              </w:rPr>
              <w:t>Senegal</w:t>
            </w:r>
          </w:p>
        </w:tc>
        <w:tc>
          <w:tcPr>
            <w:tcW w:w="1182" w:type="dxa"/>
            <w:shd w:val="clear" w:color="auto" w:fill="auto"/>
            <w:vAlign w:val="center"/>
            <w:hideMark/>
          </w:tcPr>
          <w:p w14:paraId="3EC7EA79"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hideMark/>
          </w:tcPr>
          <w:p w14:paraId="167AEB37"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049E6CDC"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hideMark/>
          </w:tcPr>
          <w:p w14:paraId="4CC2D929"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hideMark/>
          </w:tcPr>
          <w:p w14:paraId="6A11DE4C"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7B275B4C" w14:textId="77777777" w:rsidTr="00A60395">
        <w:trPr>
          <w:cantSplit/>
          <w:trHeight w:val="245"/>
        </w:trPr>
        <w:tc>
          <w:tcPr>
            <w:tcW w:w="3605" w:type="dxa"/>
            <w:tcBorders>
              <w:right w:val="single" w:sz="4" w:space="0" w:color="auto"/>
            </w:tcBorders>
            <w:shd w:val="clear" w:color="auto" w:fill="auto"/>
            <w:vAlign w:val="center"/>
            <w:hideMark/>
          </w:tcPr>
          <w:p w14:paraId="2931EA12" w14:textId="77777777" w:rsidR="00FC752D" w:rsidRPr="00BC4AFE" w:rsidRDefault="00FC752D" w:rsidP="006211D7">
            <w:pPr>
              <w:widowControl w:val="0"/>
              <w:ind w:left="144" w:hanging="144"/>
              <w:rPr>
                <w:sz w:val="18"/>
                <w:szCs w:val="18"/>
              </w:rPr>
            </w:pPr>
            <w:r w:rsidRPr="00BC4AFE">
              <w:rPr>
                <w:sz w:val="18"/>
                <w:szCs w:val="18"/>
              </w:rPr>
              <w:t>Serbia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6ADC" w14:textId="77777777" w:rsidR="00FC752D" w:rsidRPr="00BC4AFE" w:rsidRDefault="00FC752D" w:rsidP="006211D7">
            <w:pPr>
              <w:widowControl w:val="0"/>
              <w:ind w:right="144"/>
              <w:jc w:val="right"/>
              <w:rPr>
                <w:sz w:val="18"/>
                <w:szCs w:val="18"/>
              </w:rPr>
            </w:pPr>
            <w:r w:rsidRPr="00BC4AFE">
              <w:rPr>
                <w:sz w:val="18"/>
                <w:szCs w:val="18"/>
              </w:rPr>
              <w:t>0.032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6E37" w14:textId="77777777" w:rsidR="00FC752D" w:rsidRPr="00BC4AFE" w:rsidRDefault="00FC752D" w:rsidP="006211D7">
            <w:pPr>
              <w:widowControl w:val="0"/>
              <w:ind w:right="144"/>
              <w:jc w:val="right"/>
              <w:rPr>
                <w:sz w:val="18"/>
                <w:szCs w:val="18"/>
              </w:rPr>
            </w:pPr>
            <w:r w:rsidRPr="00BC4AFE">
              <w:rPr>
                <w:sz w:val="18"/>
                <w:szCs w:val="18"/>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E3DC" w14:textId="77777777" w:rsidR="00FC752D" w:rsidRPr="00BC4AFE" w:rsidRDefault="00FC752D" w:rsidP="006211D7">
            <w:pPr>
              <w:widowControl w:val="0"/>
              <w:ind w:right="144"/>
              <w:jc w:val="right"/>
              <w:rPr>
                <w:sz w:val="18"/>
                <w:szCs w:val="18"/>
              </w:rPr>
            </w:pPr>
            <w:r w:rsidRPr="00BC4AFE">
              <w:rPr>
                <w:sz w:val="18"/>
                <w:szCs w:val="18"/>
              </w:rPr>
              <w:t>5,211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4B63" w14:textId="77777777" w:rsidR="00FC752D" w:rsidRPr="00BC4AFE" w:rsidRDefault="00FC752D" w:rsidP="006211D7">
            <w:pPr>
              <w:widowControl w:val="0"/>
              <w:ind w:right="144"/>
              <w:jc w:val="right"/>
              <w:rPr>
                <w:sz w:val="18"/>
                <w:szCs w:val="18"/>
              </w:rPr>
            </w:pPr>
            <w:r w:rsidRPr="00BC4AFE">
              <w:rPr>
                <w:sz w:val="18"/>
                <w:szCs w:val="18"/>
              </w:rPr>
              <w:t>5,716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D97C" w14:textId="77777777" w:rsidR="00FC752D" w:rsidRPr="00BC4AFE" w:rsidRDefault="00FC752D" w:rsidP="006211D7">
            <w:pPr>
              <w:widowControl w:val="0"/>
              <w:ind w:right="144"/>
              <w:jc w:val="right"/>
              <w:rPr>
                <w:sz w:val="18"/>
                <w:szCs w:val="18"/>
              </w:rPr>
            </w:pPr>
            <w:r w:rsidRPr="00BC4AFE">
              <w:rPr>
                <w:sz w:val="18"/>
                <w:szCs w:val="18"/>
              </w:rPr>
              <w:t>10,927</w:t>
            </w:r>
          </w:p>
        </w:tc>
      </w:tr>
      <w:tr w:rsidR="00FC752D" w:rsidRPr="00BC4AFE" w14:paraId="01B4196D" w14:textId="77777777" w:rsidTr="00A60395">
        <w:trPr>
          <w:cantSplit/>
          <w:trHeight w:val="245"/>
        </w:trPr>
        <w:tc>
          <w:tcPr>
            <w:tcW w:w="3605" w:type="dxa"/>
            <w:tcBorders>
              <w:right w:val="single" w:sz="4" w:space="0" w:color="auto"/>
            </w:tcBorders>
            <w:shd w:val="clear" w:color="auto" w:fill="auto"/>
            <w:vAlign w:val="center"/>
            <w:hideMark/>
          </w:tcPr>
          <w:p w14:paraId="2FE674B0" w14:textId="77777777" w:rsidR="00FC752D" w:rsidRPr="00BC4AFE" w:rsidRDefault="00FC752D" w:rsidP="006211D7">
            <w:pPr>
              <w:widowControl w:val="0"/>
              <w:ind w:left="144" w:hanging="144"/>
              <w:rPr>
                <w:sz w:val="18"/>
                <w:szCs w:val="18"/>
              </w:rPr>
            </w:pPr>
            <w:r w:rsidRPr="00BC4AFE">
              <w:rPr>
                <w:sz w:val="18"/>
                <w:szCs w:val="18"/>
              </w:rPr>
              <w:t>Seychelles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74401"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9975"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CEBC"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C2BC"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883B"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73847A6C" w14:textId="77777777" w:rsidTr="00A60395">
        <w:trPr>
          <w:cantSplit/>
          <w:trHeight w:val="245"/>
        </w:trPr>
        <w:tc>
          <w:tcPr>
            <w:tcW w:w="3605" w:type="dxa"/>
            <w:tcBorders>
              <w:right w:val="single" w:sz="4" w:space="0" w:color="auto"/>
            </w:tcBorders>
            <w:shd w:val="clear" w:color="auto" w:fill="auto"/>
            <w:vAlign w:val="center"/>
            <w:hideMark/>
          </w:tcPr>
          <w:p w14:paraId="754023D7" w14:textId="77777777" w:rsidR="00FC752D" w:rsidRPr="00BC4AFE" w:rsidRDefault="00FC752D" w:rsidP="006211D7">
            <w:pPr>
              <w:widowControl w:val="0"/>
              <w:ind w:left="144" w:hanging="144"/>
              <w:rPr>
                <w:sz w:val="18"/>
                <w:szCs w:val="18"/>
              </w:rPr>
            </w:pPr>
            <w:r w:rsidRPr="00BC4AFE">
              <w:rPr>
                <w:sz w:val="18"/>
                <w:szCs w:val="18"/>
              </w:rPr>
              <w:t>Sierra Leone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E69F"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2160"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41E1"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450E"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E0EA3"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24FEEE79" w14:textId="77777777" w:rsidTr="00A60395">
        <w:trPr>
          <w:cantSplit/>
          <w:trHeight w:val="245"/>
        </w:trPr>
        <w:tc>
          <w:tcPr>
            <w:tcW w:w="3605" w:type="dxa"/>
            <w:tcBorders>
              <w:right w:val="single" w:sz="4" w:space="0" w:color="auto"/>
            </w:tcBorders>
            <w:shd w:val="clear" w:color="auto" w:fill="auto"/>
            <w:vAlign w:val="center"/>
            <w:hideMark/>
          </w:tcPr>
          <w:p w14:paraId="3C598123" w14:textId="77777777" w:rsidR="00FC752D" w:rsidRPr="00BC4AFE" w:rsidRDefault="00FC752D" w:rsidP="006211D7">
            <w:pPr>
              <w:widowControl w:val="0"/>
              <w:ind w:left="144" w:hanging="144"/>
              <w:rPr>
                <w:sz w:val="18"/>
                <w:szCs w:val="18"/>
              </w:rPr>
            </w:pPr>
            <w:r w:rsidRPr="00BC4AFE">
              <w:rPr>
                <w:sz w:val="18"/>
                <w:szCs w:val="18"/>
              </w:rPr>
              <w:t>Singapore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BF7F3" w14:textId="77777777" w:rsidR="00FC752D" w:rsidRPr="00BC4AFE" w:rsidRDefault="00FC752D" w:rsidP="006211D7">
            <w:pPr>
              <w:widowControl w:val="0"/>
              <w:ind w:right="144"/>
              <w:jc w:val="right"/>
              <w:rPr>
                <w:sz w:val="18"/>
                <w:szCs w:val="18"/>
              </w:rPr>
            </w:pPr>
            <w:r w:rsidRPr="00BC4AFE">
              <w:rPr>
                <w:sz w:val="18"/>
                <w:szCs w:val="18"/>
              </w:rPr>
              <w:t>0.504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161E" w14:textId="77777777" w:rsidR="00FC752D" w:rsidRPr="00BC4AFE" w:rsidRDefault="00FC752D" w:rsidP="006211D7">
            <w:pPr>
              <w:widowControl w:val="0"/>
              <w:ind w:right="144"/>
              <w:jc w:val="right"/>
              <w:rPr>
                <w:sz w:val="18"/>
                <w:szCs w:val="18"/>
              </w:rPr>
            </w:pPr>
            <w:r w:rsidRPr="00BC4AFE">
              <w:rPr>
                <w:sz w:val="18"/>
                <w:szCs w:val="18"/>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6BDE" w14:textId="77777777" w:rsidR="00FC752D" w:rsidRPr="00BC4AFE" w:rsidRDefault="00FC752D" w:rsidP="006211D7">
            <w:pPr>
              <w:widowControl w:val="0"/>
              <w:ind w:right="144"/>
              <w:jc w:val="right"/>
              <w:rPr>
                <w:sz w:val="18"/>
                <w:szCs w:val="18"/>
              </w:rPr>
            </w:pPr>
            <w:r w:rsidRPr="00BC4AFE">
              <w:rPr>
                <w:sz w:val="18"/>
                <w:szCs w:val="18"/>
              </w:rPr>
              <w:t>82,075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FDDD" w14:textId="77777777" w:rsidR="00FC752D" w:rsidRPr="00BC4AFE" w:rsidRDefault="00FC752D" w:rsidP="006211D7">
            <w:pPr>
              <w:widowControl w:val="0"/>
              <w:ind w:right="144"/>
              <w:jc w:val="right"/>
              <w:rPr>
                <w:sz w:val="18"/>
                <w:szCs w:val="18"/>
              </w:rPr>
            </w:pPr>
            <w:r w:rsidRPr="00BC4AFE">
              <w:rPr>
                <w:sz w:val="18"/>
                <w:szCs w:val="18"/>
              </w:rPr>
              <w:t>90,023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D56F" w14:textId="77777777" w:rsidR="00FC752D" w:rsidRPr="00BC4AFE" w:rsidRDefault="00FC752D" w:rsidP="006211D7">
            <w:pPr>
              <w:widowControl w:val="0"/>
              <w:ind w:right="144"/>
              <w:jc w:val="right"/>
              <w:rPr>
                <w:sz w:val="18"/>
                <w:szCs w:val="18"/>
              </w:rPr>
            </w:pPr>
            <w:r w:rsidRPr="00BC4AFE">
              <w:rPr>
                <w:sz w:val="18"/>
                <w:szCs w:val="18"/>
              </w:rPr>
              <w:t>172,098</w:t>
            </w:r>
          </w:p>
        </w:tc>
      </w:tr>
      <w:tr w:rsidR="00FC752D" w:rsidRPr="00BC4AFE" w14:paraId="133D5117" w14:textId="77777777" w:rsidTr="00A60395">
        <w:trPr>
          <w:cantSplit/>
          <w:trHeight w:val="245"/>
        </w:trPr>
        <w:tc>
          <w:tcPr>
            <w:tcW w:w="3605" w:type="dxa"/>
            <w:tcBorders>
              <w:right w:val="single" w:sz="4" w:space="0" w:color="auto"/>
            </w:tcBorders>
            <w:shd w:val="clear" w:color="auto" w:fill="auto"/>
            <w:vAlign w:val="center"/>
            <w:hideMark/>
          </w:tcPr>
          <w:p w14:paraId="630F680E" w14:textId="77777777" w:rsidR="00FC752D" w:rsidRPr="00BC4AFE" w:rsidRDefault="00FC752D" w:rsidP="006211D7">
            <w:pPr>
              <w:widowControl w:val="0"/>
              <w:ind w:left="144" w:hanging="144"/>
              <w:rPr>
                <w:sz w:val="18"/>
                <w:szCs w:val="18"/>
              </w:rPr>
            </w:pPr>
            <w:r w:rsidRPr="00BC4AFE">
              <w:rPr>
                <w:sz w:val="18"/>
                <w:szCs w:val="18"/>
              </w:rPr>
              <w:t>Slovakia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C198" w14:textId="77777777" w:rsidR="00FC752D" w:rsidRPr="00BC4AFE" w:rsidRDefault="00FC752D" w:rsidP="006211D7">
            <w:pPr>
              <w:widowControl w:val="0"/>
              <w:ind w:right="144"/>
              <w:jc w:val="right"/>
              <w:rPr>
                <w:sz w:val="18"/>
                <w:szCs w:val="18"/>
              </w:rPr>
            </w:pPr>
            <w:r w:rsidRPr="00BC4AFE">
              <w:rPr>
                <w:sz w:val="18"/>
                <w:szCs w:val="18"/>
              </w:rPr>
              <w:t>0.155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ABC42" w14:textId="77777777" w:rsidR="00FC752D" w:rsidRPr="00BC4AFE" w:rsidRDefault="00FC752D" w:rsidP="006211D7">
            <w:pPr>
              <w:widowControl w:val="0"/>
              <w:ind w:right="144"/>
              <w:jc w:val="right"/>
              <w:rPr>
                <w:sz w:val="18"/>
                <w:szCs w:val="18"/>
              </w:rPr>
            </w:pPr>
            <w:r w:rsidRPr="00BC4AFE">
              <w:rPr>
                <w:sz w:val="18"/>
                <w:szCs w:val="18"/>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1A3B" w14:textId="77777777" w:rsidR="00FC752D" w:rsidRPr="00BC4AFE" w:rsidRDefault="00FC752D" w:rsidP="006211D7">
            <w:pPr>
              <w:widowControl w:val="0"/>
              <w:ind w:right="144"/>
              <w:jc w:val="right"/>
              <w:rPr>
                <w:sz w:val="18"/>
                <w:szCs w:val="18"/>
              </w:rPr>
            </w:pPr>
            <w:r w:rsidRPr="00BC4AFE">
              <w:rPr>
                <w:sz w:val="18"/>
                <w:szCs w:val="18"/>
              </w:rPr>
              <w:t>25,241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BEC47" w14:textId="77777777" w:rsidR="00FC752D" w:rsidRPr="00BC4AFE" w:rsidRDefault="00FC752D" w:rsidP="006211D7">
            <w:pPr>
              <w:widowControl w:val="0"/>
              <w:ind w:right="144"/>
              <w:jc w:val="right"/>
              <w:rPr>
                <w:sz w:val="18"/>
                <w:szCs w:val="18"/>
              </w:rPr>
            </w:pPr>
            <w:r w:rsidRPr="00BC4AFE">
              <w:rPr>
                <w:sz w:val="18"/>
                <w:szCs w:val="18"/>
              </w:rPr>
              <w:t>27,686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2507" w14:textId="77777777" w:rsidR="00FC752D" w:rsidRPr="00BC4AFE" w:rsidRDefault="00FC752D" w:rsidP="006211D7">
            <w:pPr>
              <w:widowControl w:val="0"/>
              <w:ind w:right="144"/>
              <w:jc w:val="right"/>
              <w:rPr>
                <w:sz w:val="18"/>
                <w:szCs w:val="18"/>
              </w:rPr>
            </w:pPr>
            <w:r w:rsidRPr="00BC4AFE">
              <w:rPr>
                <w:sz w:val="18"/>
                <w:szCs w:val="18"/>
              </w:rPr>
              <w:t>52,927</w:t>
            </w:r>
          </w:p>
        </w:tc>
      </w:tr>
      <w:tr w:rsidR="00FC752D" w:rsidRPr="00BC4AFE" w14:paraId="1DCAD8E8" w14:textId="77777777" w:rsidTr="00A60395">
        <w:trPr>
          <w:cantSplit/>
          <w:trHeight w:val="245"/>
        </w:trPr>
        <w:tc>
          <w:tcPr>
            <w:tcW w:w="3605" w:type="dxa"/>
            <w:tcBorders>
              <w:right w:val="single" w:sz="4" w:space="0" w:color="auto"/>
            </w:tcBorders>
            <w:shd w:val="clear" w:color="auto" w:fill="auto"/>
            <w:vAlign w:val="center"/>
            <w:hideMark/>
          </w:tcPr>
          <w:p w14:paraId="325CA723" w14:textId="77777777" w:rsidR="00FC752D" w:rsidRPr="00BC4AFE" w:rsidRDefault="00FC752D" w:rsidP="006211D7">
            <w:pPr>
              <w:widowControl w:val="0"/>
              <w:ind w:left="144" w:hanging="144"/>
              <w:rPr>
                <w:sz w:val="18"/>
                <w:szCs w:val="18"/>
              </w:rPr>
            </w:pPr>
            <w:r w:rsidRPr="00BC4AFE">
              <w:rPr>
                <w:sz w:val="18"/>
                <w:szCs w:val="18"/>
              </w:rPr>
              <w:t>Slovenia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4C401" w14:textId="77777777" w:rsidR="00FC752D" w:rsidRPr="00BC4AFE" w:rsidRDefault="00FC752D" w:rsidP="006211D7">
            <w:pPr>
              <w:widowControl w:val="0"/>
              <w:ind w:right="144"/>
              <w:jc w:val="right"/>
              <w:rPr>
                <w:sz w:val="18"/>
                <w:szCs w:val="18"/>
              </w:rPr>
            </w:pPr>
            <w:r w:rsidRPr="00BC4AFE">
              <w:rPr>
                <w:sz w:val="18"/>
                <w:szCs w:val="18"/>
              </w:rPr>
              <w:t>0.079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2F7C" w14:textId="77777777" w:rsidR="00FC752D" w:rsidRPr="00BC4AFE" w:rsidRDefault="00FC752D" w:rsidP="006211D7">
            <w:pPr>
              <w:widowControl w:val="0"/>
              <w:ind w:right="144"/>
              <w:jc w:val="right"/>
              <w:rPr>
                <w:sz w:val="18"/>
                <w:szCs w:val="18"/>
              </w:rPr>
            </w:pPr>
            <w:r w:rsidRPr="00BC4AFE">
              <w:rPr>
                <w:sz w:val="18"/>
                <w:szCs w:val="18"/>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A68B6" w14:textId="77777777" w:rsidR="00FC752D" w:rsidRPr="00BC4AFE" w:rsidRDefault="00FC752D" w:rsidP="006211D7">
            <w:pPr>
              <w:widowControl w:val="0"/>
              <w:ind w:right="144"/>
              <w:jc w:val="right"/>
              <w:rPr>
                <w:sz w:val="18"/>
                <w:szCs w:val="18"/>
              </w:rPr>
            </w:pPr>
            <w:r w:rsidRPr="00BC4AFE">
              <w:rPr>
                <w:sz w:val="18"/>
                <w:szCs w:val="18"/>
              </w:rPr>
              <w:t>12,865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DE97" w14:textId="77777777" w:rsidR="00FC752D" w:rsidRPr="00BC4AFE" w:rsidRDefault="00FC752D" w:rsidP="006211D7">
            <w:pPr>
              <w:widowControl w:val="0"/>
              <w:ind w:right="144"/>
              <w:jc w:val="right"/>
              <w:rPr>
                <w:sz w:val="18"/>
                <w:szCs w:val="18"/>
              </w:rPr>
            </w:pPr>
            <w:r w:rsidRPr="00BC4AFE">
              <w:rPr>
                <w:sz w:val="18"/>
                <w:szCs w:val="18"/>
              </w:rPr>
              <w:t>14,111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23D7" w14:textId="77777777" w:rsidR="00FC752D" w:rsidRPr="00BC4AFE" w:rsidRDefault="00FC752D" w:rsidP="006211D7">
            <w:pPr>
              <w:widowControl w:val="0"/>
              <w:ind w:right="144"/>
              <w:jc w:val="right"/>
              <w:rPr>
                <w:sz w:val="18"/>
                <w:szCs w:val="18"/>
              </w:rPr>
            </w:pPr>
            <w:r w:rsidRPr="00BC4AFE">
              <w:rPr>
                <w:sz w:val="18"/>
                <w:szCs w:val="18"/>
              </w:rPr>
              <w:t>26,976</w:t>
            </w:r>
          </w:p>
        </w:tc>
      </w:tr>
      <w:tr w:rsidR="00FC752D" w:rsidRPr="00BC4AFE" w14:paraId="0EA037E2" w14:textId="77777777" w:rsidTr="00A60395">
        <w:trPr>
          <w:cantSplit/>
          <w:trHeight w:val="245"/>
        </w:trPr>
        <w:tc>
          <w:tcPr>
            <w:tcW w:w="3605" w:type="dxa"/>
            <w:tcBorders>
              <w:right w:val="single" w:sz="4" w:space="0" w:color="auto"/>
            </w:tcBorders>
            <w:shd w:val="clear" w:color="auto" w:fill="auto"/>
            <w:vAlign w:val="center"/>
            <w:hideMark/>
          </w:tcPr>
          <w:p w14:paraId="09F0020B" w14:textId="77777777" w:rsidR="00FC752D" w:rsidRPr="00BC4AFE" w:rsidRDefault="00FC752D" w:rsidP="006211D7">
            <w:pPr>
              <w:widowControl w:val="0"/>
              <w:ind w:left="144" w:hanging="144"/>
              <w:rPr>
                <w:sz w:val="18"/>
                <w:szCs w:val="18"/>
              </w:rPr>
            </w:pPr>
            <w:r w:rsidRPr="00BC4AFE">
              <w:rPr>
                <w:sz w:val="18"/>
                <w:szCs w:val="18"/>
              </w:rPr>
              <w:t>Solomon Islands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1797"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F385"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EBDD"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601E"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28C6"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0DC4C4A" w14:textId="77777777" w:rsidTr="00A60395">
        <w:trPr>
          <w:cantSplit/>
          <w:trHeight w:val="245"/>
        </w:trPr>
        <w:tc>
          <w:tcPr>
            <w:tcW w:w="3605" w:type="dxa"/>
            <w:tcBorders>
              <w:right w:val="single" w:sz="4" w:space="0" w:color="auto"/>
            </w:tcBorders>
            <w:shd w:val="clear" w:color="auto" w:fill="auto"/>
            <w:vAlign w:val="center"/>
            <w:hideMark/>
          </w:tcPr>
          <w:p w14:paraId="338C87A2" w14:textId="77777777" w:rsidR="00FC752D" w:rsidRPr="00BC4AFE" w:rsidRDefault="00FC752D" w:rsidP="006211D7">
            <w:pPr>
              <w:widowControl w:val="0"/>
              <w:ind w:left="144" w:hanging="144"/>
              <w:rPr>
                <w:sz w:val="18"/>
                <w:szCs w:val="18"/>
              </w:rPr>
            </w:pPr>
            <w:r w:rsidRPr="00BC4AFE">
              <w:rPr>
                <w:sz w:val="18"/>
                <w:szCs w:val="18"/>
              </w:rPr>
              <w:t>Somalia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23F9"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E44A"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EED1C"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1952"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49F0"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7C33657" w14:textId="77777777" w:rsidTr="00A60395">
        <w:trPr>
          <w:cantSplit/>
          <w:trHeight w:val="245"/>
        </w:trPr>
        <w:tc>
          <w:tcPr>
            <w:tcW w:w="3605" w:type="dxa"/>
            <w:tcBorders>
              <w:right w:val="single" w:sz="4" w:space="0" w:color="auto"/>
            </w:tcBorders>
            <w:shd w:val="clear" w:color="auto" w:fill="auto"/>
            <w:vAlign w:val="center"/>
            <w:hideMark/>
          </w:tcPr>
          <w:p w14:paraId="1E676D08" w14:textId="77777777" w:rsidR="00FC752D" w:rsidRPr="00BC4AFE" w:rsidRDefault="00FC752D" w:rsidP="006211D7">
            <w:pPr>
              <w:widowControl w:val="0"/>
              <w:ind w:left="144" w:hanging="144"/>
              <w:rPr>
                <w:sz w:val="18"/>
                <w:szCs w:val="18"/>
              </w:rPr>
            </w:pPr>
            <w:r w:rsidRPr="00BC4AFE">
              <w:rPr>
                <w:sz w:val="18"/>
                <w:szCs w:val="18"/>
              </w:rPr>
              <w:t>South Africa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7D97" w14:textId="77777777" w:rsidR="00FC752D" w:rsidRPr="00BC4AFE" w:rsidRDefault="00FC752D" w:rsidP="006211D7">
            <w:pPr>
              <w:widowControl w:val="0"/>
              <w:ind w:right="144"/>
              <w:jc w:val="right"/>
              <w:rPr>
                <w:sz w:val="18"/>
                <w:szCs w:val="18"/>
              </w:rPr>
            </w:pPr>
            <w:r w:rsidRPr="00BC4AFE">
              <w:rPr>
                <w:sz w:val="18"/>
                <w:szCs w:val="18"/>
              </w:rPr>
              <w:t>0.244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B2E2" w14:textId="77777777" w:rsidR="00FC752D" w:rsidRPr="00BC4AFE" w:rsidRDefault="00FC752D" w:rsidP="006211D7">
            <w:pPr>
              <w:widowControl w:val="0"/>
              <w:ind w:right="144"/>
              <w:jc w:val="right"/>
              <w:rPr>
                <w:sz w:val="18"/>
                <w:szCs w:val="18"/>
              </w:rPr>
            </w:pPr>
            <w:r w:rsidRPr="00BC4AFE">
              <w:rPr>
                <w:sz w:val="18"/>
                <w:szCs w:val="18"/>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3999" w14:textId="77777777" w:rsidR="00FC752D" w:rsidRPr="00BC4AFE" w:rsidRDefault="00FC752D" w:rsidP="006211D7">
            <w:pPr>
              <w:widowControl w:val="0"/>
              <w:ind w:right="144"/>
              <w:jc w:val="right"/>
              <w:rPr>
                <w:sz w:val="18"/>
                <w:szCs w:val="18"/>
              </w:rPr>
            </w:pPr>
            <w:r w:rsidRPr="00BC4AFE">
              <w:rPr>
                <w:sz w:val="18"/>
                <w:szCs w:val="18"/>
              </w:rPr>
              <w:t>39,735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4D5E" w14:textId="77777777" w:rsidR="00FC752D" w:rsidRPr="00BC4AFE" w:rsidRDefault="00FC752D" w:rsidP="006211D7">
            <w:pPr>
              <w:widowControl w:val="0"/>
              <w:ind w:right="144"/>
              <w:jc w:val="right"/>
              <w:rPr>
                <w:sz w:val="18"/>
                <w:szCs w:val="18"/>
              </w:rPr>
            </w:pPr>
            <w:r w:rsidRPr="00BC4AFE">
              <w:rPr>
                <w:sz w:val="18"/>
                <w:szCs w:val="18"/>
              </w:rPr>
              <w:t>43,582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1DE1F" w14:textId="77777777" w:rsidR="00FC752D" w:rsidRPr="00BC4AFE" w:rsidRDefault="00FC752D" w:rsidP="006211D7">
            <w:pPr>
              <w:widowControl w:val="0"/>
              <w:ind w:right="144"/>
              <w:jc w:val="right"/>
              <w:rPr>
                <w:sz w:val="18"/>
                <w:szCs w:val="18"/>
              </w:rPr>
            </w:pPr>
            <w:r w:rsidRPr="00BC4AFE">
              <w:rPr>
                <w:sz w:val="18"/>
                <w:szCs w:val="18"/>
              </w:rPr>
              <w:t>83,317</w:t>
            </w:r>
          </w:p>
        </w:tc>
      </w:tr>
      <w:tr w:rsidR="00FC752D" w:rsidRPr="00BC4AFE" w14:paraId="5C7A9ADA" w14:textId="77777777" w:rsidTr="00A60395">
        <w:trPr>
          <w:cantSplit/>
          <w:trHeight w:val="245"/>
        </w:trPr>
        <w:tc>
          <w:tcPr>
            <w:tcW w:w="3605" w:type="dxa"/>
            <w:tcBorders>
              <w:right w:val="single" w:sz="4" w:space="0" w:color="auto"/>
            </w:tcBorders>
            <w:shd w:val="clear" w:color="auto" w:fill="auto"/>
            <w:vAlign w:val="center"/>
            <w:hideMark/>
          </w:tcPr>
          <w:p w14:paraId="67084A5F" w14:textId="77777777" w:rsidR="00FC752D" w:rsidRPr="00BC4AFE" w:rsidRDefault="00FC752D" w:rsidP="006211D7">
            <w:pPr>
              <w:widowControl w:val="0"/>
              <w:ind w:left="144" w:hanging="144"/>
              <w:rPr>
                <w:sz w:val="18"/>
                <w:szCs w:val="18"/>
              </w:rPr>
            </w:pPr>
            <w:r w:rsidRPr="00BC4AFE">
              <w:rPr>
                <w:sz w:val="18"/>
                <w:szCs w:val="18"/>
              </w:rPr>
              <w:t>South Sudan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0324"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753BF"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8DCC"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828F"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6B50"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678B68FC" w14:textId="77777777" w:rsidTr="00A60395">
        <w:trPr>
          <w:cantSplit/>
          <w:trHeight w:val="245"/>
        </w:trPr>
        <w:tc>
          <w:tcPr>
            <w:tcW w:w="3605" w:type="dxa"/>
            <w:tcBorders>
              <w:right w:val="single" w:sz="4" w:space="0" w:color="auto"/>
            </w:tcBorders>
            <w:shd w:val="clear" w:color="auto" w:fill="auto"/>
            <w:vAlign w:val="center"/>
            <w:hideMark/>
          </w:tcPr>
          <w:p w14:paraId="66937F46" w14:textId="77777777" w:rsidR="00FC752D" w:rsidRPr="00BC4AFE" w:rsidRDefault="00FC752D" w:rsidP="006211D7">
            <w:pPr>
              <w:widowControl w:val="0"/>
              <w:ind w:left="144" w:hanging="144"/>
              <w:rPr>
                <w:sz w:val="18"/>
                <w:szCs w:val="18"/>
              </w:rPr>
            </w:pPr>
            <w:r w:rsidRPr="00BC4AFE">
              <w:rPr>
                <w:sz w:val="18"/>
                <w:szCs w:val="18"/>
              </w:rPr>
              <w:t>Spain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97B7" w14:textId="77777777" w:rsidR="00FC752D" w:rsidRPr="00BC4AFE" w:rsidRDefault="00FC752D" w:rsidP="006211D7">
            <w:pPr>
              <w:widowControl w:val="0"/>
              <w:ind w:right="144"/>
              <w:jc w:val="right"/>
              <w:rPr>
                <w:sz w:val="18"/>
                <w:szCs w:val="18"/>
              </w:rPr>
            </w:pPr>
            <w:r w:rsidRPr="00BC4AFE">
              <w:rPr>
                <w:sz w:val="18"/>
                <w:szCs w:val="18"/>
              </w:rPr>
              <w:t>2.134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27EA" w14:textId="77777777" w:rsidR="00FC752D" w:rsidRPr="00BC4AFE" w:rsidRDefault="00FC752D" w:rsidP="006211D7">
            <w:pPr>
              <w:widowControl w:val="0"/>
              <w:ind w:right="144"/>
              <w:jc w:val="right"/>
              <w:rPr>
                <w:sz w:val="18"/>
                <w:szCs w:val="18"/>
              </w:rPr>
            </w:pPr>
            <w:r w:rsidRPr="00BC4AFE">
              <w:rPr>
                <w:sz w:val="18"/>
                <w:szCs w:val="18"/>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0D14" w14:textId="77777777" w:rsidR="00FC752D" w:rsidRPr="00BC4AFE" w:rsidRDefault="00FC752D" w:rsidP="006211D7">
            <w:pPr>
              <w:widowControl w:val="0"/>
              <w:ind w:right="144"/>
              <w:jc w:val="right"/>
              <w:rPr>
                <w:sz w:val="18"/>
                <w:szCs w:val="18"/>
              </w:rPr>
            </w:pPr>
            <w:r w:rsidRPr="00BC4AFE">
              <w:rPr>
                <w:sz w:val="18"/>
                <w:szCs w:val="18"/>
              </w:rPr>
              <w:t>347,516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9A6A2" w14:textId="77777777" w:rsidR="00FC752D" w:rsidRPr="00BC4AFE" w:rsidRDefault="00FC752D" w:rsidP="006211D7">
            <w:pPr>
              <w:widowControl w:val="0"/>
              <w:ind w:right="144"/>
              <w:jc w:val="right"/>
              <w:rPr>
                <w:sz w:val="18"/>
                <w:szCs w:val="18"/>
              </w:rPr>
            </w:pPr>
            <w:r w:rsidRPr="00BC4AFE">
              <w:rPr>
                <w:sz w:val="18"/>
                <w:szCs w:val="18"/>
              </w:rPr>
              <w:t>381,168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841E" w14:textId="77777777" w:rsidR="00FC752D" w:rsidRPr="00BC4AFE" w:rsidRDefault="00FC752D" w:rsidP="006211D7">
            <w:pPr>
              <w:widowControl w:val="0"/>
              <w:ind w:right="144"/>
              <w:jc w:val="right"/>
              <w:rPr>
                <w:sz w:val="18"/>
                <w:szCs w:val="18"/>
              </w:rPr>
            </w:pPr>
            <w:r w:rsidRPr="00BC4AFE">
              <w:rPr>
                <w:sz w:val="18"/>
                <w:szCs w:val="18"/>
              </w:rPr>
              <w:t>728,684</w:t>
            </w:r>
          </w:p>
        </w:tc>
      </w:tr>
      <w:tr w:rsidR="00FC752D" w:rsidRPr="00BC4AFE" w14:paraId="02A173EC" w14:textId="77777777" w:rsidTr="00A60395">
        <w:trPr>
          <w:cantSplit/>
          <w:trHeight w:val="245"/>
        </w:trPr>
        <w:tc>
          <w:tcPr>
            <w:tcW w:w="3605" w:type="dxa"/>
            <w:tcBorders>
              <w:right w:val="single" w:sz="4" w:space="0" w:color="auto"/>
            </w:tcBorders>
            <w:shd w:val="clear" w:color="auto" w:fill="auto"/>
            <w:vAlign w:val="center"/>
            <w:hideMark/>
          </w:tcPr>
          <w:p w14:paraId="6A476F93" w14:textId="77777777" w:rsidR="00FC752D" w:rsidRPr="00BC4AFE" w:rsidRDefault="00FC752D" w:rsidP="006211D7">
            <w:pPr>
              <w:widowControl w:val="0"/>
              <w:ind w:left="144" w:hanging="144"/>
              <w:rPr>
                <w:sz w:val="18"/>
                <w:szCs w:val="18"/>
              </w:rPr>
            </w:pPr>
            <w:r w:rsidRPr="00BC4AFE">
              <w:rPr>
                <w:sz w:val="18"/>
                <w:szCs w:val="18"/>
              </w:rPr>
              <w:t>Sri Lanka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470C" w14:textId="77777777" w:rsidR="00FC752D" w:rsidRPr="00BC4AFE" w:rsidRDefault="00FC752D" w:rsidP="006211D7">
            <w:pPr>
              <w:widowControl w:val="0"/>
              <w:ind w:right="144"/>
              <w:jc w:val="right"/>
              <w:rPr>
                <w:sz w:val="18"/>
                <w:szCs w:val="18"/>
              </w:rPr>
            </w:pPr>
            <w:r w:rsidRPr="00BC4AFE">
              <w:rPr>
                <w:sz w:val="18"/>
                <w:szCs w:val="18"/>
              </w:rPr>
              <w:t>0.045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27FBD" w14:textId="77777777" w:rsidR="00FC752D" w:rsidRPr="00BC4AFE" w:rsidRDefault="00FC752D" w:rsidP="006211D7">
            <w:pPr>
              <w:widowControl w:val="0"/>
              <w:ind w:right="144"/>
              <w:jc w:val="right"/>
              <w:rPr>
                <w:sz w:val="18"/>
                <w:szCs w:val="18"/>
              </w:rPr>
            </w:pPr>
            <w:r w:rsidRPr="00BC4AFE">
              <w:rPr>
                <w:sz w:val="18"/>
                <w:szCs w:val="18"/>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2A1D" w14:textId="77777777" w:rsidR="00FC752D" w:rsidRPr="00BC4AFE" w:rsidRDefault="00FC752D" w:rsidP="006211D7">
            <w:pPr>
              <w:widowControl w:val="0"/>
              <w:ind w:right="144"/>
              <w:jc w:val="right"/>
              <w:rPr>
                <w:sz w:val="18"/>
                <w:szCs w:val="18"/>
              </w:rPr>
            </w:pPr>
            <w:r w:rsidRPr="00BC4AFE">
              <w:rPr>
                <w:sz w:val="18"/>
                <w:szCs w:val="18"/>
              </w:rPr>
              <w:t>7,328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B53B5" w14:textId="77777777" w:rsidR="00FC752D" w:rsidRPr="00BC4AFE" w:rsidRDefault="00FC752D" w:rsidP="006211D7">
            <w:pPr>
              <w:widowControl w:val="0"/>
              <w:ind w:right="144"/>
              <w:jc w:val="right"/>
              <w:rPr>
                <w:sz w:val="18"/>
                <w:szCs w:val="18"/>
              </w:rPr>
            </w:pPr>
            <w:r w:rsidRPr="00BC4AFE">
              <w:rPr>
                <w:sz w:val="18"/>
                <w:szCs w:val="18"/>
              </w:rPr>
              <w:t>8,038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10EF" w14:textId="77777777" w:rsidR="00FC752D" w:rsidRPr="00BC4AFE" w:rsidRDefault="00FC752D" w:rsidP="006211D7">
            <w:pPr>
              <w:widowControl w:val="0"/>
              <w:ind w:right="144"/>
              <w:jc w:val="right"/>
              <w:rPr>
                <w:sz w:val="18"/>
                <w:szCs w:val="18"/>
              </w:rPr>
            </w:pPr>
            <w:r w:rsidRPr="00BC4AFE">
              <w:rPr>
                <w:sz w:val="18"/>
                <w:szCs w:val="18"/>
              </w:rPr>
              <w:t>15,366</w:t>
            </w:r>
          </w:p>
        </w:tc>
      </w:tr>
      <w:tr w:rsidR="00FC752D" w:rsidRPr="00BC4AFE" w14:paraId="19683C7F" w14:textId="77777777" w:rsidTr="00A60395">
        <w:trPr>
          <w:cantSplit/>
          <w:trHeight w:val="245"/>
        </w:trPr>
        <w:tc>
          <w:tcPr>
            <w:tcW w:w="3605" w:type="dxa"/>
            <w:tcBorders>
              <w:right w:val="single" w:sz="4" w:space="0" w:color="auto"/>
            </w:tcBorders>
            <w:shd w:val="clear" w:color="auto" w:fill="auto"/>
            <w:vAlign w:val="center"/>
            <w:hideMark/>
          </w:tcPr>
          <w:p w14:paraId="06E8E913" w14:textId="77777777" w:rsidR="00FC752D" w:rsidRPr="00BC4AFE" w:rsidRDefault="00FC752D" w:rsidP="006211D7">
            <w:pPr>
              <w:widowControl w:val="0"/>
              <w:ind w:left="144" w:hanging="144"/>
              <w:rPr>
                <w:sz w:val="18"/>
                <w:szCs w:val="18"/>
              </w:rPr>
            </w:pPr>
            <w:r w:rsidRPr="00BC4AFE">
              <w:rPr>
                <w:sz w:val="18"/>
                <w:szCs w:val="18"/>
              </w:rPr>
              <w:t>State of Palestine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2432" w14:textId="77777777" w:rsidR="00FC752D" w:rsidRPr="00BC4AFE" w:rsidRDefault="00FC752D" w:rsidP="006211D7">
            <w:pPr>
              <w:widowControl w:val="0"/>
              <w:ind w:right="144"/>
              <w:jc w:val="right"/>
              <w:rPr>
                <w:sz w:val="18"/>
                <w:szCs w:val="18"/>
              </w:rPr>
            </w:pPr>
            <w:r w:rsidRPr="00BC4AFE">
              <w:rPr>
                <w:sz w:val="18"/>
                <w:szCs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55AA" w14:textId="77777777" w:rsidR="00FC752D" w:rsidRPr="00BC4AFE" w:rsidRDefault="00FC752D" w:rsidP="006211D7">
            <w:pPr>
              <w:widowControl w:val="0"/>
              <w:ind w:right="144"/>
              <w:jc w:val="right"/>
              <w:rPr>
                <w:sz w:val="18"/>
                <w:szCs w:val="18"/>
              </w:rPr>
            </w:pPr>
            <w:r w:rsidRPr="00BC4AFE">
              <w:rPr>
                <w:sz w:val="18"/>
                <w:szCs w:val="18"/>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A3E9B" w14:textId="77777777" w:rsidR="00FC752D" w:rsidRPr="00BC4AFE" w:rsidRDefault="00FC752D" w:rsidP="006211D7">
            <w:pPr>
              <w:widowControl w:val="0"/>
              <w:ind w:right="144"/>
              <w:jc w:val="right"/>
              <w:rPr>
                <w:sz w:val="18"/>
                <w:szCs w:val="18"/>
              </w:rPr>
            </w:pPr>
            <w:r w:rsidRPr="00BC4AFE">
              <w:rPr>
                <w:sz w:val="18"/>
                <w:szCs w:val="18"/>
              </w:rPr>
              <w:t>1,791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0621A" w14:textId="77777777" w:rsidR="00FC752D" w:rsidRPr="00BC4AFE" w:rsidRDefault="00FC752D" w:rsidP="006211D7">
            <w:pPr>
              <w:widowControl w:val="0"/>
              <w:ind w:right="144"/>
              <w:jc w:val="right"/>
              <w:rPr>
                <w:sz w:val="18"/>
                <w:szCs w:val="18"/>
              </w:rPr>
            </w:pPr>
            <w:r w:rsidRPr="00BC4AFE">
              <w:rPr>
                <w:sz w:val="18"/>
                <w:szCs w:val="18"/>
              </w:rPr>
              <w:t>1,965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05636" w14:textId="77777777" w:rsidR="00FC752D" w:rsidRPr="00BC4AFE" w:rsidRDefault="00FC752D" w:rsidP="006211D7">
            <w:pPr>
              <w:widowControl w:val="0"/>
              <w:ind w:right="144"/>
              <w:jc w:val="right"/>
              <w:rPr>
                <w:sz w:val="18"/>
                <w:szCs w:val="18"/>
              </w:rPr>
            </w:pPr>
            <w:r w:rsidRPr="00BC4AFE">
              <w:rPr>
                <w:sz w:val="18"/>
                <w:szCs w:val="18"/>
              </w:rPr>
              <w:t>3,756</w:t>
            </w:r>
          </w:p>
        </w:tc>
      </w:tr>
      <w:tr w:rsidR="00FC752D" w:rsidRPr="00BC4AFE" w14:paraId="1248B5A0" w14:textId="77777777" w:rsidTr="00A60395">
        <w:trPr>
          <w:cantSplit/>
          <w:trHeight w:val="245"/>
        </w:trPr>
        <w:tc>
          <w:tcPr>
            <w:tcW w:w="3605" w:type="dxa"/>
            <w:tcBorders>
              <w:right w:val="single" w:sz="4" w:space="0" w:color="auto"/>
            </w:tcBorders>
            <w:shd w:val="clear" w:color="auto" w:fill="auto"/>
            <w:vAlign w:val="center"/>
            <w:hideMark/>
          </w:tcPr>
          <w:p w14:paraId="4EE596AC" w14:textId="77777777" w:rsidR="00FC752D" w:rsidRPr="00BC4AFE" w:rsidRDefault="00FC752D" w:rsidP="006211D7">
            <w:pPr>
              <w:widowControl w:val="0"/>
              <w:ind w:left="144" w:hanging="144"/>
              <w:rPr>
                <w:sz w:val="18"/>
                <w:szCs w:val="18"/>
              </w:rPr>
            </w:pPr>
            <w:r w:rsidRPr="00BC4AFE">
              <w:rPr>
                <w:sz w:val="18"/>
                <w:szCs w:val="18"/>
              </w:rPr>
              <w:t>Sudan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29B6"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142B"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826C"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14A0B"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558C"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3839102D" w14:textId="77777777" w:rsidTr="00A60395">
        <w:trPr>
          <w:cantSplit/>
          <w:trHeight w:val="245"/>
        </w:trPr>
        <w:tc>
          <w:tcPr>
            <w:tcW w:w="3605" w:type="dxa"/>
            <w:tcBorders>
              <w:right w:val="single" w:sz="4" w:space="0" w:color="auto"/>
            </w:tcBorders>
            <w:shd w:val="clear" w:color="auto" w:fill="auto"/>
            <w:vAlign w:val="center"/>
            <w:hideMark/>
          </w:tcPr>
          <w:p w14:paraId="0A6C85D5" w14:textId="77777777" w:rsidR="00FC752D" w:rsidRPr="00BC4AFE" w:rsidRDefault="00FC752D" w:rsidP="006211D7">
            <w:pPr>
              <w:widowControl w:val="0"/>
              <w:ind w:left="144" w:hanging="144"/>
              <w:rPr>
                <w:sz w:val="18"/>
                <w:szCs w:val="18"/>
              </w:rPr>
            </w:pPr>
            <w:r w:rsidRPr="00BC4AFE">
              <w:rPr>
                <w:sz w:val="18"/>
                <w:szCs w:val="18"/>
              </w:rPr>
              <w:t>Suriname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F388"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4FE5"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D378"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6B33"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5DBE"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2BA37EBB" w14:textId="77777777" w:rsidTr="00A60395">
        <w:trPr>
          <w:cantSplit/>
          <w:trHeight w:val="245"/>
        </w:trPr>
        <w:tc>
          <w:tcPr>
            <w:tcW w:w="3605" w:type="dxa"/>
            <w:tcBorders>
              <w:right w:val="single" w:sz="4" w:space="0" w:color="auto"/>
            </w:tcBorders>
            <w:shd w:val="clear" w:color="auto" w:fill="auto"/>
            <w:vAlign w:val="center"/>
            <w:hideMark/>
          </w:tcPr>
          <w:p w14:paraId="002E5323" w14:textId="77777777" w:rsidR="00FC752D" w:rsidRPr="00BC4AFE" w:rsidRDefault="00FC752D" w:rsidP="006211D7">
            <w:pPr>
              <w:widowControl w:val="0"/>
              <w:ind w:left="144" w:hanging="144"/>
              <w:rPr>
                <w:sz w:val="18"/>
                <w:szCs w:val="18"/>
              </w:rPr>
            </w:pPr>
            <w:r w:rsidRPr="00BC4AFE">
              <w:rPr>
                <w:sz w:val="18"/>
                <w:szCs w:val="18"/>
              </w:rPr>
              <w:t>Sweden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80F74" w14:textId="77777777" w:rsidR="00FC752D" w:rsidRPr="00BC4AFE" w:rsidRDefault="00FC752D" w:rsidP="006211D7">
            <w:pPr>
              <w:widowControl w:val="0"/>
              <w:ind w:right="144"/>
              <w:jc w:val="right"/>
              <w:rPr>
                <w:sz w:val="18"/>
                <w:szCs w:val="18"/>
              </w:rPr>
            </w:pPr>
            <w:r w:rsidRPr="00BC4AFE">
              <w:rPr>
                <w:sz w:val="18"/>
                <w:szCs w:val="18"/>
              </w:rPr>
              <w:t>0.871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8F49" w14:textId="77777777" w:rsidR="00FC752D" w:rsidRPr="00BC4AFE" w:rsidRDefault="00FC752D" w:rsidP="006211D7">
            <w:pPr>
              <w:widowControl w:val="0"/>
              <w:ind w:right="144"/>
              <w:jc w:val="right"/>
              <w:rPr>
                <w:sz w:val="18"/>
                <w:szCs w:val="18"/>
              </w:rPr>
            </w:pPr>
            <w:r w:rsidRPr="00BC4AFE">
              <w:rPr>
                <w:sz w:val="18"/>
                <w:szCs w:val="18"/>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6C9F1" w14:textId="77777777" w:rsidR="00FC752D" w:rsidRPr="00BC4AFE" w:rsidRDefault="00FC752D" w:rsidP="006211D7">
            <w:pPr>
              <w:widowControl w:val="0"/>
              <w:ind w:right="144"/>
              <w:jc w:val="right"/>
              <w:rPr>
                <w:sz w:val="18"/>
                <w:szCs w:val="18"/>
              </w:rPr>
            </w:pPr>
            <w:r w:rsidRPr="00BC4AFE">
              <w:rPr>
                <w:sz w:val="18"/>
                <w:szCs w:val="18"/>
              </w:rPr>
              <w:t>141,840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D25B" w14:textId="77777777" w:rsidR="00FC752D" w:rsidRPr="00BC4AFE" w:rsidRDefault="00FC752D" w:rsidP="006211D7">
            <w:pPr>
              <w:widowControl w:val="0"/>
              <w:ind w:right="144"/>
              <w:jc w:val="right"/>
              <w:rPr>
                <w:sz w:val="18"/>
                <w:szCs w:val="18"/>
              </w:rPr>
            </w:pPr>
            <w:r w:rsidRPr="00BC4AFE">
              <w:rPr>
                <w:sz w:val="18"/>
                <w:szCs w:val="18"/>
              </w:rPr>
              <w:t>155,575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BC28D" w14:textId="77777777" w:rsidR="00FC752D" w:rsidRPr="00BC4AFE" w:rsidRDefault="00FC752D" w:rsidP="006211D7">
            <w:pPr>
              <w:widowControl w:val="0"/>
              <w:ind w:right="144"/>
              <w:jc w:val="right"/>
              <w:rPr>
                <w:sz w:val="18"/>
                <w:szCs w:val="18"/>
              </w:rPr>
            </w:pPr>
            <w:r w:rsidRPr="00BC4AFE">
              <w:rPr>
                <w:sz w:val="18"/>
                <w:szCs w:val="18"/>
              </w:rPr>
              <w:t>297,415</w:t>
            </w:r>
          </w:p>
        </w:tc>
      </w:tr>
      <w:tr w:rsidR="00FC752D" w:rsidRPr="00BC4AFE" w14:paraId="4DAB2B00" w14:textId="77777777" w:rsidTr="00A60395">
        <w:trPr>
          <w:cantSplit/>
          <w:trHeight w:val="245"/>
        </w:trPr>
        <w:tc>
          <w:tcPr>
            <w:tcW w:w="3605" w:type="dxa"/>
            <w:tcBorders>
              <w:right w:val="single" w:sz="4" w:space="0" w:color="auto"/>
            </w:tcBorders>
            <w:shd w:val="clear" w:color="auto" w:fill="auto"/>
            <w:vAlign w:val="center"/>
            <w:hideMark/>
          </w:tcPr>
          <w:p w14:paraId="3A4187CD" w14:textId="77777777" w:rsidR="00FC752D" w:rsidRPr="00BC4AFE" w:rsidRDefault="00FC752D" w:rsidP="006211D7">
            <w:pPr>
              <w:widowControl w:val="0"/>
              <w:ind w:left="144" w:hanging="144"/>
              <w:rPr>
                <w:sz w:val="18"/>
                <w:szCs w:val="18"/>
              </w:rPr>
            </w:pPr>
            <w:r w:rsidRPr="00BC4AFE">
              <w:rPr>
                <w:sz w:val="18"/>
                <w:szCs w:val="18"/>
              </w:rPr>
              <w:t>Switzerland</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3A254" w14:textId="77777777" w:rsidR="00FC752D" w:rsidRPr="00BC4AFE" w:rsidRDefault="00FC752D" w:rsidP="006211D7">
            <w:pPr>
              <w:widowControl w:val="0"/>
              <w:ind w:right="144"/>
              <w:jc w:val="right"/>
              <w:rPr>
                <w:sz w:val="18"/>
                <w:szCs w:val="18"/>
              </w:rPr>
            </w:pPr>
            <w:r w:rsidRPr="00BC4AFE">
              <w:rPr>
                <w:sz w:val="18"/>
                <w:szCs w:val="18"/>
              </w:rPr>
              <w:t>1.134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6F12" w14:textId="77777777" w:rsidR="00FC752D" w:rsidRPr="00BC4AFE" w:rsidRDefault="00FC752D" w:rsidP="006211D7">
            <w:pPr>
              <w:widowControl w:val="0"/>
              <w:ind w:right="144"/>
              <w:jc w:val="right"/>
              <w:rPr>
                <w:sz w:val="18"/>
                <w:szCs w:val="18"/>
              </w:rPr>
            </w:pPr>
            <w:r w:rsidRPr="00BC4AFE">
              <w:rPr>
                <w:sz w:val="18"/>
                <w:szCs w:val="18"/>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D771" w14:textId="77777777" w:rsidR="00FC752D" w:rsidRPr="00BC4AFE" w:rsidRDefault="00FC752D" w:rsidP="006211D7">
            <w:pPr>
              <w:widowControl w:val="0"/>
              <w:ind w:right="144"/>
              <w:jc w:val="right"/>
              <w:rPr>
                <w:sz w:val="18"/>
                <w:szCs w:val="18"/>
              </w:rPr>
            </w:pPr>
            <w:r w:rsidRPr="00BC4AFE">
              <w:rPr>
                <w:sz w:val="18"/>
                <w:szCs w:val="18"/>
              </w:rPr>
              <w:t>184,669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AB9E" w14:textId="77777777" w:rsidR="00FC752D" w:rsidRPr="00BC4AFE" w:rsidRDefault="00FC752D" w:rsidP="006211D7">
            <w:pPr>
              <w:widowControl w:val="0"/>
              <w:ind w:right="144"/>
              <w:jc w:val="right"/>
              <w:rPr>
                <w:sz w:val="18"/>
                <w:szCs w:val="18"/>
              </w:rPr>
            </w:pPr>
            <w:r w:rsidRPr="00BC4AFE">
              <w:rPr>
                <w:sz w:val="18"/>
                <w:szCs w:val="18"/>
              </w:rPr>
              <w:t>202,551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B4A0" w14:textId="77777777" w:rsidR="00FC752D" w:rsidRPr="00BC4AFE" w:rsidRDefault="00FC752D" w:rsidP="006211D7">
            <w:pPr>
              <w:widowControl w:val="0"/>
              <w:ind w:right="144"/>
              <w:jc w:val="right"/>
              <w:rPr>
                <w:sz w:val="18"/>
                <w:szCs w:val="18"/>
              </w:rPr>
            </w:pPr>
            <w:r w:rsidRPr="00BC4AFE">
              <w:rPr>
                <w:sz w:val="18"/>
                <w:szCs w:val="18"/>
              </w:rPr>
              <w:t>387,220</w:t>
            </w:r>
          </w:p>
        </w:tc>
      </w:tr>
      <w:tr w:rsidR="00FC752D" w:rsidRPr="00BC4AFE" w14:paraId="602921F8" w14:textId="77777777" w:rsidTr="00A60395">
        <w:trPr>
          <w:cantSplit/>
          <w:trHeight w:val="245"/>
        </w:trPr>
        <w:tc>
          <w:tcPr>
            <w:tcW w:w="3605" w:type="dxa"/>
            <w:tcBorders>
              <w:right w:val="single" w:sz="4" w:space="0" w:color="auto"/>
            </w:tcBorders>
            <w:shd w:val="clear" w:color="auto" w:fill="auto"/>
            <w:vAlign w:val="center"/>
            <w:hideMark/>
          </w:tcPr>
          <w:p w14:paraId="3A9D86C7" w14:textId="77777777" w:rsidR="00FC752D" w:rsidRPr="00BC4AFE" w:rsidRDefault="00FC752D" w:rsidP="006211D7">
            <w:pPr>
              <w:widowControl w:val="0"/>
              <w:ind w:left="144" w:hanging="144"/>
              <w:rPr>
                <w:sz w:val="18"/>
                <w:szCs w:val="18"/>
              </w:rPr>
            </w:pPr>
            <w:r w:rsidRPr="00BC4AFE">
              <w:rPr>
                <w:sz w:val="18"/>
                <w:szCs w:val="18"/>
              </w:rPr>
              <w:t>Syrian Arab Republic</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849B9"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1859" w14:textId="77777777" w:rsidR="00FC752D" w:rsidRPr="00BC4AFE" w:rsidRDefault="00FC752D" w:rsidP="006211D7">
            <w:pPr>
              <w:widowControl w:val="0"/>
              <w:ind w:right="144"/>
              <w:jc w:val="right"/>
              <w:rPr>
                <w:sz w:val="18"/>
                <w:szCs w:val="18"/>
              </w:rPr>
            </w:pPr>
            <w:r w:rsidRPr="00BC4AFE">
              <w:rPr>
                <w:sz w:val="18"/>
                <w:szCs w:val="18"/>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D584" w14:textId="77777777" w:rsidR="00FC752D" w:rsidRPr="00BC4AFE" w:rsidRDefault="00FC752D" w:rsidP="006211D7">
            <w:pPr>
              <w:widowControl w:val="0"/>
              <w:ind w:right="144"/>
              <w:jc w:val="right"/>
              <w:rPr>
                <w:sz w:val="18"/>
                <w:szCs w:val="18"/>
              </w:rPr>
            </w:pPr>
            <w:r w:rsidRPr="00BC4AFE">
              <w:rPr>
                <w:sz w:val="18"/>
                <w:szCs w:val="18"/>
              </w:rPr>
              <w:t>1,466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F1DB" w14:textId="77777777" w:rsidR="00FC752D" w:rsidRPr="00BC4AFE" w:rsidRDefault="00FC752D" w:rsidP="006211D7">
            <w:pPr>
              <w:widowControl w:val="0"/>
              <w:ind w:right="144"/>
              <w:jc w:val="right"/>
              <w:rPr>
                <w:sz w:val="18"/>
                <w:szCs w:val="18"/>
              </w:rPr>
            </w:pPr>
            <w:r w:rsidRPr="00BC4AFE">
              <w:rPr>
                <w:sz w:val="18"/>
                <w:szCs w:val="18"/>
              </w:rPr>
              <w:t>1,608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54A6" w14:textId="77777777" w:rsidR="00FC752D" w:rsidRPr="00BC4AFE" w:rsidRDefault="00FC752D" w:rsidP="006211D7">
            <w:pPr>
              <w:widowControl w:val="0"/>
              <w:ind w:right="144"/>
              <w:jc w:val="right"/>
              <w:rPr>
                <w:sz w:val="18"/>
                <w:szCs w:val="18"/>
              </w:rPr>
            </w:pPr>
            <w:r w:rsidRPr="00BC4AFE">
              <w:rPr>
                <w:sz w:val="18"/>
                <w:szCs w:val="18"/>
              </w:rPr>
              <w:t>3,073</w:t>
            </w:r>
          </w:p>
        </w:tc>
      </w:tr>
      <w:tr w:rsidR="00FC752D" w:rsidRPr="00BC4AFE" w14:paraId="37F9B66E" w14:textId="77777777" w:rsidTr="00A60395">
        <w:trPr>
          <w:cantSplit/>
          <w:trHeight w:val="245"/>
        </w:trPr>
        <w:tc>
          <w:tcPr>
            <w:tcW w:w="3605" w:type="dxa"/>
            <w:tcBorders>
              <w:right w:val="single" w:sz="4" w:space="0" w:color="auto"/>
            </w:tcBorders>
            <w:shd w:val="clear" w:color="auto" w:fill="auto"/>
            <w:vAlign w:val="center"/>
            <w:hideMark/>
          </w:tcPr>
          <w:p w14:paraId="250913BE" w14:textId="77777777" w:rsidR="00FC752D" w:rsidRPr="00BC4AFE" w:rsidRDefault="00FC752D" w:rsidP="006211D7">
            <w:pPr>
              <w:widowControl w:val="0"/>
              <w:ind w:left="144" w:hanging="144"/>
              <w:rPr>
                <w:sz w:val="18"/>
                <w:szCs w:val="18"/>
              </w:rPr>
            </w:pPr>
            <w:r w:rsidRPr="00BC4AFE">
              <w:rPr>
                <w:sz w:val="18"/>
                <w:szCs w:val="18"/>
              </w:rPr>
              <w:t>Tajikistan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2208"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18E16" w14:textId="77777777" w:rsidR="00FC752D" w:rsidRPr="00BC4AFE" w:rsidRDefault="00FC752D" w:rsidP="006211D7">
            <w:pPr>
              <w:widowControl w:val="0"/>
              <w:ind w:right="144"/>
              <w:jc w:val="right"/>
              <w:rPr>
                <w:sz w:val="18"/>
                <w:szCs w:val="18"/>
              </w:rPr>
            </w:pPr>
            <w:r w:rsidRPr="00BC4AFE">
              <w:rPr>
                <w:sz w:val="18"/>
                <w:szCs w:val="18"/>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49B29" w14:textId="77777777" w:rsidR="00FC752D" w:rsidRPr="00BC4AFE" w:rsidRDefault="00FC752D" w:rsidP="006211D7">
            <w:pPr>
              <w:widowControl w:val="0"/>
              <w:ind w:right="144"/>
              <w:jc w:val="right"/>
              <w:rPr>
                <w:sz w:val="18"/>
                <w:szCs w:val="18"/>
              </w:rPr>
            </w:pPr>
            <w:r w:rsidRPr="00BC4AFE">
              <w:rPr>
                <w:sz w:val="18"/>
                <w:szCs w:val="18"/>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646F" w14:textId="77777777" w:rsidR="00FC752D" w:rsidRPr="00BC4AFE" w:rsidRDefault="00FC752D" w:rsidP="006211D7">
            <w:pPr>
              <w:widowControl w:val="0"/>
              <w:ind w:right="144"/>
              <w:jc w:val="right"/>
              <w:rPr>
                <w:sz w:val="18"/>
                <w:szCs w:val="18"/>
              </w:rPr>
            </w:pPr>
            <w:r w:rsidRPr="00BC4AFE">
              <w:rPr>
                <w:sz w:val="18"/>
                <w:szCs w:val="18"/>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EFC9" w14:textId="77777777" w:rsidR="00FC752D" w:rsidRPr="00BC4AFE" w:rsidRDefault="00FC752D" w:rsidP="006211D7">
            <w:pPr>
              <w:widowControl w:val="0"/>
              <w:ind w:right="144"/>
              <w:jc w:val="right"/>
              <w:rPr>
                <w:sz w:val="18"/>
                <w:szCs w:val="18"/>
              </w:rPr>
            </w:pPr>
            <w:r w:rsidRPr="00BC4AFE">
              <w:rPr>
                <w:sz w:val="18"/>
                <w:szCs w:val="18"/>
              </w:rPr>
              <w:t>1,024</w:t>
            </w:r>
          </w:p>
        </w:tc>
      </w:tr>
      <w:tr w:rsidR="00FC752D" w:rsidRPr="00BC4AFE" w14:paraId="4A5AA891" w14:textId="77777777" w:rsidTr="00A60395">
        <w:trPr>
          <w:cantSplit/>
          <w:trHeight w:val="245"/>
        </w:trPr>
        <w:tc>
          <w:tcPr>
            <w:tcW w:w="3605" w:type="dxa"/>
            <w:tcBorders>
              <w:right w:val="single" w:sz="4" w:space="0" w:color="auto"/>
            </w:tcBorders>
            <w:shd w:val="clear" w:color="auto" w:fill="auto"/>
            <w:vAlign w:val="center"/>
            <w:hideMark/>
          </w:tcPr>
          <w:p w14:paraId="01D86D96" w14:textId="77777777" w:rsidR="00FC752D" w:rsidRPr="00BC4AFE" w:rsidRDefault="00FC752D" w:rsidP="006211D7">
            <w:pPr>
              <w:widowControl w:val="0"/>
              <w:ind w:left="144" w:hanging="144"/>
              <w:rPr>
                <w:sz w:val="18"/>
                <w:szCs w:val="18"/>
              </w:rPr>
            </w:pPr>
            <w:r w:rsidRPr="00BC4AFE">
              <w:rPr>
                <w:sz w:val="18"/>
                <w:szCs w:val="18"/>
              </w:rPr>
              <w:t>Thailand</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BBE0" w14:textId="77777777" w:rsidR="00FC752D" w:rsidRPr="00BC4AFE" w:rsidRDefault="00FC752D" w:rsidP="006211D7">
            <w:pPr>
              <w:widowControl w:val="0"/>
              <w:ind w:right="144"/>
              <w:jc w:val="right"/>
              <w:rPr>
                <w:sz w:val="18"/>
                <w:szCs w:val="18"/>
              </w:rPr>
            </w:pPr>
            <w:r w:rsidRPr="00BC4AFE">
              <w:rPr>
                <w:sz w:val="18"/>
                <w:szCs w:val="18"/>
              </w:rPr>
              <w:t>0.368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7CE9" w14:textId="77777777" w:rsidR="00FC752D" w:rsidRPr="00BC4AFE" w:rsidRDefault="00FC752D" w:rsidP="006211D7">
            <w:pPr>
              <w:widowControl w:val="0"/>
              <w:ind w:right="144"/>
              <w:jc w:val="right"/>
              <w:rPr>
                <w:sz w:val="18"/>
                <w:szCs w:val="18"/>
              </w:rPr>
            </w:pPr>
            <w:r w:rsidRPr="00BC4AFE">
              <w:rPr>
                <w:sz w:val="18"/>
                <w:szCs w:val="18"/>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BCC6" w14:textId="77777777" w:rsidR="00FC752D" w:rsidRPr="00BC4AFE" w:rsidRDefault="00FC752D" w:rsidP="006211D7">
            <w:pPr>
              <w:widowControl w:val="0"/>
              <w:ind w:right="144"/>
              <w:jc w:val="right"/>
              <w:rPr>
                <w:sz w:val="18"/>
                <w:szCs w:val="18"/>
              </w:rPr>
            </w:pPr>
            <w:r w:rsidRPr="00BC4AFE">
              <w:rPr>
                <w:sz w:val="18"/>
                <w:szCs w:val="18"/>
              </w:rPr>
              <w:t>59,928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F8BC" w14:textId="77777777" w:rsidR="00FC752D" w:rsidRPr="00BC4AFE" w:rsidRDefault="00FC752D" w:rsidP="006211D7">
            <w:pPr>
              <w:widowControl w:val="0"/>
              <w:ind w:right="144"/>
              <w:jc w:val="right"/>
              <w:rPr>
                <w:sz w:val="18"/>
                <w:szCs w:val="18"/>
              </w:rPr>
            </w:pPr>
            <w:r w:rsidRPr="00BC4AFE">
              <w:rPr>
                <w:sz w:val="18"/>
                <w:szCs w:val="18"/>
              </w:rPr>
              <w:t>65,731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0111" w14:textId="77777777" w:rsidR="00FC752D" w:rsidRPr="00BC4AFE" w:rsidRDefault="00FC752D" w:rsidP="006211D7">
            <w:pPr>
              <w:widowControl w:val="0"/>
              <w:ind w:right="144"/>
              <w:jc w:val="right"/>
              <w:rPr>
                <w:sz w:val="18"/>
                <w:szCs w:val="18"/>
              </w:rPr>
            </w:pPr>
            <w:r w:rsidRPr="00BC4AFE">
              <w:rPr>
                <w:sz w:val="18"/>
                <w:szCs w:val="18"/>
              </w:rPr>
              <w:t>125,659</w:t>
            </w:r>
          </w:p>
        </w:tc>
      </w:tr>
      <w:tr w:rsidR="00FC752D" w:rsidRPr="00BC4AFE" w14:paraId="1AF5D6C0" w14:textId="77777777" w:rsidTr="00A60395">
        <w:trPr>
          <w:cantSplit/>
          <w:trHeight w:val="245"/>
        </w:trPr>
        <w:tc>
          <w:tcPr>
            <w:tcW w:w="3605" w:type="dxa"/>
            <w:tcBorders>
              <w:right w:val="single" w:sz="4" w:space="0" w:color="auto"/>
            </w:tcBorders>
            <w:shd w:val="clear" w:color="auto" w:fill="auto"/>
            <w:vAlign w:val="center"/>
            <w:hideMark/>
          </w:tcPr>
          <w:p w14:paraId="13018FC8" w14:textId="77777777" w:rsidR="00FC752D" w:rsidRPr="00BC4AFE" w:rsidRDefault="00FC752D" w:rsidP="006211D7">
            <w:pPr>
              <w:widowControl w:val="0"/>
              <w:ind w:left="144" w:hanging="144"/>
              <w:rPr>
                <w:sz w:val="18"/>
                <w:szCs w:val="18"/>
              </w:rPr>
            </w:pPr>
            <w:r w:rsidRPr="00BC4AFE">
              <w:rPr>
                <w:sz w:val="18"/>
                <w:szCs w:val="18"/>
              </w:rPr>
              <w:t>Timor-Leste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9B9C"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931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27B4"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2DBD"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A5D2F"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1F6E1AF9" w14:textId="77777777" w:rsidTr="00A60395">
        <w:trPr>
          <w:cantSplit/>
          <w:trHeight w:val="245"/>
        </w:trPr>
        <w:tc>
          <w:tcPr>
            <w:tcW w:w="3605" w:type="dxa"/>
            <w:tcBorders>
              <w:right w:val="single" w:sz="4" w:space="0" w:color="auto"/>
            </w:tcBorders>
            <w:shd w:val="clear" w:color="auto" w:fill="auto"/>
            <w:vAlign w:val="center"/>
            <w:hideMark/>
          </w:tcPr>
          <w:p w14:paraId="643C5532" w14:textId="77777777" w:rsidR="00FC752D" w:rsidRPr="00BC4AFE" w:rsidRDefault="00FC752D" w:rsidP="006211D7">
            <w:pPr>
              <w:widowControl w:val="0"/>
              <w:ind w:left="144" w:hanging="144"/>
              <w:rPr>
                <w:sz w:val="18"/>
                <w:szCs w:val="18"/>
              </w:rPr>
            </w:pPr>
            <w:r w:rsidRPr="00BC4AFE">
              <w:rPr>
                <w:sz w:val="18"/>
                <w:szCs w:val="18"/>
              </w:rPr>
              <w:t>Togo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D4A02" w14:textId="77777777" w:rsidR="00FC752D" w:rsidRPr="00BC4AFE" w:rsidRDefault="00FC752D" w:rsidP="006211D7">
            <w:pPr>
              <w:widowControl w:val="0"/>
              <w:ind w:right="144"/>
              <w:jc w:val="right"/>
              <w:rPr>
                <w:sz w:val="18"/>
                <w:szCs w:val="18"/>
              </w:rPr>
            </w:pPr>
            <w:r w:rsidRPr="00BC4AFE">
              <w:rPr>
                <w:sz w:val="18"/>
                <w:szCs w:val="18"/>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2FAE" w14:textId="77777777" w:rsidR="00FC752D" w:rsidRPr="00BC4AFE" w:rsidRDefault="00FC752D" w:rsidP="006211D7">
            <w:pPr>
              <w:widowControl w:val="0"/>
              <w:ind w:right="144"/>
              <w:jc w:val="right"/>
              <w:rPr>
                <w:sz w:val="18"/>
                <w:szCs w:val="18"/>
              </w:rPr>
            </w:pPr>
            <w:r w:rsidRPr="00BC4AFE">
              <w:rPr>
                <w:sz w:val="18"/>
                <w:szCs w:val="18"/>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F0EA" w14:textId="77777777" w:rsidR="00FC752D" w:rsidRPr="00BC4AFE" w:rsidRDefault="00FC752D" w:rsidP="006211D7">
            <w:pPr>
              <w:widowControl w:val="0"/>
              <w:ind w:right="144"/>
              <w:jc w:val="right"/>
              <w:rPr>
                <w:sz w:val="18"/>
                <w:szCs w:val="18"/>
              </w:rPr>
            </w:pPr>
            <w:r w:rsidRPr="00BC4AFE">
              <w:rPr>
                <w:sz w:val="18"/>
                <w:szCs w:val="18"/>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91E84" w14:textId="77777777" w:rsidR="00FC752D" w:rsidRPr="00BC4AFE" w:rsidRDefault="00FC752D" w:rsidP="006211D7">
            <w:pPr>
              <w:widowControl w:val="0"/>
              <w:ind w:right="144"/>
              <w:jc w:val="right"/>
              <w:rPr>
                <w:sz w:val="18"/>
                <w:szCs w:val="18"/>
              </w:rPr>
            </w:pPr>
            <w:r w:rsidRPr="00BC4AFE">
              <w:rPr>
                <w:sz w:val="18"/>
                <w:szCs w:val="18"/>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A22B" w14:textId="77777777" w:rsidR="00FC752D" w:rsidRPr="00BC4AFE" w:rsidRDefault="00FC752D" w:rsidP="006211D7">
            <w:pPr>
              <w:widowControl w:val="0"/>
              <w:ind w:right="144"/>
              <w:jc w:val="right"/>
              <w:rPr>
                <w:sz w:val="18"/>
                <w:szCs w:val="18"/>
              </w:rPr>
            </w:pPr>
            <w:r w:rsidRPr="00BC4AFE">
              <w:rPr>
                <w:sz w:val="18"/>
                <w:szCs w:val="18"/>
              </w:rPr>
              <w:t>683</w:t>
            </w:r>
          </w:p>
        </w:tc>
      </w:tr>
      <w:tr w:rsidR="00FC752D" w:rsidRPr="00BC4AFE" w14:paraId="7FFBD897" w14:textId="77777777" w:rsidTr="00A60395">
        <w:trPr>
          <w:cantSplit/>
          <w:trHeight w:val="245"/>
        </w:trPr>
        <w:tc>
          <w:tcPr>
            <w:tcW w:w="3605" w:type="dxa"/>
            <w:tcBorders>
              <w:right w:val="single" w:sz="4" w:space="0" w:color="auto"/>
            </w:tcBorders>
            <w:shd w:val="clear" w:color="auto" w:fill="auto"/>
            <w:vAlign w:val="center"/>
            <w:hideMark/>
          </w:tcPr>
          <w:p w14:paraId="5E0D83A5" w14:textId="77777777" w:rsidR="00FC752D" w:rsidRPr="00BC4AFE" w:rsidRDefault="00FC752D" w:rsidP="006211D7">
            <w:pPr>
              <w:widowControl w:val="0"/>
              <w:ind w:left="144" w:hanging="144"/>
              <w:rPr>
                <w:sz w:val="18"/>
                <w:szCs w:val="18"/>
              </w:rPr>
            </w:pPr>
            <w:r w:rsidRPr="00BC4AFE">
              <w:rPr>
                <w:sz w:val="18"/>
                <w:szCs w:val="18"/>
              </w:rPr>
              <w:t>Tonga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2BD4"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4A85"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965F"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B459"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7B4B"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4E08A9CD" w14:textId="77777777" w:rsidTr="00A60395">
        <w:trPr>
          <w:cantSplit/>
          <w:trHeight w:val="245"/>
        </w:trPr>
        <w:tc>
          <w:tcPr>
            <w:tcW w:w="3605" w:type="dxa"/>
            <w:tcBorders>
              <w:right w:val="single" w:sz="4" w:space="0" w:color="auto"/>
            </w:tcBorders>
            <w:shd w:val="clear" w:color="auto" w:fill="auto"/>
            <w:vAlign w:val="center"/>
            <w:hideMark/>
          </w:tcPr>
          <w:p w14:paraId="7BB10BDE" w14:textId="77777777" w:rsidR="00FC752D" w:rsidRPr="00BC4AFE" w:rsidRDefault="00FC752D" w:rsidP="006211D7">
            <w:pPr>
              <w:widowControl w:val="0"/>
              <w:ind w:left="144" w:hanging="144"/>
              <w:rPr>
                <w:sz w:val="18"/>
                <w:szCs w:val="18"/>
              </w:rPr>
            </w:pPr>
            <w:r w:rsidRPr="00BC4AFE">
              <w:rPr>
                <w:sz w:val="18"/>
                <w:szCs w:val="18"/>
              </w:rPr>
              <w:t>Trinidad and Tobago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13CF5" w14:textId="77777777" w:rsidR="00FC752D" w:rsidRPr="00BC4AFE" w:rsidRDefault="00FC752D" w:rsidP="006211D7">
            <w:pPr>
              <w:widowControl w:val="0"/>
              <w:ind w:right="144"/>
              <w:jc w:val="right"/>
              <w:rPr>
                <w:sz w:val="18"/>
                <w:szCs w:val="18"/>
              </w:rPr>
            </w:pPr>
            <w:r w:rsidRPr="00BC4AFE">
              <w:rPr>
                <w:sz w:val="18"/>
                <w:szCs w:val="18"/>
              </w:rPr>
              <w:t>0.037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5FD7" w14:textId="77777777" w:rsidR="00FC752D" w:rsidRPr="00BC4AFE" w:rsidRDefault="00FC752D" w:rsidP="006211D7">
            <w:pPr>
              <w:widowControl w:val="0"/>
              <w:ind w:right="144"/>
              <w:jc w:val="right"/>
              <w:rPr>
                <w:sz w:val="18"/>
                <w:szCs w:val="18"/>
              </w:rPr>
            </w:pPr>
            <w:r w:rsidRPr="00BC4AFE">
              <w:rPr>
                <w:sz w:val="18"/>
                <w:szCs w:val="18"/>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96F8" w14:textId="77777777" w:rsidR="00FC752D" w:rsidRPr="00BC4AFE" w:rsidRDefault="00FC752D" w:rsidP="006211D7">
            <w:pPr>
              <w:widowControl w:val="0"/>
              <w:ind w:right="144"/>
              <w:jc w:val="right"/>
              <w:rPr>
                <w:sz w:val="18"/>
                <w:szCs w:val="18"/>
              </w:rPr>
            </w:pPr>
            <w:r w:rsidRPr="00BC4AFE">
              <w:rPr>
                <w:sz w:val="18"/>
                <w:szCs w:val="18"/>
              </w:rPr>
              <w:t>6,025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D7618" w14:textId="77777777" w:rsidR="00FC752D" w:rsidRPr="00BC4AFE" w:rsidRDefault="00FC752D" w:rsidP="006211D7">
            <w:pPr>
              <w:widowControl w:val="0"/>
              <w:ind w:right="144"/>
              <w:jc w:val="right"/>
              <w:rPr>
                <w:sz w:val="18"/>
                <w:szCs w:val="18"/>
              </w:rPr>
            </w:pPr>
            <w:r w:rsidRPr="00BC4AFE">
              <w:rPr>
                <w:sz w:val="18"/>
                <w:szCs w:val="18"/>
              </w:rPr>
              <w:t>6,609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53EF" w14:textId="77777777" w:rsidR="00FC752D" w:rsidRPr="00BC4AFE" w:rsidRDefault="00FC752D" w:rsidP="006211D7">
            <w:pPr>
              <w:widowControl w:val="0"/>
              <w:ind w:right="144"/>
              <w:jc w:val="right"/>
              <w:rPr>
                <w:sz w:val="18"/>
                <w:szCs w:val="18"/>
              </w:rPr>
            </w:pPr>
            <w:r w:rsidRPr="00BC4AFE">
              <w:rPr>
                <w:sz w:val="18"/>
                <w:szCs w:val="18"/>
              </w:rPr>
              <w:t>12,634</w:t>
            </w:r>
          </w:p>
        </w:tc>
      </w:tr>
      <w:tr w:rsidR="00FC752D" w:rsidRPr="00BC4AFE" w14:paraId="0BC97B44" w14:textId="77777777" w:rsidTr="00A60395">
        <w:trPr>
          <w:cantSplit/>
          <w:trHeight w:val="245"/>
        </w:trPr>
        <w:tc>
          <w:tcPr>
            <w:tcW w:w="3605" w:type="dxa"/>
            <w:shd w:val="clear" w:color="auto" w:fill="auto"/>
            <w:vAlign w:val="center"/>
            <w:hideMark/>
          </w:tcPr>
          <w:p w14:paraId="3D66FD3B" w14:textId="77777777" w:rsidR="00FC752D" w:rsidRPr="00BC4AFE" w:rsidRDefault="00FC752D" w:rsidP="006211D7">
            <w:pPr>
              <w:widowControl w:val="0"/>
              <w:ind w:left="144" w:hanging="144"/>
              <w:rPr>
                <w:sz w:val="18"/>
                <w:szCs w:val="18"/>
              </w:rPr>
            </w:pPr>
            <w:r w:rsidRPr="00BC4AFE">
              <w:rPr>
                <w:sz w:val="18"/>
                <w:szCs w:val="18"/>
              </w:rPr>
              <w:t>Tunisia</w:t>
            </w:r>
          </w:p>
        </w:tc>
        <w:tc>
          <w:tcPr>
            <w:tcW w:w="1182" w:type="dxa"/>
            <w:shd w:val="clear" w:color="auto" w:fill="auto"/>
            <w:vAlign w:val="center"/>
            <w:hideMark/>
          </w:tcPr>
          <w:p w14:paraId="330D9F85" w14:textId="77777777" w:rsidR="00FC752D" w:rsidRPr="00BC4AFE" w:rsidRDefault="00FC752D" w:rsidP="006211D7">
            <w:pPr>
              <w:widowControl w:val="0"/>
              <w:ind w:right="144"/>
              <w:jc w:val="right"/>
              <w:rPr>
                <w:sz w:val="18"/>
                <w:szCs w:val="18"/>
              </w:rPr>
            </w:pPr>
            <w:r w:rsidRPr="00BC4AFE">
              <w:rPr>
                <w:sz w:val="18"/>
                <w:szCs w:val="18"/>
              </w:rPr>
              <w:t>0.019</w:t>
            </w:r>
          </w:p>
        </w:tc>
        <w:tc>
          <w:tcPr>
            <w:tcW w:w="1182" w:type="dxa"/>
            <w:shd w:val="clear" w:color="auto" w:fill="auto"/>
            <w:noWrap/>
            <w:vAlign w:val="center"/>
            <w:hideMark/>
          </w:tcPr>
          <w:p w14:paraId="2CAD780D" w14:textId="77777777" w:rsidR="00FC752D" w:rsidRPr="00BC4AFE" w:rsidRDefault="00FC752D" w:rsidP="006211D7">
            <w:pPr>
              <w:widowControl w:val="0"/>
              <w:ind w:right="144"/>
              <w:jc w:val="right"/>
              <w:rPr>
                <w:sz w:val="18"/>
                <w:szCs w:val="18"/>
              </w:rPr>
            </w:pPr>
            <w:r w:rsidRPr="00BC4AFE">
              <w:rPr>
                <w:sz w:val="18"/>
                <w:szCs w:val="18"/>
              </w:rPr>
              <w:t>0.024</w:t>
            </w:r>
          </w:p>
        </w:tc>
        <w:tc>
          <w:tcPr>
            <w:tcW w:w="1182" w:type="dxa"/>
            <w:shd w:val="clear" w:color="auto" w:fill="auto"/>
            <w:noWrap/>
            <w:vAlign w:val="center"/>
            <w:hideMark/>
          </w:tcPr>
          <w:p w14:paraId="15E3502F" w14:textId="77777777" w:rsidR="00FC752D" w:rsidRPr="00BC4AFE" w:rsidRDefault="00FC752D" w:rsidP="006211D7">
            <w:pPr>
              <w:widowControl w:val="0"/>
              <w:ind w:right="144"/>
              <w:jc w:val="right"/>
              <w:rPr>
                <w:sz w:val="18"/>
                <w:szCs w:val="18"/>
              </w:rPr>
            </w:pPr>
            <w:r w:rsidRPr="00BC4AFE">
              <w:rPr>
                <w:sz w:val="18"/>
                <w:szCs w:val="18"/>
              </w:rPr>
              <w:t>3,094</w:t>
            </w:r>
          </w:p>
        </w:tc>
        <w:tc>
          <w:tcPr>
            <w:tcW w:w="1182" w:type="dxa"/>
            <w:shd w:val="clear" w:color="auto" w:fill="auto"/>
            <w:noWrap/>
            <w:vAlign w:val="center"/>
            <w:hideMark/>
          </w:tcPr>
          <w:p w14:paraId="4C87DD29" w14:textId="77777777" w:rsidR="00FC752D" w:rsidRPr="00BC4AFE" w:rsidRDefault="00FC752D" w:rsidP="006211D7">
            <w:pPr>
              <w:widowControl w:val="0"/>
              <w:ind w:right="144"/>
              <w:jc w:val="right"/>
              <w:rPr>
                <w:sz w:val="18"/>
                <w:szCs w:val="18"/>
              </w:rPr>
            </w:pPr>
            <w:r w:rsidRPr="00BC4AFE">
              <w:rPr>
                <w:sz w:val="18"/>
                <w:szCs w:val="18"/>
              </w:rPr>
              <w:t>3,394</w:t>
            </w:r>
          </w:p>
        </w:tc>
        <w:tc>
          <w:tcPr>
            <w:tcW w:w="1171" w:type="dxa"/>
            <w:shd w:val="clear" w:color="auto" w:fill="auto"/>
            <w:noWrap/>
            <w:vAlign w:val="center"/>
            <w:hideMark/>
          </w:tcPr>
          <w:p w14:paraId="133C4FAE" w14:textId="77777777" w:rsidR="00FC752D" w:rsidRPr="00BC4AFE" w:rsidRDefault="00FC752D" w:rsidP="006211D7">
            <w:pPr>
              <w:widowControl w:val="0"/>
              <w:ind w:right="144"/>
              <w:jc w:val="right"/>
              <w:rPr>
                <w:sz w:val="18"/>
                <w:szCs w:val="18"/>
              </w:rPr>
            </w:pPr>
            <w:r w:rsidRPr="00BC4AFE">
              <w:rPr>
                <w:sz w:val="18"/>
                <w:szCs w:val="18"/>
              </w:rPr>
              <w:t>6,488</w:t>
            </w:r>
          </w:p>
        </w:tc>
      </w:tr>
      <w:tr w:rsidR="00FC752D" w:rsidRPr="00BC4AFE" w14:paraId="2E4DA83B" w14:textId="77777777" w:rsidTr="00A60395">
        <w:trPr>
          <w:cantSplit/>
          <w:trHeight w:val="245"/>
        </w:trPr>
        <w:tc>
          <w:tcPr>
            <w:tcW w:w="3605" w:type="dxa"/>
            <w:shd w:val="clear" w:color="auto" w:fill="auto"/>
            <w:vAlign w:val="center"/>
            <w:hideMark/>
          </w:tcPr>
          <w:p w14:paraId="4B8A83E5" w14:textId="77777777" w:rsidR="00FC752D" w:rsidRPr="00BC4AFE" w:rsidRDefault="00FC752D" w:rsidP="006211D7">
            <w:pPr>
              <w:widowControl w:val="0"/>
              <w:ind w:left="144" w:hanging="144"/>
              <w:rPr>
                <w:sz w:val="18"/>
                <w:szCs w:val="18"/>
              </w:rPr>
            </w:pPr>
            <w:r w:rsidRPr="00BC4AFE">
              <w:rPr>
                <w:sz w:val="18"/>
                <w:szCs w:val="18"/>
              </w:rPr>
              <w:t>Türkiye</w:t>
            </w:r>
          </w:p>
        </w:tc>
        <w:tc>
          <w:tcPr>
            <w:tcW w:w="1182" w:type="dxa"/>
            <w:shd w:val="clear" w:color="auto" w:fill="auto"/>
            <w:vAlign w:val="center"/>
            <w:hideMark/>
          </w:tcPr>
          <w:p w14:paraId="1BF2B7C5" w14:textId="77777777" w:rsidR="00FC752D" w:rsidRPr="00BC4AFE" w:rsidRDefault="00FC752D" w:rsidP="006211D7">
            <w:pPr>
              <w:widowControl w:val="0"/>
              <w:ind w:right="144"/>
              <w:jc w:val="right"/>
              <w:rPr>
                <w:sz w:val="18"/>
                <w:szCs w:val="18"/>
              </w:rPr>
            </w:pPr>
            <w:r w:rsidRPr="00BC4AFE">
              <w:rPr>
                <w:sz w:val="18"/>
                <w:szCs w:val="18"/>
              </w:rPr>
              <w:t>0.845</w:t>
            </w:r>
          </w:p>
        </w:tc>
        <w:tc>
          <w:tcPr>
            <w:tcW w:w="1182" w:type="dxa"/>
            <w:shd w:val="clear" w:color="auto" w:fill="auto"/>
            <w:noWrap/>
            <w:vAlign w:val="center"/>
            <w:hideMark/>
          </w:tcPr>
          <w:p w14:paraId="4980B04C" w14:textId="77777777" w:rsidR="00FC752D" w:rsidRPr="00BC4AFE" w:rsidRDefault="00FC752D" w:rsidP="006211D7">
            <w:pPr>
              <w:widowControl w:val="0"/>
              <w:ind w:right="144"/>
              <w:jc w:val="right"/>
              <w:rPr>
                <w:sz w:val="18"/>
                <w:szCs w:val="18"/>
              </w:rPr>
            </w:pPr>
            <w:r w:rsidRPr="00BC4AFE">
              <w:rPr>
                <w:sz w:val="18"/>
                <w:szCs w:val="18"/>
              </w:rPr>
              <w:t>1.056</w:t>
            </w:r>
          </w:p>
        </w:tc>
        <w:tc>
          <w:tcPr>
            <w:tcW w:w="1182" w:type="dxa"/>
            <w:shd w:val="clear" w:color="auto" w:fill="auto"/>
            <w:noWrap/>
            <w:vAlign w:val="center"/>
            <w:hideMark/>
          </w:tcPr>
          <w:p w14:paraId="68F82222" w14:textId="77777777" w:rsidR="00FC752D" w:rsidRPr="00BC4AFE" w:rsidRDefault="00FC752D" w:rsidP="006211D7">
            <w:pPr>
              <w:widowControl w:val="0"/>
              <w:ind w:right="144"/>
              <w:jc w:val="right"/>
              <w:rPr>
                <w:sz w:val="18"/>
                <w:szCs w:val="18"/>
              </w:rPr>
            </w:pPr>
            <w:r w:rsidRPr="00BC4AFE">
              <w:rPr>
                <w:sz w:val="18"/>
                <w:szCs w:val="18"/>
              </w:rPr>
              <w:t>137,606</w:t>
            </w:r>
          </w:p>
        </w:tc>
        <w:tc>
          <w:tcPr>
            <w:tcW w:w="1182" w:type="dxa"/>
            <w:shd w:val="clear" w:color="auto" w:fill="auto"/>
            <w:noWrap/>
            <w:vAlign w:val="center"/>
            <w:hideMark/>
          </w:tcPr>
          <w:p w14:paraId="124259FB" w14:textId="77777777" w:rsidR="00FC752D" w:rsidRPr="00BC4AFE" w:rsidRDefault="00FC752D" w:rsidP="006211D7">
            <w:pPr>
              <w:widowControl w:val="0"/>
              <w:ind w:right="144"/>
              <w:jc w:val="right"/>
              <w:rPr>
                <w:sz w:val="18"/>
                <w:szCs w:val="18"/>
              </w:rPr>
            </w:pPr>
            <w:r w:rsidRPr="00BC4AFE">
              <w:rPr>
                <w:sz w:val="18"/>
                <w:szCs w:val="18"/>
              </w:rPr>
              <w:t>150,931</w:t>
            </w:r>
          </w:p>
        </w:tc>
        <w:tc>
          <w:tcPr>
            <w:tcW w:w="1171" w:type="dxa"/>
            <w:shd w:val="clear" w:color="auto" w:fill="auto"/>
            <w:noWrap/>
            <w:vAlign w:val="center"/>
            <w:hideMark/>
          </w:tcPr>
          <w:p w14:paraId="1682ADAE" w14:textId="77777777" w:rsidR="00FC752D" w:rsidRPr="00BC4AFE" w:rsidRDefault="00FC752D" w:rsidP="006211D7">
            <w:pPr>
              <w:widowControl w:val="0"/>
              <w:ind w:right="144"/>
              <w:jc w:val="right"/>
              <w:rPr>
                <w:sz w:val="18"/>
                <w:szCs w:val="18"/>
              </w:rPr>
            </w:pPr>
            <w:r w:rsidRPr="00BC4AFE">
              <w:rPr>
                <w:sz w:val="18"/>
                <w:szCs w:val="18"/>
              </w:rPr>
              <w:t>288,537</w:t>
            </w:r>
          </w:p>
        </w:tc>
      </w:tr>
      <w:tr w:rsidR="00FC752D" w:rsidRPr="00BC4AFE" w14:paraId="16316F73" w14:textId="77777777" w:rsidTr="00A60395">
        <w:trPr>
          <w:cantSplit/>
          <w:trHeight w:val="245"/>
        </w:trPr>
        <w:tc>
          <w:tcPr>
            <w:tcW w:w="3605" w:type="dxa"/>
            <w:shd w:val="clear" w:color="auto" w:fill="auto"/>
            <w:vAlign w:val="center"/>
            <w:hideMark/>
          </w:tcPr>
          <w:p w14:paraId="743BA5DD" w14:textId="77777777" w:rsidR="00FC752D" w:rsidRPr="00BC4AFE" w:rsidRDefault="00FC752D" w:rsidP="006211D7">
            <w:pPr>
              <w:widowControl w:val="0"/>
              <w:ind w:left="144" w:hanging="144"/>
              <w:rPr>
                <w:sz w:val="18"/>
                <w:szCs w:val="18"/>
              </w:rPr>
            </w:pPr>
            <w:r w:rsidRPr="00BC4AFE">
              <w:rPr>
                <w:sz w:val="18"/>
                <w:szCs w:val="18"/>
              </w:rPr>
              <w:t>Turkmenistan</w:t>
            </w:r>
          </w:p>
        </w:tc>
        <w:tc>
          <w:tcPr>
            <w:tcW w:w="1182" w:type="dxa"/>
            <w:shd w:val="clear" w:color="auto" w:fill="auto"/>
            <w:vAlign w:val="center"/>
            <w:hideMark/>
          </w:tcPr>
          <w:p w14:paraId="2F570599" w14:textId="77777777" w:rsidR="00FC752D" w:rsidRPr="00BC4AFE" w:rsidRDefault="00FC752D" w:rsidP="006211D7">
            <w:pPr>
              <w:widowControl w:val="0"/>
              <w:ind w:right="144"/>
              <w:jc w:val="right"/>
              <w:rPr>
                <w:sz w:val="18"/>
                <w:szCs w:val="18"/>
              </w:rPr>
            </w:pPr>
            <w:r w:rsidRPr="00BC4AFE">
              <w:rPr>
                <w:sz w:val="18"/>
                <w:szCs w:val="18"/>
              </w:rPr>
              <w:t>0.034</w:t>
            </w:r>
          </w:p>
        </w:tc>
        <w:tc>
          <w:tcPr>
            <w:tcW w:w="1182" w:type="dxa"/>
            <w:shd w:val="clear" w:color="auto" w:fill="auto"/>
            <w:noWrap/>
            <w:vAlign w:val="center"/>
            <w:hideMark/>
          </w:tcPr>
          <w:p w14:paraId="387E913B" w14:textId="77777777" w:rsidR="00FC752D" w:rsidRPr="00BC4AFE" w:rsidRDefault="00FC752D" w:rsidP="006211D7">
            <w:pPr>
              <w:widowControl w:val="0"/>
              <w:ind w:right="144"/>
              <w:jc w:val="right"/>
              <w:rPr>
                <w:sz w:val="18"/>
                <w:szCs w:val="18"/>
              </w:rPr>
            </w:pPr>
            <w:r w:rsidRPr="00BC4AFE">
              <w:rPr>
                <w:sz w:val="18"/>
                <w:szCs w:val="18"/>
              </w:rPr>
              <w:t>0.043</w:t>
            </w:r>
          </w:p>
        </w:tc>
        <w:tc>
          <w:tcPr>
            <w:tcW w:w="1182" w:type="dxa"/>
            <w:shd w:val="clear" w:color="auto" w:fill="auto"/>
            <w:noWrap/>
            <w:vAlign w:val="center"/>
            <w:hideMark/>
          </w:tcPr>
          <w:p w14:paraId="6A964552" w14:textId="77777777" w:rsidR="00FC752D" w:rsidRPr="00BC4AFE" w:rsidRDefault="00FC752D" w:rsidP="006211D7">
            <w:pPr>
              <w:widowControl w:val="0"/>
              <w:ind w:right="144"/>
              <w:jc w:val="right"/>
              <w:rPr>
                <w:sz w:val="18"/>
                <w:szCs w:val="18"/>
              </w:rPr>
            </w:pPr>
            <w:r w:rsidRPr="00BC4AFE">
              <w:rPr>
                <w:sz w:val="18"/>
                <w:szCs w:val="18"/>
              </w:rPr>
              <w:t>5,537</w:t>
            </w:r>
          </w:p>
        </w:tc>
        <w:tc>
          <w:tcPr>
            <w:tcW w:w="1182" w:type="dxa"/>
            <w:shd w:val="clear" w:color="auto" w:fill="auto"/>
            <w:noWrap/>
            <w:vAlign w:val="center"/>
            <w:hideMark/>
          </w:tcPr>
          <w:p w14:paraId="21EE402B" w14:textId="77777777" w:rsidR="00FC752D" w:rsidRPr="00BC4AFE" w:rsidRDefault="00FC752D" w:rsidP="006211D7">
            <w:pPr>
              <w:widowControl w:val="0"/>
              <w:ind w:right="144"/>
              <w:jc w:val="right"/>
              <w:rPr>
                <w:sz w:val="18"/>
                <w:szCs w:val="18"/>
              </w:rPr>
            </w:pPr>
            <w:r w:rsidRPr="00BC4AFE">
              <w:rPr>
                <w:sz w:val="18"/>
                <w:szCs w:val="18"/>
              </w:rPr>
              <w:t>6,073</w:t>
            </w:r>
          </w:p>
        </w:tc>
        <w:tc>
          <w:tcPr>
            <w:tcW w:w="1171" w:type="dxa"/>
            <w:shd w:val="clear" w:color="auto" w:fill="auto"/>
            <w:noWrap/>
            <w:vAlign w:val="center"/>
            <w:hideMark/>
          </w:tcPr>
          <w:p w14:paraId="4C20823E" w14:textId="77777777" w:rsidR="00FC752D" w:rsidRPr="00BC4AFE" w:rsidRDefault="00FC752D" w:rsidP="006211D7">
            <w:pPr>
              <w:widowControl w:val="0"/>
              <w:ind w:right="144"/>
              <w:jc w:val="right"/>
              <w:rPr>
                <w:sz w:val="18"/>
                <w:szCs w:val="18"/>
              </w:rPr>
            </w:pPr>
            <w:r w:rsidRPr="00BC4AFE">
              <w:rPr>
                <w:sz w:val="18"/>
                <w:szCs w:val="18"/>
              </w:rPr>
              <w:t>11,610</w:t>
            </w:r>
          </w:p>
        </w:tc>
      </w:tr>
      <w:tr w:rsidR="00FC752D" w:rsidRPr="00BC4AFE" w14:paraId="46F6EC92" w14:textId="77777777" w:rsidTr="00A60395">
        <w:trPr>
          <w:cantSplit/>
          <w:trHeight w:val="245"/>
        </w:trPr>
        <w:tc>
          <w:tcPr>
            <w:tcW w:w="3605" w:type="dxa"/>
            <w:shd w:val="clear" w:color="auto" w:fill="auto"/>
            <w:vAlign w:val="center"/>
            <w:hideMark/>
          </w:tcPr>
          <w:p w14:paraId="018D49FA" w14:textId="77777777" w:rsidR="00FC752D" w:rsidRPr="00BC4AFE" w:rsidRDefault="00FC752D" w:rsidP="006211D7">
            <w:pPr>
              <w:widowControl w:val="0"/>
              <w:ind w:left="144" w:hanging="144"/>
              <w:rPr>
                <w:sz w:val="18"/>
                <w:szCs w:val="18"/>
              </w:rPr>
            </w:pPr>
            <w:r w:rsidRPr="00BC4AFE">
              <w:rPr>
                <w:sz w:val="18"/>
                <w:szCs w:val="18"/>
              </w:rPr>
              <w:t>Tuvalu</w:t>
            </w:r>
          </w:p>
        </w:tc>
        <w:tc>
          <w:tcPr>
            <w:tcW w:w="1182" w:type="dxa"/>
            <w:shd w:val="clear" w:color="auto" w:fill="auto"/>
            <w:vAlign w:val="center"/>
            <w:hideMark/>
          </w:tcPr>
          <w:p w14:paraId="245B9BF7"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697B29A5"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34F99F42"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675F6FF4"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5356E0B2"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06C89BC3" w14:textId="77777777" w:rsidTr="00A60395">
        <w:trPr>
          <w:cantSplit/>
          <w:trHeight w:val="245"/>
        </w:trPr>
        <w:tc>
          <w:tcPr>
            <w:tcW w:w="3605" w:type="dxa"/>
            <w:shd w:val="clear" w:color="auto" w:fill="auto"/>
            <w:vAlign w:val="center"/>
            <w:hideMark/>
          </w:tcPr>
          <w:p w14:paraId="09DE8A10" w14:textId="77777777" w:rsidR="00FC752D" w:rsidRPr="00BC4AFE" w:rsidRDefault="00FC752D" w:rsidP="006211D7">
            <w:pPr>
              <w:widowControl w:val="0"/>
              <w:ind w:left="144" w:hanging="144"/>
              <w:rPr>
                <w:sz w:val="18"/>
                <w:szCs w:val="18"/>
              </w:rPr>
            </w:pPr>
            <w:r w:rsidRPr="00BC4AFE">
              <w:rPr>
                <w:sz w:val="18"/>
                <w:szCs w:val="18"/>
              </w:rPr>
              <w:t>Uganda</w:t>
            </w:r>
          </w:p>
        </w:tc>
        <w:tc>
          <w:tcPr>
            <w:tcW w:w="1182" w:type="dxa"/>
            <w:shd w:val="clear" w:color="auto" w:fill="auto"/>
            <w:vAlign w:val="center"/>
            <w:hideMark/>
          </w:tcPr>
          <w:p w14:paraId="3963464E"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308CE48C"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282889E8"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363F41DA"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33CE275B"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1D4A7FBC" w14:textId="77777777" w:rsidTr="00A60395">
        <w:trPr>
          <w:cantSplit/>
          <w:trHeight w:val="245"/>
        </w:trPr>
        <w:tc>
          <w:tcPr>
            <w:tcW w:w="3605" w:type="dxa"/>
            <w:shd w:val="clear" w:color="auto" w:fill="auto"/>
            <w:vAlign w:val="center"/>
            <w:hideMark/>
          </w:tcPr>
          <w:p w14:paraId="590C492D" w14:textId="77777777" w:rsidR="00FC752D" w:rsidRPr="00BC4AFE" w:rsidRDefault="00FC752D" w:rsidP="006211D7">
            <w:pPr>
              <w:widowControl w:val="0"/>
              <w:ind w:left="144" w:hanging="144"/>
              <w:rPr>
                <w:sz w:val="18"/>
                <w:szCs w:val="18"/>
              </w:rPr>
            </w:pPr>
            <w:r w:rsidRPr="00BC4AFE">
              <w:rPr>
                <w:sz w:val="18"/>
                <w:szCs w:val="18"/>
              </w:rPr>
              <w:t>Ukraine</w:t>
            </w:r>
          </w:p>
        </w:tc>
        <w:tc>
          <w:tcPr>
            <w:tcW w:w="1182" w:type="dxa"/>
            <w:shd w:val="clear" w:color="auto" w:fill="auto"/>
            <w:vAlign w:val="center"/>
            <w:hideMark/>
          </w:tcPr>
          <w:p w14:paraId="47602C2C" w14:textId="77777777" w:rsidR="00FC752D" w:rsidRPr="00BC4AFE" w:rsidRDefault="00FC752D" w:rsidP="006211D7">
            <w:pPr>
              <w:widowControl w:val="0"/>
              <w:ind w:right="144"/>
              <w:jc w:val="right"/>
              <w:rPr>
                <w:sz w:val="18"/>
                <w:szCs w:val="18"/>
              </w:rPr>
            </w:pPr>
            <w:r w:rsidRPr="00BC4AFE">
              <w:rPr>
                <w:sz w:val="18"/>
                <w:szCs w:val="18"/>
              </w:rPr>
              <w:t>0.056</w:t>
            </w:r>
          </w:p>
        </w:tc>
        <w:tc>
          <w:tcPr>
            <w:tcW w:w="1182" w:type="dxa"/>
            <w:shd w:val="clear" w:color="auto" w:fill="auto"/>
            <w:noWrap/>
            <w:vAlign w:val="center"/>
            <w:hideMark/>
          </w:tcPr>
          <w:p w14:paraId="4F8B723E" w14:textId="77777777" w:rsidR="00FC752D" w:rsidRPr="00BC4AFE" w:rsidRDefault="00FC752D" w:rsidP="006211D7">
            <w:pPr>
              <w:widowControl w:val="0"/>
              <w:ind w:right="144"/>
              <w:jc w:val="right"/>
              <w:rPr>
                <w:sz w:val="18"/>
                <w:szCs w:val="18"/>
              </w:rPr>
            </w:pPr>
            <w:r w:rsidRPr="00BC4AFE">
              <w:rPr>
                <w:sz w:val="18"/>
                <w:szCs w:val="18"/>
              </w:rPr>
              <w:t>0.070</w:t>
            </w:r>
          </w:p>
        </w:tc>
        <w:tc>
          <w:tcPr>
            <w:tcW w:w="1182" w:type="dxa"/>
            <w:shd w:val="clear" w:color="auto" w:fill="auto"/>
            <w:noWrap/>
            <w:vAlign w:val="center"/>
            <w:hideMark/>
          </w:tcPr>
          <w:p w14:paraId="33AAA1B2" w14:textId="77777777" w:rsidR="00FC752D" w:rsidRPr="00BC4AFE" w:rsidRDefault="00FC752D" w:rsidP="006211D7">
            <w:pPr>
              <w:widowControl w:val="0"/>
              <w:ind w:right="144"/>
              <w:jc w:val="right"/>
              <w:rPr>
                <w:sz w:val="18"/>
                <w:szCs w:val="18"/>
              </w:rPr>
            </w:pPr>
            <w:r w:rsidRPr="00BC4AFE">
              <w:rPr>
                <w:sz w:val="18"/>
                <w:szCs w:val="18"/>
              </w:rPr>
              <w:t>9,119</w:t>
            </w:r>
          </w:p>
        </w:tc>
        <w:tc>
          <w:tcPr>
            <w:tcW w:w="1182" w:type="dxa"/>
            <w:shd w:val="clear" w:color="auto" w:fill="auto"/>
            <w:noWrap/>
            <w:vAlign w:val="center"/>
            <w:hideMark/>
          </w:tcPr>
          <w:p w14:paraId="3409F618" w14:textId="77777777" w:rsidR="00FC752D" w:rsidRPr="00BC4AFE" w:rsidRDefault="00FC752D" w:rsidP="006211D7">
            <w:pPr>
              <w:widowControl w:val="0"/>
              <w:ind w:right="144"/>
              <w:jc w:val="right"/>
              <w:rPr>
                <w:sz w:val="18"/>
                <w:szCs w:val="18"/>
              </w:rPr>
            </w:pPr>
            <w:r w:rsidRPr="00BC4AFE">
              <w:rPr>
                <w:sz w:val="18"/>
                <w:szCs w:val="18"/>
              </w:rPr>
              <w:t>10,003</w:t>
            </w:r>
          </w:p>
        </w:tc>
        <w:tc>
          <w:tcPr>
            <w:tcW w:w="1171" w:type="dxa"/>
            <w:shd w:val="clear" w:color="auto" w:fill="auto"/>
            <w:noWrap/>
            <w:vAlign w:val="center"/>
            <w:hideMark/>
          </w:tcPr>
          <w:p w14:paraId="7D32B4AE" w14:textId="77777777" w:rsidR="00FC752D" w:rsidRPr="00BC4AFE" w:rsidRDefault="00FC752D" w:rsidP="006211D7">
            <w:pPr>
              <w:widowControl w:val="0"/>
              <w:ind w:right="144"/>
              <w:jc w:val="right"/>
              <w:rPr>
                <w:sz w:val="18"/>
                <w:szCs w:val="18"/>
              </w:rPr>
            </w:pPr>
            <w:r w:rsidRPr="00BC4AFE">
              <w:rPr>
                <w:sz w:val="18"/>
                <w:szCs w:val="18"/>
              </w:rPr>
              <w:t>19,122</w:t>
            </w:r>
          </w:p>
        </w:tc>
      </w:tr>
      <w:tr w:rsidR="00FC752D" w:rsidRPr="00BC4AFE" w14:paraId="6CDE09BE" w14:textId="77777777" w:rsidTr="00A60395">
        <w:trPr>
          <w:cantSplit/>
          <w:trHeight w:val="245"/>
        </w:trPr>
        <w:tc>
          <w:tcPr>
            <w:tcW w:w="3605" w:type="dxa"/>
            <w:shd w:val="clear" w:color="auto" w:fill="auto"/>
            <w:vAlign w:val="center"/>
            <w:hideMark/>
          </w:tcPr>
          <w:p w14:paraId="4E1300F9" w14:textId="77777777" w:rsidR="00FC752D" w:rsidRPr="00BC4AFE" w:rsidRDefault="00FC752D" w:rsidP="006211D7">
            <w:pPr>
              <w:widowControl w:val="0"/>
              <w:ind w:left="144" w:hanging="144"/>
              <w:rPr>
                <w:sz w:val="18"/>
                <w:szCs w:val="18"/>
              </w:rPr>
            </w:pPr>
            <w:r w:rsidRPr="00BC4AFE">
              <w:rPr>
                <w:sz w:val="18"/>
                <w:szCs w:val="18"/>
              </w:rPr>
              <w:t>United Arab Emirates</w:t>
            </w:r>
          </w:p>
        </w:tc>
        <w:tc>
          <w:tcPr>
            <w:tcW w:w="1182" w:type="dxa"/>
            <w:shd w:val="clear" w:color="auto" w:fill="auto"/>
            <w:vAlign w:val="center"/>
            <w:hideMark/>
          </w:tcPr>
          <w:p w14:paraId="4A193AB4" w14:textId="77777777" w:rsidR="00FC752D" w:rsidRPr="00BC4AFE" w:rsidRDefault="00FC752D" w:rsidP="006211D7">
            <w:pPr>
              <w:widowControl w:val="0"/>
              <w:ind w:right="144"/>
              <w:jc w:val="right"/>
              <w:rPr>
                <w:sz w:val="18"/>
                <w:szCs w:val="18"/>
              </w:rPr>
            </w:pPr>
            <w:r w:rsidRPr="00BC4AFE">
              <w:rPr>
                <w:sz w:val="18"/>
                <w:szCs w:val="18"/>
              </w:rPr>
              <w:t>0.635</w:t>
            </w:r>
          </w:p>
        </w:tc>
        <w:tc>
          <w:tcPr>
            <w:tcW w:w="1182" w:type="dxa"/>
            <w:shd w:val="clear" w:color="auto" w:fill="auto"/>
            <w:noWrap/>
            <w:vAlign w:val="center"/>
            <w:hideMark/>
          </w:tcPr>
          <w:p w14:paraId="44EDFAF5" w14:textId="77777777" w:rsidR="00FC752D" w:rsidRPr="00BC4AFE" w:rsidRDefault="00FC752D" w:rsidP="006211D7">
            <w:pPr>
              <w:widowControl w:val="0"/>
              <w:ind w:right="144"/>
              <w:jc w:val="right"/>
              <w:rPr>
                <w:sz w:val="18"/>
                <w:szCs w:val="18"/>
              </w:rPr>
            </w:pPr>
            <w:r w:rsidRPr="00BC4AFE">
              <w:rPr>
                <w:sz w:val="18"/>
                <w:szCs w:val="18"/>
              </w:rPr>
              <w:t>0.794</w:t>
            </w:r>
          </w:p>
        </w:tc>
        <w:tc>
          <w:tcPr>
            <w:tcW w:w="1182" w:type="dxa"/>
            <w:shd w:val="clear" w:color="auto" w:fill="auto"/>
            <w:noWrap/>
            <w:vAlign w:val="center"/>
            <w:hideMark/>
          </w:tcPr>
          <w:p w14:paraId="78C17499" w14:textId="77777777" w:rsidR="00FC752D" w:rsidRPr="00BC4AFE" w:rsidRDefault="00FC752D" w:rsidP="006211D7">
            <w:pPr>
              <w:widowControl w:val="0"/>
              <w:ind w:right="144"/>
              <w:jc w:val="right"/>
              <w:rPr>
                <w:sz w:val="18"/>
                <w:szCs w:val="18"/>
              </w:rPr>
            </w:pPr>
            <w:r w:rsidRPr="00BC4AFE">
              <w:rPr>
                <w:sz w:val="18"/>
                <w:szCs w:val="18"/>
              </w:rPr>
              <w:t>103,408</w:t>
            </w:r>
          </w:p>
        </w:tc>
        <w:tc>
          <w:tcPr>
            <w:tcW w:w="1182" w:type="dxa"/>
            <w:shd w:val="clear" w:color="auto" w:fill="auto"/>
            <w:noWrap/>
            <w:vAlign w:val="center"/>
            <w:hideMark/>
          </w:tcPr>
          <w:p w14:paraId="30A30B7E" w14:textId="77777777" w:rsidR="00FC752D" w:rsidRPr="00BC4AFE" w:rsidRDefault="00FC752D" w:rsidP="006211D7">
            <w:pPr>
              <w:widowControl w:val="0"/>
              <w:ind w:right="144"/>
              <w:jc w:val="right"/>
              <w:rPr>
                <w:sz w:val="18"/>
                <w:szCs w:val="18"/>
              </w:rPr>
            </w:pPr>
            <w:r w:rsidRPr="00BC4AFE">
              <w:rPr>
                <w:sz w:val="18"/>
                <w:szCs w:val="18"/>
              </w:rPr>
              <w:t>113,422</w:t>
            </w:r>
          </w:p>
        </w:tc>
        <w:tc>
          <w:tcPr>
            <w:tcW w:w="1171" w:type="dxa"/>
            <w:shd w:val="clear" w:color="auto" w:fill="auto"/>
            <w:noWrap/>
            <w:vAlign w:val="center"/>
            <w:hideMark/>
          </w:tcPr>
          <w:p w14:paraId="79FCA8A0" w14:textId="77777777" w:rsidR="00FC752D" w:rsidRPr="00BC4AFE" w:rsidRDefault="00FC752D" w:rsidP="006211D7">
            <w:pPr>
              <w:widowControl w:val="0"/>
              <w:ind w:right="144"/>
              <w:jc w:val="right"/>
              <w:rPr>
                <w:sz w:val="18"/>
                <w:szCs w:val="18"/>
              </w:rPr>
            </w:pPr>
            <w:r w:rsidRPr="00BC4AFE">
              <w:rPr>
                <w:sz w:val="18"/>
                <w:szCs w:val="18"/>
              </w:rPr>
              <w:t>216,829</w:t>
            </w:r>
          </w:p>
        </w:tc>
      </w:tr>
      <w:tr w:rsidR="00FC752D" w:rsidRPr="00BC4AFE" w14:paraId="2E7DECE7" w14:textId="77777777" w:rsidTr="00A60395">
        <w:trPr>
          <w:cantSplit/>
          <w:trHeight w:val="245"/>
        </w:trPr>
        <w:tc>
          <w:tcPr>
            <w:tcW w:w="3605" w:type="dxa"/>
            <w:shd w:val="clear" w:color="auto" w:fill="auto"/>
            <w:vAlign w:val="center"/>
            <w:hideMark/>
          </w:tcPr>
          <w:p w14:paraId="1D28B589" w14:textId="77777777" w:rsidR="00FC752D" w:rsidRPr="00BC4AFE" w:rsidRDefault="00FC752D" w:rsidP="006211D7">
            <w:pPr>
              <w:widowControl w:val="0"/>
              <w:ind w:left="144" w:hanging="144"/>
              <w:rPr>
                <w:sz w:val="18"/>
                <w:szCs w:val="18"/>
              </w:rPr>
            </w:pPr>
            <w:r w:rsidRPr="00BC4AFE">
              <w:rPr>
                <w:sz w:val="18"/>
                <w:szCs w:val="18"/>
              </w:rPr>
              <w:lastRenderedPageBreak/>
              <w:t>United Kingdom of Great Britain and Northern Ireland</w:t>
            </w:r>
          </w:p>
        </w:tc>
        <w:tc>
          <w:tcPr>
            <w:tcW w:w="1182" w:type="dxa"/>
            <w:shd w:val="clear" w:color="auto" w:fill="auto"/>
            <w:vAlign w:val="center"/>
            <w:hideMark/>
          </w:tcPr>
          <w:p w14:paraId="3DC917D2" w14:textId="77777777" w:rsidR="00FC752D" w:rsidRPr="00BC4AFE" w:rsidRDefault="00FC752D" w:rsidP="006211D7">
            <w:pPr>
              <w:widowControl w:val="0"/>
              <w:ind w:right="144"/>
              <w:jc w:val="right"/>
              <w:rPr>
                <w:sz w:val="18"/>
                <w:szCs w:val="18"/>
              </w:rPr>
            </w:pPr>
            <w:r w:rsidRPr="00BC4AFE">
              <w:rPr>
                <w:sz w:val="18"/>
                <w:szCs w:val="18"/>
              </w:rPr>
              <w:t>4.375</w:t>
            </w:r>
          </w:p>
        </w:tc>
        <w:tc>
          <w:tcPr>
            <w:tcW w:w="1182" w:type="dxa"/>
            <w:shd w:val="clear" w:color="auto" w:fill="auto"/>
            <w:noWrap/>
            <w:vAlign w:val="center"/>
            <w:hideMark/>
          </w:tcPr>
          <w:p w14:paraId="66A39EF7" w14:textId="77777777" w:rsidR="00FC752D" w:rsidRPr="00BC4AFE" w:rsidRDefault="00FC752D" w:rsidP="006211D7">
            <w:pPr>
              <w:widowControl w:val="0"/>
              <w:ind w:right="144"/>
              <w:jc w:val="right"/>
              <w:rPr>
                <w:sz w:val="18"/>
                <w:szCs w:val="18"/>
              </w:rPr>
            </w:pPr>
            <w:r w:rsidRPr="00BC4AFE">
              <w:rPr>
                <w:sz w:val="18"/>
                <w:szCs w:val="18"/>
              </w:rPr>
              <w:t>5.469</w:t>
            </w:r>
          </w:p>
        </w:tc>
        <w:tc>
          <w:tcPr>
            <w:tcW w:w="1182" w:type="dxa"/>
            <w:shd w:val="clear" w:color="auto" w:fill="auto"/>
            <w:noWrap/>
            <w:vAlign w:val="center"/>
            <w:hideMark/>
          </w:tcPr>
          <w:p w14:paraId="2E16551B" w14:textId="77777777" w:rsidR="00FC752D" w:rsidRPr="00BC4AFE" w:rsidRDefault="00FC752D" w:rsidP="006211D7">
            <w:pPr>
              <w:widowControl w:val="0"/>
              <w:ind w:right="144"/>
              <w:jc w:val="right"/>
              <w:rPr>
                <w:sz w:val="18"/>
                <w:szCs w:val="18"/>
              </w:rPr>
            </w:pPr>
            <w:r w:rsidRPr="00BC4AFE">
              <w:rPr>
                <w:sz w:val="18"/>
                <w:szCs w:val="18"/>
              </w:rPr>
              <w:t>712,456</w:t>
            </w:r>
          </w:p>
        </w:tc>
        <w:tc>
          <w:tcPr>
            <w:tcW w:w="1182" w:type="dxa"/>
            <w:shd w:val="clear" w:color="auto" w:fill="auto"/>
            <w:noWrap/>
            <w:vAlign w:val="center"/>
            <w:hideMark/>
          </w:tcPr>
          <w:p w14:paraId="29CBAB73" w14:textId="77777777" w:rsidR="00FC752D" w:rsidRPr="00BC4AFE" w:rsidRDefault="00FC752D" w:rsidP="006211D7">
            <w:pPr>
              <w:widowControl w:val="0"/>
              <w:ind w:right="144"/>
              <w:jc w:val="right"/>
              <w:rPr>
                <w:sz w:val="18"/>
                <w:szCs w:val="18"/>
              </w:rPr>
            </w:pPr>
            <w:r w:rsidRPr="00BC4AFE">
              <w:rPr>
                <w:sz w:val="18"/>
                <w:szCs w:val="18"/>
              </w:rPr>
              <w:t>781,448</w:t>
            </w:r>
          </w:p>
        </w:tc>
        <w:tc>
          <w:tcPr>
            <w:tcW w:w="1171" w:type="dxa"/>
            <w:shd w:val="clear" w:color="auto" w:fill="auto"/>
            <w:noWrap/>
            <w:vAlign w:val="center"/>
            <w:hideMark/>
          </w:tcPr>
          <w:p w14:paraId="057D2EED" w14:textId="77777777" w:rsidR="00FC752D" w:rsidRPr="00BC4AFE" w:rsidRDefault="00FC752D" w:rsidP="006211D7">
            <w:pPr>
              <w:widowControl w:val="0"/>
              <w:ind w:right="144"/>
              <w:jc w:val="right"/>
              <w:rPr>
                <w:sz w:val="18"/>
                <w:szCs w:val="18"/>
              </w:rPr>
            </w:pPr>
            <w:r w:rsidRPr="00BC4AFE">
              <w:rPr>
                <w:sz w:val="18"/>
                <w:szCs w:val="18"/>
              </w:rPr>
              <w:t>1,493,904</w:t>
            </w:r>
          </w:p>
        </w:tc>
      </w:tr>
      <w:tr w:rsidR="00FC752D" w:rsidRPr="00BC4AFE" w14:paraId="3787F328" w14:textId="77777777" w:rsidTr="00A60395">
        <w:trPr>
          <w:cantSplit/>
          <w:trHeight w:val="245"/>
        </w:trPr>
        <w:tc>
          <w:tcPr>
            <w:tcW w:w="3605" w:type="dxa"/>
            <w:shd w:val="clear" w:color="auto" w:fill="auto"/>
            <w:vAlign w:val="center"/>
            <w:hideMark/>
          </w:tcPr>
          <w:p w14:paraId="2FF6133D" w14:textId="77777777" w:rsidR="00FC752D" w:rsidRPr="00BC4AFE" w:rsidRDefault="00FC752D" w:rsidP="006211D7">
            <w:pPr>
              <w:widowControl w:val="0"/>
              <w:ind w:left="144" w:hanging="144"/>
              <w:rPr>
                <w:sz w:val="18"/>
                <w:szCs w:val="18"/>
              </w:rPr>
            </w:pPr>
            <w:r w:rsidRPr="00BC4AFE">
              <w:rPr>
                <w:sz w:val="18"/>
                <w:szCs w:val="18"/>
              </w:rPr>
              <w:t>United Republic of Tanzania</w:t>
            </w:r>
          </w:p>
        </w:tc>
        <w:tc>
          <w:tcPr>
            <w:tcW w:w="1182" w:type="dxa"/>
            <w:shd w:val="clear" w:color="auto" w:fill="auto"/>
            <w:vAlign w:val="center"/>
            <w:hideMark/>
          </w:tcPr>
          <w:p w14:paraId="0E4CE347"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36B7E5A6"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47F1D663"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23BA7FF0"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44CAEA36"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6C8B611C" w14:textId="77777777" w:rsidTr="00A60395">
        <w:trPr>
          <w:cantSplit/>
          <w:trHeight w:val="245"/>
        </w:trPr>
        <w:tc>
          <w:tcPr>
            <w:tcW w:w="3605" w:type="dxa"/>
            <w:shd w:val="clear" w:color="auto" w:fill="auto"/>
            <w:vAlign w:val="center"/>
            <w:hideMark/>
          </w:tcPr>
          <w:p w14:paraId="758821B1" w14:textId="77777777" w:rsidR="00FC752D" w:rsidRPr="00BC4AFE" w:rsidRDefault="00FC752D" w:rsidP="006211D7">
            <w:pPr>
              <w:widowControl w:val="0"/>
              <w:ind w:left="144" w:hanging="144"/>
              <w:rPr>
                <w:sz w:val="18"/>
                <w:szCs w:val="18"/>
              </w:rPr>
            </w:pPr>
            <w:r w:rsidRPr="00BC4AFE">
              <w:rPr>
                <w:sz w:val="18"/>
                <w:szCs w:val="18"/>
              </w:rPr>
              <w:t>Uruguay</w:t>
            </w:r>
          </w:p>
        </w:tc>
        <w:tc>
          <w:tcPr>
            <w:tcW w:w="1182" w:type="dxa"/>
            <w:shd w:val="clear" w:color="auto" w:fill="auto"/>
            <w:vAlign w:val="center"/>
            <w:hideMark/>
          </w:tcPr>
          <w:p w14:paraId="02816D2E" w14:textId="77777777" w:rsidR="00FC752D" w:rsidRPr="00BC4AFE" w:rsidRDefault="00FC752D" w:rsidP="006211D7">
            <w:pPr>
              <w:widowControl w:val="0"/>
              <w:ind w:right="144"/>
              <w:jc w:val="right"/>
              <w:rPr>
                <w:sz w:val="18"/>
                <w:szCs w:val="18"/>
              </w:rPr>
            </w:pPr>
            <w:r w:rsidRPr="00BC4AFE">
              <w:rPr>
                <w:sz w:val="18"/>
                <w:szCs w:val="18"/>
              </w:rPr>
              <w:t>0.092</w:t>
            </w:r>
          </w:p>
        </w:tc>
        <w:tc>
          <w:tcPr>
            <w:tcW w:w="1182" w:type="dxa"/>
            <w:shd w:val="clear" w:color="auto" w:fill="auto"/>
            <w:noWrap/>
            <w:vAlign w:val="center"/>
            <w:hideMark/>
          </w:tcPr>
          <w:p w14:paraId="3A462426" w14:textId="77777777" w:rsidR="00FC752D" w:rsidRPr="00BC4AFE" w:rsidRDefault="00FC752D" w:rsidP="006211D7">
            <w:pPr>
              <w:widowControl w:val="0"/>
              <w:ind w:right="144"/>
              <w:jc w:val="right"/>
              <w:rPr>
                <w:sz w:val="18"/>
                <w:szCs w:val="18"/>
              </w:rPr>
            </w:pPr>
            <w:r w:rsidRPr="00BC4AFE">
              <w:rPr>
                <w:sz w:val="18"/>
                <w:szCs w:val="18"/>
              </w:rPr>
              <w:t>0.115</w:t>
            </w:r>
          </w:p>
        </w:tc>
        <w:tc>
          <w:tcPr>
            <w:tcW w:w="1182" w:type="dxa"/>
            <w:shd w:val="clear" w:color="auto" w:fill="auto"/>
            <w:noWrap/>
            <w:vAlign w:val="center"/>
            <w:hideMark/>
          </w:tcPr>
          <w:p w14:paraId="2FE5A69E" w14:textId="77777777" w:rsidR="00FC752D" w:rsidRPr="00BC4AFE" w:rsidRDefault="00FC752D" w:rsidP="006211D7">
            <w:pPr>
              <w:widowControl w:val="0"/>
              <w:ind w:right="144"/>
              <w:jc w:val="right"/>
              <w:rPr>
                <w:sz w:val="18"/>
                <w:szCs w:val="18"/>
              </w:rPr>
            </w:pPr>
            <w:r w:rsidRPr="00BC4AFE">
              <w:rPr>
                <w:sz w:val="18"/>
                <w:szCs w:val="18"/>
              </w:rPr>
              <w:t>14,982</w:t>
            </w:r>
          </w:p>
        </w:tc>
        <w:tc>
          <w:tcPr>
            <w:tcW w:w="1182" w:type="dxa"/>
            <w:shd w:val="clear" w:color="auto" w:fill="auto"/>
            <w:noWrap/>
            <w:vAlign w:val="center"/>
            <w:hideMark/>
          </w:tcPr>
          <w:p w14:paraId="1835B997" w14:textId="77777777" w:rsidR="00FC752D" w:rsidRPr="00BC4AFE" w:rsidRDefault="00FC752D" w:rsidP="006211D7">
            <w:pPr>
              <w:widowControl w:val="0"/>
              <w:ind w:right="144"/>
              <w:jc w:val="right"/>
              <w:rPr>
                <w:sz w:val="18"/>
                <w:szCs w:val="18"/>
              </w:rPr>
            </w:pPr>
            <w:r w:rsidRPr="00BC4AFE">
              <w:rPr>
                <w:sz w:val="18"/>
                <w:szCs w:val="18"/>
              </w:rPr>
              <w:t>16,433</w:t>
            </w:r>
          </w:p>
        </w:tc>
        <w:tc>
          <w:tcPr>
            <w:tcW w:w="1171" w:type="dxa"/>
            <w:shd w:val="clear" w:color="auto" w:fill="auto"/>
            <w:noWrap/>
            <w:vAlign w:val="center"/>
            <w:hideMark/>
          </w:tcPr>
          <w:p w14:paraId="601DA68D" w14:textId="77777777" w:rsidR="00FC752D" w:rsidRPr="00BC4AFE" w:rsidRDefault="00FC752D" w:rsidP="006211D7">
            <w:pPr>
              <w:widowControl w:val="0"/>
              <w:ind w:right="144"/>
              <w:jc w:val="right"/>
              <w:rPr>
                <w:sz w:val="18"/>
                <w:szCs w:val="18"/>
              </w:rPr>
            </w:pPr>
            <w:r w:rsidRPr="00BC4AFE">
              <w:rPr>
                <w:sz w:val="18"/>
                <w:szCs w:val="18"/>
              </w:rPr>
              <w:t>31,415</w:t>
            </w:r>
          </w:p>
        </w:tc>
      </w:tr>
      <w:tr w:rsidR="00FC752D" w:rsidRPr="00BC4AFE" w14:paraId="428FD359" w14:textId="77777777" w:rsidTr="00A60395">
        <w:trPr>
          <w:cantSplit/>
          <w:trHeight w:val="245"/>
        </w:trPr>
        <w:tc>
          <w:tcPr>
            <w:tcW w:w="3605" w:type="dxa"/>
            <w:shd w:val="clear" w:color="auto" w:fill="auto"/>
            <w:vAlign w:val="center"/>
            <w:hideMark/>
          </w:tcPr>
          <w:p w14:paraId="3A1972F9" w14:textId="77777777" w:rsidR="00FC752D" w:rsidRPr="00BC4AFE" w:rsidRDefault="00FC752D" w:rsidP="006211D7">
            <w:pPr>
              <w:widowControl w:val="0"/>
              <w:ind w:left="144" w:hanging="144"/>
              <w:rPr>
                <w:sz w:val="18"/>
                <w:szCs w:val="18"/>
              </w:rPr>
            </w:pPr>
            <w:r w:rsidRPr="00BC4AFE">
              <w:rPr>
                <w:sz w:val="18"/>
                <w:szCs w:val="18"/>
              </w:rPr>
              <w:t>Uzbekistan</w:t>
            </w:r>
          </w:p>
        </w:tc>
        <w:tc>
          <w:tcPr>
            <w:tcW w:w="1182" w:type="dxa"/>
            <w:shd w:val="clear" w:color="auto" w:fill="auto"/>
            <w:vAlign w:val="center"/>
            <w:hideMark/>
          </w:tcPr>
          <w:p w14:paraId="7D5C8169" w14:textId="77777777" w:rsidR="00FC752D" w:rsidRPr="00BC4AFE" w:rsidRDefault="00FC752D" w:rsidP="006211D7">
            <w:pPr>
              <w:widowControl w:val="0"/>
              <w:ind w:right="144"/>
              <w:jc w:val="right"/>
              <w:rPr>
                <w:sz w:val="18"/>
                <w:szCs w:val="18"/>
              </w:rPr>
            </w:pPr>
            <w:r w:rsidRPr="00BC4AFE">
              <w:rPr>
                <w:sz w:val="18"/>
                <w:szCs w:val="18"/>
              </w:rPr>
              <w:t>0.027</w:t>
            </w:r>
          </w:p>
        </w:tc>
        <w:tc>
          <w:tcPr>
            <w:tcW w:w="1182" w:type="dxa"/>
            <w:shd w:val="clear" w:color="auto" w:fill="auto"/>
            <w:noWrap/>
            <w:vAlign w:val="center"/>
            <w:hideMark/>
          </w:tcPr>
          <w:p w14:paraId="60DD99DF" w14:textId="77777777" w:rsidR="00FC752D" w:rsidRPr="00BC4AFE" w:rsidRDefault="00FC752D" w:rsidP="006211D7">
            <w:pPr>
              <w:widowControl w:val="0"/>
              <w:ind w:right="144"/>
              <w:jc w:val="right"/>
              <w:rPr>
                <w:sz w:val="18"/>
                <w:szCs w:val="18"/>
              </w:rPr>
            </w:pPr>
            <w:r w:rsidRPr="00BC4AFE">
              <w:rPr>
                <w:sz w:val="18"/>
                <w:szCs w:val="18"/>
              </w:rPr>
              <w:t>0.034</w:t>
            </w:r>
          </w:p>
        </w:tc>
        <w:tc>
          <w:tcPr>
            <w:tcW w:w="1182" w:type="dxa"/>
            <w:shd w:val="clear" w:color="auto" w:fill="auto"/>
            <w:noWrap/>
            <w:vAlign w:val="center"/>
            <w:hideMark/>
          </w:tcPr>
          <w:p w14:paraId="3064DC40" w14:textId="77777777" w:rsidR="00FC752D" w:rsidRPr="00BC4AFE" w:rsidRDefault="00FC752D" w:rsidP="006211D7">
            <w:pPr>
              <w:widowControl w:val="0"/>
              <w:ind w:right="144"/>
              <w:jc w:val="right"/>
              <w:rPr>
                <w:sz w:val="18"/>
                <w:szCs w:val="18"/>
              </w:rPr>
            </w:pPr>
            <w:r w:rsidRPr="00BC4AFE">
              <w:rPr>
                <w:sz w:val="18"/>
                <w:szCs w:val="18"/>
              </w:rPr>
              <w:t>4,397</w:t>
            </w:r>
          </w:p>
        </w:tc>
        <w:tc>
          <w:tcPr>
            <w:tcW w:w="1182" w:type="dxa"/>
            <w:shd w:val="clear" w:color="auto" w:fill="auto"/>
            <w:noWrap/>
            <w:vAlign w:val="center"/>
            <w:hideMark/>
          </w:tcPr>
          <w:p w14:paraId="28624DBB" w14:textId="77777777" w:rsidR="00FC752D" w:rsidRPr="00BC4AFE" w:rsidRDefault="00FC752D" w:rsidP="006211D7">
            <w:pPr>
              <w:widowControl w:val="0"/>
              <w:ind w:right="144"/>
              <w:jc w:val="right"/>
              <w:rPr>
                <w:sz w:val="18"/>
                <w:szCs w:val="18"/>
              </w:rPr>
            </w:pPr>
            <w:r w:rsidRPr="00BC4AFE">
              <w:rPr>
                <w:sz w:val="18"/>
                <w:szCs w:val="18"/>
              </w:rPr>
              <w:t>4,823</w:t>
            </w:r>
          </w:p>
        </w:tc>
        <w:tc>
          <w:tcPr>
            <w:tcW w:w="1171" w:type="dxa"/>
            <w:shd w:val="clear" w:color="auto" w:fill="auto"/>
            <w:noWrap/>
            <w:vAlign w:val="center"/>
            <w:hideMark/>
          </w:tcPr>
          <w:p w14:paraId="5E4CC78A" w14:textId="77777777" w:rsidR="00FC752D" w:rsidRPr="00BC4AFE" w:rsidRDefault="00FC752D" w:rsidP="006211D7">
            <w:pPr>
              <w:widowControl w:val="0"/>
              <w:ind w:right="144"/>
              <w:jc w:val="right"/>
              <w:rPr>
                <w:sz w:val="18"/>
                <w:szCs w:val="18"/>
              </w:rPr>
            </w:pPr>
            <w:r w:rsidRPr="00BC4AFE">
              <w:rPr>
                <w:sz w:val="18"/>
                <w:szCs w:val="18"/>
              </w:rPr>
              <w:t>9,220</w:t>
            </w:r>
          </w:p>
        </w:tc>
      </w:tr>
      <w:tr w:rsidR="00FC752D" w:rsidRPr="00BC4AFE" w14:paraId="06A5B373" w14:textId="77777777" w:rsidTr="00A60395">
        <w:trPr>
          <w:cantSplit/>
          <w:trHeight w:val="245"/>
        </w:trPr>
        <w:tc>
          <w:tcPr>
            <w:tcW w:w="3605" w:type="dxa"/>
            <w:shd w:val="clear" w:color="auto" w:fill="auto"/>
            <w:vAlign w:val="center"/>
            <w:hideMark/>
          </w:tcPr>
          <w:p w14:paraId="22ABCB7C" w14:textId="77777777" w:rsidR="00FC752D" w:rsidRPr="00BC4AFE" w:rsidRDefault="00FC752D" w:rsidP="006211D7">
            <w:pPr>
              <w:widowControl w:val="0"/>
              <w:ind w:left="144" w:hanging="144"/>
              <w:rPr>
                <w:sz w:val="18"/>
                <w:szCs w:val="18"/>
              </w:rPr>
            </w:pPr>
            <w:r w:rsidRPr="00BC4AFE">
              <w:rPr>
                <w:sz w:val="18"/>
                <w:szCs w:val="18"/>
              </w:rPr>
              <w:t>Vanuatu</w:t>
            </w:r>
          </w:p>
        </w:tc>
        <w:tc>
          <w:tcPr>
            <w:tcW w:w="1182" w:type="dxa"/>
            <w:shd w:val="clear" w:color="auto" w:fill="auto"/>
            <w:vAlign w:val="center"/>
            <w:hideMark/>
          </w:tcPr>
          <w:p w14:paraId="33AA18D5"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1F87737B" w14:textId="77777777" w:rsidR="00FC752D" w:rsidRPr="00BC4AFE" w:rsidRDefault="00FC752D" w:rsidP="006211D7">
            <w:pPr>
              <w:widowControl w:val="0"/>
              <w:ind w:right="144"/>
              <w:jc w:val="right"/>
              <w:rPr>
                <w:sz w:val="18"/>
                <w:szCs w:val="18"/>
              </w:rPr>
            </w:pPr>
            <w:r w:rsidRPr="00BC4AFE">
              <w:rPr>
                <w:sz w:val="18"/>
                <w:szCs w:val="18"/>
              </w:rPr>
              <w:t>0.001</w:t>
            </w:r>
          </w:p>
        </w:tc>
        <w:tc>
          <w:tcPr>
            <w:tcW w:w="1182" w:type="dxa"/>
            <w:shd w:val="clear" w:color="auto" w:fill="auto"/>
            <w:noWrap/>
            <w:vAlign w:val="center"/>
            <w:hideMark/>
          </w:tcPr>
          <w:p w14:paraId="2A65EFD4" w14:textId="77777777" w:rsidR="00FC752D" w:rsidRPr="00BC4AFE" w:rsidRDefault="00FC752D" w:rsidP="006211D7">
            <w:pPr>
              <w:widowControl w:val="0"/>
              <w:ind w:right="144"/>
              <w:jc w:val="right"/>
              <w:rPr>
                <w:sz w:val="18"/>
                <w:szCs w:val="18"/>
              </w:rPr>
            </w:pPr>
            <w:r w:rsidRPr="00BC4AFE">
              <w:rPr>
                <w:sz w:val="18"/>
                <w:szCs w:val="18"/>
              </w:rPr>
              <w:t>163</w:t>
            </w:r>
          </w:p>
        </w:tc>
        <w:tc>
          <w:tcPr>
            <w:tcW w:w="1182" w:type="dxa"/>
            <w:shd w:val="clear" w:color="auto" w:fill="auto"/>
            <w:noWrap/>
            <w:vAlign w:val="center"/>
            <w:hideMark/>
          </w:tcPr>
          <w:p w14:paraId="23AE700F" w14:textId="77777777" w:rsidR="00FC752D" w:rsidRPr="00BC4AFE" w:rsidRDefault="00FC752D" w:rsidP="006211D7">
            <w:pPr>
              <w:widowControl w:val="0"/>
              <w:ind w:right="144"/>
              <w:jc w:val="right"/>
              <w:rPr>
                <w:sz w:val="18"/>
                <w:szCs w:val="18"/>
              </w:rPr>
            </w:pPr>
            <w:r w:rsidRPr="00BC4AFE">
              <w:rPr>
                <w:sz w:val="18"/>
                <w:szCs w:val="18"/>
              </w:rPr>
              <w:t>179</w:t>
            </w:r>
          </w:p>
        </w:tc>
        <w:tc>
          <w:tcPr>
            <w:tcW w:w="1171" w:type="dxa"/>
            <w:shd w:val="clear" w:color="auto" w:fill="auto"/>
            <w:noWrap/>
            <w:vAlign w:val="center"/>
            <w:hideMark/>
          </w:tcPr>
          <w:p w14:paraId="760DB355" w14:textId="77777777" w:rsidR="00FC752D" w:rsidRPr="00BC4AFE" w:rsidRDefault="00FC752D" w:rsidP="006211D7">
            <w:pPr>
              <w:widowControl w:val="0"/>
              <w:ind w:right="144"/>
              <w:jc w:val="right"/>
              <w:rPr>
                <w:sz w:val="18"/>
                <w:szCs w:val="18"/>
              </w:rPr>
            </w:pPr>
            <w:r w:rsidRPr="00BC4AFE">
              <w:rPr>
                <w:sz w:val="18"/>
                <w:szCs w:val="18"/>
              </w:rPr>
              <w:t>341</w:t>
            </w:r>
          </w:p>
        </w:tc>
      </w:tr>
      <w:tr w:rsidR="00FC752D" w:rsidRPr="00BC4AFE" w14:paraId="5808895A" w14:textId="77777777" w:rsidTr="00A60395">
        <w:trPr>
          <w:cantSplit/>
          <w:trHeight w:val="245"/>
        </w:trPr>
        <w:tc>
          <w:tcPr>
            <w:tcW w:w="3605" w:type="dxa"/>
            <w:shd w:val="clear" w:color="auto" w:fill="auto"/>
            <w:vAlign w:val="center"/>
            <w:hideMark/>
          </w:tcPr>
          <w:p w14:paraId="1DE20817" w14:textId="77777777" w:rsidR="00FC752D" w:rsidRPr="00BC4AFE" w:rsidRDefault="00FC752D" w:rsidP="006211D7">
            <w:pPr>
              <w:widowControl w:val="0"/>
              <w:ind w:left="144" w:hanging="144"/>
              <w:rPr>
                <w:sz w:val="18"/>
                <w:szCs w:val="18"/>
              </w:rPr>
            </w:pPr>
            <w:r w:rsidRPr="00BC4AFE">
              <w:rPr>
                <w:sz w:val="18"/>
                <w:szCs w:val="18"/>
              </w:rPr>
              <w:t>Venezuela (Bolivarian Republic of)</w:t>
            </w:r>
          </w:p>
        </w:tc>
        <w:tc>
          <w:tcPr>
            <w:tcW w:w="1182" w:type="dxa"/>
            <w:shd w:val="clear" w:color="auto" w:fill="auto"/>
            <w:vAlign w:val="center"/>
            <w:hideMark/>
          </w:tcPr>
          <w:p w14:paraId="035D0E82" w14:textId="77777777" w:rsidR="00FC752D" w:rsidRPr="00BC4AFE" w:rsidRDefault="00FC752D" w:rsidP="006211D7">
            <w:pPr>
              <w:widowControl w:val="0"/>
              <w:ind w:right="144"/>
              <w:jc w:val="right"/>
              <w:rPr>
                <w:sz w:val="18"/>
                <w:szCs w:val="18"/>
              </w:rPr>
            </w:pPr>
            <w:r w:rsidRPr="00BC4AFE">
              <w:rPr>
                <w:sz w:val="18"/>
                <w:szCs w:val="18"/>
              </w:rPr>
              <w:t>0.175</w:t>
            </w:r>
          </w:p>
        </w:tc>
        <w:tc>
          <w:tcPr>
            <w:tcW w:w="1182" w:type="dxa"/>
            <w:shd w:val="clear" w:color="auto" w:fill="auto"/>
            <w:noWrap/>
            <w:vAlign w:val="center"/>
            <w:hideMark/>
          </w:tcPr>
          <w:p w14:paraId="240254E4" w14:textId="77777777" w:rsidR="00FC752D" w:rsidRPr="00BC4AFE" w:rsidRDefault="00FC752D" w:rsidP="006211D7">
            <w:pPr>
              <w:widowControl w:val="0"/>
              <w:ind w:right="144"/>
              <w:jc w:val="right"/>
              <w:rPr>
                <w:sz w:val="18"/>
                <w:szCs w:val="18"/>
              </w:rPr>
            </w:pPr>
            <w:r w:rsidRPr="00BC4AFE">
              <w:rPr>
                <w:sz w:val="18"/>
                <w:szCs w:val="18"/>
              </w:rPr>
              <w:t>0.219</w:t>
            </w:r>
          </w:p>
        </w:tc>
        <w:tc>
          <w:tcPr>
            <w:tcW w:w="1182" w:type="dxa"/>
            <w:shd w:val="clear" w:color="auto" w:fill="auto"/>
            <w:noWrap/>
            <w:vAlign w:val="center"/>
            <w:hideMark/>
          </w:tcPr>
          <w:p w14:paraId="087F6322" w14:textId="77777777" w:rsidR="00FC752D" w:rsidRPr="00BC4AFE" w:rsidRDefault="00FC752D" w:rsidP="006211D7">
            <w:pPr>
              <w:widowControl w:val="0"/>
              <w:ind w:right="144"/>
              <w:jc w:val="right"/>
              <w:rPr>
                <w:sz w:val="18"/>
                <w:szCs w:val="18"/>
              </w:rPr>
            </w:pPr>
            <w:r w:rsidRPr="00BC4AFE">
              <w:rPr>
                <w:sz w:val="18"/>
                <w:szCs w:val="18"/>
              </w:rPr>
              <w:t>28,498</w:t>
            </w:r>
          </w:p>
        </w:tc>
        <w:tc>
          <w:tcPr>
            <w:tcW w:w="1182" w:type="dxa"/>
            <w:shd w:val="clear" w:color="auto" w:fill="auto"/>
            <w:noWrap/>
            <w:vAlign w:val="center"/>
            <w:hideMark/>
          </w:tcPr>
          <w:p w14:paraId="1A0ABA96" w14:textId="77777777" w:rsidR="00FC752D" w:rsidRPr="00BC4AFE" w:rsidRDefault="00FC752D" w:rsidP="006211D7">
            <w:pPr>
              <w:widowControl w:val="0"/>
              <w:ind w:right="144"/>
              <w:jc w:val="right"/>
              <w:rPr>
                <w:sz w:val="18"/>
                <w:szCs w:val="18"/>
              </w:rPr>
            </w:pPr>
            <w:r w:rsidRPr="00BC4AFE">
              <w:rPr>
                <w:sz w:val="18"/>
                <w:szCs w:val="18"/>
              </w:rPr>
              <w:t>31,258</w:t>
            </w:r>
          </w:p>
        </w:tc>
        <w:tc>
          <w:tcPr>
            <w:tcW w:w="1171" w:type="dxa"/>
            <w:shd w:val="clear" w:color="auto" w:fill="auto"/>
            <w:noWrap/>
            <w:vAlign w:val="center"/>
            <w:hideMark/>
          </w:tcPr>
          <w:p w14:paraId="28A4DEEA" w14:textId="77777777" w:rsidR="00FC752D" w:rsidRPr="00BC4AFE" w:rsidRDefault="00FC752D" w:rsidP="006211D7">
            <w:pPr>
              <w:widowControl w:val="0"/>
              <w:ind w:right="144"/>
              <w:jc w:val="right"/>
              <w:rPr>
                <w:sz w:val="18"/>
                <w:szCs w:val="18"/>
              </w:rPr>
            </w:pPr>
            <w:r w:rsidRPr="00BC4AFE">
              <w:rPr>
                <w:sz w:val="18"/>
                <w:szCs w:val="18"/>
              </w:rPr>
              <w:t>59,756</w:t>
            </w:r>
          </w:p>
        </w:tc>
      </w:tr>
      <w:tr w:rsidR="00FC752D" w:rsidRPr="00BC4AFE" w14:paraId="435E9524" w14:textId="77777777" w:rsidTr="00A60395">
        <w:trPr>
          <w:cantSplit/>
          <w:trHeight w:val="245"/>
        </w:trPr>
        <w:tc>
          <w:tcPr>
            <w:tcW w:w="3605" w:type="dxa"/>
            <w:shd w:val="clear" w:color="auto" w:fill="auto"/>
            <w:vAlign w:val="center"/>
            <w:hideMark/>
          </w:tcPr>
          <w:p w14:paraId="5A8A336F" w14:textId="77777777" w:rsidR="00FC752D" w:rsidRPr="00BC4AFE" w:rsidRDefault="00FC752D" w:rsidP="006211D7">
            <w:pPr>
              <w:widowControl w:val="0"/>
              <w:ind w:left="144" w:hanging="144"/>
              <w:rPr>
                <w:sz w:val="18"/>
                <w:szCs w:val="18"/>
              </w:rPr>
            </w:pPr>
            <w:r w:rsidRPr="00BC4AFE">
              <w:rPr>
                <w:sz w:val="18"/>
                <w:szCs w:val="18"/>
              </w:rPr>
              <w:t>Viet Nam</w:t>
            </w:r>
          </w:p>
        </w:tc>
        <w:tc>
          <w:tcPr>
            <w:tcW w:w="1182" w:type="dxa"/>
            <w:shd w:val="clear" w:color="auto" w:fill="auto"/>
            <w:vAlign w:val="center"/>
            <w:hideMark/>
          </w:tcPr>
          <w:p w14:paraId="02E41F31" w14:textId="77777777" w:rsidR="00FC752D" w:rsidRPr="00BC4AFE" w:rsidRDefault="00FC752D" w:rsidP="006211D7">
            <w:pPr>
              <w:widowControl w:val="0"/>
              <w:ind w:right="144"/>
              <w:jc w:val="right"/>
              <w:rPr>
                <w:sz w:val="18"/>
                <w:szCs w:val="18"/>
              </w:rPr>
            </w:pPr>
            <w:r w:rsidRPr="00BC4AFE">
              <w:rPr>
                <w:sz w:val="18"/>
                <w:szCs w:val="18"/>
              </w:rPr>
              <w:t>0.093</w:t>
            </w:r>
          </w:p>
        </w:tc>
        <w:tc>
          <w:tcPr>
            <w:tcW w:w="1182" w:type="dxa"/>
            <w:shd w:val="clear" w:color="auto" w:fill="auto"/>
            <w:noWrap/>
            <w:vAlign w:val="center"/>
            <w:hideMark/>
          </w:tcPr>
          <w:p w14:paraId="048D4391" w14:textId="77777777" w:rsidR="00FC752D" w:rsidRPr="00BC4AFE" w:rsidRDefault="00FC752D" w:rsidP="006211D7">
            <w:pPr>
              <w:widowControl w:val="0"/>
              <w:ind w:right="144"/>
              <w:jc w:val="right"/>
              <w:rPr>
                <w:sz w:val="18"/>
                <w:szCs w:val="18"/>
              </w:rPr>
            </w:pPr>
            <w:r w:rsidRPr="00BC4AFE">
              <w:rPr>
                <w:sz w:val="18"/>
                <w:szCs w:val="18"/>
              </w:rPr>
              <w:t>0.116</w:t>
            </w:r>
          </w:p>
        </w:tc>
        <w:tc>
          <w:tcPr>
            <w:tcW w:w="1182" w:type="dxa"/>
            <w:shd w:val="clear" w:color="auto" w:fill="auto"/>
            <w:noWrap/>
            <w:vAlign w:val="center"/>
            <w:hideMark/>
          </w:tcPr>
          <w:p w14:paraId="3A65BDF6" w14:textId="77777777" w:rsidR="00FC752D" w:rsidRPr="00BC4AFE" w:rsidRDefault="00FC752D" w:rsidP="006211D7">
            <w:pPr>
              <w:widowControl w:val="0"/>
              <w:ind w:right="144"/>
              <w:jc w:val="right"/>
              <w:rPr>
                <w:sz w:val="18"/>
                <w:szCs w:val="18"/>
              </w:rPr>
            </w:pPr>
            <w:r w:rsidRPr="00BC4AFE">
              <w:rPr>
                <w:sz w:val="18"/>
                <w:szCs w:val="18"/>
              </w:rPr>
              <w:t>15,145</w:t>
            </w:r>
          </w:p>
        </w:tc>
        <w:tc>
          <w:tcPr>
            <w:tcW w:w="1182" w:type="dxa"/>
            <w:shd w:val="clear" w:color="auto" w:fill="auto"/>
            <w:noWrap/>
            <w:vAlign w:val="center"/>
            <w:hideMark/>
          </w:tcPr>
          <w:p w14:paraId="6C355E3F" w14:textId="77777777" w:rsidR="00FC752D" w:rsidRPr="00BC4AFE" w:rsidRDefault="00FC752D" w:rsidP="006211D7">
            <w:pPr>
              <w:widowControl w:val="0"/>
              <w:ind w:right="144"/>
              <w:jc w:val="right"/>
              <w:rPr>
                <w:sz w:val="18"/>
                <w:szCs w:val="18"/>
              </w:rPr>
            </w:pPr>
            <w:r w:rsidRPr="00BC4AFE">
              <w:rPr>
                <w:sz w:val="18"/>
                <w:szCs w:val="18"/>
              </w:rPr>
              <w:t>16,611</w:t>
            </w:r>
          </w:p>
        </w:tc>
        <w:tc>
          <w:tcPr>
            <w:tcW w:w="1171" w:type="dxa"/>
            <w:shd w:val="clear" w:color="auto" w:fill="auto"/>
            <w:noWrap/>
            <w:vAlign w:val="center"/>
            <w:hideMark/>
          </w:tcPr>
          <w:p w14:paraId="566D8A46" w14:textId="77777777" w:rsidR="00FC752D" w:rsidRPr="00BC4AFE" w:rsidRDefault="00FC752D" w:rsidP="006211D7">
            <w:pPr>
              <w:widowControl w:val="0"/>
              <w:ind w:right="144"/>
              <w:jc w:val="right"/>
              <w:rPr>
                <w:sz w:val="18"/>
                <w:szCs w:val="18"/>
              </w:rPr>
            </w:pPr>
            <w:r w:rsidRPr="00BC4AFE">
              <w:rPr>
                <w:sz w:val="18"/>
                <w:szCs w:val="18"/>
              </w:rPr>
              <w:t>31,756</w:t>
            </w:r>
          </w:p>
        </w:tc>
      </w:tr>
      <w:tr w:rsidR="00FC752D" w:rsidRPr="00BC4AFE" w14:paraId="38AA1C5A" w14:textId="77777777" w:rsidTr="00A60395">
        <w:trPr>
          <w:cantSplit/>
          <w:trHeight w:val="245"/>
        </w:trPr>
        <w:tc>
          <w:tcPr>
            <w:tcW w:w="3605" w:type="dxa"/>
            <w:shd w:val="clear" w:color="auto" w:fill="auto"/>
            <w:vAlign w:val="center"/>
            <w:hideMark/>
          </w:tcPr>
          <w:p w14:paraId="1E8C6DA2" w14:textId="77777777" w:rsidR="00FC752D" w:rsidRPr="00BC4AFE" w:rsidRDefault="00FC752D" w:rsidP="006211D7">
            <w:pPr>
              <w:widowControl w:val="0"/>
              <w:ind w:left="144" w:hanging="144"/>
              <w:rPr>
                <w:sz w:val="18"/>
                <w:szCs w:val="18"/>
              </w:rPr>
            </w:pPr>
            <w:r w:rsidRPr="00BC4AFE">
              <w:rPr>
                <w:sz w:val="18"/>
                <w:szCs w:val="18"/>
              </w:rPr>
              <w:t>Yemen</w:t>
            </w:r>
          </w:p>
        </w:tc>
        <w:tc>
          <w:tcPr>
            <w:tcW w:w="1182" w:type="dxa"/>
            <w:shd w:val="clear" w:color="auto" w:fill="auto"/>
            <w:vAlign w:val="center"/>
            <w:hideMark/>
          </w:tcPr>
          <w:p w14:paraId="0C569461"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70870D60"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0819084D"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43601F28"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59980950"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39FFA543" w14:textId="77777777" w:rsidTr="00A60395">
        <w:trPr>
          <w:cantSplit/>
          <w:trHeight w:val="245"/>
        </w:trPr>
        <w:tc>
          <w:tcPr>
            <w:tcW w:w="3605" w:type="dxa"/>
            <w:shd w:val="clear" w:color="auto" w:fill="auto"/>
            <w:vAlign w:val="center"/>
            <w:hideMark/>
          </w:tcPr>
          <w:p w14:paraId="710E7DD0" w14:textId="77777777" w:rsidR="00FC752D" w:rsidRPr="00BC4AFE" w:rsidRDefault="00FC752D" w:rsidP="006211D7">
            <w:pPr>
              <w:widowControl w:val="0"/>
              <w:ind w:left="144" w:hanging="144"/>
              <w:rPr>
                <w:sz w:val="18"/>
                <w:szCs w:val="18"/>
              </w:rPr>
            </w:pPr>
            <w:r w:rsidRPr="00BC4AFE">
              <w:rPr>
                <w:sz w:val="18"/>
                <w:szCs w:val="18"/>
              </w:rPr>
              <w:t>Zambia</w:t>
            </w:r>
          </w:p>
        </w:tc>
        <w:tc>
          <w:tcPr>
            <w:tcW w:w="1182" w:type="dxa"/>
            <w:shd w:val="clear" w:color="auto" w:fill="auto"/>
            <w:vAlign w:val="center"/>
            <w:hideMark/>
          </w:tcPr>
          <w:p w14:paraId="53FD7B97" w14:textId="77777777" w:rsidR="00FC752D" w:rsidRPr="00BC4AFE" w:rsidRDefault="00FC752D" w:rsidP="006211D7">
            <w:pPr>
              <w:widowControl w:val="0"/>
              <w:ind w:right="144"/>
              <w:jc w:val="right"/>
              <w:rPr>
                <w:sz w:val="18"/>
                <w:szCs w:val="18"/>
              </w:rPr>
            </w:pPr>
            <w:r w:rsidRPr="00BC4AFE">
              <w:rPr>
                <w:sz w:val="18"/>
                <w:szCs w:val="18"/>
              </w:rPr>
              <w:t>0.008</w:t>
            </w:r>
          </w:p>
        </w:tc>
        <w:tc>
          <w:tcPr>
            <w:tcW w:w="1182" w:type="dxa"/>
            <w:shd w:val="clear" w:color="auto" w:fill="auto"/>
            <w:noWrap/>
            <w:vAlign w:val="center"/>
            <w:hideMark/>
          </w:tcPr>
          <w:p w14:paraId="3E7B2067" w14:textId="77777777" w:rsidR="00FC752D" w:rsidRPr="00BC4AFE" w:rsidRDefault="00FC752D" w:rsidP="006211D7">
            <w:pPr>
              <w:widowControl w:val="0"/>
              <w:ind w:right="144"/>
              <w:jc w:val="right"/>
              <w:rPr>
                <w:sz w:val="18"/>
                <w:szCs w:val="18"/>
              </w:rPr>
            </w:pPr>
            <w:r w:rsidRPr="00BC4AFE">
              <w:rPr>
                <w:sz w:val="18"/>
                <w:szCs w:val="18"/>
              </w:rPr>
              <w:t>0.010</w:t>
            </w:r>
          </w:p>
        </w:tc>
        <w:tc>
          <w:tcPr>
            <w:tcW w:w="1182" w:type="dxa"/>
            <w:shd w:val="clear" w:color="auto" w:fill="auto"/>
            <w:noWrap/>
            <w:vAlign w:val="center"/>
            <w:hideMark/>
          </w:tcPr>
          <w:p w14:paraId="1496F360" w14:textId="77777777" w:rsidR="00FC752D" w:rsidRPr="00BC4AFE" w:rsidRDefault="00FC752D" w:rsidP="006211D7">
            <w:pPr>
              <w:widowControl w:val="0"/>
              <w:ind w:right="144"/>
              <w:jc w:val="right"/>
              <w:rPr>
                <w:sz w:val="18"/>
                <w:szCs w:val="18"/>
              </w:rPr>
            </w:pPr>
            <w:r w:rsidRPr="00BC4AFE">
              <w:rPr>
                <w:sz w:val="18"/>
                <w:szCs w:val="18"/>
              </w:rPr>
              <w:t>1,303</w:t>
            </w:r>
          </w:p>
        </w:tc>
        <w:tc>
          <w:tcPr>
            <w:tcW w:w="1182" w:type="dxa"/>
            <w:shd w:val="clear" w:color="auto" w:fill="auto"/>
            <w:noWrap/>
            <w:vAlign w:val="center"/>
            <w:hideMark/>
          </w:tcPr>
          <w:p w14:paraId="7E036930" w14:textId="77777777" w:rsidR="00FC752D" w:rsidRPr="00BC4AFE" w:rsidRDefault="00FC752D" w:rsidP="006211D7">
            <w:pPr>
              <w:widowControl w:val="0"/>
              <w:ind w:right="144"/>
              <w:jc w:val="right"/>
              <w:rPr>
                <w:sz w:val="18"/>
                <w:szCs w:val="18"/>
              </w:rPr>
            </w:pPr>
            <w:r w:rsidRPr="00BC4AFE">
              <w:rPr>
                <w:sz w:val="18"/>
                <w:szCs w:val="18"/>
              </w:rPr>
              <w:t>1,429</w:t>
            </w:r>
          </w:p>
        </w:tc>
        <w:tc>
          <w:tcPr>
            <w:tcW w:w="1171" w:type="dxa"/>
            <w:shd w:val="clear" w:color="auto" w:fill="auto"/>
            <w:noWrap/>
            <w:vAlign w:val="center"/>
            <w:hideMark/>
          </w:tcPr>
          <w:p w14:paraId="63E742EF" w14:textId="77777777" w:rsidR="00FC752D" w:rsidRPr="00BC4AFE" w:rsidRDefault="00FC752D" w:rsidP="006211D7">
            <w:pPr>
              <w:widowControl w:val="0"/>
              <w:ind w:right="144"/>
              <w:jc w:val="right"/>
              <w:rPr>
                <w:sz w:val="18"/>
                <w:szCs w:val="18"/>
              </w:rPr>
            </w:pPr>
            <w:r w:rsidRPr="00BC4AFE">
              <w:rPr>
                <w:sz w:val="18"/>
                <w:szCs w:val="18"/>
              </w:rPr>
              <w:t>2,732</w:t>
            </w:r>
          </w:p>
        </w:tc>
      </w:tr>
      <w:tr w:rsidR="00FC752D" w:rsidRPr="00BC4AFE" w14:paraId="557CF6A0" w14:textId="77777777" w:rsidTr="00A60395">
        <w:trPr>
          <w:cantSplit/>
          <w:trHeight w:val="245"/>
        </w:trPr>
        <w:tc>
          <w:tcPr>
            <w:tcW w:w="3605" w:type="dxa"/>
            <w:shd w:val="clear" w:color="auto" w:fill="auto"/>
            <w:vAlign w:val="center"/>
            <w:hideMark/>
          </w:tcPr>
          <w:p w14:paraId="1F73DE66" w14:textId="77777777" w:rsidR="00FC752D" w:rsidRPr="00BC4AFE" w:rsidRDefault="00FC752D" w:rsidP="006211D7">
            <w:pPr>
              <w:widowControl w:val="0"/>
              <w:ind w:left="144" w:hanging="144"/>
              <w:rPr>
                <w:sz w:val="18"/>
                <w:szCs w:val="18"/>
              </w:rPr>
            </w:pPr>
            <w:r w:rsidRPr="00BC4AFE">
              <w:rPr>
                <w:sz w:val="18"/>
                <w:szCs w:val="18"/>
              </w:rPr>
              <w:t>Zimbabwe</w:t>
            </w:r>
          </w:p>
        </w:tc>
        <w:tc>
          <w:tcPr>
            <w:tcW w:w="1182" w:type="dxa"/>
            <w:shd w:val="clear" w:color="auto" w:fill="auto"/>
            <w:vAlign w:val="center"/>
            <w:hideMark/>
          </w:tcPr>
          <w:p w14:paraId="3B27A77A" w14:textId="77777777" w:rsidR="00FC752D" w:rsidRPr="00BC4AFE" w:rsidRDefault="00FC752D" w:rsidP="006211D7">
            <w:pPr>
              <w:widowControl w:val="0"/>
              <w:ind w:right="144"/>
              <w:jc w:val="right"/>
              <w:rPr>
                <w:sz w:val="18"/>
                <w:szCs w:val="18"/>
              </w:rPr>
            </w:pPr>
            <w:r w:rsidRPr="00BC4AFE">
              <w:rPr>
                <w:sz w:val="18"/>
                <w:szCs w:val="18"/>
              </w:rPr>
              <w:t>0.007</w:t>
            </w:r>
          </w:p>
        </w:tc>
        <w:tc>
          <w:tcPr>
            <w:tcW w:w="1182" w:type="dxa"/>
            <w:shd w:val="clear" w:color="auto" w:fill="auto"/>
            <w:noWrap/>
            <w:vAlign w:val="center"/>
            <w:hideMark/>
          </w:tcPr>
          <w:p w14:paraId="7B50C48A" w14:textId="77777777" w:rsidR="00FC752D" w:rsidRPr="00BC4AFE" w:rsidRDefault="00FC752D" w:rsidP="006211D7">
            <w:pPr>
              <w:widowControl w:val="0"/>
              <w:ind w:right="144"/>
              <w:jc w:val="right"/>
              <w:rPr>
                <w:sz w:val="18"/>
                <w:szCs w:val="18"/>
              </w:rPr>
            </w:pPr>
            <w:r w:rsidRPr="00BC4AFE">
              <w:rPr>
                <w:sz w:val="18"/>
                <w:szCs w:val="18"/>
              </w:rPr>
              <w:t>0.009</w:t>
            </w:r>
          </w:p>
        </w:tc>
        <w:tc>
          <w:tcPr>
            <w:tcW w:w="1182" w:type="dxa"/>
            <w:shd w:val="clear" w:color="auto" w:fill="auto"/>
            <w:noWrap/>
            <w:vAlign w:val="center"/>
            <w:hideMark/>
          </w:tcPr>
          <w:p w14:paraId="6490DE70" w14:textId="77777777" w:rsidR="00FC752D" w:rsidRPr="00BC4AFE" w:rsidRDefault="00FC752D" w:rsidP="006211D7">
            <w:pPr>
              <w:widowControl w:val="0"/>
              <w:ind w:right="144"/>
              <w:jc w:val="right"/>
              <w:rPr>
                <w:sz w:val="18"/>
                <w:szCs w:val="18"/>
              </w:rPr>
            </w:pPr>
            <w:r w:rsidRPr="00BC4AFE">
              <w:rPr>
                <w:sz w:val="18"/>
                <w:szCs w:val="18"/>
              </w:rPr>
              <w:t>1,140</w:t>
            </w:r>
          </w:p>
        </w:tc>
        <w:tc>
          <w:tcPr>
            <w:tcW w:w="1182" w:type="dxa"/>
            <w:shd w:val="clear" w:color="auto" w:fill="auto"/>
            <w:noWrap/>
            <w:vAlign w:val="center"/>
            <w:hideMark/>
          </w:tcPr>
          <w:p w14:paraId="24B255B7" w14:textId="77777777" w:rsidR="00FC752D" w:rsidRPr="00BC4AFE" w:rsidRDefault="00FC752D" w:rsidP="006211D7">
            <w:pPr>
              <w:widowControl w:val="0"/>
              <w:ind w:right="144"/>
              <w:jc w:val="right"/>
              <w:rPr>
                <w:sz w:val="18"/>
                <w:szCs w:val="18"/>
              </w:rPr>
            </w:pPr>
            <w:r w:rsidRPr="00BC4AFE">
              <w:rPr>
                <w:sz w:val="18"/>
                <w:szCs w:val="18"/>
              </w:rPr>
              <w:t>1,250</w:t>
            </w:r>
          </w:p>
        </w:tc>
        <w:tc>
          <w:tcPr>
            <w:tcW w:w="1171" w:type="dxa"/>
            <w:shd w:val="clear" w:color="auto" w:fill="auto"/>
            <w:noWrap/>
            <w:vAlign w:val="center"/>
            <w:hideMark/>
          </w:tcPr>
          <w:p w14:paraId="688F1DF4" w14:textId="77777777" w:rsidR="00FC752D" w:rsidRPr="00BC4AFE" w:rsidRDefault="00FC752D" w:rsidP="006211D7">
            <w:pPr>
              <w:widowControl w:val="0"/>
              <w:ind w:right="144"/>
              <w:jc w:val="right"/>
              <w:rPr>
                <w:sz w:val="18"/>
                <w:szCs w:val="18"/>
              </w:rPr>
            </w:pPr>
            <w:r w:rsidRPr="00BC4AFE">
              <w:rPr>
                <w:sz w:val="18"/>
                <w:szCs w:val="18"/>
              </w:rPr>
              <w:t>2,390</w:t>
            </w:r>
          </w:p>
        </w:tc>
      </w:tr>
      <w:tr w:rsidR="00FC752D" w:rsidRPr="00BC4AFE" w14:paraId="2D657A44" w14:textId="77777777" w:rsidTr="00A60395">
        <w:trPr>
          <w:cantSplit/>
          <w:trHeight w:val="288"/>
        </w:trPr>
        <w:tc>
          <w:tcPr>
            <w:tcW w:w="3605" w:type="dxa"/>
            <w:shd w:val="clear" w:color="auto" w:fill="auto"/>
            <w:noWrap/>
            <w:vAlign w:val="center"/>
            <w:hideMark/>
          </w:tcPr>
          <w:p w14:paraId="360E41ED" w14:textId="77777777" w:rsidR="00FC752D" w:rsidRPr="00BC4AFE" w:rsidRDefault="00FC752D" w:rsidP="006211D7">
            <w:pPr>
              <w:widowControl w:val="0"/>
              <w:ind w:left="144" w:hanging="144"/>
              <w:rPr>
                <w:b/>
                <w:bCs/>
                <w:sz w:val="18"/>
                <w:szCs w:val="18"/>
              </w:rPr>
            </w:pPr>
            <w:r w:rsidRPr="00BC4AFE">
              <w:rPr>
                <w:b/>
                <w:bCs/>
                <w:sz w:val="18"/>
                <w:szCs w:val="18"/>
              </w:rPr>
              <w:t xml:space="preserve">Total </w:t>
            </w:r>
          </w:p>
        </w:tc>
        <w:tc>
          <w:tcPr>
            <w:tcW w:w="1182" w:type="dxa"/>
            <w:shd w:val="clear" w:color="auto" w:fill="auto"/>
            <w:noWrap/>
            <w:vAlign w:val="center"/>
            <w:hideMark/>
          </w:tcPr>
          <w:p w14:paraId="5C03E6DB" w14:textId="77777777" w:rsidR="00FC752D" w:rsidRPr="00BC4AFE" w:rsidRDefault="00FC752D" w:rsidP="006211D7">
            <w:pPr>
              <w:widowControl w:val="0"/>
              <w:ind w:right="144"/>
              <w:jc w:val="right"/>
              <w:rPr>
                <w:b/>
                <w:bCs/>
                <w:sz w:val="18"/>
                <w:szCs w:val="18"/>
              </w:rPr>
            </w:pPr>
            <w:r w:rsidRPr="00BC4AFE">
              <w:rPr>
                <w:b/>
                <w:bCs/>
                <w:sz w:val="18"/>
                <w:szCs w:val="18"/>
              </w:rPr>
              <w:t>78.013</w:t>
            </w:r>
          </w:p>
        </w:tc>
        <w:tc>
          <w:tcPr>
            <w:tcW w:w="1182" w:type="dxa"/>
            <w:shd w:val="clear" w:color="auto" w:fill="auto"/>
            <w:noWrap/>
            <w:vAlign w:val="center"/>
            <w:hideMark/>
          </w:tcPr>
          <w:p w14:paraId="1CBC3D85" w14:textId="77777777" w:rsidR="00FC752D" w:rsidRPr="00BC4AFE" w:rsidRDefault="00FC752D" w:rsidP="006211D7">
            <w:pPr>
              <w:widowControl w:val="0"/>
              <w:ind w:right="144"/>
              <w:jc w:val="right"/>
              <w:rPr>
                <w:b/>
                <w:bCs/>
                <w:sz w:val="18"/>
                <w:szCs w:val="18"/>
              </w:rPr>
            </w:pPr>
            <w:r w:rsidRPr="00BC4AFE">
              <w:rPr>
                <w:b/>
                <w:bCs/>
                <w:sz w:val="18"/>
                <w:szCs w:val="18"/>
              </w:rPr>
              <w:t>100</w:t>
            </w:r>
          </w:p>
        </w:tc>
        <w:tc>
          <w:tcPr>
            <w:tcW w:w="1182" w:type="dxa"/>
            <w:shd w:val="clear" w:color="auto" w:fill="auto"/>
            <w:noWrap/>
            <w:vAlign w:val="center"/>
            <w:hideMark/>
          </w:tcPr>
          <w:p w14:paraId="7C90E89C" w14:textId="77777777" w:rsidR="00FC752D" w:rsidRPr="00BC4AFE" w:rsidRDefault="00FC752D" w:rsidP="006211D7">
            <w:pPr>
              <w:widowControl w:val="0"/>
              <w:ind w:right="144"/>
              <w:jc w:val="right"/>
              <w:rPr>
                <w:b/>
                <w:bCs/>
                <w:sz w:val="18"/>
                <w:szCs w:val="18"/>
              </w:rPr>
            </w:pPr>
            <w:r w:rsidRPr="00BC4AFE">
              <w:rPr>
                <w:b/>
                <w:bCs/>
                <w:sz w:val="18"/>
                <w:szCs w:val="18"/>
              </w:rPr>
              <w:t>13,026,935</w:t>
            </w:r>
          </w:p>
        </w:tc>
        <w:tc>
          <w:tcPr>
            <w:tcW w:w="1182" w:type="dxa"/>
            <w:shd w:val="clear" w:color="auto" w:fill="auto"/>
            <w:noWrap/>
            <w:vAlign w:val="center"/>
            <w:hideMark/>
          </w:tcPr>
          <w:p w14:paraId="5E38ABF2" w14:textId="77777777" w:rsidR="00FC752D" w:rsidRPr="00BC4AFE" w:rsidRDefault="00FC752D" w:rsidP="006211D7">
            <w:pPr>
              <w:widowControl w:val="0"/>
              <w:ind w:right="144"/>
              <w:jc w:val="right"/>
              <w:rPr>
                <w:b/>
                <w:bCs/>
                <w:sz w:val="18"/>
                <w:szCs w:val="18"/>
              </w:rPr>
            </w:pPr>
            <w:r w:rsidRPr="00BC4AFE">
              <w:rPr>
                <w:b/>
                <w:bCs/>
                <w:sz w:val="18"/>
                <w:szCs w:val="18"/>
              </w:rPr>
              <w:t>14,288,410</w:t>
            </w:r>
          </w:p>
        </w:tc>
        <w:tc>
          <w:tcPr>
            <w:tcW w:w="1171" w:type="dxa"/>
            <w:shd w:val="clear" w:color="auto" w:fill="auto"/>
            <w:noWrap/>
            <w:vAlign w:val="center"/>
            <w:hideMark/>
          </w:tcPr>
          <w:p w14:paraId="3F2945BF" w14:textId="77777777" w:rsidR="00FC752D" w:rsidRPr="00BC4AFE" w:rsidRDefault="00FC752D" w:rsidP="006211D7">
            <w:pPr>
              <w:widowControl w:val="0"/>
              <w:ind w:right="144"/>
              <w:jc w:val="right"/>
              <w:rPr>
                <w:b/>
                <w:bCs/>
                <w:sz w:val="18"/>
                <w:szCs w:val="18"/>
              </w:rPr>
            </w:pPr>
            <w:r w:rsidRPr="00BC4AFE">
              <w:rPr>
                <w:b/>
                <w:bCs/>
                <w:sz w:val="18"/>
                <w:szCs w:val="18"/>
              </w:rPr>
              <w:t>27,315,345</w:t>
            </w:r>
          </w:p>
        </w:tc>
      </w:tr>
    </w:tbl>
    <w:p w14:paraId="00E2556F" w14:textId="77777777" w:rsidR="00AC55F4" w:rsidRDefault="00AC55F4" w:rsidP="00150221">
      <w:pPr>
        <w:pStyle w:val="decision"/>
        <w:sectPr w:rsidR="00AC55F4" w:rsidSect="00796161">
          <w:footnotePr>
            <w:numRestart w:val="eachSect"/>
          </w:footnotePr>
          <w:pgSz w:w="12240" w:h="15840"/>
          <w:pgMar w:top="567" w:right="1440" w:bottom="1134" w:left="1440" w:header="709" w:footer="709" w:gutter="0"/>
          <w:cols w:space="708"/>
          <w:docGrid w:linePitch="360"/>
        </w:sectPr>
      </w:pPr>
      <w:bookmarkStart w:id="397" w:name="_Toc150438833"/>
      <w:bookmarkStart w:id="398" w:name="_Toc150670540"/>
      <w:bookmarkStart w:id="399" w:name="_Toc150670650"/>
    </w:p>
    <w:p w14:paraId="0742C331" w14:textId="77777777" w:rsidR="004A28CC" w:rsidRDefault="004A28CC" w:rsidP="00150221">
      <w:pPr>
        <w:pStyle w:val="decision"/>
        <w:rPr>
          <w:lang w:val="en-CA"/>
        </w:rPr>
      </w:pPr>
      <w:bookmarkStart w:id="400" w:name="_Toc150761145"/>
      <w:r>
        <w:lastRenderedPageBreak/>
        <w:t>15/35.</w:t>
      </w:r>
      <w:r>
        <w:tab/>
      </w:r>
      <w:r w:rsidRPr="00421A18">
        <w:t>Date and venue of future meetings of the Conference of the Parties</w:t>
      </w:r>
      <w:bookmarkEnd w:id="397"/>
      <w:bookmarkEnd w:id="398"/>
      <w:bookmarkEnd w:id="399"/>
      <w:bookmarkEnd w:id="400"/>
      <w:r w:rsidRPr="00421A18">
        <w:rPr>
          <w:lang w:val="en-CA"/>
        </w:rPr>
        <w:t xml:space="preserve"> </w:t>
      </w:r>
    </w:p>
    <w:p w14:paraId="2746F383" w14:textId="77777777" w:rsidR="004A28CC" w:rsidRPr="00857488" w:rsidRDefault="004A28CC" w:rsidP="00421A18">
      <w:pPr>
        <w:snapToGrid w:val="0"/>
        <w:spacing w:before="120" w:after="120"/>
        <w:ind w:firstLine="720"/>
        <w:rPr>
          <w:i/>
          <w:kern w:val="22"/>
          <w:szCs w:val="18"/>
        </w:rPr>
      </w:pPr>
      <w:r w:rsidRPr="00857488">
        <w:rPr>
          <w:i/>
          <w:kern w:val="22"/>
          <w:szCs w:val="18"/>
        </w:rPr>
        <w:t>The Conference of the Parties,</w:t>
      </w:r>
    </w:p>
    <w:p w14:paraId="67F8B1B8" w14:textId="77777777" w:rsidR="004A28CC" w:rsidRDefault="004A28CC" w:rsidP="004472B4">
      <w:pPr>
        <w:snapToGrid w:val="0"/>
        <w:spacing w:before="120" w:after="120"/>
        <w:ind w:firstLine="567"/>
        <w:rPr>
          <w:kern w:val="22"/>
          <w:szCs w:val="18"/>
        </w:rPr>
      </w:pPr>
      <w:r w:rsidRPr="00857488">
        <w:rPr>
          <w:i/>
          <w:kern w:val="22"/>
          <w:szCs w:val="18"/>
        </w:rPr>
        <w:t>Recalling</w:t>
      </w:r>
      <w:r w:rsidRPr="00857488">
        <w:rPr>
          <w:kern w:val="22"/>
          <w:szCs w:val="18"/>
        </w:rPr>
        <w:t xml:space="preserve"> </w:t>
      </w:r>
      <w:r>
        <w:rPr>
          <w:kern w:val="22"/>
          <w:szCs w:val="18"/>
        </w:rPr>
        <w:t xml:space="preserve">its </w:t>
      </w:r>
      <w:r w:rsidRPr="00857488">
        <w:rPr>
          <w:kern w:val="22"/>
          <w:szCs w:val="18"/>
        </w:rPr>
        <w:t>decision</w:t>
      </w:r>
      <w:r>
        <w:rPr>
          <w:kern w:val="22"/>
          <w:szCs w:val="18"/>
        </w:rPr>
        <w:t xml:space="preserve"> 15/32 of 19 December 2022</w:t>
      </w:r>
      <w:r w:rsidRPr="00857488">
        <w:rPr>
          <w:kern w:val="22"/>
          <w:szCs w:val="18"/>
        </w:rPr>
        <w:t>,</w:t>
      </w:r>
    </w:p>
    <w:p w14:paraId="4AC6C479" w14:textId="77777777" w:rsidR="004A28CC" w:rsidRPr="00857488" w:rsidRDefault="004A28CC" w:rsidP="004472B4">
      <w:pPr>
        <w:snapToGrid w:val="0"/>
        <w:spacing w:before="120" w:after="120"/>
        <w:ind w:firstLine="567"/>
        <w:rPr>
          <w:kern w:val="22"/>
          <w:szCs w:val="18"/>
        </w:rPr>
      </w:pPr>
      <w:r w:rsidRPr="00C5340E">
        <w:rPr>
          <w:i/>
          <w:iCs/>
          <w:kern w:val="22"/>
          <w:szCs w:val="18"/>
        </w:rPr>
        <w:t>Noting</w:t>
      </w:r>
      <w:r>
        <w:rPr>
          <w:kern w:val="22"/>
          <w:szCs w:val="18"/>
        </w:rPr>
        <w:t xml:space="preserve"> the withdrawal by the Government of Türkiye of its offer to host the sixteenth meeting of the Conference of the </w:t>
      </w:r>
      <w:r w:rsidRPr="00077FE3">
        <w:rPr>
          <w:kern w:val="22"/>
          <w:szCs w:val="18"/>
        </w:rPr>
        <w:t xml:space="preserve">Parties </w:t>
      </w:r>
      <w:r>
        <w:rPr>
          <w:kern w:val="22"/>
          <w:szCs w:val="18"/>
        </w:rPr>
        <w:t xml:space="preserve">to the Convention on </w:t>
      </w:r>
      <w:r w:rsidRPr="00B15DFC">
        <w:rPr>
          <w:kern w:val="22"/>
          <w:szCs w:val="18"/>
        </w:rPr>
        <w:t>Biological Diversity,</w:t>
      </w:r>
      <w:r w:rsidRPr="00610646">
        <w:rPr>
          <w:rStyle w:val="FootnoteReference"/>
        </w:rPr>
        <w:footnoteReference w:id="392"/>
      </w:r>
      <w:r w:rsidRPr="00B15DFC">
        <w:rPr>
          <w:kern w:val="22"/>
          <w:szCs w:val="18"/>
        </w:rPr>
        <w:t xml:space="preserve"> </w:t>
      </w:r>
      <w:r w:rsidRPr="00F14EBD">
        <w:rPr>
          <w:kern w:val="22"/>
          <w:szCs w:val="18"/>
        </w:rPr>
        <w:t>owing to</w:t>
      </w:r>
      <w:r>
        <w:rPr>
          <w:kern w:val="22"/>
          <w:szCs w:val="18"/>
        </w:rPr>
        <w:t xml:space="preserve"> the challenges of recovery from the damage caused by the tragic earthquakes suffered by the country in February 2023, </w:t>
      </w:r>
    </w:p>
    <w:p w14:paraId="466C2DA0" w14:textId="284F3D64" w:rsidR="004A28CC" w:rsidRPr="00430CD0" w:rsidRDefault="004A28CC" w:rsidP="004472B4">
      <w:pPr>
        <w:tabs>
          <w:tab w:val="num" w:pos="360"/>
        </w:tabs>
        <w:snapToGrid w:val="0"/>
        <w:spacing w:before="120" w:after="120"/>
        <w:ind w:firstLine="567"/>
        <w:rPr>
          <w:iCs/>
          <w:kern w:val="22"/>
          <w:szCs w:val="18"/>
        </w:rPr>
      </w:pPr>
      <w:r w:rsidRPr="00C62287">
        <w:rPr>
          <w:i/>
          <w:kern w:val="22"/>
          <w:szCs w:val="18"/>
        </w:rPr>
        <w:t>Recall</w:t>
      </w:r>
      <w:r>
        <w:rPr>
          <w:i/>
          <w:kern w:val="22"/>
          <w:szCs w:val="18"/>
        </w:rPr>
        <w:t xml:space="preserve">ing </w:t>
      </w:r>
      <w:r w:rsidRPr="00D06B72">
        <w:rPr>
          <w:iCs/>
          <w:kern w:val="22"/>
          <w:szCs w:val="18"/>
        </w:rPr>
        <w:t xml:space="preserve">notification </w:t>
      </w:r>
      <w:r>
        <w:rPr>
          <w:iCs/>
          <w:kern w:val="22"/>
          <w:szCs w:val="18"/>
        </w:rPr>
        <w:t>No. </w:t>
      </w:r>
      <w:hyperlink r:id="rId68" w:history="1">
        <w:r w:rsidRPr="00F14EBD">
          <w:rPr>
            <w:rStyle w:val="Hyperlink"/>
            <w:iCs/>
            <w:kern w:val="22"/>
            <w:sz w:val="22"/>
            <w:szCs w:val="18"/>
          </w:rPr>
          <w:t>2023-082</w:t>
        </w:r>
      </w:hyperlink>
      <w:r w:rsidRPr="00DD0926">
        <w:rPr>
          <w:rFonts w:ascii="Segoe UI" w:hAnsi="Segoe UI" w:cs="Segoe UI"/>
          <w:color w:val="00483A"/>
          <w:spacing w:val="6"/>
          <w:shd w:val="clear" w:color="auto" w:fill="FFFFFF"/>
        </w:rPr>
        <w:t xml:space="preserve"> </w:t>
      </w:r>
      <w:r>
        <w:rPr>
          <w:iCs/>
          <w:kern w:val="22"/>
          <w:szCs w:val="18"/>
        </w:rPr>
        <w:t xml:space="preserve">of 31 July 2023, in which the Secretariat invited Parties to submit </w:t>
      </w:r>
      <w:r w:rsidRPr="00430CD0">
        <w:rPr>
          <w:iCs/>
          <w:kern w:val="22"/>
          <w:szCs w:val="18"/>
        </w:rPr>
        <w:t xml:space="preserve">as soon as possible their </w:t>
      </w:r>
      <w:r>
        <w:rPr>
          <w:iCs/>
          <w:kern w:val="22"/>
          <w:szCs w:val="18"/>
        </w:rPr>
        <w:t>expression of interest in</w:t>
      </w:r>
      <w:r w:rsidRPr="00430CD0">
        <w:rPr>
          <w:iCs/>
          <w:kern w:val="22"/>
          <w:szCs w:val="18"/>
        </w:rPr>
        <w:t xml:space="preserve"> host</w:t>
      </w:r>
      <w:r>
        <w:rPr>
          <w:iCs/>
          <w:kern w:val="22"/>
          <w:szCs w:val="18"/>
        </w:rPr>
        <w:t>ing</w:t>
      </w:r>
      <w:r>
        <w:rPr>
          <w:i/>
          <w:kern w:val="22"/>
          <w:szCs w:val="18"/>
        </w:rPr>
        <w:t xml:space="preserve"> </w:t>
      </w:r>
      <w:r w:rsidRPr="00857488">
        <w:rPr>
          <w:kern w:val="22"/>
          <w:szCs w:val="18"/>
        </w:rPr>
        <w:t>the sixteenth meeting of the Conference of the Parties</w:t>
      </w:r>
      <w:r>
        <w:rPr>
          <w:kern w:val="22"/>
          <w:szCs w:val="18"/>
        </w:rPr>
        <w:t xml:space="preserve">, </w:t>
      </w:r>
      <w:r w:rsidRPr="00DC5DEF">
        <w:rPr>
          <w:kern w:val="22"/>
          <w:szCs w:val="18"/>
        </w:rPr>
        <w:t xml:space="preserve">the eleventh meeting of the Conference of the Parties serving as the meeting of the Parties to the Cartagena Protocol </w:t>
      </w:r>
      <w:r w:rsidRPr="00BE4655">
        <w:t>on Biosafety</w:t>
      </w:r>
      <w:r w:rsidRPr="00610646">
        <w:rPr>
          <w:rStyle w:val="FootnoteReference"/>
        </w:rPr>
        <w:footnoteReference w:id="393"/>
      </w:r>
      <w:r w:rsidRPr="00BE4655">
        <w:t xml:space="preserve"> </w:t>
      </w:r>
      <w:r w:rsidRPr="00DC5DEF">
        <w:rPr>
          <w:kern w:val="22"/>
          <w:szCs w:val="18"/>
        </w:rPr>
        <w:t xml:space="preserve">and the fifth meeting of the Conference of the Parties </w:t>
      </w:r>
      <w:r>
        <w:rPr>
          <w:kern w:val="22"/>
          <w:szCs w:val="18"/>
        </w:rPr>
        <w:t xml:space="preserve">serving as the meeting of the Parties </w:t>
      </w:r>
      <w:r w:rsidRPr="00DC5DEF">
        <w:rPr>
          <w:kern w:val="22"/>
          <w:szCs w:val="18"/>
        </w:rPr>
        <w:t>to the Nagoya Protocol</w:t>
      </w:r>
      <w:r w:rsidRPr="004F3687">
        <w:t xml:space="preserve"> </w:t>
      </w:r>
      <w:r w:rsidRPr="00BE4655">
        <w:t>on Access to Genetic Resources and the Fair and Equitable Sharing of Benefits Arising from their Utilization</w:t>
      </w:r>
      <w:r>
        <w:rPr>
          <w:kern w:val="22"/>
          <w:szCs w:val="18"/>
        </w:rPr>
        <w:t>,</w:t>
      </w:r>
      <w:r w:rsidRPr="00610646">
        <w:rPr>
          <w:rStyle w:val="FootnoteReference"/>
        </w:rPr>
        <w:footnoteReference w:id="394"/>
      </w:r>
    </w:p>
    <w:p w14:paraId="3F1F1A88" w14:textId="77777777" w:rsidR="004A28CC" w:rsidRDefault="004A28CC" w:rsidP="004472B4">
      <w:pPr>
        <w:tabs>
          <w:tab w:val="num" w:pos="360"/>
          <w:tab w:val="left" w:pos="1134"/>
        </w:tabs>
        <w:snapToGrid w:val="0"/>
        <w:spacing w:before="120" w:after="120"/>
        <w:ind w:firstLine="567"/>
        <w:rPr>
          <w:iCs/>
          <w:kern w:val="22"/>
          <w:szCs w:val="18"/>
        </w:rPr>
      </w:pPr>
      <w:r w:rsidRPr="00857488">
        <w:rPr>
          <w:iCs/>
          <w:kern w:val="22"/>
          <w:szCs w:val="18"/>
        </w:rPr>
        <w:t>1.</w:t>
      </w:r>
      <w:r>
        <w:rPr>
          <w:i/>
          <w:kern w:val="22"/>
          <w:szCs w:val="18"/>
        </w:rPr>
        <w:tab/>
        <w:t xml:space="preserve">Expresses </w:t>
      </w:r>
      <w:r w:rsidRPr="009D0C10">
        <w:rPr>
          <w:iCs/>
          <w:kern w:val="22"/>
          <w:szCs w:val="18"/>
        </w:rPr>
        <w:t xml:space="preserve">its </w:t>
      </w:r>
      <w:r>
        <w:rPr>
          <w:iCs/>
          <w:kern w:val="22"/>
          <w:szCs w:val="18"/>
        </w:rPr>
        <w:t>sympathy and solidarity to the people and Government of Türkiye for the losses that they have suffered in the aftermath of the earthquakes;</w:t>
      </w:r>
    </w:p>
    <w:p w14:paraId="2749B138" w14:textId="77777777" w:rsidR="004A28CC" w:rsidRPr="00F14EBD" w:rsidRDefault="004A28CC" w:rsidP="004472B4">
      <w:pPr>
        <w:tabs>
          <w:tab w:val="left" w:pos="1134"/>
        </w:tabs>
        <w:spacing w:before="120" w:after="120"/>
        <w:ind w:firstLine="567"/>
        <w:rPr>
          <w:iCs/>
          <w:kern w:val="22"/>
          <w:szCs w:val="18"/>
        </w:rPr>
      </w:pPr>
      <w:r>
        <w:rPr>
          <w:iCs/>
          <w:kern w:val="22"/>
          <w:szCs w:val="18"/>
        </w:rPr>
        <w:t>2</w:t>
      </w:r>
      <w:r w:rsidRPr="00B4009F">
        <w:rPr>
          <w:iCs/>
          <w:kern w:val="22"/>
          <w:szCs w:val="18"/>
        </w:rPr>
        <w:t>.</w:t>
      </w:r>
      <w:r w:rsidRPr="00B4009F">
        <w:rPr>
          <w:i/>
          <w:kern w:val="22"/>
          <w:szCs w:val="18"/>
        </w:rPr>
        <w:tab/>
      </w:r>
      <w:r>
        <w:rPr>
          <w:i/>
          <w:kern w:val="22"/>
          <w:szCs w:val="18"/>
        </w:rPr>
        <w:t xml:space="preserve">Requests </w:t>
      </w:r>
      <w:r>
        <w:rPr>
          <w:iCs/>
          <w:kern w:val="22"/>
          <w:szCs w:val="18"/>
        </w:rPr>
        <w:t xml:space="preserve">that </w:t>
      </w:r>
      <w:r w:rsidRPr="00430CD0">
        <w:rPr>
          <w:iCs/>
          <w:kern w:val="22"/>
          <w:szCs w:val="18"/>
        </w:rPr>
        <w:t>the Executive Secretary</w:t>
      </w:r>
      <w:r>
        <w:rPr>
          <w:iCs/>
          <w:kern w:val="22"/>
          <w:szCs w:val="18"/>
        </w:rPr>
        <w:t xml:space="preserve"> expedite consultations with Parties on the date and venue of the sixteenth meeting of the Conference of the Parties, </w:t>
      </w:r>
      <w:r w:rsidRPr="00DC5DEF">
        <w:rPr>
          <w:kern w:val="22"/>
          <w:szCs w:val="18"/>
        </w:rPr>
        <w:t xml:space="preserve">the eleventh meeting of the Conference of the Parties serving as the meeting of the Parties to the Cartagena Protocol and the fifth meeting of the Conference of the Parties </w:t>
      </w:r>
      <w:r>
        <w:rPr>
          <w:kern w:val="22"/>
          <w:szCs w:val="18"/>
        </w:rPr>
        <w:t xml:space="preserve">serving as the meeting of the Parties </w:t>
      </w:r>
      <w:r w:rsidRPr="00DC5DEF">
        <w:rPr>
          <w:kern w:val="22"/>
          <w:szCs w:val="18"/>
        </w:rPr>
        <w:t>to the Nagoya Protocol</w:t>
      </w:r>
      <w:r>
        <w:rPr>
          <w:iCs/>
          <w:kern w:val="22"/>
          <w:szCs w:val="18"/>
        </w:rPr>
        <w:t xml:space="preserve"> and, in the absence of any viable offer from a Party by the end of December 2023, explore, in consultation with the Bureau, arrangements to hold the meetings at the seat of the Secretariat.</w:t>
      </w:r>
    </w:p>
    <w:p w14:paraId="41005A2B" w14:textId="5E7D9ED9" w:rsidR="00CF6C56" w:rsidRPr="00DA3884" w:rsidRDefault="00CF6C56" w:rsidP="00504D94">
      <w:pPr>
        <w:suppressLineNumbers/>
        <w:suppressAutoHyphens/>
        <w:spacing w:before="120" w:after="120"/>
        <w:ind w:right="144"/>
        <w:rPr>
          <w:kern w:val="22"/>
          <w:szCs w:val="22"/>
        </w:rPr>
      </w:pPr>
    </w:p>
    <w:p w14:paraId="501D0FF7" w14:textId="77777777" w:rsidR="00441700" w:rsidRPr="00230BC2" w:rsidRDefault="00441700" w:rsidP="00441700"/>
    <w:p w14:paraId="143668A9" w14:textId="77777777" w:rsidR="00441700" w:rsidRPr="00230BC2" w:rsidRDefault="00441700" w:rsidP="00441700"/>
    <w:p w14:paraId="7639B1B4" w14:textId="77777777" w:rsidR="009734FB" w:rsidRDefault="009734FB" w:rsidP="00E351DE">
      <w:pPr>
        <w:pStyle w:val="Heading1"/>
        <w:tabs>
          <w:tab w:val="clear" w:pos="720"/>
          <w:tab w:val="left" w:pos="567"/>
        </w:tabs>
        <w:rPr>
          <w:rFonts w:asciiTheme="majorBidi" w:hAnsiTheme="majorBidi" w:cstheme="majorBidi"/>
          <w:caps w:val="0"/>
          <w:snapToGrid w:val="0"/>
          <w:sz w:val="28"/>
          <w:szCs w:val="28"/>
        </w:rPr>
        <w:sectPr w:rsidR="009734FB" w:rsidSect="00AC55F4">
          <w:footnotePr>
            <w:numRestart w:val="eachSect"/>
          </w:footnotePr>
          <w:pgSz w:w="12240" w:h="15840"/>
          <w:pgMar w:top="567" w:right="1440" w:bottom="1134" w:left="1440" w:header="709" w:footer="709" w:gutter="0"/>
          <w:cols w:space="708"/>
          <w:docGrid w:linePitch="360"/>
        </w:sectPr>
      </w:pPr>
      <w:bookmarkStart w:id="401" w:name="_Toc150438834"/>
    </w:p>
    <w:p w14:paraId="497E433D" w14:textId="6F17C86D" w:rsidR="00441700" w:rsidRPr="00230BC2" w:rsidRDefault="00E351DE" w:rsidP="00E351DE">
      <w:pPr>
        <w:pStyle w:val="Heading1"/>
        <w:tabs>
          <w:tab w:val="clear" w:pos="720"/>
          <w:tab w:val="left" w:pos="567"/>
        </w:tabs>
        <w:rPr>
          <w:rFonts w:asciiTheme="majorBidi" w:hAnsiTheme="majorBidi" w:cstheme="majorBidi"/>
          <w:caps w:val="0"/>
          <w:snapToGrid w:val="0"/>
          <w:sz w:val="40"/>
          <w:szCs w:val="40"/>
        </w:rPr>
      </w:pPr>
      <w:bookmarkStart w:id="402" w:name="_Toc150670541"/>
      <w:bookmarkStart w:id="403" w:name="_Toc150670651"/>
      <w:bookmarkStart w:id="404" w:name="_Toc150761146"/>
      <w:r w:rsidRPr="00230BC2">
        <w:rPr>
          <w:rFonts w:asciiTheme="majorBidi" w:hAnsiTheme="majorBidi" w:cstheme="majorBidi"/>
          <w:caps w:val="0"/>
          <w:snapToGrid w:val="0"/>
          <w:sz w:val="28"/>
          <w:szCs w:val="28"/>
        </w:rPr>
        <w:lastRenderedPageBreak/>
        <w:t>II.</w:t>
      </w:r>
      <w:r w:rsidRPr="00230BC2">
        <w:rPr>
          <w:rFonts w:asciiTheme="majorBidi" w:hAnsiTheme="majorBidi" w:cstheme="majorBidi"/>
          <w:caps w:val="0"/>
          <w:snapToGrid w:val="0"/>
          <w:sz w:val="28"/>
          <w:szCs w:val="28"/>
        </w:rPr>
        <w:tab/>
        <w:t>ACCOUNT OF PROCEEDINGS</w:t>
      </w:r>
      <w:bookmarkEnd w:id="401"/>
      <w:bookmarkEnd w:id="402"/>
      <w:bookmarkEnd w:id="403"/>
      <w:bookmarkEnd w:id="404"/>
    </w:p>
    <w:p w14:paraId="1A9BE3D9" w14:textId="052C3B5A" w:rsidR="00D77560" w:rsidRPr="00950BE4" w:rsidRDefault="00360376"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t>Introduction</w:t>
      </w:r>
    </w:p>
    <w:p w14:paraId="247DA404" w14:textId="7F2E9C61" w:rsidR="00AA3C0A" w:rsidRPr="00950BE4" w:rsidRDefault="00AA3C0A" w:rsidP="00427C19">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05" w:name="_Hlk121913417"/>
      <w:r w:rsidRPr="00950BE4">
        <w:rPr>
          <w:b/>
          <w:bCs/>
          <w:snapToGrid w:val="0"/>
          <w:kern w:val="22"/>
          <w:szCs w:val="22"/>
        </w:rPr>
        <w:t>A.</w:t>
      </w:r>
      <w:r w:rsidRPr="00950BE4">
        <w:rPr>
          <w:b/>
          <w:bCs/>
          <w:snapToGrid w:val="0"/>
          <w:kern w:val="22"/>
          <w:szCs w:val="22"/>
        </w:rPr>
        <w:tab/>
        <w:t>Background</w:t>
      </w:r>
    </w:p>
    <w:bookmarkEnd w:id="405"/>
    <w:p w14:paraId="2B9FF8D3" w14:textId="67C62648" w:rsidR="00725EA1" w:rsidRPr="00230BC2" w:rsidRDefault="00A528BE" w:rsidP="00950BE4">
      <w:pPr>
        <w:pStyle w:val="Para1"/>
        <w:numPr>
          <w:ilvl w:val="0"/>
          <w:numId w:val="84"/>
        </w:numPr>
      </w:pPr>
      <w:r w:rsidRPr="00230BC2">
        <w:t>T</w:t>
      </w:r>
      <w:r w:rsidR="00725EA1" w:rsidRPr="00230BC2">
        <w:t xml:space="preserve">he Conference of the Parties </w:t>
      </w:r>
      <w:r w:rsidR="000377DB" w:rsidRPr="00230BC2">
        <w:t xml:space="preserve">to the Convention on Biological Diversity </w:t>
      </w:r>
      <w:r w:rsidR="00725EA1" w:rsidRPr="00230BC2">
        <w:t xml:space="preserve">held its fifteenth meeting </w:t>
      </w:r>
      <w:r w:rsidRPr="00230BC2">
        <w:t xml:space="preserve">in </w:t>
      </w:r>
      <w:r w:rsidR="00725EA1" w:rsidRPr="00230BC2">
        <w:t xml:space="preserve">conjunction with the tenth meeting of the Conference of the Parties serving as the meeting of the Parties to the Cartagena Protocol on Biosafety and the </w:t>
      </w:r>
      <w:bookmarkStart w:id="406" w:name="_Hlk121417724"/>
      <w:r w:rsidR="00725EA1" w:rsidRPr="00230BC2">
        <w:t>fourth meeting of the Conference of the Parties serving as the meeting of the Parties to the Nagoya Protocol on Access to Genetic Resources and the Fair and Equitable Sharing of Benefits Arising from their Utilization</w:t>
      </w:r>
      <w:r w:rsidR="003F0441" w:rsidRPr="00230BC2">
        <w:t>.</w:t>
      </w:r>
      <w:bookmarkEnd w:id="406"/>
      <w:r w:rsidR="00725EA1" w:rsidRPr="00230BC2">
        <w:t xml:space="preserve"> </w:t>
      </w:r>
    </w:p>
    <w:p w14:paraId="3A0C5C18" w14:textId="57CA750E" w:rsidR="007234A6" w:rsidRPr="00230BC2" w:rsidRDefault="00A528BE" w:rsidP="003466FC">
      <w:pPr>
        <w:pStyle w:val="Para1"/>
        <w:rPr>
          <w:rFonts w:asciiTheme="majorBidi" w:hAnsiTheme="majorBidi" w:cstheme="majorBidi"/>
          <w:bCs/>
        </w:rPr>
      </w:pPr>
      <w:r w:rsidRPr="00230BC2">
        <w:t xml:space="preserve">Owing to the circumstances surrounding the coronavirus disease </w:t>
      </w:r>
      <w:r w:rsidR="006D5797" w:rsidRPr="00230BC2">
        <w:t>(COVID-19) pandemic</w:t>
      </w:r>
      <w:r w:rsidRPr="00230BC2">
        <w:t>, the meeting was held in two parts</w:t>
      </w:r>
      <w:r w:rsidR="0062748E" w:rsidRPr="00230BC2">
        <w:t>.</w:t>
      </w:r>
      <w:r w:rsidRPr="00230BC2">
        <w:t xml:space="preserve"> </w:t>
      </w:r>
      <w:r w:rsidR="0062748E" w:rsidRPr="00230BC2">
        <w:t>T</w:t>
      </w:r>
      <w:r w:rsidR="006D5797" w:rsidRPr="00230BC2">
        <w:t xml:space="preserve">he first part </w:t>
      </w:r>
      <w:r w:rsidR="0062748E" w:rsidRPr="00230BC2">
        <w:t xml:space="preserve">was </w:t>
      </w:r>
      <w:r w:rsidRPr="00230BC2">
        <w:t>held online with limited in-person participation in Kunming, China, on 12 and 13 October 2021</w:t>
      </w:r>
      <w:r w:rsidR="0062748E" w:rsidRPr="00230BC2">
        <w:t>.</w:t>
      </w:r>
      <w:r w:rsidRPr="00230BC2">
        <w:t xml:space="preserve"> </w:t>
      </w:r>
      <w:r w:rsidR="0062748E" w:rsidRPr="00230BC2">
        <w:t>T</w:t>
      </w:r>
      <w:r w:rsidR="006D5797" w:rsidRPr="00230BC2">
        <w:t>he second part</w:t>
      </w:r>
      <w:r w:rsidRPr="00230BC2">
        <w:t xml:space="preserve"> </w:t>
      </w:r>
      <w:r w:rsidR="0062748E" w:rsidRPr="00230BC2">
        <w:t xml:space="preserve">was </w:t>
      </w:r>
      <w:r w:rsidR="00725EA1" w:rsidRPr="00230BC2">
        <w:t>held in person</w:t>
      </w:r>
      <w:r w:rsidR="006C2AEC" w:rsidRPr="00230BC2">
        <w:t>.</w:t>
      </w:r>
      <w:r w:rsidR="0062748E" w:rsidRPr="00230BC2">
        <w:t xml:space="preserve"> </w:t>
      </w:r>
      <w:r w:rsidR="006C2AEC" w:rsidRPr="00230BC2">
        <w:t>It</w:t>
      </w:r>
      <w:r w:rsidR="0062748E" w:rsidRPr="00230BC2">
        <w:t xml:space="preserve"> commenced</w:t>
      </w:r>
      <w:r w:rsidR="00725EA1" w:rsidRPr="00230BC2">
        <w:t xml:space="preserve"> in Montreal, Canada, </w:t>
      </w:r>
      <w:r w:rsidR="0062748E" w:rsidRPr="00230BC2">
        <w:t xml:space="preserve">on 7 December 2022, </w:t>
      </w:r>
      <w:r w:rsidR="006C2AEC" w:rsidRPr="00230BC2">
        <w:t xml:space="preserve">was </w:t>
      </w:r>
      <w:r w:rsidR="0062748E" w:rsidRPr="00230BC2">
        <w:t>suspended on 19 December 2022</w:t>
      </w:r>
      <w:r w:rsidR="003E7F46" w:rsidRPr="00230BC2">
        <w:t>,</w:t>
      </w:r>
      <w:r w:rsidR="0062748E" w:rsidRPr="00230BC2">
        <w:t xml:space="preserve"> resumed </w:t>
      </w:r>
      <w:r w:rsidR="00664403" w:rsidRPr="00230BC2">
        <w:t>in Nairobi</w:t>
      </w:r>
      <w:r w:rsidR="0002290A" w:rsidRPr="00230BC2">
        <w:t xml:space="preserve"> on 19</w:t>
      </w:r>
      <w:r w:rsidR="00E2455F" w:rsidRPr="00230BC2">
        <w:t> </w:t>
      </w:r>
      <w:r w:rsidR="0002290A" w:rsidRPr="00230BC2">
        <w:t>October 2023</w:t>
      </w:r>
      <w:r w:rsidR="003E7F46" w:rsidRPr="00230BC2">
        <w:t xml:space="preserve"> and </w:t>
      </w:r>
      <w:r w:rsidR="00643F0A" w:rsidRPr="00230BC2">
        <w:t xml:space="preserve">was </w:t>
      </w:r>
      <w:r w:rsidR="003E7F46" w:rsidRPr="00230BC2">
        <w:t xml:space="preserve">closed on 20 </w:t>
      </w:r>
      <w:r w:rsidR="003220D3" w:rsidRPr="00230BC2">
        <w:t>October</w:t>
      </w:r>
      <w:r w:rsidR="003E7F46" w:rsidRPr="00230BC2">
        <w:t xml:space="preserve"> 2023</w:t>
      </w:r>
      <w:r w:rsidR="00725EA1" w:rsidRPr="00230BC2">
        <w:t xml:space="preserve">. </w:t>
      </w:r>
    </w:p>
    <w:p w14:paraId="0C0A32A0" w14:textId="791F1F9A" w:rsidR="003E3B07" w:rsidRPr="00230BC2" w:rsidRDefault="006D5797" w:rsidP="003466FC">
      <w:pPr>
        <w:pStyle w:val="Para1"/>
        <w:rPr>
          <w:rFonts w:asciiTheme="majorBidi" w:hAnsiTheme="majorBidi" w:cstheme="majorBidi"/>
          <w:bCs/>
        </w:rPr>
      </w:pPr>
      <w:r w:rsidRPr="00230BC2">
        <w:t xml:space="preserve">The present report </w:t>
      </w:r>
      <w:r w:rsidR="001F5487" w:rsidRPr="00230BC2">
        <w:t>contains</w:t>
      </w:r>
      <w:r w:rsidRPr="00230BC2">
        <w:t xml:space="preserve"> the proceedings of </w:t>
      </w:r>
      <w:r w:rsidR="000121A6" w:rsidRPr="00230BC2">
        <w:t xml:space="preserve">the second </w:t>
      </w:r>
      <w:r w:rsidRPr="00230BC2">
        <w:t>part of the meeting.</w:t>
      </w:r>
      <w:r w:rsidRPr="00610646">
        <w:rPr>
          <w:rStyle w:val="FootnoteReference"/>
        </w:rPr>
        <w:footnoteReference w:id="395"/>
      </w:r>
      <w:r w:rsidRPr="00230BC2">
        <w:t xml:space="preserve"> </w:t>
      </w:r>
    </w:p>
    <w:p w14:paraId="6AFE4488" w14:textId="3E0D158B" w:rsidR="00A528BE" w:rsidRPr="00230BC2" w:rsidRDefault="000121A6" w:rsidP="003466FC">
      <w:pPr>
        <w:pStyle w:val="Para1"/>
        <w:rPr>
          <w:rFonts w:asciiTheme="majorBidi" w:hAnsiTheme="majorBidi" w:cstheme="majorBidi"/>
          <w:bCs/>
        </w:rPr>
      </w:pPr>
      <w:r w:rsidRPr="00230BC2">
        <w:t>The second p</w:t>
      </w:r>
      <w:r w:rsidR="00C23C4F" w:rsidRPr="00230BC2">
        <w:t xml:space="preserve">art </w:t>
      </w:r>
      <w:r w:rsidR="00A528BE" w:rsidRPr="00230BC2">
        <w:t xml:space="preserve">of the meeting was preceded by </w:t>
      </w:r>
      <w:r w:rsidR="00E723FD" w:rsidRPr="00230BC2">
        <w:t>a ce</w:t>
      </w:r>
      <w:r w:rsidR="00E723FD" w:rsidRPr="00230BC2">
        <w:rPr>
          <w:bdr w:val="none" w:sz="0" w:space="0" w:color="auto" w:frame="1"/>
          <w:lang w:eastAsia="en-CA"/>
        </w:rPr>
        <w:t>remonial welcome</w:t>
      </w:r>
      <w:r w:rsidR="00AF7E74" w:rsidRPr="00230BC2">
        <w:rPr>
          <w:bdr w:val="none" w:sz="0" w:space="0" w:color="auto" w:frame="1"/>
          <w:lang w:eastAsia="en-CA"/>
        </w:rPr>
        <w:t xml:space="preserve"> </w:t>
      </w:r>
      <w:r w:rsidR="00E723FD" w:rsidRPr="00230BC2">
        <w:rPr>
          <w:bdr w:val="none" w:sz="0" w:space="0" w:color="auto" w:frame="1"/>
          <w:lang w:eastAsia="en-CA"/>
        </w:rPr>
        <w:t xml:space="preserve">by </w:t>
      </w:r>
      <w:r w:rsidR="00EB148E" w:rsidRPr="00230BC2">
        <w:rPr>
          <w:bdr w:val="none" w:sz="0" w:space="0" w:color="auto" w:frame="1"/>
          <w:lang w:eastAsia="en-CA"/>
        </w:rPr>
        <w:t>the</w:t>
      </w:r>
      <w:r w:rsidR="00E723FD" w:rsidRPr="00230BC2">
        <w:rPr>
          <w:bdr w:val="none" w:sz="0" w:space="0" w:color="auto" w:frame="1"/>
          <w:lang w:eastAsia="en-CA"/>
        </w:rPr>
        <w:t xml:space="preserve"> Traditional Chief of the Onondaga Nation</w:t>
      </w:r>
      <w:r w:rsidR="001B2FBF" w:rsidRPr="00230BC2">
        <w:rPr>
          <w:bdr w:val="none" w:sz="0" w:space="0" w:color="auto" w:frame="1"/>
          <w:lang w:eastAsia="en-CA"/>
        </w:rPr>
        <w:t>,</w:t>
      </w:r>
      <w:r w:rsidR="00E36CA8" w:rsidRPr="00230BC2">
        <w:rPr>
          <w:bdr w:val="none" w:sz="0" w:space="0" w:color="auto" w:frame="1"/>
          <w:lang w:eastAsia="en-CA"/>
        </w:rPr>
        <w:t xml:space="preserve"> </w:t>
      </w:r>
      <w:r w:rsidR="00754ABC" w:rsidRPr="00230BC2">
        <w:rPr>
          <w:bdr w:val="none" w:sz="0" w:space="0" w:color="auto" w:frame="1"/>
          <w:lang w:eastAsia="en-CA"/>
        </w:rPr>
        <w:t xml:space="preserve">Tadodaho Sid Hill, </w:t>
      </w:r>
      <w:r w:rsidR="00E36CA8" w:rsidRPr="00230BC2">
        <w:rPr>
          <w:bdr w:val="none" w:sz="0" w:space="0" w:color="auto" w:frame="1"/>
          <w:lang w:eastAsia="en-CA"/>
        </w:rPr>
        <w:t>followed by</w:t>
      </w:r>
      <w:r w:rsidR="00E723FD" w:rsidRPr="00230BC2">
        <w:rPr>
          <w:bdr w:val="none" w:sz="0" w:space="0" w:color="auto" w:frame="1"/>
          <w:lang w:eastAsia="en-CA"/>
        </w:rPr>
        <w:t xml:space="preserve"> </w:t>
      </w:r>
      <w:r w:rsidR="00E723FD" w:rsidRPr="00230BC2">
        <w:t xml:space="preserve">statements by </w:t>
      </w:r>
      <w:r w:rsidR="009D67B0" w:rsidRPr="00230BC2">
        <w:t xml:space="preserve">the </w:t>
      </w:r>
      <w:r w:rsidR="00F953E8" w:rsidRPr="00230BC2">
        <w:t xml:space="preserve">Prime Minister of Canada, </w:t>
      </w:r>
      <w:r w:rsidR="009D67B0" w:rsidRPr="00230BC2">
        <w:t>Justin Trudeau, the</w:t>
      </w:r>
      <w:r w:rsidR="00F953E8" w:rsidRPr="00230BC2">
        <w:t xml:space="preserve"> </w:t>
      </w:r>
      <w:r w:rsidR="00A109C9" w:rsidRPr="00230BC2">
        <w:t>Secretary</w:t>
      </w:r>
      <w:r w:rsidR="00AA45D2" w:rsidRPr="00230BC2">
        <w:t>-</w:t>
      </w:r>
      <w:r w:rsidR="00A109C9" w:rsidRPr="00230BC2">
        <w:t xml:space="preserve">General of the United Nations, </w:t>
      </w:r>
      <w:r w:rsidR="009D67B0" w:rsidRPr="00230BC2">
        <w:t xml:space="preserve">the </w:t>
      </w:r>
      <w:r w:rsidR="002E3058" w:rsidRPr="00230BC2">
        <w:t xml:space="preserve">Minister of Ecology and Environment of China and </w:t>
      </w:r>
      <w:r w:rsidR="00230AF2" w:rsidRPr="00230BC2">
        <w:t>President</w:t>
      </w:r>
      <w:r w:rsidR="0091526F" w:rsidRPr="00230BC2">
        <w:t xml:space="preserve"> of the fifteenth meeting of the Conference of the Parties</w:t>
      </w:r>
      <w:r w:rsidR="00230AF2" w:rsidRPr="00230BC2">
        <w:t xml:space="preserve">, </w:t>
      </w:r>
      <w:r w:rsidR="00BE4D95" w:rsidRPr="00230BC2">
        <w:t xml:space="preserve">Huang Runqiu, the </w:t>
      </w:r>
      <w:r w:rsidR="00230AF2" w:rsidRPr="00230BC2">
        <w:t>Pr</w:t>
      </w:r>
      <w:r w:rsidR="007A1E68">
        <w:t>emier</w:t>
      </w:r>
      <w:r w:rsidR="00230AF2" w:rsidRPr="00230BC2">
        <w:t xml:space="preserve"> of Quebec, </w:t>
      </w:r>
      <w:r w:rsidR="00BE4D95" w:rsidRPr="00230BC2">
        <w:t xml:space="preserve">François Legault, the </w:t>
      </w:r>
      <w:r w:rsidR="00230AF2" w:rsidRPr="00230BC2">
        <w:t>Mayor of Montreal</w:t>
      </w:r>
      <w:r w:rsidR="004C5634" w:rsidRPr="00230BC2">
        <w:t>,</w:t>
      </w:r>
      <w:r w:rsidR="00230AF2" w:rsidRPr="00230BC2">
        <w:t xml:space="preserve"> </w:t>
      </w:r>
      <w:r w:rsidR="00BE4D95" w:rsidRPr="00230BC2">
        <w:t xml:space="preserve">Valérie Plante, </w:t>
      </w:r>
      <w:r w:rsidR="00044B98" w:rsidRPr="00230BC2">
        <w:t xml:space="preserve">and </w:t>
      </w:r>
      <w:r w:rsidR="00BE4D95" w:rsidRPr="00230BC2">
        <w:t xml:space="preserve">the </w:t>
      </w:r>
      <w:r w:rsidR="00230AF2" w:rsidRPr="00230BC2">
        <w:t>Mayor of Kunming</w:t>
      </w:r>
      <w:r w:rsidR="0041358D" w:rsidRPr="00230BC2">
        <w:t xml:space="preserve">, </w:t>
      </w:r>
      <w:r w:rsidR="00BE4D95" w:rsidRPr="00230BC2">
        <w:t xml:space="preserve">Liu Jiachen, </w:t>
      </w:r>
      <w:r w:rsidR="00AA45D2" w:rsidRPr="00230BC2">
        <w:t>as well as</w:t>
      </w:r>
      <w:r w:rsidR="00E477DF" w:rsidRPr="00230BC2">
        <w:t xml:space="preserve"> by</w:t>
      </w:r>
      <w:r w:rsidR="0041358D" w:rsidRPr="00230BC2">
        <w:t xml:space="preserve"> </w:t>
      </w:r>
      <w:r w:rsidR="00E723FD" w:rsidRPr="00230BC2">
        <w:t>a cultural presentation</w:t>
      </w:r>
      <w:r w:rsidR="00AF7E74" w:rsidRPr="00230BC2">
        <w:t>, on 6 December 2022</w:t>
      </w:r>
      <w:r w:rsidR="00E723FD" w:rsidRPr="00230BC2">
        <w:t>.</w:t>
      </w:r>
    </w:p>
    <w:p w14:paraId="6694A3D3" w14:textId="1E8DDC4C" w:rsidR="00AA3C0A" w:rsidRPr="00230BC2" w:rsidRDefault="00AA3C0A"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B.</w:t>
      </w:r>
      <w:r w:rsidRPr="00230BC2">
        <w:rPr>
          <w:b/>
          <w:bCs/>
          <w:snapToGrid w:val="0"/>
          <w:kern w:val="22"/>
          <w:szCs w:val="22"/>
        </w:rPr>
        <w:tab/>
        <w:t>Attendance</w:t>
      </w:r>
    </w:p>
    <w:p w14:paraId="2E1589AF" w14:textId="77777777" w:rsidR="00A444ED" w:rsidRDefault="00AA3C0A" w:rsidP="002272BD">
      <w:pPr>
        <w:pStyle w:val="Para1"/>
        <w:sectPr w:rsidR="00A444ED" w:rsidSect="00F85550">
          <w:footnotePr>
            <w:numRestart w:val="eachSect"/>
          </w:footnotePr>
          <w:pgSz w:w="12240" w:h="15840"/>
          <w:pgMar w:top="567" w:right="1440" w:bottom="1134" w:left="1440" w:header="709" w:footer="709" w:gutter="0"/>
          <w:cols w:space="708"/>
          <w:docGrid w:linePitch="360"/>
        </w:sectPr>
      </w:pPr>
      <w:r w:rsidRPr="00230BC2">
        <w:t xml:space="preserve">All States were invited to participate in </w:t>
      </w:r>
      <w:r w:rsidR="000121A6" w:rsidRPr="00230BC2">
        <w:t xml:space="preserve">the second </w:t>
      </w:r>
      <w:r w:rsidR="009E60C7" w:rsidRPr="00230BC2">
        <w:t xml:space="preserve">part of </w:t>
      </w:r>
      <w:r w:rsidRPr="00230BC2">
        <w:t xml:space="preserve">the meeting. The following </w:t>
      </w:r>
      <w:r w:rsidR="00014C27" w:rsidRPr="00230BC2">
        <w:t>P</w:t>
      </w:r>
      <w:r w:rsidRPr="00230BC2">
        <w:t>arties to the Convention attended:</w:t>
      </w:r>
    </w:p>
    <w:p w14:paraId="34A11411" w14:textId="6CCCF90D" w:rsidR="002F7B48" w:rsidRPr="00230BC2" w:rsidRDefault="002F7B48" w:rsidP="00322CF8">
      <w:pPr>
        <w:pStyle w:val="Para1"/>
        <w:numPr>
          <w:ilvl w:val="0"/>
          <w:numId w:val="0"/>
        </w:numPr>
        <w:spacing w:after="0"/>
        <w:ind w:left="142"/>
        <w:jc w:val="left"/>
      </w:pPr>
      <w:r w:rsidRPr="00230BC2">
        <w:t>Albania</w:t>
      </w:r>
      <w:r w:rsidR="00E77F70" w:rsidRPr="00230BC2">
        <w:rPr>
          <w:vertAlign w:val="superscript"/>
        </w:rPr>
        <w:t>a</w:t>
      </w:r>
    </w:p>
    <w:p w14:paraId="228B921D" w14:textId="77777777" w:rsidR="002F7B48" w:rsidRPr="00230BC2" w:rsidRDefault="002F7B48" w:rsidP="00322CF8">
      <w:pPr>
        <w:pStyle w:val="Para1"/>
        <w:numPr>
          <w:ilvl w:val="0"/>
          <w:numId w:val="0"/>
        </w:numPr>
        <w:spacing w:after="0"/>
        <w:ind w:left="142"/>
        <w:jc w:val="left"/>
      </w:pPr>
      <w:r w:rsidRPr="00230BC2">
        <w:t>Algeria</w:t>
      </w:r>
    </w:p>
    <w:p w14:paraId="5F713661" w14:textId="77777777" w:rsidR="002F7B48" w:rsidRPr="00230BC2" w:rsidRDefault="002F7B48" w:rsidP="00322CF8">
      <w:pPr>
        <w:pStyle w:val="Para1"/>
        <w:numPr>
          <w:ilvl w:val="0"/>
          <w:numId w:val="0"/>
        </w:numPr>
        <w:spacing w:after="0"/>
        <w:ind w:left="142"/>
        <w:jc w:val="left"/>
      </w:pPr>
      <w:r w:rsidRPr="00230BC2">
        <w:t>Angola</w:t>
      </w:r>
    </w:p>
    <w:p w14:paraId="15400AE5" w14:textId="77777777" w:rsidR="002F7B48" w:rsidRPr="00230BC2" w:rsidRDefault="002F7B48" w:rsidP="00322CF8">
      <w:pPr>
        <w:pStyle w:val="Para1"/>
        <w:numPr>
          <w:ilvl w:val="0"/>
          <w:numId w:val="0"/>
        </w:numPr>
        <w:spacing w:after="0"/>
        <w:ind w:left="142"/>
        <w:jc w:val="left"/>
      </w:pPr>
      <w:r w:rsidRPr="00230BC2">
        <w:t>Antigua and Barbuda</w:t>
      </w:r>
    </w:p>
    <w:p w14:paraId="54EEBCFF" w14:textId="77777777" w:rsidR="002F7B48" w:rsidRPr="00230BC2" w:rsidRDefault="002F7B48" w:rsidP="00322CF8">
      <w:pPr>
        <w:pStyle w:val="Para1"/>
        <w:numPr>
          <w:ilvl w:val="0"/>
          <w:numId w:val="0"/>
        </w:numPr>
        <w:spacing w:after="0"/>
        <w:ind w:left="142"/>
        <w:jc w:val="left"/>
      </w:pPr>
      <w:r w:rsidRPr="00230BC2">
        <w:t>Argentina</w:t>
      </w:r>
    </w:p>
    <w:p w14:paraId="65D55940" w14:textId="77777777" w:rsidR="002F7B48" w:rsidRPr="00230BC2" w:rsidRDefault="002F7B48" w:rsidP="00322CF8">
      <w:pPr>
        <w:pStyle w:val="Para1"/>
        <w:numPr>
          <w:ilvl w:val="0"/>
          <w:numId w:val="0"/>
        </w:numPr>
        <w:spacing w:after="0"/>
        <w:ind w:left="142"/>
        <w:jc w:val="left"/>
      </w:pPr>
      <w:r w:rsidRPr="00230BC2">
        <w:t>Armenia</w:t>
      </w:r>
    </w:p>
    <w:p w14:paraId="44CDEB8E" w14:textId="77777777" w:rsidR="002F7B48" w:rsidRPr="00230BC2" w:rsidRDefault="002F7B48" w:rsidP="00322CF8">
      <w:pPr>
        <w:pStyle w:val="Para1"/>
        <w:numPr>
          <w:ilvl w:val="0"/>
          <w:numId w:val="0"/>
        </w:numPr>
        <w:spacing w:after="0"/>
        <w:ind w:left="142"/>
        <w:jc w:val="left"/>
      </w:pPr>
      <w:r w:rsidRPr="00230BC2">
        <w:t>Australia</w:t>
      </w:r>
    </w:p>
    <w:p w14:paraId="2AD2715E" w14:textId="77777777" w:rsidR="002F7B48" w:rsidRPr="00230BC2" w:rsidRDefault="002F7B48" w:rsidP="00322CF8">
      <w:pPr>
        <w:pStyle w:val="Para1"/>
        <w:numPr>
          <w:ilvl w:val="0"/>
          <w:numId w:val="0"/>
        </w:numPr>
        <w:spacing w:after="0"/>
        <w:ind w:left="142"/>
        <w:jc w:val="left"/>
      </w:pPr>
      <w:r w:rsidRPr="00230BC2">
        <w:t>Austria</w:t>
      </w:r>
    </w:p>
    <w:p w14:paraId="6653E143" w14:textId="77777777" w:rsidR="002F7B48" w:rsidRPr="00230BC2" w:rsidRDefault="002F7B48" w:rsidP="00322CF8">
      <w:pPr>
        <w:pStyle w:val="Para1"/>
        <w:numPr>
          <w:ilvl w:val="0"/>
          <w:numId w:val="0"/>
        </w:numPr>
        <w:spacing w:after="0"/>
        <w:ind w:left="142"/>
        <w:jc w:val="left"/>
      </w:pPr>
      <w:r w:rsidRPr="00230BC2">
        <w:t>Azerbaijan</w:t>
      </w:r>
    </w:p>
    <w:p w14:paraId="3AF5B76F" w14:textId="666F94F3" w:rsidR="002F7B48" w:rsidRPr="00230BC2" w:rsidRDefault="002F7B48" w:rsidP="00322CF8">
      <w:pPr>
        <w:pStyle w:val="Para1"/>
        <w:numPr>
          <w:ilvl w:val="0"/>
          <w:numId w:val="0"/>
        </w:numPr>
        <w:spacing w:after="0"/>
        <w:ind w:left="142"/>
        <w:jc w:val="left"/>
      </w:pPr>
      <w:r w:rsidRPr="00230BC2">
        <w:t>Bahamas</w:t>
      </w:r>
      <w:r w:rsidR="00E77F70" w:rsidRPr="00230BC2">
        <w:rPr>
          <w:vertAlign w:val="superscript"/>
        </w:rPr>
        <w:t>a</w:t>
      </w:r>
    </w:p>
    <w:p w14:paraId="7F8AECF8" w14:textId="06201048" w:rsidR="002F7B48" w:rsidRPr="00230BC2" w:rsidRDefault="002F7B48" w:rsidP="00322CF8">
      <w:pPr>
        <w:pStyle w:val="Para1"/>
        <w:numPr>
          <w:ilvl w:val="0"/>
          <w:numId w:val="0"/>
        </w:numPr>
        <w:spacing w:after="0"/>
        <w:ind w:left="142"/>
        <w:jc w:val="left"/>
      </w:pPr>
      <w:r w:rsidRPr="00230BC2">
        <w:t>Bahrain</w:t>
      </w:r>
      <w:r w:rsidR="00E77F70" w:rsidRPr="00230BC2">
        <w:rPr>
          <w:vertAlign w:val="superscript"/>
        </w:rPr>
        <w:t>a</w:t>
      </w:r>
    </w:p>
    <w:p w14:paraId="0FB1E985" w14:textId="77777777" w:rsidR="002F7B48" w:rsidRPr="00230BC2" w:rsidRDefault="002F7B48" w:rsidP="00322CF8">
      <w:pPr>
        <w:pStyle w:val="Para1"/>
        <w:numPr>
          <w:ilvl w:val="0"/>
          <w:numId w:val="0"/>
        </w:numPr>
        <w:spacing w:after="0"/>
        <w:ind w:left="142"/>
        <w:jc w:val="left"/>
      </w:pPr>
      <w:r w:rsidRPr="00230BC2">
        <w:t>Bangladesh</w:t>
      </w:r>
    </w:p>
    <w:p w14:paraId="37585DDF" w14:textId="77777777" w:rsidR="002F7B48" w:rsidRPr="00230BC2" w:rsidRDefault="002F7B48" w:rsidP="00322CF8">
      <w:pPr>
        <w:pStyle w:val="Para1"/>
        <w:numPr>
          <w:ilvl w:val="0"/>
          <w:numId w:val="0"/>
        </w:numPr>
        <w:spacing w:after="0"/>
        <w:ind w:left="142"/>
        <w:jc w:val="left"/>
      </w:pPr>
      <w:r w:rsidRPr="00230BC2">
        <w:t>Barbados</w:t>
      </w:r>
    </w:p>
    <w:p w14:paraId="54160396" w14:textId="77777777" w:rsidR="002F7B48" w:rsidRPr="00230BC2" w:rsidRDefault="002F7B48" w:rsidP="00322CF8">
      <w:pPr>
        <w:pStyle w:val="Para1"/>
        <w:numPr>
          <w:ilvl w:val="0"/>
          <w:numId w:val="0"/>
        </w:numPr>
        <w:spacing w:after="0"/>
        <w:ind w:left="142"/>
        <w:jc w:val="left"/>
      </w:pPr>
      <w:r w:rsidRPr="00230BC2">
        <w:t>Belarus</w:t>
      </w:r>
    </w:p>
    <w:p w14:paraId="6B946795" w14:textId="77777777" w:rsidR="002F7B48" w:rsidRPr="00230BC2" w:rsidRDefault="002F7B48" w:rsidP="00322CF8">
      <w:pPr>
        <w:pStyle w:val="Para1"/>
        <w:numPr>
          <w:ilvl w:val="0"/>
          <w:numId w:val="0"/>
        </w:numPr>
        <w:spacing w:after="0"/>
        <w:ind w:left="142"/>
        <w:jc w:val="left"/>
      </w:pPr>
      <w:r w:rsidRPr="00230BC2">
        <w:t>Belgium</w:t>
      </w:r>
    </w:p>
    <w:p w14:paraId="3756B405" w14:textId="34CF2263" w:rsidR="002F7B48" w:rsidRPr="00230BC2" w:rsidRDefault="002F7B48" w:rsidP="00322CF8">
      <w:pPr>
        <w:pStyle w:val="Para1"/>
        <w:numPr>
          <w:ilvl w:val="0"/>
          <w:numId w:val="0"/>
        </w:numPr>
        <w:spacing w:after="0"/>
        <w:ind w:left="142"/>
        <w:jc w:val="left"/>
      </w:pPr>
      <w:r w:rsidRPr="00230BC2">
        <w:t>Belize</w:t>
      </w:r>
      <w:r w:rsidR="00E77F70" w:rsidRPr="00230BC2">
        <w:rPr>
          <w:vertAlign w:val="superscript"/>
        </w:rPr>
        <w:t>a</w:t>
      </w:r>
    </w:p>
    <w:p w14:paraId="1444E515" w14:textId="77777777" w:rsidR="002F7B48" w:rsidRPr="00230BC2" w:rsidRDefault="002F7B48" w:rsidP="00322CF8">
      <w:pPr>
        <w:pStyle w:val="Para1"/>
        <w:numPr>
          <w:ilvl w:val="0"/>
          <w:numId w:val="0"/>
        </w:numPr>
        <w:spacing w:after="0"/>
        <w:ind w:left="142"/>
        <w:jc w:val="left"/>
      </w:pPr>
      <w:r w:rsidRPr="00230BC2">
        <w:t>Benin</w:t>
      </w:r>
    </w:p>
    <w:p w14:paraId="32151220" w14:textId="77777777" w:rsidR="002F7B48" w:rsidRPr="00230BC2" w:rsidRDefault="002F7B48" w:rsidP="00322CF8">
      <w:pPr>
        <w:pStyle w:val="Para1"/>
        <w:numPr>
          <w:ilvl w:val="0"/>
          <w:numId w:val="0"/>
        </w:numPr>
        <w:spacing w:after="0"/>
        <w:ind w:left="142"/>
        <w:jc w:val="left"/>
      </w:pPr>
      <w:r w:rsidRPr="00230BC2">
        <w:t>Bhutan</w:t>
      </w:r>
    </w:p>
    <w:p w14:paraId="6D6511A4" w14:textId="1223D260" w:rsidR="002F7B48" w:rsidRPr="00230BC2" w:rsidRDefault="002F7B48" w:rsidP="00322CF8">
      <w:pPr>
        <w:pStyle w:val="Para1"/>
        <w:numPr>
          <w:ilvl w:val="0"/>
          <w:numId w:val="0"/>
        </w:numPr>
        <w:spacing w:after="0"/>
        <w:ind w:left="142"/>
        <w:jc w:val="left"/>
      </w:pPr>
      <w:r w:rsidRPr="00230BC2">
        <w:t>Bolivia (Plurinational State of)</w:t>
      </w:r>
      <w:r w:rsidR="00E77F70" w:rsidRPr="00230BC2">
        <w:rPr>
          <w:vertAlign w:val="superscript"/>
        </w:rPr>
        <w:t>a</w:t>
      </w:r>
    </w:p>
    <w:p w14:paraId="5962AD5F" w14:textId="77777777" w:rsidR="002F7B48" w:rsidRPr="00230BC2" w:rsidRDefault="002F7B48" w:rsidP="00322CF8">
      <w:pPr>
        <w:pStyle w:val="Para1"/>
        <w:numPr>
          <w:ilvl w:val="0"/>
          <w:numId w:val="0"/>
        </w:numPr>
        <w:spacing w:after="0"/>
        <w:ind w:left="142"/>
        <w:jc w:val="left"/>
      </w:pPr>
      <w:r w:rsidRPr="00230BC2">
        <w:t>Bosnia and Herzegovina</w:t>
      </w:r>
    </w:p>
    <w:p w14:paraId="39A20BD3" w14:textId="77777777" w:rsidR="002F7B48" w:rsidRPr="00230BC2" w:rsidRDefault="002F7B48" w:rsidP="00322CF8">
      <w:pPr>
        <w:pStyle w:val="Para1"/>
        <w:numPr>
          <w:ilvl w:val="0"/>
          <w:numId w:val="0"/>
        </w:numPr>
        <w:spacing w:after="0"/>
        <w:ind w:left="142"/>
        <w:jc w:val="left"/>
      </w:pPr>
      <w:r w:rsidRPr="00230BC2">
        <w:t>Botswana</w:t>
      </w:r>
    </w:p>
    <w:p w14:paraId="18AC703A" w14:textId="77777777" w:rsidR="002F7B48" w:rsidRPr="00230BC2" w:rsidRDefault="002F7B48" w:rsidP="00322CF8">
      <w:pPr>
        <w:pStyle w:val="Para1"/>
        <w:numPr>
          <w:ilvl w:val="0"/>
          <w:numId w:val="0"/>
        </w:numPr>
        <w:spacing w:after="0"/>
        <w:ind w:left="142"/>
        <w:jc w:val="left"/>
      </w:pPr>
      <w:r w:rsidRPr="00230BC2">
        <w:t>Brazil</w:t>
      </w:r>
    </w:p>
    <w:p w14:paraId="2A5A1AFE" w14:textId="77777777" w:rsidR="002F7B48" w:rsidRPr="00230BC2" w:rsidRDefault="002F7B48" w:rsidP="00322CF8">
      <w:pPr>
        <w:pStyle w:val="Para1"/>
        <w:numPr>
          <w:ilvl w:val="0"/>
          <w:numId w:val="0"/>
        </w:numPr>
        <w:spacing w:after="0"/>
        <w:ind w:left="142"/>
        <w:jc w:val="left"/>
      </w:pPr>
      <w:r w:rsidRPr="00230BC2">
        <w:t>Bulgaria</w:t>
      </w:r>
    </w:p>
    <w:p w14:paraId="5DCA4568" w14:textId="77777777" w:rsidR="002F7B48" w:rsidRPr="00230BC2" w:rsidRDefault="002F7B48" w:rsidP="00322CF8">
      <w:pPr>
        <w:pStyle w:val="Para1"/>
        <w:numPr>
          <w:ilvl w:val="0"/>
          <w:numId w:val="0"/>
        </w:numPr>
        <w:spacing w:after="0"/>
        <w:ind w:left="142"/>
        <w:jc w:val="left"/>
      </w:pPr>
      <w:r w:rsidRPr="00230BC2">
        <w:t>Burkina Faso</w:t>
      </w:r>
    </w:p>
    <w:p w14:paraId="33D59D65" w14:textId="77777777" w:rsidR="002F7B48" w:rsidRPr="00230BC2" w:rsidRDefault="002F7B48" w:rsidP="00322CF8">
      <w:pPr>
        <w:pStyle w:val="Para1"/>
        <w:numPr>
          <w:ilvl w:val="0"/>
          <w:numId w:val="0"/>
        </w:numPr>
        <w:spacing w:after="0"/>
        <w:ind w:left="142"/>
        <w:jc w:val="left"/>
      </w:pPr>
      <w:r w:rsidRPr="00230BC2">
        <w:t>Burundi</w:t>
      </w:r>
    </w:p>
    <w:p w14:paraId="2503F3C6" w14:textId="77777777" w:rsidR="002F7B48" w:rsidRPr="00230BC2" w:rsidRDefault="002F7B48" w:rsidP="00322CF8">
      <w:pPr>
        <w:pStyle w:val="Para1"/>
        <w:numPr>
          <w:ilvl w:val="0"/>
          <w:numId w:val="0"/>
        </w:numPr>
        <w:spacing w:after="0"/>
        <w:ind w:left="142"/>
        <w:jc w:val="left"/>
      </w:pPr>
      <w:r w:rsidRPr="00230BC2">
        <w:t>Cabo Verde</w:t>
      </w:r>
    </w:p>
    <w:p w14:paraId="23ABC2BB" w14:textId="77777777" w:rsidR="002F7B48" w:rsidRPr="00230BC2" w:rsidRDefault="002F7B48" w:rsidP="00322CF8">
      <w:pPr>
        <w:pStyle w:val="Para1"/>
        <w:numPr>
          <w:ilvl w:val="0"/>
          <w:numId w:val="0"/>
        </w:numPr>
        <w:spacing w:after="0"/>
        <w:ind w:left="142"/>
        <w:jc w:val="left"/>
      </w:pPr>
      <w:r w:rsidRPr="00230BC2">
        <w:t>Cambodia</w:t>
      </w:r>
    </w:p>
    <w:p w14:paraId="0F5A4492" w14:textId="77777777" w:rsidR="002F7B48" w:rsidRPr="00230BC2" w:rsidRDefault="002F7B48" w:rsidP="00322CF8">
      <w:pPr>
        <w:pStyle w:val="Para1"/>
        <w:numPr>
          <w:ilvl w:val="0"/>
          <w:numId w:val="0"/>
        </w:numPr>
        <w:spacing w:after="0"/>
        <w:ind w:left="142"/>
        <w:jc w:val="left"/>
      </w:pPr>
      <w:r w:rsidRPr="00230BC2">
        <w:t>Cameroon</w:t>
      </w:r>
    </w:p>
    <w:p w14:paraId="15055734" w14:textId="77777777" w:rsidR="002F7B48" w:rsidRPr="00230BC2" w:rsidRDefault="002F7B48" w:rsidP="00322CF8">
      <w:pPr>
        <w:pStyle w:val="Para1"/>
        <w:numPr>
          <w:ilvl w:val="0"/>
          <w:numId w:val="0"/>
        </w:numPr>
        <w:spacing w:after="0"/>
        <w:ind w:left="142"/>
        <w:jc w:val="left"/>
      </w:pPr>
      <w:r w:rsidRPr="00230BC2">
        <w:t>Canada</w:t>
      </w:r>
    </w:p>
    <w:p w14:paraId="08EF2848" w14:textId="77777777" w:rsidR="002F7B48" w:rsidRPr="00230BC2" w:rsidRDefault="002F7B48" w:rsidP="00322CF8">
      <w:pPr>
        <w:pStyle w:val="Para1"/>
        <w:numPr>
          <w:ilvl w:val="0"/>
          <w:numId w:val="0"/>
        </w:numPr>
        <w:spacing w:after="0"/>
        <w:ind w:left="142"/>
        <w:jc w:val="left"/>
      </w:pPr>
      <w:r w:rsidRPr="00230BC2">
        <w:t>Central African Republic</w:t>
      </w:r>
    </w:p>
    <w:p w14:paraId="59E90315" w14:textId="77777777" w:rsidR="002F7B48" w:rsidRPr="00230BC2" w:rsidRDefault="002F7B48" w:rsidP="00322CF8">
      <w:pPr>
        <w:pStyle w:val="Para1"/>
        <w:numPr>
          <w:ilvl w:val="0"/>
          <w:numId w:val="0"/>
        </w:numPr>
        <w:spacing w:after="0"/>
        <w:ind w:left="142"/>
        <w:jc w:val="left"/>
      </w:pPr>
      <w:r w:rsidRPr="00230BC2">
        <w:t>Chad</w:t>
      </w:r>
    </w:p>
    <w:p w14:paraId="5B282DEB" w14:textId="77777777" w:rsidR="002F7B48" w:rsidRPr="00230BC2" w:rsidRDefault="002F7B48" w:rsidP="00322CF8">
      <w:pPr>
        <w:pStyle w:val="Para1"/>
        <w:numPr>
          <w:ilvl w:val="0"/>
          <w:numId w:val="0"/>
        </w:numPr>
        <w:spacing w:after="0"/>
        <w:ind w:left="142"/>
        <w:jc w:val="left"/>
      </w:pPr>
      <w:r w:rsidRPr="00230BC2">
        <w:t>Chile</w:t>
      </w:r>
    </w:p>
    <w:p w14:paraId="2F7682CA" w14:textId="77777777" w:rsidR="002F7B48" w:rsidRPr="00230BC2" w:rsidRDefault="002F7B48" w:rsidP="00322CF8">
      <w:pPr>
        <w:pStyle w:val="Para1"/>
        <w:numPr>
          <w:ilvl w:val="0"/>
          <w:numId w:val="0"/>
        </w:numPr>
        <w:spacing w:after="0"/>
        <w:ind w:left="142"/>
        <w:jc w:val="left"/>
      </w:pPr>
      <w:r w:rsidRPr="00230BC2">
        <w:t>China</w:t>
      </w:r>
    </w:p>
    <w:p w14:paraId="708440DE" w14:textId="77777777" w:rsidR="002F7B48" w:rsidRPr="00230BC2" w:rsidRDefault="002F7B48" w:rsidP="00322CF8">
      <w:pPr>
        <w:pStyle w:val="Para1"/>
        <w:numPr>
          <w:ilvl w:val="0"/>
          <w:numId w:val="0"/>
        </w:numPr>
        <w:spacing w:after="0"/>
        <w:ind w:left="142"/>
        <w:jc w:val="left"/>
      </w:pPr>
      <w:r w:rsidRPr="00230BC2">
        <w:t>Colombia</w:t>
      </w:r>
    </w:p>
    <w:p w14:paraId="1CB97B6A" w14:textId="77777777" w:rsidR="002F7B48" w:rsidRPr="00230BC2" w:rsidRDefault="002F7B48" w:rsidP="00322CF8">
      <w:pPr>
        <w:pStyle w:val="Para1"/>
        <w:numPr>
          <w:ilvl w:val="0"/>
          <w:numId w:val="0"/>
        </w:numPr>
        <w:spacing w:after="0"/>
        <w:ind w:left="142"/>
        <w:jc w:val="left"/>
      </w:pPr>
      <w:r w:rsidRPr="00230BC2">
        <w:t>Comoros</w:t>
      </w:r>
    </w:p>
    <w:p w14:paraId="12C0413D" w14:textId="08E1E12B" w:rsidR="002F7B48" w:rsidRPr="00230BC2" w:rsidRDefault="002F7B48" w:rsidP="00322CF8">
      <w:pPr>
        <w:pStyle w:val="Para1"/>
        <w:numPr>
          <w:ilvl w:val="0"/>
          <w:numId w:val="0"/>
        </w:numPr>
        <w:spacing w:after="0"/>
        <w:ind w:left="142"/>
        <w:jc w:val="left"/>
      </w:pPr>
      <w:r w:rsidRPr="00230BC2">
        <w:t>Congo</w:t>
      </w:r>
      <w:r w:rsidR="00E77F70" w:rsidRPr="00230BC2">
        <w:rPr>
          <w:vertAlign w:val="superscript"/>
        </w:rPr>
        <w:t>a</w:t>
      </w:r>
    </w:p>
    <w:p w14:paraId="74938FAF" w14:textId="77777777" w:rsidR="002F7B48" w:rsidRPr="00230BC2" w:rsidRDefault="002F7B48" w:rsidP="00322CF8">
      <w:pPr>
        <w:pStyle w:val="Para1"/>
        <w:numPr>
          <w:ilvl w:val="0"/>
          <w:numId w:val="0"/>
        </w:numPr>
        <w:spacing w:after="0"/>
        <w:ind w:left="142"/>
        <w:jc w:val="left"/>
      </w:pPr>
      <w:r w:rsidRPr="00230BC2">
        <w:t>Cook Islands</w:t>
      </w:r>
    </w:p>
    <w:p w14:paraId="5BFC1433" w14:textId="77777777" w:rsidR="002F7B48" w:rsidRPr="00230BC2" w:rsidRDefault="002F7B48" w:rsidP="00322CF8">
      <w:pPr>
        <w:pStyle w:val="Para1"/>
        <w:numPr>
          <w:ilvl w:val="0"/>
          <w:numId w:val="0"/>
        </w:numPr>
        <w:spacing w:after="0"/>
        <w:ind w:left="142"/>
        <w:jc w:val="left"/>
      </w:pPr>
      <w:r w:rsidRPr="00230BC2">
        <w:t>Costa Rica</w:t>
      </w:r>
    </w:p>
    <w:p w14:paraId="709FCA75" w14:textId="7452C262" w:rsidR="002F7B48" w:rsidRPr="00230BC2" w:rsidRDefault="002F7B48" w:rsidP="00322CF8">
      <w:pPr>
        <w:pStyle w:val="Para1"/>
        <w:numPr>
          <w:ilvl w:val="0"/>
          <w:numId w:val="0"/>
        </w:numPr>
        <w:spacing w:after="0"/>
        <w:ind w:left="142"/>
        <w:jc w:val="left"/>
      </w:pPr>
      <w:r w:rsidRPr="00230BC2">
        <w:t>Côte d</w:t>
      </w:r>
      <w:r w:rsidR="00E91698" w:rsidRPr="00230BC2">
        <w:t>’</w:t>
      </w:r>
      <w:r w:rsidRPr="00230BC2">
        <w:t>Ivoire</w:t>
      </w:r>
    </w:p>
    <w:p w14:paraId="3D26D3DB" w14:textId="77777777" w:rsidR="002F7B48" w:rsidRPr="00230BC2" w:rsidRDefault="002F7B48" w:rsidP="00322CF8">
      <w:pPr>
        <w:pStyle w:val="Para1"/>
        <w:numPr>
          <w:ilvl w:val="0"/>
          <w:numId w:val="0"/>
        </w:numPr>
        <w:spacing w:after="0"/>
        <w:ind w:left="142"/>
        <w:jc w:val="left"/>
      </w:pPr>
      <w:r w:rsidRPr="00230BC2">
        <w:t>Croatia</w:t>
      </w:r>
    </w:p>
    <w:p w14:paraId="159A3B06" w14:textId="77777777" w:rsidR="002F7B48" w:rsidRPr="00230BC2" w:rsidRDefault="002F7B48" w:rsidP="00322CF8">
      <w:pPr>
        <w:pStyle w:val="Para1"/>
        <w:numPr>
          <w:ilvl w:val="0"/>
          <w:numId w:val="0"/>
        </w:numPr>
        <w:spacing w:after="0"/>
        <w:ind w:left="142"/>
        <w:jc w:val="left"/>
      </w:pPr>
      <w:r w:rsidRPr="00230BC2">
        <w:t>Cuba</w:t>
      </w:r>
    </w:p>
    <w:p w14:paraId="58D70D13" w14:textId="51216F96" w:rsidR="002F7B48" w:rsidRPr="00230BC2" w:rsidRDefault="002F7B48" w:rsidP="00322CF8">
      <w:pPr>
        <w:pStyle w:val="Para1"/>
        <w:numPr>
          <w:ilvl w:val="0"/>
          <w:numId w:val="0"/>
        </w:numPr>
        <w:spacing w:after="0"/>
        <w:ind w:left="142"/>
        <w:jc w:val="left"/>
      </w:pPr>
      <w:r w:rsidRPr="00230BC2">
        <w:t>Cyprus</w:t>
      </w:r>
      <w:r w:rsidR="006F5A31" w:rsidRPr="00230BC2">
        <w:rPr>
          <w:vertAlign w:val="superscript"/>
        </w:rPr>
        <w:t>a</w:t>
      </w:r>
    </w:p>
    <w:p w14:paraId="4D1D7F13" w14:textId="00647F71" w:rsidR="002F7B48" w:rsidRPr="00230BC2" w:rsidRDefault="002F7B48" w:rsidP="00322CF8">
      <w:pPr>
        <w:pStyle w:val="Para1"/>
        <w:numPr>
          <w:ilvl w:val="0"/>
          <w:numId w:val="0"/>
        </w:numPr>
        <w:spacing w:after="0"/>
        <w:ind w:left="142"/>
        <w:jc w:val="left"/>
      </w:pPr>
      <w:r w:rsidRPr="00230BC2">
        <w:t>Czech</w:t>
      </w:r>
      <w:r w:rsidR="00822701" w:rsidRPr="00230BC2">
        <w:t>ia</w:t>
      </w:r>
    </w:p>
    <w:p w14:paraId="7FA0C853" w14:textId="20957115" w:rsidR="002F7B48" w:rsidRPr="00230BC2" w:rsidRDefault="002F7B48" w:rsidP="00322CF8">
      <w:pPr>
        <w:pStyle w:val="Para1"/>
        <w:numPr>
          <w:ilvl w:val="0"/>
          <w:numId w:val="0"/>
        </w:numPr>
        <w:spacing w:after="0"/>
        <w:ind w:left="142"/>
        <w:jc w:val="left"/>
      </w:pPr>
      <w:r w:rsidRPr="00230BC2">
        <w:t>Democratic People</w:t>
      </w:r>
      <w:r w:rsidR="005D11FC" w:rsidRPr="00230BC2">
        <w:t>’</w:t>
      </w:r>
      <w:r w:rsidRPr="00230BC2">
        <w:t>s Republic of Korea</w:t>
      </w:r>
      <w:r w:rsidR="00E77F70" w:rsidRPr="00230BC2">
        <w:rPr>
          <w:vertAlign w:val="superscript"/>
        </w:rPr>
        <w:t>a</w:t>
      </w:r>
    </w:p>
    <w:p w14:paraId="563222D8" w14:textId="77777777" w:rsidR="002F7B48" w:rsidRPr="00230BC2" w:rsidRDefault="002F7B48" w:rsidP="00322CF8">
      <w:pPr>
        <w:pStyle w:val="Para1"/>
        <w:numPr>
          <w:ilvl w:val="0"/>
          <w:numId w:val="0"/>
        </w:numPr>
        <w:spacing w:after="0"/>
        <w:ind w:left="142"/>
        <w:jc w:val="left"/>
      </w:pPr>
      <w:r w:rsidRPr="00230BC2">
        <w:t>Democratic Republic of the Congo</w:t>
      </w:r>
    </w:p>
    <w:p w14:paraId="5C6F9AB3" w14:textId="77777777" w:rsidR="002F7B48" w:rsidRPr="00230BC2" w:rsidRDefault="002F7B48" w:rsidP="00322CF8">
      <w:pPr>
        <w:pStyle w:val="Para1"/>
        <w:numPr>
          <w:ilvl w:val="0"/>
          <w:numId w:val="0"/>
        </w:numPr>
        <w:spacing w:after="0"/>
        <w:ind w:left="142"/>
        <w:jc w:val="left"/>
      </w:pPr>
      <w:r w:rsidRPr="00230BC2">
        <w:t>Denmark</w:t>
      </w:r>
    </w:p>
    <w:p w14:paraId="408EA3E3" w14:textId="77777777" w:rsidR="002F7B48" w:rsidRPr="00230BC2" w:rsidRDefault="002F7B48" w:rsidP="00322CF8">
      <w:pPr>
        <w:pStyle w:val="Para1"/>
        <w:numPr>
          <w:ilvl w:val="0"/>
          <w:numId w:val="0"/>
        </w:numPr>
        <w:spacing w:after="0"/>
        <w:ind w:left="142"/>
        <w:jc w:val="left"/>
      </w:pPr>
      <w:r w:rsidRPr="00230BC2">
        <w:t>Djibouti</w:t>
      </w:r>
    </w:p>
    <w:p w14:paraId="3B3213A8" w14:textId="099DFF51" w:rsidR="002F7B48" w:rsidRPr="00230BC2" w:rsidRDefault="002F7B48" w:rsidP="00322CF8">
      <w:pPr>
        <w:pStyle w:val="Para1"/>
        <w:numPr>
          <w:ilvl w:val="0"/>
          <w:numId w:val="0"/>
        </w:numPr>
        <w:spacing w:after="0"/>
        <w:ind w:left="142"/>
        <w:jc w:val="left"/>
      </w:pPr>
      <w:r w:rsidRPr="00230BC2">
        <w:t>Dominica</w:t>
      </w:r>
      <w:r w:rsidR="006F5A31" w:rsidRPr="00230BC2">
        <w:rPr>
          <w:vertAlign w:val="superscript"/>
        </w:rPr>
        <w:t>a</w:t>
      </w:r>
    </w:p>
    <w:p w14:paraId="0B28E5DB" w14:textId="77777777" w:rsidR="002F7B48" w:rsidRPr="00230BC2" w:rsidRDefault="002F7B48" w:rsidP="00322CF8">
      <w:pPr>
        <w:pStyle w:val="Para1"/>
        <w:numPr>
          <w:ilvl w:val="0"/>
          <w:numId w:val="0"/>
        </w:numPr>
        <w:spacing w:after="0"/>
        <w:ind w:left="142"/>
        <w:jc w:val="left"/>
      </w:pPr>
      <w:r w:rsidRPr="00230BC2">
        <w:t>Dominican Republic</w:t>
      </w:r>
    </w:p>
    <w:p w14:paraId="3B06C386" w14:textId="246C24CA" w:rsidR="002F7B48" w:rsidRPr="00230BC2" w:rsidRDefault="002F7B48" w:rsidP="00322CF8">
      <w:pPr>
        <w:pStyle w:val="Para1"/>
        <w:numPr>
          <w:ilvl w:val="0"/>
          <w:numId w:val="0"/>
        </w:numPr>
        <w:spacing w:after="0"/>
        <w:ind w:left="142"/>
        <w:jc w:val="left"/>
      </w:pPr>
      <w:r w:rsidRPr="00230BC2">
        <w:t>Ecuador</w:t>
      </w:r>
      <w:r w:rsidR="00866BE2" w:rsidRPr="00230BC2">
        <w:rPr>
          <w:vertAlign w:val="superscript"/>
        </w:rPr>
        <w:t>a</w:t>
      </w:r>
    </w:p>
    <w:p w14:paraId="0D87B1AB" w14:textId="77777777" w:rsidR="002F7B48" w:rsidRPr="00230BC2" w:rsidRDefault="002F7B48" w:rsidP="00322CF8">
      <w:pPr>
        <w:pStyle w:val="Para1"/>
        <w:numPr>
          <w:ilvl w:val="0"/>
          <w:numId w:val="0"/>
        </w:numPr>
        <w:spacing w:after="0"/>
        <w:ind w:left="142"/>
        <w:jc w:val="left"/>
      </w:pPr>
      <w:r w:rsidRPr="00230BC2">
        <w:t>Egypt</w:t>
      </w:r>
    </w:p>
    <w:p w14:paraId="29B79343" w14:textId="6461D1EC" w:rsidR="002F7B48" w:rsidRPr="00230BC2" w:rsidRDefault="002F7B48" w:rsidP="00322CF8">
      <w:pPr>
        <w:pStyle w:val="Para1"/>
        <w:numPr>
          <w:ilvl w:val="0"/>
          <w:numId w:val="0"/>
        </w:numPr>
        <w:spacing w:after="0"/>
        <w:ind w:left="142"/>
        <w:jc w:val="left"/>
      </w:pPr>
      <w:r w:rsidRPr="00230BC2">
        <w:t>El Salvador</w:t>
      </w:r>
      <w:r w:rsidR="00866BE2" w:rsidRPr="00230BC2">
        <w:rPr>
          <w:vertAlign w:val="superscript"/>
        </w:rPr>
        <w:t>a</w:t>
      </w:r>
    </w:p>
    <w:p w14:paraId="02993647" w14:textId="77777777" w:rsidR="002F7B48" w:rsidRPr="00230BC2" w:rsidRDefault="002F7B48" w:rsidP="00322CF8">
      <w:pPr>
        <w:pStyle w:val="Para1"/>
        <w:numPr>
          <w:ilvl w:val="0"/>
          <w:numId w:val="0"/>
        </w:numPr>
        <w:spacing w:after="0"/>
        <w:ind w:left="142"/>
        <w:jc w:val="left"/>
      </w:pPr>
      <w:r w:rsidRPr="00230BC2">
        <w:t>Equatorial Guinea</w:t>
      </w:r>
    </w:p>
    <w:p w14:paraId="4AC3F977" w14:textId="77777777" w:rsidR="002F7B48" w:rsidRPr="00230BC2" w:rsidRDefault="002F7B48" w:rsidP="00322CF8">
      <w:pPr>
        <w:pStyle w:val="Para1"/>
        <w:numPr>
          <w:ilvl w:val="0"/>
          <w:numId w:val="0"/>
        </w:numPr>
        <w:spacing w:after="0"/>
        <w:ind w:left="142"/>
        <w:jc w:val="left"/>
      </w:pPr>
      <w:r w:rsidRPr="00230BC2">
        <w:t>Eritrea</w:t>
      </w:r>
    </w:p>
    <w:p w14:paraId="5B46227F" w14:textId="77777777" w:rsidR="002F7B48" w:rsidRPr="00230BC2" w:rsidRDefault="002F7B48" w:rsidP="00322CF8">
      <w:pPr>
        <w:pStyle w:val="Para1"/>
        <w:numPr>
          <w:ilvl w:val="0"/>
          <w:numId w:val="0"/>
        </w:numPr>
        <w:spacing w:after="0"/>
        <w:ind w:left="142"/>
        <w:jc w:val="left"/>
      </w:pPr>
      <w:r w:rsidRPr="00230BC2">
        <w:t>Estonia</w:t>
      </w:r>
    </w:p>
    <w:p w14:paraId="2CA651EE" w14:textId="77777777" w:rsidR="002F7B48" w:rsidRPr="00230BC2" w:rsidRDefault="002F7B48" w:rsidP="00322CF8">
      <w:pPr>
        <w:pStyle w:val="Para1"/>
        <w:numPr>
          <w:ilvl w:val="0"/>
          <w:numId w:val="0"/>
        </w:numPr>
        <w:spacing w:after="0"/>
        <w:ind w:left="142"/>
        <w:jc w:val="left"/>
      </w:pPr>
      <w:r w:rsidRPr="00230BC2">
        <w:t>Eswatini</w:t>
      </w:r>
    </w:p>
    <w:p w14:paraId="03A1F19B" w14:textId="77777777" w:rsidR="002F7B48" w:rsidRPr="00230BC2" w:rsidRDefault="002F7B48" w:rsidP="00322CF8">
      <w:pPr>
        <w:pStyle w:val="Para1"/>
        <w:numPr>
          <w:ilvl w:val="0"/>
          <w:numId w:val="0"/>
        </w:numPr>
        <w:spacing w:after="0"/>
        <w:ind w:left="142"/>
        <w:jc w:val="left"/>
      </w:pPr>
      <w:r w:rsidRPr="00230BC2">
        <w:t>Ethiopia</w:t>
      </w:r>
    </w:p>
    <w:p w14:paraId="76BE6820" w14:textId="77777777" w:rsidR="002F7B48" w:rsidRPr="00230BC2" w:rsidRDefault="002F7B48" w:rsidP="00322CF8">
      <w:pPr>
        <w:pStyle w:val="Para1"/>
        <w:numPr>
          <w:ilvl w:val="0"/>
          <w:numId w:val="0"/>
        </w:numPr>
        <w:spacing w:after="0"/>
        <w:ind w:left="142"/>
        <w:jc w:val="left"/>
      </w:pPr>
      <w:r w:rsidRPr="00230BC2">
        <w:t>European Union</w:t>
      </w:r>
    </w:p>
    <w:p w14:paraId="01AD82E6" w14:textId="77777777" w:rsidR="002F7B48" w:rsidRPr="00230BC2" w:rsidRDefault="002F7B48" w:rsidP="00322CF8">
      <w:pPr>
        <w:pStyle w:val="Para1"/>
        <w:numPr>
          <w:ilvl w:val="0"/>
          <w:numId w:val="0"/>
        </w:numPr>
        <w:spacing w:after="0"/>
        <w:ind w:left="142"/>
        <w:jc w:val="left"/>
      </w:pPr>
      <w:r w:rsidRPr="00230BC2">
        <w:t>Fiji</w:t>
      </w:r>
    </w:p>
    <w:p w14:paraId="78835AFD" w14:textId="77777777" w:rsidR="002F7B48" w:rsidRPr="00230BC2" w:rsidRDefault="002F7B48" w:rsidP="00322CF8">
      <w:pPr>
        <w:pStyle w:val="Para1"/>
        <w:numPr>
          <w:ilvl w:val="0"/>
          <w:numId w:val="0"/>
        </w:numPr>
        <w:spacing w:after="0"/>
        <w:ind w:left="142"/>
        <w:jc w:val="left"/>
      </w:pPr>
      <w:r w:rsidRPr="00230BC2">
        <w:t>Finland</w:t>
      </w:r>
    </w:p>
    <w:p w14:paraId="624686E9" w14:textId="77777777" w:rsidR="002F7B48" w:rsidRPr="00230BC2" w:rsidRDefault="002F7B48" w:rsidP="00322CF8">
      <w:pPr>
        <w:pStyle w:val="Para1"/>
        <w:numPr>
          <w:ilvl w:val="0"/>
          <w:numId w:val="0"/>
        </w:numPr>
        <w:spacing w:after="0"/>
        <w:ind w:left="142"/>
        <w:jc w:val="left"/>
      </w:pPr>
      <w:r w:rsidRPr="00230BC2">
        <w:lastRenderedPageBreak/>
        <w:t>France</w:t>
      </w:r>
    </w:p>
    <w:p w14:paraId="46B271E2" w14:textId="77777777" w:rsidR="002F7B48" w:rsidRPr="00230BC2" w:rsidRDefault="002F7B48" w:rsidP="00322CF8">
      <w:pPr>
        <w:pStyle w:val="Para1"/>
        <w:numPr>
          <w:ilvl w:val="0"/>
          <w:numId w:val="0"/>
        </w:numPr>
        <w:spacing w:after="0"/>
        <w:ind w:left="142"/>
        <w:jc w:val="left"/>
      </w:pPr>
      <w:r w:rsidRPr="00230BC2">
        <w:t>Gabon</w:t>
      </w:r>
    </w:p>
    <w:p w14:paraId="46C7D1C1" w14:textId="580EAA71" w:rsidR="002F7B48" w:rsidRPr="00230BC2" w:rsidRDefault="002F7B48" w:rsidP="00322CF8">
      <w:pPr>
        <w:pStyle w:val="Para1"/>
        <w:numPr>
          <w:ilvl w:val="0"/>
          <w:numId w:val="0"/>
        </w:numPr>
        <w:spacing w:after="0"/>
        <w:ind w:left="142"/>
        <w:jc w:val="left"/>
      </w:pPr>
      <w:r w:rsidRPr="00230BC2">
        <w:t>Gambia</w:t>
      </w:r>
    </w:p>
    <w:p w14:paraId="7AC6AD1B" w14:textId="77777777" w:rsidR="002F7B48" w:rsidRPr="00230BC2" w:rsidRDefault="002F7B48" w:rsidP="00322CF8">
      <w:pPr>
        <w:pStyle w:val="Para1"/>
        <w:numPr>
          <w:ilvl w:val="0"/>
          <w:numId w:val="0"/>
        </w:numPr>
        <w:spacing w:after="0"/>
        <w:ind w:left="142"/>
        <w:jc w:val="left"/>
      </w:pPr>
      <w:r w:rsidRPr="00230BC2">
        <w:t>Georgia</w:t>
      </w:r>
    </w:p>
    <w:p w14:paraId="32EBD667" w14:textId="77777777" w:rsidR="002F7B48" w:rsidRPr="00230BC2" w:rsidRDefault="002F7B48" w:rsidP="00322CF8">
      <w:pPr>
        <w:pStyle w:val="Para1"/>
        <w:numPr>
          <w:ilvl w:val="0"/>
          <w:numId w:val="0"/>
        </w:numPr>
        <w:spacing w:after="0"/>
        <w:ind w:left="142"/>
        <w:jc w:val="left"/>
      </w:pPr>
      <w:r w:rsidRPr="00230BC2">
        <w:t>Germany</w:t>
      </w:r>
    </w:p>
    <w:p w14:paraId="1C8CEEFC" w14:textId="77777777" w:rsidR="002F7B48" w:rsidRPr="00230BC2" w:rsidRDefault="002F7B48" w:rsidP="00322CF8">
      <w:pPr>
        <w:pStyle w:val="Para1"/>
        <w:numPr>
          <w:ilvl w:val="0"/>
          <w:numId w:val="0"/>
        </w:numPr>
        <w:spacing w:after="0"/>
        <w:ind w:left="142"/>
        <w:jc w:val="left"/>
      </w:pPr>
      <w:r w:rsidRPr="00230BC2">
        <w:t>Ghana</w:t>
      </w:r>
    </w:p>
    <w:p w14:paraId="65B8EA8C" w14:textId="77777777" w:rsidR="002F7B48" w:rsidRPr="00230BC2" w:rsidRDefault="002F7B48" w:rsidP="00322CF8">
      <w:pPr>
        <w:pStyle w:val="Para1"/>
        <w:numPr>
          <w:ilvl w:val="0"/>
          <w:numId w:val="0"/>
        </w:numPr>
        <w:spacing w:after="0"/>
        <w:ind w:left="142"/>
        <w:jc w:val="left"/>
      </w:pPr>
      <w:r w:rsidRPr="00230BC2">
        <w:t>Greece</w:t>
      </w:r>
    </w:p>
    <w:p w14:paraId="020AF520" w14:textId="77777777" w:rsidR="002F7B48" w:rsidRPr="00230BC2" w:rsidRDefault="002F7B48" w:rsidP="00322CF8">
      <w:pPr>
        <w:pStyle w:val="Para1"/>
        <w:numPr>
          <w:ilvl w:val="0"/>
          <w:numId w:val="0"/>
        </w:numPr>
        <w:spacing w:after="0"/>
        <w:ind w:left="142"/>
        <w:jc w:val="left"/>
      </w:pPr>
      <w:r w:rsidRPr="00230BC2">
        <w:t>Grenada</w:t>
      </w:r>
    </w:p>
    <w:p w14:paraId="796A6E31" w14:textId="77777777" w:rsidR="002F7B48" w:rsidRPr="00230BC2" w:rsidRDefault="002F7B48" w:rsidP="00322CF8">
      <w:pPr>
        <w:pStyle w:val="Para1"/>
        <w:numPr>
          <w:ilvl w:val="0"/>
          <w:numId w:val="0"/>
        </w:numPr>
        <w:spacing w:after="0"/>
        <w:ind w:left="142"/>
        <w:jc w:val="left"/>
      </w:pPr>
      <w:r w:rsidRPr="00230BC2">
        <w:t>Guatemala</w:t>
      </w:r>
    </w:p>
    <w:p w14:paraId="03123608" w14:textId="1EF4B802" w:rsidR="002F7B48" w:rsidRPr="00230BC2" w:rsidRDefault="002F7B48" w:rsidP="00322CF8">
      <w:pPr>
        <w:pStyle w:val="Para1"/>
        <w:numPr>
          <w:ilvl w:val="0"/>
          <w:numId w:val="0"/>
        </w:numPr>
        <w:spacing w:after="0"/>
        <w:ind w:left="142"/>
        <w:jc w:val="left"/>
      </w:pPr>
      <w:r w:rsidRPr="00230BC2">
        <w:t>Guinea</w:t>
      </w:r>
      <w:r w:rsidR="00866BE2" w:rsidRPr="00230BC2">
        <w:rPr>
          <w:vertAlign w:val="superscript"/>
        </w:rPr>
        <w:t>a</w:t>
      </w:r>
    </w:p>
    <w:p w14:paraId="6CAF8E6C" w14:textId="77777777" w:rsidR="002F7B48" w:rsidRPr="00230BC2" w:rsidRDefault="002F7B48" w:rsidP="00322CF8">
      <w:pPr>
        <w:pStyle w:val="Para1"/>
        <w:numPr>
          <w:ilvl w:val="0"/>
          <w:numId w:val="0"/>
        </w:numPr>
        <w:spacing w:after="0"/>
        <w:ind w:left="142"/>
        <w:jc w:val="left"/>
      </w:pPr>
      <w:r w:rsidRPr="00230BC2">
        <w:t>Guinea-Bissau</w:t>
      </w:r>
    </w:p>
    <w:p w14:paraId="25F7A3F3" w14:textId="48438A99" w:rsidR="002F7B48" w:rsidRPr="00230BC2" w:rsidRDefault="002F7B48" w:rsidP="00322CF8">
      <w:pPr>
        <w:pStyle w:val="Para1"/>
        <w:numPr>
          <w:ilvl w:val="0"/>
          <w:numId w:val="0"/>
        </w:numPr>
        <w:spacing w:after="0"/>
        <w:ind w:left="142"/>
        <w:jc w:val="left"/>
      </w:pPr>
      <w:r w:rsidRPr="00230BC2">
        <w:t>Guyana</w:t>
      </w:r>
      <w:r w:rsidR="00866BE2" w:rsidRPr="00230BC2">
        <w:rPr>
          <w:vertAlign w:val="superscript"/>
        </w:rPr>
        <w:t>a</w:t>
      </w:r>
    </w:p>
    <w:p w14:paraId="28595C3F" w14:textId="77777777" w:rsidR="002F7B48" w:rsidRPr="00230BC2" w:rsidRDefault="002F7B48" w:rsidP="00322CF8">
      <w:pPr>
        <w:pStyle w:val="Para1"/>
        <w:numPr>
          <w:ilvl w:val="0"/>
          <w:numId w:val="0"/>
        </w:numPr>
        <w:spacing w:after="0"/>
        <w:ind w:left="142"/>
        <w:jc w:val="left"/>
      </w:pPr>
      <w:r w:rsidRPr="00230BC2">
        <w:t>Haiti</w:t>
      </w:r>
    </w:p>
    <w:p w14:paraId="0734B4DB" w14:textId="66CC7BA7" w:rsidR="002F7B48" w:rsidRPr="00230BC2" w:rsidRDefault="002F7B48" w:rsidP="00322CF8">
      <w:pPr>
        <w:pStyle w:val="Para1"/>
        <w:numPr>
          <w:ilvl w:val="0"/>
          <w:numId w:val="0"/>
        </w:numPr>
        <w:spacing w:after="0"/>
        <w:ind w:left="142"/>
        <w:jc w:val="left"/>
      </w:pPr>
      <w:r w:rsidRPr="00230BC2">
        <w:t>Honduras</w:t>
      </w:r>
      <w:r w:rsidR="00866BE2" w:rsidRPr="00230BC2">
        <w:rPr>
          <w:vertAlign w:val="superscript"/>
        </w:rPr>
        <w:t>a</w:t>
      </w:r>
    </w:p>
    <w:p w14:paraId="0C0AF27B" w14:textId="77777777" w:rsidR="002F7B48" w:rsidRPr="00230BC2" w:rsidRDefault="002F7B48" w:rsidP="00322CF8">
      <w:pPr>
        <w:pStyle w:val="Para1"/>
        <w:numPr>
          <w:ilvl w:val="0"/>
          <w:numId w:val="0"/>
        </w:numPr>
        <w:spacing w:after="0"/>
        <w:ind w:left="142"/>
        <w:jc w:val="left"/>
      </w:pPr>
      <w:r w:rsidRPr="00230BC2">
        <w:t>Hungary</w:t>
      </w:r>
    </w:p>
    <w:p w14:paraId="1B04FFA6" w14:textId="77777777" w:rsidR="002F7B48" w:rsidRPr="00230BC2" w:rsidRDefault="002F7B48" w:rsidP="00322CF8">
      <w:pPr>
        <w:pStyle w:val="Para1"/>
        <w:numPr>
          <w:ilvl w:val="0"/>
          <w:numId w:val="0"/>
        </w:numPr>
        <w:spacing w:after="0"/>
        <w:ind w:left="142"/>
        <w:jc w:val="left"/>
      </w:pPr>
      <w:r w:rsidRPr="00230BC2">
        <w:t>Iceland</w:t>
      </w:r>
    </w:p>
    <w:p w14:paraId="29D0482A" w14:textId="77777777" w:rsidR="002F7B48" w:rsidRPr="00230BC2" w:rsidRDefault="002F7B48" w:rsidP="00322CF8">
      <w:pPr>
        <w:pStyle w:val="Para1"/>
        <w:numPr>
          <w:ilvl w:val="0"/>
          <w:numId w:val="0"/>
        </w:numPr>
        <w:spacing w:after="0"/>
        <w:ind w:left="142"/>
        <w:jc w:val="left"/>
      </w:pPr>
      <w:r w:rsidRPr="00230BC2">
        <w:t>India</w:t>
      </w:r>
    </w:p>
    <w:p w14:paraId="366D4A53" w14:textId="77777777" w:rsidR="002F7B48" w:rsidRPr="00230BC2" w:rsidRDefault="002F7B48" w:rsidP="00322CF8">
      <w:pPr>
        <w:pStyle w:val="Para1"/>
        <w:numPr>
          <w:ilvl w:val="0"/>
          <w:numId w:val="0"/>
        </w:numPr>
        <w:spacing w:after="0"/>
        <w:ind w:left="142"/>
        <w:jc w:val="left"/>
      </w:pPr>
      <w:r w:rsidRPr="00230BC2">
        <w:t>Indonesia</w:t>
      </w:r>
    </w:p>
    <w:p w14:paraId="19C92E8B" w14:textId="410F3FA4" w:rsidR="002F7B48" w:rsidRPr="00230BC2" w:rsidRDefault="002F7B48" w:rsidP="00322CF8">
      <w:pPr>
        <w:pStyle w:val="Para1"/>
        <w:numPr>
          <w:ilvl w:val="0"/>
          <w:numId w:val="0"/>
        </w:numPr>
        <w:spacing w:after="0"/>
        <w:ind w:left="142"/>
        <w:jc w:val="left"/>
      </w:pPr>
      <w:r w:rsidRPr="00230BC2">
        <w:t>Iran (Islamic Republic of)</w:t>
      </w:r>
      <w:r w:rsidR="001A618C">
        <w:rPr>
          <w:vertAlign w:val="superscript"/>
        </w:rPr>
        <w:t>a</w:t>
      </w:r>
    </w:p>
    <w:p w14:paraId="7A0900D2" w14:textId="5E072B5D" w:rsidR="004D2C4B" w:rsidRPr="00230BC2" w:rsidRDefault="004D2C4B" w:rsidP="00322CF8">
      <w:pPr>
        <w:pStyle w:val="Para1"/>
        <w:numPr>
          <w:ilvl w:val="0"/>
          <w:numId w:val="0"/>
        </w:numPr>
        <w:spacing w:after="0"/>
        <w:ind w:left="142"/>
        <w:jc w:val="left"/>
      </w:pPr>
      <w:r w:rsidRPr="00230BC2">
        <w:t>Iraq</w:t>
      </w:r>
      <w:r w:rsidR="00866BE2" w:rsidRPr="00230BC2">
        <w:rPr>
          <w:vertAlign w:val="superscript"/>
        </w:rPr>
        <w:t>b</w:t>
      </w:r>
    </w:p>
    <w:p w14:paraId="560B3C8C" w14:textId="26F0AC26" w:rsidR="002F7B48" w:rsidRPr="00230BC2" w:rsidRDefault="002F7B48" w:rsidP="00322CF8">
      <w:pPr>
        <w:pStyle w:val="Para1"/>
        <w:numPr>
          <w:ilvl w:val="0"/>
          <w:numId w:val="0"/>
        </w:numPr>
        <w:spacing w:after="0"/>
        <w:ind w:left="142"/>
        <w:jc w:val="left"/>
      </w:pPr>
      <w:r w:rsidRPr="00230BC2">
        <w:t>Ireland</w:t>
      </w:r>
    </w:p>
    <w:p w14:paraId="081EAD97" w14:textId="4C4BC798" w:rsidR="002F7B48" w:rsidRPr="00230BC2" w:rsidRDefault="002F7B48" w:rsidP="00322CF8">
      <w:pPr>
        <w:pStyle w:val="Para1"/>
        <w:numPr>
          <w:ilvl w:val="0"/>
          <w:numId w:val="0"/>
        </w:numPr>
        <w:spacing w:after="0"/>
        <w:ind w:left="142"/>
        <w:jc w:val="left"/>
      </w:pPr>
      <w:r w:rsidRPr="00230BC2">
        <w:t>Israel</w:t>
      </w:r>
      <w:r w:rsidR="00866BE2" w:rsidRPr="00230BC2">
        <w:rPr>
          <w:vertAlign w:val="superscript"/>
        </w:rPr>
        <w:t>a</w:t>
      </w:r>
    </w:p>
    <w:p w14:paraId="1BF62E75" w14:textId="77777777" w:rsidR="002F7B48" w:rsidRPr="00230BC2" w:rsidRDefault="002F7B48" w:rsidP="00322CF8">
      <w:pPr>
        <w:pStyle w:val="Para1"/>
        <w:numPr>
          <w:ilvl w:val="0"/>
          <w:numId w:val="0"/>
        </w:numPr>
        <w:spacing w:after="0"/>
        <w:ind w:left="142"/>
        <w:jc w:val="left"/>
      </w:pPr>
      <w:r w:rsidRPr="00230BC2">
        <w:t>Italy</w:t>
      </w:r>
    </w:p>
    <w:p w14:paraId="4E61059C" w14:textId="77777777" w:rsidR="002F7B48" w:rsidRPr="00230BC2" w:rsidRDefault="002F7B48" w:rsidP="00322CF8">
      <w:pPr>
        <w:pStyle w:val="Para1"/>
        <w:numPr>
          <w:ilvl w:val="0"/>
          <w:numId w:val="0"/>
        </w:numPr>
        <w:spacing w:after="0"/>
        <w:ind w:left="142"/>
        <w:jc w:val="left"/>
      </w:pPr>
      <w:r w:rsidRPr="00230BC2">
        <w:t>Jamaica</w:t>
      </w:r>
    </w:p>
    <w:p w14:paraId="7B2119F8" w14:textId="77777777" w:rsidR="002F7B48" w:rsidRPr="00230BC2" w:rsidRDefault="002F7B48" w:rsidP="00322CF8">
      <w:pPr>
        <w:pStyle w:val="Para1"/>
        <w:numPr>
          <w:ilvl w:val="0"/>
          <w:numId w:val="0"/>
        </w:numPr>
        <w:spacing w:after="0"/>
        <w:ind w:left="142"/>
        <w:jc w:val="left"/>
      </w:pPr>
      <w:r w:rsidRPr="00230BC2">
        <w:t>Japan</w:t>
      </w:r>
    </w:p>
    <w:p w14:paraId="3FEE394D" w14:textId="77777777" w:rsidR="002F7B48" w:rsidRPr="00230BC2" w:rsidRDefault="002F7B48" w:rsidP="00322CF8">
      <w:pPr>
        <w:pStyle w:val="Para1"/>
        <w:numPr>
          <w:ilvl w:val="0"/>
          <w:numId w:val="0"/>
        </w:numPr>
        <w:spacing w:after="0"/>
        <w:ind w:left="142"/>
        <w:jc w:val="left"/>
      </w:pPr>
      <w:r w:rsidRPr="00230BC2">
        <w:t>Jordan</w:t>
      </w:r>
    </w:p>
    <w:p w14:paraId="311922B4" w14:textId="2855F0A0" w:rsidR="002F7B48" w:rsidRPr="00230BC2" w:rsidRDefault="002F7B48" w:rsidP="00322CF8">
      <w:pPr>
        <w:pStyle w:val="Para1"/>
        <w:numPr>
          <w:ilvl w:val="0"/>
          <w:numId w:val="0"/>
        </w:numPr>
        <w:spacing w:after="0"/>
        <w:ind w:left="142"/>
        <w:jc w:val="left"/>
      </w:pPr>
      <w:r w:rsidRPr="00230BC2">
        <w:t>Kazakhstan</w:t>
      </w:r>
      <w:r w:rsidR="00866BE2" w:rsidRPr="00230BC2">
        <w:rPr>
          <w:vertAlign w:val="superscript"/>
        </w:rPr>
        <w:t>a</w:t>
      </w:r>
    </w:p>
    <w:p w14:paraId="2C55242A" w14:textId="77777777" w:rsidR="002F7B48" w:rsidRPr="00230BC2" w:rsidRDefault="002F7B48" w:rsidP="00322CF8">
      <w:pPr>
        <w:pStyle w:val="Para1"/>
        <w:numPr>
          <w:ilvl w:val="0"/>
          <w:numId w:val="0"/>
        </w:numPr>
        <w:spacing w:after="0"/>
        <w:ind w:left="142"/>
        <w:jc w:val="left"/>
      </w:pPr>
      <w:r w:rsidRPr="00230BC2">
        <w:t>Kenya</w:t>
      </w:r>
    </w:p>
    <w:p w14:paraId="595931C1" w14:textId="77777777" w:rsidR="002F7B48" w:rsidRPr="00230BC2" w:rsidRDefault="002F7B48" w:rsidP="00322CF8">
      <w:pPr>
        <w:pStyle w:val="Para1"/>
        <w:numPr>
          <w:ilvl w:val="0"/>
          <w:numId w:val="0"/>
        </w:numPr>
        <w:spacing w:after="0"/>
        <w:ind w:left="142"/>
        <w:jc w:val="left"/>
      </w:pPr>
      <w:r w:rsidRPr="00230BC2">
        <w:t>Kiribati</w:t>
      </w:r>
    </w:p>
    <w:p w14:paraId="4DD6926D" w14:textId="77777777" w:rsidR="002F7B48" w:rsidRPr="00230BC2" w:rsidRDefault="002F7B48" w:rsidP="00322CF8">
      <w:pPr>
        <w:pStyle w:val="Para1"/>
        <w:numPr>
          <w:ilvl w:val="0"/>
          <w:numId w:val="0"/>
        </w:numPr>
        <w:spacing w:after="0"/>
        <w:ind w:left="142"/>
        <w:jc w:val="left"/>
      </w:pPr>
      <w:r w:rsidRPr="00230BC2">
        <w:t>Kuwait</w:t>
      </w:r>
    </w:p>
    <w:p w14:paraId="3BBC4D38" w14:textId="4A697583" w:rsidR="002F7B48" w:rsidRPr="00230BC2" w:rsidRDefault="002F7B48" w:rsidP="00322CF8">
      <w:pPr>
        <w:pStyle w:val="Para1"/>
        <w:numPr>
          <w:ilvl w:val="0"/>
          <w:numId w:val="0"/>
        </w:numPr>
        <w:spacing w:after="0"/>
        <w:ind w:left="142"/>
        <w:jc w:val="left"/>
      </w:pPr>
      <w:r w:rsidRPr="00230BC2">
        <w:t>Kyrgyzstan</w:t>
      </w:r>
      <w:r w:rsidR="00866BE2" w:rsidRPr="00230BC2">
        <w:rPr>
          <w:vertAlign w:val="superscript"/>
        </w:rPr>
        <w:t>a</w:t>
      </w:r>
    </w:p>
    <w:p w14:paraId="41EB2D38" w14:textId="4A16F55B" w:rsidR="002F7B48" w:rsidRPr="00230BC2" w:rsidRDefault="002F7B48" w:rsidP="00322CF8">
      <w:pPr>
        <w:pStyle w:val="Para1"/>
        <w:numPr>
          <w:ilvl w:val="0"/>
          <w:numId w:val="0"/>
        </w:numPr>
        <w:spacing w:after="0"/>
        <w:ind w:left="142"/>
        <w:jc w:val="left"/>
      </w:pPr>
      <w:r w:rsidRPr="00230BC2">
        <w:t>Lao People</w:t>
      </w:r>
      <w:r w:rsidR="00EC2F6F" w:rsidRPr="00230BC2">
        <w:t>’</w:t>
      </w:r>
      <w:r w:rsidRPr="00230BC2">
        <w:t>s Democratic</w:t>
      </w:r>
      <w:r w:rsidR="00866BE2" w:rsidRPr="00230BC2">
        <w:rPr>
          <w:vertAlign w:val="superscript"/>
        </w:rPr>
        <w:t>a</w:t>
      </w:r>
      <w:r w:rsidRPr="00230BC2">
        <w:t xml:space="preserve"> Republic</w:t>
      </w:r>
    </w:p>
    <w:p w14:paraId="763288F2" w14:textId="77777777" w:rsidR="002F7B48" w:rsidRPr="00230BC2" w:rsidRDefault="002F7B48" w:rsidP="00322CF8">
      <w:pPr>
        <w:pStyle w:val="Para1"/>
        <w:numPr>
          <w:ilvl w:val="0"/>
          <w:numId w:val="0"/>
        </w:numPr>
        <w:spacing w:after="0"/>
        <w:ind w:left="142"/>
        <w:jc w:val="left"/>
      </w:pPr>
      <w:r w:rsidRPr="00230BC2">
        <w:t>Latvia</w:t>
      </w:r>
    </w:p>
    <w:p w14:paraId="0BBC9052" w14:textId="52E47CFF" w:rsidR="002F7B48" w:rsidRPr="00230BC2" w:rsidRDefault="002F7B48" w:rsidP="00322CF8">
      <w:pPr>
        <w:pStyle w:val="Para1"/>
        <w:numPr>
          <w:ilvl w:val="0"/>
          <w:numId w:val="0"/>
        </w:numPr>
        <w:spacing w:after="0"/>
        <w:ind w:left="142"/>
        <w:jc w:val="left"/>
      </w:pPr>
      <w:r w:rsidRPr="00230BC2">
        <w:t>Lebanon</w:t>
      </w:r>
      <w:r w:rsidR="00866BE2" w:rsidRPr="00230BC2">
        <w:rPr>
          <w:vertAlign w:val="superscript"/>
        </w:rPr>
        <w:t>a</w:t>
      </w:r>
    </w:p>
    <w:p w14:paraId="5BF95C8C" w14:textId="77777777" w:rsidR="002F7B48" w:rsidRPr="00230BC2" w:rsidRDefault="002F7B48" w:rsidP="00322CF8">
      <w:pPr>
        <w:pStyle w:val="Para1"/>
        <w:numPr>
          <w:ilvl w:val="0"/>
          <w:numId w:val="0"/>
        </w:numPr>
        <w:spacing w:after="0"/>
        <w:ind w:left="142"/>
        <w:jc w:val="left"/>
      </w:pPr>
      <w:r w:rsidRPr="00230BC2">
        <w:t>Lesotho</w:t>
      </w:r>
    </w:p>
    <w:p w14:paraId="086060FF" w14:textId="77777777" w:rsidR="002F7B48" w:rsidRPr="00230BC2" w:rsidRDefault="002F7B48" w:rsidP="00322CF8">
      <w:pPr>
        <w:pStyle w:val="Para1"/>
        <w:numPr>
          <w:ilvl w:val="0"/>
          <w:numId w:val="0"/>
        </w:numPr>
        <w:spacing w:after="0"/>
        <w:ind w:left="142"/>
        <w:jc w:val="left"/>
      </w:pPr>
      <w:r w:rsidRPr="00230BC2">
        <w:t>Liberia</w:t>
      </w:r>
    </w:p>
    <w:p w14:paraId="7475CCF5" w14:textId="647DE02F" w:rsidR="002F7B48" w:rsidRPr="00230BC2" w:rsidRDefault="002F7B48" w:rsidP="00322CF8">
      <w:pPr>
        <w:pStyle w:val="Para1"/>
        <w:numPr>
          <w:ilvl w:val="0"/>
          <w:numId w:val="0"/>
        </w:numPr>
        <w:spacing w:after="0"/>
        <w:ind w:left="142"/>
        <w:jc w:val="left"/>
      </w:pPr>
      <w:r w:rsidRPr="00230BC2">
        <w:t>Libya</w:t>
      </w:r>
      <w:r w:rsidR="00866BE2" w:rsidRPr="00230BC2">
        <w:rPr>
          <w:vertAlign w:val="superscript"/>
        </w:rPr>
        <w:t>a</w:t>
      </w:r>
    </w:p>
    <w:p w14:paraId="6644C74A" w14:textId="2BB40160" w:rsidR="002F7B48" w:rsidRPr="00230BC2" w:rsidRDefault="002F7B48" w:rsidP="00322CF8">
      <w:pPr>
        <w:pStyle w:val="Para1"/>
        <w:numPr>
          <w:ilvl w:val="0"/>
          <w:numId w:val="0"/>
        </w:numPr>
        <w:spacing w:after="0"/>
        <w:ind w:left="142"/>
        <w:jc w:val="left"/>
      </w:pPr>
      <w:r w:rsidRPr="00230BC2">
        <w:t>Liechtenstein</w:t>
      </w:r>
      <w:r w:rsidR="00866BE2" w:rsidRPr="00230BC2">
        <w:rPr>
          <w:vertAlign w:val="superscript"/>
        </w:rPr>
        <w:t>a</w:t>
      </w:r>
    </w:p>
    <w:p w14:paraId="779E5E7C" w14:textId="77777777" w:rsidR="002F7B48" w:rsidRPr="00230BC2" w:rsidRDefault="002F7B48" w:rsidP="00322CF8">
      <w:pPr>
        <w:pStyle w:val="Para1"/>
        <w:numPr>
          <w:ilvl w:val="0"/>
          <w:numId w:val="0"/>
        </w:numPr>
        <w:spacing w:after="0"/>
        <w:ind w:left="142"/>
        <w:jc w:val="left"/>
      </w:pPr>
      <w:r w:rsidRPr="00230BC2">
        <w:t>Lithuania</w:t>
      </w:r>
    </w:p>
    <w:p w14:paraId="119BBDE0" w14:textId="77777777" w:rsidR="002F7B48" w:rsidRPr="00230BC2" w:rsidRDefault="002F7B48" w:rsidP="00322CF8">
      <w:pPr>
        <w:pStyle w:val="Para1"/>
        <w:numPr>
          <w:ilvl w:val="0"/>
          <w:numId w:val="0"/>
        </w:numPr>
        <w:spacing w:after="0"/>
        <w:ind w:left="142"/>
        <w:jc w:val="left"/>
      </w:pPr>
      <w:r w:rsidRPr="00230BC2">
        <w:t>Luxembourg</w:t>
      </w:r>
    </w:p>
    <w:p w14:paraId="1ECFF38C" w14:textId="77777777" w:rsidR="002F7B48" w:rsidRPr="00230BC2" w:rsidRDefault="002F7B48" w:rsidP="00322CF8">
      <w:pPr>
        <w:pStyle w:val="Para1"/>
        <w:numPr>
          <w:ilvl w:val="0"/>
          <w:numId w:val="0"/>
        </w:numPr>
        <w:spacing w:after="0"/>
        <w:ind w:left="142"/>
        <w:jc w:val="left"/>
      </w:pPr>
      <w:r w:rsidRPr="00230BC2">
        <w:t>Madagascar</w:t>
      </w:r>
    </w:p>
    <w:p w14:paraId="2ABF0C0A" w14:textId="77777777" w:rsidR="002F7B48" w:rsidRPr="00230BC2" w:rsidRDefault="002F7B48" w:rsidP="00322CF8">
      <w:pPr>
        <w:pStyle w:val="Para1"/>
        <w:numPr>
          <w:ilvl w:val="0"/>
          <w:numId w:val="0"/>
        </w:numPr>
        <w:spacing w:after="0"/>
        <w:ind w:left="142"/>
        <w:jc w:val="left"/>
      </w:pPr>
      <w:r w:rsidRPr="00230BC2">
        <w:t>Malawi</w:t>
      </w:r>
    </w:p>
    <w:p w14:paraId="7E3DAEBA" w14:textId="77777777" w:rsidR="002F7B48" w:rsidRPr="00230BC2" w:rsidRDefault="002F7B48" w:rsidP="00322CF8">
      <w:pPr>
        <w:pStyle w:val="Para1"/>
        <w:numPr>
          <w:ilvl w:val="0"/>
          <w:numId w:val="0"/>
        </w:numPr>
        <w:spacing w:after="0"/>
        <w:ind w:left="142"/>
        <w:jc w:val="left"/>
      </w:pPr>
      <w:r w:rsidRPr="00230BC2">
        <w:t>Malaysia</w:t>
      </w:r>
    </w:p>
    <w:p w14:paraId="1F650045" w14:textId="77777777" w:rsidR="002F7B48" w:rsidRPr="00230BC2" w:rsidRDefault="002F7B48" w:rsidP="00322CF8">
      <w:pPr>
        <w:pStyle w:val="Para1"/>
        <w:numPr>
          <w:ilvl w:val="0"/>
          <w:numId w:val="0"/>
        </w:numPr>
        <w:spacing w:after="0"/>
        <w:ind w:left="142"/>
        <w:jc w:val="left"/>
      </w:pPr>
      <w:r w:rsidRPr="00230BC2">
        <w:t>Maldives</w:t>
      </w:r>
    </w:p>
    <w:p w14:paraId="00C823B9" w14:textId="77777777" w:rsidR="002F7B48" w:rsidRPr="00230BC2" w:rsidRDefault="002F7B48" w:rsidP="00322CF8">
      <w:pPr>
        <w:pStyle w:val="Para1"/>
        <w:numPr>
          <w:ilvl w:val="0"/>
          <w:numId w:val="0"/>
        </w:numPr>
        <w:spacing w:after="0"/>
        <w:ind w:left="142"/>
        <w:jc w:val="left"/>
      </w:pPr>
      <w:r w:rsidRPr="00230BC2">
        <w:t>Mali</w:t>
      </w:r>
    </w:p>
    <w:p w14:paraId="190F1CB8" w14:textId="1407ACEE" w:rsidR="002F7B48" w:rsidRPr="00230BC2" w:rsidRDefault="002F7B48" w:rsidP="00322CF8">
      <w:pPr>
        <w:pStyle w:val="Para1"/>
        <w:numPr>
          <w:ilvl w:val="0"/>
          <w:numId w:val="0"/>
        </w:numPr>
        <w:spacing w:after="0"/>
        <w:ind w:left="142"/>
        <w:jc w:val="left"/>
      </w:pPr>
      <w:r w:rsidRPr="00230BC2">
        <w:t>Malta</w:t>
      </w:r>
      <w:r w:rsidR="00C75D50" w:rsidRPr="00230BC2">
        <w:rPr>
          <w:vertAlign w:val="superscript"/>
        </w:rPr>
        <w:t>a</w:t>
      </w:r>
    </w:p>
    <w:p w14:paraId="73CD6E46" w14:textId="77777777" w:rsidR="002F7B48" w:rsidRPr="00230BC2" w:rsidRDefault="002F7B48" w:rsidP="00322CF8">
      <w:pPr>
        <w:pStyle w:val="Para1"/>
        <w:numPr>
          <w:ilvl w:val="0"/>
          <w:numId w:val="0"/>
        </w:numPr>
        <w:spacing w:after="0"/>
        <w:ind w:left="142"/>
        <w:jc w:val="left"/>
      </w:pPr>
      <w:r w:rsidRPr="00230BC2">
        <w:t>Marshall Islands</w:t>
      </w:r>
    </w:p>
    <w:p w14:paraId="2B0C57F3" w14:textId="77777777" w:rsidR="002F7B48" w:rsidRPr="00230BC2" w:rsidRDefault="002F7B48" w:rsidP="00322CF8">
      <w:pPr>
        <w:pStyle w:val="Para1"/>
        <w:numPr>
          <w:ilvl w:val="0"/>
          <w:numId w:val="0"/>
        </w:numPr>
        <w:spacing w:after="0"/>
        <w:ind w:left="142"/>
        <w:jc w:val="left"/>
      </w:pPr>
      <w:r w:rsidRPr="00230BC2">
        <w:t>Mauritania</w:t>
      </w:r>
    </w:p>
    <w:p w14:paraId="1396BF5A" w14:textId="77777777" w:rsidR="002F7B48" w:rsidRPr="00230BC2" w:rsidRDefault="002F7B48" w:rsidP="00322CF8">
      <w:pPr>
        <w:pStyle w:val="Para1"/>
        <w:numPr>
          <w:ilvl w:val="0"/>
          <w:numId w:val="0"/>
        </w:numPr>
        <w:spacing w:after="0"/>
        <w:ind w:left="142"/>
        <w:jc w:val="left"/>
      </w:pPr>
      <w:r w:rsidRPr="00230BC2">
        <w:t>Mauritius</w:t>
      </w:r>
    </w:p>
    <w:p w14:paraId="19378A68" w14:textId="77777777" w:rsidR="002F7B48" w:rsidRPr="00230BC2" w:rsidRDefault="002F7B48" w:rsidP="00322CF8">
      <w:pPr>
        <w:pStyle w:val="Para1"/>
        <w:numPr>
          <w:ilvl w:val="0"/>
          <w:numId w:val="0"/>
        </w:numPr>
        <w:spacing w:after="0"/>
        <w:ind w:left="142"/>
        <w:jc w:val="left"/>
      </w:pPr>
      <w:r w:rsidRPr="00230BC2">
        <w:t>Mexico</w:t>
      </w:r>
    </w:p>
    <w:p w14:paraId="02C57FCB" w14:textId="292B2001" w:rsidR="002F7B48" w:rsidRPr="00230BC2" w:rsidRDefault="002F7B48" w:rsidP="00322CF8">
      <w:pPr>
        <w:pStyle w:val="Para1"/>
        <w:numPr>
          <w:ilvl w:val="0"/>
          <w:numId w:val="0"/>
        </w:numPr>
        <w:spacing w:after="0"/>
        <w:ind w:left="142"/>
        <w:jc w:val="left"/>
      </w:pPr>
      <w:r w:rsidRPr="00230BC2">
        <w:t>Micronesia (Federated States of)</w:t>
      </w:r>
      <w:r w:rsidR="00866BE2" w:rsidRPr="00230BC2">
        <w:rPr>
          <w:vertAlign w:val="superscript"/>
        </w:rPr>
        <w:t>a</w:t>
      </w:r>
    </w:p>
    <w:p w14:paraId="6DC43136" w14:textId="14D8734C" w:rsidR="002F7B48" w:rsidRPr="00230BC2" w:rsidRDefault="002F7B48" w:rsidP="00322CF8">
      <w:pPr>
        <w:pStyle w:val="Para1"/>
        <w:numPr>
          <w:ilvl w:val="0"/>
          <w:numId w:val="0"/>
        </w:numPr>
        <w:spacing w:after="0"/>
        <w:ind w:left="142"/>
        <w:jc w:val="left"/>
      </w:pPr>
      <w:r w:rsidRPr="00230BC2">
        <w:t>Monaco</w:t>
      </w:r>
      <w:r w:rsidR="00866BE2" w:rsidRPr="00230BC2">
        <w:rPr>
          <w:vertAlign w:val="superscript"/>
        </w:rPr>
        <w:t>a</w:t>
      </w:r>
    </w:p>
    <w:p w14:paraId="1AA0D3BE" w14:textId="0990754F" w:rsidR="002F7B48" w:rsidRPr="00230BC2" w:rsidRDefault="002F7B48" w:rsidP="00322CF8">
      <w:pPr>
        <w:pStyle w:val="Para1"/>
        <w:numPr>
          <w:ilvl w:val="0"/>
          <w:numId w:val="0"/>
        </w:numPr>
        <w:spacing w:after="0"/>
        <w:ind w:left="142"/>
        <w:jc w:val="left"/>
      </w:pPr>
      <w:r w:rsidRPr="00230BC2">
        <w:t>Mongolia</w:t>
      </w:r>
      <w:r w:rsidR="00866BE2" w:rsidRPr="00230BC2">
        <w:rPr>
          <w:vertAlign w:val="superscript"/>
        </w:rPr>
        <w:t>a</w:t>
      </w:r>
    </w:p>
    <w:p w14:paraId="04E12508" w14:textId="235B0061" w:rsidR="00F706F4" w:rsidRPr="00230BC2" w:rsidRDefault="00F706F4" w:rsidP="00322CF8">
      <w:pPr>
        <w:pStyle w:val="Para1"/>
        <w:numPr>
          <w:ilvl w:val="0"/>
          <w:numId w:val="0"/>
        </w:numPr>
        <w:spacing w:after="0"/>
        <w:ind w:left="142"/>
        <w:jc w:val="left"/>
      </w:pPr>
      <w:r w:rsidRPr="00230BC2">
        <w:t>Montenegro</w:t>
      </w:r>
      <w:r w:rsidR="00866BE2" w:rsidRPr="00230BC2">
        <w:rPr>
          <w:vertAlign w:val="superscript"/>
        </w:rPr>
        <w:t>b</w:t>
      </w:r>
    </w:p>
    <w:p w14:paraId="26E7D274" w14:textId="6EA68249" w:rsidR="002F7B48" w:rsidRPr="00230BC2" w:rsidRDefault="002F7B48" w:rsidP="00322CF8">
      <w:pPr>
        <w:pStyle w:val="Para1"/>
        <w:numPr>
          <w:ilvl w:val="0"/>
          <w:numId w:val="0"/>
        </w:numPr>
        <w:spacing w:after="0"/>
        <w:ind w:left="142"/>
        <w:jc w:val="left"/>
      </w:pPr>
      <w:r w:rsidRPr="00230BC2">
        <w:t>Morocco</w:t>
      </w:r>
    </w:p>
    <w:p w14:paraId="268168FC" w14:textId="77777777" w:rsidR="002F7B48" w:rsidRPr="00230BC2" w:rsidRDefault="002F7B48" w:rsidP="00322CF8">
      <w:pPr>
        <w:pStyle w:val="Para1"/>
        <w:numPr>
          <w:ilvl w:val="0"/>
          <w:numId w:val="0"/>
        </w:numPr>
        <w:spacing w:after="0"/>
        <w:ind w:left="142"/>
        <w:jc w:val="left"/>
      </w:pPr>
      <w:r w:rsidRPr="00230BC2">
        <w:t>Mozambique</w:t>
      </w:r>
    </w:p>
    <w:p w14:paraId="4DA551E7" w14:textId="77777777" w:rsidR="002F7B48" w:rsidRPr="00230BC2" w:rsidRDefault="002F7B48" w:rsidP="00322CF8">
      <w:pPr>
        <w:pStyle w:val="Para1"/>
        <w:numPr>
          <w:ilvl w:val="0"/>
          <w:numId w:val="0"/>
        </w:numPr>
        <w:spacing w:after="0"/>
        <w:ind w:left="142"/>
        <w:jc w:val="left"/>
      </w:pPr>
      <w:r w:rsidRPr="00230BC2">
        <w:t>Namibia</w:t>
      </w:r>
    </w:p>
    <w:p w14:paraId="5A43FA43" w14:textId="2017C845" w:rsidR="002F7B48" w:rsidRPr="00230BC2" w:rsidRDefault="002F7B48" w:rsidP="00322CF8">
      <w:pPr>
        <w:pStyle w:val="Para1"/>
        <w:numPr>
          <w:ilvl w:val="0"/>
          <w:numId w:val="0"/>
        </w:numPr>
        <w:spacing w:after="0"/>
        <w:ind w:left="142"/>
        <w:jc w:val="left"/>
      </w:pPr>
      <w:r w:rsidRPr="00230BC2">
        <w:t>Nauru</w:t>
      </w:r>
      <w:r w:rsidR="00866BE2" w:rsidRPr="00230BC2">
        <w:rPr>
          <w:vertAlign w:val="superscript"/>
        </w:rPr>
        <w:t>a</w:t>
      </w:r>
    </w:p>
    <w:p w14:paraId="7CE4B307" w14:textId="32C757AB" w:rsidR="002F7B48" w:rsidRPr="00230BC2" w:rsidRDefault="002F7B48" w:rsidP="00322CF8">
      <w:pPr>
        <w:pStyle w:val="Para1"/>
        <w:numPr>
          <w:ilvl w:val="0"/>
          <w:numId w:val="0"/>
        </w:numPr>
        <w:spacing w:after="0"/>
        <w:ind w:left="142"/>
        <w:jc w:val="left"/>
      </w:pPr>
      <w:r w:rsidRPr="00230BC2">
        <w:t>Nepal</w:t>
      </w:r>
      <w:r w:rsidR="00866BE2" w:rsidRPr="00230BC2">
        <w:rPr>
          <w:vertAlign w:val="superscript"/>
        </w:rPr>
        <w:t>a</w:t>
      </w:r>
    </w:p>
    <w:p w14:paraId="6CB519D0" w14:textId="22899152" w:rsidR="002F7B48" w:rsidRPr="00230BC2" w:rsidRDefault="002F7B48" w:rsidP="00322CF8">
      <w:pPr>
        <w:pStyle w:val="Para1"/>
        <w:numPr>
          <w:ilvl w:val="0"/>
          <w:numId w:val="0"/>
        </w:numPr>
        <w:spacing w:after="0"/>
        <w:ind w:left="142"/>
        <w:jc w:val="left"/>
      </w:pPr>
      <w:r w:rsidRPr="00230BC2">
        <w:t>Netherlands</w:t>
      </w:r>
      <w:r w:rsidR="00770F8D" w:rsidRPr="00230BC2">
        <w:t xml:space="preserve"> (Kingdom of the)</w:t>
      </w:r>
    </w:p>
    <w:p w14:paraId="7AAC2D94" w14:textId="77777777" w:rsidR="002F7B48" w:rsidRPr="00230BC2" w:rsidRDefault="002F7B48" w:rsidP="00322CF8">
      <w:pPr>
        <w:pStyle w:val="Para1"/>
        <w:numPr>
          <w:ilvl w:val="0"/>
          <w:numId w:val="0"/>
        </w:numPr>
        <w:spacing w:after="0"/>
        <w:ind w:left="142"/>
        <w:jc w:val="left"/>
      </w:pPr>
      <w:r w:rsidRPr="00230BC2">
        <w:t>New Zealand</w:t>
      </w:r>
    </w:p>
    <w:p w14:paraId="3A5D920F" w14:textId="77777777" w:rsidR="002F7B48" w:rsidRPr="00230BC2" w:rsidRDefault="002F7B48" w:rsidP="00322CF8">
      <w:pPr>
        <w:pStyle w:val="Para1"/>
        <w:numPr>
          <w:ilvl w:val="0"/>
          <w:numId w:val="0"/>
        </w:numPr>
        <w:spacing w:after="0"/>
        <w:ind w:left="142"/>
        <w:jc w:val="left"/>
      </w:pPr>
      <w:r w:rsidRPr="00230BC2">
        <w:t>Nicaragua</w:t>
      </w:r>
    </w:p>
    <w:p w14:paraId="32B916B4" w14:textId="77777777" w:rsidR="002F7B48" w:rsidRPr="00230BC2" w:rsidRDefault="002F7B48" w:rsidP="00322CF8">
      <w:pPr>
        <w:pStyle w:val="Para1"/>
        <w:numPr>
          <w:ilvl w:val="0"/>
          <w:numId w:val="0"/>
        </w:numPr>
        <w:spacing w:after="0"/>
        <w:ind w:left="142"/>
        <w:jc w:val="left"/>
      </w:pPr>
      <w:r w:rsidRPr="00230BC2">
        <w:t>Niger</w:t>
      </w:r>
    </w:p>
    <w:p w14:paraId="01A8B549" w14:textId="77777777" w:rsidR="002F7B48" w:rsidRPr="00230BC2" w:rsidRDefault="002F7B48" w:rsidP="00322CF8">
      <w:pPr>
        <w:pStyle w:val="Para1"/>
        <w:numPr>
          <w:ilvl w:val="0"/>
          <w:numId w:val="0"/>
        </w:numPr>
        <w:spacing w:after="0"/>
        <w:ind w:left="142"/>
        <w:jc w:val="left"/>
      </w:pPr>
      <w:r w:rsidRPr="00230BC2">
        <w:t>Nigeria</w:t>
      </w:r>
    </w:p>
    <w:p w14:paraId="403F6658" w14:textId="5E050EFC" w:rsidR="002F7B48" w:rsidRPr="00230BC2" w:rsidRDefault="002F7B48" w:rsidP="00322CF8">
      <w:pPr>
        <w:pStyle w:val="Para1"/>
        <w:numPr>
          <w:ilvl w:val="0"/>
          <w:numId w:val="0"/>
        </w:numPr>
        <w:spacing w:after="0"/>
        <w:ind w:left="142"/>
        <w:jc w:val="left"/>
      </w:pPr>
      <w:r w:rsidRPr="00230BC2">
        <w:t>Niue</w:t>
      </w:r>
      <w:r w:rsidR="00866BE2" w:rsidRPr="00230BC2">
        <w:rPr>
          <w:vertAlign w:val="superscript"/>
        </w:rPr>
        <w:t>a</w:t>
      </w:r>
    </w:p>
    <w:p w14:paraId="5B4619FB" w14:textId="38151FFF" w:rsidR="002F7B48" w:rsidRPr="00230BC2" w:rsidRDefault="002F7B48" w:rsidP="00322CF8">
      <w:pPr>
        <w:pStyle w:val="Para1"/>
        <w:numPr>
          <w:ilvl w:val="0"/>
          <w:numId w:val="0"/>
        </w:numPr>
        <w:spacing w:after="0"/>
        <w:ind w:left="142"/>
        <w:jc w:val="left"/>
      </w:pPr>
      <w:r w:rsidRPr="00230BC2">
        <w:t>North Macedonia</w:t>
      </w:r>
      <w:r w:rsidR="00866BE2" w:rsidRPr="00230BC2">
        <w:rPr>
          <w:vertAlign w:val="superscript"/>
        </w:rPr>
        <w:t>a</w:t>
      </w:r>
    </w:p>
    <w:p w14:paraId="2B5F9996" w14:textId="77777777" w:rsidR="002F7B48" w:rsidRPr="00230BC2" w:rsidRDefault="002F7B48" w:rsidP="00322CF8">
      <w:pPr>
        <w:pStyle w:val="Para1"/>
        <w:numPr>
          <w:ilvl w:val="0"/>
          <w:numId w:val="0"/>
        </w:numPr>
        <w:spacing w:after="0"/>
        <w:ind w:left="142"/>
        <w:jc w:val="left"/>
      </w:pPr>
      <w:r w:rsidRPr="00230BC2">
        <w:t>Norway</w:t>
      </w:r>
    </w:p>
    <w:p w14:paraId="0D93DC72" w14:textId="77777777" w:rsidR="002F7B48" w:rsidRPr="00230BC2" w:rsidRDefault="002F7B48" w:rsidP="00322CF8">
      <w:pPr>
        <w:pStyle w:val="Para1"/>
        <w:numPr>
          <w:ilvl w:val="0"/>
          <w:numId w:val="0"/>
        </w:numPr>
        <w:spacing w:after="0"/>
        <w:ind w:left="142"/>
        <w:jc w:val="left"/>
      </w:pPr>
      <w:r w:rsidRPr="00230BC2">
        <w:t>Oman</w:t>
      </w:r>
    </w:p>
    <w:p w14:paraId="7C7CC9CB" w14:textId="77777777" w:rsidR="002F7B48" w:rsidRPr="00230BC2" w:rsidRDefault="002F7B48" w:rsidP="00322CF8">
      <w:pPr>
        <w:pStyle w:val="Para1"/>
        <w:numPr>
          <w:ilvl w:val="0"/>
          <w:numId w:val="0"/>
        </w:numPr>
        <w:spacing w:after="0"/>
        <w:ind w:left="142"/>
        <w:jc w:val="left"/>
      </w:pPr>
      <w:r w:rsidRPr="00230BC2">
        <w:t>Pakistan</w:t>
      </w:r>
    </w:p>
    <w:p w14:paraId="5A565C6B" w14:textId="69DEC618" w:rsidR="002F7B48" w:rsidRPr="00230BC2" w:rsidRDefault="002F7B48" w:rsidP="00322CF8">
      <w:pPr>
        <w:pStyle w:val="Para1"/>
        <w:numPr>
          <w:ilvl w:val="0"/>
          <w:numId w:val="0"/>
        </w:numPr>
        <w:spacing w:after="0"/>
        <w:ind w:left="142"/>
        <w:jc w:val="left"/>
      </w:pPr>
      <w:r w:rsidRPr="00230BC2">
        <w:t>Palau</w:t>
      </w:r>
      <w:r w:rsidR="00866BE2" w:rsidRPr="00230BC2">
        <w:rPr>
          <w:vertAlign w:val="superscript"/>
        </w:rPr>
        <w:t>a</w:t>
      </w:r>
    </w:p>
    <w:p w14:paraId="3E244F76" w14:textId="6BE6766B" w:rsidR="002F7B48" w:rsidRPr="00230BC2" w:rsidRDefault="002F7B48" w:rsidP="00322CF8">
      <w:pPr>
        <w:pStyle w:val="Para1"/>
        <w:numPr>
          <w:ilvl w:val="0"/>
          <w:numId w:val="0"/>
        </w:numPr>
        <w:spacing w:after="0"/>
        <w:ind w:left="142"/>
        <w:jc w:val="left"/>
      </w:pPr>
      <w:r w:rsidRPr="00230BC2">
        <w:t>Panama</w:t>
      </w:r>
      <w:r w:rsidR="00866BE2" w:rsidRPr="00230BC2">
        <w:rPr>
          <w:vertAlign w:val="superscript"/>
        </w:rPr>
        <w:t>a</w:t>
      </w:r>
    </w:p>
    <w:p w14:paraId="12092C80" w14:textId="56833BFE" w:rsidR="002F7B48" w:rsidRPr="00230BC2" w:rsidRDefault="002F7B48" w:rsidP="00322CF8">
      <w:pPr>
        <w:pStyle w:val="Para1"/>
        <w:numPr>
          <w:ilvl w:val="0"/>
          <w:numId w:val="0"/>
        </w:numPr>
        <w:spacing w:after="0"/>
        <w:ind w:left="142"/>
        <w:jc w:val="left"/>
      </w:pPr>
      <w:r w:rsidRPr="00230BC2">
        <w:t>Papua New Guinea</w:t>
      </w:r>
      <w:r w:rsidR="00866BE2" w:rsidRPr="00230BC2">
        <w:rPr>
          <w:vertAlign w:val="superscript"/>
        </w:rPr>
        <w:t>a</w:t>
      </w:r>
    </w:p>
    <w:p w14:paraId="04FCDAAF" w14:textId="6A9D644B" w:rsidR="002F7B48" w:rsidRPr="00230BC2" w:rsidRDefault="002F7B48" w:rsidP="00322CF8">
      <w:pPr>
        <w:pStyle w:val="Para1"/>
        <w:numPr>
          <w:ilvl w:val="0"/>
          <w:numId w:val="0"/>
        </w:numPr>
        <w:spacing w:after="0"/>
        <w:ind w:left="142"/>
        <w:jc w:val="left"/>
      </w:pPr>
      <w:r w:rsidRPr="00230BC2">
        <w:t>Paraguay</w:t>
      </w:r>
      <w:r w:rsidR="00866BE2" w:rsidRPr="00230BC2">
        <w:rPr>
          <w:vertAlign w:val="superscript"/>
        </w:rPr>
        <w:t>a</w:t>
      </w:r>
    </w:p>
    <w:p w14:paraId="735E172E" w14:textId="77777777" w:rsidR="002F7B48" w:rsidRPr="00230BC2" w:rsidRDefault="002F7B48" w:rsidP="00322CF8">
      <w:pPr>
        <w:pStyle w:val="Para1"/>
        <w:numPr>
          <w:ilvl w:val="0"/>
          <w:numId w:val="0"/>
        </w:numPr>
        <w:spacing w:after="0"/>
        <w:ind w:left="142"/>
        <w:jc w:val="left"/>
      </w:pPr>
      <w:r w:rsidRPr="00230BC2">
        <w:t>Peru</w:t>
      </w:r>
    </w:p>
    <w:p w14:paraId="7BAC34F8" w14:textId="77777777" w:rsidR="002F7B48" w:rsidRPr="00230BC2" w:rsidRDefault="002F7B48" w:rsidP="00322CF8">
      <w:pPr>
        <w:pStyle w:val="Para1"/>
        <w:numPr>
          <w:ilvl w:val="0"/>
          <w:numId w:val="0"/>
        </w:numPr>
        <w:spacing w:after="0"/>
        <w:ind w:left="142"/>
        <w:jc w:val="left"/>
      </w:pPr>
      <w:r w:rsidRPr="00230BC2">
        <w:t>Philippines</w:t>
      </w:r>
    </w:p>
    <w:p w14:paraId="187918A4" w14:textId="37ADC153" w:rsidR="002F7B48" w:rsidRPr="00230BC2" w:rsidRDefault="002F7B48" w:rsidP="00322CF8">
      <w:pPr>
        <w:pStyle w:val="Para1"/>
        <w:numPr>
          <w:ilvl w:val="0"/>
          <w:numId w:val="0"/>
        </w:numPr>
        <w:spacing w:after="0"/>
        <w:ind w:left="142"/>
        <w:jc w:val="left"/>
      </w:pPr>
      <w:r w:rsidRPr="00230BC2">
        <w:t>Poland</w:t>
      </w:r>
      <w:r w:rsidR="00866BE2" w:rsidRPr="00230BC2">
        <w:rPr>
          <w:vertAlign w:val="superscript"/>
        </w:rPr>
        <w:t>a</w:t>
      </w:r>
    </w:p>
    <w:p w14:paraId="78B2F982" w14:textId="77777777" w:rsidR="002F7B48" w:rsidRPr="00230BC2" w:rsidRDefault="002F7B48" w:rsidP="00322CF8">
      <w:pPr>
        <w:pStyle w:val="Para1"/>
        <w:numPr>
          <w:ilvl w:val="0"/>
          <w:numId w:val="0"/>
        </w:numPr>
        <w:spacing w:after="0"/>
        <w:ind w:left="142"/>
        <w:jc w:val="left"/>
      </w:pPr>
      <w:r w:rsidRPr="00230BC2">
        <w:t>Portugal</w:t>
      </w:r>
    </w:p>
    <w:p w14:paraId="051AD755" w14:textId="77777777" w:rsidR="002F7B48" w:rsidRPr="00230BC2" w:rsidRDefault="002F7B48" w:rsidP="00322CF8">
      <w:pPr>
        <w:pStyle w:val="Para1"/>
        <w:numPr>
          <w:ilvl w:val="0"/>
          <w:numId w:val="0"/>
        </w:numPr>
        <w:spacing w:after="0"/>
        <w:ind w:left="142"/>
        <w:jc w:val="left"/>
      </w:pPr>
      <w:r w:rsidRPr="00230BC2">
        <w:t>Qatar</w:t>
      </w:r>
    </w:p>
    <w:p w14:paraId="71C388F4" w14:textId="77777777" w:rsidR="002F7B48" w:rsidRPr="00230BC2" w:rsidRDefault="002F7B48" w:rsidP="00322CF8">
      <w:pPr>
        <w:pStyle w:val="Para1"/>
        <w:numPr>
          <w:ilvl w:val="0"/>
          <w:numId w:val="0"/>
        </w:numPr>
        <w:spacing w:after="0"/>
        <w:ind w:left="142"/>
        <w:jc w:val="left"/>
      </w:pPr>
      <w:r w:rsidRPr="00230BC2">
        <w:t>Republic of Korea</w:t>
      </w:r>
    </w:p>
    <w:p w14:paraId="7569F7DE" w14:textId="77777777" w:rsidR="002F7B48" w:rsidRPr="00230BC2" w:rsidRDefault="002F7B48" w:rsidP="00322CF8">
      <w:pPr>
        <w:pStyle w:val="Para1"/>
        <w:numPr>
          <w:ilvl w:val="0"/>
          <w:numId w:val="0"/>
        </w:numPr>
        <w:spacing w:after="0"/>
        <w:ind w:left="142"/>
        <w:jc w:val="left"/>
      </w:pPr>
      <w:r w:rsidRPr="00230BC2">
        <w:t>Republic of Moldova</w:t>
      </w:r>
    </w:p>
    <w:p w14:paraId="7D56E9F8" w14:textId="77777777" w:rsidR="002F7B48" w:rsidRPr="00230BC2" w:rsidRDefault="002F7B48" w:rsidP="00322CF8">
      <w:pPr>
        <w:pStyle w:val="Para1"/>
        <w:numPr>
          <w:ilvl w:val="0"/>
          <w:numId w:val="0"/>
        </w:numPr>
        <w:spacing w:after="0"/>
        <w:ind w:left="142"/>
        <w:jc w:val="left"/>
      </w:pPr>
      <w:r w:rsidRPr="00230BC2">
        <w:t>Romania</w:t>
      </w:r>
    </w:p>
    <w:p w14:paraId="0A5AC5B5" w14:textId="77777777" w:rsidR="002F7B48" w:rsidRPr="00230BC2" w:rsidRDefault="002F7B48" w:rsidP="00322CF8">
      <w:pPr>
        <w:pStyle w:val="Para1"/>
        <w:numPr>
          <w:ilvl w:val="0"/>
          <w:numId w:val="0"/>
        </w:numPr>
        <w:spacing w:after="0"/>
        <w:ind w:left="142"/>
        <w:jc w:val="left"/>
      </w:pPr>
      <w:r w:rsidRPr="00230BC2">
        <w:t>Russian Federation</w:t>
      </w:r>
    </w:p>
    <w:p w14:paraId="575F78E9" w14:textId="77777777" w:rsidR="002F7B48" w:rsidRPr="00230BC2" w:rsidRDefault="002F7B48" w:rsidP="00322CF8">
      <w:pPr>
        <w:pStyle w:val="Para1"/>
        <w:numPr>
          <w:ilvl w:val="0"/>
          <w:numId w:val="0"/>
        </w:numPr>
        <w:spacing w:after="0"/>
        <w:ind w:left="142"/>
        <w:jc w:val="left"/>
      </w:pPr>
      <w:r w:rsidRPr="00230BC2">
        <w:t>Rwanda</w:t>
      </w:r>
    </w:p>
    <w:p w14:paraId="04AE596A" w14:textId="652A46E4" w:rsidR="002F7B48" w:rsidRPr="00230BC2" w:rsidRDefault="002F7B48" w:rsidP="00322CF8">
      <w:pPr>
        <w:pStyle w:val="Para1"/>
        <w:numPr>
          <w:ilvl w:val="0"/>
          <w:numId w:val="0"/>
        </w:numPr>
        <w:spacing w:after="0"/>
        <w:ind w:left="142"/>
        <w:jc w:val="left"/>
      </w:pPr>
      <w:r w:rsidRPr="00230BC2">
        <w:t>Saint Kitts and Nevis</w:t>
      </w:r>
    </w:p>
    <w:p w14:paraId="2FA8F806" w14:textId="77777777" w:rsidR="002F7B48" w:rsidRPr="00230BC2" w:rsidRDefault="002F7B48" w:rsidP="00322CF8">
      <w:pPr>
        <w:pStyle w:val="Para1"/>
        <w:numPr>
          <w:ilvl w:val="0"/>
          <w:numId w:val="0"/>
        </w:numPr>
        <w:spacing w:after="0"/>
        <w:ind w:left="142"/>
        <w:jc w:val="left"/>
      </w:pPr>
      <w:r w:rsidRPr="00230BC2">
        <w:t>Saint Lucia</w:t>
      </w:r>
    </w:p>
    <w:p w14:paraId="003FC0B8" w14:textId="72491AEF" w:rsidR="002F7B48" w:rsidRPr="00230BC2" w:rsidRDefault="002F7B48" w:rsidP="00322CF8">
      <w:pPr>
        <w:pStyle w:val="Para1"/>
        <w:numPr>
          <w:ilvl w:val="0"/>
          <w:numId w:val="0"/>
        </w:numPr>
        <w:spacing w:after="0"/>
        <w:ind w:left="142"/>
        <w:jc w:val="left"/>
      </w:pPr>
      <w:r w:rsidRPr="00230BC2">
        <w:t>Saint Vincent and the Grenadines</w:t>
      </w:r>
      <w:r w:rsidR="00866BE2" w:rsidRPr="00230BC2">
        <w:rPr>
          <w:vertAlign w:val="superscript"/>
        </w:rPr>
        <w:t>a</w:t>
      </w:r>
    </w:p>
    <w:p w14:paraId="28D111B6" w14:textId="0EE8B2D9" w:rsidR="002F7B48" w:rsidRPr="00230BC2" w:rsidRDefault="002F7B48" w:rsidP="00322CF8">
      <w:pPr>
        <w:pStyle w:val="Para1"/>
        <w:numPr>
          <w:ilvl w:val="0"/>
          <w:numId w:val="0"/>
        </w:numPr>
        <w:spacing w:after="0"/>
        <w:ind w:left="142"/>
        <w:jc w:val="left"/>
      </w:pPr>
      <w:r w:rsidRPr="00230BC2">
        <w:t>Samoa</w:t>
      </w:r>
      <w:r w:rsidR="00866BE2" w:rsidRPr="00230BC2">
        <w:rPr>
          <w:vertAlign w:val="superscript"/>
        </w:rPr>
        <w:t>a</w:t>
      </w:r>
    </w:p>
    <w:p w14:paraId="77A135CD" w14:textId="77777777" w:rsidR="002F7B48" w:rsidRPr="00230BC2" w:rsidRDefault="002F7B48" w:rsidP="00322CF8">
      <w:pPr>
        <w:pStyle w:val="Para1"/>
        <w:numPr>
          <w:ilvl w:val="0"/>
          <w:numId w:val="0"/>
        </w:numPr>
        <w:spacing w:after="0"/>
        <w:ind w:left="142"/>
        <w:jc w:val="left"/>
      </w:pPr>
      <w:r w:rsidRPr="00230BC2">
        <w:t>Sao Tome and Principe</w:t>
      </w:r>
    </w:p>
    <w:p w14:paraId="7E99FB05" w14:textId="77777777" w:rsidR="002F7B48" w:rsidRPr="00230BC2" w:rsidRDefault="002F7B48" w:rsidP="00322CF8">
      <w:pPr>
        <w:pStyle w:val="Para1"/>
        <w:numPr>
          <w:ilvl w:val="0"/>
          <w:numId w:val="0"/>
        </w:numPr>
        <w:spacing w:after="0"/>
        <w:ind w:left="142"/>
        <w:jc w:val="left"/>
      </w:pPr>
      <w:r w:rsidRPr="00230BC2">
        <w:t>Saudi Arabia</w:t>
      </w:r>
    </w:p>
    <w:p w14:paraId="743FF144" w14:textId="77777777" w:rsidR="002F7B48" w:rsidRPr="00230BC2" w:rsidRDefault="002F7B48" w:rsidP="00322CF8">
      <w:pPr>
        <w:pStyle w:val="Para1"/>
        <w:numPr>
          <w:ilvl w:val="0"/>
          <w:numId w:val="0"/>
        </w:numPr>
        <w:spacing w:after="0"/>
        <w:ind w:left="142"/>
        <w:jc w:val="left"/>
      </w:pPr>
      <w:r w:rsidRPr="00230BC2">
        <w:t>Senegal</w:t>
      </w:r>
    </w:p>
    <w:p w14:paraId="5417A0AF" w14:textId="7F77554B" w:rsidR="002F7B48" w:rsidRPr="00230BC2" w:rsidRDefault="002F7B48" w:rsidP="00322CF8">
      <w:pPr>
        <w:pStyle w:val="Para1"/>
        <w:numPr>
          <w:ilvl w:val="0"/>
          <w:numId w:val="0"/>
        </w:numPr>
        <w:spacing w:after="0"/>
        <w:ind w:left="142"/>
        <w:jc w:val="left"/>
      </w:pPr>
      <w:r w:rsidRPr="00230BC2">
        <w:t>Serbia</w:t>
      </w:r>
      <w:r w:rsidR="00866BE2" w:rsidRPr="00230BC2">
        <w:rPr>
          <w:vertAlign w:val="superscript"/>
        </w:rPr>
        <w:t>a</w:t>
      </w:r>
    </w:p>
    <w:p w14:paraId="297C3178" w14:textId="77777777" w:rsidR="002F7B48" w:rsidRPr="00230BC2" w:rsidRDefault="002F7B48" w:rsidP="00322CF8">
      <w:pPr>
        <w:pStyle w:val="Para1"/>
        <w:numPr>
          <w:ilvl w:val="0"/>
          <w:numId w:val="0"/>
        </w:numPr>
        <w:spacing w:after="0"/>
        <w:ind w:left="142"/>
        <w:jc w:val="left"/>
      </w:pPr>
      <w:r w:rsidRPr="00230BC2">
        <w:t>Seychelles</w:t>
      </w:r>
    </w:p>
    <w:p w14:paraId="1C827E8B" w14:textId="77777777" w:rsidR="002F7B48" w:rsidRPr="00230BC2" w:rsidRDefault="002F7B48" w:rsidP="00322CF8">
      <w:pPr>
        <w:pStyle w:val="Para1"/>
        <w:numPr>
          <w:ilvl w:val="0"/>
          <w:numId w:val="0"/>
        </w:numPr>
        <w:spacing w:after="0"/>
        <w:ind w:left="142"/>
        <w:jc w:val="left"/>
      </w:pPr>
      <w:r w:rsidRPr="00230BC2">
        <w:t>Sierra Leone</w:t>
      </w:r>
    </w:p>
    <w:p w14:paraId="553D6BF1" w14:textId="77777777" w:rsidR="002F7B48" w:rsidRPr="00230BC2" w:rsidRDefault="002F7B48" w:rsidP="00322CF8">
      <w:pPr>
        <w:pStyle w:val="Para1"/>
        <w:numPr>
          <w:ilvl w:val="0"/>
          <w:numId w:val="0"/>
        </w:numPr>
        <w:spacing w:after="0"/>
        <w:ind w:left="142"/>
        <w:jc w:val="left"/>
      </w:pPr>
      <w:r w:rsidRPr="00230BC2">
        <w:t>Singapore</w:t>
      </w:r>
    </w:p>
    <w:p w14:paraId="3062E766" w14:textId="77777777" w:rsidR="002F7B48" w:rsidRPr="00230BC2" w:rsidRDefault="002F7B48" w:rsidP="00322CF8">
      <w:pPr>
        <w:pStyle w:val="Para1"/>
        <w:numPr>
          <w:ilvl w:val="0"/>
          <w:numId w:val="0"/>
        </w:numPr>
        <w:spacing w:after="0"/>
        <w:ind w:left="142"/>
        <w:jc w:val="left"/>
      </w:pPr>
      <w:r w:rsidRPr="00230BC2">
        <w:t>Slovakia</w:t>
      </w:r>
    </w:p>
    <w:p w14:paraId="5D540EA4" w14:textId="77777777" w:rsidR="002F7B48" w:rsidRPr="00230BC2" w:rsidRDefault="002F7B48" w:rsidP="00322CF8">
      <w:pPr>
        <w:pStyle w:val="Para1"/>
        <w:numPr>
          <w:ilvl w:val="0"/>
          <w:numId w:val="0"/>
        </w:numPr>
        <w:spacing w:after="0"/>
        <w:ind w:left="142"/>
        <w:jc w:val="left"/>
      </w:pPr>
      <w:r w:rsidRPr="00230BC2">
        <w:t>Slovenia</w:t>
      </w:r>
    </w:p>
    <w:p w14:paraId="7CC29A91" w14:textId="69CAD28F" w:rsidR="002F7B48" w:rsidRPr="00230BC2" w:rsidRDefault="002F7B48" w:rsidP="00322CF8">
      <w:pPr>
        <w:pStyle w:val="Para1"/>
        <w:numPr>
          <w:ilvl w:val="0"/>
          <w:numId w:val="0"/>
        </w:numPr>
        <w:spacing w:after="0"/>
        <w:ind w:left="142"/>
        <w:jc w:val="left"/>
      </w:pPr>
      <w:r w:rsidRPr="00230BC2">
        <w:t>Solomon Islands</w:t>
      </w:r>
      <w:r w:rsidR="00866BE2" w:rsidRPr="00230BC2">
        <w:rPr>
          <w:vertAlign w:val="superscript"/>
        </w:rPr>
        <w:t>a</w:t>
      </w:r>
    </w:p>
    <w:p w14:paraId="50B0A995" w14:textId="77777777" w:rsidR="002F7B48" w:rsidRPr="00230BC2" w:rsidRDefault="002F7B48" w:rsidP="00322CF8">
      <w:pPr>
        <w:pStyle w:val="Para1"/>
        <w:numPr>
          <w:ilvl w:val="0"/>
          <w:numId w:val="0"/>
        </w:numPr>
        <w:spacing w:after="0"/>
        <w:ind w:left="142"/>
        <w:jc w:val="left"/>
      </w:pPr>
      <w:r w:rsidRPr="00230BC2">
        <w:t>Somalia</w:t>
      </w:r>
    </w:p>
    <w:p w14:paraId="24668B2D" w14:textId="77777777" w:rsidR="002F7B48" w:rsidRPr="00230BC2" w:rsidRDefault="002F7B48" w:rsidP="00322CF8">
      <w:pPr>
        <w:pStyle w:val="Para1"/>
        <w:numPr>
          <w:ilvl w:val="0"/>
          <w:numId w:val="0"/>
        </w:numPr>
        <w:spacing w:after="0"/>
        <w:ind w:left="142"/>
        <w:jc w:val="left"/>
      </w:pPr>
      <w:r w:rsidRPr="00230BC2">
        <w:t>South Africa</w:t>
      </w:r>
    </w:p>
    <w:p w14:paraId="0CF61338" w14:textId="77777777" w:rsidR="002F7B48" w:rsidRPr="00230BC2" w:rsidRDefault="002F7B48" w:rsidP="00322CF8">
      <w:pPr>
        <w:pStyle w:val="Para1"/>
        <w:numPr>
          <w:ilvl w:val="0"/>
          <w:numId w:val="0"/>
        </w:numPr>
        <w:spacing w:after="0"/>
        <w:ind w:left="142"/>
        <w:jc w:val="left"/>
      </w:pPr>
      <w:r w:rsidRPr="00230BC2">
        <w:t>South Sudan</w:t>
      </w:r>
    </w:p>
    <w:p w14:paraId="574C04F6" w14:textId="77777777" w:rsidR="002F7B48" w:rsidRPr="00230BC2" w:rsidRDefault="002F7B48" w:rsidP="00322CF8">
      <w:pPr>
        <w:pStyle w:val="Para1"/>
        <w:numPr>
          <w:ilvl w:val="0"/>
          <w:numId w:val="0"/>
        </w:numPr>
        <w:spacing w:after="0"/>
        <w:ind w:left="142"/>
        <w:jc w:val="left"/>
      </w:pPr>
      <w:r w:rsidRPr="00230BC2">
        <w:t>Spain</w:t>
      </w:r>
    </w:p>
    <w:p w14:paraId="1A67455C" w14:textId="77777777" w:rsidR="002F7B48" w:rsidRPr="00230BC2" w:rsidRDefault="002F7B48" w:rsidP="00322CF8">
      <w:pPr>
        <w:pStyle w:val="Para1"/>
        <w:numPr>
          <w:ilvl w:val="0"/>
          <w:numId w:val="0"/>
        </w:numPr>
        <w:spacing w:after="0"/>
        <w:ind w:left="142"/>
        <w:jc w:val="left"/>
      </w:pPr>
      <w:r w:rsidRPr="00230BC2">
        <w:t>Sri Lanka</w:t>
      </w:r>
    </w:p>
    <w:p w14:paraId="06DC94CB" w14:textId="77777777" w:rsidR="002F7B48" w:rsidRPr="00230BC2" w:rsidRDefault="002F7B48" w:rsidP="00322CF8">
      <w:pPr>
        <w:pStyle w:val="Para1"/>
        <w:numPr>
          <w:ilvl w:val="0"/>
          <w:numId w:val="0"/>
        </w:numPr>
        <w:spacing w:after="0"/>
        <w:ind w:left="142"/>
        <w:jc w:val="left"/>
      </w:pPr>
      <w:r w:rsidRPr="00230BC2">
        <w:t>State of Palestine</w:t>
      </w:r>
    </w:p>
    <w:p w14:paraId="5744F654" w14:textId="77777777" w:rsidR="002F7B48" w:rsidRPr="00230BC2" w:rsidRDefault="002F7B48" w:rsidP="00322CF8">
      <w:pPr>
        <w:pStyle w:val="Para1"/>
        <w:numPr>
          <w:ilvl w:val="0"/>
          <w:numId w:val="0"/>
        </w:numPr>
        <w:spacing w:after="0"/>
        <w:ind w:left="142"/>
        <w:jc w:val="left"/>
      </w:pPr>
      <w:r w:rsidRPr="00230BC2">
        <w:t>Sudan</w:t>
      </w:r>
    </w:p>
    <w:p w14:paraId="0BAAD267" w14:textId="02BDD7F6" w:rsidR="002F7B48" w:rsidRPr="00230BC2" w:rsidRDefault="002F7B48" w:rsidP="00322CF8">
      <w:pPr>
        <w:pStyle w:val="Para1"/>
        <w:numPr>
          <w:ilvl w:val="0"/>
          <w:numId w:val="0"/>
        </w:numPr>
        <w:spacing w:after="0"/>
        <w:ind w:left="142"/>
        <w:jc w:val="left"/>
      </w:pPr>
      <w:r w:rsidRPr="00230BC2">
        <w:t>Suriname</w:t>
      </w:r>
      <w:r w:rsidR="00866BE2" w:rsidRPr="00230BC2">
        <w:rPr>
          <w:vertAlign w:val="superscript"/>
        </w:rPr>
        <w:t>a</w:t>
      </w:r>
    </w:p>
    <w:p w14:paraId="335683BF" w14:textId="77777777" w:rsidR="002F7B48" w:rsidRPr="00230BC2" w:rsidRDefault="002F7B48" w:rsidP="00322CF8">
      <w:pPr>
        <w:pStyle w:val="Para1"/>
        <w:numPr>
          <w:ilvl w:val="0"/>
          <w:numId w:val="0"/>
        </w:numPr>
        <w:spacing w:after="0"/>
        <w:ind w:left="142"/>
        <w:jc w:val="left"/>
      </w:pPr>
      <w:r w:rsidRPr="00230BC2">
        <w:t>Sweden</w:t>
      </w:r>
    </w:p>
    <w:p w14:paraId="1909176C" w14:textId="77777777" w:rsidR="002F7B48" w:rsidRPr="00230BC2" w:rsidRDefault="002F7B48" w:rsidP="00322CF8">
      <w:pPr>
        <w:pStyle w:val="Para1"/>
        <w:numPr>
          <w:ilvl w:val="0"/>
          <w:numId w:val="0"/>
        </w:numPr>
        <w:spacing w:after="0"/>
        <w:ind w:left="142"/>
        <w:jc w:val="left"/>
      </w:pPr>
      <w:r w:rsidRPr="00230BC2">
        <w:t>Switzerland</w:t>
      </w:r>
    </w:p>
    <w:p w14:paraId="0CD44655" w14:textId="77777777" w:rsidR="002F7B48" w:rsidRPr="00230BC2" w:rsidRDefault="002F7B48" w:rsidP="00322CF8">
      <w:pPr>
        <w:pStyle w:val="Para1"/>
        <w:numPr>
          <w:ilvl w:val="0"/>
          <w:numId w:val="0"/>
        </w:numPr>
        <w:spacing w:after="0"/>
        <w:ind w:left="142"/>
        <w:jc w:val="left"/>
      </w:pPr>
      <w:r w:rsidRPr="00230BC2">
        <w:t>Syrian Arab Republic</w:t>
      </w:r>
    </w:p>
    <w:p w14:paraId="469AD1EB" w14:textId="77777777" w:rsidR="002F7B48" w:rsidRPr="00230BC2" w:rsidRDefault="002F7B48" w:rsidP="00322CF8">
      <w:pPr>
        <w:pStyle w:val="Para1"/>
        <w:numPr>
          <w:ilvl w:val="0"/>
          <w:numId w:val="0"/>
        </w:numPr>
        <w:spacing w:after="0"/>
        <w:ind w:left="142"/>
        <w:jc w:val="left"/>
      </w:pPr>
      <w:r w:rsidRPr="00230BC2">
        <w:t>Tajikistan</w:t>
      </w:r>
    </w:p>
    <w:p w14:paraId="3C73F033" w14:textId="77777777" w:rsidR="002F7B48" w:rsidRPr="00230BC2" w:rsidRDefault="002F7B48" w:rsidP="00322CF8">
      <w:pPr>
        <w:pStyle w:val="Para1"/>
        <w:numPr>
          <w:ilvl w:val="0"/>
          <w:numId w:val="0"/>
        </w:numPr>
        <w:spacing w:after="0"/>
        <w:ind w:left="142"/>
        <w:jc w:val="left"/>
      </w:pPr>
      <w:r w:rsidRPr="00230BC2">
        <w:t>Thailand</w:t>
      </w:r>
    </w:p>
    <w:p w14:paraId="46D2A779" w14:textId="6CF83BA1" w:rsidR="002F7B48" w:rsidRPr="00230BC2" w:rsidRDefault="002F7B48" w:rsidP="00322CF8">
      <w:pPr>
        <w:pStyle w:val="Para1"/>
        <w:numPr>
          <w:ilvl w:val="0"/>
          <w:numId w:val="0"/>
        </w:numPr>
        <w:spacing w:after="0"/>
        <w:ind w:left="142"/>
        <w:jc w:val="left"/>
      </w:pPr>
      <w:r w:rsidRPr="00230BC2">
        <w:t>Timor-Leste</w:t>
      </w:r>
      <w:r w:rsidR="00866BE2" w:rsidRPr="00230BC2">
        <w:rPr>
          <w:vertAlign w:val="superscript"/>
        </w:rPr>
        <w:t>a</w:t>
      </w:r>
    </w:p>
    <w:p w14:paraId="1A6FA9B9" w14:textId="77777777" w:rsidR="002F7B48" w:rsidRPr="00230BC2" w:rsidRDefault="002F7B48" w:rsidP="00322CF8">
      <w:pPr>
        <w:pStyle w:val="Para1"/>
        <w:numPr>
          <w:ilvl w:val="0"/>
          <w:numId w:val="0"/>
        </w:numPr>
        <w:spacing w:after="0"/>
        <w:ind w:left="142"/>
        <w:jc w:val="left"/>
      </w:pPr>
      <w:r w:rsidRPr="00230BC2">
        <w:t>Togo</w:t>
      </w:r>
    </w:p>
    <w:p w14:paraId="48CECCBD" w14:textId="77777777" w:rsidR="002F7B48" w:rsidRPr="00230BC2" w:rsidRDefault="002F7B48" w:rsidP="00322CF8">
      <w:pPr>
        <w:pStyle w:val="Para1"/>
        <w:numPr>
          <w:ilvl w:val="0"/>
          <w:numId w:val="0"/>
        </w:numPr>
        <w:spacing w:after="0"/>
        <w:ind w:left="142"/>
        <w:jc w:val="left"/>
      </w:pPr>
      <w:r w:rsidRPr="00230BC2">
        <w:t>Tonga</w:t>
      </w:r>
    </w:p>
    <w:p w14:paraId="409140C8" w14:textId="77777777" w:rsidR="002F7B48" w:rsidRPr="00230BC2" w:rsidRDefault="002F7B48" w:rsidP="00322CF8">
      <w:pPr>
        <w:pStyle w:val="Para1"/>
        <w:numPr>
          <w:ilvl w:val="0"/>
          <w:numId w:val="0"/>
        </w:numPr>
        <w:spacing w:after="0"/>
        <w:ind w:left="142"/>
        <w:jc w:val="left"/>
      </w:pPr>
      <w:r w:rsidRPr="00230BC2">
        <w:t>Trinidad and Tobago</w:t>
      </w:r>
    </w:p>
    <w:p w14:paraId="1F6F157F" w14:textId="77777777" w:rsidR="002F7B48" w:rsidRPr="00230BC2" w:rsidRDefault="002F7B48" w:rsidP="00322CF8">
      <w:pPr>
        <w:pStyle w:val="Para1"/>
        <w:numPr>
          <w:ilvl w:val="0"/>
          <w:numId w:val="0"/>
        </w:numPr>
        <w:spacing w:after="0"/>
        <w:ind w:left="142"/>
        <w:jc w:val="left"/>
      </w:pPr>
      <w:r w:rsidRPr="00230BC2">
        <w:t>Tunisia</w:t>
      </w:r>
    </w:p>
    <w:p w14:paraId="03985EA4" w14:textId="77777777" w:rsidR="002F7B48" w:rsidRPr="00230BC2" w:rsidRDefault="002F7B48" w:rsidP="00322CF8">
      <w:pPr>
        <w:pStyle w:val="Para1"/>
        <w:numPr>
          <w:ilvl w:val="0"/>
          <w:numId w:val="0"/>
        </w:numPr>
        <w:spacing w:after="0"/>
        <w:ind w:left="142"/>
        <w:jc w:val="left"/>
      </w:pPr>
      <w:r w:rsidRPr="00230BC2">
        <w:t>Türkiye</w:t>
      </w:r>
    </w:p>
    <w:p w14:paraId="07736138" w14:textId="77777777" w:rsidR="002F7B48" w:rsidRPr="00230BC2" w:rsidRDefault="002F7B48" w:rsidP="00322CF8">
      <w:pPr>
        <w:pStyle w:val="Para1"/>
        <w:numPr>
          <w:ilvl w:val="0"/>
          <w:numId w:val="0"/>
        </w:numPr>
        <w:spacing w:after="0"/>
        <w:ind w:left="142"/>
        <w:jc w:val="left"/>
      </w:pPr>
      <w:r w:rsidRPr="00230BC2">
        <w:t>Turkmenistan</w:t>
      </w:r>
    </w:p>
    <w:p w14:paraId="70655830" w14:textId="77777777" w:rsidR="002F7B48" w:rsidRPr="00230BC2" w:rsidRDefault="002F7B48" w:rsidP="00322CF8">
      <w:pPr>
        <w:pStyle w:val="Para1"/>
        <w:numPr>
          <w:ilvl w:val="0"/>
          <w:numId w:val="0"/>
        </w:numPr>
        <w:spacing w:after="0"/>
        <w:ind w:left="142"/>
        <w:jc w:val="left"/>
      </w:pPr>
      <w:r w:rsidRPr="00230BC2">
        <w:t>Tuvalu</w:t>
      </w:r>
    </w:p>
    <w:p w14:paraId="7AF52823" w14:textId="77777777" w:rsidR="002F7B48" w:rsidRPr="00230BC2" w:rsidRDefault="002F7B48" w:rsidP="00322CF8">
      <w:pPr>
        <w:pStyle w:val="Para1"/>
        <w:numPr>
          <w:ilvl w:val="0"/>
          <w:numId w:val="0"/>
        </w:numPr>
        <w:spacing w:after="0"/>
        <w:ind w:left="142"/>
        <w:jc w:val="left"/>
      </w:pPr>
      <w:r w:rsidRPr="00230BC2">
        <w:t>Uganda</w:t>
      </w:r>
    </w:p>
    <w:p w14:paraId="2A11CCEA" w14:textId="77777777" w:rsidR="002F7B48" w:rsidRPr="00230BC2" w:rsidRDefault="002F7B48" w:rsidP="00322CF8">
      <w:pPr>
        <w:pStyle w:val="Para1"/>
        <w:numPr>
          <w:ilvl w:val="0"/>
          <w:numId w:val="0"/>
        </w:numPr>
        <w:spacing w:after="0"/>
        <w:ind w:left="142"/>
        <w:jc w:val="left"/>
      </w:pPr>
      <w:r w:rsidRPr="00230BC2">
        <w:t>Ukraine</w:t>
      </w:r>
    </w:p>
    <w:p w14:paraId="07EEECC7" w14:textId="77777777" w:rsidR="002F7B48" w:rsidRPr="00230BC2" w:rsidRDefault="002F7B48" w:rsidP="00322CF8">
      <w:pPr>
        <w:pStyle w:val="Para1"/>
        <w:numPr>
          <w:ilvl w:val="0"/>
          <w:numId w:val="0"/>
        </w:numPr>
        <w:spacing w:after="0"/>
        <w:ind w:left="142"/>
        <w:jc w:val="left"/>
      </w:pPr>
      <w:r w:rsidRPr="00230BC2">
        <w:t>United Arab Emirates</w:t>
      </w:r>
    </w:p>
    <w:p w14:paraId="73FE3182" w14:textId="77777777" w:rsidR="002F7B48" w:rsidRPr="00230BC2" w:rsidRDefault="002F7B48" w:rsidP="00322CF8">
      <w:pPr>
        <w:pStyle w:val="Para1"/>
        <w:numPr>
          <w:ilvl w:val="0"/>
          <w:numId w:val="0"/>
        </w:numPr>
        <w:spacing w:after="0"/>
        <w:ind w:left="142"/>
        <w:jc w:val="left"/>
      </w:pPr>
      <w:r w:rsidRPr="00230BC2">
        <w:t>United Kingdom of Great Britain and Northern Ireland</w:t>
      </w:r>
    </w:p>
    <w:p w14:paraId="79BE304C" w14:textId="77777777" w:rsidR="002F7B48" w:rsidRPr="00230BC2" w:rsidRDefault="002F7B48" w:rsidP="00322CF8">
      <w:pPr>
        <w:pStyle w:val="Para1"/>
        <w:numPr>
          <w:ilvl w:val="0"/>
          <w:numId w:val="0"/>
        </w:numPr>
        <w:spacing w:after="0"/>
        <w:ind w:left="142"/>
        <w:jc w:val="left"/>
      </w:pPr>
      <w:r w:rsidRPr="00230BC2">
        <w:t>United Republic of Tanzania</w:t>
      </w:r>
    </w:p>
    <w:p w14:paraId="104FDF5B" w14:textId="77777777" w:rsidR="002F7B48" w:rsidRPr="00230BC2" w:rsidRDefault="002F7B48" w:rsidP="00322CF8">
      <w:pPr>
        <w:pStyle w:val="Para1"/>
        <w:numPr>
          <w:ilvl w:val="0"/>
          <w:numId w:val="0"/>
        </w:numPr>
        <w:spacing w:after="0"/>
        <w:ind w:left="142"/>
        <w:jc w:val="left"/>
      </w:pPr>
      <w:r w:rsidRPr="00230BC2">
        <w:t>Uruguay</w:t>
      </w:r>
    </w:p>
    <w:p w14:paraId="63385064" w14:textId="0F7B5DFC" w:rsidR="002F7B48" w:rsidRPr="00230BC2" w:rsidRDefault="002F7B48" w:rsidP="00322CF8">
      <w:pPr>
        <w:pStyle w:val="Para1"/>
        <w:numPr>
          <w:ilvl w:val="0"/>
          <w:numId w:val="0"/>
        </w:numPr>
        <w:spacing w:after="0"/>
        <w:ind w:left="142"/>
        <w:jc w:val="left"/>
      </w:pPr>
      <w:r w:rsidRPr="00230BC2">
        <w:t>Uzbekistan</w:t>
      </w:r>
      <w:r w:rsidR="00866BE2" w:rsidRPr="00230BC2">
        <w:rPr>
          <w:vertAlign w:val="superscript"/>
        </w:rPr>
        <w:t>a</w:t>
      </w:r>
    </w:p>
    <w:p w14:paraId="0270FE39" w14:textId="77777777" w:rsidR="002F7B48" w:rsidRPr="00311AAE" w:rsidRDefault="002F7B48" w:rsidP="00322CF8">
      <w:pPr>
        <w:pStyle w:val="Para1"/>
        <w:numPr>
          <w:ilvl w:val="0"/>
          <w:numId w:val="0"/>
        </w:numPr>
        <w:spacing w:after="0"/>
        <w:ind w:left="142"/>
        <w:jc w:val="left"/>
        <w:rPr>
          <w:lang w:val="es-ES"/>
        </w:rPr>
      </w:pPr>
      <w:r w:rsidRPr="00311AAE">
        <w:rPr>
          <w:lang w:val="es-ES"/>
        </w:rPr>
        <w:t>Vanuatu</w:t>
      </w:r>
    </w:p>
    <w:p w14:paraId="43D587C8" w14:textId="77777777" w:rsidR="002F7B48" w:rsidRPr="00311AAE" w:rsidRDefault="002F7B48" w:rsidP="00322CF8">
      <w:pPr>
        <w:pStyle w:val="Para1"/>
        <w:numPr>
          <w:ilvl w:val="0"/>
          <w:numId w:val="0"/>
        </w:numPr>
        <w:spacing w:after="0"/>
        <w:ind w:left="144"/>
        <w:jc w:val="left"/>
        <w:rPr>
          <w:lang w:val="es-ES"/>
        </w:rPr>
      </w:pPr>
      <w:r w:rsidRPr="00311AAE">
        <w:rPr>
          <w:lang w:val="es-ES"/>
        </w:rPr>
        <w:t>Venezuela (Bolivarian Republic of)</w:t>
      </w:r>
    </w:p>
    <w:p w14:paraId="71C6CA8A" w14:textId="2598DB79" w:rsidR="002F7B48" w:rsidRPr="00230BC2" w:rsidRDefault="002F7B48" w:rsidP="00322CF8">
      <w:pPr>
        <w:pStyle w:val="Para1"/>
        <w:numPr>
          <w:ilvl w:val="0"/>
          <w:numId w:val="0"/>
        </w:numPr>
        <w:spacing w:after="0"/>
        <w:ind w:left="144"/>
        <w:jc w:val="left"/>
      </w:pPr>
      <w:r w:rsidRPr="00230BC2">
        <w:t>Viet Nam</w:t>
      </w:r>
      <w:r w:rsidR="00866BE2" w:rsidRPr="00230BC2">
        <w:rPr>
          <w:vertAlign w:val="superscript"/>
        </w:rPr>
        <w:t>a</w:t>
      </w:r>
    </w:p>
    <w:p w14:paraId="7254FA87" w14:textId="77777777" w:rsidR="002F7B48" w:rsidRPr="00230BC2" w:rsidRDefault="002F7B48" w:rsidP="00322CF8">
      <w:pPr>
        <w:pStyle w:val="Para1"/>
        <w:numPr>
          <w:ilvl w:val="0"/>
          <w:numId w:val="0"/>
        </w:numPr>
        <w:spacing w:after="0"/>
        <w:ind w:left="144"/>
        <w:jc w:val="left"/>
      </w:pPr>
      <w:r w:rsidRPr="00230BC2">
        <w:t>Yemen</w:t>
      </w:r>
    </w:p>
    <w:p w14:paraId="411C0A8C" w14:textId="77777777" w:rsidR="002F7B48" w:rsidRPr="00230BC2" w:rsidRDefault="002F7B48" w:rsidP="00322CF8">
      <w:pPr>
        <w:pStyle w:val="Para1"/>
        <w:numPr>
          <w:ilvl w:val="0"/>
          <w:numId w:val="0"/>
        </w:numPr>
        <w:spacing w:after="0"/>
        <w:ind w:left="144"/>
        <w:jc w:val="left"/>
      </w:pPr>
      <w:r w:rsidRPr="00230BC2">
        <w:t>Zambia</w:t>
      </w:r>
    </w:p>
    <w:p w14:paraId="55F4FE37" w14:textId="7DB95529" w:rsidR="002F7B48" w:rsidRDefault="002F7B48" w:rsidP="00322CF8">
      <w:pPr>
        <w:pStyle w:val="Para1"/>
        <w:numPr>
          <w:ilvl w:val="0"/>
          <w:numId w:val="0"/>
        </w:numPr>
        <w:spacing w:after="0"/>
        <w:ind w:left="144"/>
        <w:jc w:val="left"/>
      </w:pPr>
      <w:r w:rsidRPr="00230BC2">
        <w:t>Zimbabwe</w:t>
      </w:r>
    </w:p>
    <w:p w14:paraId="444DCB76" w14:textId="77777777" w:rsidR="006A3658" w:rsidRDefault="006A3658" w:rsidP="004A3DE9">
      <w:pPr>
        <w:pStyle w:val="Para1"/>
        <w:numPr>
          <w:ilvl w:val="0"/>
          <w:numId w:val="0"/>
        </w:numPr>
        <w:spacing w:before="120"/>
        <w:rPr>
          <w:i/>
          <w:iCs/>
          <w:sz w:val="18"/>
          <w:szCs w:val="18"/>
        </w:rPr>
        <w:sectPr w:rsidR="006A3658" w:rsidSect="006A3658">
          <w:footnotePr>
            <w:numRestart w:val="eachSect"/>
          </w:footnotePr>
          <w:type w:val="continuous"/>
          <w:pgSz w:w="12240" w:h="15840"/>
          <w:pgMar w:top="567" w:right="1440" w:bottom="1134" w:left="1440" w:header="709" w:footer="709" w:gutter="0"/>
          <w:cols w:num="3" w:space="708"/>
          <w:titlePg/>
          <w:docGrid w:linePitch="360"/>
        </w:sectPr>
      </w:pPr>
    </w:p>
    <w:p w14:paraId="756E82E2" w14:textId="77777777" w:rsidR="004A3DE9" w:rsidRPr="00230BC2" w:rsidRDefault="004A3DE9" w:rsidP="004A3DE9">
      <w:pPr>
        <w:pStyle w:val="Para1"/>
        <w:numPr>
          <w:ilvl w:val="0"/>
          <w:numId w:val="0"/>
        </w:numPr>
        <w:spacing w:before="120"/>
        <w:rPr>
          <w:i/>
          <w:iCs/>
          <w:sz w:val="18"/>
          <w:szCs w:val="18"/>
        </w:rPr>
      </w:pPr>
    </w:p>
    <w:p w14:paraId="7F62B14E" w14:textId="77777777" w:rsidR="00E0044C" w:rsidRDefault="007D420A" w:rsidP="007D420A">
      <w:pPr>
        <w:pStyle w:val="Para1"/>
        <w:numPr>
          <w:ilvl w:val="0"/>
          <w:numId w:val="0"/>
        </w:numPr>
        <w:spacing w:before="120"/>
        <w:rPr>
          <w:sz w:val="18"/>
          <w:szCs w:val="18"/>
        </w:rPr>
        <w:sectPr w:rsidR="00E0044C" w:rsidSect="006A3658">
          <w:footnotePr>
            <w:numStart w:val="2"/>
          </w:footnotePr>
          <w:type w:val="continuous"/>
          <w:pgSz w:w="12240" w:h="15840"/>
          <w:pgMar w:top="567" w:right="1440" w:bottom="1134" w:left="1440" w:header="709" w:footer="709" w:gutter="0"/>
          <w:cols w:space="708"/>
          <w:titlePg/>
          <w:docGrid w:linePitch="360"/>
        </w:sectPr>
      </w:pPr>
      <w:r w:rsidRPr="00230BC2">
        <w:rPr>
          <w:i/>
          <w:iCs/>
          <w:sz w:val="18"/>
          <w:szCs w:val="18"/>
        </w:rPr>
        <w:t>Note</w:t>
      </w:r>
      <w:r w:rsidRPr="00230BC2">
        <w:rPr>
          <w:sz w:val="18"/>
          <w:szCs w:val="18"/>
        </w:rPr>
        <w:t>: Parties with indicator “</w:t>
      </w:r>
      <w:r w:rsidR="00DC36D9" w:rsidRPr="00230BC2">
        <w:rPr>
          <w:sz w:val="18"/>
          <w:szCs w:val="18"/>
        </w:rPr>
        <w:t>a</w:t>
      </w:r>
      <w:r w:rsidRPr="00230BC2">
        <w:rPr>
          <w:sz w:val="18"/>
          <w:szCs w:val="18"/>
        </w:rPr>
        <w:t>” were represented at the Montreal segment of the second part of the meeting</w:t>
      </w:r>
      <w:r w:rsidR="00B53507" w:rsidRPr="00230BC2">
        <w:rPr>
          <w:sz w:val="18"/>
          <w:szCs w:val="18"/>
        </w:rPr>
        <w:t xml:space="preserve"> only</w:t>
      </w:r>
      <w:r w:rsidRPr="00230BC2">
        <w:rPr>
          <w:sz w:val="18"/>
          <w:szCs w:val="18"/>
        </w:rPr>
        <w:t>; those with indicator “</w:t>
      </w:r>
      <w:r w:rsidR="00DC36D9" w:rsidRPr="00230BC2">
        <w:rPr>
          <w:sz w:val="18"/>
          <w:szCs w:val="18"/>
        </w:rPr>
        <w:t>b</w:t>
      </w:r>
      <w:r w:rsidRPr="00230BC2">
        <w:rPr>
          <w:sz w:val="18"/>
          <w:szCs w:val="18"/>
        </w:rPr>
        <w:t xml:space="preserve">” were represented at the </w:t>
      </w:r>
      <w:r w:rsidR="00B53507" w:rsidRPr="00230BC2">
        <w:rPr>
          <w:sz w:val="18"/>
          <w:szCs w:val="18"/>
        </w:rPr>
        <w:t xml:space="preserve">Nairobi segment of </w:t>
      </w:r>
      <w:r w:rsidR="00CB2619" w:rsidRPr="00230BC2">
        <w:rPr>
          <w:sz w:val="18"/>
          <w:szCs w:val="18"/>
        </w:rPr>
        <w:t xml:space="preserve">the </w:t>
      </w:r>
      <w:r w:rsidRPr="00230BC2">
        <w:rPr>
          <w:sz w:val="18"/>
          <w:szCs w:val="18"/>
        </w:rPr>
        <w:t>second part of the meeting</w:t>
      </w:r>
      <w:r w:rsidR="00CB2619" w:rsidRPr="00230BC2">
        <w:rPr>
          <w:sz w:val="18"/>
          <w:szCs w:val="18"/>
        </w:rPr>
        <w:t xml:space="preserve"> only</w:t>
      </w:r>
      <w:r w:rsidRPr="00230BC2">
        <w:rPr>
          <w:sz w:val="18"/>
          <w:szCs w:val="18"/>
        </w:rPr>
        <w:t>; and those with no indicator were represented at both segments.</w:t>
      </w:r>
    </w:p>
    <w:p w14:paraId="69D0407D" w14:textId="7897B70A" w:rsidR="00AA3C0A" w:rsidRPr="00230BC2" w:rsidRDefault="00AA3C0A" w:rsidP="003466FC">
      <w:pPr>
        <w:pStyle w:val="Para1"/>
      </w:pPr>
      <w:r w:rsidRPr="00230BC2" w:rsidDel="00822701">
        <w:lastRenderedPageBreak/>
        <w:t>The following State</w:t>
      </w:r>
      <w:r w:rsidR="0048615E" w:rsidRPr="00230BC2" w:rsidDel="00822701">
        <w:t>s</w:t>
      </w:r>
      <w:r w:rsidRPr="00230BC2" w:rsidDel="00822701">
        <w:t xml:space="preserve"> not party to the Convention </w:t>
      </w:r>
      <w:r w:rsidR="00CA769D" w:rsidRPr="00230BC2">
        <w:t xml:space="preserve">were </w:t>
      </w:r>
      <w:r w:rsidRPr="00230BC2" w:rsidDel="00822701">
        <w:t>also represented</w:t>
      </w:r>
      <w:r w:rsidR="00F63E2E" w:rsidRPr="00230BC2">
        <w:t>:</w:t>
      </w:r>
      <w:r w:rsidRPr="00230BC2" w:rsidDel="00822701">
        <w:t xml:space="preserve"> </w:t>
      </w:r>
      <w:r w:rsidR="00E6071E" w:rsidRPr="00230BC2">
        <w:t xml:space="preserve">Holy See </w:t>
      </w:r>
      <w:r w:rsidR="009B3C83" w:rsidRPr="00230BC2">
        <w:t>(</w:t>
      </w:r>
      <w:r w:rsidR="00D071C2" w:rsidRPr="00230BC2">
        <w:t>Montreal segment only</w:t>
      </w:r>
      <w:r w:rsidR="009B3C83" w:rsidRPr="00230BC2">
        <w:t xml:space="preserve">) </w:t>
      </w:r>
      <w:r w:rsidR="00E6071E" w:rsidRPr="00230BC2">
        <w:t xml:space="preserve">and </w:t>
      </w:r>
      <w:r w:rsidR="00604838" w:rsidRPr="00230BC2" w:rsidDel="00822701">
        <w:t>United States of America</w:t>
      </w:r>
      <w:r w:rsidR="009B3C83" w:rsidRPr="00230BC2">
        <w:t xml:space="preserve"> (</w:t>
      </w:r>
      <w:r w:rsidR="00D071C2" w:rsidRPr="00230BC2">
        <w:t>Montreal and Nairobi segments</w:t>
      </w:r>
      <w:r w:rsidR="00F63E2E" w:rsidRPr="00230BC2">
        <w:t>)</w:t>
      </w:r>
      <w:r w:rsidR="00604838" w:rsidRPr="00230BC2" w:rsidDel="00822701">
        <w:t>.</w:t>
      </w:r>
    </w:p>
    <w:p w14:paraId="20FB6DCE" w14:textId="6F55FE34" w:rsidR="008C47BB" w:rsidRPr="00230BC2" w:rsidDel="00822701" w:rsidRDefault="00BD2FD1" w:rsidP="003466FC">
      <w:pPr>
        <w:pStyle w:val="Para1"/>
      </w:pPr>
      <w:r w:rsidRPr="00230BC2">
        <w:t xml:space="preserve">The list of organizations represented at the meeting is set out in </w:t>
      </w:r>
      <w:r w:rsidR="00E34619" w:rsidRPr="00230BC2">
        <w:t>document CBD/COP/15/17/Add.1</w:t>
      </w:r>
      <w:r w:rsidRPr="00230BC2">
        <w:t>.</w:t>
      </w:r>
    </w:p>
    <w:p w14:paraId="018415F1" w14:textId="65207ACC" w:rsidR="00D77560" w:rsidRPr="00230BC2" w:rsidRDefault="007A26CC" w:rsidP="00BC525B">
      <w:pPr>
        <w:keepNext/>
        <w:suppressLineNumber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I.</w:t>
      </w:r>
      <w:r w:rsidRPr="00230BC2">
        <w:rPr>
          <w:b/>
          <w:bCs/>
          <w:snapToGrid w:val="0"/>
          <w:kern w:val="22"/>
          <w:szCs w:val="22"/>
        </w:rPr>
        <w:tab/>
        <w:t>ORGANIZATIONAL MATTERS</w:t>
      </w:r>
    </w:p>
    <w:p w14:paraId="434A7DF1" w14:textId="6FFF3FF2" w:rsidR="00D77560" w:rsidRPr="00950BE4" w:rsidRDefault="00D77560"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07" w:name="Item01"/>
      <w:r w:rsidRPr="00950BE4">
        <w:rPr>
          <w:b/>
          <w:bCs/>
          <w:snapToGrid w:val="0"/>
          <w:kern w:val="22"/>
          <w:szCs w:val="22"/>
        </w:rPr>
        <w:t>Item 1.</w:t>
      </w:r>
      <w:r w:rsidRPr="00950BE4">
        <w:rPr>
          <w:b/>
          <w:bCs/>
          <w:snapToGrid w:val="0"/>
          <w:kern w:val="22"/>
          <w:szCs w:val="22"/>
        </w:rPr>
        <w:tab/>
        <w:t>Opening of the meeting</w:t>
      </w:r>
      <w:bookmarkEnd w:id="407"/>
    </w:p>
    <w:p w14:paraId="27778D8D" w14:textId="3A87D7D5" w:rsidR="00CA4FFF" w:rsidRPr="00230BC2" w:rsidRDefault="003D62BB" w:rsidP="003466FC">
      <w:pPr>
        <w:pStyle w:val="Para1"/>
      </w:pPr>
      <w:r w:rsidRPr="00230BC2">
        <w:t xml:space="preserve">The 1st plenary session was held jointly with those of the </w:t>
      </w:r>
      <w:r w:rsidR="00D565D2" w:rsidRPr="00230BC2">
        <w:t>Conference of the Parties serving as the meeting of the Parties to the Cartagena Protocol</w:t>
      </w:r>
      <w:r w:rsidRPr="00230BC2">
        <w:t xml:space="preserve"> and of the Conference of the Parties serving as the meeting of the Parties to the Nagoya Protocol, on 7 December 2022. The President of the three bodies, the Minister of Ecology and Environment of China, declared the second part of the meeting</w:t>
      </w:r>
      <w:r w:rsidR="00505ABC" w:rsidRPr="00230BC2">
        <w:t>s</w:t>
      </w:r>
      <w:r w:rsidRPr="00230BC2">
        <w:t xml:space="preserve"> open at 10.25 a.m</w:t>
      </w:r>
      <w:r w:rsidR="008E2D53" w:rsidRPr="00230BC2">
        <w:t>.</w:t>
      </w:r>
    </w:p>
    <w:p w14:paraId="307E12A5" w14:textId="13FA9365" w:rsidR="00CA4FFF" w:rsidRPr="00230BC2" w:rsidRDefault="00CA4FFF" w:rsidP="003466FC">
      <w:pPr>
        <w:pStyle w:val="Para1"/>
      </w:pPr>
      <w:bookmarkStart w:id="408" w:name="_Hlk123472359"/>
      <w:r w:rsidRPr="00230BC2">
        <w:t xml:space="preserve">Opening </w:t>
      </w:r>
      <w:r w:rsidR="00CD39F7" w:rsidRPr="00230BC2">
        <w:t xml:space="preserve">remarks </w:t>
      </w:r>
      <w:r w:rsidRPr="00230BC2">
        <w:t xml:space="preserve">were delivered by </w:t>
      </w:r>
      <w:r w:rsidR="00C86797" w:rsidRPr="00230BC2">
        <w:t>the President</w:t>
      </w:r>
      <w:r w:rsidR="004F6112" w:rsidRPr="00230BC2">
        <w:t xml:space="preserve">, </w:t>
      </w:r>
      <w:r w:rsidR="00B3118F" w:rsidRPr="00230BC2">
        <w:t xml:space="preserve">the </w:t>
      </w:r>
      <w:r w:rsidRPr="00230BC2">
        <w:t xml:space="preserve">Executive Director of </w:t>
      </w:r>
      <w:r w:rsidR="001B627E" w:rsidRPr="00230BC2">
        <w:t>the United Nations Environment Programme</w:t>
      </w:r>
      <w:r w:rsidR="009F15B2" w:rsidRPr="00230BC2">
        <w:t xml:space="preserve"> (UNEP)</w:t>
      </w:r>
      <w:r w:rsidR="00C66F61" w:rsidRPr="00230BC2">
        <w:t>,</w:t>
      </w:r>
      <w:r w:rsidRPr="00230BC2">
        <w:t xml:space="preserve"> </w:t>
      </w:r>
      <w:r w:rsidR="00B3118F" w:rsidRPr="00230BC2">
        <w:t xml:space="preserve">the </w:t>
      </w:r>
      <w:r w:rsidRPr="00230BC2">
        <w:t>Minister of Environment and Climate Change of Canada</w:t>
      </w:r>
      <w:r w:rsidR="00B3118F" w:rsidRPr="00230BC2">
        <w:t>, Steven Guilbeault,</w:t>
      </w:r>
      <w:r w:rsidR="00C86797" w:rsidRPr="00230BC2">
        <w:t xml:space="preserve"> and </w:t>
      </w:r>
      <w:r w:rsidR="001D42C2" w:rsidRPr="00230BC2">
        <w:t xml:space="preserve">the </w:t>
      </w:r>
      <w:r w:rsidR="00C86797" w:rsidRPr="00230BC2">
        <w:t>Executive Secretary of the Convention on Biological Diversity</w:t>
      </w:r>
      <w:r w:rsidRPr="00230BC2">
        <w:t>.</w:t>
      </w:r>
    </w:p>
    <w:p w14:paraId="6DD3BDD0" w14:textId="26281722" w:rsidR="001B627E" w:rsidRPr="00230BC2" w:rsidRDefault="001B627E" w:rsidP="003466FC">
      <w:pPr>
        <w:pStyle w:val="Para1"/>
      </w:pPr>
      <w:r w:rsidRPr="00230BC2">
        <w:t xml:space="preserve">In his statement, the President said that the current </w:t>
      </w:r>
      <w:r w:rsidR="009E60C7" w:rsidRPr="00230BC2">
        <w:t xml:space="preserve">part of the </w:t>
      </w:r>
      <w:r w:rsidRPr="00230BC2">
        <w:t xml:space="preserve">meeting – for which the </w:t>
      </w:r>
      <w:r w:rsidR="000E2CDB" w:rsidRPr="00230BC2">
        <w:t xml:space="preserve">first </w:t>
      </w:r>
      <w:r w:rsidRPr="00230BC2">
        <w:t xml:space="preserve">part had laid a solid foundation – was the chance to conclude a peace pact with nature </w:t>
      </w:r>
      <w:r w:rsidR="006407C0" w:rsidRPr="00230BC2">
        <w:t>by adopting the post</w:t>
      </w:r>
      <w:r w:rsidR="001E2522" w:rsidRPr="00230BC2">
        <w:t>-</w:t>
      </w:r>
      <w:r w:rsidR="006407C0" w:rsidRPr="00230BC2">
        <w:t>2020 global biodiversity framew</w:t>
      </w:r>
      <w:r w:rsidR="00EA4765" w:rsidRPr="00230BC2">
        <w:t>o</w:t>
      </w:r>
      <w:r w:rsidR="006407C0" w:rsidRPr="00230BC2">
        <w:t>rk</w:t>
      </w:r>
      <w:r w:rsidRPr="00230BC2">
        <w:t xml:space="preserve">. In that context, he looked forward to a demonstration of international cooperation, political determination, </w:t>
      </w:r>
      <w:r w:rsidR="0048615E" w:rsidRPr="00230BC2">
        <w:t xml:space="preserve">the </w:t>
      </w:r>
      <w:r w:rsidRPr="00230BC2">
        <w:t xml:space="preserve">utmost goodwill, flexibility, compromise on key issues and positive commitments to continued increases in funding aimed at promoting the consultation process. The primary focus should be on resolving difficulties and forging the greatest possible consensus so as to achieve a framework document that would </w:t>
      </w:r>
      <w:r w:rsidR="00233416" w:rsidRPr="00230BC2">
        <w:t>represent</w:t>
      </w:r>
      <w:r w:rsidRPr="00230BC2">
        <w:t xml:space="preserve"> a landmark and write a new chapter in global biodiversity governance.</w:t>
      </w:r>
    </w:p>
    <w:p w14:paraId="1A182CAD" w14:textId="56093808" w:rsidR="001B627E" w:rsidRPr="00230BC2" w:rsidRDefault="001B627E" w:rsidP="003466FC">
      <w:pPr>
        <w:pStyle w:val="Para1"/>
      </w:pPr>
      <w:r w:rsidRPr="00230BC2">
        <w:t xml:space="preserve">In her remarks, </w:t>
      </w:r>
      <w:r w:rsidR="009F15B2" w:rsidRPr="00230BC2">
        <w:t xml:space="preserve">the Executive Director of UNEP </w:t>
      </w:r>
      <w:r w:rsidRPr="00230BC2">
        <w:t xml:space="preserve">said that the </w:t>
      </w:r>
      <w:r w:rsidR="0046365B" w:rsidRPr="00230BC2">
        <w:t xml:space="preserve">Conference </w:t>
      </w:r>
      <w:r w:rsidRPr="00230BC2">
        <w:t>must secure the future of the planetary life support system by delivering an ambitious post</w:t>
      </w:r>
      <w:r w:rsidR="000D647C" w:rsidRPr="00230BC2">
        <w:noBreakHyphen/>
      </w:r>
      <w:r w:rsidRPr="00230BC2">
        <w:t xml:space="preserve">2020 global biodiversity framework that </w:t>
      </w:r>
      <w:r w:rsidR="00677F62" w:rsidRPr="00230BC2">
        <w:t xml:space="preserve">not only </w:t>
      </w:r>
      <w:r w:rsidR="002D7511" w:rsidRPr="00230BC2">
        <w:t xml:space="preserve">tackled changing land and sea use, species overexploitation, climate change, pollution and invasive </w:t>
      </w:r>
      <w:r w:rsidR="00DE1C23" w:rsidRPr="00230BC2">
        <w:t>alien</w:t>
      </w:r>
      <w:r w:rsidR="002D7511" w:rsidRPr="00230BC2">
        <w:t xml:space="preserve"> species</w:t>
      </w:r>
      <w:r w:rsidR="00BA5F4F" w:rsidRPr="00230BC2">
        <w:t>,</w:t>
      </w:r>
      <w:r w:rsidR="002D7511" w:rsidRPr="00230BC2">
        <w:t xml:space="preserve"> but also </w:t>
      </w:r>
      <w:r w:rsidRPr="00230BC2">
        <w:t xml:space="preserve">addressed the underlying drivers of biodiversity loss and recognized and protected the rights of </w:t>
      </w:r>
      <w:r w:rsidR="00CA769D" w:rsidRPr="00230BC2">
        <w:t>i</w:t>
      </w:r>
      <w:r w:rsidRPr="00230BC2">
        <w:t xml:space="preserve">ndigenous </w:t>
      </w:r>
      <w:r w:rsidR="00CA769D" w:rsidRPr="00230BC2">
        <w:t>p</w:t>
      </w:r>
      <w:r w:rsidRPr="00230BC2">
        <w:t xml:space="preserve">eoples and local communities. The framework </w:t>
      </w:r>
      <w:r w:rsidR="00677F62" w:rsidRPr="00230BC2">
        <w:t>would</w:t>
      </w:r>
      <w:r w:rsidR="003A3ADD" w:rsidRPr="00230BC2">
        <w:t xml:space="preserve"> </w:t>
      </w:r>
      <w:r w:rsidRPr="00230BC2">
        <w:t xml:space="preserve">also </w:t>
      </w:r>
      <w:r w:rsidR="00677F62" w:rsidRPr="00230BC2">
        <w:t xml:space="preserve">need to </w:t>
      </w:r>
      <w:r w:rsidRPr="00230BC2">
        <w:t>dovetail with the Paris Agreement and other instruments of relevance, be adequately resourced and be implemented with great transparency and accountability on progress. It was vital</w:t>
      </w:r>
      <w:r w:rsidR="002D7511" w:rsidRPr="00230BC2">
        <w:t xml:space="preserve"> </w:t>
      </w:r>
      <w:r w:rsidRPr="00230BC2">
        <w:t xml:space="preserve">to accelerate the negotiating pace, with all stakeholders </w:t>
      </w:r>
      <w:r w:rsidR="00A27B24" w:rsidRPr="00230BC2">
        <w:t>bearing a</w:t>
      </w:r>
      <w:r w:rsidRPr="00230BC2">
        <w:t xml:space="preserve"> unique responsibility </w:t>
      </w:r>
      <w:r w:rsidR="00A27B24" w:rsidRPr="00230BC2">
        <w:t xml:space="preserve">for </w:t>
      </w:r>
      <w:r w:rsidRPr="00230BC2">
        <w:t>agree</w:t>
      </w:r>
      <w:r w:rsidR="00A27B24" w:rsidRPr="00230BC2">
        <w:t>ing</w:t>
      </w:r>
      <w:r w:rsidRPr="00230BC2">
        <w:t xml:space="preserve"> on a plan for making peace with nature as the irreplaceable essence of life.</w:t>
      </w:r>
    </w:p>
    <w:p w14:paraId="6BDB8F85" w14:textId="766FC432" w:rsidR="00952864" w:rsidRPr="00230BC2" w:rsidRDefault="00B3118F" w:rsidP="003466FC">
      <w:pPr>
        <w:pStyle w:val="Para1"/>
      </w:pPr>
      <w:r w:rsidRPr="00230BC2">
        <w:t xml:space="preserve">The Minister of Environment and Climate Change of Canada </w:t>
      </w:r>
      <w:r w:rsidR="00952864" w:rsidRPr="00230BC2">
        <w:t>stressed that the post-2020 global biodiversity framework must halt and reverse the drivers causing rapid ecosystem collapse and put nature on a path to recovery. Crucially, the framework must include a commitment to conserv</w:t>
      </w:r>
      <w:r w:rsidR="00CF6173" w:rsidRPr="00230BC2">
        <w:t>ing</w:t>
      </w:r>
      <w:r w:rsidR="00952864" w:rsidRPr="00230BC2">
        <w:t xml:space="preserve"> a minimum of 30 per cent of the world’s lands and oceans by 2030. Ambitious goals must be matched by real action. Government had a central role but must work closely with civil society, the private sector, foundations, academia, citizens and the </w:t>
      </w:r>
      <w:r w:rsidR="00CA769D" w:rsidRPr="00230BC2">
        <w:t>i</w:t>
      </w:r>
      <w:r w:rsidR="00952864" w:rsidRPr="00230BC2">
        <w:t xml:space="preserve">ndigenous and </w:t>
      </w:r>
      <w:r w:rsidR="006E6C52" w:rsidRPr="00230BC2">
        <w:t>F</w:t>
      </w:r>
      <w:r w:rsidR="00952864" w:rsidRPr="00230BC2">
        <w:t xml:space="preserve">irst </w:t>
      </w:r>
      <w:r w:rsidR="006E6C52" w:rsidRPr="00230BC2">
        <w:t>N</w:t>
      </w:r>
      <w:r w:rsidR="00952864" w:rsidRPr="00230BC2">
        <w:t xml:space="preserve">ations </w:t>
      </w:r>
      <w:r w:rsidR="00CA769D" w:rsidRPr="00230BC2">
        <w:t>p</w:t>
      </w:r>
      <w:r w:rsidR="00952864" w:rsidRPr="00230BC2">
        <w:t xml:space="preserve">eoples. The post-2020 global biodiversity framework must unite all </w:t>
      </w:r>
      <w:r w:rsidR="008D11CE" w:rsidRPr="00230BC2">
        <w:t xml:space="preserve">people </w:t>
      </w:r>
      <w:r w:rsidR="00952864" w:rsidRPr="00230BC2">
        <w:t>in efforts to halt biodiversity loss and set the world on a path to living in harmony with nature by 2050.</w:t>
      </w:r>
    </w:p>
    <w:p w14:paraId="2D055E5F" w14:textId="3DF79FC6" w:rsidR="00C86797" w:rsidRPr="00230BC2" w:rsidRDefault="00AA073F" w:rsidP="003466FC">
      <w:pPr>
        <w:pStyle w:val="Para1"/>
      </w:pPr>
      <w:r w:rsidRPr="00230BC2">
        <w:t xml:space="preserve">The Executive Secretary </w:t>
      </w:r>
      <w:r w:rsidR="00C86797" w:rsidRPr="00230BC2">
        <w:t>thanked the Government of China for its strong support for the post-2020 global biodiversity framework</w:t>
      </w:r>
      <w:r w:rsidR="00395481" w:rsidRPr="00230BC2">
        <w:t xml:space="preserve"> preparation process</w:t>
      </w:r>
      <w:r w:rsidR="00C86797" w:rsidRPr="00230BC2">
        <w:t xml:space="preserve">. She also thanked the many donor countries and stakeholders present, </w:t>
      </w:r>
      <w:r w:rsidR="00430758" w:rsidRPr="00230BC2">
        <w:t xml:space="preserve">the </w:t>
      </w:r>
      <w:r w:rsidR="00C86797" w:rsidRPr="00230BC2">
        <w:t xml:space="preserve">generosity </w:t>
      </w:r>
      <w:r w:rsidR="00430758" w:rsidRPr="00230BC2">
        <w:t xml:space="preserve">of which </w:t>
      </w:r>
      <w:r w:rsidR="00C86797" w:rsidRPr="00230BC2">
        <w:t xml:space="preserve">had made the participation of developing </w:t>
      </w:r>
      <w:r w:rsidR="006E6C52" w:rsidRPr="00230BC2">
        <w:t xml:space="preserve">countries </w:t>
      </w:r>
      <w:r w:rsidR="00C86797" w:rsidRPr="00230BC2">
        <w:t xml:space="preserve">and </w:t>
      </w:r>
      <w:r w:rsidR="00365508" w:rsidRPr="00230BC2">
        <w:t xml:space="preserve">representatives of </w:t>
      </w:r>
      <w:r w:rsidR="00CA769D" w:rsidRPr="00230BC2">
        <w:t>i</w:t>
      </w:r>
      <w:r w:rsidR="00C86797" w:rsidRPr="00230BC2">
        <w:t xml:space="preserve">ndigenous </w:t>
      </w:r>
      <w:r w:rsidR="00CA769D" w:rsidRPr="00230BC2">
        <w:t xml:space="preserve">peoples and local </w:t>
      </w:r>
      <w:r w:rsidR="00C86797" w:rsidRPr="00230BC2">
        <w:t>communit</w:t>
      </w:r>
      <w:r w:rsidR="00CA769D" w:rsidRPr="00230BC2">
        <w:t>ies</w:t>
      </w:r>
      <w:r w:rsidR="005D783E" w:rsidRPr="00230BC2">
        <w:t xml:space="preserve"> possible</w:t>
      </w:r>
      <w:r w:rsidR="00C86797" w:rsidRPr="00230BC2">
        <w:t>. She urged participants to blend their individual voices as a chorus and to develop a text that reflected consensus, compromise and ambition.</w:t>
      </w:r>
    </w:p>
    <w:p w14:paraId="2EAC7520" w14:textId="77794897" w:rsidR="00CD39F7" w:rsidRPr="00230BC2" w:rsidRDefault="005805B0" w:rsidP="003466FC">
      <w:pPr>
        <w:pStyle w:val="Para1"/>
      </w:pPr>
      <w:r w:rsidRPr="00230BC2">
        <w:t>T</w:t>
      </w:r>
      <w:r w:rsidR="008E315A" w:rsidRPr="00230BC2">
        <w:t xml:space="preserve">he Conference of the Parties </w:t>
      </w:r>
      <w:r w:rsidR="00821BA5" w:rsidRPr="00230BC2">
        <w:t xml:space="preserve">also </w:t>
      </w:r>
      <w:r w:rsidR="008E315A" w:rsidRPr="00230BC2">
        <w:t xml:space="preserve">heard general statements by representatives of </w:t>
      </w:r>
      <w:r w:rsidR="00CD39F7" w:rsidRPr="00230BC2">
        <w:t xml:space="preserve">regions, groups of countries, individual countries, United Nations entities and major groups and other stakeholders. </w:t>
      </w:r>
    </w:p>
    <w:p w14:paraId="6F9E1529" w14:textId="6995332C" w:rsidR="00CA4FFF" w:rsidRPr="00230BC2" w:rsidRDefault="00CD39F7" w:rsidP="003466FC">
      <w:pPr>
        <w:pStyle w:val="Para1"/>
      </w:pPr>
      <w:r w:rsidRPr="00230BC2">
        <w:lastRenderedPageBreak/>
        <w:t xml:space="preserve">Statements </w:t>
      </w:r>
      <w:r w:rsidR="008E315A" w:rsidRPr="00230BC2">
        <w:t xml:space="preserve">were </w:t>
      </w:r>
      <w:r w:rsidRPr="00230BC2">
        <w:t>delivered</w:t>
      </w:r>
      <w:r w:rsidR="008E315A" w:rsidRPr="00230BC2">
        <w:t xml:space="preserve"> by </w:t>
      </w:r>
      <w:r w:rsidR="00CA4FFF" w:rsidRPr="00230BC2">
        <w:t xml:space="preserve">the representatives of </w:t>
      </w:r>
      <w:r w:rsidR="00054511" w:rsidRPr="00230BC2">
        <w:t xml:space="preserve">the following Parties: </w:t>
      </w:r>
      <w:r w:rsidR="00CA4FFF" w:rsidRPr="00230BC2">
        <w:t xml:space="preserve">Costa Rica </w:t>
      </w:r>
      <w:r w:rsidR="009072D7" w:rsidRPr="00230BC2">
        <w:t>(</w:t>
      </w:r>
      <w:r w:rsidR="00CA4FFF" w:rsidRPr="00230BC2">
        <w:t>on behalf of the Latin American and Caribbean States</w:t>
      </w:r>
      <w:r w:rsidR="009072D7" w:rsidRPr="00230BC2">
        <w:t>)</w:t>
      </w:r>
      <w:r w:rsidR="0054013D" w:rsidRPr="00230BC2">
        <w:t>,</w:t>
      </w:r>
      <w:r w:rsidR="00CA4FFF" w:rsidRPr="00230BC2">
        <w:t xml:space="preserve"> Palau </w:t>
      </w:r>
      <w:r w:rsidR="009072D7" w:rsidRPr="00230BC2">
        <w:t>(</w:t>
      </w:r>
      <w:r w:rsidR="00CA4FFF" w:rsidRPr="00230BC2">
        <w:t>on behalf of the Asia</w:t>
      </w:r>
      <w:r w:rsidR="00D34EF4" w:rsidRPr="00230BC2">
        <w:t>-</w:t>
      </w:r>
      <w:r w:rsidR="00CA4FFF" w:rsidRPr="00230BC2">
        <w:t>Pacific States</w:t>
      </w:r>
      <w:r w:rsidR="009072D7" w:rsidRPr="00230BC2">
        <w:t>)</w:t>
      </w:r>
      <w:r w:rsidR="00CA4FFF" w:rsidRPr="00230BC2">
        <w:t xml:space="preserve"> and Senegal </w:t>
      </w:r>
      <w:r w:rsidR="009072D7" w:rsidRPr="00230BC2">
        <w:t>(</w:t>
      </w:r>
      <w:r w:rsidR="00CA4FFF" w:rsidRPr="00230BC2">
        <w:t>on behalf of the African States</w:t>
      </w:r>
      <w:r w:rsidR="009072D7" w:rsidRPr="00230BC2">
        <w:t>)</w:t>
      </w:r>
      <w:r w:rsidR="00CA4FFF" w:rsidRPr="00230BC2">
        <w:t>.</w:t>
      </w:r>
    </w:p>
    <w:p w14:paraId="1E9EC234" w14:textId="6DD2E8CD" w:rsidR="00CA4FFF" w:rsidRPr="00230BC2" w:rsidRDefault="00CA4FFF" w:rsidP="003466FC">
      <w:pPr>
        <w:pStyle w:val="Para1"/>
      </w:pPr>
      <w:r w:rsidRPr="00230BC2">
        <w:t xml:space="preserve">Statements were </w:t>
      </w:r>
      <w:r w:rsidR="008E315A" w:rsidRPr="00230BC2">
        <w:t>made</w:t>
      </w:r>
      <w:r w:rsidRPr="00230BC2">
        <w:t xml:space="preserve"> by representatives of </w:t>
      </w:r>
      <w:r w:rsidR="00A32B67" w:rsidRPr="00230BC2">
        <w:t xml:space="preserve">the following Parties: </w:t>
      </w:r>
      <w:r w:rsidRPr="00230BC2">
        <w:t xml:space="preserve">Antigua and Barbuda </w:t>
      </w:r>
      <w:r w:rsidR="009072D7" w:rsidRPr="00230BC2">
        <w:t>(</w:t>
      </w:r>
      <w:r w:rsidRPr="00230BC2">
        <w:t>on behalf of the small island developing States</w:t>
      </w:r>
      <w:r w:rsidR="009072D7" w:rsidRPr="00230BC2">
        <w:t>)</w:t>
      </w:r>
      <w:r w:rsidR="001B28B6" w:rsidRPr="00230BC2">
        <w:t>,</w:t>
      </w:r>
      <w:r w:rsidRPr="00230BC2">
        <w:t xml:space="preserve"> Ethiopia </w:t>
      </w:r>
      <w:r w:rsidR="005A106B" w:rsidRPr="00230BC2">
        <w:t>(</w:t>
      </w:r>
      <w:r w:rsidRPr="00230BC2">
        <w:t>on behalf of the Group of Like-minded Megadiverse Countries</w:t>
      </w:r>
      <w:r w:rsidR="005A106B" w:rsidRPr="00230BC2">
        <w:t>)</w:t>
      </w:r>
      <w:r w:rsidR="001B28B6" w:rsidRPr="00230BC2">
        <w:t>,</w:t>
      </w:r>
      <w:r w:rsidRPr="00230BC2">
        <w:t xml:space="preserve"> </w:t>
      </w:r>
      <w:r w:rsidR="00203B10" w:rsidRPr="00230BC2">
        <w:t xml:space="preserve">European Union and its 27 member States, </w:t>
      </w:r>
      <w:r w:rsidRPr="00230BC2">
        <w:t xml:space="preserve">Mexico </w:t>
      </w:r>
      <w:r w:rsidR="00A23F76" w:rsidRPr="00230BC2">
        <w:t>(</w:t>
      </w:r>
      <w:r w:rsidR="00395481" w:rsidRPr="00230BC2">
        <w:t xml:space="preserve">also </w:t>
      </w:r>
      <w:r w:rsidRPr="00230BC2">
        <w:t>on behalf of</w:t>
      </w:r>
      <w:bookmarkStart w:id="409" w:name="_Hlk121286576"/>
      <w:r w:rsidR="001E58E6" w:rsidRPr="00230BC2">
        <w:t xml:space="preserve"> Australia, Canada, Colombia, Costa Rica, the European Union and its</w:t>
      </w:r>
      <w:r w:rsidR="002A510B" w:rsidRPr="00230BC2">
        <w:t xml:space="preserve"> 27</w:t>
      </w:r>
      <w:r w:rsidR="001E58E6" w:rsidRPr="00230BC2">
        <w:t xml:space="preserve"> member States, Gabon, Japan, Malawi, Monaco, New Zealand, Nigeria, Norway, Palau, the Republic of Korea, Switzerland, the United Kingdom</w:t>
      </w:r>
      <w:r w:rsidR="00406FCE" w:rsidRPr="00230BC2">
        <w:t>,</w:t>
      </w:r>
      <w:r w:rsidR="007F4170" w:rsidRPr="00230BC2">
        <w:t xml:space="preserve"> </w:t>
      </w:r>
      <w:r w:rsidR="001E58E6" w:rsidRPr="00230BC2">
        <w:t>Vanuatu</w:t>
      </w:r>
      <w:r w:rsidR="003F4B13" w:rsidRPr="00230BC2">
        <w:t>,</w:t>
      </w:r>
      <w:r w:rsidR="001E58E6" w:rsidRPr="00230BC2">
        <w:t xml:space="preserve"> Zambia</w:t>
      </w:r>
      <w:bookmarkEnd w:id="409"/>
      <w:r w:rsidR="009857CD" w:rsidRPr="00230BC2">
        <w:t xml:space="preserve"> and</w:t>
      </w:r>
      <w:r w:rsidR="001E58E6" w:rsidRPr="00230BC2">
        <w:t xml:space="preserve"> the United States</w:t>
      </w:r>
      <w:r w:rsidR="00A23F76" w:rsidRPr="00230BC2">
        <w:t>)</w:t>
      </w:r>
      <w:r w:rsidR="001B28B6" w:rsidRPr="00230BC2">
        <w:t>,</w:t>
      </w:r>
      <w:r w:rsidRPr="00230BC2">
        <w:t xml:space="preserve"> New Zealand </w:t>
      </w:r>
      <w:r w:rsidR="00A23F76" w:rsidRPr="00230BC2">
        <w:t>(</w:t>
      </w:r>
      <w:r w:rsidRPr="00230BC2">
        <w:t>also on behalf of Australia, Canada, Iceland, Japan, Mexico, New Zealand, Norway, the Republic of Korea, Switzerland and the United States</w:t>
      </w:r>
      <w:r w:rsidR="00A23F76" w:rsidRPr="00230BC2">
        <w:t>)</w:t>
      </w:r>
      <w:r w:rsidRPr="00230BC2">
        <w:t xml:space="preserve"> and Philippines </w:t>
      </w:r>
      <w:r w:rsidR="00F7529F" w:rsidRPr="00230BC2">
        <w:t>(</w:t>
      </w:r>
      <w:r w:rsidRPr="00230BC2">
        <w:t>on behalf of the States members of the High Ambition Coalition for Nature and People and the Global Ocean Alliance</w:t>
      </w:r>
      <w:r w:rsidR="00F7529F" w:rsidRPr="00230BC2">
        <w:t>)</w:t>
      </w:r>
      <w:r w:rsidRPr="00230BC2">
        <w:t>.</w:t>
      </w:r>
    </w:p>
    <w:p w14:paraId="4B8D058E" w14:textId="1693E92B" w:rsidR="00CA4FFF" w:rsidRPr="00230BC2" w:rsidRDefault="00CA4FFF" w:rsidP="003466FC">
      <w:pPr>
        <w:pStyle w:val="Para1"/>
      </w:pPr>
      <w:r w:rsidRPr="00230BC2">
        <w:t xml:space="preserve">Statements were </w:t>
      </w:r>
      <w:r w:rsidR="00CD39F7" w:rsidRPr="00230BC2">
        <w:t xml:space="preserve">also </w:t>
      </w:r>
      <w:r w:rsidRPr="00230BC2">
        <w:t>made by the representatives of the Food and Agriculture Organization of the United Nations</w:t>
      </w:r>
      <w:r w:rsidR="0066734A" w:rsidRPr="00230BC2">
        <w:t xml:space="preserve"> (FAO)</w:t>
      </w:r>
      <w:r w:rsidRPr="00230BC2">
        <w:t xml:space="preserve"> and the </w:t>
      </w:r>
      <w:r w:rsidR="002F2A3E" w:rsidRPr="00230BC2">
        <w:t>S</w:t>
      </w:r>
      <w:r w:rsidRPr="00230BC2">
        <w:t xml:space="preserve">ecretariat of the Convention on the Conservation of Migratory Species of Wild Animals, </w:t>
      </w:r>
      <w:r w:rsidR="00812132" w:rsidRPr="00230BC2">
        <w:t xml:space="preserve">the latter </w:t>
      </w:r>
      <w:r w:rsidRPr="00230BC2">
        <w:t>on behalf of the Liaison Group of Biodiversity-related Conventions.</w:t>
      </w:r>
    </w:p>
    <w:p w14:paraId="7C1AE90E" w14:textId="0BA73E66" w:rsidR="00CA4FFF" w:rsidRPr="00230BC2" w:rsidRDefault="00CA4FFF" w:rsidP="003466FC">
      <w:pPr>
        <w:pStyle w:val="Para1"/>
      </w:pPr>
      <w:r w:rsidRPr="00230BC2">
        <w:t xml:space="preserve">Statements were </w:t>
      </w:r>
      <w:r w:rsidR="00C27C18" w:rsidRPr="00230BC2">
        <w:t xml:space="preserve">further </w:t>
      </w:r>
      <w:r w:rsidRPr="00230BC2">
        <w:t>made by the representatives of the Advisory Committee on Subnational Governments and Biodiversity (coordinated by Regions4 and the government of Quebec), the CBD Women’s Caucus, the Global Youth Biodiversity Network and the International Indigenous Forum on Biodiversity</w:t>
      </w:r>
      <w:r w:rsidR="007165B5" w:rsidRPr="00230BC2">
        <w:t>.</w:t>
      </w:r>
    </w:p>
    <w:p w14:paraId="216B1346" w14:textId="397E72BE" w:rsidR="008E315A" w:rsidRPr="00230BC2" w:rsidRDefault="008E315A" w:rsidP="003466FC">
      <w:pPr>
        <w:pStyle w:val="Para1"/>
      </w:pPr>
      <w:r w:rsidRPr="00230BC2">
        <w:t>The representative of the Russian Federation made a statement in exercise of his right of reply.</w:t>
      </w:r>
    </w:p>
    <w:p w14:paraId="49F94D8A" w14:textId="3EA0ECF1" w:rsidR="002F6FCC" w:rsidRPr="00230BC2" w:rsidRDefault="001D650C" w:rsidP="003466FC">
      <w:pPr>
        <w:pStyle w:val="Para1"/>
      </w:pPr>
      <w:r w:rsidRPr="00230BC2">
        <w:t xml:space="preserve">At </w:t>
      </w:r>
      <w:r w:rsidR="00DA2C31" w:rsidRPr="00230BC2">
        <w:t xml:space="preserve">its </w:t>
      </w:r>
      <w:r w:rsidR="00E4615C" w:rsidRPr="00230BC2">
        <w:t xml:space="preserve">2nd </w:t>
      </w:r>
      <w:r w:rsidR="004A478A" w:rsidRPr="00230BC2">
        <w:t xml:space="preserve">plenary </w:t>
      </w:r>
      <w:r w:rsidRPr="00230BC2">
        <w:t>session, on 10 December</w:t>
      </w:r>
      <w:r w:rsidR="00C12920" w:rsidRPr="00230BC2">
        <w:t xml:space="preserve"> 2022</w:t>
      </w:r>
      <w:r w:rsidRPr="00230BC2">
        <w:t xml:space="preserve">, </w:t>
      </w:r>
      <w:r w:rsidR="00BB5B29" w:rsidRPr="00230BC2">
        <w:t xml:space="preserve">the Conference of the Parties heard additional </w:t>
      </w:r>
      <w:r w:rsidR="002F6FCC" w:rsidRPr="00230BC2">
        <w:t xml:space="preserve">statements </w:t>
      </w:r>
      <w:r w:rsidR="009857CD" w:rsidRPr="00230BC2">
        <w:t>by the representatives of</w:t>
      </w:r>
      <w:r w:rsidR="00995EFB" w:rsidRPr="00230BC2">
        <w:t xml:space="preserve"> </w:t>
      </w:r>
      <w:r w:rsidR="0066734A" w:rsidRPr="00230BC2">
        <w:t xml:space="preserve">FAO </w:t>
      </w:r>
      <w:r w:rsidR="009857CD" w:rsidRPr="00230BC2">
        <w:t xml:space="preserve">and </w:t>
      </w:r>
      <w:r w:rsidR="000B261F" w:rsidRPr="00230BC2">
        <w:t xml:space="preserve">of </w:t>
      </w:r>
      <w:r w:rsidR="009857CD" w:rsidRPr="00230BC2">
        <w:t>major groups and other stakeholders</w:t>
      </w:r>
      <w:r w:rsidR="002F6FCC" w:rsidRPr="00230BC2">
        <w:t>.</w:t>
      </w:r>
    </w:p>
    <w:p w14:paraId="0F894EDE" w14:textId="2C81CF77" w:rsidR="001D650C" w:rsidRPr="00230BC2" w:rsidRDefault="002F6FCC" w:rsidP="003466FC">
      <w:pPr>
        <w:pStyle w:val="Para1"/>
      </w:pPr>
      <w:r w:rsidRPr="00230BC2">
        <w:t>A</w:t>
      </w:r>
      <w:r w:rsidR="001D650C" w:rsidRPr="00230BC2">
        <w:t xml:space="preserve"> statement was made by a representative of the Office of the United Nations High Commissioner for Human Rights. </w:t>
      </w:r>
    </w:p>
    <w:p w14:paraId="4506203A" w14:textId="6914A77F" w:rsidR="001D650C" w:rsidRPr="00230BC2" w:rsidRDefault="009857CD" w:rsidP="003466FC">
      <w:pPr>
        <w:pStyle w:val="Para1"/>
      </w:pPr>
      <w:r w:rsidRPr="00230BC2">
        <w:t>S</w:t>
      </w:r>
      <w:r w:rsidR="001D650C" w:rsidRPr="00230BC2">
        <w:t xml:space="preserve">tatements were </w:t>
      </w:r>
      <w:r w:rsidRPr="00230BC2">
        <w:t xml:space="preserve">also </w:t>
      </w:r>
      <w:r w:rsidR="001D650C" w:rsidRPr="00230BC2">
        <w:t xml:space="preserve">made by representatives of BirdLife International </w:t>
      </w:r>
      <w:r w:rsidR="008A7C0D" w:rsidRPr="00230BC2">
        <w:t>(</w:t>
      </w:r>
      <w:r w:rsidR="001D650C" w:rsidRPr="00230BC2">
        <w:t>also on behalf of Conservation International, the Campaign for Nature, the Nature and Biodiversity Conservation Union, Panthera, the Royal Society for the Protection of Birds, The Nature Conservancy, the Wildlife Conservation Society, the World Wide Fund for Nature and the Zoological Society of London</w:t>
      </w:r>
      <w:r w:rsidR="008A7C0D" w:rsidRPr="00230BC2">
        <w:t>),</w:t>
      </w:r>
      <w:r w:rsidR="001D650C" w:rsidRPr="00230BC2">
        <w:t xml:space="preserve"> the Business for Nature Coalition</w:t>
      </w:r>
      <w:r w:rsidR="008A7C0D" w:rsidRPr="00230BC2">
        <w:t>,</w:t>
      </w:r>
      <w:r w:rsidR="001D650C" w:rsidRPr="00230BC2">
        <w:t xml:space="preserve"> the Finance for Biodiversity Foundation</w:t>
      </w:r>
      <w:r w:rsidR="008A7C0D" w:rsidRPr="00230BC2">
        <w:t>,</w:t>
      </w:r>
      <w:r w:rsidR="001D650C" w:rsidRPr="00230BC2">
        <w:t xml:space="preserve"> the Grantham Institute – Climate Change and Environment</w:t>
      </w:r>
      <w:r w:rsidR="008A7C0D" w:rsidRPr="00230BC2">
        <w:t>,</w:t>
      </w:r>
      <w:r w:rsidR="001D650C" w:rsidRPr="00230BC2">
        <w:t xml:space="preserve"> the International Planning Committee for Food Sovereignty and the International Union for Conservation of Nature</w:t>
      </w:r>
      <w:r w:rsidR="00A35D22" w:rsidRPr="00230BC2">
        <w:t>.</w:t>
      </w:r>
      <w:r w:rsidR="001D650C" w:rsidRPr="00230BC2">
        <w:t xml:space="preserve"> </w:t>
      </w:r>
    </w:p>
    <w:p w14:paraId="4304AA95" w14:textId="77932CDB" w:rsidR="00821BA5" w:rsidRPr="00230BC2" w:rsidRDefault="00D75673" w:rsidP="003466FC">
      <w:pPr>
        <w:pStyle w:val="Para1"/>
      </w:pPr>
      <w:r w:rsidRPr="00230BC2">
        <w:t>S</w:t>
      </w:r>
      <w:r w:rsidR="00821BA5" w:rsidRPr="00230BC2">
        <w:t>tatements</w:t>
      </w:r>
      <w:r w:rsidR="000C2CBE" w:rsidRPr="00230BC2">
        <w:t xml:space="preserve"> </w:t>
      </w:r>
      <w:r w:rsidR="00DB71FF" w:rsidRPr="00230BC2">
        <w:t xml:space="preserve">that were </w:t>
      </w:r>
      <w:r w:rsidR="00821BA5" w:rsidRPr="00230BC2">
        <w:t>submitted</w:t>
      </w:r>
      <w:r w:rsidRPr="00230BC2">
        <w:t xml:space="preserve"> to the Secretariat</w:t>
      </w:r>
      <w:r w:rsidR="00821BA5" w:rsidRPr="00230BC2">
        <w:t xml:space="preserve"> </w:t>
      </w:r>
      <w:r w:rsidR="00394322" w:rsidRPr="00230BC2">
        <w:t>are available on the Conference website.</w:t>
      </w:r>
      <w:r w:rsidR="006903C1">
        <w:rPr>
          <w:rStyle w:val="FootnoteReference"/>
        </w:rPr>
        <w:footnoteReference w:customMarkFollows="1" w:id="396"/>
        <w:t>2</w:t>
      </w:r>
    </w:p>
    <w:p w14:paraId="64B7F016" w14:textId="77777777" w:rsidR="00BD2FD1" w:rsidRPr="007F6FAD" w:rsidRDefault="00BD2FD1" w:rsidP="007F6FAD">
      <w:pPr>
        <w:pStyle w:val="BodyText"/>
        <w:ind w:firstLine="0"/>
        <w:rPr>
          <w:i/>
          <w:iCs w:val="0"/>
        </w:rPr>
      </w:pPr>
      <w:r w:rsidRPr="007F6FAD">
        <w:rPr>
          <w:i/>
          <w:iCs w:val="0"/>
        </w:rPr>
        <w:t>Resumed second part</w:t>
      </w:r>
    </w:p>
    <w:p w14:paraId="5AFDAFBC" w14:textId="4A6F0A50" w:rsidR="003F7C78" w:rsidRPr="00230BC2" w:rsidRDefault="003E7F46" w:rsidP="003466FC">
      <w:pPr>
        <w:pStyle w:val="Para1"/>
      </w:pPr>
      <w:r w:rsidRPr="00230BC2">
        <w:t xml:space="preserve">Following the suspension of the meeting on 19 December 2022, the meeting </w:t>
      </w:r>
      <w:r w:rsidR="00BD2FD1" w:rsidRPr="00230BC2">
        <w:t xml:space="preserve">was </w:t>
      </w:r>
      <w:r w:rsidRPr="00230BC2">
        <w:t>resumed on 19</w:t>
      </w:r>
      <w:r w:rsidR="00015368" w:rsidRPr="00230BC2">
        <w:t> </w:t>
      </w:r>
      <w:r w:rsidRPr="00230BC2">
        <w:t xml:space="preserve">October 2023, at the 6th plenary </w:t>
      </w:r>
      <w:r w:rsidR="003F7C78" w:rsidRPr="00230BC2">
        <w:t xml:space="preserve">session of the Conference of the Parties. </w:t>
      </w:r>
    </w:p>
    <w:p w14:paraId="60177D42" w14:textId="3B1650BC" w:rsidR="00AD056A" w:rsidRPr="00230BC2" w:rsidRDefault="00243255" w:rsidP="003466FC">
      <w:pPr>
        <w:pStyle w:val="Para1"/>
      </w:pPr>
      <w:r w:rsidRPr="00230BC2">
        <w:t>The resumed meeting was opened at 4.05 p</w:t>
      </w:r>
      <w:r w:rsidR="007B1EE1" w:rsidRPr="00230BC2">
        <w:t>.</w:t>
      </w:r>
      <w:r w:rsidRPr="00230BC2">
        <w:t>m</w:t>
      </w:r>
      <w:r w:rsidR="007B1EE1" w:rsidRPr="00230BC2">
        <w:t>.</w:t>
      </w:r>
      <w:r w:rsidRPr="00230BC2">
        <w:t xml:space="preserve"> by the Chair, Guomei Zhou, representing the President, Runqiu Huang, Minister of Ecology and Environment of China.</w:t>
      </w:r>
    </w:p>
    <w:p w14:paraId="1F759AD2" w14:textId="03A6F1D0" w:rsidR="00AD056A" w:rsidRPr="00230BC2" w:rsidRDefault="00243255" w:rsidP="00243255">
      <w:pPr>
        <w:pStyle w:val="Para1"/>
      </w:pPr>
      <w:r w:rsidRPr="00230BC2">
        <w:t>Opening remarks were made by the Chair and the Acting Executive Secretary of the Convention on Biological Diversity, David Cooper.</w:t>
      </w:r>
    </w:p>
    <w:p w14:paraId="53C3EA4B" w14:textId="7F9D5A24" w:rsidR="00243255" w:rsidRPr="00230BC2" w:rsidRDefault="00161F8B" w:rsidP="005B18D2">
      <w:pPr>
        <w:pStyle w:val="Para1"/>
        <w:numPr>
          <w:ilvl w:val="0"/>
          <w:numId w:val="4"/>
        </w:numPr>
      </w:pPr>
      <w:r w:rsidRPr="00230BC2">
        <w:rPr>
          <w:rStyle w:val="ui-provider"/>
        </w:rPr>
        <w:t xml:space="preserve">In her </w:t>
      </w:r>
      <w:r w:rsidRPr="00230BC2">
        <w:t>opening</w:t>
      </w:r>
      <w:r w:rsidRPr="00230BC2">
        <w:rPr>
          <w:rStyle w:val="ui-provider"/>
        </w:rPr>
        <w:t xml:space="preserve"> remarks, the Chair said that the full and effective implementation of the Kunming-Montreal Global Biodiversity Framework, and how to translate consensus into action, was an issue of common concern to the international community. She emphasized that Parties needed to accelerate the updat</w:t>
      </w:r>
      <w:r w:rsidR="00194862" w:rsidRPr="00230BC2">
        <w:rPr>
          <w:rStyle w:val="ui-provider"/>
        </w:rPr>
        <w:t>ing</w:t>
      </w:r>
      <w:r w:rsidRPr="00230BC2">
        <w:rPr>
          <w:rStyle w:val="ui-provider"/>
        </w:rPr>
        <w:t xml:space="preserve"> of their national biodiversity strategies and action plans in line with the Framework, and she welcomed the </w:t>
      </w:r>
      <w:r w:rsidRPr="00230BC2">
        <w:t xml:space="preserve">Global Biodiversity Framework </w:t>
      </w:r>
      <w:r w:rsidRPr="00230BC2">
        <w:rPr>
          <w:rStyle w:val="ui-provider"/>
        </w:rPr>
        <w:t xml:space="preserve">Fund, launched in August 2023 at the seventh Assembly of </w:t>
      </w:r>
      <w:r w:rsidRPr="00230BC2">
        <w:rPr>
          <w:rStyle w:val="ui-provider"/>
        </w:rPr>
        <w:lastRenderedPageBreak/>
        <w:t>the Global Environment Facility. She said that the international community was looking forward to the successful conclusion of the present meeting and she called for all stakeholders to work together to implement the Framework and to restore global biodiversity.</w:t>
      </w:r>
    </w:p>
    <w:p w14:paraId="5DD58D0E" w14:textId="6D23DF3A" w:rsidR="00023FC0" w:rsidRPr="00230BC2" w:rsidRDefault="0016328B" w:rsidP="00243255">
      <w:pPr>
        <w:pStyle w:val="Para1"/>
      </w:pPr>
      <w:r w:rsidRPr="00230BC2">
        <w:rPr>
          <w:rStyle w:val="ui-provider"/>
        </w:rPr>
        <w:t xml:space="preserve">In his opening remarks, the Acting Executive Secretary acknowledged the procedural hurdles that had required </w:t>
      </w:r>
      <w:r w:rsidR="000C406D" w:rsidRPr="00230BC2">
        <w:rPr>
          <w:rStyle w:val="ui-provider"/>
        </w:rPr>
        <w:t xml:space="preserve">the </w:t>
      </w:r>
      <w:r w:rsidRPr="00230BC2">
        <w:rPr>
          <w:rStyle w:val="ui-provider"/>
        </w:rPr>
        <w:t xml:space="preserve">suspension of the meeting in December 2022 and he called for cooperation, flexibility and understanding to ensure the finalization of outstanding items, including the election of officers. It was </w:t>
      </w:r>
      <w:r w:rsidR="00194862" w:rsidRPr="00230BC2">
        <w:rPr>
          <w:rStyle w:val="ui-provider"/>
        </w:rPr>
        <w:t>important</w:t>
      </w:r>
      <w:r w:rsidR="007B1EE1" w:rsidRPr="00230BC2">
        <w:rPr>
          <w:rStyle w:val="ui-provider"/>
        </w:rPr>
        <w:t xml:space="preserve">, he said, </w:t>
      </w:r>
      <w:r w:rsidRPr="00230BC2">
        <w:rPr>
          <w:rStyle w:val="ui-provider"/>
        </w:rPr>
        <w:t>to continue to strengthen multilateralism</w:t>
      </w:r>
      <w:r w:rsidR="00194862" w:rsidRPr="00230BC2">
        <w:rPr>
          <w:rStyle w:val="ui-provider"/>
        </w:rPr>
        <w:t xml:space="preserve"> and</w:t>
      </w:r>
      <w:r w:rsidRPr="00230BC2">
        <w:rPr>
          <w:rStyle w:val="ui-provider"/>
        </w:rPr>
        <w:t xml:space="preserve"> work together to achieve the goals and targets of the Framework. He thanked members of the Bureau for their guidance and expressed gratitude to those Parties that, through their financial contributions, had enabled the Secretariat to </w:t>
      </w:r>
      <w:r w:rsidR="00194862" w:rsidRPr="00230BC2">
        <w:rPr>
          <w:rStyle w:val="ui-provider"/>
        </w:rPr>
        <w:t>support</w:t>
      </w:r>
      <w:r w:rsidRPr="00230BC2">
        <w:rPr>
          <w:rStyle w:val="ui-provider"/>
        </w:rPr>
        <w:t xml:space="preserve"> the participation of representatives of developing </w:t>
      </w:r>
      <w:r w:rsidR="00194862" w:rsidRPr="00230BC2">
        <w:rPr>
          <w:rStyle w:val="ui-provider"/>
        </w:rPr>
        <w:t xml:space="preserve">countries </w:t>
      </w:r>
      <w:r w:rsidRPr="00230BC2">
        <w:rPr>
          <w:rStyle w:val="ui-provider"/>
        </w:rPr>
        <w:t xml:space="preserve">and </w:t>
      </w:r>
      <w:r w:rsidR="00194862" w:rsidRPr="00230BC2">
        <w:rPr>
          <w:rStyle w:val="ui-provider"/>
        </w:rPr>
        <w:t xml:space="preserve">countries with </w:t>
      </w:r>
      <w:r w:rsidRPr="00230BC2">
        <w:rPr>
          <w:rStyle w:val="ui-provider"/>
        </w:rPr>
        <w:t>economies</w:t>
      </w:r>
      <w:r w:rsidR="00194862" w:rsidRPr="00230BC2">
        <w:rPr>
          <w:rStyle w:val="ui-provider"/>
        </w:rPr>
        <w:t xml:space="preserve"> in transition</w:t>
      </w:r>
      <w:r w:rsidR="00100179" w:rsidRPr="00230BC2">
        <w:rPr>
          <w:rStyle w:val="ui-provider"/>
        </w:rPr>
        <w:t xml:space="preserve"> party to the Convention</w:t>
      </w:r>
      <w:r w:rsidR="00A37B47" w:rsidRPr="00230BC2">
        <w:rPr>
          <w:rStyle w:val="ui-provider"/>
        </w:rPr>
        <w:t>.</w:t>
      </w:r>
    </w:p>
    <w:bookmarkEnd w:id="408"/>
    <w:p w14:paraId="7464EB17" w14:textId="69B5411E" w:rsidR="00D77560" w:rsidRPr="00230BC2" w:rsidRDefault="00D77560"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Item 2.</w:t>
      </w:r>
      <w:r w:rsidRPr="00230BC2">
        <w:rPr>
          <w:b/>
          <w:bCs/>
          <w:snapToGrid w:val="0"/>
          <w:kern w:val="22"/>
          <w:szCs w:val="22"/>
        </w:rPr>
        <w:tab/>
        <w:t xml:space="preserve">Organizational </w:t>
      </w:r>
      <w:r w:rsidRPr="00950BE4">
        <w:rPr>
          <w:b/>
          <w:bCs/>
          <w:snapToGrid w:val="0"/>
          <w:kern w:val="22"/>
          <w:szCs w:val="22"/>
        </w:rPr>
        <w:t>matters</w:t>
      </w:r>
    </w:p>
    <w:p w14:paraId="725B0652" w14:textId="0F8F55BE" w:rsidR="0088174B" w:rsidRPr="00950BE4" w:rsidRDefault="00352D5E"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10" w:name="_Toc150438835"/>
      <w:bookmarkStart w:id="411" w:name="_Hlk121910637"/>
      <w:r w:rsidRPr="00950BE4">
        <w:rPr>
          <w:b/>
          <w:bCs/>
          <w:snapToGrid w:val="0"/>
          <w:kern w:val="22"/>
          <w:szCs w:val="22"/>
        </w:rPr>
        <w:t>A.</w:t>
      </w:r>
      <w:r w:rsidRPr="00950BE4">
        <w:rPr>
          <w:b/>
          <w:bCs/>
          <w:snapToGrid w:val="0"/>
          <w:kern w:val="22"/>
          <w:szCs w:val="22"/>
        </w:rPr>
        <w:tab/>
      </w:r>
      <w:r w:rsidR="00AD3928" w:rsidRPr="00950BE4">
        <w:rPr>
          <w:b/>
          <w:bCs/>
          <w:snapToGrid w:val="0"/>
          <w:kern w:val="22"/>
          <w:szCs w:val="22"/>
        </w:rPr>
        <w:t>Election of officers</w:t>
      </w:r>
      <w:bookmarkEnd w:id="410"/>
    </w:p>
    <w:p w14:paraId="0ED5973F" w14:textId="03F81FF4" w:rsidR="00F2697C" w:rsidRPr="00230BC2" w:rsidRDefault="00F2697C" w:rsidP="003466FC">
      <w:pPr>
        <w:pStyle w:val="Para1"/>
        <w:rPr>
          <w:lang w:eastAsia="en-CA"/>
        </w:rPr>
      </w:pPr>
      <w:r w:rsidRPr="00230BC2">
        <w:t xml:space="preserve">At </w:t>
      </w:r>
      <w:r w:rsidR="00F12685" w:rsidRPr="00230BC2">
        <w:t xml:space="preserve">its </w:t>
      </w:r>
      <w:r w:rsidR="00E4615C" w:rsidRPr="00230BC2">
        <w:t xml:space="preserve">1st </w:t>
      </w:r>
      <w:r w:rsidR="004A478A" w:rsidRPr="00230BC2">
        <w:t xml:space="preserve">plenary </w:t>
      </w:r>
      <w:r w:rsidRPr="00230BC2">
        <w:t>session</w:t>
      </w:r>
      <w:r w:rsidR="004217CC" w:rsidRPr="00230BC2">
        <w:t>,</w:t>
      </w:r>
      <w:r w:rsidRPr="00230BC2">
        <w:t xml:space="preserve"> t</w:t>
      </w:r>
      <w:r w:rsidR="00821BA5" w:rsidRPr="00230BC2">
        <w:t xml:space="preserve">he Conference of the Parties </w:t>
      </w:r>
      <w:r w:rsidR="00FA0704" w:rsidRPr="00230BC2">
        <w:t>note</w:t>
      </w:r>
      <w:r w:rsidR="007E5803" w:rsidRPr="00230BC2">
        <w:t>d</w:t>
      </w:r>
      <w:r w:rsidR="00821BA5" w:rsidRPr="00230BC2">
        <w:t xml:space="preserve"> that </w:t>
      </w:r>
      <w:r w:rsidR="00537522" w:rsidRPr="00230BC2">
        <w:t xml:space="preserve">the President, </w:t>
      </w:r>
      <w:r w:rsidR="000B47B5" w:rsidRPr="00230BC2">
        <w:t xml:space="preserve">the </w:t>
      </w:r>
      <w:r w:rsidR="00AD3928" w:rsidRPr="00230BC2">
        <w:t>V</w:t>
      </w:r>
      <w:r w:rsidR="00537522" w:rsidRPr="00230BC2">
        <w:t>ice-</w:t>
      </w:r>
      <w:r w:rsidR="00AD3928" w:rsidRPr="00230BC2">
        <w:t>P</w:t>
      </w:r>
      <w:r w:rsidR="00537522" w:rsidRPr="00230BC2">
        <w:t xml:space="preserve">residents and </w:t>
      </w:r>
      <w:r w:rsidR="000B47B5" w:rsidRPr="00230BC2">
        <w:t xml:space="preserve">the </w:t>
      </w:r>
      <w:r w:rsidR="00AD3928" w:rsidRPr="00230BC2">
        <w:t>R</w:t>
      </w:r>
      <w:r w:rsidR="00537522" w:rsidRPr="00230BC2">
        <w:t xml:space="preserve">apporteur </w:t>
      </w:r>
      <w:r w:rsidR="00F32E6B" w:rsidRPr="00230BC2">
        <w:t xml:space="preserve">who </w:t>
      </w:r>
      <w:r w:rsidR="00537522" w:rsidRPr="00230BC2">
        <w:t xml:space="preserve">had served </w:t>
      </w:r>
      <w:r w:rsidR="00F32E6B" w:rsidRPr="00230BC2">
        <w:t>during</w:t>
      </w:r>
      <w:r w:rsidR="00537522" w:rsidRPr="00230BC2">
        <w:t xml:space="preserve"> </w:t>
      </w:r>
      <w:r w:rsidR="00206628" w:rsidRPr="00230BC2">
        <w:t xml:space="preserve">the first </w:t>
      </w:r>
      <w:r w:rsidR="00537522" w:rsidRPr="00230BC2">
        <w:t xml:space="preserve">part of the </w:t>
      </w:r>
      <w:r w:rsidR="00055432" w:rsidRPr="00230BC2">
        <w:t xml:space="preserve">fifteenth </w:t>
      </w:r>
      <w:r w:rsidR="00537522" w:rsidRPr="00230BC2">
        <w:t xml:space="preserve">meeting would continue to fulfil their functions, with the exception of two </w:t>
      </w:r>
      <w:r w:rsidR="00AD3928" w:rsidRPr="00230BC2">
        <w:t>of the V</w:t>
      </w:r>
      <w:r w:rsidR="00537522" w:rsidRPr="00230BC2">
        <w:t>ice-</w:t>
      </w:r>
      <w:r w:rsidR="00AD3928" w:rsidRPr="00230BC2">
        <w:t>P</w:t>
      </w:r>
      <w:r w:rsidR="00537522" w:rsidRPr="00230BC2">
        <w:t>residents</w:t>
      </w:r>
      <w:r w:rsidR="00AD3928" w:rsidRPr="00230BC2">
        <w:t>, who</w:t>
      </w:r>
      <w:r w:rsidR="00537522" w:rsidRPr="00230BC2">
        <w:t xml:space="preserve"> had since been replaced</w:t>
      </w:r>
      <w:r w:rsidR="003744D1" w:rsidRPr="00230BC2">
        <w:t>.</w:t>
      </w:r>
      <w:r w:rsidR="009E7062">
        <w:rPr>
          <w:rStyle w:val="FootnoteReference"/>
        </w:rPr>
        <w:footnoteReference w:customMarkFollows="1" w:id="397"/>
        <w:t>3</w:t>
      </w:r>
    </w:p>
    <w:p w14:paraId="74132FD9" w14:textId="7070C57D" w:rsidR="00143700" w:rsidRPr="00230BC2" w:rsidRDefault="00B26151" w:rsidP="003466FC">
      <w:pPr>
        <w:pStyle w:val="Para1"/>
      </w:pPr>
      <w:r w:rsidRPr="00230BC2">
        <w:t xml:space="preserve">At the </w:t>
      </w:r>
      <w:r w:rsidR="00E4615C" w:rsidRPr="00230BC2">
        <w:t>5</w:t>
      </w:r>
      <w:r w:rsidRPr="00230BC2">
        <w:t>th plenary session, on 19 December</w:t>
      </w:r>
      <w:r w:rsidR="00B70992" w:rsidRPr="00230BC2">
        <w:t xml:space="preserve"> 2022</w:t>
      </w:r>
      <w:r w:rsidRPr="00230BC2">
        <w:t xml:space="preserve">, </w:t>
      </w:r>
      <w:bookmarkStart w:id="412" w:name="Item03"/>
      <w:bookmarkEnd w:id="411"/>
      <w:r w:rsidR="00E977D2" w:rsidRPr="00230BC2">
        <w:t xml:space="preserve">the </w:t>
      </w:r>
      <w:r w:rsidR="00EF3895" w:rsidRPr="00230BC2">
        <w:t xml:space="preserve">regional </w:t>
      </w:r>
      <w:r w:rsidR="00E977D2" w:rsidRPr="00230BC2">
        <w:t xml:space="preserve">representatives </w:t>
      </w:r>
      <w:r w:rsidR="00143700" w:rsidRPr="00230BC2">
        <w:t>announced the name</w:t>
      </w:r>
      <w:r w:rsidR="00F443E3" w:rsidRPr="00230BC2">
        <w:t>s</w:t>
      </w:r>
      <w:r w:rsidR="00143700" w:rsidRPr="00230BC2">
        <w:t xml:space="preserve"> of </w:t>
      </w:r>
      <w:r w:rsidR="00F443E3" w:rsidRPr="00230BC2">
        <w:t xml:space="preserve">the </w:t>
      </w:r>
      <w:r w:rsidR="00143700" w:rsidRPr="00230BC2">
        <w:t xml:space="preserve">representatives nominated to serve on the Bureau for a term of office commencing upon the closure of the fifteenth meeting of the Conference of the Parties and ending at the closure of its sixteenth meeting. Given their turn in the rotation to nominate a candidate, </w:t>
      </w:r>
      <w:r w:rsidR="00174BBF" w:rsidRPr="00230BC2">
        <w:t xml:space="preserve">the </w:t>
      </w:r>
      <w:r w:rsidR="00143700" w:rsidRPr="00230BC2">
        <w:t>Eastern Europe</w:t>
      </w:r>
      <w:r w:rsidR="009A7379" w:rsidRPr="00230BC2">
        <w:t>an</w:t>
      </w:r>
      <w:r w:rsidR="007032AD" w:rsidRPr="00230BC2">
        <w:t xml:space="preserve"> </w:t>
      </w:r>
      <w:r w:rsidR="009A7379" w:rsidRPr="00230BC2">
        <w:t>States</w:t>
      </w:r>
      <w:r w:rsidR="00143700" w:rsidRPr="00230BC2">
        <w:t xml:space="preserve"> and </w:t>
      </w:r>
      <w:r w:rsidR="006A6FB0" w:rsidRPr="00230BC2">
        <w:t xml:space="preserve">the </w:t>
      </w:r>
      <w:r w:rsidR="00143700" w:rsidRPr="00230BC2">
        <w:t>Asia</w:t>
      </w:r>
      <w:r w:rsidR="006A6FB0" w:rsidRPr="00230BC2">
        <w:t>-</w:t>
      </w:r>
      <w:r w:rsidR="00143700" w:rsidRPr="00230BC2">
        <w:t xml:space="preserve">Pacific </w:t>
      </w:r>
      <w:r w:rsidR="006A6FB0" w:rsidRPr="00230BC2">
        <w:t>States</w:t>
      </w:r>
      <w:r w:rsidR="00143700" w:rsidRPr="00230BC2">
        <w:t xml:space="preserve"> also announced, through their representatives, their nominees for chair</w:t>
      </w:r>
      <w:r w:rsidR="00CB5DE7" w:rsidRPr="00230BC2">
        <w:t>ing</w:t>
      </w:r>
      <w:r w:rsidR="00143700" w:rsidRPr="00230BC2">
        <w:t xml:space="preserve"> the Subsidiary Body on Scientific, Technical and Technological Advice and the Subsidiary Body on Implementation.</w:t>
      </w:r>
    </w:p>
    <w:p w14:paraId="1F1F7F03" w14:textId="719BC802" w:rsidR="00143700" w:rsidRPr="00230BC2" w:rsidRDefault="00143700" w:rsidP="003466FC">
      <w:pPr>
        <w:pStyle w:val="Para1"/>
      </w:pPr>
      <w:r w:rsidRPr="00230BC2">
        <w:t xml:space="preserve">The </w:t>
      </w:r>
      <w:r w:rsidRPr="00230BC2">
        <w:rPr>
          <w:color w:val="auto"/>
        </w:rPr>
        <w:t>Bureau</w:t>
      </w:r>
      <w:r w:rsidRPr="00230BC2">
        <w:t xml:space="preserve"> member from Georgia</w:t>
      </w:r>
      <w:r w:rsidR="0007079D" w:rsidRPr="00230BC2">
        <w:t xml:space="preserve"> presented</w:t>
      </w:r>
      <w:r w:rsidRPr="00230BC2">
        <w:t xml:space="preserve"> the nominations for Bureau members from the Eastern European </w:t>
      </w:r>
      <w:r w:rsidR="001403B7" w:rsidRPr="00230BC2">
        <w:t>States</w:t>
      </w:r>
      <w:r w:rsidR="0007079D" w:rsidRPr="00230BC2">
        <w:t xml:space="preserve">. </w:t>
      </w:r>
    </w:p>
    <w:p w14:paraId="3F9D439A" w14:textId="5F625D08" w:rsidR="000E28FB" w:rsidRPr="00230BC2" w:rsidRDefault="00143700" w:rsidP="001856AF">
      <w:pPr>
        <w:pStyle w:val="Para1"/>
      </w:pPr>
      <w:r w:rsidRPr="00230BC2">
        <w:t>The representative of the Russian Federation oppos</w:t>
      </w:r>
      <w:r w:rsidR="00387F95" w:rsidRPr="00230BC2">
        <w:t>ed</w:t>
      </w:r>
      <w:r w:rsidRPr="00230BC2">
        <w:t xml:space="preserve"> </w:t>
      </w:r>
      <w:r w:rsidR="008125A7" w:rsidRPr="00230BC2">
        <w:t>some of the</w:t>
      </w:r>
      <w:r w:rsidR="0061715D" w:rsidRPr="00230BC2">
        <w:t xml:space="preserve"> nomin</w:t>
      </w:r>
      <w:r w:rsidR="0035311B" w:rsidRPr="00230BC2">
        <w:t>ations</w:t>
      </w:r>
      <w:r w:rsidR="0061715D" w:rsidRPr="00230BC2">
        <w:t xml:space="preserve"> </w:t>
      </w:r>
      <w:r w:rsidR="00687288" w:rsidRPr="00230BC2">
        <w:t>and request</w:t>
      </w:r>
      <w:r w:rsidR="00387F95" w:rsidRPr="00230BC2">
        <w:t>ed</w:t>
      </w:r>
      <w:r w:rsidR="00687288" w:rsidRPr="00230BC2">
        <w:t xml:space="preserve"> </w:t>
      </w:r>
      <w:r w:rsidRPr="00230BC2">
        <w:t>that a vote by secret ballot be held, subject to a quorum of two</w:t>
      </w:r>
      <w:r w:rsidR="00CB780F" w:rsidRPr="00230BC2">
        <w:t xml:space="preserve"> </w:t>
      </w:r>
      <w:r w:rsidRPr="00230BC2">
        <w:t>thirds of the Parties to the Convention, in accordance with the rules of procedure</w:t>
      </w:r>
      <w:r w:rsidR="001856AF" w:rsidRPr="00230BC2">
        <w:t xml:space="preserve"> </w:t>
      </w:r>
      <w:r w:rsidR="00621225" w:rsidRPr="00230BC2">
        <w:t xml:space="preserve">for </w:t>
      </w:r>
      <w:r w:rsidR="00214641" w:rsidRPr="00230BC2">
        <w:t>m</w:t>
      </w:r>
      <w:r w:rsidR="00621225" w:rsidRPr="00230BC2">
        <w:t>eetings of the Conference of the Parties to the Convention</w:t>
      </w:r>
      <w:r w:rsidRPr="00230BC2">
        <w:t>.</w:t>
      </w:r>
      <w:r w:rsidR="00BC0AD1" w:rsidRPr="00230BC2">
        <w:t xml:space="preserve"> </w:t>
      </w:r>
    </w:p>
    <w:p w14:paraId="54BD4954" w14:textId="3C575CA8" w:rsidR="00143700" w:rsidRPr="00230BC2" w:rsidRDefault="00143700" w:rsidP="003466FC">
      <w:pPr>
        <w:pStyle w:val="Para1"/>
      </w:pPr>
      <w:r w:rsidRPr="00230BC2">
        <w:t xml:space="preserve">A </w:t>
      </w:r>
      <w:r w:rsidRPr="00230BC2">
        <w:rPr>
          <w:color w:val="auto"/>
        </w:rPr>
        <w:t>representative</w:t>
      </w:r>
      <w:r w:rsidRPr="00230BC2">
        <w:t xml:space="preserve"> of the Secretariat conducted a roll call of the Parties present with valid credentials and determined that the quorum of two</w:t>
      </w:r>
      <w:r w:rsidR="00CB780F" w:rsidRPr="00230BC2">
        <w:t xml:space="preserve"> </w:t>
      </w:r>
      <w:r w:rsidRPr="00230BC2">
        <w:t>thirds of Parties to the Convention required for decision-making, pursuant to rule 30 of the rules of procedure, was not met and that</w:t>
      </w:r>
      <w:r w:rsidR="00515992" w:rsidRPr="00230BC2">
        <w:t>, therefore,</w:t>
      </w:r>
      <w:r w:rsidRPr="00230BC2">
        <w:t xml:space="preserve"> the election could not be held</w:t>
      </w:r>
      <w:r w:rsidR="00D41EA4" w:rsidRPr="00230BC2">
        <w:t>,</w:t>
      </w:r>
      <w:r w:rsidRPr="00230BC2">
        <w:t xml:space="preserve"> and the election of officers could not be finalized.</w:t>
      </w:r>
    </w:p>
    <w:p w14:paraId="7CB301F0" w14:textId="6685E55F" w:rsidR="00143700" w:rsidRPr="00230BC2" w:rsidRDefault="00143700" w:rsidP="003466FC">
      <w:pPr>
        <w:pStyle w:val="Para1"/>
      </w:pPr>
      <w:r w:rsidRPr="00230BC2">
        <w:rPr>
          <w:color w:val="auto"/>
        </w:rPr>
        <w:t>Consequently</w:t>
      </w:r>
      <w:r w:rsidRPr="00230BC2">
        <w:t>, the President announced that, at the end of the session, he would propose:</w:t>
      </w:r>
    </w:p>
    <w:p w14:paraId="7A5E6000" w14:textId="0AFAB050" w:rsidR="00143700" w:rsidRPr="00230BC2" w:rsidRDefault="00143700" w:rsidP="00D10C54">
      <w:pPr>
        <w:pStyle w:val="ListParagraph"/>
        <w:numPr>
          <w:ilvl w:val="0"/>
          <w:numId w:val="6"/>
        </w:numPr>
        <w:overflowPunct w:val="0"/>
        <w:autoSpaceDE w:val="0"/>
        <w:autoSpaceDN w:val="0"/>
        <w:snapToGrid w:val="0"/>
        <w:spacing w:before="120" w:after="120"/>
        <w:ind w:left="0" w:firstLine="709"/>
        <w:contextualSpacing w:val="0"/>
        <w:rPr>
          <w:color w:val="000000"/>
          <w:kern w:val="22"/>
        </w:rPr>
      </w:pPr>
      <w:r w:rsidRPr="00230BC2">
        <w:rPr>
          <w:color w:val="000000"/>
          <w:kern w:val="22"/>
        </w:rPr>
        <w:t xml:space="preserve">To suspend </w:t>
      </w:r>
      <w:r w:rsidR="005A79CC" w:rsidRPr="00230BC2">
        <w:rPr>
          <w:color w:val="000000"/>
          <w:kern w:val="22"/>
        </w:rPr>
        <w:t xml:space="preserve">the second </w:t>
      </w:r>
      <w:r w:rsidRPr="00230BC2">
        <w:rPr>
          <w:color w:val="000000"/>
          <w:kern w:val="22"/>
        </w:rPr>
        <w:t>part of the fifteenth meeting of the Conference of the Parties</w:t>
      </w:r>
      <w:r w:rsidR="0045276B" w:rsidRPr="00230BC2">
        <w:t xml:space="preserve"> to the Convention</w:t>
      </w:r>
      <w:r w:rsidRPr="00230BC2">
        <w:rPr>
          <w:color w:val="000000"/>
          <w:kern w:val="22"/>
        </w:rPr>
        <w:t xml:space="preserve">, the tenth meeting of the Conference of the Parties serving as the meeting of the Parties to the Cartagena Protocol and the fourth meeting of the Conference of the Parties serving as the meeting of the Parties to the Nagoya Protocol in order to allow Parties to </w:t>
      </w:r>
      <w:r w:rsidR="005C5DED" w:rsidRPr="00230BC2">
        <w:rPr>
          <w:color w:val="000000"/>
          <w:kern w:val="22"/>
        </w:rPr>
        <w:t>consider th</w:t>
      </w:r>
      <w:r w:rsidR="00C10060" w:rsidRPr="00230BC2">
        <w:rPr>
          <w:color w:val="000000"/>
          <w:kern w:val="22"/>
        </w:rPr>
        <w:t>e</w:t>
      </w:r>
      <w:r w:rsidR="005C5DED" w:rsidRPr="00230BC2">
        <w:rPr>
          <w:color w:val="000000"/>
          <w:kern w:val="22"/>
        </w:rPr>
        <w:t xml:space="preserve"> </w:t>
      </w:r>
      <w:r w:rsidR="00C10060" w:rsidRPr="00230BC2">
        <w:rPr>
          <w:color w:val="000000"/>
          <w:kern w:val="22"/>
        </w:rPr>
        <w:t xml:space="preserve">pending </w:t>
      </w:r>
      <w:r w:rsidR="005C5DED" w:rsidRPr="00230BC2">
        <w:rPr>
          <w:color w:val="000000"/>
          <w:kern w:val="22"/>
        </w:rPr>
        <w:t xml:space="preserve">matter </w:t>
      </w:r>
      <w:r w:rsidRPr="00230BC2">
        <w:rPr>
          <w:color w:val="000000"/>
          <w:kern w:val="22"/>
        </w:rPr>
        <w:t>at</w:t>
      </w:r>
      <w:r w:rsidR="00024345" w:rsidRPr="00230BC2">
        <w:rPr>
          <w:color w:val="000000"/>
          <w:kern w:val="22"/>
        </w:rPr>
        <w:t xml:space="preserve"> a</w:t>
      </w:r>
      <w:r w:rsidRPr="00230BC2">
        <w:rPr>
          <w:color w:val="000000"/>
          <w:kern w:val="22"/>
        </w:rPr>
        <w:t xml:space="preserve"> resumed session of the meetings</w:t>
      </w:r>
      <w:r w:rsidR="00CA36C7" w:rsidRPr="00230BC2">
        <w:rPr>
          <w:color w:val="000000"/>
          <w:kern w:val="22"/>
        </w:rPr>
        <w:t>,</w:t>
      </w:r>
      <w:r w:rsidRPr="00230BC2">
        <w:rPr>
          <w:color w:val="000000"/>
          <w:kern w:val="22"/>
        </w:rPr>
        <w:t xml:space="preserve"> to be convened at a later date; </w:t>
      </w:r>
    </w:p>
    <w:p w14:paraId="1195DE1C" w14:textId="219B8D2F" w:rsidR="00143700" w:rsidRPr="00230BC2" w:rsidRDefault="00143700" w:rsidP="00D10C54">
      <w:pPr>
        <w:pStyle w:val="ListParagraph"/>
        <w:numPr>
          <w:ilvl w:val="0"/>
          <w:numId w:val="6"/>
        </w:numPr>
        <w:overflowPunct w:val="0"/>
        <w:autoSpaceDE w:val="0"/>
        <w:autoSpaceDN w:val="0"/>
        <w:snapToGrid w:val="0"/>
        <w:spacing w:before="120" w:after="120"/>
        <w:ind w:left="0" w:firstLine="709"/>
        <w:contextualSpacing w:val="0"/>
        <w:rPr>
          <w:color w:val="000000"/>
          <w:kern w:val="22"/>
        </w:rPr>
      </w:pPr>
      <w:r w:rsidRPr="00230BC2">
        <w:rPr>
          <w:color w:val="000000"/>
          <w:kern w:val="22"/>
        </w:rPr>
        <w:t xml:space="preserve">To request members of the Bureau of the fifteenth meeting of the Conference of the Parties and officers of other bodies to remain in office until the conclusion of the meetings at </w:t>
      </w:r>
      <w:r w:rsidR="00E32E2A" w:rsidRPr="00230BC2">
        <w:rPr>
          <w:color w:val="000000"/>
          <w:kern w:val="22"/>
        </w:rPr>
        <w:t xml:space="preserve">a </w:t>
      </w:r>
      <w:r w:rsidRPr="00230BC2">
        <w:rPr>
          <w:color w:val="000000"/>
          <w:kern w:val="22"/>
        </w:rPr>
        <w:t xml:space="preserve">resumed session. </w:t>
      </w:r>
    </w:p>
    <w:p w14:paraId="238BC937" w14:textId="07A98F4B" w:rsidR="00F0486E" w:rsidRPr="00230BC2" w:rsidRDefault="00143700" w:rsidP="003466FC">
      <w:pPr>
        <w:pStyle w:val="Para1"/>
        <w:rPr>
          <w:snapToGrid/>
          <w:szCs w:val="24"/>
        </w:rPr>
      </w:pPr>
      <w:r w:rsidRPr="00230BC2">
        <w:t xml:space="preserve">The representative of Tajikistan requested </w:t>
      </w:r>
      <w:r w:rsidR="00151676" w:rsidRPr="00230BC2">
        <w:t xml:space="preserve">that </w:t>
      </w:r>
      <w:r w:rsidRPr="00230BC2">
        <w:t xml:space="preserve">the Secretariat review or clarify the list of countries that </w:t>
      </w:r>
      <w:r w:rsidR="00151676" w:rsidRPr="00230BC2">
        <w:t>were</w:t>
      </w:r>
      <w:r w:rsidRPr="00230BC2">
        <w:t xml:space="preserve"> members of the Eastern Europe</w:t>
      </w:r>
      <w:r w:rsidR="00444E92" w:rsidRPr="00230BC2">
        <w:t>an</w:t>
      </w:r>
      <w:r w:rsidRPr="00230BC2">
        <w:t xml:space="preserve"> </w:t>
      </w:r>
      <w:r w:rsidR="006504C4" w:rsidRPr="00230BC2">
        <w:t>States</w:t>
      </w:r>
      <w:r w:rsidRPr="00230BC2">
        <w:t>.</w:t>
      </w:r>
    </w:p>
    <w:p w14:paraId="5D2A8D38" w14:textId="09E154D0" w:rsidR="003466FC" w:rsidRPr="00BC525B" w:rsidRDefault="003466FC" w:rsidP="008E0240">
      <w:pPr>
        <w:pStyle w:val="BodyText"/>
        <w:keepNext/>
        <w:ind w:firstLine="0"/>
        <w:jc w:val="left"/>
        <w:rPr>
          <w:b/>
          <w:bCs/>
          <w:i/>
          <w:snapToGrid w:val="0"/>
        </w:rPr>
      </w:pPr>
      <w:r w:rsidRPr="00BC525B">
        <w:rPr>
          <w:b/>
          <w:bCs/>
          <w:snapToGrid w:val="0"/>
        </w:rPr>
        <w:lastRenderedPageBreak/>
        <w:t>Resumed second part</w:t>
      </w:r>
    </w:p>
    <w:p w14:paraId="5654EAF7" w14:textId="0054F528" w:rsidR="003466FC" w:rsidRPr="00230BC2" w:rsidRDefault="003466FC" w:rsidP="003466FC">
      <w:pPr>
        <w:pStyle w:val="Para1"/>
        <w:rPr>
          <w:snapToGrid/>
          <w:szCs w:val="24"/>
        </w:rPr>
      </w:pPr>
      <w:r w:rsidRPr="00230BC2">
        <w:t xml:space="preserve">At its 6th plenary session, the Conference of the Parties agreed that </w:t>
      </w:r>
      <w:r w:rsidRPr="00230BC2">
        <w:rPr>
          <w:rFonts w:eastAsiaTheme="minorEastAsia"/>
          <w:bCs/>
        </w:rPr>
        <w:t xml:space="preserve">Leina </w:t>
      </w:r>
      <w:r w:rsidR="001C1FB6">
        <w:rPr>
          <w:rFonts w:eastAsiaTheme="minorEastAsia"/>
          <w:bCs/>
        </w:rPr>
        <w:t>a</w:t>
      </w:r>
      <w:r w:rsidRPr="00230BC2">
        <w:rPr>
          <w:rFonts w:eastAsiaTheme="minorEastAsia"/>
          <w:bCs/>
        </w:rPr>
        <w:t>l-Awadhi (Kuwait)</w:t>
      </w:r>
      <w:r w:rsidRPr="00230BC2">
        <w:rPr>
          <w:rFonts w:eastAsiaTheme="minorEastAsia"/>
        </w:rPr>
        <w:t xml:space="preserve"> </w:t>
      </w:r>
      <w:r w:rsidRPr="00230BC2">
        <w:t>would serve as Rapporteur for the resumed second part of the meeting, as proposed by the Bureau.</w:t>
      </w:r>
    </w:p>
    <w:p w14:paraId="0C11D9A3" w14:textId="25729ED5" w:rsidR="00F2772E" w:rsidRPr="00842FF6" w:rsidRDefault="00F2772E" w:rsidP="00842FF6">
      <w:pPr>
        <w:pStyle w:val="BodyText"/>
        <w:ind w:firstLine="0"/>
        <w:jc w:val="left"/>
        <w:rPr>
          <w:b/>
          <w:bCs/>
          <w:i/>
          <w:iCs w:val="0"/>
          <w:snapToGrid w:val="0"/>
        </w:rPr>
      </w:pPr>
      <w:r w:rsidRPr="00842FF6">
        <w:rPr>
          <w:i/>
          <w:iCs w:val="0"/>
          <w:snapToGrid w:val="0"/>
        </w:rPr>
        <w:t>Election of Vice-Presidents of the Bureau</w:t>
      </w:r>
    </w:p>
    <w:p w14:paraId="0C0B8D4F" w14:textId="035FFD3B" w:rsidR="001C4512" w:rsidRPr="00230BC2" w:rsidRDefault="003466FC" w:rsidP="00D56432">
      <w:pPr>
        <w:pStyle w:val="Para1"/>
      </w:pPr>
      <w:r w:rsidRPr="00230BC2">
        <w:t xml:space="preserve">At its 6th plenary session, </w:t>
      </w:r>
      <w:r w:rsidR="001C4512" w:rsidRPr="00230BC2">
        <w:t>in accordance with rule 21 of the rules of procedure, the Conference of the Parties elected the following representatives, by acclamation, to serve as members of the Bureau for a term of office commencing upon the closure of its fifteenth meeting and ending at the closure of its sixteenth meeting:</w:t>
      </w:r>
    </w:p>
    <w:p w14:paraId="3238BF34" w14:textId="61FB4792" w:rsidR="001C4512" w:rsidRPr="00230BC2" w:rsidRDefault="001C4512" w:rsidP="00137120">
      <w:pPr>
        <w:pStyle w:val="Para1"/>
        <w:numPr>
          <w:ilvl w:val="0"/>
          <w:numId w:val="0"/>
        </w:numPr>
        <w:ind w:left="720"/>
      </w:pPr>
      <w:r w:rsidRPr="00230BC2">
        <w:t>Hlobsile Sikhosana (Eswatini)</w:t>
      </w:r>
    </w:p>
    <w:p w14:paraId="460C0DE0" w14:textId="346EA831" w:rsidR="001C4512" w:rsidRPr="00230BC2" w:rsidRDefault="001C4512" w:rsidP="00137120">
      <w:pPr>
        <w:pStyle w:val="Para1"/>
        <w:numPr>
          <w:ilvl w:val="0"/>
          <w:numId w:val="0"/>
        </w:numPr>
        <w:ind w:left="720"/>
      </w:pPr>
      <w:r w:rsidRPr="00230BC2">
        <w:t>Abderahman</w:t>
      </w:r>
      <w:r w:rsidR="00566C29" w:rsidRPr="00230BC2">
        <w:t>e</w:t>
      </w:r>
      <w:r w:rsidRPr="00230BC2">
        <w:t xml:space="preserve"> Zino Izourar (Algeria)</w:t>
      </w:r>
    </w:p>
    <w:p w14:paraId="577D1800" w14:textId="4789F985" w:rsidR="001C4512" w:rsidRPr="00230BC2" w:rsidRDefault="001C4512" w:rsidP="00137120">
      <w:pPr>
        <w:pStyle w:val="Para1"/>
        <w:numPr>
          <w:ilvl w:val="0"/>
          <w:numId w:val="0"/>
        </w:numPr>
        <w:ind w:left="720"/>
      </w:pPr>
      <w:r w:rsidRPr="00230BC2">
        <w:t>Krishneel Nand (Fiji)</w:t>
      </w:r>
    </w:p>
    <w:p w14:paraId="750E98BB" w14:textId="11AD5FA0" w:rsidR="001C4512" w:rsidRPr="00230BC2" w:rsidRDefault="001C4512" w:rsidP="00137120">
      <w:pPr>
        <w:pStyle w:val="Para1"/>
        <w:numPr>
          <w:ilvl w:val="0"/>
          <w:numId w:val="0"/>
        </w:numPr>
        <w:ind w:left="720"/>
      </w:pPr>
      <w:r w:rsidRPr="00230BC2">
        <w:rPr>
          <w:rFonts w:eastAsiaTheme="minorEastAsia"/>
        </w:rPr>
        <w:t>Somaly Chan (Cambodia)</w:t>
      </w:r>
    </w:p>
    <w:p w14:paraId="23A7D7C6" w14:textId="76654FE5" w:rsidR="001C4512" w:rsidRPr="00230BC2" w:rsidRDefault="001C4512" w:rsidP="00137120">
      <w:pPr>
        <w:pStyle w:val="Para1"/>
        <w:numPr>
          <w:ilvl w:val="0"/>
          <w:numId w:val="0"/>
        </w:numPr>
        <w:ind w:left="720"/>
      </w:pPr>
      <w:r w:rsidRPr="00230BC2">
        <w:rPr>
          <w:rFonts w:eastAsiaTheme="minorEastAsia"/>
        </w:rPr>
        <w:t>Gillian Guthrie (Jamaica)</w:t>
      </w:r>
    </w:p>
    <w:p w14:paraId="1AA119F5" w14:textId="6A53BE36" w:rsidR="001C4512" w:rsidRPr="00311AAE" w:rsidRDefault="001C4512" w:rsidP="00137120">
      <w:pPr>
        <w:pStyle w:val="Para1"/>
        <w:numPr>
          <w:ilvl w:val="0"/>
          <w:numId w:val="0"/>
        </w:numPr>
        <w:ind w:left="720"/>
        <w:rPr>
          <w:lang w:val="es-ES"/>
        </w:rPr>
      </w:pPr>
      <w:r w:rsidRPr="00311AAE">
        <w:rPr>
          <w:lang w:val="es-ES"/>
        </w:rPr>
        <w:t>Mar</w:t>
      </w:r>
      <w:r w:rsidR="001B5D21" w:rsidRPr="00311AAE">
        <w:rPr>
          <w:lang w:val="es-ES"/>
        </w:rPr>
        <w:t>í</w:t>
      </w:r>
      <w:r w:rsidRPr="00311AAE">
        <w:rPr>
          <w:lang w:val="es-ES"/>
        </w:rPr>
        <w:t>a Teresa Becerra Ram</w:t>
      </w:r>
      <w:r w:rsidR="001B5D21" w:rsidRPr="00311AAE">
        <w:rPr>
          <w:lang w:val="es-ES"/>
        </w:rPr>
        <w:t>í</w:t>
      </w:r>
      <w:r w:rsidRPr="00311AAE">
        <w:rPr>
          <w:lang w:val="es-ES"/>
        </w:rPr>
        <w:t>rez (Colombia)</w:t>
      </w:r>
    </w:p>
    <w:p w14:paraId="522A930F" w14:textId="29B50A44" w:rsidR="001C4512" w:rsidRPr="00230BC2" w:rsidRDefault="001C4512" w:rsidP="00137120">
      <w:pPr>
        <w:pStyle w:val="Para1"/>
        <w:numPr>
          <w:ilvl w:val="0"/>
          <w:numId w:val="0"/>
        </w:numPr>
        <w:ind w:left="720"/>
      </w:pPr>
      <w:r w:rsidRPr="00230BC2">
        <w:t>Norbert B</w:t>
      </w:r>
      <w:r w:rsidR="00E44992" w:rsidRPr="00230BC2">
        <w:t>ä</w:t>
      </w:r>
      <w:r w:rsidRPr="00230BC2">
        <w:t>rlocher (Switzerland)</w:t>
      </w:r>
    </w:p>
    <w:p w14:paraId="4312C700" w14:textId="37F10B4B" w:rsidR="00B04877" w:rsidRPr="00230BC2" w:rsidRDefault="00B04877" w:rsidP="003466FC">
      <w:pPr>
        <w:pStyle w:val="Para1"/>
      </w:pPr>
      <w:r w:rsidRPr="00230BC2">
        <w:t xml:space="preserve">The Conference of the Parties agreed to proceed to the election of </w:t>
      </w:r>
      <w:r w:rsidR="009E0AE0" w:rsidRPr="00230BC2">
        <w:t xml:space="preserve">the </w:t>
      </w:r>
      <w:r w:rsidR="005C6FD6" w:rsidRPr="00230BC2">
        <w:t>Bureau members</w:t>
      </w:r>
      <w:r w:rsidR="009E0AE0" w:rsidRPr="00230BC2">
        <w:t xml:space="preserve"> </w:t>
      </w:r>
      <w:r w:rsidRPr="00230BC2">
        <w:t xml:space="preserve">from the Eastern European States </w:t>
      </w:r>
      <w:r w:rsidR="00571379" w:rsidRPr="00230BC2">
        <w:t xml:space="preserve">and </w:t>
      </w:r>
      <w:r w:rsidR="005C6FD6" w:rsidRPr="00230BC2">
        <w:t>the second Bureau member</w:t>
      </w:r>
      <w:r w:rsidR="009E0AE0" w:rsidRPr="00230BC2">
        <w:t xml:space="preserve"> from the Western European and other States </w:t>
      </w:r>
      <w:r w:rsidRPr="00230BC2">
        <w:t>by secret ballot, in accordance with rule 4</w:t>
      </w:r>
      <w:r w:rsidR="00571379" w:rsidRPr="00230BC2">
        <w:t>9</w:t>
      </w:r>
      <w:r w:rsidRPr="00230BC2">
        <w:t xml:space="preserve"> of the rules of procedure</w:t>
      </w:r>
      <w:r w:rsidR="00D0320A" w:rsidRPr="00230BC2">
        <w:t>.</w:t>
      </w:r>
    </w:p>
    <w:p w14:paraId="42692570" w14:textId="1E1653C7" w:rsidR="00B04877" w:rsidRPr="00230BC2" w:rsidRDefault="00B04877" w:rsidP="003466FC">
      <w:pPr>
        <w:pStyle w:val="Para1"/>
      </w:pPr>
      <w:r w:rsidRPr="00230BC2">
        <w:t xml:space="preserve">At the invitation of the </w:t>
      </w:r>
      <w:r w:rsidR="000C71AE" w:rsidRPr="00230BC2">
        <w:t>Chair</w:t>
      </w:r>
      <w:r w:rsidRPr="00230BC2">
        <w:t xml:space="preserve">, </w:t>
      </w:r>
      <w:r w:rsidR="00AD056A" w:rsidRPr="00230BC2">
        <w:rPr>
          <w:rFonts w:eastAsiaTheme="minorEastAsia"/>
        </w:rPr>
        <w:t>Mariela Canepa Montalvo (Peru), Bilal Qtishat (Jordan) and Agnes Yemisi (Nigeria)</w:t>
      </w:r>
      <w:r w:rsidR="00AD056A" w:rsidRPr="00230BC2">
        <w:t xml:space="preserve"> </w:t>
      </w:r>
      <w:r w:rsidRPr="00230BC2">
        <w:t xml:space="preserve">acted as tellers. </w:t>
      </w:r>
    </w:p>
    <w:p w14:paraId="3D2461ED" w14:textId="354B1BC8" w:rsidR="00571379" w:rsidRPr="00230BC2" w:rsidRDefault="00571379" w:rsidP="003466FC">
      <w:pPr>
        <w:pStyle w:val="Para1"/>
      </w:pPr>
      <w:r w:rsidRPr="00230BC2">
        <w:t xml:space="preserve">The Conference of the Parties first proceeded to the election of the </w:t>
      </w:r>
      <w:r w:rsidR="00182A8E" w:rsidRPr="00230BC2">
        <w:t>Bureau members</w:t>
      </w:r>
      <w:r w:rsidRPr="00230BC2">
        <w:t xml:space="preserve"> from the Eastern European States.</w:t>
      </w:r>
    </w:p>
    <w:p w14:paraId="6EC5A8F4" w14:textId="468769A4" w:rsidR="00823841" w:rsidRPr="00230BC2" w:rsidRDefault="00823841" w:rsidP="003466FC">
      <w:pPr>
        <w:pStyle w:val="Para1"/>
      </w:pPr>
      <w:r w:rsidRPr="00230BC2">
        <w:rPr>
          <w:rStyle w:val="ui-provider"/>
        </w:rPr>
        <w:t>The meeting was briefly suspended to allow for the counting of votes.</w:t>
      </w:r>
    </w:p>
    <w:p w14:paraId="56CE1CBE" w14:textId="18C8A270" w:rsidR="00B04877" w:rsidRPr="00230BC2" w:rsidRDefault="00B04877" w:rsidP="00704C56">
      <w:pPr>
        <w:pStyle w:val="Para1"/>
        <w:keepNext/>
      </w:pPr>
      <w:bookmarkStart w:id="413" w:name="_Hlk136426006"/>
      <w:r w:rsidRPr="00230BC2">
        <w:t xml:space="preserve">Subsequently, the </w:t>
      </w:r>
      <w:r w:rsidR="00230667" w:rsidRPr="00230BC2">
        <w:t>Chair</w:t>
      </w:r>
      <w:r w:rsidR="00AD056A" w:rsidRPr="00230BC2">
        <w:t xml:space="preserve"> </w:t>
      </w:r>
      <w:r w:rsidRPr="00230BC2">
        <w:t xml:space="preserve">reported the results as follows: </w:t>
      </w:r>
    </w:p>
    <w:bookmarkEnd w:id="413"/>
    <w:p w14:paraId="3C3183CF" w14:textId="1D7591D6" w:rsidR="00B04877" w:rsidRPr="00230BC2" w:rsidRDefault="00B04877" w:rsidP="00704C56">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Number of ballot papers: </w:t>
      </w:r>
      <w:r w:rsidRPr="00230BC2">
        <w:rPr>
          <w:rFonts w:asciiTheme="majorBidi" w:hAnsiTheme="majorBidi" w:cstheme="majorBidi"/>
          <w:sz w:val="22"/>
          <w:szCs w:val="22"/>
        </w:rPr>
        <w:tab/>
        <w:t>1</w:t>
      </w:r>
      <w:r w:rsidR="00571379" w:rsidRPr="00230BC2">
        <w:rPr>
          <w:rFonts w:asciiTheme="majorBidi" w:hAnsiTheme="majorBidi" w:cstheme="majorBidi"/>
          <w:sz w:val="22"/>
          <w:szCs w:val="22"/>
        </w:rPr>
        <w:t>30</w:t>
      </w:r>
    </w:p>
    <w:p w14:paraId="529A6D6C" w14:textId="426891D6" w:rsidR="00B04877" w:rsidRPr="00230BC2" w:rsidRDefault="00B04877" w:rsidP="00704C56">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Invalid ballots: </w:t>
      </w:r>
      <w:r w:rsidRPr="00230BC2">
        <w:rPr>
          <w:rFonts w:asciiTheme="majorBidi" w:hAnsiTheme="majorBidi" w:cstheme="majorBidi"/>
          <w:sz w:val="22"/>
          <w:szCs w:val="22"/>
        </w:rPr>
        <w:tab/>
      </w:r>
      <w:r w:rsidR="00571379" w:rsidRPr="00230BC2">
        <w:rPr>
          <w:rFonts w:asciiTheme="majorBidi" w:hAnsiTheme="majorBidi" w:cstheme="majorBidi"/>
          <w:sz w:val="22"/>
          <w:szCs w:val="22"/>
        </w:rPr>
        <w:t>2</w:t>
      </w:r>
    </w:p>
    <w:p w14:paraId="09649E2E" w14:textId="40AFA971" w:rsidR="00B04877" w:rsidRPr="00230BC2"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Number of valid ballots: </w:t>
      </w:r>
      <w:r w:rsidRPr="00230BC2">
        <w:rPr>
          <w:rFonts w:asciiTheme="majorBidi" w:hAnsiTheme="majorBidi" w:cstheme="majorBidi"/>
          <w:sz w:val="22"/>
          <w:szCs w:val="22"/>
        </w:rPr>
        <w:tab/>
        <w:t>1</w:t>
      </w:r>
      <w:r w:rsidR="00571379" w:rsidRPr="00230BC2">
        <w:rPr>
          <w:rFonts w:asciiTheme="majorBidi" w:hAnsiTheme="majorBidi" w:cstheme="majorBidi"/>
          <w:sz w:val="22"/>
          <w:szCs w:val="22"/>
        </w:rPr>
        <w:t>28</w:t>
      </w:r>
    </w:p>
    <w:p w14:paraId="74150B4C" w14:textId="2E0420B4" w:rsidR="00B04877" w:rsidRPr="00230BC2"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Abstentions: </w:t>
      </w:r>
      <w:r w:rsidRPr="00230BC2">
        <w:rPr>
          <w:rFonts w:asciiTheme="majorBidi" w:hAnsiTheme="majorBidi" w:cstheme="majorBidi"/>
          <w:sz w:val="22"/>
          <w:szCs w:val="22"/>
        </w:rPr>
        <w:tab/>
        <w:t>1</w:t>
      </w:r>
      <w:r w:rsidR="00571379" w:rsidRPr="00230BC2">
        <w:rPr>
          <w:rFonts w:asciiTheme="majorBidi" w:hAnsiTheme="majorBidi" w:cstheme="majorBidi"/>
          <w:sz w:val="22"/>
          <w:szCs w:val="22"/>
        </w:rPr>
        <w:t>2</w:t>
      </w:r>
    </w:p>
    <w:p w14:paraId="665F527A" w14:textId="0C53AA97" w:rsidR="00B04877" w:rsidRPr="00230BC2"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Number of </w:t>
      </w:r>
      <w:r w:rsidR="00AD1074" w:rsidRPr="00230BC2">
        <w:rPr>
          <w:sz w:val="22"/>
          <w:szCs w:val="22"/>
        </w:rPr>
        <w:t xml:space="preserve">Parties present and </w:t>
      </w:r>
      <w:r w:rsidRPr="00230BC2">
        <w:rPr>
          <w:rFonts w:asciiTheme="majorBidi" w:hAnsiTheme="majorBidi" w:cstheme="majorBidi"/>
          <w:sz w:val="22"/>
          <w:szCs w:val="22"/>
        </w:rPr>
        <w:t xml:space="preserve">voting: </w:t>
      </w:r>
      <w:r w:rsidRPr="00230BC2">
        <w:rPr>
          <w:rFonts w:asciiTheme="majorBidi" w:hAnsiTheme="majorBidi" w:cstheme="majorBidi"/>
          <w:sz w:val="22"/>
          <w:szCs w:val="22"/>
        </w:rPr>
        <w:tab/>
        <w:t>1</w:t>
      </w:r>
      <w:r w:rsidR="00571379" w:rsidRPr="00230BC2">
        <w:rPr>
          <w:rFonts w:asciiTheme="majorBidi" w:hAnsiTheme="majorBidi" w:cstheme="majorBidi"/>
          <w:sz w:val="22"/>
          <w:szCs w:val="22"/>
        </w:rPr>
        <w:t>16</w:t>
      </w:r>
      <w:r w:rsidRPr="00230BC2">
        <w:rPr>
          <w:rFonts w:asciiTheme="majorBidi" w:hAnsiTheme="majorBidi" w:cstheme="majorBidi"/>
          <w:sz w:val="22"/>
          <w:szCs w:val="22"/>
        </w:rPr>
        <w:t xml:space="preserve"> </w:t>
      </w:r>
    </w:p>
    <w:p w14:paraId="71EBF380" w14:textId="6DB11C21" w:rsidR="00B04877" w:rsidRPr="00230BC2"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Required majority: </w:t>
      </w:r>
      <w:r w:rsidRPr="00230BC2">
        <w:rPr>
          <w:rFonts w:asciiTheme="majorBidi" w:hAnsiTheme="majorBidi" w:cstheme="majorBidi"/>
          <w:sz w:val="22"/>
          <w:szCs w:val="22"/>
        </w:rPr>
        <w:tab/>
      </w:r>
      <w:r w:rsidR="00571379" w:rsidRPr="00230BC2">
        <w:rPr>
          <w:rFonts w:asciiTheme="majorBidi" w:hAnsiTheme="majorBidi" w:cstheme="majorBidi"/>
          <w:sz w:val="22"/>
          <w:szCs w:val="22"/>
        </w:rPr>
        <w:t>59</w:t>
      </w:r>
    </w:p>
    <w:p w14:paraId="03E965E5" w14:textId="3E911D71" w:rsidR="00B04877" w:rsidRPr="00230BC2"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 xml:space="preserve">Number of votes obtained: </w:t>
      </w:r>
    </w:p>
    <w:p w14:paraId="2BF6C75A" w14:textId="602350D7" w:rsidR="00B04877" w:rsidRPr="00230BC2" w:rsidRDefault="00B04877" w:rsidP="0008345E">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ab/>
      </w:r>
      <w:r w:rsidR="00AD056A" w:rsidRPr="00230BC2">
        <w:rPr>
          <w:rFonts w:asciiTheme="majorBidi" w:eastAsiaTheme="minorEastAsia" w:hAnsiTheme="majorBidi" w:cstheme="majorBidi"/>
          <w:bCs/>
          <w:sz w:val="22"/>
          <w:szCs w:val="22"/>
        </w:rPr>
        <w:t>Teona Karchava (Georgia)</w:t>
      </w:r>
      <w:r w:rsidRPr="00230BC2">
        <w:rPr>
          <w:rFonts w:asciiTheme="majorBidi" w:hAnsiTheme="majorBidi" w:cstheme="majorBidi"/>
          <w:sz w:val="22"/>
          <w:szCs w:val="22"/>
        </w:rPr>
        <w:t xml:space="preserve"> </w:t>
      </w:r>
      <w:r w:rsidRPr="00230BC2">
        <w:rPr>
          <w:rFonts w:asciiTheme="majorBidi" w:hAnsiTheme="majorBidi" w:cstheme="majorBidi"/>
          <w:sz w:val="22"/>
          <w:szCs w:val="22"/>
        </w:rPr>
        <w:tab/>
      </w:r>
      <w:r w:rsidR="00571379" w:rsidRPr="00230BC2">
        <w:rPr>
          <w:rFonts w:asciiTheme="majorBidi" w:hAnsiTheme="majorBidi" w:cstheme="majorBidi"/>
          <w:sz w:val="22"/>
          <w:szCs w:val="22"/>
        </w:rPr>
        <w:t>84</w:t>
      </w:r>
      <w:r w:rsidRPr="00230BC2">
        <w:rPr>
          <w:rFonts w:asciiTheme="majorBidi" w:hAnsiTheme="majorBidi" w:cstheme="majorBidi"/>
          <w:sz w:val="22"/>
          <w:szCs w:val="22"/>
        </w:rPr>
        <w:t xml:space="preserve"> </w:t>
      </w:r>
    </w:p>
    <w:p w14:paraId="354A9446" w14:textId="76D10C69" w:rsidR="00B04877" w:rsidRPr="00230BC2" w:rsidRDefault="00B04877" w:rsidP="0008345E">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rPr>
      </w:pPr>
      <w:r w:rsidRPr="00230BC2">
        <w:rPr>
          <w:rFonts w:asciiTheme="majorBidi" w:hAnsiTheme="majorBidi" w:cstheme="majorBidi"/>
          <w:sz w:val="22"/>
          <w:szCs w:val="22"/>
        </w:rPr>
        <w:tab/>
      </w:r>
      <w:r w:rsidR="00AD056A" w:rsidRPr="00230BC2">
        <w:rPr>
          <w:rFonts w:asciiTheme="majorBidi" w:eastAsiaTheme="minorEastAsia" w:hAnsiTheme="majorBidi" w:cstheme="majorBidi"/>
          <w:bCs/>
          <w:sz w:val="22"/>
          <w:szCs w:val="22"/>
        </w:rPr>
        <w:t>Angela Lozan (</w:t>
      </w:r>
      <w:r w:rsidR="00CC4642" w:rsidRPr="00230BC2">
        <w:rPr>
          <w:rFonts w:asciiTheme="majorBidi" w:eastAsiaTheme="minorEastAsia" w:hAnsiTheme="majorBidi" w:cstheme="majorBidi"/>
          <w:bCs/>
          <w:sz w:val="22"/>
          <w:szCs w:val="22"/>
        </w:rPr>
        <w:t xml:space="preserve">Republic of </w:t>
      </w:r>
      <w:r w:rsidR="00AD056A" w:rsidRPr="00230BC2">
        <w:rPr>
          <w:rFonts w:asciiTheme="majorBidi" w:eastAsiaTheme="minorEastAsia" w:hAnsiTheme="majorBidi" w:cstheme="majorBidi"/>
          <w:bCs/>
          <w:sz w:val="22"/>
          <w:szCs w:val="22"/>
        </w:rPr>
        <w:t>Moldova)</w:t>
      </w:r>
      <w:r w:rsidRPr="00230BC2">
        <w:rPr>
          <w:rFonts w:asciiTheme="majorBidi" w:hAnsiTheme="majorBidi" w:cstheme="majorBidi"/>
          <w:sz w:val="22"/>
          <w:szCs w:val="22"/>
        </w:rPr>
        <w:tab/>
      </w:r>
      <w:r w:rsidR="00571379" w:rsidRPr="00230BC2">
        <w:rPr>
          <w:rFonts w:asciiTheme="majorBidi" w:hAnsiTheme="majorBidi" w:cstheme="majorBidi"/>
          <w:sz w:val="22"/>
          <w:szCs w:val="22"/>
        </w:rPr>
        <w:t>79</w:t>
      </w:r>
    </w:p>
    <w:p w14:paraId="09270D56" w14:textId="4F979237" w:rsidR="00B04877" w:rsidRPr="00230BC2" w:rsidRDefault="00B04877" w:rsidP="0008345E">
      <w:pPr>
        <w:pStyle w:val="Normalnumber"/>
        <w:numPr>
          <w:ilvl w:val="0"/>
          <w:numId w:val="0"/>
        </w:numPr>
        <w:tabs>
          <w:tab w:val="clear" w:pos="1843"/>
          <w:tab w:val="left" w:pos="1620"/>
          <w:tab w:val="left" w:pos="1980"/>
          <w:tab w:val="right" w:pos="6300"/>
        </w:tabs>
        <w:ind w:left="810"/>
        <w:rPr>
          <w:rFonts w:asciiTheme="majorBidi" w:hAnsiTheme="majorBidi" w:cstheme="majorBidi"/>
          <w:sz w:val="22"/>
          <w:szCs w:val="22"/>
        </w:rPr>
      </w:pPr>
      <w:r w:rsidRPr="00230BC2">
        <w:rPr>
          <w:rFonts w:asciiTheme="majorBidi" w:hAnsiTheme="majorBidi" w:cstheme="majorBidi"/>
          <w:sz w:val="22"/>
          <w:szCs w:val="22"/>
        </w:rPr>
        <w:tab/>
      </w:r>
      <w:r w:rsidR="00571379" w:rsidRPr="00230BC2">
        <w:rPr>
          <w:rFonts w:asciiTheme="majorBidi" w:eastAsiaTheme="minorEastAsia" w:hAnsiTheme="majorBidi" w:cstheme="majorBidi"/>
          <w:bCs/>
          <w:sz w:val="22"/>
          <w:szCs w:val="22"/>
        </w:rPr>
        <w:t xml:space="preserve">Alexander Shestakov </w:t>
      </w:r>
      <w:r w:rsidRPr="00230BC2">
        <w:rPr>
          <w:rFonts w:asciiTheme="majorBidi" w:hAnsiTheme="majorBidi" w:cstheme="majorBidi"/>
          <w:sz w:val="22"/>
          <w:szCs w:val="22"/>
        </w:rPr>
        <w:t>(Russian Federation)</w:t>
      </w:r>
      <w:r w:rsidRPr="00230BC2">
        <w:rPr>
          <w:rFonts w:asciiTheme="majorBidi" w:hAnsiTheme="majorBidi" w:cstheme="majorBidi"/>
          <w:sz w:val="22"/>
          <w:szCs w:val="22"/>
        </w:rPr>
        <w:tab/>
      </w:r>
      <w:r w:rsidR="00571379" w:rsidRPr="00230BC2">
        <w:rPr>
          <w:rFonts w:asciiTheme="majorBidi" w:hAnsiTheme="majorBidi" w:cstheme="majorBidi"/>
          <w:sz w:val="22"/>
          <w:szCs w:val="22"/>
        </w:rPr>
        <w:t>47</w:t>
      </w:r>
    </w:p>
    <w:p w14:paraId="3A374FCB" w14:textId="713EAC9F" w:rsidR="00B04877" w:rsidRPr="00230BC2" w:rsidRDefault="00B04877" w:rsidP="003466FC">
      <w:pPr>
        <w:pStyle w:val="Para1"/>
      </w:pPr>
      <w:r w:rsidRPr="00230BC2">
        <w:t xml:space="preserve">Having obtained the required majority, </w:t>
      </w:r>
      <w:r w:rsidR="000F0176" w:rsidRPr="00230BC2">
        <w:rPr>
          <w:bCs/>
        </w:rPr>
        <w:t>Ms. </w:t>
      </w:r>
      <w:r w:rsidR="00571379" w:rsidRPr="00230BC2">
        <w:rPr>
          <w:bCs/>
        </w:rPr>
        <w:t xml:space="preserve">Karchava </w:t>
      </w:r>
      <w:r w:rsidRPr="00230BC2">
        <w:t xml:space="preserve">and </w:t>
      </w:r>
      <w:r w:rsidR="000F0176" w:rsidRPr="00230BC2">
        <w:rPr>
          <w:bCs/>
        </w:rPr>
        <w:t>Ms. </w:t>
      </w:r>
      <w:r w:rsidR="00571379" w:rsidRPr="00230BC2">
        <w:rPr>
          <w:bCs/>
        </w:rPr>
        <w:t xml:space="preserve">Lozan </w:t>
      </w:r>
      <w:r w:rsidRPr="00230BC2">
        <w:t xml:space="preserve">were elected as </w:t>
      </w:r>
      <w:r w:rsidR="00571379" w:rsidRPr="00230BC2">
        <w:t>members</w:t>
      </w:r>
      <w:r w:rsidRPr="00230BC2">
        <w:t xml:space="preserve"> of the </w:t>
      </w:r>
      <w:r w:rsidR="00571379" w:rsidRPr="00230BC2">
        <w:t xml:space="preserve">Bureau for a term commencing at the end of the </w:t>
      </w:r>
      <w:r w:rsidR="00554D9D" w:rsidRPr="00230BC2">
        <w:t>fifteenth</w:t>
      </w:r>
      <w:r w:rsidR="00571379" w:rsidRPr="00230BC2">
        <w:t xml:space="preserve"> meeting and ending at the close of the sixteenth meeting of the Conference of the Parties.</w:t>
      </w:r>
    </w:p>
    <w:p w14:paraId="156172ED" w14:textId="0C714015" w:rsidR="009E0AE0" w:rsidRPr="00230BC2" w:rsidRDefault="009E0AE0" w:rsidP="003466FC">
      <w:pPr>
        <w:pStyle w:val="Para1"/>
      </w:pPr>
      <w:r w:rsidRPr="00230BC2">
        <w:t xml:space="preserve">The Conference of the Parties then proceeded to the election of </w:t>
      </w:r>
      <w:r w:rsidR="00182A8E" w:rsidRPr="00230BC2">
        <w:t>the second</w:t>
      </w:r>
      <w:r w:rsidRPr="00230BC2">
        <w:t xml:space="preserve"> </w:t>
      </w:r>
      <w:r w:rsidR="00182A8E" w:rsidRPr="00230BC2">
        <w:t xml:space="preserve">Bureau member </w:t>
      </w:r>
      <w:r w:rsidRPr="00230BC2">
        <w:t>from the Western European and other States.</w:t>
      </w:r>
    </w:p>
    <w:p w14:paraId="511F11AE" w14:textId="00C41510" w:rsidR="00496DCB" w:rsidRPr="00230BC2" w:rsidRDefault="00C64FA0" w:rsidP="00496DCB">
      <w:pPr>
        <w:pStyle w:val="Para1"/>
      </w:pPr>
      <w:r w:rsidRPr="00230BC2">
        <w:t>Before</w:t>
      </w:r>
      <w:r w:rsidR="00496DCB" w:rsidRPr="00230BC2">
        <w:t xml:space="preserve"> the voting procedure</w:t>
      </w:r>
      <w:r w:rsidRPr="00230BC2">
        <w:t xml:space="preserve"> started</w:t>
      </w:r>
      <w:r w:rsidR="00496DCB" w:rsidRPr="00230BC2">
        <w:t xml:space="preserve">, a statement was made by the representative of Spain (on behalf of the European Union and its </w:t>
      </w:r>
      <w:r w:rsidR="00AA2433" w:rsidRPr="00230BC2">
        <w:t xml:space="preserve">27 </w:t>
      </w:r>
      <w:r w:rsidR="00496DCB" w:rsidRPr="00230BC2">
        <w:t xml:space="preserve">member States). </w:t>
      </w:r>
    </w:p>
    <w:p w14:paraId="5682A2FF" w14:textId="77777777" w:rsidR="009E0AE0" w:rsidRPr="00230BC2" w:rsidRDefault="009E0AE0" w:rsidP="003466FC">
      <w:pPr>
        <w:pStyle w:val="Para1"/>
      </w:pPr>
      <w:r w:rsidRPr="00230BC2">
        <w:rPr>
          <w:rStyle w:val="ui-provider"/>
        </w:rPr>
        <w:lastRenderedPageBreak/>
        <w:t>The meeting was briefly suspended to allow for the counting of votes.</w:t>
      </w:r>
    </w:p>
    <w:p w14:paraId="6CB3F39D" w14:textId="39FF8D7B" w:rsidR="009E0AE0" w:rsidRPr="00230BC2" w:rsidRDefault="009E0AE0" w:rsidP="003466FC">
      <w:pPr>
        <w:pStyle w:val="Para1"/>
      </w:pPr>
      <w:r w:rsidRPr="00230BC2">
        <w:t xml:space="preserve">Subsequently, the </w:t>
      </w:r>
      <w:r w:rsidR="00230667" w:rsidRPr="00230BC2">
        <w:t>Chair</w:t>
      </w:r>
      <w:r w:rsidRPr="00230BC2">
        <w:t xml:space="preserve"> reported the results as follows: </w:t>
      </w:r>
    </w:p>
    <w:p w14:paraId="02360308" w14:textId="6FB423E4"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Number of ballot papers: </w:t>
      </w:r>
      <w:r w:rsidRPr="00230BC2">
        <w:rPr>
          <w:sz w:val="22"/>
          <w:szCs w:val="22"/>
        </w:rPr>
        <w:tab/>
        <w:t>1</w:t>
      </w:r>
      <w:r w:rsidR="005C6FD6" w:rsidRPr="00230BC2">
        <w:rPr>
          <w:sz w:val="22"/>
          <w:szCs w:val="22"/>
        </w:rPr>
        <w:t>30</w:t>
      </w:r>
    </w:p>
    <w:p w14:paraId="6D1EF909" w14:textId="6CD1DFDB"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Invalid ballots: </w:t>
      </w:r>
      <w:r w:rsidRPr="00230BC2">
        <w:rPr>
          <w:sz w:val="22"/>
          <w:szCs w:val="22"/>
        </w:rPr>
        <w:tab/>
      </w:r>
      <w:r w:rsidR="005C6FD6" w:rsidRPr="00230BC2">
        <w:rPr>
          <w:sz w:val="22"/>
          <w:szCs w:val="22"/>
        </w:rPr>
        <w:t>0</w:t>
      </w:r>
    </w:p>
    <w:p w14:paraId="5844B1C7" w14:textId="4A85C27A"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Number of valid ballots: </w:t>
      </w:r>
      <w:r w:rsidRPr="00230BC2">
        <w:rPr>
          <w:sz w:val="22"/>
          <w:szCs w:val="22"/>
        </w:rPr>
        <w:tab/>
        <w:t>1</w:t>
      </w:r>
      <w:r w:rsidR="005C6FD6" w:rsidRPr="00230BC2">
        <w:rPr>
          <w:sz w:val="22"/>
          <w:szCs w:val="22"/>
        </w:rPr>
        <w:t>30</w:t>
      </w:r>
    </w:p>
    <w:p w14:paraId="5E64F23D" w14:textId="0882AE25"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Abstentions: </w:t>
      </w:r>
      <w:r w:rsidRPr="00230BC2">
        <w:rPr>
          <w:sz w:val="22"/>
          <w:szCs w:val="22"/>
        </w:rPr>
        <w:tab/>
      </w:r>
      <w:r w:rsidR="005C6FD6" w:rsidRPr="00230BC2">
        <w:rPr>
          <w:sz w:val="22"/>
          <w:szCs w:val="22"/>
        </w:rPr>
        <w:t>31</w:t>
      </w:r>
    </w:p>
    <w:p w14:paraId="61ADEAEB" w14:textId="3404CE79"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Number of </w:t>
      </w:r>
      <w:r w:rsidR="002131BD" w:rsidRPr="00230BC2">
        <w:rPr>
          <w:sz w:val="22"/>
          <w:szCs w:val="22"/>
        </w:rPr>
        <w:t xml:space="preserve">Parties present and </w:t>
      </w:r>
      <w:r w:rsidRPr="00230BC2">
        <w:rPr>
          <w:sz w:val="22"/>
          <w:szCs w:val="22"/>
        </w:rPr>
        <w:t xml:space="preserve">voting: </w:t>
      </w:r>
      <w:r w:rsidRPr="00230BC2">
        <w:rPr>
          <w:sz w:val="22"/>
          <w:szCs w:val="22"/>
        </w:rPr>
        <w:tab/>
      </w:r>
      <w:r w:rsidR="005C6FD6" w:rsidRPr="00230BC2">
        <w:rPr>
          <w:sz w:val="22"/>
          <w:szCs w:val="22"/>
        </w:rPr>
        <w:t>99</w:t>
      </w:r>
    </w:p>
    <w:p w14:paraId="681A34A0" w14:textId="2345B3D4"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Required majority: </w:t>
      </w:r>
      <w:r w:rsidRPr="00230BC2">
        <w:rPr>
          <w:sz w:val="22"/>
          <w:szCs w:val="22"/>
        </w:rPr>
        <w:tab/>
      </w:r>
      <w:r w:rsidR="005C6FD6" w:rsidRPr="00230BC2">
        <w:rPr>
          <w:sz w:val="22"/>
          <w:szCs w:val="22"/>
        </w:rPr>
        <w:t>50</w:t>
      </w:r>
    </w:p>
    <w:p w14:paraId="5061D69C" w14:textId="44108111" w:rsidR="00B04877" w:rsidRPr="00230BC2" w:rsidRDefault="00B04877" w:rsidP="00715A19">
      <w:pPr>
        <w:pStyle w:val="Normalnumber"/>
        <w:numPr>
          <w:ilvl w:val="0"/>
          <w:numId w:val="0"/>
        </w:numPr>
        <w:tabs>
          <w:tab w:val="clear" w:pos="1843"/>
          <w:tab w:val="left" w:pos="1530"/>
          <w:tab w:val="right" w:pos="6480"/>
        </w:tabs>
        <w:spacing w:after="40"/>
        <w:ind w:left="810"/>
        <w:rPr>
          <w:sz w:val="22"/>
          <w:szCs w:val="22"/>
        </w:rPr>
      </w:pPr>
      <w:r w:rsidRPr="00230BC2">
        <w:rPr>
          <w:sz w:val="22"/>
          <w:szCs w:val="22"/>
        </w:rPr>
        <w:t xml:space="preserve">Number of votes obtained: </w:t>
      </w:r>
    </w:p>
    <w:p w14:paraId="5472FB82" w14:textId="483433BB" w:rsidR="00B04877" w:rsidRPr="00230BC2" w:rsidRDefault="00B04877" w:rsidP="00715A19">
      <w:pPr>
        <w:pStyle w:val="Normalnumber"/>
        <w:numPr>
          <w:ilvl w:val="0"/>
          <w:numId w:val="0"/>
        </w:numPr>
        <w:tabs>
          <w:tab w:val="clear" w:pos="1843"/>
          <w:tab w:val="left" w:pos="1530"/>
          <w:tab w:val="left" w:pos="1800"/>
          <w:tab w:val="right" w:pos="6480"/>
        </w:tabs>
        <w:ind w:left="810"/>
        <w:rPr>
          <w:sz w:val="22"/>
          <w:szCs w:val="22"/>
        </w:rPr>
      </w:pPr>
      <w:r w:rsidRPr="00230BC2">
        <w:rPr>
          <w:sz w:val="22"/>
          <w:szCs w:val="22"/>
        </w:rPr>
        <w:tab/>
      </w:r>
      <w:r w:rsidR="009E0AE0" w:rsidRPr="00230BC2">
        <w:rPr>
          <w:bCs/>
          <w:sz w:val="22"/>
          <w:szCs w:val="22"/>
        </w:rPr>
        <w:t>Eric Schauls (Luxemb</w:t>
      </w:r>
      <w:r w:rsidR="00554D9D" w:rsidRPr="00230BC2">
        <w:rPr>
          <w:bCs/>
          <w:sz w:val="22"/>
          <w:szCs w:val="22"/>
        </w:rPr>
        <w:t>o</w:t>
      </w:r>
      <w:r w:rsidR="009E0AE0" w:rsidRPr="00230BC2">
        <w:rPr>
          <w:bCs/>
          <w:sz w:val="22"/>
          <w:szCs w:val="22"/>
        </w:rPr>
        <w:t>urg)</w:t>
      </w:r>
      <w:r w:rsidRPr="00230BC2">
        <w:rPr>
          <w:sz w:val="22"/>
          <w:szCs w:val="22"/>
        </w:rPr>
        <w:tab/>
      </w:r>
      <w:r w:rsidR="005C6FD6" w:rsidRPr="00230BC2">
        <w:rPr>
          <w:sz w:val="22"/>
          <w:szCs w:val="22"/>
        </w:rPr>
        <w:t>99</w:t>
      </w:r>
    </w:p>
    <w:p w14:paraId="69022F26" w14:textId="5036BD52" w:rsidR="00B04877" w:rsidRPr="00230BC2" w:rsidRDefault="009E0AE0" w:rsidP="003466FC">
      <w:pPr>
        <w:pStyle w:val="Para1"/>
        <w:rPr>
          <w:snapToGrid/>
          <w:szCs w:val="24"/>
        </w:rPr>
      </w:pPr>
      <w:r w:rsidRPr="00230BC2">
        <w:t xml:space="preserve">Having obtained the required majority, </w:t>
      </w:r>
      <w:r w:rsidR="00554D9D" w:rsidRPr="00230BC2">
        <w:rPr>
          <w:bCs/>
        </w:rPr>
        <w:t>Mr. </w:t>
      </w:r>
      <w:r w:rsidR="003C5188" w:rsidRPr="00230BC2">
        <w:rPr>
          <w:bCs/>
        </w:rPr>
        <w:t xml:space="preserve">Schauls </w:t>
      </w:r>
      <w:r w:rsidR="003C5188" w:rsidRPr="00230BC2">
        <w:t>was</w:t>
      </w:r>
      <w:r w:rsidRPr="00230BC2">
        <w:t xml:space="preserve"> elected as </w:t>
      </w:r>
      <w:r w:rsidR="003C5188" w:rsidRPr="00230BC2">
        <w:t xml:space="preserve">a </w:t>
      </w:r>
      <w:r w:rsidR="00182A8E" w:rsidRPr="00230BC2">
        <w:t>member</w:t>
      </w:r>
      <w:r w:rsidRPr="00230BC2">
        <w:t xml:space="preserve"> of the Bureau for a term commencing at the end of the </w:t>
      </w:r>
      <w:r w:rsidR="005C6FD6" w:rsidRPr="00230BC2">
        <w:t>fifteenth</w:t>
      </w:r>
      <w:r w:rsidRPr="00230BC2">
        <w:t xml:space="preserve"> meeting and ending at the close of the sixteenth meeting of the Conference of the Parties.</w:t>
      </w:r>
    </w:p>
    <w:p w14:paraId="49434EF4" w14:textId="77777777" w:rsidR="001C4512" w:rsidRPr="00BF4AB9" w:rsidRDefault="001C4512" w:rsidP="00BF4AB9">
      <w:pPr>
        <w:pStyle w:val="BodyText"/>
        <w:ind w:firstLine="0"/>
        <w:rPr>
          <w:i/>
          <w:iCs w:val="0"/>
        </w:rPr>
      </w:pPr>
      <w:r w:rsidRPr="00BF4AB9">
        <w:rPr>
          <w:i/>
          <w:iCs w:val="0"/>
        </w:rPr>
        <w:t>Election of officers of subsidiary bodies and other meetings</w:t>
      </w:r>
    </w:p>
    <w:p w14:paraId="40899072" w14:textId="36CEC326" w:rsidR="00EB6D9A" w:rsidRPr="00230BC2" w:rsidRDefault="00EB6D9A" w:rsidP="003466FC">
      <w:pPr>
        <w:pStyle w:val="Para1"/>
      </w:pPr>
      <w:r w:rsidRPr="00230BC2">
        <w:t xml:space="preserve">At its 6th plenary session, the Conference of the Parties elected </w:t>
      </w:r>
      <w:r w:rsidR="00C74617" w:rsidRPr="00230BC2">
        <w:rPr>
          <w:bCs/>
        </w:rPr>
        <w:t xml:space="preserve">Chirra Achalender </w:t>
      </w:r>
      <w:r w:rsidR="000C71AE" w:rsidRPr="00230BC2">
        <w:rPr>
          <w:bCs/>
        </w:rPr>
        <w:t>Reddy (India)</w:t>
      </w:r>
      <w:r w:rsidR="000C71AE" w:rsidRPr="00230BC2">
        <w:t xml:space="preserve"> </w:t>
      </w:r>
      <w:r w:rsidRPr="00230BC2">
        <w:t>as Chair of the Subsidiary Body on Implementation</w:t>
      </w:r>
      <w:r w:rsidR="000C71AE" w:rsidRPr="00230BC2">
        <w:t>, by acclamation,</w:t>
      </w:r>
      <w:r w:rsidRPr="00230BC2">
        <w:t xml:space="preserve"> for a term of office extending until the sixteenth meeting of the Conference of the Parties.</w:t>
      </w:r>
    </w:p>
    <w:p w14:paraId="04278C37" w14:textId="5310DB2F" w:rsidR="00EB6D9A" w:rsidRPr="00230BC2" w:rsidRDefault="000C71AE" w:rsidP="003466FC">
      <w:pPr>
        <w:pStyle w:val="Para1"/>
      </w:pPr>
      <w:r w:rsidRPr="00230BC2">
        <w:t>T</w:t>
      </w:r>
      <w:r w:rsidR="00EB6D9A" w:rsidRPr="00230BC2">
        <w:t>he</w:t>
      </w:r>
      <w:r w:rsidRPr="00230BC2">
        <w:t>re being two nominees for the Chair of the Subsidiary Body on Scientific, Technical and Technological Advice, the</w:t>
      </w:r>
      <w:r w:rsidR="00EB6D9A" w:rsidRPr="00230BC2">
        <w:t xml:space="preserve"> Conference of the Parties agreed to proceed to </w:t>
      </w:r>
      <w:r w:rsidRPr="00230BC2">
        <w:t>an</w:t>
      </w:r>
      <w:r w:rsidR="00EB6D9A" w:rsidRPr="00230BC2">
        <w:t xml:space="preserve"> election by secret ballot, in accordance with rule 49 of the rules of procedure</w:t>
      </w:r>
      <w:r w:rsidR="00D0320A" w:rsidRPr="00230BC2">
        <w:t>.</w:t>
      </w:r>
    </w:p>
    <w:p w14:paraId="7C3ACBA8" w14:textId="4669B7E2" w:rsidR="00EB6D9A" w:rsidRPr="00230BC2" w:rsidRDefault="00EB6D9A" w:rsidP="00173E69">
      <w:pPr>
        <w:pStyle w:val="Para1"/>
      </w:pPr>
      <w:r w:rsidRPr="00230BC2">
        <w:t xml:space="preserve">At the invitation of the </w:t>
      </w:r>
      <w:r w:rsidR="000C71AE" w:rsidRPr="00230BC2">
        <w:t>Chair</w:t>
      </w:r>
      <w:r w:rsidRPr="00230BC2">
        <w:t xml:space="preserve">, </w:t>
      </w:r>
      <w:r w:rsidR="00E17AA5" w:rsidRPr="00230BC2">
        <w:rPr>
          <w:rFonts w:eastAsiaTheme="minorEastAsia"/>
        </w:rPr>
        <w:t>Ms. </w:t>
      </w:r>
      <w:r w:rsidRPr="00230BC2">
        <w:rPr>
          <w:rFonts w:eastAsiaTheme="minorEastAsia"/>
        </w:rPr>
        <w:t>Canepa Montalvo</w:t>
      </w:r>
      <w:r w:rsidR="004A56E8" w:rsidRPr="00230BC2">
        <w:rPr>
          <w:rFonts w:eastAsiaTheme="minorEastAsia"/>
        </w:rPr>
        <w:t>,</w:t>
      </w:r>
      <w:r w:rsidRPr="00230BC2">
        <w:rPr>
          <w:rFonts w:eastAsiaTheme="minorEastAsia"/>
        </w:rPr>
        <w:t xml:space="preserve"> </w:t>
      </w:r>
      <w:r w:rsidR="004A56E8" w:rsidRPr="00230BC2">
        <w:rPr>
          <w:rFonts w:eastAsiaTheme="minorEastAsia"/>
        </w:rPr>
        <w:t>Mr. </w:t>
      </w:r>
      <w:r w:rsidRPr="00230BC2">
        <w:rPr>
          <w:rFonts w:eastAsiaTheme="minorEastAsia"/>
        </w:rPr>
        <w:t xml:space="preserve">Qtishat and </w:t>
      </w:r>
      <w:r w:rsidR="00173E69" w:rsidRPr="00230BC2">
        <w:rPr>
          <w:rFonts w:eastAsiaTheme="minorEastAsia"/>
        </w:rPr>
        <w:t>Ms. </w:t>
      </w:r>
      <w:r w:rsidRPr="00230BC2">
        <w:rPr>
          <w:rFonts w:eastAsiaTheme="minorEastAsia"/>
        </w:rPr>
        <w:t>Yemisi</w:t>
      </w:r>
      <w:r w:rsidRPr="00230BC2">
        <w:t xml:space="preserve">acted as tellers. </w:t>
      </w:r>
    </w:p>
    <w:p w14:paraId="06605184" w14:textId="77777777" w:rsidR="00EB6D9A" w:rsidRPr="00230BC2" w:rsidRDefault="00EB6D9A" w:rsidP="003466FC">
      <w:pPr>
        <w:pStyle w:val="Para1"/>
      </w:pPr>
      <w:r w:rsidRPr="00230BC2">
        <w:rPr>
          <w:rStyle w:val="ui-provider"/>
        </w:rPr>
        <w:t>The meeting was briefly suspended to allow for the counting of votes.</w:t>
      </w:r>
    </w:p>
    <w:p w14:paraId="3823E1D6" w14:textId="77777777" w:rsidR="00EB6D9A" w:rsidRPr="00230BC2" w:rsidRDefault="00EB6D9A" w:rsidP="007B1EE1">
      <w:pPr>
        <w:pStyle w:val="Para1"/>
        <w:keepNext/>
      </w:pPr>
      <w:r w:rsidRPr="00230BC2">
        <w:t xml:space="preserve">Subsequently, the Chair reported the results as follows: </w:t>
      </w:r>
    </w:p>
    <w:p w14:paraId="539BA103" w14:textId="3C6A1C7F"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Number of ballot papers: </w:t>
      </w:r>
      <w:r w:rsidRPr="00230BC2">
        <w:rPr>
          <w:sz w:val="22"/>
          <w:szCs w:val="22"/>
        </w:rPr>
        <w:tab/>
        <w:t>130</w:t>
      </w:r>
    </w:p>
    <w:p w14:paraId="147CDADE" w14:textId="4DD40B0E"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Invalid ballots: </w:t>
      </w:r>
      <w:r w:rsidRPr="00230BC2">
        <w:rPr>
          <w:sz w:val="22"/>
          <w:szCs w:val="22"/>
        </w:rPr>
        <w:tab/>
      </w:r>
      <w:r w:rsidR="00066AB6" w:rsidRPr="00230BC2">
        <w:rPr>
          <w:sz w:val="22"/>
          <w:szCs w:val="22"/>
        </w:rPr>
        <w:t>1</w:t>
      </w:r>
    </w:p>
    <w:p w14:paraId="14E523E8" w14:textId="5AB8E689"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Number of valid ballots: </w:t>
      </w:r>
      <w:r w:rsidRPr="00230BC2">
        <w:rPr>
          <w:sz w:val="22"/>
          <w:szCs w:val="22"/>
        </w:rPr>
        <w:tab/>
        <w:t>12</w:t>
      </w:r>
      <w:r w:rsidR="00066AB6" w:rsidRPr="00230BC2">
        <w:rPr>
          <w:sz w:val="22"/>
          <w:szCs w:val="22"/>
        </w:rPr>
        <w:t>9</w:t>
      </w:r>
    </w:p>
    <w:p w14:paraId="359F4A08" w14:textId="0270F66E"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Abstentions: </w:t>
      </w:r>
      <w:r w:rsidRPr="00230BC2">
        <w:rPr>
          <w:sz w:val="22"/>
          <w:szCs w:val="22"/>
        </w:rPr>
        <w:tab/>
        <w:t>1</w:t>
      </w:r>
      <w:r w:rsidR="00066AB6" w:rsidRPr="00230BC2">
        <w:rPr>
          <w:sz w:val="22"/>
          <w:szCs w:val="22"/>
        </w:rPr>
        <w:t>1</w:t>
      </w:r>
    </w:p>
    <w:p w14:paraId="3AE7EB13" w14:textId="60C03FC0"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Number of </w:t>
      </w:r>
      <w:r w:rsidR="003B37F6" w:rsidRPr="00230BC2">
        <w:rPr>
          <w:sz w:val="22"/>
          <w:szCs w:val="22"/>
        </w:rPr>
        <w:t xml:space="preserve">Parties present and </w:t>
      </w:r>
      <w:r w:rsidRPr="00230BC2">
        <w:rPr>
          <w:sz w:val="22"/>
          <w:szCs w:val="22"/>
        </w:rPr>
        <w:t xml:space="preserve">voting: </w:t>
      </w:r>
      <w:r w:rsidRPr="00230BC2">
        <w:rPr>
          <w:sz w:val="22"/>
          <w:szCs w:val="22"/>
        </w:rPr>
        <w:tab/>
        <w:t>11</w:t>
      </w:r>
      <w:r w:rsidR="00066AB6" w:rsidRPr="00230BC2">
        <w:rPr>
          <w:sz w:val="22"/>
          <w:szCs w:val="22"/>
        </w:rPr>
        <w:t>8</w:t>
      </w:r>
      <w:r w:rsidRPr="00230BC2">
        <w:rPr>
          <w:sz w:val="22"/>
          <w:szCs w:val="22"/>
        </w:rPr>
        <w:t xml:space="preserve"> </w:t>
      </w:r>
    </w:p>
    <w:p w14:paraId="6E320D65" w14:textId="25D27E6A"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Required majority: </w:t>
      </w:r>
      <w:r w:rsidRPr="00230BC2">
        <w:rPr>
          <w:sz w:val="22"/>
          <w:szCs w:val="22"/>
        </w:rPr>
        <w:tab/>
      </w:r>
      <w:r w:rsidR="00066AB6" w:rsidRPr="00230BC2">
        <w:rPr>
          <w:sz w:val="22"/>
          <w:szCs w:val="22"/>
        </w:rPr>
        <w:t>60</w:t>
      </w:r>
    </w:p>
    <w:p w14:paraId="1138BF33" w14:textId="1748631B" w:rsidR="00EB6D9A" w:rsidRPr="00230BC2" w:rsidRDefault="00EB6D9A" w:rsidP="00F67ABC">
      <w:pPr>
        <w:pStyle w:val="Normalnumber"/>
        <w:numPr>
          <w:ilvl w:val="0"/>
          <w:numId w:val="0"/>
        </w:numPr>
        <w:tabs>
          <w:tab w:val="clear" w:pos="1843"/>
          <w:tab w:val="left" w:pos="1620"/>
          <w:tab w:val="right" w:pos="6480"/>
        </w:tabs>
        <w:spacing w:after="40"/>
        <w:ind w:left="720"/>
        <w:rPr>
          <w:sz w:val="22"/>
          <w:szCs w:val="22"/>
        </w:rPr>
      </w:pPr>
      <w:r w:rsidRPr="00230BC2">
        <w:rPr>
          <w:sz w:val="22"/>
          <w:szCs w:val="22"/>
        </w:rPr>
        <w:t xml:space="preserve">Number of votes obtained: </w:t>
      </w:r>
    </w:p>
    <w:p w14:paraId="490BC365" w14:textId="02B31D5A" w:rsidR="00EB6D9A" w:rsidRPr="00230BC2" w:rsidRDefault="00EB6D9A" w:rsidP="00F67ABC">
      <w:pPr>
        <w:pStyle w:val="Normalnumber"/>
        <w:numPr>
          <w:ilvl w:val="0"/>
          <w:numId w:val="0"/>
        </w:numPr>
        <w:tabs>
          <w:tab w:val="clear" w:pos="1843"/>
          <w:tab w:val="left" w:pos="1620"/>
          <w:tab w:val="left" w:pos="1890"/>
          <w:tab w:val="right" w:pos="6480"/>
        </w:tabs>
        <w:spacing w:after="40"/>
        <w:ind w:left="720"/>
        <w:rPr>
          <w:sz w:val="22"/>
          <w:szCs w:val="22"/>
        </w:rPr>
      </w:pPr>
      <w:r w:rsidRPr="00230BC2">
        <w:rPr>
          <w:sz w:val="22"/>
          <w:szCs w:val="22"/>
        </w:rPr>
        <w:tab/>
      </w:r>
      <w:r w:rsidR="000C71AE" w:rsidRPr="00230BC2">
        <w:rPr>
          <w:sz w:val="22"/>
          <w:szCs w:val="22"/>
        </w:rPr>
        <w:t>Senka Barudanović (Bosnia and Herzegovina)</w:t>
      </w:r>
      <w:r w:rsidRPr="00230BC2">
        <w:rPr>
          <w:sz w:val="22"/>
          <w:szCs w:val="22"/>
        </w:rPr>
        <w:tab/>
      </w:r>
      <w:r w:rsidR="00066AB6" w:rsidRPr="00230BC2">
        <w:rPr>
          <w:sz w:val="22"/>
          <w:szCs w:val="22"/>
        </w:rPr>
        <w:t>69</w:t>
      </w:r>
      <w:r w:rsidRPr="00230BC2">
        <w:rPr>
          <w:sz w:val="22"/>
          <w:szCs w:val="22"/>
        </w:rPr>
        <w:t xml:space="preserve"> </w:t>
      </w:r>
    </w:p>
    <w:p w14:paraId="22A7716A" w14:textId="5299B77D" w:rsidR="00EB6D9A" w:rsidRPr="00230BC2" w:rsidRDefault="00EB6D9A" w:rsidP="00F67ABC">
      <w:pPr>
        <w:pStyle w:val="Normalnumber"/>
        <w:numPr>
          <w:ilvl w:val="0"/>
          <w:numId w:val="0"/>
        </w:numPr>
        <w:tabs>
          <w:tab w:val="clear" w:pos="1843"/>
          <w:tab w:val="left" w:pos="1620"/>
          <w:tab w:val="left" w:pos="1890"/>
          <w:tab w:val="right" w:pos="6480"/>
        </w:tabs>
        <w:ind w:left="720"/>
        <w:rPr>
          <w:sz w:val="22"/>
          <w:szCs w:val="22"/>
        </w:rPr>
      </w:pPr>
      <w:r w:rsidRPr="00230BC2">
        <w:rPr>
          <w:sz w:val="22"/>
          <w:szCs w:val="22"/>
        </w:rPr>
        <w:tab/>
      </w:r>
      <w:r w:rsidRPr="00230BC2">
        <w:rPr>
          <w:rFonts w:eastAsiaTheme="minorEastAsia"/>
          <w:bCs/>
          <w:sz w:val="22"/>
          <w:szCs w:val="22"/>
        </w:rPr>
        <w:t xml:space="preserve">Alexander Shestakov </w:t>
      </w:r>
      <w:r w:rsidRPr="00230BC2">
        <w:rPr>
          <w:sz w:val="22"/>
          <w:szCs w:val="22"/>
        </w:rPr>
        <w:t>(Russian Federation)</w:t>
      </w:r>
      <w:r w:rsidRPr="00230BC2">
        <w:rPr>
          <w:sz w:val="22"/>
          <w:szCs w:val="22"/>
        </w:rPr>
        <w:tab/>
      </w:r>
      <w:r w:rsidR="00066AB6" w:rsidRPr="00230BC2">
        <w:rPr>
          <w:sz w:val="22"/>
          <w:szCs w:val="22"/>
        </w:rPr>
        <w:t>49</w:t>
      </w:r>
    </w:p>
    <w:p w14:paraId="3638CD98" w14:textId="0A84A549" w:rsidR="001C4512" w:rsidRPr="00230BC2" w:rsidRDefault="000C71AE" w:rsidP="003466FC">
      <w:pPr>
        <w:pStyle w:val="Para1"/>
      </w:pPr>
      <w:r w:rsidRPr="00230BC2">
        <w:t xml:space="preserve">Having obtained the required majority, </w:t>
      </w:r>
      <w:r w:rsidR="00056C1F" w:rsidRPr="00230BC2">
        <w:t>Ms. </w:t>
      </w:r>
      <w:r w:rsidR="00EB6D9A" w:rsidRPr="00230BC2">
        <w:t xml:space="preserve">Barudanović </w:t>
      </w:r>
      <w:r w:rsidRPr="00230BC2">
        <w:t>was elected</w:t>
      </w:r>
      <w:r w:rsidR="00EB6D9A" w:rsidRPr="00230BC2">
        <w:t xml:space="preserve"> </w:t>
      </w:r>
      <w:r w:rsidR="001C4512" w:rsidRPr="00230BC2">
        <w:t xml:space="preserve">as Chair of the Subsidiary Body on Scientific, Technical and Technological Advice for a term of office </w:t>
      </w:r>
      <w:r w:rsidR="00EC5AEC" w:rsidRPr="00230BC2">
        <w:t>commencing at the end of the fifteenth meeting</w:t>
      </w:r>
      <w:r w:rsidR="001C4512" w:rsidRPr="00230BC2">
        <w:t xml:space="preserve"> </w:t>
      </w:r>
      <w:r w:rsidR="00EC5AEC" w:rsidRPr="00230BC2">
        <w:t xml:space="preserve">and ending at the close of </w:t>
      </w:r>
      <w:r w:rsidR="001C4512" w:rsidRPr="00230BC2">
        <w:t xml:space="preserve">the </w:t>
      </w:r>
      <w:r w:rsidR="00214A8C" w:rsidRPr="00230BC2">
        <w:t>six</w:t>
      </w:r>
      <w:r w:rsidR="001C4512" w:rsidRPr="00230BC2">
        <w:t>teenth meeting of the Conference of the Parties.</w:t>
      </w:r>
    </w:p>
    <w:p w14:paraId="38AD9226" w14:textId="53168F7E" w:rsidR="00352D5E" w:rsidRPr="00950BE4" w:rsidRDefault="00352D5E" w:rsidP="00950BE4">
      <w:pPr>
        <w:keepNext/>
        <w:suppressLineNumbers/>
        <w:tabs>
          <w:tab w:val="left" w:pos="709"/>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t>B.</w:t>
      </w:r>
      <w:r w:rsidRPr="00950BE4">
        <w:rPr>
          <w:b/>
          <w:bCs/>
          <w:snapToGrid w:val="0"/>
          <w:kern w:val="22"/>
          <w:szCs w:val="22"/>
        </w:rPr>
        <w:tab/>
        <w:t>Adoption of the agenda</w:t>
      </w:r>
    </w:p>
    <w:p w14:paraId="7E16BB39" w14:textId="656B33A7" w:rsidR="0088174B" w:rsidRPr="00230BC2" w:rsidRDefault="00506808" w:rsidP="003466FC">
      <w:pPr>
        <w:pStyle w:val="Para1"/>
      </w:pPr>
      <w:bookmarkStart w:id="414" w:name="_Hlk121915147"/>
      <w:bookmarkEnd w:id="412"/>
      <w:r w:rsidRPr="00230BC2">
        <w:t>T</w:t>
      </w:r>
      <w:r w:rsidR="00D51666" w:rsidRPr="00230BC2">
        <w:t>he agenda</w:t>
      </w:r>
      <w:r w:rsidRPr="00230BC2">
        <w:t xml:space="preserve"> </w:t>
      </w:r>
      <w:r w:rsidR="009E60C7" w:rsidRPr="00230BC2">
        <w:t>for</w:t>
      </w:r>
      <w:r w:rsidRPr="00230BC2">
        <w:t xml:space="preserve"> the fifteenth meeting</w:t>
      </w:r>
      <w:r w:rsidR="009E60C7" w:rsidRPr="00230BC2">
        <w:t xml:space="preserve"> of the Conference of the Parties</w:t>
      </w:r>
      <w:r w:rsidRPr="00230BC2">
        <w:t xml:space="preserve">, as adopted during </w:t>
      </w:r>
      <w:r w:rsidR="00206628" w:rsidRPr="00230BC2">
        <w:t xml:space="preserve">the first </w:t>
      </w:r>
      <w:r w:rsidRPr="00230BC2">
        <w:t>part</w:t>
      </w:r>
      <w:r w:rsidR="009E60C7" w:rsidRPr="00230BC2">
        <w:t xml:space="preserve"> </w:t>
      </w:r>
      <w:r w:rsidRPr="00230BC2">
        <w:t>of the meeting, was as follows:</w:t>
      </w:r>
      <w:bookmarkEnd w:id="414"/>
    </w:p>
    <w:p w14:paraId="1436EA88" w14:textId="1B807168" w:rsidR="00651048" w:rsidRPr="00230BC2" w:rsidRDefault="00651048" w:rsidP="0058385D">
      <w:pPr>
        <w:spacing w:before="120" w:after="120"/>
        <w:ind w:left="1138" w:hanging="720"/>
        <w:jc w:val="left"/>
        <w:rPr>
          <w:b/>
          <w:bCs/>
        </w:rPr>
      </w:pPr>
      <w:r w:rsidRPr="00230BC2">
        <w:rPr>
          <w:b/>
          <w:bCs/>
        </w:rPr>
        <w:t>I.</w:t>
      </w:r>
      <w:r w:rsidRPr="00230BC2">
        <w:rPr>
          <w:b/>
          <w:bCs/>
        </w:rPr>
        <w:tab/>
        <w:t>Organization</w:t>
      </w:r>
      <w:r w:rsidR="00DE307C" w:rsidRPr="00230BC2">
        <w:rPr>
          <w:b/>
          <w:bCs/>
        </w:rPr>
        <w:t>al</w:t>
      </w:r>
      <w:r w:rsidRPr="00230BC2">
        <w:rPr>
          <w:b/>
          <w:bCs/>
        </w:rPr>
        <w:t xml:space="preserve"> matters</w:t>
      </w:r>
    </w:p>
    <w:p w14:paraId="5ADD9BEA" w14:textId="49065D52" w:rsidR="00D114F0" w:rsidRPr="00230BC2" w:rsidRDefault="00D114F0" w:rsidP="0020184E">
      <w:pPr>
        <w:spacing w:before="120" w:after="120"/>
        <w:ind w:left="1138" w:hanging="720"/>
        <w:rPr>
          <w:szCs w:val="22"/>
        </w:rPr>
      </w:pPr>
      <w:r w:rsidRPr="00230BC2">
        <w:rPr>
          <w:szCs w:val="22"/>
        </w:rPr>
        <w:t>1.</w:t>
      </w:r>
      <w:r w:rsidRPr="00230BC2">
        <w:rPr>
          <w:szCs w:val="22"/>
        </w:rPr>
        <w:tab/>
        <w:t>Opening of the meeting</w:t>
      </w:r>
    </w:p>
    <w:p w14:paraId="0BB35058" w14:textId="5E9D7D52" w:rsidR="0046688D" w:rsidRPr="00230BC2" w:rsidRDefault="0046688D" w:rsidP="00D114F0">
      <w:pPr>
        <w:spacing w:before="120" w:after="120"/>
        <w:ind w:left="1134" w:hanging="720"/>
        <w:rPr>
          <w:szCs w:val="22"/>
        </w:rPr>
      </w:pPr>
      <w:r w:rsidRPr="00230BC2">
        <w:rPr>
          <w:szCs w:val="22"/>
        </w:rPr>
        <w:t>2.</w:t>
      </w:r>
      <w:r w:rsidRPr="00230BC2">
        <w:rPr>
          <w:szCs w:val="22"/>
        </w:rPr>
        <w:tab/>
        <w:t>Organizational matters.</w:t>
      </w:r>
    </w:p>
    <w:p w14:paraId="791DF6D0" w14:textId="77777777" w:rsidR="0046688D" w:rsidRPr="00230BC2" w:rsidRDefault="0046688D" w:rsidP="00D114F0">
      <w:pPr>
        <w:spacing w:before="120" w:after="120"/>
        <w:ind w:left="1134" w:hanging="720"/>
        <w:rPr>
          <w:szCs w:val="22"/>
        </w:rPr>
      </w:pPr>
      <w:r w:rsidRPr="00230BC2">
        <w:rPr>
          <w:szCs w:val="22"/>
        </w:rPr>
        <w:lastRenderedPageBreak/>
        <w:t>3.</w:t>
      </w:r>
      <w:r w:rsidRPr="00230BC2">
        <w:rPr>
          <w:szCs w:val="22"/>
        </w:rPr>
        <w:tab/>
        <w:t>Report on the credentials of representatives to the fifteenth meeting of the Conference of the Parties.</w:t>
      </w:r>
    </w:p>
    <w:p w14:paraId="0D928845" w14:textId="77777777" w:rsidR="0046688D" w:rsidRPr="00230BC2" w:rsidRDefault="0046688D" w:rsidP="00D114F0">
      <w:pPr>
        <w:spacing w:before="120" w:after="120"/>
        <w:ind w:left="1134" w:hanging="720"/>
        <w:rPr>
          <w:szCs w:val="22"/>
        </w:rPr>
      </w:pPr>
      <w:r w:rsidRPr="00230BC2">
        <w:rPr>
          <w:szCs w:val="22"/>
        </w:rPr>
        <w:t>4.</w:t>
      </w:r>
      <w:r w:rsidRPr="00230BC2">
        <w:rPr>
          <w:szCs w:val="22"/>
        </w:rPr>
        <w:tab/>
        <w:t>Pending issues.</w:t>
      </w:r>
    </w:p>
    <w:p w14:paraId="49827889" w14:textId="77777777" w:rsidR="0046688D" w:rsidRPr="00230BC2" w:rsidRDefault="0046688D" w:rsidP="00D114F0">
      <w:pPr>
        <w:spacing w:before="120" w:after="120"/>
        <w:ind w:left="1134" w:hanging="720"/>
        <w:rPr>
          <w:szCs w:val="22"/>
        </w:rPr>
      </w:pPr>
      <w:r w:rsidRPr="00230BC2">
        <w:rPr>
          <w:szCs w:val="22"/>
        </w:rPr>
        <w:t>5.</w:t>
      </w:r>
      <w:r w:rsidRPr="00230BC2">
        <w:rPr>
          <w:szCs w:val="22"/>
        </w:rPr>
        <w:tab/>
        <w:t>Date and venue of future meetings of the Conference of the Parties.</w:t>
      </w:r>
    </w:p>
    <w:p w14:paraId="2B72DF09" w14:textId="774674B3" w:rsidR="00694BA0" w:rsidRPr="00230BC2" w:rsidRDefault="00694BA0" w:rsidP="0058385D">
      <w:pPr>
        <w:spacing w:before="120" w:after="120"/>
        <w:ind w:left="1134" w:hanging="720"/>
        <w:jc w:val="left"/>
        <w:rPr>
          <w:b/>
          <w:bCs/>
          <w:szCs w:val="22"/>
        </w:rPr>
      </w:pPr>
      <w:r w:rsidRPr="00230BC2">
        <w:rPr>
          <w:b/>
          <w:bCs/>
          <w:szCs w:val="22"/>
        </w:rPr>
        <w:t>II</w:t>
      </w:r>
      <w:r w:rsidRPr="00230BC2">
        <w:rPr>
          <w:b/>
          <w:bCs/>
          <w:szCs w:val="22"/>
        </w:rPr>
        <w:tab/>
        <w:t>Reports</w:t>
      </w:r>
    </w:p>
    <w:p w14:paraId="7E873243" w14:textId="74D506CD" w:rsidR="0046688D" w:rsidRPr="00230BC2" w:rsidRDefault="0046688D" w:rsidP="00D114F0">
      <w:pPr>
        <w:spacing w:before="120" w:after="120"/>
        <w:ind w:left="1134" w:hanging="720"/>
        <w:rPr>
          <w:szCs w:val="22"/>
        </w:rPr>
      </w:pPr>
      <w:r w:rsidRPr="00230BC2">
        <w:rPr>
          <w:szCs w:val="22"/>
        </w:rPr>
        <w:t>6.</w:t>
      </w:r>
      <w:r w:rsidRPr="00230BC2">
        <w:rPr>
          <w:szCs w:val="22"/>
        </w:rPr>
        <w:tab/>
        <w:t>Reports of intersessional and regional preparatory meetings.</w:t>
      </w:r>
    </w:p>
    <w:p w14:paraId="30F705C6" w14:textId="098CE8E6" w:rsidR="00FB7299" w:rsidRPr="00230BC2" w:rsidRDefault="00FB7299" w:rsidP="0058385D">
      <w:pPr>
        <w:spacing w:before="120" w:after="120"/>
        <w:ind w:left="1134" w:hanging="720"/>
        <w:jc w:val="left"/>
        <w:rPr>
          <w:b/>
          <w:bCs/>
          <w:szCs w:val="22"/>
        </w:rPr>
      </w:pPr>
      <w:r w:rsidRPr="00230BC2">
        <w:rPr>
          <w:b/>
          <w:bCs/>
          <w:szCs w:val="22"/>
        </w:rPr>
        <w:t>III.</w:t>
      </w:r>
      <w:r w:rsidRPr="00230BC2">
        <w:rPr>
          <w:b/>
          <w:bCs/>
          <w:szCs w:val="22"/>
        </w:rPr>
        <w:tab/>
        <w:t>Administration and budget</w:t>
      </w:r>
    </w:p>
    <w:p w14:paraId="510D0CB2" w14:textId="4EFBE7C3" w:rsidR="0046688D" w:rsidRPr="00230BC2" w:rsidRDefault="0046688D" w:rsidP="00D114F0">
      <w:pPr>
        <w:spacing w:before="120" w:after="120"/>
        <w:ind w:left="1134" w:hanging="720"/>
        <w:rPr>
          <w:szCs w:val="22"/>
        </w:rPr>
      </w:pPr>
      <w:r w:rsidRPr="00230BC2">
        <w:rPr>
          <w:szCs w:val="22"/>
        </w:rPr>
        <w:t>7.</w:t>
      </w:r>
      <w:r w:rsidRPr="00230BC2">
        <w:rPr>
          <w:szCs w:val="22"/>
        </w:rPr>
        <w:tab/>
        <w:t xml:space="preserve">Administration of the Convention and budget for the trust funds. </w:t>
      </w:r>
    </w:p>
    <w:p w14:paraId="5398CA02" w14:textId="650CE562" w:rsidR="00694BA0" w:rsidRPr="00230BC2" w:rsidRDefault="00694BA0" w:rsidP="0058385D">
      <w:pPr>
        <w:spacing w:before="120" w:after="120"/>
        <w:ind w:left="1134" w:hanging="720"/>
        <w:jc w:val="left"/>
        <w:rPr>
          <w:b/>
          <w:bCs/>
          <w:szCs w:val="22"/>
        </w:rPr>
      </w:pPr>
      <w:r w:rsidRPr="00230BC2">
        <w:rPr>
          <w:b/>
          <w:bCs/>
          <w:szCs w:val="22"/>
        </w:rPr>
        <w:t>I</w:t>
      </w:r>
      <w:r w:rsidR="00FB7299" w:rsidRPr="00230BC2">
        <w:rPr>
          <w:b/>
          <w:bCs/>
          <w:szCs w:val="22"/>
        </w:rPr>
        <w:t>V</w:t>
      </w:r>
      <w:r w:rsidRPr="00230BC2">
        <w:rPr>
          <w:b/>
          <w:bCs/>
          <w:szCs w:val="22"/>
        </w:rPr>
        <w:t>.</w:t>
      </w:r>
      <w:r w:rsidRPr="00230BC2">
        <w:rPr>
          <w:b/>
          <w:bCs/>
          <w:szCs w:val="22"/>
        </w:rPr>
        <w:tab/>
      </w:r>
      <w:r w:rsidR="00FB7299" w:rsidRPr="00230BC2">
        <w:rPr>
          <w:b/>
          <w:bCs/>
          <w:szCs w:val="22"/>
        </w:rPr>
        <w:t>Review of implementation</w:t>
      </w:r>
    </w:p>
    <w:p w14:paraId="1354342E" w14:textId="22B92B7B" w:rsidR="0046688D" w:rsidRPr="00230BC2" w:rsidRDefault="0046688D" w:rsidP="00D114F0">
      <w:pPr>
        <w:spacing w:before="120" w:after="120"/>
        <w:ind w:left="1134" w:hanging="720"/>
        <w:rPr>
          <w:szCs w:val="22"/>
        </w:rPr>
      </w:pPr>
      <w:r w:rsidRPr="00230BC2">
        <w:rPr>
          <w:szCs w:val="22"/>
        </w:rPr>
        <w:t>8.</w:t>
      </w:r>
      <w:r w:rsidRPr="00230BC2">
        <w:rPr>
          <w:szCs w:val="22"/>
        </w:rPr>
        <w:tab/>
        <w:t>Review of progress in the implementation of the Convention and the Strategic Plan for Biodiversity 2011</w:t>
      </w:r>
      <w:r w:rsidR="004A5B00" w:rsidRPr="00230BC2">
        <w:rPr>
          <w:szCs w:val="22"/>
        </w:rPr>
        <w:t>–</w:t>
      </w:r>
      <w:r w:rsidRPr="00230BC2">
        <w:rPr>
          <w:szCs w:val="22"/>
        </w:rPr>
        <w:t>2020 and the achievement of the Aichi Biodiversity Targets.</w:t>
      </w:r>
    </w:p>
    <w:p w14:paraId="5253AA59" w14:textId="67E14240" w:rsidR="00FB7299" w:rsidRPr="00230BC2" w:rsidRDefault="00FB7299" w:rsidP="0058385D">
      <w:pPr>
        <w:spacing w:before="120" w:after="120"/>
        <w:ind w:left="1134" w:hanging="720"/>
        <w:jc w:val="left"/>
        <w:rPr>
          <w:b/>
          <w:bCs/>
          <w:szCs w:val="22"/>
        </w:rPr>
      </w:pPr>
      <w:r w:rsidRPr="00230BC2">
        <w:rPr>
          <w:b/>
          <w:bCs/>
          <w:szCs w:val="22"/>
        </w:rPr>
        <w:t>V.</w:t>
      </w:r>
      <w:r w:rsidRPr="00230BC2">
        <w:rPr>
          <w:b/>
          <w:bCs/>
          <w:szCs w:val="22"/>
        </w:rPr>
        <w:tab/>
        <w:t xml:space="preserve">The post-2020 </w:t>
      </w:r>
      <w:r w:rsidR="00D453B6" w:rsidRPr="00230BC2">
        <w:rPr>
          <w:b/>
          <w:bCs/>
          <w:szCs w:val="22"/>
        </w:rPr>
        <w:t>g</w:t>
      </w:r>
      <w:r w:rsidRPr="00230BC2">
        <w:rPr>
          <w:b/>
          <w:bCs/>
          <w:szCs w:val="22"/>
        </w:rPr>
        <w:t xml:space="preserve">lobal </w:t>
      </w:r>
      <w:r w:rsidR="00D453B6" w:rsidRPr="00230BC2">
        <w:rPr>
          <w:b/>
          <w:bCs/>
          <w:szCs w:val="22"/>
        </w:rPr>
        <w:t>b</w:t>
      </w:r>
      <w:r w:rsidRPr="00230BC2">
        <w:rPr>
          <w:b/>
          <w:bCs/>
          <w:szCs w:val="22"/>
        </w:rPr>
        <w:t xml:space="preserve">iodiversity </w:t>
      </w:r>
      <w:r w:rsidR="00D453B6" w:rsidRPr="00230BC2">
        <w:rPr>
          <w:b/>
          <w:bCs/>
          <w:szCs w:val="22"/>
        </w:rPr>
        <w:t>f</w:t>
      </w:r>
      <w:r w:rsidRPr="00230BC2">
        <w:rPr>
          <w:b/>
          <w:bCs/>
          <w:szCs w:val="22"/>
        </w:rPr>
        <w:t>ramework, related matters and mechanisms for enhancing implementation</w:t>
      </w:r>
    </w:p>
    <w:p w14:paraId="7E17C589" w14:textId="768B1FE6" w:rsidR="0046688D" w:rsidRPr="00230BC2" w:rsidRDefault="0046688D" w:rsidP="00D114F0">
      <w:pPr>
        <w:spacing w:before="120" w:after="120"/>
        <w:ind w:left="1134" w:hanging="720"/>
        <w:rPr>
          <w:szCs w:val="22"/>
        </w:rPr>
      </w:pPr>
      <w:r w:rsidRPr="00230BC2">
        <w:rPr>
          <w:szCs w:val="22"/>
        </w:rPr>
        <w:t>9.</w:t>
      </w:r>
      <w:r w:rsidRPr="00230BC2">
        <w:rPr>
          <w:szCs w:val="22"/>
        </w:rPr>
        <w:tab/>
        <w:t>The post-2020 global biodiversity framework.</w:t>
      </w:r>
    </w:p>
    <w:p w14:paraId="71021A78" w14:textId="77777777" w:rsidR="0046688D" w:rsidRPr="00230BC2" w:rsidRDefault="0046688D" w:rsidP="00D114F0">
      <w:pPr>
        <w:spacing w:before="120" w:after="120"/>
        <w:ind w:left="1134" w:hanging="720"/>
        <w:rPr>
          <w:szCs w:val="22"/>
        </w:rPr>
      </w:pPr>
      <w:r w:rsidRPr="00230BC2">
        <w:rPr>
          <w:szCs w:val="22"/>
        </w:rPr>
        <w:t>10.</w:t>
      </w:r>
      <w:r w:rsidRPr="00230BC2">
        <w:rPr>
          <w:szCs w:val="22"/>
        </w:rPr>
        <w:tab/>
        <w:t>Enhancing integration with respect to provisions related to Article 8(j) and related provisions.</w:t>
      </w:r>
    </w:p>
    <w:p w14:paraId="78BE579D" w14:textId="77777777" w:rsidR="0046688D" w:rsidRPr="00230BC2" w:rsidRDefault="0046688D" w:rsidP="00D114F0">
      <w:pPr>
        <w:spacing w:before="120" w:after="120"/>
        <w:ind w:left="1134" w:hanging="720"/>
        <w:rPr>
          <w:szCs w:val="22"/>
        </w:rPr>
      </w:pPr>
      <w:r w:rsidRPr="00230BC2">
        <w:rPr>
          <w:szCs w:val="22"/>
        </w:rPr>
        <w:t>11.</w:t>
      </w:r>
      <w:r w:rsidRPr="00230BC2">
        <w:rPr>
          <w:szCs w:val="22"/>
        </w:rPr>
        <w:tab/>
        <w:t>Digital sequence information on genetic resources.</w:t>
      </w:r>
    </w:p>
    <w:p w14:paraId="39342323" w14:textId="77777777" w:rsidR="0046688D" w:rsidRPr="00230BC2" w:rsidRDefault="0046688D" w:rsidP="00D114F0">
      <w:pPr>
        <w:spacing w:before="120" w:after="120"/>
        <w:ind w:left="1134" w:hanging="720"/>
        <w:rPr>
          <w:szCs w:val="22"/>
        </w:rPr>
      </w:pPr>
      <w:r w:rsidRPr="00230BC2">
        <w:rPr>
          <w:szCs w:val="22"/>
        </w:rPr>
        <w:t>12.</w:t>
      </w:r>
      <w:r w:rsidRPr="00230BC2">
        <w:rPr>
          <w:szCs w:val="22"/>
        </w:rPr>
        <w:tab/>
        <w:t>Resource mobilization and the financial mechanism.</w:t>
      </w:r>
    </w:p>
    <w:p w14:paraId="2034CE5B" w14:textId="77777777" w:rsidR="0046688D" w:rsidRPr="00230BC2" w:rsidRDefault="0046688D" w:rsidP="00D114F0">
      <w:pPr>
        <w:spacing w:before="120" w:after="120"/>
        <w:ind w:left="1134" w:hanging="720"/>
        <w:rPr>
          <w:szCs w:val="22"/>
        </w:rPr>
      </w:pPr>
      <w:r w:rsidRPr="00230BC2">
        <w:rPr>
          <w:szCs w:val="22"/>
        </w:rPr>
        <w:t>13.</w:t>
      </w:r>
      <w:r w:rsidRPr="00230BC2">
        <w:rPr>
          <w:szCs w:val="22"/>
        </w:rPr>
        <w:tab/>
        <w:t>Capacity-building, technical and scientific cooperation, knowledge management and communication.</w:t>
      </w:r>
    </w:p>
    <w:p w14:paraId="24DD4E54" w14:textId="77777777" w:rsidR="0046688D" w:rsidRPr="00230BC2" w:rsidRDefault="0046688D" w:rsidP="00D114F0">
      <w:pPr>
        <w:spacing w:before="120" w:after="120"/>
        <w:ind w:left="1134" w:hanging="720"/>
        <w:rPr>
          <w:szCs w:val="22"/>
        </w:rPr>
      </w:pPr>
      <w:r w:rsidRPr="00230BC2">
        <w:rPr>
          <w:szCs w:val="22"/>
        </w:rPr>
        <w:t>14.</w:t>
      </w:r>
      <w:r w:rsidRPr="00230BC2">
        <w:rPr>
          <w:szCs w:val="22"/>
        </w:rPr>
        <w:tab/>
        <w:t>Mechanisms for planning, monitoring, reporting and review.</w:t>
      </w:r>
    </w:p>
    <w:p w14:paraId="5912BB1D" w14:textId="77777777" w:rsidR="0046688D" w:rsidRPr="00230BC2" w:rsidRDefault="0046688D" w:rsidP="00D114F0">
      <w:pPr>
        <w:spacing w:before="120" w:after="120"/>
        <w:ind w:left="1134" w:hanging="720"/>
        <w:rPr>
          <w:kern w:val="22"/>
          <w:szCs w:val="22"/>
          <w:lang w:eastAsia="ko-KR"/>
        </w:rPr>
      </w:pPr>
      <w:r w:rsidRPr="00230BC2">
        <w:rPr>
          <w:szCs w:val="22"/>
        </w:rPr>
        <w:t>15.</w:t>
      </w:r>
      <w:r w:rsidRPr="00230BC2">
        <w:rPr>
          <w:szCs w:val="22"/>
        </w:rPr>
        <w:tab/>
      </w:r>
      <w:r w:rsidRPr="00230BC2">
        <w:rPr>
          <w:kern w:val="22"/>
          <w:szCs w:val="22"/>
          <w:lang w:eastAsia="ko-KR"/>
        </w:rPr>
        <w:t>Cooperation with other conventions and international organizations.</w:t>
      </w:r>
    </w:p>
    <w:p w14:paraId="3EA13621" w14:textId="77777777" w:rsidR="0046688D" w:rsidRPr="00230BC2" w:rsidRDefault="0046688D" w:rsidP="00D114F0">
      <w:pPr>
        <w:spacing w:before="120" w:after="120"/>
        <w:ind w:left="1134" w:hanging="720"/>
        <w:rPr>
          <w:kern w:val="22"/>
          <w:szCs w:val="22"/>
          <w:lang w:eastAsia="ko-KR"/>
        </w:rPr>
      </w:pPr>
      <w:r w:rsidRPr="00230BC2">
        <w:rPr>
          <w:kern w:val="22"/>
          <w:szCs w:val="22"/>
          <w:lang w:eastAsia="ko-KR"/>
        </w:rPr>
        <w:t>16.</w:t>
      </w:r>
      <w:r w:rsidRPr="00230BC2">
        <w:rPr>
          <w:kern w:val="22"/>
          <w:szCs w:val="22"/>
          <w:lang w:eastAsia="ko-KR"/>
        </w:rPr>
        <w:tab/>
      </w:r>
      <w:r w:rsidRPr="00230BC2">
        <w:rPr>
          <w:szCs w:val="22"/>
        </w:rPr>
        <w:t>Mainstreaming of biodiversity within and across sectors.</w:t>
      </w:r>
    </w:p>
    <w:p w14:paraId="49A66DB9" w14:textId="77777777" w:rsidR="0046688D" w:rsidRPr="00230BC2" w:rsidRDefault="0046688D" w:rsidP="00D114F0">
      <w:pPr>
        <w:spacing w:before="120" w:after="120"/>
        <w:ind w:left="1134" w:hanging="720"/>
        <w:rPr>
          <w:szCs w:val="22"/>
        </w:rPr>
      </w:pPr>
      <w:r w:rsidRPr="00230BC2">
        <w:rPr>
          <w:szCs w:val="22"/>
        </w:rPr>
        <w:t>17.</w:t>
      </w:r>
      <w:r w:rsidRPr="00230BC2">
        <w:rPr>
          <w:szCs w:val="22"/>
        </w:rPr>
        <w:tab/>
        <w:t>Review of the effectiveness of processes under the Convention and its Protocols.</w:t>
      </w:r>
    </w:p>
    <w:p w14:paraId="10CC34F7" w14:textId="77777777" w:rsidR="0046688D" w:rsidRPr="00230BC2" w:rsidRDefault="0046688D" w:rsidP="00D114F0">
      <w:pPr>
        <w:spacing w:before="120" w:after="120"/>
        <w:ind w:left="1134" w:hanging="720"/>
        <w:rPr>
          <w:szCs w:val="22"/>
        </w:rPr>
      </w:pPr>
      <w:r w:rsidRPr="00230BC2">
        <w:rPr>
          <w:szCs w:val="22"/>
        </w:rPr>
        <w:t>18.</w:t>
      </w:r>
      <w:r w:rsidRPr="00230BC2">
        <w:rPr>
          <w:szCs w:val="22"/>
        </w:rPr>
        <w:tab/>
        <w:t>Multi-year programme of work of the Conference of the Parties.</w:t>
      </w:r>
    </w:p>
    <w:p w14:paraId="38CDEB4C" w14:textId="5D81DEBB" w:rsidR="00DE307C" w:rsidRPr="00230BC2" w:rsidRDefault="00DE307C" w:rsidP="0058385D">
      <w:pPr>
        <w:spacing w:before="120" w:after="120"/>
        <w:ind w:left="1134" w:hanging="720"/>
        <w:jc w:val="left"/>
        <w:rPr>
          <w:b/>
          <w:bCs/>
          <w:szCs w:val="22"/>
        </w:rPr>
      </w:pPr>
      <w:r w:rsidRPr="00230BC2">
        <w:rPr>
          <w:b/>
          <w:bCs/>
          <w:szCs w:val="22"/>
        </w:rPr>
        <w:t>VI.</w:t>
      </w:r>
      <w:r w:rsidRPr="00230BC2">
        <w:rPr>
          <w:b/>
          <w:bCs/>
          <w:szCs w:val="22"/>
        </w:rPr>
        <w:tab/>
        <w:t>F</w:t>
      </w:r>
      <w:r w:rsidRPr="00230BC2">
        <w:rPr>
          <w:b/>
          <w:bCs/>
        </w:rPr>
        <w:t>urther technical issues</w:t>
      </w:r>
    </w:p>
    <w:p w14:paraId="1E573749" w14:textId="54B82E1D" w:rsidR="0046688D" w:rsidRPr="00230BC2" w:rsidRDefault="0046688D" w:rsidP="00D114F0">
      <w:pPr>
        <w:spacing w:before="120" w:after="120"/>
        <w:ind w:left="1134" w:hanging="720"/>
        <w:rPr>
          <w:szCs w:val="22"/>
        </w:rPr>
      </w:pPr>
      <w:r w:rsidRPr="00230BC2">
        <w:rPr>
          <w:szCs w:val="22"/>
        </w:rPr>
        <w:t>19.</w:t>
      </w:r>
      <w:r w:rsidRPr="00230BC2">
        <w:rPr>
          <w:szCs w:val="22"/>
        </w:rPr>
        <w:tab/>
        <w:t>Protected areas and other effective area-based conservation measures.</w:t>
      </w:r>
    </w:p>
    <w:p w14:paraId="12F0BFF7" w14:textId="77777777" w:rsidR="0046688D" w:rsidRPr="00230BC2" w:rsidRDefault="0046688D" w:rsidP="00D114F0">
      <w:pPr>
        <w:spacing w:before="120" w:after="120"/>
        <w:ind w:left="1134" w:hanging="720"/>
        <w:rPr>
          <w:szCs w:val="22"/>
        </w:rPr>
      </w:pPr>
      <w:r w:rsidRPr="00230BC2">
        <w:rPr>
          <w:szCs w:val="22"/>
        </w:rPr>
        <w:t>20.</w:t>
      </w:r>
      <w:r w:rsidRPr="00230BC2">
        <w:rPr>
          <w:szCs w:val="22"/>
        </w:rPr>
        <w:tab/>
        <w:t>Marine and coastal biodiversity.</w:t>
      </w:r>
    </w:p>
    <w:p w14:paraId="39013568" w14:textId="77777777" w:rsidR="0046688D" w:rsidRPr="00230BC2" w:rsidRDefault="0046688D" w:rsidP="00D114F0">
      <w:pPr>
        <w:spacing w:before="120" w:after="120"/>
        <w:ind w:left="1134" w:hanging="720"/>
        <w:rPr>
          <w:szCs w:val="22"/>
        </w:rPr>
      </w:pPr>
      <w:r w:rsidRPr="00230BC2">
        <w:rPr>
          <w:szCs w:val="22"/>
        </w:rPr>
        <w:t>21.</w:t>
      </w:r>
      <w:r w:rsidRPr="00230BC2">
        <w:rPr>
          <w:szCs w:val="22"/>
        </w:rPr>
        <w:tab/>
        <w:t>Invasive alien species.</w:t>
      </w:r>
    </w:p>
    <w:p w14:paraId="7E6AA5FA" w14:textId="77777777" w:rsidR="0046688D" w:rsidRPr="00230BC2" w:rsidRDefault="0046688D" w:rsidP="00D114F0">
      <w:pPr>
        <w:spacing w:before="120" w:after="120"/>
        <w:ind w:left="1134" w:hanging="720"/>
        <w:rPr>
          <w:szCs w:val="22"/>
        </w:rPr>
      </w:pPr>
      <w:r w:rsidRPr="00230BC2">
        <w:rPr>
          <w:szCs w:val="22"/>
        </w:rPr>
        <w:t>22.</w:t>
      </w:r>
      <w:r w:rsidRPr="00230BC2">
        <w:rPr>
          <w:szCs w:val="22"/>
        </w:rPr>
        <w:tab/>
        <w:t>Sustainable wildlife management.</w:t>
      </w:r>
    </w:p>
    <w:p w14:paraId="5C6E67CC" w14:textId="77777777" w:rsidR="0046688D" w:rsidRPr="00230BC2" w:rsidRDefault="0046688D" w:rsidP="00D114F0">
      <w:pPr>
        <w:spacing w:before="120" w:after="120"/>
        <w:ind w:left="1134" w:hanging="720"/>
        <w:rPr>
          <w:szCs w:val="22"/>
        </w:rPr>
      </w:pPr>
      <w:r w:rsidRPr="00230BC2">
        <w:rPr>
          <w:szCs w:val="22"/>
        </w:rPr>
        <w:t>23.</w:t>
      </w:r>
      <w:r w:rsidRPr="00230BC2">
        <w:rPr>
          <w:szCs w:val="22"/>
        </w:rPr>
        <w:tab/>
        <w:t>Biodiversity and climate change.</w:t>
      </w:r>
    </w:p>
    <w:p w14:paraId="1290E03E" w14:textId="77777777" w:rsidR="0046688D" w:rsidRPr="00230BC2" w:rsidRDefault="0046688D" w:rsidP="00D114F0">
      <w:pPr>
        <w:spacing w:before="120" w:after="120"/>
        <w:ind w:left="1134" w:hanging="720"/>
        <w:rPr>
          <w:szCs w:val="22"/>
        </w:rPr>
      </w:pPr>
      <w:r w:rsidRPr="00230BC2">
        <w:rPr>
          <w:szCs w:val="22"/>
        </w:rPr>
        <w:t>24.</w:t>
      </w:r>
      <w:r w:rsidRPr="00230BC2">
        <w:rPr>
          <w:szCs w:val="22"/>
        </w:rPr>
        <w:tab/>
        <w:t>Biodiversity and agriculture.</w:t>
      </w:r>
    </w:p>
    <w:p w14:paraId="5AF769E9" w14:textId="77777777" w:rsidR="0046688D" w:rsidRPr="00230BC2" w:rsidRDefault="0046688D" w:rsidP="00D114F0">
      <w:pPr>
        <w:spacing w:before="120" w:after="120"/>
        <w:ind w:left="1134" w:hanging="720"/>
        <w:rPr>
          <w:szCs w:val="22"/>
        </w:rPr>
      </w:pPr>
      <w:r w:rsidRPr="00230BC2">
        <w:rPr>
          <w:szCs w:val="22"/>
        </w:rPr>
        <w:t>25.</w:t>
      </w:r>
      <w:r w:rsidRPr="00230BC2">
        <w:rPr>
          <w:szCs w:val="22"/>
        </w:rPr>
        <w:tab/>
        <w:t>Biodiversity and health.</w:t>
      </w:r>
    </w:p>
    <w:p w14:paraId="60A7031B" w14:textId="77777777" w:rsidR="0046688D" w:rsidRPr="00230BC2" w:rsidRDefault="0046688D" w:rsidP="00D114F0">
      <w:pPr>
        <w:spacing w:before="120" w:after="120"/>
        <w:ind w:left="1134" w:hanging="720"/>
        <w:rPr>
          <w:szCs w:val="22"/>
        </w:rPr>
      </w:pPr>
      <w:r w:rsidRPr="00230BC2">
        <w:rPr>
          <w:szCs w:val="22"/>
        </w:rPr>
        <w:t>26.</w:t>
      </w:r>
      <w:r w:rsidRPr="00230BC2">
        <w:rPr>
          <w:szCs w:val="22"/>
        </w:rPr>
        <w:tab/>
        <w:t>Nature and culture.</w:t>
      </w:r>
    </w:p>
    <w:p w14:paraId="022F1F7E" w14:textId="77777777" w:rsidR="0046688D" w:rsidRPr="00230BC2" w:rsidRDefault="0046688D" w:rsidP="00D114F0">
      <w:pPr>
        <w:spacing w:before="120" w:after="120"/>
        <w:ind w:left="1134" w:hanging="720"/>
        <w:rPr>
          <w:szCs w:val="22"/>
        </w:rPr>
      </w:pPr>
      <w:r w:rsidRPr="00230BC2">
        <w:rPr>
          <w:szCs w:val="22"/>
        </w:rPr>
        <w:t>27.</w:t>
      </w:r>
      <w:r w:rsidRPr="00230BC2">
        <w:rPr>
          <w:szCs w:val="22"/>
        </w:rPr>
        <w:tab/>
        <w:t>Synthetic biology.</w:t>
      </w:r>
    </w:p>
    <w:p w14:paraId="7E746EC4" w14:textId="460BA517" w:rsidR="00DE307C" w:rsidRPr="00230BC2" w:rsidRDefault="00DE307C" w:rsidP="0058385D">
      <w:pPr>
        <w:spacing w:before="120" w:after="120"/>
        <w:ind w:left="1134" w:hanging="720"/>
        <w:jc w:val="left"/>
        <w:rPr>
          <w:b/>
          <w:bCs/>
          <w:szCs w:val="22"/>
        </w:rPr>
      </w:pPr>
      <w:r w:rsidRPr="00230BC2">
        <w:rPr>
          <w:b/>
          <w:bCs/>
          <w:szCs w:val="22"/>
        </w:rPr>
        <w:t>VII.</w:t>
      </w:r>
      <w:r w:rsidRPr="00230BC2">
        <w:rPr>
          <w:b/>
          <w:bCs/>
          <w:szCs w:val="22"/>
        </w:rPr>
        <w:tab/>
        <w:t>Final matters</w:t>
      </w:r>
    </w:p>
    <w:p w14:paraId="48FFD05F" w14:textId="7C6D0C0E" w:rsidR="0046688D" w:rsidRPr="00230BC2" w:rsidRDefault="0046688D" w:rsidP="00D114F0">
      <w:pPr>
        <w:spacing w:before="120" w:after="120"/>
        <w:ind w:left="1134" w:hanging="720"/>
        <w:rPr>
          <w:szCs w:val="22"/>
        </w:rPr>
      </w:pPr>
      <w:r w:rsidRPr="00230BC2">
        <w:rPr>
          <w:szCs w:val="22"/>
        </w:rPr>
        <w:t>28.</w:t>
      </w:r>
      <w:r w:rsidRPr="00230BC2">
        <w:rPr>
          <w:szCs w:val="22"/>
        </w:rPr>
        <w:tab/>
        <w:t>Other matters.</w:t>
      </w:r>
    </w:p>
    <w:p w14:paraId="18E9A022" w14:textId="77777777" w:rsidR="0046688D" w:rsidRPr="00230BC2" w:rsidRDefault="0046688D" w:rsidP="00D114F0">
      <w:pPr>
        <w:spacing w:before="120" w:after="120"/>
        <w:ind w:left="1134" w:hanging="720"/>
        <w:rPr>
          <w:szCs w:val="22"/>
        </w:rPr>
      </w:pPr>
      <w:r w:rsidRPr="00230BC2">
        <w:rPr>
          <w:szCs w:val="22"/>
        </w:rPr>
        <w:t>29.</w:t>
      </w:r>
      <w:r w:rsidRPr="00230BC2">
        <w:rPr>
          <w:szCs w:val="22"/>
        </w:rPr>
        <w:tab/>
        <w:t>Adoption of the report.</w:t>
      </w:r>
    </w:p>
    <w:p w14:paraId="55B1071A" w14:textId="77777777" w:rsidR="0046688D" w:rsidRPr="00230BC2" w:rsidRDefault="0046688D" w:rsidP="00D114F0">
      <w:pPr>
        <w:spacing w:before="120" w:after="120"/>
        <w:ind w:left="1134" w:hanging="720"/>
        <w:rPr>
          <w:szCs w:val="22"/>
        </w:rPr>
      </w:pPr>
      <w:r w:rsidRPr="00230BC2">
        <w:rPr>
          <w:szCs w:val="22"/>
        </w:rPr>
        <w:lastRenderedPageBreak/>
        <w:t>30.</w:t>
      </w:r>
      <w:r w:rsidRPr="00230BC2">
        <w:rPr>
          <w:szCs w:val="22"/>
        </w:rPr>
        <w:tab/>
        <w:t>Closure of the meeting.</w:t>
      </w:r>
    </w:p>
    <w:p w14:paraId="7A9897D6" w14:textId="64E43F57" w:rsidR="00352D5E" w:rsidRPr="00950BE4" w:rsidRDefault="00352D5E"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15" w:name="Item04"/>
      <w:r w:rsidRPr="00950BE4">
        <w:rPr>
          <w:b/>
          <w:bCs/>
          <w:snapToGrid w:val="0"/>
          <w:kern w:val="22"/>
          <w:szCs w:val="22"/>
        </w:rPr>
        <w:t>C.</w:t>
      </w:r>
      <w:r w:rsidRPr="00950BE4">
        <w:rPr>
          <w:b/>
          <w:bCs/>
          <w:snapToGrid w:val="0"/>
          <w:kern w:val="22"/>
          <w:szCs w:val="22"/>
        </w:rPr>
        <w:tab/>
        <w:t>Organization of work</w:t>
      </w:r>
    </w:p>
    <w:p w14:paraId="6ACA5B9A" w14:textId="319C0D6E" w:rsidR="00D77560" w:rsidRPr="00230BC2" w:rsidRDefault="004402E8" w:rsidP="003466FC">
      <w:pPr>
        <w:pStyle w:val="Para1"/>
      </w:pPr>
      <w:bookmarkStart w:id="416" w:name="_Hlk122108844"/>
      <w:bookmarkEnd w:id="415"/>
      <w:r w:rsidRPr="00230BC2">
        <w:t xml:space="preserve">At </w:t>
      </w:r>
      <w:r w:rsidR="00F12685" w:rsidRPr="00230BC2">
        <w:t xml:space="preserve">its </w:t>
      </w:r>
      <w:r w:rsidR="00E4615C" w:rsidRPr="00230BC2">
        <w:t>1</w:t>
      </w:r>
      <w:r w:rsidR="00C86797" w:rsidRPr="00230BC2">
        <w:t>st</w:t>
      </w:r>
      <w:r w:rsidRPr="00230BC2">
        <w:t xml:space="preserve"> </w:t>
      </w:r>
      <w:r w:rsidR="004A478A" w:rsidRPr="00230BC2">
        <w:t xml:space="preserve">plenary </w:t>
      </w:r>
      <w:r w:rsidRPr="00230BC2">
        <w:t>session</w:t>
      </w:r>
      <w:r w:rsidR="004217CC" w:rsidRPr="00230BC2">
        <w:t>,</w:t>
      </w:r>
      <w:r w:rsidRPr="00230BC2">
        <w:t xml:space="preserve"> the Conference of the Parties </w:t>
      </w:r>
      <w:r w:rsidR="00C23C4F" w:rsidRPr="00230BC2">
        <w:t xml:space="preserve">considered </w:t>
      </w:r>
      <w:r w:rsidR="00EC66E2" w:rsidRPr="00230BC2">
        <w:t>a</w:t>
      </w:r>
      <w:r w:rsidR="00C23C4F" w:rsidRPr="00230BC2">
        <w:t xml:space="preserve"> note by the Executive Secretary on</w:t>
      </w:r>
      <w:r w:rsidR="00C86797" w:rsidRPr="00230BC2">
        <w:t xml:space="preserve"> the </w:t>
      </w:r>
      <w:r w:rsidR="00C23C4F" w:rsidRPr="00230BC2">
        <w:t xml:space="preserve">proposed </w:t>
      </w:r>
      <w:r w:rsidR="00C86797" w:rsidRPr="00230BC2">
        <w:t xml:space="preserve">organization of work </w:t>
      </w:r>
      <w:r w:rsidR="00CB0D18" w:rsidRPr="00230BC2">
        <w:t xml:space="preserve">for </w:t>
      </w:r>
      <w:r w:rsidR="005A79CC" w:rsidRPr="00230BC2">
        <w:t xml:space="preserve">the second </w:t>
      </w:r>
      <w:r w:rsidR="00CB0D18" w:rsidRPr="00230BC2">
        <w:t xml:space="preserve">part of </w:t>
      </w:r>
      <w:r w:rsidR="00143CE9" w:rsidRPr="00230BC2">
        <w:t>its</w:t>
      </w:r>
      <w:r w:rsidR="00CB0D18" w:rsidRPr="00230BC2">
        <w:t xml:space="preserve"> </w:t>
      </w:r>
      <w:r w:rsidR="00DE5778" w:rsidRPr="00230BC2">
        <w:t xml:space="preserve">fifteenth </w:t>
      </w:r>
      <w:r w:rsidR="00CB0D18" w:rsidRPr="00230BC2">
        <w:t xml:space="preserve">meeting </w:t>
      </w:r>
      <w:r w:rsidR="00C86797" w:rsidRPr="00230BC2">
        <w:t>(</w:t>
      </w:r>
      <w:r w:rsidR="00C23C4F" w:rsidRPr="00230BC2">
        <w:t>CBD/COP/15/1/Add.4/Rev.1</w:t>
      </w:r>
      <w:r w:rsidR="00C86797" w:rsidRPr="00230BC2">
        <w:t>)</w:t>
      </w:r>
      <w:r w:rsidR="00C86797" w:rsidRPr="00230BC2">
        <w:rPr>
          <w:bCs/>
        </w:rPr>
        <w:t xml:space="preserve"> </w:t>
      </w:r>
      <w:r w:rsidR="00C23C4F" w:rsidRPr="00230BC2">
        <w:rPr>
          <w:bCs/>
        </w:rPr>
        <w:t xml:space="preserve">and agreed to </w:t>
      </w:r>
      <w:r w:rsidR="005B7D96" w:rsidRPr="00230BC2">
        <w:rPr>
          <w:bCs/>
        </w:rPr>
        <w:t xml:space="preserve">organize its work as set out therein. </w:t>
      </w:r>
      <w:r w:rsidR="00616C42" w:rsidRPr="00230BC2">
        <w:rPr>
          <w:bCs/>
        </w:rPr>
        <w:t>T</w:t>
      </w:r>
      <w:r w:rsidR="005B7D96" w:rsidRPr="00230BC2">
        <w:rPr>
          <w:bCs/>
        </w:rPr>
        <w:t xml:space="preserve">he </w:t>
      </w:r>
      <w:r w:rsidR="00616C42" w:rsidRPr="00230BC2">
        <w:rPr>
          <w:bCs/>
        </w:rPr>
        <w:t xml:space="preserve">three bodies </w:t>
      </w:r>
      <w:r w:rsidR="005B7D96" w:rsidRPr="00230BC2">
        <w:rPr>
          <w:bCs/>
        </w:rPr>
        <w:t>established</w:t>
      </w:r>
      <w:r w:rsidR="00C86797" w:rsidRPr="00230BC2">
        <w:rPr>
          <w:bCs/>
        </w:rPr>
        <w:t xml:space="preserve"> two working groups</w:t>
      </w:r>
      <w:r w:rsidR="005B7D96" w:rsidRPr="00230BC2">
        <w:rPr>
          <w:bCs/>
        </w:rPr>
        <w:t xml:space="preserve"> </w:t>
      </w:r>
      <w:r w:rsidR="00616C42" w:rsidRPr="00230BC2">
        <w:rPr>
          <w:bCs/>
        </w:rPr>
        <w:t xml:space="preserve">to serve them </w:t>
      </w:r>
      <w:r w:rsidR="005B7D96" w:rsidRPr="00230BC2">
        <w:rPr>
          <w:bCs/>
        </w:rPr>
        <w:t>and elected</w:t>
      </w:r>
      <w:r w:rsidR="005B7D96" w:rsidRPr="00230BC2">
        <w:rPr>
          <w:rFonts w:asciiTheme="minorHAnsi" w:eastAsiaTheme="minorEastAsia" w:hAnsiTheme="minorHAnsi" w:cstheme="minorHAnsi"/>
          <w:bCs/>
          <w:sz w:val="24"/>
        </w:rPr>
        <w:t xml:space="preserve"> </w:t>
      </w:r>
      <w:r w:rsidR="005B7D96" w:rsidRPr="00230BC2">
        <w:rPr>
          <w:bCs/>
        </w:rPr>
        <w:t xml:space="preserve">Rosemary Paterson (New Zealand) </w:t>
      </w:r>
      <w:r w:rsidR="00440C32" w:rsidRPr="00230BC2">
        <w:rPr>
          <w:bCs/>
        </w:rPr>
        <w:t>as C</w:t>
      </w:r>
      <w:r w:rsidR="005B7D96" w:rsidRPr="00230BC2">
        <w:rPr>
          <w:bCs/>
        </w:rPr>
        <w:t xml:space="preserve">hair </w:t>
      </w:r>
      <w:r w:rsidR="00440C32" w:rsidRPr="00230BC2">
        <w:rPr>
          <w:bCs/>
        </w:rPr>
        <w:t>of W</w:t>
      </w:r>
      <w:r w:rsidR="005B7D96" w:rsidRPr="00230BC2">
        <w:rPr>
          <w:bCs/>
        </w:rPr>
        <w:t xml:space="preserve">orking </w:t>
      </w:r>
      <w:r w:rsidR="00440C32" w:rsidRPr="00230BC2">
        <w:rPr>
          <w:bCs/>
        </w:rPr>
        <w:t>G</w:t>
      </w:r>
      <w:r w:rsidR="005B7D96" w:rsidRPr="00230BC2">
        <w:rPr>
          <w:bCs/>
        </w:rPr>
        <w:t xml:space="preserve">roup I and Helena Jefferey-Brown (Antigua and Barbuda) </w:t>
      </w:r>
      <w:r w:rsidR="00440C32" w:rsidRPr="00230BC2">
        <w:rPr>
          <w:bCs/>
        </w:rPr>
        <w:t>as C</w:t>
      </w:r>
      <w:r w:rsidR="005B7D96" w:rsidRPr="00230BC2">
        <w:rPr>
          <w:bCs/>
        </w:rPr>
        <w:t xml:space="preserve">hair </w:t>
      </w:r>
      <w:r w:rsidR="00440C32" w:rsidRPr="00230BC2">
        <w:rPr>
          <w:bCs/>
        </w:rPr>
        <w:t>of W</w:t>
      </w:r>
      <w:r w:rsidR="005B7D96" w:rsidRPr="00230BC2">
        <w:rPr>
          <w:bCs/>
        </w:rPr>
        <w:t xml:space="preserve">orking </w:t>
      </w:r>
      <w:r w:rsidR="00440C32" w:rsidRPr="00230BC2">
        <w:rPr>
          <w:bCs/>
        </w:rPr>
        <w:t>G</w:t>
      </w:r>
      <w:r w:rsidR="005B7D96" w:rsidRPr="00230BC2">
        <w:rPr>
          <w:bCs/>
        </w:rPr>
        <w:t>roup</w:t>
      </w:r>
      <w:r w:rsidR="0006192E" w:rsidRPr="00230BC2">
        <w:rPr>
          <w:bCs/>
        </w:rPr>
        <w:t> </w:t>
      </w:r>
      <w:r w:rsidR="005B7D96" w:rsidRPr="00230BC2">
        <w:rPr>
          <w:bCs/>
        </w:rPr>
        <w:t>II.</w:t>
      </w:r>
    </w:p>
    <w:p w14:paraId="0152F9F4" w14:textId="345C4E5E" w:rsidR="00F24A83" w:rsidRPr="00BF4AB9" w:rsidRDefault="00F24A83" w:rsidP="00BF4AB9">
      <w:pPr>
        <w:pStyle w:val="BodyText"/>
        <w:ind w:firstLine="0"/>
        <w:rPr>
          <w:i/>
          <w:iCs w:val="0"/>
        </w:rPr>
      </w:pPr>
      <w:bookmarkStart w:id="417" w:name="_Hlk123387745"/>
      <w:bookmarkStart w:id="418" w:name="_Hlk122179754"/>
      <w:bookmarkEnd w:id="416"/>
      <w:r w:rsidRPr="00BF4AB9">
        <w:rPr>
          <w:i/>
          <w:iCs w:val="0"/>
        </w:rPr>
        <w:t>First stocktak</w:t>
      </w:r>
      <w:r w:rsidR="00246C5A" w:rsidRPr="00BF4AB9">
        <w:rPr>
          <w:i/>
          <w:iCs w:val="0"/>
        </w:rPr>
        <w:t>e</w:t>
      </w:r>
      <w:r w:rsidRPr="00BF4AB9">
        <w:rPr>
          <w:i/>
          <w:iCs w:val="0"/>
        </w:rPr>
        <w:t xml:space="preserve"> session</w:t>
      </w:r>
    </w:p>
    <w:bookmarkEnd w:id="417"/>
    <w:p w14:paraId="55A3F391" w14:textId="4A840110" w:rsidR="00783C8E" w:rsidRPr="00230BC2" w:rsidRDefault="00C65E7F" w:rsidP="003466FC">
      <w:pPr>
        <w:pStyle w:val="Para1"/>
      </w:pPr>
      <w:r w:rsidRPr="00230BC2">
        <w:t xml:space="preserve">On 10 December, </w:t>
      </w:r>
      <w:r w:rsidR="000904F2" w:rsidRPr="00230BC2">
        <w:t xml:space="preserve">the Conference of the Parties held </w:t>
      </w:r>
      <w:r w:rsidRPr="00230BC2">
        <w:t>its</w:t>
      </w:r>
      <w:r w:rsidR="00783C8E" w:rsidRPr="00230BC2">
        <w:t xml:space="preserve"> </w:t>
      </w:r>
      <w:r w:rsidR="00E4615C" w:rsidRPr="00230BC2">
        <w:t>2</w:t>
      </w:r>
      <w:r w:rsidR="00783C8E" w:rsidRPr="00230BC2">
        <w:t>nd plenary session, which served in part as a stocktake session</w:t>
      </w:r>
      <w:r w:rsidR="009B1873" w:rsidRPr="00230BC2">
        <w:t>.</w:t>
      </w:r>
      <w:r w:rsidR="00783C8E" w:rsidRPr="00230BC2">
        <w:t xml:space="preserve"> </w:t>
      </w:r>
      <w:r w:rsidR="009B1873" w:rsidRPr="00230BC2">
        <w:t xml:space="preserve">The session was held </w:t>
      </w:r>
      <w:r w:rsidR="00C01EC5" w:rsidRPr="00230BC2">
        <w:t xml:space="preserve">jointly with the </w:t>
      </w:r>
      <w:r w:rsidR="00B75033" w:rsidRPr="00230BC2">
        <w:t xml:space="preserve">Conference of the Parties serving as the meeting of the Parties to the Cartagena Protocol and the </w:t>
      </w:r>
      <w:r w:rsidR="00C03560" w:rsidRPr="00230BC2">
        <w:t>Conference of the Parties serving as the meeting of the Parties to the Nagoya Protocol</w:t>
      </w:r>
      <w:r w:rsidR="00C01EC5" w:rsidRPr="00230BC2">
        <w:t>, and</w:t>
      </w:r>
      <w:r w:rsidR="00783C8E" w:rsidRPr="00230BC2">
        <w:t xml:space="preserve"> the </w:t>
      </w:r>
      <w:r w:rsidR="00631F6B" w:rsidRPr="00230BC2">
        <w:t>C</w:t>
      </w:r>
      <w:r w:rsidRPr="00230BC2">
        <w:t xml:space="preserve">hairs of </w:t>
      </w:r>
      <w:r w:rsidR="00537C75" w:rsidRPr="00230BC2">
        <w:t>W</w:t>
      </w:r>
      <w:r w:rsidRPr="00230BC2">
        <w:t xml:space="preserve">orking </w:t>
      </w:r>
      <w:r w:rsidR="00537C75" w:rsidRPr="00230BC2">
        <w:t>G</w:t>
      </w:r>
      <w:r w:rsidRPr="00230BC2">
        <w:t xml:space="preserve">roups </w:t>
      </w:r>
      <w:r w:rsidR="003C16A1" w:rsidRPr="00230BC2">
        <w:t xml:space="preserve">I and II </w:t>
      </w:r>
      <w:r w:rsidRPr="00230BC2">
        <w:t xml:space="preserve">and </w:t>
      </w:r>
      <w:r w:rsidR="00215D80" w:rsidRPr="00230BC2">
        <w:t xml:space="preserve">of </w:t>
      </w:r>
      <w:r w:rsidR="00014E3C" w:rsidRPr="00230BC2">
        <w:t xml:space="preserve">the </w:t>
      </w:r>
      <w:r w:rsidRPr="00230BC2">
        <w:t>contact group</w:t>
      </w:r>
      <w:r w:rsidR="00783C8E" w:rsidRPr="00230BC2">
        <w:t xml:space="preserve"> </w:t>
      </w:r>
      <w:r w:rsidR="00047B3A" w:rsidRPr="00230BC2">
        <w:t xml:space="preserve">on budget </w:t>
      </w:r>
      <w:r w:rsidR="000E7773" w:rsidRPr="00230BC2">
        <w:t>report</w:t>
      </w:r>
      <w:r w:rsidR="00A05F56" w:rsidRPr="00230BC2">
        <w:t>ed</w:t>
      </w:r>
      <w:r w:rsidR="000E7773" w:rsidRPr="00230BC2">
        <w:t xml:space="preserve"> </w:t>
      </w:r>
      <w:r w:rsidR="00783C8E" w:rsidRPr="00230BC2">
        <w:t>on the progress made to date.</w:t>
      </w:r>
    </w:p>
    <w:p w14:paraId="30FEABF3" w14:textId="2920DC36" w:rsidR="00BB5B29" w:rsidRPr="00230BC2" w:rsidRDefault="00BB5B29" w:rsidP="003466FC">
      <w:pPr>
        <w:pStyle w:val="Para1"/>
      </w:pPr>
      <w:r w:rsidRPr="00230BC2">
        <w:t xml:space="preserve">Statements were made by representatives of </w:t>
      </w:r>
      <w:r w:rsidR="0025069E" w:rsidRPr="00230BC2">
        <w:t xml:space="preserve">the following Parties: </w:t>
      </w:r>
      <w:r w:rsidR="00C13079" w:rsidRPr="00230BC2">
        <w:t xml:space="preserve">Argentina </w:t>
      </w:r>
      <w:r w:rsidR="006F793F" w:rsidRPr="00230BC2">
        <w:t>(</w:t>
      </w:r>
      <w:r w:rsidR="00C13079" w:rsidRPr="00230BC2">
        <w:t>on behalf of the Latin American and Caribbean States</w:t>
      </w:r>
      <w:r w:rsidR="006F793F" w:rsidRPr="00230BC2">
        <w:t>)</w:t>
      </w:r>
      <w:r w:rsidR="00932FDC" w:rsidRPr="00230BC2">
        <w:t>,</w:t>
      </w:r>
      <w:r w:rsidR="00C13079" w:rsidRPr="00230BC2">
        <w:t xml:space="preserve"> </w:t>
      </w:r>
      <w:r w:rsidR="00147C05" w:rsidRPr="00230BC2">
        <w:t xml:space="preserve">Brazil </w:t>
      </w:r>
      <w:r w:rsidR="00932FDC" w:rsidRPr="00230BC2">
        <w:t>(</w:t>
      </w:r>
      <w:r w:rsidR="00147C05" w:rsidRPr="00230BC2">
        <w:t>also on behalf of the African States, Antigua and Barbuda, Argentina, Bolivia</w:t>
      </w:r>
      <w:r w:rsidR="001F3432" w:rsidRPr="00230BC2">
        <w:t xml:space="preserve"> (Plurinational State of)</w:t>
      </w:r>
      <w:r w:rsidR="00147C05" w:rsidRPr="00230BC2">
        <w:t>, Cuba, Dominican Republic, Ecuador, Guatemala, Haiti, India, Indonesia, Malaysia, Paraguay, the Philippines and Venezuela (Bolivarian Republic of)</w:t>
      </w:r>
      <w:r w:rsidR="00B6328C" w:rsidRPr="00230BC2">
        <w:t>)</w:t>
      </w:r>
      <w:r w:rsidR="008A7C0D" w:rsidRPr="00230BC2">
        <w:t>,</w:t>
      </w:r>
      <w:r w:rsidR="00147C05" w:rsidRPr="00230BC2">
        <w:t xml:space="preserve"> Colombia </w:t>
      </w:r>
      <w:r w:rsidR="00222CB2" w:rsidRPr="00230BC2">
        <w:t>(</w:t>
      </w:r>
      <w:r w:rsidR="00147C05" w:rsidRPr="00230BC2">
        <w:t>also on behalf of Chile, Costa Rica, Mexico and Peru</w:t>
      </w:r>
      <w:r w:rsidR="000D5AAA" w:rsidRPr="00230BC2">
        <w:t>)</w:t>
      </w:r>
      <w:r w:rsidR="008A7C0D" w:rsidRPr="00230BC2">
        <w:t>,</w:t>
      </w:r>
      <w:r w:rsidR="00147C05" w:rsidRPr="00230BC2">
        <w:t xml:space="preserve"> </w:t>
      </w:r>
      <w:r w:rsidRPr="00230BC2">
        <w:t>the European Union</w:t>
      </w:r>
      <w:r w:rsidR="002A510B" w:rsidRPr="00230BC2">
        <w:t xml:space="preserve"> and </w:t>
      </w:r>
      <w:r w:rsidRPr="00230BC2">
        <w:t xml:space="preserve">its </w:t>
      </w:r>
      <w:r w:rsidR="002A510B" w:rsidRPr="00230BC2">
        <w:t xml:space="preserve">27 </w:t>
      </w:r>
      <w:r w:rsidRPr="00230BC2">
        <w:t>member States</w:t>
      </w:r>
      <w:r w:rsidR="008A7C0D" w:rsidRPr="00230BC2">
        <w:t>,</w:t>
      </w:r>
      <w:r w:rsidRPr="00230BC2">
        <w:t xml:space="preserve"> </w:t>
      </w:r>
      <w:r w:rsidR="00F4596C" w:rsidRPr="00230BC2">
        <w:t xml:space="preserve">Honduras </w:t>
      </w:r>
      <w:r w:rsidR="00176279" w:rsidRPr="00230BC2">
        <w:t xml:space="preserve">and </w:t>
      </w:r>
      <w:r w:rsidRPr="00230BC2">
        <w:t xml:space="preserve">New Zealand </w:t>
      </w:r>
      <w:r w:rsidR="000C3189" w:rsidRPr="00230BC2">
        <w:t>(</w:t>
      </w:r>
      <w:r w:rsidRPr="00230BC2">
        <w:t>also on behalf of Australia, Canada, Iceland, Israel, Monaco, Norway, the Republic of Korea, Switzerland, the United Kingdom and the United States</w:t>
      </w:r>
      <w:r w:rsidR="000C3189" w:rsidRPr="00230BC2">
        <w:t>)</w:t>
      </w:r>
      <w:r w:rsidRPr="00230BC2">
        <w:t xml:space="preserve">. </w:t>
      </w:r>
    </w:p>
    <w:p w14:paraId="081986E2" w14:textId="1D84D85C" w:rsidR="00F24A83" w:rsidRPr="00230BC2" w:rsidRDefault="00560636" w:rsidP="00BF4AB9">
      <w:pPr>
        <w:pStyle w:val="BodyText"/>
        <w:ind w:firstLine="0"/>
        <w:rPr>
          <w:i/>
          <w:iCs w:val="0"/>
        </w:rPr>
      </w:pPr>
      <w:bookmarkStart w:id="419" w:name="_Hlk122192162"/>
      <w:r w:rsidRPr="00BF4AB9">
        <w:rPr>
          <w:i/>
          <w:iCs w:val="0"/>
        </w:rPr>
        <w:t>First meeting of the heads of delegation</w:t>
      </w:r>
    </w:p>
    <w:p w14:paraId="361E8A84" w14:textId="5DC00398" w:rsidR="00EB6395" w:rsidRPr="00230BC2" w:rsidRDefault="00F24A83" w:rsidP="003466FC">
      <w:pPr>
        <w:pStyle w:val="Para1"/>
      </w:pPr>
      <w:r w:rsidRPr="00230BC2">
        <w:t>On 1</w:t>
      </w:r>
      <w:r w:rsidR="00560636" w:rsidRPr="00230BC2">
        <w:t>4</w:t>
      </w:r>
      <w:r w:rsidRPr="00230BC2">
        <w:t xml:space="preserve"> December, </w:t>
      </w:r>
      <w:r w:rsidR="00EB6395" w:rsidRPr="00230BC2">
        <w:t xml:space="preserve">a meeting of </w:t>
      </w:r>
      <w:r w:rsidR="00CF7F53" w:rsidRPr="00230BC2">
        <w:t xml:space="preserve">the </w:t>
      </w:r>
      <w:r w:rsidR="00EB6395" w:rsidRPr="00230BC2">
        <w:t xml:space="preserve">heads of delegation was held </w:t>
      </w:r>
      <w:r w:rsidR="00BE097B" w:rsidRPr="00230BC2">
        <w:t>jointly with the Conference of the Parties serving as the meeting of the Parties to the Cartagena Protocol and the Conference of the Parties serving as the meeting of the Parties to the Nagoya Protocol</w:t>
      </w:r>
      <w:r w:rsidR="00293990" w:rsidRPr="00230BC2">
        <w:t xml:space="preserve">, </w:t>
      </w:r>
      <w:r w:rsidR="00EB6395" w:rsidRPr="00230BC2">
        <w:t>to discuss the progress made to date on the key issues under consideration</w:t>
      </w:r>
      <w:r w:rsidR="00B62D25" w:rsidRPr="00230BC2">
        <w:t>.</w:t>
      </w:r>
      <w:r w:rsidR="00EB6395" w:rsidRPr="00230BC2">
        <w:t xml:space="preserve"> </w:t>
      </w:r>
    </w:p>
    <w:p w14:paraId="56583396" w14:textId="72F41896" w:rsidR="00F24A83" w:rsidRPr="00230BC2" w:rsidRDefault="00EB6395" w:rsidP="003466FC">
      <w:pPr>
        <w:pStyle w:val="Para1"/>
      </w:pPr>
      <w:r w:rsidRPr="00230BC2">
        <w:t xml:space="preserve">Statements were made by representatives of </w:t>
      </w:r>
      <w:r w:rsidR="0025069E" w:rsidRPr="00230BC2">
        <w:t xml:space="preserve">the following Parties: </w:t>
      </w:r>
      <w:r w:rsidR="00C572F5" w:rsidRPr="00230BC2">
        <w:t>Argentina</w:t>
      </w:r>
      <w:r w:rsidR="00F1413E" w:rsidRPr="00230BC2">
        <w:t xml:space="preserve"> (on </w:t>
      </w:r>
      <w:r w:rsidR="00E977D2" w:rsidRPr="00230BC2">
        <w:t>b</w:t>
      </w:r>
      <w:r w:rsidR="00F1413E" w:rsidRPr="00230BC2">
        <w:t>ehalf of the Latin America</w:t>
      </w:r>
      <w:r w:rsidR="00894BED" w:rsidRPr="00230BC2">
        <w:t>n</w:t>
      </w:r>
      <w:r w:rsidR="00F1413E" w:rsidRPr="00230BC2">
        <w:t xml:space="preserve"> and Caribbean States)</w:t>
      </w:r>
      <w:r w:rsidR="00C572F5" w:rsidRPr="00230BC2">
        <w:t xml:space="preserve">, Australia, </w:t>
      </w:r>
      <w:r w:rsidR="00F1413E" w:rsidRPr="00230BC2">
        <w:t xml:space="preserve">Bahamas (on behalf of </w:t>
      </w:r>
      <w:r w:rsidR="00E977D2" w:rsidRPr="00230BC2">
        <w:t xml:space="preserve">the </w:t>
      </w:r>
      <w:r w:rsidR="00FE422F" w:rsidRPr="00230BC2">
        <w:t>s</w:t>
      </w:r>
      <w:r w:rsidR="00F1413E" w:rsidRPr="00230BC2">
        <w:t xml:space="preserve">mall </w:t>
      </w:r>
      <w:r w:rsidR="00FE422F" w:rsidRPr="00230BC2">
        <w:t>i</w:t>
      </w:r>
      <w:r w:rsidR="00F1413E" w:rsidRPr="00230BC2">
        <w:t xml:space="preserve">sland </w:t>
      </w:r>
      <w:r w:rsidR="00FE422F" w:rsidRPr="00230BC2">
        <w:t>d</w:t>
      </w:r>
      <w:r w:rsidR="00F1413E" w:rsidRPr="00230BC2">
        <w:t xml:space="preserve">eveloping States), </w:t>
      </w:r>
      <w:r w:rsidR="00C572F5" w:rsidRPr="00230BC2">
        <w:t>Bangladesh, Bolivia (Plu</w:t>
      </w:r>
      <w:r w:rsidR="001B00C3" w:rsidRPr="00230BC2">
        <w:t>r</w:t>
      </w:r>
      <w:r w:rsidR="00C572F5" w:rsidRPr="00230BC2">
        <w:t xml:space="preserve">inational State of), </w:t>
      </w:r>
      <w:r w:rsidR="00F1413E" w:rsidRPr="00230BC2">
        <w:t xml:space="preserve">Botswana, </w:t>
      </w:r>
      <w:r w:rsidR="00C572F5" w:rsidRPr="00230BC2">
        <w:t xml:space="preserve">Brazil, </w:t>
      </w:r>
      <w:r w:rsidR="00F1413E" w:rsidRPr="00230BC2">
        <w:t xml:space="preserve">Burkina Faso, Canada, </w:t>
      </w:r>
      <w:r w:rsidR="00C572F5" w:rsidRPr="00230BC2">
        <w:t xml:space="preserve">Chile, Colombia, </w:t>
      </w:r>
      <w:r w:rsidR="00F1413E" w:rsidRPr="00230BC2">
        <w:t xml:space="preserve">Costa Rica, </w:t>
      </w:r>
      <w:r w:rsidR="00C572F5" w:rsidRPr="00230BC2">
        <w:t>C</w:t>
      </w:r>
      <w:r w:rsidR="001B625C" w:rsidRPr="00230BC2">
        <w:t>ô</w:t>
      </w:r>
      <w:r w:rsidR="00C572F5" w:rsidRPr="00230BC2">
        <w:t xml:space="preserve">te d’Ivoire, </w:t>
      </w:r>
      <w:r w:rsidR="00F1413E" w:rsidRPr="00230BC2">
        <w:t xml:space="preserve">Cuba, </w:t>
      </w:r>
      <w:r w:rsidR="005527C0" w:rsidRPr="00230BC2">
        <w:t xml:space="preserve">Egypt, </w:t>
      </w:r>
      <w:r w:rsidR="00F1413E" w:rsidRPr="00230BC2">
        <w:t xml:space="preserve">Ethiopia, European Union and its 27 </w:t>
      </w:r>
      <w:r w:rsidR="00894BED" w:rsidRPr="00230BC2">
        <w:t>m</w:t>
      </w:r>
      <w:r w:rsidR="00F1413E" w:rsidRPr="00230BC2">
        <w:t xml:space="preserve">ember States, Ghana, Iran (Islamic Republic of), Japan, Jordan, Kenya, </w:t>
      </w:r>
      <w:r w:rsidR="005527C0" w:rsidRPr="00230BC2">
        <w:t>Liberia,</w:t>
      </w:r>
      <w:r w:rsidR="00F1413E" w:rsidRPr="00230BC2">
        <w:t xml:space="preserve"> Malawi, Malaysia, Mexico, Norway, </w:t>
      </w:r>
      <w:r w:rsidR="005527C0" w:rsidRPr="00230BC2">
        <w:t xml:space="preserve">Saudi Arabia, </w:t>
      </w:r>
      <w:r w:rsidR="00C572F5" w:rsidRPr="00230BC2">
        <w:t xml:space="preserve">Russian Federation, Sri Lanka, </w:t>
      </w:r>
      <w:r w:rsidR="00F1413E" w:rsidRPr="00230BC2">
        <w:t>Sudan, Switzerland, Uganda, United Kingdom</w:t>
      </w:r>
      <w:r w:rsidR="00E977D2" w:rsidRPr="00230BC2">
        <w:t xml:space="preserve"> and United Republic of Tanzania</w:t>
      </w:r>
      <w:r w:rsidR="00F24A83" w:rsidRPr="00230BC2">
        <w:t>.</w:t>
      </w:r>
    </w:p>
    <w:p w14:paraId="07E9B47E" w14:textId="10F1CC11" w:rsidR="00EB6395" w:rsidRPr="00842FF6" w:rsidRDefault="00EB6395" w:rsidP="00842FF6">
      <w:pPr>
        <w:pStyle w:val="BodyText"/>
        <w:ind w:firstLine="0"/>
        <w:jc w:val="left"/>
        <w:rPr>
          <w:i/>
          <w:iCs w:val="0"/>
          <w:snapToGrid w:val="0"/>
        </w:rPr>
      </w:pPr>
      <w:r w:rsidRPr="00842FF6">
        <w:rPr>
          <w:i/>
          <w:iCs w:val="0"/>
          <w:snapToGrid w:val="0"/>
        </w:rPr>
        <w:t>Ministerial consultations</w:t>
      </w:r>
    </w:p>
    <w:p w14:paraId="5042FD90" w14:textId="15E61577" w:rsidR="008120AE" w:rsidRPr="00230BC2" w:rsidRDefault="00372AB7" w:rsidP="003466FC">
      <w:pPr>
        <w:pStyle w:val="Para1"/>
      </w:pPr>
      <w:r w:rsidRPr="00230BC2">
        <w:t xml:space="preserve">On 15 December, the Conference of the Parties held </w:t>
      </w:r>
      <w:r w:rsidR="008120AE" w:rsidRPr="00230BC2">
        <w:t xml:space="preserve">the </w:t>
      </w:r>
      <w:r w:rsidR="004241DF" w:rsidRPr="00230BC2">
        <w:t xml:space="preserve">opening plenary session of the </w:t>
      </w:r>
      <w:r w:rsidR="007242DB" w:rsidRPr="00230BC2">
        <w:t>high-level segment of the meeting</w:t>
      </w:r>
      <w:r w:rsidRPr="00230BC2">
        <w:t xml:space="preserve"> jointly with the Conference of the Parties serving as the meeting</w:t>
      </w:r>
      <w:r w:rsidR="00314FD8" w:rsidRPr="00230BC2">
        <w:t xml:space="preserve"> of the Parties to the Cartagena Protocol and the Conference of the Parties serving as the meeting of the Parties to the Nagoya Protocol.</w:t>
      </w:r>
      <w:r w:rsidR="007242DB" w:rsidRPr="00230BC2">
        <w:t xml:space="preserve"> </w:t>
      </w:r>
      <w:r w:rsidR="00C06FC2" w:rsidRPr="00230BC2">
        <w:t>T</w:t>
      </w:r>
      <w:r w:rsidR="007242DB" w:rsidRPr="00230BC2">
        <w:t>he President</w:t>
      </w:r>
      <w:r w:rsidR="008120AE" w:rsidRPr="00230BC2">
        <w:t xml:space="preserve"> </w:t>
      </w:r>
      <w:bookmarkStart w:id="420" w:name="_Hlk122188431"/>
      <w:r w:rsidR="008120AE" w:rsidRPr="00230BC2">
        <w:t xml:space="preserve">informed the participants that he had established a process of ministerial consultations </w:t>
      </w:r>
      <w:r w:rsidR="007242DB" w:rsidRPr="00230BC2">
        <w:t xml:space="preserve">for the post-2020 global biodiversity framework </w:t>
      </w:r>
      <w:r w:rsidR="008120AE" w:rsidRPr="00230BC2">
        <w:t xml:space="preserve">and had invited </w:t>
      </w:r>
      <w:r w:rsidR="007242DB" w:rsidRPr="00230BC2">
        <w:t>six</w:t>
      </w:r>
      <w:r w:rsidR="008120AE" w:rsidRPr="00230BC2">
        <w:t xml:space="preserve"> ministers to lead consultations on unresolved issues that </w:t>
      </w:r>
      <w:r w:rsidR="007242DB" w:rsidRPr="00230BC2">
        <w:t>might</w:t>
      </w:r>
      <w:r w:rsidR="008120AE" w:rsidRPr="00230BC2">
        <w:t xml:space="preserve"> benefit from political guidance</w:t>
      </w:r>
      <w:bookmarkEnd w:id="420"/>
      <w:r w:rsidR="008120AE" w:rsidRPr="00230BC2">
        <w:t>. Thus, Jochen Flashbarth (Germany) and Jeanne d’Arc Mujawamariya (Rwanda) would lead consultations on resource mobilization; Espen Barth Eide (Norway) and Maisa Rojas (Chile) would lead consultations on digital sequence information</w:t>
      </w:r>
      <w:r w:rsidR="00B6328C" w:rsidRPr="00230BC2">
        <w:t xml:space="preserve"> on genetic resources</w:t>
      </w:r>
      <w:r w:rsidR="008120AE" w:rsidRPr="00230BC2">
        <w:t>; and Yasmine Fouad (Egypt) and Steven G</w:t>
      </w:r>
      <w:r w:rsidR="007A371F" w:rsidRPr="00230BC2">
        <w:t>u</w:t>
      </w:r>
      <w:r w:rsidR="008120AE" w:rsidRPr="00230BC2">
        <w:t xml:space="preserve">ilbeault (Canada) would lead consultations on </w:t>
      </w:r>
      <w:r w:rsidR="007242DB" w:rsidRPr="00230BC2">
        <w:t xml:space="preserve">the </w:t>
      </w:r>
      <w:r w:rsidR="008120AE" w:rsidRPr="00230BC2">
        <w:t xml:space="preserve">key </w:t>
      </w:r>
      <w:r w:rsidR="007242DB" w:rsidRPr="00230BC2">
        <w:t xml:space="preserve">unresolved </w:t>
      </w:r>
      <w:r w:rsidR="008120AE" w:rsidRPr="00230BC2">
        <w:t>elements of the post-2020 global biodiversity framework.</w:t>
      </w:r>
    </w:p>
    <w:p w14:paraId="246D893C" w14:textId="38141BD2" w:rsidR="00EB6395" w:rsidRPr="00842FF6" w:rsidRDefault="00EB6395" w:rsidP="00842FF6">
      <w:pPr>
        <w:pStyle w:val="BodyText"/>
        <w:ind w:firstLine="0"/>
        <w:jc w:val="left"/>
        <w:rPr>
          <w:i/>
          <w:iCs w:val="0"/>
          <w:snapToGrid w:val="0"/>
        </w:rPr>
      </w:pPr>
      <w:r w:rsidRPr="00842FF6">
        <w:rPr>
          <w:i/>
          <w:iCs w:val="0"/>
          <w:snapToGrid w:val="0"/>
        </w:rPr>
        <w:t>Second stocktake session</w:t>
      </w:r>
    </w:p>
    <w:p w14:paraId="2B3B1812" w14:textId="58A5ED52" w:rsidR="007242DB" w:rsidRPr="00230BC2" w:rsidRDefault="007242DB" w:rsidP="003466FC">
      <w:pPr>
        <w:pStyle w:val="Para1"/>
      </w:pPr>
      <w:bookmarkStart w:id="421" w:name="_Hlk122379813"/>
      <w:r w:rsidRPr="00230BC2">
        <w:t xml:space="preserve">On 17 December, </w:t>
      </w:r>
      <w:r w:rsidR="00CB3BD8" w:rsidRPr="00230BC2">
        <w:t xml:space="preserve">the Conference of the Parties </w:t>
      </w:r>
      <w:r w:rsidR="001C10E6" w:rsidRPr="00230BC2">
        <w:t xml:space="preserve">held </w:t>
      </w:r>
      <w:r w:rsidRPr="00230BC2">
        <w:t xml:space="preserve">its </w:t>
      </w:r>
      <w:r w:rsidR="00E4615C" w:rsidRPr="00230BC2">
        <w:t>3</w:t>
      </w:r>
      <w:r w:rsidRPr="00230BC2">
        <w:t>rd plenary session</w:t>
      </w:r>
      <w:r w:rsidR="001979E7" w:rsidRPr="00230BC2">
        <w:t>,</w:t>
      </w:r>
      <w:r w:rsidR="00287C8D" w:rsidRPr="00230BC2">
        <w:t xml:space="preserve"> which served as a second stocktake session</w:t>
      </w:r>
      <w:r w:rsidR="00C77084" w:rsidRPr="00230BC2">
        <w:t>. The session was held</w:t>
      </w:r>
      <w:r w:rsidRPr="00230BC2">
        <w:t xml:space="preserve"> </w:t>
      </w:r>
      <w:r w:rsidR="00976554" w:rsidRPr="00230BC2">
        <w:t xml:space="preserve">jointly with the Conference of the Parties serving as the </w:t>
      </w:r>
      <w:r w:rsidR="00976554" w:rsidRPr="00230BC2">
        <w:lastRenderedPageBreak/>
        <w:t>meeting of the Parties to the Cartagena Protocol and the Conference of the Parties serving as the meeting of the Parties to the Nagoya Protocol</w:t>
      </w:r>
      <w:r w:rsidR="00C77084" w:rsidRPr="00230BC2">
        <w:t xml:space="preserve">, and </w:t>
      </w:r>
      <w:bookmarkEnd w:id="421"/>
      <w:r w:rsidRPr="00230BC2">
        <w:t xml:space="preserve">the </w:t>
      </w:r>
      <w:r w:rsidR="001D70E1" w:rsidRPr="00230BC2">
        <w:t>C</w:t>
      </w:r>
      <w:r w:rsidRPr="00230BC2">
        <w:t xml:space="preserve">hairs of </w:t>
      </w:r>
      <w:r w:rsidR="001D70E1" w:rsidRPr="00230BC2">
        <w:t>W</w:t>
      </w:r>
      <w:r w:rsidRPr="00230BC2">
        <w:t xml:space="preserve">orking </w:t>
      </w:r>
      <w:r w:rsidR="001D70E1" w:rsidRPr="00230BC2">
        <w:t>G</w:t>
      </w:r>
      <w:r w:rsidRPr="00230BC2">
        <w:t xml:space="preserve">roups </w:t>
      </w:r>
      <w:r w:rsidR="00AC080D" w:rsidRPr="00230BC2">
        <w:t xml:space="preserve">I and II </w:t>
      </w:r>
      <w:r w:rsidRPr="00230BC2">
        <w:t xml:space="preserve">and </w:t>
      </w:r>
      <w:r w:rsidR="00AC080D" w:rsidRPr="00230BC2">
        <w:t xml:space="preserve">of the </w:t>
      </w:r>
      <w:r w:rsidRPr="00230BC2">
        <w:t xml:space="preserve">contact group </w:t>
      </w:r>
      <w:r w:rsidR="00047B3A" w:rsidRPr="00230BC2">
        <w:t xml:space="preserve">on budget </w:t>
      </w:r>
      <w:r w:rsidR="00C77084" w:rsidRPr="00230BC2">
        <w:t>report</w:t>
      </w:r>
      <w:r w:rsidR="00A05F56" w:rsidRPr="00230BC2">
        <w:t>ed</w:t>
      </w:r>
      <w:r w:rsidR="00241C5D" w:rsidRPr="00230BC2">
        <w:t xml:space="preserve"> </w:t>
      </w:r>
      <w:r w:rsidRPr="00230BC2">
        <w:t xml:space="preserve">on the progress made to date. </w:t>
      </w:r>
    </w:p>
    <w:p w14:paraId="15172CA1" w14:textId="708E3D3A" w:rsidR="007242DB" w:rsidRPr="00230BC2" w:rsidRDefault="007242DB" w:rsidP="003466FC">
      <w:pPr>
        <w:pStyle w:val="Para1"/>
      </w:pPr>
      <w:r w:rsidRPr="00230BC2">
        <w:t xml:space="preserve">The </w:t>
      </w:r>
      <w:r w:rsidR="004C074E" w:rsidRPr="00230BC2">
        <w:t>Conference of the Parties</w:t>
      </w:r>
      <w:r w:rsidRPr="00230BC2">
        <w:t xml:space="preserve"> also heard reports </w:t>
      </w:r>
      <w:r w:rsidR="00014E3C" w:rsidRPr="00230BC2">
        <w:t xml:space="preserve">from the ministers leading the </w:t>
      </w:r>
      <w:r w:rsidRPr="00230BC2">
        <w:t>ministerial consultation</w:t>
      </w:r>
      <w:r w:rsidR="00014E3C" w:rsidRPr="00230BC2">
        <w:t>s under the process established by the President during the high-level segment</w:t>
      </w:r>
      <w:r w:rsidRPr="00230BC2">
        <w:t>.</w:t>
      </w:r>
    </w:p>
    <w:p w14:paraId="3517D7E8" w14:textId="0CA49CCD" w:rsidR="007242DB" w:rsidRPr="00230BC2" w:rsidRDefault="007242DB" w:rsidP="003466FC">
      <w:pPr>
        <w:pStyle w:val="Para1"/>
      </w:pPr>
      <w:r w:rsidRPr="00230BC2">
        <w:t xml:space="preserve">Statements were made by representatives of </w:t>
      </w:r>
      <w:r w:rsidR="0025069E" w:rsidRPr="00230BC2">
        <w:t xml:space="preserve">the following Parties: </w:t>
      </w:r>
      <w:r w:rsidRPr="00230BC2">
        <w:t xml:space="preserve">Antigua and Barbuda (on behalf </w:t>
      </w:r>
      <w:r w:rsidR="00014E3C" w:rsidRPr="00230BC2">
        <w:t>of s</w:t>
      </w:r>
      <w:r w:rsidRPr="00230BC2">
        <w:t xml:space="preserve">mall </w:t>
      </w:r>
      <w:r w:rsidR="00014E3C" w:rsidRPr="00230BC2">
        <w:t>i</w:t>
      </w:r>
      <w:r w:rsidRPr="00230BC2">
        <w:t>sland</w:t>
      </w:r>
      <w:r w:rsidR="00014E3C" w:rsidRPr="00230BC2">
        <w:t xml:space="preserve"> d</w:t>
      </w:r>
      <w:r w:rsidRPr="00230BC2">
        <w:t xml:space="preserve">eveloping </w:t>
      </w:r>
      <w:r w:rsidR="0065532C" w:rsidRPr="00230BC2">
        <w:t>S</w:t>
      </w:r>
      <w:r w:rsidRPr="00230BC2">
        <w:t>tates), Argentina, Australia, Bolivia (Plurinational State of), Brazil, Canada, Chile (also on behalf of Colombia, Costa Rica</w:t>
      </w:r>
      <w:r w:rsidR="00001EDF" w:rsidRPr="00230BC2">
        <w:t>,</w:t>
      </w:r>
      <w:r w:rsidRPr="00230BC2">
        <w:t xml:space="preserve"> Mexico and Peru), Colombia, Costa Rica, European Union and its 27</w:t>
      </w:r>
      <w:r w:rsidR="00E2733B" w:rsidRPr="00230BC2">
        <w:t> </w:t>
      </w:r>
      <w:r w:rsidRPr="00230BC2">
        <w:t xml:space="preserve">member States, India, Indonesia, Iran (Islamic Republic of), Japan, Micronesia (Federated States of), New Zealand, Nigeria, Norway, Saint Lucia, Senegal (on behalf of the African </w:t>
      </w:r>
      <w:r w:rsidR="00014E3C" w:rsidRPr="00230BC2">
        <w:t>States</w:t>
      </w:r>
      <w:r w:rsidRPr="00230BC2">
        <w:t xml:space="preserve">), South Africa, Switzerland and United Kingdom. </w:t>
      </w:r>
    </w:p>
    <w:p w14:paraId="6EC2BAB1" w14:textId="6C8673F1" w:rsidR="007242DB" w:rsidRPr="00230BC2" w:rsidRDefault="007242DB" w:rsidP="003466FC">
      <w:pPr>
        <w:pStyle w:val="Para1"/>
      </w:pPr>
      <w:r w:rsidRPr="00230BC2">
        <w:t xml:space="preserve">Statements were also made by </w:t>
      </w:r>
      <w:r w:rsidR="0065532C" w:rsidRPr="00230BC2">
        <w:t xml:space="preserve">the representatives of </w:t>
      </w:r>
      <w:r w:rsidRPr="00230BC2">
        <w:t xml:space="preserve">CBD Alliance, CBD Women Caucus, </w:t>
      </w:r>
      <w:r w:rsidR="007165B5" w:rsidRPr="00230BC2">
        <w:t xml:space="preserve">the International Indigenous Forum on Biodiversity </w:t>
      </w:r>
      <w:r w:rsidRPr="00230BC2">
        <w:t>and</w:t>
      </w:r>
      <w:r w:rsidR="00A35D22" w:rsidRPr="00230BC2">
        <w:t xml:space="preserve"> the International Union for Conservation of Nature</w:t>
      </w:r>
      <w:r w:rsidRPr="00230BC2">
        <w:t>.</w:t>
      </w:r>
    </w:p>
    <w:p w14:paraId="54BB8279" w14:textId="7D1AC2CF" w:rsidR="003D3517" w:rsidRPr="00230BC2" w:rsidRDefault="003D3517" w:rsidP="003466FC">
      <w:pPr>
        <w:pStyle w:val="Para1"/>
      </w:pPr>
      <w:bookmarkStart w:id="422" w:name="_Hlk122380164"/>
      <w:bookmarkStart w:id="423" w:name="_Hlk122379747"/>
      <w:r w:rsidRPr="00230BC2">
        <w:t xml:space="preserve">The Conference of the Parties subsequently agreed to the path forward proposed by the President, whereby </w:t>
      </w:r>
      <w:r w:rsidR="002D5328" w:rsidRPr="00230BC2">
        <w:t>he</w:t>
      </w:r>
      <w:r w:rsidRPr="00230BC2">
        <w:t xml:space="preserve"> would prepare a set of texts constituting a package covering the agenda items closely related to the post-2020 global biodiversity framework, namely</w:t>
      </w:r>
      <w:r w:rsidR="009473EF" w:rsidRPr="00230BC2">
        <w:t>,</w:t>
      </w:r>
      <w:r w:rsidRPr="00230BC2">
        <w:t xml:space="preserve"> item 9 A, on the </w:t>
      </w:r>
      <w:r w:rsidR="008E0F43" w:rsidRPr="00230BC2">
        <w:t xml:space="preserve">post-2020 </w:t>
      </w:r>
      <w:r w:rsidRPr="00230BC2">
        <w:t xml:space="preserve">global biodiversity framework; item 9 B, on </w:t>
      </w:r>
      <w:r w:rsidR="008319FD" w:rsidRPr="00230BC2">
        <w:t>monitoring frameworks for the post-2020 global biodiversity framework</w:t>
      </w:r>
      <w:r w:rsidRPr="00230BC2">
        <w:t>; item 11, on digital sequence information on genetic resources; item 12 A, on</w:t>
      </w:r>
      <w:r w:rsidR="008319FD" w:rsidRPr="00230BC2">
        <w:t xml:space="preserve"> resource mobilization</w:t>
      </w:r>
      <w:r w:rsidRPr="00230BC2">
        <w:t xml:space="preserve">; item </w:t>
      </w:r>
      <w:bookmarkStart w:id="424" w:name="_Hlk122380482"/>
      <w:r w:rsidRPr="00230BC2">
        <w:t>13 A, on capacity-building and technical and scientific cooperation; and item 14, on mechanisms for planning, monitoring, reporting and review</w:t>
      </w:r>
      <w:bookmarkEnd w:id="422"/>
      <w:bookmarkEnd w:id="424"/>
      <w:r w:rsidRPr="00230BC2">
        <w:t>.</w:t>
      </w:r>
    </w:p>
    <w:bookmarkEnd w:id="423"/>
    <w:p w14:paraId="1602160A" w14:textId="23171446" w:rsidR="00EB6395" w:rsidRPr="00285079" w:rsidRDefault="00F34063" w:rsidP="00285079">
      <w:pPr>
        <w:pStyle w:val="BodyText"/>
        <w:ind w:firstLine="0"/>
        <w:jc w:val="left"/>
        <w:rPr>
          <w:i/>
          <w:iCs w:val="0"/>
          <w:snapToGrid w:val="0"/>
        </w:rPr>
      </w:pPr>
      <w:r w:rsidRPr="00285079">
        <w:rPr>
          <w:i/>
          <w:iCs w:val="0"/>
          <w:snapToGrid w:val="0"/>
        </w:rPr>
        <w:t>Second</w:t>
      </w:r>
      <w:r w:rsidR="00EB6395" w:rsidRPr="00285079">
        <w:rPr>
          <w:i/>
          <w:iCs w:val="0"/>
          <w:snapToGrid w:val="0"/>
        </w:rPr>
        <w:t xml:space="preserve"> meeting of the heads of delegation</w:t>
      </w:r>
    </w:p>
    <w:p w14:paraId="69142E7C" w14:textId="6531BF71" w:rsidR="00EB6395" w:rsidRPr="00230BC2" w:rsidRDefault="00EB6395" w:rsidP="003466FC">
      <w:pPr>
        <w:pStyle w:val="Para1"/>
      </w:pPr>
      <w:r w:rsidRPr="00230BC2">
        <w:t xml:space="preserve">On 18 December, a second meeting of </w:t>
      </w:r>
      <w:r w:rsidR="00DF19AA" w:rsidRPr="00230BC2">
        <w:t xml:space="preserve">the </w:t>
      </w:r>
      <w:r w:rsidRPr="00230BC2">
        <w:t xml:space="preserve">heads of delegation was held </w:t>
      </w:r>
      <w:r w:rsidR="00632F60" w:rsidRPr="00230BC2">
        <w:t xml:space="preserve">jointly with the Conference of the Parties serving as the meeting of the Parties to the Cartagena Protocol and the Conference of the Parties serving as the meeting of the Parties to the Nagoya Protocol </w:t>
      </w:r>
      <w:r w:rsidRPr="00230BC2">
        <w:t xml:space="preserve">to </w:t>
      </w:r>
      <w:r w:rsidR="00192FAA" w:rsidRPr="00230BC2">
        <w:t xml:space="preserve">review </w:t>
      </w:r>
      <w:r w:rsidRPr="00230BC2">
        <w:t xml:space="preserve">the draft decisions prepared by the President for the key </w:t>
      </w:r>
      <w:r w:rsidR="00F34063" w:rsidRPr="00230BC2">
        <w:t xml:space="preserve">agenda </w:t>
      </w:r>
      <w:r w:rsidRPr="00230BC2">
        <w:t xml:space="preserve">items </w:t>
      </w:r>
      <w:r w:rsidR="00F34063" w:rsidRPr="00230BC2">
        <w:t>associated with the post-2020 global biodiversity framework</w:t>
      </w:r>
      <w:r w:rsidRPr="00230BC2">
        <w:t xml:space="preserve">. </w:t>
      </w:r>
    </w:p>
    <w:p w14:paraId="0EF7108A" w14:textId="37CF4C72" w:rsidR="00F26CDA" w:rsidRPr="00230BC2" w:rsidRDefault="00EB6395" w:rsidP="003466FC">
      <w:pPr>
        <w:pStyle w:val="Para1"/>
      </w:pPr>
      <w:r w:rsidRPr="00230BC2">
        <w:t xml:space="preserve">Statements were made by representatives of </w:t>
      </w:r>
      <w:r w:rsidR="0025069E" w:rsidRPr="00230BC2">
        <w:t xml:space="preserve">the following Parties: </w:t>
      </w:r>
      <w:r w:rsidR="00F26CDA" w:rsidRPr="00230BC2">
        <w:rPr>
          <w:rStyle w:val="ui-provider"/>
        </w:rPr>
        <w:t>Argentina</w:t>
      </w:r>
      <w:r w:rsidR="00904D85" w:rsidRPr="00230BC2">
        <w:rPr>
          <w:rStyle w:val="ui-provider"/>
        </w:rPr>
        <w:t xml:space="preserve">, </w:t>
      </w:r>
      <w:r w:rsidR="00F26CDA" w:rsidRPr="00230BC2">
        <w:rPr>
          <w:rStyle w:val="ui-provider"/>
        </w:rPr>
        <w:t>Australia</w:t>
      </w:r>
      <w:r w:rsidR="00904D85" w:rsidRPr="00230BC2">
        <w:rPr>
          <w:rStyle w:val="ui-provider"/>
        </w:rPr>
        <w:t xml:space="preserve">, </w:t>
      </w:r>
      <w:r w:rsidR="00F26CDA" w:rsidRPr="00230BC2">
        <w:rPr>
          <w:rStyle w:val="ui-provider"/>
        </w:rPr>
        <w:t>Bolivia</w:t>
      </w:r>
      <w:r w:rsidR="00E977D2" w:rsidRPr="00230BC2">
        <w:rPr>
          <w:rStyle w:val="ui-provider"/>
        </w:rPr>
        <w:t xml:space="preserve"> </w:t>
      </w:r>
      <w:r w:rsidR="00E977D2" w:rsidRPr="00230BC2">
        <w:t>(Plurinational State of)</w:t>
      </w:r>
      <w:r w:rsidR="00B222DD" w:rsidRPr="00230BC2">
        <w:rPr>
          <w:rStyle w:val="ui-provider"/>
        </w:rPr>
        <w:t xml:space="preserve">, </w:t>
      </w:r>
      <w:r w:rsidR="00F26CDA" w:rsidRPr="00230BC2">
        <w:rPr>
          <w:rStyle w:val="ui-provider"/>
        </w:rPr>
        <w:t>Brazil</w:t>
      </w:r>
      <w:r w:rsidR="00B222DD" w:rsidRPr="00230BC2">
        <w:rPr>
          <w:rStyle w:val="ui-provider"/>
        </w:rPr>
        <w:t xml:space="preserve">, </w:t>
      </w:r>
      <w:r w:rsidR="00F26CDA" w:rsidRPr="00230BC2">
        <w:rPr>
          <w:rStyle w:val="ui-provider"/>
        </w:rPr>
        <w:t>Burkina Faso</w:t>
      </w:r>
      <w:r w:rsidR="00B222DD" w:rsidRPr="00230BC2">
        <w:rPr>
          <w:rStyle w:val="ui-provider"/>
        </w:rPr>
        <w:t xml:space="preserve">, </w:t>
      </w:r>
      <w:r w:rsidR="00F26CDA" w:rsidRPr="00230BC2">
        <w:rPr>
          <w:rStyle w:val="ui-provider"/>
        </w:rPr>
        <w:t>Cameroon</w:t>
      </w:r>
      <w:r w:rsidR="00B222DD" w:rsidRPr="00230BC2">
        <w:rPr>
          <w:rStyle w:val="ui-provider"/>
        </w:rPr>
        <w:t xml:space="preserve">, </w:t>
      </w:r>
      <w:r w:rsidR="00F26CDA" w:rsidRPr="00230BC2">
        <w:rPr>
          <w:rStyle w:val="ui-provider"/>
        </w:rPr>
        <w:t>Canada</w:t>
      </w:r>
      <w:r w:rsidR="00B222DD" w:rsidRPr="00230BC2">
        <w:rPr>
          <w:rStyle w:val="ui-provider"/>
        </w:rPr>
        <w:t xml:space="preserve">, </w:t>
      </w:r>
      <w:r w:rsidR="00F26CDA" w:rsidRPr="00230BC2">
        <w:rPr>
          <w:rStyle w:val="ui-provider"/>
        </w:rPr>
        <w:t>Chile</w:t>
      </w:r>
      <w:r w:rsidR="00B222DD" w:rsidRPr="00230BC2">
        <w:rPr>
          <w:rStyle w:val="ui-provider"/>
        </w:rPr>
        <w:t xml:space="preserve">, </w:t>
      </w:r>
      <w:r w:rsidR="00F26CDA" w:rsidRPr="00230BC2">
        <w:rPr>
          <w:rStyle w:val="ui-provider"/>
        </w:rPr>
        <w:t>Colombia</w:t>
      </w:r>
      <w:r w:rsidR="00B222DD" w:rsidRPr="00230BC2">
        <w:rPr>
          <w:rStyle w:val="ui-provider"/>
        </w:rPr>
        <w:t xml:space="preserve">, </w:t>
      </w:r>
      <w:r w:rsidR="00DB0E2A" w:rsidRPr="00230BC2">
        <w:rPr>
          <w:rStyle w:val="ui-provider"/>
        </w:rPr>
        <w:t xml:space="preserve">Cook Islands, </w:t>
      </w:r>
      <w:r w:rsidR="00F26CDA" w:rsidRPr="00230BC2">
        <w:rPr>
          <w:rStyle w:val="ui-provider"/>
        </w:rPr>
        <w:t>Costa Rica</w:t>
      </w:r>
      <w:r w:rsidR="00B222DD" w:rsidRPr="00230BC2">
        <w:rPr>
          <w:rStyle w:val="ui-provider"/>
        </w:rPr>
        <w:t>,</w:t>
      </w:r>
      <w:r w:rsidR="00E977D2" w:rsidRPr="00230BC2">
        <w:rPr>
          <w:rStyle w:val="ui-provider"/>
        </w:rPr>
        <w:t xml:space="preserve"> </w:t>
      </w:r>
      <w:r w:rsidR="00346372" w:rsidRPr="00230BC2">
        <w:t>Democratic Republic of the Congo</w:t>
      </w:r>
      <w:r w:rsidR="00B222DD" w:rsidRPr="00230BC2">
        <w:rPr>
          <w:rStyle w:val="ui-provider"/>
        </w:rPr>
        <w:t xml:space="preserve">, </w:t>
      </w:r>
      <w:r w:rsidR="00F26CDA" w:rsidRPr="00230BC2">
        <w:rPr>
          <w:rStyle w:val="ui-provider"/>
        </w:rPr>
        <w:t>Ecuador</w:t>
      </w:r>
      <w:r w:rsidR="00B222DD" w:rsidRPr="00230BC2">
        <w:rPr>
          <w:rStyle w:val="ui-provider"/>
        </w:rPr>
        <w:t xml:space="preserve">, </w:t>
      </w:r>
      <w:r w:rsidR="00F26CDA" w:rsidRPr="00230BC2">
        <w:rPr>
          <w:rStyle w:val="ui-provider"/>
        </w:rPr>
        <w:t>Egypt</w:t>
      </w:r>
      <w:r w:rsidR="00B222DD" w:rsidRPr="00230BC2">
        <w:rPr>
          <w:rStyle w:val="ui-provider"/>
        </w:rPr>
        <w:t xml:space="preserve">, </w:t>
      </w:r>
      <w:r w:rsidR="00F26CDA" w:rsidRPr="00230BC2">
        <w:rPr>
          <w:rStyle w:val="ui-provider"/>
        </w:rPr>
        <w:t xml:space="preserve">Ethiopia </w:t>
      </w:r>
      <w:r w:rsidR="00851375" w:rsidRPr="00230BC2">
        <w:rPr>
          <w:rStyle w:val="ui-provider"/>
        </w:rPr>
        <w:t>(</w:t>
      </w:r>
      <w:r w:rsidR="00851375" w:rsidRPr="00230BC2">
        <w:t>on behalf of</w:t>
      </w:r>
      <w:r w:rsidR="00F26CDA" w:rsidRPr="00230BC2">
        <w:rPr>
          <w:rStyle w:val="ui-provider"/>
        </w:rPr>
        <w:t xml:space="preserve"> </w:t>
      </w:r>
      <w:r w:rsidR="001A41BC" w:rsidRPr="00230BC2">
        <w:rPr>
          <w:rStyle w:val="ui-provider"/>
        </w:rPr>
        <w:t xml:space="preserve">the </w:t>
      </w:r>
      <w:r w:rsidR="001A41BC" w:rsidRPr="00230BC2">
        <w:t>Group of Like-minded Megadiverse Countries</w:t>
      </w:r>
      <w:r w:rsidR="00851375" w:rsidRPr="00230BC2">
        <w:rPr>
          <w:rStyle w:val="ui-provider"/>
        </w:rPr>
        <w:t>)</w:t>
      </w:r>
      <w:r w:rsidR="00B222DD" w:rsidRPr="00230BC2">
        <w:rPr>
          <w:rStyle w:val="ui-provider"/>
        </w:rPr>
        <w:t xml:space="preserve">, </w:t>
      </w:r>
      <w:r w:rsidR="00F26CDA" w:rsidRPr="00230BC2">
        <w:rPr>
          <w:rStyle w:val="ui-provider"/>
        </w:rPr>
        <w:t>European Union</w:t>
      </w:r>
      <w:r w:rsidR="00894BED" w:rsidRPr="00230BC2">
        <w:rPr>
          <w:rStyle w:val="ui-provider"/>
        </w:rPr>
        <w:t xml:space="preserve"> and its 27 member States</w:t>
      </w:r>
      <w:r w:rsidR="00B222DD" w:rsidRPr="00230BC2">
        <w:rPr>
          <w:rStyle w:val="ui-provider"/>
        </w:rPr>
        <w:t xml:space="preserve">, </w:t>
      </w:r>
      <w:r w:rsidR="00F26CDA" w:rsidRPr="00230BC2">
        <w:rPr>
          <w:rStyle w:val="ui-provider"/>
        </w:rPr>
        <w:t>India</w:t>
      </w:r>
      <w:r w:rsidR="00B222DD" w:rsidRPr="00230BC2">
        <w:rPr>
          <w:rStyle w:val="ui-provider"/>
        </w:rPr>
        <w:t xml:space="preserve">, </w:t>
      </w:r>
      <w:r w:rsidR="00F26CDA" w:rsidRPr="00230BC2">
        <w:rPr>
          <w:rStyle w:val="ui-provider"/>
        </w:rPr>
        <w:t>Indonesia</w:t>
      </w:r>
      <w:r w:rsidR="00B222DD" w:rsidRPr="00230BC2">
        <w:rPr>
          <w:rStyle w:val="ui-provider"/>
        </w:rPr>
        <w:t xml:space="preserve">, </w:t>
      </w:r>
      <w:r w:rsidR="00F26CDA" w:rsidRPr="00230BC2">
        <w:rPr>
          <w:rStyle w:val="ui-provider"/>
        </w:rPr>
        <w:t>Iran</w:t>
      </w:r>
      <w:r w:rsidR="00894BED" w:rsidRPr="00230BC2">
        <w:rPr>
          <w:rStyle w:val="ui-provider"/>
        </w:rPr>
        <w:t xml:space="preserve"> (Islamic Republic of)</w:t>
      </w:r>
      <w:r w:rsidR="00B222DD" w:rsidRPr="00230BC2">
        <w:rPr>
          <w:rStyle w:val="ui-provider"/>
        </w:rPr>
        <w:t xml:space="preserve">, </w:t>
      </w:r>
      <w:r w:rsidR="00F26CDA" w:rsidRPr="00230BC2">
        <w:rPr>
          <w:rStyle w:val="ui-provider"/>
        </w:rPr>
        <w:t>Jamaica</w:t>
      </w:r>
      <w:r w:rsidR="00B222DD" w:rsidRPr="00230BC2">
        <w:rPr>
          <w:rStyle w:val="ui-provider"/>
        </w:rPr>
        <w:t xml:space="preserve">, </w:t>
      </w:r>
      <w:r w:rsidR="00F26CDA" w:rsidRPr="00230BC2">
        <w:rPr>
          <w:rStyle w:val="ui-provider"/>
        </w:rPr>
        <w:t>Japan</w:t>
      </w:r>
      <w:r w:rsidR="00B222DD" w:rsidRPr="00230BC2">
        <w:rPr>
          <w:rStyle w:val="ui-provider"/>
        </w:rPr>
        <w:t xml:space="preserve">, </w:t>
      </w:r>
      <w:r w:rsidR="00F26CDA" w:rsidRPr="00230BC2">
        <w:rPr>
          <w:rStyle w:val="ui-provider"/>
        </w:rPr>
        <w:t>Jordan</w:t>
      </w:r>
      <w:r w:rsidR="00B222DD" w:rsidRPr="00230BC2">
        <w:rPr>
          <w:rStyle w:val="ui-provider"/>
        </w:rPr>
        <w:t xml:space="preserve">, </w:t>
      </w:r>
      <w:r w:rsidR="00F26CDA" w:rsidRPr="00230BC2">
        <w:rPr>
          <w:rStyle w:val="ui-provider"/>
        </w:rPr>
        <w:t>Liberia</w:t>
      </w:r>
      <w:r w:rsidR="00B222DD" w:rsidRPr="00230BC2">
        <w:rPr>
          <w:rStyle w:val="ui-provider"/>
        </w:rPr>
        <w:t xml:space="preserve">, </w:t>
      </w:r>
      <w:r w:rsidR="00F26CDA" w:rsidRPr="00230BC2">
        <w:rPr>
          <w:rStyle w:val="ui-provider"/>
        </w:rPr>
        <w:t>Malawi</w:t>
      </w:r>
      <w:r w:rsidR="00B222DD" w:rsidRPr="00230BC2">
        <w:rPr>
          <w:rStyle w:val="ui-provider"/>
        </w:rPr>
        <w:t xml:space="preserve">, </w:t>
      </w:r>
      <w:r w:rsidR="00F26CDA" w:rsidRPr="00230BC2">
        <w:rPr>
          <w:rStyle w:val="ui-provider"/>
        </w:rPr>
        <w:t>Malaysia</w:t>
      </w:r>
      <w:r w:rsidR="00B222DD" w:rsidRPr="00230BC2">
        <w:rPr>
          <w:rStyle w:val="ui-provider"/>
        </w:rPr>
        <w:t xml:space="preserve">, </w:t>
      </w:r>
      <w:r w:rsidR="00F26CDA" w:rsidRPr="00230BC2">
        <w:rPr>
          <w:rStyle w:val="ui-provider"/>
        </w:rPr>
        <w:t>Maldives</w:t>
      </w:r>
      <w:r w:rsidR="00B222DD" w:rsidRPr="00230BC2">
        <w:rPr>
          <w:rStyle w:val="ui-provider"/>
        </w:rPr>
        <w:t xml:space="preserve">, </w:t>
      </w:r>
      <w:r w:rsidR="00F26CDA" w:rsidRPr="00230BC2">
        <w:rPr>
          <w:rStyle w:val="ui-provider"/>
        </w:rPr>
        <w:t>Mexico</w:t>
      </w:r>
      <w:r w:rsidR="00B222DD" w:rsidRPr="00230BC2">
        <w:rPr>
          <w:rStyle w:val="ui-provider"/>
        </w:rPr>
        <w:t xml:space="preserve">, </w:t>
      </w:r>
      <w:r w:rsidR="00F26CDA" w:rsidRPr="00230BC2">
        <w:rPr>
          <w:rStyle w:val="ui-provider"/>
        </w:rPr>
        <w:t>Namibia</w:t>
      </w:r>
      <w:r w:rsidR="00B222DD" w:rsidRPr="00230BC2">
        <w:rPr>
          <w:rStyle w:val="ui-provider"/>
        </w:rPr>
        <w:t xml:space="preserve">, </w:t>
      </w:r>
      <w:r w:rsidR="00F26CDA" w:rsidRPr="00230BC2">
        <w:rPr>
          <w:rStyle w:val="ui-provider"/>
        </w:rPr>
        <w:t>New Zealand</w:t>
      </w:r>
      <w:r w:rsidR="00B222DD" w:rsidRPr="00230BC2">
        <w:rPr>
          <w:rStyle w:val="ui-provider"/>
        </w:rPr>
        <w:t xml:space="preserve">, </w:t>
      </w:r>
      <w:r w:rsidR="00F26CDA" w:rsidRPr="00230BC2">
        <w:rPr>
          <w:rStyle w:val="ui-provider"/>
        </w:rPr>
        <w:t>Nigeria</w:t>
      </w:r>
      <w:r w:rsidR="00B222DD" w:rsidRPr="00230BC2">
        <w:rPr>
          <w:rStyle w:val="ui-provider"/>
        </w:rPr>
        <w:t xml:space="preserve">, </w:t>
      </w:r>
      <w:r w:rsidR="00F26CDA" w:rsidRPr="00230BC2">
        <w:rPr>
          <w:rStyle w:val="ui-provider"/>
        </w:rPr>
        <w:t>Norway</w:t>
      </w:r>
      <w:r w:rsidR="00B222DD" w:rsidRPr="00230BC2">
        <w:rPr>
          <w:rStyle w:val="ui-provider"/>
        </w:rPr>
        <w:t xml:space="preserve">, </w:t>
      </w:r>
      <w:r w:rsidR="00F26CDA" w:rsidRPr="00230BC2">
        <w:rPr>
          <w:rStyle w:val="ui-provider"/>
        </w:rPr>
        <w:t>Palau</w:t>
      </w:r>
      <w:r w:rsidR="00B222DD" w:rsidRPr="00230BC2">
        <w:rPr>
          <w:rStyle w:val="ui-provider"/>
        </w:rPr>
        <w:t xml:space="preserve">, </w:t>
      </w:r>
      <w:r w:rsidR="00F26CDA" w:rsidRPr="00230BC2">
        <w:rPr>
          <w:rStyle w:val="ui-provider"/>
        </w:rPr>
        <w:t>Panama</w:t>
      </w:r>
      <w:r w:rsidR="00B222DD" w:rsidRPr="00230BC2">
        <w:rPr>
          <w:rStyle w:val="ui-provider"/>
        </w:rPr>
        <w:t xml:space="preserve">, </w:t>
      </w:r>
      <w:r w:rsidR="00F26CDA" w:rsidRPr="00230BC2">
        <w:rPr>
          <w:rStyle w:val="ui-provider"/>
        </w:rPr>
        <w:t>Peru</w:t>
      </w:r>
      <w:r w:rsidR="00B222DD" w:rsidRPr="00230BC2">
        <w:rPr>
          <w:rStyle w:val="ui-provider"/>
        </w:rPr>
        <w:t xml:space="preserve">, </w:t>
      </w:r>
      <w:r w:rsidR="00F26CDA" w:rsidRPr="00230BC2">
        <w:rPr>
          <w:rStyle w:val="ui-provider"/>
        </w:rPr>
        <w:t>Philippines</w:t>
      </w:r>
      <w:r w:rsidR="00B222DD" w:rsidRPr="00230BC2">
        <w:rPr>
          <w:rStyle w:val="ui-provider"/>
        </w:rPr>
        <w:t xml:space="preserve">, </w:t>
      </w:r>
      <w:r w:rsidR="00F26CDA" w:rsidRPr="00230BC2">
        <w:rPr>
          <w:rStyle w:val="ui-provider"/>
        </w:rPr>
        <w:t>Russian Federation</w:t>
      </w:r>
      <w:r w:rsidR="00B222DD" w:rsidRPr="00230BC2">
        <w:rPr>
          <w:rStyle w:val="ui-provider"/>
        </w:rPr>
        <w:t xml:space="preserve">, </w:t>
      </w:r>
      <w:r w:rsidR="00F26CDA" w:rsidRPr="00230BC2">
        <w:rPr>
          <w:rStyle w:val="ui-provider"/>
        </w:rPr>
        <w:t>Samoa</w:t>
      </w:r>
      <w:r w:rsidR="00B222DD" w:rsidRPr="00230BC2">
        <w:rPr>
          <w:rStyle w:val="ui-provider"/>
        </w:rPr>
        <w:t xml:space="preserve">, </w:t>
      </w:r>
      <w:r w:rsidR="00F26CDA" w:rsidRPr="00230BC2">
        <w:rPr>
          <w:rStyle w:val="ui-provider"/>
        </w:rPr>
        <w:t xml:space="preserve">Senegal </w:t>
      </w:r>
      <w:r w:rsidR="00851375" w:rsidRPr="00230BC2">
        <w:rPr>
          <w:rStyle w:val="ui-provider"/>
        </w:rPr>
        <w:t>(on behalf of</w:t>
      </w:r>
      <w:r w:rsidR="00F26CDA" w:rsidRPr="00230BC2">
        <w:rPr>
          <w:rStyle w:val="ui-provider"/>
        </w:rPr>
        <w:t xml:space="preserve"> </w:t>
      </w:r>
      <w:r w:rsidR="00894BED" w:rsidRPr="00230BC2">
        <w:rPr>
          <w:rStyle w:val="ui-provider"/>
        </w:rPr>
        <w:t xml:space="preserve">the </w:t>
      </w:r>
      <w:r w:rsidR="00F26CDA" w:rsidRPr="00230BC2">
        <w:rPr>
          <w:rStyle w:val="ui-provider"/>
        </w:rPr>
        <w:t>Africa</w:t>
      </w:r>
      <w:r w:rsidR="00894BED" w:rsidRPr="00230BC2">
        <w:rPr>
          <w:rStyle w:val="ui-provider"/>
        </w:rPr>
        <w:t>n States</w:t>
      </w:r>
      <w:r w:rsidR="00851375" w:rsidRPr="00230BC2">
        <w:rPr>
          <w:rStyle w:val="ui-provider"/>
        </w:rPr>
        <w:t>)</w:t>
      </w:r>
      <w:r w:rsidR="00B222DD" w:rsidRPr="00230BC2">
        <w:rPr>
          <w:rStyle w:val="ui-provider"/>
        </w:rPr>
        <w:t xml:space="preserve">, </w:t>
      </w:r>
      <w:r w:rsidR="00F26CDA" w:rsidRPr="00230BC2">
        <w:rPr>
          <w:rStyle w:val="ui-provider"/>
        </w:rPr>
        <w:t>South Africa</w:t>
      </w:r>
      <w:r w:rsidR="00B222DD" w:rsidRPr="00230BC2">
        <w:rPr>
          <w:rStyle w:val="ui-provider"/>
        </w:rPr>
        <w:t xml:space="preserve">, </w:t>
      </w:r>
      <w:r w:rsidR="00F26CDA" w:rsidRPr="00230BC2">
        <w:rPr>
          <w:rStyle w:val="ui-provider"/>
        </w:rPr>
        <w:t>Sri Lanka</w:t>
      </w:r>
      <w:r w:rsidR="00B222DD" w:rsidRPr="00230BC2">
        <w:rPr>
          <w:rStyle w:val="ui-provider"/>
        </w:rPr>
        <w:t xml:space="preserve">, </w:t>
      </w:r>
      <w:r w:rsidR="00F26CDA" w:rsidRPr="00230BC2">
        <w:rPr>
          <w:rStyle w:val="ui-provider"/>
        </w:rPr>
        <w:t>Sudan</w:t>
      </w:r>
      <w:r w:rsidR="00B222DD" w:rsidRPr="00230BC2">
        <w:rPr>
          <w:rStyle w:val="ui-provider"/>
        </w:rPr>
        <w:t xml:space="preserve">, </w:t>
      </w:r>
      <w:r w:rsidR="00F26CDA" w:rsidRPr="00230BC2">
        <w:rPr>
          <w:rStyle w:val="ui-provider"/>
        </w:rPr>
        <w:t>Switzerland</w:t>
      </w:r>
      <w:r w:rsidR="00B222DD" w:rsidRPr="00230BC2">
        <w:rPr>
          <w:rStyle w:val="ui-provider"/>
        </w:rPr>
        <w:t xml:space="preserve">, </w:t>
      </w:r>
      <w:r w:rsidR="00F26CDA" w:rsidRPr="00230BC2">
        <w:rPr>
          <w:rStyle w:val="ui-provider"/>
        </w:rPr>
        <w:t>Syria</w:t>
      </w:r>
      <w:r w:rsidR="00894BED" w:rsidRPr="00230BC2">
        <w:rPr>
          <w:rStyle w:val="ui-provider"/>
        </w:rPr>
        <w:t>n Arab Republic</w:t>
      </w:r>
      <w:r w:rsidR="00B222DD" w:rsidRPr="00230BC2">
        <w:rPr>
          <w:rStyle w:val="ui-provider"/>
        </w:rPr>
        <w:t xml:space="preserve">, </w:t>
      </w:r>
      <w:r w:rsidR="00967F95" w:rsidRPr="00230BC2">
        <w:rPr>
          <w:rStyle w:val="ui-provider"/>
        </w:rPr>
        <w:t>Türkiye</w:t>
      </w:r>
      <w:r w:rsidR="00851375" w:rsidRPr="00230BC2">
        <w:rPr>
          <w:rStyle w:val="ui-provider"/>
        </w:rPr>
        <w:t xml:space="preserve">, </w:t>
      </w:r>
      <w:r w:rsidR="00F26CDA" w:rsidRPr="00230BC2">
        <w:rPr>
          <w:rStyle w:val="ui-provider"/>
        </w:rPr>
        <w:t>Tuvalu</w:t>
      </w:r>
      <w:r w:rsidR="00851375" w:rsidRPr="00230BC2">
        <w:rPr>
          <w:rStyle w:val="ui-provider"/>
        </w:rPr>
        <w:t xml:space="preserve">, </w:t>
      </w:r>
      <w:r w:rsidR="00F26CDA" w:rsidRPr="00230BC2">
        <w:rPr>
          <w:rStyle w:val="ui-provider"/>
        </w:rPr>
        <w:t>Uganda</w:t>
      </w:r>
      <w:r w:rsidR="00851375" w:rsidRPr="00230BC2">
        <w:rPr>
          <w:rStyle w:val="ui-provider"/>
        </w:rPr>
        <w:t xml:space="preserve">, </w:t>
      </w:r>
      <w:r w:rsidR="00F26CDA" w:rsidRPr="00230BC2">
        <w:rPr>
          <w:rStyle w:val="ui-provider"/>
        </w:rPr>
        <w:t>United Kingdom</w:t>
      </w:r>
      <w:r w:rsidR="00851375" w:rsidRPr="00230BC2">
        <w:rPr>
          <w:rStyle w:val="ui-provider"/>
        </w:rPr>
        <w:t xml:space="preserve">, </w:t>
      </w:r>
      <w:r w:rsidR="00894BED" w:rsidRPr="00230BC2">
        <w:rPr>
          <w:rStyle w:val="ui-provider"/>
        </w:rPr>
        <w:t xml:space="preserve">United Republic of Tanzania, </w:t>
      </w:r>
      <w:r w:rsidR="00F26CDA" w:rsidRPr="00230BC2">
        <w:rPr>
          <w:rStyle w:val="ui-provider"/>
        </w:rPr>
        <w:t>Uruguay</w:t>
      </w:r>
      <w:r w:rsidR="00851375" w:rsidRPr="00230BC2">
        <w:rPr>
          <w:rStyle w:val="ui-provider"/>
        </w:rPr>
        <w:t xml:space="preserve"> and </w:t>
      </w:r>
      <w:r w:rsidR="00F26CDA" w:rsidRPr="00230BC2">
        <w:rPr>
          <w:rStyle w:val="ui-provider"/>
        </w:rPr>
        <w:t>Vanuatu</w:t>
      </w:r>
      <w:r w:rsidR="00851375" w:rsidRPr="00230BC2">
        <w:rPr>
          <w:rStyle w:val="ui-provider"/>
        </w:rPr>
        <w:t>.</w:t>
      </w:r>
    </w:p>
    <w:p w14:paraId="33766F4E" w14:textId="3F096550" w:rsidR="00EB6395" w:rsidRPr="00285079" w:rsidRDefault="00714F4D" w:rsidP="00285079">
      <w:pPr>
        <w:pStyle w:val="BodyText"/>
        <w:ind w:firstLine="0"/>
        <w:jc w:val="left"/>
        <w:rPr>
          <w:i/>
          <w:iCs w:val="0"/>
          <w:snapToGrid w:val="0"/>
        </w:rPr>
      </w:pPr>
      <w:r w:rsidRPr="00285079">
        <w:rPr>
          <w:i/>
          <w:iCs w:val="0"/>
          <w:snapToGrid w:val="0"/>
        </w:rPr>
        <w:t>Consideration</w:t>
      </w:r>
      <w:r w:rsidR="00F34063" w:rsidRPr="00285079">
        <w:rPr>
          <w:i/>
          <w:iCs w:val="0"/>
          <w:snapToGrid w:val="0"/>
        </w:rPr>
        <w:t xml:space="preserve"> of a package of draft decisions on the post-2020 global biodiversity framework</w:t>
      </w:r>
      <w:r w:rsidR="00CC2F9E" w:rsidRPr="00285079">
        <w:rPr>
          <w:i/>
          <w:iCs w:val="0"/>
          <w:snapToGrid w:val="0"/>
        </w:rPr>
        <w:t xml:space="preserve"> for adoption</w:t>
      </w:r>
    </w:p>
    <w:p w14:paraId="4F4EDD32" w14:textId="4557588A" w:rsidR="00107125" w:rsidRPr="00230BC2" w:rsidRDefault="00107125" w:rsidP="003466FC">
      <w:pPr>
        <w:pStyle w:val="Para1"/>
      </w:pPr>
      <w:r w:rsidRPr="00230BC2">
        <w:t xml:space="preserve">At the </w:t>
      </w:r>
      <w:r w:rsidR="00E4615C" w:rsidRPr="00230BC2">
        <w:t>4</w:t>
      </w:r>
      <w:r w:rsidRPr="00230BC2">
        <w:t>th plenary session</w:t>
      </w:r>
      <w:r w:rsidR="00893FBA" w:rsidRPr="00230BC2">
        <w:t>,</w:t>
      </w:r>
      <w:r w:rsidRPr="00230BC2">
        <w:t xml:space="preserve"> on 19 December</w:t>
      </w:r>
      <w:r w:rsidR="00C12920" w:rsidRPr="00230BC2">
        <w:t xml:space="preserve"> 2022</w:t>
      </w:r>
      <w:r w:rsidRPr="00230BC2">
        <w:t>, the President introduced a set of draft decisions</w:t>
      </w:r>
      <w:r w:rsidR="00025A23" w:rsidRPr="00230BC2">
        <w:t xml:space="preserve"> proposed for</w:t>
      </w:r>
      <w:r w:rsidRPr="00230BC2">
        <w:t xml:space="preserve"> </w:t>
      </w:r>
      <w:r w:rsidR="00025A23" w:rsidRPr="00230BC2">
        <w:t>adoption</w:t>
      </w:r>
      <w:r w:rsidRPr="00230BC2">
        <w:t xml:space="preserve"> by the Conference of the Parties</w:t>
      </w:r>
      <w:r w:rsidR="00025A23" w:rsidRPr="00230BC2">
        <w:t xml:space="preserve"> as a package</w:t>
      </w:r>
      <w:r w:rsidR="003D3517" w:rsidRPr="00230BC2">
        <w:t xml:space="preserve">, </w:t>
      </w:r>
      <w:r w:rsidR="004E2DD6" w:rsidRPr="00230BC2">
        <w:t>which</w:t>
      </w:r>
      <w:r w:rsidR="008C18A1" w:rsidRPr="00230BC2">
        <w:t xml:space="preserve"> </w:t>
      </w:r>
      <w:r w:rsidR="003D3517" w:rsidRPr="00230BC2">
        <w:t>cover</w:t>
      </w:r>
      <w:r w:rsidR="008C18A1" w:rsidRPr="00230BC2">
        <w:t>ed</w:t>
      </w:r>
      <w:r w:rsidR="007930A4" w:rsidRPr="00230BC2">
        <w:t xml:space="preserve"> the </w:t>
      </w:r>
      <w:r w:rsidR="00F32E16" w:rsidRPr="00230BC2">
        <w:t>Kunming-Montreal Global Biodiversity Framework (</w:t>
      </w:r>
      <w:r w:rsidR="004C2DDB" w:rsidRPr="00230BC2">
        <w:t>CBD/COP/15/</w:t>
      </w:r>
      <w:r w:rsidR="00015986" w:rsidRPr="00230BC2">
        <w:t xml:space="preserve">L.25), </w:t>
      </w:r>
      <w:r w:rsidR="00CE008F" w:rsidRPr="00230BC2">
        <w:t>the monitoring framework for the Kunming-Montreal Global Biodiversity Framework (</w:t>
      </w:r>
      <w:r w:rsidR="004C2DDB" w:rsidRPr="00230BC2">
        <w:t>CBD/COP/15/</w:t>
      </w:r>
      <w:r w:rsidR="00CE008F" w:rsidRPr="00230BC2">
        <w:t>L.</w:t>
      </w:r>
      <w:r w:rsidR="00186188" w:rsidRPr="00230BC2">
        <w:t xml:space="preserve">26), </w:t>
      </w:r>
      <w:r w:rsidR="00767AD6" w:rsidRPr="00230BC2">
        <w:t>mechanisms for planning, monitoring, reporting and review (</w:t>
      </w:r>
      <w:r w:rsidR="004C2DDB" w:rsidRPr="00230BC2">
        <w:t>CBD/COP/15/</w:t>
      </w:r>
      <w:r w:rsidR="00767AD6" w:rsidRPr="00230BC2">
        <w:t>L.27)</w:t>
      </w:r>
      <w:r w:rsidR="00FD1614" w:rsidRPr="00230BC2">
        <w:t>, capacity-building and development and technical and scientific cooperation (</w:t>
      </w:r>
      <w:r w:rsidR="004C2DDB" w:rsidRPr="00230BC2">
        <w:t>CBD/COP/15/</w:t>
      </w:r>
      <w:r w:rsidR="00FD1614" w:rsidRPr="00230BC2">
        <w:t xml:space="preserve">L.28), </w:t>
      </w:r>
      <w:r w:rsidR="00063D6D" w:rsidRPr="00230BC2">
        <w:t>resource mobilization (</w:t>
      </w:r>
      <w:r w:rsidR="004C2DDB" w:rsidRPr="00230BC2">
        <w:t>CBD/COP/15/</w:t>
      </w:r>
      <w:r w:rsidR="00063D6D" w:rsidRPr="00230BC2">
        <w:t>L.29)</w:t>
      </w:r>
      <w:r w:rsidR="005E0759" w:rsidRPr="00230BC2">
        <w:t xml:space="preserve"> and digital sequence information on genetic resources (</w:t>
      </w:r>
      <w:r w:rsidR="004C2DDB" w:rsidRPr="00230BC2">
        <w:t>CBD/COP/15/</w:t>
      </w:r>
      <w:r w:rsidR="005E0759" w:rsidRPr="00230BC2">
        <w:t>L.30).</w:t>
      </w:r>
      <w:r w:rsidR="000077DD">
        <w:rPr>
          <w:rStyle w:val="FootnoteReference"/>
        </w:rPr>
        <w:footnoteReference w:customMarkFollows="1" w:id="398"/>
        <w:t>4</w:t>
      </w:r>
    </w:p>
    <w:p w14:paraId="1F88A14E" w14:textId="7404D42D" w:rsidR="00107125" w:rsidRPr="00230BC2" w:rsidRDefault="00107125" w:rsidP="003466FC">
      <w:pPr>
        <w:pStyle w:val="Para1"/>
      </w:pPr>
      <w:r w:rsidRPr="00230BC2">
        <w:t xml:space="preserve">Statements were made by representatives of </w:t>
      </w:r>
      <w:r w:rsidR="0025069E" w:rsidRPr="00230BC2">
        <w:t xml:space="preserve">the following Parties: </w:t>
      </w:r>
      <w:r w:rsidRPr="00230BC2">
        <w:t>Cameroon, Canada, Democratic Republic of the Congo, Egypt, Gabon, Mexico, Namibia, Rwanda and Uganda.</w:t>
      </w:r>
      <w:r w:rsidR="00E654EC" w:rsidRPr="00230BC2">
        <w:t xml:space="preserve"> </w:t>
      </w:r>
    </w:p>
    <w:p w14:paraId="24CA66B8" w14:textId="30B9F076" w:rsidR="006B4176" w:rsidRPr="00230BC2" w:rsidRDefault="00C96813" w:rsidP="003466FC">
      <w:pPr>
        <w:pStyle w:val="Para1"/>
      </w:pPr>
      <w:r w:rsidRPr="00230BC2">
        <w:lastRenderedPageBreak/>
        <w:t xml:space="preserve">Following the statement by the </w:t>
      </w:r>
      <w:r w:rsidR="00640F42" w:rsidRPr="00230BC2">
        <w:t xml:space="preserve">representative of the </w:t>
      </w:r>
      <w:r w:rsidRPr="00230BC2">
        <w:t xml:space="preserve">Democratic Republic of the Congo, the representatives of Cameroon and </w:t>
      </w:r>
      <w:r w:rsidR="006B4176" w:rsidRPr="00230BC2">
        <w:t xml:space="preserve">Uganda stated that </w:t>
      </w:r>
      <w:r w:rsidRPr="00230BC2">
        <w:t xml:space="preserve">they </w:t>
      </w:r>
      <w:r w:rsidR="006B4176" w:rsidRPr="00230BC2">
        <w:t xml:space="preserve">wished to put on record </w:t>
      </w:r>
      <w:r w:rsidRPr="00230BC2">
        <w:t xml:space="preserve">their </w:t>
      </w:r>
      <w:r w:rsidR="006B4176" w:rsidRPr="00230BC2">
        <w:t xml:space="preserve">reservations on the procedure under which the </w:t>
      </w:r>
      <w:r w:rsidR="00173DDF" w:rsidRPr="00230BC2">
        <w:t xml:space="preserve">set of </w:t>
      </w:r>
      <w:r w:rsidR="006B4176" w:rsidRPr="00230BC2">
        <w:t xml:space="preserve">decisions </w:t>
      </w:r>
      <w:r w:rsidR="004F016A" w:rsidRPr="00230BC2">
        <w:t xml:space="preserve">was </w:t>
      </w:r>
      <w:r w:rsidR="006B4176" w:rsidRPr="00230BC2">
        <w:t>adopt</w:t>
      </w:r>
      <w:r w:rsidR="00217FE7" w:rsidRPr="00230BC2">
        <w:t>ed</w:t>
      </w:r>
      <w:r w:rsidR="004F016A" w:rsidRPr="00230BC2">
        <w:t>,</w:t>
      </w:r>
      <w:r w:rsidR="006B4176" w:rsidRPr="00230BC2">
        <w:t xml:space="preserve"> to avoid setting a precedent for future proceedings </w:t>
      </w:r>
      <w:r w:rsidR="00894BED" w:rsidRPr="00230BC2">
        <w:t>of</w:t>
      </w:r>
      <w:r w:rsidR="006B4176" w:rsidRPr="00230BC2">
        <w:t xml:space="preserve"> the </w:t>
      </w:r>
      <w:r w:rsidR="004D2A3C" w:rsidRPr="00230BC2">
        <w:t>Conference of the Parties</w:t>
      </w:r>
      <w:r w:rsidR="006B4176" w:rsidRPr="00230BC2">
        <w:t xml:space="preserve">. </w:t>
      </w:r>
    </w:p>
    <w:p w14:paraId="57510CB7" w14:textId="684AA6B9" w:rsidR="00643DA8" w:rsidRPr="00230BC2" w:rsidRDefault="00025A23" w:rsidP="003466FC">
      <w:pPr>
        <w:pStyle w:val="Para1"/>
      </w:pPr>
      <w:r w:rsidRPr="00230BC2">
        <w:t xml:space="preserve">At the </w:t>
      </w:r>
      <w:r w:rsidR="00E4615C" w:rsidRPr="00230BC2">
        <w:t>5</w:t>
      </w:r>
      <w:r w:rsidRPr="00230BC2">
        <w:t>th plenary session</w:t>
      </w:r>
      <w:r w:rsidR="00D94EB4" w:rsidRPr="00230BC2">
        <w:t>,</w:t>
      </w:r>
      <w:r w:rsidRPr="00230BC2">
        <w:t xml:space="preserve"> the representative of the Democratic Republic of the Congo</w:t>
      </w:r>
      <w:r w:rsidR="00EE7675" w:rsidRPr="00230BC2">
        <w:t>, asking that her comments be reflected in the present report, said</w:t>
      </w:r>
      <w:r w:rsidR="00003F6B" w:rsidRPr="00230BC2">
        <w:t xml:space="preserve"> that</w:t>
      </w:r>
      <w:r w:rsidR="007E07C7" w:rsidRPr="00230BC2">
        <w:t>,</w:t>
      </w:r>
      <w:r w:rsidR="00003F6B" w:rsidRPr="00230BC2">
        <w:t xml:space="preserve"> </w:t>
      </w:r>
      <w:r w:rsidR="00964710" w:rsidRPr="00230BC2">
        <w:t xml:space="preserve">while </w:t>
      </w:r>
      <w:r w:rsidR="00003F6B" w:rsidRPr="00230BC2">
        <w:t>her Government</w:t>
      </w:r>
      <w:r w:rsidR="003E3519" w:rsidRPr="00230BC2">
        <w:t xml:space="preserve"> </w:t>
      </w:r>
      <w:r w:rsidR="003E3519" w:rsidRPr="00230BC2">
        <w:rPr>
          <w:bCs/>
        </w:rPr>
        <w:t xml:space="preserve">welcomed the adoption of </w:t>
      </w:r>
      <w:r w:rsidR="00BA5B6F" w:rsidRPr="00230BC2">
        <w:rPr>
          <w:bCs/>
        </w:rPr>
        <w:t xml:space="preserve">the </w:t>
      </w:r>
      <w:r w:rsidR="003E3519" w:rsidRPr="00230BC2">
        <w:rPr>
          <w:bCs/>
        </w:rPr>
        <w:t>post-2020 global biodiversity framework and the five related decisions</w:t>
      </w:r>
      <w:r w:rsidR="00964710" w:rsidRPr="00230BC2">
        <w:rPr>
          <w:bCs/>
        </w:rPr>
        <w:t>, it</w:t>
      </w:r>
      <w:r w:rsidR="003E3519" w:rsidRPr="00230BC2">
        <w:rPr>
          <w:bCs/>
        </w:rPr>
        <w:t xml:space="preserve"> </w:t>
      </w:r>
      <w:r w:rsidR="00EE7675" w:rsidRPr="00230BC2">
        <w:rPr>
          <w:bCs/>
        </w:rPr>
        <w:t>had</w:t>
      </w:r>
      <w:r w:rsidR="00003F6B" w:rsidRPr="00230BC2">
        <w:t xml:space="preserve"> </w:t>
      </w:r>
      <w:r w:rsidR="003E3519" w:rsidRPr="00230BC2">
        <w:t>reservation</w:t>
      </w:r>
      <w:r w:rsidR="00EE7675" w:rsidRPr="00230BC2">
        <w:t>s</w:t>
      </w:r>
      <w:r w:rsidR="003E3519" w:rsidRPr="00230BC2">
        <w:t xml:space="preserve"> with respect to </w:t>
      </w:r>
      <w:r w:rsidR="00F2546F" w:rsidRPr="00230BC2">
        <w:rPr>
          <w:bCs/>
        </w:rPr>
        <w:t>T</w:t>
      </w:r>
      <w:r w:rsidR="003E3519" w:rsidRPr="00230BC2">
        <w:rPr>
          <w:bCs/>
        </w:rPr>
        <w:t>arget 19 of the Kunming-Montreal Global Biodiversity Framework</w:t>
      </w:r>
      <w:r w:rsidR="00C918A7" w:rsidRPr="00230BC2">
        <w:rPr>
          <w:bCs/>
        </w:rPr>
        <w:t xml:space="preserve"> </w:t>
      </w:r>
      <w:r w:rsidR="003E3519" w:rsidRPr="00230BC2">
        <w:rPr>
          <w:bCs/>
        </w:rPr>
        <w:t xml:space="preserve">and </w:t>
      </w:r>
      <w:r w:rsidR="005C1552" w:rsidRPr="00230BC2">
        <w:rPr>
          <w:bCs/>
        </w:rPr>
        <w:t>to</w:t>
      </w:r>
      <w:r w:rsidR="00C918A7" w:rsidRPr="00230BC2">
        <w:rPr>
          <w:bCs/>
        </w:rPr>
        <w:t xml:space="preserve"> </w:t>
      </w:r>
      <w:r w:rsidR="003E3519" w:rsidRPr="00230BC2">
        <w:rPr>
          <w:bCs/>
        </w:rPr>
        <w:t>decision 15/</w:t>
      </w:r>
      <w:r w:rsidR="00C918A7" w:rsidRPr="00230BC2">
        <w:rPr>
          <w:bCs/>
        </w:rPr>
        <w:t>7</w:t>
      </w:r>
      <w:r w:rsidR="003E3519" w:rsidRPr="00230BC2">
        <w:rPr>
          <w:bCs/>
        </w:rPr>
        <w:t>, on resource mobilization</w:t>
      </w:r>
      <w:r w:rsidR="00964710" w:rsidRPr="00230BC2">
        <w:rPr>
          <w:bCs/>
        </w:rPr>
        <w:t xml:space="preserve">, </w:t>
      </w:r>
      <w:r w:rsidR="00C918A7" w:rsidRPr="00230BC2">
        <w:rPr>
          <w:bCs/>
        </w:rPr>
        <w:t xml:space="preserve">with regard to funding and the funding mechanism, and </w:t>
      </w:r>
      <w:r w:rsidR="00487734" w:rsidRPr="00230BC2">
        <w:rPr>
          <w:bCs/>
        </w:rPr>
        <w:t xml:space="preserve">that it </w:t>
      </w:r>
      <w:r w:rsidR="00C918A7" w:rsidRPr="00230BC2">
        <w:rPr>
          <w:bCs/>
        </w:rPr>
        <w:t xml:space="preserve">called for the implementation of </w:t>
      </w:r>
      <w:r w:rsidR="00CE3F6F" w:rsidRPr="00230BC2">
        <w:rPr>
          <w:bCs/>
        </w:rPr>
        <w:t>A</w:t>
      </w:r>
      <w:r w:rsidR="00964710" w:rsidRPr="00230BC2">
        <w:rPr>
          <w:bCs/>
        </w:rPr>
        <w:t>rticle 21 of the Convention</w:t>
      </w:r>
      <w:r w:rsidR="006C7FDA" w:rsidRPr="00230BC2">
        <w:rPr>
          <w:bCs/>
        </w:rPr>
        <w:t xml:space="preserve">, in particular </w:t>
      </w:r>
      <w:r w:rsidR="00C96813" w:rsidRPr="00230BC2">
        <w:rPr>
          <w:bCs/>
        </w:rPr>
        <w:t>through</w:t>
      </w:r>
      <w:r w:rsidR="006C7FDA" w:rsidRPr="00230BC2">
        <w:rPr>
          <w:bCs/>
        </w:rPr>
        <w:t xml:space="preserve"> the creation of </w:t>
      </w:r>
      <w:r w:rsidR="00C96813" w:rsidRPr="00230BC2">
        <w:rPr>
          <w:bCs/>
        </w:rPr>
        <w:t xml:space="preserve">a special fund dedicated to biodiversity, under the authority of </w:t>
      </w:r>
      <w:r w:rsidR="006C7FDA" w:rsidRPr="00230BC2">
        <w:rPr>
          <w:bCs/>
        </w:rPr>
        <w:t>the Convention</w:t>
      </w:r>
      <w:r w:rsidR="003E3519" w:rsidRPr="00230BC2">
        <w:rPr>
          <w:bCs/>
        </w:rPr>
        <w:t xml:space="preserve">. </w:t>
      </w:r>
    </w:p>
    <w:p w14:paraId="0A08B0C9" w14:textId="3E6DA3ED" w:rsidR="00EF5547" w:rsidRPr="00230BC2" w:rsidRDefault="00E44D20" w:rsidP="003466FC">
      <w:pPr>
        <w:pStyle w:val="Para1"/>
        <w:numPr>
          <w:ilvl w:val="0"/>
          <w:numId w:val="0"/>
        </w:numPr>
        <w:rPr>
          <w:i/>
          <w:iCs/>
        </w:rPr>
      </w:pPr>
      <w:r w:rsidRPr="00230BC2">
        <w:rPr>
          <w:i/>
          <w:iCs/>
        </w:rPr>
        <w:t>Resumed second part</w:t>
      </w:r>
    </w:p>
    <w:p w14:paraId="09BB92A4" w14:textId="5BB736C7" w:rsidR="00A743D6" w:rsidRPr="00230BC2" w:rsidRDefault="00A743D6" w:rsidP="00A743D6">
      <w:pPr>
        <w:pStyle w:val="Para1"/>
        <w:numPr>
          <w:ilvl w:val="0"/>
          <w:numId w:val="4"/>
        </w:numPr>
        <w:rPr>
          <w:snapToGrid/>
          <w:szCs w:val="24"/>
        </w:rPr>
      </w:pPr>
      <w:r w:rsidRPr="00230BC2">
        <w:t xml:space="preserve">At its 6th plenary session, the Conference of the Parties considered a document prepared by the Secretariat on the proposed organization of work for the resumed second part of its </w:t>
      </w:r>
      <w:r w:rsidR="002A6085" w:rsidRPr="00230BC2">
        <w:t xml:space="preserve">fifteenth </w:t>
      </w:r>
      <w:r w:rsidRPr="00230BC2">
        <w:t>meeting (CBD/C</w:t>
      </w:r>
      <w:r w:rsidR="00C96813" w:rsidRPr="00230BC2">
        <w:t>O</w:t>
      </w:r>
      <w:r w:rsidRPr="00230BC2">
        <w:t>P/1</w:t>
      </w:r>
      <w:r w:rsidR="00C96813" w:rsidRPr="00230BC2">
        <w:t>5</w:t>
      </w:r>
      <w:r w:rsidRPr="00230BC2">
        <w:t>/1/Add.</w:t>
      </w:r>
      <w:r w:rsidR="00C96813" w:rsidRPr="00230BC2">
        <w:t>5</w:t>
      </w:r>
      <w:r w:rsidRPr="00230BC2">
        <w:t>, annex II)</w:t>
      </w:r>
      <w:r w:rsidRPr="00230BC2">
        <w:rPr>
          <w:bCs/>
        </w:rPr>
        <w:t xml:space="preserve"> and agreed to organize its work as set out therein</w:t>
      </w:r>
      <w:r w:rsidR="002A6085" w:rsidRPr="00230BC2">
        <w:rPr>
          <w:bCs/>
        </w:rPr>
        <w:t>,</w:t>
      </w:r>
      <w:r w:rsidRPr="00230BC2">
        <w:rPr>
          <w:bCs/>
        </w:rPr>
        <w:t xml:space="preserve"> </w:t>
      </w:r>
      <w:r w:rsidR="00C261E9" w:rsidRPr="00230BC2">
        <w:rPr>
          <w:bCs/>
        </w:rPr>
        <w:t>except</w:t>
      </w:r>
      <w:r w:rsidRPr="00230BC2">
        <w:rPr>
          <w:rStyle w:val="ui-provider"/>
        </w:rPr>
        <w:t xml:space="preserve"> that the election of officers, under agenda item 2</w:t>
      </w:r>
      <w:r w:rsidR="00B85063" w:rsidRPr="00230BC2">
        <w:rPr>
          <w:rStyle w:val="ui-provider"/>
        </w:rPr>
        <w:t>,</w:t>
      </w:r>
      <w:r w:rsidRPr="00230BC2">
        <w:rPr>
          <w:rStyle w:val="ui-provider"/>
        </w:rPr>
        <w:t xml:space="preserve"> would be held immediately after the consideration of credentials (agenda item 3).</w:t>
      </w:r>
    </w:p>
    <w:bookmarkEnd w:id="418"/>
    <w:bookmarkEnd w:id="419"/>
    <w:p w14:paraId="740B4800" w14:textId="56034CBD" w:rsidR="00D77560" w:rsidRPr="00230BC2" w:rsidRDefault="00D77560" w:rsidP="00950BE4">
      <w:pPr>
        <w:keepNext/>
        <w:suppressLineNumbers/>
        <w:tabs>
          <w:tab w:val="left" w:pos="810"/>
        </w:tabs>
        <w:suppressAutoHyphens/>
        <w:kinsoku w:val="0"/>
        <w:overflowPunct w:val="0"/>
        <w:autoSpaceDE w:val="0"/>
        <w:autoSpaceDN w:val="0"/>
        <w:adjustRightInd w:val="0"/>
        <w:snapToGrid w:val="0"/>
        <w:spacing w:before="240" w:after="120"/>
        <w:ind w:left="1559" w:hanging="1134"/>
        <w:jc w:val="left"/>
        <w:rPr>
          <w:b/>
          <w:bCs/>
          <w:snapToGrid w:val="0"/>
          <w:kern w:val="22"/>
          <w:szCs w:val="22"/>
        </w:rPr>
      </w:pPr>
      <w:r w:rsidRPr="00230BC2">
        <w:rPr>
          <w:b/>
          <w:bCs/>
          <w:snapToGrid w:val="0"/>
          <w:kern w:val="22"/>
          <w:szCs w:val="22"/>
        </w:rPr>
        <w:t>Item 3.</w:t>
      </w:r>
      <w:r w:rsidRPr="00230BC2">
        <w:rPr>
          <w:b/>
          <w:bCs/>
          <w:snapToGrid w:val="0"/>
          <w:kern w:val="22"/>
          <w:szCs w:val="22"/>
        </w:rPr>
        <w:tab/>
        <w:t xml:space="preserve">Report on the credentials of </w:t>
      </w:r>
      <w:r w:rsidRPr="00230BC2">
        <w:rPr>
          <w:b/>
          <w:bCs/>
          <w:iCs/>
          <w:snapToGrid w:val="0"/>
          <w:kern w:val="22"/>
          <w:szCs w:val="22"/>
        </w:rPr>
        <w:t>representatives</w:t>
      </w:r>
      <w:r w:rsidRPr="00230BC2">
        <w:rPr>
          <w:b/>
          <w:bCs/>
          <w:snapToGrid w:val="0"/>
          <w:kern w:val="22"/>
          <w:szCs w:val="22"/>
        </w:rPr>
        <w:t xml:space="preserve"> to the fifteenth meeting of the Conference of the Parties</w:t>
      </w:r>
    </w:p>
    <w:p w14:paraId="67750805" w14:textId="6EF35719" w:rsidR="00A944A0" w:rsidRPr="00230BC2" w:rsidRDefault="00AD3928" w:rsidP="003466FC">
      <w:pPr>
        <w:pStyle w:val="Para1"/>
      </w:pPr>
      <w:bookmarkStart w:id="425" w:name="_Hlk122109317"/>
      <w:r w:rsidRPr="00230BC2">
        <w:t>A</w:t>
      </w:r>
      <w:r w:rsidR="00A944A0" w:rsidRPr="00230BC2">
        <w:t xml:space="preserve">t </w:t>
      </w:r>
      <w:r w:rsidR="00F12685" w:rsidRPr="00230BC2">
        <w:t xml:space="preserve">its </w:t>
      </w:r>
      <w:r w:rsidR="00E4615C" w:rsidRPr="00230BC2">
        <w:t>1</w:t>
      </w:r>
      <w:r w:rsidR="00635790" w:rsidRPr="00230BC2">
        <w:t>st</w:t>
      </w:r>
      <w:r w:rsidR="00A944A0" w:rsidRPr="00230BC2">
        <w:t xml:space="preserve"> </w:t>
      </w:r>
      <w:r w:rsidR="004A478A" w:rsidRPr="00230BC2">
        <w:t xml:space="preserve">plenary </w:t>
      </w:r>
      <w:r w:rsidR="00A944A0" w:rsidRPr="00230BC2">
        <w:t>session</w:t>
      </w:r>
      <w:r w:rsidR="00F12685" w:rsidRPr="00230BC2">
        <w:t>,</w:t>
      </w:r>
      <w:r w:rsidR="00A944A0" w:rsidRPr="00230BC2">
        <w:t xml:space="preserve"> </w:t>
      </w:r>
      <w:r w:rsidRPr="00230BC2">
        <w:t>the Conference of the Parties note</w:t>
      </w:r>
      <w:r w:rsidR="009503C8" w:rsidRPr="00230BC2">
        <w:t>d</w:t>
      </w:r>
      <w:r w:rsidRPr="00230BC2">
        <w:t xml:space="preserve"> that, in accordance with the relevant rules of procedure </w:t>
      </w:r>
      <w:r w:rsidR="004B07C0" w:rsidRPr="00230BC2">
        <w:t xml:space="preserve">for </w:t>
      </w:r>
      <w:r w:rsidR="00395481" w:rsidRPr="00230BC2">
        <w:t>meetings</w:t>
      </w:r>
      <w:r w:rsidRPr="00230BC2">
        <w:t xml:space="preserve"> of the </w:t>
      </w:r>
      <w:r w:rsidR="004B07C0" w:rsidRPr="00230BC2">
        <w:t>Conference of the Parties</w:t>
      </w:r>
      <w:r w:rsidRPr="00230BC2">
        <w:t>, the Bureau had reviewed the list of observers admitted to the meeting (</w:t>
      </w:r>
      <w:r w:rsidR="004B07C0" w:rsidRPr="00230BC2">
        <w:t xml:space="preserve">CBD/COP/15/INF/2) and would examine the credentials of delegations and report </w:t>
      </w:r>
      <w:r w:rsidR="007460BB" w:rsidRPr="00230BC2">
        <w:t>thereon</w:t>
      </w:r>
      <w:r w:rsidR="004B07C0" w:rsidRPr="00230BC2">
        <w:t xml:space="preserve"> at a later session</w:t>
      </w:r>
      <w:r w:rsidR="00A944A0" w:rsidRPr="00230BC2">
        <w:t>.</w:t>
      </w:r>
    </w:p>
    <w:p w14:paraId="30B1E5B3" w14:textId="17004E41" w:rsidR="007242DB" w:rsidRPr="00230BC2" w:rsidRDefault="00006E4F" w:rsidP="003466FC">
      <w:pPr>
        <w:pStyle w:val="Para1"/>
      </w:pPr>
      <w:r w:rsidRPr="00230BC2">
        <w:t>A</w:t>
      </w:r>
      <w:r w:rsidR="004B07C0" w:rsidRPr="00230BC2">
        <w:t>ccordingly, a</w:t>
      </w:r>
      <w:r w:rsidRPr="00230BC2">
        <w:t xml:space="preserve">t the </w:t>
      </w:r>
      <w:r w:rsidR="00E4615C" w:rsidRPr="00230BC2">
        <w:t>2</w:t>
      </w:r>
      <w:r w:rsidR="00634347" w:rsidRPr="00230BC2">
        <w:t>nd</w:t>
      </w:r>
      <w:r w:rsidRPr="00230BC2">
        <w:t xml:space="preserve"> </w:t>
      </w:r>
      <w:r w:rsidR="004A478A" w:rsidRPr="00230BC2">
        <w:t xml:space="preserve">plenary </w:t>
      </w:r>
      <w:r w:rsidRPr="00230BC2">
        <w:t>session</w:t>
      </w:r>
      <w:r w:rsidR="00676360" w:rsidRPr="00230BC2">
        <w:t>,</w:t>
      </w:r>
      <w:r w:rsidRPr="00230BC2">
        <w:t xml:space="preserve"> Eric Okoree (Ghana)</w:t>
      </w:r>
      <w:r w:rsidR="00AD3928" w:rsidRPr="00230BC2">
        <w:t xml:space="preserve">, designated by </w:t>
      </w:r>
      <w:r w:rsidR="00AD3928" w:rsidRPr="00230BC2">
        <w:rPr>
          <w:bCs/>
        </w:rPr>
        <w:t xml:space="preserve">the Bureau during </w:t>
      </w:r>
      <w:r w:rsidR="00206628" w:rsidRPr="00230BC2">
        <w:rPr>
          <w:bCs/>
        </w:rPr>
        <w:t xml:space="preserve">the first </w:t>
      </w:r>
      <w:r w:rsidR="00AD3928" w:rsidRPr="00230BC2">
        <w:rPr>
          <w:bCs/>
        </w:rPr>
        <w:t xml:space="preserve">part of the </w:t>
      </w:r>
      <w:r w:rsidR="00461F3E" w:rsidRPr="00230BC2">
        <w:t xml:space="preserve">fifteenth </w:t>
      </w:r>
      <w:r w:rsidR="00AD3928" w:rsidRPr="00230BC2">
        <w:rPr>
          <w:bCs/>
        </w:rPr>
        <w:t xml:space="preserve">meeting as </w:t>
      </w:r>
      <w:r w:rsidR="00A9431D" w:rsidRPr="00230BC2">
        <w:rPr>
          <w:bCs/>
        </w:rPr>
        <w:t>its</w:t>
      </w:r>
      <w:r w:rsidR="00AD3928" w:rsidRPr="00230BC2">
        <w:rPr>
          <w:bCs/>
        </w:rPr>
        <w:t xml:space="preserve"> representative to report on credentials,</w:t>
      </w:r>
      <w:r w:rsidRPr="00230BC2">
        <w:t xml:space="preserve"> </w:t>
      </w:r>
      <w:bookmarkEnd w:id="425"/>
      <w:r w:rsidR="00655B0F" w:rsidRPr="00230BC2">
        <w:t xml:space="preserve">informed the Conference of the Parties </w:t>
      </w:r>
      <w:r w:rsidR="00AD3928" w:rsidRPr="00230BC2">
        <w:t xml:space="preserve">that </w:t>
      </w:r>
      <w:r w:rsidR="00634347" w:rsidRPr="00230BC2">
        <w:t xml:space="preserve">179 Parties </w:t>
      </w:r>
      <w:r w:rsidR="00634347" w:rsidRPr="00EB7B58">
        <w:t>were registered as attending the meeting. The Bureau had examined the credentials of the representatives of 136 Parties that were attending the meeting. The credentials of 11</w:t>
      </w:r>
      <w:r w:rsidR="008358A9" w:rsidRPr="00EB7B58">
        <w:t>7</w:t>
      </w:r>
      <w:r w:rsidR="00BF17BA" w:rsidRPr="00EB7B58">
        <w:t> </w:t>
      </w:r>
      <w:r w:rsidR="00634347" w:rsidRPr="00EB7B58">
        <w:t>delegations were in full compliance with rule 18 of the rules of procedure</w:t>
      </w:r>
      <w:r w:rsidR="00830AE1" w:rsidRPr="00EB7B58">
        <w:t>,</w:t>
      </w:r>
      <w:r w:rsidR="00634347" w:rsidRPr="00EB7B58">
        <w:t xml:space="preserve"> </w:t>
      </w:r>
      <w:r w:rsidR="00DE6CFA" w:rsidRPr="00EB7B58">
        <w:t xml:space="preserve">while </w:t>
      </w:r>
      <w:r w:rsidR="00830AE1" w:rsidRPr="00EB7B58">
        <w:t>t</w:t>
      </w:r>
      <w:r w:rsidR="00634347" w:rsidRPr="00EB7B58">
        <w:t xml:space="preserve">hose of 19 delegations did not fully comply with </w:t>
      </w:r>
      <w:r w:rsidR="00797880" w:rsidRPr="00EB7B58">
        <w:t>it</w:t>
      </w:r>
      <w:r w:rsidR="00634347" w:rsidRPr="00EB7B58">
        <w:t xml:space="preserve"> and a further 43 delegations had not presented their credentials to</w:t>
      </w:r>
      <w:r w:rsidR="00634347" w:rsidRPr="00230BC2">
        <w:t xml:space="preserve"> date.</w:t>
      </w:r>
    </w:p>
    <w:p w14:paraId="3B3C3005" w14:textId="1BDA163D" w:rsidR="00990987" w:rsidRPr="00230BC2" w:rsidRDefault="0036653F" w:rsidP="003466FC">
      <w:pPr>
        <w:pStyle w:val="Para1"/>
      </w:pPr>
      <w:r w:rsidRPr="00230BC2">
        <w:t xml:space="preserve">At the </w:t>
      </w:r>
      <w:r w:rsidR="00E4615C" w:rsidRPr="00230BC2">
        <w:t>4</w:t>
      </w:r>
      <w:r w:rsidRPr="00230BC2">
        <w:t>th plenary session</w:t>
      </w:r>
      <w:r w:rsidR="00893FBA" w:rsidRPr="00230BC2">
        <w:t>,</w:t>
      </w:r>
      <w:r w:rsidRPr="00230BC2">
        <w:t xml:space="preserve"> </w:t>
      </w:r>
      <w:r w:rsidR="00E56A9E" w:rsidRPr="00230BC2">
        <w:rPr>
          <w:bCs/>
        </w:rPr>
        <w:t>Ms.</w:t>
      </w:r>
      <w:r w:rsidRPr="00230BC2">
        <w:rPr>
          <w:bCs/>
        </w:rPr>
        <w:t xml:space="preserve"> </w:t>
      </w:r>
      <w:bookmarkStart w:id="426" w:name="_Hlk123474699"/>
      <w:r w:rsidRPr="00230BC2">
        <w:rPr>
          <w:bCs/>
        </w:rPr>
        <w:t>Jeff</w:t>
      </w:r>
      <w:r w:rsidR="000C7238" w:rsidRPr="00230BC2">
        <w:rPr>
          <w:bCs/>
        </w:rPr>
        <w:t>re</w:t>
      </w:r>
      <w:r w:rsidRPr="00230BC2">
        <w:rPr>
          <w:bCs/>
        </w:rPr>
        <w:t>y-Brown</w:t>
      </w:r>
      <w:bookmarkEnd w:id="426"/>
      <w:r w:rsidRPr="00230BC2">
        <w:t xml:space="preserve">, speaking on behalf of Mr. Okoree, presented the </w:t>
      </w:r>
      <w:r w:rsidR="007303DB" w:rsidRPr="00230BC2">
        <w:t xml:space="preserve">revised and </w:t>
      </w:r>
      <w:r w:rsidR="00BB4CD1" w:rsidRPr="00230BC2">
        <w:t xml:space="preserve">final </w:t>
      </w:r>
      <w:r w:rsidRPr="00230BC2">
        <w:t>report on credentials (CBD/COP/15/INF/26/Rev.1). She informed the Conference of the Parties that 188 Parties were registered as attending the meeting. The Bureau had examined the credentials of the representatives of 164 Parties that were attending the meeting. The credentials of 150</w:t>
      </w:r>
      <w:r w:rsidR="00EA3FA2" w:rsidRPr="00230BC2">
        <w:t> </w:t>
      </w:r>
      <w:r w:rsidRPr="00230BC2">
        <w:t>delegations were in full compliance with rule 18 of the rules of procedure</w:t>
      </w:r>
      <w:r w:rsidR="00E35591" w:rsidRPr="00230BC2">
        <w:t>, while</w:t>
      </w:r>
      <w:r w:rsidRPr="00230BC2">
        <w:t xml:space="preserve"> </w:t>
      </w:r>
      <w:r w:rsidR="00E35591" w:rsidRPr="00230BC2">
        <w:t>t</w:t>
      </w:r>
      <w:r w:rsidRPr="00230BC2">
        <w:t xml:space="preserve">hose of 14 delegations did not fully comply with </w:t>
      </w:r>
      <w:r w:rsidR="003D5117" w:rsidRPr="00230BC2">
        <w:t>it</w:t>
      </w:r>
      <w:r w:rsidRPr="00230BC2">
        <w:t xml:space="preserve"> and a further 24 delegations had not presented their credentials to date. </w:t>
      </w:r>
    </w:p>
    <w:p w14:paraId="5D2B0763" w14:textId="6C737CD4" w:rsidR="00990987" w:rsidRPr="00230BC2" w:rsidRDefault="00990987" w:rsidP="003466FC">
      <w:pPr>
        <w:pStyle w:val="Para1"/>
      </w:pPr>
      <w:r w:rsidRPr="00230BC2">
        <w:t xml:space="preserve">The Bureau also reported that it received two communications concerning the representation of Myanmar </w:t>
      </w:r>
      <w:r w:rsidR="00641543" w:rsidRPr="00230BC2">
        <w:t>that</w:t>
      </w:r>
      <w:r w:rsidRPr="00230BC2">
        <w:t xml:space="preserve"> conveyed different sets of nominees as the representatives of </w:t>
      </w:r>
      <w:r w:rsidR="00641543" w:rsidRPr="00230BC2">
        <w:t>that country</w:t>
      </w:r>
      <w:r w:rsidRPr="00230BC2">
        <w:t xml:space="preserve"> at the meeting. </w:t>
      </w:r>
      <w:r w:rsidR="00F70E16" w:rsidRPr="00230BC2">
        <w:t>In line with</w:t>
      </w:r>
      <w:r w:rsidRPr="00230BC2">
        <w:t xml:space="preserve"> the measures taken by the Credentials Committee of </w:t>
      </w:r>
      <w:r w:rsidR="00EA732D" w:rsidRPr="00230BC2">
        <w:t xml:space="preserve">the </w:t>
      </w:r>
      <w:r w:rsidRPr="00230BC2">
        <w:t xml:space="preserve">General Assembly </w:t>
      </w:r>
      <w:r w:rsidR="006C3C99" w:rsidRPr="00230BC2">
        <w:t xml:space="preserve">of the United Nations </w:t>
      </w:r>
      <w:r w:rsidRPr="00230BC2">
        <w:t xml:space="preserve">in similar situations, the Bureau informed the </w:t>
      </w:r>
      <w:r w:rsidR="00B0401A" w:rsidRPr="00230BC2">
        <w:t>Conference</w:t>
      </w:r>
      <w:r w:rsidR="002F7085" w:rsidRPr="00230BC2">
        <w:t xml:space="preserve"> of the Parties</w:t>
      </w:r>
      <w:r w:rsidR="00B0401A" w:rsidRPr="00230BC2">
        <w:t xml:space="preserve"> </w:t>
      </w:r>
      <w:r w:rsidRPr="00230BC2">
        <w:t xml:space="preserve">that it </w:t>
      </w:r>
      <w:r w:rsidR="00B9209B" w:rsidRPr="00230BC2">
        <w:t xml:space="preserve">had </w:t>
      </w:r>
      <w:r w:rsidRPr="00230BC2">
        <w:t xml:space="preserve">deferred the competing credentials received from the authorities </w:t>
      </w:r>
      <w:r w:rsidR="00A26C24" w:rsidRPr="00230BC2">
        <w:t xml:space="preserve">of Myanmar </w:t>
      </w:r>
      <w:r w:rsidRPr="00230BC2">
        <w:t xml:space="preserve">and advised not to accredit any delegate from Myanmar. The </w:t>
      </w:r>
      <w:r w:rsidR="00A951CC" w:rsidRPr="00230BC2">
        <w:t>Conference</w:t>
      </w:r>
      <w:r w:rsidR="002F7085" w:rsidRPr="00230BC2">
        <w:t xml:space="preserve"> of the Parties</w:t>
      </w:r>
      <w:r w:rsidR="00A951CC" w:rsidRPr="00230BC2">
        <w:t xml:space="preserve"> took</w:t>
      </w:r>
      <w:r w:rsidRPr="00230BC2">
        <w:t xml:space="preserve"> note </w:t>
      </w:r>
      <w:r w:rsidR="00A951CC" w:rsidRPr="00230BC2">
        <w:t xml:space="preserve">of </w:t>
      </w:r>
      <w:r w:rsidRPr="00230BC2">
        <w:t>the report of the Bureau on credentials.</w:t>
      </w:r>
    </w:p>
    <w:p w14:paraId="3A3D2437" w14:textId="2FF9163B" w:rsidR="0036653F" w:rsidRPr="00230BC2" w:rsidRDefault="0036653F" w:rsidP="003466FC">
      <w:pPr>
        <w:pStyle w:val="Para1"/>
      </w:pPr>
      <w:r w:rsidRPr="00230BC2">
        <w:t xml:space="preserve">A number of heads of delegations had signed a declaration to the effect that they would submit their credentials, in the proper form and in their original version, to the Executive Secretary within 30 days of the closure of the meeting and no later than 19 January 2023. In keeping with past practice, the Conference of the Parties agreed to the Bureau’s proposal that those delegations that had yet to submit their credentials or </w:t>
      </w:r>
      <w:r w:rsidR="006C03E3" w:rsidRPr="00230BC2">
        <w:t>th</w:t>
      </w:r>
      <w:r w:rsidR="00127C00" w:rsidRPr="00230BC2">
        <w:t>at</w:t>
      </w:r>
      <w:r w:rsidRPr="00230BC2">
        <w:t xml:space="preserve"> </w:t>
      </w:r>
      <w:r w:rsidR="00127C00" w:rsidRPr="00230BC2">
        <w:t xml:space="preserve">had submitted </w:t>
      </w:r>
      <w:r w:rsidRPr="00230BC2">
        <w:t xml:space="preserve">credentials </w:t>
      </w:r>
      <w:r w:rsidR="00127C00" w:rsidRPr="00230BC2">
        <w:t xml:space="preserve">that </w:t>
      </w:r>
      <w:r w:rsidRPr="00230BC2">
        <w:t xml:space="preserve">did not fully comply with the provisions of rule 18 should be allowed to participate in the meeting on a provisional basis. </w:t>
      </w:r>
    </w:p>
    <w:p w14:paraId="1232A6E0" w14:textId="194C02A5" w:rsidR="003C13AC" w:rsidRPr="00230BC2" w:rsidRDefault="003C13AC" w:rsidP="003466FC">
      <w:pPr>
        <w:pStyle w:val="Para1"/>
      </w:pPr>
      <w:r w:rsidRPr="00230BC2">
        <w:lastRenderedPageBreak/>
        <w:t xml:space="preserve">Accordingly, </w:t>
      </w:r>
      <w:r w:rsidR="00CA10D1" w:rsidRPr="00230BC2">
        <w:t xml:space="preserve">as at </w:t>
      </w:r>
      <w:r w:rsidRPr="00230BC2">
        <w:t>19 December 2022, formal credentials issued by the Head of State or Government</w:t>
      </w:r>
      <w:r w:rsidR="00450F81" w:rsidRPr="00230BC2">
        <w:t>,</w:t>
      </w:r>
      <w:r w:rsidRPr="00230BC2">
        <w:t xml:space="preserve"> by the Minister </w:t>
      </w:r>
      <w:r w:rsidR="009E3A90" w:rsidRPr="00230BC2">
        <w:t>for</w:t>
      </w:r>
      <w:r w:rsidRPr="00230BC2">
        <w:t xml:space="preserve"> Foreign Affairs or, in the case of a regional economic integration organization, by the competent authority</w:t>
      </w:r>
      <w:r w:rsidR="006B0B3C" w:rsidRPr="00230BC2">
        <w:t>,</w:t>
      </w:r>
      <w:r w:rsidRPr="00230BC2">
        <w:t xml:space="preserve"> as provided for in rule 18 of the rules of procedure</w:t>
      </w:r>
      <w:r w:rsidR="00CC3B75" w:rsidRPr="00230BC2">
        <w:t>,</w:t>
      </w:r>
      <w:r w:rsidRPr="00230BC2">
        <w:t xml:space="preserve"> had been submitted for the representatives of the following</w:t>
      </w:r>
      <w:r w:rsidRPr="00230BC2">
        <w:rPr>
          <w:bCs/>
        </w:rPr>
        <w:t xml:space="preserve"> 150</w:t>
      </w:r>
      <w:r w:rsidRPr="00230BC2">
        <w:t xml:space="preserve"> Parties participating in the </w:t>
      </w:r>
      <w:r w:rsidR="005168E6" w:rsidRPr="00230BC2">
        <w:t xml:space="preserve">second part of the </w:t>
      </w:r>
      <w:r w:rsidRPr="00230BC2">
        <w:t>fifteenth meeting</w:t>
      </w:r>
      <w:r w:rsidR="005168E6" w:rsidRPr="00230BC2">
        <w:t>:</w:t>
      </w:r>
      <w:r w:rsidR="00D40FF8" w:rsidRPr="00230BC2">
        <w:t xml:space="preserve"> </w:t>
      </w:r>
      <w:r w:rsidRPr="00230BC2">
        <w:t>Albania, Algeria, Angola, Antigua and Barbuda, Argentina, Armenia, Australia, Austria, Azerbaijan, Bahamas, Bahrain, Bangladesh, Barbados, Belarus, Belgium, Belize, Benin, Bhutan, Bolivia (Plurinational State of), Bosnia and Herzegovina, Botswana, Brazil, Bulgaria, Burkina Faso, Cabo Verde, Cambodia, Cameroon, Canada, Chile, China, Colombia, Cook Islands, Costa Rica, Côte d’Ivoire, Croatia, Cyprus, Cuba, Czechia, Denmark, Dominican Republic, Ecuador, Egypt, El Salvador, Eritrea, Estonia, Eswatini, Ethiopia, European Union, Fiji, Finland, France, Gambia, Georgia, Germany, Ghana, Greece, Grenada, Guatemala, Guinea Bissau, Guyana, Hungary, Iceland, India, Indonesia, Iran (Islamic Republic of), Ireland, Israel, Italy, Jamaica, Japan, Kenya, Kiribati, Kuwait, Kyrgyzstan, Lesotho, Liberia, Liechtenstein, Lithuania, Luxembourg, Madagascar, Malawi, Maldives, Malta, Mauritania, Mauritius, Mexico, Micronesia (Federated States of), Monaco, Mongolia, Morocco, Mozambique, Namibia, Netherlands</w:t>
      </w:r>
      <w:r w:rsidR="00FD67DC" w:rsidRPr="00230BC2">
        <w:t xml:space="preserve"> (Kingdom of the)</w:t>
      </w:r>
      <w:r w:rsidRPr="00230BC2">
        <w:t>, New Zealand, Nicaragua, Niger, Nigeria, Niue, North Macedonia, Norway, Oman, Palau, Panama, Paraguay, Peru, Philippines, Poland, Portugal, Qatar, Republic of Korea, Republic of Moldova, Romania, Russian Federation, Rwanda, Saint Kitts and Nevis, Saint Lucia, Samoa, Serbia, Seychelles, Singapore, Slovakia, Slovenia, South Africa, Spain, State of Palestine, Sudan, Suriname, Sweden, Switzerland, Syrian Arab Republic, Tajikistan, Thailand, Timor Leste, Togo, Tonga, Trinidad and Tobago, Tunisia, Türkiye, Tuvalu, Uganda, United Arab Emirates, United Kingdom</w:t>
      </w:r>
      <w:r w:rsidR="00D84D41" w:rsidRPr="00230BC2">
        <w:t>,</w:t>
      </w:r>
      <w:r w:rsidRPr="00230BC2">
        <w:t xml:space="preserve"> United Republic of Tanzania, Uruguay, Uzbekistan, Vanuatu, Viet Nam, Yemen, Zambia and Zimbabwe.</w:t>
      </w:r>
    </w:p>
    <w:p w14:paraId="3E80C3D8" w14:textId="5D120078" w:rsidR="00F267AB" w:rsidRPr="00230BC2" w:rsidRDefault="00F267AB" w:rsidP="003466FC">
      <w:pPr>
        <w:pStyle w:val="Para1"/>
        <w:rPr>
          <w:lang w:eastAsia="zh-CN"/>
        </w:rPr>
      </w:pPr>
      <w:r w:rsidRPr="00230BC2">
        <w:t xml:space="preserve">As at 19 January 2023, 10 </w:t>
      </w:r>
      <w:r w:rsidR="004336D1" w:rsidRPr="00230BC2">
        <w:t xml:space="preserve">additional </w:t>
      </w:r>
      <w:r w:rsidRPr="00230BC2">
        <w:t xml:space="preserve">Parties </w:t>
      </w:r>
      <w:r w:rsidR="00B92AA9" w:rsidRPr="00230BC2">
        <w:t xml:space="preserve">had </w:t>
      </w:r>
      <w:r w:rsidRPr="00230BC2">
        <w:t>submitted valid credentials: Gabon, Honduras, Malaysia, Mali, Nepal, Saudi Arabia, South Sudan, Solomon Islands, Sri Lanka and Venezuela (Bolivarian Republic of).</w:t>
      </w:r>
    </w:p>
    <w:p w14:paraId="0C086DA6" w14:textId="6D6897FA" w:rsidR="00E644E0" w:rsidRPr="00230BC2" w:rsidRDefault="00E644E0" w:rsidP="003466FC">
      <w:pPr>
        <w:pStyle w:val="Para1"/>
      </w:pPr>
      <w:r w:rsidRPr="00230BC2">
        <w:t>Credentials from the two non-</w:t>
      </w:r>
      <w:r w:rsidR="00014C27" w:rsidRPr="00230BC2">
        <w:t>p</w:t>
      </w:r>
      <w:r w:rsidRPr="00230BC2">
        <w:t>arty States, the Holy See and the United States</w:t>
      </w:r>
      <w:r w:rsidR="00A065A5" w:rsidRPr="00230BC2">
        <w:t>,</w:t>
      </w:r>
      <w:r w:rsidRPr="00230BC2">
        <w:t xml:space="preserve"> were also received.</w:t>
      </w:r>
    </w:p>
    <w:p w14:paraId="49DA5E4B" w14:textId="77777777" w:rsidR="00AA54F1" w:rsidRPr="00230BC2" w:rsidRDefault="00AA54F1" w:rsidP="00AA54F1">
      <w:pPr>
        <w:pStyle w:val="Para1"/>
        <w:numPr>
          <w:ilvl w:val="0"/>
          <w:numId w:val="0"/>
        </w:numPr>
        <w:rPr>
          <w:i/>
          <w:iCs/>
        </w:rPr>
      </w:pPr>
      <w:bookmarkStart w:id="427" w:name="_Hlk148636745"/>
      <w:r w:rsidRPr="00230BC2">
        <w:rPr>
          <w:i/>
          <w:iCs/>
        </w:rPr>
        <w:t>Resumed second part</w:t>
      </w:r>
    </w:p>
    <w:bookmarkEnd w:id="427"/>
    <w:p w14:paraId="6869D369" w14:textId="41EBB113" w:rsidR="00AA54F1" w:rsidRPr="00230BC2" w:rsidRDefault="00D56432" w:rsidP="00AA54F1">
      <w:pPr>
        <w:pStyle w:val="Para1"/>
        <w:numPr>
          <w:ilvl w:val="0"/>
          <w:numId w:val="4"/>
        </w:numPr>
      </w:pPr>
      <w:r w:rsidRPr="00230BC2">
        <w:t xml:space="preserve">At </w:t>
      </w:r>
      <w:r w:rsidR="009B568C" w:rsidRPr="00230BC2">
        <w:t>the</w:t>
      </w:r>
      <w:r w:rsidRPr="00230BC2">
        <w:t xml:space="preserve"> 6th plenary session, </w:t>
      </w:r>
      <w:r w:rsidR="00AA54F1" w:rsidRPr="00230BC2">
        <w:t>Mr. Okoree informed the Conference of the Parties that 1</w:t>
      </w:r>
      <w:r w:rsidR="00863E06" w:rsidRPr="00230BC2">
        <w:t>43</w:t>
      </w:r>
      <w:r w:rsidR="00AA54F1" w:rsidRPr="00230BC2">
        <w:t xml:space="preserve"> Parties were registered as attending the </w:t>
      </w:r>
      <w:r w:rsidR="00863E06" w:rsidRPr="00230BC2">
        <w:t xml:space="preserve">resumed second part of the </w:t>
      </w:r>
      <w:r w:rsidR="00AA54F1" w:rsidRPr="00230BC2">
        <w:t>meeting. The Bureau had examined the credentials of the representatives of 13</w:t>
      </w:r>
      <w:r w:rsidR="0060393E" w:rsidRPr="00230BC2">
        <w:t>4</w:t>
      </w:r>
      <w:r w:rsidR="00AA54F1" w:rsidRPr="00230BC2">
        <w:t xml:space="preserve"> Parties that were attending the meeting. The credentials of 1</w:t>
      </w:r>
      <w:r w:rsidR="00863E06" w:rsidRPr="00230BC2">
        <w:t>33</w:t>
      </w:r>
      <w:r w:rsidR="00AA54F1" w:rsidRPr="00230BC2">
        <w:t xml:space="preserve"> delegations were in full compliance with rule 18 of the rules of procedure, while those of </w:t>
      </w:r>
      <w:r w:rsidR="00C26AE9" w:rsidRPr="00230BC2">
        <w:t>1</w:t>
      </w:r>
      <w:r w:rsidR="00AA54F1" w:rsidRPr="00230BC2">
        <w:t xml:space="preserve"> delegation did not fully comply with it and a further </w:t>
      </w:r>
      <w:r w:rsidR="0083440B" w:rsidRPr="00230BC2">
        <w:t xml:space="preserve">9 </w:t>
      </w:r>
      <w:r w:rsidR="00AA54F1" w:rsidRPr="00230BC2">
        <w:t>delegations had not presented their credentials to date</w:t>
      </w:r>
      <w:r w:rsidR="00863E06" w:rsidRPr="00230BC2">
        <w:t>.</w:t>
      </w:r>
    </w:p>
    <w:p w14:paraId="693C2082" w14:textId="09F1F250" w:rsidR="00C079E4" w:rsidRPr="00230BC2" w:rsidRDefault="00322CB6" w:rsidP="003466FC">
      <w:pPr>
        <w:pStyle w:val="Para1"/>
        <w:rPr>
          <w:snapToGrid/>
          <w:szCs w:val="24"/>
        </w:rPr>
      </w:pPr>
      <w:r w:rsidRPr="00230BC2">
        <w:t xml:space="preserve">The Conference of the Parties took note of the report on credentials. </w:t>
      </w:r>
    </w:p>
    <w:p w14:paraId="3731893F" w14:textId="751A8205" w:rsidR="0055218F" w:rsidRPr="00230BC2" w:rsidRDefault="00643DA8" w:rsidP="00254A18">
      <w:pPr>
        <w:pStyle w:val="Para1"/>
        <w:rPr>
          <w:snapToGrid/>
          <w:szCs w:val="24"/>
        </w:rPr>
      </w:pPr>
      <w:r w:rsidRPr="00230BC2">
        <w:t xml:space="preserve">At </w:t>
      </w:r>
      <w:r w:rsidR="00496DCB" w:rsidRPr="00230BC2">
        <w:t>the</w:t>
      </w:r>
      <w:r w:rsidRPr="00230BC2">
        <w:t xml:space="preserve"> 7th plenary session, </w:t>
      </w:r>
      <w:r w:rsidR="00496DCB" w:rsidRPr="00230BC2">
        <w:t xml:space="preserve">on 20 October 2023, </w:t>
      </w:r>
      <w:r w:rsidR="00CE509F" w:rsidRPr="00230BC2">
        <w:t xml:space="preserve">the </w:t>
      </w:r>
      <w:r w:rsidR="00330ED2" w:rsidRPr="00230BC2">
        <w:t>Secretariat</w:t>
      </w:r>
      <w:r w:rsidR="00CE509F" w:rsidRPr="00230BC2">
        <w:t xml:space="preserve"> </w:t>
      </w:r>
      <w:r w:rsidR="001F4D45" w:rsidRPr="00230BC2">
        <w:t xml:space="preserve">provided an update on credentials. </w:t>
      </w:r>
      <w:r w:rsidR="001F46A2">
        <w:t>As at that date</w:t>
      </w:r>
      <w:r w:rsidR="001F4D45" w:rsidRPr="00230BC2">
        <w:t xml:space="preserve">, valid credentials </w:t>
      </w:r>
      <w:r w:rsidR="00256501">
        <w:t>had been</w:t>
      </w:r>
      <w:r w:rsidR="001F4D45" w:rsidRPr="00230BC2">
        <w:t xml:space="preserve"> received from the following 134 Parties to the Convention: </w:t>
      </w:r>
      <w:r w:rsidR="0055218F" w:rsidRPr="00230BC2">
        <w:t>Algeria, Angola, Antigua and Barbuda, Argentina, Armenia, Australia, Austria, Azerbaijan, Bangladesh, Barbados, Belarus, Belgium, Benin, Bhutan, Bosnia and Herzegovina, Brazil, Bulgaria, Burkina Faso, Burundi, Cabo Verde, Cambodia, Cameroon, Canada, Central African Republic, Chile, China, Colombia, Cook Islands, Costa Rica, Croatia, Cuba, Czechia, Côte d’Ivoire, Democratic Republic of the Congo, Denmark, Djibouti, Dominican Republic, Egypt, Eritrea, Estonia, Eswatini, European Union, Fiji, Finland, France, Gabon, Gambia, Georgia, Germany, Ghana, Greece, Grenada, Guatemala, Guinea-Bissau, Hungary, Iceland, India, Indonesia, Ireland, Italy, Jamaica, Japan, Jordan, Kenya, Kiribati, Kuwait, Latvia, Lesotho, Liberia, Lithuania, Luxembourg, Madagascar, Malawi, Malaysia, Maldives, Mali, Mauritius, Mexico, Montenegro, Morocco, Mozambique, Namibia, Netherlands (Kingdom of the), New Zealand, Nicaragua, Nigeria, Norway, Oman, Pakistan, Peru, Philippines, Portugal, Qatar, Republic of Korea, Republic of Moldova, Romania, Russian Federation, Rwanda, Saint Kitts and Nevis, Saint Lucia, Saudi Arabia, Senegal, Seychelles, Sierra Leone, Singapore, Slovakia, Slovenia, South Africa, South Sudan, Spain, Sri Lanka, State of Palestine, Sudan, Sweden, Switzerland, Syrian Arab Republic, Tajikistan, Thailand, Togo, Tonga, Trinidad and Tobago, Tunisia, Tuvalu, Türkiye, Uganda, Ukraine, United Arab Emirates, United Kingdom, Uruguay, Vanuatu, Venezuela (Bolivarian Republic of), Yemen, Zambia, Zimbabwe.</w:t>
      </w:r>
    </w:p>
    <w:p w14:paraId="715F0B12" w14:textId="2BA22465" w:rsidR="00D77560" w:rsidRPr="00950BE4" w:rsidRDefault="00D77560"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lastRenderedPageBreak/>
        <w:t>Item 4.</w:t>
      </w:r>
      <w:r w:rsidRPr="00230BC2">
        <w:rPr>
          <w:b/>
          <w:bCs/>
          <w:snapToGrid w:val="0"/>
          <w:kern w:val="22"/>
          <w:szCs w:val="22"/>
        </w:rPr>
        <w:tab/>
        <w:t xml:space="preserve">Pending </w:t>
      </w:r>
      <w:r w:rsidRPr="00950BE4">
        <w:rPr>
          <w:b/>
          <w:bCs/>
          <w:snapToGrid w:val="0"/>
          <w:kern w:val="22"/>
          <w:szCs w:val="22"/>
        </w:rPr>
        <w:t>issues</w:t>
      </w:r>
    </w:p>
    <w:p w14:paraId="6638B32A" w14:textId="39277D57" w:rsidR="00D77560" w:rsidRPr="00230BC2" w:rsidRDefault="00583219" w:rsidP="003466FC">
      <w:pPr>
        <w:pStyle w:val="Para1"/>
      </w:pPr>
      <w:r w:rsidRPr="00230BC2">
        <w:t>T</w:t>
      </w:r>
      <w:r w:rsidR="00C8155C" w:rsidRPr="00230BC2">
        <w:t>he Conference of the Parties</w:t>
      </w:r>
      <w:r w:rsidR="00A0691E" w:rsidRPr="00230BC2">
        <w:t xml:space="preserve"> </w:t>
      </w:r>
      <w:r w:rsidR="00A9431D" w:rsidRPr="00230BC2">
        <w:t xml:space="preserve">had </w:t>
      </w:r>
      <w:r w:rsidRPr="00230BC2">
        <w:t xml:space="preserve">considered </w:t>
      </w:r>
      <w:r w:rsidR="00281999" w:rsidRPr="00230BC2">
        <w:t xml:space="preserve">agenda </w:t>
      </w:r>
      <w:r w:rsidRPr="00230BC2">
        <w:t>item</w:t>
      </w:r>
      <w:r w:rsidR="00A27159" w:rsidRPr="00230BC2">
        <w:t> 4</w:t>
      </w:r>
      <w:r w:rsidRPr="00230BC2">
        <w:t xml:space="preserve"> </w:t>
      </w:r>
      <w:r w:rsidR="00A27159" w:rsidRPr="00230BC2">
        <w:t xml:space="preserve">during </w:t>
      </w:r>
      <w:r w:rsidR="00206628" w:rsidRPr="00230BC2">
        <w:t xml:space="preserve">the first </w:t>
      </w:r>
      <w:r w:rsidRPr="00230BC2">
        <w:t xml:space="preserve">part of the </w:t>
      </w:r>
      <w:r w:rsidR="00E879E6" w:rsidRPr="00230BC2">
        <w:t xml:space="preserve">fifteenth </w:t>
      </w:r>
      <w:r w:rsidRPr="00230BC2">
        <w:t xml:space="preserve">meeting and did not </w:t>
      </w:r>
      <w:r w:rsidR="00A27159" w:rsidRPr="00230BC2">
        <w:t>consider it</w:t>
      </w:r>
      <w:r w:rsidRPr="00230BC2">
        <w:t xml:space="preserve"> </w:t>
      </w:r>
      <w:r w:rsidR="00A27159" w:rsidRPr="00230BC2">
        <w:t xml:space="preserve">again </w:t>
      </w:r>
      <w:r w:rsidR="00A9431D" w:rsidRPr="00230BC2">
        <w:t>during</w:t>
      </w:r>
      <w:r w:rsidRPr="00230BC2">
        <w:t xml:space="preserve"> </w:t>
      </w:r>
      <w:r w:rsidR="005A79CC" w:rsidRPr="00230BC2">
        <w:t xml:space="preserve">the second </w:t>
      </w:r>
      <w:r w:rsidRPr="00230BC2">
        <w:t>part</w:t>
      </w:r>
      <w:r w:rsidR="005A79CC" w:rsidRPr="00230BC2">
        <w:t>.</w:t>
      </w:r>
    </w:p>
    <w:p w14:paraId="1B6C2B5D" w14:textId="4CF461B0" w:rsidR="00F30A1E" w:rsidRPr="00950BE4" w:rsidRDefault="00F30A1E"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t>Item 5.</w:t>
      </w:r>
      <w:r w:rsidR="00447AE6" w:rsidRPr="00950BE4">
        <w:rPr>
          <w:b/>
          <w:bCs/>
          <w:snapToGrid w:val="0"/>
          <w:kern w:val="22"/>
          <w:szCs w:val="22"/>
        </w:rPr>
        <w:tab/>
      </w:r>
      <w:r w:rsidRPr="00950BE4">
        <w:rPr>
          <w:b/>
          <w:bCs/>
          <w:snapToGrid w:val="0"/>
          <w:kern w:val="22"/>
          <w:szCs w:val="22"/>
        </w:rPr>
        <w:t>Date and venue of future meetings of the Conference of the Parties</w:t>
      </w:r>
    </w:p>
    <w:p w14:paraId="3F7D5AD9" w14:textId="125F872C" w:rsidR="00A9431D" w:rsidRPr="00230BC2" w:rsidRDefault="00A9431D" w:rsidP="003466FC">
      <w:pPr>
        <w:pStyle w:val="Para1"/>
      </w:pPr>
      <w:r w:rsidRPr="00230BC2">
        <w:t xml:space="preserve">The Conference of the Parties had previously decided, </w:t>
      </w:r>
      <w:r w:rsidR="003D7DBC" w:rsidRPr="00230BC2">
        <w:t xml:space="preserve">by </w:t>
      </w:r>
      <w:r w:rsidRPr="00230BC2">
        <w:t xml:space="preserve">decision </w:t>
      </w:r>
      <w:r w:rsidR="00585130" w:rsidRPr="00230BC2">
        <w:t>XIII</w:t>
      </w:r>
      <w:r w:rsidRPr="00230BC2">
        <w:t xml:space="preserve">/33, that its sixteenth meeting would be held in Türkiye. </w:t>
      </w:r>
    </w:p>
    <w:p w14:paraId="3357B396" w14:textId="14FAF30E" w:rsidR="00352D5E" w:rsidRPr="00230BC2" w:rsidRDefault="00ED5098" w:rsidP="003466FC">
      <w:pPr>
        <w:pStyle w:val="Para1"/>
      </w:pPr>
      <w:r w:rsidRPr="00230BC2">
        <w:t xml:space="preserve">At </w:t>
      </w:r>
      <w:r w:rsidR="00C96D28" w:rsidRPr="00230BC2">
        <w:t xml:space="preserve">its </w:t>
      </w:r>
      <w:r w:rsidR="00E4615C" w:rsidRPr="00230BC2">
        <w:t>1</w:t>
      </w:r>
      <w:r w:rsidR="00A9431D" w:rsidRPr="00230BC2">
        <w:t xml:space="preserve">st </w:t>
      </w:r>
      <w:r w:rsidR="004A478A" w:rsidRPr="00230BC2">
        <w:t xml:space="preserve">plenary </w:t>
      </w:r>
      <w:r w:rsidRPr="00230BC2">
        <w:t>session</w:t>
      </w:r>
      <w:r w:rsidR="00C96D28" w:rsidRPr="00230BC2">
        <w:t>,</w:t>
      </w:r>
      <w:r w:rsidRPr="00230BC2">
        <w:t xml:space="preserve"> </w:t>
      </w:r>
      <w:r w:rsidR="00A9431D" w:rsidRPr="00230BC2">
        <w:t xml:space="preserve">the </w:t>
      </w:r>
      <w:r w:rsidR="00B8228D" w:rsidRPr="00230BC2">
        <w:t>Conference of the Parties</w:t>
      </w:r>
      <w:r w:rsidR="00A231E1" w:rsidRPr="00230BC2">
        <w:t xml:space="preserve"> </w:t>
      </w:r>
      <w:r w:rsidR="0051161B" w:rsidRPr="00230BC2">
        <w:t>note</w:t>
      </w:r>
      <w:r w:rsidR="009503C8" w:rsidRPr="00230BC2">
        <w:t>d</w:t>
      </w:r>
      <w:r w:rsidR="00A231E1" w:rsidRPr="00230BC2">
        <w:t xml:space="preserve"> that</w:t>
      </w:r>
      <w:r w:rsidR="00A231E1" w:rsidRPr="00230BC2">
        <w:rPr>
          <w:bCs/>
        </w:rPr>
        <w:t xml:space="preserve"> the seventeenth meeting was expected to be hosted by a party from the Eastern Europe</w:t>
      </w:r>
      <w:r w:rsidR="004E1951" w:rsidRPr="00230BC2">
        <w:rPr>
          <w:bCs/>
        </w:rPr>
        <w:t>an</w:t>
      </w:r>
      <w:r w:rsidR="00A231E1" w:rsidRPr="00230BC2">
        <w:rPr>
          <w:bCs/>
        </w:rPr>
        <w:t xml:space="preserve"> </w:t>
      </w:r>
      <w:r w:rsidR="006504C4" w:rsidRPr="00230BC2">
        <w:rPr>
          <w:bCs/>
        </w:rPr>
        <w:t>States</w:t>
      </w:r>
      <w:r w:rsidR="00A231E1" w:rsidRPr="00230BC2">
        <w:rPr>
          <w:bCs/>
        </w:rPr>
        <w:t xml:space="preserve"> and</w:t>
      </w:r>
      <w:r w:rsidR="00B8228D" w:rsidRPr="00230BC2">
        <w:t xml:space="preserve"> agreed that </w:t>
      </w:r>
      <w:r w:rsidR="00B26B0F" w:rsidRPr="00230BC2">
        <w:t xml:space="preserve">its </w:t>
      </w:r>
      <w:r w:rsidR="00507222" w:rsidRPr="00230BC2">
        <w:t xml:space="preserve">President would consult with </w:t>
      </w:r>
      <w:r w:rsidR="000D72B0" w:rsidRPr="00230BC2">
        <w:t xml:space="preserve">the </w:t>
      </w:r>
      <w:r w:rsidR="00507222" w:rsidRPr="00230BC2">
        <w:t xml:space="preserve">Parties and prepare a draft decision on the dates of the sixteenth and future meetings, taking into account recommendation 3/19 of the </w:t>
      </w:r>
      <w:r w:rsidR="00507222" w:rsidRPr="00230BC2">
        <w:rPr>
          <w:bCs/>
        </w:rPr>
        <w:t xml:space="preserve">Subsidiary Body on Implementation, </w:t>
      </w:r>
      <w:r w:rsidR="00642B2B" w:rsidRPr="00230BC2">
        <w:rPr>
          <w:bCs/>
        </w:rPr>
        <w:t>as</w:t>
      </w:r>
      <w:r w:rsidR="00507222" w:rsidRPr="00230BC2">
        <w:rPr>
          <w:bCs/>
        </w:rPr>
        <w:t xml:space="preserve"> set out in the compilation of draft decisions (</w:t>
      </w:r>
      <w:r w:rsidR="00507222" w:rsidRPr="00230BC2">
        <w:t>CBD/COP/1</w:t>
      </w:r>
      <w:r w:rsidR="002C2515" w:rsidRPr="00230BC2">
        <w:t>5/2)</w:t>
      </w:r>
      <w:r w:rsidR="00AF04B1" w:rsidRPr="00230BC2">
        <w:rPr>
          <w:bCs/>
        </w:rPr>
        <w:t>.</w:t>
      </w:r>
    </w:p>
    <w:p w14:paraId="68DCFE60" w14:textId="343D9082" w:rsidR="00352D5E" w:rsidRPr="00230BC2" w:rsidRDefault="00392D9B" w:rsidP="003466FC">
      <w:pPr>
        <w:pStyle w:val="Para1"/>
      </w:pPr>
      <w:r w:rsidRPr="00230BC2">
        <w:t xml:space="preserve">At the </w:t>
      </w:r>
      <w:r w:rsidR="00E4615C" w:rsidRPr="00230BC2">
        <w:t>2</w:t>
      </w:r>
      <w:r w:rsidRPr="00230BC2">
        <w:t>nd plenary session</w:t>
      </w:r>
      <w:r w:rsidR="00676360" w:rsidRPr="00230BC2">
        <w:t>,</w:t>
      </w:r>
      <w:r w:rsidRPr="00230BC2">
        <w:t xml:space="preserve"> a statement was made by </w:t>
      </w:r>
      <w:r w:rsidR="005138EB" w:rsidRPr="00230BC2">
        <w:t>the</w:t>
      </w:r>
      <w:r w:rsidRPr="00230BC2">
        <w:t xml:space="preserve"> representative of Türkiye</w:t>
      </w:r>
      <w:r w:rsidR="005138EB" w:rsidRPr="00230BC2">
        <w:t>,</w:t>
      </w:r>
      <w:r w:rsidRPr="00230BC2">
        <w:t xml:space="preserve"> in its capacity as host of the sixteenth meeting of the Conference of the Parties.</w:t>
      </w:r>
    </w:p>
    <w:p w14:paraId="38A31D5A" w14:textId="533983DB" w:rsidR="000B40E1" w:rsidRPr="00230BC2" w:rsidRDefault="000B40E1" w:rsidP="003466FC">
      <w:pPr>
        <w:pStyle w:val="Para1"/>
      </w:pPr>
      <w:r w:rsidRPr="00230BC2">
        <w:t xml:space="preserve">At </w:t>
      </w:r>
      <w:r w:rsidR="00851A41" w:rsidRPr="00230BC2">
        <w:t>its</w:t>
      </w:r>
      <w:r w:rsidRPr="00230BC2">
        <w:t xml:space="preserve"> </w:t>
      </w:r>
      <w:r w:rsidR="00E4615C" w:rsidRPr="00230BC2">
        <w:t>5</w:t>
      </w:r>
      <w:r w:rsidRPr="00230BC2">
        <w:t>th plenary session</w:t>
      </w:r>
      <w:r w:rsidR="00D94EB4" w:rsidRPr="00230BC2">
        <w:t>,</w:t>
      </w:r>
      <w:r w:rsidRPr="00230BC2">
        <w:t xml:space="preserve"> the Conference of the Parties </w:t>
      </w:r>
      <w:r w:rsidR="00DE639C" w:rsidRPr="00230BC2">
        <w:t>considered</w:t>
      </w:r>
      <w:r w:rsidRPr="00230BC2">
        <w:t xml:space="preserve"> draft decision CBD/COP/15/L.35</w:t>
      </w:r>
      <w:r w:rsidR="00DE639C" w:rsidRPr="00230BC2">
        <w:t>,</w:t>
      </w:r>
      <w:r w:rsidRPr="00230BC2">
        <w:t xml:space="preserve"> </w:t>
      </w:r>
      <w:r w:rsidR="00DE639C" w:rsidRPr="00230BC2">
        <w:t xml:space="preserve">submitted by the President, and adopted it </w:t>
      </w:r>
      <w:r w:rsidRPr="00230BC2">
        <w:t>as decision 15/</w:t>
      </w:r>
      <w:r w:rsidR="00A92ECA" w:rsidRPr="00230BC2">
        <w:t>32</w:t>
      </w:r>
      <w:r w:rsidR="00782AA7" w:rsidRPr="00230BC2">
        <w:t>.</w:t>
      </w:r>
    </w:p>
    <w:p w14:paraId="4D35A942" w14:textId="77777777" w:rsidR="00066AB6" w:rsidRPr="00230BC2" w:rsidRDefault="00066AB6" w:rsidP="00066AB6">
      <w:pPr>
        <w:pStyle w:val="Para1"/>
        <w:numPr>
          <w:ilvl w:val="0"/>
          <w:numId w:val="0"/>
        </w:numPr>
        <w:rPr>
          <w:i/>
          <w:iCs/>
        </w:rPr>
      </w:pPr>
      <w:r w:rsidRPr="00230BC2">
        <w:rPr>
          <w:i/>
          <w:iCs/>
        </w:rPr>
        <w:t>Resumed second part</w:t>
      </w:r>
    </w:p>
    <w:p w14:paraId="1FF0D54F" w14:textId="2CA4D3B6" w:rsidR="00EB567F" w:rsidRPr="00230BC2" w:rsidRDefault="00CE509F" w:rsidP="00EB567F">
      <w:pPr>
        <w:pStyle w:val="Para1"/>
      </w:pPr>
      <w:r w:rsidRPr="00230BC2">
        <w:t xml:space="preserve">At its 7th plenary session, </w:t>
      </w:r>
      <w:r w:rsidR="00EB567F" w:rsidRPr="00230BC2">
        <w:t xml:space="preserve">resuming its consideration of the agenda item, </w:t>
      </w:r>
      <w:r w:rsidRPr="00230BC2">
        <w:t xml:space="preserve">the Conference of the Parties </w:t>
      </w:r>
      <w:r w:rsidR="00EB567F" w:rsidRPr="00230BC2">
        <w:t>noted that,</w:t>
      </w:r>
      <w:r w:rsidR="00380E7D" w:rsidRPr="00230BC2">
        <w:t xml:space="preserve"> </w:t>
      </w:r>
      <w:r w:rsidR="00380E7D" w:rsidRPr="00230BC2">
        <w:rPr>
          <w:rFonts w:eastAsiaTheme="minorEastAsia"/>
          <w:bCs/>
        </w:rPr>
        <w:t>on 25 July 2023,</w:t>
      </w:r>
      <w:r w:rsidR="00380E7D" w:rsidRPr="00230BC2">
        <w:rPr>
          <w:bCs/>
        </w:rPr>
        <w:t xml:space="preserve"> the Government of</w:t>
      </w:r>
      <w:r w:rsidR="00EB567F" w:rsidRPr="00230BC2">
        <w:rPr>
          <w:bCs/>
        </w:rPr>
        <w:t xml:space="preserve"> Türkiye had informed the Secretariat that it had decided to withdraw from hosting and presiding the sixteenth meeting of the Conference of the Parties</w:t>
      </w:r>
      <w:r w:rsidR="00AB2199" w:rsidRPr="00230BC2">
        <w:rPr>
          <w:bCs/>
        </w:rPr>
        <w:t>,</w:t>
      </w:r>
      <w:r w:rsidR="00EB567F" w:rsidRPr="00230BC2">
        <w:rPr>
          <w:bCs/>
        </w:rPr>
        <w:t xml:space="preserve"> owing to a </w:t>
      </w:r>
      <w:r w:rsidR="00911E7E" w:rsidRPr="00230BC2">
        <w:rPr>
          <w:bCs/>
        </w:rPr>
        <w:t xml:space="preserve">case of </w:t>
      </w:r>
      <w:r w:rsidR="00EB567F" w:rsidRPr="00230BC2">
        <w:rPr>
          <w:bCs/>
        </w:rPr>
        <w:t>force majeure caused by the earthquakes that had occurred in February 2023.</w:t>
      </w:r>
      <w:r w:rsidR="00380E7D" w:rsidRPr="00230BC2">
        <w:rPr>
          <w:bCs/>
        </w:rPr>
        <w:t xml:space="preserve"> That information had been communicated to the Parties through notification No. 2023-82 of 31 July 2023.</w:t>
      </w:r>
    </w:p>
    <w:p w14:paraId="7533FEBA" w14:textId="4A5AB6C5" w:rsidR="00EB567F" w:rsidRPr="00230BC2" w:rsidRDefault="00EB567F" w:rsidP="00EB567F">
      <w:pPr>
        <w:pStyle w:val="Para1"/>
      </w:pPr>
      <w:r w:rsidRPr="00230BC2">
        <w:t>Statements were made by representatives of the following Parties: Canada, Russian Federation</w:t>
      </w:r>
      <w:r w:rsidR="00380E7D" w:rsidRPr="00230BC2">
        <w:t>, Saudi Arabia</w:t>
      </w:r>
      <w:r w:rsidRPr="00230BC2">
        <w:t xml:space="preserve"> and Türkiye.</w:t>
      </w:r>
    </w:p>
    <w:p w14:paraId="039FBBAD" w14:textId="588BF0B7" w:rsidR="00EB567F" w:rsidRPr="00230BC2" w:rsidRDefault="00EB567F" w:rsidP="00EB567F">
      <w:pPr>
        <w:pStyle w:val="Para1"/>
      </w:pPr>
      <w:r w:rsidRPr="00230BC2">
        <w:t xml:space="preserve">The representative of the Russian Federation, asking that his statement be reflected in the report of the meeting, said that the host of the sixteenth meeting </w:t>
      </w:r>
      <w:r w:rsidRPr="00230BC2">
        <w:rPr>
          <w:bCs/>
        </w:rPr>
        <w:t>must issue visas to all participants in due manner.</w:t>
      </w:r>
    </w:p>
    <w:p w14:paraId="66C02D43" w14:textId="1522929D" w:rsidR="00EB567F" w:rsidRPr="00230BC2" w:rsidRDefault="00EB567F" w:rsidP="00EB567F">
      <w:pPr>
        <w:pStyle w:val="Para1"/>
      </w:pPr>
      <w:r w:rsidRPr="00230BC2">
        <w:t>The Conference of the Parties considered draft decision CBD/COP/15/L.3</w:t>
      </w:r>
      <w:r w:rsidR="00380E7D" w:rsidRPr="00230BC2">
        <w:t>6</w:t>
      </w:r>
      <w:r w:rsidRPr="00230BC2">
        <w:t>, submitted by the President, and adopted it as decision 15/</w:t>
      </w:r>
      <w:r w:rsidR="00C74617" w:rsidRPr="00230BC2">
        <w:t>35</w:t>
      </w:r>
      <w:r w:rsidRPr="00230BC2">
        <w:t>.</w:t>
      </w:r>
    </w:p>
    <w:p w14:paraId="283E3564" w14:textId="77777777" w:rsidR="00D77560" w:rsidRPr="00285079" w:rsidRDefault="00D77560" w:rsidP="00285079">
      <w:pPr>
        <w:keepNext/>
        <w:suppressLineNumbers/>
        <w:suppressAutoHyphens/>
        <w:kinsoku w:val="0"/>
        <w:overflowPunct w:val="0"/>
        <w:autoSpaceDE w:val="0"/>
        <w:autoSpaceDN w:val="0"/>
        <w:adjustRightInd w:val="0"/>
        <w:snapToGrid w:val="0"/>
        <w:spacing w:before="240" w:after="120"/>
        <w:jc w:val="center"/>
        <w:rPr>
          <w:b/>
          <w:bCs/>
          <w:snapToGrid w:val="0"/>
          <w:kern w:val="22"/>
          <w:szCs w:val="22"/>
        </w:rPr>
      </w:pPr>
      <w:r w:rsidRPr="00285079">
        <w:rPr>
          <w:b/>
          <w:bCs/>
          <w:snapToGrid w:val="0"/>
          <w:kern w:val="22"/>
          <w:szCs w:val="22"/>
        </w:rPr>
        <w:t>II.</w:t>
      </w:r>
      <w:r w:rsidRPr="00285079">
        <w:rPr>
          <w:b/>
          <w:bCs/>
          <w:snapToGrid w:val="0"/>
          <w:kern w:val="22"/>
          <w:szCs w:val="22"/>
        </w:rPr>
        <w:tab/>
        <w:t>REPORTS</w:t>
      </w:r>
    </w:p>
    <w:p w14:paraId="7592FCB7" w14:textId="1218EF3E" w:rsidR="00D77560" w:rsidRPr="00230BC2" w:rsidRDefault="00D77560"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Item 6.</w:t>
      </w:r>
      <w:r w:rsidRPr="00230BC2">
        <w:rPr>
          <w:b/>
          <w:bCs/>
          <w:snapToGrid w:val="0"/>
          <w:kern w:val="22"/>
          <w:szCs w:val="22"/>
        </w:rPr>
        <w:tab/>
        <w:t>Reports of intersessional and regional preparatory meetings</w:t>
      </w:r>
    </w:p>
    <w:p w14:paraId="45645A24" w14:textId="55AB9E23" w:rsidR="005C22DA" w:rsidRPr="00230BC2" w:rsidRDefault="00AF04B1" w:rsidP="003466FC">
      <w:pPr>
        <w:pStyle w:val="Para1"/>
        <w:rPr>
          <w:rFonts w:eastAsia="Malgun Gothic"/>
        </w:rPr>
      </w:pPr>
      <w:r w:rsidRPr="00230BC2">
        <w:rPr>
          <w:rFonts w:eastAsia="Malgun Gothic"/>
        </w:rPr>
        <w:t xml:space="preserve">At </w:t>
      </w:r>
      <w:r w:rsidR="00C96D28" w:rsidRPr="00230BC2">
        <w:rPr>
          <w:rFonts w:eastAsia="Malgun Gothic"/>
        </w:rPr>
        <w:t xml:space="preserve">its </w:t>
      </w:r>
      <w:r w:rsidR="00E4615C" w:rsidRPr="00230BC2">
        <w:rPr>
          <w:rFonts w:eastAsia="Malgun Gothic"/>
        </w:rPr>
        <w:t>1</w:t>
      </w:r>
      <w:r w:rsidRPr="00230BC2">
        <w:rPr>
          <w:rFonts w:eastAsia="Malgun Gothic"/>
        </w:rPr>
        <w:t xml:space="preserve">st </w:t>
      </w:r>
      <w:r w:rsidR="004A478A" w:rsidRPr="00230BC2">
        <w:t xml:space="preserve">plenary </w:t>
      </w:r>
      <w:r w:rsidRPr="00230BC2">
        <w:rPr>
          <w:rFonts w:eastAsia="Malgun Gothic"/>
        </w:rPr>
        <w:t>session</w:t>
      </w:r>
      <w:r w:rsidR="004217CC" w:rsidRPr="00230BC2">
        <w:rPr>
          <w:rFonts w:eastAsia="Malgun Gothic"/>
        </w:rPr>
        <w:t>,</w:t>
      </w:r>
      <w:r w:rsidRPr="00230BC2">
        <w:rPr>
          <w:rFonts w:eastAsia="Malgun Gothic"/>
        </w:rPr>
        <w:t xml:space="preserve"> the Conference of the Parties </w:t>
      </w:r>
      <w:r w:rsidR="005C22DA" w:rsidRPr="00230BC2">
        <w:t xml:space="preserve">had before it </w:t>
      </w:r>
      <w:r w:rsidR="001A5A57" w:rsidRPr="00230BC2">
        <w:rPr>
          <w:rFonts w:eastAsia="Malgun Gothic"/>
        </w:rPr>
        <w:t>reports on intersessional work</w:t>
      </w:r>
      <w:r w:rsidR="001A5A57" w:rsidRPr="00230BC2">
        <w:t xml:space="preserve"> undertaken since the first part of the fifteenth meeting, namely, </w:t>
      </w:r>
      <w:r w:rsidR="005C22DA" w:rsidRPr="00230BC2">
        <w:t xml:space="preserve">the report of the Subsidiary Body on Scientific, Technical and Technological Advice on its twenty-fourth meeting (CBD/SBSTTA/24/12), the report of the Subsidiary Body on Implementation on its third meeting (CBD/SBI/3/21) and the reports of the Open-ended Working Group on the Post-2020 Global Biodiversity Framework on </w:t>
      </w:r>
      <w:r w:rsidR="00CF0010" w:rsidRPr="00230BC2">
        <w:t xml:space="preserve">the second part of </w:t>
      </w:r>
      <w:r w:rsidR="005C22DA" w:rsidRPr="00230BC2">
        <w:t>its third</w:t>
      </w:r>
      <w:r w:rsidR="00CF0010" w:rsidRPr="00230BC2">
        <w:t xml:space="preserve"> meeting</w:t>
      </w:r>
      <w:r w:rsidR="005C22DA" w:rsidRPr="00230BC2">
        <w:t xml:space="preserve"> </w:t>
      </w:r>
      <w:r w:rsidR="00CF0010" w:rsidRPr="00230BC2">
        <w:t xml:space="preserve">and </w:t>
      </w:r>
      <w:r w:rsidR="00D96035" w:rsidRPr="00230BC2">
        <w:t>o</w:t>
      </w:r>
      <w:r w:rsidR="00826989" w:rsidRPr="00230BC2">
        <w:t>n</w:t>
      </w:r>
      <w:r w:rsidR="00D96035" w:rsidRPr="00230BC2">
        <w:t xml:space="preserve"> its </w:t>
      </w:r>
      <w:r w:rsidR="005C22DA" w:rsidRPr="00230BC2">
        <w:t>fourth and fifth meetings (CBD/WG2020/3/7, CBD/WG2020/4/4 and CBD/WG2020/5/</w:t>
      </w:r>
      <w:r w:rsidR="00F72433" w:rsidRPr="00230BC2">
        <w:t>5</w:t>
      </w:r>
      <w:r w:rsidR="001D1B9C" w:rsidRPr="00230BC2">
        <w:t>, respectively</w:t>
      </w:r>
      <w:r w:rsidR="005C22DA" w:rsidRPr="00230BC2">
        <w:t xml:space="preserve">). </w:t>
      </w:r>
    </w:p>
    <w:p w14:paraId="44400B75" w14:textId="7EADB778" w:rsidR="005C22DA" w:rsidRPr="00230BC2" w:rsidRDefault="005C22DA" w:rsidP="003466FC">
      <w:pPr>
        <w:pStyle w:val="Para1"/>
        <w:rPr>
          <w:rFonts w:eastAsia="Malgun Gothic"/>
        </w:rPr>
      </w:pPr>
      <w:r w:rsidRPr="00230BC2">
        <w:t>The Conference of the Parties then heard oral reports from the Chairs of the Subsidiary Body on Scientific, Technical and Technological Advice and the Subsidiary Body on Implementation and the Co-Chairs of the Open-ended Working Group on the Post-2020 Global Biodiversity Framework.</w:t>
      </w:r>
    </w:p>
    <w:p w14:paraId="03A8D55D" w14:textId="3F8F1E73" w:rsidR="0018670B" w:rsidRPr="00230BC2" w:rsidRDefault="005C22DA" w:rsidP="003466FC">
      <w:pPr>
        <w:pStyle w:val="Para1"/>
      </w:pPr>
      <w:r w:rsidRPr="00230BC2">
        <w:t xml:space="preserve">The Conference of the Parties </w:t>
      </w:r>
      <w:bookmarkStart w:id="428" w:name="_Hlk122173426"/>
      <w:r w:rsidRPr="00230BC2">
        <w:t xml:space="preserve">took note of the </w:t>
      </w:r>
      <w:r w:rsidR="005A5E75" w:rsidRPr="00230BC2">
        <w:t>information provided</w:t>
      </w:r>
      <w:r w:rsidRPr="00230BC2">
        <w:t xml:space="preserve"> and </w:t>
      </w:r>
      <w:r w:rsidR="00D06149" w:rsidRPr="00230BC2">
        <w:t>agreed</w:t>
      </w:r>
      <w:r w:rsidRPr="00230BC2">
        <w:t xml:space="preserve"> to </w:t>
      </w:r>
      <w:r w:rsidR="0018670B" w:rsidRPr="00230BC2">
        <w:t xml:space="preserve">consider the </w:t>
      </w:r>
      <w:r w:rsidR="00522733" w:rsidRPr="00230BC2">
        <w:t xml:space="preserve">subsidiary bodies’ </w:t>
      </w:r>
      <w:r w:rsidR="0018670B" w:rsidRPr="00230BC2">
        <w:t>recommendations under the relevant agenda items</w:t>
      </w:r>
      <w:bookmarkEnd w:id="428"/>
      <w:r w:rsidR="0018670B" w:rsidRPr="00230BC2">
        <w:t>.</w:t>
      </w:r>
    </w:p>
    <w:p w14:paraId="3E0CC71B" w14:textId="0D7F73B2" w:rsidR="00D77560" w:rsidRPr="00230BC2" w:rsidRDefault="00D77560" w:rsidP="00517A7E">
      <w:pPr>
        <w:keepNext/>
        <w:suppressLineNumber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lastRenderedPageBreak/>
        <w:t>III.</w:t>
      </w:r>
      <w:r w:rsidR="007C79CF" w:rsidRPr="00230BC2">
        <w:rPr>
          <w:b/>
          <w:bCs/>
          <w:snapToGrid w:val="0"/>
          <w:kern w:val="22"/>
          <w:szCs w:val="22"/>
        </w:rPr>
        <w:tab/>
      </w:r>
      <w:r w:rsidRPr="00230BC2">
        <w:rPr>
          <w:b/>
          <w:bCs/>
          <w:snapToGrid w:val="0"/>
          <w:kern w:val="22"/>
          <w:szCs w:val="22"/>
        </w:rPr>
        <w:t>ADMINISTRATION AND BUDGET</w:t>
      </w:r>
    </w:p>
    <w:p w14:paraId="0B3F190C" w14:textId="33EB26FC" w:rsidR="00D77560" w:rsidRPr="00950BE4" w:rsidRDefault="00D77560"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Item 7.</w:t>
      </w:r>
      <w:r w:rsidRPr="00230BC2">
        <w:rPr>
          <w:b/>
          <w:bCs/>
          <w:snapToGrid w:val="0"/>
          <w:kern w:val="22"/>
          <w:szCs w:val="22"/>
        </w:rPr>
        <w:tab/>
        <w:t>Administration of the Convention and budget for the trust funds</w:t>
      </w:r>
    </w:p>
    <w:p w14:paraId="7D257AB5" w14:textId="33DE940F" w:rsidR="000E6526" w:rsidRPr="00230BC2" w:rsidRDefault="000E6526" w:rsidP="003466FC">
      <w:pPr>
        <w:pStyle w:val="Para1"/>
      </w:pPr>
      <w:bookmarkStart w:id="429" w:name="_Hlk122436759"/>
      <w:r w:rsidRPr="00230BC2">
        <w:rPr>
          <w:rFonts w:eastAsia="Malgun Gothic"/>
        </w:rPr>
        <w:t xml:space="preserve">At the </w:t>
      </w:r>
      <w:r w:rsidR="00E4615C" w:rsidRPr="00230BC2">
        <w:rPr>
          <w:rFonts w:eastAsia="Malgun Gothic"/>
        </w:rPr>
        <w:t>1</w:t>
      </w:r>
      <w:r w:rsidRPr="00230BC2">
        <w:rPr>
          <w:rFonts w:eastAsia="Malgun Gothic"/>
        </w:rPr>
        <w:t xml:space="preserve">st </w:t>
      </w:r>
      <w:r w:rsidR="004A478A" w:rsidRPr="00230BC2">
        <w:t xml:space="preserve">plenary </w:t>
      </w:r>
      <w:r w:rsidRPr="00230BC2">
        <w:rPr>
          <w:rFonts w:eastAsia="Malgun Gothic"/>
        </w:rPr>
        <w:t>session</w:t>
      </w:r>
      <w:r w:rsidR="004217CC" w:rsidRPr="00230BC2">
        <w:rPr>
          <w:rFonts w:eastAsia="Malgun Gothic"/>
        </w:rPr>
        <w:t>,</w:t>
      </w:r>
      <w:r w:rsidRPr="00230BC2">
        <w:rPr>
          <w:rFonts w:eastAsia="Malgun Gothic"/>
        </w:rPr>
        <w:t xml:space="preserve"> the Executive Secretary reported on the activities of the </w:t>
      </w:r>
      <w:r w:rsidR="002F2A3E" w:rsidRPr="00230BC2">
        <w:rPr>
          <w:rFonts w:eastAsia="Malgun Gothic"/>
        </w:rPr>
        <w:t>S</w:t>
      </w:r>
      <w:r w:rsidRPr="00230BC2">
        <w:rPr>
          <w:rFonts w:eastAsia="Malgun Gothic"/>
        </w:rPr>
        <w:t xml:space="preserve">ecretariat and presented </w:t>
      </w:r>
      <w:r w:rsidRPr="00230BC2">
        <w:t>the proposed budget for the programmes of work of the Convention</w:t>
      </w:r>
      <w:r w:rsidR="005B231E" w:rsidRPr="00230BC2">
        <w:t xml:space="preserve"> and its </w:t>
      </w:r>
      <w:r w:rsidR="00BF433A" w:rsidRPr="00230BC2">
        <w:t>P</w:t>
      </w:r>
      <w:r w:rsidR="005B231E" w:rsidRPr="00230BC2">
        <w:t>rotocols</w:t>
      </w:r>
      <w:r w:rsidRPr="00230BC2">
        <w:t xml:space="preserve"> for the biennium 2023</w:t>
      </w:r>
      <w:r w:rsidRPr="00230BC2">
        <w:sym w:font="Symbol" w:char="F02D"/>
      </w:r>
      <w:r w:rsidRPr="00230BC2">
        <w:t xml:space="preserve">2024 (CBD/COP/15/7). </w:t>
      </w:r>
    </w:p>
    <w:p w14:paraId="22F49A17" w14:textId="44AC1E5A" w:rsidR="005B231E" w:rsidRPr="00230BC2" w:rsidRDefault="005B231E" w:rsidP="003466FC">
      <w:pPr>
        <w:pStyle w:val="Para1"/>
      </w:pPr>
      <w:r w:rsidRPr="00230BC2">
        <w:t xml:space="preserve">The </w:t>
      </w:r>
      <w:r w:rsidR="00944AEF" w:rsidRPr="00230BC2">
        <w:t>three bodies</w:t>
      </w:r>
      <w:r w:rsidRPr="00230BC2">
        <w:t xml:space="preserve"> establish</w:t>
      </w:r>
      <w:r w:rsidR="002206DF" w:rsidRPr="00230BC2">
        <w:t>ed</w:t>
      </w:r>
      <w:r w:rsidRPr="00230BC2">
        <w:t xml:space="preserve"> a contact group on budget, chaired by Hamdallah Zedan (Egypt), with the mandate to consider the proposed budget for the biennium </w:t>
      </w:r>
      <w:r w:rsidR="00404009" w:rsidRPr="00230BC2">
        <w:t>2023</w:t>
      </w:r>
      <w:r w:rsidR="00404009" w:rsidRPr="00230BC2">
        <w:sym w:font="Symbol" w:char="F02D"/>
      </w:r>
      <w:r w:rsidR="00404009" w:rsidRPr="00230BC2">
        <w:t xml:space="preserve">2024 </w:t>
      </w:r>
      <w:r w:rsidRPr="00230BC2">
        <w:t xml:space="preserve">in detail. </w:t>
      </w:r>
    </w:p>
    <w:bookmarkEnd w:id="429"/>
    <w:p w14:paraId="75A755FA" w14:textId="45758565" w:rsidR="005B3D2A" w:rsidRPr="00230BC2" w:rsidRDefault="005B3D2A" w:rsidP="003466FC">
      <w:pPr>
        <w:pStyle w:val="Para1"/>
      </w:pPr>
      <w:r w:rsidRPr="00230BC2">
        <w:t xml:space="preserve">The </w:t>
      </w:r>
      <w:r w:rsidR="00C87E35" w:rsidRPr="00230BC2">
        <w:t>C</w:t>
      </w:r>
      <w:r w:rsidRPr="00230BC2">
        <w:t xml:space="preserve">hair of the contact group </w:t>
      </w:r>
      <w:r w:rsidR="00047B3A" w:rsidRPr="00230BC2">
        <w:t xml:space="preserve">on budget </w:t>
      </w:r>
      <w:r w:rsidRPr="00230BC2">
        <w:t>reported on the group’s work at the two stocktake plenary sessions</w:t>
      </w:r>
      <w:r w:rsidR="00815AA7" w:rsidRPr="00230BC2">
        <w:t>.</w:t>
      </w:r>
    </w:p>
    <w:p w14:paraId="2F9A4D02" w14:textId="26171AB2" w:rsidR="005B3D2A" w:rsidRPr="00230BC2" w:rsidRDefault="005B3D2A" w:rsidP="003466FC">
      <w:pPr>
        <w:pStyle w:val="Para1"/>
      </w:pPr>
      <w:r w:rsidRPr="00230BC2">
        <w:t xml:space="preserve">At the </w:t>
      </w:r>
      <w:r w:rsidR="00E4615C" w:rsidRPr="00230BC2">
        <w:t>5</w:t>
      </w:r>
      <w:r w:rsidRPr="00230BC2">
        <w:t>th plenary session</w:t>
      </w:r>
      <w:r w:rsidR="00D94EB4" w:rsidRPr="00230BC2">
        <w:t>,</w:t>
      </w:r>
      <w:r w:rsidRPr="00230BC2">
        <w:t xml:space="preserve"> the </w:t>
      </w:r>
      <w:r w:rsidR="00D94EB4" w:rsidRPr="00230BC2">
        <w:t>C</w:t>
      </w:r>
      <w:r w:rsidRPr="00230BC2">
        <w:t xml:space="preserve">hair </w:t>
      </w:r>
      <w:r w:rsidR="00794371" w:rsidRPr="00230BC2">
        <w:t xml:space="preserve">of the contact </w:t>
      </w:r>
      <w:r w:rsidR="007D3048" w:rsidRPr="00230BC2">
        <w:t xml:space="preserve">group </w:t>
      </w:r>
      <w:r w:rsidR="00047B3A" w:rsidRPr="00230BC2">
        <w:t xml:space="preserve">on budget </w:t>
      </w:r>
      <w:r w:rsidR="00794371" w:rsidRPr="00230BC2">
        <w:t>presented</w:t>
      </w:r>
      <w:r w:rsidRPr="00230BC2">
        <w:t xml:space="preserve"> his final report on the group’s work.</w:t>
      </w:r>
    </w:p>
    <w:p w14:paraId="4D8922DD" w14:textId="03BA1900" w:rsidR="005B3D2A" w:rsidRPr="00230BC2" w:rsidRDefault="005B3D2A" w:rsidP="003466FC">
      <w:pPr>
        <w:pStyle w:val="Para1"/>
      </w:pPr>
      <w:r w:rsidRPr="00230BC2">
        <w:t xml:space="preserve">The Conference of the Parties then considered draft decision CBD/COP/15/L.31 </w:t>
      </w:r>
      <w:r w:rsidR="00E0131C" w:rsidRPr="00230BC2">
        <w:t xml:space="preserve">submitted by the </w:t>
      </w:r>
      <w:r w:rsidR="00C87E35" w:rsidRPr="00230BC2">
        <w:t>C</w:t>
      </w:r>
      <w:r w:rsidR="00E0131C" w:rsidRPr="00230BC2">
        <w:t xml:space="preserve">hair of the contact group on budget </w:t>
      </w:r>
      <w:r w:rsidRPr="00230BC2">
        <w:t>and adopted it as decision 15/</w:t>
      </w:r>
      <w:r w:rsidR="00AE3980" w:rsidRPr="00230BC2">
        <w:t>34</w:t>
      </w:r>
      <w:r w:rsidRPr="00230BC2">
        <w:t xml:space="preserve">. </w:t>
      </w:r>
    </w:p>
    <w:p w14:paraId="0257DD4F" w14:textId="677B6E44" w:rsidR="005F0232" w:rsidRPr="00230BC2" w:rsidRDefault="005F0232" w:rsidP="003466FC">
      <w:pPr>
        <w:pStyle w:val="Para1"/>
      </w:pPr>
      <w:r w:rsidRPr="00230BC2">
        <w:t xml:space="preserve">The representative of Norway announced that his </w:t>
      </w:r>
      <w:r w:rsidR="00C536E2" w:rsidRPr="00230BC2">
        <w:t>G</w:t>
      </w:r>
      <w:r w:rsidRPr="00230BC2">
        <w:t>overnment would contribute 10 million</w:t>
      </w:r>
      <w:r w:rsidR="004438DF" w:rsidRPr="00230BC2">
        <w:t xml:space="preserve"> Norwegian kroner</w:t>
      </w:r>
      <w:r w:rsidRPr="00230BC2">
        <w:t xml:space="preserve"> </w:t>
      </w:r>
      <w:r w:rsidR="00C536E2" w:rsidRPr="00230BC2">
        <w:t>(</w:t>
      </w:r>
      <w:r w:rsidR="009C685B" w:rsidRPr="00230BC2">
        <w:t xml:space="preserve">the </w:t>
      </w:r>
      <w:r w:rsidRPr="00230BC2">
        <w:t>equivalent to 1 million</w:t>
      </w:r>
      <w:r w:rsidR="00485524" w:rsidRPr="00230BC2">
        <w:t xml:space="preserve"> United States dollars</w:t>
      </w:r>
      <w:r w:rsidR="00C536E2" w:rsidRPr="00230BC2">
        <w:t>)</w:t>
      </w:r>
      <w:r w:rsidRPr="00230BC2">
        <w:t xml:space="preserve"> to intersessional work on digital sequence information on genetic resources.</w:t>
      </w:r>
    </w:p>
    <w:p w14:paraId="5FB3B62F" w14:textId="49555906" w:rsidR="0061275F" w:rsidRPr="00A9383D" w:rsidRDefault="0061275F" w:rsidP="00A9383D">
      <w:pPr>
        <w:keepNext/>
        <w:suppressLineNumbers/>
        <w:suppressAutoHyphens/>
        <w:kinsoku w:val="0"/>
        <w:overflowPunct w:val="0"/>
        <w:autoSpaceDE w:val="0"/>
        <w:autoSpaceDN w:val="0"/>
        <w:adjustRightInd w:val="0"/>
        <w:snapToGrid w:val="0"/>
        <w:spacing w:before="240" w:after="120"/>
        <w:jc w:val="center"/>
        <w:rPr>
          <w:b/>
          <w:bCs/>
          <w:snapToGrid w:val="0"/>
          <w:kern w:val="22"/>
          <w:szCs w:val="22"/>
        </w:rPr>
      </w:pPr>
      <w:r w:rsidRPr="00A9383D">
        <w:rPr>
          <w:b/>
          <w:bCs/>
          <w:snapToGrid w:val="0"/>
          <w:kern w:val="22"/>
          <w:szCs w:val="22"/>
        </w:rPr>
        <w:t>I</w:t>
      </w:r>
      <w:r w:rsidR="00020D56" w:rsidRPr="00A9383D">
        <w:rPr>
          <w:b/>
          <w:bCs/>
          <w:snapToGrid w:val="0"/>
          <w:kern w:val="22"/>
          <w:szCs w:val="22"/>
        </w:rPr>
        <w:t>V</w:t>
      </w:r>
      <w:r w:rsidRPr="00A9383D">
        <w:rPr>
          <w:b/>
          <w:bCs/>
          <w:snapToGrid w:val="0"/>
          <w:kern w:val="22"/>
          <w:szCs w:val="22"/>
        </w:rPr>
        <w:t>.</w:t>
      </w:r>
      <w:r w:rsidRPr="00A9383D">
        <w:rPr>
          <w:b/>
          <w:bCs/>
          <w:snapToGrid w:val="0"/>
          <w:kern w:val="22"/>
          <w:szCs w:val="22"/>
        </w:rPr>
        <w:tab/>
        <w:t xml:space="preserve">REVIEW OF </w:t>
      </w:r>
      <w:r w:rsidR="00A9383D" w:rsidRPr="00A9383D">
        <w:rPr>
          <w:b/>
          <w:bCs/>
          <w:snapToGrid w:val="0"/>
          <w:kern w:val="22"/>
          <w:szCs w:val="22"/>
        </w:rPr>
        <w:t>IMPLEM</w:t>
      </w:r>
      <w:r w:rsidRPr="00A9383D">
        <w:rPr>
          <w:b/>
          <w:bCs/>
          <w:snapToGrid w:val="0"/>
          <w:kern w:val="22"/>
          <w:szCs w:val="22"/>
        </w:rPr>
        <w:t>ENTATION</w:t>
      </w:r>
    </w:p>
    <w:p w14:paraId="0C610910" w14:textId="4BEC658B" w:rsidR="0061275F" w:rsidRPr="00230BC2" w:rsidRDefault="0061275F" w:rsidP="00950BE4">
      <w:pPr>
        <w:keepNext/>
        <w:suppressLineNumbers/>
        <w:tabs>
          <w:tab w:val="left" w:pos="810"/>
        </w:tabs>
        <w:suppressAutoHyphens/>
        <w:kinsoku w:val="0"/>
        <w:overflowPunct w:val="0"/>
        <w:autoSpaceDE w:val="0"/>
        <w:autoSpaceDN w:val="0"/>
        <w:adjustRightInd w:val="0"/>
        <w:snapToGrid w:val="0"/>
        <w:spacing w:before="240" w:after="120"/>
        <w:jc w:val="center"/>
        <w:rPr>
          <w:b/>
          <w:bCs/>
          <w:i/>
          <w:iCs/>
          <w:szCs w:val="22"/>
        </w:rPr>
      </w:pPr>
      <w:r w:rsidRPr="00230BC2">
        <w:rPr>
          <w:b/>
          <w:bCs/>
          <w:szCs w:val="22"/>
        </w:rPr>
        <w:t>Item 8.</w:t>
      </w:r>
      <w:r w:rsidRPr="00230BC2">
        <w:rPr>
          <w:b/>
          <w:bCs/>
          <w:szCs w:val="22"/>
        </w:rPr>
        <w:tab/>
        <w:t xml:space="preserve">Review of progress in the </w:t>
      </w:r>
      <w:r w:rsidRPr="00230BC2">
        <w:rPr>
          <w:b/>
          <w:bCs/>
          <w:iCs/>
          <w:snapToGrid w:val="0"/>
          <w:kern w:val="22"/>
          <w:szCs w:val="22"/>
        </w:rPr>
        <w:t>implementation</w:t>
      </w:r>
      <w:r w:rsidRPr="00230BC2">
        <w:rPr>
          <w:b/>
          <w:bCs/>
          <w:szCs w:val="22"/>
        </w:rPr>
        <w:t xml:space="preserve"> of the Convention and the Strategic Plan for Biodiversity 2011</w:t>
      </w:r>
      <w:r w:rsidR="0038319C" w:rsidRPr="00230BC2">
        <w:rPr>
          <w:b/>
          <w:bCs/>
          <w:szCs w:val="22"/>
        </w:rPr>
        <w:t>–</w:t>
      </w:r>
      <w:r w:rsidRPr="00230BC2">
        <w:rPr>
          <w:b/>
          <w:bCs/>
          <w:szCs w:val="22"/>
        </w:rPr>
        <w:t>2020 and the achievement of the Aichi Biodiversity Targets</w:t>
      </w:r>
      <w:r w:rsidRPr="00230BC2">
        <w:rPr>
          <w:b/>
          <w:bCs/>
          <w:i/>
          <w:iCs/>
          <w:szCs w:val="22"/>
        </w:rPr>
        <w:t xml:space="preserve"> </w:t>
      </w:r>
    </w:p>
    <w:p w14:paraId="0C002DBC" w14:textId="450F02DB" w:rsidR="00352D5E" w:rsidRPr="00230BC2" w:rsidRDefault="00352D5E" w:rsidP="00950BE4">
      <w:pPr>
        <w:pStyle w:val="ListParagraph"/>
        <w:keepNext/>
        <w:suppressLineNumbers/>
        <w:suppressAutoHyphens/>
        <w:kinsoku w:val="0"/>
        <w:overflowPunct w:val="0"/>
        <w:autoSpaceDE w:val="0"/>
        <w:autoSpaceDN w:val="0"/>
        <w:adjustRightInd w:val="0"/>
        <w:snapToGrid w:val="0"/>
        <w:spacing w:before="240" w:after="120"/>
        <w:ind w:left="1270" w:right="289" w:hanging="561"/>
        <w:jc w:val="left"/>
        <w:rPr>
          <w:rFonts w:ascii="Times New Roman Bold" w:hAnsi="Times New Roman Bold" w:cs="Times New Roman Bold"/>
          <w:b/>
          <w:snapToGrid w:val="0"/>
          <w:kern w:val="22"/>
          <w:szCs w:val="22"/>
        </w:rPr>
      </w:pPr>
      <w:bookmarkStart w:id="430" w:name="_Hlk121819911"/>
      <w:r w:rsidRPr="00230BC2">
        <w:rPr>
          <w:rFonts w:ascii="Times New Roman Bold" w:hAnsi="Times New Roman Bold" w:cs="Times New Roman Bold"/>
          <w:b/>
          <w:snapToGrid w:val="0"/>
          <w:kern w:val="22"/>
          <w:szCs w:val="22"/>
        </w:rPr>
        <w:t>A.</w:t>
      </w:r>
      <w:r w:rsidRPr="00230BC2">
        <w:rPr>
          <w:rFonts w:ascii="Times New Roman Bold" w:hAnsi="Times New Roman Bold" w:cs="Times New Roman Bold"/>
          <w:b/>
          <w:snapToGrid w:val="0"/>
          <w:kern w:val="22"/>
          <w:szCs w:val="22"/>
        </w:rPr>
        <w:tab/>
        <w:t>Informing the scientific and technical evidence base for the post-2020 global biodiversity framework</w:t>
      </w:r>
    </w:p>
    <w:bookmarkEnd w:id="430"/>
    <w:p w14:paraId="2569B5D9" w14:textId="783A7868" w:rsidR="007F45EB" w:rsidRPr="00230BC2" w:rsidRDefault="007F45EB" w:rsidP="003466FC">
      <w:pPr>
        <w:pStyle w:val="Para1"/>
      </w:pPr>
      <w:r w:rsidRPr="00230BC2">
        <w:t xml:space="preserve">Working </w:t>
      </w:r>
      <w:r w:rsidR="00A82043" w:rsidRPr="00230BC2">
        <w:t>G</w:t>
      </w:r>
      <w:r w:rsidRPr="00230BC2">
        <w:t xml:space="preserve">roup I </w:t>
      </w:r>
      <w:r w:rsidR="00B3219B" w:rsidRPr="00230BC2">
        <w:t>considered</w:t>
      </w:r>
      <w:r w:rsidRPr="00230BC2">
        <w:t xml:space="preserve"> sub-item 8 A </w:t>
      </w:r>
      <w:r w:rsidR="00050821" w:rsidRPr="00230BC2">
        <w:t xml:space="preserve">of the agenda </w:t>
      </w:r>
      <w:r w:rsidRPr="00230BC2">
        <w:t>at its</w:t>
      </w:r>
      <w:r w:rsidRPr="00230BC2">
        <w:rPr>
          <w:bCs/>
        </w:rPr>
        <w:t xml:space="preserve"> </w:t>
      </w:r>
      <w:r w:rsidR="00E67935" w:rsidRPr="00230BC2">
        <w:t>1st</w:t>
      </w:r>
      <w:r w:rsidRPr="00230BC2">
        <w:t xml:space="preserve"> meeting, on 7</w:t>
      </w:r>
      <w:r w:rsidR="00050821" w:rsidRPr="00230BC2">
        <w:t> </w:t>
      </w:r>
      <w:r w:rsidRPr="00230BC2">
        <w:rPr>
          <w:iCs/>
        </w:rPr>
        <w:t>December</w:t>
      </w:r>
      <w:r w:rsidRPr="00230BC2">
        <w:t xml:space="preserve">. </w:t>
      </w:r>
      <w:r w:rsidR="009A2CF8" w:rsidRPr="00230BC2">
        <w:t xml:space="preserve">It </w:t>
      </w:r>
      <w:r w:rsidRPr="00230BC2">
        <w:t>had before it a draft decision based on recommendations 23/1 and 24/1 of the Subsidiary Body on Scientific, Technical and Technological Advice</w:t>
      </w:r>
      <w:r w:rsidR="00A7753C" w:rsidRPr="00230BC2">
        <w:t>,</w:t>
      </w:r>
      <w:r w:rsidRPr="00230BC2">
        <w:t xml:space="preserve"> </w:t>
      </w:r>
      <w:r w:rsidR="00A7753C" w:rsidRPr="00230BC2">
        <w:t xml:space="preserve">as </w:t>
      </w:r>
      <w:r w:rsidRPr="00230BC2">
        <w:t>set out in the compilation of draft decisions</w:t>
      </w:r>
      <w:r w:rsidR="00373A92" w:rsidRPr="00230BC2">
        <w:t>.</w:t>
      </w:r>
    </w:p>
    <w:p w14:paraId="63720179" w14:textId="5587C689" w:rsidR="007F45EB" w:rsidRPr="00230BC2" w:rsidRDefault="003873C8" w:rsidP="003466FC">
      <w:pPr>
        <w:pStyle w:val="Para1"/>
      </w:pPr>
      <w:r w:rsidRPr="00230BC2">
        <w:t>W</w:t>
      </w:r>
      <w:r w:rsidR="007F45EB" w:rsidRPr="00230BC2">
        <w:t xml:space="preserve">orking </w:t>
      </w:r>
      <w:r w:rsidRPr="00230BC2">
        <w:t>G</w:t>
      </w:r>
      <w:r w:rsidR="007F45EB" w:rsidRPr="00230BC2">
        <w:t xml:space="preserve">roup </w:t>
      </w:r>
      <w:r w:rsidRPr="00230BC2">
        <w:t xml:space="preserve">I </w:t>
      </w:r>
      <w:r w:rsidR="007F45EB" w:rsidRPr="00230BC2">
        <w:t xml:space="preserve">agreed that </w:t>
      </w:r>
      <w:r w:rsidR="00A1383D" w:rsidRPr="00230BC2">
        <w:t xml:space="preserve">its </w:t>
      </w:r>
      <w:r w:rsidR="007F45EB" w:rsidRPr="00230BC2">
        <w:t xml:space="preserve">Chair would hold informal consultations on the few </w:t>
      </w:r>
      <w:r w:rsidR="00D9069D" w:rsidRPr="00230BC2">
        <w:t>outstanding</w:t>
      </w:r>
      <w:r w:rsidR="0006223B" w:rsidRPr="00230BC2">
        <w:t xml:space="preserve"> </w:t>
      </w:r>
      <w:r w:rsidR="007F45EB" w:rsidRPr="00230BC2">
        <w:t xml:space="preserve">issues and prepare a revised draft decision for the </w:t>
      </w:r>
      <w:r w:rsidR="00583FC8" w:rsidRPr="00230BC2">
        <w:t>G</w:t>
      </w:r>
      <w:r w:rsidR="007F45EB" w:rsidRPr="00230BC2">
        <w:t xml:space="preserve">roup’s consideration. </w:t>
      </w:r>
    </w:p>
    <w:p w14:paraId="05104A80" w14:textId="03EEF35E" w:rsidR="00AA6EC2" w:rsidRPr="00230BC2" w:rsidRDefault="00AA6EC2" w:rsidP="003466FC">
      <w:pPr>
        <w:pStyle w:val="Para1"/>
      </w:pPr>
      <w:r w:rsidRPr="00230BC2">
        <w:t xml:space="preserve">At its </w:t>
      </w:r>
      <w:r w:rsidR="00E67935" w:rsidRPr="00230BC2">
        <w:t>2nd</w:t>
      </w:r>
      <w:r w:rsidRPr="00230BC2">
        <w:t xml:space="preserve"> meeting, on 9 December 2022, </w:t>
      </w:r>
      <w:r w:rsidR="00583FC8" w:rsidRPr="00230BC2">
        <w:t>W</w:t>
      </w:r>
      <w:r w:rsidRPr="00230BC2">
        <w:t xml:space="preserve">orking </w:t>
      </w:r>
      <w:r w:rsidR="00583FC8" w:rsidRPr="00230BC2">
        <w:t>G</w:t>
      </w:r>
      <w:r w:rsidRPr="00230BC2">
        <w:t xml:space="preserve">roup </w:t>
      </w:r>
      <w:r w:rsidR="00583FC8" w:rsidRPr="00230BC2">
        <w:t xml:space="preserve">I </w:t>
      </w:r>
      <w:r w:rsidRPr="00230BC2">
        <w:t xml:space="preserve">considered the revised draft decision submitted by </w:t>
      </w:r>
      <w:r w:rsidR="005B71A0" w:rsidRPr="00230BC2">
        <w:t xml:space="preserve">its </w:t>
      </w:r>
      <w:r w:rsidRPr="00230BC2">
        <w:t xml:space="preserve">Chair and approved it for transmission to </w:t>
      </w:r>
      <w:r w:rsidR="00A124C1" w:rsidRPr="00230BC2">
        <w:t xml:space="preserve">the </w:t>
      </w:r>
      <w:r w:rsidRPr="00230BC2">
        <w:t xml:space="preserve">plenary </w:t>
      </w:r>
      <w:r w:rsidR="008073D6" w:rsidRPr="00230BC2">
        <w:t xml:space="preserve">session </w:t>
      </w:r>
      <w:r w:rsidRPr="00230BC2">
        <w:t>as draft decision CBD/COP/15/L.3.</w:t>
      </w:r>
    </w:p>
    <w:p w14:paraId="7DB96B42" w14:textId="55FC8E91" w:rsidR="002C2515" w:rsidRPr="00230BC2" w:rsidRDefault="002C2515" w:rsidP="003466FC">
      <w:pPr>
        <w:pStyle w:val="Para1"/>
      </w:pPr>
      <w:r w:rsidRPr="00230BC2">
        <w:t xml:space="preserve">At </w:t>
      </w:r>
      <w:r w:rsidR="00D23128" w:rsidRPr="00230BC2">
        <w:t xml:space="preserve">its </w:t>
      </w:r>
      <w:r w:rsidR="00E67935" w:rsidRPr="00230BC2">
        <w:t>2nd</w:t>
      </w:r>
      <w:r w:rsidRPr="00230BC2">
        <w:t xml:space="preserve"> </w:t>
      </w:r>
      <w:r w:rsidR="00284AD3" w:rsidRPr="00230BC2">
        <w:t xml:space="preserve">plenary </w:t>
      </w:r>
      <w:r w:rsidRPr="00230BC2">
        <w:t>session</w:t>
      </w:r>
      <w:r w:rsidR="00676360" w:rsidRPr="00230BC2">
        <w:t>,</w:t>
      </w:r>
      <w:r w:rsidRPr="00230BC2">
        <w:t xml:space="preserve"> the Conference of the Parties </w:t>
      </w:r>
      <w:r w:rsidR="001259D5" w:rsidRPr="00230BC2">
        <w:t xml:space="preserve">adopted the </w:t>
      </w:r>
      <w:r w:rsidRPr="00230BC2">
        <w:t>draft decision as decision</w:t>
      </w:r>
      <w:r w:rsidR="008107AF" w:rsidRPr="00230BC2">
        <w:t> </w:t>
      </w:r>
      <w:r w:rsidRPr="00230BC2">
        <w:t>15/</w:t>
      </w:r>
      <w:r w:rsidR="00E732CE" w:rsidRPr="00230BC2">
        <w:t>2</w:t>
      </w:r>
      <w:r w:rsidRPr="00230BC2">
        <w:t>.</w:t>
      </w:r>
    </w:p>
    <w:p w14:paraId="6DD7E06E" w14:textId="55B368F3" w:rsidR="002C2515" w:rsidRPr="00950BE4" w:rsidRDefault="00352D5E" w:rsidP="00950BE4">
      <w:pPr>
        <w:keepNext/>
        <w:suppressLineNumbers/>
        <w:tabs>
          <w:tab w:val="left" w:pos="990"/>
        </w:tabs>
        <w:suppressAutoHyphens/>
        <w:kinsoku w:val="0"/>
        <w:overflowPunct w:val="0"/>
        <w:autoSpaceDE w:val="0"/>
        <w:autoSpaceDN w:val="0"/>
        <w:adjustRightInd w:val="0"/>
        <w:snapToGrid w:val="0"/>
        <w:spacing w:before="240" w:after="120"/>
        <w:ind w:left="1560" w:hanging="567"/>
        <w:jc w:val="left"/>
        <w:rPr>
          <w:b/>
          <w:bCs/>
          <w:snapToGrid w:val="0"/>
          <w:kern w:val="22"/>
          <w:szCs w:val="22"/>
        </w:rPr>
      </w:pPr>
      <w:r w:rsidRPr="00950BE4">
        <w:rPr>
          <w:b/>
          <w:bCs/>
          <w:snapToGrid w:val="0"/>
          <w:kern w:val="22"/>
          <w:szCs w:val="22"/>
        </w:rPr>
        <w:t>B.</w:t>
      </w:r>
      <w:r w:rsidRPr="00950BE4">
        <w:rPr>
          <w:b/>
          <w:bCs/>
          <w:snapToGrid w:val="0"/>
          <w:kern w:val="22"/>
          <w:szCs w:val="22"/>
        </w:rPr>
        <w:tab/>
        <w:t xml:space="preserve">Review of progress in the implementation of the Convention and the </w:t>
      </w:r>
      <w:r w:rsidR="00722846" w:rsidRPr="00950BE4">
        <w:rPr>
          <w:b/>
          <w:bCs/>
          <w:snapToGrid w:val="0"/>
          <w:kern w:val="22"/>
          <w:szCs w:val="22"/>
        </w:rPr>
        <w:t>S</w:t>
      </w:r>
      <w:r w:rsidRPr="00950BE4">
        <w:rPr>
          <w:b/>
          <w:bCs/>
          <w:snapToGrid w:val="0"/>
          <w:kern w:val="22"/>
          <w:szCs w:val="22"/>
        </w:rPr>
        <w:t xml:space="preserve">trategic </w:t>
      </w:r>
      <w:r w:rsidR="00722846" w:rsidRPr="00950BE4">
        <w:rPr>
          <w:b/>
          <w:bCs/>
          <w:snapToGrid w:val="0"/>
          <w:kern w:val="22"/>
          <w:szCs w:val="22"/>
        </w:rPr>
        <w:t>P</w:t>
      </w:r>
      <w:r w:rsidRPr="00950BE4">
        <w:rPr>
          <w:b/>
          <w:bCs/>
          <w:snapToGrid w:val="0"/>
          <w:kern w:val="22"/>
          <w:szCs w:val="22"/>
        </w:rPr>
        <w:t xml:space="preserve">lan for </w:t>
      </w:r>
      <w:r w:rsidR="00722846" w:rsidRPr="00950BE4">
        <w:rPr>
          <w:b/>
          <w:bCs/>
          <w:snapToGrid w:val="0"/>
          <w:kern w:val="22"/>
          <w:szCs w:val="22"/>
        </w:rPr>
        <w:t>B</w:t>
      </w:r>
      <w:r w:rsidRPr="00950BE4">
        <w:rPr>
          <w:b/>
          <w:bCs/>
          <w:snapToGrid w:val="0"/>
          <w:kern w:val="22"/>
          <w:szCs w:val="22"/>
        </w:rPr>
        <w:t>iodiversity 2011</w:t>
      </w:r>
      <w:r w:rsidRPr="00950BE4">
        <w:rPr>
          <w:b/>
          <w:bCs/>
          <w:snapToGrid w:val="0"/>
          <w:kern w:val="22"/>
          <w:szCs w:val="22"/>
        </w:rPr>
        <w:sym w:font="Symbol" w:char="F02D"/>
      </w:r>
      <w:r w:rsidRPr="00950BE4">
        <w:rPr>
          <w:b/>
          <w:bCs/>
          <w:snapToGrid w:val="0"/>
          <w:kern w:val="22"/>
          <w:szCs w:val="22"/>
        </w:rPr>
        <w:t>2020</w:t>
      </w:r>
    </w:p>
    <w:p w14:paraId="789951AC" w14:textId="7D12AC03" w:rsidR="00372129" w:rsidRPr="00230BC2" w:rsidRDefault="00372129"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8 B </w:t>
      </w:r>
      <w:r w:rsidR="00050821" w:rsidRPr="00230BC2">
        <w:t xml:space="preserve">of the agenda </w:t>
      </w:r>
      <w:r w:rsidRPr="00230BC2">
        <w:t>at its</w:t>
      </w:r>
      <w:r w:rsidRPr="00230BC2">
        <w:rPr>
          <w:bCs/>
        </w:rPr>
        <w:t xml:space="preserve"> </w:t>
      </w:r>
      <w:r w:rsidR="00E67935" w:rsidRPr="00230BC2">
        <w:t>1st</w:t>
      </w:r>
      <w:r w:rsidRPr="00230BC2">
        <w:t xml:space="preserve"> meeting</w:t>
      </w:r>
      <w:r w:rsidR="00E34EE2" w:rsidRPr="00230BC2">
        <w:t>.</w:t>
      </w:r>
      <w:r w:rsidRPr="00230BC2">
        <w:t xml:space="preserve"> </w:t>
      </w:r>
      <w:r w:rsidR="000A734E" w:rsidRPr="00230BC2">
        <w:t xml:space="preserve">It </w:t>
      </w:r>
      <w:r w:rsidRPr="00230BC2">
        <w:t xml:space="preserve">had before it </w:t>
      </w:r>
      <w:bookmarkStart w:id="431" w:name="Item11"/>
      <w:r w:rsidRPr="00230BC2">
        <w:t xml:space="preserve">a draft decision on </w:t>
      </w:r>
      <w:r w:rsidR="00B906D7" w:rsidRPr="00230BC2">
        <w:t xml:space="preserve">the </w:t>
      </w:r>
      <w:r w:rsidRPr="00230BC2">
        <w:t>review of progress in the implementation of the Convention and the Strategic Plan for Biodiversity 2011</w:t>
      </w:r>
      <w:r w:rsidRPr="00230BC2">
        <w:sym w:font="Symbol" w:char="F02D"/>
      </w:r>
      <w:r w:rsidRPr="00230BC2">
        <w:t xml:space="preserve">2020, prepared on the basis of recommendation 3/1 </w:t>
      </w:r>
      <w:r w:rsidR="00E4566F" w:rsidRPr="00230BC2">
        <w:t>of</w:t>
      </w:r>
      <w:r w:rsidRPr="00230BC2">
        <w:t xml:space="preserve"> the Subsidiary Body on Implementation</w:t>
      </w:r>
      <w:r w:rsidR="00151616" w:rsidRPr="00230BC2">
        <w:t>,</w:t>
      </w:r>
      <w:r w:rsidRPr="00230BC2">
        <w:t xml:space="preserve"> </w:t>
      </w:r>
      <w:r w:rsidR="00151616" w:rsidRPr="00230BC2">
        <w:t xml:space="preserve">as </w:t>
      </w:r>
      <w:r w:rsidRPr="00230BC2">
        <w:t>set out in the compilation of draft decisions</w:t>
      </w:r>
      <w:r w:rsidR="00855B78" w:rsidRPr="00230BC2">
        <w:t>,</w:t>
      </w:r>
      <w:r w:rsidRPr="00230BC2">
        <w:t xml:space="preserve"> and a note by the Executive Secretary on the </w:t>
      </w:r>
      <w:r w:rsidRPr="00230BC2">
        <w:rPr>
          <w:bCs/>
        </w:rPr>
        <w:t>review of progress in the implementation of the Convention and the Strategic Plan for Biodiversity 2011</w:t>
      </w:r>
      <w:r w:rsidRPr="00230BC2">
        <w:rPr>
          <w:b/>
          <w:bCs/>
        </w:rPr>
        <w:t>–</w:t>
      </w:r>
      <w:r w:rsidRPr="00230BC2">
        <w:rPr>
          <w:bCs/>
        </w:rPr>
        <w:t>2020 (</w:t>
      </w:r>
      <w:r w:rsidRPr="00230BC2">
        <w:t>CBD/COP/15/9</w:t>
      </w:r>
      <w:r w:rsidR="00474AEA" w:rsidRPr="00230BC2">
        <w:t>)</w:t>
      </w:r>
      <w:r w:rsidRPr="00230BC2">
        <w:t xml:space="preserve"> and addenda</w:t>
      </w:r>
      <w:r w:rsidR="0074370A" w:rsidRPr="00230BC2">
        <w:t xml:space="preserve"> </w:t>
      </w:r>
      <w:r w:rsidR="00AE025B" w:rsidRPr="00230BC2">
        <w:t xml:space="preserve">thereto </w:t>
      </w:r>
      <w:r w:rsidR="00474AEA" w:rsidRPr="00230BC2">
        <w:t>(</w:t>
      </w:r>
      <w:r w:rsidR="0074370A" w:rsidRPr="00230BC2">
        <w:t>CBD/COP/15/9</w:t>
      </w:r>
      <w:r w:rsidR="001C7CF7" w:rsidRPr="00230BC2">
        <w:t>/Add.1 and CBD/COP/15/9/Add.2</w:t>
      </w:r>
      <w:r w:rsidRPr="00230BC2">
        <w:t xml:space="preserve">). </w:t>
      </w:r>
    </w:p>
    <w:p w14:paraId="2CDF3C3B" w14:textId="3D45FA53" w:rsidR="00372129" w:rsidRPr="00230BC2" w:rsidRDefault="00583FC8" w:rsidP="003466FC">
      <w:pPr>
        <w:pStyle w:val="Para1"/>
      </w:pPr>
      <w:r w:rsidRPr="00230BC2">
        <w:t>W</w:t>
      </w:r>
      <w:r w:rsidR="00372129" w:rsidRPr="00230BC2">
        <w:t xml:space="preserve">orking </w:t>
      </w:r>
      <w:r w:rsidRPr="00230BC2">
        <w:t>G</w:t>
      </w:r>
      <w:r w:rsidR="00372129" w:rsidRPr="00230BC2">
        <w:t xml:space="preserve">roup </w:t>
      </w:r>
      <w:r w:rsidRPr="00230BC2">
        <w:t xml:space="preserve">I </w:t>
      </w:r>
      <w:r w:rsidR="00372129" w:rsidRPr="00230BC2">
        <w:t xml:space="preserve">agreed that </w:t>
      </w:r>
      <w:r w:rsidR="00843105" w:rsidRPr="00230BC2">
        <w:t xml:space="preserve">its </w:t>
      </w:r>
      <w:r w:rsidR="00372129" w:rsidRPr="00230BC2">
        <w:t xml:space="preserve">Chair would hold informal consultations on the few </w:t>
      </w:r>
      <w:r w:rsidR="00D9069D" w:rsidRPr="00230BC2">
        <w:t xml:space="preserve">outstanding </w:t>
      </w:r>
      <w:r w:rsidR="00372129" w:rsidRPr="00230BC2">
        <w:t xml:space="preserve">issues and prepare a revised draft decision for the </w:t>
      </w:r>
      <w:r w:rsidRPr="00230BC2">
        <w:t>G</w:t>
      </w:r>
      <w:r w:rsidR="00372129" w:rsidRPr="00230BC2">
        <w:t>roup’s consideration.</w:t>
      </w:r>
    </w:p>
    <w:bookmarkEnd w:id="431"/>
    <w:p w14:paraId="7E575D0A" w14:textId="2FD13262" w:rsidR="00372129" w:rsidRPr="00230BC2" w:rsidRDefault="00372129" w:rsidP="003466FC">
      <w:pPr>
        <w:pStyle w:val="Para1"/>
      </w:pPr>
      <w:r w:rsidRPr="00230BC2">
        <w:lastRenderedPageBreak/>
        <w:t xml:space="preserve">At its </w:t>
      </w:r>
      <w:r w:rsidR="00E67935" w:rsidRPr="00230BC2">
        <w:t>2nd</w:t>
      </w:r>
      <w:r w:rsidRPr="00230BC2">
        <w:t xml:space="preserve"> meeting, </w:t>
      </w:r>
      <w:r w:rsidR="00643479" w:rsidRPr="00230BC2">
        <w:t>W</w:t>
      </w:r>
      <w:r w:rsidRPr="00230BC2">
        <w:t xml:space="preserve">orking </w:t>
      </w:r>
      <w:r w:rsidR="00643479" w:rsidRPr="00230BC2">
        <w:t>G</w:t>
      </w:r>
      <w:r w:rsidRPr="00230BC2">
        <w:t xml:space="preserve">roup </w:t>
      </w:r>
      <w:r w:rsidR="00643479" w:rsidRPr="00230BC2">
        <w:t xml:space="preserve">I </w:t>
      </w:r>
      <w:r w:rsidRPr="00230BC2">
        <w:t xml:space="preserve">considered the revised draft decision submitted by </w:t>
      </w:r>
      <w:r w:rsidR="005B71A0"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CBD/COP/15/L.4.</w:t>
      </w:r>
    </w:p>
    <w:p w14:paraId="6B0899F6" w14:textId="676A3071" w:rsidR="005008CC" w:rsidRPr="00230BC2" w:rsidRDefault="005008CC" w:rsidP="003466FC">
      <w:pPr>
        <w:pStyle w:val="Para1"/>
      </w:pPr>
      <w:r w:rsidRPr="00230BC2">
        <w:t xml:space="preserve">At </w:t>
      </w:r>
      <w:r w:rsidR="00D23128" w:rsidRPr="00230BC2">
        <w:t xml:space="preserve">its </w:t>
      </w:r>
      <w:r w:rsidR="00E67935" w:rsidRPr="00230BC2">
        <w:t>2nd</w:t>
      </w:r>
      <w:r w:rsidRPr="00230BC2">
        <w:t xml:space="preserve"> </w:t>
      </w:r>
      <w:r w:rsidR="004A478A" w:rsidRPr="00230BC2">
        <w:t xml:space="preserve">plenary </w:t>
      </w:r>
      <w:r w:rsidRPr="00230BC2">
        <w:t>session</w:t>
      </w:r>
      <w:r w:rsidR="00676360" w:rsidRPr="00230BC2">
        <w:t>,</w:t>
      </w:r>
      <w:r w:rsidRPr="00230BC2">
        <w:t xml:space="preserve"> the Conference of the Parties </w:t>
      </w:r>
      <w:r w:rsidR="008107AF" w:rsidRPr="00230BC2">
        <w:t xml:space="preserve">adopted the </w:t>
      </w:r>
      <w:r w:rsidRPr="00230BC2">
        <w:t>draft decision as decision</w:t>
      </w:r>
      <w:r w:rsidR="008107AF" w:rsidRPr="00230BC2">
        <w:t> </w:t>
      </w:r>
      <w:r w:rsidRPr="00230BC2">
        <w:t>15/</w:t>
      </w:r>
      <w:r w:rsidR="00170E5A" w:rsidRPr="00230BC2">
        <w:t>3</w:t>
      </w:r>
      <w:r w:rsidRPr="00230BC2">
        <w:t>.</w:t>
      </w:r>
    </w:p>
    <w:p w14:paraId="24FAF4F3" w14:textId="5AEBC487" w:rsidR="0061275F" w:rsidRPr="00230BC2" w:rsidRDefault="0061275F" w:rsidP="00A9383D">
      <w:pPr>
        <w:keepNext/>
        <w:tabs>
          <w:tab w:val="left" w:pos="720"/>
        </w:tabs>
        <w:spacing w:before="240" w:after="240"/>
        <w:ind w:left="1701" w:right="431" w:hanging="709"/>
        <w:jc w:val="left"/>
        <w:rPr>
          <w:b/>
          <w:bCs/>
          <w:caps/>
        </w:rPr>
      </w:pPr>
      <w:r w:rsidRPr="00230BC2">
        <w:rPr>
          <w:b/>
          <w:bCs/>
          <w:caps/>
        </w:rPr>
        <w:t>V.</w:t>
      </w:r>
      <w:r w:rsidRPr="00230BC2">
        <w:rPr>
          <w:b/>
          <w:bCs/>
          <w:caps/>
        </w:rPr>
        <w:tab/>
      </w:r>
      <w:r w:rsidR="00195A08" w:rsidRPr="00230BC2">
        <w:rPr>
          <w:b/>
          <w:bCs/>
          <w:caps/>
        </w:rPr>
        <w:t xml:space="preserve">The </w:t>
      </w:r>
      <w:r w:rsidRPr="00230BC2">
        <w:rPr>
          <w:b/>
          <w:bCs/>
          <w:caps/>
        </w:rPr>
        <w:t>POST-2020 GLOBAL BIODIVERSITY FRAMEWORK, RELATED MATTERS and mechanisms for enhancing IMPLEMENTATION</w:t>
      </w:r>
    </w:p>
    <w:p w14:paraId="4A93E26C" w14:textId="36E9550E" w:rsidR="0061275F" w:rsidRPr="00950BE4" w:rsidRDefault="0061275F"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t>Item 9.</w:t>
      </w:r>
      <w:r w:rsidRPr="00950BE4">
        <w:rPr>
          <w:b/>
          <w:bCs/>
          <w:snapToGrid w:val="0"/>
          <w:kern w:val="22"/>
          <w:szCs w:val="22"/>
        </w:rPr>
        <w:tab/>
      </w:r>
      <w:r w:rsidR="000B48C2" w:rsidRPr="00950BE4">
        <w:rPr>
          <w:b/>
          <w:bCs/>
          <w:snapToGrid w:val="0"/>
          <w:kern w:val="22"/>
          <w:szCs w:val="22"/>
        </w:rPr>
        <w:t>The p</w:t>
      </w:r>
      <w:r w:rsidRPr="00950BE4">
        <w:rPr>
          <w:b/>
          <w:bCs/>
          <w:snapToGrid w:val="0"/>
          <w:kern w:val="22"/>
          <w:szCs w:val="22"/>
        </w:rPr>
        <w:t>ost-2020 global biodiversity framework</w:t>
      </w:r>
    </w:p>
    <w:p w14:paraId="167A64C7" w14:textId="3070C0AB" w:rsidR="0061275F" w:rsidRPr="00950BE4" w:rsidRDefault="00196232" w:rsidP="00950BE4">
      <w:pPr>
        <w:keepNext/>
        <w:suppressLineNumbers/>
        <w:tabs>
          <w:tab w:val="left" w:pos="709"/>
        </w:tabs>
        <w:suppressAutoHyphens/>
        <w:kinsoku w:val="0"/>
        <w:overflowPunct w:val="0"/>
        <w:autoSpaceDE w:val="0"/>
        <w:autoSpaceDN w:val="0"/>
        <w:adjustRightInd w:val="0"/>
        <w:snapToGrid w:val="0"/>
        <w:spacing w:before="240" w:after="120"/>
        <w:jc w:val="center"/>
        <w:rPr>
          <w:b/>
          <w:bCs/>
          <w:snapToGrid w:val="0"/>
          <w:kern w:val="22"/>
          <w:szCs w:val="22"/>
        </w:rPr>
      </w:pPr>
      <w:bookmarkStart w:id="432" w:name="_Toc150438836"/>
      <w:bookmarkStart w:id="433" w:name="_Hlk121819994"/>
      <w:r w:rsidRPr="00950BE4">
        <w:rPr>
          <w:b/>
          <w:bCs/>
          <w:snapToGrid w:val="0"/>
          <w:kern w:val="22"/>
          <w:szCs w:val="22"/>
        </w:rPr>
        <w:t>A.</w:t>
      </w:r>
      <w:r w:rsidRPr="00950BE4">
        <w:rPr>
          <w:b/>
          <w:bCs/>
          <w:snapToGrid w:val="0"/>
          <w:kern w:val="22"/>
          <w:szCs w:val="22"/>
        </w:rPr>
        <w:tab/>
      </w:r>
      <w:r w:rsidR="00703ED5" w:rsidRPr="00950BE4">
        <w:rPr>
          <w:b/>
          <w:bCs/>
          <w:snapToGrid w:val="0"/>
          <w:kern w:val="22"/>
          <w:szCs w:val="22"/>
        </w:rPr>
        <w:t xml:space="preserve">The </w:t>
      </w:r>
      <w:r w:rsidR="00750617" w:rsidRPr="00950BE4">
        <w:rPr>
          <w:b/>
          <w:bCs/>
          <w:snapToGrid w:val="0"/>
          <w:kern w:val="22"/>
          <w:szCs w:val="22"/>
        </w:rPr>
        <w:t>p</w:t>
      </w:r>
      <w:r w:rsidR="0061275F" w:rsidRPr="00950BE4">
        <w:rPr>
          <w:b/>
          <w:bCs/>
          <w:snapToGrid w:val="0"/>
          <w:kern w:val="22"/>
          <w:szCs w:val="22"/>
        </w:rPr>
        <w:t xml:space="preserve">ost-2020 </w:t>
      </w:r>
      <w:r w:rsidR="00736A73" w:rsidRPr="00950BE4">
        <w:rPr>
          <w:b/>
          <w:bCs/>
          <w:snapToGrid w:val="0"/>
          <w:kern w:val="22"/>
          <w:szCs w:val="22"/>
        </w:rPr>
        <w:t>g</w:t>
      </w:r>
      <w:r w:rsidR="0061275F" w:rsidRPr="00950BE4">
        <w:rPr>
          <w:b/>
          <w:bCs/>
          <w:snapToGrid w:val="0"/>
          <w:kern w:val="22"/>
          <w:szCs w:val="22"/>
        </w:rPr>
        <w:t xml:space="preserve">lobal </w:t>
      </w:r>
      <w:r w:rsidR="00736A73" w:rsidRPr="00950BE4">
        <w:rPr>
          <w:b/>
          <w:bCs/>
          <w:snapToGrid w:val="0"/>
          <w:kern w:val="22"/>
          <w:szCs w:val="22"/>
        </w:rPr>
        <w:t>b</w:t>
      </w:r>
      <w:r w:rsidR="0061275F" w:rsidRPr="00950BE4">
        <w:rPr>
          <w:b/>
          <w:bCs/>
          <w:snapToGrid w:val="0"/>
          <w:kern w:val="22"/>
          <w:szCs w:val="22"/>
        </w:rPr>
        <w:t xml:space="preserve">iodiversity </w:t>
      </w:r>
      <w:r w:rsidR="00736A73" w:rsidRPr="00950BE4">
        <w:rPr>
          <w:b/>
          <w:bCs/>
          <w:snapToGrid w:val="0"/>
          <w:kern w:val="22"/>
          <w:szCs w:val="22"/>
        </w:rPr>
        <w:t>f</w:t>
      </w:r>
      <w:r w:rsidR="0061275F" w:rsidRPr="00950BE4">
        <w:rPr>
          <w:b/>
          <w:bCs/>
          <w:snapToGrid w:val="0"/>
          <w:kern w:val="22"/>
          <w:szCs w:val="22"/>
        </w:rPr>
        <w:t>ramework</w:t>
      </w:r>
      <w:bookmarkEnd w:id="432"/>
    </w:p>
    <w:bookmarkEnd w:id="433"/>
    <w:p w14:paraId="0E3D8851" w14:textId="131B9F61" w:rsidR="00CB328E" w:rsidRPr="00230BC2" w:rsidRDefault="00CB328E"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9 A </w:t>
      </w:r>
      <w:r w:rsidR="00FB1401" w:rsidRPr="00230BC2">
        <w:t xml:space="preserve">of the agenda </w:t>
      </w:r>
      <w:r w:rsidRPr="00230BC2">
        <w:t xml:space="preserve">at its </w:t>
      </w:r>
      <w:r w:rsidR="00E67935" w:rsidRPr="00230BC2">
        <w:t>1st</w:t>
      </w:r>
      <w:r w:rsidRPr="00230BC2">
        <w:t xml:space="preserve"> meeting, in conjunction with </w:t>
      </w:r>
      <w:r w:rsidR="00050821" w:rsidRPr="00230BC2">
        <w:t xml:space="preserve">agenda </w:t>
      </w:r>
      <w:r w:rsidRPr="00230BC2">
        <w:t>item</w:t>
      </w:r>
      <w:r w:rsidR="008723C5" w:rsidRPr="00230BC2">
        <w:t> </w:t>
      </w:r>
      <w:r w:rsidRPr="00230BC2">
        <w:t>13</w:t>
      </w:r>
      <w:r w:rsidR="008723C5" w:rsidRPr="00230BC2">
        <w:t xml:space="preserve"> </w:t>
      </w:r>
      <w:r w:rsidRPr="00230BC2">
        <w:t xml:space="preserve">of the fourth meeting of the Conference of the Parties serving as the </w:t>
      </w:r>
      <w:r w:rsidR="00B6328C" w:rsidRPr="00230BC2">
        <w:t>m</w:t>
      </w:r>
      <w:r w:rsidRPr="00230BC2">
        <w:t xml:space="preserve">eeting of the Parties to the Nagoya Protocol. </w:t>
      </w:r>
      <w:r w:rsidR="00C458A3" w:rsidRPr="00230BC2">
        <w:t>It</w:t>
      </w:r>
      <w:r w:rsidRPr="00230BC2">
        <w:t xml:space="preserve"> had before it a draft decision on the post-2020 global biodiversity framework, drawn from recommendation 4/1 of the Open-ended Working Group on the Post-2020 Global Biodiversity Framework, and the draft post-2020 global biodiversity framework itself, as set out in the annex to recommendation 5/1 of the Open-ended Working Group on the Post</w:t>
      </w:r>
      <w:r w:rsidR="006E7CF7" w:rsidRPr="00230BC2">
        <w:noBreakHyphen/>
      </w:r>
      <w:r w:rsidRPr="00230BC2">
        <w:t xml:space="preserve">2020 Global Biodiversity Framework. </w:t>
      </w:r>
    </w:p>
    <w:p w14:paraId="69A34B56" w14:textId="071AC8AF" w:rsidR="00CB328E" w:rsidRPr="00230BC2" w:rsidRDefault="00583FC8" w:rsidP="003466FC">
      <w:pPr>
        <w:pStyle w:val="Para1"/>
      </w:pPr>
      <w:r w:rsidRPr="00230BC2">
        <w:rPr>
          <w:rStyle w:val="Para1Char"/>
        </w:rPr>
        <w:t>W</w:t>
      </w:r>
      <w:r w:rsidR="00CB328E" w:rsidRPr="00230BC2">
        <w:rPr>
          <w:rStyle w:val="Para1Char"/>
        </w:rPr>
        <w:t xml:space="preserve">orking </w:t>
      </w:r>
      <w:r w:rsidRPr="00230BC2">
        <w:rPr>
          <w:rStyle w:val="Para1Char"/>
        </w:rPr>
        <w:t>G</w:t>
      </w:r>
      <w:r w:rsidR="00CB328E" w:rsidRPr="00230BC2">
        <w:rPr>
          <w:rStyle w:val="Para1Char"/>
        </w:rPr>
        <w:t xml:space="preserve">roup </w:t>
      </w:r>
      <w:r w:rsidRPr="00230BC2">
        <w:rPr>
          <w:rStyle w:val="Para1Char"/>
        </w:rPr>
        <w:t xml:space="preserve">I </w:t>
      </w:r>
      <w:r w:rsidR="00CB328E" w:rsidRPr="00230BC2">
        <w:rPr>
          <w:rStyle w:val="Para1Char"/>
        </w:rPr>
        <w:t>establish</w:t>
      </w:r>
      <w:r w:rsidR="002206DF" w:rsidRPr="00230BC2">
        <w:rPr>
          <w:rStyle w:val="Para1Char"/>
        </w:rPr>
        <w:t>ed</w:t>
      </w:r>
      <w:r w:rsidR="00CB328E" w:rsidRPr="00230BC2">
        <w:rPr>
          <w:rStyle w:val="Para1Char"/>
        </w:rPr>
        <w:t xml:space="preserve"> a contact group, co-chaired by Francis Ogwal (Uganda) and</w:t>
      </w:r>
      <w:r w:rsidR="00CB328E" w:rsidRPr="00230BC2">
        <w:t xml:space="preserve"> </w:t>
      </w:r>
      <w:r w:rsidR="00F328C2" w:rsidRPr="00230BC2">
        <w:t>Mr. </w:t>
      </w:r>
      <w:r w:rsidR="00CB328E" w:rsidRPr="00230BC2">
        <w:t>van Havre</w:t>
      </w:r>
      <w:r w:rsidR="00F328C2" w:rsidRPr="00230BC2">
        <w:t>,</w:t>
      </w:r>
      <w:r w:rsidR="00CB328E" w:rsidRPr="00230BC2">
        <w:t xml:space="preserve"> to continue </w:t>
      </w:r>
      <w:r w:rsidR="00BD72E8" w:rsidRPr="00230BC2">
        <w:t xml:space="preserve">to </w:t>
      </w:r>
      <w:r w:rsidR="00CB328E" w:rsidRPr="00230BC2">
        <w:t xml:space="preserve">discuss the draft post-2020 global biodiversity framework, with a view to finalizing it. </w:t>
      </w:r>
    </w:p>
    <w:p w14:paraId="1F5A2117" w14:textId="36BF9E08" w:rsidR="00CB328E" w:rsidRPr="00230BC2" w:rsidRDefault="00D72CE1" w:rsidP="003466FC">
      <w:pPr>
        <w:pStyle w:val="Para1"/>
      </w:pPr>
      <w:r w:rsidRPr="00230BC2">
        <w:t>D</w:t>
      </w:r>
      <w:r w:rsidR="00CB328E" w:rsidRPr="00230BC2">
        <w:t xml:space="preserve">uring its </w:t>
      </w:r>
      <w:r w:rsidR="00E67935" w:rsidRPr="00230BC2">
        <w:t>3rd</w:t>
      </w:r>
      <w:r w:rsidR="00CB328E" w:rsidRPr="00230BC2">
        <w:t xml:space="preserve"> plenary session, which served as </w:t>
      </w:r>
      <w:r w:rsidR="00A04066" w:rsidRPr="00230BC2">
        <w:t xml:space="preserve">a </w:t>
      </w:r>
      <w:r w:rsidR="00CB328E" w:rsidRPr="00230BC2">
        <w:t>stocktake session, the Conference of the Parties</w:t>
      </w:r>
      <w:r w:rsidR="001703A4" w:rsidRPr="00230BC2">
        <w:t xml:space="preserve"> </w:t>
      </w:r>
      <w:r w:rsidR="00CB328E" w:rsidRPr="00230BC2">
        <w:t xml:space="preserve">agreed that </w:t>
      </w:r>
      <w:r w:rsidR="00B26B0F" w:rsidRPr="00230BC2">
        <w:t xml:space="preserve">its </w:t>
      </w:r>
      <w:r w:rsidR="00CB328E" w:rsidRPr="00230BC2">
        <w:t xml:space="preserve">President would prepare a set of texts constituting a package covering the agenda items closely related to the post-2020 global biodiversity framework, including </w:t>
      </w:r>
      <w:r w:rsidR="00802755" w:rsidRPr="00230BC2">
        <w:t>sub-</w:t>
      </w:r>
      <w:r w:rsidR="00CB328E" w:rsidRPr="00230BC2">
        <w:t xml:space="preserve">item 9 A, for consideration </w:t>
      </w:r>
      <w:r w:rsidR="00F30F23" w:rsidRPr="00230BC2">
        <w:t xml:space="preserve">by </w:t>
      </w:r>
      <w:r w:rsidR="00CB328E" w:rsidRPr="00230BC2">
        <w:t>the Conference of the Parties.</w:t>
      </w:r>
    </w:p>
    <w:p w14:paraId="2DE90FA4" w14:textId="5246DA32" w:rsidR="00E56A9E" w:rsidRPr="00230BC2" w:rsidRDefault="00E56A9E" w:rsidP="003466FC">
      <w:pPr>
        <w:pStyle w:val="Para1"/>
      </w:pPr>
      <w:r w:rsidRPr="00230BC2">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w:t>
      </w:r>
      <w:r w:rsidR="005118E6" w:rsidRPr="00230BC2">
        <w:t xml:space="preserve">Conference of the Parties </w:t>
      </w:r>
      <w:r w:rsidR="00852971" w:rsidRPr="00230BC2">
        <w:t>considered</w:t>
      </w:r>
      <w:r w:rsidRPr="00230BC2">
        <w:t xml:space="preserve"> draft decision CBD/COP/15/L.25</w:t>
      </w:r>
      <w:r w:rsidR="005F53FB" w:rsidRPr="00230BC2">
        <w:t>,</w:t>
      </w:r>
      <w:r w:rsidRPr="00230BC2">
        <w:t xml:space="preserve"> as </w:t>
      </w:r>
      <w:r w:rsidR="005F53FB" w:rsidRPr="00230BC2">
        <w:t xml:space="preserve">set out in </w:t>
      </w:r>
      <w:r w:rsidR="007D61B4" w:rsidRPr="00230BC2">
        <w:t>the</w:t>
      </w:r>
      <w:r w:rsidR="00852971" w:rsidRPr="00230BC2">
        <w:t xml:space="preserve"> set of draft decisions submitted by the President, and adopted it as </w:t>
      </w:r>
      <w:r w:rsidRPr="00230BC2">
        <w:t>decision 15/</w:t>
      </w:r>
      <w:r w:rsidR="00C52D53" w:rsidRPr="00230BC2">
        <w:t>4</w:t>
      </w:r>
      <w:r w:rsidRPr="00230BC2">
        <w:t>.</w:t>
      </w:r>
    </w:p>
    <w:p w14:paraId="16C8EE4C" w14:textId="1308D3BA" w:rsidR="00B06710" w:rsidRPr="00950BE4" w:rsidRDefault="00B05642"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34" w:name="_Toc150438837"/>
      <w:r w:rsidRPr="00950BE4">
        <w:rPr>
          <w:b/>
          <w:bCs/>
          <w:snapToGrid w:val="0"/>
          <w:kern w:val="22"/>
          <w:szCs w:val="22"/>
        </w:rPr>
        <w:t>B.</w:t>
      </w:r>
      <w:r w:rsidRPr="00950BE4">
        <w:rPr>
          <w:b/>
          <w:bCs/>
          <w:snapToGrid w:val="0"/>
          <w:kern w:val="22"/>
          <w:szCs w:val="22"/>
        </w:rPr>
        <w:tab/>
      </w:r>
      <w:r w:rsidR="00B06710" w:rsidRPr="00950BE4">
        <w:rPr>
          <w:b/>
          <w:bCs/>
          <w:snapToGrid w:val="0"/>
          <w:kern w:val="22"/>
          <w:szCs w:val="22"/>
        </w:rPr>
        <w:t>Monitoring frameworks for the post-2020 global biodiversity framework</w:t>
      </w:r>
      <w:bookmarkEnd w:id="434"/>
    </w:p>
    <w:p w14:paraId="0D509E11" w14:textId="6B4E255C" w:rsidR="00B77924" w:rsidRPr="00230BC2" w:rsidRDefault="00B77924"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9 B </w:t>
      </w:r>
      <w:r w:rsidR="008E63CE" w:rsidRPr="00230BC2">
        <w:t xml:space="preserve">of the agenda </w:t>
      </w:r>
      <w:r w:rsidRPr="00230BC2">
        <w:t xml:space="preserve">at its </w:t>
      </w:r>
      <w:r w:rsidR="00E67935" w:rsidRPr="00230BC2">
        <w:t>1st</w:t>
      </w:r>
      <w:r w:rsidRPr="00230BC2">
        <w:t xml:space="preserve"> meeting</w:t>
      </w:r>
      <w:r w:rsidR="00C65EFC" w:rsidRPr="00230BC2">
        <w:t>.</w:t>
      </w:r>
      <w:r w:rsidRPr="00230BC2">
        <w:t xml:space="preserve"> </w:t>
      </w:r>
      <w:r w:rsidR="000A734E" w:rsidRPr="00230BC2">
        <w:t xml:space="preserve">It </w:t>
      </w:r>
      <w:r w:rsidRPr="00230BC2">
        <w:t>had before it a draft decision on monitoring, which included an assessment of headline indicators and proposals for additional indicators, as well as component and complementary indicators for monitoring the post-2020 global biodiversity framework. The draft decision, which had been developed by the Executive Secretary on the basis of recommendation 24/2 of the Subsidiary Body on Scientific, Technical and Technological Advice, was set out in the compilation of draft decisions</w:t>
      </w:r>
      <w:r w:rsidR="00373A92" w:rsidRPr="00230BC2">
        <w:t>.</w:t>
      </w:r>
      <w:r w:rsidRPr="00230BC2">
        <w:t xml:space="preserve"> The </w:t>
      </w:r>
      <w:r w:rsidR="00583FC8" w:rsidRPr="00230BC2">
        <w:t>G</w:t>
      </w:r>
      <w:r w:rsidRPr="00230BC2">
        <w:t xml:space="preserve">roup also had before it the report of the expert workshop on the monitoring framework for the post-2020 global biodiversity framework (CBD/ID/OM/2022/1/2). </w:t>
      </w:r>
    </w:p>
    <w:p w14:paraId="68CCB708" w14:textId="1D1836E3" w:rsidR="00B77924" w:rsidRPr="00230BC2" w:rsidRDefault="00A20F9E" w:rsidP="003466FC">
      <w:pPr>
        <w:pStyle w:val="Para1"/>
      </w:pPr>
      <w:r w:rsidRPr="00230BC2">
        <w:t>W</w:t>
      </w:r>
      <w:r w:rsidR="00B77924" w:rsidRPr="00230BC2">
        <w:t xml:space="preserve">orking </w:t>
      </w:r>
      <w:r w:rsidR="00583FC8" w:rsidRPr="00230BC2">
        <w:t>G</w:t>
      </w:r>
      <w:r w:rsidR="00B77924" w:rsidRPr="00230BC2">
        <w:t xml:space="preserve">roup </w:t>
      </w:r>
      <w:r w:rsidR="00583FC8" w:rsidRPr="00230BC2">
        <w:t xml:space="preserve">I </w:t>
      </w:r>
      <w:r w:rsidR="00B77924" w:rsidRPr="00230BC2">
        <w:t>request</w:t>
      </w:r>
      <w:r w:rsidRPr="00230BC2">
        <w:t>ed</w:t>
      </w:r>
      <w:r w:rsidR="00B77924" w:rsidRPr="00230BC2">
        <w:t xml:space="preserve"> the contact group established under sub-item</w:t>
      </w:r>
      <w:r w:rsidR="00144F59" w:rsidRPr="00230BC2">
        <w:t> </w:t>
      </w:r>
      <w:r w:rsidR="00B77924" w:rsidRPr="00230BC2">
        <w:t xml:space="preserve">9 A to consider the headline indicators. It </w:t>
      </w:r>
      <w:r w:rsidR="003F2155" w:rsidRPr="00230BC2">
        <w:t xml:space="preserve">also </w:t>
      </w:r>
      <w:r w:rsidR="00B77924" w:rsidRPr="00230BC2">
        <w:t>establish</w:t>
      </w:r>
      <w:r w:rsidR="003F2155" w:rsidRPr="00230BC2">
        <w:t>ed</w:t>
      </w:r>
      <w:r w:rsidR="00B77924" w:rsidRPr="00230BC2">
        <w:t xml:space="preserve"> a group of friends of the </w:t>
      </w:r>
      <w:r w:rsidR="00354FB4" w:rsidRPr="00230BC2">
        <w:t>C</w:t>
      </w:r>
      <w:r w:rsidR="00B77924" w:rsidRPr="00230BC2">
        <w:t>hair, led by Hesiquio Ben</w:t>
      </w:r>
      <w:r w:rsidR="00D01B90" w:rsidRPr="00230BC2">
        <w:t>í</w:t>
      </w:r>
      <w:r w:rsidR="00B77924" w:rsidRPr="00230BC2">
        <w:t>tez (Mexico) and open to all interested parties, to examine the draft decision under the sub-item and address any cross-cutting issues arising from the contact group’s review of the headline indicators.</w:t>
      </w:r>
    </w:p>
    <w:p w14:paraId="5586BA9F" w14:textId="04FCFDB3" w:rsidR="00B77924" w:rsidRPr="00230BC2" w:rsidRDefault="00D72CE1" w:rsidP="003466FC">
      <w:pPr>
        <w:pStyle w:val="Para1"/>
      </w:pPr>
      <w:r w:rsidRPr="00230BC2">
        <w:t>D</w:t>
      </w:r>
      <w:r w:rsidR="00B77924" w:rsidRPr="00230BC2">
        <w:t xml:space="preserve">uring its </w:t>
      </w:r>
      <w:r w:rsidR="00E67935" w:rsidRPr="00230BC2">
        <w:t>3rd</w:t>
      </w:r>
      <w:r w:rsidR="00B77924" w:rsidRPr="00230BC2">
        <w:t xml:space="preserve"> plenary session, the Conference of the Parties agreed that </w:t>
      </w:r>
      <w:r w:rsidR="00B26B0F" w:rsidRPr="00230BC2">
        <w:t xml:space="preserve">its </w:t>
      </w:r>
      <w:r w:rsidR="00B77924" w:rsidRPr="00230BC2">
        <w:t>President would prepare a set of texts constituting a package covering the agenda items closely related to the post</w:t>
      </w:r>
      <w:r w:rsidR="002F6A2C" w:rsidRPr="00230BC2">
        <w:noBreakHyphen/>
      </w:r>
      <w:r w:rsidR="00B77924" w:rsidRPr="00230BC2">
        <w:t xml:space="preserve">2020 global biodiversity framework, including </w:t>
      </w:r>
      <w:r w:rsidR="00D8333C" w:rsidRPr="00230BC2">
        <w:t>sub-</w:t>
      </w:r>
      <w:r w:rsidR="00B77924" w:rsidRPr="00230BC2">
        <w:t xml:space="preserve">item 9 B, for </w:t>
      </w:r>
      <w:r w:rsidR="001E1AA3" w:rsidRPr="00230BC2">
        <w:t xml:space="preserve">its </w:t>
      </w:r>
      <w:r w:rsidR="00B77924" w:rsidRPr="00230BC2">
        <w:t>consideration</w:t>
      </w:r>
      <w:r w:rsidR="00C673A5" w:rsidRPr="00230BC2">
        <w:t>.</w:t>
      </w:r>
    </w:p>
    <w:p w14:paraId="6356296C" w14:textId="789D7F03" w:rsidR="00852971" w:rsidRPr="00230BC2" w:rsidRDefault="00852971" w:rsidP="003466FC">
      <w:pPr>
        <w:pStyle w:val="Para1"/>
      </w:pPr>
      <w:r w:rsidRPr="00230BC2">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Conference of the Parties considered draft decision CBD/COP/15/L.26</w:t>
      </w:r>
      <w:r w:rsidR="00D041FC" w:rsidRPr="00230BC2">
        <w:t>,</w:t>
      </w:r>
      <w:r w:rsidRPr="00230BC2">
        <w:t xml:space="preserve"> as </w:t>
      </w:r>
      <w:r w:rsidR="00D041FC" w:rsidRPr="00230BC2">
        <w:t xml:space="preserve">set out </w:t>
      </w:r>
      <w:r w:rsidR="00B6328C" w:rsidRPr="00230BC2">
        <w:t>in</w:t>
      </w:r>
      <w:r w:rsidRPr="00230BC2">
        <w:t xml:space="preserve"> </w:t>
      </w:r>
      <w:r w:rsidR="007D61B4" w:rsidRPr="00230BC2">
        <w:t>the</w:t>
      </w:r>
      <w:r w:rsidRPr="00230BC2">
        <w:t xml:space="preserve"> set of draft decisions submitted by the President, and adopted it as decision 15/</w:t>
      </w:r>
      <w:r w:rsidR="00A23BD9" w:rsidRPr="00230BC2">
        <w:t>5</w:t>
      </w:r>
      <w:r w:rsidRPr="00230BC2">
        <w:t>.</w:t>
      </w:r>
    </w:p>
    <w:p w14:paraId="0ABEE751" w14:textId="54AF4283" w:rsidR="00B06710" w:rsidRPr="00950BE4" w:rsidRDefault="00B05642"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35" w:name="_Toc150438838"/>
      <w:r w:rsidRPr="00950BE4">
        <w:rPr>
          <w:b/>
          <w:bCs/>
          <w:snapToGrid w:val="0"/>
          <w:kern w:val="22"/>
          <w:szCs w:val="22"/>
        </w:rPr>
        <w:lastRenderedPageBreak/>
        <w:t>C.</w:t>
      </w:r>
      <w:r w:rsidRPr="00950BE4">
        <w:rPr>
          <w:b/>
          <w:bCs/>
          <w:snapToGrid w:val="0"/>
          <w:kern w:val="22"/>
          <w:szCs w:val="22"/>
        </w:rPr>
        <w:tab/>
      </w:r>
      <w:r w:rsidR="00FF0394" w:rsidRPr="00950BE4">
        <w:rPr>
          <w:b/>
          <w:bCs/>
          <w:snapToGrid w:val="0"/>
          <w:kern w:val="22"/>
          <w:szCs w:val="22"/>
        </w:rPr>
        <w:t>Communication strategy</w:t>
      </w:r>
      <w:bookmarkEnd w:id="435"/>
    </w:p>
    <w:p w14:paraId="18002337" w14:textId="71E4EDB9" w:rsidR="00EA413C" w:rsidRPr="00230BC2" w:rsidRDefault="00EA413C" w:rsidP="003466FC">
      <w:pPr>
        <w:pStyle w:val="Para1"/>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9 C </w:t>
      </w:r>
      <w:r w:rsidR="00B07C9C" w:rsidRPr="00230BC2">
        <w:t xml:space="preserve">of the agenda </w:t>
      </w:r>
      <w:r w:rsidRPr="00230BC2">
        <w:t>at its</w:t>
      </w:r>
      <w:r w:rsidRPr="00230BC2">
        <w:rPr>
          <w:bCs/>
        </w:rPr>
        <w:t xml:space="preserve"> </w:t>
      </w:r>
      <w:r w:rsidR="00E67935" w:rsidRPr="00230BC2">
        <w:t>1st</w:t>
      </w:r>
      <w:r w:rsidRPr="00230BC2">
        <w:t xml:space="preserve"> meeting, </w:t>
      </w:r>
      <w:r w:rsidRPr="00230BC2">
        <w:rPr>
          <w:iCs/>
        </w:rPr>
        <w:t>in conjunction with sub-item 13 C</w:t>
      </w:r>
      <w:r w:rsidR="005A2D33" w:rsidRPr="00230BC2">
        <w:rPr>
          <w:iCs/>
        </w:rPr>
        <w:t>,</w:t>
      </w:r>
      <w:r w:rsidRPr="00230BC2">
        <w:rPr>
          <w:iCs/>
        </w:rPr>
        <w:t xml:space="preserve"> on communication.</w:t>
      </w:r>
      <w:r w:rsidRPr="00230BC2">
        <w:t xml:space="preserve"> </w:t>
      </w:r>
      <w:r w:rsidR="00C458A3" w:rsidRPr="00230BC2">
        <w:t>It</w:t>
      </w:r>
      <w:r w:rsidRPr="00230BC2">
        <w:t xml:space="preserve"> had before it</w:t>
      </w:r>
      <w:r w:rsidRPr="00230BC2">
        <w:rPr>
          <w:bCs/>
        </w:rPr>
        <w:t xml:space="preserve"> </w:t>
      </w:r>
      <w:r w:rsidR="00A13472" w:rsidRPr="00230BC2">
        <w:rPr>
          <w:bCs/>
        </w:rPr>
        <w:t xml:space="preserve">a </w:t>
      </w:r>
      <w:r w:rsidRPr="00230BC2">
        <w:rPr>
          <w:bCs/>
        </w:rPr>
        <w:t xml:space="preserve">draft decision </w:t>
      </w:r>
      <w:r w:rsidRPr="00230BC2">
        <w:t xml:space="preserve">on the communication strategy for the post-2020 global biodiversity framework and another </w:t>
      </w:r>
      <w:r w:rsidR="00AD5069" w:rsidRPr="00230BC2">
        <w:rPr>
          <w:bCs/>
        </w:rPr>
        <w:t xml:space="preserve">draft decision </w:t>
      </w:r>
      <w:r w:rsidRPr="00230BC2">
        <w:t xml:space="preserve">on communication, based on recommendations 3/18 and 3/5 of the Subsidiary Body on Implementation, respectively, </w:t>
      </w:r>
      <w:r w:rsidR="007E7F71" w:rsidRPr="00230BC2">
        <w:t xml:space="preserve">as </w:t>
      </w:r>
      <w:r w:rsidRPr="00230BC2">
        <w:t>set out in the compilation of draft decisions</w:t>
      </w:r>
      <w:r w:rsidR="00373A92" w:rsidRPr="00230BC2">
        <w:t>.</w:t>
      </w:r>
      <w:r w:rsidRPr="00230BC2">
        <w:t xml:space="preserve"> </w:t>
      </w:r>
    </w:p>
    <w:p w14:paraId="5853B5F1" w14:textId="1F8BBF24" w:rsidR="00EA413C" w:rsidRPr="00230BC2" w:rsidRDefault="00583FC8" w:rsidP="003466FC">
      <w:pPr>
        <w:pStyle w:val="Para1"/>
      </w:pPr>
      <w:r w:rsidRPr="00230BC2">
        <w:t>W</w:t>
      </w:r>
      <w:r w:rsidR="00EA413C" w:rsidRPr="00230BC2">
        <w:t xml:space="preserve">orking </w:t>
      </w:r>
      <w:r w:rsidRPr="00230BC2">
        <w:t>G</w:t>
      </w:r>
      <w:r w:rsidR="00EA413C" w:rsidRPr="00230BC2">
        <w:t xml:space="preserve">roup </w:t>
      </w:r>
      <w:r w:rsidRPr="00230BC2">
        <w:t xml:space="preserve">I </w:t>
      </w:r>
      <w:r w:rsidR="00EA413C" w:rsidRPr="00230BC2">
        <w:t xml:space="preserve">agreed that </w:t>
      </w:r>
      <w:r w:rsidR="00843105" w:rsidRPr="00230BC2">
        <w:t xml:space="preserve">its </w:t>
      </w:r>
      <w:r w:rsidR="00EA413C" w:rsidRPr="00230BC2">
        <w:t xml:space="preserve">Chair would hold informal consultations on the few </w:t>
      </w:r>
      <w:r w:rsidR="00D9069D" w:rsidRPr="00230BC2">
        <w:t xml:space="preserve">outstanding </w:t>
      </w:r>
      <w:r w:rsidR="00EA413C" w:rsidRPr="00230BC2">
        <w:t xml:space="preserve">issues and prepare revised draft decisions for the </w:t>
      </w:r>
      <w:r w:rsidRPr="00230BC2">
        <w:t>G</w:t>
      </w:r>
      <w:r w:rsidR="00EA413C" w:rsidRPr="00230BC2">
        <w:t>roup’s consideration.</w:t>
      </w:r>
    </w:p>
    <w:p w14:paraId="49D60B9E" w14:textId="0993019B" w:rsidR="00EA413C" w:rsidRPr="00230BC2" w:rsidRDefault="00EA413C" w:rsidP="003466FC">
      <w:pPr>
        <w:pStyle w:val="Para1"/>
      </w:pPr>
      <w:r w:rsidRPr="00230BC2">
        <w:t xml:space="preserve">At its </w:t>
      </w:r>
      <w:r w:rsidR="00E67935" w:rsidRPr="00230BC2">
        <w:t>3rd</w:t>
      </w:r>
      <w:r w:rsidRPr="00230BC2">
        <w:t xml:space="preserve"> meeting, on 17 December</w:t>
      </w:r>
      <w:r w:rsidR="00B56100" w:rsidRPr="00230BC2">
        <w:t>,</w:t>
      </w:r>
      <w:r w:rsidRPr="00230BC2">
        <w:t xml:space="preserve"> </w:t>
      </w:r>
      <w:r w:rsidR="007B477A" w:rsidRPr="00230BC2">
        <w:t>W</w:t>
      </w:r>
      <w:r w:rsidRPr="00230BC2">
        <w:t xml:space="preserve">orking </w:t>
      </w:r>
      <w:r w:rsidR="007B477A" w:rsidRPr="00230BC2">
        <w:t>G</w:t>
      </w:r>
      <w:r w:rsidRPr="00230BC2">
        <w:t xml:space="preserve">roup </w:t>
      </w:r>
      <w:r w:rsidR="007B477A" w:rsidRPr="00230BC2">
        <w:t xml:space="preserve">I </w:t>
      </w:r>
      <w:r w:rsidRPr="00230BC2">
        <w:t xml:space="preserve">considered a single combined revised draft decision </w:t>
      </w:r>
      <w:r w:rsidR="002C5DCC" w:rsidRPr="00230BC2">
        <w:t xml:space="preserve">on communication </w:t>
      </w:r>
      <w:r w:rsidRPr="00230BC2">
        <w:t xml:space="preserve">submitted by </w:t>
      </w:r>
      <w:r w:rsidR="005B71A0" w:rsidRPr="00230BC2">
        <w:t xml:space="preserve">its </w:t>
      </w:r>
      <w:r w:rsidRPr="00230BC2">
        <w:t xml:space="preserve">Chair and approved it, as orally amended, for transmission to </w:t>
      </w:r>
      <w:r w:rsidR="00A124C1" w:rsidRPr="00230BC2">
        <w:t xml:space="preserve">the </w:t>
      </w:r>
      <w:r w:rsidRPr="00230BC2">
        <w:t>plenary</w:t>
      </w:r>
      <w:r w:rsidR="008073D6" w:rsidRPr="00230BC2">
        <w:t xml:space="preserve"> session</w:t>
      </w:r>
      <w:r w:rsidRPr="00230BC2">
        <w:t xml:space="preserve"> as draft decision CBD/COP/15/L.23.</w:t>
      </w:r>
    </w:p>
    <w:p w14:paraId="364EDE9C" w14:textId="5F67E911" w:rsidR="00CC7BA4" w:rsidRPr="00230BC2" w:rsidRDefault="00CC7BA4" w:rsidP="003466FC">
      <w:pPr>
        <w:pStyle w:val="Para1"/>
      </w:pPr>
      <w:r w:rsidRPr="00230BC2">
        <w:t xml:space="preserve">At </w:t>
      </w:r>
      <w:r w:rsidR="00D23128"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B00DB8" w:rsidRPr="00230BC2">
        <w:t> </w:t>
      </w:r>
      <w:r w:rsidRPr="00230BC2">
        <w:t>15/</w:t>
      </w:r>
      <w:r w:rsidR="00A23BD9" w:rsidRPr="00230BC2">
        <w:t>14</w:t>
      </w:r>
      <w:r w:rsidRPr="00230BC2">
        <w:t>.</w:t>
      </w:r>
    </w:p>
    <w:p w14:paraId="00700584" w14:textId="6297816A" w:rsidR="00967183" w:rsidRPr="00950BE4" w:rsidRDefault="00B05642"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36" w:name="_Toc150438839"/>
      <w:r w:rsidRPr="00950BE4">
        <w:rPr>
          <w:b/>
          <w:bCs/>
          <w:snapToGrid w:val="0"/>
          <w:kern w:val="22"/>
          <w:szCs w:val="22"/>
        </w:rPr>
        <w:t>D.</w:t>
      </w:r>
      <w:r w:rsidR="009850A8" w:rsidRPr="00950BE4">
        <w:rPr>
          <w:b/>
          <w:bCs/>
          <w:snapToGrid w:val="0"/>
          <w:kern w:val="22"/>
          <w:szCs w:val="22"/>
        </w:rPr>
        <w:tab/>
      </w:r>
      <w:r w:rsidR="00967183" w:rsidRPr="00950BE4">
        <w:rPr>
          <w:b/>
          <w:bCs/>
          <w:snapToGrid w:val="0"/>
          <w:kern w:val="22"/>
          <w:szCs w:val="22"/>
        </w:rPr>
        <w:t>Gender</w:t>
      </w:r>
      <w:r w:rsidRPr="00950BE4">
        <w:rPr>
          <w:b/>
          <w:bCs/>
          <w:snapToGrid w:val="0"/>
          <w:kern w:val="22"/>
          <w:szCs w:val="22"/>
        </w:rPr>
        <w:t xml:space="preserve"> p</w:t>
      </w:r>
      <w:r w:rsidR="00967183" w:rsidRPr="00950BE4">
        <w:rPr>
          <w:b/>
          <w:bCs/>
          <w:snapToGrid w:val="0"/>
          <w:kern w:val="22"/>
          <w:szCs w:val="22"/>
        </w:rPr>
        <w:t xml:space="preserve">lan of </w:t>
      </w:r>
      <w:r w:rsidRPr="00950BE4">
        <w:rPr>
          <w:b/>
          <w:bCs/>
          <w:snapToGrid w:val="0"/>
          <w:kern w:val="22"/>
          <w:szCs w:val="22"/>
        </w:rPr>
        <w:t>a</w:t>
      </w:r>
      <w:r w:rsidR="00967183" w:rsidRPr="00950BE4">
        <w:rPr>
          <w:b/>
          <w:bCs/>
          <w:snapToGrid w:val="0"/>
          <w:kern w:val="22"/>
          <w:szCs w:val="22"/>
        </w:rPr>
        <w:t>ction</w:t>
      </w:r>
      <w:bookmarkEnd w:id="436"/>
    </w:p>
    <w:p w14:paraId="6AC39666" w14:textId="335A3951" w:rsidR="00391F9D" w:rsidRPr="00230BC2" w:rsidRDefault="00391F9D" w:rsidP="003466FC">
      <w:pPr>
        <w:pStyle w:val="Para1"/>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9 D </w:t>
      </w:r>
      <w:r w:rsidR="00E22002" w:rsidRPr="00230BC2">
        <w:t xml:space="preserve">of the agenda </w:t>
      </w:r>
      <w:r w:rsidRPr="00230BC2">
        <w:t>at its</w:t>
      </w:r>
      <w:r w:rsidRPr="00230BC2">
        <w:rPr>
          <w:bCs/>
        </w:rPr>
        <w:t xml:space="preserve"> </w:t>
      </w:r>
      <w:r w:rsidR="00E67935" w:rsidRPr="00230BC2">
        <w:t>1st</w:t>
      </w:r>
      <w:r w:rsidRPr="00230BC2">
        <w:t xml:space="preserve"> meeting. </w:t>
      </w:r>
      <w:bookmarkStart w:id="437" w:name="_Hlk121415325"/>
      <w:r w:rsidR="000A734E" w:rsidRPr="00230BC2">
        <w:t xml:space="preserve">It </w:t>
      </w:r>
      <w:r w:rsidRPr="00230BC2">
        <w:t xml:space="preserve">had before it </w:t>
      </w:r>
      <w:r w:rsidRPr="00230BC2">
        <w:rPr>
          <w:bCs/>
        </w:rPr>
        <w:t>a draft decision</w:t>
      </w:r>
      <w:r w:rsidRPr="00230BC2">
        <w:t xml:space="preserve"> on a gender plan of action</w:t>
      </w:r>
      <w:r w:rsidRPr="00230BC2">
        <w:rPr>
          <w:iCs/>
        </w:rPr>
        <w:t xml:space="preserve"> based on</w:t>
      </w:r>
      <w:r w:rsidR="00DC2E9F" w:rsidRPr="00230BC2">
        <w:rPr>
          <w:iCs/>
        </w:rPr>
        <w:t xml:space="preserve"> </w:t>
      </w:r>
      <w:r w:rsidRPr="00230BC2">
        <w:rPr>
          <w:iCs/>
        </w:rPr>
        <w:t>recommendation 3/3</w:t>
      </w:r>
      <w:r w:rsidRPr="00230BC2">
        <w:t xml:space="preserve"> of the Subsidiary Body on Implementation</w:t>
      </w:r>
      <w:r w:rsidR="00151616" w:rsidRPr="00230BC2">
        <w:t>,</w:t>
      </w:r>
      <w:r w:rsidRPr="00230BC2">
        <w:rPr>
          <w:iCs/>
        </w:rPr>
        <w:t xml:space="preserve"> </w:t>
      </w:r>
      <w:r w:rsidR="00151616" w:rsidRPr="00230BC2">
        <w:rPr>
          <w:iCs/>
        </w:rPr>
        <w:t xml:space="preserve">as </w:t>
      </w:r>
      <w:r w:rsidRPr="00230BC2">
        <w:rPr>
          <w:iCs/>
        </w:rPr>
        <w:t>set out in the compilation of draft decisions</w:t>
      </w:r>
      <w:r w:rsidR="00373A92" w:rsidRPr="00230BC2">
        <w:rPr>
          <w:iCs/>
        </w:rPr>
        <w:t>.</w:t>
      </w:r>
      <w:bookmarkEnd w:id="437"/>
    </w:p>
    <w:p w14:paraId="6C6DBD24" w14:textId="35C7C18F" w:rsidR="00391F9D" w:rsidRPr="00230BC2" w:rsidRDefault="00583FC8" w:rsidP="003466FC">
      <w:pPr>
        <w:pStyle w:val="Para1"/>
      </w:pPr>
      <w:r w:rsidRPr="00230BC2">
        <w:t>W</w:t>
      </w:r>
      <w:r w:rsidR="00391F9D" w:rsidRPr="00230BC2">
        <w:t xml:space="preserve">orking </w:t>
      </w:r>
      <w:r w:rsidRPr="00230BC2">
        <w:t>G</w:t>
      </w:r>
      <w:r w:rsidR="00391F9D" w:rsidRPr="00230BC2">
        <w:t xml:space="preserve">roup </w:t>
      </w:r>
      <w:r w:rsidRPr="00230BC2">
        <w:t xml:space="preserve">I </w:t>
      </w:r>
      <w:r w:rsidR="00391F9D" w:rsidRPr="00230BC2">
        <w:t xml:space="preserve">agreed that </w:t>
      </w:r>
      <w:r w:rsidR="00843105" w:rsidRPr="00230BC2">
        <w:t xml:space="preserve">its </w:t>
      </w:r>
      <w:r w:rsidR="00391F9D" w:rsidRPr="00230BC2">
        <w:t xml:space="preserve">Chair would hold informal consultations on the few </w:t>
      </w:r>
      <w:r w:rsidR="00D9069D" w:rsidRPr="00230BC2">
        <w:t xml:space="preserve">outstanding </w:t>
      </w:r>
      <w:r w:rsidR="00391F9D" w:rsidRPr="00230BC2">
        <w:t xml:space="preserve">issues and prepare a revised draft decision for </w:t>
      </w:r>
      <w:r w:rsidR="001C5863" w:rsidRPr="00230BC2">
        <w:t xml:space="preserve">the Group’s </w:t>
      </w:r>
      <w:r w:rsidR="00391F9D" w:rsidRPr="00230BC2">
        <w:t xml:space="preserve">consideration. </w:t>
      </w:r>
    </w:p>
    <w:p w14:paraId="476BB56C" w14:textId="6467D563" w:rsidR="00391F9D" w:rsidRPr="00230BC2" w:rsidRDefault="00391F9D" w:rsidP="003466FC">
      <w:pPr>
        <w:pStyle w:val="Para1"/>
      </w:pPr>
      <w:r w:rsidRPr="00230BC2">
        <w:t xml:space="preserve">At its </w:t>
      </w:r>
      <w:r w:rsidR="00E67935" w:rsidRPr="00230BC2">
        <w:t>3rd</w:t>
      </w:r>
      <w:r w:rsidRPr="00230BC2">
        <w:t xml:space="preserve"> meeting, </w:t>
      </w:r>
      <w:r w:rsidR="007B477A" w:rsidRPr="00230BC2">
        <w:t>W</w:t>
      </w:r>
      <w:r w:rsidRPr="00230BC2">
        <w:t xml:space="preserve">orking </w:t>
      </w:r>
      <w:r w:rsidR="007B477A" w:rsidRPr="00230BC2">
        <w:t>G</w:t>
      </w:r>
      <w:r w:rsidRPr="00230BC2">
        <w:t xml:space="preserve">roup </w:t>
      </w:r>
      <w:r w:rsidR="007B477A" w:rsidRPr="00230BC2">
        <w:t xml:space="preserve">I </w:t>
      </w:r>
      <w:r w:rsidRPr="00230BC2">
        <w:t xml:space="preserve">considered the revised draft decision submitted by </w:t>
      </w:r>
      <w:r w:rsidR="005B71A0"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CBD/COP/15/L.24.</w:t>
      </w:r>
    </w:p>
    <w:p w14:paraId="5AF7B829" w14:textId="3065192D" w:rsidR="00D17E46" w:rsidRPr="00230BC2" w:rsidRDefault="00D17E46" w:rsidP="003466FC">
      <w:pPr>
        <w:pStyle w:val="Para1"/>
      </w:pPr>
      <w:r w:rsidRPr="00230BC2">
        <w:t xml:space="preserve">At </w:t>
      </w:r>
      <w:r w:rsidR="00EB4DB7"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974C78" w:rsidRPr="00230BC2">
        <w:t> </w:t>
      </w:r>
      <w:r w:rsidRPr="00230BC2">
        <w:t>15/</w:t>
      </w:r>
      <w:r w:rsidR="00A23BD9" w:rsidRPr="00230BC2">
        <w:t>11</w:t>
      </w:r>
      <w:r w:rsidRPr="00230BC2">
        <w:t>.</w:t>
      </w:r>
    </w:p>
    <w:p w14:paraId="6115F2C1" w14:textId="2415E962" w:rsidR="0061275F" w:rsidRPr="00950BE4" w:rsidRDefault="0061275F" w:rsidP="00950BE4">
      <w:pPr>
        <w:keepNext/>
        <w:suppressLineNumbers/>
        <w:tabs>
          <w:tab w:val="left" w:pos="990"/>
        </w:tabs>
        <w:suppressAutoHyphens/>
        <w:kinsoku w:val="0"/>
        <w:overflowPunct w:val="0"/>
        <w:autoSpaceDE w:val="0"/>
        <w:autoSpaceDN w:val="0"/>
        <w:adjustRightInd w:val="0"/>
        <w:snapToGrid w:val="0"/>
        <w:spacing w:before="240" w:after="120"/>
        <w:ind w:left="1418" w:hanging="992"/>
        <w:jc w:val="left"/>
        <w:rPr>
          <w:b/>
          <w:bCs/>
          <w:snapToGrid w:val="0"/>
          <w:kern w:val="22"/>
          <w:szCs w:val="22"/>
        </w:rPr>
      </w:pPr>
      <w:r w:rsidRPr="00950BE4">
        <w:rPr>
          <w:b/>
          <w:bCs/>
          <w:snapToGrid w:val="0"/>
          <w:kern w:val="22"/>
          <w:szCs w:val="22"/>
        </w:rPr>
        <w:t>Item 10.</w:t>
      </w:r>
      <w:r w:rsidRPr="00950BE4">
        <w:rPr>
          <w:b/>
          <w:bCs/>
          <w:snapToGrid w:val="0"/>
          <w:kern w:val="22"/>
          <w:szCs w:val="22"/>
        </w:rPr>
        <w:tab/>
        <w:t>Enhancing integration with respect to provisions related to Article 8(j) and related provisions</w:t>
      </w:r>
    </w:p>
    <w:p w14:paraId="0C3DEFF9" w14:textId="4565C787" w:rsidR="00CD6390" w:rsidRPr="00950BE4" w:rsidRDefault="00CD6390" w:rsidP="00950BE4">
      <w:pPr>
        <w:keepNext/>
        <w:suppressLineNumbers/>
        <w:tabs>
          <w:tab w:val="left" w:pos="1418"/>
        </w:tabs>
        <w:suppressAutoHyphens/>
        <w:kinsoku w:val="0"/>
        <w:overflowPunct w:val="0"/>
        <w:autoSpaceDE w:val="0"/>
        <w:autoSpaceDN w:val="0"/>
        <w:adjustRightInd w:val="0"/>
        <w:snapToGrid w:val="0"/>
        <w:spacing w:before="240" w:after="120"/>
        <w:ind w:left="1418" w:hanging="851"/>
        <w:jc w:val="left"/>
        <w:rPr>
          <w:b/>
          <w:bCs/>
          <w:snapToGrid w:val="0"/>
          <w:kern w:val="22"/>
          <w:szCs w:val="22"/>
        </w:rPr>
      </w:pPr>
      <w:bookmarkStart w:id="438" w:name="_Toc150438840"/>
      <w:r w:rsidRPr="00950BE4">
        <w:rPr>
          <w:b/>
          <w:bCs/>
          <w:snapToGrid w:val="0"/>
          <w:kern w:val="22"/>
          <w:szCs w:val="22"/>
        </w:rPr>
        <w:t>A</w:t>
      </w:r>
      <w:r w:rsidR="00103C86" w:rsidRPr="00950BE4">
        <w:rPr>
          <w:b/>
          <w:bCs/>
          <w:snapToGrid w:val="0"/>
          <w:kern w:val="22"/>
          <w:szCs w:val="22"/>
        </w:rPr>
        <w:t>.</w:t>
      </w:r>
      <w:r w:rsidR="005A7C3E" w:rsidRPr="00950BE4">
        <w:rPr>
          <w:b/>
          <w:bCs/>
          <w:snapToGrid w:val="0"/>
          <w:kern w:val="22"/>
          <w:szCs w:val="22"/>
        </w:rPr>
        <w:tab/>
      </w:r>
      <w:r w:rsidRPr="00950BE4">
        <w:rPr>
          <w:b/>
          <w:bCs/>
          <w:snapToGrid w:val="0"/>
          <w:kern w:val="22"/>
          <w:szCs w:val="22"/>
        </w:rPr>
        <w:t>Development of a new programme of work and institutional arrangements on Article 8(j) and related provisions</w:t>
      </w:r>
      <w:bookmarkEnd w:id="438"/>
      <w:r w:rsidRPr="00950BE4">
        <w:rPr>
          <w:b/>
          <w:bCs/>
          <w:snapToGrid w:val="0"/>
          <w:kern w:val="22"/>
          <w:szCs w:val="22"/>
        </w:rPr>
        <w:t xml:space="preserve"> </w:t>
      </w:r>
    </w:p>
    <w:p w14:paraId="36685D31" w14:textId="701E64CE" w:rsidR="000865F0" w:rsidRPr="00230BC2" w:rsidRDefault="000865F0" w:rsidP="003466FC">
      <w:pPr>
        <w:pStyle w:val="Para1"/>
        <w:rPr>
          <w:lang w:eastAsia="en-CA"/>
        </w:rPr>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10 A </w:t>
      </w:r>
      <w:r w:rsidR="00E22002" w:rsidRPr="00230BC2">
        <w:t xml:space="preserve">of the agenda </w:t>
      </w:r>
      <w:r w:rsidRPr="00230BC2">
        <w:t>at its</w:t>
      </w:r>
      <w:r w:rsidRPr="00230BC2">
        <w:rPr>
          <w:bCs/>
        </w:rPr>
        <w:t xml:space="preserve"> </w:t>
      </w:r>
      <w:r w:rsidR="00E67935" w:rsidRPr="00230BC2">
        <w:t>1st</w:t>
      </w:r>
      <w:r w:rsidRPr="00230BC2">
        <w:t xml:space="preserve"> meeting. </w:t>
      </w:r>
      <w:r w:rsidR="000A734E" w:rsidRPr="00230BC2">
        <w:t xml:space="preserve">It </w:t>
      </w:r>
      <w:r w:rsidRPr="00230BC2">
        <w:t>had before it a draft decision</w:t>
      </w:r>
      <w:r w:rsidRPr="00230BC2">
        <w:rPr>
          <w:lang w:eastAsia="en-CA"/>
        </w:rPr>
        <w:t xml:space="preserve"> on the development of a new programme of work and institutional arrangements on Article 8(j) and other provisions of the Convention related to indigenous peoples and local communities</w:t>
      </w:r>
      <w:r w:rsidRPr="00230BC2">
        <w:t xml:space="preserve">, based on </w:t>
      </w:r>
      <w:r w:rsidRPr="00230BC2">
        <w:rPr>
          <w:rFonts w:eastAsia="Batang"/>
          <w:lang w:eastAsia="ko-KR"/>
        </w:rPr>
        <w:t xml:space="preserve">recommendation 11/2 of the </w:t>
      </w:r>
      <w:r w:rsidRPr="00230BC2">
        <w:t xml:space="preserve">Ad Hoc Open-ended </w:t>
      </w:r>
      <w:r w:rsidR="000E35E7" w:rsidRPr="00230BC2">
        <w:t>Inter</w:t>
      </w:r>
      <w:r w:rsidR="00193A67" w:rsidRPr="00230BC2">
        <w:t>s</w:t>
      </w:r>
      <w:r w:rsidR="000E35E7" w:rsidRPr="00230BC2">
        <w:t xml:space="preserve">essional </w:t>
      </w:r>
      <w:r w:rsidRPr="00230BC2">
        <w:t>Working Group on Article 8(j) and Related Provisions</w:t>
      </w:r>
      <w:r w:rsidR="00E724BB" w:rsidRPr="00230BC2">
        <w:t>,</w:t>
      </w:r>
      <w:r w:rsidRPr="00230BC2">
        <w:rPr>
          <w:lang w:eastAsia="en-CA"/>
        </w:rPr>
        <w:t xml:space="preserve"> </w:t>
      </w:r>
      <w:r w:rsidR="00E724BB" w:rsidRPr="00230BC2">
        <w:rPr>
          <w:lang w:eastAsia="en-CA"/>
        </w:rPr>
        <w:t xml:space="preserve">as </w:t>
      </w:r>
      <w:r w:rsidRPr="00230BC2">
        <w:rPr>
          <w:iCs/>
        </w:rPr>
        <w:t>set out in the compilation of draft decisions</w:t>
      </w:r>
      <w:r w:rsidR="00373A92" w:rsidRPr="00230BC2">
        <w:rPr>
          <w:iCs/>
        </w:rPr>
        <w:t>.</w:t>
      </w:r>
    </w:p>
    <w:p w14:paraId="5CCBDF11" w14:textId="590E331D" w:rsidR="000865F0" w:rsidRPr="00230BC2" w:rsidRDefault="00583FC8" w:rsidP="003466FC">
      <w:pPr>
        <w:pStyle w:val="Para1"/>
        <w:rPr>
          <w:lang w:eastAsia="en-CA"/>
        </w:rPr>
      </w:pPr>
      <w:r w:rsidRPr="00230BC2">
        <w:t>W</w:t>
      </w:r>
      <w:r w:rsidR="000865F0" w:rsidRPr="00230BC2">
        <w:t xml:space="preserve">orking </w:t>
      </w:r>
      <w:r w:rsidRPr="00230BC2">
        <w:t>G</w:t>
      </w:r>
      <w:r w:rsidR="000865F0" w:rsidRPr="00230BC2">
        <w:t>roup</w:t>
      </w:r>
      <w:r w:rsidR="000865F0" w:rsidRPr="00230BC2">
        <w:rPr>
          <w:lang w:eastAsia="en-CA"/>
        </w:rPr>
        <w:t xml:space="preserve"> </w:t>
      </w:r>
      <w:r w:rsidRPr="00230BC2">
        <w:rPr>
          <w:lang w:eastAsia="en-CA"/>
        </w:rPr>
        <w:t xml:space="preserve">I </w:t>
      </w:r>
      <w:r w:rsidR="000865F0" w:rsidRPr="00230BC2">
        <w:rPr>
          <w:lang w:eastAsia="en-CA"/>
        </w:rPr>
        <w:t xml:space="preserve">agreed that </w:t>
      </w:r>
      <w:r w:rsidR="00843105" w:rsidRPr="00230BC2">
        <w:rPr>
          <w:lang w:eastAsia="en-CA"/>
        </w:rPr>
        <w:t xml:space="preserve">its </w:t>
      </w:r>
      <w:r w:rsidR="000865F0" w:rsidRPr="00230BC2">
        <w:rPr>
          <w:lang w:eastAsia="en-CA"/>
        </w:rPr>
        <w:t xml:space="preserve">Chair would hold informal consultations on the few </w:t>
      </w:r>
      <w:r w:rsidR="00D9069D" w:rsidRPr="00230BC2">
        <w:t>outstanding</w:t>
      </w:r>
      <w:r w:rsidR="00D9069D" w:rsidRPr="00230BC2">
        <w:rPr>
          <w:lang w:eastAsia="en-CA"/>
        </w:rPr>
        <w:t xml:space="preserve"> </w:t>
      </w:r>
      <w:r w:rsidR="000865F0" w:rsidRPr="00230BC2">
        <w:rPr>
          <w:lang w:eastAsia="en-CA"/>
        </w:rPr>
        <w:t xml:space="preserve">issues and prepare a revised draft decision for the </w:t>
      </w:r>
      <w:r w:rsidRPr="00230BC2">
        <w:rPr>
          <w:lang w:eastAsia="en-CA"/>
        </w:rPr>
        <w:t>G</w:t>
      </w:r>
      <w:r w:rsidR="000865F0" w:rsidRPr="00230BC2">
        <w:rPr>
          <w:lang w:eastAsia="en-CA"/>
        </w:rPr>
        <w:t>roup’s consideration, on the understanding that the bracket</w:t>
      </w:r>
      <w:r w:rsidR="00D859CE" w:rsidRPr="00230BC2">
        <w:rPr>
          <w:lang w:eastAsia="en-CA"/>
        </w:rPr>
        <w:t>ed</w:t>
      </w:r>
      <w:r w:rsidR="000865F0" w:rsidRPr="00230BC2">
        <w:rPr>
          <w:lang w:eastAsia="en-CA"/>
        </w:rPr>
        <w:t xml:space="preserve"> </w:t>
      </w:r>
      <w:r w:rsidR="00D859CE" w:rsidRPr="00230BC2">
        <w:rPr>
          <w:lang w:eastAsia="en-CA"/>
        </w:rPr>
        <w:t xml:space="preserve">text </w:t>
      </w:r>
      <w:r w:rsidR="000865F0" w:rsidRPr="00230BC2">
        <w:rPr>
          <w:lang w:eastAsia="en-CA"/>
        </w:rPr>
        <w:t xml:space="preserve">in annex II to the draft decision did not need to be resolved at the </w:t>
      </w:r>
      <w:r w:rsidR="00B653C9" w:rsidRPr="00230BC2">
        <w:rPr>
          <w:lang w:eastAsia="en-CA"/>
        </w:rPr>
        <w:t xml:space="preserve">present </w:t>
      </w:r>
      <w:r w:rsidR="000865F0" w:rsidRPr="00230BC2">
        <w:rPr>
          <w:lang w:eastAsia="en-CA"/>
        </w:rPr>
        <w:t>meeting</w:t>
      </w:r>
      <w:r w:rsidR="00761622" w:rsidRPr="00230BC2">
        <w:rPr>
          <w:lang w:eastAsia="en-CA"/>
        </w:rPr>
        <w:t>,</w:t>
      </w:r>
      <w:r w:rsidR="000865F0" w:rsidRPr="00230BC2">
        <w:rPr>
          <w:lang w:eastAsia="en-CA"/>
        </w:rPr>
        <w:t xml:space="preserve"> as the </w:t>
      </w:r>
      <w:r w:rsidR="000865F0" w:rsidRPr="00230BC2">
        <w:t xml:space="preserve">Ad Hoc Open-ended </w:t>
      </w:r>
      <w:r w:rsidR="00193A67" w:rsidRPr="00230BC2">
        <w:t xml:space="preserve">Intersessional </w:t>
      </w:r>
      <w:r w:rsidR="000865F0" w:rsidRPr="00230BC2">
        <w:rPr>
          <w:lang w:eastAsia="en-CA"/>
        </w:rPr>
        <w:t>Working Group would consider the new programme of work on Article 8(j) further at its twelfth meeting.</w:t>
      </w:r>
    </w:p>
    <w:p w14:paraId="7550C37C" w14:textId="10590CD6" w:rsidR="000865F0" w:rsidRPr="00230BC2" w:rsidRDefault="000865F0" w:rsidP="003466FC">
      <w:pPr>
        <w:pStyle w:val="Para1"/>
      </w:pPr>
      <w:r w:rsidRPr="00230BC2">
        <w:t xml:space="preserve">At its </w:t>
      </w:r>
      <w:r w:rsidR="00E67935" w:rsidRPr="00230BC2">
        <w:t>2nd</w:t>
      </w:r>
      <w:r w:rsidRPr="00230BC2">
        <w:t xml:space="preserve"> meeting, </w:t>
      </w:r>
      <w:r w:rsidR="007B477A" w:rsidRPr="00230BC2">
        <w:t>W</w:t>
      </w:r>
      <w:r w:rsidRPr="00230BC2">
        <w:t xml:space="preserve">orking </w:t>
      </w:r>
      <w:r w:rsidR="007B477A" w:rsidRPr="00230BC2">
        <w:t>G</w:t>
      </w:r>
      <w:r w:rsidRPr="00230BC2">
        <w:t xml:space="preserve">roup </w:t>
      </w:r>
      <w:r w:rsidR="007B477A" w:rsidRPr="00230BC2">
        <w:t xml:space="preserve">I </w:t>
      </w:r>
      <w:r w:rsidRPr="00230BC2">
        <w:t xml:space="preserve">considered the revised draft decision submitted by </w:t>
      </w:r>
      <w:r w:rsidR="005B71A0"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CBD/COP/15/L.8.</w:t>
      </w:r>
    </w:p>
    <w:p w14:paraId="21C7A4F6" w14:textId="48EAAC9B" w:rsidR="005008CC" w:rsidRPr="00230BC2" w:rsidRDefault="005008CC" w:rsidP="003466FC">
      <w:pPr>
        <w:pStyle w:val="Para1"/>
      </w:pPr>
      <w:r w:rsidRPr="00230BC2">
        <w:t xml:space="preserve">At </w:t>
      </w:r>
      <w:r w:rsidR="00EB4DB7" w:rsidRPr="00230BC2">
        <w:t xml:space="preserve">its </w:t>
      </w:r>
      <w:r w:rsidR="00E67935" w:rsidRPr="00230BC2">
        <w:t>2nd</w:t>
      </w:r>
      <w:r w:rsidRPr="00230BC2">
        <w:t xml:space="preserve"> </w:t>
      </w:r>
      <w:r w:rsidR="004A478A" w:rsidRPr="00230BC2">
        <w:t xml:space="preserve">plenary </w:t>
      </w:r>
      <w:r w:rsidRPr="00230BC2">
        <w:t>session</w:t>
      </w:r>
      <w:r w:rsidR="00676360" w:rsidRPr="00230BC2">
        <w:t>,</w:t>
      </w:r>
      <w:r w:rsidRPr="00230BC2">
        <w:t xml:space="preserve"> the Conference of the Parties </w:t>
      </w:r>
      <w:r w:rsidR="00C81374" w:rsidRPr="00230BC2">
        <w:t xml:space="preserve">adopted the </w:t>
      </w:r>
      <w:r w:rsidRPr="00230BC2">
        <w:t>draft decision as decision</w:t>
      </w:r>
      <w:r w:rsidR="00C81374" w:rsidRPr="00230BC2">
        <w:t> </w:t>
      </w:r>
      <w:r w:rsidRPr="00230BC2">
        <w:t>15/</w:t>
      </w:r>
      <w:r w:rsidR="00D000AB" w:rsidRPr="00230BC2">
        <w:t>10</w:t>
      </w:r>
      <w:r w:rsidRPr="00230BC2">
        <w:t>.</w:t>
      </w:r>
    </w:p>
    <w:p w14:paraId="35BD90C9" w14:textId="119093A1" w:rsidR="005008CC" w:rsidRPr="00230BC2" w:rsidRDefault="005008CC" w:rsidP="003466FC">
      <w:pPr>
        <w:pStyle w:val="Para1"/>
      </w:pPr>
      <w:r w:rsidRPr="00230BC2">
        <w:lastRenderedPageBreak/>
        <w:t>A statement was made by the representative of</w:t>
      </w:r>
      <w:r w:rsidR="007165B5" w:rsidRPr="00230BC2">
        <w:t xml:space="preserve"> the International Indigenous Forum on Biodiversity</w:t>
      </w:r>
      <w:r w:rsidRPr="00230BC2">
        <w:t>.</w:t>
      </w:r>
    </w:p>
    <w:p w14:paraId="086A115A" w14:textId="727C5436" w:rsidR="00BA693E" w:rsidRPr="00950BE4" w:rsidRDefault="00BA693E"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39" w:name="_Toc150438841"/>
      <w:r w:rsidRPr="00950BE4">
        <w:rPr>
          <w:b/>
          <w:bCs/>
          <w:snapToGrid w:val="0"/>
          <w:kern w:val="22"/>
          <w:szCs w:val="22"/>
        </w:rPr>
        <w:t>B</w:t>
      </w:r>
      <w:r w:rsidR="00103C86" w:rsidRPr="00950BE4">
        <w:rPr>
          <w:b/>
          <w:bCs/>
          <w:snapToGrid w:val="0"/>
          <w:kern w:val="22"/>
          <w:szCs w:val="22"/>
        </w:rPr>
        <w:t>.</w:t>
      </w:r>
      <w:r w:rsidR="005A7C3E" w:rsidRPr="00950BE4">
        <w:rPr>
          <w:b/>
          <w:bCs/>
          <w:snapToGrid w:val="0"/>
          <w:kern w:val="22"/>
          <w:szCs w:val="22"/>
        </w:rPr>
        <w:tab/>
      </w:r>
      <w:r w:rsidR="000D3660" w:rsidRPr="00950BE4">
        <w:rPr>
          <w:b/>
          <w:bCs/>
          <w:snapToGrid w:val="0"/>
          <w:kern w:val="22"/>
          <w:szCs w:val="22"/>
        </w:rPr>
        <w:t>In-depth dialogue</w:t>
      </w:r>
      <w:r w:rsidRPr="00950BE4">
        <w:rPr>
          <w:b/>
          <w:bCs/>
          <w:snapToGrid w:val="0"/>
          <w:kern w:val="22"/>
          <w:szCs w:val="22"/>
        </w:rPr>
        <w:t xml:space="preserve"> on Article 8(j) and related provisions</w:t>
      </w:r>
      <w:bookmarkEnd w:id="439"/>
    </w:p>
    <w:p w14:paraId="2FDC7CA5" w14:textId="10CBB82E" w:rsidR="00D60DD0" w:rsidRPr="00230BC2" w:rsidRDefault="00D60DD0" w:rsidP="003466FC">
      <w:pPr>
        <w:pStyle w:val="Para1"/>
        <w:rPr>
          <w:iCs/>
        </w:rPr>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10 B </w:t>
      </w:r>
      <w:r w:rsidR="00E22002" w:rsidRPr="00230BC2">
        <w:t xml:space="preserve">of the agenda </w:t>
      </w:r>
      <w:r w:rsidRPr="00230BC2">
        <w:t>at its</w:t>
      </w:r>
      <w:r w:rsidRPr="00230BC2">
        <w:rPr>
          <w:bCs/>
        </w:rPr>
        <w:t xml:space="preserve"> </w:t>
      </w:r>
      <w:r w:rsidR="00E67935" w:rsidRPr="00230BC2">
        <w:t>1st</w:t>
      </w:r>
      <w:r w:rsidRPr="00230BC2">
        <w:t xml:space="preserve"> meeting. </w:t>
      </w:r>
      <w:r w:rsidR="000A734E" w:rsidRPr="00230BC2">
        <w:t xml:space="preserve">It </w:t>
      </w:r>
      <w:r w:rsidRPr="00230BC2">
        <w:t>had before it a draft decision</w:t>
      </w:r>
      <w:r w:rsidRPr="00230BC2">
        <w:rPr>
          <w:iCs/>
        </w:rPr>
        <w:t xml:space="preserve"> on the thematic areas and other cross-cutting issues</w:t>
      </w:r>
      <w:r w:rsidRPr="00230BC2">
        <w:t xml:space="preserve">, based on recommendation 11/1 </w:t>
      </w:r>
      <w:r w:rsidRPr="00230BC2">
        <w:rPr>
          <w:rFonts w:eastAsia="Batang"/>
          <w:lang w:eastAsia="ko-KR"/>
        </w:rPr>
        <w:t xml:space="preserve">of the </w:t>
      </w:r>
      <w:r w:rsidRPr="00230BC2">
        <w:t xml:space="preserve">Ad Hoc Open-ended </w:t>
      </w:r>
      <w:r w:rsidR="00193A67" w:rsidRPr="00230BC2">
        <w:t xml:space="preserve">Intersessional </w:t>
      </w:r>
      <w:r w:rsidRPr="00230BC2">
        <w:t>Working Group on Article 8(j) and Related Provisions</w:t>
      </w:r>
      <w:r w:rsidR="00E724BB" w:rsidRPr="00230BC2">
        <w:t>,</w:t>
      </w:r>
      <w:r w:rsidRPr="00230BC2">
        <w:rPr>
          <w:lang w:eastAsia="en-CA"/>
        </w:rPr>
        <w:t xml:space="preserve"> </w:t>
      </w:r>
      <w:r w:rsidR="00E724BB" w:rsidRPr="00230BC2">
        <w:rPr>
          <w:lang w:eastAsia="en-CA"/>
        </w:rPr>
        <w:t xml:space="preserve">as </w:t>
      </w:r>
      <w:r w:rsidRPr="00230BC2">
        <w:rPr>
          <w:iCs/>
        </w:rPr>
        <w:t xml:space="preserve">set out in </w:t>
      </w:r>
      <w:r w:rsidRPr="00230BC2">
        <w:t>the compilation of draft decisions</w:t>
      </w:r>
      <w:r w:rsidR="00373A92" w:rsidRPr="00230BC2">
        <w:t>.</w:t>
      </w:r>
    </w:p>
    <w:p w14:paraId="38A68B67" w14:textId="5924198B" w:rsidR="00D60DD0" w:rsidRPr="00230BC2" w:rsidRDefault="00B369DE" w:rsidP="003466FC">
      <w:pPr>
        <w:pStyle w:val="Para1"/>
      </w:pPr>
      <w:r w:rsidRPr="00230BC2">
        <w:t>W</w:t>
      </w:r>
      <w:r w:rsidR="00D60DD0" w:rsidRPr="00230BC2">
        <w:t xml:space="preserve">orking </w:t>
      </w:r>
      <w:r w:rsidRPr="00230BC2">
        <w:t>G</w:t>
      </w:r>
      <w:r w:rsidR="00D60DD0" w:rsidRPr="00230BC2">
        <w:t xml:space="preserve">roup </w:t>
      </w:r>
      <w:r w:rsidRPr="00230BC2">
        <w:t xml:space="preserve">I </w:t>
      </w:r>
      <w:r w:rsidR="00D60DD0" w:rsidRPr="00230BC2">
        <w:t xml:space="preserve">agreed that </w:t>
      </w:r>
      <w:r w:rsidR="00843105" w:rsidRPr="00230BC2">
        <w:t xml:space="preserve">its </w:t>
      </w:r>
      <w:r w:rsidR="00D60DD0" w:rsidRPr="00230BC2">
        <w:t xml:space="preserve">Chair would submit the draft decision as a conference room paper for the </w:t>
      </w:r>
      <w:r w:rsidR="00583FC8" w:rsidRPr="00230BC2">
        <w:t>G</w:t>
      </w:r>
      <w:r w:rsidR="00D60DD0" w:rsidRPr="00230BC2">
        <w:t xml:space="preserve">roup’s consideration. </w:t>
      </w:r>
    </w:p>
    <w:p w14:paraId="279C3CFD" w14:textId="27DCA517" w:rsidR="00D60DD0" w:rsidRPr="00230BC2" w:rsidRDefault="00D60DD0" w:rsidP="003466FC">
      <w:pPr>
        <w:pStyle w:val="Para1"/>
      </w:pPr>
      <w:r w:rsidRPr="00230BC2">
        <w:t xml:space="preserve">At its </w:t>
      </w:r>
      <w:r w:rsidR="00E67935" w:rsidRPr="00230BC2">
        <w:t>2nd</w:t>
      </w:r>
      <w:r w:rsidRPr="00230BC2">
        <w:t xml:space="preserve"> meeting, </w:t>
      </w:r>
      <w:r w:rsidR="007B477A" w:rsidRPr="00230BC2">
        <w:t>W</w:t>
      </w:r>
      <w:r w:rsidRPr="00230BC2">
        <w:t xml:space="preserve">orking </w:t>
      </w:r>
      <w:r w:rsidR="007B477A" w:rsidRPr="00230BC2">
        <w:t>G</w:t>
      </w:r>
      <w:r w:rsidRPr="00230BC2">
        <w:t xml:space="preserve">roup </w:t>
      </w:r>
      <w:r w:rsidR="007B477A" w:rsidRPr="00230BC2">
        <w:t xml:space="preserve">I </w:t>
      </w:r>
      <w:r w:rsidRPr="00230BC2">
        <w:t xml:space="preserve">considered the draft decision submitted by </w:t>
      </w:r>
      <w:r w:rsidR="00C61167"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CBD/COP/15/L.6.</w:t>
      </w:r>
    </w:p>
    <w:p w14:paraId="58EE95A6" w14:textId="588F7633" w:rsidR="005008CC" w:rsidRPr="00230BC2" w:rsidRDefault="005008CC" w:rsidP="003466FC">
      <w:pPr>
        <w:pStyle w:val="Para1"/>
      </w:pPr>
      <w:r w:rsidRPr="00230BC2">
        <w:t xml:space="preserve">At </w:t>
      </w:r>
      <w:r w:rsidR="00EB4DB7" w:rsidRPr="00230BC2">
        <w:t xml:space="preserve">its </w:t>
      </w:r>
      <w:r w:rsidR="00E67935" w:rsidRPr="00230BC2">
        <w:t>2nd</w:t>
      </w:r>
      <w:r w:rsidRPr="00230BC2">
        <w:t xml:space="preserve"> </w:t>
      </w:r>
      <w:r w:rsidR="004A478A" w:rsidRPr="00230BC2">
        <w:t xml:space="preserve">plenary </w:t>
      </w:r>
      <w:r w:rsidRPr="00230BC2">
        <w:t>session</w:t>
      </w:r>
      <w:r w:rsidR="00393ACA" w:rsidRPr="00230BC2">
        <w:t>,</w:t>
      </w:r>
      <w:r w:rsidRPr="00230BC2">
        <w:t xml:space="preserve"> the Conference of the Parties </w:t>
      </w:r>
      <w:r w:rsidR="00C81374" w:rsidRPr="00230BC2">
        <w:t xml:space="preserve">adopted the </w:t>
      </w:r>
      <w:r w:rsidRPr="00230BC2">
        <w:t>draft decision as decision</w:t>
      </w:r>
      <w:r w:rsidR="00C81374" w:rsidRPr="00230BC2">
        <w:t> </w:t>
      </w:r>
      <w:r w:rsidRPr="00230BC2">
        <w:t>15/</w:t>
      </w:r>
      <w:r w:rsidR="00954094" w:rsidRPr="00230BC2">
        <w:t>20</w:t>
      </w:r>
      <w:r w:rsidRPr="00230BC2">
        <w:t>.</w:t>
      </w:r>
    </w:p>
    <w:p w14:paraId="7DFF4D75" w14:textId="7DE16F9A" w:rsidR="000D3660" w:rsidRPr="00950BE4" w:rsidRDefault="000D3660" w:rsidP="00950BE4">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40" w:name="_Toc150438842"/>
      <w:r w:rsidRPr="00950BE4">
        <w:rPr>
          <w:b/>
          <w:bCs/>
          <w:snapToGrid w:val="0"/>
          <w:kern w:val="22"/>
          <w:szCs w:val="22"/>
        </w:rPr>
        <w:t>C</w:t>
      </w:r>
      <w:r w:rsidR="00103C86" w:rsidRPr="00950BE4">
        <w:rPr>
          <w:b/>
          <w:bCs/>
          <w:snapToGrid w:val="0"/>
          <w:kern w:val="22"/>
          <w:szCs w:val="22"/>
        </w:rPr>
        <w:t>.</w:t>
      </w:r>
      <w:r w:rsidR="005A7C3E" w:rsidRPr="00950BE4">
        <w:rPr>
          <w:b/>
          <w:bCs/>
          <w:snapToGrid w:val="0"/>
          <w:kern w:val="22"/>
          <w:szCs w:val="22"/>
        </w:rPr>
        <w:tab/>
      </w:r>
      <w:r w:rsidRPr="00950BE4">
        <w:rPr>
          <w:b/>
          <w:bCs/>
          <w:snapToGrid w:val="0"/>
          <w:kern w:val="22"/>
          <w:szCs w:val="22"/>
        </w:rPr>
        <w:t>Recommendations from the Permanent Forum on Indigenous Issues</w:t>
      </w:r>
      <w:bookmarkEnd w:id="440"/>
      <w:r w:rsidRPr="00950BE4">
        <w:rPr>
          <w:b/>
          <w:bCs/>
          <w:snapToGrid w:val="0"/>
          <w:kern w:val="22"/>
          <w:szCs w:val="22"/>
        </w:rPr>
        <w:t xml:space="preserve"> </w:t>
      </w:r>
    </w:p>
    <w:p w14:paraId="78391DCC" w14:textId="72656B9D" w:rsidR="00F83D19" w:rsidRPr="00230BC2" w:rsidRDefault="00F83D19" w:rsidP="003466FC">
      <w:pPr>
        <w:pStyle w:val="Para1"/>
        <w:rPr>
          <w:lang w:eastAsia="en-CA"/>
        </w:rPr>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10 (c) </w:t>
      </w:r>
      <w:r w:rsidR="00E22002" w:rsidRPr="00230BC2">
        <w:t xml:space="preserve">of the agenda </w:t>
      </w:r>
      <w:r w:rsidRPr="00230BC2">
        <w:t>at its</w:t>
      </w:r>
      <w:r w:rsidRPr="00230BC2">
        <w:rPr>
          <w:bCs/>
        </w:rPr>
        <w:t xml:space="preserve"> </w:t>
      </w:r>
      <w:r w:rsidR="00E67935" w:rsidRPr="00230BC2">
        <w:t>1st</w:t>
      </w:r>
      <w:r w:rsidRPr="00230BC2">
        <w:t xml:space="preserve"> meeting. </w:t>
      </w:r>
      <w:r w:rsidR="000A734E" w:rsidRPr="00230BC2">
        <w:t xml:space="preserve">It </w:t>
      </w:r>
      <w:r w:rsidRPr="00230BC2">
        <w:t xml:space="preserve">had before it a draft decision </w:t>
      </w:r>
      <w:r w:rsidRPr="00230BC2">
        <w:rPr>
          <w:lang w:eastAsia="en-CA"/>
        </w:rPr>
        <w:t>on recommendations from the Permanent Forum on Indigenous Issues to the Convention on Biological Diversity</w:t>
      </w:r>
      <w:r w:rsidRPr="00230BC2">
        <w:t xml:space="preserve">, based on </w:t>
      </w:r>
      <w:r w:rsidRPr="00230BC2">
        <w:rPr>
          <w:rFonts w:eastAsia="Batang"/>
          <w:lang w:eastAsia="ko-KR"/>
        </w:rPr>
        <w:t xml:space="preserve">recommendation 11/4 of the </w:t>
      </w:r>
      <w:r w:rsidRPr="00230BC2">
        <w:t xml:space="preserve">Ad Hoc Open-ended </w:t>
      </w:r>
      <w:r w:rsidR="00193A67" w:rsidRPr="00230BC2">
        <w:t xml:space="preserve">Intersessional </w:t>
      </w:r>
      <w:r w:rsidRPr="00230BC2">
        <w:t>Working Group on Article 8(j) and Related Provisions</w:t>
      </w:r>
      <w:r w:rsidR="00A25187" w:rsidRPr="00230BC2">
        <w:t>,</w:t>
      </w:r>
      <w:r w:rsidRPr="00230BC2">
        <w:rPr>
          <w:lang w:eastAsia="en-CA"/>
        </w:rPr>
        <w:t xml:space="preserve"> </w:t>
      </w:r>
      <w:r w:rsidR="00A25187" w:rsidRPr="00230BC2">
        <w:rPr>
          <w:lang w:eastAsia="en-CA"/>
        </w:rPr>
        <w:t xml:space="preserve">as </w:t>
      </w:r>
      <w:r w:rsidRPr="00230BC2">
        <w:rPr>
          <w:iCs/>
        </w:rPr>
        <w:t>set out in the compilation of draft decisions</w:t>
      </w:r>
      <w:r w:rsidR="00373A92" w:rsidRPr="00230BC2">
        <w:rPr>
          <w:iCs/>
        </w:rPr>
        <w:t>.</w:t>
      </w:r>
    </w:p>
    <w:p w14:paraId="42390C7A" w14:textId="0679499A" w:rsidR="00F83D19" w:rsidRPr="00230BC2" w:rsidRDefault="00B369DE" w:rsidP="003466FC">
      <w:pPr>
        <w:pStyle w:val="Para1"/>
      </w:pPr>
      <w:r w:rsidRPr="00230BC2">
        <w:t>W</w:t>
      </w:r>
      <w:r w:rsidR="00F83D19" w:rsidRPr="00230BC2">
        <w:t xml:space="preserve">orking </w:t>
      </w:r>
      <w:r w:rsidRPr="00230BC2">
        <w:t>G</w:t>
      </w:r>
      <w:r w:rsidR="00F83D19" w:rsidRPr="00230BC2">
        <w:t xml:space="preserve">roup </w:t>
      </w:r>
      <w:r w:rsidRPr="00230BC2">
        <w:t xml:space="preserve">I </w:t>
      </w:r>
      <w:r w:rsidR="00F83D19" w:rsidRPr="00230BC2">
        <w:t xml:space="preserve">agreed that </w:t>
      </w:r>
      <w:r w:rsidR="00843105" w:rsidRPr="00230BC2">
        <w:t xml:space="preserve">its </w:t>
      </w:r>
      <w:r w:rsidR="00F83D19" w:rsidRPr="00230BC2">
        <w:t xml:space="preserve">Chair would submit the draft decision as a conference room paper for the </w:t>
      </w:r>
      <w:r w:rsidR="00583FC8" w:rsidRPr="00230BC2">
        <w:t>G</w:t>
      </w:r>
      <w:r w:rsidR="00F83D19" w:rsidRPr="00230BC2">
        <w:t xml:space="preserve">roup’s consideration. </w:t>
      </w:r>
    </w:p>
    <w:p w14:paraId="2DC4E6A6" w14:textId="0BA506E5" w:rsidR="00D60DD0" w:rsidRPr="00230BC2" w:rsidRDefault="00F83D19" w:rsidP="003466FC">
      <w:pPr>
        <w:pStyle w:val="Para1"/>
      </w:pPr>
      <w:r w:rsidRPr="00230BC2">
        <w:t xml:space="preserve">At its </w:t>
      </w:r>
      <w:r w:rsidR="00E67935" w:rsidRPr="00230BC2">
        <w:t>2nd</w:t>
      </w:r>
      <w:r w:rsidRPr="00230BC2">
        <w:t xml:space="preserve"> meeting, </w:t>
      </w:r>
      <w:r w:rsidR="00A34F17" w:rsidRPr="00230BC2">
        <w:t>W</w:t>
      </w:r>
      <w:r w:rsidRPr="00230BC2">
        <w:t xml:space="preserve">orking </w:t>
      </w:r>
      <w:r w:rsidR="00A34F17" w:rsidRPr="00230BC2">
        <w:t>G</w:t>
      </w:r>
      <w:r w:rsidRPr="00230BC2">
        <w:t xml:space="preserve">roup </w:t>
      </w:r>
      <w:r w:rsidR="00A34F17" w:rsidRPr="00230BC2">
        <w:t xml:space="preserve">I </w:t>
      </w:r>
      <w:r w:rsidRPr="00230BC2">
        <w:t xml:space="preserve">considered the draft decision submitted by </w:t>
      </w:r>
      <w:r w:rsidR="00C61167"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CBD/COP/15/L.7.</w:t>
      </w:r>
    </w:p>
    <w:p w14:paraId="792859CD" w14:textId="1E06C695" w:rsidR="005008CC" w:rsidRPr="00230BC2" w:rsidRDefault="005008CC" w:rsidP="003466FC">
      <w:pPr>
        <w:pStyle w:val="Para1"/>
      </w:pPr>
      <w:r w:rsidRPr="00230BC2">
        <w:t xml:space="preserve">At </w:t>
      </w:r>
      <w:r w:rsidR="00EB4DB7" w:rsidRPr="00230BC2">
        <w:t xml:space="preserve">its </w:t>
      </w:r>
      <w:r w:rsidR="00E67935" w:rsidRPr="00230BC2">
        <w:t>2nd</w:t>
      </w:r>
      <w:r w:rsidRPr="00230BC2">
        <w:t xml:space="preserve"> </w:t>
      </w:r>
      <w:r w:rsidR="004A478A" w:rsidRPr="00230BC2">
        <w:t xml:space="preserve">plenary </w:t>
      </w:r>
      <w:r w:rsidRPr="00230BC2">
        <w:t>session</w:t>
      </w:r>
      <w:r w:rsidR="00393ACA" w:rsidRPr="00230BC2">
        <w:t>,</w:t>
      </w:r>
      <w:r w:rsidRPr="00230BC2">
        <w:t xml:space="preserve"> the Conference of the Parties </w:t>
      </w:r>
      <w:r w:rsidR="00C403D6" w:rsidRPr="00230BC2">
        <w:t xml:space="preserve">adopted the </w:t>
      </w:r>
      <w:r w:rsidRPr="00230BC2">
        <w:t>draft decision as decision</w:t>
      </w:r>
      <w:r w:rsidR="00C403D6" w:rsidRPr="00230BC2">
        <w:t> </w:t>
      </w:r>
      <w:r w:rsidRPr="00230BC2">
        <w:t>15/</w:t>
      </w:r>
      <w:r w:rsidR="00954094" w:rsidRPr="00230BC2">
        <w:t>21</w:t>
      </w:r>
      <w:r w:rsidRPr="00230BC2">
        <w:t>.</w:t>
      </w:r>
    </w:p>
    <w:p w14:paraId="1DEE93CE" w14:textId="2E038B05" w:rsidR="0061275F" w:rsidRPr="00950BE4" w:rsidRDefault="0061275F"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t>Item 11.</w:t>
      </w:r>
      <w:r w:rsidRPr="00950BE4">
        <w:rPr>
          <w:b/>
          <w:bCs/>
          <w:snapToGrid w:val="0"/>
          <w:kern w:val="22"/>
          <w:szCs w:val="22"/>
        </w:rPr>
        <w:tab/>
        <w:t>Digital sequence information on genetic resources</w:t>
      </w:r>
    </w:p>
    <w:p w14:paraId="15BDDC42" w14:textId="55F88CB3" w:rsidR="00D87E9E" w:rsidRPr="00230BC2" w:rsidRDefault="00D87E9E" w:rsidP="003466FC">
      <w:pPr>
        <w:pStyle w:val="Para1"/>
      </w:pPr>
      <w:r w:rsidRPr="00230BC2">
        <w:rPr>
          <w:bCs/>
        </w:rPr>
        <w:t xml:space="preserve">Working </w:t>
      </w:r>
      <w:r w:rsidR="003873C8" w:rsidRPr="00230BC2">
        <w:rPr>
          <w:bCs/>
        </w:rPr>
        <w:t>G</w:t>
      </w:r>
      <w:r w:rsidRPr="00230BC2">
        <w:rPr>
          <w:bCs/>
        </w:rPr>
        <w:t xml:space="preserve">roup I </w:t>
      </w:r>
      <w:r w:rsidR="00B3219B" w:rsidRPr="00230BC2">
        <w:rPr>
          <w:bCs/>
        </w:rPr>
        <w:t>considered</w:t>
      </w:r>
      <w:r w:rsidR="00EB5F0B" w:rsidRPr="00230BC2">
        <w:rPr>
          <w:bCs/>
        </w:rPr>
        <w:t xml:space="preserve"> agenda</w:t>
      </w:r>
      <w:r w:rsidRPr="00230BC2">
        <w:rPr>
          <w:bCs/>
        </w:rPr>
        <w:t xml:space="preserve"> item</w:t>
      </w:r>
      <w:r w:rsidRPr="00230BC2">
        <w:t xml:space="preserve"> 11 a</w:t>
      </w:r>
      <w:r w:rsidRPr="00230BC2">
        <w:rPr>
          <w:bCs/>
        </w:rPr>
        <w:t xml:space="preserve">t its </w:t>
      </w:r>
      <w:r w:rsidR="00E67935" w:rsidRPr="00230BC2">
        <w:t>1st</w:t>
      </w:r>
      <w:r w:rsidRPr="00230BC2">
        <w:t xml:space="preserve"> meeting, </w:t>
      </w:r>
      <w:r w:rsidRPr="00230BC2">
        <w:rPr>
          <w:iCs/>
        </w:rPr>
        <w:t xml:space="preserve">in conjunction with </w:t>
      </w:r>
      <w:r w:rsidR="00EB5F0B" w:rsidRPr="00230BC2">
        <w:rPr>
          <w:iCs/>
        </w:rPr>
        <w:t xml:space="preserve">agenda </w:t>
      </w:r>
      <w:r w:rsidRPr="00230BC2">
        <w:rPr>
          <w:iCs/>
        </w:rPr>
        <w:t>item</w:t>
      </w:r>
      <w:r w:rsidR="000E7B21" w:rsidRPr="00230BC2">
        <w:rPr>
          <w:iCs/>
        </w:rPr>
        <w:t> </w:t>
      </w:r>
      <w:r w:rsidRPr="00230BC2">
        <w:t>14</w:t>
      </w:r>
      <w:r w:rsidR="00343C2E" w:rsidRPr="00230BC2">
        <w:t xml:space="preserve"> </w:t>
      </w:r>
      <w:r w:rsidRPr="00230BC2">
        <w:t xml:space="preserve">of the fourth meeting of the Conference of the Parties serving as the </w:t>
      </w:r>
      <w:r w:rsidR="00F65F0D" w:rsidRPr="00230BC2">
        <w:t>m</w:t>
      </w:r>
      <w:r w:rsidRPr="00230BC2">
        <w:t xml:space="preserve">eeting of the Parties to the Nagoya Protocol. </w:t>
      </w:r>
      <w:r w:rsidR="000A734E" w:rsidRPr="00230BC2">
        <w:t xml:space="preserve">It </w:t>
      </w:r>
      <w:r w:rsidRPr="00230BC2">
        <w:t>had before it a draft decision in the form of recommendation 5/2, prepared by the Open-ended Working Group on the Post-2020 Global Biodiversity Framework taking into account its recommendations 3/2 and 4/2 and the information provided in the note by the Executive Secretary on digital sequence information on genetic resources (CBD/WG2020/5/3)</w:t>
      </w:r>
      <w:r w:rsidRPr="00230BC2">
        <w:rPr>
          <w:iCs/>
        </w:rPr>
        <w:t>.</w:t>
      </w:r>
    </w:p>
    <w:p w14:paraId="2FB794E9" w14:textId="65141711" w:rsidR="00D87E9E" w:rsidRPr="00230BC2" w:rsidRDefault="00B369DE" w:rsidP="003466FC">
      <w:pPr>
        <w:pStyle w:val="Para1"/>
      </w:pPr>
      <w:r w:rsidRPr="00230BC2">
        <w:rPr>
          <w:bCs/>
        </w:rPr>
        <w:t>W</w:t>
      </w:r>
      <w:r w:rsidR="00D87E9E" w:rsidRPr="00230BC2">
        <w:rPr>
          <w:bCs/>
        </w:rPr>
        <w:t xml:space="preserve">orking </w:t>
      </w:r>
      <w:r w:rsidRPr="00230BC2">
        <w:rPr>
          <w:bCs/>
        </w:rPr>
        <w:t>G</w:t>
      </w:r>
      <w:r w:rsidR="00D87E9E" w:rsidRPr="00230BC2">
        <w:rPr>
          <w:bCs/>
        </w:rPr>
        <w:t xml:space="preserve">roup </w:t>
      </w:r>
      <w:r w:rsidRPr="00230BC2">
        <w:rPr>
          <w:bCs/>
        </w:rPr>
        <w:t xml:space="preserve">I </w:t>
      </w:r>
      <w:r w:rsidR="00D87E9E" w:rsidRPr="00230BC2">
        <w:t>establish</w:t>
      </w:r>
      <w:r w:rsidR="002206DF" w:rsidRPr="00230BC2">
        <w:t>ed</w:t>
      </w:r>
      <w:r w:rsidR="00D87E9E" w:rsidRPr="00230BC2">
        <w:t xml:space="preserve"> a contact group, co-chaired by Gaute Voigt-Hanssen (Norway) and Lacticia Tshitwamulomoni (South Africa), to prepare a revised draft decision for the </w:t>
      </w:r>
      <w:r w:rsidR="00583FC8" w:rsidRPr="00230BC2">
        <w:t>G</w:t>
      </w:r>
      <w:r w:rsidR="00D87E9E" w:rsidRPr="00230BC2">
        <w:t xml:space="preserve">roup’s consideration. </w:t>
      </w:r>
    </w:p>
    <w:p w14:paraId="2936FF9C" w14:textId="4D1E7EC4" w:rsidR="00D87E9E" w:rsidRPr="00230BC2" w:rsidRDefault="00D72CE1" w:rsidP="003466FC">
      <w:pPr>
        <w:pStyle w:val="Para1"/>
      </w:pPr>
      <w:r w:rsidRPr="00230BC2">
        <w:t>D</w:t>
      </w:r>
      <w:r w:rsidR="00D87E9E" w:rsidRPr="00230BC2">
        <w:t xml:space="preserve">uring its </w:t>
      </w:r>
      <w:r w:rsidR="00E67935" w:rsidRPr="00230BC2">
        <w:t>3rd</w:t>
      </w:r>
      <w:r w:rsidR="00D87E9E" w:rsidRPr="00230BC2">
        <w:t xml:space="preserve"> plenary session, the Conference of the Parties</w:t>
      </w:r>
      <w:r w:rsidR="00574A09" w:rsidRPr="00230BC2">
        <w:t xml:space="preserve"> </w:t>
      </w:r>
      <w:r w:rsidR="007F57DC" w:rsidRPr="00230BC2">
        <w:t xml:space="preserve">to the Convention </w:t>
      </w:r>
      <w:r w:rsidR="00D87E9E" w:rsidRPr="00230BC2">
        <w:t xml:space="preserve">agreed that </w:t>
      </w:r>
      <w:r w:rsidR="00B26B0F" w:rsidRPr="00230BC2">
        <w:t xml:space="preserve">its </w:t>
      </w:r>
      <w:r w:rsidR="00D87E9E" w:rsidRPr="00230BC2">
        <w:t>President would prepare a set of texts constituting a package covering the agenda items closely related to the post</w:t>
      </w:r>
      <w:r w:rsidR="00AE2253" w:rsidRPr="00230BC2">
        <w:noBreakHyphen/>
      </w:r>
      <w:r w:rsidR="00D87E9E" w:rsidRPr="00230BC2">
        <w:t xml:space="preserve">2020 global biodiversity framework, including item 11, for consideration </w:t>
      </w:r>
      <w:r w:rsidR="00F30F23" w:rsidRPr="00230BC2">
        <w:t>by</w:t>
      </w:r>
      <w:r w:rsidR="00D87E9E" w:rsidRPr="00230BC2">
        <w:t xml:space="preserve"> the Conference of the Parties.</w:t>
      </w:r>
    </w:p>
    <w:p w14:paraId="389B90B5" w14:textId="03ADCD4A" w:rsidR="00852971" w:rsidRPr="00230BC2" w:rsidRDefault="00852971" w:rsidP="003466FC">
      <w:pPr>
        <w:pStyle w:val="Para1"/>
      </w:pPr>
      <w:r w:rsidRPr="00230BC2">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Conference of the Parties</w:t>
      </w:r>
      <w:r w:rsidR="002E6C40" w:rsidRPr="00230BC2">
        <w:t xml:space="preserve"> </w:t>
      </w:r>
      <w:r w:rsidRPr="00230BC2">
        <w:t>considered draft decision CBD/COP/15/L.30</w:t>
      </w:r>
      <w:r w:rsidR="00D041FC" w:rsidRPr="00230BC2">
        <w:t>,</w:t>
      </w:r>
      <w:r w:rsidRPr="00230BC2">
        <w:t xml:space="preserve"> as </w:t>
      </w:r>
      <w:r w:rsidR="00D041FC" w:rsidRPr="00230BC2">
        <w:t xml:space="preserve">set out </w:t>
      </w:r>
      <w:r w:rsidR="00F65F0D" w:rsidRPr="00230BC2">
        <w:t>in</w:t>
      </w:r>
      <w:r w:rsidRPr="00230BC2">
        <w:t xml:space="preserve"> </w:t>
      </w:r>
      <w:r w:rsidR="007D61B4" w:rsidRPr="00230BC2">
        <w:t>the</w:t>
      </w:r>
      <w:r w:rsidRPr="00230BC2">
        <w:t xml:space="preserve"> set of draft decisions submitted by the President, and adopted it as decision 15/</w:t>
      </w:r>
      <w:r w:rsidR="00954094" w:rsidRPr="00230BC2">
        <w:t>9</w:t>
      </w:r>
      <w:r w:rsidRPr="00230BC2">
        <w:t>.</w:t>
      </w:r>
    </w:p>
    <w:p w14:paraId="443FE367" w14:textId="03F29E34" w:rsidR="0061275F" w:rsidRPr="00950BE4" w:rsidRDefault="0061275F"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950BE4">
        <w:rPr>
          <w:b/>
          <w:bCs/>
          <w:snapToGrid w:val="0"/>
          <w:kern w:val="22"/>
          <w:szCs w:val="22"/>
        </w:rPr>
        <w:lastRenderedPageBreak/>
        <w:t>Item 12.</w:t>
      </w:r>
      <w:r w:rsidRPr="00950BE4">
        <w:rPr>
          <w:b/>
          <w:bCs/>
          <w:snapToGrid w:val="0"/>
          <w:kern w:val="22"/>
          <w:szCs w:val="22"/>
        </w:rPr>
        <w:tab/>
        <w:t>Resource mobilization and the financial mechanism</w:t>
      </w:r>
    </w:p>
    <w:p w14:paraId="6203C55A" w14:textId="507FC4FA" w:rsidR="0061275F" w:rsidRPr="00950BE4" w:rsidRDefault="005E4CFE"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41" w:name="_Toc150438843"/>
      <w:bookmarkStart w:id="442" w:name="_Hlk35858548"/>
      <w:r w:rsidRPr="00950BE4">
        <w:rPr>
          <w:b/>
          <w:bCs/>
          <w:snapToGrid w:val="0"/>
          <w:kern w:val="22"/>
          <w:szCs w:val="22"/>
        </w:rPr>
        <w:t>A.</w:t>
      </w:r>
      <w:r w:rsidRPr="00950BE4">
        <w:rPr>
          <w:b/>
          <w:bCs/>
          <w:snapToGrid w:val="0"/>
          <w:kern w:val="22"/>
          <w:szCs w:val="22"/>
        </w:rPr>
        <w:tab/>
      </w:r>
      <w:r w:rsidR="0061275F" w:rsidRPr="00950BE4">
        <w:rPr>
          <w:b/>
          <w:bCs/>
          <w:snapToGrid w:val="0"/>
          <w:kern w:val="22"/>
          <w:szCs w:val="22"/>
        </w:rPr>
        <w:t>Resource mobilization</w:t>
      </w:r>
      <w:bookmarkEnd w:id="441"/>
    </w:p>
    <w:bookmarkEnd w:id="442"/>
    <w:p w14:paraId="059AF6CC" w14:textId="70D6C7FF" w:rsidR="00D10C54" w:rsidRPr="00230BC2" w:rsidRDefault="00D10C54" w:rsidP="003466FC">
      <w:pPr>
        <w:pStyle w:val="Para1"/>
      </w:pPr>
      <w:r w:rsidRPr="00230BC2">
        <w:rPr>
          <w:bCs/>
        </w:rPr>
        <w:t xml:space="preserve">Working </w:t>
      </w:r>
      <w:r w:rsidR="003873C8" w:rsidRPr="00230BC2">
        <w:rPr>
          <w:bCs/>
        </w:rPr>
        <w:t>G</w:t>
      </w:r>
      <w:r w:rsidRPr="00230BC2">
        <w:rPr>
          <w:bCs/>
        </w:rPr>
        <w:t xml:space="preserve">roup I </w:t>
      </w:r>
      <w:r w:rsidR="00B3219B" w:rsidRPr="00230BC2">
        <w:rPr>
          <w:bCs/>
        </w:rPr>
        <w:t>considered</w:t>
      </w:r>
      <w:r w:rsidRPr="00230BC2">
        <w:rPr>
          <w:bCs/>
        </w:rPr>
        <w:t xml:space="preserve"> sub-item</w:t>
      </w:r>
      <w:r w:rsidRPr="00230BC2">
        <w:t xml:space="preserve"> 12 A </w:t>
      </w:r>
      <w:r w:rsidR="00644127" w:rsidRPr="00230BC2">
        <w:t xml:space="preserve">of the agenda </w:t>
      </w:r>
      <w:r w:rsidRPr="00230BC2">
        <w:t xml:space="preserve">at its </w:t>
      </w:r>
      <w:r w:rsidR="00E67935" w:rsidRPr="00230BC2">
        <w:t>1st</w:t>
      </w:r>
      <w:r w:rsidRPr="00230BC2">
        <w:t xml:space="preserve"> meeting. </w:t>
      </w:r>
      <w:r w:rsidR="00DC34D2" w:rsidRPr="00230BC2">
        <w:t>It</w:t>
      </w:r>
      <w:r w:rsidRPr="00230BC2">
        <w:t xml:space="preserve"> had before a draft decision based on recommendation 3/6 of the Subsidiary Body on Implementation, </w:t>
      </w:r>
      <w:r w:rsidR="00A25187" w:rsidRPr="00230BC2">
        <w:t xml:space="preserve">as </w:t>
      </w:r>
      <w:r w:rsidRPr="00230BC2">
        <w:t xml:space="preserve">set out in </w:t>
      </w:r>
      <w:r w:rsidRPr="00230BC2">
        <w:rPr>
          <w:bCs/>
        </w:rPr>
        <w:t>the compilation of draft decisions</w:t>
      </w:r>
      <w:r w:rsidR="00373A92" w:rsidRPr="00230BC2">
        <w:rPr>
          <w:bCs/>
        </w:rPr>
        <w:t>.</w:t>
      </w:r>
      <w:r w:rsidRPr="00230BC2">
        <w:rPr>
          <w:bCs/>
        </w:rPr>
        <w:t xml:space="preserve"> </w:t>
      </w:r>
    </w:p>
    <w:p w14:paraId="24FAAFE0" w14:textId="2540F6F9" w:rsidR="00D10C54" w:rsidRPr="00230BC2" w:rsidRDefault="00B369DE" w:rsidP="003466FC">
      <w:pPr>
        <w:pStyle w:val="Para1"/>
      </w:pPr>
      <w:r w:rsidRPr="00230BC2">
        <w:rPr>
          <w:bCs/>
        </w:rPr>
        <w:t>W</w:t>
      </w:r>
      <w:r w:rsidR="00D10C54" w:rsidRPr="00230BC2">
        <w:rPr>
          <w:bCs/>
        </w:rPr>
        <w:t xml:space="preserve">orking </w:t>
      </w:r>
      <w:r w:rsidRPr="00230BC2">
        <w:rPr>
          <w:bCs/>
        </w:rPr>
        <w:t>G</w:t>
      </w:r>
      <w:r w:rsidR="00D10C54" w:rsidRPr="00230BC2">
        <w:rPr>
          <w:bCs/>
        </w:rPr>
        <w:t xml:space="preserve">roup </w:t>
      </w:r>
      <w:r w:rsidRPr="00230BC2">
        <w:rPr>
          <w:bCs/>
        </w:rPr>
        <w:t xml:space="preserve">I </w:t>
      </w:r>
      <w:r w:rsidR="00D10C54" w:rsidRPr="00230BC2">
        <w:t>establish</w:t>
      </w:r>
      <w:r w:rsidR="002206DF" w:rsidRPr="00230BC2">
        <w:t>ed</w:t>
      </w:r>
      <w:r w:rsidR="00D10C54" w:rsidRPr="00230BC2">
        <w:t xml:space="preserve"> a contact group, co-chaired by Ines Verleye (Belgium) and Shonisani Munzhedzi (South Africa), to prepare a revised draft decision for the </w:t>
      </w:r>
      <w:r w:rsidR="00583FC8" w:rsidRPr="00230BC2">
        <w:t>G</w:t>
      </w:r>
      <w:r w:rsidR="00D10C54" w:rsidRPr="00230BC2">
        <w:t>roup’s consideration.</w:t>
      </w:r>
    </w:p>
    <w:p w14:paraId="1E4216D8" w14:textId="3DA95544" w:rsidR="007A08DF" w:rsidRPr="00230BC2" w:rsidRDefault="00D72CE1" w:rsidP="003466FC">
      <w:pPr>
        <w:pStyle w:val="Para1"/>
      </w:pPr>
      <w:r w:rsidRPr="00230BC2">
        <w:t>D</w:t>
      </w:r>
      <w:r w:rsidR="007A08DF" w:rsidRPr="00230BC2">
        <w:t xml:space="preserve">uring its </w:t>
      </w:r>
      <w:r w:rsidR="00E67935" w:rsidRPr="00230BC2">
        <w:t>3rd</w:t>
      </w:r>
      <w:r w:rsidR="007A08DF" w:rsidRPr="00230BC2">
        <w:t xml:space="preserve"> plenary session, the Conference of the Parties agreed that </w:t>
      </w:r>
      <w:r w:rsidR="00B26B0F" w:rsidRPr="00230BC2">
        <w:t xml:space="preserve">its </w:t>
      </w:r>
      <w:r w:rsidR="007A08DF" w:rsidRPr="00230BC2">
        <w:t>President would prepare a set of texts constituting a package covering the agenda items closely related to the post</w:t>
      </w:r>
      <w:r w:rsidR="009B45D4" w:rsidRPr="00230BC2">
        <w:noBreakHyphen/>
      </w:r>
      <w:r w:rsidR="007A08DF" w:rsidRPr="00230BC2">
        <w:t xml:space="preserve">2020 global biodiversity framework, including </w:t>
      </w:r>
      <w:r w:rsidR="00D8333C" w:rsidRPr="00230BC2">
        <w:t>sub-</w:t>
      </w:r>
      <w:r w:rsidR="007A08DF" w:rsidRPr="00230BC2">
        <w:t xml:space="preserve">item 12 A, for consideration </w:t>
      </w:r>
      <w:r w:rsidR="00F30F23" w:rsidRPr="00230BC2">
        <w:t>by</w:t>
      </w:r>
      <w:r w:rsidR="007A08DF" w:rsidRPr="00230BC2">
        <w:t xml:space="preserve"> the Conference of the Parties.</w:t>
      </w:r>
    </w:p>
    <w:p w14:paraId="7263FE1D" w14:textId="2438F330" w:rsidR="00852971" w:rsidRPr="00230BC2" w:rsidRDefault="00852971" w:rsidP="003466FC">
      <w:pPr>
        <w:pStyle w:val="Para1"/>
      </w:pPr>
      <w:r w:rsidRPr="00230BC2">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Conference of the Parties considered draft decision CBD/COP/15/L.29</w:t>
      </w:r>
      <w:r w:rsidR="00252810" w:rsidRPr="00230BC2">
        <w:t>,</w:t>
      </w:r>
      <w:r w:rsidRPr="00230BC2">
        <w:t xml:space="preserve"> as </w:t>
      </w:r>
      <w:r w:rsidR="00252810" w:rsidRPr="00230BC2">
        <w:t xml:space="preserve">set out </w:t>
      </w:r>
      <w:r w:rsidR="00F65F0D" w:rsidRPr="00230BC2">
        <w:t>in</w:t>
      </w:r>
      <w:r w:rsidRPr="00230BC2">
        <w:t xml:space="preserve"> </w:t>
      </w:r>
      <w:r w:rsidR="007D61B4" w:rsidRPr="00230BC2">
        <w:t>the</w:t>
      </w:r>
      <w:r w:rsidRPr="00230BC2">
        <w:t xml:space="preserve"> set of draft decisions submitted by the President, and adopted it as decision 15/</w:t>
      </w:r>
      <w:r w:rsidR="00E568A9" w:rsidRPr="00230BC2">
        <w:t>7</w:t>
      </w:r>
      <w:r w:rsidRPr="00230BC2">
        <w:t>.</w:t>
      </w:r>
    </w:p>
    <w:p w14:paraId="44D5F0D3" w14:textId="29919BDF" w:rsidR="004A1A88" w:rsidRPr="00230BC2" w:rsidRDefault="004A1A88" w:rsidP="003466FC">
      <w:pPr>
        <w:pStyle w:val="Para1"/>
      </w:pPr>
      <w:r w:rsidRPr="00230BC2">
        <w:t xml:space="preserve">At </w:t>
      </w:r>
      <w:r w:rsidR="00C12920" w:rsidRPr="00230BC2">
        <w:t xml:space="preserve">the </w:t>
      </w:r>
      <w:r w:rsidR="0042766B" w:rsidRPr="00230BC2">
        <w:t>5th</w:t>
      </w:r>
      <w:r w:rsidRPr="00230BC2">
        <w:t xml:space="preserve"> plenary session, the representative of Switzerland</w:t>
      </w:r>
      <w:r w:rsidR="009F2217" w:rsidRPr="00230BC2">
        <w:t>,</w:t>
      </w:r>
      <w:r w:rsidRPr="00230BC2">
        <w:t xml:space="preserve"> </w:t>
      </w:r>
      <w:r w:rsidR="009444C2" w:rsidRPr="00230BC2">
        <w:t>asking that his comments be</w:t>
      </w:r>
      <w:r w:rsidRPr="00230BC2">
        <w:t xml:space="preserve"> reflect</w:t>
      </w:r>
      <w:r w:rsidR="009444C2" w:rsidRPr="00230BC2">
        <w:t>ed</w:t>
      </w:r>
      <w:r w:rsidRPr="00230BC2">
        <w:t xml:space="preserve"> in the present report</w:t>
      </w:r>
      <w:r w:rsidR="009F2217" w:rsidRPr="00230BC2">
        <w:t>,</w:t>
      </w:r>
      <w:r w:rsidRPr="00230BC2">
        <w:t xml:space="preserve"> </w:t>
      </w:r>
      <w:r w:rsidR="009F2217" w:rsidRPr="00230BC2">
        <w:t xml:space="preserve">said </w:t>
      </w:r>
      <w:r w:rsidRPr="00230BC2">
        <w:t xml:space="preserve">that </w:t>
      </w:r>
      <w:r w:rsidR="009F2217" w:rsidRPr="00230BC2">
        <w:t>his country</w:t>
      </w:r>
      <w:r w:rsidRPr="00230BC2">
        <w:t xml:space="preserve"> would continue its support for developing countries that need</w:t>
      </w:r>
      <w:r w:rsidR="00756850" w:rsidRPr="00230BC2">
        <w:t>ed</w:t>
      </w:r>
      <w:r w:rsidRPr="00230BC2">
        <w:t xml:space="preserve"> </w:t>
      </w:r>
      <w:r w:rsidR="00E65D99" w:rsidRPr="00230BC2">
        <w:t xml:space="preserve">assistance </w:t>
      </w:r>
      <w:r w:rsidR="00217B29" w:rsidRPr="00230BC2">
        <w:t>with</w:t>
      </w:r>
      <w:r w:rsidRPr="00230BC2">
        <w:t xml:space="preserve"> </w:t>
      </w:r>
      <w:r w:rsidR="00217B29" w:rsidRPr="00230BC2">
        <w:t xml:space="preserve">the </w:t>
      </w:r>
      <w:r w:rsidRPr="00230BC2">
        <w:t>implement</w:t>
      </w:r>
      <w:r w:rsidR="00217B29" w:rsidRPr="00230BC2">
        <w:t>ation of</w:t>
      </w:r>
      <w:r w:rsidRPr="00230BC2">
        <w:t xml:space="preserve"> the </w:t>
      </w:r>
      <w:r w:rsidR="002E78AC" w:rsidRPr="00230BC2">
        <w:t xml:space="preserve">post-2020 </w:t>
      </w:r>
      <w:r w:rsidRPr="00230BC2">
        <w:t xml:space="preserve">global biodiversity framework and </w:t>
      </w:r>
      <w:r w:rsidR="00756850" w:rsidRPr="00230BC2">
        <w:t>that it</w:t>
      </w:r>
      <w:r w:rsidR="00C80624" w:rsidRPr="00230BC2">
        <w:t xml:space="preserve"> </w:t>
      </w:r>
      <w:r w:rsidRPr="00230BC2">
        <w:t xml:space="preserve">expected other countries in a capacity to do so to do </w:t>
      </w:r>
      <w:r w:rsidR="00C80624" w:rsidRPr="00230BC2">
        <w:t>the same</w:t>
      </w:r>
      <w:r w:rsidRPr="00230BC2">
        <w:t xml:space="preserve">. </w:t>
      </w:r>
      <w:r w:rsidR="002076F0" w:rsidRPr="00230BC2">
        <w:t>He added</w:t>
      </w:r>
      <w:r w:rsidR="00176B32" w:rsidRPr="00230BC2">
        <w:t>,</w:t>
      </w:r>
      <w:r w:rsidR="0078488C" w:rsidRPr="00230BC2">
        <w:t xml:space="preserve"> </w:t>
      </w:r>
      <w:r w:rsidR="00176B32" w:rsidRPr="00230BC2">
        <w:t xml:space="preserve">however, </w:t>
      </w:r>
      <w:r w:rsidR="00F53A90" w:rsidRPr="00230BC2">
        <w:t xml:space="preserve">that </w:t>
      </w:r>
      <w:r w:rsidR="00AC11AF" w:rsidRPr="00230BC2">
        <w:t>his</w:t>
      </w:r>
      <w:r w:rsidR="00605C28" w:rsidRPr="00230BC2">
        <w:t xml:space="preserve"> Government </w:t>
      </w:r>
      <w:r w:rsidRPr="00230BC2">
        <w:t xml:space="preserve">was not convinced of the added value of the new global biodiversity fund to be established under the Global Environment Facility </w:t>
      </w:r>
      <w:r w:rsidR="008F3420" w:rsidRPr="00230BC2">
        <w:t xml:space="preserve">with a </w:t>
      </w:r>
      <w:r w:rsidRPr="00230BC2">
        <w:t xml:space="preserve">focus on official development assistance as the main source of funding, and </w:t>
      </w:r>
      <w:r w:rsidR="00F53A90" w:rsidRPr="00230BC2">
        <w:t xml:space="preserve">that </w:t>
      </w:r>
      <w:r w:rsidR="00CA5489" w:rsidRPr="00230BC2">
        <w:t xml:space="preserve">it </w:t>
      </w:r>
      <w:r w:rsidRPr="00230BC2">
        <w:t>did not intend to contribute to the new fund unless it was certain that its contributions would trigger additional complementary funding from private sources and that the new fund was innovative in terms of access and instruments.</w:t>
      </w:r>
    </w:p>
    <w:p w14:paraId="060B2FBF" w14:textId="55BEF6F7" w:rsidR="0061275F" w:rsidRPr="00950BE4" w:rsidRDefault="00D0307F"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43" w:name="_Toc150438844"/>
      <w:r w:rsidRPr="00950BE4">
        <w:rPr>
          <w:b/>
          <w:bCs/>
          <w:snapToGrid w:val="0"/>
          <w:kern w:val="22"/>
          <w:szCs w:val="22"/>
        </w:rPr>
        <w:t>B.</w:t>
      </w:r>
      <w:r w:rsidRPr="00950BE4">
        <w:rPr>
          <w:b/>
          <w:bCs/>
          <w:snapToGrid w:val="0"/>
          <w:kern w:val="22"/>
          <w:szCs w:val="22"/>
        </w:rPr>
        <w:tab/>
      </w:r>
      <w:r w:rsidR="0061275F" w:rsidRPr="00950BE4">
        <w:rPr>
          <w:b/>
          <w:bCs/>
          <w:snapToGrid w:val="0"/>
          <w:kern w:val="22"/>
          <w:szCs w:val="22"/>
        </w:rPr>
        <w:t>Financial mechanism</w:t>
      </w:r>
      <w:bookmarkEnd w:id="443"/>
    </w:p>
    <w:p w14:paraId="39986B9B" w14:textId="18E1FF39" w:rsidR="0094785D" w:rsidRPr="00230BC2" w:rsidRDefault="0094785D"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12 B </w:t>
      </w:r>
      <w:r w:rsidR="00644127" w:rsidRPr="00230BC2">
        <w:t xml:space="preserve">of the agenda </w:t>
      </w:r>
      <w:r w:rsidRPr="00230BC2">
        <w:t xml:space="preserve">at its </w:t>
      </w:r>
      <w:r w:rsidR="00E67935" w:rsidRPr="00230BC2">
        <w:t>1st</w:t>
      </w:r>
      <w:r w:rsidRPr="00230BC2">
        <w:t xml:space="preserve"> meeting. </w:t>
      </w:r>
      <w:r w:rsidR="006C16AF" w:rsidRPr="00230BC2">
        <w:t>It</w:t>
      </w:r>
      <w:r w:rsidRPr="00230BC2">
        <w:t xml:space="preserve"> had before it a draft decision based on recommendation 3/7 of the Subsidiary Body on Implementation</w:t>
      </w:r>
      <w:r w:rsidR="00A25187" w:rsidRPr="00230BC2">
        <w:t>,</w:t>
      </w:r>
      <w:r w:rsidRPr="00230BC2">
        <w:t xml:space="preserve"> </w:t>
      </w:r>
      <w:r w:rsidR="00A25187" w:rsidRPr="00230BC2">
        <w:t xml:space="preserve">as </w:t>
      </w:r>
      <w:r w:rsidRPr="00230BC2">
        <w:t>set out in the compilation of draft decisions</w:t>
      </w:r>
      <w:r w:rsidR="00373A92" w:rsidRPr="00230BC2">
        <w:t>,</w:t>
      </w:r>
      <w:r w:rsidRPr="00230BC2">
        <w:t xml:space="preserve"> </w:t>
      </w:r>
      <w:r w:rsidR="00FD3513" w:rsidRPr="00230BC2">
        <w:t xml:space="preserve">and </w:t>
      </w:r>
      <w:r w:rsidRPr="00230BC2">
        <w:rPr>
          <w:bCs/>
        </w:rPr>
        <w:t>a note by the Executive Secretary on matters related to guidance to the Global Environment Facility (CBD/COP/15/10).</w:t>
      </w:r>
    </w:p>
    <w:p w14:paraId="2764F612" w14:textId="12117FD0" w:rsidR="0094785D" w:rsidRPr="00230BC2" w:rsidRDefault="0094785D" w:rsidP="003466FC">
      <w:pPr>
        <w:pStyle w:val="Para1"/>
      </w:pPr>
      <w:r w:rsidRPr="00230BC2">
        <w:t xml:space="preserve">The representative of the Global Environment Facility presented the report of the Council of the Global Environment Facility to </w:t>
      </w:r>
      <w:r w:rsidR="001305B9" w:rsidRPr="00230BC2">
        <w:t xml:space="preserve">the fifteenth meeting of </w:t>
      </w:r>
      <w:r w:rsidRPr="00230BC2">
        <w:t xml:space="preserve">the Conference of the Parties </w:t>
      </w:r>
      <w:r w:rsidR="00C15624" w:rsidRPr="00230BC2">
        <w:t>(</w:t>
      </w:r>
      <w:r w:rsidRPr="00230BC2">
        <w:t>CBD/COP/15/8</w:t>
      </w:r>
      <w:r w:rsidR="00C15624" w:rsidRPr="00230BC2">
        <w:t>)</w:t>
      </w:r>
      <w:r w:rsidRPr="00230BC2">
        <w:t>.</w:t>
      </w:r>
    </w:p>
    <w:p w14:paraId="6740E56E" w14:textId="4C6AC3FD" w:rsidR="0094785D" w:rsidRPr="00230BC2" w:rsidRDefault="00B369DE" w:rsidP="003466FC">
      <w:pPr>
        <w:pStyle w:val="Para1"/>
      </w:pPr>
      <w:r w:rsidRPr="00230BC2">
        <w:t>W</w:t>
      </w:r>
      <w:r w:rsidR="0094785D" w:rsidRPr="00230BC2">
        <w:t xml:space="preserve">orking </w:t>
      </w:r>
      <w:r w:rsidRPr="00230BC2">
        <w:t>G</w:t>
      </w:r>
      <w:r w:rsidR="0094785D" w:rsidRPr="00230BC2">
        <w:t xml:space="preserve">roup </w:t>
      </w:r>
      <w:r w:rsidRPr="00230BC2">
        <w:t xml:space="preserve">I </w:t>
      </w:r>
      <w:r w:rsidR="0094785D" w:rsidRPr="00230BC2">
        <w:t>establish</w:t>
      </w:r>
      <w:r w:rsidR="002206DF" w:rsidRPr="00230BC2">
        <w:t>ed</w:t>
      </w:r>
      <w:r w:rsidR="0094785D" w:rsidRPr="00230BC2">
        <w:t xml:space="preserve"> a contact group, co-chaired by </w:t>
      </w:r>
      <w:r w:rsidR="00444262" w:rsidRPr="00230BC2">
        <w:t>Greg Filyk (Canada)</w:t>
      </w:r>
      <w:r w:rsidR="0094785D" w:rsidRPr="00230BC2">
        <w:t xml:space="preserve"> and </w:t>
      </w:r>
      <w:r w:rsidR="00444262" w:rsidRPr="00230BC2">
        <w:t>Laura Ber</w:t>
      </w:r>
      <w:r w:rsidR="00992A2C" w:rsidRPr="00230BC2">
        <w:t>m</w:t>
      </w:r>
      <w:r w:rsidR="007629E3" w:rsidRPr="00230BC2">
        <w:t>ú</w:t>
      </w:r>
      <w:r w:rsidR="00992A2C" w:rsidRPr="00230BC2">
        <w:t>dez (Colombia)</w:t>
      </w:r>
      <w:r w:rsidR="00E464D5" w:rsidRPr="00230BC2">
        <w:t>,</w:t>
      </w:r>
      <w:r w:rsidR="0094785D" w:rsidRPr="00230BC2">
        <w:t xml:space="preserve"> to prepare a revised draft decision for the </w:t>
      </w:r>
      <w:r w:rsidR="00583FC8" w:rsidRPr="00230BC2">
        <w:t>G</w:t>
      </w:r>
      <w:r w:rsidR="0094785D" w:rsidRPr="00230BC2">
        <w:t xml:space="preserve">roup’s consideration. </w:t>
      </w:r>
    </w:p>
    <w:p w14:paraId="3FAEA572" w14:textId="7A08CD04" w:rsidR="0094785D" w:rsidRPr="00230BC2" w:rsidRDefault="0094785D" w:rsidP="003466FC">
      <w:pPr>
        <w:pStyle w:val="Para1"/>
      </w:pPr>
      <w:r w:rsidRPr="00230BC2">
        <w:t xml:space="preserve">At its </w:t>
      </w:r>
      <w:r w:rsidR="00E67935" w:rsidRPr="00230BC2">
        <w:t>4th</w:t>
      </w:r>
      <w:r w:rsidRPr="00230BC2">
        <w:t xml:space="preserve"> meeting, on 19 December, </w:t>
      </w:r>
      <w:r w:rsidR="00133BC4" w:rsidRPr="00230BC2">
        <w:t>W</w:t>
      </w:r>
      <w:r w:rsidRPr="00230BC2">
        <w:t xml:space="preserve">orking </w:t>
      </w:r>
      <w:r w:rsidR="00133BC4" w:rsidRPr="00230BC2">
        <w:t>G</w:t>
      </w:r>
      <w:r w:rsidRPr="00230BC2">
        <w:t xml:space="preserve">roup </w:t>
      </w:r>
      <w:r w:rsidR="00133BC4" w:rsidRPr="00230BC2">
        <w:t xml:space="preserve">I </w:t>
      </w:r>
      <w:r w:rsidRPr="00230BC2">
        <w:t xml:space="preserve">heard a report from the </w:t>
      </w:r>
      <w:r w:rsidR="00EB5D13" w:rsidRPr="00230BC2">
        <w:t>C</w:t>
      </w:r>
      <w:r w:rsidRPr="00230BC2">
        <w:t>o-</w:t>
      </w:r>
      <w:r w:rsidR="00EB5D13" w:rsidRPr="00230BC2">
        <w:t>C</w:t>
      </w:r>
      <w:r w:rsidRPr="00230BC2">
        <w:t xml:space="preserve">hairs of the contact group on the group’s work. </w:t>
      </w:r>
    </w:p>
    <w:p w14:paraId="1B910360" w14:textId="37BC4DD7" w:rsidR="0094785D" w:rsidRPr="00230BC2" w:rsidRDefault="00B369DE" w:rsidP="003466FC">
      <w:pPr>
        <w:pStyle w:val="Para1"/>
      </w:pPr>
      <w:r w:rsidRPr="00230BC2">
        <w:t>W</w:t>
      </w:r>
      <w:r w:rsidR="0094785D" w:rsidRPr="00230BC2">
        <w:t xml:space="preserve">orking </w:t>
      </w:r>
      <w:r w:rsidRPr="00230BC2">
        <w:t>G</w:t>
      </w:r>
      <w:r w:rsidR="0094785D" w:rsidRPr="00230BC2">
        <w:t xml:space="preserve">roup </w:t>
      </w:r>
      <w:r w:rsidRPr="00230BC2">
        <w:t xml:space="preserve">I </w:t>
      </w:r>
      <w:r w:rsidR="0094785D" w:rsidRPr="00230BC2">
        <w:t xml:space="preserve">then considered a revised draft decision submitted by </w:t>
      </w:r>
      <w:r w:rsidR="00334275" w:rsidRPr="00230BC2">
        <w:t xml:space="preserve">its </w:t>
      </w:r>
      <w:r w:rsidR="0094785D" w:rsidRPr="00230BC2">
        <w:t xml:space="preserve">Chair and approved it, as orally amended, for transmission to the plenary </w:t>
      </w:r>
      <w:r w:rsidR="008073D6" w:rsidRPr="00230BC2">
        <w:t xml:space="preserve">session </w:t>
      </w:r>
      <w:r w:rsidR="0094785D" w:rsidRPr="00230BC2">
        <w:t>as draft decision CBD/COP/15/L.33.</w:t>
      </w:r>
    </w:p>
    <w:p w14:paraId="5F315D48" w14:textId="7442E9A3" w:rsidR="00D17E46" w:rsidRPr="00230BC2" w:rsidRDefault="00D17E46"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E969C4" w:rsidRPr="00230BC2">
        <w:t>15</w:t>
      </w:r>
      <w:r w:rsidRPr="00230BC2">
        <w:t>.</w:t>
      </w:r>
    </w:p>
    <w:p w14:paraId="5DBBC039" w14:textId="5A2D827D" w:rsidR="00D17E46" w:rsidRPr="00230BC2" w:rsidRDefault="00D17E46" w:rsidP="003466FC">
      <w:pPr>
        <w:pStyle w:val="Para1"/>
      </w:pPr>
      <w:r w:rsidRPr="00230BC2">
        <w:t xml:space="preserve">The representative of the Islamic Republic of Iran, asking that his comments be reflected in the present report, </w:t>
      </w:r>
      <w:r w:rsidR="005F0232" w:rsidRPr="00230BC2">
        <w:t>said that, as the Global Environment Facility was</w:t>
      </w:r>
      <w:r w:rsidRPr="00230BC2">
        <w:t xml:space="preserve"> the official financial mechanism under the Convention</w:t>
      </w:r>
      <w:r w:rsidR="005F0232" w:rsidRPr="00230BC2">
        <w:t xml:space="preserve">, it was inappropriate that certain countries eligible for funding faced barriers and political restrictions in </w:t>
      </w:r>
      <w:r w:rsidR="005E1430" w:rsidRPr="00230BC2">
        <w:t xml:space="preserve">gaining </w:t>
      </w:r>
      <w:r w:rsidR="005F0232" w:rsidRPr="00230BC2">
        <w:t xml:space="preserve">access </w:t>
      </w:r>
      <w:r w:rsidR="005E1430" w:rsidRPr="00230BC2">
        <w:t xml:space="preserve">to </w:t>
      </w:r>
      <w:r w:rsidR="005F0232" w:rsidRPr="00230BC2">
        <w:t>funding from that entity, and that such barriers and political restrictions needed to be removed</w:t>
      </w:r>
      <w:r w:rsidRPr="00230BC2">
        <w:t xml:space="preserve">. </w:t>
      </w:r>
    </w:p>
    <w:p w14:paraId="2FBD3F98" w14:textId="77F7EB7F" w:rsidR="0061275F" w:rsidRPr="006A311F" w:rsidRDefault="0061275F" w:rsidP="006A311F">
      <w:pPr>
        <w:keepNext/>
        <w:suppressLineNumbers/>
        <w:tabs>
          <w:tab w:val="left" w:pos="990"/>
        </w:tabs>
        <w:suppressAutoHyphens/>
        <w:kinsoku w:val="0"/>
        <w:overflowPunct w:val="0"/>
        <w:autoSpaceDE w:val="0"/>
        <w:autoSpaceDN w:val="0"/>
        <w:adjustRightInd w:val="0"/>
        <w:snapToGrid w:val="0"/>
        <w:spacing w:before="240" w:after="120"/>
        <w:ind w:left="1418" w:hanging="992"/>
        <w:jc w:val="left"/>
        <w:rPr>
          <w:b/>
          <w:bCs/>
          <w:snapToGrid w:val="0"/>
          <w:kern w:val="22"/>
          <w:szCs w:val="22"/>
        </w:rPr>
      </w:pPr>
      <w:r w:rsidRPr="006A311F">
        <w:rPr>
          <w:b/>
          <w:bCs/>
          <w:snapToGrid w:val="0"/>
          <w:kern w:val="22"/>
          <w:szCs w:val="22"/>
        </w:rPr>
        <w:lastRenderedPageBreak/>
        <w:t>Item 13.</w:t>
      </w:r>
      <w:r w:rsidR="00C11C5B" w:rsidRPr="006A311F">
        <w:rPr>
          <w:b/>
          <w:bCs/>
          <w:snapToGrid w:val="0"/>
          <w:kern w:val="22"/>
          <w:szCs w:val="22"/>
        </w:rPr>
        <w:tab/>
      </w:r>
      <w:r w:rsidRPr="006A311F">
        <w:rPr>
          <w:b/>
          <w:bCs/>
          <w:snapToGrid w:val="0"/>
          <w:kern w:val="22"/>
          <w:szCs w:val="22"/>
        </w:rPr>
        <w:t>Capacity-building</w:t>
      </w:r>
      <w:r w:rsidR="00EF6E6A" w:rsidRPr="006A311F">
        <w:rPr>
          <w:b/>
          <w:bCs/>
          <w:snapToGrid w:val="0"/>
          <w:kern w:val="22"/>
          <w:szCs w:val="22"/>
        </w:rPr>
        <w:t>,</w:t>
      </w:r>
      <w:r w:rsidRPr="006A311F">
        <w:rPr>
          <w:b/>
          <w:bCs/>
          <w:snapToGrid w:val="0"/>
          <w:kern w:val="22"/>
          <w:szCs w:val="22"/>
        </w:rPr>
        <w:t xml:space="preserve"> technical and scientific cooperation</w:t>
      </w:r>
      <w:r w:rsidR="00EF6E6A" w:rsidRPr="006A311F">
        <w:rPr>
          <w:b/>
          <w:bCs/>
          <w:snapToGrid w:val="0"/>
          <w:kern w:val="22"/>
          <w:szCs w:val="22"/>
        </w:rPr>
        <w:t>,</w:t>
      </w:r>
      <w:r w:rsidRPr="006A311F">
        <w:rPr>
          <w:b/>
          <w:bCs/>
          <w:snapToGrid w:val="0"/>
          <w:kern w:val="22"/>
          <w:szCs w:val="22"/>
        </w:rPr>
        <w:t xml:space="preserve"> knowledge management and communication</w:t>
      </w:r>
    </w:p>
    <w:p w14:paraId="55D3BAA0" w14:textId="3E588228" w:rsidR="00586637" w:rsidRPr="006A311F" w:rsidRDefault="00DB4BFE" w:rsidP="006A311F">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44" w:name="_Toc150438845"/>
      <w:r w:rsidRPr="006A311F">
        <w:rPr>
          <w:b/>
          <w:bCs/>
          <w:snapToGrid w:val="0"/>
          <w:kern w:val="22"/>
          <w:szCs w:val="22"/>
        </w:rPr>
        <w:t>A.</w:t>
      </w:r>
      <w:r w:rsidRPr="006A311F">
        <w:rPr>
          <w:b/>
          <w:bCs/>
          <w:snapToGrid w:val="0"/>
          <w:kern w:val="22"/>
          <w:szCs w:val="22"/>
        </w:rPr>
        <w:tab/>
      </w:r>
      <w:r w:rsidR="00586637" w:rsidRPr="006A311F">
        <w:rPr>
          <w:b/>
          <w:bCs/>
          <w:snapToGrid w:val="0"/>
          <w:kern w:val="22"/>
          <w:szCs w:val="22"/>
        </w:rPr>
        <w:t>Capacity-building and technical and scientific cooperation</w:t>
      </w:r>
      <w:bookmarkEnd w:id="444"/>
    </w:p>
    <w:p w14:paraId="57A66AC9" w14:textId="458C5A3D" w:rsidR="00100E65" w:rsidRPr="00230BC2" w:rsidRDefault="00100E65"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13 A </w:t>
      </w:r>
      <w:r w:rsidR="00644127" w:rsidRPr="00230BC2">
        <w:t xml:space="preserve">of the agenda </w:t>
      </w:r>
      <w:r w:rsidRPr="00230BC2">
        <w:t xml:space="preserve">at its </w:t>
      </w:r>
      <w:r w:rsidR="00E67935" w:rsidRPr="00230BC2">
        <w:t>1st</w:t>
      </w:r>
      <w:r w:rsidRPr="00230BC2">
        <w:t xml:space="preserve"> meeting. </w:t>
      </w:r>
      <w:r w:rsidR="006C16AF" w:rsidRPr="00230BC2">
        <w:t>It</w:t>
      </w:r>
      <w:r w:rsidRPr="00230BC2">
        <w:t xml:space="preserve"> had before it a draft decision on capacity-building and technical and scientific cooperation, based on recommendation 3/8 of the Subsidiary Body on Implementation</w:t>
      </w:r>
      <w:r w:rsidR="00693A22" w:rsidRPr="00230BC2">
        <w:t>,</w:t>
      </w:r>
      <w:r w:rsidRPr="00230BC2">
        <w:t xml:space="preserve"> </w:t>
      </w:r>
      <w:r w:rsidR="00693A22" w:rsidRPr="00230BC2">
        <w:t>as</w:t>
      </w:r>
      <w:r w:rsidRPr="00230BC2">
        <w:t xml:space="preserve"> set out in the compilation of draft decisions</w:t>
      </w:r>
      <w:r w:rsidR="00373A92" w:rsidRPr="00230BC2">
        <w:t>,</w:t>
      </w:r>
      <w:r w:rsidRPr="00230BC2">
        <w:t xml:space="preserve"> </w:t>
      </w:r>
      <w:r w:rsidR="0028496F" w:rsidRPr="00230BC2">
        <w:t>and</w:t>
      </w:r>
      <w:r w:rsidRPr="00230BC2">
        <w:t xml:space="preserve"> a note by the Executive Secretary </w:t>
      </w:r>
      <w:r w:rsidR="00341757" w:rsidRPr="00230BC2">
        <w:t>containing</w:t>
      </w:r>
      <w:r w:rsidRPr="00230BC2">
        <w:t xml:space="preserve"> a summary report o</w:t>
      </w:r>
      <w:r w:rsidR="00E6673E" w:rsidRPr="00230BC2">
        <w:t>n</w:t>
      </w:r>
      <w:r w:rsidRPr="00230BC2">
        <w:t xml:space="preserve"> the review of the technical and scientific cooperation programmes </w:t>
      </w:r>
      <w:r w:rsidRPr="00230BC2">
        <w:rPr>
          <w:bCs/>
        </w:rPr>
        <w:t>(CBD/COP/15/12).</w:t>
      </w:r>
    </w:p>
    <w:p w14:paraId="265B92C3" w14:textId="109A5873" w:rsidR="00100E65" w:rsidRPr="00230BC2" w:rsidRDefault="00B369DE" w:rsidP="003466FC">
      <w:pPr>
        <w:pStyle w:val="Para1"/>
      </w:pPr>
      <w:r w:rsidRPr="00230BC2">
        <w:t>W</w:t>
      </w:r>
      <w:r w:rsidR="00100E65" w:rsidRPr="00230BC2">
        <w:t xml:space="preserve">orking </w:t>
      </w:r>
      <w:r w:rsidRPr="00230BC2">
        <w:t>G</w:t>
      </w:r>
      <w:r w:rsidR="00100E65" w:rsidRPr="00230BC2">
        <w:t xml:space="preserve">roup </w:t>
      </w:r>
      <w:r w:rsidRPr="00230BC2">
        <w:t xml:space="preserve">I </w:t>
      </w:r>
      <w:r w:rsidR="00100E65" w:rsidRPr="00230BC2">
        <w:t>establish</w:t>
      </w:r>
      <w:r w:rsidR="002206DF" w:rsidRPr="00230BC2">
        <w:t>ed</w:t>
      </w:r>
      <w:r w:rsidR="00100E65" w:rsidRPr="00230BC2">
        <w:t xml:space="preserve"> a contact group, co-chaired by </w:t>
      </w:r>
      <w:r w:rsidR="00BB50F4" w:rsidRPr="00230BC2">
        <w:t>Ms. </w:t>
      </w:r>
      <w:r w:rsidR="00100E65" w:rsidRPr="00230BC2">
        <w:t>Bermúdez and Hayo Haanstra (</w:t>
      </w:r>
      <w:r w:rsidR="00FD67DC" w:rsidRPr="00230BC2">
        <w:t xml:space="preserve">(Kingdom of the </w:t>
      </w:r>
      <w:r w:rsidR="00100E65" w:rsidRPr="00230BC2">
        <w:t xml:space="preserve">Netherlands), to prepare a revised version of the draft decision, including the annexes thereto, for the </w:t>
      </w:r>
      <w:r w:rsidR="00583FC8" w:rsidRPr="00230BC2">
        <w:t>G</w:t>
      </w:r>
      <w:r w:rsidR="00100E65" w:rsidRPr="00230BC2">
        <w:t>roup’s consideration.</w:t>
      </w:r>
    </w:p>
    <w:p w14:paraId="2AA562E6" w14:textId="37D637FA" w:rsidR="00100E65" w:rsidRPr="00230BC2" w:rsidRDefault="00D72CE1" w:rsidP="003466FC">
      <w:pPr>
        <w:pStyle w:val="Para1"/>
      </w:pPr>
      <w:r w:rsidRPr="00230BC2">
        <w:t>D</w:t>
      </w:r>
      <w:r w:rsidR="00100E65" w:rsidRPr="00230BC2">
        <w:t xml:space="preserve">uring its </w:t>
      </w:r>
      <w:r w:rsidR="00E67935" w:rsidRPr="00230BC2">
        <w:t>3rd</w:t>
      </w:r>
      <w:r w:rsidR="00100E65" w:rsidRPr="00230BC2">
        <w:t xml:space="preserve"> plenary session, the Conference of the Parties agreed that </w:t>
      </w:r>
      <w:r w:rsidR="00B26B0F" w:rsidRPr="00230BC2">
        <w:t xml:space="preserve">its </w:t>
      </w:r>
      <w:r w:rsidR="00100E65" w:rsidRPr="00230BC2">
        <w:t>President would prepare a set of texts constituting a package covering the agenda items closely related to the post</w:t>
      </w:r>
      <w:r w:rsidR="00B60BC8" w:rsidRPr="00230BC2">
        <w:noBreakHyphen/>
      </w:r>
      <w:r w:rsidR="00100E65" w:rsidRPr="00230BC2">
        <w:t xml:space="preserve">2020 global biodiversity framework, including </w:t>
      </w:r>
      <w:r w:rsidR="00D8333C" w:rsidRPr="00230BC2">
        <w:t>sub-</w:t>
      </w:r>
      <w:r w:rsidR="00100E65" w:rsidRPr="00230BC2">
        <w:t xml:space="preserve">item 13 A, for consideration </w:t>
      </w:r>
      <w:r w:rsidR="00F30F23" w:rsidRPr="00230BC2">
        <w:t>by</w:t>
      </w:r>
      <w:r w:rsidR="00100E65" w:rsidRPr="00230BC2">
        <w:t xml:space="preserve"> the Conference of the Parties.</w:t>
      </w:r>
    </w:p>
    <w:p w14:paraId="689BB40C" w14:textId="302E4CDC" w:rsidR="00852971" w:rsidRPr="00230BC2" w:rsidRDefault="00852971" w:rsidP="003466FC">
      <w:pPr>
        <w:pStyle w:val="Para1"/>
      </w:pPr>
      <w:r w:rsidRPr="00230BC2">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Conference of the Parties considered draft decision CBD/COP/15/L.28</w:t>
      </w:r>
      <w:r w:rsidR="00252810" w:rsidRPr="00230BC2">
        <w:t>,</w:t>
      </w:r>
      <w:r w:rsidRPr="00230BC2">
        <w:t xml:space="preserve"> as </w:t>
      </w:r>
      <w:r w:rsidR="00252810" w:rsidRPr="00230BC2">
        <w:t xml:space="preserve">set out </w:t>
      </w:r>
      <w:r w:rsidR="00F65F0D" w:rsidRPr="00230BC2">
        <w:t>in</w:t>
      </w:r>
      <w:r w:rsidRPr="00230BC2">
        <w:t xml:space="preserve"> </w:t>
      </w:r>
      <w:r w:rsidR="007D61B4" w:rsidRPr="00230BC2">
        <w:t>the</w:t>
      </w:r>
      <w:r w:rsidRPr="00230BC2">
        <w:t xml:space="preserve"> set of draft decisions submitted by the President, and adopted it as decision 15/</w:t>
      </w:r>
      <w:r w:rsidR="00E969C4" w:rsidRPr="00230BC2">
        <w:t>8</w:t>
      </w:r>
      <w:r w:rsidRPr="00230BC2">
        <w:t>.</w:t>
      </w:r>
    </w:p>
    <w:p w14:paraId="50296B96" w14:textId="648609D4" w:rsidR="0061275F" w:rsidRPr="006A311F" w:rsidRDefault="0061275F" w:rsidP="006A311F">
      <w:pPr>
        <w:keepNext/>
        <w:suppressLineNumbers/>
        <w:tabs>
          <w:tab w:val="left" w:pos="567"/>
        </w:tabs>
        <w:suppressAutoHyphens/>
        <w:kinsoku w:val="0"/>
        <w:overflowPunct w:val="0"/>
        <w:autoSpaceDE w:val="0"/>
        <w:autoSpaceDN w:val="0"/>
        <w:adjustRightInd w:val="0"/>
        <w:snapToGrid w:val="0"/>
        <w:spacing w:before="240" w:after="120"/>
        <w:jc w:val="center"/>
        <w:rPr>
          <w:b/>
          <w:bCs/>
          <w:snapToGrid w:val="0"/>
          <w:kern w:val="22"/>
          <w:szCs w:val="22"/>
        </w:rPr>
      </w:pPr>
      <w:bookmarkStart w:id="445" w:name="_Toc150438846"/>
      <w:r w:rsidRPr="006A311F">
        <w:rPr>
          <w:b/>
          <w:bCs/>
          <w:snapToGrid w:val="0"/>
          <w:kern w:val="22"/>
          <w:szCs w:val="22"/>
        </w:rPr>
        <w:t>B.</w:t>
      </w:r>
      <w:r w:rsidRPr="006A311F">
        <w:rPr>
          <w:b/>
          <w:bCs/>
          <w:snapToGrid w:val="0"/>
          <w:kern w:val="22"/>
          <w:szCs w:val="22"/>
        </w:rPr>
        <w:tab/>
        <w:t>Knowledge management</w:t>
      </w:r>
      <w:bookmarkEnd w:id="445"/>
    </w:p>
    <w:p w14:paraId="1EE21240" w14:textId="58A7E468" w:rsidR="000C4194" w:rsidRPr="00230BC2" w:rsidRDefault="000C4194"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13 B </w:t>
      </w:r>
      <w:r w:rsidR="00644127" w:rsidRPr="00230BC2">
        <w:t xml:space="preserve">of the agenda </w:t>
      </w:r>
      <w:r w:rsidRPr="00230BC2">
        <w:t xml:space="preserve">at its </w:t>
      </w:r>
      <w:r w:rsidR="00E67935" w:rsidRPr="00230BC2">
        <w:t>1st</w:t>
      </w:r>
      <w:r w:rsidRPr="00230BC2">
        <w:t xml:space="preserve"> meeting. </w:t>
      </w:r>
      <w:r w:rsidR="006C16AF" w:rsidRPr="00230BC2">
        <w:t xml:space="preserve">It </w:t>
      </w:r>
      <w:r w:rsidRPr="00230BC2">
        <w:t>had before it a draft decision on knowledge management, based on recommendation 3/10 of the Subsidiary Body on Implementation</w:t>
      </w:r>
      <w:r w:rsidR="00693A22" w:rsidRPr="00230BC2">
        <w:t>,</w:t>
      </w:r>
      <w:r w:rsidRPr="00230BC2">
        <w:t xml:space="preserve"> </w:t>
      </w:r>
      <w:r w:rsidR="00693A22" w:rsidRPr="00230BC2">
        <w:t>as</w:t>
      </w:r>
      <w:r w:rsidRPr="00230BC2">
        <w:t xml:space="preserve"> set out in the compilation of draft decisions</w:t>
      </w:r>
      <w:r w:rsidR="00373A92" w:rsidRPr="00230BC2">
        <w:t>,</w:t>
      </w:r>
      <w:r w:rsidRPr="00230BC2">
        <w:t xml:space="preserve"> </w:t>
      </w:r>
      <w:r w:rsidR="0028496F" w:rsidRPr="00230BC2">
        <w:t xml:space="preserve">and </w:t>
      </w:r>
      <w:r w:rsidRPr="00230BC2">
        <w:t>a note by the Executive Secretary setting out a progress report on knowledge management and the clearing-house mechanism (CBD/COP/15/INF/9).</w:t>
      </w:r>
    </w:p>
    <w:p w14:paraId="61E2DBEB" w14:textId="1EECC354" w:rsidR="000C4194" w:rsidRPr="00230BC2" w:rsidRDefault="00B369DE" w:rsidP="003466FC">
      <w:pPr>
        <w:pStyle w:val="Para1"/>
      </w:pPr>
      <w:r w:rsidRPr="00230BC2">
        <w:t>W</w:t>
      </w:r>
      <w:r w:rsidR="000C4194" w:rsidRPr="00230BC2">
        <w:t xml:space="preserve">orking </w:t>
      </w:r>
      <w:r w:rsidRPr="00230BC2">
        <w:t>G</w:t>
      </w:r>
      <w:r w:rsidR="000C4194" w:rsidRPr="00230BC2">
        <w:t xml:space="preserve">roup </w:t>
      </w:r>
      <w:r w:rsidRPr="00230BC2">
        <w:t xml:space="preserve">I </w:t>
      </w:r>
      <w:r w:rsidR="000C4194" w:rsidRPr="00230BC2">
        <w:t>request</w:t>
      </w:r>
      <w:r w:rsidR="00F01532" w:rsidRPr="00230BC2">
        <w:t>ed</w:t>
      </w:r>
      <w:r w:rsidR="000C4194" w:rsidRPr="00230BC2">
        <w:t xml:space="preserve"> the contact group established under sub-item</w:t>
      </w:r>
      <w:r w:rsidR="00E879C8" w:rsidRPr="00230BC2">
        <w:t> </w:t>
      </w:r>
      <w:r w:rsidR="000C4194" w:rsidRPr="00230BC2">
        <w:t>13 A to also address sub</w:t>
      </w:r>
      <w:r w:rsidR="00B75766" w:rsidRPr="00230BC2">
        <w:noBreakHyphen/>
      </w:r>
      <w:r w:rsidR="000C4194" w:rsidRPr="00230BC2">
        <w:t>item</w:t>
      </w:r>
      <w:r w:rsidR="00C11C5B" w:rsidRPr="00230BC2">
        <w:t xml:space="preserve"> </w:t>
      </w:r>
      <w:r w:rsidR="000C4194" w:rsidRPr="00230BC2">
        <w:t>13 B, including the proposed draft decision, focusing on determining a way forward, once it had finished its work on capacity-building.</w:t>
      </w:r>
    </w:p>
    <w:p w14:paraId="255B7FAD" w14:textId="06911C80" w:rsidR="000C4194" w:rsidRPr="00230BC2" w:rsidRDefault="000C4194" w:rsidP="003466FC">
      <w:pPr>
        <w:pStyle w:val="Para1"/>
      </w:pPr>
      <w:r w:rsidRPr="00230BC2">
        <w:t xml:space="preserve">At its </w:t>
      </w:r>
      <w:r w:rsidR="00E67935" w:rsidRPr="00230BC2">
        <w:t>4th</w:t>
      </w:r>
      <w:r w:rsidRPr="00230BC2">
        <w:t xml:space="preserve"> meeting, </w:t>
      </w:r>
      <w:r w:rsidR="003B384E" w:rsidRPr="00230BC2">
        <w:t>W</w:t>
      </w:r>
      <w:r w:rsidRPr="00230BC2">
        <w:t xml:space="preserve">orking </w:t>
      </w:r>
      <w:r w:rsidR="003B384E" w:rsidRPr="00230BC2">
        <w:t>G</w:t>
      </w:r>
      <w:r w:rsidRPr="00230BC2">
        <w:t xml:space="preserve">roup </w:t>
      </w:r>
      <w:r w:rsidR="003B384E" w:rsidRPr="00230BC2">
        <w:t xml:space="preserve">I </w:t>
      </w:r>
      <w:r w:rsidRPr="00230BC2">
        <w:t xml:space="preserve">considered a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 xml:space="preserve">as draft decision CBD/COP/15/L.32. </w:t>
      </w:r>
    </w:p>
    <w:p w14:paraId="03696ED2" w14:textId="460A090D" w:rsidR="00612B47" w:rsidRPr="00230BC2" w:rsidRDefault="00612B47"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7E5BF2" w:rsidRPr="00230BC2">
        <w:t> </w:t>
      </w:r>
      <w:r w:rsidRPr="00230BC2">
        <w:t>15/</w:t>
      </w:r>
      <w:r w:rsidR="009B3E1F" w:rsidRPr="00230BC2">
        <w:t>16</w:t>
      </w:r>
      <w:r w:rsidRPr="00230BC2">
        <w:t>.</w:t>
      </w:r>
    </w:p>
    <w:p w14:paraId="2325574E" w14:textId="0533E6EE" w:rsidR="0061275F" w:rsidRPr="006A311F" w:rsidRDefault="0061275F" w:rsidP="006A311F">
      <w:pPr>
        <w:keepNext/>
        <w:suppressLineNumbers/>
        <w:tabs>
          <w:tab w:val="left" w:pos="709"/>
        </w:tabs>
        <w:suppressAutoHyphens/>
        <w:kinsoku w:val="0"/>
        <w:overflowPunct w:val="0"/>
        <w:autoSpaceDE w:val="0"/>
        <w:autoSpaceDN w:val="0"/>
        <w:adjustRightInd w:val="0"/>
        <w:snapToGrid w:val="0"/>
        <w:spacing w:before="240" w:after="120"/>
        <w:jc w:val="center"/>
        <w:rPr>
          <w:b/>
          <w:bCs/>
          <w:snapToGrid w:val="0"/>
          <w:kern w:val="22"/>
          <w:szCs w:val="22"/>
        </w:rPr>
      </w:pPr>
      <w:bookmarkStart w:id="446" w:name="_Toc150438847"/>
      <w:r w:rsidRPr="006A311F">
        <w:rPr>
          <w:b/>
          <w:bCs/>
          <w:snapToGrid w:val="0"/>
          <w:kern w:val="22"/>
          <w:szCs w:val="22"/>
        </w:rPr>
        <w:t>C.</w:t>
      </w:r>
      <w:r w:rsidRPr="006A311F">
        <w:rPr>
          <w:b/>
          <w:bCs/>
          <w:snapToGrid w:val="0"/>
          <w:kern w:val="22"/>
          <w:szCs w:val="22"/>
        </w:rPr>
        <w:tab/>
        <w:t>Communication</w:t>
      </w:r>
      <w:bookmarkEnd w:id="446"/>
    </w:p>
    <w:p w14:paraId="36E2E92A" w14:textId="1927AFCE" w:rsidR="008848F2" w:rsidRPr="00230BC2" w:rsidRDefault="008848F2"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13 C </w:t>
      </w:r>
      <w:r w:rsidR="00644127" w:rsidRPr="00230BC2">
        <w:t xml:space="preserve">of the agenda </w:t>
      </w:r>
      <w:r w:rsidRPr="00230BC2">
        <w:t xml:space="preserve">at its </w:t>
      </w:r>
      <w:r w:rsidR="00E67935" w:rsidRPr="00230BC2">
        <w:t>1st</w:t>
      </w:r>
      <w:r w:rsidRPr="00230BC2">
        <w:t xml:space="preserve"> meeting, in conjunction with sub-item 9 C </w:t>
      </w:r>
      <w:r w:rsidR="00361A79" w:rsidRPr="00230BC2">
        <w:t>(</w:t>
      </w:r>
      <w:r w:rsidRPr="00230BC2">
        <w:t xml:space="preserve">see </w:t>
      </w:r>
      <w:r w:rsidR="00F85093" w:rsidRPr="00230BC2">
        <w:t>paras. 8</w:t>
      </w:r>
      <w:r w:rsidR="0074265C" w:rsidRPr="00230BC2">
        <w:t>5</w:t>
      </w:r>
      <w:r w:rsidR="00F85093" w:rsidRPr="00230BC2">
        <w:t>–8</w:t>
      </w:r>
      <w:r w:rsidR="002916EA" w:rsidRPr="00230BC2">
        <w:t>8</w:t>
      </w:r>
      <w:r w:rsidR="00F65F0D" w:rsidRPr="00230BC2">
        <w:t>)</w:t>
      </w:r>
      <w:r w:rsidRPr="00230BC2">
        <w:t xml:space="preserve">. </w:t>
      </w:r>
    </w:p>
    <w:p w14:paraId="379BC03A" w14:textId="229028B0" w:rsidR="0061275F" w:rsidRPr="006A311F" w:rsidRDefault="0061275F" w:rsidP="006A311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47" w:name="_Toc150438848"/>
      <w:r w:rsidRPr="006A311F">
        <w:rPr>
          <w:b/>
          <w:bCs/>
          <w:snapToGrid w:val="0"/>
          <w:kern w:val="22"/>
          <w:szCs w:val="22"/>
        </w:rPr>
        <w:t>Item 14.</w:t>
      </w:r>
      <w:r w:rsidRPr="006A311F">
        <w:rPr>
          <w:b/>
          <w:bCs/>
          <w:snapToGrid w:val="0"/>
          <w:kern w:val="22"/>
          <w:szCs w:val="22"/>
        </w:rPr>
        <w:tab/>
        <w:t xml:space="preserve">Mechanisms for </w:t>
      </w:r>
      <w:r w:rsidR="0056328A" w:rsidRPr="006A311F">
        <w:rPr>
          <w:b/>
          <w:bCs/>
          <w:snapToGrid w:val="0"/>
          <w:kern w:val="22"/>
          <w:szCs w:val="22"/>
        </w:rPr>
        <w:t xml:space="preserve">planning, monitoring, </w:t>
      </w:r>
      <w:r w:rsidRPr="006A311F">
        <w:rPr>
          <w:b/>
          <w:bCs/>
          <w:snapToGrid w:val="0"/>
          <w:kern w:val="22"/>
          <w:szCs w:val="22"/>
        </w:rPr>
        <w:t>reporting and review</w:t>
      </w:r>
      <w:bookmarkEnd w:id="447"/>
    </w:p>
    <w:p w14:paraId="795F8282" w14:textId="6A3160EF" w:rsidR="00130B6D" w:rsidRPr="00230BC2" w:rsidRDefault="00130B6D" w:rsidP="003466FC">
      <w:pPr>
        <w:pStyle w:val="Para1"/>
      </w:pPr>
      <w:r w:rsidRPr="00230BC2">
        <w:t xml:space="preserve">Working </w:t>
      </w:r>
      <w:r w:rsidR="003873C8" w:rsidRPr="00230BC2">
        <w:t>G</w:t>
      </w:r>
      <w:r w:rsidRPr="00230BC2">
        <w:t xml:space="preserve">roup I </w:t>
      </w:r>
      <w:r w:rsidR="00B3219B" w:rsidRPr="00230BC2">
        <w:t>considered</w:t>
      </w:r>
      <w:r w:rsidR="00A20ABE" w:rsidRPr="00230BC2">
        <w:t xml:space="preserve"> agenda</w:t>
      </w:r>
      <w:r w:rsidRPr="00230BC2">
        <w:t xml:space="preserve"> item 14 at its </w:t>
      </w:r>
      <w:r w:rsidR="00E67935" w:rsidRPr="00230BC2">
        <w:t>1st</w:t>
      </w:r>
      <w:r w:rsidRPr="00230BC2">
        <w:t xml:space="preserve"> meeting. </w:t>
      </w:r>
      <w:r w:rsidR="000A734E" w:rsidRPr="00230BC2">
        <w:t>It</w:t>
      </w:r>
      <w:r w:rsidR="00133BC4" w:rsidRPr="00230BC2">
        <w:t xml:space="preserve"> </w:t>
      </w:r>
      <w:r w:rsidRPr="00230BC2">
        <w:t>had before it a draft decision on mechanisms for planning, monitoring, reporting and review, based on recommendation 3/11 of the Subsidiary Body on Implementation</w:t>
      </w:r>
      <w:r w:rsidR="00693A22" w:rsidRPr="00230BC2">
        <w:t>,</w:t>
      </w:r>
      <w:r w:rsidRPr="00230BC2">
        <w:t xml:space="preserve"> </w:t>
      </w:r>
      <w:r w:rsidR="00693A22" w:rsidRPr="00230BC2">
        <w:t>as</w:t>
      </w:r>
      <w:r w:rsidRPr="00230BC2">
        <w:t xml:space="preserve"> set out in the compilation of draft decisions</w:t>
      </w:r>
      <w:r w:rsidR="00373A92" w:rsidRPr="00230BC2">
        <w:t>.</w:t>
      </w:r>
    </w:p>
    <w:p w14:paraId="601EB4FA" w14:textId="5E73C7E3" w:rsidR="00130B6D" w:rsidRPr="00230BC2" w:rsidRDefault="00B369DE" w:rsidP="00072FC8">
      <w:pPr>
        <w:pStyle w:val="Para1"/>
      </w:pPr>
      <w:r w:rsidRPr="00230BC2">
        <w:t>W</w:t>
      </w:r>
      <w:r w:rsidR="00130B6D" w:rsidRPr="00230BC2">
        <w:t xml:space="preserve">orking </w:t>
      </w:r>
      <w:r w:rsidRPr="00230BC2">
        <w:t>G</w:t>
      </w:r>
      <w:r w:rsidR="00130B6D" w:rsidRPr="00230BC2">
        <w:t xml:space="preserve">roup </w:t>
      </w:r>
      <w:r w:rsidRPr="00230BC2">
        <w:t xml:space="preserve">I </w:t>
      </w:r>
      <w:r w:rsidR="00130B6D" w:rsidRPr="00230BC2">
        <w:t>establish</w:t>
      </w:r>
      <w:r w:rsidR="002206DF" w:rsidRPr="00230BC2">
        <w:t>ed</w:t>
      </w:r>
      <w:r w:rsidR="00130B6D" w:rsidRPr="00230BC2">
        <w:t xml:space="preserve"> a contact group, co-chaired by </w:t>
      </w:r>
      <w:r w:rsidR="00072FC8" w:rsidRPr="00230BC2">
        <w:t>Ms. </w:t>
      </w:r>
      <w:r w:rsidR="00130B6D" w:rsidRPr="00230BC2">
        <w:t xml:space="preserve">Guthrie and Andrew Stott (United Kingdom), to prepare a revised draft decision for the </w:t>
      </w:r>
      <w:r w:rsidR="00583FC8" w:rsidRPr="00230BC2">
        <w:t>G</w:t>
      </w:r>
      <w:r w:rsidR="00130B6D" w:rsidRPr="00230BC2">
        <w:t xml:space="preserve">roup’s consideration. </w:t>
      </w:r>
    </w:p>
    <w:p w14:paraId="45A6FDDA" w14:textId="7B4761FE" w:rsidR="00130B6D" w:rsidRPr="00230BC2" w:rsidRDefault="00D72CE1" w:rsidP="003466FC">
      <w:pPr>
        <w:pStyle w:val="Para1"/>
      </w:pPr>
      <w:r w:rsidRPr="00230BC2">
        <w:t>D</w:t>
      </w:r>
      <w:r w:rsidR="00130B6D" w:rsidRPr="00230BC2">
        <w:t xml:space="preserve">uring its </w:t>
      </w:r>
      <w:r w:rsidR="00E67935" w:rsidRPr="00230BC2">
        <w:t>3rd</w:t>
      </w:r>
      <w:r w:rsidR="00130B6D" w:rsidRPr="00230BC2">
        <w:t xml:space="preserve"> plenary session, the Conference of the Parties agreed that </w:t>
      </w:r>
      <w:r w:rsidR="00B26B0F" w:rsidRPr="00230BC2">
        <w:t xml:space="preserve">its </w:t>
      </w:r>
      <w:r w:rsidR="00130B6D" w:rsidRPr="00230BC2">
        <w:t>President would prepare a set of texts constituting a package covering the agenda items closely related to the post</w:t>
      </w:r>
      <w:r w:rsidR="00B60BC8" w:rsidRPr="00230BC2">
        <w:noBreakHyphen/>
      </w:r>
      <w:r w:rsidR="00130B6D" w:rsidRPr="00230BC2">
        <w:t xml:space="preserve">2020 global biodiversity framework, including item 14, for consideration </w:t>
      </w:r>
      <w:r w:rsidR="00F30F23" w:rsidRPr="00230BC2">
        <w:t>by</w:t>
      </w:r>
      <w:r w:rsidR="00130B6D" w:rsidRPr="00230BC2">
        <w:t xml:space="preserve"> the Conference of the Parties.</w:t>
      </w:r>
    </w:p>
    <w:p w14:paraId="5107EBA9" w14:textId="7C8757D0" w:rsidR="00852971" w:rsidRPr="00230BC2" w:rsidRDefault="00852971" w:rsidP="003466FC">
      <w:pPr>
        <w:pStyle w:val="Para1"/>
      </w:pPr>
      <w:r w:rsidRPr="00230BC2">
        <w:lastRenderedPageBreak/>
        <w:t xml:space="preserve">At </w:t>
      </w:r>
      <w:r w:rsidR="00893FBA" w:rsidRPr="00230BC2">
        <w:t xml:space="preserve">its </w:t>
      </w:r>
      <w:r w:rsidR="00E67935" w:rsidRPr="00230BC2">
        <w:t>4th</w:t>
      </w:r>
      <w:r w:rsidRPr="00230BC2">
        <w:t xml:space="preserve"> plenary session</w:t>
      </w:r>
      <w:r w:rsidR="00893FBA" w:rsidRPr="00230BC2">
        <w:t>,</w:t>
      </w:r>
      <w:r w:rsidRPr="00230BC2">
        <w:t xml:space="preserve"> the Conference of the Parties considered draft decision CBD/COP/15/L.27</w:t>
      </w:r>
      <w:r w:rsidR="00252810" w:rsidRPr="00230BC2">
        <w:t>,</w:t>
      </w:r>
      <w:r w:rsidRPr="00230BC2">
        <w:t xml:space="preserve"> as </w:t>
      </w:r>
      <w:r w:rsidR="00252810" w:rsidRPr="00230BC2">
        <w:t xml:space="preserve">set out </w:t>
      </w:r>
      <w:r w:rsidR="00F65F0D" w:rsidRPr="00230BC2">
        <w:t>in</w:t>
      </w:r>
      <w:r w:rsidRPr="00230BC2">
        <w:t xml:space="preserve"> </w:t>
      </w:r>
      <w:r w:rsidR="007D61B4" w:rsidRPr="00230BC2">
        <w:t>the</w:t>
      </w:r>
      <w:r w:rsidRPr="00230BC2">
        <w:t xml:space="preserve"> set of draft decisions submitted by the President, and adopted it as decision</w:t>
      </w:r>
      <w:r w:rsidR="00A02D9D" w:rsidRPr="00230BC2">
        <w:t> </w:t>
      </w:r>
      <w:r w:rsidRPr="00230BC2">
        <w:t>15/</w:t>
      </w:r>
      <w:r w:rsidR="009B3E1F" w:rsidRPr="00230BC2">
        <w:t>6</w:t>
      </w:r>
      <w:r w:rsidRPr="00230BC2">
        <w:t>.</w:t>
      </w:r>
    </w:p>
    <w:p w14:paraId="0846D851" w14:textId="3FA6A380"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15.</w:t>
      </w:r>
      <w:r w:rsidRPr="00EE6F7F">
        <w:rPr>
          <w:b/>
          <w:bCs/>
          <w:snapToGrid w:val="0"/>
          <w:kern w:val="22"/>
          <w:szCs w:val="22"/>
        </w:rPr>
        <w:tab/>
        <w:t>Cooperation with other conventions and international organizations</w:t>
      </w:r>
    </w:p>
    <w:p w14:paraId="769754C5" w14:textId="0FFD3E65" w:rsidR="00FF79BE" w:rsidRPr="006A311F" w:rsidRDefault="00FF79BE" w:rsidP="006A311F">
      <w:pPr>
        <w:keepNext/>
        <w:suppressLineNumbers/>
        <w:tabs>
          <w:tab w:val="left" w:pos="990"/>
        </w:tabs>
        <w:suppressAutoHyphens/>
        <w:kinsoku w:val="0"/>
        <w:overflowPunct w:val="0"/>
        <w:autoSpaceDE w:val="0"/>
        <w:autoSpaceDN w:val="0"/>
        <w:adjustRightInd w:val="0"/>
        <w:snapToGrid w:val="0"/>
        <w:spacing w:before="240" w:after="120"/>
        <w:ind w:left="1701" w:hanging="567"/>
        <w:jc w:val="left"/>
        <w:rPr>
          <w:b/>
          <w:bCs/>
          <w:snapToGrid w:val="0"/>
          <w:kern w:val="22"/>
          <w:szCs w:val="22"/>
        </w:rPr>
      </w:pPr>
      <w:bookmarkStart w:id="448" w:name="_Toc150438849"/>
      <w:r w:rsidRPr="006A311F">
        <w:rPr>
          <w:b/>
          <w:bCs/>
          <w:snapToGrid w:val="0"/>
          <w:kern w:val="22"/>
          <w:szCs w:val="22"/>
        </w:rPr>
        <w:t>A.</w:t>
      </w:r>
      <w:r w:rsidR="004928C3" w:rsidRPr="006A311F">
        <w:rPr>
          <w:b/>
          <w:bCs/>
          <w:snapToGrid w:val="0"/>
          <w:kern w:val="22"/>
          <w:szCs w:val="22"/>
        </w:rPr>
        <w:tab/>
      </w:r>
      <w:r w:rsidRPr="006A311F">
        <w:rPr>
          <w:b/>
          <w:bCs/>
          <w:snapToGrid w:val="0"/>
          <w:kern w:val="22"/>
          <w:szCs w:val="22"/>
        </w:rPr>
        <w:t>Programme of work of the Intergovernmental Science-Policy Platform on Biodiversity</w:t>
      </w:r>
      <w:r w:rsidR="004928C3" w:rsidRPr="006A311F">
        <w:rPr>
          <w:b/>
          <w:bCs/>
          <w:snapToGrid w:val="0"/>
          <w:kern w:val="22"/>
          <w:szCs w:val="22"/>
        </w:rPr>
        <w:t xml:space="preserve"> </w:t>
      </w:r>
      <w:r w:rsidRPr="006A311F">
        <w:rPr>
          <w:b/>
          <w:bCs/>
          <w:snapToGrid w:val="0"/>
          <w:kern w:val="22"/>
          <w:szCs w:val="22"/>
        </w:rPr>
        <w:t>and Ecosystem Services</w:t>
      </w:r>
      <w:bookmarkEnd w:id="448"/>
    </w:p>
    <w:p w14:paraId="61073B52" w14:textId="1980D0E8" w:rsidR="008D2937" w:rsidRPr="00230BC2" w:rsidRDefault="008D2937" w:rsidP="003466FC">
      <w:pPr>
        <w:pStyle w:val="Para1"/>
      </w:pPr>
      <w:r w:rsidRPr="00230BC2">
        <w:t xml:space="preserve">Working </w:t>
      </w:r>
      <w:r w:rsidR="003873C8" w:rsidRPr="00230BC2">
        <w:t>G</w:t>
      </w:r>
      <w:r w:rsidRPr="00230BC2">
        <w:t xml:space="preserve">roup II </w:t>
      </w:r>
      <w:r w:rsidR="00B3219B" w:rsidRPr="00230BC2">
        <w:t>considered</w:t>
      </w:r>
      <w:r w:rsidR="00A40A7E" w:rsidRPr="00230BC2">
        <w:t xml:space="preserve"> agenda</w:t>
      </w:r>
      <w:r w:rsidRPr="00230BC2">
        <w:t xml:space="preserve"> item 15 A at its </w:t>
      </w:r>
      <w:r w:rsidR="00E67935" w:rsidRPr="00230BC2">
        <w:t>2nd</w:t>
      </w:r>
      <w:r w:rsidRPr="00230BC2">
        <w:t xml:space="preserve"> meeting, on 8 December. </w:t>
      </w:r>
      <w:r w:rsidR="000A734E" w:rsidRPr="00230BC2">
        <w:t>It</w:t>
      </w:r>
      <w:r w:rsidR="003B384E" w:rsidRPr="00230BC2">
        <w:t xml:space="preserve"> </w:t>
      </w:r>
      <w:r w:rsidRPr="00230BC2">
        <w:t>had before it a draft decision, based on recommendation 24/3 of the Subsidiary Body on Scientific, Technical and Technological Advice</w:t>
      </w:r>
      <w:r w:rsidR="00693A22" w:rsidRPr="00230BC2">
        <w:t>,</w:t>
      </w:r>
      <w:r w:rsidRPr="00230BC2">
        <w:t xml:space="preserve"> </w:t>
      </w:r>
      <w:r w:rsidR="00693A22" w:rsidRPr="00230BC2">
        <w:t>as</w:t>
      </w:r>
      <w:r w:rsidRPr="00230BC2">
        <w:t xml:space="preserve"> set out in the compilation of draft decisions</w:t>
      </w:r>
      <w:r w:rsidR="00373A92" w:rsidRPr="00230BC2">
        <w:t>,</w:t>
      </w:r>
      <w:r w:rsidRPr="00230BC2">
        <w:t xml:space="preserve"> and documents </w:t>
      </w:r>
      <w:r w:rsidR="005D2179" w:rsidRPr="00230BC2">
        <w:t xml:space="preserve">containing </w:t>
      </w:r>
      <w:r w:rsidRPr="00230BC2">
        <w:t>updated information on the work of the Intergovernmental Science</w:t>
      </w:r>
      <w:r w:rsidR="00B87058" w:rsidRPr="00230BC2">
        <w:t>-</w:t>
      </w:r>
      <w:r w:rsidRPr="00230BC2">
        <w:t>Policy Platform on Biodiversity and Ecosystem Services (CBD/COP/15/13) and supporting information for possible requests to be considered in the rolling work programme up to 2030 of the Intergovernmental Science-Policy Platform on Biodiversity and Ecosystem Services (CBD/COP/15/INF/7). The Chair noted that the draft decision required updating.</w:t>
      </w:r>
    </w:p>
    <w:p w14:paraId="6D7B94CC" w14:textId="1510F78C" w:rsidR="008D2937" w:rsidRPr="00230BC2" w:rsidRDefault="00250928" w:rsidP="003466FC">
      <w:pPr>
        <w:pStyle w:val="Para1"/>
      </w:pPr>
      <w:r w:rsidRPr="00230BC2">
        <w:t xml:space="preserve">The </w:t>
      </w:r>
      <w:r w:rsidR="008D2937" w:rsidRPr="00230BC2">
        <w:t>Executive Secretary of the Intergovernmental Science-Policy Platform on Biodiversity and Ecosystem Services, made a brief presentation</w:t>
      </w:r>
      <w:r w:rsidR="002C7A16" w:rsidRPr="00230BC2">
        <w:t>,</w:t>
      </w:r>
      <w:r w:rsidR="008D2937" w:rsidRPr="00230BC2">
        <w:t xml:space="preserve"> highlighting the synergies between the work of the Platform and that of the Conference of the Parties.</w:t>
      </w:r>
    </w:p>
    <w:p w14:paraId="39085869" w14:textId="4D3B4E44" w:rsidR="008D2937" w:rsidRPr="00230BC2" w:rsidRDefault="008D2937" w:rsidP="003466FC">
      <w:pPr>
        <w:pStyle w:val="Para1"/>
      </w:pPr>
      <w:r w:rsidRPr="00230BC2">
        <w:t xml:space="preserve">Statements were made by representatives of </w:t>
      </w:r>
      <w:r w:rsidR="0051107D" w:rsidRPr="00230BC2">
        <w:t xml:space="preserve">the following Parties: </w:t>
      </w:r>
      <w:r w:rsidRPr="00230BC2">
        <w:t>Argentina, Bolivia</w:t>
      </w:r>
      <w:r w:rsidR="00AF5F84" w:rsidRPr="00230BC2">
        <w:t xml:space="preserve"> (Plurinational State of)</w:t>
      </w:r>
      <w:r w:rsidRPr="00230BC2">
        <w:t>, Bosnia and Herzegovina, Brazil, Canada, Colombia, Ecuador, European Union and its 27 member States, India, Japan, Kenya, Morocco, New Zealand, Norway, Peru, South Africa, Sudan, Switzerland, Türkiye, United Kingdom and Uruguay.</w:t>
      </w:r>
    </w:p>
    <w:p w14:paraId="10348931" w14:textId="10467493" w:rsidR="008D2937" w:rsidRPr="00230BC2" w:rsidRDefault="00B369DE" w:rsidP="003466FC">
      <w:pPr>
        <w:pStyle w:val="Para1"/>
      </w:pPr>
      <w:r w:rsidRPr="00230BC2">
        <w:t>W</w:t>
      </w:r>
      <w:r w:rsidR="008D2937" w:rsidRPr="00230BC2">
        <w:t xml:space="preserve">orking </w:t>
      </w:r>
      <w:r w:rsidRPr="00230BC2">
        <w:t>G</w:t>
      </w:r>
      <w:r w:rsidR="008D2937" w:rsidRPr="00230BC2">
        <w:t xml:space="preserve">roup </w:t>
      </w:r>
      <w:r w:rsidRPr="00230BC2">
        <w:t xml:space="preserve">II </w:t>
      </w:r>
      <w:r w:rsidR="008D2937" w:rsidRPr="00230BC2">
        <w:t>establish</w:t>
      </w:r>
      <w:r w:rsidR="002206DF" w:rsidRPr="00230BC2">
        <w:t>ed</w:t>
      </w:r>
      <w:r w:rsidR="008D2937" w:rsidRPr="00230BC2">
        <w:t xml:space="preserve"> a contact group, co-chaired by </w:t>
      </w:r>
      <w:r w:rsidR="00F96F2B" w:rsidRPr="00230BC2">
        <w:t>Mr. </w:t>
      </w:r>
      <w:r w:rsidR="008D2937" w:rsidRPr="00230BC2">
        <w:t>Ben</w:t>
      </w:r>
      <w:r w:rsidR="00A6521E" w:rsidRPr="00230BC2">
        <w:t>í</w:t>
      </w:r>
      <w:r w:rsidR="008D2937" w:rsidRPr="00230BC2">
        <w:t xml:space="preserve">tez and Janina Heim (Germany), to seek solutions to the </w:t>
      </w:r>
      <w:r w:rsidR="00D9069D" w:rsidRPr="00230BC2">
        <w:t xml:space="preserve">outstanding </w:t>
      </w:r>
      <w:r w:rsidR="008D2937" w:rsidRPr="00230BC2">
        <w:t>issues.</w:t>
      </w:r>
    </w:p>
    <w:p w14:paraId="687DA4DF" w14:textId="1C16FE48" w:rsidR="000A4BFC" w:rsidRPr="00230BC2" w:rsidRDefault="008D2937" w:rsidP="003466FC">
      <w:pPr>
        <w:pStyle w:val="Para1"/>
      </w:pPr>
      <w:r w:rsidRPr="00230BC2">
        <w:t xml:space="preserve">At its </w:t>
      </w:r>
      <w:r w:rsidR="0042766B" w:rsidRPr="00230BC2">
        <w:t>7th</w:t>
      </w:r>
      <w:r w:rsidRPr="00230BC2">
        <w:t xml:space="preserve"> meeting, on 13 December, </w:t>
      </w:r>
      <w:r w:rsidR="003B384E" w:rsidRPr="00230BC2">
        <w:t>W</w:t>
      </w:r>
      <w:r w:rsidRPr="00230BC2">
        <w:t xml:space="preserve">orking </w:t>
      </w:r>
      <w:r w:rsidR="003B384E" w:rsidRPr="00230BC2">
        <w:t>G</w:t>
      </w:r>
      <w:r w:rsidRPr="00230BC2">
        <w:t xml:space="preserve">roup </w:t>
      </w:r>
      <w:r w:rsidR="003B384E" w:rsidRPr="00230BC2">
        <w:t xml:space="preserve">II </w:t>
      </w:r>
      <w:r w:rsidRPr="00230BC2">
        <w:t xml:space="preserve">heard a report from the </w:t>
      </w:r>
      <w:r w:rsidR="004667A0" w:rsidRPr="00230BC2">
        <w:t>C</w:t>
      </w:r>
      <w:r w:rsidRPr="00230BC2">
        <w:t>o-</w:t>
      </w:r>
      <w:r w:rsidR="004667A0" w:rsidRPr="00230BC2">
        <w:t>C</w:t>
      </w:r>
      <w:r w:rsidRPr="00230BC2">
        <w:t xml:space="preserve">hairs of the contact group, following which it considered a draft decision submitted by </w:t>
      </w:r>
      <w:r w:rsidR="004667A0"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.11.</w:t>
      </w:r>
    </w:p>
    <w:p w14:paraId="76899347" w14:textId="0A0A14DD" w:rsidR="00B37794" w:rsidRPr="00230BC2" w:rsidRDefault="00B37794"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A70DEA" w:rsidRPr="00230BC2">
        <w:t> </w:t>
      </w:r>
      <w:r w:rsidRPr="00230BC2">
        <w:t>15/</w:t>
      </w:r>
      <w:r w:rsidR="002B4D07" w:rsidRPr="00230BC2">
        <w:t>19</w:t>
      </w:r>
      <w:r w:rsidRPr="00230BC2">
        <w:t>.</w:t>
      </w:r>
    </w:p>
    <w:p w14:paraId="6196138E" w14:textId="2B771858" w:rsidR="00FF79BE" w:rsidRPr="006A311F" w:rsidRDefault="00C41C95" w:rsidP="006A311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49" w:name="_Toc150438850"/>
      <w:r w:rsidRPr="006A311F">
        <w:rPr>
          <w:b/>
          <w:bCs/>
          <w:snapToGrid w:val="0"/>
          <w:kern w:val="22"/>
          <w:szCs w:val="22"/>
        </w:rPr>
        <w:t>B.</w:t>
      </w:r>
      <w:r w:rsidRPr="006A311F">
        <w:rPr>
          <w:b/>
          <w:bCs/>
          <w:snapToGrid w:val="0"/>
          <w:kern w:val="22"/>
          <w:szCs w:val="22"/>
        </w:rPr>
        <w:tab/>
      </w:r>
      <w:r w:rsidR="00FF79BE" w:rsidRPr="006A311F">
        <w:rPr>
          <w:b/>
          <w:bCs/>
          <w:snapToGrid w:val="0"/>
          <w:kern w:val="22"/>
          <w:szCs w:val="22"/>
        </w:rPr>
        <w:t>Cooperation with other conventions and international organizations</w:t>
      </w:r>
      <w:bookmarkEnd w:id="449"/>
    </w:p>
    <w:p w14:paraId="1F152EFA" w14:textId="13401666" w:rsidR="004246DB" w:rsidRPr="00230BC2" w:rsidRDefault="004246DB" w:rsidP="003466FC">
      <w:pPr>
        <w:pStyle w:val="Para1"/>
      </w:pPr>
      <w:r w:rsidRPr="00230BC2">
        <w:t xml:space="preserve">Working </w:t>
      </w:r>
      <w:r w:rsidR="003873C8" w:rsidRPr="00230BC2">
        <w:t>G</w:t>
      </w:r>
      <w:r w:rsidRPr="00230BC2">
        <w:t xml:space="preserve">roup I </w:t>
      </w:r>
      <w:r w:rsidR="00B3219B" w:rsidRPr="00230BC2">
        <w:t>considered</w:t>
      </w:r>
      <w:r w:rsidR="00A2001F" w:rsidRPr="00230BC2">
        <w:t xml:space="preserve"> agenda</w:t>
      </w:r>
      <w:r w:rsidRPr="00230BC2">
        <w:t xml:space="preserve"> item 15 at its </w:t>
      </w:r>
      <w:r w:rsidR="00E67935" w:rsidRPr="00230BC2">
        <w:t>1st</w:t>
      </w:r>
      <w:r w:rsidRPr="00230BC2">
        <w:t xml:space="preserve"> meeting. </w:t>
      </w:r>
      <w:r w:rsidR="000A734E" w:rsidRPr="00230BC2">
        <w:t>It</w:t>
      </w:r>
      <w:r w:rsidR="003B384E" w:rsidRPr="00230BC2">
        <w:t xml:space="preserve"> </w:t>
      </w:r>
      <w:r w:rsidRPr="00230BC2">
        <w:t xml:space="preserve">had before it a draft decision based on recommendation 3/12 of the Subsidiary Body on Implementation, </w:t>
      </w:r>
      <w:r w:rsidR="00693A22" w:rsidRPr="00230BC2">
        <w:t xml:space="preserve">as </w:t>
      </w:r>
      <w:r w:rsidRPr="00230BC2">
        <w:t>set out in the compilation of draft decisions</w:t>
      </w:r>
      <w:r w:rsidR="00373A92" w:rsidRPr="00230BC2">
        <w:t>,</w:t>
      </w:r>
      <w:r w:rsidRPr="00230BC2">
        <w:t xml:space="preserve"> </w:t>
      </w:r>
      <w:r w:rsidR="0028496F" w:rsidRPr="00230BC2">
        <w:t xml:space="preserve">and </w:t>
      </w:r>
      <w:r w:rsidRPr="00230BC2">
        <w:t xml:space="preserve">a note by the Executive Secretary on information documents submitted by partner organizations </w:t>
      </w:r>
      <w:r w:rsidRPr="00230BC2">
        <w:rPr>
          <w:bCs/>
        </w:rPr>
        <w:t>(CBD/COP/15/14).</w:t>
      </w:r>
    </w:p>
    <w:p w14:paraId="0AB7F68E" w14:textId="7389C21B" w:rsidR="004246DB" w:rsidRPr="00230BC2" w:rsidRDefault="00B369DE" w:rsidP="003466FC">
      <w:pPr>
        <w:pStyle w:val="Para1"/>
      </w:pPr>
      <w:r w:rsidRPr="00230BC2">
        <w:t>W</w:t>
      </w:r>
      <w:r w:rsidR="004246DB" w:rsidRPr="00230BC2">
        <w:t xml:space="preserve">orking </w:t>
      </w:r>
      <w:r w:rsidRPr="00230BC2">
        <w:t>G</w:t>
      </w:r>
      <w:r w:rsidR="004246DB" w:rsidRPr="00230BC2">
        <w:t xml:space="preserve">roup </w:t>
      </w:r>
      <w:r w:rsidRPr="00230BC2">
        <w:t xml:space="preserve">I </w:t>
      </w:r>
      <w:r w:rsidR="004246DB" w:rsidRPr="00230BC2">
        <w:t xml:space="preserve">heard brief presentations by the representatives of secretariats of </w:t>
      </w:r>
      <w:r w:rsidR="004246DB" w:rsidRPr="00230BC2">
        <w:rPr>
          <w:rFonts w:eastAsia="Calibri"/>
          <w:u w:color="000000"/>
        </w:rPr>
        <w:t xml:space="preserve">conventions and organizations </w:t>
      </w:r>
      <w:r w:rsidR="002D0096" w:rsidRPr="00230BC2">
        <w:rPr>
          <w:rFonts w:eastAsia="Calibri"/>
          <w:u w:color="000000"/>
        </w:rPr>
        <w:t xml:space="preserve">the </w:t>
      </w:r>
      <w:r w:rsidR="004246DB" w:rsidRPr="00230BC2">
        <w:rPr>
          <w:rFonts w:eastAsia="Calibri"/>
          <w:u w:color="000000"/>
        </w:rPr>
        <w:t xml:space="preserve">governing bodies </w:t>
      </w:r>
      <w:r w:rsidR="002D0096" w:rsidRPr="00230BC2">
        <w:rPr>
          <w:rFonts w:eastAsia="Calibri"/>
          <w:u w:color="000000"/>
        </w:rPr>
        <w:t xml:space="preserve">of which </w:t>
      </w:r>
      <w:r w:rsidR="004246DB" w:rsidRPr="00230BC2">
        <w:rPr>
          <w:rFonts w:eastAsia="Calibri"/>
          <w:u w:color="000000"/>
        </w:rPr>
        <w:t>had recently met and addressed matters relevant to their cooperation with the Convention and to the post-2020 global biodiversity framework, namely</w:t>
      </w:r>
      <w:r w:rsidR="00D5665E" w:rsidRPr="00230BC2">
        <w:rPr>
          <w:rFonts w:eastAsia="Calibri"/>
          <w:u w:color="000000"/>
        </w:rPr>
        <w:t>,</w:t>
      </w:r>
      <w:r w:rsidR="004246DB" w:rsidRPr="00230BC2">
        <w:t xml:space="preserve"> the Convention on International Trade in Endangered Species of Wild Fauna and Flora</w:t>
      </w:r>
      <w:r w:rsidR="00E41549" w:rsidRPr="00230BC2">
        <w:t>,</w:t>
      </w:r>
      <w:r w:rsidR="004246DB" w:rsidRPr="00230BC2">
        <w:t xml:space="preserve"> the Convention on Wetlands of International Importance </w:t>
      </w:r>
      <w:r w:rsidR="00F100BD" w:rsidRPr="00230BC2">
        <w:t>e</w:t>
      </w:r>
      <w:r w:rsidR="004246DB" w:rsidRPr="00230BC2">
        <w:t>specially as Waterfowl Habitat</w:t>
      </w:r>
      <w:r w:rsidR="00E41549" w:rsidRPr="00230BC2">
        <w:t>,</w:t>
      </w:r>
      <w:r w:rsidR="004246DB" w:rsidRPr="00230BC2">
        <w:t xml:space="preserve"> the Framework Convention on the Protection and Sustainable Development of the Carpathians</w:t>
      </w:r>
      <w:r w:rsidR="00E41549" w:rsidRPr="00230BC2">
        <w:t>,</w:t>
      </w:r>
      <w:r w:rsidR="004246DB" w:rsidRPr="00230BC2">
        <w:t xml:space="preserve"> the International Treaty on Plant Genetic Resources for Food and Agriculture</w:t>
      </w:r>
      <w:r w:rsidR="00E41549" w:rsidRPr="00230BC2">
        <w:t>,</w:t>
      </w:r>
      <w:r w:rsidR="004246DB" w:rsidRPr="00230BC2">
        <w:t xml:space="preserve"> the International Whaling Commission and the United Nations Convention to Combat Desertification in Those Countries Experiencing Serious Drought and/or Desertification, Particularly in Africa.</w:t>
      </w:r>
    </w:p>
    <w:p w14:paraId="4E7A4EDF" w14:textId="77777777" w:rsidR="004246DB" w:rsidRPr="00230BC2" w:rsidRDefault="004246DB" w:rsidP="003466FC">
      <w:pPr>
        <w:pStyle w:val="Para1"/>
      </w:pPr>
      <w:r w:rsidRPr="00230BC2">
        <w:t>A statement was made by the representative of Japan.</w:t>
      </w:r>
    </w:p>
    <w:p w14:paraId="45309E13" w14:textId="744A626F" w:rsidR="004246DB" w:rsidRPr="00230BC2" w:rsidRDefault="00B369DE" w:rsidP="003466FC">
      <w:pPr>
        <w:pStyle w:val="Para1"/>
      </w:pPr>
      <w:r w:rsidRPr="00230BC2">
        <w:t>W</w:t>
      </w:r>
      <w:r w:rsidR="004246DB" w:rsidRPr="00230BC2">
        <w:t xml:space="preserve">orking </w:t>
      </w:r>
      <w:r w:rsidRPr="00230BC2">
        <w:t>G</w:t>
      </w:r>
      <w:r w:rsidR="004246DB" w:rsidRPr="00230BC2">
        <w:t xml:space="preserve">roup </w:t>
      </w:r>
      <w:r w:rsidRPr="00230BC2">
        <w:t xml:space="preserve">I </w:t>
      </w:r>
      <w:r w:rsidR="004246DB" w:rsidRPr="00230BC2">
        <w:t xml:space="preserve">agreed that </w:t>
      </w:r>
      <w:r w:rsidR="00843105" w:rsidRPr="00230BC2">
        <w:t xml:space="preserve">its </w:t>
      </w:r>
      <w:r w:rsidR="004246DB" w:rsidRPr="00230BC2">
        <w:t xml:space="preserve">Chair would hold informal consultations on the few </w:t>
      </w:r>
      <w:r w:rsidR="00D9069D" w:rsidRPr="00230BC2">
        <w:t xml:space="preserve">outstanding </w:t>
      </w:r>
      <w:r w:rsidR="004246DB" w:rsidRPr="00230BC2">
        <w:t xml:space="preserve">issues and prepare a revised draft decision for the </w:t>
      </w:r>
      <w:r w:rsidR="00583FC8" w:rsidRPr="00230BC2">
        <w:t>G</w:t>
      </w:r>
      <w:r w:rsidR="004246DB" w:rsidRPr="00230BC2">
        <w:t>roup’s consideration.</w:t>
      </w:r>
    </w:p>
    <w:p w14:paraId="497CF2A3" w14:textId="265A941F" w:rsidR="004246DB" w:rsidRPr="00230BC2" w:rsidRDefault="004246DB" w:rsidP="003466FC">
      <w:pPr>
        <w:pStyle w:val="Para1"/>
      </w:pPr>
      <w:r w:rsidRPr="00230BC2">
        <w:lastRenderedPageBreak/>
        <w:t xml:space="preserve">At its </w:t>
      </w:r>
      <w:r w:rsidR="00E67935" w:rsidRPr="00230BC2">
        <w:t>3rd</w:t>
      </w:r>
      <w:r w:rsidRPr="00230BC2">
        <w:t xml:space="preserve"> meeting, </w:t>
      </w:r>
      <w:r w:rsidR="006B23E2" w:rsidRPr="00230BC2">
        <w:t>W</w:t>
      </w:r>
      <w:r w:rsidRPr="00230BC2">
        <w:t xml:space="preserve">orking </w:t>
      </w:r>
      <w:r w:rsidR="006B23E2" w:rsidRPr="00230BC2">
        <w:t>G</w:t>
      </w:r>
      <w:r w:rsidRPr="00230BC2">
        <w:t xml:space="preserve">roup </w:t>
      </w:r>
      <w:r w:rsidR="006B23E2" w:rsidRPr="00230BC2">
        <w:t xml:space="preserve">I </w:t>
      </w:r>
      <w:r w:rsidRPr="00230BC2">
        <w:t xml:space="preserve">considered the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CBD/COP/15/L.21.</w:t>
      </w:r>
    </w:p>
    <w:p w14:paraId="3B59367E" w14:textId="053DDA21" w:rsidR="004246DB" w:rsidRPr="00230BC2" w:rsidRDefault="008E1135"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w:t>
      </w:r>
      <w:r w:rsidR="00520486" w:rsidRPr="00230BC2">
        <w:t> </w:t>
      </w:r>
      <w:r w:rsidRPr="00230BC2">
        <w:t>15/</w:t>
      </w:r>
      <w:r w:rsidR="00511310" w:rsidRPr="00230BC2">
        <w:t>13</w:t>
      </w:r>
      <w:r w:rsidRPr="00230BC2">
        <w:t>.</w:t>
      </w:r>
    </w:p>
    <w:p w14:paraId="37300B0E" w14:textId="6DE636CF" w:rsidR="004044AE"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50" w:name="_Toc150438851"/>
      <w:r w:rsidRPr="00EE6F7F">
        <w:rPr>
          <w:b/>
          <w:bCs/>
          <w:snapToGrid w:val="0"/>
          <w:kern w:val="22"/>
          <w:szCs w:val="22"/>
        </w:rPr>
        <w:t>Item 16.</w:t>
      </w:r>
      <w:r w:rsidRPr="00EE6F7F">
        <w:rPr>
          <w:b/>
          <w:bCs/>
          <w:snapToGrid w:val="0"/>
          <w:kern w:val="22"/>
          <w:szCs w:val="22"/>
        </w:rPr>
        <w:tab/>
      </w:r>
      <w:r w:rsidR="004044AE" w:rsidRPr="00EE6F7F">
        <w:rPr>
          <w:b/>
          <w:bCs/>
          <w:snapToGrid w:val="0"/>
          <w:kern w:val="22"/>
          <w:szCs w:val="22"/>
        </w:rPr>
        <w:t>Mainstreaming</w:t>
      </w:r>
      <w:r w:rsidR="009033D3" w:rsidRPr="00EE6F7F">
        <w:rPr>
          <w:b/>
          <w:bCs/>
          <w:snapToGrid w:val="0"/>
          <w:kern w:val="22"/>
          <w:szCs w:val="22"/>
        </w:rPr>
        <w:t xml:space="preserve"> of biodiversity within and across sectors</w:t>
      </w:r>
      <w:bookmarkEnd w:id="450"/>
    </w:p>
    <w:p w14:paraId="70344FFC" w14:textId="511525BF" w:rsidR="009450C5" w:rsidRPr="00B1495D" w:rsidRDefault="009450C5" w:rsidP="00B1495D">
      <w:pPr>
        <w:keepNext/>
        <w:suppressLineNumbers/>
        <w:tabs>
          <w:tab w:val="left" w:pos="990"/>
        </w:tabs>
        <w:suppressAutoHyphens/>
        <w:kinsoku w:val="0"/>
        <w:overflowPunct w:val="0"/>
        <w:autoSpaceDE w:val="0"/>
        <w:autoSpaceDN w:val="0"/>
        <w:adjustRightInd w:val="0"/>
        <w:snapToGrid w:val="0"/>
        <w:spacing w:before="240" w:after="120"/>
        <w:ind w:left="1701" w:hanging="567"/>
        <w:jc w:val="left"/>
        <w:rPr>
          <w:b/>
          <w:bCs/>
          <w:snapToGrid w:val="0"/>
          <w:kern w:val="22"/>
          <w:szCs w:val="22"/>
        </w:rPr>
      </w:pPr>
      <w:bookmarkStart w:id="451" w:name="_Toc150438852"/>
      <w:r w:rsidRPr="00B1495D">
        <w:rPr>
          <w:b/>
          <w:bCs/>
          <w:snapToGrid w:val="0"/>
          <w:kern w:val="22"/>
          <w:szCs w:val="22"/>
        </w:rPr>
        <w:t>A.</w:t>
      </w:r>
      <w:r w:rsidR="001F2B81" w:rsidRPr="00B1495D">
        <w:rPr>
          <w:b/>
          <w:bCs/>
          <w:snapToGrid w:val="0"/>
          <w:kern w:val="22"/>
          <w:szCs w:val="22"/>
        </w:rPr>
        <w:tab/>
      </w:r>
      <w:r w:rsidRPr="00B1495D">
        <w:rPr>
          <w:b/>
          <w:bCs/>
          <w:snapToGrid w:val="0"/>
          <w:kern w:val="22"/>
          <w:szCs w:val="22"/>
        </w:rPr>
        <w:t xml:space="preserve">Mainstreaming of biodiversity within and across sectors: </w:t>
      </w:r>
      <w:r w:rsidR="00A02B7C" w:rsidRPr="00B1495D">
        <w:rPr>
          <w:b/>
          <w:bCs/>
          <w:snapToGrid w:val="0"/>
          <w:kern w:val="22"/>
          <w:szCs w:val="22"/>
        </w:rPr>
        <w:t>l</w:t>
      </w:r>
      <w:r w:rsidRPr="00B1495D">
        <w:rPr>
          <w:b/>
          <w:bCs/>
          <w:snapToGrid w:val="0"/>
          <w:kern w:val="22"/>
          <w:szCs w:val="22"/>
        </w:rPr>
        <w:t>ong-term strategic approach to mainstreaming biodiversity</w:t>
      </w:r>
      <w:bookmarkEnd w:id="451"/>
    </w:p>
    <w:p w14:paraId="475E7F7D" w14:textId="58AF26A1" w:rsidR="00DB6E92" w:rsidRPr="00230BC2" w:rsidRDefault="00DB6E92"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16 A </w:t>
      </w:r>
      <w:r w:rsidR="00644127" w:rsidRPr="00230BC2">
        <w:t xml:space="preserve">of the agenda </w:t>
      </w:r>
      <w:r w:rsidRPr="00230BC2">
        <w:t xml:space="preserve">at its </w:t>
      </w:r>
      <w:r w:rsidR="00E67935" w:rsidRPr="00230BC2">
        <w:t>1st</w:t>
      </w:r>
      <w:r w:rsidRPr="00230BC2">
        <w:t xml:space="preserve"> meeting. </w:t>
      </w:r>
      <w:r w:rsidR="007F39A1" w:rsidRPr="00230BC2">
        <w:t xml:space="preserve">It </w:t>
      </w:r>
      <w:r w:rsidRPr="00230BC2">
        <w:t>had before it a draft decision on a long-term strategic approach to mainstreaming biodiversity, based on recommendation 3/15 of the Subsidiary Body on Implementation</w:t>
      </w:r>
      <w:r w:rsidR="001D69EF" w:rsidRPr="00230BC2">
        <w:t>,</w:t>
      </w:r>
      <w:r w:rsidRPr="00230BC2">
        <w:t xml:space="preserve"> </w:t>
      </w:r>
      <w:r w:rsidR="001D69EF" w:rsidRPr="00230BC2">
        <w:t>as</w:t>
      </w:r>
      <w:r w:rsidRPr="00230BC2">
        <w:t xml:space="preserve"> set out in the compilation of draft decisions</w:t>
      </w:r>
      <w:r w:rsidR="00373A92" w:rsidRPr="00230BC2">
        <w:t>,</w:t>
      </w:r>
      <w:r w:rsidRPr="00230BC2">
        <w:t xml:space="preserve"> </w:t>
      </w:r>
      <w:r w:rsidR="0028496F" w:rsidRPr="00230BC2">
        <w:t xml:space="preserve">and </w:t>
      </w:r>
      <w:r w:rsidRPr="00230BC2">
        <w:t xml:space="preserve">three information documents with compilations of the submissions received from Parties and observers on </w:t>
      </w:r>
      <w:r w:rsidR="000F5167" w:rsidRPr="00230BC2">
        <w:t xml:space="preserve">said </w:t>
      </w:r>
      <w:r w:rsidRPr="00230BC2">
        <w:t xml:space="preserve">approach and the voluntary action plan to complement </w:t>
      </w:r>
      <w:r w:rsidR="000F5167" w:rsidRPr="00230BC2">
        <w:t xml:space="preserve">it </w:t>
      </w:r>
      <w:r w:rsidRPr="00230BC2">
        <w:t>(CBD/COP/15/INF/10, CBD/COP/15/INF/11 and CBD/COP/15/INF/12).</w:t>
      </w:r>
    </w:p>
    <w:p w14:paraId="0F4DB794" w14:textId="77367059" w:rsidR="00DB6E92" w:rsidRPr="00230BC2" w:rsidRDefault="00B369DE" w:rsidP="003466FC">
      <w:pPr>
        <w:pStyle w:val="Para1"/>
      </w:pPr>
      <w:r w:rsidRPr="00230BC2">
        <w:t>W</w:t>
      </w:r>
      <w:r w:rsidR="00DB6E92" w:rsidRPr="00230BC2">
        <w:t xml:space="preserve">orking </w:t>
      </w:r>
      <w:r w:rsidRPr="00230BC2">
        <w:t>G</w:t>
      </w:r>
      <w:r w:rsidR="00DB6E92" w:rsidRPr="00230BC2">
        <w:t xml:space="preserve">roup </w:t>
      </w:r>
      <w:r w:rsidRPr="00230BC2">
        <w:t xml:space="preserve">I </w:t>
      </w:r>
      <w:r w:rsidR="00DB6E92" w:rsidRPr="00230BC2">
        <w:t>establish</w:t>
      </w:r>
      <w:r w:rsidR="002206DF" w:rsidRPr="00230BC2">
        <w:t>ed</w:t>
      </w:r>
      <w:r w:rsidR="00DB6E92" w:rsidRPr="00230BC2">
        <w:t xml:space="preserve"> a contact group, co-chaired by Carlos Albuquerque (</w:t>
      </w:r>
      <w:r w:rsidR="00496DCB" w:rsidRPr="00230BC2">
        <w:t>Portugal</w:t>
      </w:r>
      <w:r w:rsidR="00DB6E92" w:rsidRPr="00230BC2">
        <w:t>) and Stanislas Mouba (Gabon), with the mandate to discuss the issue and prepare a proposal on the way forward.</w:t>
      </w:r>
    </w:p>
    <w:p w14:paraId="4A16D19B" w14:textId="33E2D8EB" w:rsidR="00DB6E92" w:rsidRPr="00230BC2" w:rsidRDefault="00DB6E92" w:rsidP="003466FC">
      <w:pPr>
        <w:pStyle w:val="Para1"/>
      </w:pPr>
      <w:r w:rsidRPr="00230BC2">
        <w:t xml:space="preserve">At its </w:t>
      </w:r>
      <w:r w:rsidR="00E67935" w:rsidRPr="00230BC2">
        <w:t>4th</w:t>
      </w:r>
      <w:r w:rsidRPr="00230BC2">
        <w:t xml:space="preserve"> meeting, </w:t>
      </w:r>
      <w:r w:rsidR="006B23E2" w:rsidRPr="00230BC2">
        <w:t>W</w:t>
      </w:r>
      <w:r w:rsidRPr="00230BC2">
        <w:t xml:space="preserve">orking </w:t>
      </w:r>
      <w:r w:rsidR="006B23E2" w:rsidRPr="00230BC2">
        <w:t>G</w:t>
      </w:r>
      <w:r w:rsidRPr="00230BC2">
        <w:t xml:space="preserve">roup </w:t>
      </w:r>
      <w:r w:rsidR="006B23E2" w:rsidRPr="00230BC2">
        <w:t xml:space="preserve">I </w:t>
      </w:r>
      <w:r w:rsidRPr="00230BC2">
        <w:t xml:space="preserve">considered a revised draft decision submitted by </w:t>
      </w:r>
      <w:r w:rsidR="00820031"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 xml:space="preserve">as draft decision CBD/COP/15/L.34. </w:t>
      </w:r>
    </w:p>
    <w:p w14:paraId="685F058D" w14:textId="30E5DC56" w:rsidR="000B40E1" w:rsidRPr="00230BC2" w:rsidRDefault="000B40E1"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3809E1" w:rsidRPr="00230BC2">
        <w:t> </w:t>
      </w:r>
      <w:r w:rsidRPr="00230BC2">
        <w:t>15/</w:t>
      </w:r>
      <w:r w:rsidR="00B71135" w:rsidRPr="00230BC2">
        <w:t>17</w:t>
      </w:r>
      <w:r w:rsidRPr="00230BC2">
        <w:t>.</w:t>
      </w:r>
    </w:p>
    <w:p w14:paraId="3EA2BB26" w14:textId="789BB11F" w:rsidR="00735756" w:rsidRPr="00B1495D" w:rsidRDefault="00735756" w:rsidP="00B1495D">
      <w:pPr>
        <w:keepNext/>
        <w:suppressLineNumbers/>
        <w:tabs>
          <w:tab w:val="left" w:pos="990"/>
        </w:tabs>
        <w:suppressAutoHyphens/>
        <w:kinsoku w:val="0"/>
        <w:overflowPunct w:val="0"/>
        <w:autoSpaceDE w:val="0"/>
        <w:autoSpaceDN w:val="0"/>
        <w:adjustRightInd w:val="0"/>
        <w:snapToGrid w:val="0"/>
        <w:spacing w:before="240" w:after="120"/>
        <w:ind w:left="1701" w:hanging="567"/>
        <w:jc w:val="left"/>
        <w:rPr>
          <w:b/>
          <w:bCs/>
          <w:snapToGrid w:val="0"/>
          <w:kern w:val="22"/>
          <w:szCs w:val="22"/>
        </w:rPr>
      </w:pPr>
      <w:bookmarkStart w:id="452" w:name="_Toc150438853"/>
      <w:r w:rsidRPr="00B1495D">
        <w:rPr>
          <w:b/>
          <w:bCs/>
          <w:snapToGrid w:val="0"/>
          <w:kern w:val="22"/>
          <w:szCs w:val="22"/>
        </w:rPr>
        <w:t>B.</w:t>
      </w:r>
      <w:bookmarkStart w:id="453" w:name="_Hlk103362762"/>
      <w:r w:rsidR="001F2B81" w:rsidRPr="00B1495D">
        <w:rPr>
          <w:b/>
          <w:bCs/>
          <w:snapToGrid w:val="0"/>
          <w:kern w:val="22"/>
          <w:szCs w:val="22"/>
        </w:rPr>
        <w:tab/>
      </w:r>
      <w:r w:rsidRPr="00B1495D">
        <w:rPr>
          <w:b/>
          <w:bCs/>
          <w:snapToGrid w:val="0"/>
          <w:kern w:val="22"/>
          <w:szCs w:val="22"/>
        </w:rPr>
        <w:t>Engagement with subnational governments, cities and other local authorities to enhance implementation of the post-2020 global biodiversity framework</w:t>
      </w:r>
      <w:bookmarkEnd w:id="452"/>
      <w:bookmarkEnd w:id="453"/>
    </w:p>
    <w:p w14:paraId="73DA78EE" w14:textId="6F5305E2" w:rsidR="00DE76BF" w:rsidRPr="00230BC2" w:rsidRDefault="00DE76BF" w:rsidP="003466FC">
      <w:pPr>
        <w:pStyle w:val="Para1"/>
      </w:pPr>
      <w:r w:rsidRPr="00230BC2">
        <w:t xml:space="preserve">Working </w:t>
      </w:r>
      <w:r w:rsidR="003873C8" w:rsidRPr="00230BC2">
        <w:t>G</w:t>
      </w:r>
      <w:r w:rsidRPr="00230BC2">
        <w:t xml:space="preserve">roup I </w:t>
      </w:r>
      <w:r w:rsidR="00B3219B" w:rsidRPr="00230BC2">
        <w:t>considered</w:t>
      </w:r>
      <w:r w:rsidRPr="00230BC2">
        <w:t xml:space="preserve"> sub-item 16 B </w:t>
      </w:r>
      <w:r w:rsidR="00644127" w:rsidRPr="00230BC2">
        <w:t xml:space="preserve">of the agenda </w:t>
      </w:r>
      <w:r w:rsidRPr="00230BC2">
        <w:t xml:space="preserve">at its </w:t>
      </w:r>
      <w:r w:rsidR="00E67935" w:rsidRPr="00230BC2">
        <w:t>1st</w:t>
      </w:r>
      <w:r w:rsidRPr="00230BC2">
        <w:t xml:space="preserve"> meeting</w:t>
      </w:r>
      <w:r w:rsidR="00566F86" w:rsidRPr="00230BC2">
        <w:t>.</w:t>
      </w:r>
      <w:r w:rsidRPr="00230BC2">
        <w:t xml:space="preserve"> </w:t>
      </w:r>
      <w:r w:rsidR="00566F86" w:rsidRPr="00230BC2">
        <w:t xml:space="preserve">It </w:t>
      </w:r>
      <w:r w:rsidRPr="00230BC2">
        <w:t>had before it a draft decision based on recommendation 3/14 of the Subsidiary Body on Implementation</w:t>
      </w:r>
      <w:r w:rsidR="001D69EF" w:rsidRPr="00230BC2">
        <w:t>,</w:t>
      </w:r>
      <w:r w:rsidRPr="00230BC2">
        <w:t xml:space="preserve"> </w:t>
      </w:r>
      <w:r w:rsidR="001D69EF" w:rsidRPr="00230BC2">
        <w:t>as</w:t>
      </w:r>
      <w:r w:rsidRPr="00230BC2">
        <w:t xml:space="preserve"> set out in the compilation of draft decisions</w:t>
      </w:r>
      <w:r w:rsidR="00373A92" w:rsidRPr="00230BC2">
        <w:t>.</w:t>
      </w:r>
      <w:r w:rsidRPr="00230BC2">
        <w:t xml:space="preserve"> </w:t>
      </w:r>
    </w:p>
    <w:p w14:paraId="1F5E2AB0" w14:textId="51409FC2" w:rsidR="00DE76BF" w:rsidRPr="00230BC2" w:rsidRDefault="00B369DE" w:rsidP="003466FC">
      <w:pPr>
        <w:pStyle w:val="Para1"/>
      </w:pPr>
      <w:r w:rsidRPr="00230BC2">
        <w:t>W</w:t>
      </w:r>
      <w:r w:rsidR="00DE76BF" w:rsidRPr="00230BC2">
        <w:t xml:space="preserve">orking </w:t>
      </w:r>
      <w:r w:rsidRPr="00230BC2">
        <w:t>G</w:t>
      </w:r>
      <w:r w:rsidR="00DE76BF" w:rsidRPr="00230BC2">
        <w:t xml:space="preserve">roup </w:t>
      </w:r>
      <w:r w:rsidRPr="00230BC2">
        <w:t xml:space="preserve">I </w:t>
      </w:r>
      <w:r w:rsidR="00DE76BF" w:rsidRPr="00230BC2">
        <w:t xml:space="preserve">agreed that </w:t>
      </w:r>
      <w:r w:rsidR="00843105" w:rsidRPr="00230BC2">
        <w:t xml:space="preserve">its </w:t>
      </w:r>
      <w:r w:rsidR="00DE76BF" w:rsidRPr="00230BC2">
        <w:t xml:space="preserve">Chair would hold informal consultations on the few </w:t>
      </w:r>
      <w:r w:rsidR="00D9069D" w:rsidRPr="00230BC2">
        <w:t xml:space="preserve">outstanding </w:t>
      </w:r>
      <w:r w:rsidR="00DE76BF" w:rsidRPr="00230BC2">
        <w:t xml:space="preserve">issues and prepare a revised draft decision for the </w:t>
      </w:r>
      <w:r w:rsidR="00583FC8" w:rsidRPr="00230BC2">
        <w:t>G</w:t>
      </w:r>
      <w:r w:rsidR="00DE76BF" w:rsidRPr="00230BC2">
        <w:t>roup’s consideration.</w:t>
      </w:r>
    </w:p>
    <w:p w14:paraId="13E5B0F5" w14:textId="72B00655" w:rsidR="00DE76BF" w:rsidRPr="00230BC2" w:rsidRDefault="00DE76BF" w:rsidP="003466FC">
      <w:pPr>
        <w:pStyle w:val="Para1"/>
      </w:pPr>
      <w:r w:rsidRPr="00230BC2">
        <w:t xml:space="preserve">At its </w:t>
      </w:r>
      <w:r w:rsidR="00E67935" w:rsidRPr="00230BC2">
        <w:t>3rd</w:t>
      </w:r>
      <w:r w:rsidRPr="00230BC2">
        <w:t xml:space="preserve"> meeting, </w:t>
      </w:r>
      <w:r w:rsidR="006B23E2" w:rsidRPr="00230BC2">
        <w:t>W</w:t>
      </w:r>
      <w:r w:rsidRPr="00230BC2">
        <w:t xml:space="preserve">orking </w:t>
      </w:r>
      <w:r w:rsidR="006B23E2" w:rsidRPr="00230BC2">
        <w:t>G</w:t>
      </w:r>
      <w:r w:rsidRPr="00230BC2">
        <w:t xml:space="preserve">roup </w:t>
      </w:r>
      <w:r w:rsidR="006B23E2" w:rsidRPr="00230BC2">
        <w:t xml:space="preserve">I </w:t>
      </w:r>
      <w:r w:rsidRPr="00230BC2">
        <w:t xml:space="preserve">considered the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CBD/COP/15/L.22.</w:t>
      </w:r>
    </w:p>
    <w:p w14:paraId="0EFFA2B4" w14:textId="7D42997E" w:rsidR="003B34E2" w:rsidRPr="00230BC2" w:rsidRDefault="003B34E2"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030CC4" w:rsidRPr="00230BC2">
        <w:t> </w:t>
      </w:r>
      <w:r w:rsidRPr="00230BC2">
        <w:t>15/</w:t>
      </w:r>
      <w:r w:rsidR="0088082D" w:rsidRPr="00230BC2">
        <w:t>12</w:t>
      </w:r>
      <w:r w:rsidRPr="00230BC2">
        <w:t>.</w:t>
      </w:r>
    </w:p>
    <w:p w14:paraId="15A9A145" w14:textId="56354198" w:rsidR="0061275F" w:rsidRPr="00EE6F7F" w:rsidRDefault="009033D3"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 xml:space="preserve">Item </w:t>
      </w:r>
      <w:r w:rsidR="00CD702A" w:rsidRPr="00EE6F7F">
        <w:rPr>
          <w:b/>
          <w:bCs/>
          <w:snapToGrid w:val="0"/>
          <w:kern w:val="22"/>
          <w:szCs w:val="22"/>
        </w:rPr>
        <w:t>17.</w:t>
      </w:r>
      <w:r w:rsidR="00CD3F44" w:rsidRPr="00EE6F7F">
        <w:rPr>
          <w:b/>
          <w:bCs/>
          <w:snapToGrid w:val="0"/>
          <w:kern w:val="22"/>
          <w:szCs w:val="22"/>
        </w:rPr>
        <w:t xml:space="preserve"> </w:t>
      </w:r>
      <w:r w:rsidR="0061275F" w:rsidRPr="00EE6F7F">
        <w:rPr>
          <w:b/>
          <w:bCs/>
          <w:snapToGrid w:val="0"/>
          <w:kern w:val="22"/>
          <w:szCs w:val="22"/>
        </w:rPr>
        <w:t xml:space="preserve">Review of the effectiveness of processes under the Convention and its Protocols </w:t>
      </w:r>
    </w:p>
    <w:p w14:paraId="665F843C" w14:textId="41B4AB0F" w:rsidR="00180B37" w:rsidRPr="00230BC2" w:rsidRDefault="00180B37" w:rsidP="003466FC">
      <w:pPr>
        <w:pStyle w:val="Para1"/>
        <w:rPr>
          <w:bCs/>
        </w:rPr>
      </w:pPr>
      <w:r w:rsidRPr="00230BC2">
        <w:t xml:space="preserve">Working </w:t>
      </w:r>
      <w:r w:rsidR="003873C8" w:rsidRPr="00230BC2">
        <w:t>G</w:t>
      </w:r>
      <w:r w:rsidRPr="00230BC2">
        <w:t xml:space="preserve">roup II </w:t>
      </w:r>
      <w:r w:rsidR="00B3219B" w:rsidRPr="00230BC2">
        <w:t>considered</w:t>
      </w:r>
      <w:r w:rsidR="00A2001F" w:rsidRPr="00230BC2">
        <w:t xml:space="preserve"> agenda</w:t>
      </w:r>
      <w:r w:rsidRPr="00230BC2">
        <w:t xml:space="preserve"> item 17 at its </w:t>
      </w:r>
      <w:r w:rsidR="00E67935" w:rsidRPr="00230BC2">
        <w:t>2nd</w:t>
      </w:r>
      <w:r w:rsidRPr="00230BC2">
        <w:t xml:space="preserve"> meeting, </w:t>
      </w:r>
      <w:r w:rsidR="00E53E66" w:rsidRPr="00230BC2">
        <w:t>in conjunction</w:t>
      </w:r>
      <w:r w:rsidRPr="00230BC2">
        <w:t xml:space="preserve"> with </w:t>
      </w:r>
      <w:r w:rsidR="00A2001F" w:rsidRPr="00230BC2">
        <w:t xml:space="preserve">agenda </w:t>
      </w:r>
      <w:r w:rsidRPr="00230BC2">
        <w:t>item</w:t>
      </w:r>
      <w:r w:rsidR="004216FC" w:rsidRPr="00230BC2">
        <w:t> </w:t>
      </w:r>
      <w:r w:rsidRPr="00230BC2">
        <w:t xml:space="preserve">13 </w:t>
      </w:r>
      <w:r w:rsidR="00343C2E" w:rsidRPr="00230BC2">
        <w:t xml:space="preserve">of </w:t>
      </w:r>
      <w:r w:rsidR="00E53E66" w:rsidRPr="00230BC2">
        <w:t xml:space="preserve">the </w:t>
      </w:r>
      <w:r w:rsidR="00F432C6" w:rsidRPr="00230BC2">
        <w:t xml:space="preserve">tenth meeting of </w:t>
      </w:r>
      <w:r w:rsidRPr="00230BC2">
        <w:t xml:space="preserve">the Conference of the Parties serving as the meeting of the Parties to the Cartagena Protocol and </w:t>
      </w:r>
      <w:r w:rsidR="00740F95" w:rsidRPr="00230BC2">
        <w:t xml:space="preserve">agenda </w:t>
      </w:r>
      <w:r w:rsidRPr="00230BC2">
        <w:t>item</w:t>
      </w:r>
      <w:r w:rsidR="00740F95" w:rsidRPr="00230BC2">
        <w:t> </w:t>
      </w:r>
      <w:r w:rsidRPr="00230BC2">
        <w:t xml:space="preserve">12 </w:t>
      </w:r>
      <w:r w:rsidR="00343C2E" w:rsidRPr="00230BC2">
        <w:t xml:space="preserve">of </w:t>
      </w:r>
      <w:r w:rsidR="00F432C6" w:rsidRPr="00230BC2">
        <w:t xml:space="preserve">the fourth meeting of </w:t>
      </w:r>
      <w:r w:rsidRPr="00230BC2">
        <w:t xml:space="preserve">the Conference of the Parties serving as the meeting of the Parties to the Nagoya Protocol. </w:t>
      </w:r>
      <w:r w:rsidR="0017671B" w:rsidRPr="00230BC2">
        <w:t xml:space="preserve">It </w:t>
      </w:r>
      <w:r w:rsidRPr="00230BC2">
        <w:t>had before it a draft decision based on recommendation 3/13 of the Subsidiary Body on Implementation</w:t>
      </w:r>
      <w:r w:rsidR="001D69EF" w:rsidRPr="00230BC2">
        <w:t>,</w:t>
      </w:r>
      <w:r w:rsidRPr="00230BC2">
        <w:t xml:space="preserve"> </w:t>
      </w:r>
      <w:r w:rsidR="001D69EF" w:rsidRPr="00230BC2">
        <w:t>as</w:t>
      </w:r>
      <w:r w:rsidRPr="00230BC2">
        <w:t xml:space="preserve"> set out in the compilations of draft decisions of the three </w:t>
      </w:r>
      <w:r w:rsidR="00884704" w:rsidRPr="00230BC2">
        <w:t xml:space="preserve">bodies </w:t>
      </w:r>
      <w:r w:rsidRPr="00230BC2">
        <w:t>(CBD/COP/15/2</w:t>
      </w:r>
      <w:r w:rsidR="009354B4" w:rsidRPr="00230BC2">
        <w:t>,</w:t>
      </w:r>
      <w:r w:rsidRPr="00230BC2">
        <w:t xml:space="preserve"> CBD/CP/MOP/10/1/Add.5 and CBD/NP/MOP/4/1/Add.5</w:t>
      </w:r>
      <w:r w:rsidR="00B61BB6" w:rsidRPr="00230BC2">
        <w:t>, respectively</w:t>
      </w:r>
      <w:r w:rsidRPr="00230BC2">
        <w:t>).</w:t>
      </w:r>
    </w:p>
    <w:p w14:paraId="7960F06C" w14:textId="7423B10B" w:rsidR="00180B37" w:rsidRPr="00230BC2" w:rsidRDefault="00180B37" w:rsidP="003466FC">
      <w:pPr>
        <w:pStyle w:val="Para1"/>
      </w:pPr>
      <w:r w:rsidRPr="00230BC2">
        <w:t xml:space="preserve">Statements were made by representatives of </w:t>
      </w:r>
      <w:r w:rsidR="0051107D" w:rsidRPr="00230BC2">
        <w:t xml:space="preserve">the following Parties: </w:t>
      </w:r>
      <w:r w:rsidRPr="00230BC2">
        <w:t>Brazil, European Union and its 27</w:t>
      </w:r>
      <w:r w:rsidR="00A90409" w:rsidRPr="00230BC2">
        <w:t> </w:t>
      </w:r>
      <w:r w:rsidRPr="00230BC2">
        <w:t xml:space="preserve">member States, Mexico and United Kingdom. </w:t>
      </w:r>
    </w:p>
    <w:p w14:paraId="16F45E64" w14:textId="3AEADD8A" w:rsidR="00180B37" w:rsidRPr="00230BC2" w:rsidRDefault="00B369DE" w:rsidP="003466FC">
      <w:pPr>
        <w:pStyle w:val="Para1"/>
      </w:pPr>
      <w:r w:rsidRPr="00230BC2">
        <w:rPr>
          <w:rStyle w:val="Para1Char"/>
        </w:rPr>
        <w:lastRenderedPageBreak/>
        <w:t>W</w:t>
      </w:r>
      <w:r w:rsidR="00180B37" w:rsidRPr="00230BC2">
        <w:rPr>
          <w:rStyle w:val="Para1Char"/>
        </w:rPr>
        <w:t xml:space="preserve">orking </w:t>
      </w:r>
      <w:r w:rsidRPr="00230BC2">
        <w:rPr>
          <w:rStyle w:val="Para1Char"/>
        </w:rPr>
        <w:t>G</w:t>
      </w:r>
      <w:r w:rsidR="00180B37" w:rsidRPr="00230BC2">
        <w:rPr>
          <w:rStyle w:val="Para1Char"/>
        </w:rPr>
        <w:t xml:space="preserve">roup </w:t>
      </w:r>
      <w:r w:rsidRPr="00230BC2">
        <w:rPr>
          <w:rStyle w:val="Para1Char"/>
        </w:rPr>
        <w:t xml:space="preserve">II </w:t>
      </w:r>
      <w:r w:rsidR="00180B37" w:rsidRPr="00230BC2">
        <w:rPr>
          <w:rStyle w:val="Para1Char"/>
        </w:rPr>
        <w:t xml:space="preserve">agreed that </w:t>
      </w:r>
      <w:r w:rsidR="00C44B53" w:rsidRPr="00230BC2">
        <w:rPr>
          <w:rStyle w:val="Para1Char"/>
        </w:rPr>
        <w:t xml:space="preserve">its </w:t>
      </w:r>
      <w:r w:rsidR="00180B37" w:rsidRPr="00230BC2">
        <w:rPr>
          <w:rStyle w:val="Para1Char"/>
        </w:rPr>
        <w:t xml:space="preserve">Chair would prepare a revised draft decision for </w:t>
      </w:r>
      <w:r w:rsidR="001C5863" w:rsidRPr="00230BC2">
        <w:t xml:space="preserve">the Group’s </w:t>
      </w:r>
      <w:r w:rsidR="00180B37" w:rsidRPr="00230BC2">
        <w:t>consideration, taking account of the statements made.</w:t>
      </w:r>
    </w:p>
    <w:p w14:paraId="37D5DF3F" w14:textId="4A80FDBC" w:rsidR="00180B37" w:rsidRPr="00230BC2" w:rsidRDefault="00180B37" w:rsidP="003466FC">
      <w:pPr>
        <w:pStyle w:val="Para1"/>
      </w:pPr>
      <w:r w:rsidRPr="00230BC2">
        <w:t xml:space="preserve">At its </w:t>
      </w:r>
      <w:r w:rsidR="0042766B" w:rsidRPr="00230BC2">
        <w:t>5th</w:t>
      </w:r>
      <w:r w:rsidRPr="00230BC2">
        <w:t xml:space="preserve"> meeting, on 9 December, </w:t>
      </w:r>
      <w:r w:rsidR="006B23E2" w:rsidRPr="00230BC2">
        <w:t>W</w:t>
      </w:r>
      <w:r w:rsidRPr="00230BC2">
        <w:t xml:space="preserve">orking </w:t>
      </w:r>
      <w:r w:rsidR="006B23E2" w:rsidRPr="00230BC2">
        <w:t>G</w:t>
      </w:r>
      <w:r w:rsidRPr="00230BC2">
        <w:t xml:space="preserve">roup </w:t>
      </w:r>
      <w:r w:rsidR="006B23E2" w:rsidRPr="00230BC2">
        <w:t xml:space="preserve">II </w:t>
      </w:r>
      <w:r w:rsidRPr="00230BC2">
        <w:t xml:space="preserve">considered the revised draft decision submitted by </w:t>
      </w:r>
      <w:r w:rsidR="00583A9B" w:rsidRPr="00230BC2">
        <w:t xml:space="preserve">its </w:t>
      </w:r>
      <w:r w:rsidRPr="00230BC2">
        <w:t xml:space="preserve">Chair. </w:t>
      </w:r>
    </w:p>
    <w:p w14:paraId="22E24137" w14:textId="06122E40" w:rsidR="00180B37" w:rsidRPr="00230BC2" w:rsidRDefault="00180B37" w:rsidP="003466FC">
      <w:pPr>
        <w:pStyle w:val="Para1"/>
      </w:pPr>
      <w:r w:rsidRPr="00230BC2">
        <w:rPr>
          <w:rStyle w:val="Para1Char"/>
        </w:rPr>
        <w:t xml:space="preserve">Statements were made by representatives of </w:t>
      </w:r>
      <w:r w:rsidR="0051107D" w:rsidRPr="00230BC2">
        <w:t xml:space="preserve">the following Parties: </w:t>
      </w:r>
      <w:r w:rsidRPr="00230BC2">
        <w:rPr>
          <w:rStyle w:val="Para1Char"/>
        </w:rPr>
        <w:t>Brazil, Canada, Côte d’Ivoire, Democratic Republic</w:t>
      </w:r>
      <w:r w:rsidRPr="00230BC2">
        <w:t xml:space="preserve"> of the Congo, European Union and its 27 member States, Mali, Namibia, New Zealand, South Africa, Tajikistan, Togo, United Kingdom and United Republic of Tanzania.</w:t>
      </w:r>
    </w:p>
    <w:p w14:paraId="5CEC9FD7" w14:textId="56321C80" w:rsidR="00180B37" w:rsidRPr="00230BC2" w:rsidRDefault="00B369DE" w:rsidP="003466FC">
      <w:pPr>
        <w:pStyle w:val="Para1"/>
      </w:pPr>
      <w:r w:rsidRPr="00230BC2">
        <w:t>W</w:t>
      </w:r>
      <w:r w:rsidR="00180B37" w:rsidRPr="00230BC2">
        <w:t xml:space="preserve">orking </w:t>
      </w:r>
      <w:r w:rsidRPr="00230BC2">
        <w:t>G</w:t>
      </w:r>
      <w:r w:rsidR="00180B37" w:rsidRPr="00230BC2">
        <w:t xml:space="preserve">roup </w:t>
      </w:r>
      <w:r w:rsidRPr="00230BC2">
        <w:t xml:space="preserve">II </w:t>
      </w:r>
      <w:r w:rsidR="00180B37" w:rsidRPr="00230BC2">
        <w:t>agreed that multilateral discussions would be held among certain Parties to resolve outstanding issues.</w:t>
      </w:r>
    </w:p>
    <w:p w14:paraId="5F47F3C4" w14:textId="71F13A20" w:rsidR="00180B37" w:rsidRPr="00230BC2" w:rsidRDefault="00180B37" w:rsidP="003466FC">
      <w:pPr>
        <w:pStyle w:val="Para1"/>
      </w:pPr>
      <w:r w:rsidRPr="00230BC2">
        <w:t xml:space="preserve">At its </w:t>
      </w:r>
      <w:r w:rsidR="0042766B" w:rsidRPr="00230BC2">
        <w:t>6th</w:t>
      </w:r>
      <w:r w:rsidRPr="00230BC2">
        <w:t xml:space="preserve"> meeting, on 10 December, </w:t>
      </w:r>
      <w:r w:rsidR="004F4C7E" w:rsidRPr="00230BC2">
        <w:t>W</w:t>
      </w:r>
      <w:r w:rsidRPr="00230BC2">
        <w:t xml:space="preserve">orking </w:t>
      </w:r>
      <w:r w:rsidR="004F4C7E" w:rsidRPr="00230BC2">
        <w:t>G</w:t>
      </w:r>
      <w:r w:rsidRPr="00230BC2">
        <w:t xml:space="preserve">roup </w:t>
      </w:r>
      <w:r w:rsidR="004F4C7E" w:rsidRPr="00230BC2">
        <w:t xml:space="preserve">II </w:t>
      </w:r>
      <w:r w:rsidRPr="00230BC2">
        <w:t xml:space="preserve">resumed its consideration of the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.9.</w:t>
      </w:r>
    </w:p>
    <w:p w14:paraId="7E2FF442" w14:textId="06E686A8" w:rsidR="002F6FCC" w:rsidRPr="00230BC2" w:rsidRDefault="002F6FCC" w:rsidP="003466FC">
      <w:pPr>
        <w:pStyle w:val="Para1"/>
      </w:pPr>
      <w:r w:rsidRPr="00230BC2">
        <w:t xml:space="preserve">At </w:t>
      </w:r>
      <w:r w:rsidR="00573DFE" w:rsidRPr="00230BC2">
        <w:t xml:space="preserve">its </w:t>
      </w:r>
      <w:r w:rsidR="00E67935" w:rsidRPr="00230BC2">
        <w:t>2nd</w:t>
      </w:r>
      <w:r w:rsidRPr="00230BC2">
        <w:t xml:space="preserve"> </w:t>
      </w:r>
      <w:r w:rsidR="004A478A" w:rsidRPr="00230BC2">
        <w:t xml:space="preserve">plenary </w:t>
      </w:r>
      <w:r w:rsidRPr="00230BC2">
        <w:t>session</w:t>
      </w:r>
      <w:r w:rsidR="00393ACA" w:rsidRPr="00230BC2">
        <w:t>,</w:t>
      </w:r>
      <w:r w:rsidRPr="00230BC2">
        <w:t xml:space="preserve"> the Conference of the Parties </w:t>
      </w:r>
      <w:r w:rsidR="00B37794" w:rsidRPr="00230BC2">
        <w:t xml:space="preserve">adopted </w:t>
      </w:r>
      <w:r w:rsidR="00073F9D" w:rsidRPr="00230BC2">
        <w:t xml:space="preserve">the </w:t>
      </w:r>
      <w:r w:rsidRPr="00230BC2">
        <w:t>draft decision as decision</w:t>
      </w:r>
      <w:r w:rsidR="006D27BC" w:rsidRPr="00230BC2">
        <w:t> </w:t>
      </w:r>
      <w:r w:rsidRPr="00230BC2">
        <w:t>15/</w:t>
      </w:r>
      <w:r w:rsidR="006E762F" w:rsidRPr="00230BC2">
        <w:t>18</w:t>
      </w:r>
      <w:r w:rsidRPr="00230BC2">
        <w:t>.</w:t>
      </w:r>
    </w:p>
    <w:p w14:paraId="3AE632B8" w14:textId="78CE8374"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 xml:space="preserve">Item </w:t>
      </w:r>
      <w:r w:rsidR="00CD702A" w:rsidRPr="00EE6F7F">
        <w:rPr>
          <w:b/>
          <w:bCs/>
          <w:snapToGrid w:val="0"/>
          <w:kern w:val="22"/>
          <w:szCs w:val="22"/>
        </w:rPr>
        <w:t>18</w:t>
      </w:r>
      <w:r w:rsidRPr="00EE6F7F">
        <w:rPr>
          <w:b/>
          <w:bCs/>
          <w:snapToGrid w:val="0"/>
          <w:kern w:val="22"/>
          <w:szCs w:val="22"/>
        </w:rPr>
        <w:t>.</w:t>
      </w:r>
      <w:r w:rsidRPr="00EE6F7F">
        <w:rPr>
          <w:b/>
          <w:bCs/>
          <w:snapToGrid w:val="0"/>
          <w:kern w:val="22"/>
          <w:szCs w:val="22"/>
        </w:rPr>
        <w:tab/>
        <w:t>Multi-year progra</w:t>
      </w:r>
      <w:r w:rsidR="006A393F" w:rsidRPr="00EE6F7F">
        <w:rPr>
          <w:b/>
          <w:bCs/>
          <w:snapToGrid w:val="0"/>
          <w:kern w:val="22"/>
          <w:szCs w:val="22"/>
        </w:rPr>
        <w:t>m</w:t>
      </w:r>
      <w:r w:rsidRPr="00EE6F7F">
        <w:rPr>
          <w:b/>
          <w:bCs/>
          <w:snapToGrid w:val="0"/>
          <w:kern w:val="22"/>
          <w:szCs w:val="22"/>
        </w:rPr>
        <w:t>me of work of the Conference of the Parties</w:t>
      </w:r>
    </w:p>
    <w:p w14:paraId="42C5F58A" w14:textId="7B541AA9" w:rsidR="00A57DC7" w:rsidRPr="00230BC2" w:rsidRDefault="00A57DC7" w:rsidP="003466FC">
      <w:pPr>
        <w:pStyle w:val="Para1"/>
        <w:rPr>
          <w:bCs/>
        </w:rPr>
      </w:pPr>
      <w:r w:rsidRPr="00230BC2">
        <w:t xml:space="preserve">Working </w:t>
      </w:r>
      <w:r w:rsidR="003873C8" w:rsidRPr="00230BC2">
        <w:t>G</w:t>
      </w:r>
      <w:r w:rsidRPr="00230BC2">
        <w:t xml:space="preserve">roup II </w:t>
      </w:r>
      <w:r w:rsidR="00B3219B" w:rsidRPr="00230BC2">
        <w:t>considered</w:t>
      </w:r>
      <w:r w:rsidR="00740F95" w:rsidRPr="00230BC2">
        <w:t xml:space="preserve"> agenda</w:t>
      </w:r>
      <w:r w:rsidRPr="00230BC2">
        <w:t xml:space="preserve"> item 18 at its </w:t>
      </w:r>
      <w:r w:rsidR="00E67935" w:rsidRPr="00230BC2">
        <w:t>2nd</w:t>
      </w:r>
      <w:r w:rsidRPr="00230BC2">
        <w:t xml:space="preserve"> meeting</w:t>
      </w:r>
      <w:r w:rsidR="00FF0B5B" w:rsidRPr="00230BC2">
        <w:t>.</w:t>
      </w:r>
      <w:r w:rsidRPr="00230BC2">
        <w:t xml:space="preserve"> </w:t>
      </w:r>
      <w:r w:rsidR="000A734E" w:rsidRPr="00230BC2">
        <w:t>It</w:t>
      </w:r>
      <w:r w:rsidR="004F4C7E" w:rsidRPr="00230BC2">
        <w:t xml:space="preserve"> </w:t>
      </w:r>
      <w:r w:rsidRPr="00230BC2">
        <w:t>had before it a draft decision</w:t>
      </w:r>
      <w:r w:rsidR="00F71AEE" w:rsidRPr="00230BC2">
        <w:t>,</w:t>
      </w:r>
      <w:r w:rsidRPr="00230BC2">
        <w:t xml:space="preserve"> </w:t>
      </w:r>
      <w:r w:rsidR="001D69EF" w:rsidRPr="00230BC2">
        <w:t xml:space="preserve">as </w:t>
      </w:r>
      <w:r w:rsidRPr="00230BC2">
        <w:t>set out in the compilation of draft decisions</w:t>
      </w:r>
      <w:r w:rsidR="006E2346" w:rsidRPr="00230BC2">
        <w:t>,</w:t>
      </w:r>
      <w:r w:rsidRPr="00230BC2">
        <w:t xml:space="preserve"> </w:t>
      </w:r>
      <w:r w:rsidR="00FD3513" w:rsidRPr="00230BC2">
        <w:t xml:space="preserve">and </w:t>
      </w:r>
      <w:r w:rsidRPr="00230BC2">
        <w:t xml:space="preserve">a note by the Executive Secretary (CBD/COP/15/15). </w:t>
      </w:r>
    </w:p>
    <w:p w14:paraId="3F697FFB" w14:textId="77777777" w:rsidR="00A57DC7" w:rsidRPr="00230BC2" w:rsidRDefault="00A57DC7" w:rsidP="003466FC">
      <w:pPr>
        <w:pStyle w:val="Para1"/>
        <w:rPr>
          <w:bCs/>
        </w:rPr>
      </w:pPr>
      <w:r w:rsidRPr="00230BC2">
        <w:t>A statement was made by the representative of Canada.</w:t>
      </w:r>
    </w:p>
    <w:p w14:paraId="4D5F99A6" w14:textId="266F2A13" w:rsidR="00A57DC7" w:rsidRPr="00230BC2" w:rsidRDefault="00B369DE" w:rsidP="003466FC">
      <w:pPr>
        <w:pStyle w:val="Para1"/>
      </w:pPr>
      <w:r w:rsidRPr="00230BC2">
        <w:t>W</w:t>
      </w:r>
      <w:r w:rsidR="00A57DC7" w:rsidRPr="00230BC2">
        <w:t xml:space="preserve">orking </w:t>
      </w:r>
      <w:r w:rsidRPr="00230BC2">
        <w:t>G</w:t>
      </w:r>
      <w:r w:rsidR="00A57DC7" w:rsidRPr="00230BC2">
        <w:t xml:space="preserve">roup </w:t>
      </w:r>
      <w:r w:rsidRPr="00230BC2">
        <w:t xml:space="preserve">II </w:t>
      </w:r>
      <w:r w:rsidR="00A57DC7" w:rsidRPr="00230BC2">
        <w:t xml:space="preserve">agreed that </w:t>
      </w:r>
      <w:r w:rsidR="00C44B53" w:rsidRPr="00230BC2">
        <w:t xml:space="preserve">its </w:t>
      </w:r>
      <w:r w:rsidR="00A57DC7" w:rsidRPr="00230BC2">
        <w:t xml:space="preserve">Chair would prepare a revised draft decision for </w:t>
      </w:r>
      <w:r w:rsidR="001C5863" w:rsidRPr="00230BC2">
        <w:t xml:space="preserve">the Group’s </w:t>
      </w:r>
      <w:r w:rsidR="00A57DC7" w:rsidRPr="00230BC2">
        <w:t>consideration, taking account of the statement made.</w:t>
      </w:r>
    </w:p>
    <w:p w14:paraId="67964A7F" w14:textId="4A4BF409" w:rsidR="00A57DC7" w:rsidRPr="00230BC2" w:rsidRDefault="00A57DC7" w:rsidP="003466FC">
      <w:pPr>
        <w:pStyle w:val="Para1"/>
      </w:pPr>
      <w:r w:rsidRPr="00230BC2">
        <w:t xml:space="preserve">At its </w:t>
      </w:r>
      <w:r w:rsidR="0042766B" w:rsidRPr="00230BC2">
        <w:t>10th</w:t>
      </w:r>
      <w:r w:rsidRPr="00230BC2">
        <w:t xml:space="preserve"> meeting, on </w:t>
      </w:r>
      <w:r w:rsidR="00F61BDE" w:rsidRPr="00230BC2">
        <w:t>16</w:t>
      </w:r>
      <w:r w:rsidRPr="00230BC2">
        <w:t xml:space="preserve"> December, </w:t>
      </w:r>
      <w:r w:rsidR="004F4C7E" w:rsidRPr="00230BC2">
        <w:t>W</w:t>
      </w:r>
      <w:r w:rsidRPr="00230BC2">
        <w:t xml:space="preserve">orking </w:t>
      </w:r>
      <w:r w:rsidR="004F4C7E" w:rsidRPr="00230BC2">
        <w:t>G</w:t>
      </w:r>
      <w:r w:rsidRPr="00230BC2">
        <w:t xml:space="preserve">roup </w:t>
      </w:r>
      <w:r w:rsidR="004F4C7E" w:rsidRPr="00230BC2">
        <w:t xml:space="preserve">II </w:t>
      </w:r>
      <w:r w:rsidRPr="00230BC2">
        <w:t xml:space="preserve">considered the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.20.</w:t>
      </w:r>
    </w:p>
    <w:p w14:paraId="099E6F13" w14:textId="702D97D3" w:rsidR="00A57DC7" w:rsidRPr="00230BC2" w:rsidRDefault="00A57DC7" w:rsidP="003466FC">
      <w:pPr>
        <w:pStyle w:val="Para1"/>
      </w:pPr>
      <w:r w:rsidRPr="00230BC2">
        <w:rPr>
          <w:rFonts w:eastAsia="Batang"/>
        </w:rPr>
        <w:t xml:space="preserve">During the discussion, </w:t>
      </w:r>
      <w:r w:rsidR="00A502C0" w:rsidRPr="00230BC2">
        <w:rPr>
          <w:rFonts w:eastAsia="Batang"/>
        </w:rPr>
        <w:t>W</w:t>
      </w:r>
      <w:r w:rsidRPr="00230BC2">
        <w:rPr>
          <w:rFonts w:eastAsia="Batang"/>
        </w:rPr>
        <w:t xml:space="preserve">orking </w:t>
      </w:r>
      <w:r w:rsidR="00A502C0" w:rsidRPr="00230BC2">
        <w:rPr>
          <w:rFonts w:eastAsia="Batang"/>
        </w:rPr>
        <w:t>G</w:t>
      </w:r>
      <w:r w:rsidRPr="00230BC2">
        <w:rPr>
          <w:rFonts w:eastAsia="Batang"/>
        </w:rPr>
        <w:t xml:space="preserve">roup </w:t>
      </w:r>
      <w:r w:rsidR="00A502C0" w:rsidRPr="00230BC2">
        <w:rPr>
          <w:rFonts w:eastAsia="Batang"/>
        </w:rPr>
        <w:t xml:space="preserve">II </w:t>
      </w:r>
      <w:r w:rsidRPr="00230BC2">
        <w:rPr>
          <w:rFonts w:eastAsia="Batang"/>
        </w:rPr>
        <w:t xml:space="preserve">agreed that the following comment </w:t>
      </w:r>
      <w:r w:rsidR="00FD04F7" w:rsidRPr="00230BC2">
        <w:rPr>
          <w:rFonts w:eastAsia="Batang"/>
        </w:rPr>
        <w:t xml:space="preserve">by </w:t>
      </w:r>
      <w:r w:rsidR="00FD04F7" w:rsidRPr="00230BC2">
        <w:rPr>
          <w:bCs/>
        </w:rPr>
        <w:t xml:space="preserve">the representative of Japan </w:t>
      </w:r>
      <w:r w:rsidRPr="00230BC2">
        <w:rPr>
          <w:rFonts w:eastAsia="Batang"/>
        </w:rPr>
        <w:t xml:space="preserve">would be reflected in the present report. </w:t>
      </w:r>
      <w:r w:rsidRPr="00230BC2">
        <w:rPr>
          <w:bCs/>
        </w:rPr>
        <w:t>The representative of Japan said that, with respect to the implementation of the work programme by</w:t>
      </w:r>
      <w:r w:rsidRPr="00230BC2">
        <w:rPr>
          <w:rFonts w:eastAsia="Batang"/>
        </w:rPr>
        <w:t xml:space="preserve"> the </w:t>
      </w:r>
      <w:r w:rsidR="002F2A3E" w:rsidRPr="00230BC2">
        <w:rPr>
          <w:rFonts w:eastAsia="Batang"/>
        </w:rPr>
        <w:t>S</w:t>
      </w:r>
      <w:r w:rsidRPr="00230BC2">
        <w:rPr>
          <w:rFonts w:eastAsia="Batang"/>
        </w:rPr>
        <w:t xml:space="preserve">ecretariat, it was important to remind Parties </w:t>
      </w:r>
      <w:r w:rsidR="00253567" w:rsidRPr="00230BC2">
        <w:rPr>
          <w:rFonts w:eastAsia="Batang"/>
        </w:rPr>
        <w:t xml:space="preserve">of the need </w:t>
      </w:r>
      <w:r w:rsidRPr="00230BC2">
        <w:rPr>
          <w:rFonts w:eastAsia="Batang"/>
        </w:rPr>
        <w:t xml:space="preserve">to take into account the budget limits and </w:t>
      </w:r>
      <w:r w:rsidR="00D26003" w:rsidRPr="00230BC2">
        <w:rPr>
          <w:rFonts w:eastAsia="Batang"/>
        </w:rPr>
        <w:t xml:space="preserve">for </w:t>
      </w:r>
      <w:r w:rsidRPr="00230BC2">
        <w:rPr>
          <w:rFonts w:eastAsia="Batang"/>
        </w:rPr>
        <w:t xml:space="preserve">the </w:t>
      </w:r>
      <w:r w:rsidR="00A35902" w:rsidRPr="00230BC2">
        <w:rPr>
          <w:rFonts w:eastAsia="Batang"/>
        </w:rPr>
        <w:t>S</w:t>
      </w:r>
      <w:r w:rsidRPr="00230BC2">
        <w:rPr>
          <w:rFonts w:eastAsia="Batang"/>
        </w:rPr>
        <w:t xml:space="preserve">ecretariat to use its resources effectively and efficiently </w:t>
      </w:r>
      <w:r w:rsidRPr="00230BC2">
        <w:rPr>
          <w:bCs/>
        </w:rPr>
        <w:t xml:space="preserve">when conducting </w:t>
      </w:r>
      <w:r w:rsidR="00C35417" w:rsidRPr="00230BC2">
        <w:rPr>
          <w:bCs/>
        </w:rPr>
        <w:t xml:space="preserve">its </w:t>
      </w:r>
      <w:r w:rsidRPr="00230BC2">
        <w:rPr>
          <w:bCs/>
        </w:rPr>
        <w:t xml:space="preserve">work. </w:t>
      </w:r>
    </w:p>
    <w:p w14:paraId="5DF189D8" w14:textId="54C882BE" w:rsidR="008E1135" w:rsidRPr="00230BC2" w:rsidRDefault="008E1135"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FC43F7" w:rsidRPr="00230BC2">
        <w:t>33</w:t>
      </w:r>
      <w:r w:rsidRPr="00230BC2">
        <w:t>.</w:t>
      </w:r>
    </w:p>
    <w:p w14:paraId="2C34A153" w14:textId="1AF02EE7" w:rsidR="0061275F" w:rsidRPr="00B1495D" w:rsidRDefault="0061275F" w:rsidP="00B1495D">
      <w:pPr>
        <w:keepNext/>
        <w:suppressLineNumbers/>
        <w:suppressAutoHyphens/>
        <w:kinsoku w:val="0"/>
        <w:overflowPunct w:val="0"/>
        <w:autoSpaceDE w:val="0"/>
        <w:autoSpaceDN w:val="0"/>
        <w:adjustRightInd w:val="0"/>
        <w:snapToGrid w:val="0"/>
        <w:spacing w:before="240" w:after="120"/>
        <w:jc w:val="center"/>
        <w:rPr>
          <w:b/>
          <w:bCs/>
          <w:snapToGrid w:val="0"/>
          <w:kern w:val="22"/>
          <w:szCs w:val="22"/>
        </w:rPr>
      </w:pPr>
      <w:bookmarkStart w:id="454" w:name="_Toc150438854"/>
      <w:r w:rsidRPr="00B1495D">
        <w:rPr>
          <w:b/>
          <w:bCs/>
          <w:snapToGrid w:val="0"/>
          <w:kern w:val="22"/>
          <w:szCs w:val="22"/>
        </w:rPr>
        <w:t>V</w:t>
      </w:r>
      <w:r w:rsidR="00CD702A" w:rsidRPr="00B1495D">
        <w:rPr>
          <w:b/>
          <w:bCs/>
          <w:snapToGrid w:val="0"/>
          <w:kern w:val="22"/>
          <w:szCs w:val="22"/>
        </w:rPr>
        <w:t>I</w:t>
      </w:r>
      <w:r w:rsidRPr="00B1495D">
        <w:rPr>
          <w:b/>
          <w:bCs/>
          <w:snapToGrid w:val="0"/>
          <w:kern w:val="22"/>
          <w:szCs w:val="22"/>
        </w:rPr>
        <w:t>.</w:t>
      </w:r>
      <w:r w:rsidRPr="00B1495D">
        <w:rPr>
          <w:b/>
          <w:bCs/>
          <w:snapToGrid w:val="0"/>
          <w:kern w:val="22"/>
          <w:szCs w:val="22"/>
        </w:rPr>
        <w:tab/>
        <w:t>FURTHER TECHNICAL ISSUES</w:t>
      </w:r>
      <w:bookmarkEnd w:id="454"/>
    </w:p>
    <w:p w14:paraId="7A1DB6E1" w14:textId="6D2934E9"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1</w:t>
      </w:r>
      <w:r w:rsidR="00CD702A" w:rsidRPr="00EE6F7F">
        <w:rPr>
          <w:b/>
          <w:bCs/>
          <w:snapToGrid w:val="0"/>
          <w:kern w:val="22"/>
          <w:szCs w:val="22"/>
        </w:rPr>
        <w:t>9</w:t>
      </w:r>
      <w:r w:rsidRPr="00EE6F7F">
        <w:rPr>
          <w:b/>
          <w:bCs/>
          <w:snapToGrid w:val="0"/>
          <w:kern w:val="22"/>
          <w:szCs w:val="22"/>
        </w:rPr>
        <w:t>.</w:t>
      </w:r>
      <w:r w:rsidR="00826162" w:rsidRPr="00EE6F7F">
        <w:rPr>
          <w:b/>
          <w:bCs/>
          <w:snapToGrid w:val="0"/>
          <w:kern w:val="22"/>
          <w:szCs w:val="22"/>
        </w:rPr>
        <w:tab/>
      </w:r>
      <w:r w:rsidRPr="00EE6F7F">
        <w:rPr>
          <w:b/>
          <w:bCs/>
          <w:snapToGrid w:val="0"/>
          <w:kern w:val="22"/>
          <w:szCs w:val="22"/>
        </w:rPr>
        <w:t>Protected areas and other effective area-based conservation measures</w:t>
      </w:r>
    </w:p>
    <w:p w14:paraId="0FA2F5BA" w14:textId="4CA39809" w:rsidR="00450C8B" w:rsidRPr="00230BC2" w:rsidRDefault="00450C8B" w:rsidP="003466FC">
      <w:pPr>
        <w:pStyle w:val="Para1"/>
      </w:pPr>
      <w:r w:rsidRPr="00230BC2">
        <w:t xml:space="preserve">Working </w:t>
      </w:r>
      <w:r w:rsidR="003873C8" w:rsidRPr="00230BC2">
        <w:t>G</w:t>
      </w:r>
      <w:r w:rsidRPr="00230BC2">
        <w:t xml:space="preserve">roup II </w:t>
      </w:r>
      <w:r w:rsidR="00B3219B" w:rsidRPr="00230BC2">
        <w:t>considered</w:t>
      </w:r>
      <w:r w:rsidR="00740F95" w:rsidRPr="00230BC2">
        <w:t xml:space="preserve"> agenda</w:t>
      </w:r>
      <w:r w:rsidRPr="00230BC2">
        <w:t xml:space="preserve"> item 19 at its </w:t>
      </w:r>
      <w:r w:rsidR="00E67935" w:rsidRPr="00230BC2">
        <w:t>2nd</w:t>
      </w:r>
      <w:r w:rsidRPr="00230BC2">
        <w:t xml:space="preserve"> meeting</w:t>
      </w:r>
      <w:r w:rsidR="009D6341" w:rsidRPr="00230BC2">
        <w:t>.</w:t>
      </w:r>
      <w:r w:rsidRPr="00230BC2">
        <w:t xml:space="preserve"> </w:t>
      </w:r>
      <w:bookmarkStart w:id="455" w:name="_Hlk121491314"/>
      <w:r w:rsidR="000A734E" w:rsidRPr="00230BC2">
        <w:t>It</w:t>
      </w:r>
      <w:r w:rsidR="00A502C0" w:rsidRPr="00230BC2">
        <w:t xml:space="preserve"> </w:t>
      </w:r>
      <w:r w:rsidRPr="00230BC2">
        <w:t xml:space="preserve">had before it a note by the Executive Secretary on </w:t>
      </w:r>
      <w:bookmarkEnd w:id="455"/>
      <w:r w:rsidRPr="00230BC2">
        <w:t>global status, gaps and opportunities of protected areas and other area-based conservation measures (CBD/COP/15/INF/3).</w:t>
      </w:r>
    </w:p>
    <w:p w14:paraId="79B9AC78" w14:textId="77777777" w:rsidR="00450C8B" w:rsidRPr="00230BC2" w:rsidRDefault="00450C8B" w:rsidP="003466FC">
      <w:pPr>
        <w:pStyle w:val="Para1"/>
      </w:pPr>
      <w:r w:rsidRPr="00230BC2">
        <w:t>The representative of Zimbabwe made a statement on behalf of the African States.</w:t>
      </w:r>
    </w:p>
    <w:p w14:paraId="31A12F5E" w14:textId="682ACF2F" w:rsidR="00450C8B" w:rsidRPr="00230BC2" w:rsidRDefault="00B369DE" w:rsidP="003466FC">
      <w:pPr>
        <w:pStyle w:val="Para1"/>
      </w:pPr>
      <w:r w:rsidRPr="00230BC2">
        <w:t>W</w:t>
      </w:r>
      <w:r w:rsidR="00450C8B" w:rsidRPr="00230BC2">
        <w:t xml:space="preserve">orking </w:t>
      </w:r>
      <w:r w:rsidRPr="00230BC2">
        <w:t>G</w:t>
      </w:r>
      <w:r w:rsidR="00450C8B" w:rsidRPr="00230BC2">
        <w:t xml:space="preserve">roup </w:t>
      </w:r>
      <w:r w:rsidRPr="00230BC2">
        <w:t xml:space="preserve">II </w:t>
      </w:r>
      <w:r w:rsidR="00450C8B" w:rsidRPr="00230BC2">
        <w:t>took note of the information in document CBD/COP/15/INF/3.</w:t>
      </w:r>
    </w:p>
    <w:p w14:paraId="037E61E4" w14:textId="4D5B313D"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lastRenderedPageBreak/>
        <w:t xml:space="preserve">Item </w:t>
      </w:r>
      <w:r w:rsidR="00CD702A" w:rsidRPr="00EE6F7F">
        <w:rPr>
          <w:b/>
          <w:bCs/>
          <w:snapToGrid w:val="0"/>
          <w:kern w:val="22"/>
          <w:szCs w:val="22"/>
        </w:rPr>
        <w:t>20</w:t>
      </w:r>
      <w:r w:rsidRPr="00EE6F7F">
        <w:rPr>
          <w:b/>
          <w:bCs/>
          <w:snapToGrid w:val="0"/>
          <w:kern w:val="22"/>
          <w:szCs w:val="22"/>
        </w:rPr>
        <w:t>.</w:t>
      </w:r>
      <w:r w:rsidRPr="00EE6F7F">
        <w:rPr>
          <w:b/>
          <w:bCs/>
          <w:snapToGrid w:val="0"/>
          <w:kern w:val="22"/>
          <w:szCs w:val="22"/>
        </w:rPr>
        <w:tab/>
        <w:t>Marine and coastal biodiversity</w:t>
      </w:r>
    </w:p>
    <w:p w14:paraId="6ACD3A5A" w14:textId="50852538" w:rsidR="00AE555C" w:rsidRPr="00EE6F7F" w:rsidRDefault="004C7DC2"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56" w:name="_Toc150438855"/>
      <w:r w:rsidRPr="00EE6F7F">
        <w:rPr>
          <w:b/>
          <w:bCs/>
          <w:snapToGrid w:val="0"/>
          <w:kern w:val="22"/>
          <w:szCs w:val="22"/>
        </w:rPr>
        <w:t>A.</w:t>
      </w:r>
      <w:r w:rsidRPr="00EE6F7F">
        <w:rPr>
          <w:b/>
          <w:bCs/>
          <w:snapToGrid w:val="0"/>
          <w:kern w:val="22"/>
          <w:szCs w:val="22"/>
        </w:rPr>
        <w:tab/>
      </w:r>
      <w:r w:rsidR="00AE555C" w:rsidRPr="00EE6F7F">
        <w:rPr>
          <w:b/>
          <w:bCs/>
          <w:snapToGrid w:val="0"/>
          <w:kern w:val="22"/>
          <w:szCs w:val="22"/>
        </w:rPr>
        <w:t>Ecologically or biologically significant marine areas</w:t>
      </w:r>
      <w:bookmarkEnd w:id="456"/>
    </w:p>
    <w:p w14:paraId="7FC8C75E" w14:textId="496EBBE4" w:rsidR="00763948" w:rsidRPr="00230BC2" w:rsidRDefault="002E56CB" w:rsidP="003466FC">
      <w:pPr>
        <w:pStyle w:val="Para1"/>
        <w:rPr>
          <w:bCs/>
        </w:rPr>
      </w:pPr>
      <w:r w:rsidRPr="00230BC2">
        <w:rPr>
          <w:rStyle w:val="Para1Char"/>
        </w:rPr>
        <w:t xml:space="preserve">Working </w:t>
      </w:r>
      <w:r w:rsidR="003873C8" w:rsidRPr="00230BC2">
        <w:rPr>
          <w:rStyle w:val="Para1Char"/>
        </w:rPr>
        <w:t>G</w:t>
      </w:r>
      <w:r w:rsidRPr="00230BC2">
        <w:rPr>
          <w:rStyle w:val="Para1Char"/>
        </w:rPr>
        <w:t xml:space="preserve">roup II </w:t>
      </w:r>
      <w:r w:rsidR="00B3219B" w:rsidRPr="00230BC2">
        <w:rPr>
          <w:rStyle w:val="Para1Char"/>
        </w:rPr>
        <w:t>considered</w:t>
      </w:r>
      <w:r w:rsidRPr="00230BC2">
        <w:rPr>
          <w:rStyle w:val="Para1Char"/>
        </w:rPr>
        <w:t xml:space="preserve"> sub-item 20 A </w:t>
      </w:r>
      <w:r w:rsidR="00644127" w:rsidRPr="00230BC2">
        <w:t xml:space="preserve">of the agenda </w:t>
      </w:r>
      <w:r w:rsidRPr="00230BC2">
        <w:rPr>
          <w:rStyle w:val="Para1Char"/>
        </w:rPr>
        <w:t xml:space="preserve">at its </w:t>
      </w:r>
      <w:r w:rsidR="00E67935" w:rsidRPr="00230BC2">
        <w:rPr>
          <w:rStyle w:val="Para1Char"/>
        </w:rPr>
        <w:t>1st</w:t>
      </w:r>
      <w:r w:rsidRPr="00230BC2">
        <w:rPr>
          <w:rStyle w:val="Para1Char"/>
        </w:rPr>
        <w:t xml:space="preserve"> meeting, on 7</w:t>
      </w:r>
      <w:r w:rsidR="00CA65B3" w:rsidRPr="00230BC2">
        <w:rPr>
          <w:rStyle w:val="Para1Char"/>
        </w:rPr>
        <w:t> </w:t>
      </w:r>
      <w:r w:rsidRPr="00230BC2">
        <w:rPr>
          <w:rStyle w:val="Para1Char"/>
        </w:rPr>
        <w:t>December, noting that there</w:t>
      </w:r>
      <w:r w:rsidRPr="00230BC2">
        <w:t xml:space="preserve"> were two separate outcomes to be considered, arising from the discussions on the matter at the twenty-third and twenty-fourth meetings of the Subsidiary Body o</w:t>
      </w:r>
      <w:r w:rsidR="00F80A89" w:rsidRPr="00230BC2">
        <w:t>n</w:t>
      </w:r>
      <w:r w:rsidRPr="00230BC2">
        <w:t xml:space="preserve"> Scientific, Technical and Technological Advice.</w:t>
      </w:r>
    </w:p>
    <w:p w14:paraId="471783ED" w14:textId="5B02AA85" w:rsidR="007A3F90" w:rsidRPr="00DD200B" w:rsidRDefault="00024615" w:rsidP="00DD200B">
      <w:pPr>
        <w:pStyle w:val="BodyText"/>
        <w:ind w:left="1134" w:right="429" w:hanging="567"/>
        <w:rPr>
          <w:b/>
          <w:i/>
          <w:iCs w:val="0"/>
        </w:rPr>
      </w:pPr>
      <w:r w:rsidRPr="00DD200B">
        <w:rPr>
          <w:i/>
          <w:iCs w:val="0"/>
        </w:rPr>
        <w:t>1.</w:t>
      </w:r>
      <w:r w:rsidRPr="00DD200B">
        <w:rPr>
          <w:i/>
          <w:iCs w:val="0"/>
        </w:rPr>
        <w:tab/>
      </w:r>
      <w:r w:rsidR="008E1135" w:rsidRPr="00DD200B">
        <w:rPr>
          <w:i/>
          <w:iCs w:val="0"/>
        </w:rPr>
        <w:t>Ecologically or biologically significant marine areas</w:t>
      </w:r>
      <w:r w:rsidR="00470009" w:rsidRPr="00DD200B">
        <w:rPr>
          <w:i/>
          <w:iCs w:val="0"/>
        </w:rPr>
        <w:t xml:space="preserve"> in the North-East Atlantic Ocean and adjacent areas</w:t>
      </w:r>
    </w:p>
    <w:p w14:paraId="29700F2C" w14:textId="2C81F0E4" w:rsidR="00C84965" w:rsidRPr="00230BC2" w:rsidRDefault="00C84965" w:rsidP="003466FC">
      <w:pPr>
        <w:pStyle w:val="Para1"/>
        <w:rPr>
          <w:bCs/>
        </w:rPr>
      </w:pPr>
      <w:r w:rsidRPr="00230BC2">
        <w:t xml:space="preserve">In considering the first part of the sub-item, </w:t>
      </w:r>
      <w:r w:rsidR="001A6085" w:rsidRPr="00230BC2">
        <w:t>W</w:t>
      </w:r>
      <w:r w:rsidRPr="00230BC2">
        <w:t xml:space="preserve">orking </w:t>
      </w:r>
      <w:r w:rsidR="001A6085" w:rsidRPr="00230BC2">
        <w:t>G</w:t>
      </w:r>
      <w:r w:rsidRPr="00230BC2">
        <w:t xml:space="preserve">roup </w:t>
      </w:r>
      <w:r w:rsidR="001A6085" w:rsidRPr="00230BC2">
        <w:t xml:space="preserve">II </w:t>
      </w:r>
      <w:r w:rsidRPr="00230BC2">
        <w:t>had before it a draft decision based on recommendation 23/4 of the Subsidiary Body o</w:t>
      </w:r>
      <w:r w:rsidR="00F80A89" w:rsidRPr="00230BC2">
        <w:t>n</w:t>
      </w:r>
      <w:r w:rsidRPr="00230BC2">
        <w:t xml:space="preserve"> Scientific, Technical and Technological Advice, </w:t>
      </w:r>
      <w:r w:rsidR="001D69EF" w:rsidRPr="00230BC2">
        <w:t xml:space="preserve">as </w:t>
      </w:r>
      <w:r w:rsidRPr="00230BC2">
        <w:t>set out in the compilation of draft decisions</w:t>
      </w:r>
      <w:r w:rsidR="006E2346" w:rsidRPr="00230BC2">
        <w:t>.</w:t>
      </w:r>
      <w:r w:rsidRPr="00230BC2">
        <w:t xml:space="preserve"> </w:t>
      </w:r>
    </w:p>
    <w:p w14:paraId="4B02C1AF" w14:textId="6F976976" w:rsidR="00C84965" w:rsidRPr="00230BC2" w:rsidRDefault="001A6085" w:rsidP="003466FC">
      <w:pPr>
        <w:pStyle w:val="Para1"/>
      </w:pPr>
      <w:r w:rsidRPr="00230BC2">
        <w:t>W</w:t>
      </w:r>
      <w:r w:rsidR="00C84965" w:rsidRPr="00230BC2">
        <w:t xml:space="preserve">orking </w:t>
      </w:r>
      <w:r w:rsidRPr="00230BC2">
        <w:t>G</w:t>
      </w:r>
      <w:r w:rsidR="00C84965" w:rsidRPr="00230BC2">
        <w:t xml:space="preserve">roup </w:t>
      </w:r>
      <w:r w:rsidRPr="00230BC2">
        <w:t xml:space="preserve">II </w:t>
      </w:r>
      <w:r w:rsidR="00C84965" w:rsidRPr="00230BC2">
        <w:t xml:space="preserve">agreed that </w:t>
      </w:r>
      <w:r w:rsidR="00C44B53" w:rsidRPr="00230BC2">
        <w:t xml:space="preserve">its </w:t>
      </w:r>
      <w:r w:rsidR="00C84965" w:rsidRPr="00230BC2">
        <w:t xml:space="preserve">Chair would submit the draft decision as a conference room paper for </w:t>
      </w:r>
      <w:r w:rsidR="00CD1042" w:rsidRPr="00230BC2">
        <w:t xml:space="preserve">the </w:t>
      </w:r>
      <w:r w:rsidR="004C3867" w:rsidRPr="00230BC2">
        <w:t xml:space="preserve">Group’s </w:t>
      </w:r>
      <w:r w:rsidR="00C84965" w:rsidRPr="00230BC2">
        <w:t>consideration.</w:t>
      </w:r>
    </w:p>
    <w:p w14:paraId="43CD20FA" w14:textId="16AF878B" w:rsidR="00C84965" w:rsidRPr="00230BC2" w:rsidRDefault="00C84965" w:rsidP="003466FC">
      <w:pPr>
        <w:pStyle w:val="Para1"/>
        <w:rPr>
          <w:bCs/>
        </w:rPr>
      </w:pPr>
      <w:r w:rsidRPr="00230BC2">
        <w:t xml:space="preserve">At its </w:t>
      </w:r>
      <w:r w:rsidR="0042766B" w:rsidRPr="00230BC2">
        <w:t>7th</w:t>
      </w:r>
      <w:r w:rsidRPr="00230BC2">
        <w:t xml:space="preserve"> meeting, </w:t>
      </w:r>
      <w:r w:rsidR="00A502C0" w:rsidRPr="00230BC2">
        <w:t>W</w:t>
      </w:r>
      <w:r w:rsidRPr="00230BC2">
        <w:t xml:space="preserve">orking </w:t>
      </w:r>
      <w:r w:rsidR="00A502C0" w:rsidRPr="00230BC2">
        <w:t>G</w:t>
      </w:r>
      <w:r w:rsidRPr="00230BC2">
        <w:t xml:space="preserve">roup </w:t>
      </w:r>
      <w:r w:rsidR="00A502C0" w:rsidRPr="00230BC2">
        <w:t xml:space="preserve">II </w:t>
      </w:r>
      <w:r w:rsidRPr="00230BC2">
        <w:t xml:space="preserve">considered the draft decision submitted by </w:t>
      </w:r>
      <w:r w:rsidR="00C61167"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.13.</w:t>
      </w:r>
    </w:p>
    <w:p w14:paraId="70D13C76" w14:textId="4FE78FBA" w:rsidR="002E56CB" w:rsidRPr="00230BC2" w:rsidRDefault="00C84965" w:rsidP="003466FC">
      <w:pPr>
        <w:pStyle w:val="Para1"/>
        <w:rPr>
          <w:bCs/>
        </w:rPr>
      </w:pPr>
      <w:r w:rsidRPr="00230BC2">
        <w:rPr>
          <w:rFonts w:eastAsia="Batang"/>
        </w:rPr>
        <w:t xml:space="preserve">During the discussion, </w:t>
      </w:r>
      <w:r w:rsidR="00A502C0" w:rsidRPr="00230BC2">
        <w:rPr>
          <w:rFonts w:eastAsia="Batang"/>
        </w:rPr>
        <w:t>W</w:t>
      </w:r>
      <w:r w:rsidRPr="00230BC2">
        <w:rPr>
          <w:rFonts w:eastAsia="Batang"/>
        </w:rPr>
        <w:t xml:space="preserve">orking </w:t>
      </w:r>
      <w:r w:rsidR="00A502C0" w:rsidRPr="00230BC2">
        <w:rPr>
          <w:rFonts w:eastAsia="Batang"/>
        </w:rPr>
        <w:t>G</w:t>
      </w:r>
      <w:r w:rsidRPr="00230BC2">
        <w:rPr>
          <w:rFonts w:eastAsia="Batang"/>
        </w:rPr>
        <w:t xml:space="preserve">roup </w:t>
      </w:r>
      <w:r w:rsidR="00A502C0" w:rsidRPr="00230BC2">
        <w:rPr>
          <w:rFonts w:eastAsia="Batang"/>
        </w:rPr>
        <w:t xml:space="preserve">II </w:t>
      </w:r>
      <w:r w:rsidRPr="00230BC2">
        <w:rPr>
          <w:rFonts w:eastAsia="Batang"/>
        </w:rPr>
        <w:t xml:space="preserve">agreed that the following comments by representatives would be reflected in the report of the meeting. </w:t>
      </w:r>
      <w:r w:rsidRPr="00230BC2">
        <w:rPr>
          <w:bCs/>
        </w:rPr>
        <w:t>The representative of the European Union and its 27</w:t>
      </w:r>
      <w:r w:rsidR="000036B7" w:rsidRPr="00230BC2">
        <w:rPr>
          <w:bCs/>
        </w:rPr>
        <w:t> </w:t>
      </w:r>
      <w:r w:rsidRPr="00230BC2">
        <w:rPr>
          <w:bCs/>
        </w:rPr>
        <w:t xml:space="preserve">members States said that the identification of ecologically or biologically significant marine areas was a geographical, </w:t>
      </w:r>
      <w:r w:rsidR="0094301E" w:rsidRPr="00230BC2">
        <w:rPr>
          <w:bCs/>
        </w:rPr>
        <w:t xml:space="preserve">and </w:t>
      </w:r>
      <w:r w:rsidRPr="00230BC2">
        <w:rPr>
          <w:bCs/>
        </w:rPr>
        <w:t xml:space="preserve">not legal, process </w:t>
      </w:r>
      <w:r w:rsidR="0094301E" w:rsidRPr="00230BC2">
        <w:rPr>
          <w:bCs/>
        </w:rPr>
        <w:t xml:space="preserve">the </w:t>
      </w:r>
      <w:r w:rsidRPr="00230BC2">
        <w:rPr>
          <w:bCs/>
        </w:rPr>
        <w:t xml:space="preserve">outcomes </w:t>
      </w:r>
      <w:r w:rsidR="0094301E" w:rsidRPr="00230BC2">
        <w:rPr>
          <w:bCs/>
        </w:rPr>
        <w:t xml:space="preserve">of which </w:t>
      </w:r>
      <w:r w:rsidRPr="00230BC2">
        <w:rPr>
          <w:bCs/>
        </w:rPr>
        <w:t xml:space="preserve">should continue to result from a scientific and technical exercise and </w:t>
      </w:r>
      <w:r w:rsidR="00012F9D" w:rsidRPr="00230BC2">
        <w:rPr>
          <w:bCs/>
        </w:rPr>
        <w:t xml:space="preserve">that it </w:t>
      </w:r>
      <w:r w:rsidRPr="00230BC2">
        <w:rPr>
          <w:bCs/>
        </w:rPr>
        <w:t xml:space="preserve">should not be used to prejudge any issues </w:t>
      </w:r>
      <w:r w:rsidR="005E5A1F" w:rsidRPr="00230BC2">
        <w:rPr>
          <w:bCs/>
        </w:rPr>
        <w:t xml:space="preserve">related to </w:t>
      </w:r>
      <w:r w:rsidRPr="00230BC2">
        <w:rPr>
          <w:bCs/>
        </w:rPr>
        <w:t xml:space="preserve">the sovereignty, sovereign rights or jurisdiction of coastal States or the rights of other States. </w:t>
      </w:r>
      <w:r w:rsidR="002F0AED" w:rsidRPr="00230BC2">
        <w:t>R</w:t>
      </w:r>
      <w:r w:rsidRPr="00230BC2">
        <w:t>ecalling that</w:t>
      </w:r>
      <w:r w:rsidR="00012F9D" w:rsidRPr="00230BC2">
        <w:t>,</w:t>
      </w:r>
      <w:r w:rsidRPr="00230BC2">
        <w:t xml:space="preserve"> at its tenth meeting</w:t>
      </w:r>
      <w:r w:rsidR="00012F9D" w:rsidRPr="00230BC2">
        <w:t>,</w:t>
      </w:r>
      <w:r w:rsidRPr="00230BC2">
        <w:t xml:space="preserve"> the Conference of the Parties had emphasized that</w:t>
      </w:r>
      <w:r w:rsidR="00012F9D" w:rsidRPr="00230BC2">
        <w:t>,</w:t>
      </w:r>
      <w:r w:rsidRPr="00230BC2">
        <w:t xml:space="preserve"> under the United Nations Convention on the Law of the Sea</w:t>
      </w:r>
      <w:r w:rsidR="00012F9D" w:rsidRPr="00230BC2">
        <w:t>,</w:t>
      </w:r>
      <w:r w:rsidRPr="00230BC2" w:rsidDel="00372336">
        <w:t xml:space="preserve"> </w:t>
      </w:r>
      <w:r w:rsidR="00012F9D" w:rsidRPr="00230BC2">
        <w:t xml:space="preserve">the </w:t>
      </w:r>
      <w:r w:rsidRPr="00230BC2">
        <w:t xml:space="preserve">identification of ecologically or biologically significant marine areas and </w:t>
      </w:r>
      <w:r w:rsidR="00EC37CD" w:rsidRPr="00230BC2">
        <w:t xml:space="preserve">the </w:t>
      </w:r>
      <w:r w:rsidRPr="00230BC2">
        <w:t xml:space="preserve">selection of conservation and management measures were matters for States, </w:t>
      </w:r>
      <w:r w:rsidR="002F0AED" w:rsidRPr="00230BC2">
        <w:t xml:space="preserve">the representative of the United Kingdom </w:t>
      </w:r>
      <w:r w:rsidRPr="00230BC2">
        <w:t xml:space="preserve">said that her </w:t>
      </w:r>
      <w:r w:rsidR="002F0AED" w:rsidRPr="00230BC2">
        <w:t>G</w:t>
      </w:r>
      <w:r w:rsidRPr="00230BC2">
        <w:t xml:space="preserve">overnment wished to see a process that required agreement from all States </w:t>
      </w:r>
      <w:r w:rsidR="00B15151" w:rsidRPr="00230BC2">
        <w:t xml:space="preserve">concerned </w:t>
      </w:r>
      <w:r w:rsidRPr="00230BC2">
        <w:t xml:space="preserve">for proposals where ecologically or biologically significant marine areas overlapped </w:t>
      </w:r>
      <w:r w:rsidR="008F2035" w:rsidRPr="00230BC2">
        <w:t xml:space="preserve">with areas under </w:t>
      </w:r>
      <w:r w:rsidRPr="00230BC2">
        <w:t>national jurisdiction or fell within disputed areas.</w:t>
      </w:r>
      <w:r w:rsidRPr="00230BC2">
        <w:rPr>
          <w:bCs/>
        </w:rPr>
        <w:t xml:space="preserve"> </w:t>
      </w:r>
    </w:p>
    <w:p w14:paraId="50240B64" w14:textId="2B4C9734" w:rsidR="00D17E46" w:rsidRPr="00230BC2" w:rsidRDefault="00D17E46"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1C5193" w:rsidRPr="00230BC2">
        <w:t> </w:t>
      </w:r>
      <w:r w:rsidRPr="00230BC2">
        <w:t>15/</w:t>
      </w:r>
      <w:r w:rsidR="00FC43F7" w:rsidRPr="00230BC2">
        <w:t>25</w:t>
      </w:r>
      <w:r w:rsidRPr="00230BC2">
        <w:t>.</w:t>
      </w:r>
    </w:p>
    <w:p w14:paraId="71B4966B" w14:textId="6A246180" w:rsidR="008E1135" w:rsidRPr="00DD200B" w:rsidRDefault="00024615" w:rsidP="00DD200B">
      <w:pPr>
        <w:pStyle w:val="BodyText"/>
        <w:ind w:right="429" w:firstLine="0"/>
        <w:jc w:val="center"/>
        <w:rPr>
          <w:i/>
          <w:iCs w:val="0"/>
        </w:rPr>
      </w:pPr>
      <w:r w:rsidRPr="00DD200B">
        <w:rPr>
          <w:i/>
          <w:iCs w:val="0"/>
        </w:rPr>
        <w:t>2.</w:t>
      </w:r>
      <w:r w:rsidRPr="00DD200B">
        <w:rPr>
          <w:i/>
          <w:iCs w:val="0"/>
        </w:rPr>
        <w:tab/>
      </w:r>
      <w:r w:rsidR="008E1135" w:rsidRPr="00DD200B">
        <w:rPr>
          <w:i/>
          <w:iCs w:val="0"/>
        </w:rPr>
        <w:t>Ecologically or biologically significant marine areas: further work</w:t>
      </w:r>
    </w:p>
    <w:p w14:paraId="281C67F9" w14:textId="237B6841" w:rsidR="009508D2" w:rsidRPr="00230BC2" w:rsidRDefault="009508D2" w:rsidP="003466FC">
      <w:pPr>
        <w:pStyle w:val="Para1"/>
        <w:rPr>
          <w:bCs/>
        </w:rPr>
      </w:pPr>
      <w:r w:rsidRPr="00230BC2">
        <w:t xml:space="preserve">In considering the second part of the sub-item, </w:t>
      </w:r>
      <w:r w:rsidR="00F53B7C" w:rsidRPr="00230BC2">
        <w:t>W</w:t>
      </w:r>
      <w:r w:rsidRPr="00230BC2">
        <w:t xml:space="preserve">orking </w:t>
      </w:r>
      <w:r w:rsidR="00F53B7C" w:rsidRPr="00230BC2">
        <w:t>G</w:t>
      </w:r>
      <w:r w:rsidRPr="00230BC2">
        <w:t xml:space="preserve">roup </w:t>
      </w:r>
      <w:r w:rsidR="00F53B7C" w:rsidRPr="00230BC2">
        <w:t xml:space="preserve">II </w:t>
      </w:r>
      <w:r w:rsidRPr="00230BC2">
        <w:t>had before it recommendation 24/10 of the Subsidiary Body o</w:t>
      </w:r>
      <w:r w:rsidR="00F80A89" w:rsidRPr="00230BC2">
        <w:t>n</w:t>
      </w:r>
      <w:r w:rsidRPr="00230BC2">
        <w:t xml:space="preserve"> Scientific, Technical and Technological Advice, </w:t>
      </w:r>
      <w:r w:rsidR="00CE1C6F" w:rsidRPr="00230BC2">
        <w:t xml:space="preserve">as </w:t>
      </w:r>
      <w:r w:rsidRPr="00230BC2">
        <w:t>set out in the Subsidiary Body’s report on its twenty-fourth meeting (CBD/SBSTTA/24/12)</w:t>
      </w:r>
      <w:r w:rsidR="00B7741A" w:rsidRPr="00230BC2">
        <w:t xml:space="preserve">, as well </w:t>
      </w:r>
      <w:r w:rsidRPr="00230BC2">
        <w:t>as a report of the online discussion forum on ecologically or biologically significant marine areas in preparation for the fifteenth meeting of the Conference of the Parties</w:t>
      </w:r>
      <w:r w:rsidR="004C4B9F" w:rsidRPr="00230BC2">
        <w:t xml:space="preserve"> </w:t>
      </w:r>
      <w:r w:rsidRPr="00230BC2">
        <w:t>(CBD/EBSA/OM/2022/2/1) and proposals submitted by Parties and observers on ecologically or biologically significant marine areas under agenda item 6 of the twenty-fourth meeting of the Subsidiary Body (CBD/SBSTTA/24/INF/41).</w:t>
      </w:r>
    </w:p>
    <w:p w14:paraId="64CD7D64" w14:textId="2B7D4EA3" w:rsidR="009508D2" w:rsidRPr="00230BC2" w:rsidRDefault="001A6085" w:rsidP="003466FC">
      <w:pPr>
        <w:pStyle w:val="Para1"/>
      </w:pPr>
      <w:r w:rsidRPr="00230BC2">
        <w:t>W</w:t>
      </w:r>
      <w:r w:rsidR="009508D2" w:rsidRPr="00230BC2">
        <w:t xml:space="preserve">orking </w:t>
      </w:r>
      <w:r w:rsidRPr="00230BC2">
        <w:t>G</w:t>
      </w:r>
      <w:r w:rsidR="009508D2" w:rsidRPr="00230BC2">
        <w:t xml:space="preserve">roup </w:t>
      </w:r>
      <w:r w:rsidR="00F53B7C" w:rsidRPr="00230BC2">
        <w:t xml:space="preserve">II </w:t>
      </w:r>
      <w:r w:rsidR="009508D2" w:rsidRPr="00230BC2">
        <w:t>establish</w:t>
      </w:r>
      <w:r w:rsidR="002206DF" w:rsidRPr="00230BC2">
        <w:t>ed</w:t>
      </w:r>
      <w:r w:rsidR="009508D2" w:rsidRPr="00230BC2">
        <w:t xml:space="preserve"> a contact group, co-chaired by Marie-May Jeremie (Seychelles) and Renée Sauvé (Canada), with the mandate to discuss the unresolved issues and prepare a draft decision based on the work of Subsidiary Body and the </w:t>
      </w:r>
      <w:r w:rsidR="00074DA9" w:rsidRPr="00230BC2">
        <w:t xml:space="preserve">outcome </w:t>
      </w:r>
      <w:r w:rsidR="009508D2" w:rsidRPr="00230BC2">
        <w:t xml:space="preserve">of the online </w:t>
      </w:r>
      <w:r w:rsidR="009F07EA" w:rsidRPr="00230BC2">
        <w:t xml:space="preserve">discussion </w:t>
      </w:r>
      <w:r w:rsidR="009508D2" w:rsidRPr="00230BC2">
        <w:t>forum.</w:t>
      </w:r>
    </w:p>
    <w:p w14:paraId="3A505F89" w14:textId="739C048E" w:rsidR="009508D2" w:rsidRPr="00230BC2" w:rsidRDefault="009508D2" w:rsidP="003466FC">
      <w:pPr>
        <w:pStyle w:val="Para1"/>
      </w:pPr>
      <w:r w:rsidRPr="00230BC2">
        <w:t xml:space="preserve">At its </w:t>
      </w:r>
      <w:r w:rsidR="0042766B" w:rsidRPr="00230BC2">
        <w:t>6th</w:t>
      </w:r>
      <w:r w:rsidRPr="00230BC2">
        <w:t xml:space="preserve"> </w:t>
      </w:r>
      <w:r w:rsidR="003E7DB6" w:rsidRPr="00230BC2">
        <w:t xml:space="preserve">and </w:t>
      </w:r>
      <w:r w:rsidR="0042766B" w:rsidRPr="00230BC2">
        <w:t>7th</w:t>
      </w:r>
      <w:r w:rsidR="003E7DB6" w:rsidRPr="00230BC2">
        <w:t xml:space="preserve"> </w:t>
      </w:r>
      <w:r w:rsidRPr="00230BC2">
        <w:t>meeting</w:t>
      </w:r>
      <w:r w:rsidR="003E7DB6" w:rsidRPr="00230BC2">
        <w:t>s</w:t>
      </w:r>
      <w:r w:rsidRPr="00230BC2">
        <w:t xml:space="preserve">, </w:t>
      </w:r>
      <w:r w:rsidR="00A502C0" w:rsidRPr="00230BC2">
        <w:t>W</w:t>
      </w:r>
      <w:r w:rsidRPr="00230BC2">
        <w:t xml:space="preserve">orking </w:t>
      </w:r>
      <w:r w:rsidR="00A502C0" w:rsidRPr="00230BC2">
        <w:t>G</w:t>
      </w:r>
      <w:r w:rsidRPr="00230BC2">
        <w:t xml:space="preserve">roup </w:t>
      </w:r>
      <w:r w:rsidR="00A502C0" w:rsidRPr="00230BC2">
        <w:t xml:space="preserve">II </w:t>
      </w:r>
      <w:r w:rsidRPr="00230BC2">
        <w:t>heard interim report</w:t>
      </w:r>
      <w:r w:rsidR="003E7DB6" w:rsidRPr="00230BC2">
        <w:t>s</w:t>
      </w:r>
      <w:r w:rsidRPr="00230BC2">
        <w:t xml:space="preserve"> on the work of the contact group.</w:t>
      </w:r>
    </w:p>
    <w:p w14:paraId="6C609566" w14:textId="1B5B36ED" w:rsidR="009508D2" w:rsidRPr="00230BC2" w:rsidRDefault="009508D2" w:rsidP="003466FC">
      <w:pPr>
        <w:pStyle w:val="Para1"/>
      </w:pPr>
      <w:r w:rsidRPr="00230BC2">
        <w:t xml:space="preserve">At its </w:t>
      </w:r>
      <w:r w:rsidR="0042766B" w:rsidRPr="00230BC2">
        <w:t>8th</w:t>
      </w:r>
      <w:r w:rsidRPr="00230BC2">
        <w:t xml:space="preserve"> meeting, on 13 December, </w:t>
      </w:r>
      <w:r w:rsidR="00A502C0" w:rsidRPr="00230BC2">
        <w:t>W</w:t>
      </w:r>
      <w:r w:rsidRPr="00230BC2">
        <w:t xml:space="preserve">orking </w:t>
      </w:r>
      <w:r w:rsidR="00A502C0" w:rsidRPr="00230BC2">
        <w:t>G</w:t>
      </w:r>
      <w:r w:rsidRPr="00230BC2">
        <w:t xml:space="preserve">roup </w:t>
      </w:r>
      <w:r w:rsidR="00A502C0" w:rsidRPr="00230BC2">
        <w:t xml:space="preserve">II </w:t>
      </w:r>
      <w:r w:rsidRPr="00230BC2">
        <w:t xml:space="preserve">considered a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CBD/COP/15/L.14.</w:t>
      </w:r>
    </w:p>
    <w:p w14:paraId="4468A28C" w14:textId="5ED0772B" w:rsidR="00C84965" w:rsidRPr="00230BC2" w:rsidRDefault="00F53B7C" w:rsidP="003466FC">
      <w:pPr>
        <w:pStyle w:val="Para1"/>
        <w:rPr>
          <w:bCs/>
        </w:rPr>
      </w:pPr>
      <w:r w:rsidRPr="00230BC2">
        <w:rPr>
          <w:bCs/>
        </w:rPr>
        <w:lastRenderedPageBreak/>
        <w:t>W</w:t>
      </w:r>
      <w:r w:rsidR="009508D2" w:rsidRPr="00230BC2">
        <w:rPr>
          <w:bCs/>
        </w:rPr>
        <w:t xml:space="preserve">orking </w:t>
      </w:r>
      <w:r w:rsidRPr="00230BC2">
        <w:rPr>
          <w:bCs/>
        </w:rPr>
        <w:t>G</w:t>
      </w:r>
      <w:r w:rsidR="009508D2" w:rsidRPr="00230BC2">
        <w:rPr>
          <w:bCs/>
        </w:rPr>
        <w:t xml:space="preserve">roup </w:t>
      </w:r>
      <w:r w:rsidRPr="00230BC2">
        <w:rPr>
          <w:bCs/>
        </w:rPr>
        <w:t xml:space="preserve">II </w:t>
      </w:r>
      <w:r w:rsidR="009508D2" w:rsidRPr="00230BC2">
        <w:rPr>
          <w:bCs/>
        </w:rPr>
        <w:t xml:space="preserve">agreed to reflect in the present report the Chair’s comments acknowledging </w:t>
      </w:r>
      <w:r w:rsidR="002B4292" w:rsidRPr="00230BC2">
        <w:rPr>
          <w:bCs/>
        </w:rPr>
        <w:t xml:space="preserve">the </w:t>
      </w:r>
      <w:r w:rsidR="009508D2" w:rsidRPr="00230BC2">
        <w:rPr>
          <w:bCs/>
        </w:rPr>
        <w:t xml:space="preserve">representatives’ </w:t>
      </w:r>
      <w:r w:rsidR="009508D2" w:rsidRPr="00230BC2">
        <w:t xml:space="preserve">frustration with the lack of time available to discuss the draft modalities for modifying descriptions of ecologically or biologically significant marine areas and for describing new areas, and </w:t>
      </w:r>
      <w:r w:rsidR="004B2974" w:rsidRPr="00230BC2">
        <w:t xml:space="preserve">their request for </w:t>
      </w:r>
      <w:r w:rsidR="009508D2" w:rsidRPr="00230BC2">
        <w:t>allocat</w:t>
      </w:r>
      <w:r w:rsidR="004B2974" w:rsidRPr="00230BC2">
        <w:t>ing</w:t>
      </w:r>
      <w:r w:rsidR="009508D2" w:rsidRPr="00230BC2">
        <w:t xml:space="preserve"> sufficient time to discuss the topic at the sixteenth meeting of the Conference of the Parties, as well as at the preceding meetings of its subsidiary bodies, with a view to finalizing and adopting modalities for </w:t>
      </w:r>
      <w:r w:rsidR="00BB6321" w:rsidRPr="00230BC2">
        <w:t>those</w:t>
      </w:r>
      <w:r w:rsidR="00267BF1" w:rsidRPr="00230BC2">
        <w:t xml:space="preserve"> </w:t>
      </w:r>
      <w:r w:rsidR="009508D2" w:rsidRPr="00230BC2">
        <w:t>descriptions at the sixteenth meeting</w:t>
      </w:r>
      <w:r w:rsidR="007903BD" w:rsidRPr="00230BC2">
        <w:t>.</w:t>
      </w:r>
    </w:p>
    <w:p w14:paraId="6D5BB17A" w14:textId="34517A1C" w:rsidR="008E1135" w:rsidRPr="00230BC2" w:rsidRDefault="008E1135"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0621CC" w:rsidRPr="00230BC2">
        <w:t>26</w:t>
      </w:r>
      <w:r w:rsidRPr="00230BC2">
        <w:t>.</w:t>
      </w:r>
    </w:p>
    <w:p w14:paraId="0457BDBF" w14:textId="1EF1A6F1" w:rsidR="00EB179D" w:rsidRPr="00EE6F7F" w:rsidRDefault="004C7DC2"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57" w:name="_Toc150438856"/>
      <w:r w:rsidRPr="00EE6F7F">
        <w:rPr>
          <w:b/>
          <w:bCs/>
          <w:snapToGrid w:val="0"/>
          <w:kern w:val="22"/>
          <w:szCs w:val="22"/>
        </w:rPr>
        <w:t>B.</w:t>
      </w:r>
      <w:r w:rsidRPr="00EE6F7F">
        <w:rPr>
          <w:b/>
          <w:bCs/>
          <w:snapToGrid w:val="0"/>
          <w:kern w:val="22"/>
          <w:szCs w:val="22"/>
        </w:rPr>
        <w:tab/>
      </w:r>
      <w:r w:rsidR="00EB179D" w:rsidRPr="00EE6F7F">
        <w:rPr>
          <w:b/>
          <w:bCs/>
          <w:snapToGrid w:val="0"/>
          <w:kern w:val="22"/>
          <w:szCs w:val="22"/>
        </w:rPr>
        <w:t>Conservation and sustainable use of marine and coastal biodiversity</w:t>
      </w:r>
      <w:bookmarkEnd w:id="457"/>
    </w:p>
    <w:p w14:paraId="716CB41E" w14:textId="59993B9A" w:rsidR="00E35355" w:rsidRPr="00230BC2" w:rsidRDefault="00E35355" w:rsidP="003466FC">
      <w:pPr>
        <w:pStyle w:val="Para1"/>
        <w:rPr>
          <w:bCs/>
        </w:rPr>
      </w:pPr>
      <w:r w:rsidRPr="00230BC2">
        <w:t xml:space="preserve">Working </w:t>
      </w:r>
      <w:r w:rsidR="003873C8" w:rsidRPr="00230BC2">
        <w:t>G</w:t>
      </w:r>
      <w:r w:rsidRPr="00230BC2">
        <w:t xml:space="preserve">roup II </w:t>
      </w:r>
      <w:r w:rsidR="00B3219B" w:rsidRPr="00230BC2">
        <w:t>considered</w:t>
      </w:r>
      <w:r w:rsidRPr="00230BC2">
        <w:t xml:space="preserve"> sub-item 20 B </w:t>
      </w:r>
      <w:r w:rsidR="00BF64DE" w:rsidRPr="00230BC2">
        <w:t xml:space="preserve">of the agenda </w:t>
      </w:r>
      <w:r w:rsidRPr="00230BC2">
        <w:t xml:space="preserve">at its </w:t>
      </w:r>
      <w:r w:rsidR="00E67935" w:rsidRPr="00230BC2">
        <w:t>1st</w:t>
      </w:r>
      <w:r w:rsidRPr="00230BC2">
        <w:t xml:space="preserve"> meeting</w:t>
      </w:r>
      <w:r w:rsidR="00C00B11" w:rsidRPr="00230BC2">
        <w:t>.</w:t>
      </w:r>
      <w:r w:rsidRPr="00230BC2">
        <w:t xml:space="preserve"> </w:t>
      </w:r>
      <w:r w:rsidR="0017671B" w:rsidRPr="00230BC2">
        <w:t xml:space="preserve">It </w:t>
      </w:r>
      <w:r w:rsidRPr="00230BC2">
        <w:t>had before it recommendation</w:t>
      </w:r>
      <w:r w:rsidR="00E561D1" w:rsidRPr="00230BC2">
        <w:t> </w:t>
      </w:r>
      <w:r w:rsidRPr="00230BC2">
        <w:t>23/9 of the Subsidiary Body o</w:t>
      </w:r>
      <w:r w:rsidR="00F65F0D" w:rsidRPr="00230BC2">
        <w:t>n</w:t>
      </w:r>
      <w:r w:rsidRPr="00230BC2">
        <w:t xml:space="preserve"> Scientific, Technical and Technological Advice, </w:t>
      </w:r>
      <w:r w:rsidR="002D548F" w:rsidRPr="00230BC2">
        <w:t xml:space="preserve">as </w:t>
      </w:r>
      <w:r w:rsidRPr="00230BC2">
        <w:t>set out in the Subsidiary Body’s report on its twenty-third meeting (CBD/SBSTTA/23/9)</w:t>
      </w:r>
      <w:r w:rsidR="00D6603E" w:rsidRPr="00230BC2">
        <w:t xml:space="preserve">, as well as </w:t>
      </w:r>
      <w:r w:rsidRPr="00230BC2">
        <w:t xml:space="preserve">a report of the online discussion forum on conservation and sustainable use of marine and coastal biodiversity in preparation for the fifteenth meeting of the </w:t>
      </w:r>
      <w:r w:rsidR="00F65F0D" w:rsidRPr="00230BC2">
        <w:t>C</w:t>
      </w:r>
      <w:r w:rsidRPr="00230BC2">
        <w:t xml:space="preserve">onference of the </w:t>
      </w:r>
      <w:r w:rsidR="00E816F5" w:rsidRPr="00230BC2">
        <w:t>P</w:t>
      </w:r>
      <w:r w:rsidRPr="00230BC2">
        <w:t>arties</w:t>
      </w:r>
      <w:r w:rsidR="004C4B9F" w:rsidRPr="00230BC2">
        <w:t xml:space="preserve"> </w:t>
      </w:r>
      <w:r w:rsidRPr="00230BC2">
        <w:t>(CBD/MCB/OM/2022/1/1) and proposals submitted by Parties and observers on the conservation and sustainable use of marine and coastal biodiversity under agenda item</w:t>
      </w:r>
      <w:r w:rsidR="00C73A32" w:rsidRPr="00230BC2">
        <w:t> </w:t>
      </w:r>
      <w:r w:rsidRPr="00230BC2">
        <w:t>6 of the twenty-fourth meeting of the Subsidiary Body on Scientific, Technical and Technological Advice (CBD/SBSTTA/24/INF/42).</w:t>
      </w:r>
    </w:p>
    <w:p w14:paraId="7246E6F5" w14:textId="2F37EC3E" w:rsidR="00E35355" w:rsidRPr="00230BC2" w:rsidRDefault="00F53B7C" w:rsidP="003466FC">
      <w:pPr>
        <w:pStyle w:val="Para1"/>
      </w:pPr>
      <w:r w:rsidRPr="00230BC2">
        <w:t>W</w:t>
      </w:r>
      <w:r w:rsidR="00E35355" w:rsidRPr="00230BC2">
        <w:t xml:space="preserve">orking </w:t>
      </w:r>
      <w:r w:rsidRPr="00230BC2">
        <w:t>G</w:t>
      </w:r>
      <w:r w:rsidR="00E35355" w:rsidRPr="00230BC2">
        <w:t xml:space="preserve">roup </w:t>
      </w:r>
      <w:r w:rsidRPr="00230BC2">
        <w:t xml:space="preserve">II </w:t>
      </w:r>
      <w:r w:rsidR="00E35355" w:rsidRPr="00230BC2">
        <w:t>agreed that the contact group established under sub-item</w:t>
      </w:r>
      <w:r w:rsidR="007A5D4F" w:rsidRPr="00230BC2">
        <w:t> </w:t>
      </w:r>
      <w:r w:rsidR="00E35355" w:rsidRPr="00230BC2">
        <w:t>20 A</w:t>
      </w:r>
      <w:r w:rsidR="00F13A6E" w:rsidRPr="00230BC2">
        <w:t>.</w:t>
      </w:r>
      <w:r w:rsidR="00E35355" w:rsidRPr="00230BC2">
        <w:t>2 would also be mandated to address the unresolved issues under sub-item 20 B and prepare a draft decision, based on the work of</w:t>
      </w:r>
      <w:r w:rsidR="00C40DB5" w:rsidRPr="00230BC2">
        <w:t xml:space="preserve"> the</w:t>
      </w:r>
      <w:r w:rsidR="00E35355" w:rsidRPr="00230BC2">
        <w:t xml:space="preserve"> Subsidiary Body and the </w:t>
      </w:r>
      <w:r w:rsidR="00CB7015" w:rsidRPr="00230BC2">
        <w:t xml:space="preserve">outcome </w:t>
      </w:r>
      <w:r w:rsidR="00E35355" w:rsidRPr="00230BC2">
        <w:t xml:space="preserve">of the online </w:t>
      </w:r>
      <w:r w:rsidR="00EC103A" w:rsidRPr="00230BC2">
        <w:t xml:space="preserve">discussion </w:t>
      </w:r>
      <w:r w:rsidR="00E35355" w:rsidRPr="00230BC2">
        <w:t>forum.</w:t>
      </w:r>
    </w:p>
    <w:p w14:paraId="25173792" w14:textId="787355B0" w:rsidR="00E35355" w:rsidRPr="00230BC2" w:rsidRDefault="00E35355" w:rsidP="003466FC">
      <w:pPr>
        <w:pStyle w:val="Para1"/>
      </w:pPr>
      <w:r w:rsidRPr="00230BC2">
        <w:t xml:space="preserve">At its </w:t>
      </w:r>
      <w:r w:rsidR="00E67935" w:rsidRPr="00230BC2">
        <w:t>4th</w:t>
      </w:r>
      <w:r w:rsidRPr="00230BC2">
        <w:t xml:space="preserve"> meeting, on 9 December, </w:t>
      </w:r>
      <w:r w:rsidR="00A470B1" w:rsidRPr="00230BC2">
        <w:t xml:space="preserve">and </w:t>
      </w:r>
      <w:r w:rsidR="0042766B" w:rsidRPr="00230BC2">
        <w:t>6th</w:t>
      </w:r>
      <w:r w:rsidR="00A470B1" w:rsidRPr="00230BC2">
        <w:t xml:space="preserve"> meeting,</w:t>
      </w:r>
      <w:r w:rsidR="00A470B1" w:rsidRPr="00230BC2" w:rsidDel="00A502C0">
        <w:t xml:space="preserve"> </w:t>
      </w:r>
      <w:r w:rsidR="00A502C0" w:rsidRPr="00230BC2">
        <w:t>W</w:t>
      </w:r>
      <w:r w:rsidRPr="00230BC2">
        <w:t xml:space="preserve">orking </w:t>
      </w:r>
      <w:r w:rsidR="00A502C0" w:rsidRPr="00230BC2">
        <w:t>G</w:t>
      </w:r>
      <w:r w:rsidRPr="00230BC2">
        <w:t xml:space="preserve">roup </w:t>
      </w:r>
      <w:r w:rsidR="00A502C0" w:rsidRPr="00230BC2">
        <w:t xml:space="preserve">II </w:t>
      </w:r>
      <w:r w:rsidRPr="00230BC2">
        <w:t>heard interim report</w:t>
      </w:r>
      <w:r w:rsidR="00A470B1" w:rsidRPr="00230BC2">
        <w:t>s</w:t>
      </w:r>
      <w:r w:rsidRPr="00230BC2">
        <w:t xml:space="preserve"> on the work of the contact group.</w:t>
      </w:r>
    </w:p>
    <w:p w14:paraId="68B09C41" w14:textId="36B09807" w:rsidR="00E35355" w:rsidRPr="00230BC2" w:rsidRDefault="00E35355" w:rsidP="003466FC">
      <w:pPr>
        <w:pStyle w:val="Para1"/>
      </w:pPr>
      <w:r w:rsidRPr="00230BC2">
        <w:t xml:space="preserve">At its </w:t>
      </w:r>
      <w:r w:rsidR="0042766B" w:rsidRPr="00230BC2">
        <w:t>7th</w:t>
      </w:r>
      <w:r w:rsidRPr="00230BC2">
        <w:t xml:space="preserve"> meeting, following a report by the </w:t>
      </w:r>
      <w:r w:rsidR="009359E4" w:rsidRPr="00230BC2">
        <w:t>C</w:t>
      </w:r>
      <w:r w:rsidRPr="00230BC2">
        <w:t>o-</w:t>
      </w:r>
      <w:r w:rsidR="009359E4" w:rsidRPr="00230BC2">
        <w:t>C</w:t>
      </w:r>
      <w:r w:rsidRPr="00230BC2">
        <w:t xml:space="preserve">hairs of the contact group, </w:t>
      </w:r>
      <w:r w:rsidR="00A502C0" w:rsidRPr="00230BC2">
        <w:t>W</w:t>
      </w:r>
      <w:r w:rsidRPr="00230BC2">
        <w:t xml:space="preserve">orking </w:t>
      </w:r>
      <w:r w:rsidR="00A502C0" w:rsidRPr="00230BC2">
        <w:t>G</w:t>
      </w:r>
      <w:r w:rsidRPr="00230BC2">
        <w:t xml:space="preserve">roup </w:t>
      </w:r>
      <w:r w:rsidR="00A502C0" w:rsidRPr="00230BC2">
        <w:t xml:space="preserve">II </w:t>
      </w:r>
      <w:r w:rsidRPr="00230BC2">
        <w:t xml:space="preserve">considered a draft decision submitted by </w:t>
      </w:r>
      <w:r w:rsidR="00583A9B" w:rsidRPr="00230BC2">
        <w:t xml:space="preserve">its </w:t>
      </w:r>
      <w:r w:rsidRPr="00230BC2">
        <w:t>Chair.</w:t>
      </w:r>
    </w:p>
    <w:p w14:paraId="5A67629F" w14:textId="41B8890A" w:rsidR="00E35355" w:rsidRPr="00230BC2" w:rsidRDefault="00E35355" w:rsidP="003466FC">
      <w:pPr>
        <w:pStyle w:val="Para1"/>
      </w:pPr>
      <w:r w:rsidRPr="00230BC2">
        <w:t xml:space="preserve">Statements were made by representatives of </w:t>
      </w:r>
      <w:r w:rsidR="0051107D" w:rsidRPr="00230BC2">
        <w:t xml:space="preserve">the following Parties: </w:t>
      </w:r>
      <w:r w:rsidRPr="00230BC2">
        <w:t>Australia, Brazil, Canada, Colombia, Ecuador, Egypt, European Union and its 27 member States, Iceland, Japan, Mexico, Philippines, South Africa and United Kingdom.</w:t>
      </w:r>
    </w:p>
    <w:p w14:paraId="4547E8E1" w14:textId="6DAD04AC" w:rsidR="00E35355" w:rsidRPr="00230BC2" w:rsidRDefault="00E35355" w:rsidP="003466FC">
      <w:pPr>
        <w:pStyle w:val="Para1"/>
      </w:pPr>
      <w:r w:rsidRPr="00230BC2">
        <w:t xml:space="preserve">At its </w:t>
      </w:r>
      <w:r w:rsidR="0042766B" w:rsidRPr="00230BC2">
        <w:t>8th</w:t>
      </w:r>
      <w:r w:rsidRPr="00230BC2">
        <w:t xml:space="preserve"> meeting, </w:t>
      </w:r>
      <w:r w:rsidR="00A42981" w:rsidRPr="00230BC2">
        <w:t>W</w:t>
      </w:r>
      <w:r w:rsidRPr="00230BC2">
        <w:t xml:space="preserve">orking </w:t>
      </w:r>
      <w:r w:rsidR="00A42981" w:rsidRPr="00230BC2">
        <w:t>G</w:t>
      </w:r>
      <w:r w:rsidRPr="00230BC2">
        <w:t xml:space="preserve">roup </w:t>
      </w:r>
      <w:r w:rsidR="00A42981" w:rsidRPr="00230BC2">
        <w:t xml:space="preserve">II </w:t>
      </w:r>
      <w:r w:rsidRPr="00230BC2">
        <w:t xml:space="preserve">continued its consideration of the draft decision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CBD/COP/15/L.15.</w:t>
      </w:r>
    </w:p>
    <w:p w14:paraId="14A9FADC" w14:textId="3A02DFE6" w:rsidR="008E1135" w:rsidRPr="00230BC2" w:rsidRDefault="008E1135"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CD5E5D" w:rsidRPr="00230BC2">
        <w:t>24</w:t>
      </w:r>
      <w:r w:rsidRPr="00230BC2">
        <w:t>.</w:t>
      </w:r>
    </w:p>
    <w:p w14:paraId="59A57F9F" w14:textId="5013E0F4"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CD702A" w:rsidRPr="00EE6F7F">
        <w:rPr>
          <w:b/>
          <w:bCs/>
          <w:snapToGrid w:val="0"/>
          <w:kern w:val="22"/>
          <w:szCs w:val="22"/>
        </w:rPr>
        <w:t>1</w:t>
      </w:r>
      <w:r w:rsidRPr="00EE6F7F">
        <w:rPr>
          <w:b/>
          <w:bCs/>
          <w:snapToGrid w:val="0"/>
          <w:kern w:val="22"/>
          <w:szCs w:val="22"/>
        </w:rPr>
        <w:t>.</w:t>
      </w:r>
      <w:r w:rsidRPr="00EE6F7F">
        <w:rPr>
          <w:b/>
          <w:bCs/>
          <w:snapToGrid w:val="0"/>
          <w:kern w:val="22"/>
          <w:szCs w:val="22"/>
        </w:rPr>
        <w:tab/>
        <w:t>Invasive alien species</w:t>
      </w:r>
    </w:p>
    <w:p w14:paraId="41B01729" w14:textId="62AD8C67" w:rsidR="008C3C0B" w:rsidRPr="00230BC2" w:rsidRDefault="008C3C0B" w:rsidP="003466FC">
      <w:pPr>
        <w:pStyle w:val="Para1"/>
      </w:pPr>
      <w:r w:rsidRPr="00230BC2">
        <w:t xml:space="preserve">Working </w:t>
      </w:r>
      <w:r w:rsidR="003873C8" w:rsidRPr="00230BC2">
        <w:t>G</w:t>
      </w:r>
      <w:r w:rsidRPr="00230BC2">
        <w:t xml:space="preserve">roup II </w:t>
      </w:r>
      <w:r w:rsidR="00B3219B" w:rsidRPr="00230BC2">
        <w:t>considered</w:t>
      </w:r>
      <w:r w:rsidR="00740F95" w:rsidRPr="00230BC2">
        <w:t xml:space="preserve"> agenda</w:t>
      </w:r>
      <w:r w:rsidRPr="00230BC2">
        <w:t xml:space="preserve"> item 21 at its </w:t>
      </w:r>
      <w:r w:rsidR="00E67935" w:rsidRPr="00230BC2">
        <w:t>2nd</w:t>
      </w:r>
      <w:r w:rsidRPr="00230BC2">
        <w:t xml:space="preserve"> meeting</w:t>
      </w:r>
      <w:r w:rsidR="009D6341" w:rsidRPr="00230BC2">
        <w:t>.</w:t>
      </w:r>
      <w:r w:rsidRPr="00230BC2">
        <w:t xml:space="preserve"> </w:t>
      </w:r>
      <w:r w:rsidR="000A734E" w:rsidRPr="00230BC2">
        <w:t>It</w:t>
      </w:r>
      <w:r w:rsidR="00A42981" w:rsidRPr="00230BC2">
        <w:t xml:space="preserve"> </w:t>
      </w:r>
      <w:r w:rsidRPr="00230BC2">
        <w:t>had before it a draft decision based on recommendation 24/8 of the Subsidiary Body on Scientific, Technical and Technological Advice</w:t>
      </w:r>
      <w:r w:rsidR="0091761B" w:rsidRPr="00230BC2">
        <w:t>,</w:t>
      </w:r>
      <w:r w:rsidRPr="00230BC2">
        <w:t xml:space="preserve"> </w:t>
      </w:r>
      <w:r w:rsidR="0091761B" w:rsidRPr="00230BC2">
        <w:t>as</w:t>
      </w:r>
      <w:r w:rsidRPr="00230BC2">
        <w:t xml:space="preserve"> set out in the compilation of draft decisions</w:t>
      </w:r>
      <w:r w:rsidR="006E2346" w:rsidRPr="00230BC2">
        <w:t>.</w:t>
      </w:r>
      <w:r w:rsidRPr="00230BC2">
        <w:t xml:space="preserve"> </w:t>
      </w:r>
    </w:p>
    <w:p w14:paraId="1B7565E0" w14:textId="5F6E0FB6" w:rsidR="008C3C0B" w:rsidRPr="00230BC2" w:rsidRDefault="00F53B7C" w:rsidP="003466FC">
      <w:pPr>
        <w:pStyle w:val="Para1"/>
      </w:pPr>
      <w:r w:rsidRPr="00230BC2">
        <w:t>W</w:t>
      </w:r>
      <w:r w:rsidR="008C3C0B" w:rsidRPr="00230BC2">
        <w:t xml:space="preserve">orking </w:t>
      </w:r>
      <w:r w:rsidRPr="00230BC2">
        <w:t>G</w:t>
      </w:r>
      <w:r w:rsidR="008C3C0B" w:rsidRPr="00230BC2">
        <w:t xml:space="preserve">roup </w:t>
      </w:r>
      <w:r w:rsidRPr="00230BC2">
        <w:t xml:space="preserve">II </w:t>
      </w:r>
      <w:r w:rsidR="008C3C0B" w:rsidRPr="00230BC2">
        <w:t>establish</w:t>
      </w:r>
      <w:r w:rsidR="002206DF" w:rsidRPr="00230BC2">
        <w:t>ed</w:t>
      </w:r>
      <w:r w:rsidR="008C3C0B" w:rsidRPr="00230BC2">
        <w:t xml:space="preserve"> an open</w:t>
      </w:r>
      <w:r w:rsidR="00CF0EAE" w:rsidRPr="00230BC2">
        <w:t>-ended</w:t>
      </w:r>
      <w:r w:rsidR="008C3C0B" w:rsidRPr="00230BC2">
        <w:t xml:space="preserve"> group of friends of the </w:t>
      </w:r>
      <w:r w:rsidR="00354FB4" w:rsidRPr="00230BC2">
        <w:t>C</w:t>
      </w:r>
      <w:r w:rsidR="008C3C0B" w:rsidRPr="00230BC2">
        <w:t>hair, facilitated by Senka Barudanovi</w:t>
      </w:r>
      <w:r w:rsidR="008814D8" w:rsidRPr="00230BC2">
        <w:t>ć</w:t>
      </w:r>
      <w:r w:rsidR="008C3C0B" w:rsidRPr="00230BC2">
        <w:t xml:space="preserve"> (Bosnia and Herzegovina) and Azalia binti Mohamed (Malaysia), to discuss the matter</w:t>
      </w:r>
      <w:r w:rsidR="00D808BE" w:rsidRPr="00230BC2">
        <w:t xml:space="preserve"> further</w:t>
      </w:r>
      <w:r w:rsidR="008C3C0B" w:rsidRPr="00230BC2">
        <w:t xml:space="preserve">. </w:t>
      </w:r>
    </w:p>
    <w:p w14:paraId="5CDE8EFE" w14:textId="045F1E32" w:rsidR="008C3C0B" w:rsidRPr="00230BC2" w:rsidRDefault="008C3C0B" w:rsidP="003466FC">
      <w:pPr>
        <w:pStyle w:val="Para1"/>
      </w:pPr>
      <w:r w:rsidRPr="00230BC2">
        <w:t xml:space="preserve">At its </w:t>
      </w:r>
      <w:r w:rsidR="0042766B" w:rsidRPr="00230BC2">
        <w:t>7th</w:t>
      </w:r>
      <w:r w:rsidRPr="00230BC2">
        <w:t xml:space="preserve"> meeting, </w:t>
      </w:r>
      <w:r w:rsidR="00AE4C12" w:rsidRPr="00230BC2">
        <w:t>W</w:t>
      </w:r>
      <w:r w:rsidRPr="00230BC2">
        <w:t xml:space="preserve">orking </w:t>
      </w:r>
      <w:r w:rsidR="00A42981" w:rsidRPr="00230BC2">
        <w:t>G</w:t>
      </w:r>
      <w:r w:rsidRPr="00230BC2">
        <w:t xml:space="preserve">roup </w:t>
      </w:r>
      <w:r w:rsidR="00A42981" w:rsidRPr="00230BC2">
        <w:t xml:space="preserve">II </w:t>
      </w:r>
      <w:r w:rsidRPr="00230BC2">
        <w:t xml:space="preserve">heard a report </w:t>
      </w:r>
      <w:r w:rsidR="00053B18" w:rsidRPr="00230BC2">
        <w:t xml:space="preserve">from </w:t>
      </w:r>
      <w:r w:rsidRPr="00230BC2">
        <w:t xml:space="preserve">the co-facilitators of the group of friends of the </w:t>
      </w:r>
      <w:r w:rsidR="00AE4C12" w:rsidRPr="00230BC2">
        <w:t>C</w:t>
      </w:r>
      <w:r w:rsidRPr="00230BC2">
        <w:t xml:space="preserve">hair, following which it considered a revised draft decision submitted by </w:t>
      </w:r>
      <w:r w:rsidR="00583A9B"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.12.</w:t>
      </w:r>
    </w:p>
    <w:p w14:paraId="14FA7707" w14:textId="1B54530C" w:rsidR="009A2676" w:rsidRPr="00230BC2" w:rsidRDefault="009A2676"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150907" w:rsidRPr="00230BC2">
        <w:t> </w:t>
      </w:r>
      <w:r w:rsidRPr="00230BC2">
        <w:t>15/</w:t>
      </w:r>
      <w:r w:rsidR="00CD5E5D" w:rsidRPr="00230BC2">
        <w:t>27</w:t>
      </w:r>
      <w:r w:rsidRPr="00230BC2">
        <w:t>.</w:t>
      </w:r>
    </w:p>
    <w:p w14:paraId="03B0417D" w14:textId="4CBC4BCE"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lastRenderedPageBreak/>
        <w:t>Item 2</w:t>
      </w:r>
      <w:r w:rsidR="00CD702A" w:rsidRPr="00EE6F7F">
        <w:rPr>
          <w:b/>
          <w:bCs/>
          <w:snapToGrid w:val="0"/>
          <w:kern w:val="22"/>
          <w:szCs w:val="22"/>
        </w:rPr>
        <w:t>2</w:t>
      </w:r>
      <w:r w:rsidRPr="00EE6F7F">
        <w:rPr>
          <w:b/>
          <w:bCs/>
          <w:snapToGrid w:val="0"/>
          <w:kern w:val="22"/>
          <w:szCs w:val="22"/>
        </w:rPr>
        <w:t>.</w:t>
      </w:r>
      <w:r w:rsidRPr="00EE6F7F">
        <w:rPr>
          <w:b/>
          <w:bCs/>
          <w:snapToGrid w:val="0"/>
          <w:kern w:val="22"/>
          <w:szCs w:val="22"/>
        </w:rPr>
        <w:tab/>
        <w:t xml:space="preserve">Sustainable </w:t>
      </w:r>
      <w:r w:rsidR="002F6FCC" w:rsidRPr="00EE6F7F">
        <w:rPr>
          <w:b/>
          <w:bCs/>
          <w:snapToGrid w:val="0"/>
          <w:kern w:val="22"/>
          <w:szCs w:val="22"/>
        </w:rPr>
        <w:t>w</w:t>
      </w:r>
      <w:r w:rsidRPr="00EE6F7F">
        <w:rPr>
          <w:b/>
          <w:bCs/>
          <w:snapToGrid w:val="0"/>
          <w:kern w:val="22"/>
          <w:szCs w:val="22"/>
        </w:rPr>
        <w:t xml:space="preserve">ildlife </w:t>
      </w:r>
      <w:r w:rsidR="002F6FCC" w:rsidRPr="00EE6F7F">
        <w:rPr>
          <w:b/>
          <w:bCs/>
          <w:snapToGrid w:val="0"/>
          <w:kern w:val="22"/>
          <w:szCs w:val="22"/>
        </w:rPr>
        <w:t>m</w:t>
      </w:r>
      <w:r w:rsidRPr="00EE6F7F">
        <w:rPr>
          <w:b/>
          <w:bCs/>
          <w:snapToGrid w:val="0"/>
          <w:kern w:val="22"/>
          <w:szCs w:val="22"/>
        </w:rPr>
        <w:t>anagement</w:t>
      </w:r>
    </w:p>
    <w:p w14:paraId="3C504640" w14:textId="7B14F23F" w:rsidR="006B7D7F" w:rsidRPr="00230BC2" w:rsidRDefault="006B7D7F" w:rsidP="003466FC">
      <w:pPr>
        <w:pStyle w:val="Para1"/>
      </w:pPr>
      <w:bookmarkStart w:id="458" w:name="_Hlk121558804"/>
      <w:r w:rsidRPr="00230BC2">
        <w:t xml:space="preserve">Working </w:t>
      </w:r>
      <w:r w:rsidR="003873C8" w:rsidRPr="00230BC2">
        <w:t>G</w:t>
      </w:r>
      <w:r w:rsidRPr="00230BC2">
        <w:t xml:space="preserve">roup II </w:t>
      </w:r>
      <w:r w:rsidR="00B3219B" w:rsidRPr="00230BC2">
        <w:t>considered</w:t>
      </w:r>
      <w:r w:rsidR="00632DD1" w:rsidRPr="00230BC2">
        <w:t xml:space="preserve"> agenda</w:t>
      </w:r>
      <w:r w:rsidRPr="00230BC2">
        <w:t xml:space="preserve"> item 22 at its </w:t>
      </w:r>
      <w:r w:rsidR="00E67935" w:rsidRPr="00230BC2">
        <w:t>2nd</w:t>
      </w:r>
      <w:r w:rsidRPr="00230BC2">
        <w:t xml:space="preserve"> meeting</w:t>
      </w:r>
      <w:r w:rsidR="009D6341" w:rsidRPr="00230BC2">
        <w:t>.</w:t>
      </w:r>
      <w:r w:rsidRPr="00230BC2">
        <w:t xml:space="preserve"> </w:t>
      </w:r>
      <w:r w:rsidR="000A734E" w:rsidRPr="00230BC2">
        <w:t>It</w:t>
      </w:r>
      <w:r w:rsidR="00A42981" w:rsidRPr="00230BC2">
        <w:t xml:space="preserve"> </w:t>
      </w:r>
      <w:r w:rsidRPr="00230BC2">
        <w:t>had before it a draft decision based on recommendation 23/3 of the Subsidiary Body on Scientific, Technical and Technological Advice</w:t>
      </w:r>
      <w:r w:rsidR="004020F2" w:rsidRPr="00230BC2">
        <w:t>,</w:t>
      </w:r>
      <w:r w:rsidRPr="00230BC2">
        <w:t xml:space="preserve"> </w:t>
      </w:r>
      <w:r w:rsidR="0091761B" w:rsidRPr="00230BC2">
        <w:t xml:space="preserve">as </w:t>
      </w:r>
      <w:r w:rsidRPr="00230BC2">
        <w:t>set out in the compilation of draft decisions</w:t>
      </w:r>
      <w:r w:rsidR="006E2346" w:rsidRPr="00230BC2">
        <w:t>.</w:t>
      </w:r>
      <w:r w:rsidRPr="00230BC2">
        <w:t xml:space="preserve"> </w:t>
      </w:r>
    </w:p>
    <w:p w14:paraId="6EA3CB9B" w14:textId="2460E69D" w:rsidR="006B7D7F" w:rsidRPr="00230BC2" w:rsidRDefault="00F53B7C" w:rsidP="003466FC">
      <w:pPr>
        <w:pStyle w:val="Para1"/>
      </w:pPr>
      <w:r w:rsidRPr="00230BC2">
        <w:t>W</w:t>
      </w:r>
      <w:r w:rsidR="006B7D7F" w:rsidRPr="00230BC2">
        <w:t xml:space="preserve">orking </w:t>
      </w:r>
      <w:r w:rsidRPr="00230BC2">
        <w:t>G</w:t>
      </w:r>
      <w:r w:rsidR="006B7D7F" w:rsidRPr="00230BC2">
        <w:t xml:space="preserve">roup </w:t>
      </w:r>
      <w:r w:rsidRPr="00230BC2">
        <w:t xml:space="preserve">II </w:t>
      </w:r>
      <w:r w:rsidR="006B7D7F" w:rsidRPr="00230BC2">
        <w:t xml:space="preserve">agreed that </w:t>
      </w:r>
      <w:r w:rsidR="00C44B53" w:rsidRPr="00230BC2">
        <w:t xml:space="preserve">its </w:t>
      </w:r>
      <w:r w:rsidR="006B7D7F" w:rsidRPr="00230BC2">
        <w:t xml:space="preserve">Chair would submit the draft decision as a conference room paper for </w:t>
      </w:r>
      <w:r w:rsidR="00CD1042" w:rsidRPr="00230BC2">
        <w:t xml:space="preserve">the </w:t>
      </w:r>
      <w:r w:rsidR="004C3867" w:rsidRPr="00230BC2">
        <w:t xml:space="preserve">Group’s </w:t>
      </w:r>
      <w:r w:rsidR="006B7D7F" w:rsidRPr="00230BC2">
        <w:t>consideration.</w:t>
      </w:r>
    </w:p>
    <w:p w14:paraId="7C7F5797" w14:textId="3ECD700B" w:rsidR="006B7D7F" w:rsidRPr="00230BC2" w:rsidRDefault="006B7D7F" w:rsidP="003466FC">
      <w:pPr>
        <w:pStyle w:val="Para1"/>
      </w:pPr>
      <w:r w:rsidRPr="00230BC2">
        <w:t xml:space="preserve">At its </w:t>
      </w:r>
      <w:r w:rsidR="00E67935" w:rsidRPr="00230BC2">
        <w:t>4th</w:t>
      </w:r>
      <w:r w:rsidRPr="00230BC2">
        <w:t xml:space="preserve"> meeting, </w:t>
      </w:r>
      <w:r w:rsidR="00C9498A" w:rsidRPr="00230BC2">
        <w:t>W</w:t>
      </w:r>
      <w:r w:rsidRPr="00230BC2">
        <w:t xml:space="preserve">orking </w:t>
      </w:r>
      <w:r w:rsidR="00C9498A" w:rsidRPr="00230BC2">
        <w:t>G</w:t>
      </w:r>
      <w:r w:rsidRPr="00230BC2">
        <w:t xml:space="preserve">roup </w:t>
      </w:r>
      <w:r w:rsidR="00C9498A" w:rsidRPr="00230BC2">
        <w:t xml:space="preserve">II </w:t>
      </w:r>
      <w:r w:rsidRPr="00230BC2">
        <w:t xml:space="preserve">considered the draft decision submitted by </w:t>
      </w:r>
      <w:r w:rsidR="00FC7839"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.5.</w:t>
      </w:r>
      <w:bookmarkEnd w:id="458"/>
    </w:p>
    <w:p w14:paraId="3D2F427B" w14:textId="1DF2B384" w:rsidR="005008CC" w:rsidRPr="00230BC2" w:rsidRDefault="005008CC" w:rsidP="003466FC">
      <w:pPr>
        <w:pStyle w:val="Para1"/>
      </w:pPr>
      <w:r w:rsidRPr="00230BC2">
        <w:t xml:space="preserve">At </w:t>
      </w:r>
      <w:r w:rsidR="00573DFE" w:rsidRPr="00230BC2">
        <w:t xml:space="preserve">its </w:t>
      </w:r>
      <w:r w:rsidR="00E67935" w:rsidRPr="00230BC2">
        <w:t>2nd</w:t>
      </w:r>
      <w:r w:rsidRPr="00230BC2">
        <w:t xml:space="preserve"> </w:t>
      </w:r>
      <w:r w:rsidR="004A478A" w:rsidRPr="00230BC2">
        <w:t xml:space="preserve">plenary </w:t>
      </w:r>
      <w:r w:rsidRPr="00230BC2">
        <w:t>session</w:t>
      </w:r>
      <w:r w:rsidR="00393ACA" w:rsidRPr="00230BC2">
        <w:t>,</w:t>
      </w:r>
      <w:r w:rsidRPr="00230BC2">
        <w:t xml:space="preserve"> the Conference of</w:t>
      </w:r>
      <w:r w:rsidR="002D2191" w:rsidRPr="00230BC2">
        <w:t xml:space="preserve"> </w:t>
      </w:r>
      <w:r w:rsidRPr="00230BC2">
        <w:t xml:space="preserve">the Parties </w:t>
      </w:r>
      <w:r w:rsidR="00B37794" w:rsidRPr="00230BC2">
        <w:t xml:space="preserve">adopted </w:t>
      </w:r>
      <w:r w:rsidR="00073F9D" w:rsidRPr="00230BC2">
        <w:t xml:space="preserve">the </w:t>
      </w:r>
      <w:r w:rsidRPr="00230BC2">
        <w:t>draft decision as decision</w:t>
      </w:r>
      <w:r w:rsidR="00341456" w:rsidRPr="00230BC2">
        <w:t> </w:t>
      </w:r>
      <w:r w:rsidRPr="00230BC2">
        <w:t>15/</w:t>
      </w:r>
      <w:r w:rsidR="00540DCB" w:rsidRPr="00230BC2">
        <w:t>23</w:t>
      </w:r>
      <w:r w:rsidRPr="00230BC2">
        <w:t>.</w:t>
      </w:r>
    </w:p>
    <w:p w14:paraId="59163C9A" w14:textId="12C46112" w:rsidR="005008CC" w:rsidRPr="00230BC2" w:rsidRDefault="005008CC" w:rsidP="003466FC">
      <w:pPr>
        <w:pStyle w:val="Para1"/>
      </w:pPr>
      <w:r w:rsidRPr="00230BC2">
        <w:t>A statement was made by the representative of the Collaborative Partnership on Sustainable Wildlife Management.</w:t>
      </w:r>
    </w:p>
    <w:p w14:paraId="23C6BB38" w14:textId="41FADD7B"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CD702A" w:rsidRPr="00EE6F7F">
        <w:rPr>
          <w:b/>
          <w:bCs/>
          <w:snapToGrid w:val="0"/>
          <w:kern w:val="22"/>
          <w:szCs w:val="22"/>
        </w:rPr>
        <w:t>3</w:t>
      </w:r>
      <w:r w:rsidRPr="00EE6F7F">
        <w:rPr>
          <w:b/>
          <w:bCs/>
          <w:snapToGrid w:val="0"/>
          <w:kern w:val="22"/>
          <w:szCs w:val="22"/>
        </w:rPr>
        <w:t>.</w:t>
      </w:r>
      <w:r w:rsidRPr="00EE6F7F">
        <w:rPr>
          <w:b/>
          <w:bCs/>
          <w:snapToGrid w:val="0"/>
          <w:kern w:val="22"/>
          <w:szCs w:val="22"/>
        </w:rPr>
        <w:tab/>
        <w:t>Biodiversity and climate change</w:t>
      </w:r>
    </w:p>
    <w:p w14:paraId="2F109765" w14:textId="79F2E279" w:rsidR="00000195" w:rsidRPr="00230BC2" w:rsidRDefault="00000195" w:rsidP="003466FC">
      <w:pPr>
        <w:pStyle w:val="Para1"/>
      </w:pPr>
      <w:r w:rsidRPr="00230BC2">
        <w:t xml:space="preserve">Working </w:t>
      </w:r>
      <w:r w:rsidR="003873C8" w:rsidRPr="00230BC2">
        <w:t>G</w:t>
      </w:r>
      <w:r w:rsidRPr="00230BC2">
        <w:t xml:space="preserve">roup II </w:t>
      </w:r>
      <w:r w:rsidR="00B3219B" w:rsidRPr="00230BC2">
        <w:t>considered</w:t>
      </w:r>
      <w:r w:rsidR="00632DD1" w:rsidRPr="00230BC2">
        <w:t xml:space="preserve"> agenda</w:t>
      </w:r>
      <w:r w:rsidRPr="00230BC2">
        <w:t xml:space="preserve"> item 23 at its </w:t>
      </w:r>
      <w:r w:rsidR="00E67935" w:rsidRPr="00230BC2">
        <w:t>2nd</w:t>
      </w:r>
      <w:r w:rsidRPr="00230BC2">
        <w:t xml:space="preserve"> meeting</w:t>
      </w:r>
      <w:r w:rsidR="009D6341" w:rsidRPr="00230BC2">
        <w:t>.</w:t>
      </w:r>
      <w:r w:rsidRPr="00230BC2">
        <w:t xml:space="preserve"> </w:t>
      </w:r>
      <w:r w:rsidR="000A734E" w:rsidRPr="00230BC2">
        <w:t>It</w:t>
      </w:r>
      <w:r w:rsidR="00C9498A" w:rsidRPr="00230BC2">
        <w:t xml:space="preserve"> </w:t>
      </w:r>
      <w:r w:rsidRPr="00230BC2">
        <w:t>had before it a draft decision based on recommendation 23/2 of the Subsidiary Body on Scientific, Technical and Technological Advice</w:t>
      </w:r>
      <w:r w:rsidR="00DA2B4B" w:rsidRPr="00230BC2">
        <w:t>,</w:t>
      </w:r>
      <w:r w:rsidRPr="00230BC2">
        <w:t xml:space="preserve"> </w:t>
      </w:r>
      <w:r w:rsidR="0091761B" w:rsidRPr="00230BC2">
        <w:t xml:space="preserve">as </w:t>
      </w:r>
      <w:r w:rsidRPr="00230BC2">
        <w:t>set out in the compilation of draft decisions</w:t>
      </w:r>
      <w:r w:rsidR="00E072FB" w:rsidRPr="00230BC2">
        <w:t>,</w:t>
      </w:r>
      <w:r w:rsidRPr="00230BC2">
        <w:t xml:space="preserve"> </w:t>
      </w:r>
      <w:r w:rsidR="00E072FB" w:rsidRPr="00230BC2">
        <w:t xml:space="preserve">as well as </w:t>
      </w:r>
      <w:r w:rsidRPr="00230BC2">
        <w:t xml:space="preserve">a </w:t>
      </w:r>
      <w:r w:rsidR="00D349DC" w:rsidRPr="00230BC2">
        <w:t xml:space="preserve">note by the Executive Secretary </w:t>
      </w:r>
      <w:r w:rsidR="00B453DE" w:rsidRPr="00230BC2">
        <w:t>containing</w:t>
      </w:r>
      <w:r w:rsidR="00D349DC" w:rsidRPr="00230BC2">
        <w:t xml:space="preserve"> </w:t>
      </w:r>
      <w:r w:rsidRPr="00230BC2">
        <w:t>supplementary information to the review of new scientific and technical information on biodiversity and climate change and potential implications for the work of the Convention (CBD/COP/</w:t>
      </w:r>
      <w:r w:rsidR="009B68DB" w:rsidRPr="00230BC2">
        <w:t>15/</w:t>
      </w:r>
      <w:r w:rsidRPr="00230BC2">
        <w:t>INF/21).</w:t>
      </w:r>
    </w:p>
    <w:p w14:paraId="2A8CD91B" w14:textId="1B72A274" w:rsidR="00000195" w:rsidRPr="00230BC2" w:rsidRDefault="00F53B7C" w:rsidP="003466FC">
      <w:pPr>
        <w:pStyle w:val="Para1"/>
      </w:pPr>
      <w:r w:rsidRPr="00230BC2">
        <w:t>W</w:t>
      </w:r>
      <w:r w:rsidR="00000195" w:rsidRPr="00230BC2">
        <w:t xml:space="preserve">orking </w:t>
      </w:r>
      <w:r w:rsidRPr="00230BC2">
        <w:t>G</w:t>
      </w:r>
      <w:r w:rsidR="00000195" w:rsidRPr="00230BC2">
        <w:t xml:space="preserve">roup </w:t>
      </w:r>
      <w:r w:rsidRPr="00230BC2">
        <w:t xml:space="preserve">II </w:t>
      </w:r>
      <w:r w:rsidR="00000195" w:rsidRPr="00230BC2">
        <w:t>establish</w:t>
      </w:r>
      <w:r w:rsidR="002206DF" w:rsidRPr="00230BC2">
        <w:t>ed</w:t>
      </w:r>
      <w:r w:rsidR="00000195" w:rsidRPr="00230BC2">
        <w:t xml:space="preserve"> an open</w:t>
      </w:r>
      <w:r w:rsidR="00CF0EAE" w:rsidRPr="00230BC2">
        <w:t>-ended</w:t>
      </w:r>
      <w:r w:rsidR="00000195" w:rsidRPr="00230BC2">
        <w:t xml:space="preserve"> group of friends of the </w:t>
      </w:r>
      <w:r w:rsidR="00354FB4" w:rsidRPr="00230BC2">
        <w:t>C</w:t>
      </w:r>
      <w:r w:rsidR="00000195" w:rsidRPr="00230BC2">
        <w:t xml:space="preserve">hair, co-facilitated by Sigurdur Thrainsson (Iceland) and Rita El Zaghloul (Costa Rica), to discuss the matter </w:t>
      </w:r>
      <w:r w:rsidR="00D808BE" w:rsidRPr="00230BC2">
        <w:t xml:space="preserve">further </w:t>
      </w:r>
      <w:r w:rsidR="00000195" w:rsidRPr="00230BC2">
        <w:t xml:space="preserve">and enable the Chair to prepare a revised draft decision for the </w:t>
      </w:r>
      <w:r w:rsidR="00583FC8" w:rsidRPr="00230BC2">
        <w:t>G</w:t>
      </w:r>
      <w:r w:rsidR="00000195" w:rsidRPr="00230BC2">
        <w:t>roup’s consideration.</w:t>
      </w:r>
    </w:p>
    <w:p w14:paraId="7871AB5C" w14:textId="356C4464" w:rsidR="00000195" w:rsidRPr="00230BC2" w:rsidRDefault="00000195" w:rsidP="003466FC">
      <w:pPr>
        <w:pStyle w:val="Para1"/>
      </w:pPr>
      <w:r w:rsidRPr="00230BC2">
        <w:t xml:space="preserve">At its </w:t>
      </w:r>
      <w:r w:rsidR="00E67935" w:rsidRPr="00230BC2">
        <w:t>4th</w:t>
      </w:r>
      <w:r w:rsidRPr="00230BC2">
        <w:t xml:space="preserve"> meeting, </w:t>
      </w:r>
      <w:r w:rsidR="00C9498A" w:rsidRPr="00230BC2">
        <w:t>W</w:t>
      </w:r>
      <w:r w:rsidRPr="00230BC2">
        <w:t xml:space="preserve">orking </w:t>
      </w:r>
      <w:r w:rsidR="00C9498A" w:rsidRPr="00230BC2">
        <w:t>G</w:t>
      </w:r>
      <w:r w:rsidRPr="00230BC2">
        <w:t xml:space="preserve">roup </w:t>
      </w:r>
      <w:r w:rsidR="00C9498A" w:rsidRPr="00230BC2">
        <w:t xml:space="preserve">II </w:t>
      </w:r>
      <w:r w:rsidRPr="00230BC2">
        <w:t xml:space="preserve">heard an interim progress report on the work of the group of friends of the </w:t>
      </w:r>
      <w:r w:rsidR="00354FB4" w:rsidRPr="00230BC2">
        <w:t>C</w:t>
      </w:r>
      <w:r w:rsidRPr="00230BC2">
        <w:t>hair.</w:t>
      </w:r>
    </w:p>
    <w:p w14:paraId="3BC7DE5C" w14:textId="4131D08C" w:rsidR="00000195" w:rsidRPr="00230BC2" w:rsidRDefault="00000195" w:rsidP="003466FC">
      <w:pPr>
        <w:pStyle w:val="Para1"/>
      </w:pPr>
      <w:r w:rsidRPr="00230BC2">
        <w:t xml:space="preserve">At its </w:t>
      </w:r>
      <w:r w:rsidR="0042766B" w:rsidRPr="00230BC2">
        <w:t>9th</w:t>
      </w:r>
      <w:r w:rsidRPr="00230BC2">
        <w:t xml:space="preserve"> meeting, on 16 December, </w:t>
      </w:r>
      <w:r w:rsidR="00C9498A" w:rsidRPr="00230BC2">
        <w:t>W</w:t>
      </w:r>
      <w:r w:rsidRPr="00230BC2">
        <w:t xml:space="preserve">orking </w:t>
      </w:r>
      <w:r w:rsidR="00C9498A" w:rsidRPr="00230BC2">
        <w:t>G</w:t>
      </w:r>
      <w:r w:rsidRPr="00230BC2">
        <w:t xml:space="preserve">roup </w:t>
      </w:r>
      <w:r w:rsidR="00C9498A" w:rsidRPr="00230BC2">
        <w:t xml:space="preserve">II </w:t>
      </w:r>
      <w:r w:rsidRPr="00230BC2">
        <w:t xml:space="preserve">heard a report from </w:t>
      </w:r>
      <w:r w:rsidR="00CA378A" w:rsidRPr="00230BC2">
        <w:t xml:space="preserve">one of </w:t>
      </w:r>
      <w:r w:rsidRPr="00230BC2">
        <w:t>the co-facilitator</w:t>
      </w:r>
      <w:r w:rsidR="00CA378A" w:rsidRPr="00230BC2">
        <w:t>s</w:t>
      </w:r>
      <w:r w:rsidRPr="00230BC2">
        <w:t xml:space="preserve"> of the group of friends of the </w:t>
      </w:r>
      <w:r w:rsidR="00354FB4" w:rsidRPr="00230BC2">
        <w:t>C</w:t>
      </w:r>
      <w:r w:rsidRPr="00230BC2">
        <w:t xml:space="preserve">hair, which had subsequently been converted to a contact group. </w:t>
      </w:r>
      <w:r w:rsidR="00643479" w:rsidRPr="00230BC2">
        <w:t>W</w:t>
      </w:r>
      <w:r w:rsidRPr="00230BC2">
        <w:t xml:space="preserve">orking </w:t>
      </w:r>
      <w:r w:rsidR="00643479" w:rsidRPr="00230BC2">
        <w:t>G</w:t>
      </w:r>
      <w:r w:rsidRPr="00230BC2">
        <w:t xml:space="preserve">roup </w:t>
      </w:r>
      <w:r w:rsidR="00643479" w:rsidRPr="00230BC2">
        <w:t xml:space="preserve">II </w:t>
      </w:r>
      <w:r w:rsidRPr="00230BC2">
        <w:t xml:space="preserve">then considered a revised draft decision submitted by </w:t>
      </w:r>
      <w:r w:rsidR="00AE4C12" w:rsidRPr="00230BC2">
        <w:t xml:space="preserve">its </w:t>
      </w:r>
      <w:r w:rsidRPr="00230BC2">
        <w:t>Chair.</w:t>
      </w:r>
    </w:p>
    <w:p w14:paraId="7DAA45A9" w14:textId="215822CB" w:rsidR="00000195" w:rsidRPr="00230BC2" w:rsidRDefault="00000195" w:rsidP="003466FC">
      <w:pPr>
        <w:pStyle w:val="Para1"/>
      </w:pPr>
      <w:r w:rsidRPr="00230BC2">
        <w:t xml:space="preserve">Statements were made by representatives of </w:t>
      </w:r>
      <w:r w:rsidR="0051107D" w:rsidRPr="00230BC2">
        <w:t xml:space="preserve">the following Parties: </w:t>
      </w:r>
      <w:r w:rsidRPr="00230BC2">
        <w:t>Algeria, Argentina, Australia, Brazil, Canada, Colombia, Ethiopia, European Union and its 27 member States, Honduras, Indonesia, Iran (Islamic Republic of), Japan, Morocco, Norway, Philippines, South Africa, Sri Lanka, Switzerland, Uganda, United Kingdom and Uruguay.</w:t>
      </w:r>
    </w:p>
    <w:p w14:paraId="083F6739" w14:textId="144DFFC8" w:rsidR="00000195" w:rsidRPr="00230BC2" w:rsidRDefault="00643479" w:rsidP="003466FC">
      <w:pPr>
        <w:pStyle w:val="Para1"/>
      </w:pPr>
      <w:r w:rsidRPr="00230BC2">
        <w:t>W</w:t>
      </w:r>
      <w:r w:rsidR="00000195" w:rsidRPr="00230BC2">
        <w:t xml:space="preserve">orking </w:t>
      </w:r>
      <w:r w:rsidRPr="00230BC2">
        <w:t>G</w:t>
      </w:r>
      <w:r w:rsidR="00000195" w:rsidRPr="00230BC2">
        <w:t xml:space="preserve">roup </w:t>
      </w:r>
      <w:r w:rsidRPr="00230BC2">
        <w:t xml:space="preserve">II </w:t>
      </w:r>
      <w:r w:rsidR="00000195" w:rsidRPr="00230BC2">
        <w:t xml:space="preserve">agreed that </w:t>
      </w:r>
      <w:r w:rsidR="00C44B53" w:rsidRPr="00230BC2">
        <w:t xml:space="preserve">its </w:t>
      </w:r>
      <w:r w:rsidR="00000195" w:rsidRPr="00230BC2">
        <w:t xml:space="preserve">Chair would prepare a further revised draft decision for </w:t>
      </w:r>
      <w:r w:rsidR="00CD1042" w:rsidRPr="00230BC2">
        <w:t xml:space="preserve">the </w:t>
      </w:r>
      <w:r w:rsidR="004C3867" w:rsidRPr="00230BC2">
        <w:t xml:space="preserve">Group’s </w:t>
      </w:r>
      <w:r w:rsidR="00000195" w:rsidRPr="00230BC2">
        <w:t>consideration, taking account of the statements made.</w:t>
      </w:r>
    </w:p>
    <w:p w14:paraId="3DA62775" w14:textId="36D9B061" w:rsidR="00000195" w:rsidRPr="00230BC2" w:rsidRDefault="00000195" w:rsidP="003466FC">
      <w:pPr>
        <w:pStyle w:val="Para1"/>
      </w:pPr>
      <w:r w:rsidRPr="00230BC2">
        <w:t xml:space="preserve">At its </w:t>
      </w:r>
      <w:r w:rsidR="0042766B" w:rsidRPr="00230BC2">
        <w:t>10th</w:t>
      </w:r>
      <w:r w:rsidRPr="00230BC2">
        <w:t xml:space="preserve"> meeting, </w:t>
      </w:r>
      <w:r w:rsidR="00C9498A" w:rsidRPr="00230BC2">
        <w:t>W</w:t>
      </w:r>
      <w:r w:rsidRPr="00230BC2">
        <w:t xml:space="preserve">orking </w:t>
      </w:r>
      <w:r w:rsidR="00C9498A" w:rsidRPr="00230BC2">
        <w:t>G</w:t>
      </w:r>
      <w:r w:rsidRPr="00230BC2">
        <w:t xml:space="preserve">roup </w:t>
      </w:r>
      <w:r w:rsidR="00C9498A" w:rsidRPr="00230BC2">
        <w:t xml:space="preserve">II </w:t>
      </w:r>
      <w:r w:rsidRPr="00230BC2">
        <w:t xml:space="preserve">considered the revised draft decision submitted by </w:t>
      </w:r>
      <w:r w:rsidR="00AE4C12"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.19.</w:t>
      </w:r>
    </w:p>
    <w:p w14:paraId="418AE0A2" w14:textId="02DD8E32" w:rsidR="00FB6E21" w:rsidRPr="00230BC2" w:rsidRDefault="00FB6E21"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9842DC" w:rsidRPr="00230BC2">
        <w:t> </w:t>
      </w:r>
      <w:r w:rsidRPr="00230BC2">
        <w:t>15/</w:t>
      </w:r>
      <w:r w:rsidR="00540DCB" w:rsidRPr="00230BC2">
        <w:t>30</w:t>
      </w:r>
      <w:r w:rsidRPr="00230BC2">
        <w:t>.</w:t>
      </w:r>
    </w:p>
    <w:p w14:paraId="6C8B61C6" w14:textId="1CDB39AE" w:rsidR="00FA158B" w:rsidRPr="00230BC2" w:rsidRDefault="00FA158B" w:rsidP="003466FC">
      <w:pPr>
        <w:pStyle w:val="Para1"/>
        <w:rPr>
          <w:b/>
          <w:bCs/>
        </w:rPr>
      </w:pPr>
      <w:r w:rsidRPr="00230BC2">
        <w:t xml:space="preserve">Following </w:t>
      </w:r>
      <w:r w:rsidR="00B32751" w:rsidRPr="00230BC2">
        <w:t xml:space="preserve">the </w:t>
      </w:r>
      <w:r w:rsidRPr="00230BC2">
        <w:t xml:space="preserve">adoption, the representative of the European Union and its 27 </w:t>
      </w:r>
      <w:r w:rsidR="002A510B" w:rsidRPr="00230BC2">
        <w:t>m</w:t>
      </w:r>
      <w:r w:rsidRPr="00230BC2">
        <w:t xml:space="preserve">ember States, asking that her comments be reflected in the present report, voiced regret that, </w:t>
      </w:r>
      <w:r w:rsidR="00DD18CF" w:rsidRPr="00230BC2">
        <w:t>owing</w:t>
      </w:r>
      <w:r w:rsidRPr="00230BC2">
        <w:t xml:space="preserve"> to the opposition of some Parties, the decision made no reference to United Nations Environment Assembly resolution 5/5, on nature-based solutions for supporting sustainable development, which had been </w:t>
      </w:r>
      <w:r w:rsidR="00A53BDC" w:rsidRPr="00230BC2">
        <w:t>acknowledged</w:t>
      </w:r>
      <w:r w:rsidRPr="00230BC2">
        <w:t xml:space="preserve"> as an important milestone in recognizing the crucial link between biodiversity and climate change in recent decisions </w:t>
      </w:r>
      <w:r w:rsidRPr="00230BC2">
        <w:rPr>
          <w:color w:val="000000" w:themeColor="text1"/>
        </w:rPr>
        <w:t>by the Conference of the Parties to the United Nations Framework Convention on Climate Change and</w:t>
      </w:r>
      <w:r w:rsidR="00C8732D" w:rsidRPr="00230BC2">
        <w:rPr>
          <w:color w:val="000000" w:themeColor="text1"/>
        </w:rPr>
        <w:t xml:space="preserve"> </w:t>
      </w:r>
      <w:r w:rsidR="00B845FE" w:rsidRPr="00230BC2">
        <w:rPr>
          <w:color w:val="000000" w:themeColor="text1"/>
        </w:rPr>
        <w:t xml:space="preserve">the </w:t>
      </w:r>
      <w:r w:rsidR="00B845FE" w:rsidRPr="00230BC2">
        <w:rPr>
          <w:color w:val="000000" w:themeColor="text1"/>
        </w:rPr>
        <w:lastRenderedPageBreak/>
        <w:t xml:space="preserve">Conference of the Parties </w:t>
      </w:r>
      <w:r w:rsidR="00C8732D" w:rsidRPr="00230BC2">
        <w:rPr>
          <w:color w:val="000000" w:themeColor="text1"/>
        </w:rPr>
        <w:t>to</w:t>
      </w:r>
      <w:r w:rsidRPr="00230BC2">
        <w:rPr>
          <w:color w:val="000000" w:themeColor="text1"/>
        </w:rPr>
        <w:t xml:space="preserve"> the </w:t>
      </w:r>
      <w:r w:rsidRPr="00230BC2">
        <w:rPr>
          <w:color w:val="000000" w:themeColor="text1"/>
          <w:shd w:val="clear" w:color="auto" w:fill="FFFFFF"/>
        </w:rPr>
        <w:t>Convention on Wetlands of International Importance especially as Waterfowl Habitat</w:t>
      </w:r>
      <w:r w:rsidRPr="00230BC2">
        <w:rPr>
          <w:color w:val="000000" w:themeColor="text1"/>
        </w:rPr>
        <w:t>.</w:t>
      </w:r>
    </w:p>
    <w:p w14:paraId="50DBCDAE" w14:textId="5E9B4874"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CD702A" w:rsidRPr="00EE6F7F">
        <w:rPr>
          <w:b/>
          <w:bCs/>
          <w:snapToGrid w:val="0"/>
          <w:kern w:val="22"/>
          <w:szCs w:val="22"/>
        </w:rPr>
        <w:t>4</w:t>
      </w:r>
      <w:r w:rsidRPr="00EE6F7F">
        <w:rPr>
          <w:b/>
          <w:bCs/>
          <w:snapToGrid w:val="0"/>
          <w:kern w:val="22"/>
          <w:szCs w:val="22"/>
        </w:rPr>
        <w:t>.</w:t>
      </w:r>
      <w:r w:rsidRPr="00EE6F7F">
        <w:rPr>
          <w:b/>
          <w:bCs/>
          <w:snapToGrid w:val="0"/>
          <w:kern w:val="22"/>
          <w:szCs w:val="22"/>
        </w:rPr>
        <w:tab/>
        <w:t>Biodiversity and agriculture</w:t>
      </w:r>
    </w:p>
    <w:p w14:paraId="611E3270" w14:textId="2A593814" w:rsidR="00D87BC7" w:rsidRPr="00230BC2" w:rsidRDefault="00D87BC7" w:rsidP="003466FC">
      <w:pPr>
        <w:pStyle w:val="Para1"/>
      </w:pPr>
      <w:r w:rsidRPr="00230BC2">
        <w:t xml:space="preserve">Working </w:t>
      </w:r>
      <w:r w:rsidR="003873C8" w:rsidRPr="00230BC2">
        <w:t>G</w:t>
      </w:r>
      <w:r w:rsidRPr="00230BC2">
        <w:t xml:space="preserve">roup II </w:t>
      </w:r>
      <w:r w:rsidR="00B3219B" w:rsidRPr="00230BC2">
        <w:t>considered</w:t>
      </w:r>
      <w:r w:rsidR="00086D60" w:rsidRPr="00230BC2">
        <w:t xml:space="preserve"> agenda</w:t>
      </w:r>
      <w:r w:rsidRPr="00230BC2">
        <w:t xml:space="preserve"> item 24 at its </w:t>
      </w:r>
      <w:r w:rsidR="00E67935" w:rsidRPr="00230BC2">
        <w:t>2nd</w:t>
      </w:r>
      <w:r w:rsidRPr="00230BC2">
        <w:t xml:space="preserve"> meeting</w:t>
      </w:r>
      <w:r w:rsidR="009D6341" w:rsidRPr="00230BC2">
        <w:t>.</w:t>
      </w:r>
      <w:r w:rsidRPr="00230BC2">
        <w:t xml:space="preserve"> </w:t>
      </w:r>
      <w:r w:rsidR="000A734E" w:rsidRPr="00230BC2">
        <w:t>It</w:t>
      </w:r>
      <w:r w:rsidR="00C9498A" w:rsidRPr="00230BC2">
        <w:t xml:space="preserve"> </w:t>
      </w:r>
      <w:r w:rsidRPr="00230BC2">
        <w:t>had before it a draft decision based on recommendation 24/6 of the Subsidiary Body on Scientific, Technical and Technological Advice</w:t>
      </w:r>
      <w:r w:rsidR="0091761B" w:rsidRPr="00230BC2">
        <w:t>,</w:t>
      </w:r>
      <w:r w:rsidRPr="00230BC2">
        <w:t xml:space="preserve"> </w:t>
      </w:r>
      <w:r w:rsidR="0091761B" w:rsidRPr="00230BC2">
        <w:t>as</w:t>
      </w:r>
      <w:r w:rsidRPr="00230BC2">
        <w:t xml:space="preserve"> set out in the compilation of draft decisions</w:t>
      </w:r>
      <w:r w:rsidR="006E2346" w:rsidRPr="00230BC2">
        <w:t>.</w:t>
      </w:r>
      <w:r w:rsidRPr="00230BC2">
        <w:t xml:space="preserve"> </w:t>
      </w:r>
    </w:p>
    <w:p w14:paraId="5E81DEBC" w14:textId="40248370" w:rsidR="00D87BC7" w:rsidRPr="00230BC2" w:rsidRDefault="00643479" w:rsidP="003466FC">
      <w:pPr>
        <w:pStyle w:val="Para1"/>
      </w:pPr>
      <w:r w:rsidRPr="00230BC2">
        <w:t>W</w:t>
      </w:r>
      <w:r w:rsidR="00D87BC7" w:rsidRPr="00230BC2">
        <w:t xml:space="preserve">orking </w:t>
      </w:r>
      <w:r w:rsidRPr="00230BC2">
        <w:t>G</w:t>
      </w:r>
      <w:r w:rsidR="00D87BC7" w:rsidRPr="00230BC2">
        <w:t xml:space="preserve">roup </w:t>
      </w:r>
      <w:r w:rsidRPr="00230BC2">
        <w:t xml:space="preserve">II </w:t>
      </w:r>
      <w:r w:rsidR="00D87BC7" w:rsidRPr="00230BC2">
        <w:t>establish</w:t>
      </w:r>
      <w:r w:rsidR="002206DF" w:rsidRPr="00230BC2">
        <w:t>ed</w:t>
      </w:r>
      <w:r w:rsidR="00D87BC7" w:rsidRPr="00230BC2">
        <w:t xml:space="preserve"> a contact group, co-chaired by Hendrik Segers (Belgium) and </w:t>
      </w:r>
      <w:r w:rsidR="00941A54" w:rsidRPr="00230BC2">
        <w:t xml:space="preserve">Mr. </w:t>
      </w:r>
      <w:r w:rsidR="00D87BC7" w:rsidRPr="00230BC2">
        <w:t>Okoree</w:t>
      </w:r>
      <w:r w:rsidR="00941A54" w:rsidRPr="00230BC2">
        <w:t>,</w:t>
      </w:r>
      <w:r w:rsidR="00D87BC7" w:rsidRPr="00230BC2">
        <w:t xml:space="preserve"> to discuss the matter</w:t>
      </w:r>
      <w:r w:rsidR="00D808BE" w:rsidRPr="00230BC2">
        <w:t xml:space="preserve"> further</w:t>
      </w:r>
      <w:r w:rsidR="00D87BC7" w:rsidRPr="00230BC2">
        <w:t>.</w:t>
      </w:r>
    </w:p>
    <w:p w14:paraId="374AA94A" w14:textId="1885297B" w:rsidR="00D87BC7" w:rsidRPr="00230BC2" w:rsidRDefault="00D87BC7" w:rsidP="003466FC">
      <w:pPr>
        <w:pStyle w:val="Para1"/>
      </w:pPr>
      <w:r w:rsidRPr="00230BC2">
        <w:t xml:space="preserve">At its </w:t>
      </w:r>
      <w:r w:rsidR="00E67935" w:rsidRPr="00230BC2">
        <w:t>4th</w:t>
      </w:r>
      <w:r w:rsidRPr="00230BC2">
        <w:t xml:space="preserve"> meeting, </w:t>
      </w:r>
      <w:r w:rsidR="00082E74" w:rsidRPr="00230BC2">
        <w:t>W</w:t>
      </w:r>
      <w:r w:rsidRPr="00230BC2">
        <w:t xml:space="preserve">orking </w:t>
      </w:r>
      <w:r w:rsidR="00082E74" w:rsidRPr="00230BC2">
        <w:t>G</w:t>
      </w:r>
      <w:r w:rsidRPr="00230BC2">
        <w:t xml:space="preserve">roup </w:t>
      </w:r>
      <w:r w:rsidR="00082E74" w:rsidRPr="00230BC2">
        <w:t xml:space="preserve">II </w:t>
      </w:r>
      <w:r w:rsidRPr="00230BC2">
        <w:t xml:space="preserve">heard a report </w:t>
      </w:r>
      <w:r w:rsidR="00C64AC8" w:rsidRPr="00230BC2">
        <w:t xml:space="preserve">from the Co-Chairs of the contact group </w:t>
      </w:r>
      <w:r w:rsidRPr="00230BC2">
        <w:t>on the work of the</w:t>
      </w:r>
      <w:r w:rsidR="00C64AC8" w:rsidRPr="00230BC2">
        <w:t>ir</w:t>
      </w:r>
      <w:r w:rsidRPr="00230BC2">
        <w:t xml:space="preserve"> group and agreed that </w:t>
      </w:r>
      <w:r w:rsidR="00B86281" w:rsidRPr="00230BC2">
        <w:t>the</w:t>
      </w:r>
      <w:r w:rsidR="00C44B53" w:rsidRPr="00230BC2">
        <w:t xml:space="preserve"> </w:t>
      </w:r>
      <w:r w:rsidRPr="00230BC2">
        <w:t xml:space="preserve">Chair </w:t>
      </w:r>
      <w:r w:rsidR="00B86281" w:rsidRPr="00230BC2">
        <w:t xml:space="preserve">of Working Group II </w:t>
      </w:r>
      <w:r w:rsidRPr="00230BC2">
        <w:t xml:space="preserve">would prepare a revised draft decision for </w:t>
      </w:r>
      <w:r w:rsidR="001C5863" w:rsidRPr="00230BC2">
        <w:t xml:space="preserve">the </w:t>
      </w:r>
      <w:r w:rsidR="00680740" w:rsidRPr="00230BC2">
        <w:t xml:space="preserve">Working </w:t>
      </w:r>
      <w:r w:rsidR="001C5863" w:rsidRPr="00230BC2">
        <w:t xml:space="preserve">Group’s </w:t>
      </w:r>
      <w:r w:rsidRPr="00230BC2">
        <w:t xml:space="preserve">consideration </w:t>
      </w:r>
      <w:r w:rsidR="00C71B54" w:rsidRPr="00230BC2">
        <w:t xml:space="preserve">on the </w:t>
      </w:r>
      <w:r w:rsidRPr="00230BC2">
        <w:t>bas</w:t>
      </w:r>
      <w:r w:rsidR="00C71B54" w:rsidRPr="00230BC2">
        <w:t>is</w:t>
      </w:r>
      <w:r w:rsidRPr="00230BC2">
        <w:t xml:space="preserve"> o</w:t>
      </w:r>
      <w:r w:rsidR="00C71B54" w:rsidRPr="00230BC2">
        <w:t>f</w:t>
      </w:r>
      <w:r w:rsidRPr="00230BC2">
        <w:t xml:space="preserve"> the outcome of the </w:t>
      </w:r>
      <w:r w:rsidR="00680740" w:rsidRPr="00230BC2">
        <w:t xml:space="preserve">contact </w:t>
      </w:r>
      <w:r w:rsidRPr="00230BC2">
        <w:t>group’s work.</w:t>
      </w:r>
    </w:p>
    <w:p w14:paraId="464D514D" w14:textId="766669D6" w:rsidR="00D87BC7" w:rsidRPr="00230BC2" w:rsidRDefault="00D87BC7" w:rsidP="003466FC">
      <w:pPr>
        <w:pStyle w:val="Para1"/>
      </w:pPr>
      <w:r w:rsidRPr="00230BC2">
        <w:t xml:space="preserve">At its </w:t>
      </w:r>
      <w:r w:rsidR="0042766B" w:rsidRPr="00230BC2">
        <w:t>7th</w:t>
      </w:r>
      <w:r w:rsidRPr="00230BC2">
        <w:t xml:space="preserve"> meeting, </w:t>
      </w:r>
      <w:r w:rsidR="00082E74" w:rsidRPr="00230BC2">
        <w:t>W</w:t>
      </w:r>
      <w:r w:rsidRPr="00230BC2">
        <w:t xml:space="preserve">orking </w:t>
      </w:r>
      <w:r w:rsidR="00082E74" w:rsidRPr="00230BC2">
        <w:t>G</w:t>
      </w:r>
      <w:r w:rsidRPr="00230BC2">
        <w:t xml:space="preserve">roup </w:t>
      </w:r>
      <w:r w:rsidR="009E01D9" w:rsidRPr="00230BC2">
        <w:t xml:space="preserve">II </w:t>
      </w:r>
      <w:r w:rsidRPr="00230BC2">
        <w:t xml:space="preserve">considered the revised draft decision submitted by </w:t>
      </w:r>
      <w:r w:rsidR="00AE4C12" w:rsidRPr="00230BC2">
        <w:t xml:space="preserve">its </w:t>
      </w:r>
      <w:r w:rsidRPr="00230BC2">
        <w:t>Chair.</w:t>
      </w:r>
    </w:p>
    <w:p w14:paraId="1F34D383" w14:textId="622ED0C1" w:rsidR="00D87BC7" w:rsidRPr="00230BC2" w:rsidRDefault="00D87BC7" w:rsidP="003466FC">
      <w:pPr>
        <w:pStyle w:val="Para1"/>
      </w:pPr>
      <w:r w:rsidRPr="00230BC2">
        <w:t xml:space="preserve">Statements were made by representatives of </w:t>
      </w:r>
      <w:r w:rsidR="0051107D" w:rsidRPr="00230BC2">
        <w:t xml:space="preserve">the following Parties: </w:t>
      </w:r>
      <w:r w:rsidRPr="00230BC2">
        <w:t>Antigua and Barbuda, Argentina, Australia, Bangladesh, Brazil, Canada, Colombia, Costa Rica, Côte d’Ivoire, Egypt, Ethiopia, European Union and its 27 member States, Guatemala, Honduras, Indonesia, Japan, Micronesia, Mongolia, Morocco, Norway, Peru, South Africa, Switzerland, United Kingdom and United Republic of Tanzania.</w:t>
      </w:r>
    </w:p>
    <w:p w14:paraId="6AB7EA24" w14:textId="156263E3" w:rsidR="005747BA" w:rsidRPr="00230BC2" w:rsidRDefault="00D87BC7" w:rsidP="003466FC">
      <w:pPr>
        <w:pStyle w:val="Para1"/>
      </w:pPr>
      <w:r w:rsidRPr="00230BC2">
        <w:t xml:space="preserve">At its eight meeting, the Working Group continued its consideration of the revised draft decision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00903CC8" w:rsidRPr="00230BC2">
        <w:t>.</w:t>
      </w:r>
      <w:r w:rsidRPr="00230BC2">
        <w:t>16</w:t>
      </w:r>
      <w:r w:rsidRPr="00230BC2">
        <w:rPr>
          <w:rFonts w:eastAsia="Batang"/>
        </w:rPr>
        <w:t>.</w:t>
      </w:r>
    </w:p>
    <w:p w14:paraId="2624AE72" w14:textId="08A4D355" w:rsidR="000B40E1" w:rsidRPr="00230BC2" w:rsidRDefault="000B40E1"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A266A0" w:rsidRPr="00230BC2">
        <w:t>28</w:t>
      </w:r>
      <w:r w:rsidRPr="00230BC2">
        <w:t>.</w:t>
      </w:r>
    </w:p>
    <w:p w14:paraId="2B2A0C70" w14:textId="03AB37AB" w:rsidR="00B07CE5"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B07CE5" w:rsidRPr="00EE6F7F">
        <w:rPr>
          <w:b/>
          <w:bCs/>
          <w:snapToGrid w:val="0"/>
          <w:kern w:val="22"/>
          <w:szCs w:val="22"/>
        </w:rPr>
        <w:t>5</w:t>
      </w:r>
      <w:r w:rsidRPr="00EE6F7F">
        <w:rPr>
          <w:b/>
          <w:bCs/>
          <w:snapToGrid w:val="0"/>
          <w:kern w:val="22"/>
          <w:szCs w:val="22"/>
        </w:rPr>
        <w:t>.</w:t>
      </w:r>
      <w:r w:rsidR="004D790E" w:rsidRPr="00EE6F7F">
        <w:rPr>
          <w:b/>
          <w:bCs/>
          <w:snapToGrid w:val="0"/>
          <w:kern w:val="22"/>
          <w:szCs w:val="22"/>
        </w:rPr>
        <w:tab/>
      </w:r>
      <w:r w:rsidR="00B07CE5" w:rsidRPr="00EE6F7F">
        <w:rPr>
          <w:b/>
          <w:bCs/>
          <w:snapToGrid w:val="0"/>
          <w:kern w:val="22"/>
          <w:szCs w:val="22"/>
        </w:rPr>
        <w:t>Biodiversity and health</w:t>
      </w:r>
    </w:p>
    <w:p w14:paraId="6B7436CD" w14:textId="52D5C3AA" w:rsidR="00034FE3" w:rsidRPr="00230BC2" w:rsidRDefault="00034FE3" w:rsidP="003466FC">
      <w:pPr>
        <w:pStyle w:val="Para1"/>
        <w:rPr>
          <w:bCs/>
        </w:rPr>
      </w:pPr>
      <w:r w:rsidRPr="00230BC2">
        <w:t xml:space="preserve">Working </w:t>
      </w:r>
      <w:r w:rsidR="003873C8" w:rsidRPr="00230BC2">
        <w:t>G</w:t>
      </w:r>
      <w:r w:rsidRPr="00230BC2">
        <w:t xml:space="preserve">roup II </w:t>
      </w:r>
      <w:r w:rsidR="00B3219B" w:rsidRPr="00230BC2">
        <w:t>considered</w:t>
      </w:r>
      <w:r w:rsidR="00086D60" w:rsidRPr="00230BC2">
        <w:t xml:space="preserve"> agenda</w:t>
      </w:r>
      <w:r w:rsidRPr="00230BC2">
        <w:t xml:space="preserve"> item 25 at its </w:t>
      </w:r>
      <w:r w:rsidR="00E67935" w:rsidRPr="00230BC2">
        <w:t>2nd</w:t>
      </w:r>
      <w:r w:rsidRPr="00230BC2">
        <w:t xml:space="preserve"> meeting</w:t>
      </w:r>
      <w:r w:rsidR="009D6341" w:rsidRPr="00230BC2">
        <w:t>.</w:t>
      </w:r>
      <w:r w:rsidRPr="00230BC2">
        <w:t xml:space="preserve"> </w:t>
      </w:r>
      <w:r w:rsidR="000A734E" w:rsidRPr="00230BC2">
        <w:t>It</w:t>
      </w:r>
      <w:r w:rsidR="009E01D9" w:rsidRPr="00230BC2">
        <w:t xml:space="preserve"> </w:t>
      </w:r>
      <w:r w:rsidRPr="00230BC2">
        <w:t>had before it a draft decision based on recommendation 24/7 of the Subsidiary Body on Scientific, Technical and Technological Advice</w:t>
      </w:r>
      <w:r w:rsidR="0091761B" w:rsidRPr="00230BC2">
        <w:t>,</w:t>
      </w:r>
      <w:r w:rsidRPr="00230BC2">
        <w:t xml:space="preserve"> </w:t>
      </w:r>
      <w:r w:rsidR="0091761B" w:rsidRPr="00230BC2">
        <w:t>as</w:t>
      </w:r>
      <w:r w:rsidRPr="00230BC2">
        <w:t xml:space="preserve"> set out in the compilation of draft decisions</w:t>
      </w:r>
      <w:r w:rsidR="006E2346" w:rsidRPr="00230BC2">
        <w:t>.</w:t>
      </w:r>
      <w:r w:rsidRPr="00230BC2">
        <w:t xml:space="preserve"> </w:t>
      </w:r>
    </w:p>
    <w:p w14:paraId="646748E3" w14:textId="29FB7244" w:rsidR="00034FE3" w:rsidRPr="00230BC2" w:rsidRDefault="00643479" w:rsidP="003466FC">
      <w:pPr>
        <w:pStyle w:val="Para1"/>
      </w:pPr>
      <w:r w:rsidRPr="00230BC2">
        <w:t>W</w:t>
      </w:r>
      <w:r w:rsidR="00034FE3" w:rsidRPr="00230BC2">
        <w:t xml:space="preserve">orking </w:t>
      </w:r>
      <w:r w:rsidRPr="00230BC2">
        <w:t>G</w:t>
      </w:r>
      <w:r w:rsidR="00034FE3" w:rsidRPr="00230BC2">
        <w:t xml:space="preserve">roup </w:t>
      </w:r>
      <w:r w:rsidRPr="00230BC2">
        <w:t xml:space="preserve">II </w:t>
      </w:r>
      <w:r w:rsidR="00034FE3" w:rsidRPr="00230BC2">
        <w:t xml:space="preserve">agreed that </w:t>
      </w:r>
      <w:r w:rsidR="00C44B53" w:rsidRPr="00230BC2">
        <w:t xml:space="preserve">its </w:t>
      </w:r>
      <w:r w:rsidR="00034FE3" w:rsidRPr="00230BC2">
        <w:t xml:space="preserve">Chair would undertake informal consultations with a view to preparing a revised draft decision for the </w:t>
      </w:r>
      <w:r w:rsidR="00583FC8" w:rsidRPr="00230BC2">
        <w:t>G</w:t>
      </w:r>
      <w:r w:rsidR="00034FE3" w:rsidRPr="00230BC2">
        <w:t xml:space="preserve">roup’s consideration. </w:t>
      </w:r>
    </w:p>
    <w:p w14:paraId="69641463" w14:textId="1D3A24B4" w:rsidR="00034FE3" w:rsidRPr="00230BC2" w:rsidRDefault="00034FE3" w:rsidP="003466FC">
      <w:pPr>
        <w:pStyle w:val="Para1"/>
      </w:pPr>
      <w:r w:rsidRPr="00230BC2">
        <w:t xml:space="preserve">At its </w:t>
      </w:r>
      <w:r w:rsidR="0042766B" w:rsidRPr="00230BC2">
        <w:t>6th</w:t>
      </w:r>
      <w:r w:rsidRPr="00230BC2">
        <w:t xml:space="preserve"> meeting, </w:t>
      </w:r>
      <w:r w:rsidR="009E01D9" w:rsidRPr="00230BC2">
        <w:t>W</w:t>
      </w:r>
      <w:r w:rsidRPr="00230BC2">
        <w:t xml:space="preserve">orking </w:t>
      </w:r>
      <w:r w:rsidR="009E01D9" w:rsidRPr="00230BC2">
        <w:t>G</w:t>
      </w:r>
      <w:r w:rsidRPr="00230BC2">
        <w:t xml:space="preserve">roup </w:t>
      </w:r>
      <w:r w:rsidR="009E01D9" w:rsidRPr="00230BC2">
        <w:t xml:space="preserve">II </w:t>
      </w:r>
      <w:r w:rsidRPr="00230BC2">
        <w:t>establish</w:t>
      </w:r>
      <w:r w:rsidR="002206DF" w:rsidRPr="00230BC2">
        <w:t>ed</w:t>
      </w:r>
      <w:r w:rsidRPr="00230BC2">
        <w:t xml:space="preserve"> a group of friends of the </w:t>
      </w:r>
      <w:r w:rsidR="00354FB4" w:rsidRPr="00230BC2">
        <w:t>C</w:t>
      </w:r>
      <w:r w:rsidRPr="00230BC2">
        <w:t xml:space="preserve">hair, co-facilitated by Barbara Engels (Germany) and Andrew Rhodes-Espinoza (Mexico), to address the unresolved issues and enable </w:t>
      </w:r>
      <w:r w:rsidR="00380DCB" w:rsidRPr="00230BC2">
        <w:t xml:space="preserve">its </w:t>
      </w:r>
      <w:r w:rsidRPr="00230BC2">
        <w:t xml:space="preserve">Chair to prepare a revised draft decision for the </w:t>
      </w:r>
      <w:r w:rsidR="00583FC8" w:rsidRPr="00230BC2">
        <w:t>G</w:t>
      </w:r>
      <w:r w:rsidRPr="00230BC2">
        <w:t xml:space="preserve">roup’s consideration. </w:t>
      </w:r>
    </w:p>
    <w:p w14:paraId="0AEFCB3F" w14:textId="0157396A" w:rsidR="00034FE3" w:rsidRPr="00230BC2" w:rsidRDefault="00034FE3" w:rsidP="003466FC">
      <w:pPr>
        <w:pStyle w:val="Para1"/>
      </w:pPr>
      <w:r w:rsidRPr="00230BC2">
        <w:t xml:space="preserve">At its </w:t>
      </w:r>
      <w:r w:rsidR="0042766B" w:rsidRPr="00230BC2">
        <w:t>9th</w:t>
      </w:r>
      <w:r w:rsidRPr="00230BC2">
        <w:t xml:space="preserve"> meeting, </w:t>
      </w:r>
      <w:r w:rsidR="009E01D9" w:rsidRPr="00230BC2">
        <w:t>W</w:t>
      </w:r>
      <w:r w:rsidRPr="00230BC2">
        <w:t xml:space="preserve">orking </w:t>
      </w:r>
      <w:r w:rsidR="009E01D9" w:rsidRPr="00230BC2">
        <w:t>G</w:t>
      </w:r>
      <w:r w:rsidRPr="00230BC2">
        <w:t xml:space="preserve">roup </w:t>
      </w:r>
      <w:r w:rsidR="009E01D9" w:rsidRPr="00230BC2">
        <w:t xml:space="preserve">II </w:t>
      </w:r>
      <w:r w:rsidRPr="00230BC2">
        <w:t xml:space="preserve">heard a report </w:t>
      </w:r>
      <w:r w:rsidR="00053B18" w:rsidRPr="00230BC2">
        <w:t>from</w:t>
      </w:r>
      <w:r w:rsidRPr="00230BC2">
        <w:t xml:space="preserve"> the co-facilitator of the group of friends of the </w:t>
      </w:r>
      <w:r w:rsidR="00201F09" w:rsidRPr="00230BC2">
        <w:t>C</w:t>
      </w:r>
      <w:r w:rsidRPr="00230BC2">
        <w:t xml:space="preserve">hair, following which it considered a draft decision submitted by </w:t>
      </w:r>
      <w:r w:rsidR="00AE4C12"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CBD/COP/15/L.17.</w:t>
      </w:r>
    </w:p>
    <w:p w14:paraId="43371047" w14:textId="364C1C14" w:rsidR="000B40E1" w:rsidRPr="00230BC2" w:rsidRDefault="000B40E1" w:rsidP="003466FC">
      <w:pPr>
        <w:pStyle w:val="Para1"/>
        <w:rPr>
          <w:b/>
          <w:bCs/>
        </w:rPr>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orally amended, as decision 15/</w:t>
      </w:r>
      <w:r w:rsidR="00AB4ADE" w:rsidRPr="00230BC2">
        <w:t>29</w:t>
      </w:r>
      <w:r w:rsidRPr="00230BC2">
        <w:t>.</w:t>
      </w:r>
    </w:p>
    <w:p w14:paraId="3B2A6173" w14:textId="6EB4E936"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7C3261" w:rsidRPr="00EE6F7F">
        <w:rPr>
          <w:b/>
          <w:bCs/>
          <w:snapToGrid w:val="0"/>
          <w:kern w:val="22"/>
          <w:szCs w:val="22"/>
        </w:rPr>
        <w:t>6</w:t>
      </w:r>
      <w:r w:rsidRPr="00EE6F7F">
        <w:rPr>
          <w:b/>
          <w:bCs/>
          <w:snapToGrid w:val="0"/>
          <w:kern w:val="22"/>
          <w:szCs w:val="22"/>
        </w:rPr>
        <w:t>.</w:t>
      </w:r>
      <w:r w:rsidRPr="00EE6F7F">
        <w:rPr>
          <w:b/>
          <w:bCs/>
          <w:snapToGrid w:val="0"/>
          <w:kern w:val="22"/>
          <w:szCs w:val="22"/>
        </w:rPr>
        <w:tab/>
        <w:t xml:space="preserve">Nature and </w:t>
      </w:r>
      <w:r w:rsidR="002F6FCC" w:rsidRPr="00EE6F7F">
        <w:rPr>
          <w:b/>
          <w:bCs/>
          <w:snapToGrid w:val="0"/>
          <w:kern w:val="22"/>
          <w:szCs w:val="22"/>
        </w:rPr>
        <w:t>c</w:t>
      </w:r>
      <w:r w:rsidRPr="00EE6F7F">
        <w:rPr>
          <w:b/>
          <w:bCs/>
          <w:snapToGrid w:val="0"/>
          <w:kern w:val="22"/>
          <w:szCs w:val="22"/>
        </w:rPr>
        <w:t>ulture</w:t>
      </w:r>
    </w:p>
    <w:p w14:paraId="493B32B1" w14:textId="390B713A" w:rsidR="000E6D7F" w:rsidRPr="00230BC2" w:rsidRDefault="000E6D7F" w:rsidP="003466FC">
      <w:pPr>
        <w:pStyle w:val="Para1"/>
        <w:rPr>
          <w:bCs/>
        </w:rPr>
      </w:pPr>
      <w:r w:rsidRPr="00230BC2">
        <w:t xml:space="preserve">Working </w:t>
      </w:r>
      <w:r w:rsidR="003873C8" w:rsidRPr="00230BC2">
        <w:t>G</w:t>
      </w:r>
      <w:r w:rsidRPr="00230BC2">
        <w:t xml:space="preserve">roup II </w:t>
      </w:r>
      <w:r w:rsidR="00B3219B" w:rsidRPr="00230BC2">
        <w:t>considered</w:t>
      </w:r>
      <w:r w:rsidR="00086D60" w:rsidRPr="00230BC2">
        <w:t xml:space="preserve"> agenda</w:t>
      </w:r>
      <w:r w:rsidRPr="00230BC2">
        <w:t xml:space="preserve"> item 26 at its </w:t>
      </w:r>
      <w:r w:rsidR="00E67935" w:rsidRPr="00230BC2">
        <w:t>2nd</w:t>
      </w:r>
      <w:r w:rsidRPr="00230BC2">
        <w:t xml:space="preserve"> meeting</w:t>
      </w:r>
      <w:r w:rsidR="009D6341" w:rsidRPr="00230BC2">
        <w:t>.</w:t>
      </w:r>
      <w:r w:rsidRPr="00230BC2">
        <w:t xml:space="preserve"> </w:t>
      </w:r>
      <w:r w:rsidR="000A734E" w:rsidRPr="00230BC2">
        <w:t>It</w:t>
      </w:r>
      <w:r w:rsidR="009E01D9" w:rsidRPr="00230BC2">
        <w:t xml:space="preserve"> </w:t>
      </w:r>
      <w:r w:rsidRPr="00230BC2">
        <w:t>had before it a draft decision based on recommendation 11/3 of the Ad Hoc Open-ended Intersessional Working Group on Article 8(j) and related provisions and recommendation 23/5 of the Subsidiary Body on Scientific, Technical and Technological Advice</w:t>
      </w:r>
      <w:r w:rsidR="0091761B" w:rsidRPr="00230BC2">
        <w:t>,</w:t>
      </w:r>
      <w:r w:rsidRPr="00230BC2">
        <w:t xml:space="preserve"> as set out in the compilation of draft decisions</w:t>
      </w:r>
      <w:r w:rsidR="00A1383D" w:rsidRPr="00230BC2">
        <w:t>.</w:t>
      </w:r>
      <w:r w:rsidRPr="00230BC2">
        <w:t xml:space="preserve"> </w:t>
      </w:r>
    </w:p>
    <w:p w14:paraId="7F148EDB" w14:textId="12C3B69F" w:rsidR="000E6D7F" w:rsidRPr="00230BC2" w:rsidRDefault="00643479" w:rsidP="003466FC">
      <w:pPr>
        <w:pStyle w:val="Para1"/>
      </w:pPr>
      <w:r w:rsidRPr="00230BC2">
        <w:t>W</w:t>
      </w:r>
      <w:r w:rsidR="000E6D7F" w:rsidRPr="00230BC2">
        <w:t xml:space="preserve">orking </w:t>
      </w:r>
      <w:r w:rsidRPr="00230BC2">
        <w:t>G</w:t>
      </w:r>
      <w:r w:rsidR="000E6D7F" w:rsidRPr="00230BC2">
        <w:t xml:space="preserve">roup </w:t>
      </w:r>
      <w:r w:rsidRPr="00230BC2">
        <w:t xml:space="preserve">II </w:t>
      </w:r>
      <w:r w:rsidR="000E6D7F" w:rsidRPr="00230BC2">
        <w:t xml:space="preserve">agreed that </w:t>
      </w:r>
      <w:r w:rsidR="00C44B53" w:rsidRPr="00230BC2">
        <w:t xml:space="preserve">its </w:t>
      </w:r>
      <w:r w:rsidR="000E6D7F" w:rsidRPr="00230BC2">
        <w:t xml:space="preserve">Chair would undertake informal consultations with a view to addressing the unresolved issues and preparing a revised draft decision for the </w:t>
      </w:r>
      <w:r w:rsidR="00583FC8" w:rsidRPr="00230BC2">
        <w:t>G</w:t>
      </w:r>
      <w:r w:rsidR="000E6D7F" w:rsidRPr="00230BC2">
        <w:t>roup’s consideration.</w:t>
      </w:r>
    </w:p>
    <w:p w14:paraId="1BE69C79" w14:textId="7D97F1C1" w:rsidR="000E6D7F" w:rsidRPr="00230BC2" w:rsidRDefault="000E6D7F" w:rsidP="003466FC">
      <w:pPr>
        <w:pStyle w:val="Para1"/>
      </w:pPr>
      <w:r w:rsidRPr="00230BC2">
        <w:lastRenderedPageBreak/>
        <w:t xml:space="preserve">At its </w:t>
      </w:r>
      <w:r w:rsidR="0042766B" w:rsidRPr="00230BC2">
        <w:t>6th</w:t>
      </w:r>
      <w:r w:rsidRPr="00230BC2">
        <w:t xml:space="preserve"> meeting, </w:t>
      </w:r>
      <w:r w:rsidR="00A42981" w:rsidRPr="00230BC2">
        <w:t>W</w:t>
      </w:r>
      <w:r w:rsidRPr="00230BC2">
        <w:t xml:space="preserve">orking </w:t>
      </w:r>
      <w:r w:rsidR="00A42981" w:rsidRPr="00230BC2">
        <w:t>G</w:t>
      </w:r>
      <w:r w:rsidRPr="00230BC2">
        <w:t xml:space="preserve">roup </w:t>
      </w:r>
      <w:r w:rsidR="00A42981" w:rsidRPr="00230BC2">
        <w:t xml:space="preserve">II </w:t>
      </w:r>
      <w:r w:rsidRPr="00230BC2">
        <w:t xml:space="preserve">considered the revised draft decision submitted by </w:t>
      </w:r>
      <w:r w:rsidR="00201F09" w:rsidRPr="00230BC2">
        <w:t xml:space="preserve">its </w:t>
      </w:r>
      <w:r w:rsidRPr="00230BC2">
        <w:t xml:space="preserve">Chair and approved it, as orally amended, for transmission to </w:t>
      </w:r>
      <w:r w:rsidR="00A124C1" w:rsidRPr="00230BC2">
        <w:t xml:space="preserve">the </w:t>
      </w:r>
      <w:r w:rsidRPr="00230BC2">
        <w:t xml:space="preserve">plenary </w:t>
      </w:r>
      <w:r w:rsidR="008073D6" w:rsidRPr="00230BC2">
        <w:t xml:space="preserve">session </w:t>
      </w:r>
      <w:r w:rsidRPr="00230BC2">
        <w:t>as draft decision CBD/COP/15/L</w:t>
      </w:r>
      <w:r w:rsidRPr="00230BC2">
        <w:rPr>
          <w:rFonts w:eastAsia="Batang"/>
        </w:rPr>
        <w:t>.10</w:t>
      </w:r>
      <w:r w:rsidRPr="00230BC2">
        <w:t>.</w:t>
      </w:r>
    </w:p>
    <w:p w14:paraId="5830CF1A" w14:textId="5C58A065" w:rsidR="002F6FCC" w:rsidRPr="00230BC2" w:rsidRDefault="002F6FCC" w:rsidP="003466FC">
      <w:pPr>
        <w:pStyle w:val="Para1"/>
      </w:pPr>
      <w:r w:rsidRPr="00230BC2">
        <w:t xml:space="preserve">At </w:t>
      </w:r>
      <w:r w:rsidR="00573DFE" w:rsidRPr="00230BC2">
        <w:t xml:space="preserve">its </w:t>
      </w:r>
      <w:r w:rsidR="00E67935" w:rsidRPr="00230BC2">
        <w:t>2nd</w:t>
      </w:r>
      <w:r w:rsidRPr="00230BC2">
        <w:t xml:space="preserve"> </w:t>
      </w:r>
      <w:r w:rsidR="00284AD3" w:rsidRPr="00230BC2">
        <w:t xml:space="preserve">plenary </w:t>
      </w:r>
      <w:r w:rsidRPr="00230BC2">
        <w:t>session</w:t>
      </w:r>
      <w:r w:rsidR="00393ACA" w:rsidRPr="00230BC2">
        <w:t>,</w:t>
      </w:r>
      <w:r w:rsidRPr="00230BC2">
        <w:t xml:space="preserve"> the Conference of the Parties </w:t>
      </w:r>
      <w:r w:rsidR="00B37794" w:rsidRPr="00230BC2">
        <w:t xml:space="preserve">adopted </w:t>
      </w:r>
      <w:r w:rsidR="00073F9D" w:rsidRPr="00230BC2">
        <w:t xml:space="preserve">the </w:t>
      </w:r>
      <w:r w:rsidRPr="00230BC2">
        <w:t>draft decision as decision</w:t>
      </w:r>
      <w:r w:rsidR="00ED5260" w:rsidRPr="00230BC2">
        <w:t> </w:t>
      </w:r>
      <w:r w:rsidRPr="00230BC2">
        <w:t>15/</w:t>
      </w:r>
      <w:r w:rsidR="00AB4ADE" w:rsidRPr="00230BC2">
        <w:t>22</w:t>
      </w:r>
      <w:r w:rsidRPr="00230BC2">
        <w:t>.</w:t>
      </w:r>
    </w:p>
    <w:p w14:paraId="0ACDF528" w14:textId="4FC6E2F0" w:rsidR="0061275F" w:rsidRPr="00EE6F7F" w:rsidRDefault="0061275F"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EE6F7F">
        <w:rPr>
          <w:b/>
          <w:bCs/>
          <w:snapToGrid w:val="0"/>
          <w:kern w:val="22"/>
          <w:szCs w:val="22"/>
        </w:rPr>
        <w:t>Item 2</w:t>
      </w:r>
      <w:r w:rsidR="007C3261" w:rsidRPr="00EE6F7F">
        <w:rPr>
          <w:b/>
          <w:bCs/>
          <w:snapToGrid w:val="0"/>
          <w:kern w:val="22"/>
          <w:szCs w:val="22"/>
        </w:rPr>
        <w:t>7</w:t>
      </w:r>
      <w:r w:rsidRPr="00EE6F7F">
        <w:rPr>
          <w:b/>
          <w:bCs/>
          <w:snapToGrid w:val="0"/>
          <w:kern w:val="22"/>
          <w:szCs w:val="22"/>
        </w:rPr>
        <w:t>.</w:t>
      </w:r>
      <w:r w:rsidRPr="00EE6F7F">
        <w:rPr>
          <w:b/>
          <w:bCs/>
          <w:snapToGrid w:val="0"/>
          <w:kern w:val="22"/>
          <w:szCs w:val="22"/>
        </w:rPr>
        <w:tab/>
        <w:t>Synthetic biology</w:t>
      </w:r>
    </w:p>
    <w:p w14:paraId="30E2E989" w14:textId="73C7BD6D" w:rsidR="00DC318E" w:rsidRPr="00230BC2" w:rsidRDefault="00DC318E" w:rsidP="003466FC">
      <w:pPr>
        <w:pStyle w:val="Para1"/>
        <w:rPr>
          <w:bCs/>
        </w:rPr>
      </w:pPr>
      <w:r w:rsidRPr="00230BC2">
        <w:t xml:space="preserve">Working </w:t>
      </w:r>
      <w:r w:rsidR="003873C8" w:rsidRPr="00230BC2">
        <w:t>G</w:t>
      </w:r>
      <w:r w:rsidRPr="00230BC2">
        <w:t xml:space="preserve">roup II </w:t>
      </w:r>
      <w:r w:rsidR="00B3219B" w:rsidRPr="00230BC2">
        <w:t>considered</w:t>
      </w:r>
      <w:r w:rsidR="00086D60" w:rsidRPr="00230BC2">
        <w:t xml:space="preserve"> agenda</w:t>
      </w:r>
      <w:r w:rsidRPr="00230BC2">
        <w:t xml:space="preserve"> item 27 at its </w:t>
      </w:r>
      <w:r w:rsidR="00E67935" w:rsidRPr="00230BC2">
        <w:t>1st</w:t>
      </w:r>
      <w:r w:rsidRPr="00230BC2">
        <w:t xml:space="preserve"> meeting</w:t>
      </w:r>
      <w:r w:rsidR="00C00B11" w:rsidRPr="00230BC2">
        <w:t>.</w:t>
      </w:r>
      <w:r w:rsidRPr="00230BC2">
        <w:t xml:space="preserve"> </w:t>
      </w:r>
      <w:r w:rsidR="000A734E" w:rsidRPr="00230BC2">
        <w:t>It</w:t>
      </w:r>
      <w:r w:rsidRPr="00230BC2">
        <w:t xml:space="preserve"> had before it a draft decision based on recommendation 24/4 of the Subsidiary Body on Scientific, Technical and Technological Advice</w:t>
      </w:r>
      <w:r w:rsidR="008114CF" w:rsidRPr="00230BC2">
        <w:t>,</w:t>
      </w:r>
      <w:r w:rsidRPr="00230BC2">
        <w:t xml:space="preserve"> </w:t>
      </w:r>
      <w:r w:rsidR="008114CF" w:rsidRPr="00230BC2">
        <w:t>as</w:t>
      </w:r>
      <w:r w:rsidRPr="00230BC2">
        <w:t xml:space="preserve"> set out in the compilation of draft decisions</w:t>
      </w:r>
      <w:r w:rsidR="00A1383D" w:rsidRPr="00230BC2">
        <w:t>.</w:t>
      </w:r>
      <w:r w:rsidRPr="00230BC2">
        <w:t xml:space="preserve"> </w:t>
      </w:r>
    </w:p>
    <w:p w14:paraId="0C25F8D3" w14:textId="77777777" w:rsidR="00DC318E" w:rsidRPr="00230BC2" w:rsidRDefault="00DC318E" w:rsidP="003466FC">
      <w:pPr>
        <w:pStyle w:val="Para1"/>
      </w:pPr>
      <w:r w:rsidRPr="00230BC2">
        <w:t>The representative of Brazil made a statement.</w:t>
      </w:r>
    </w:p>
    <w:p w14:paraId="27C77824" w14:textId="581694C0" w:rsidR="00DC318E" w:rsidRPr="00230BC2" w:rsidRDefault="003873C8" w:rsidP="003466FC">
      <w:pPr>
        <w:pStyle w:val="Para1"/>
      </w:pPr>
      <w:r w:rsidRPr="00230BC2">
        <w:t>W</w:t>
      </w:r>
      <w:r w:rsidR="00DC318E" w:rsidRPr="00230BC2">
        <w:t xml:space="preserve">orking </w:t>
      </w:r>
      <w:r w:rsidRPr="00230BC2">
        <w:t>G</w:t>
      </w:r>
      <w:r w:rsidR="00DC318E" w:rsidRPr="00230BC2">
        <w:t xml:space="preserve">roup </w:t>
      </w:r>
      <w:r w:rsidR="001D70E1" w:rsidRPr="00230BC2">
        <w:t>I</w:t>
      </w:r>
      <w:r w:rsidRPr="00230BC2">
        <w:t xml:space="preserve">I </w:t>
      </w:r>
      <w:r w:rsidR="00DC318E" w:rsidRPr="00230BC2">
        <w:t>establish</w:t>
      </w:r>
      <w:r w:rsidR="002206DF" w:rsidRPr="00230BC2">
        <w:t>ed</w:t>
      </w:r>
      <w:r w:rsidR="00DC318E" w:rsidRPr="00230BC2">
        <w:t xml:space="preserve"> a contact group, co-chaired by Ntakadzeni Tshidada (South Africa) and Werner Schenkel (Germany), with the mandate to address the text in brackets in the draft decision and to prepare a revised draft decision for the </w:t>
      </w:r>
      <w:r w:rsidR="001D70E1" w:rsidRPr="00230BC2">
        <w:t>G</w:t>
      </w:r>
      <w:r w:rsidR="00DC318E" w:rsidRPr="00230BC2">
        <w:t>roup’s consideration.</w:t>
      </w:r>
    </w:p>
    <w:p w14:paraId="5806EFC3" w14:textId="0A587D17" w:rsidR="00DC318E" w:rsidRPr="00230BC2" w:rsidRDefault="00DC318E" w:rsidP="003466FC">
      <w:pPr>
        <w:pStyle w:val="Para1"/>
      </w:pPr>
      <w:r w:rsidRPr="00230BC2">
        <w:t xml:space="preserve">At its </w:t>
      </w:r>
      <w:r w:rsidR="00E67935" w:rsidRPr="00230BC2">
        <w:t>4th</w:t>
      </w:r>
      <w:r w:rsidRPr="00230BC2">
        <w:t xml:space="preserve"> </w:t>
      </w:r>
      <w:r w:rsidR="006A4B75" w:rsidRPr="00230BC2">
        <w:t xml:space="preserve">and </w:t>
      </w:r>
      <w:r w:rsidR="0042766B" w:rsidRPr="00230BC2">
        <w:t>9th</w:t>
      </w:r>
      <w:r w:rsidR="006A4B75" w:rsidRPr="00230BC2">
        <w:t xml:space="preserve"> </w:t>
      </w:r>
      <w:r w:rsidRPr="00230BC2">
        <w:t>meeting</w:t>
      </w:r>
      <w:r w:rsidR="006A4B75" w:rsidRPr="00230BC2">
        <w:t>s</w:t>
      </w:r>
      <w:r w:rsidRPr="00230BC2">
        <w:t xml:space="preserve">, </w:t>
      </w:r>
      <w:r w:rsidR="001D70E1" w:rsidRPr="00230BC2">
        <w:t>W</w:t>
      </w:r>
      <w:r w:rsidRPr="00230BC2">
        <w:t xml:space="preserve">orking </w:t>
      </w:r>
      <w:r w:rsidR="001D70E1" w:rsidRPr="00230BC2">
        <w:t>G</w:t>
      </w:r>
      <w:r w:rsidRPr="00230BC2">
        <w:t xml:space="preserve">roup </w:t>
      </w:r>
      <w:r w:rsidR="001D70E1" w:rsidRPr="00230BC2">
        <w:t xml:space="preserve">II </w:t>
      </w:r>
      <w:r w:rsidRPr="00230BC2">
        <w:t>heard interim progress report</w:t>
      </w:r>
      <w:r w:rsidR="006A4B75" w:rsidRPr="00230BC2">
        <w:t>s</w:t>
      </w:r>
      <w:r w:rsidRPr="00230BC2">
        <w:t xml:space="preserve"> on the work of the contact group. </w:t>
      </w:r>
      <w:r w:rsidR="002C6E50" w:rsidRPr="00230BC2">
        <w:t xml:space="preserve">At the latter meeting, the </w:t>
      </w:r>
      <w:r w:rsidR="001D70E1" w:rsidRPr="00230BC2">
        <w:t>G</w:t>
      </w:r>
      <w:r w:rsidRPr="00230BC2">
        <w:t>roup also heard a brief report on the work of the United Nations Biorisk Working Group from a representative of the World Health Organization.</w:t>
      </w:r>
      <w:r w:rsidR="00543C33" w:rsidRPr="00230BC2">
        <w:t xml:space="preserve"> </w:t>
      </w:r>
      <w:r w:rsidR="004D18F9" w:rsidRPr="00230BC2">
        <w:t xml:space="preserve">It </w:t>
      </w:r>
      <w:r w:rsidRPr="00230BC2">
        <w:t xml:space="preserve">then considered a draft decision submitted by </w:t>
      </w:r>
      <w:r w:rsidR="00201F09" w:rsidRPr="00230BC2">
        <w:t xml:space="preserve">its </w:t>
      </w:r>
      <w:r w:rsidRPr="00230BC2">
        <w:t xml:space="preserve">Chair and approved it, as orally amended, for transmission to </w:t>
      </w:r>
      <w:r w:rsidR="005A1CED" w:rsidRPr="00230BC2">
        <w:t xml:space="preserve">the </w:t>
      </w:r>
      <w:r w:rsidRPr="00230BC2">
        <w:t xml:space="preserve">plenary </w:t>
      </w:r>
      <w:r w:rsidR="008073D6" w:rsidRPr="00230BC2">
        <w:t xml:space="preserve">session </w:t>
      </w:r>
      <w:r w:rsidRPr="00230BC2">
        <w:t>as draft decision CBD/COP/15/L.18.</w:t>
      </w:r>
    </w:p>
    <w:p w14:paraId="52ACE3A6" w14:textId="4F0E39E7" w:rsidR="003B34E2" w:rsidRPr="00230BC2" w:rsidRDefault="003B34E2" w:rsidP="003466FC">
      <w:pPr>
        <w:pStyle w:val="Para1"/>
      </w:pPr>
      <w:r w:rsidRPr="00230BC2">
        <w:t xml:space="preserve">At </w:t>
      </w:r>
      <w:r w:rsidR="00573DFE" w:rsidRPr="00230BC2">
        <w:t xml:space="preserve">its </w:t>
      </w:r>
      <w:r w:rsidR="0042766B" w:rsidRPr="00230BC2">
        <w:t>5th</w:t>
      </w:r>
      <w:r w:rsidRPr="00230BC2">
        <w:t xml:space="preserve"> plenary session</w:t>
      </w:r>
      <w:r w:rsidR="00D94EB4" w:rsidRPr="00230BC2">
        <w:t>,</w:t>
      </w:r>
      <w:r w:rsidRPr="00230BC2">
        <w:t xml:space="preserve"> the Conference of the Parties adopted </w:t>
      </w:r>
      <w:r w:rsidR="003E13F1" w:rsidRPr="00230BC2">
        <w:t xml:space="preserve">the </w:t>
      </w:r>
      <w:r w:rsidRPr="00230BC2">
        <w:t>draft decision as decision</w:t>
      </w:r>
      <w:r w:rsidR="006F5095" w:rsidRPr="00230BC2">
        <w:t> </w:t>
      </w:r>
      <w:r w:rsidRPr="00230BC2">
        <w:t>15/</w:t>
      </w:r>
      <w:r w:rsidR="00AB4ADE" w:rsidRPr="00230BC2">
        <w:t>31</w:t>
      </w:r>
      <w:r w:rsidRPr="00230BC2">
        <w:t>.</w:t>
      </w:r>
    </w:p>
    <w:p w14:paraId="3E562EF9" w14:textId="0CC73DC9" w:rsidR="00D77560" w:rsidRPr="00230BC2" w:rsidRDefault="00D77560" w:rsidP="00DD200B">
      <w:pPr>
        <w:keepNext/>
        <w:suppressLineNumbers/>
        <w:tabs>
          <w:tab w:val="left" w:pos="540"/>
        </w:tabs>
        <w:suppressAutoHyphens/>
        <w:kinsoku w:val="0"/>
        <w:overflowPunct w:val="0"/>
        <w:autoSpaceDE w:val="0"/>
        <w:autoSpaceDN w:val="0"/>
        <w:adjustRightInd w:val="0"/>
        <w:snapToGrid w:val="0"/>
        <w:spacing w:before="120" w:after="120"/>
        <w:jc w:val="center"/>
        <w:rPr>
          <w:b/>
          <w:bCs/>
          <w:snapToGrid w:val="0"/>
          <w:kern w:val="22"/>
          <w:szCs w:val="22"/>
        </w:rPr>
      </w:pPr>
      <w:r w:rsidRPr="00230BC2">
        <w:rPr>
          <w:b/>
          <w:bCs/>
          <w:snapToGrid w:val="0"/>
          <w:kern w:val="22"/>
          <w:szCs w:val="22"/>
        </w:rPr>
        <w:t>V</w:t>
      </w:r>
      <w:r w:rsidR="00BA3B8D" w:rsidRPr="00230BC2">
        <w:rPr>
          <w:b/>
          <w:bCs/>
          <w:snapToGrid w:val="0"/>
          <w:kern w:val="22"/>
          <w:szCs w:val="22"/>
        </w:rPr>
        <w:t>II</w:t>
      </w:r>
      <w:r w:rsidRPr="00230BC2">
        <w:rPr>
          <w:b/>
          <w:bCs/>
          <w:snapToGrid w:val="0"/>
          <w:kern w:val="22"/>
          <w:szCs w:val="22"/>
        </w:rPr>
        <w:t>.</w:t>
      </w:r>
      <w:r w:rsidRPr="00230BC2">
        <w:rPr>
          <w:b/>
          <w:bCs/>
          <w:snapToGrid w:val="0"/>
          <w:kern w:val="22"/>
          <w:szCs w:val="22"/>
        </w:rPr>
        <w:tab/>
        <w:t>FINAL MATTERS</w:t>
      </w:r>
    </w:p>
    <w:p w14:paraId="0B54CEFE" w14:textId="6DE3FD4B" w:rsidR="00D77560" w:rsidRPr="00230BC2" w:rsidRDefault="00D77560"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bookmarkStart w:id="459" w:name="_heading=h.30j0zll" w:colFirst="0" w:colLast="0"/>
      <w:bookmarkStart w:id="460" w:name="_heading=h.3znysh7" w:colFirst="0" w:colLast="0"/>
      <w:bookmarkStart w:id="461" w:name="_heading=h.nkgw0ii72cmr" w:colFirst="0" w:colLast="0"/>
      <w:bookmarkStart w:id="462" w:name="_heading=h.gjdgxs" w:colFirst="0" w:colLast="0"/>
      <w:bookmarkStart w:id="463" w:name="_heading=h.xuy1qui6wltd" w:colFirst="0" w:colLast="0"/>
      <w:bookmarkEnd w:id="459"/>
      <w:bookmarkEnd w:id="460"/>
      <w:bookmarkEnd w:id="461"/>
      <w:bookmarkEnd w:id="462"/>
      <w:bookmarkEnd w:id="463"/>
      <w:r w:rsidRPr="00230BC2">
        <w:rPr>
          <w:b/>
          <w:bCs/>
          <w:snapToGrid w:val="0"/>
          <w:kern w:val="22"/>
          <w:szCs w:val="22"/>
        </w:rPr>
        <w:t>Item 28.</w:t>
      </w:r>
      <w:r w:rsidRPr="00230BC2">
        <w:rPr>
          <w:b/>
          <w:bCs/>
          <w:snapToGrid w:val="0"/>
          <w:kern w:val="22"/>
          <w:szCs w:val="22"/>
        </w:rPr>
        <w:tab/>
        <w:t>Other matters</w:t>
      </w:r>
    </w:p>
    <w:p w14:paraId="31866932" w14:textId="09BB623D" w:rsidR="009C135F" w:rsidRPr="00230BC2" w:rsidRDefault="009C135F" w:rsidP="003466FC">
      <w:pPr>
        <w:pStyle w:val="Para1"/>
      </w:pPr>
      <w:bookmarkStart w:id="464" w:name="_Hlk123388246"/>
      <w:r w:rsidRPr="00230BC2">
        <w:t>In view of the suspen</w:t>
      </w:r>
      <w:r w:rsidR="008D00F1" w:rsidRPr="00230BC2">
        <w:t xml:space="preserve">sion </w:t>
      </w:r>
      <w:r w:rsidR="00925342" w:rsidRPr="00230BC2">
        <w:t xml:space="preserve">of </w:t>
      </w:r>
      <w:r w:rsidRPr="00230BC2">
        <w:t>the meeting</w:t>
      </w:r>
      <w:r w:rsidR="005B6775" w:rsidRPr="00230BC2">
        <w:t xml:space="preserve"> as </w:t>
      </w:r>
      <w:r w:rsidR="0064593E" w:rsidRPr="00230BC2">
        <w:t>described</w:t>
      </w:r>
      <w:r w:rsidR="005B6775" w:rsidRPr="00230BC2">
        <w:t xml:space="preserve"> </w:t>
      </w:r>
      <w:r w:rsidR="00960CCB" w:rsidRPr="00230BC2">
        <w:t xml:space="preserve">under </w:t>
      </w:r>
      <w:r w:rsidR="006A0EB8" w:rsidRPr="00230BC2">
        <w:t xml:space="preserve">agenda </w:t>
      </w:r>
      <w:r w:rsidR="005B6775" w:rsidRPr="00230BC2">
        <w:t>item</w:t>
      </w:r>
      <w:r w:rsidR="0064593E" w:rsidRPr="00230BC2">
        <w:t>s</w:t>
      </w:r>
      <w:r w:rsidR="005B6775" w:rsidRPr="00230BC2">
        <w:t xml:space="preserve"> 2</w:t>
      </w:r>
      <w:r w:rsidR="00D1727B" w:rsidRPr="00230BC2">
        <w:t> </w:t>
      </w:r>
      <w:r w:rsidR="005B6775" w:rsidRPr="00230BC2">
        <w:t xml:space="preserve">A and 30 </w:t>
      </w:r>
      <w:r w:rsidR="00602DEE" w:rsidRPr="00230BC2">
        <w:t>in</w:t>
      </w:r>
      <w:r w:rsidR="0064593E" w:rsidRPr="00230BC2">
        <w:t xml:space="preserve"> the present report</w:t>
      </w:r>
      <w:r w:rsidRPr="00230BC2">
        <w:t>, the Conference of the Parties</w:t>
      </w:r>
      <w:r w:rsidR="006C3348" w:rsidRPr="00230BC2">
        <w:t xml:space="preserve"> </w:t>
      </w:r>
      <w:r w:rsidRPr="00230BC2">
        <w:t xml:space="preserve">did not </w:t>
      </w:r>
      <w:r w:rsidR="00602DEE" w:rsidRPr="00230BC2">
        <w:t>consider</w:t>
      </w:r>
      <w:r w:rsidRPr="00230BC2">
        <w:t xml:space="preserve"> item 28</w:t>
      </w:r>
      <w:r w:rsidR="00380E7D" w:rsidRPr="00230BC2">
        <w:t xml:space="preserve"> until the meeting was resumed</w:t>
      </w:r>
      <w:r w:rsidR="009B377E" w:rsidRPr="00230BC2">
        <w:t>.</w:t>
      </w:r>
    </w:p>
    <w:p w14:paraId="773949FE" w14:textId="77777777" w:rsidR="00D56432" w:rsidRPr="00230BC2" w:rsidRDefault="00D56432" w:rsidP="00380E7D">
      <w:pPr>
        <w:pStyle w:val="Para1"/>
        <w:keepNext/>
        <w:numPr>
          <w:ilvl w:val="0"/>
          <w:numId w:val="0"/>
        </w:numPr>
        <w:rPr>
          <w:i/>
          <w:iCs/>
        </w:rPr>
      </w:pPr>
      <w:r w:rsidRPr="00230BC2">
        <w:rPr>
          <w:i/>
          <w:iCs/>
        </w:rPr>
        <w:t>Resumed second part</w:t>
      </w:r>
    </w:p>
    <w:p w14:paraId="6BD89E04" w14:textId="2F5ABDA8" w:rsidR="00D56432" w:rsidRPr="00230BC2" w:rsidRDefault="00380E7D" w:rsidP="00D56432">
      <w:pPr>
        <w:pStyle w:val="Para1"/>
        <w:rPr>
          <w:snapToGrid/>
          <w:szCs w:val="24"/>
        </w:rPr>
      </w:pPr>
      <w:r w:rsidRPr="00230BC2">
        <w:t xml:space="preserve">At the </w:t>
      </w:r>
      <w:r w:rsidR="00D9055C" w:rsidRPr="00230BC2">
        <w:t>7th</w:t>
      </w:r>
      <w:r w:rsidRPr="00230BC2">
        <w:t xml:space="preserve"> plenary session, statements were made by representatives of the following Parties: Democratic Republic of the Congo, Russian Federation and Ukraine.</w:t>
      </w:r>
    </w:p>
    <w:p w14:paraId="49AF6F2F" w14:textId="37BC814D" w:rsidR="00D9055C" w:rsidRPr="00230BC2" w:rsidRDefault="00D9055C" w:rsidP="00D9055C">
      <w:pPr>
        <w:pStyle w:val="Para1"/>
      </w:pPr>
      <w:r w:rsidRPr="00230BC2">
        <w:t>The representatives of the Russian Federation and Ukraine each made a further statement in exercise of their right of reply.</w:t>
      </w:r>
    </w:p>
    <w:bookmarkEnd w:id="464"/>
    <w:p w14:paraId="52D89E3F" w14:textId="2D9090DA" w:rsidR="00D77560" w:rsidRPr="00230BC2" w:rsidRDefault="00D77560"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t>Item 29.</w:t>
      </w:r>
      <w:r w:rsidRPr="00230BC2">
        <w:rPr>
          <w:b/>
          <w:bCs/>
          <w:snapToGrid w:val="0"/>
          <w:kern w:val="22"/>
          <w:szCs w:val="22"/>
        </w:rPr>
        <w:tab/>
        <w:t>Adoption of the report</w:t>
      </w:r>
    </w:p>
    <w:p w14:paraId="2D8F7F71" w14:textId="1200A24D" w:rsidR="009C135F" w:rsidRPr="00230BC2" w:rsidRDefault="00176B8E" w:rsidP="003466FC">
      <w:pPr>
        <w:pStyle w:val="Para1"/>
      </w:pPr>
      <w:r w:rsidRPr="00230BC2">
        <w:t>Owing</w:t>
      </w:r>
      <w:r w:rsidR="00FC5BD5" w:rsidRPr="00230BC2">
        <w:t xml:space="preserve"> to</w:t>
      </w:r>
      <w:r w:rsidR="00C31243" w:rsidRPr="00230BC2">
        <w:t xml:space="preserve"> the</w:t>
      </w:r>
      <w:r w:rsidR="009C135F" w:rsidRPr="00230BC2">
        <w:t xml:space="preserve"> suspen</w:t>
      </w:r>
      <w:r w:rsidR="00C31243" w:rsidRPr="00230BC2">
        <w:t>sion of</w:t>
      </w:r>
      <w:r w:rsidR="009C135F" w:rsidRPr="00230BC2">
        <w:t xml:space="preserve"> the meeting</w:t>
      </w:r>
      <w:r w:rsidR="0064593E" w:rsidRPr="00230BC2">
        <w:t xml:space="preserve"> as described</w:t>
      </w:r>
      <w:r w:rsidR="00C31243" w:rsidRPr="00230BC2">
        <w:t xml:space="preserve"> </w:t>
      </w:r>
      <w:r w:rsidR="00960CCB" w:rsidRPr="00230BC2">
        <w:t xml:space="preserve">under </w:t>
      </w:r>
      <w:r w:rsidR="006A0EB8" w:rsidRPr="00230BC2">
        <w:t xml:space="preserve">agenda </w:t>
      </w:r>
      <w:r w:rsidR="00C31243" w:rsidRPr="00230BC2">
        <w:t>item</w:t>
      </w:r>
      <w:r w:rsidR="0064593E" w:rsidRPr="00230BC2">
        <w:t>s</w:t>
      </w:r>
      <w:r w:rsidR="00960CCB" w:rsidRPr="00230BC2">
        <w:t xml:space="preserve"> 2</w:t>
      </w:r>
      <w:r w:rsidR="00D1727B" w:rsidRPr="00230BC2">
        <w:t> </w:t>
      </w:r>
      <w:r w:rsidR="00960CCB" w:rsidRPr="00230BC2">
        <w:t xml:space="preserve">A and </w:t>
      </w:r>
      <w:r w:rsidR="00A503E5" w:rsidRPr="00230BC2">
        <w:t xml:space="preserve">30 </w:t>
      </w:r>
      <w:r w:rsidR="009B377E" w:rsidRPr="00230BC2">
        <w:t>in</w:t>
      </w:r>
      <w:r w:rsidR="0064593E" w:rsidRPr="00230BC2">
        <w:t xml:space="preserve"> the present report</w:t>
      </w:r>
      <w:r w:rsidR="00A503E5" w:rsidRPr="00230BC2">
        <w:t>,</w:t>
      </w:r>
      <w:r w:rsidR="00C31243" w:rsidRPr="00230BC2">
        <w:t xml:space="preserve"> </w:t>
      </w:r>
      <w:r w:rsidR="009C135F" w:rsidRPr="00230BC2">
        <w:t>the Conference of the Parties</w:t>
      </w:r>
      <w:r w:rsidR="006C3348" w:rsidRPr="00230BC2">
        <w:t xml:space="preserve"> </w:t>
      </w:r>
      <w:r w:rsidR="009C135F" w:rsidRPr="00230BC2">
        <w:t xml:space="preserve">did not </w:t>
      </w:r>
      <w:r w:rsidR="009B377E" w:rsidRPr="00230BC2">
        <w:t>consider</w:t>
      </w:r>
      <w:r w:rsidR="009C135F" w:rsidRPr="00230BC2">
        <w:t xml:space="preserve"> item 29</w:t>
      </w:r>
      <w:r w:rsidR="00643F06" w:rsidRPr="00230BC2">
        <w:t xml:space="preserve"> until the meeting was resumed</w:t>
      </w:r>
      <w:r w:rsidR="009B377E" w:rsidRPr="00230BC2">
        <w:t>.</w:t>
      </w:r>
      <w:r w:rsidR="009C135F" w:rsidRPr="00230BC2">
        <w:t xml:space="preserve"> </w:t>
      </w:r>
    </w:p>
    <w:p w14:paraId="37D7E41B" w14:textId="77777777" w:rsidR="00D56432" w:rsidRPr="00230BC2" w:rsidRDefault="00D56432" w:rsidP="00D56432">
      <w:pPr>
        <w:pStyle w:val="Para1"/>
        <w:numPr>
          <w:ilvl w:val="0"/>
          <w:numId w:val="0"/>
        </w:numPr>
        <w:rPr>
          <w:i/>
          <w:iCs/>
        </w:rPr>
      </w:pPr>
      <w:r w:rsidRPr="00230BC2">
        <w:rPr>
          <w:i/>
          <w:iCs/>
        </w:rPr>
        <w:t>Resumed second part</w:t>
      </w:r>
    </w:p>
    <w:p w14:paraId="5D3F3B4F" w14:textId="7EB83B01" w:rsidR="0007079D" w:rsidRPr="00230BC2" w:rsidRDefault="00643F06" w:rsidP="00D56432">
      <w:pPr>
        <w:pStyle w:val="Para1"/>
        <w:numPr>
          <w:ilvl w:val="0"/>
          <w:numId w:val="4"/>
        </w:numPr>
        <w:rPr>
          <w:snapToGrid/>
          <w:szCs w:val="24"/>
        </w:rPr>
      </w:pPr>
      <w:r w:rsidRPr="00230BC2">
        <w:rPr>
          <w:snapToGrid/>
          <w:szCs w:val="24"/>
        </w:rPr>
        <w:t xml:space="preserve">At its 7th plenary session, the Conference of the Parties considered </w:t>
      </w:r>
      <w:r w:rsidRPr="00230BC2">
        <w:t xml:space="preserve">the draft report of the </w:t>
      </w:r>
      <w:r w:rsidR="00464E41" w:rsidRPr="00230BC2">
        <w:t xml:space="preserve">second part of the </w:t>
      </w:r>
      <w:r w:rsidRPr="00230BC2">
        <w:t>meeting presented by the Rapporteur (CBD/COP/15/</w:t>
      </w:r>
      <w:r w:rsidRPr="00230BC2">
        <w:rPr>
          <w:noProof/>
        </w:rPr>
        <w:t>Part-II/L.1/Rev.2</w:t>
      </w:r>
      <w:r w:rsidRPr="00230BC2">
        <w:t>).</w:t>
      </w:r>
      <w:r w:rsidRPr="00230BC2">
        <w:rPr>
          <w:snapToGrid/>
          <w:szCs w:val="24"/>
        </w:rPr>
        <w:t xml:space="preserve"> </w:t>
      </w:r>
    </w:p>
    <w:p w14:paraId="306889E1" w14:textId="010CF5E8" w:rsidR="0007079D" w:rsidRPr="00230BC2" w:rsidRDefault="0007079D" w:rsidP="00D56432">
      <w:pPr>
        <w:pStyle w:val="Para1"/>
        <w:numPr>
          <w:ilvl w:val="0"/>
          <w:numId w:val="4"/>
        </w:numPr>
        <w:rPr>
          <w:snapToGrid/>
          <w:szCs w:val="24"/>
        </w:rPr>
      </w:pPr>
      <w:r w:rsidRPr="00230BC2">
        <w:rPr>
          <w:snapToGrid/>
          <w:szCs w:val="24"/>
        </w:rPr>
        <w:t xml:space="preserve">Statements were made by representatives of the following Parties: </w:t>
      </w:r>
      <w:r w:rsidR="006760D5" w:rsidRPr="00230BC2">
        <w:rPr>
          <w:snapToGrid/>
          <w:szCs w:val="24"/>
        </w:rPr>
        <w:t xml:space="preserve">Cameroon, </w:t>
      </w:r>
      <w:r w:rsidRPr="00230BC2">
        <w:rPr>
          <w:snapToGrid/>
          <w:szCs w:val="24"/>
        </w:rPr>
        <w:t xml:space="preserve">Czechia, </w:t>
      </w:r>
      <w:r w:rsidR="006C7FDA" w:rsidRPr="00230BC2">
        <w:rPr>
          <w:snapToGrid/>
          <w:szCs w:val="24"/>
        </w:rPr>
        <w:t xml:space="preserve">Democratic Republic of the Congo, </w:t>
      </w:r>
      <w:r w:rsidRPr="00230BC2">
        <w:rPr>
          <w:snapToGrid/>
          <w:szCs w:val="24"/>
        </w:rPr>
        <w:t>Estonia</w:t>
      </w:r>
      <w:r w:rsidR="00AB1E31" w:rsidRPr="00230BC2">
        <w:rPr>
          <w:snapToGrid/>
          <w:szCs w:val="24"/>
        </w:rPr>
        <w:t>,</w:t>
      </w:r>
      <w:r w:rsidR="006C7FDA" w:rsidRPr="00230BC2">
        <w:rPr>
          <w:snapToGrid/>
          <w:szCs w:val="24"/>
        </w:rPr>
        <w:t xml:space="preserve"> </w:t>
      </w:r>
      <w:r w:rsidRPr="00230BC2">
        <w:rPr>
          <w:snapToGrid/>
          <w:szCs w:val="24"/>
        </w:rPr>
        <w:t>Georgia, Hungary, Russian Federation</w:t>
      </w:r>
      <w:r w:rsidR="00D9055C" w:rsidRPr="00230BC2">
        <w:rPr>
          <w:snapToGrid/>
          <w:szCs w:val="24"/>
        </w:rPr>
        <w:t xml:space="preserve"> and</w:t>
      </w:r>
      <w:r w:rsidRPr="00230BC2">
        <w:rPr>
          <w:snapToGrid/>
          <w:szCs w:val="24"/>
        </w:rPr>
        <w:t xml:space="preserve"> Spain (on behalf of the European Union</w:t>
      </w:r>
      <w:r w:rsidR="00D9055C" w:rsidRPr="00230BC2">
        <w:rPr>
          <w:snapToGrid/>
          <w:szCs w:val="24"/>
        </w:rPr>
        <w:t xml:space="preserve"> and its </w:t>
      </w:r>
      <w:r w:rsidR="00AA2433" w:rsidRPr="00230BC2">
        <w:rPr>
          <w:snapToGrid/>
          <w:szCs w:val="24"/>
        </w:rPr>
        <w:t xml:space="preserve">27 </w:t>
      </w:r>
      <w:r w:rsidR="00D9055C" w:rsidRPr="00230BC2">
        <w:rPr>
          <w:snapToGrid/>
          <w:szCs w:val="24"/>
        </w:rPr>
        <w:t>member States</w:t>
      </w:r>
      <w:r w:rsidRPr="00230BC2">
        <w:rPr>
          <w:snapToGrid/>
          <w:szCs w:val="24"/>
        </w:rPr>
        <w:t>).</w:t>
      </w:r>
    </w:p>
    <w:p w14:paraId="7056A33E" w14:textId="69426A5E" w:rsidR="00D56432" w:rsidRPr="00230BC2" w:rsidRDefault="008C6B94" w:rsidP="00D56432">
      <w:pPr>
        <w:pStyle w:val="Para1"/>
        <w:numPr>
          <w:ilvl w:val="0"/>
          <w:numId w:val="4"/>
        </w:numPr>
        <w:rPr>
          <w:snapToGrid/>
          <w:szCs w:val="24"/>
        </w:rPr>
      </w:pPr>
      <w:r w:rsidRPr="00230BC2">
        <w:t xml:space="preserve">The </w:t>
      </w:r>
      <w:r w:rsidR="00643F06" w:rsidRPr="00230BC2">
        <w:t>Conference of the Parties adopted the draft</w:t>
      </w:r>
      <w:r w:rsidRPr="00230BC2">
        <w:t xml:space="preserve"> report, </w:t>
      </w:r>
      <w:r w:rsidR="00643F06" w:rsidRPr="00230BC2">
        <w:t xml:space="preserve">as orally amended, </w:t>
      </w:r>
      <w:r w:rsidRPr="00230BC2">
        <w:t>on the understanding that the Rapporteur would be entrusted with its finalization.</w:t>
      </w:r>
    </w:p>
    <w:p w14:paraId="0FF8FE68" w14:textId="7FFCD782" w:rsidR="00D77560" w:rsidRPr="00230BC2" w:rsidRDefault="00D77560" w:rsidP="00EE6F7F">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rPr>
      </w:pPr>
      <w:r w:rsidRPr="00230BC2">
        <w:rPr>
          <w:b/>
          <w:bCs/>
          <w:snapToGrid w:val="0"/>
          <w:kern w:val="22"/>
          <w:szCs w:val="22"/>
        </w:rPr>
        <w:lastRenderedPageBreak/>
        <w:t>Item 30.</w:t>
      </w:r>
      <w:r w:rsidRPr="00230BC2">
        <w:rPr>
          <w:b/>
          <w:bCs/>
          <w:snapToGrid w:val="0"/>
          <w:kern w:val="22"/>
          <w:szCs w:val="22"/>
        </w:rPr>
        <w:tab/>
        <w:t>Closure of the meeting</w:t>
      </w:r>
    </w:p>
    <w:p w14:paraId="5DFB5625" w14:textId="6D6D8099" w:rsidR="00A503E5" w:rsidRPr="00230BC2" w:rsidRDefault="005F0BC6" w:rsidP="003466FC">
      <w:pPr>
        <w:pStyle w:val="Para1"/>
      </w:pPr>
      <w:bookmarkStart w:id="465" w:name="_Hlk123388426"/>
      <w:r w:rsidRPr="00230BC2">
        <w:t>As indicated under item 2</w:t>
      </w:r>
      <w:r w:rsidR="006C6BD7" w:rsidRPr="00230BC2">
        <w:t> </w:t>
      </w:r>
      <w:r w:rsidRPr="00230BC2">
        <w:t>A</w:t>
      </w:r>
      <w:r w:rsidR="006A0EB8" w:rsidRPr="00230BC2">
        <w:t xml:space="preserve"> of the agenda</w:t>
      </w:r>
      <w:r w:rsidR="00C34A27" w:rsidRPr="00230BC2">
        <w:t xml:space="preserve">, </w:t>
      </w:r>
      <w:r w:rsidR="005D5633" w:rsidRPr="00230BC2">
        <w:t xml:space="preserve">it </w:t>
      </w:r>
      <w:r w:rsidR="008F2BD2" w:rsidRPr="00230BC2">
        <w:t>did</w:t>
      </w:r>
      <w:r w:rsidR="005D5633" w:rsidRPr="00230BC2">
        <w:t xml:space="preserve"> not </w:t>
      </w:r>
      <w:r w:rsidR="00E00F55" w:rsidRPr="00230BC2">
        <w:t xml:space="preserve">prove </w:t>
      </w:r>
      <w:r w:rsidR="005D5633" w:rsidRPr="00230BC2">
        <w:t xml:space="preserve">possible </w:t>
      </w:r>
      <w:r w:rsidR="00C5333A" w:rsidRPr="00230BC2">
        <w:t xml:space="preserve">to </w:t>
      </w:r>
      <w:r w:rsidR="00580192" w:rsidRPr="00230BC2">
        <w:t>con</w:t>
      </w:r>
      <w:r w:rsidR="008A65AB" w:rsidRPr="00230BC2">
        <w:t xml:space="preserve">duct </w:t>
      </w:r>
      <w:r w:rsidR="00FB70D6" w:rsidRPr="00230BC2">
        <w:t xml:space="preserve">the </w:t>
      </w:r>
      <w:r w:rsidR="008A65AB" w:rsidRPr="00230BC2">
        <w:t xml:space="preserve">election of officers and conclude </w:t>
      </w:r>
      <w:r w:rsidR="005A79CC" w:rsidRPr="00230BC2">
        <w:t xml:space="preserve">the second </w:t>
      </w:r>
      <w:r w:rsidR="008E3028" w:rsidRPr="00230BC2">
        <w:t>part of the</w:t>
      </w:r>
      <w:r w:rsidR="008E1FA9" w:rsidRPr="00230BC2">
        <w:t xml:space="preserve"> fifteenth </w:t>
      </w:r>
      <w:r w:rsidR="008E3028" w:rsidRPr="00230BC2">
        <w:t xml:space="preserve">meeting of the Conference </w:t>
      </w:r>
      <w:r w:rsidR="008E1FA9" w:rsidRPr="00230BC2">
        <w:t>of the Parties</w:t>
      </w:r>
      <w:r w:rsidR="006C3348" w:rsidRPr="00230BC2">
        <w:t xml:space="preserve"> </w:t>
      </w:r>
      <w:r w:rsidR="00756D6E" w:rsidRPr="00230BC2">
        <w:t xml:space="preserve">at the </w:t>
      </w:r>
      <w:r w:rsidR="0042766B" w:rsidRPr="00230BC2">
        <w:t>5th</w:t>
      </w:r>
      <w:r w:rsidR="00756D6E" w:rsidRPr="00230BC2">
        <w:t xml:space="preserve"> plenary session</w:t>
      </w:r>
      <w:r w:rsidR="0069545B" w:rsidRPr="00230BC2">
        <w:t>.</w:t>
      </w:r>
    </w:p>
    <w:p w14:paraId="1178208F" w14:textId="77BE8127" w:rsidR="00A56829" w:rsidRPr="00230BC2" w:rsidRDefault="00290957" w:rsidP="003466FC">
      <w:pPr>
        <w:pStyle w:val="Para1"/>
      </w:pPr>
      <w:r w:rsidRPr="00230BC2">
        <w:t>Accordingly, t</w:t>
      </w:r>
      <w:r w:rsidR="00BB65FF" w:rsidRPr="00230BC2">
        <w:t>he President proposed t</w:t>
      </w:r>
      <w:r w:rsidR="00F530DD" w:rsidRPr="00230BC2">
        <w:t>o suspend the fifteenth meeting of the Conference of the Parties</w:t>
      </w:r>
      <w:r w:rsidR="006C3348" w:rsidRPr="00230BC2">
        <w:t xml:space="preserve"> </w:t>
      </w:r>
      <w:r w:rsidR="00F530DD" w:rsidRPr="00230BC2">
        <w:t xml:space="preserve">to allow Parties to resolve their differences relating to </w:t>
      </w:r>
      <w:r w:rsidR="002060C3" w:rsidRPr="00230BC2">
        <w:t xml:space="preserve">the </w:t>
      </w:r>
      <w:r w:rsidR="00F530DD" w:rsidRPr="00230BC2">
        <w:t>election of officers at</w:t>
      </w:r>
      <w:r w:rsidR="000B1079" w:rsidRPr="00230BC2">
        <w:t xml:space="preserve"> a</w:t>
      </w:r>
      <w:r w:rsidR="00F530DD" w:rsidRPr="00230BC2">
        <w:t xml:space="preserve"> resumed session of the meeting</w:t>
      </w:r>
      <w:r w:rsidR="00036436" w:rsidRPr="00230BC2">
        <w:t>,</w:t>
      </w:r>
      <w:r w:rsidR="00F530DD" w:rsidRPr="00230BC2">
        <w:t xml:space="preserve"> to be convened at a later date, and request</w:t>
      </w:r>
      <w:r w:rsidR="00165268" w:rsidRPr="00230BC2">
        <w:t>ed</w:t>
      </w:r>
      <w:r w:rsidR="00F530DD" w:rsidRPr="00230BC2">
        <w:t xml:space="preserve"> members of the Bureau of the meeting and officers of other bodies to remain in office until the co</w:t>
      </w:r>
      <w:r w:rsidR="00651580" w:rsidRPr="00230BC2">
        <w:t xml:space="preserve">nclusion </w:t>
      </w:r>
      <w:r w:rsidR="00F530DD" w:rsidRPr="00230BC2">
        <w:t>of the resumed session</w:t>
      </w:r>
      <w:r w:rsidR="00651580" w:rsidRPr="00230BC2">
        <w:t>.</w:t>
      </w:r>
      <w:r w:rsidR="00E353E2" w:rsidRPr="00230BC2">
        <w:t xml:space="preserve"> </w:t>
      </w:r>
      <w:r w:rsidR="00B3517C" w:rsidRPr="00230BC2">
        <w:t xml:space="preserve">No </w:t>
      </w:r>
      <w:r w:rsidR="000C13FD" w:rsidRPr="00230BC2">
        <w:t xml:space="preserve">Party </w:t>
      </w:r>
      <w:r w:rsidR="00B3517C" w:rsidRPr="00230BC2">
        <w:t xml:space="preserve">expressed </w:t>
      </w:r>
      <w:r w:rsidR="008A215C" w:rsidRPr="00230BC2">
        <w:t xml:space="preserve">any view </w:t>
      </w:r>
      <w:r w:rsidR="00B3517C" w:rsidRPr="00230BC2">
        <w:t xml:space="preserve">otherwise. </w:t>
      </w:r>
    </w:p>
    <w:p w14:paraId="28D52E1B" w14:textId="3C2DA168" w:rsidR="009C135F" w:rsidRPr="00230BC2" w:rsidRDefault="009C135F" w:rsidP="003466FC">
      <w:pPr>
        <w:pStyle w:val="Para1"/>
      </w:pPr>
      <w:r w:rsidRPr="00230BC2">
        <w:t>Following the customary exchange of courtesies</w:t>
      </w:r>
      <w:r w:rsidR="00523561" w:rsidRPr="00230BC2">
        <w:t xml:space="preserve">, </w:t>
      </w:r>
      <w:r w:rsidR="00BD3EF4" w:rsidRPr="00230BC2">
        <w:t xml:space="preserve">the President </w:t>
      </w:r>
      <w:r w:rsidR="00CE756F" w:rsidRPr="00230BC2">
        <w:t xml:space="preserve">suspended </w:t>
      </w:r>
      <w:r w:rsidRPr="00230BC2">
        <w:t>the meeting at 1</w:t>
      </w:r>
      <w:r w:rsidR="002060C3" w:rsidRPr="00230BC2">
        <w:t> </w:t>
      </w:r>
      <w:r w:rsidRPr="00230BC2">
        <w:t>a</w:t>
      </w:r>
      <w:r w:rsidR="002219AC" w:rsidRPr="00230BC2">
        <w:t>.</w:t>
      </w:r>
      <w:r w:rsidRPr="00230BC2">
        <w:t>m</w:t>
      </w:r>
      <w:r w:rsidR="002219AC" w:rsidRPr="00230BC2">
        <w:t>.</w:t>
      </w:r>
      <w:r w:rsidRPr="00230BC2">
        <w:t xml:space="preserve"> on 20 December</w:t>
      </w:r>
      <w:r w:rsidR="002219AC" w:rsidRPr="00230BC2">
        <w:t xml:space="preserve"> 2022</w:t>
      </w:r>
      <w:r w:rsidRPr="00230BC2">
        <w:t>.</w:t>
      </w:r>
    </w:p>
    <w:bookmarkEnd w:id="465"/>
    <w:p w14:paraId="0BB643ED" w14:textId="77777777" w:rsidR="00D56432" w:rsidRPr="00230BC2" w:rsidRDefault="00D56432" w:rsidP="00D56432">
      <w:pPr>
        <w:pStyle w:val="Para1"/>
        <w:numPr>
          <w:ilvl w:val="0"/>
          <w:numId w:val="0"/>
        </w:numPr>
        <w:rPr>
          <w:i/>
          <w:iCs/>
        </w:rPr>
      </w:pPr>
      <w:r w:rsidRPr="00230BC2">
        <w:rPr>
          <w:i/>
          <w:iCs/>
        </w:rPr>
        <w:t>Resumed second part</w:t>
      </w:r>
    </w:p>
    <w:p w14:paraId="6A5896BD" w14:textId="33F794FB" w:rsidR="00D56432" w:rsidRPr="00230BC2" w:rsidRDefault="00915883" w:rsidP="00D56432">
      <w:pPr>
        <w:pStyle w:val="Para1"/>
        <w:numPr>
          <w:ilvl w:val="0"/>
          <w:numId w:val="4"/>
        </w:numPr>
        <w:rPr>
          <w:snapToGrid/>
          <w:szCs w:val="24"/>
        </w:rPr>
      </w:pPr>
      <w:r w:rsidRPr="00230BC2">
        <w:t xml:space="preserve">Following the customary exchange of courtesies, the meeting was declared closed at </w:t>
      </w:r>
      <w:r w:rsidR="00D5285F" w:rsidRPr="00230BC2">
        <w:t>1.15</w:t>
      </w:r>
      <w:r w:rsidRPr="00230BC2">
        <w:t xml:space="preserve"> p.m. on 20 October 2023. </w:t>
      </w:r>
    </w:p>
    <w:p w14:paraId="0C7ECA54" w14:textId="0AA6D6DE" w:rsidR="009F6051" w:rsidRPr="00230BC2" w:rsidRDefault="00D95248" w:rsidP="007A413E">
      <w:pPr>
        <w:pStyle w:val="Para1"/>
        <w:numPr>
          <w:ilvl w:val="0"/>
          <w:numId w:val="0"/>
        </w:numPr>
        <w:jc w:val="center"/>
      </w:pPr>
      <w:r w:rsidRPr="00230BC2">
        <w:t>__________</w:t>
      </w:r>
    </w:p>
    <w:sectPr w:rsidR="009F6051" w:rsidRPr="00230BC2" w:rsidSect="00E0044C">
      <w:footnotePr>
        <w:numStart w:val="2"/>
      </w:footnotePr>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F97D" w14:textId="77777777" w:rsidR="00B457C5" w:rsidRDefault="00B457C5" w:rsidP="00CF1848">
      <w:r>
        <w:separator/>
      </w:r>
    </w:p>
  </w:endnote>
  <w:endnote w:type="continuationSeparator" w:id="0">
    <w:p w14:paraId="54B41536" w14:textId="77777777" w:rsidR="00B457C5" w:rsidRDefault="00B457C5" w:rsidP="00CF1848">
      <w:r>
        <w:continuationSeparator/>
      </w:r>
    </w:p>
  </w:endnote>
  <w:endnote w:type="continuationNotice" w:id="1">
    <w:p w14:paraId="2E0EFC8C" w14:textId="77777777" w:rsidR="00B457C5" w:rsidRDefault="00B45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13C1" w14:textId="77777777" w:rsidR="00963618" w:rsidRDefault="00963618" w:rsidP="0013000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44D9" w14:textId="77777777" w:rsidR="00B457C5" w:rsidRDefault="00B457C5" w:rsidP="00CF1848">
      <w:r>
        <w:separator/>
      </w:r>
    </w:p>
  </w:footnote>
  <w:footnote w:type="continuationSeparator" w:id="0">
    <w:p w14:paraId="7456AF24" w14:textId="77777777" w:rsidR="00B457C5" w:rsidRDefault="00B457C5" w:rsidP="00CF1848">
      <w:r>
        <w:continuationSeparator/>
      </w:r>
    </w:p>
  </w:footnote>
  <w:footnote w:type="continuationNotice" w:id="1">
    <w:p w14:paraId="152906C5" w14:textId="77777777" w:rsidR="00B457C5" w:rsidRDefault="00B457C5"/>
  </w:footnote>
  <w:footnote w:id="2">
    <w:p w14:paraId="663169EF" w14:textId="21FD8F9E" w:rsidR="00F241DC" w:rsidRPr="00F241DC" w:rsidRDefault="00F241DC" w:rsidP="00AE41A6">
      <w:pPr>
        <w:pStyle w:val="FootnoteText"/>
        <w:ind w:firstLine="0"/>
        <w:rPr>
          <w:lang w:val="en-US"/>
        </w:rPr>
      </w:pPr>
      <w:r>
        <w:rPr>
          <w:rStyle w:val="FootnoteReference"/>
        </w:rPr>
        <w:t>*</w:t>
      </w:r>
      <w:r>
        <w:t xml:space="preserve"> </w:t>
      </w:r>
      <w:r>
        <w:rPr>
          <w:lang w:val="en-US"/>
        </w:rPr>
        <w:t>For decision 15/1</w:t>
      </w:r>
      <w:r w:rsidR="00177819">
        <w:rPr>
          <w:lang w:val="en-US"/>
        </w:rPr>
        <w:t>, see CBD/COP/15/4, sect. I.</w:t>
      </w:r>
    </w:p>
  </w:footnote>
  <w:footnote w:id="3">
    <w:p w14:paraId="060E461E" w14:textId="05742FD4" w:rsidR="00D07848" w:rsidRPr="00D07848" w:rsidRDefault="00D07848" w:rsidP="002F060F">
      <w:pPr>
        <w:pStyle w:val="FootnoteText"/>
        <w:ind w:firstLine="0"/>
        <w:rPr>
          <w:lang w:val="en-US"/>
        </w:rPr>
      </w:pPr>
      <w:r w:rsidRPr="00A13F89">
        <w:rPr>
          <w:rStyle w:val="FootnoteReference"/>
        </w:rPr>
        <w:t>*</w:t>
      </w:r>
      <w:r w:rsidRPr="00A13F89">
        <w:t xml:space="preserve"> </w:t>
      </w:r>
      <w:r w:rsidR="00E21FC5" w:rsidRPr="00A13F89">
        <w:rPr>
          <w:lang w:val="en-US"/>
        </w:rPr>
        <w:t>Decision</w:t>
      </w:r>
      <w:r w:rsidR="00E21FC5" w:rsidRPr="00E21FC5">
        <w:rPr>
          <w:lang w:val="en-US"/>
        </w:rPr>
        <w:t xml:space="preserve"> 15/1 (Proposed interim budget for the programme of work of the Convention on Biological Diversity, the Cartagena Protocol on Biosafety and the Nagoya Protocol on Access and Benefit-sharing for the year 2022) was adopted on 15 October 2021, during the first part of the fifteenth meeting of the Conference of the Parties and is therefore included in the corresponding report (CBD/COP/15/4)</w:t>
      </w:r>
      <w:r w:rsidR="002E23AE">
        <w:rPr>
          <w:lang w:val="en-US"/>
        </w:rPr>
        <w:t>.</w:t>
      </w:r>
    </w:p>
  </w:footnote>
  <w:footnote w:id="4">
    <w:p w14:paraId="0D46D810" w14:textId="77777777" w:rsidR="003E49B8" w:rsidRPr="003E4480" w:rsidRDefault="003E49B8" w:rsidP="00B0602C">
      <w:pPr>
        <w:pStyle w:val="FootnoteText"/>
        <w:suppressLineNumbers/>
        <w:suppressAutoHyphens/>
        <w:ind w:firstLine="0"/>
        <w:jc w:val="left"/>
        <w:rPr>
          <w:kern w:val="18"/>
          <w:szCs w:val="18"/>
          <w:lang w:val="en-US"/>
        </w:rPr>
      </w:pPr>
      <w:r w:rsidRPr="00610646">
        <w:rPr>
          <w:rStyle w:val="FootnoteReference"/>
          <w:rFonts w:eastAsiaTheme="majorEastAsia"/>
        </w:rPr>
        <w:footnoteRef/>
      </w:r>
      <w:r w:rsidRPr="003E4480">
        <w:rPr>
          <w:kern w:val="18"/>
          <w:szCs w:val="18"/>
          <w:lang w:val="en-US"/>
        </w:rPr>
        <w:t xml:space="preserve"> </w:t>
      </w:r>
      <w:r w:rsidRPr="003E4480">
        <w:rPr>
          <w:szCs w:val="18"/>
        </w:rPr>
        <w:t xml:space="preserve">IPBES (2019): </w:t>
      </w:r>
      <w:r w:rsidRPr="003E4480">
        <w:rPr>
          <w:i/>
          <w:iCs/>
          <w:szCs w:val="18"/>
        </w:rPr>
        <w:t>Global assessment report on biodiversity and ecosystem services of the Intergovernmental Science-Policy Platform on Biodiversity and Ecosystem Services</w:t>
      </w:r>
      <w:r w:rsidRPr="003E4480">
        <w:rPr>
          <w:szCs w:val="18"/>
        </w:rPr>
        <w:t>. IPBES secretariat, Bonn, Germany.</w:t>
      </w:r>
    </w:p>
  </w:footnote>
  <w:footnote w:id="5">
    <w:p w14:paraId="71DB88BE" w14:textId="77777777" w:rsidR="003E49B8" w:rsidRPr="003E4480" w:rsidRDefault="003E49B8" w:rsidP="00B0602C">
      <w:pPr>
        <w:pStyle w:val="FootnoteText"/>
        <w:ind w:firstLine="0"/>
        <w:jc w:val="left"/>
        <w:rPr>
          <w:szCs w:val="18"/>
        </w:rPr>
      </w:pPr>
      <w:r w:rsidRPr="00610646">
        <w:rPr>
          <w:rStyle w:val="FootnoteReference"/>
        </w:rPr>
        <w:footnoteRef/>
      </w:r>
      <w:r w:rsidRPr="003E4480">
        <w:rPr>
          <w:szCs w:val="18"/>
        </w:rPr>
        <w:t xml:space="preserve"> IPCC, 2018: </w:t>
      </w:r>
      <w:r w:rsidRPr="003E4480">
        <w:rPr>
          <w:i/>
          <w:iCs/>
          <w:szCs w:val="18"/>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3E4480">
        <w:rPr>
          <w:szCs w:val="18"/>
        </w:rPr>
        <w:t>. Cambridge University Press, Cambridge, UK and New York, NY, USA</w:t>
      </w:r>
      <w:r>
        <w:rPr>
          <w:szCs w:val="18"/>
        </w:rPr>
        <w:t>.</w:t>
      </w:r>
    </w:p>
  </w:footnote>
  <w:footnote w:id="6">
    <w:p w14:paraId="0E19E44D" w14:textId="77777777" w:rsidR="003E49B8" w:rsidRPr="003E4480" w:rsidRDefault="003E49B8" w:rsidP="00B0602C">
      <w:pPr>
        <w:pStyle w:val="FootnoteText"/>
        <w:ind w:firstLine="0"/>
        <w:jc w:val="left"/>
        <w:rPr>
          <w:szCs w:val="18"/>
        </w:rPr>
      </w:pPr>
      <w:r w:rsidRPr="00610646">
        <w:rPr>
          <w:rStyle w:val="FootnoteReference"/>
        </w:rPr>
        <w:footnoteRef/>
      </w:r>
      <w:r w:rsidRPr="003E4480">
        <w:rPr>
          <w:szCs w:val="18"/>
        </w:rPr>
        <w:t xml:space="preserve"> IPCC, 2019: </w:t>
      </w:r>
      <w:r w:rsidRPr="003E4480">
        <w:rPr>
          <w:i/>
          <w:iCs/>
          <w:szCs w:val="18"/>
        </w:rPr>
        <w:t>IPCC Special Report on the Ocean and Cryosphere in a Changing Climate</w:t>
      </w:r>
      <w:r w:rsidRPr="003E4480">
        <w:rPr>
          <w:szCs w:val="18"/>
        </w:rPr>
        <w:t>. Cambridge University Press, Cambridge, UK and New York, USA.</w:t>
      </w:r>
    </w:p>
  </w:footnote>
  <w:footnote w:id="7">
    <w:p w14:paraId="12581A71" w14:textId="77777777" w:rsidR="003E49B8" w:rsidRPr="00F26AE1" w:rsidRDefault="003E49B8" w:rsidP="00B0602C">
      <w:pPr>
        <w:pStyle w:val="FootnoteText"/>
        <w:ind w:firstLine="0"/>
        <w:jc w:val="left"/>
      </w:pPr>
      <w:r w:rsidRPr="00610646">
        <w:rPr>
          <w:rStyle w:val="FootnoteReference"/>
        </w:rPr>
        <w:footnoteRef/>
      </w:r>
      <w:r w:rsidRPr="003E4480">
        <w:rPr>
          <w:szCs w:val="18"/>
        </w:rPr>
        <w:t xml:space="preserve"> IPCC, 2019: </w:t>
      </w:r>
      <w:r w:rsidRPr="003E4480">
        <w:rPr>
          <w:i/>
          <w:iCs/>
          <w:szCs w:val="18"/>
        </w:rPr>
        <w:t>Climate Change and Land: An IPCC Special Report on climate change, desertification, land degradation, sustainable land management, food security, and greenhouse gas fluxes in terrestrial ecosystems</w:t>
      </w:r>
      <w:r w:rsidRPr="003E4480">
        <w:rPr>
          <w:szCs w:val="18"/>
        </w:rPr>
        <w:t>. Cambridge: Cambridge University Press.</w:t>
      </w:r>
    </w:p>
  </w:footnote>
  <w:footnote w:id="8">
    <w:p w14:paraId="58FB2AEE" w14:textId="77777777" w:rsidR="003E49B8" w:rsidRDefault="003E49B8"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Pr>
          <w:kern w:val="18"/>
          <w:szCs w:val="18"/>
        </w:rPr>
        <w:t xml:space="preserve"> Secretariat of the Convention on Biological Diversity (2020). </w:t>
      </w:r>
      <w:r>
        <w:rPr>
          <w:i/>
          <w:kern w:val="18"/>
          <w:szCs w:val="18"/>
        </w:rPr>
        <w:t>Global Biodiversity Outlook 5</w:t>
      </w:r>
      <w:r>
        <w:rPr>
          <w:kern w:val="18"/>
          <w:szCs w:val="18"/>
        </w:rPr>
        <w:t>. Montreal.</w:t>
      </w:r>
    </w:p>
  </w:footnote>
  <w:footnote w:id="9">
    <w:p w14:paraId="36AACA0C" w14:textId="77777777" w:rsidR="003E49B8" w:rsidRDefault="003E49B8"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Pr>
          <w:kern w:val="18"/>
          <w:szCs w:val="18"/>
        </w:rPr>
        <w:t xml:space="preserve"> Forest Peoples Programme (2020). </w:t>
      </w:r>
      <w:r>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Pr>
          <w:kern w:val="18"/>
          <w:szCs w:val="18"/>
        </w:rPr>
        <w:t xml:space="preserve">. </w:t>
      </w:r>
      <w:r w:rsidRPr="006359A0">
        <w:rPr>
          <w:kern w:val="18"/>
          <w:szCs w:val="18"/>
        </w:rPr>
        <w:t>Moreton-in-Marsh, England (United Kingdom).</w:t>
      </w:r>
    </w:p>
  </w:footnote>
  <w:footnote w:id="10">
    <w:p w14:paraId="5116032D" w14:textId="77777777" w:rsidR="003E49B8" w:rsidRDefault="003E49B8"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Pr>
          <w:kern w:val="18"/>
          <w:szCs w:val="18"/>
        </w:rPr>
        <w:t xml:space="preserve"> Sharrock, S. (2020). </w:t>
      </w:r>
      <w:r>
        <w:rPr>
          <w:i/>
          <w:kern w:val="18"/>
          <w:szCs w:val="18"/>
        </w:rPr>
        <w:t>Plant Conservation Report 2020: A review of progress in implementation of the Global Strategy for Plant Conservation 2011-2020</w:t>
      </w:r>
      <w:r>
        <w:rPr>
          <w:kern w:val="18"/>
          <w:szCs w:val="18"/>
        </w:rPr>
        <w:t xml:space="preserve">. Secretariat of the Convention on Biological Diversity, Montreal, Canada and Botanic Gardens Conservation International, Richmond, United Kingdom. </w:t>
      </w:r>
      <w:r>
        <w:rPr>
          <w:i/>
          <w:kern w:val="18"/>
          <w:szCs w:val="18"/>
        </w:rPr>
        <w:t>Technical Series No. 95</w:t>
      </w:r>
      <w:r>
        <w:rPr>
          <w:kern w:val="18"/>
          <w:szCs w:val="18"/>
        </w:rPr>
        <w:t>.</w:t>
      </w:r>
    </w:p>
  </w:footnote>
  <w:footnote w:id="11">
    <w:p w14:paraId="4C873FAD" w14:textId="77777777" w:rsidR="00F251F5" w:rsidRDefault="00F251F5" w:rsidP="00B0602C">
      <w:pPr>
        <w:pStyle w:val="FootnoteText"/>
        <w:ind w:firstLine="0"/>
      </w:pPr>
      <w:r w:rsidRPr="00610646">
        <w:rPr>
          <w:rStyle w:val="FootnoteReference"/>
        </w:rPr>
        <w:footnoteRef/>
      </w:r>
      <w:r>
        <w:t xml:space="preserve"> </w:t>
      </w:r>
      <w:r>
        <w:rPr>
          <w:kern w:val="18"/>
          <w:szCs w:val="18"/>
        </w:rPr>
        <w:t xml:space="preserve">Secretariat of the Convention on Biological Diversity (2020). </w:t>
      </w:r>
      <w:r>
        <w:rPr>
          <w:i/>
          <w:kern w:val="18"/>
          <w:szCs w:val="18"/>
        </w:rPr>
        <w:t>Global Biodiversity Outlook 5</w:t>
      </w:r>
      <w:r>
        <w:rPr>
          <w:kern w:val="18"/>
          <w:szCs w:val="18"/>
        </w:rPr>
        <w:t>. Montreal.</w:t>
      </w:r>
    </w:p>
  </w:footnote>
  <w:footnote w:id="12">
    <w:p w14:paraId="7BA2B4C6" w14:textId="77777777" w:rsidR="00F251F5" w:rsidRDefault="00F251F5" w:rsidP="00B0602C">
      <w:pPr>
        <w:pStyle w:val="FootnoteText"/>
        <w:ind w:firstLine="0"/>
      </w:pPr>
      <w:r w:rsidRPr="00610646">
        <w:rPr>
          <w:rStyle w:val="FootnoteReference"/>
        </w:rPr>
        <w:footnoteRef/>
      </w:r>
      <w:r>
        <w:t xml:space="preserve"> </w:t>
      </w:r>
      <w:r>
        <w:rPr>
          <w:kern w:val="18"/>
          <w:szCs w:val="18"/>
        </w:rPr>
        <w:t xml:space="preserve">Forest Peoples Programme (2020). </w:t>
      </w:r>
      <w:r w:rsidRPr="003035D9">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Pr>
          <w:kern w:val="18"/>
          <w:szCs w:val="18"/>
        </w:rPr>
        <w:t xml:space="preserve">. </w:t>
      </w:r>
      <w:r w:rsidRPr="006359A0">
        <w:rPr>
          <w:kern w:val="18"/>
          <w:szCs w:val="18"/>
        </w:rPr>
        <w:t>Moreton-in-Marsh, England (United Kingdom).</w:t>
      </w:r>
    </w:p>
  </w:footnote>
  <w:footnote w:id="13">
    <w:p w14:paraId="2BFE0378" w14:textId="77777777" w:rsidR="00F251F5" w:rsidRPr="009A1CCB" w:rsidRDefault="00F251F5"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9A370A">
        <w:rPr>
          <w:kern w:val="18"/>
          <w:szCs w:val="18"/>
        </w:rPr>
        <w:t xml:space="preserve"> CBD/SBI/3/2/Add.1.</w:t>
      </w:r>
    </w:p>
  </w:footnote>
  <w:footnote w:id="14">
    <w:p w14:paraId="4AD7F007" w14:textId="77777777" w:rsidR="00F251F5" w:rsidRPr="009A370A" w:rsidRDefault="00F251F5"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9A370A">
        <w:rPr>
          <w:kern w:val="18"/>
          <w:szCs w:val="18"/>
        </w:rPr>
        <w:t xml:space="preserve"> CBD/SBI/3/2/Add.2.</w:t>
      </w:r>
    </w:p>
  </w:footnote>
  <w:footnote w:id="15">
    <w:p w14:paraId="592029CA" w14:textId="77777777" w:rsidR="00F251F5" w:rsidRPr="009A370A" w:rsidRDefault="00F251F5"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9A370A">
        <w:rPr>
          <w:kern w:val="18"/>
          <w:szCs w:val="18"/>
        </w:rPr>
        <w:t xml:space="preserve"> CBD/SBI/3/2.</w:t>
      </w:r>
    </w:p>
  </w:footnote>
  <w:footnote w:id="16">
    <w:p w14:paraId="41EFFDC7" w14:textId="77777777" w:rsidR="00F251F5" w:rsidRPr="009A1CCB" w:rsidRDefault="00F251F5" w:rsidP="00B0602C">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9A370A">
        <w:rPr>
          <w:kern w:val="18"/>
          <w:szCs w:val="18"/>
        </w:rPr>
        <w:t xml:space="preserve"> Decision XII/7</w:t>
      </w:r>
      <w:r w:rsidRPr="009A1CCB">
        <w:rPr>
          <w:kern w:val="18"/>
          <w:szCs w:val="18"/>
        </w:rPr>
        <w:t>, annex.</w:t>
      </w:r>
    </w:p>
  </w:footnote>
  <w:footnote w:id="17">
    <w:p w14:paraId="2EE79B81" w14:textId="77777777" w:rsidR="00F251F5" w:rsidRDefault="00F251F5" w:rsidP="00B0602C">
      <w:pPr>
        <w:pStyle w:val="FootnoteText"/>
        <w:suppressLineNumbers/>
        <w:suppressAutoHyphens/>
        <w:kinsoku w:val="0"/>
        <w:overflowPunct w:val="0"/>
        <w:autoSpaceDE w:val="0"/>
        <w:autoSpaceDN w:val="0"/>
        <w:ind w:firstLine="0"/>
        <w:jc w:val="left"/>
      </w:pPr>
      <w:r w:rsidRPr="00610646">
        <w:rPr>
          <w:rStyle w:val="FootnoteReference"/>
        </w:rPr>
        <w:footnoteRef/>
      </w:r>
      <w:r w:rsidRPr="006076FB">
        <w:rPr>
          <w:kern w:val="18"/>
          <w:szCs w:val="18"/>
        </w:rPr>
        <w:t xml:space="preserve"> </w:t>
      </w:r>
      <w:r w:rsidRPr="00F74B22">
        <w:rPr>
          <w:kern w:val="18"/>
          <w:szCs w:val="18"/>
        </w:rPr>
        <w:t>CBD/SBI/3/2.</w:t>
      </w:r>
    </w:p>
  </w:footnote>
  <w:footnote w:id="18">
    <w:p w14:paraId="06456009" w14:textId="77777777" w:rsidR="00F251F5" w:rsidRDefault="00F251F5" w:rsidP="00B0602C">
      <w:pPr>
        <w:pStyle w:val="FootnoteText"/>
        <w:suppressLineNumbers/>
        <w:suppressAutoHyphens/>
        <w:kinsoku w:val="0"/>
        <w:overflowPunct w:val="0"/>
        <w:autoSpaceDE w:val="0"/>
        <w:autoSpaceDN w:val="0"/>
        <w:ind w:firstLine="0"/>
        <w:jc w:val="left"/>
      </w:pPr>
      <w:r w:rsidRPr="00610646">
        <w:rPr>
          <w:rStyle w:val="FootnoteReference"/>
        </w:rPr>
        <w:footnoteRef/>
      </w:r>
      <w:r>
        <w:t xml:space="preserve"> Decision 15/4.</w:t>
      </w:r>
    </w:p>
  </w:footnote>
  <w:footnote w:id="19">
    <w:p w14:paraId="2E81E747" w14:textId="77777777" w:rsidR="00F251F5" w:rsidRDefault="00F251F5" w:rsidP="00B0602C">
      <w:pPr>
        <w:pStyle w:val="FootnoteText"/>
        <w:suppressLineNumbers/>
        <w:suppressAutoHyphens/>
        <w:kinsoku w:val="0"/>
        <w:overflowPunct w:val="0"/>
        <w:autoSpaceDE w:val="0"/>
        <w:autoSpaceDN w:val="0"/>
        <w:ind w:firstLine="0"/>
        <w:jc w:val="left"/>
      </w:pPr>
      <w:r w:rsidRPr="00610646">
        <w:rPr>
          <w:rStyle w:val="FootnoteReference"/>
        </w:rPr>
        <w:footnoteRef/>
      </w:r>
      <w:r>
        <w:t xml:space="preserve"> Decision 15/11, annex.</w:t>
      </w:r>
    </w:p>
  </w:footnote>
  <w:footnote w:id="20">
    <w:p w14:paraId="23D0C63D" w14:textId="4B8A9F06" w:rsidR="00E86051" w:rsidRPr="0039740C" w:rsidRDefault="00E86051" w:rsidP="00274F3B">
      <w:pPr>
        <w:pStyle w:val="FootnoteText"/>
        <w:keepLines w:val="0"/>
        <w:ind w:firstLine="0"/>
        <w:jc w:val="left"/>
        <w:rPr>
          <w:lang w:val="en-US"/>
        </w:rPr>
      </w:pPr>
      <w:r w:rsidRPr="00610646">
        <w:rPr>
          <w:rStyle w:val="FootnoteReference"/>
        </w:rPr>
        <w:footnoteRef/>
      </w:r>
      <w:r>
        <w:t xml:space="preserve"> </w:t>
      </w:r>
      <w:hyperlink r:id="rId1" w:history="1">
        <w:r w:rsidRPr="00B97B0D">
          <w:rPr>
            <w:rStyle w:val="Hyperlink"/>
            <w:lang w:val="en-US"/>
          </w:rPr>
          <w:t>https://www.cbd.int/conferences/post2020</w:t>
        </w:r>
      </w:hyperlink>
      <w:r>
        <w:rPr>
          <w:lang w:val="en-US"/>
        </w:rPr>
        <w:t xml:space="preserve">  </w:t>
      </w:r>
    </w:p>
  </w:footnote>
  <w:footnote w:id="21">
    <w:p w14:paraId="1B51CEB4" w14:textId="2DB44A1C" w:rsidR="00E86051" w:rsidRPr="004664CA" w:rsidRDefault="00E86051" w:rsidP="00274F3B">
      <w:pPr>
        <w:pStyle w:val="FootnoteText"/>
        <w:keepLines w:val="0"/>
        <w:ind w:firstLine="0"/>
        <w:rPr>
          <w:lang w:val="en-US"/>
        </w:rPr>
      </w:pPr>
      <w:r w:rsidRPr="00610646">
        <w:rPr>
          <w:rStyle w:val="FootnoteReference"/>
        </w:rPr>
        <w:footnoteRef/>
      </w:r>
      <w:r>
        <w:t xml:space="preserve"> </w:t>
      </w:r>
      <w:hyperlink r:id="rId2" w:history="1">
        <w:r w:rsidRPr="00650DB0">
          <w:rPr>
            <w:rStyle w:val="Hyperlink"/>
          </w:rPr>
          <w:t>CBD/WG8J/11/7</w:t>
        </w:r>
      </w:hyperlink>
      <w:r>
        <w:t xml:space="preserve">, </w:t>
      </w:r>
      <w:hyperlink r:id="rId3" w:history="1">
        <w:r w:rsidRPr="00A943E3">
          <w:rPr>
            <w:rStyle w:val="Hyperlink"/>
          </w:rPr>
          <w:t>CBD/SBSTTA/23/9</w:t>
        </w:r>
      </w:hyperlink>
      <w:r>
        <w:t xml:space="preserve">, </w:t>
      </w:r>
      <w:hyperlink r:id="rId4" w:history="1">
        <w:r w:rsidRPr="00CF5707">
          <w:rPr>
            <w:rStyle w:val="Hyperlink"/>
          </w:rPr>
          <w:t>CBD/SBSTTA/24/12</w:t>
        </w:r>
      </w:hyperlink>
      <w:r>
        <w:t xml:space="preserve"> and </w:t>
      </w:r>
      <w:hyperlink r:id="rId5" w:history="1">
        <w:r w:rsidRPr="00E61743">
          <w:rPr>
            <w:rStyle w:val="Hyperlink"/>
          </w:rPr>
          <w:t>CBD/SBI/3/21</w:t>
        </w:r>
      </w:hyperlink>
      <w:r>
        <w:t>, respectively.</w:t>
      </w:r>
    </w:p>
  </w:footnote>
  <w:footnote w:id="22">
    <w:p w14:paraId="2C73A03D" w14:textId="77777777" w:rsidR="00E86051" w:rsidRDefault="00E86051">
      <w:pPr>
        <w:pStyle w:val="FootnoteText"/>
        <w:ind w:firstLine="0"/>
      </w:pPr>
      <w:r w:rsidRPr="00610646">
        <w:rPr>
          <w:rStyle w:val="FootnoteReference"/>
        </w:rPr>
        <w:footnoteRef/>
      </w:r>
      <w:r>
        <w:t xml:space="preserve"> Decisions CP-10/3 and CP-10/4.</w:t>
      </w:r>
    </w:p>
  </w:footnote>
  <w:footnote w:id="23">
    <w:p w14:paraId="6AD71D9F" w14:textId="77777777" w:rsidR="00E86051" w:rsidRPr="00854BF8" w:rsidRDefault="00E86051" w:rsidP="00B0602C">
      <w:pPr>
        <w:pStyle w:val="FootnoteText"/>
        <w:suppressLineNumbers/>
        <w:suppressAutoHyphens/>
        <w:ind w:firstLine="0"/>
        <w:jc w:val="left"/>
        <w:rPr>
          <w:snapToGrid w:val="0"/>
          <w:kern w:val="18"/>
        </w:rPr>
      </w:pPr>
      <w:r w:rsidRPr="00610646">
        <w:rPr>
          <w:rStyle w:val="FootnoteReference"/>
        </w:rPr>
        <w:footnoteRef/>
      </w:r>
      <w:r>
        <w:rPr>
          <w:snapToGrid w:val="0"/>
          <w:kern w:val="18"/>
        </w:rPr>
        <w:t xml:space="preserve"> IPBES (2019): </w:t>
      </w:r>
      <w:r>
        <w:rPr>
          <w:i/>
          <w:iCs/>
          <w:snapToGrid w:val="0"/>
          <w:kern w:val="18"/>
        </w:rPr>
        <w:t>Global Assessment Report on Biodiversity and Ecosystem Services of the Intergovernmental Science-Policy Platform on Biodiversity and Ecosystem Services</w:t>
      </w:r>
      <w:r>
        <w:rPr>
          <w:snapToGrid w:val="0"/>
          <w:kern w:val="18"/>
        </w:rPr>
        <w:t xml:space="preserve">. </w:t>
      </w:r>
      <w:r w:rsidRPr="00854BF8">
        <w:rPr>
          <w:snapToGrid w:val="0"/>
          <w:kern w:val="18"/>
        </w:rPr>
        <w:t>IPBES secretariat, Bonn</w:t>
      </w:r>
      <w:r>
        <w:rPr>
          <w:snapToGrid w:val="0"/>
          <w:kern w:val="18"/>
        </w:rPr>
        <w:t>, Germany</w:t>
      </w:r>
      <w:r w:rsidRPr="00854BF8">
        <w:rPr>
          <w:snapToGrid w:val="0"/>
          <w:kern w:val="18"/>
        </w:rPr>
        <w:t xml:space="preserve">. </w:t>
      </w:r>
    </w:p>
  </w:footnote>
  <w:footnote w:id="24">
    <w:p w14:paraId="59985851" w14:textId="77777777" w:rsidR="00E86051" w:rsidRPr="00CE6F10" w:rsidRDefault="00E86051" w:rsidP="00B0602C">
      <w:pPr>
        <w:pStyle w:val="FootnoteText"/>
        <w:ind w:firstLine="0"/>
      </w:pPr>
      <w:r w:rsidRPr="00610646">
        <w:rPr>
          <w:rStyle w:val="FootnoteReference"/>
        </w:rPr>
        <w:footnoteRef/>
      </w:r>
      <w:r>
        <w:t xml:space="preserve"> </w:t>
      </w:r>
      <w:r w:rsidRPr="00CE6F10">
        <w:t>Secretariat of the Convention on Biological Diversity (2020). Global Biodiversity Outlook 5. Montreal.</w:t>
      </w:r>
    </w:p>
  </w:footnote>
  <w:footnote w:id="25">
    <w:p w14:paraId="4481097F" w14:textId="77777777" w:rsidR="00E86051" w:rsidRPr="0039740C" w:rsidRDefault="00E86051" w:rsidP="00B0602C">
      <w:pPr>
        <w:pStyle w:val="FootnoteText"/>
        <w:ind w:firstLine="0"/>
        <w:rPr>
          <w:lang w:val="en-US"/>
        </w:rPr>
      </w:pPr>
      <w:r w:rsidRPr="00610646">
        <w:rPr>
          <w:rStyle w:val="FootnoteReference"/>
        </w:rPr>
        <w:footnoteRef/>
      </w:r>
      <w:r>
        <w:t xml:space="preserve"> </w:t>
      </w:r>
      <w:r>
        <w:rPr>
          <w:snapToGrid w:val="0"/>
          <w:kern w:val="18"/>
        </w:rPr>
        <w:t xml:space="preserve">IPBES (2019): </w:t>
      </w:r>
      <w:r>
        <w:rPr>
          <w:lang w:val="en-US"/>
        </w:rPr>
        <w:t xml:space="preserve">The following paragraphs are taken from key messages A6, A, D and B respectively, of the </w:t>
      </w:r>
      <w:r w:rsidRPr="0039740C">
        <w:rPr>
          <w:i/>
          <w:iCs/>
          <w:lang w:val="en-US"/>
        </w:rPr>
        <w:t xml:space="preserve">Summary for </w:t>
      </w:r>
      <w:r>
        <w:rPr>
          <w:i/>
          <w:iCs/>
          <w:lang w:val="en-US"/>
        </w:rPr>
        <w:t>p</w:t>
      </w:r>
      <w:r w:rsidRPr="0039740C">
        <w:rPr>
          <w:i/>
          <w:iCs/>
          <w:lang w:val="en-US"/>
        </w:rPr>
        <w:t>olicymakers</w:t>
      </w:r>
      <w:r w:rsidRPr="0039740C">
        <w:rPr>
          <w:i/>
          <w:iCs/>
        </w:rPr>
        <w:t xml:space="preserve"> </w:t>
      </w:r>
      <w:r w:rsidRPr="0039740C">
        <w:rPr>
          <w:i/>
          <w:iCs/>
          <w:lang w:val="en-US"/>
        </w:rPr>
        <w:t>of the global assessment report on biodiversity and ecosystem services of the Intergovernmental Science-Policy Platform on Biodiversity and Ecosystem Services</w:t>
      </w:r>
      <w:r>
        <w:rPr>
          <w:lang w:val="en-US"/>
        </w:rPr>
        <w:t xml:space="preserve">. </w:t>
      </w:r>
      <w:r w:rsidRPr="00854BF8">
        <w:rPr>
          <w:snapToGrid w:val="0"/>
          <w:kern w:val="18"/>
        </w:rPr>
        <w:t>IPBES secretariat, Bonn</w:t>
      </w:r>
      <w:r>
        <w:rPr>
          <w:snapToGrid w:val="0"/>
          <w:kern w:val="18"/>
        </w:rPr>
        <w:t>, Germany.</w:t>
      </w:r>
    </w:p>
  </w:footnote>
  <w:footnote w:id="26">
    <w:p w14:paraId="25562075" w14:textId="77777777" w:rsidR="00E86051" w:rsidRDefault="00E86051" w:rsidP="00C252B1">
      <w:pPr>
        <w:pStyle w:val="FootnoteText"/>
        <w:spacing w:before="60"/>
        <w:ind w:firstLine="0"/>
        <w:rPr>
          <w:lang w:val="en-US"/>
        </w:rPr>
      </w:pPr>
      <w:r w:rsidRPr="00610646">
        <w:rPr>
          <w:rStyle w:val="FootnoteReference"/>
        </w:rPr>
        <w:footnoteRef/>
      </w:r>
      <w:bookmarkStart w:id="30" w:name="_Hlk120997422"/>
      <w:r>
        <w:t>In this framework,</w:t>
      </w:r>
      <w:bookmarkEnd w:id="30"/>
      <w:r>
        <w:t xml:space="preserve"> free, prior and informed consent </w:t>
      </w:r>
      <w:r w:rsidRPr="00DF110C">
        <w:t>refers to the tripartite terminology of “prior and informed consent” or “free, prior and informed consent” or “approval and involvement”.</w:t>
      </w:r>
    </w:p>
  </w:footnote>
  <w:footnote w:id="27">
    <w:p w14:paraId="742801BE" w14:textId="77777777" w:rsidR="00E86051" w:rsidRPr="00C2094B" w:rsidRDefault="00E86051" w:rsidP="00C252B1">
      <w:pPr>
        <w:pStyle w:val="FootnoteText"/>
        <w:ind w:firstLine="0"/>
      </w:pPr>
      <w:r w:rsidRPr="00610646">
        <w:rPr>
          <w:rStyle w:val="FootnoteReference"/>
        </w:rPr>
        <w:footnoteRef/>
      </w:r>
      <w:r>
        <w:t xml:space="preserve"> </w:t>
      </w:r>
      <w:r w:rsidRPr="00C2094B">
        <w:t>A/RES/61/295</w:t>
      </w:r>
      <w:r>
        <w:t>.</w:t>
      </w:r>
    </w:p>
  </w:footnote>
  <w:footnote w:id="28">
    <w:p w14:paraId="3DD7BCAD" w14:textId="77777777" w:rsidR="00E86051" w:rsidRPr="002E5940" w:rsidRDefault="00E86051" w:rsidP="007443F0">
      <w:pPr>
        <w:pStyle w:val="FootnoteText"/>
        <w:ind w:firstLine="0"/>
      </w:pPr>
      <w:r w:rsidRPr="00610646">
        <w:rPr>
          <w:rStyle w:val="FootnoteReference"/>
        </w:rPr>
        <w:footnoteRef/>
      </w:r>
      <w:r>
        <w:t xml:space="preserve"> A/RES/</w:t>
      </w:r>
      <w:r w:rsidRPr="002E5940">
        <w:t>41/128</w:t>
      </w:r>
      <w:r>
        <w:t>.</w:t>
      </w:r>
    </w:p>
  </w:footnote>
  <w:footnote w:id="29">
    <w:p w14:paraId="186E0CFF" w14:textId="77777777" w:rsidR="00E86051" w:rsidRPr="00875B4E" w:rsidRDefault="00E86051" w:rsidP="007443F0">
      <w:pPr>
        <w:rPr>
          <w:lang w:val="en-CA"/>
        </w:rPr>
      </w:pPr>
      <w:r w:rsidRPr="006A1DE4">
        <w:rPr>
          <w:rStyle w:val="FootnoteReference"/>
          <w:sz w:val="18"/>
          <w:szCs w:val="18"/>
        </w:rPr>
        <w:footnoteRef/>
      </w:r>
      <w:r>
        <w:t xml:space="preserve"> </w:t>
      </w:r>
      <w:r w:rsidRPr="00E73891">
        <w:rPr>
          <w:snapToGrid w:val="0"/>
          <w:sz w:val="18"/>
          <w:szCs w:val="18"/>
        </w:rPr>
        <w:t>UN General Assembly Resolution 76/300 of 28 July 2022.</w:t>
      </w:r>
    </w:p>
  </w:footnote>
  <w:footnote w:id="30">
    <w:p w14:paraId="50F54570" w14:textId="77777777" w:rsidR="00E86051" w:rsidRDefault="00E86051" w:rsidP="007443F0">
      <w:pPr>
        <w:pStyle w:val="FootnoteText"/>
        <w:ind w:firstLine="0"/>
      </w:pPr>
      <w:r w:rsidRPr="00610646">
        <w:rPr>
          <w:rStyle w:val="FootnoteReference"/>
        </w:rPr>
        <w:footnoteRef/>
      </w:r>
      <w:r>
        <w:t xml:space="preserve"> </w:t>
      </w:r>
      <w:r>
        <w:rPr>
          <w:kern w:val="18"/>
          <w:szCs w:val="18"/>
        </w:rPr>
        <w:t>Rio Declaration on Environment and Development (A/CONF.151/26/Rev.l (vol.I)), United Nations publication, Sales No. E.93.1.8.</w:t>
      </w:r>
    </w:p>
  </w:footnote>
  <w:footnote w:id="31">
    <w:p w14:paraId="6C75B95E" w14:textId="77777777" w:rsidR="00E86051" w:rsidRDefault="00E86051" w:rsidP="007443F0">
      <w:pPr>
        <w:pStyle w:val="FootnoteText"/>
        <w:ind w:firstLine="0"/>
        <w:rPr>
          <w:lang w:val="en-CA"/>
        </w:rPr>
      </w:pPr>
      <w:r w:rsidRPr="00610646">
        <w:rPr>
          <w:rStyle w:val="FootnoteReference"/>
        </w:rPr>
        <w:footnoteRef/>
      </w:r>
      <w:r>
        <w:t xml:space="preserve"> Decision V/6.</w:t>
      </w:r>
    </w:p>
  </w:footnote>
  <w:footnote w:id="32">
    <w:p w14:paraId="7B5549A0" w14:textId="77777777" w:rsidR="00E86051" w:rsidRPr="00517843" w:rsidRDefault="00E86051" w:rsidP="00FE5329">
      <w:pPr>
        <w:pStyle w:val="FootnoteText"/>
        <w:ind w:firstLine="0"/>
      </w:pPr>
      <w:r w:rsidRPr="00610646">
        <w:rPr>
          <w:rStyle w:val="FootnoteReference"/>
        </w:rPr>
        <w:footnoteRef/>
      </w:r>
      <w:r>
        <w:t xml:space="preserve"> Mother Earth Centric Actions: Ecocentric and rights-based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33">
    <w:p w14:paraId="11F67058" w14:textId="77777777" w:rsidR="00E86051" w:rsidRDefault="00E86051" w:rsidP="00FE5329">
      <w:pPr>
        <w:pStyle w:val="FootnoteText"/>
        <w:ind w:firstLine="0"/>
        <w:rPr>
          <w:lang w:val="en-US"/>
        </w:rPr>
      </w:pPr>
      <w:r w:rsidRPr="00610646">
        <w:rPr>
          <w:rStyle w:val="FootnoteReference"/>
        </w:rPr>
        <w:footnoteRef/>
      </w:r>
      <w:r>
        <w:t xml:space="preserve"> Free, prior and informed consent refers to the tripartite terminology of “prior and informed consent” or “free, prior and informed consent” or “approval and involvement</w:t>
      </w:r>
      <w:r>
        <w:rPr>
          <w:lang w:val="en-US"/>
        </w:rPr>
        <w:t>.</w:t>
      </w:r>
    </w:p>
  </w:footnote>
  <w:footnote w:id="34">
    <w:p w14:paraId="3640A521" w14:textId="77777777" w:rsidR="00E86051" w:rsidRPr="001116C9" w:rsidRDefault="00E86051" w:rsidP="00FE5329">
      <w:pPr>
        <w:pStyle w:val="FootnoteText"/>
        <w:ind w:firstLine="0"/>
        <w:rPr>
          <w:lang w:val="en-US"/>
        </w:rPr>
      </w:pPr>
      <w:r w:rsidRPr="00610646">
        <w:rPr>
          <w:rStyle w:val="FootnoteReference"/>
        </w:rPr>
        <w:footnoteRef/>
      </w:r>
      <w:r>
        <w:t xml:space="preserve"> Decision 15/6 on mechanism for planning, monitoring, reporting and review.</w:t>
      </w:r>
    </w:p>
  </w:footnote>
  <w:footnote w:id="35">
    <w:p w14:paraId="07536C25" w14:textId="77777777" w:rsidR="00005A3C" w:rsidRPr="006726E6" w:rsidRDefault="00005A3C" w:rsidP="006726E6">
      <w:pPr>
        <w:spacing w:before="60"/>
        <w:rPr>
          <w:rFonts w:asciiTheme="majorBidi" w:hAnsiTheme="majorBidi" w:cstheme="majorBidi"/>
        </w:rPr>
      </w:pPr>
      <w:r w:rsidRPr="00610646">
        <w:rPr>
          <w:rStyle w:val="FootnoteReference"/>
        </w:rPr>
        <w:footnoteRef/>
      </w:r>
      <w:r>
        <w:t xml:space="preserve"> </w:t>
      </w:r>
      <w:r w:rsidRPr="006632FA">
        <w:rPr>
          <w:rFonts w:asciiTheme="majorBidi" w:hAnsiTheme="majorBidi" w:cstheme="majorBidi"/>
          <w:kern w:val="18"/>
          <w:sz w:val="18"/>
          <w:szCs w:val="18"/>
        </w:rPr>
        <w:t xml:space="preserve">Secretariat of the Convention on Biological Diversity (2020). </w:t>
      </w:r>
      <w:r w:rsidRPr="006632FA">
        <w:rPr>
          <w:rFonts w:asciiTheme="majorBidi" w:hAnsiTheme="majorBidi" w:cstheme="majorBidi"/>
          <w:i/>
          <w:kern w:val="18"/>
          <w:sz w:val="18"/>
          <w:szCs w:val="18"/>
        </w:rPr>
        <w:t>Global Biodiversity Outlook 5</w:t>
      </w:r>
      <w:r w:rsidRPr="006632FA">
        <w:rPr>
          <w:rFonts w:asciiTheme="majorBidi" w:hAnsiTheme="majorBidi" w:cstheme="majorBidi"/>
          <w:kern w:val="18"/>
          <w:sz w:val="18"/>
          <w:szCs w:val="18"/>
        </w:rPr>
        <w:t>. Montreal.</w:t>
      </w:r>
    </w:p>
  </w:footnote>
  <w:footnote w:id="36">
    <w:p w14:paraId="2668729A" w14:textId="77777777" w:rsidR="00005A3C" w:rsidRPr="00BA6F56" w:rsidRDefault="00005A3C" w:rsidP="006726E6">
      <w:pPr>
        <w:pStyle w:val="FootnoteText"/>
        <w:spacing w:before="60"/>
        <w:ind w:firstLine="0"/>
      </w:pPr>
      <w:r w:rsidRPr="00610646">
        <w:rPr>
          <w:rStyle w:val="FootnoteReference"/>
        </w:rPr>
        <w:footnoteRef/>
      </w:r>
      <w:r>
        <w:t xml:space="preserve"> </w:t>
      </w:r>
      <w:r w:rsidRPr="00926FE4">
        <w:t>Sharrock, S. (2020)</w:t>
      </w:r>
      <w:r>
        <w:t>.</w:t>
      </w:r>
      <w:r w:rsidRPr="00926FE4">
        <w:t xml:space="preserve"> </w:t>
      </w:r>
      <w:r w:rsidRPr="006726E6">
        <w:rPr>
          <w:i/>
          <w:iCs/>
        </w:rPr>
        <w:t>Plant conservation report 2020: A review of progress towards the Global Strategy for Plant Conservation 2011-2020</w:t>
      </w:r>
      <w:r>
        <w:t>. Secretariat of the Convention on Biological Diversity, Montréal, Canada and Botanic Gardens Conservation International, Richmond, UK.</w:t>
      </w:r>
      <w:r w:rsidRPr="004B513C">
        <w:t xml:space="preserve"> </w:t>
      </w:r>
      <w:r>
        <w:t>Technical Series No. 95.</w:t>
      </w:r>
    </w:p>
  </w:footnote>
  <w:footnote w:id="37">
    <w:p w14:paraId="10014967" w14:textId="77777777" w:rsidR="00005A3C" w:rsidRPr="006726E6" w:rsidRDefault="00005A3C" w:rsidP="006726E6">
      <w:pPr>
        <w:pStyle w:val="FootnoteText"/>
        <w:ind w:firstLine="0"/>
        <w:rPr>
          <w:lang w:val="en-US"/>
        </w:rPr>
      </w:pPr>
      <w:r w:rsidRPr="00610646">
        <w:rPr>
          <w:rStyle w:val="FootnoteReference"/>
        </w:rPr>
        <w:footnoteRef/>
      </w:r>
      <w:r>
        <w:t xml:space="preserve"> </w:t>
      </w:r>
      <w:r>
        <w:rPr>
          <w:lang w:val="en-US"/>
        </w:rPr>
        <w:t>Binary indicators will be further developed by the Ad Hoc Technical Expert Group on Indicators for the</w:t>
      </w:r>
      <w:r w:rsidRPr="00A23B1E">
        <w:rPr>
          <w:kern w:val="22"/>
        </w:rPr>
        <w:t xml:space="preserve"> </w:t>
      </w:r>
      <w:r>
        <w:rPr>
          <w:kern w:val="22"/>
        </w:rPr>
        <w:t xml:space="preserve">Kunming-Montreal </w:t>
      </w:r>
      <w:r>
        <w:rPr>
          <w:rFonts w:asciiTheme="majorBidi" w:eastAsia="Malgun Gothic" w:hAnsiTheme="majorBidi" w:cstheme="majorBidi"/>
          <w:snapToGrid w:val="0"/>
          <w:kern w:val="22"/>
          <w:szCs w:val="22"/>
          <w:lang w:eastAsia="x-none"/>
        </w:rPr>
        <w:t>G</w:t>
      </w:r>
      <w:r w:rsidRPr="00BC5121">
        <w:rPr>
          <w:rFonts w:asciiTheme="majorBidi" w:eastAsia="Malgun Gothic" w:hAnsiTheme="majorBidi" w:cstheme="majorBidi"/>
          <w:snapToGrid w:val="0"/>
          <w:kern w:val="22"/>
          <w:szCs w:val="22"/>
          <w:lang w:eastAsia="x-none"/>
        </w:rPr>
        <w:t xml:space="preserve">lobal </w:t>
      </w:r>
      <w:r>
        <w:rPr>
          <w:rFonts w:asciiTheme="majorBidi" w:eastAsia="Malgun Gothic" w:hAnsiTheme="majorBidi" w:cstheme="majorBidi"/>
          <w:snapToGrid w:val="0"/>
          <w:kern w:val="22"/>
          <w:szCs w:val="22"/>
          <w:lang w:eastAsia="x-none"/>
        </w:rPr>
        <w:t>B</w:t>
      </w:r>
      <w:r w:rsidRPr="00BC5121">
        <w:rPr>
          <w:rFonts w:asciiTheme="majorBidi" w:eastAsia="Malgun Gothic" w:hAnsiTheme="majorBidi" w:cstheme="majorBidi"/>
          <w:snapToGrid w:val="0"/>
          <w:kern w:val="22"/>
          <w:szCs w:val="22"/>
          <w:lang w:eastAsia="x-none"/>
        </w:rPr>
        <w:t xml:space="preserve">iodiversity </w:t>
      </w:r>
      <w:r>
        <w:rPr>
          <w:rFonts w:asciiTheme="majorBidi" w:eastAsia="Malgun Gothic" w:hAnsiTheme="majorBidi" w:cstheme="majorBidi"/>
          <w:snapToGrid w:val="0"/>
          <w:kern w:val="22"/>
          <w:szCs w:val="22"/>
          <w:lang w:eastAsia="x-none"/>
        </w:rPr>
        <w:t>F</w:t>
      </w:r>
      <w:r w:rsidRPr="00BC5121">
        <w:rPr>
          <w:rFonts w:asciiTheme="majorBidi" w:eastAsia="Malgun Gothic" w:hAnsiTheme="majorBidi" w:cstheme="majorBidi"/>
          <w:snapToGrid w:val="0"/>
          <w:kern w:val="22"/>
          <w:szCs w:val="22"/>
          <w:lang w:eastAsia="x-none"/>
        </w:rPr>
        <w:t>ramework</w:t>
      </w:r>
      <w:r>
        <w:rPr>
          <w:rFonts w:asciiTheme="majorBidi" w:eastAsia="Malgun Gothic" w:hAnsiTheme="majorBidi" w:cstheme="majorBidi"/>
          <w:snapToGrid w:val="0"/>
          <w:kern w:val="22"/>
          <w:szCs w:val="22"/>
          <w:lang w:eastAsia="x-none"/>
        </w:rPr>
        <w:t xml:space="preserve"> (see table 1 in annex II to the present decision) and made available for consideration by the Conference of the Parties</w:t>
      </w:r>
      <w:r w:rsidRPr="00666025">
        <w:rPr>
          <w:rFonts w:asciiTheme="majorBidi" w:eastAsia="Malgun Gothic" w:hAnsiTheme="majorBidi" w:cstheme="majorBidi"/>
          <w:snapToGrid w:val="0"/>
          <w:kern w:val="22"/>
          <w:szCs w:val="22"/>
          <w:lang w:eastAsia="x-none"/>
        </w:rPr>
        <w:t xml:space="preserve"> </w:t>
      </w:r>
      <w:r>
        <w:rPr>
          <w:rFonts w:asciiTheme="majorBidi" w:eastAsia="Malgun Gothic" w:hAnsiTheme="majorBidi" w:cstheme="majorBidi"/>
          <w:snapToGrid w:val="0"/>
          <w:kern w:val="22"/>
          <w:szCs w:val="22"/>
          <w:lang w:eastAsia="x-none"/>
        </w:rPr>
        <w:t>at its sixteenth meeting.</w:t>
      </w:r>
      <w:r>
        <w:rPr>
          <w:lang w:val="en-US"/>
        </w:rPr>
        <w:t xml:space="preserve"> </w:t>
      </w:r>
    </w:p>
  </w:footnote>
  <w:footnote w:id="38">
    <w:p w14:paraId="1C69A486" w14:textId="77777777" w:rsidR="00005A3C" w:rsidRPr="00AB7686" w:rsidRDefault="00005A3C" w:rsidP="00204CB4">
      <w:pPr>
        <w:pStyle w:val="ListParagraph"/>
        <w:ind w:left="0"/>
        <w:rPr>
          <w:sz w:val="18"/>
          <w:szCs w:val="18"/>
          <w:lang w:val="en-US"/>
        </w:rPr>
      </w:pPr>
      <w:r w:rsidRPr="00610646">
        <w:rPr>
          <w:rStyle w:val="FootnoteReference"/>
        </w:rPr>
        <w:footnoteRef/>
      </w:r>
      <w:r w:rsidRPr="00AB7686">
        <w:rPr>
          <w:sz w:val="18"/>
          <w:szCs w:val="18"/>
        </w:rPr>
        <w:t xml:space="preserve"> </w:t>
      </w:r>
      <w:r>
        <w:rPr>
          <w:sz w:val="18"/>
          <w:szCs w:val="18"/>
        </w:rPr>
        <w:t>For goals or targets</w:t>
      </w:r>
      <w:r w:rsidRPr="00AB7686">
        <w:rPr>
          <w:sz w:val="18"/>
          <w:szCs w:val="18"/>
        </w:rPr>
        <w:t xml:space="preserve"> marked with </w:t>
      </w:r>
      <w:r w:rsidRPr="006726E6">
        <w:rPr>
          <w:b/>
          <w:bCs/>
          <w:szCs w:val="22"/>
          <w:vertAlign w:val="superscript"/>
        </w:rPr>
        <w:t>b</w:t>
      </w:r>
      <w:r>
        <w:rPr>
          <w:sz w:val="18"/>
          <w:szCs w:val="18"/>
        </w:rPr>
        <w:t>:</w:t>
      </w:r>
      <w:r w:rsidRPr="00AB7686">
        <w:rPr>
          <w:sz w:val="18"/>
          <w:szCs w:val="18"/>
        </w:rPr>
        <w:t xml:space="preserve"> a binary indicator was proposed for inclusion for this </w:t>
      </w:r>
      <w:r>
        <w:rPr>
          <w:sz w:val="18"/>
          <w:szCs w:val="18"/>
        </w:rPr>
        <w:t>g</w:t>
      </w:r>
      <w:r w:rsidRPr="00AB7686">
        <w:rPr>
          <w:sz w:val="18"/>
          <w:szCs w:val="18"/>
        </w:rPr>
        <w:t xml:space="preserve">oal or </w:t>
      </w:r>
      <w:r>
        <w:rPr>
          <w:sz w:val="18"/>
          <w:szCs w:val="18"/>
        </w:rPr>
        <w:t>t</w:t>
      </w:r>
      <w:r w:rsidRPr="00AB7686">
        <w:rPr>
          <w:sz w:val="18"/>
          <w:szCs w:val="18"/>
        </w:rPr>
        <w:t>arget</w:t>
      </w:r>
      <w:r>
        <w:rPr>
          <w:sz w:val="18"/>
          <w:szCs w:val="18"/>
        </w:rPr>
        <w:t xml:space="preserve"> and will be further considered by the Ad Hoc Technical Expert Group</w:t>
      </w:r>
      <w:r w:rsidRPr="00AB7686">
        <w:rPr>
          <w:sz w:val="18"/>
          <w:szCs w:val="18"/>
        </w:rPr>
        <w:t>.</w:t>
      </w:r>
    </w:p>
  </w:footnote>
  <w:footnote w:id="39">
    <w:p w14:paraId="1BD973AF" w14:textId="77777777" w:rsidR="00005A3C" w:rsidRPr="00204CB4" w:rsidRDefault="00005A3C" w:rsidP="00204CB4">
      <w:pPr>
        <w:pStyle w:val="ListParagraph"/>
        <w:ind w:left="0"/>
        <w:rPr>
          <w:szCs w:val="22"/>
          <w:lang w:val="en-US"/>
        </w:rPr>
      </w:pPr>
      <w:r w:rsidRPr="00610646">
        <w:rPr>
          <w:rStyle w:val="FootnoteReference"/>
        </w:rPr>
        <w:footnoteRef/>
      </w:r>
      <w:r w:rsidRPr="00AB7686">
        <w:rPr>
          <w:sz w:val="18"/>
          <w:szCs w:val="18"/>
        </w:rPr>
        <w:t xml:space="preserve"> Indicators marked with an asterisk (*)</w:t>
      </w:r>
      <w:r>
        <w:rPr>
          <w:sz w:val="18"/>
          <w:szCs w:val="18"/>
        </w:rPr>
        <w:t>:</w:t>
      </w:r>
      <w:r w:rsidRPr="00AB7686">
        <w:rPr>
          <w:sz w:val="18"/>
          <w:szCs w:val="18"/>
        </w:rPr>
        <w:t xml:space="preserve"> an agreed up</w:t>
      </w:r>
      <w:r>
        <w:rPr>
          <w:sz w:val="18"/>
          <w:szCs w:val="18"/>
        </w:rPr>
        <w:t>-</w:t>
      </w:r>
      <w:r w:rsidRPr="00AB7686">
        <w:rPr>
          <w:sz w:val="18"/>
          <w:szCs w:val="18"/>
        </w:rPr>
        <w:t>to</w:t>
      </w:r>
      <w:r>
        <w:rPr>
          <w:sz w:val="18"/>
          <w:szCs w:val="18"/>
        </w:rPr>
        <w:t>-</w:t>
      </w:r>
      <w:r w:rsidRPr="00AB7686">
        <w:rPr>
          <w:sz w:val="18"/>
          <w:szCs w:val="18"/>
        </w:rPr>
        <w:t xml:space="preserve">date methodology does not exist for this indicator. The </w:t>
      </w:r>
      <w:r w:rsidRPr="00AB7686">
        <w:rPr>
          <w:snapToGrid w:val="0"/>
          <w:kern w:val="22"/>
          <w:sz w:val="18"/>
          <w:szCs w:val="18"/>
        </w:rPr>
        <w:t xml:space="preserve">Ad Hoc Technical Expert Group </w:t>
      </w:r>
      <w:r w:rsidRPr="00AB7686">
        <w:rPr>
          <w:sz w:val="18"/>
          <w:szCs w:val="18"/>
        </w:rPr>
        <w:t>will work with partners to guide the development of th</w:t>
      </w:r>
      <w:r>
        <w:rPr>
          <w:sz w:val="18"/>
          <w:szCs w:val="18"/>
        </w:rPr>
        <w:t>ese</w:t>
      </w:r>
      <w:r w:rsidRPr="00AB7686">
        <w:rPr>
          <w:sz w:val="18"/>
          <w:szCs w:val="18"/>
        </w:rPr>
        <w:t xml:space="preserve"> indicator</w:t>
      </w:r>
      <w:r>
        <w:rPr>
          <w:sz w:val="18"/>
          <w:szCs w:val="18"/>
        </w:rPr>
        <w:t>s</w:t>
      </w:r>
      <w:r w:rsidRPr="00AB7686">
        <w:rPr>
          <w:sz w:val="18"/>
          <w:szCs w:val="18"/>
        </w:rPr>
        <w:t>.</w:t>
      </w:r>
    </w:p>
  </w:footnote>
  <w:footnote w:id="40">
    <w:p w14:paraId="118A7A4D" w14:textId="788BCD7D" w:rsidR="00005A3C" w:rsidRPr="001E6BC2" w:rsidRDefault="00005A3C" w:rsidP="009D6BD6">
      <w:pPr>
        <w:pStyle w:val="FootnoteText"/>
        <w:ind w:firstLine="0"/>
        <w:jc w:val="left"/>
        <w:rPr>
          <w:kern w:val="18"/>
          <w:szCs w:val="18"/>
        </w:rPr>
      </w:pPr>
      <w:r w:rsidRPr="00610646">
        <w:rPr>
          <w:rStyle w:val="FootnoteReference"/>
        </w:rPr>
        <w:footnoteRef/>
      </w:r>
      <w:r w:rsidRPr="001E6BC2">
        <w:rPr>
          <w:kern w:val="18"/>
          <w:szCs w:val="18"/>
        </w:rPr>
        <w:t xml:space="preserve"> </w:t>
      </w:r>
      <w:r>
        <w:rPr>
          <w:kern w:val="18"/>
          <w:szCs w:val="18"/>
        </w:rPr>
        <w:t>D</w:t>
      </w:r>
      <w:r w:rsidRPr="001E6BC2">
        <w:rPr>
          <w:kern w:val="18"/>
          <w:szCs w:val="18"/>
        </w:rPr>
        <w:t xml:space="preserve">ecision </w:t>
      </w:r>
      <w:hyperlink r:id="rId6" w:history="1">
        <w:r w:rsidRPr="001E6BC2">
          <w:rPr>
            <w:rStyle w:val="Hyperlink"/>
            <w:kern w:val="18"/>
            <w:szCs w:val="18"/>
          </w:rPr>
          <w:t>X/2</w:t>
        </w:r>
      </w:hyperlink>
      <w:r w:rsidRPr="001E6BC2">
        <w:rPr>
          <w:kern w:val="18"/>
          <w:szCs w:val="18"/>
        </w:rPr>
        <w:t>, annex.</w:t>
      </w:r>
    </w:p>
  </w:footnote>
  <w:footnote w:id="41">
    <w:p w14:paraId="0882A2DC" w14:textId="77777777" w:rsidR="00005A3C" w:rsidRPr="00CA676A" w:rsidRDefault="00005A3C" w:rsidP="00CA676A">
      <w:pPr>
        <w:pStyle w:val="FootnoteText"/>
        <w:ind w:firstLine="0"/>
        <w:rPr>
          <w:lang w:val="en-US"/>
        </w:rPr>
      </w:pPr>
      <w:r w:rsidRPr="00610646">
        <w:rPr>
          <w:rStyle w:val="FootnoteReference"/>
        </w:rPr>
        <w:footnoteRef/>
      </w:r>
      <w:r>
        <w:t xml:space="preserve"> </w:t>
      </w:r>
      <w:r>
        <w:rPr>
          <w:lang w:val="en-US"/>
        </w:rPr>
        <w:t>Decision 15/11, annex.</w:t>
      </w:r>
    </w:p>
  </w:footnote>
  <w:footnote w:id="42">
    <w:p w14:paraId="16AE7EF5" w14:textId="77777777" w:rsidR="00005A3C" w:rsidRPr="00CA676A" w:rsidRDefault="00005A3C" w:rsidP="00CA676A">
      <w:pPr>
        <w:pStyle w:val="FootnoteText"/>
        <w:ind w:firstLine="0"/>
        <w:rPr>
          <w:lang w:val="en-US"/>
        </w:rPr>
      </w:pPr>
      <w:r w:rsidRPr="00610646">
        <w:rPr>
          <w:rStyle w:val="FootnoteReference"/>
        </w:rPr>
        <w:footnoteRef/>
      </w:r>
      <w:r>
        <w:t xml:space="preserve"> Free, prior and informed consent refers to the tripartite terminology of “prior and informed consent” or “free, prior and informed consent” or “approval and involvement”, as applicable.</w:t>
      </w:r>
    </w:p>
  </w:footnote>
  <w:footnote w:id="43">
    <w:p w14:paraId="3F4936D9" w14:textId="77777777" w:rsidR="00005A3C" w:rsidRPr="00CA676A" w:rsidRDefault="00005A3C" w:rsidP="009D6BD6">
      <w:pPr>
        <w:pStyle w:val="FootnoteText"/>
        <w:ind w:firstLine="0"/>
        <w:jc w:val="left"/>
        <w:rPr>
          <w:szCs w:val="18"/>
          <w:lang w:val="en-CA"/>
        </w:rPr>
      </w:pPr>
      <w:r w:rsidRPr="00610646">
        <w:rPr>
          <w:rStyle w:val="FootnoteReference"/>
        </w:rPr>
        <w:footnoteRef/>
      </w:r>
      <w:r w:rsidRPr="00CA676A">
        <w:rPr>
          <w:szCs w:val="18"/>
          <w:lang w:val="en-CA"/>
        </w:rPr>
        <w:t xml:space="preserve"> </w:t>
      </w:r>
      <w:r w:rsidRPr="00CA676A">
        <w:rPr>
          <w:color w:val="000000" w:themeColor="text1"/>
          <w:szCs w:val="18"/>
          <w:lang w:val="en-CA"/>
        </w:rPr>
        <w:t>Decisions 14/31, BS-VII/5, CP-VIII/15, NP-I/6, NP-I/7 a</w:t>
      </w:r>
      <w:r>
        <w:rPr>
          <w:color w:val="000000" w:themeColor="text1"/>
          <w:szCs w:val="18"/>
          <w:lang w:val="en-CA"/>
        </w:rPr>
        <w:t>nd</w:t>
      </w:r>
      <w:r w:rsidRPr="00CA676A">
        <w:rPr>
          <w:color w:val="000000" w:themeColor="text1"/>
          <w:szCs w:val="18"/>
          <w:lang w:val="en-CA"/>
        </w:rPr>
        <w:t xml:space="preserve"> NP-I/8.</w:t>
      </w:r>
    </w:p>
  </w:footnote>
  <w:footnote w:id="44">
    <w:p w14:paraId="76CA055C" w14:textId="77777777" w:rsidR="00005A3C" w:rsidRPr="003947C2" w:rsidRDefault="00005A3C" w:rsidP="009D6BD6">
      <w:pPr>
        <w:pStyle w:val="FootnoteText"/>
        <w:ind w:firstLine="0"/>
        <w:jc w:val="left"/>
      </w:pPr>
      <w:r w:rsidRPr="00610646">
        <w:rPr>
          <w:rStyle w:val="FootnoteReference"/>
        </w:rPr>
        <w:footnoteRef/>
      </w:r>
      <w:r w:rsidRPr="00AB5877">
        <w:rPr>
          <w:szCs w:val="18"/>
        </w:rPr>
        <w:t xml:space="preserve"> Note that a number of biodiversity-related MEAs have requested Parties to mainstream the implementation of their convention into the NBSAPs (e.g. resolution 8.18</w:t>
      </w:r>
      <w:r>
        <w:rPr>
          <w:szCs w:val="18"/>
        </w:rPr>
        <w:t xml:space="preserve"> of the Convention on Migratory Species</w:t>
      </w:r>
      <w:r w:rsidRPr="00AB5877">
        <w:rPr>
          <w:szCs w:val="18"/>
        </w:rPr>
        <w:t xml:space="preserve">, </w:t>
      </w:r>
      <w:r w:rsidRPr="005140CE">
        <w:rPr>
          <w:szCs w:val="18"/>
        </w:rPr>
        <w:t>Ramsar resolution XIII.5</w:t>
      </w:r>
      <w:r w:rsidRPr="00AB5877">
        <w:rPr>
          <w:szCs w:val="18"/>
        </w:rPr>
        <w:t>).</w:t>
      </w:r>
    </w:p>
  </w:footnote>
  <w:footnote w:id="45">
    <w:p w14:paraId="3F3C9528" w14:textId="77777777" w:rsidR="00005A3C" w:rsidRPr="00AB5877" w:rsidRDefault="00005A3C" w:rsidP="009D6BD6">
      <w:pPr>
        <w:pStyle w:val="FootnoteText"/>
        <w:ind w:firstLine="0"/>
        <w:jc w:val="left"/>
        <w:rPr>
          <w:szCs w:val="18"/>
          <w:lang w:val="en-US"/>
        </w:rPr>
      </w:pPr>
      <w:r w:rsidRPr="00610646">
        <w:rPr>
          <w:rStyle w:val="FootnoteReference"/>
        </w:rPr>
        <w:footnoteRef/>
      </w:r>
      <w:r w:rsidRPr="00133545">
        <w:rPr>
          <w:szCs w:val="18"/>
        </w:rPr>
        <w:t xml:space="preserve"> </w:t>
      </w:r>
      <w:r w:rsidRPr="00133545">
        <w:rPr>
          <w:szCs w:val="18"/>
          <w:lang w:val="en-US"/>
        </w:rPr>
        <w:t>This information will be collected through the online reporting tool and it will also be utilized in the national reporting template.</w:t>
      </w:r>
      <w:r w:rsidRPr="00AB5877">
        <w:rPr>
          <w:szCs w:val="18"/>
          <w:lang w:val="en-US"/>
        </w:rPr>
        <w:t xml:space="preserve"> </w:t>
      </w:r>
    </w:p>
  </w:footnote>
  <w:footnote w:id="46">
    <w:p w14:paraId="1232E764" w14:textId="77777777" w:rsidR="00005A3C" w:rsidRPr="00212628" w:rsidRDefault="00005A3C" w:rsidP="00CA676A">
      <w:pPr>
        <w:pStyle w:val="FootnoteText"/>
        <w:ind w:firstLine="0"/>
        <w:rPr>
          <w:lang w:val="en-US"/>
        </w:rPr>
      </w:pPr>
      <w:r w:rsidRPr="00610646">
        <w:rPr>
          <w:rStyle w:val="FootnoteReference"/>
        </w:rPr>
        <w:footnoteRef/>
      </w:r>
      <w:r>
        <w:t xml:space="preserve"> The guidance and template for the eighth national report can be adjusted if necessary, building on the experiences and lessons learned in the preparation of the seventh national report. </w:t>
      </w:r>
    </w:p>
  </w:footnote>
  <w:footnote w:id="47">
    <w:p w14:paraId="45E3A239" w14:textId="77777777" w:rsidR="00005A3C" w:rsidRPr="001158EE" w:rsidRDefault="00005A3C" w:rsidP="003E5A67">
      <w:pPr>
        <w:pStyle w:val="FootnoteText"/>
        <w:ind w:firstLine="0"/>
      </w:pPr>
      <w:r w:rsidRPr="00610646">
        <w:rPr>
          <w:rStyle w:val="FootnoteReference"/>
        </w:rPr>
        <w:footnoteRef/>
      </w:r>
      <w:r w:rsidRPr="00E32D48">
        <w:t xml:space="preserve"> Note that reporting on the implementation of </w:t>
      </w:r>
      <w:r>
        <w:t>G</w:t>
      </w:r>
      <w:r w:rsidRPr="00E32D48">
        <w:t>oal D</w:t>
      </w:r>
      <w:r>
        <w:t xml:space="preserve"> and Target 19</w:t>
      </w:r>
      <w:r w:rsidRPr="00E32D48">
        <w:t xml:space="preserve"> will include detailed </w:t>
      </w:r>
      <w:r w:rsidRPr="00C55305">
        <w:t>assessments of support</w:t>
      </w:r>
      <w:r w:rsidRPr="00E32D48">
        <w:t xml:space="preserve"> provided for the implementation of the Convention</w:t>
      </w:r>
      <w:r>
        <w:t>. H</w:t>
      </w:r>
      <w:r w:rsidRPr="00E32D48">
        <w:t xml:space="preserve">owever, </w:t>
      </w:r>
      <w:r>
        <w:t xml:space="preserve">information on gaps in implementation can also be included in the conclusions, in section V. </w:t>
      </w:r>
    </w:p>
  </w:footnote>
  <w:footnote w:id="48">
    <w:p w14:paraId="48D335B4" w14:textId="77777777" w:rsidR="00005A3C" w:rsidRPr="00CA676A" w:rsidRDefault="00005A3C" w:rsidP="003E5A67">
      <w:pPr>
        <w:pStyle w:val="FootnoteText"/>
        <w:ind w:firstLine="0"/>
        <w:rPr>
          <w:lang w:val="en-CA"/>
        </w:rPr>
      </w:pPr>
      <w:r w:rsidRPr="00610646">
        <w:rPr>
          <w:rStyle w:val="FootnoteReference"/>
        </w:rPr>
        <w:footnoteRef/>
      </w:r>
      <w:r w:rsidRPr="00CA676A">
        <w:rPr>
          <w:lang w:val="en-CA"/>
        </w:rPr>
        <w:t xml:space="preserve"> </w:t>
      </w:r>
      <w:r w:rsidRPr="00CA676A">
        <w:rPr>
          <w:color w:val="000000" w:themeColor="text1"/>
          <w:szCs w:val="18"/>
          <w:lang w:val="en-CA"/>
        </w:rPr>
        <w:t>Decision 15/5.</w:t>
      </w:r>
    </w:p>
  </w:footnote>
  <w:footnote w:id="49">
    <w:p w14:paraId="69C021CA" w14:textId="265732E4" w:rsidR="00005A3C" w:rsidRPr="00CA676A" w:rsidRDefault="00005A3C" w:rsidP="009D6BD6">
      <w:pPr>
        <w:pStyle w:val="FootnoteText"/>
        <w:suppressLineNumbers/>
        <w:suppressAutoHyphens/>
        <w:kinsoku w:val="0"/>
        <w:overflowPunct w:val="0"/>
        <w:autoSpaceDE w:val="0"/>
        <w:autoSpaceDN w:val="0"/>
        <w:ind w:firstLine="0"/>
        <w:jc w:val="left"/>
        <w:rPr>
          <w:kern w:val="18"/>
          <w:szCs w:val="18"/>
          <w:lang w:val="en-CA"/>
        </w:rPr>
      </w:pPr>
      <w:r w:rsidRPr="00610646">
        <w:rPr>
          <w:rStyle w:val="FootnoteReference"/>
        </w:rPr>
        <w:footnoteRef/>
      </w:r>
      <w:r w:rsidRPr="00CA676A">
        <w:rPr>
          <w:kern w:val="18"/>
          <w:szCs w:val="18"/>
          <w:lang w:val="en-CA"/>
        </w:rPr>
        <w:t xml:space="preserve"> </w:t>
      </w:r>
      <w:hyperlink r:id="rId7" w:history="1">
        <w:r w:rsidRPr="00CA676A">
          <w:rPr>
            <w:rStyle w:val="Hyperlink"/>
            <w:kern w:val="18"/>
            <w:szCs w:val="18"/>
            <w:lang w:val="en-CA"/>
          </w:rPr>
          <w:t>https://chm.cbd.int</w:t>
        </w:r>
      </w:hyperlink>
      <w:r w:rsidRPr="00CA676A">
        <w:rPr>
          <w:kern w:val="18"/>
          <w:szCs w:val="18"/>
          <w:lang w:val="en-CA"/>
        </w:rPr>
        <w:t>.</w:t>
      </w:r>
    </w:p>
  </w:footnote>
  <w:footnote w:id="50">
    <w:p w14:paraId="0ADD35B3" w14:textId="77777777" w:rsidR="00005A3C" w:rsidRPr="00E62DA8" w:rsidRDefault="00005A3C" w:rsidP="00CA676A">
      <w:pPr>
        <w:pStyle w:val="FootnoteText"/>
        <w:ind w:firstLine="0"/>
      </w:pPr>
      <w:r w:rsidRPr="00610646">
        <w:rPr>
          <w:rStyle w:val="FootnoteReference"/>
        </w:rPr>
        <w:footnoteRef/>
      </w:r>
      <w:r>
        <w:t xml:space="preserve"> The capturing of the assessment of global targets based on national targets will be further reviewed in the development and finalization of the online reporting tool. </w:t>
      </w:r>
    </w:p>
  </w:footnote>
  <w:footnote w:id="51">
    <w:p w14:paraId="6361DC68" w14:textId="77777777" w:rsidR="00005A3C" w:rsidRPr="000E7292" w:rsidRDefault="00005A3C" w:rsidP="00AE1F8D">
      <w:pPr>
        <w:pStyle w:val="CommentText"/>
        <w:spacing w:after="0"/>
        <w:rPr>
          <w:lang w:val="en-US"/>
        </w:rPr>
      </w:pPr>
      <w:r w:rsidRPr="00610646">
        <w:rPr>
          <w:rStyle w:val="FootnoteReference"/>
        </w:rPr>
        <w:footnoteRef/>
      </w:r>
      <w:r w:rsidRPr="00CA676A">
        <w:rPr>
          <w:sz w:val="18"/>
        </w:rPr>
        <w:t xml:space="preserve"> This section could be further developed with advice from the </w:t>
      </w:r>
      <w:r>
        <w:rPr>
          <w:sz w:val="18"/>
        </w:rPr>
        <w:t>Ad Hoc Technical Expert Group</w:t>
      </w:r>
      <w:r w:rsidRPr="00CA676A">
        <w:rPr>
          <w:sz w:val="18"/>
        </w:rPr>
        <w:t xml:space="preserve"> on </w:t>
      </w:r>
      <w:r>
        <w:rPr>
          <w:sz w:val="18"/>
        </w:rPr>
        <w:t>I</w:t>
      </w:r>
      <w:r w:rsidRPr="00CA676A">
        <w:rPr>
          <w:sz w:val="18"/>
        </w:rPr>
        <w:t>ndicators</w:t>
      </w:r>
      <w:r>
        <w:rPr>
          <w:sz w:val="18"/>
        </w:rPr>
        <w:t xml:space="preserve"> for the Kunming</w:t>
      </w:r>
      <w:r>
        <w:rPr>
          <w:sz w:val="18"/>
        </w:rPr>
        <w:noBreakHyphen/>
        <w:t>Montreal Global Biodiversity Framework (decision 15/5).</w:t>
      </w:r>
    </w:p>
  </w:footnote>
  <w:footnote w:id="52">
    <w:p w14:paraId="3C516D74" w14:textId="77777777" w:rsidR="00005A3C" w:rsidRPr="001379C8" w:rsidRDefault="00005A3C" w:rsidP="00AE1F8D">
      <w:pPr>
        <w:pStyle w:val="FootnoteText"/>
        <w:ind w:firstLine="0"/>
        <w:rPr>
          <w:lang w:val="en-US"/>
        </w:rPr>
      </w:pPr>
      <w:r w:rsidRPr="00610646">
        <w:rPr>
          <w:rStyle w:val="FootnoteReference"/>
        </w:rPr>
        <w:footnoteRef/>
      </w:r>
      <w:r w:rsidRPr="001379C8">
        <w:t xml:space="preserve"> This section should be reviewed following the sixteenth meeting of the Conference of the Parties.</w:t>
      </w:r>
    </w:p>
  </w:footnote>
  <w:footnote w:id="53">
    <w:p w14:paraId="1AE0D5A8" w14:textId="77777777" w:rsidR="00005A3C" w:rsidRPr="00CA676A" w:rsidRDefault="00005A3C" w:rsidP="00CA676A">
      <w:pPr>
        <w:pStyle w:val="FootnoteText"/>
        <w:ind w:firstLine="0"/>
        <w:rPr>
          <w:lang w:val="en-US"/>
        </w:rPr>
      </w:pPr>
      <w:r w:rsidRPr="001379C8">
        <w:t xml:space="preserve">* </w:t>
      </w:r>
      <w:r w:rsidRPr="00CA676A">
        <w:rPr>
          <w:snapToGrid w:val="0"/>
          <w:kern w:val="22"/>
          <w:szCs w:val="18"/>
        </w:rPr>
        <w:t>Pending consideration and adoption at a future meeting of the Conference of the Parties.</w:t>
      </w:r>
    </w:p>
  </w:footnote>
  <w:footnote w:id="54">
    <w:p w14:paraId="0A975342" w14:textId="77777777" w:rsidR="0018728E" w:rsidRPr="008F6FFF" w:rsidRDefault="0018728E" w:rsidP="008F6FFF">
      <w:pPr>
        <w:pStyle w:val="FootnoteText"/>
        <w:ind w:firstLine="0"/>
        <w:rPr>
          <w:lang w:val="en-US"/>
        </w:rPr>
      </w:pPr>
      <w:r w:rsidRPr="00610646">
        <w:rPr>
          <w:rStyle w:val="FootnoteReference"/>
        </w:rPr>
        <w:footnoteRef/>
      </w:r>
      <w:r w:rsidRPr="00A24649">
        <w:t xml:space="preserve"> </w:t>
      </w:r>
      <w:r w:rsidRPr="008F6FFF">
        <w:rPr>
          <w:i/>
          <w:iCs/>
          <w:lang w:val="en-US"/>
        </w:rPr>
        <w:t>Global Biodiversity Outlook</w:t>
      </w:r>
      <w:r w:rsidRPr="00A24649">
        <w:rPr>
          <w:lang w:val="en-US"/>
        </w:rPr>
        <w:t>, fifth edition (SCBD, 2020).</w:t>
      </w:r>
    </w:p>
  </w:footnote>
  <w:footnote w:id="55">
    <w:p w14:paraId="6A61D095" w14:textId="77777777" w:rsidR="0018728E" w:rsidRPr="00491D58" w:rsidRDefault="0018728E" w:rsidP="008F6FFF">
      <w:pPr>
        <w:pStyle w:val="FootnoteText"/>
        <w:ind w:firstLine="0"/>
      </w:pPr>
      <w:r w:rsidRPr="00610646">
        <w:rPr>
          <w:rStyle w:val="FootnoteReference"/>
        </w:rPr>
        <w:footnoteRef/>
      </w:r>
      <w:r w:rsidRPr="000946FB">
        <w:t xml:space="preserve"> CBD/SBI/3/5/A</w:t>
      </w:r>
      <w:r w:rsidRPr="00AB32F5">
        <w:t>dd.</w:t>
      </w:r>
      <w:r w:rsidRPr="000946FB">
        <w:t>2/Rev.1</w:t>
      </w:r>
      <w:r>
        <w:t xml:space="preserve"> as well as </w:t>
      </w:r>
      <w:r w:rsidRPr="000946FB">
        <w:t>CBD/SBI/3/5/Add.1</w:t>
      </w:r>
      <w:r>
        <w:t xml:space="preserve"> and </w:t>
      </w:r>
      <w:r w:rsidRPr="000946FB">
        <w:t>CBD/SBI/3/5/Add.3</w:t>
      </w:r>
      <w:r>
        <w:t>.</w:t>
      </w:r>
    </w:p>
  </w:footnote>
  <w:footnote w:id="56">
    <w:p w14:paraId="458BDA84" w14:textId="77777777" w:rsidR="0018728E" w:rsidRPr="008F6FFF" w:rsidRDefault="0018728E" w:rsidP="008F6FFF">
      <w:pPr>
        <w:pStyle w:val="FootnoteText"/>
        <w:ind w:firstLine="0"/>
        <w:rPr>
          <w:lang w:val="en-US"/>
        </w:rPr>
      </w:pPr>
      <w:r w:rsidRPr="00610646">
        <w:rPr>
          <w:rStyle w:val="FootnoteReference"/>
        </w:rPr>
        <w:footnoteRef/>
      </w:r>
      <w:r>
        <w:t xml:space="preserve"> </w:t>
      </w:r>
      <w:r w:rsidRPr="008F6FFF">
        <w:rPr>
          <w:i/>
          <w:iCs/>
          <w:lang w:val="en-US"/>
        </w:rPr>
        <w:t>Global Biodiversity Outlook</w:t>
      </w:r>
      <w:r>
        <w:rPr>
          <w:lang w:val="en-US"/>
        </w:rPr>
        <w:t>, fifth edition (SCBD, 2020).</w:t>
      </w:r>
    </w:p>
  </w:footnote>
  <w:footnote w:id="57">
    <w:p w14:paraId="214AD37F" w14:textId="77777777" w:rsidR="0018728E" w:rsidRPr="009363DC" w:rsidRDefault="0018728E" w:rsidP="008F6FFF">
      <w:pPr>
        <w:pStyle w:val="FootnoteText"/>
        <w:ind w:firstLine="0"/>
      </w:pPr>
      <w:r w:rsidRPr="00610646">
        <w:rPr>
          <w:rStyle w:val="FootnoteReference"/>
        </w:rPr>
        <w:footnoteRef/>
      </w:r>
      <w:r>
        <w:t xml:space="preserve"> </w:t>
      </w:r>
      <w:r w:rsidRPr="008F6FFF">
        <w:rPr>
          <w:rFonts w:asciiTheme="majorBidi" w:hAnsiTheme="majorBidi" w:cstheme="majorBidi"/>
        </w:rPr>
        <w:t>Decision 15</w:t>
      </w:r>
      <w:r w:rsidRPr="008F6FFF">
        <w:rPr>
          <w:rFonts w:asciiTheme="majorBidi" w:eastAsia="SimSun" w:hAnsiTheme="majorBidi" w:cstheme="majorBidi"/>
          <w:lang w:eastAsia="zh-CN"/>
        </w:rPr>
        <w:t>/9.</w:t>
      </w:r>
    </w:p>
  </w:footnote>
  <w:footnote w:id="58">
    <w:p w14:paraId="4EA064EF" w14:textId="77777777" w:rsidR="0018728E" w:rsidRPr="0047587E" w:rsidRDefault="0018728E" w:rsidP="008F6FFF">
      <w:pPr>
        <w:pStyle w:val="FootnoteText"/>
        <w:ind w:firstLine="0"/>
      </w:pPr>
      <w:r w:rsidRPr="00610646">
        <w:rPr>
          <w:rStyle w:val="FootnoteReference"/>
        </w:rPr>
        <w:footnoteRef/>
      </w:r>
      <w:r>
        <w:t xml:space="preserve"> </w:t>
      </w:r>
      <w:r>
        <w:rPr>
          <w:szCs w:val="18"/>
          <w:lang w:val="en-US"/>
        </w:rPr>
        <w:t>In particular,</w:t>
      </w:r>
      <w:r w:rsidRPr="008F6FFF">
        <w:rPr>
          <w:szCs w:val="18"/>
          <w:lang w:val="en-US"/>
        </w:rPr>
        <w:t xml:space="preserve"> decisions 15/5 on the monitoring framework, 15/6 on </w:t>
      </w:r>
      <w:r>
        <w:rPr>
          <w:szCs w:val="18"/>
          <w:lang w:val="en-US"/>
        </w:rPr>
        <w:t xml:space="preserve">mechanisms for </w:t>
      </w:r>
      <w:r w:rsidRPr="008F6FFF">
        <w:rPr>
          <w:szCs w:val="18"/>
          <w:lang w:val="en-US"/>
        </w:rPr>
        <w:t>planning, monitoring reporting and review, 15/8 on capacity-building</w:t>
      </w:r>
      <w:r>
        <w:rPr>
          <w:szCs w:val="18"/>
          <w:lang w:val="en-US"/>
        </w:rPr>
        <w:t xml:space="preserve"> and development and technical and scientific cooperation</w:t>
      </w:r>
      <w:r w:rsidRPr="008F6FFF">
        <w:rPr>
          <w:szCs w:val="18"/>
          <w:lang w:val="en-US"/>
        </w:rPr>
        <w:t xml:space="preserve">, </w:t>
      </w:r>
      <w:r>
        <w:rPr>
          <w:szCs w:val="18"/>
          <w:lang w:val="en-US"/>
        </w:rPr>
        <w:t xml:space="preserve">and </w:t>
      </w:r>
      <w:r w:rsidRPr="008F6FFF">
        <w:rPr>
          <w:szCs w:val="18"/>
          <w:lang w:val="en-US"/>
        </w:rPr>
        <w:t>15/9 on digital sequence information on genetic resources.</w:t>
      </w:r>
    </w:p>
  </w:footnote>
  <w:footnote w:id="59">
    <w:p w14:paraId="7A4D0EB2" w14:textId="77777777" w:rsidR="0018728E" w:rsidRPr="00714A4B" w:rsidRDefault="0018728E" w:rsidP="008F6FFF">
      <w:pPr>
        <w:pStyle w:val="FootnoteText"/>
        <w:ind w:firstLine="0"/>
        <w:rPr>
          <w:lang w:val="en-US"/>
        </w:rPr>
      </w:pPr>
      <w:r w:rsidRPr="00610646">
        <w:rPr>
          <w:rStyle w:val="FootnoteReference"/>
        </w:rPr>
        <w:footnoteRef/>
      </w:r>
      <w:r w:rsidRPr="008D56F2">
        <w:t xml:space="preserve"> </w:t>
      </w:r>
      <w:r w:rsidRPr="00714A4B">
        <w:t>Refers to goal and target(s) as they appear in the first draft of the global biodiversity framework, as contained in document CBD/WG2020/3/3.</w:t>
      </w:r>
      <w:r w:rsidRPr="008D56F2">
        <w:t xml:space="preserve">  </w:t>
      </w:r>
    </w:p>
  </w:footnote>
  <w:footnote w:id="60">
    <w:p w14:paraId="7939B5C0" w14:textId="77777777" w:rsidR="0018728E" w:rsidRPr="00714A4B" w:rsidRDefault="0018728E" w:rsidP="00447B46">
      <w:pPr>
        <w:pStyle w:val="FootnoteText"/>
        <w:ind w:firstLine="0"/>
        <w:jc w:val="left"/>
        <w:rPr>
          <w:szCs w:val="18"/>
        </w:rPr>
      </w:pPr>
      <w:r w:rsidRPr="00610646">
        <w:rPr>
          <w:rStyle w:val="FootnoteReference"/>
        </w:rPr>
        <w:footnoteRef/>
      </w:r>
      <w:r w:rsidRPr="008D56F2">
        <w:rPr>
          <w:szCs w:val="18"/>
        </w:rPr>
        <w:t xml:space="preserve"> </w:t>
      </w:r>
      <w:r>
        <w:rPr>
          <w:szCs w:val="18"/>
        </w:rPr>
        <w:t>Decision 15/5.</w:t>
      </w:r>
    </w:p>
  </w:footnote>
  <w:footnote w:id="61">
    <w:p w14:paraId="5425AE55" w14:textId="77777777" w:rsidR="008C379F" w:rsidRPr="004C415C"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w:t>
      </w:r>
      <w:r>
        <w:rPr>
          <w:snapToGrid w:val="0"/>
          <w:kern w:val="18"/>
          <w:szCs w:val="18"/>
        </w:rPr>
        <w:t>CBD/COP/15/INF/5.</w:t>
      </w:r>
    </w:p>
  </w:footnote>
  <w:footnote w:id="62">
    <w:p w14:paraId="449DC97F" w14:textId="7A481FAE" w:rsidR="008C379F" w:rsidRPr="004C415C"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See </w:t>
      </w:r>
      <w:hyperlink r:id="rId8" w:history="1">
        <w:r w:rsidRPr="00D71EDE">
          <w:rPr>
            <w:rStyle w:val="Hyperlink"/>
            <w:snapToGrid w:val="0"/>
            <w:kern w:val="18"/>
            <w:szCs w:val="18"/>
          </w:rPr>
          <w:t>https://www.un.org/pga/75/united-nations-summit-on-biodiversity-summary</w:t>
        </w:r>
      </w:hyperlink>
      <w:r w:rsidRPr="00D71EDE">
        <w:rPr>
          <w:snapToGrid w:val="0"/>
          <w:kern w:val="18"/>
          <w:szCs w:val="18"/>
        </w:rPr>
        <w:t>.</w:t>
      </w:r>
    </w:p>
  </w:footnote>
  <w:footnote w:id="63">
    <w:p w14:paraId="7447E613" w14:textId="77777777" w:rsidR="008C379F" w:rsidRPr="006D7A92" w:rsidRDefault="008C379F" w:rsidP="00A30041">
      <w:pPr>
        <w:pStyle w:val="FootnoteText"/>
        <w:ind w:firstLine="0"/>
        <w:rPr>
          <w:lang w:val="en-US"/>
        </w:rPr>
      </w:pPr>
      <w:r w:rsidRPr="00610646">
        <w:rPr>
          <w:rStyle w:val="FootnoteReference"/>
        </w:rPr>
        <w:footnoteRef/>
      </w:r>
      <w:r>
        <w:t xml:space="preserve"> </w:t>
      </w:r>
      <w:r>
        <w:rPr>
          <w:lang w:val="en-US"/>
        </w:rPr>
        <w:t>Prepared pursuant to recommendation 3/3, paragraph 2 of the Subsidiary Body on Implementation.</w:t>
      </w:r>
    </w:p>
  </w:footnote>
  <w:footnote w:id="64">
    <w:p w14:paraId="0552580C" w14:textId="77777777" w:rsidR="008C379F" w:rsidRDefault="008C379F" w:rsidP="00040353">
      <w:pPr>
        <w:pStyle w:val="FootnoteText"/>
        <w:ind w:firstLine="0"/>
      </w:pPr>
      <w:r w:rsidRPr="00610646">
        <w:rPr>
          <w:rStyle w:val="FootnoteReference"/>
        </w:rPr>
        <w:footnoteRef/>
      </w:r>
      <w:r w:rsidRPr="007C69DA">
        <w:t xml:space="preserve"> Decision 15/</w:t>
      </w:r>
      <w:r>
        <w:t>9</w:t>
      </w:r>
      <w:r w:rsidRPr="007C69DA">
        <w:t xml:space="preserve"> on digital sequence information on genetic resources.</w:t>
      </w:r>
    </w:p>
  </w:footnote>
  <w:footnote w:id="65">
    <w:p w14:paraId="430882A0" w14:textId="3BF441A9" w:rsidR="008C379F" w:rsidRPr="00D71EDE"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The long-term strategic framework is further elaborated in document </w:t>
      </w:r>
      <w:hyperlink r:id="rId9" w:history="1">
        <w:r w:rsidRPr="00D71EDE">
          <w:rPr>
            <w:rStyle w:val="Hyperlink"/>
            <w:snapToGrid w:val="0"/>
            <w:kern w:val="18"/>
            <w:szCs w:val="18"/>
          </w:rPr>
          <w:t>CBD/SBI/3/7/Add.1</w:t>
        </w:r>
      </w:hyperlink>
      <w:r w:rsidRPr="00D71EDE">
        <w:rPr>
          <w:snapToGrid w:val="0"/>
          <w:kern w:val="18"/>
          <w:szCs w:val="18"/>
        </w:rPr>
        <w:t>.</w:t>
      </w:r>
    </w:p>
  </w:footnote>
  <w:footnote w:id="66">
    <w:p w14:paraId="38880BCB" w14:textId="77777777" w:rsidR="008C379F" w:rsidRPr="00D71EDE"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w:t>
      </w:r>
      <w:r>
        <w:rPr>
          <w:snapToGrid w:val="0"/>
          <w:kern w:val="18"/>
          <w:szCs w:val="18"/>
        </w:rPr>
        <w:t xml:space="preserve">Decision </w:t>
      </w:r>
      <w:r w:rsidRPr="00AA5AF1">
        <w:rPr>
          <w:snapToGrid w:val="0"/>
          <w:kern w:val="18"/>
          <w:szCs w:val="18"/>
        </w:rPr>
        <w:t>CP-10/</w:t>
      </w:r>
      <w:r w:rsidRPr="004D32B6">
        <w:rPr>
          <w:snapToGrid w:val="0"/>
          <w:kern w:val="18"/>
          <w:szCs w:val="18"/>
        </w:rPr>
        <w:t>4</w:t>
      </w:r>
      <w:r>
        <w:rPr>
          <w:snapToGrid w:val="0"/>
          <w:kern w:val="18"/>
          <w:szCs w:val="18"/>
        </w:rPr>
        <w:t>, annex</w:t>
      </w:r>
      <w:r w:rsidRPr="00AA5AF1">
        <w:rPr>
          <w:lang w:val="en-US"/>
        </w:rPr>
        <w:t>.</w:t>
      </w:r>
    </w:p>
  </w:footnote>
  <w:footnote w:id="67">
    <w:p w14:paraId="56393227" w14:textId="77777777" w:rsidR="008C379F" w:rsidRPr="00D71EDE" w:rsidRDefault="008C379F" w:rsidP="004D32B6">
      <w:pPr>
        <w:pStyle w:val="FootnoteText"/>
        <w:suppressLineNumbers/>
        <w:suppressAutoHyphens/>
        <w:kinsoku w:val="0"/>
        <w:overflowPunct w:val="0"/>
        <w:autoSpaceDE w:val="0"/>
        <w:autoSpaceDN w:val="0"/>
        <w:adjustRightInd w:val="0"/>
        <w:snapToGrid w:val="0"/>
        <w:ind w:firstLine="0"/>
        <w:rPr>
          <w:snapToGrid w:val="0"/>
          <w:kern w:val="18"/>
          <w:szCs w:val="18"/>
        </w:rPr>
      </w:pPr>
      <w:r w:rsidRPr="00610646">
        <w:rPr>
          <w:rStyle w:val="FootnoteReference"/>
        </w:rPr>
        <w:footnoteRef/>
      </w:r>
      <w:r w:rsidRPr="00D71EDE">
        <w:rPr>
          <w:snapToGrid w:val="0"/>
          <w:kern w:val="18"/>
          <w:szCs w:val="18"/>
        </w:rPr>
        <w:t xml:space="preserve"> </w:t>
      </w:r>
      <w:r w:rsidRPr="00CC7BAE">
        <w:rPr>
          <w:snapToGrid w:val="0"/>
          <w:kern w:val="18"/>
          <w:szCs w:val="18"/>
        </w:rPr>
        <w:t>The strategic framework for capacity-building and development to support the effective implementation of the Nagoya Protocol</w:t>
      </w:r>
      <w:r>
        <w:rPr>
          <w:snapToGrid w:val="0"/>
          <w:kern w:val="18"/>
          <w:szCs w:val="18"/>
        </w:rPr>
        <w:t xml:space="preserve"> </w:t>
      </w:r>
      <w:r w:rsidRPr="00CC7BAE">
        <w:rPr>
          <w:snapToGrid w:val="0"/>
          <w:kern w:val="18"/>
          <w:szCs w:val="18"/>
        </w:rPr>
        <w:t>was adopted in decision NP-1/8. The evaluation of the strategic framework is contained in document CBD/SBI/3/INF/1.</w:t>
      </w:r>
    </w:p>
  </w:footnote>
  <w:footnote w:id="68">
    <w:p w14:paraId="6B45DFFA" w14:textId="77777777" w:rsidR="008C379F" w:rsidRPr="000C795F" w:rsidRDefault="008C379F" w:rsidP="00541EA7">
      <w:pPr>
        <w:pStyle w:val="FootnoteText"/>
        <w:ind w:firstLine="0"/>
      </w:pPr>
      <w:r w:rsidRPr="00610646">
        <w:rPr>
          <w:rStyle w:val="FootnoteReference"/>
        </w:rPr>
        <w:footnoteRef/>
      </w:r>
      <w:r>
        <w:t xml:space="preserve"> Decision 15/11, annex.</w:t>
      </w:r>
    </w:p>
  </w:footnote>
  <w:footnote w:id="69">
    <w:p w14:paraId="72AE638B" w14:textId="77777777" w:rsidR="008C379F" w:rsidRPr="00A43EE1" w:rsidRDefault="008C379F" w:rsidP="0098739A">
      <w:pPr>
        <w:pStyle w:val="FootnoteText"/>
        <w:ind w:firstLine="0"/>
      </w:pPr>
      <w:r w:rsidRPr="00610646">
        <w:rPr>
          <w:rStyle w:val="FootnoteReference"/>
        </w:rPr>
        <w:footnoteRef/>
      </w:r>
      <w:r>
        <w:t xml:space="preserve"> “Biotechnology” means any technological application that uses biological systems, living organisms, or derivatives thereof, to make or modify products or processes for specific use (Article 2 of the Convention).</w:t>
      </w:r>
    </w:p>
  </w:footnote>
  <w:footnote w:id="70">
    <w:p w14:paraId="272DB0BA" w14:textId="2487B628" w:rsidR="008C379F" w:rsidRPr="00541EA7" w:rsidRDefault="008C379F" w:rsidP="00541EA7">
      <w:pPr>
        <w:pStyle w:val="FootnoteText"/>
        <w:ind w:firstLine="0"/>
        <w:rPr>
          <w:lang w:val="en-US"/>
        </w:rPr>
      </w:pPr>
      <w:r w:rsidRPr="00610646">
        <w:rPr>
          <w:rStyle w:val="FootnoteReference"/>
        </w:rPr>
        <w:footnoteRef/>
      </w:r>
      <w:r>
        <w:t xml:space="preserve"> </w:t>
      </w:r>
      <w:hyperlink r:id="rId10" w:history="1">
        <w:r w:rsidRPr="00025996">
          <w:rPr>
            <w:rStyle w:val="Hyperlink"/>
          </w:rPr>
          <w:t>CEB/2021/1/Add.1</w:t>
        </w:r>
      </w:hyperlink>
      <w:r>
        <w:rPr>
          <w:lang w:val="en-US"/>
        </w:rPr>
        <w:t>.</w:t>
      </w:r>
    </w:p>
  </w:footnote>
  <w:footnote w:id="71">
    <w:p w14:paraId="1EE19255" w14:textId="77777777" w:rsidR="008C379F" w:rsidRPr="00760D30" w:rsidRDefault="008C379F" w:rsidP="00A30041">
      <w:pPr>
        <w:pStyle w:val="FootnoteText"/>
        <w:ind w:firstLine="0"/>
        <w:jc w:val="left"/>
        <w:rPr>
          <w:szCs w:val="18"/>
        </w:rPr>
      </w:pPr>
      <w:r w:rsidRPr="00610646">
        <w:rPr>
          <w:rStyle w:val="FootnoteReference"/>
        </w:rPr>
        <w:footnoteRef/>
      </w:r>
      <w:r w:rsidRPr="00760D30">
        <w:rPr>
          <w:szCs w:val="18"/>
        </w:rPr>
        <w:t xml:space="preserve"> </w:t>
      </w:r>
      <w:r>
        <w:rPr>
          <w:szCs w:val="18"/>
        </w:rPr>
        <w:t xml:space="preserve">See </w:t>
      </w:r>
      <w:r w:rsidRPr="00760D30">
        <w:rPr>
          <w:szCs w:val="18"/>
        </w:rPr>
        <w:t>CBD/SBSTTA/24/INF/28.</w:t>
      </w:r>
    </w:p>
  </w:footnote>
  <w:footnote w:id="72">
    <w:p w14:paraId="4EB79AA6" w14:textId="77777777" w:rsidR="008C379F" w:rsidRPr="00147B68" w:rsidRDefault="008C379F" w:rsidP="00B64EEF">
      <w:pPr>
        <w:pStyle w:val="FootnoteText"/>
        <w:ind w:firstLine="0"/>
      </w:pPr>
      <w:r w:rsidRPr="00610646">
        <w:rPr>
          <w:rStyle w:val="FootnoteReference"/>
        </w:rPr>
        <w:footnoteRef/>
      </w:r>
      <w:r>
        <w:t xml:space="preserve"> Biotechnology means any technological application that uses biological systems, living organisms, or derivatives thereof, to make or modify products or processes for specific uses (Article 2 of the Convention). </w:t>
      </w:r>
    </w:p>
  </w:footnote>
  <w:footnote w:id="73">
    <w:p w14:paraId="74B4AEFD" w14:textId="77777777" w:rsidR="008C379F" w:rsidRPr="00D71EDE"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In this framework, government actors include, as appro</w:t>
      </w:r>
      <w:r w:rsidRPr="00BB532D">
        <w:rPr>
          <w:snapToGrid w:val="0"/>
          <w:kern w:val="18"/>
          <w:szCs w:val="18"/>
        </w:rPr>
        <w:t>priate, government institutions at national and subnational levels. The term “non-government actors” includes United Nations organizations and programmes, multilateral environmental agreements, intergovernmental organizations, community organizations</w:t>
      </w:r>
      <w:r w:rsidRPr="00064579">
        <w:rPr>
          <w:snapToGrid w:val="0"/>
          <w:kern w:val="18"/>
          <w:szCs w:val="18"/>
        </w:rPr>
        <w:t>, indi</w:t>
      </w:r>
      <w:r w:rsidRPr="00D71EDE">
        <w:rPr>
          <w:snapToGrid w:val="0"/>
          <w:kern w:val="18"/>
          <w:szCs w:val="18"/>
        </w:rPr>
        <w:t>genous peoples and local communities, academia, faith-based and religious groups</w:t>
      </w:r>
      <w:r w:rsidRPr="00AE04F0">
        <w:rPr>
          <w:snapToGrid w:val="0"/>
          <w:kern w:val="18"/>
          <w:szCs w:val="18"/>
        </w:rPr>
        <w:t>, women and</w:t>
      </w:r>
      <w:r w:rsidRPr="00D71EDE">
        <w:rPr>
          <w:snapToGrid w:val="0"/>
          <w:kern w:val="18"/>
          <w:szCs w:val="18"/>
        </w:rPr>
        <w:t xml:space="preserve"> youth organizations, non-governmental organizations, media, the scientific community, and private sector entities such as private financial institutions, businesses, industries, insurers, producers and investors.</w:t>
      </w:r>
    </w:p>
  </w:footnote>
  <w:footnote w:id="74">
    <w:p w14:paraId="52AA1433" w14:textId="0563D422" w:rsidR="008C379F" w:rsidRPr="00BB532D"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A report of the study is available as information document </w:t>
      </w:r>
      <w:hyperlink r:id="rId11" w:history="1">
        <w:r w:rsidRPr="00D71EDE">
          <w:rPr>
            <w:rStyle w:val="Hyperlink"/>
            <w:snapToGrid w:val="0"/>
            <w:kern w:val="18"/>
            <w:szCs w:val="18"/>
          </w:rPr>
          <w:t>CBD/SBI/3/INF/9</w:t>
        </w:r>
      </w:hyperlink>
      <w:r w:rsidRPr="00D71EDE">
        <w:rPr>
          <w:snapToGrid w:val="0"/>
          <w:kern w:val="18"/>
          <w:szCs w:val="18"/>
        </w:rPr>
        <w:t>.</w:t>
      </w:r>
    </w:p>
  </w:footnote>
  <w:footnote w:id="75">
    <w:p w14:paraId="61D5BEC5" w14:textId="61CDC749" w:rsidR="008C379F" w:rsidRPr="00BB532D"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Adapted from the definition given in “</w:t>
      </w:r>
      <w:r w:rsidRPr="00BB532D">
        <w:rPr>
          <w:snapToGrid w:val="0"/>
          <w:kern w:val="18"/>
          <w:szCs w:val="18"/>
        </w:rPr>
        <w:t>Capacity development</w:t>
      </w:r>
      <w:r w:rsidRPr="00064579">
        <w:rPr>
          <w:snapToGrid w:val="0"/>
          <w:kern w:val="18"/>
          <w:szCs w:val="18"/>
        </w:rPr>
        <w:t xml:space="preserve">: UNDAF Companion Guidance” </w:t>
      </w:r>
      <w:r w:rsidRPr="00981752">
        <w:rPr>
          <w:snapToGrid w:val="0"/>
          <w:kern w:val="18"/>
          <w:szCs w:val="18"/>
        </w:rPr>
        <w:t>United Nations Development Group</w:t>
      </w:r>
      <w:r w:rsidRPr="00D85B1E">
        <w:rPr>
          <w:snapToGrid w:val="0"/>
          <w:kern w:val="18"/>
          <w:szCs w:val="18"/>
        </w:rPr>
        <w:t xml:space="preserve"> 2017</w:t>
      </w:r>
      <w:r>
        <w:rPr>
          <w:snapToGrid w:val="0"/>
          <w:kern w:val="18"/>
          <w:szCs w:val="18"/>
        </w:rPr>
        <w:t>,</w:t>
      </w:r>
      <w:r w:rsidRPr="00D85B1E">
        <w:rPr>
          <w:snapToGrid w:val="0"/>
          <w:kern w:val="18"/>
          <w:szCs w:val="18"/>
        </w:rPr>
        <w:t xml:space="preserve"> available at </w:t>
      </w:r>
      <w:hyperlink r:id="rId12" w:history="1">
        <w:r w:rsidRPr="00D85B1E">
          <w:rPr>
            <w:rStyle w:val="Hyperlink"/>
            <w:snapToGrid w:val="0"/>
            <w:kern w:val="18"/>
            <w:szCs w:val="18"/>
          </w:rPr>
          <w:t>https://unsdg.un.org/resources/capacity-development-undaf-companion-guidance</w:t>
        </w:r>
      </w:hyperlink>
      <w:r w:rsidRPr="00D71EDE">
        <w:rPr>
          <w:snapToGrid w:val="0"/>
          <w:kern w:val="18"/>
          <w:szCs w:val="18"/>
        </w:rPr>
        <w:t>.</w:t>
      </w:r>
    </w:p>
  </w:footnote>
  <w:footnote w:id="76">
    <w:p w14:paraId="60046807" w14:textId="2E63186F" w:rsidR="008C379F" w:rsidRPr="00760D30"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760D30">
        <w:rPr>
          <w:snapToGrid w:val="0"/>
          <w:kern w:val="18"/>
          <w:szCs w:val="18"/>
        </w:rPr>
        <w:t xml:space="preserve"> An organization can become a “learning organization” by applying existing internal knowledge and learning from past experiences and lessons with the aim of improving its performance (e.g. see </w:t>
      </w:r>
      <w:hyperlink r:id="rId13" w:history="1">
        <w:r w:rsidRPr="00760D30">
          <w:rPr>
            <w:rStyle w:val="Hyperlink"/>
            <w:snapToGrid w:val="0"/>
            <w:kern w:val="18"/>
            <w:szCs w:val="18"/>
          </w:rPr>
          <w:t>https://warwick.ac.uk/fac/soc/wbs/conf/olkc/archive/olk4/papers/villardi.pdf</w:t>
        </w:r>
      </w:hyperlink>
      <w:r w:rsidRPr="00760D30">
        <w:rPr>
          <w:snapToGrid w:val="0"/>
          <w:kern w:val="18"/>
          <w:szCs w:val="18"/>
        </w:rPr>
        <w:t>).</w:t>
      </w:r>
    </w:p>
  </w:footnote>
  <w:footnote w:id="77">
    <w:p w14:paraId="2417B3EE" w14:textId="2AAD16CB" w:rsidR="008C379F" w:rsidRPr="00BB532D"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The development of this theory of change took into account the technical guidance provided as part of the United Nations Development Assistance Framework (UNDAF) process: </w:t>
      </w:r>
      <w:hyperlink r:id="rId14" w:history="1">
        <w:r w:rsidRPr="00D71EDE">
          <w:rPr>
            <w:rStyle w:val="Hyperlink"/>
            <w:snapToGrid w:val="0"/>
            <w:kern w:val="18"/>
            <w:szCs w:val="18"/>
          </w:rPr>
          <w:t>https://unsdg.un.org/resources/theory-change-undaf-companion-guidance</w:t>
        </w:r>
      </w:hyperlink>
      <w:r w:rsidRPr="00D71EDE">
        <w:rPr>
          <w:snapToGrid w:val="0"/>
          <w:kern w:val="18"/>
          <w:szCs w:val="18"/>
        </w:rPr>
        <w:t>.</w:t>
      </w:r>
    </w:p>
  </w:footnote>
  <w:footnote w:id="78">
    <w:p w14:paraId="3C5E6DB4" w14:textId="77777777" w:rsidR="008C379F" w:rsidRPr="00FE673C" w:rsidRDefault="008C379F" w:rsidP="004D32B6">
      <w:pPr>
        <w:pStyle w:val="FootnoteText"/>
        <w:ind w:firstLine="0"/>
      </w:pPr>
      <w:r w:rsidRPr="00610646">
        <w:rPr>
          <w:rStyle w:val="FootnoteReference"/>
        </w:rPr>
        <w:footnoteRef/>
      </w:r>
      <w:r>
        <w:t xml:space="preserve"> Decision 15/11, annex.</w:t>
      </w:r>
    </w:p>
  </w:footnote>
  <w:footnote w:id="79">
    <w:p w14:paraId="0DA36DBB" w14:textId="4D5033A0" w:rsidR="008C379F" w:rsidRPr="00BB532D"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At </w:t>
      </w:r>
      <w:r w:rsidRPr="00D170DA">
        <w:rPr>
          <w:snapToGrid w:val="0"/>
          <w:kern w:val="18"/>
          <w:szCs w:val="18"/>
        </w:rPr>
        <w:t>least 30 Parties</w:t>
      </w:r>
      <w:r w:rsidRPr="00D71EDE">
        <w:rPr>
          <w:snapToGrid w:val="0"/>
          <w:kern w:val="18"/>
          <w:szCs w:val="18"/>
        </w:rPr>
        <w:t xml:space="preserve"> to the Convention on Biological Diversity have prepared biodiversity </w:t>
      </w:r>
      <w:r w:rsidRPr="00BB532D">
        <w:rPr>
          <w:snapToGrid w:val="0"/>
          <w:kern w:val="18"/>
          <w:szCs w:val="18"/>
        </w:rPr>
        <w:t>capacity</w:t>
      </w:r>
      <w:r>
        <w:rPr>
          <w:snapToGrid w:val="0"/>
          <w:kern w:val="18"/>
          <w:szCs w:val="18"/>
        </w:rPr>
        <w:t>-</w:t>
      </w:r>
      <w:r w:rsidRPr="00BB532D">
        <w:rPr>
          <w:snapToGrid w:val="0"/>
          <w:kern w:val="18"/>
          <w:szCs w:val="18"/>
        </w:rPr>
        <w:t>building an</w:t>
      </w:r>
      <w:r w:rsidRPr="00064579">
        <w:rPr>
          <w:snapToGrid w:val="0"/>
          <w:kern w:val="18"/>
          <w:szCs w:val="18"/>
        </w:rPr>
        <w:t xml:space="preserve">d development strategies or plans, either as a chapter or section within their NBSAP or as stand-alone documents: </w:t>
      </w:r>
      <w:hyperlink r:id="rId15" w:history="1">
        <w:r w:rsidRPr="00D71EDE">
          <w:rPr>
            <w:rStyle w:val="Hyperlink"/>
            <w:snapToGrid w:val="0"/>
            <w:kern w:val="18"/>
            <w:szCs w:val="18"/>
          </w:rPr>
          <w:t>https://www.cbd.int/cb/plans/</w:t>
        </w:r>
      </w:hyperlink>
      <w:r w:rsidRPr="00D71EDE">
        <w:rPr>
          <w:snapToGrid w:val="0"/>
          <w:kern w:val="18"/>
          <w:szCs w:val="18"/>
        </w:rPr>
        <w:t>.</w:t>
      </w:r>
    </w:p>
  </w:footnote>
  <w:footnote w:id="80">
    <w:p w14:paraId="51B56285" w14:textId="18D95EB7" w:rsidR="008C379F" w:rsidRPr="00BB532D" w:rsidRDefault="008C379F"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10646">
        <w:rPr>
          <w:rStyle w:val="FootnoteReference"/>
        </w:rPr>
        <w:footnoteRef/>
      </w:r>
      <w:r w:rsidRPr="00D71EDE">
        <w:rPr>
          <w:snapToGrid w:val="0"/>
          <w:kern w:val="18"/>
          <w:szCs w:val="18"/>
        </w:rPr>
        <w:t xml:space="preserve"> </w:t>
      </w:r>
      <w:r w:rsidRPr="00BB532D">
        <w:rPr>
          <w:snapToGrid w:val="0"/>
          <w:kern w:val="18"/>
          <w:szCs w:val="18"/>
        </w:rPr>
        <w:t>Capacity</w:t>
      </w:r>
      <w:r>
        <w:rPr>
          <w:snapToGrid w:val="0"/>
          <w:kern w:val="18"/>
          <w:szCs w:val="18"/>
        </w:rPr>
        <w:t>-</w:t>
      </w:r>
      <w:r w:rsidRPr="00BB532D">
        <w:rPr>
          <w:snapToGrid w:val="0"/>
          <w:kern w:val="18"/>
          <w:szCs w:val="18"/>
        </w:rPr>
        <w:t>building and development</w:t>
      </w:r>
      <w:r w:rsidRPr="00064579">
        <w:rPr>
          <w:snapToGrid w:val="0"/>
          <w:kern w:val="18"/>
          <w:szCs w:val="18"/>
        </w:rPr>
        <w:t xml:space="preserve">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16" w:history="1">
        <w:r w:rsidRPr="00D71EDE">
          <w:rPr>
            <w:rStyle w:val="Hyperlink"/>
            <w:snapToGrid w:val="0"/>
            <w:kern w:val="18"/>
            <w:szCs w:val="18"/>
          </w:rPr>
          <w:t>https://www.unicef.org/evaldatabase/index_70552.html</w:t>
        </w:r>
      </w:hyperlink>
      <w:r w:rsidRPr="00D71EDE">
        <w:rPr>
          <w:snapToGrid w:val="0"/>
          <w:kern w:val="18"/>
          <w:szCs w:val="18"/>
        </w:rPr>
        <w:t>).</w:t>
      </w:r>
    </w:p>
  </w:footnote>
  <w:footnote w:id="81">
    <w:p w14:paraId="36915C03" w14:textId="661340EF" w:rsidR="008C379F" w:rsidRPr="00D71EDE" w:rsidRDefault="008C379F" w:rsidP="00A3004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610646">
        <w:rPr>
          <w:rStyle w:val="FootnoteReference"/>
        </w:rPr>
        <w:footnoteRef/>
      </w:r>
      <w:r w:rsidRPr="00D71EDE">
        <w:rPr>
          <w:snapToGrid w:val="0"/>
          <w:kern w:val="18"/>
          <w:sz w:val="18"/>
          <w:szCs w:val="18"/>
        </w:rPr>
        <w:t xml:space="preserve"> As cited in </w:t>
      </w:r>
      <w:r>
        <w:rPr>
          <w:snapToGrid w:val="0"/>
          <w:kern w:val="18"/>
          <w:sz w:val="18"/>
          <w:szCs w:val="18"/>
        </w:rPr>
        <w:t xml:space="preserve">the </w:t>
      </w:r>
      <w:r w:rsidRPr="00D71EDE">
        <w:rPr>
          <w:snapToGrid w:val="0"/>
          <w:kern w:val="18"/>
          <w:sz w:val="18"/>
          <w:szCs w:val="18"/>
        </w:rPr>
        <w:t>publication</w:t>
      </w:r>
      <w:r w:rsidRPr="005C50A3">
        <w:rPr>
          <w:i/>
          <w:iCs/>
          <w:snapToGrid w:val="0"/>
          <w:kern w:val="18"/>
          <w:sz w:val="18"/>
          <w:szCs w:val="18"/>
        </w:rPr>
        <w:t xml:space="preserve"> </w:t>
      </w:r>
      <w:r w:rsidRPr="004D32B6">
        <w:rPr>
          <w:i/>
          <w:iCs/>
        </w:rPr>
        <w:t>Incentive Systems: Incentives, motivation and development performance</w:t>
      </w:r>
      <w:r w:rsidRPr="00287C48">
        <w:rPr>
          <w:snapToGrid w:val="0"/>
          <w:kern w:val="18"/>
          <w:sz w:val="18"/>
          <w:szCs w:val="18"/>
        </w:rPr>
        <w:t>,</w:t>
      </w:r>
      <w:r>
        <w:rPr>
          <w:snapToGrid w:val="0"/>
          <w:kern w:val="18"/>
          <w:sz w:val="18"/>
          <w:szCs w:val="18"/>
        </w:rPr>
        <w:t xml:space="preserve"> United Nations Development Programme, 2006</w:t>
      </w:r>
      <w:r w:rsidRPr="00760D30">
        <w:rPr>
          <w:snapToGrid w:val="0"/>
          <w:kern w:val="18"/>
          <w:sz w:val="18"/>
          <w:szCs w:val="18"/>
        </w:rPr>
        <w:t>.</w:t>
      </w:r>
      <w:r>
        <w:rPr>
          <w:snapToGrid w:val="0"/>
          <w:kern w:val="18"/>
          <w:sz w:val="18"/>
          <w:szCs w:val="18"/>
        </w:rPr>
        <w:t xml:space="preserve"> </w:t>
      </w:r>
      <w:hyperlink r:id="rId17" w:history="1">
        <w:r w:rsidRPr="00750F31">
          <w:rPr>
            <w:rStyle w:val="Hyperlink"/>
            <w:snapToGrid w:val="0"/>
            <w:kern w:val="18"/>
            <w:szCs w:val="18"/>
          </w:rPr>
          <w:t>https://www.undp.org/sites/g/files/zskgke326/files/publications/Incentive-Systems-cp8.pdf</w:t>
        </w:r>
      </w:hyperlink>
      <w:r>
        <w:rPr>
          <w:snapToGrid w:val="0"/>
          <w:kern w:val="18"/>
          <w:sz w:val="18"/>
          <w:szCs w:val="18"/>
        </w:rPr>
        <w:t xml:space="preserve"> </w:t>
      </w:r>
    </w:p>
  </w:footnote>
  <w:footnote w:id="82">
    <w:p w14:paraId="0183B4D0" w14:textId="77777777" w:rsidR="008C379F" w:rsidRDefault="008C379F" w:rsidP="008D3ADF">
      <w:pPr>
        <w:pStyle w:val="FootnoteText"/>
        <w:ind w:firstLine="0"/>
      </w:pPr>
      <w:r w:rsidRPr="00610646">
        <w:rPr>
          <w:rStyle w:val="FootnoteReference"/>
        </w:rPr>
        <w:footnoteRef/>
      </w:r>
      <w:r>
        <w:t xml:space="preserve"> Principle 15 of the Rio Declaration on Environment and Development.</w:t>
      </w:r>
    </w:p>
  </w:footnote>
  <w:footnote w:id="83">
    <w:p w14:paraId="20ADD42D" w14:textId="77777777" w:rsidR="0000159D" w:rsidRPr="00B61018" w:rsidRDefault="0000159D" w:rsidP="00F01D57">
      <w:pPr>
        <w:pStyle w:val="FootnoteText"/>
        <w:ind w:firstLine="0"/>
        <w:jc w:val="left"/>
        <w:rPr>
          <w:lang w:val="en-CA"/>
        </w:rPr>
      </w:pPr>
      <w:r w:rsidRPr="00610646">
        <w:rPr>
          <w:rStyle w:val="FootnoteReference"/>
        </w:rPr>
        <w:footnoteRef/>
      </w:r>
      <w:r>
        <w:t xml:space="preserve"> </w:t>
      </w:r>
      <w:r w:rsidRPr="00F16DA5">
        <w:rPr>
          <w:lang w:val="en-CA"/>
        </w:rPr>
        <w:t>CBD/DSI/AHTEG/2020/1/2</w:t>
      </w:r>
      <w:r>
        <w:rPr>
          <w:lang w:val="en-CA"/>
        </w:rPr>
        <w:t xml:space="preserve">; </w:t>
      </w:r>
      <w:r w:rsidRPr="006D1A3D">
        <w:rPr>
          <w:lang w:val="en-CA"/>
        </w:rPr>
        <w:t>CBD/DSI/AHTEG/2020/1/3</w:t>
      </w:r>
      <w:r>
        <w:rPr>
          <w:lang w:val="en-CA"/>
        </w:rPr>
        <w:t xml:space="preserve">; </w:t>
      </w:r>
      <w:r w:rsidRPr="00726794">
        <w:rPr>
          <w:lang w:val="en-CA"/>
        </w:rPr>
        <w:t>CBD/DSI/AHTEG/2020/1/4</w:t>
      </w:r>
      <w:r>
        <w:rPr>
          <w:lang w:val="en-CA"/>
        </w:rPr>
        <w:t xml:space="preserve">; </w:t>
      </w:r>
      <w:r w:rsidRPr="00FF7532">
        <w:rPr>
          <w:lang w:val="en-CA"/>
        </w:rPr>
        <w:t>CBD/DSI/AHTEG/2020/1/5</w:t>
      </w:r>
      <w:r>
        <w:rPr>
          <w:lang w:val="en-CA"/>
        </w:rPr>
        <w:t>; CBD/DSI/AHTEG/2020/1/7.</w:t>
      </w:r>
    </w:p>
  </w:footnote>
  <w:footnote w:id="84">
    <w:p w14:paraId="47B188B5" w14:textId="77777777" w:rsidR="0000159D" w:rsidRPr="00B30DA6" w:rsidRDefault="0000159D" w:rsidP="00F01D57">
      <w:pPr>
        <w:pStyle w:val="FootnoteText"/>
        <w:ind w:firstLine="0"/>
        <w:rPr>
          <w:lang w:val="en-CA"/>
        </w:rPr>
      </w:pPr>
      <w:r w:rsidRPr="00610646">
        <w:rPr>
          <w:rStyle w:val="FootnoteReference"/>
        </w:rPr>
        <w:footnoteRef/>
      </w:r>
      <w:r>
        <w:t xml:space="preserve"> </w:t>
      </w:r>
      <w:r w:rsidRPr="00C54916">
        <w:t>CBD/WG2020/</w:t>
      </w:r>
      <w:r>
        <w:t>3</w:t>
      </w:r>
      <w:r w:rsidRPr="00C54916">
        <w:t>/INF/</w:t>
      </w:r>
      <w:r>
        <w:t xml:space="preserve">8; </w:t>
      </w:r>
      <w:r w:rsidRPr="00C54916">
        <w:t>CBD/WG2020/</w:t>
      </w:r>
      <w:r>
        <w:t>4</w:t>
      </w:r>
      <w:r w:rsidRPr="00C54916">
        <w:t>/INF/</w:t>
      </w:r>
      <w:r>
        <w:t xml:space="preserve">4; </w:t>
      </w:r>
      <w:r w:rsidRPr="00C54916">
        <w:t>CBD/WG2020/5/INF/1</w:t>
      </w:r>
      <w:r>
        <w:t>.</w:t>
      </w:r>
    </w:p>
  </w:footnote>
  <w:footnote w:id="85">
    <w:p w14:paraId="00D650BD" w14:textId="77777777" w:rsidR="0000159D" w:rsidRPr="00772488" w:rsidRDefault="0000159D" w:rsidP="00F01D57">
      <w:pPr>
        <w:pStyle w:val="FootnoteText"/>
        <w:ind w:firstLine="0"/>
        <w:rPr>
          <w:lang w:val="en-US"/>
        </w:rPr>
      </w:pPr>
      <w:r w:rsidRPr="00610646">
        <w:rPr>
          <w:rStyle w:val="FootnoteReference"/>
        </w:rPr>
        <w:footnoteRef/>
      </w:r>
      <w:r>
        <w:t xml:space="preserve"> </w:t>
      </w:r>
      <w:r>
        <w:rPr>
          <w:lang w:val="en-US"/>
        </w:rPr>
        <w:t xml:space="preserve">Recommendations 3/2, 4/2 and 5/2 of the </w:t>
      </w:r>
      <w:r w:rsidRPr="00F24CFF">
        <w:rPr>
          <w:lang w:val="en-US"/>
        </w:rPr>
        <w:t>Open-</w:t>
      </w:r>
      <w:r>
        <w:rPr>
          <w:lang w:val="en-US"/>
        </w:rPr>
        <w:t>e</w:t>
      </w:r>
      <w:r w:rsidRPr="00F24CFF">
        <w:rPr>
          <w:lang w:val="en-US"/>
        </w:rPr>
        <w:t>nded Working Group on the Post-2020 Global Biodiversity Framework</w:t>
      </w:r>
      <w:r>
        <w:rPr>
          <w:lang w:val="en-US"/>
        </w:rPr>
        <w:t>.</w:t>
      </w:r>
    </w:p>
  </w:footnote>
  <w:footnote w:id="86">
    <w:p w14:paraId="38E412FD" w14:textId="77777777" w:rsidR="0000159D" w:rsidRPr="00772488" w:rsidRDefault="0000159D" w:rsidP="00F01D57">
      <w:pPr>
        <w:pStyle w:val="FootnoteText"/>
        <w:ind w:firstLine="0"/>
        <w:rPr>
          <w:lang w:val="en-US"/>
        </w:rPr>
      </w:pPr>
      <w:r w:rsidRPr="00610646">
        <w:rPr>
          <w:rStyle w:val="FootnoteReference"/>
        </w:rPr>
        <w:footnoteRef/>
      </w:r>
      <w:r>
        <w:t xml:space="preserve"> </w:t>
      </w:r>
      <w:r w:rsidRPr="00EE2CAF">
        <w:rPr>
          <w:rFonts w:asciiTheme="majorBidi" w:hAnsiTheme="majorBidi" w:cstheme="majorBidi"/>
        </w:rPr>
        <w:t>CBD/WG2020/5/3</w:t>
      </w:r>
      <w:r>
        <w:rPr>
          <w:rFonts w:asciiTheme="majorBidi" w:hAnsiTheme="majorBidi" w:cstheme="majorBidi"/>
        </w:rPr>
        <w:t>.</w:t>
      </w:r>
    </w:p>
  </w:footnote>
  <w:footnote w:id="87">
    <w:p w14:paraId="20B953D2" w14:textId="77777777" w:rsidR="0000159D" w:rsidRPr="00FD3665" w:rsidRDefault="0000159D" w:rsidP="00F01D57">
      <w:pPr>
        <w:pStyle w:val="FootnoteText"/>
        <w:ind w:firstLine="0"/>
        <w:rPr>
          <w:lang w:val="en-CA"/>
        </w:rPr>
      </w:pPr>
      <w:r w:rsidRPr="00610646">
        <w:rPr>
          <w:rStyle w:val="FootnoteReference"/>
        </w:rPr>
        <w:footnoteRef/>
      </w:r>
      <w:r>
        <w:t xml:space="preserve"> </w:t>
      </w:r>
      <w:r>
        <w:rPr>
          <w:lang w:val="en-CA"/>
        </w:rPr>
        <w:t>Decision 15/4, annex.</w:t>
      </w:r>
    </w:p>
  </w:footnote>
  <w:footnote w:id="88">
    <w:p w14:paraId="00D1716A" w14:textId="77777777" w:rsidR="0000159D" w:rsidRPr="00F02F45" w:rsidRDefault="0000159D" w:rsidP="00F01D57">
      <w:pPr>
        <w:pStyle w:val="FootnoteText"/>
        <w:ind w:firstLine="0"/>
        <w:rPr>
          <w:lang w:val="en-CA"/>
        </w:rPr>
      </w:pPr>
      <w:r w:rsidRPr="00610646">
        <w:rPr>
          <w:rStyle w:val="FootnoteReference"/>
        </w:rPr>
        <w:footnoteRef/>
      </w:r>
      <w:r>
        <w:t xml:space="preserve"> </w:t>
      </w:r>
      <w:r w:rsidRPr="00BB7817">
        <w:t>Findable, Accessible, Interoperable, and Reusable</w:t>
      </w:r>
      <w:r>
        <w:t>, and their respective sub-principles.</w:t>
      </w:r>
    </w:p>
  </w:footnote>
  <w:footnote w:id="89">
    <w:p w14:paraId="7DF8A5FA" w14:textId="77777777" w:rsidR="0000159D" w:rsidRPr="00CA0059" w:rsidRDefault="0000159D" w:rsidP="00F01D57">
      <w:pPr>
        <w:pStyle w:val="FootnoteText"/>
        <w:ind w:firstLine="0"/>
        <w:rPr>
          <w:lang w:val="en-CA"/>
        </w:rPr>
      </w:pPr>
      <w:r w:rsidRPr="00610646">
        <w:rPr>
          <w:rStyle w:val="FootnoteReference"/>
        </w:rPr>
        <w:footnoteRef/>
      </w:r>
      <w:r>
        <w:t xml:space="preserve"> </w:t>
      </w:r>
      <w:r w:rsidRPr="009D6D23">
        <w:t>Collective benefit, Authority to control, Responsibility, and Ethics, and their respective sub-principles</w:t>
      </w:r>
      <w:r>
        <w:t>.</w:t>
      </w:r>
    </w:p>
  </w:footnote>
  <w:footnote w:id="90">
    <w:p w14:paraId="47046A0C" w14:textId="5AD7D3B6" w:rsidR="0000159D" w:rsidRPr="00772488" w:rsidRDefault="0000159D" w:rsidP="00F01D57">
      <w:pPr>
        <w:pStyle w:val="FootnoteText"/>
        <w:ind w:firstLine="0"/>
        <w:rPr>
          <w:lang w:val="en-US"/>
        </w:rPr>
      </w:pPr>
      <w:r w:rsidRPr="00610646">
        <w:rPr>
          <w:rStyle w:val="FootnoteReference"/>
        </w:rPr>
        <w:footnoteRef/>
      </w:r>
      <w:r>
        <w:t xml:space="preserve"> </w:t>
      </w:r>
      <w:r w:rsidRPr="007938B5">
        <w:rPr>
          <w:lang w:val="en-US"/>
        </w:rPr>
        <w:t>https://legalinstruments.oecd.org/en/instruments/OECD-LEGAL-0463</w:t>
      </w:r>
      <w:r w:rsidR="00DA23D8">
        <w:rPr>
          <w:lang w:val="en-US"/>
        </w:rPr>
        <w:t>.</w:t>
      </w:r>
    </w:p>
  </w:footnote>
  <w:footnote w:id="91">
    <w:p w14:paraId="0F6527E7" w14:textId="0BAF0258" w:rsidR="0000159D" w:rsidRPr="00772488" w:rsidRDefault="0000159D" w:rsidP="00F01D57">
      <w:pPr>
        <w:pStyle w:val="FootnoteText"/>
        <w:ind w:firstLine="0"/>
        <w:rPr>
          <w:lang w:val="en-US"/>
        </w:rPr>
      </w:pPr>
      <w:r w:rsidRPr="00610646">
        <w:rPr>
          <w:rStyle w:val="FootnoteReference"/>
        </w:rPr>
        <w:footnoteRef/>
      </w:r>
      <w:r>
        <w:t xml:space="preserve"> </w:t>
      </w:r>
      <w:hyperlink r:id="rId18" w:history="1">
        <w:r w:rsidRPr="00521F2E">
          <w:rPr>
            <w:rStyle w:val="Hyperlink"/>
            <w:lang w:val="en-US"/>
          </w:rPr>
          <w:t>https://unesdoc.unesco.org/ark:/48223/pf0000379949.locale=en</w:t>
        </w:r>
      </w:hyperlink>
      <w:r w:rsidR="00DA23D8">
        <w:rPr>
          <w:rStyle w:val="Hyperlink"/>
          <w:lang w:val="en-US"/>
        </w:rPr>
        <w:t>.</w:t>
      </w:r>
    </w:p>
  </w:footnote>
  <w:footnote w:id="92">
    <w:p w14:paraId="36B87EB8" w14:textId="77777777" w:rsidR="0000159D" w:rsidRPr="00FD3665" w:rsidRDefault="0000159D" w:rsidP="00DA23D8">
      <w:pPr>
        <w:pStyle w:val="FootnoteText"/>
        <w:ind w:firstLine="0"/>
        <w:rPr>
          <w:lang w:val="en-CA"/>
        </w:rPr>
      </w:pPr>
      <w:r w:rsidRPr="00610646">
        <w:rPr>
          <w:rStyle w:val="FootnoteReference"/>
        </w:rPr>
        <w:footnoteRef/>
      </w:r>
      <w:r>
        <w:t xml:space="preserve"> </w:t>
      </w:r>
      <w:r>
        <w:rPr>
          <w:lang w:val="en-CA"/>
        </w:rPr>
        <w:t>Decision 15/8, annex I.</w:t>
      </w:r>
    </w:p>
  </w:footnote>
  <w:footnote w:id="93">
    <w:p w14:paraId="5EE21C5A" w14:textId="77777777" w:rsidR="0000159D" w:rsidRPr="00A42B34" w:rsidRDefault="0000159D" w:rsidP="00DA23D8">
      <w:pPr>
        <w:pStyle w:val="FootnoteText"/>
        <w:ind w:firstLine="0"/>
        <w:rPr>
          <w:lang w:val="en-CA"/>
        </w:rPr>
      </w:pPr>
      <w:r w:rsidRPr="00610646">
        <w:rPr>
          <w:rStyle w:val="FootnoteReference"/>
        </w:rPr>
        <w:footnoteRef/>
      </w:r>
      <w:r>
        <w:t xml:space="preserve"> </w:t>
      </w:r>
      <w:r>
        <w:rPr>
          <w:lang w:val="en-CA"/>
        </w:rPr>
        <w:t>CBD/DSI/AHTEG/2020/1/7.</w:t>
      </w:r>
    </w:p>
  </w:footnote>
  <w:footnote w:id="94">
    <w:p w14:paraId="23669BCA" w14:textId="77777777" w:rsidR="0000159D" w:rsidRPr="00627E86" w:rsidRDefault="0000159D" w:rsidP="00DA23D8">
      <w:pPr>
        <w:pStyle w:val="FootnoteText"/>
        <w:ind w:firstLine="0"/>
        <w:rPr>
          <w:lang w:val="en-US"/>
        </w:rPr>
      </w:pPr>
      <w:r w:rsidRPr="00610646">
        <w:rPr>
          <w:rStyle w:val="FootnoteReference"/>
        </w:rPr>
        <w:footnoteRef/>
      </w:r>
      <w:r>
        <w:t xml:space="preserve"> </w:t>
      </w:r>
      <w:r>
        <w:rPr>
          <w:lang w:val="en-CA"/>
        </w:rPr>
        <w:t>Reference is made to the section on “Global instrument for biodiversity finance” in the terms of reference of the Advisory Committee on Resource Mobilization as contained in annex II of decision 15/7 on resource mobilization.</w:t>
      </w:r>
    </w:p>
  </w:footnote>
  <w:footnote w:id="95">
    <w:p w14:paraId="2B91B00E" w14:textId="2A66A2D3" w:rsidR="00FE6115" w:rsidRPr="00A77261" w:rsidRDefault="00FE6115" w:rsidP="004C18A5">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In </w:t>
      </w:r>
      <w:sdt>
        <w:sdtPr>
          <w:rPr>
            <w:kern w:val="18"/>
            <w:sz w:val="18"/>
            <w:szCs w:val="18"/>
          </w:rPr>
          <w:tag w:val="goog_rdk_377"/>
          <w:id w:val="-496802311"/>
        </w:sdtPr>
        <w:sdtEndPr/>
        <w:sdtContent>
          <w:hyperlink r:id="rId19" w:history="1">
            <w:r w:rsidRPr="002C6284">
              <w:rPr>
                <w:kern w:val="18"/>
                <w:sz w:val="18"/>
                <w:szCs w:val="18"/>
              </w:rPr>
              <w:t xml:space="preserve">decision </w:t>
            </w:r>
            <w:r w:rsidRPr="00A77261">
              <w:rPr>
                <w:color w:val="1155CC"/>
                <w:kern w:val="18"/>
                <w:sz w:val="18"/>
                <w:szCs w:val="18"/>
                <w:u w:val="single"/>
              </w:rPr>
              <w:t>X/43</w:t>
            </w:r>
          </w:hyperlink>
        </w:sdtContent>
      </w:sdt>
      <w:r w:rsidRPr="00A77261">
        <w:rPr>
          <w:color w:val="000000"/>
          <w:kern w:val="18"/>
          <w:sz w:val="18"/>
          <w:szCs w:val="18"/>
        </w:rPr>
        <w:t>, the Conference of the Parties adopted a revised multi-year programme of work on Article 8(j), retiring completed or superseded tasks 3, 5, 8, 9 and 16.</w:t>
      </w:r>
    </w:p>
  </w:footnote>
  <w:footnote w:id="96">
    <w:p w14:paraId="0F1BC9E7" w14:textId="3E8143A8" w:rsidR="00FE6115" w:rsidRPr="00A77261" w:rsidRDefault="00FE6115" w:rsidP="004C18A5">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See General Assembly resolution </w:t>
      </w:r>
      <w:hyperlink r:id="rId20">
        <w:r w:rsidRPr="00A77261">
          <w:rPr>
            <w:color w:val="0000FF"/>
            <w:kern w:val="18"/>
            <w:sz w:val="18"/>
            <w:szCs w:val="18"/>
            <w:u w:val="single"/>
          </w:rPr>
          <w:t>70/1</w:t>
        </w:r>
      </w:hyperlink>
      <w:r w:rsidRPr="00A77261">
        <w:rPr>
          <w:color w:val="000000"/>
          <w:kern w:val="18"/>
          <w:sz w:val="18"/>
          <w:szCs w:val="18"/>
        </w:rPr>
        <w:t>, entitled “Transforming our world: the 2030 Agenda for Sustainable Development”.</w:t>
      </w:r>
    </w:p>
  </w:footnote>
  <w:footnote w:id="97">
    <w:p w14:paraId="381D5AF7" w14:textId="000D570E" w:rsidR="00FE6115" w:rsidRPr="00A77261" w:rsidRDefault="00FE6115" w:rsidP="004C18A5">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See </w:t>
      </w:r>
      <w:r w:rsidRPr="00A77261">
        <w:rPr>
          <w:kern w:val="18"/>
          <w:sz w:val="18"/>
          <w:szCs w:val="18"/>
        </w:rPr>
        <w:t>United Nations Framework Convention on Climate Change</w:t>
      </w:r>
      <w:r w:rsidRPr="00A77261">
        <w:rPr>
          <w:color w:val="000000"/>
          <w:kern w:val="18"/>
          <w:sz w:val="18"/>
          <w:szCs w:val="18"/>
        </w:rPr>
        <w:t>, Conference of the Parties, twenty-first session, decision 1/CP.21</w:t>
      </w:r>
      <w:r w:rsidRPr="00A77261">
        <w:rPr>
          <w:kern w:val="18"/>
          <w:sz w:val="18"/>
          <w:szCs w:val="18"/>
        </w:rPr>
        <w:t xml:space="preserve"> (</w:t>
      </w:r>
      <w:hyperlink r:id="rId21" w:history="1">
        <w:r w:rsidRPr="00A77261">
          <w:rPr>
            <w:color w:val="1155CC"/>
            <w:kern w:val="18"/>
            <w:sz w:val="18"/>
            <w:szCs w:val="18"/>
            <w:u w:val="single"/>
          </w:rPr>
          <w:t>FCCC/CP/2015/10/Add.1</w:t>
        </w:r>
      </w:hyperlink>
      <w:r w:rsidRPr="00A77261">
        <w:rPr>
          <w:color w:val="1155CC"/>
          <w:kern w:val="18"/>
          <w:sz w:val="18"/>
          <w:szCs w:val="18"/>
          <w:u w:val="single"/>
        </w:rPr>
        <w:t>).</w:t>
      </w:r>
    </w:p>
  </w:footnote>
  <w:footnote w:id="98">
    <w:p w14:paraId="59378A79" w14:textId="464144B7" w:rsidR="00FE6115" w:rsidRPr="00A77261" w:rsidRDefault="00FE6115" w:rsidP="004C18A5">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See </w:t>
      </w:r>
      <w:hyperlink r:id="rId22" w:history="1">
        <w:r w:rsidRPr="002C6284">
          <w:rPr>
            <w:kern w:val="18"/>
            <w:sz w:val="18"/>
            <w:szCs w:val="18"/>
          </w:rPr>
          <w:t>d</w:t>
        </w:r>
      </w:hyperlink>
      <w:r w:rsidRPr="002C6284">
        <w:rPr>
          <w:kern w:val="18"/>
          <w:sz w:val="18"/>
          <w:szCs w:val="18"/>
        </w:rPr>
        <w:t xml:space="preserve">ecision </w:t>
      </w:r>
      <w:hyperlink r:id="rId23" w:history="1">
        <w:r w:rsidRPr="00AE73B8">
          <w:rPr>
            <w:rStyle w:val="Hyperlink"/>
            <w:kern w:val="18"/>
            <w:szCs w:val="18"/>
          </w:rPr>
          <w:t>VII/16</w:t>
        </w:r>
      </w:hyperlink>
      <w:r w:rsidRPr="00A77261">
        <w:rPr>
          <w:color w:val="000000"/>
          <w:kern w:val="18"/>
          <w:sz w:val="18"/>
          <w:szCs w:val="18"/>
        </w:rPr>
        <w:t>.</w:t>
      </w:r>
    </w:p>
  </w:footnote>
  <w:footnote w:id="99">
    <w:p w14:paraId="42C82E81" w14:textId="25E5DB6E" w:rsidR="00FE6115" w:rsidRPr="002C6284" w:rsidRDefault="00FE6115" w:rsidP="004C18A5">
      <w:pPr>
        <w:pStyle w:val="FootnoteText"/>
        <w:suppressLineNumbers/>
        <w:suppressAutoHyphens/>
        <w:ind w:firstLine="0"/>
        <w:jc w:val="left"/>
        <w:rPr>
          <w:rFonts w:asciiTheme="majorBidi" w:hAnsiTheme="majorBidi" w:cstheme="majorBidi"/>
          <w:kern w:val="18"/>
          <w:szCs w:val="18"/>
        </w:rPr>
      </w:pPr>
      <w:r w:rsidRPr="00610646">
        <w:rPr>
          <w:rStyle w:val="FootnoteReference"/>
          <w:rFonts w:eastAsiaTheme="majorEastAsia"/>
        </w:rPr>
        <w:footnoteRef/>
      </w:r>
      <w:r w:rsidRPr="00AF09ED">
        <w:rPr>
          <w:kern w:val="18"/>
          <w:szCs w:val="18"/>
        </w:rPr>
        <w:t xml:space="preserve"> As requested by the Working Group</w:t>
      </w:r>
      <w:r w:rsidRPr="002C6284">
        <w:rPr>
          <w:kern w:val="18"/>
          <w:szCs w:val="18"/>
        </w:rPr>
        <w:t xml:space="preserve"> on Article 8(j)</w:t>
      </w:r>
      <w:r>
        <w:rPr>
          <w:kern w:val="18"/>
          <w:szCs w:val="18"/>
        </w:rPr>
        <w:t xml:space="preserve"> and Related Provisions, at its eleventh meeting</w:t>
      </w:r>
      <w:r w:rsidRPr="00AF09ED">
        <w:rPr>
          <w:kern w:val="18"/>
          <w:szCs w:val="18"/>
        </w:rPr>
        <w:t xml:space="preserve">, annex II </w:t>
      </w:r>
      <w:r>
        <w:rPr>
          <w:kern w:val="18"/>
          <w:szCs w:val="18"/>
        </w:rPr>
        <w:t>is being</w:t>
      </w:r>
      <w:r w:rsidRPr="00AF09ED">
        <w:rPr>
          <w:kern w:val="18"/>
          <w:szCs w:val="18"/>
        </w:rPr>
        <w:t xml:space="preserve"> peer reviewed and the results will be made available to the ad hoc technical expert group established by paragraph 7 of the present decision.</w:t>
      </w:r>
      <w:r>
        <w:rPr>
          <w:kern w:val="18"/>
          <w:szCs w:val="18"/>
        </w:rPr>
        <w:t xml:space="preserve"> </w:t>
      </w:r>
      <w:r w:rsidRPr="002C6284">
        <w:rPr>
          <w:rFonts w:asciiTheme="majorBidi" w:hAnsiTheme="majorBidi" w:cstheme="majorBidi"/>
          <w:kern w:val="18"/>
          <w:szCs w:val="18"/>
        </w:rPr>
        <w:t xml:space="preserve">(Notification </w:t>
      </w:r>
      <w:r w:rsidRPr="002C6284">
        <w:rPr>
          <w:rFonts w:asciiTheme="majorBidi" w:hAnsiTheme="majorBidi" w:cstheme="majorBidi"/>
          <w:spacing w:val="6"/>
          <w:shd w:val="clear" w:color="auto" w:fill="FFFFFF"/>
        </w:rPr>
        <w:t>2022-070, dated 3 November 2022)</w:t>
      </w:r>
      <w:r w:rsidR="004C18A5">
        <w:rPr>
          <w:rFonts w:asciiTheme="majorBidi" w:hAnsiTheme="majorBidi" w:cstheme="majorBidi"/>
          <w:spacing w:val="6"/>
          <w:shd w:val="clear" w:color="auto" w:fill="FFFFFF"/>
        </w:rPr>
        <w:t>.</w:t>
      </w:r>
    </w:p>
  </w:footnote>
  <w:footnote w:id="100">
    <w:p w14:paraId="14ACEFF2" w14:textId="77777777" w:rsidR="00FE6115" w:rsidRPr="00A77261" w:rsidRDefault="00FE6115" w:rsidP="004C18A5">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As of </w:t>
      </w:r>
      <w:r>
        <w:rPr>
          <w:color w:val="000000"/>
          <w:kern w:val="18"/>
          <w:sz w:val="18"/>
          <w:szCs w:val="18"/>
        </w:rPr>
        <w:t>December 2020, 46</w:t>
      </w:r>
      <w:r w:rsidRPr="00A77261">
        <w:rPr>
          <w:color w:val="000000"/>
          <w:kern w:val="18"/>
          <w:sz w:val="18"/>
          <w:szCs w:val="18"/>
        </w:rPr>
        <w:t xml:space="preserve"> national focal point </w:t>
      </w:r>
      <w:r w:rsidRPr="00076270">
        <w:rPr>
          <w:color w:val="000000"/>
          <w:kern w:val="18"/>
          <w:sz w:val="18"/>
          <w:szCs w:val="18"/>
        </w:rPr>
        <w:t>for Article 8(j) and related provisions</w:t>
      </w:r>
      <w:r w:rsidRPr="00A77261" w:rsidDel="008714B6">
        <w:rPr>
          <w:color w:val="000000"/>
          <w:kern w:val="18"/>
          <w:sz w:val="18"/>
          <w:szCs w:val="18"/>
        </w:rPr>
        <w:t xml:space="preserve"> </w:t>
      </w:r>
      <w:r>
        <w:rPr>
          <w:color w:val="000000"/>
          <w:kern w:val="18"/>
          <w:sz w:val="18"/>
          <w:szCs w:val="18"/>
        </w:rPr>
        <w:t>were</w:t>
      </w:r>
      <w:r w:rsidRPr="00A77261">
        <w:rPr>
          <w:color w:val="000000"/>
          <w:kern w:val="18"/>
          <w:sz w:val="18"/>
          <w:szCs w:val="18"/>
        </w:rPr>
        <w:t xml:space="preserve"> designated </w:t>
      </w:r>
      <w:r>
        <w:rPr>
          <w:color w:val="000000"/>
          <w:kern w:val="18"/>
          <w:sz w:val="18"/>
          <w:szCs w:val="18"/>
        </w:rPr>
        <w:t xml:space="preserve">in 42 </w:t>
      </w:r>
      <w:r w:rsidRPr="00A77261">
        <w:rPr>
          <w:color w:val="000000"/>
          <w:kern w:val="18"/>
          <w:sz w:val="18"/>
          <w:szCs w:val="18"/>
        </w:rPr>
        <w:t>countries</w:t>
      </w:r>
      <w:r>
        <w:rPr>
          <w:color w:val="000000"/>
          <w:kern w:val="18"/>
          <w:sz w:val="18"/>
          <w:szCs w:val="18"/>
        </w:rPr>
        <w:t xml:space="preserve">. </w:t>
      </w:r>
    </w:p>
  </w:footnote>
  <w:footnote w:id="101">
    <w:p w14:paraId="497DCBAA" w14:textId="77777777" w:rsidR="00FE6115" w:rsidRPr="00D23E5E" w:rsidRDefault="00FE6115" w:rsidP="004C18A5">
      <w:pPr>
        <w:pStyle w:val="FootnoteText"/>
        <w:ind w:firstLine="0"/>
        <w:rPr>
          <w:lang w:val="en-CA"/>
        </w:rPr>
      </w:pPr>
      <w:r w:rsidRPr="00610646">
        <w:rPr>
          <w:rStyle w:val="FootnoteReference"/>
        </w:rPr>
        <w:footnoteRef/>
      </w:r>
      <w:r>
        <w:t xml:space="preserve"> Free, prior and informed consent refers to the tripartite terminology of “prior and informed consent” or “free, prior and informed consent” or “approval and involvement”.</w:t>
      </w:r>
    </w:p>
  </w:footnote>
  <w:footnote w:id="102">
    <w:p w14:paraId="79FB0DCC" w14:textId="77777777" w:rsidR="00FE6115" w:rsidRPr="00D23E5E" w:rsidRDefault="00FE6115" w:rsidP="0048113D">
      <w:pPr>
        <w:pStyle w:val="FootnoteText"/>
        <w:ind w:firstLine="0"/>
        <w:rPr>
          <w:lang w:val="en-CA"/>
        </w:rPr>
      </w:pPr>
      <w:r w:rsidRPr="00610646">
        <w:rPr>
          <w:rStyle w:val="FootnoteReference"/>
        </w:rPr>
        <w:footnoteRef/>
      </w:r>
      <w:r>
        <w:t xml:space="preserve"> </w:t>
      </w:r>
      <w:r w:rsidRPr="00397840">
        <w:t>Free, prior and informed consent refers to the tripartite terminology of “prior and informed consent” or “free, prior and informed consent” or “approval and invol</w:t>
      </w:r>
      <w:r>
        <w:t>ve</w:t>
      </w:r>
      <w:r w:rsidRPr="00397840">
        <w:t>ment”</w:t>
      </w:r>
    </w:p>
  </w:footnote>
  <w:footnote w:id="103">
    <w:p w14:paraId="2F4D5188" w14:textId="77777777" w:rsidR="00FE6115" w:rsidRPr="00A77261" w:rsidRDefault="00FE6115" w:rsidP="00190177">
      <w:pPr>
        <w:pStyle w:val="FootnoteText"/>
        <w:suppressLineNumbers/>
        <w:suppressAutoHyphens/>
        <w:ind w:firstLine="0"/>
        <w:jc w:val="left"/>
        <w:rPr>
          <w:kern w:val="18"/>
          <w:szCs w:val="18"/>
        </w:rPr>
      </w:pPr>
      <w:r w:rsidRPr="00610646">
        <w:rPr>
          <w:rStyle w:val="FootnoteReference"/>
          <w:rFonts w:eastAsiaTheme="majorEastAsia"/>
        </w:rPr>
        <w:footnoteRef/>
      </w:r>
      <w:r w:rsidRPr="00A77261">
        <w:rPr>
          <w:kern w:val="18"/>
          <w:szCs w:val="18"/>
        </w:rPr>
        <w:t xml:space="preserve"> The adopted indicators for traditional knowledge are: trends in land-use change and land tenure in the traditional territories of indigenous and local communities (decision X/43); trends in linguistic diversity and numbers of speakers of indigenous languages (decisions VII/30 and VIII/15); trends in the practice of traditional occupations (decision X/43); trends in which traditional knowledge and practices are respected through their full integration, safeguards and full and effective participation of indigenous and local communities in the national implementation of the Strategic Plan.</w:t>
      </w:r>
    </w:p>
  </w:footnote>
  <w:footnote w:id="104">
    <w:p w14:paraId="443DA326" w14:textId="77777777" w:rsidR="00FE6115" w:rsidRPr="001F547A" w:rsidRDefault="00FE6115" w:rsidP="002C6284">
      <w:pPr>
        <w:pStyle w:val="FootnoteText"/>
        <w:ind w:firstLine="0"/>
      </w:pPr>
      <w:r w:rsidRPr="00610646">
        <w:rPr>
          <w:rStyle w:val="FootnoteReference"/>
        </w:rPr>
        <w:footnoteRef/>
      </w:r>
      <w:r>
        <w:t xml:space="preserve"> </w:t>
      </w:r>
      <w:r w:rsidRPr="007E7596">
        <w:t>Decision 15/22.</w:t>
      </w:r>
    </w:p>
  </w:footnote>
  <w:footnote w:id="105">
    <w:p w14:paraId="0BA8D35B" w14:textId="77777777" w:rsidR="00FE6115" w:rsidRPr="00A77261" w:rsidRDefault="00FE6115" w:rsidP="00190177">
      <w:pPr>
        <w:pStyle w:val="FootnoteText"/>
        <w:suppressLineNumbers/>
        <w:suppressAutoHyphens/>
        <w:ind w:firstLine="0"/>
        <w:jc w:val="left"/>
        <w:rPr>
          <w:kern w:val="18"/>
          <w:szCs w:val="18"/>
        </w:rPr>
      </w:pPr>
      <w:r w:rsidRPr="00610646">
        <w:rPr>
          <w:rStyle w:val="FootnoteReference"/>
          <w:rFonts w:eastAsiaTheme="majorEastAsia"/>
        </w:rPr>
        <w:footnoteRef/>
      </w:r>
      <w:r w:rsidRPr="00A77261">
        <w:rPr>
          <w:kern w:val="18"/>
          <w:szCs w:val="18"/>
        </w:rPr>
        <w:t xml:space="preserve"> References to “land” include both lands and waters traditionally occupied or used by indigenous peoples and local communities.</w:t>
      </w:r>
    </w:p>
  </w:footnote>
  <w:footnote w:id="106">
    <w:p w14:paraId="66C108C6" w14:textId="77777777" w:rsidR="00FE6115" w:rsidRPr="002C6284" w:rsidRDefault="00FE6115" w:rsidP="002C6284">
      <w:pPr>
        <w:pStyle w:val="FootnoteText"/>
        <w:ind w:firstLine="0"/>
        <w:rPr>
          <w:kern w:val="22"/>
          <w:szCs w:val="18"/>
        </w:rPr>
      </w:pPr>
      <w:r w:rsidRPr="00610646">
        <w:rPr>
          <w:rStyle w:val="FootnoteReference"/>
        </w:rPr>
        <w:footnoteRef/>
      </w:r>
      <w:r>
        <w:rPr>
          <w:szCs w:val="18"/>
        </w:rPr>
        <w:t xml:space="preserve"> The Secretariat of the </w:t>
      </w:r>
      <w:r w:rsidRPr="002C6284">
        <w:rPr>
          <w:kern w:val="22"/>
          <w:szCs w:val="18"/>
        </w:rPr>
        <w:t xml:space="preserve">Convention on Biological Diversity, the United Nations Educational, Scientific and Cultural Organization, </w:t>
      </w:r>
      <w:r>
        <w:rPr>
          <w:kern w:val="22"/>
          <w:szCs w:val="18"/>
        </w:rPr>
        <w:t xml:space="preserve">the </w:t>
      </w:r>
      <w:r w:rsidRPr="002C6284">
        <w:rPr>
          <w:kern w:val="22"/>
          <w:szCs w:val="18"/>
        </w:rPr>
        <w:t>International Union for Conservation of Nature and partners.</w:t>
      </w:r>
      <w:r>
        <w:rPr>
          <w:kern w:val="22"/>
          <w:szCs w:val="18"/>
        </w:rPr>
        <w:t xml:space="preserve"> See decision 15/22.</w:t>
      </w:r>
    </w:p>
  </w:footnote>
  <w:footnote w:id="107">
    <w:p w14:paraId="167A6F0C" w14:textId="3AC8FE9D"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Adopted in </w:t>
      </w:r>
      <w:hyperlink r:id="rId24" w:history="1">
        <w:r w:rsidRPr="00A77261">
          <w:rPr>
            <w:color w:val="1155CC"/>
            <w:kern w:val="18"/>
            <w:sz w:val="18"/>
            <w:szCs w:val="18"/>
            <w:u w:val="single"/>
          </w:rPr>
          <w:t>d</w:t>
        </w:r>
      </w:hyperlink>
      <w:hyperlink r:id="rId25" w:history="1">
        <w:r w:rsidRPr="00A77261">
          <w:rPr>
            <w:color w:val="1155CC"/>
            <w:kern w:val="18"/>
            <w:sz w:val="18"/>
            <w:szCs w:val="18"/>
            <w:u w:val="single"/>
          </w:rPr>
          <w:t>ecision VII/16</w:t>
        </w:r>
      </w:hyperlink>
      <w:r w:rsidRPr="00A77261">
        <w:rPr>
          <w:color w:val="000000"/>
          <w:kern w:val="18"/>
          <w:sz w:val="18"/>
          <w:szCs w:val="18"/>
        </w:rPr>
        <w:t>.</w:t>
      </w:r>
    </w:p>
  </w:footnote>
  <w:footnote w:id="108">
    <w:p w14:paraId="7202CE09" w14:textId="14089AA2"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Adopted in </w:t>
      </w:r>
      <w:hyperlink r:id="rId26" w:history="1">
        <w:r w:rsidRPr="00A77261">
          <w:rPr>
            <w:color w:val="1155CC"/>
            <w:kern w:val="18"/>
            <w:sz w:val="18"/>
            <w:szCs w:val="18"/>
            <w:u w:val="single"/>
          </w:rPr>
          <w:t>d</w:t>
        </w:r>
      </w:hyperlink>
      <w:hyperlink r:id="rId27" w:history="1">
        <w:r w:rsidRPr="00A77261">
          <w:rPr>
            <w:color w:val="1155CC"/>
            <w:kern w:val="18"/>
            <w:sz w:val="18"/>
            <w:szCs w:val="18"/>
            <w:u w:val="single"/>
          </w:rPr>
          <w:t>eci</w:t>
        </w:r>
      </w:hyperlink>
      <w:hyperlink r:id="rId28" w:history="1">
        <w:r w:rsidRPr="00A77261">
          <w:rPr>
            <w:color w:val="1155CC"/>
            <w:kern w:val="18"/>
            <w:sz w:val="18"/>
            <w:szCs w:val="18"/>
            <w:u w:val="single"/>
          </w:rPr>
          <w:t>sion X/42</w:t>
        </w:r>
      </w:hyperlink>
      <w:r w:rsidRPr="00A77261">
        <w:rPr>
          <w:color w:val="000000"/>
          <w:kern w:val="18"/>
          <w:sz w:val="18"/>
          <w:szCs w:val="18"/>
        </w:rPr>
        <w:t>.</w:t>
      </w:r>
    </w:p>
  </w:footnote>
  <w:footnote w:id="109">
    <w:p w14:paraId="70A735B0" w14:textId="4F17F39E"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Adopted in </w:t>
      </w:r>
      <w:hyperlink r:id="rId29" w:history="1">
        <w:r w:rsidRPr="00A77261">
          <w:rPr>
            <w:kern w:val="18"/>
            <w:sz w:val="18"/>
            <w:szCs w:val="18"/>
          </w:rPr>
          <w:t>d</w:t>
        </w:r>
      </w:hyperlink>
      <w:hyperlink r:id="rId30" w:history="1">
        <w:r w:rsidRPr="00A77261">
          <w:rPr>
            <w:kern w:val="18"/>
            <w:sz w:val="18"/>
            <w:szCs w:val="18"/>
          </w:rPr>
          <w:t>ecision XII/12</w:t>
        </w:r>
      </w:hyperlink>
      <w:hyperlink r:id="rId31" w:history="1">
        <w:r w:rsidRPr="00A77261">
          <w:rPr>
            <w:color w:val="1155CC"/>
            <w:kern w:val="18"/>
            <w:sz w:val="18"/>
            <w:szCs w:val="18"/>
            <w:u w:val="single"/>
          </w:rPr>
          <w:t xml:space="preserve"> B</w:t>
        </w:r>
      </w:hyperlink>
      <w:r w:rsidRPr="00A77261">
        <w:rPr>
          <w:color w:val="000000"/>
          <w:kern w:val="18"/>
          <w:sz w:val="18"/>
          <w:szCs w:val="18"/>
        </w:rPr>
        <w:t>, contained in the annex.</w:t>
      </w:r>
    </w:p>
  </w:footnote>
  <w:footnote w:id="110">
    <w:p w14:paraId="59C39C0B" w14:textId="77777777"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Meaning “roots of life” in the Mayan language.</w:t>
      </w:r>
    </w:p>
  </w:footnote>
  <w:footnote w:id="111">
    <w:p w14:paraId="40463C9F" w14:textId="64E9D86D" w:rsidR="00FE6115" w:rsidRPr="00A77261" w:rsidRDefault="00FE6115" w:rsidP="00490108">
      <w:pPr>
        <w:keepLines/>
        <w:suppressLineNumbers/>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The use and interpretation of the term “indigenous peoples and local communities” in these Guidelines should refer to </w:t>
      </w:r>
      <w:hyperlink r:id="rId32" w:history="1">
        <w:r w:rsidRPr="00A77261">
          <w:rPr>
            <w:color w:val="1155CC"/>
            <w:kern w:val="18"/>
            <w:sz w:val="18"/>
            <w:szCs w:val="18"/>
            <w:u w:val="single"/>
          </w:rPr>
          <w:t>decision XII/12 F</w:t>
        </w:r>
      </w:hyperlink>
      <w:r w:rsidRPr="00A77261">
        <w:rPr>
          <w:color w:val="000000"/>
          <w:kern w:val="18"/>
          <w:sz w:val="18"/>
          <w:szCs w:val="18"/>
        </w:rPr>
        <w:t>, paragraphs 2 (a), (b) and (c).</w:t>
      </w:r>
    </w:p>
  </w:footnote>
  <w:footnote w:id="112">
    <w:p w14:paraId="61906571" w14:textId="38C5838E"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Adopted in </w:t>
      </w:r>
      <w:hyperlink r:id="rId33" w:history="1">
        <w:r w:rsidRPr="00A77261">
          <w:rPr>
            <w:color w:val="1155CC"/>
            <w:kern w:val="18"/>
            <w:sz w:val="18"/>
            <w:szCs w:val="18"/>
            <w:u w:val="single"/>
          </w:rPr>
          <w:t>d</w:t>
        </w:r>
      </w:hyperlink>
      <w:hyperlink r:id="rId34" w:history="1">
        <w:r w:rsidRPr="00A77261">
          <w:rPr>
            <w:color w:val="1155CC"/>
            <w:kern w:val="18"/>
            <w:sz w:val="18"/>
            <w:szCs w:val="18"/>
            <w:u w:val="single"/>
          </w:rPr>
          <w:t>ecision XIII/18</w:t>
        </w:r>
      </w:hyperlink>
      <w:r w:rsidRPr="00A77261">
        <w:rPr>
          <w:color w:val="000000"/>
          <w:kern w:val="18"/>
          <w:sz w:val="18"/>
          <w:szCs w:val="18"/>
        </w:rPr>
        <w:t xml:space="preserve">. </w:t>
      </w:r>
      <w:r w:rsidRPr="00A77261">
        <w:rPr>
          <w:kern w:val="18"/>
          <w:sz w:val="18"/>
          <w:szCs w:val="18"/>
        </w:rPr>
        <w:t>The adoption of the Mo’otz kuxtal voluntary Guidelines has also advanced the work being pursued by the Working Group on</w:t>
      </w:r>
      <w:r w:rsidRPr="00A77261">
        <w:rPr>
          <w:color w:val="000000"/>
          <w:kern w:val="18"/>
          <w:sz w:val="18"/>
          <w:szCs w:val="18"/>
        </w:rPr>
        <w:t xml:space="preserve"> </w:t>
      </w:r>
      <w:r w:rsidRPr="00A77261">
        <w:rPr>
          <w:i/>
          <w:color w:val="000000"/>
          <w:kern w:val="18"/>
          <w:sz w:val="18"/>
          <w:szCs w:val="18"/>
        </w:rPr>
        <w:t>sui generis</w:t>
      </w:r>
      <w:r w:rsidRPr="00A77261">
        <w:rPr>
          <w:color w:val="000000"/>
          <w:kern w:val="18"/>
          <w:sz w:val="18"/>
          <w:szCs w:val="18"/>
        </w:rPr>
        <w:t xml:space="preserve"> systems for the protection of traditional knowledge, innovations and practices of indigenous peoples and local communities by highlighting the potential role of community protocols and procedures for access to traditional knowledge.</w:t>
      </w:r>
    </w:p>
  </w:footnote>
  <w:footnote w:id="113">
    <w:p w14:paraId="7B909D67" w14:textId="77777777" w:rsidR="00FE6115" w:rsidRPr="00A77261" w:rsidRDefault="00FE6115" w:rsidP="00490108">
      <w:pPr>
        <w:keepLines/>
        <w:suppressLineNumbers/>
        <w:pBdr>
          <w:top w:val="nil"/>
          <w:left w:val="nil"/>
          <w:bottom w:val="nil"/>
          <w:right w:val="nil"/>
          <w:between w:val="nil"/>
        </w:pBdr>
        <w:suppressAutoHyphens/>
        <w:jc w:val="left"/>
        <w:rPr>
          <w:color w:val="000000"/>
          <w:kern w:val="18"/>
          <w:sz w:val="18"/>
          <w:szCs w:val="18"/>
        </w:rPr>
      </w:pPr>
      <w:r w:rsidRPr="00610646">
        <w:rPr>
          <w:rStyle w:val="FootnoteReference"/>
          <w:rFonts w:eastAsiaTheme="majorEastAsia"/>
        </w:rPr>
        <w:footnoteRef/>
      </w:r>
      <w:r w:rsidRPr="00A77261">
        <w:rPr>
          <w:color w:val="000000"/>
          <w:kern w:val="18"/>
          <w:sz w:val="18"/>
          <w:szCs w:val="18"/>
        </w:rPr>
        <w:t xml:space="preserve"> Adopted in decision 14/2.</w:t>
      </w:r>
    </w:p>
  </w:footnote>
  <w:footnote w:id="114">
    <w:p w14:paraId="75F37432" w14:textId="77777777" w:rsidR="00FE6115" w:rsidRPr="0054393A" w:rsidRDefault="00FE6115" w:rsidP="00190177">
      <w:pPr>
        <w:pStyle w:val="FootnoteText"/>
        <w:suppressLineNumbers/>
        <w:suppressAutoHyphens/>
        <w:ind w:firstLine="0"/>
        <w:jc w:val="left"/>
        <w:rPr>
          <w:kern w:val="18"/>
          <w:szCs w:val="18"/>
        </w:rPr>
      </w:pPr>
      <w:r w:rsidRPr="00610646">
        <w:rPr>
          <w:rStyle w:val="FootnoteReference"/>
          <w:rFonts w:eastAsiaTheme="majorEastAsia"/>
        </w:rPr>
        <w:footnoteRef/>
      </w:r>
      <w:r w:rsidRPr="0054393A">
        <w:rPr>
          <w:kern w:val="18"/>
          <w:szCs w:val="18"/>
        </w:rPr>
        <w:t xml:space="preserve"> See decision XII/7.</w:t>
      </w:r>
    </w:p>
  </w:footnote>
  <w:footnote w:id="115">
    <w:p w14:paraId="17BDA511" w14:textId="77777777" w:rsidR="00FE6115" w:rsidRPr="0054393A" w:rsidRDefault="00FE6115" w:rsidP="00190177">
      <w:pPr>
        <w:pStyle w:val="FootnoteText"/>
        <w:suppressLineNumbers/>
        <w:suppressAutoHyphens/>
        <w:ind w:firstLine="0"/>
        <w:jc w:val="left"/>
        <w:rPr>
          <w:kern w:val="18"/>
          <w:szCs w:val="18"/>
        </w:rPr>
      </w:pPr>
      <w:r w:rsidRPr="00610646">
        <w:rPr>
          <w:rStyle w:val="FootnoteReference"/>
          <w:rFonts w:eastAsiaTheme="majorEastAsia"/>
        </w:rPr>
        <w:footnoteRef/>
      </w:r>
      <w:r w:rsidRPr="0054393A">
        <w:rPr>
          <w:kern w:val="18"/>
          <w:szCs w:val="18"/>
        </w:rPr>
        <w:t xml:space="preserve"> References to “traditional tenure” include lands and waters.</w:t>
      </w:r>
    </w:p>
  </w:footnote>
  <w:footnote w:id="116">
    <w:p w14:paraId="61723D3D" w14:textId="0C54A4A6" w:rsidR="00FE6115" w:rsidRPr="0054393A" w:rsidRDefault="00FE6115" w:rsidP="00190177">
      <w:pPr>
        <w:keepLines/>
        <w:suppressLineNumbers/>
        <w:suppressAutoHyphens/>
        <w:spacing w:after="60"/>
        <w:jc w:val="left"/>
        <w:rPr>
          <w:kern w:val="18"/>
          <w:sz w:val="18"/>
          <w:szCs w:val="18"/>
        </w:rPr>
      </w:pPr>
      <w:r w:rsidRPr="00610646">
        <w:rPr>
          <w:rStyle w:val="FootnoteReference"/>
        </w:rPr>
        <w:footnoteRef/>
      </w:r>
      <w:r w:rsidRPr="0054393A">
        <w:rPr>
          <w:kern w:val="18"/>
          <w:sz w:val="18"/>
          <w:szCs w:val="18"/>
        </w:rPr>
        <w:t xml:space="preserve"> See Office of the United Nations High Commissioner for Human Rights: </w:t>
      </w:r>
      <w:hyperlink r:id="rId35" w:history="1">
        <w:r w:rsidRPr="0054393A">
          <w:rPr>
            <w:rStyle w:val="Hyperlink"/>
            <w:kern w:val="18"/>
            <w:szCs w:val="18"/>
          </w:rPr>
          <w:t>https://www.ohchr.org/EN/HRBodies/CERD/Pages/EarlyWarningProcedure.aspx</w:t>
        </w:r>
      </w:hyperlink>
    </w:p>
  </w:footnote>
  <w:footnote w:id="117">
    <w:p w14:paraId="76A4329C" w14:textId="77777777" w:rsidR="00FE6115" w:rsidRPr="0054393A" w:rsidRDefault="00FE6115" w:rsidP="00190177">
      <w:pPr>
        <w:pStyle w:val="FootnoteText"/>
        <w:suppressLineNumbers/>
        <w:suppressAutoHyphens/>
        <w:ind w:firstLine="0"/>
        <w:jc w:val="left"/>
        <w:rPr>
          <w:kern w:val="18"/>
          <w:szCs w:val="18"/>
        </w:rPr>
      </w:pPr>
      <w:r w:rsidRPr="00610646">
        <w:rPr>
          <w:rStyle w:val="FootnoteReference"/>
          <w:rFonts w:eastAsiaTheme="majorEastAsia"/>
        </w:rPr>
        <w:footnoteRef/>
      </w:r>
      <w:r w:rsidRPr="0054393A">
        <w:rPr>
          <w:kern w:val="18"/>
          <w:szCs w:val="18"/>
        </w:rPr>
        <w:t xml:space="preserve"> List of adopted guidelines and standards.</w:t>
      </w:r>
    </w:p>
  </w:footnote>
  <w:footnote w:id="118">
    <w:p w14:paraId="26A9FDA9" w14:textId="77777777" w:rsidR="00FE6115" w:rsidRPr="00864F18" w:rsidRDefault="00FE6115" w:rsidP="005A6654">
      <w:pPr>
        <w:pStyle w:val="FootnoteText"/>
        <w:ind w:firstLine="0"/>
      </w:pPr>
      <w:r w:rsidRPr="00610646">
        <w:rPr>
          <w:rStyle w:val="FootnoteReference"/>
        </w:rPr>
        <w:footnoteRef/>
      </w:r>
      <w:r>
        <w:t xml:space="preserve"> Decision 15/4, annex.</w:t>
      </w:r>
    </w:p>
  </w:footnote>
  <w:footnote w:id="119">
    <w:p w14:paraId="6274F1D1" w14:textId="77777777" w:rsidR="00FE6115" w:rsidRPr="00A45860" w:rsidRDefault="00FE6115" w:rsidP="00265970">
      <w:pPr>
        <w:pStyle w:val="FootnoteText"/>
        <w:suppressLineNumbers/>
        <w:suppressAutoHyphens/>
        <w:kinsoku w:val="0"/>
        <w:overflowPunct w:val="0"/>
        <w:autoSpaceDE w:val="0"/>
        <w:autoSpaceDN w:val="0"/>
        <w:ind w:firstLine="0"/>
        <w:rPr>
          <w:kern w:val="18"/>
        </w:rPr>
      </w:pPr>
      <w:r w:rsidRPr="00610646">
        <w:rPr>
          <w:rStyle w:val="FootnoteReference"/>
        </w:rPr>
        <w:footnoteRef/>
      </w:r>
      <w:r w:rsidRPr="00A45860">
        <w:rPr>
          <w:kern w:val="18"/>
        </w:rPr>
        <w:t xml:space="preserve"> These </w:t>
      </w:r>
      <w:r>
        <w:rPr>
          <w:kern w:val="18"/>
        </w:rPr>
        <w:t>modalities</w:t>
      </w:r>
      <w:r w:rsidRPr="00A45860">
        <w:rPr>
          <w:kern w:val="18"/>
        </w:rPr>
        <w:t xml:space="preserve"> are put forward as measures to ensure the effective implementation of the </w:t>
      </w:r>
      <w:r>
        <w:rPr>
          <w:kern w:val="18"/>
        </w:rPr>
        <w:t>G</w:t>
      </w:r>
      <w:r w:rsidRPr="00A45860">
        <w:rPr>
          <w:kern w:val="18"/>
        </w:rPr>
        <w:t xml:space="preserve">ender </w:t>
      </w:r>
      <w:r>
        <w:rPr>
          <w:kern w:val="18"/>
        </w:rPr>
        <w:t>P</w:t>
      </w:r>
      <w:r w:rsidRPr="00A45860">
        <w:rPr>
          <w:kern w:val="18"/>
        </w:rPr>
        <w:t xml:space="preserve">lan of </w:t>
      </w:r>
      <w:r>
        <w:rPr>
          <w:kern w:val="18"/>
        </w:rPr>
        <w:t>A</w:t>
      </w:r>
      <w:r w:rsidRPr="00A45860">
        <w:rPr>
          <w:kern w:val="18"/>
        </w:rPr>
        <w:t xml:space="preserve">ction. As the </w:t>
      </w:r>
      <w:r>
        <w:rPr>
          <w:kern w:val="18"/>
        </w:rPr>
        <w:t>P</w:t>
      </w:r>
      <w:r w:rsidRPr="00A45860">
        <w:rPr>
          <w:kern w:val="18"/>
        </w:rPr>
        <w:t xml:space="preserve">lan is intended to enable the gender-responsive implementation of the </w:t>
      </w:r>
      <w:r>
        <w:rPr>
          <w:kern w:val="22"/>
          <w:szCs w:val="22"/>
        </w:rPr>
        <w:t>Kunming-Montreal</w:t>
      </w:r>
      <w:r w:rsidRPr="006A227D">
        <w:rPr>
          <w:kern w:val="22"/>
          <w:sz w:val="22"/>
          <w:szCs w:val="22"/>
        </w:rPr>
        <w:t xml:space="preserve"> </w:t>
      </w:r>
      <w:r>
        <w:rPr>
          <w:kern w:val="18"/>
        </w:rPr>
        <w:t>G</w:t>
      </w:r>
      <w:r w:rsidRPr="00A45860">
        <w:rPr>
          <w:kern w:val="18"/>
        </w:rPr>
        <w:t xml:space="preserve">lobal </w:t>
      </w:r>
      <w:r>
        <w:rPr>
          <w:kern w:val="18"/>
        </w:rPr>
        <w:t>B</w:t>
      </w:r>
      <w:r w:rsidRPr="00A45860">
        <w:rPr>
          <w:kern w:val="18"/>
        </w:rPr>
        <w:t xml:space="preserve">iodiversity </w:t>
      </w:r>
      <w:r>
        <w:rPr>
          <w:kern w:val="18"/>
        </w:rPr>
        <w:t>F</w:t>
      </w:r>
      <w:r w:rsidRPr="00A45860">
        <w:rPr>
          <w:kern w:val="18"/>
        </w:rPr>
        <w:t xml:space="preserve">ramework, the </w:t>
      </w:r>
      <w:r>
        <w:rPr>
          <w:kern w:val="18"/>
        </w:rPr>
        <w:t>modalities</w:t>
      </w:r>
      <w:r w:rsidRPr="00A45860">
        <w:rPr>
          <w:kern w:val="18"/>
        </w:rPr>
        <w:t xml:space="preserve"> put forward may also be considered relevant to the implementation of the </w:t>
      </w:r>
      <w:r>
        <w:rPr>
          <w:kern w:val="18"/>
        </w:rPr>
        <w:t>F</w:t>
      </w:r>
      <w:r w:rsidRPr="00A45860">
        <w:rPr>
          <w:kern w:val="18"/>
        </w:rPr>
        <w:t>ramework.</w:t>
      </w:r>
    </w:p>
  </w:footnote>
  <w:footnote w:id="120">
    <w:p w14:paraId="3B6DCC52" w14:textId="77777777" w:rsidR="00FE6115" w:rsidRPr="0000011D" w:rsidRDefault="00FE6115" w:rsidP="00737611">
      <w:pPr>
        <w:pStyle w:val="FootnoteText"/>
        <w:ind w:firstLine="0"/>
        <w:rPr>
          <w:kern w:val="18"/>
        </w:rPr>
      </w:pPr>
      <w:r w:rsidRPr="00610646">
        <w:rPr>
          <w:rStyle w:val="FootnoteReference"/>
        </w:rPr>
        <w:footnoteRef/>
      </w:r>
      <w:r w:rsidRPr="0000011D">
        <w:rPr>
          <w:kern w:val="18"/>
        </w:rPr>
        <w:t xml:space="preserve"> CBD/SBI/3/INF/41</w:t>
      </w:r>
      <w:r>
        <w:rPr>
          <w:kern w:val="18"/>
        </w:rPr>
        <w:t>.</w:t>
      </w:r>
    </w:p>
  </w:footnote>
  <w:footnote w:id="121">
    <w:p w14:paraId="5A9AD70B" w14:textId="7E7237F1" w:rsidR="00745C34" w:rsidRPr="00745C34" w:rsidRDefault="00745C34" w:rsidP="00FF1A84">
      <w:pPr>
        <w:pStyle w:val="FootnoteText"/>
        <w:ind w:firstLine="0"/>
        <w:rPr>
          <w:lang w:val="en-US"/>
        </w:rPr>
      </w:pPr>
      <w:r w:rsidRPr="00B72140">
        <w:rPr>
          <w:rStyle w:val="FootnoteReference"/>
        </w:rPr>
        <w:t>4</w:t>
      </w:r>
      <w:r w:rsidRPr="00B72140">
        <w:t xml:space="preserve"> </w:t>
      </w:r>
      <w:r w:rsidR="00FF1A84" w:rsidRPr="00B72140">
        <w:rPr>
          <w:lang w:val="en-US"/>
        </w:rPr>
        <w:t>As per decision 15/5 on the monitoring framework for the Kunming-Montreal Global Biodiversity Framework.</w:t>
      </w:r>
    </w:p>
  </w:footnote>
  <w:footnote w:id="122">
    <w:p w14:paraId="2F3C6A94" w14:textId="77777777" w:rsidR="0094446B" w:rsidRPr="007B1C3F" w:rsidRDefault="0094446B" w:rsidP="006300C8">
      <w:pPr>
        <w:pStyle w:val="FootnoteText"/>
        <w:ind w:firstLine="0"/>
        <w:rPr>
          <w:lang w:val="en-CA"/>
        </w:rPr>
      </w:pPr>
      <w:r w:rsidRPr="00610646">
        <w:rPr>
          <w:rStyle w:val="FootnoteReference"/>
        </w:rPr>
        <w:footnoteRef/>
      </w:r>
      <w:r w:rsidRPr="007B1C3F">
        <w:rPr>
          <w:lang w:val="en-CA"/>
        </w:rPr>
        <w:t xml:space="preserve"> Decision X/22</w:t>
      </w:r>
      <w:r>
        <w:rPr>
          <w:lang w:val="en-CA"/>
        </w:rPr>
        <w:t>.</w:t>
      </w:r>
    </w:p>
  </w:footnote>
  <w:footnote w:id="123">
    <w:p w14:paraId="3BD17CB8" w14:textId="77777777" w:rsidR="0094446B" w:rsidRPr="00326E07" w:rsidRDefault="0094446B" w:rsidP="006300C8">
      <w:pPr>
        <w:pStyle w:val="FootnoteText"/>
        <w:ind w:firstLine="0"/>
      </w:pPr>
      <w:r w:rsidRPr="00610646">
        <w:rPr>
          <w:rStyle w:val="FootnoteReference"/>
        </w:rPr>
        <w:footnoteRef/>
      </w:r>
      <w:r>
        <w:t xml:space="preserve"> Decision V/6, annex.</w:t>
      </w:r>
    </w:p>
  </w:footnote>
  <w:footnote w:id="124">
    <w:p w14:paraId="6EAA6739" w14:textId="77777777" w:rsidR="0094446B" w:rsidRPr="00F800F5" w:rsidRDefault="0094446B" w:rsidP="006300C8">
      <w:pPr>
        <w:pStyle w:val="FootnoteText"/>
        <w:ind w:firstLine="0"/>
        <w:jc w:val="left"/>
        <w:rPr>
          <w:kern w:val="18"/>
          <w:szCs w:val="18"/>
        </w:rPr>
      </w:pPr>
      <w:r w:rsidRPr="00610646">
        <w:rPr>
          <w:rStyle w:val="FootnoteReference"/>
        </w:rPr>
        <w:footnoteRef/>
      </w:r>
      <w:r w:rsidRPr="00F800F5">
        <w:rPr>
          <w:kern w:val="18"/>
          <w:szCs w:val="18"/>
        </w:rPr>
        <w:t xml:space="preserve"> Principle 2 of the ecosystem approach, adopted in decision </w:t>
      </w:r>
      <w:r w:rsidRPr="005E2D95">
        <w:t>V/6</w:t>
      </w:r>
      <w:r>
        <w:t>, annex</w:t>
      </w:r>
      <w:r w:rsidRPr="00F800F5">
        <w:rPr>
          <w:kern w:val="18"/>
          <w:szCs w:val="18"/>
        </w:rPr>
        <w:t>, is “Management should be decentralized to the lowest appropriate level.”</w:t>
      </w:r>
    </w:p>
  </w:footnote>
  <w:footnote w:id="125">
    <w:p w14:paraId="1A46E162" w14:textId="77777777" w:rsidR="0094446B" w:rsidRPr="00F800F5" w:rsidRDefault="0094446B" w:rsidP="00F854FF">
      <w:pPr>
        <w:pStyle w:val="FootnoteText"/>
        <w:ind w:firstLine="0"/>
        <w:jc w:val="left"/>
        <w:rPr>
          <w:kern w:val="18"/>
          <w:szCs w:val="18"/>
        </w:rPr>
      </w:pPr>
      <w:r w:rsidRPr="00610646">
        <w:rPr>
          <w:rStyle w:val="FootnoteReference"/>
        </w:rPr>
        <w:footnoteRef/>
      </w:r>
      <w:r w:rsidRPr="00F800F5">
        <w:rPr>
          <w:kern w:val="18"/>
          <w:szCs w:val="18"/>
        </w:rPr>
        <w:t xml:space="preserve"> This updated plan of action builds on the</w:t>
      </w:r>
      <w:r w:rsidRPr="008123B7">
        <w:rPr>
          <w:rFonts w:asciiTheme="majorBidi" w:hAnsiTheme="majorBidi" w:cstheme="majorBidi"/>
          <w:i/>
          <w:szCs w:val="18"/>
        </w:rPr>
        <w:t xml:space="preserve"> </w:t>
      </w:r>
      <w:r w:rsidRPr="008123B7">
        <w:rPr>
          <w:rFonts w:asciiTheme="majorBidi" w:hAnsiTheme="majorBidi" w:cstheme="majorBidi"/>
          <w:szCs w:val="18"/>
        </w:rPr>
        <w:t xml:space="preserve">Plan of Action on Subnational Governments, Cities and Other Local Authorities for </w:t>
      </w:r>
      <w:r w:rsidRPr="008123B7">
        <w:rPr>
          <w:szCs w:val="18"/>
        </w:rPr>
        <w:t>Biodiversity</w:t>
      </w:r>
      <w:r>
        <w:rPr>
          <w:szCs w:val="18"/>
        </w:rPr>
        <w:t xml:space="preserve"> (2011</w:t>
      </w:r>
      <w:r w:rsidRPr="008123B7">
        <w:rPr>
          <w:kern w:val="22"/>
          <w:szCs w:val="18"/>
        </w:rPr>
        <w:t>–</w:t>
      </w:r>
      <w:r>
        <w:rPr>
          <w:szCs w:val="18"/>
        </w:rPr>
        <w:t xml:space="preserve">2020) </w:t>
      </w:r>
      <w:r>
        <w:rPr>
          <w:kern w:val="18"/>
          <w:szCs w:val="18"/>
        </w:rPr>
        <w:t>endorsed</w:t>
      </w:r>
      <w:r w:rsidRPr="00F800F5">
        <w:rPr>
          <w:kern w:val="18"/>
          <w:szCs w:val="18"/>
        </w:rPr>
        <w:t xml:space="preserve"> in decision X/22</w:t>
      </w:r>
      <w:r>
        <w:rPr>
          <w:kern w:val="18"/>
          <w:szCs w:val="18"/>
        </w:rPr>
        <w:t>, annex</w:t>
      </w:r>
      <w:r w:rsidRPr="00F800F5">
        <w:rPr>
          <w:kern w:val="18"/>
          <w:szCs w:val="18"/>
        </w:rPr>
        <w:t>.</w:t>
      </w:r>
    </w:p>
  </w:footnote>
  <w:footnote w:id="126">
    <w:p w14:paraId="2C4120D4" w14:textId="39919BEB" w:rsidR="0094446B" w:rsidRPr="00F800F5" w:rsidRDefault="0094446B" w:rsidP="00951193">
      <w:pPr>
        <w:pStyle w:val="FootnoteText"/>
        <w:ind w:firstLine="0"/>
        <w:jc w:val="left"/>
        <w:rPr>
          <w:kern w:val="18"/>
          <w:szCs w:val="18"/>
        </w:rPr>
      </w:pPr>
      <w:r w:rsidRPr="00610646">
        <w:rPr>
          <w:rStyle w:val="FootnoteReference"/>
        </w:rPr>
        <w:footnoteRef/>
      </w:r>
      <w:r w:rsidRPr="00A057EC">
        <w:rPr>
          <w:kern w:val="18"/>
          <w:szCs w:val="18"/>
        </w:rPr>
        <w:t xml:space="preserve"> Referred to in paragraph 7 of the Plan of Action </w:t>
      </w:r>
      <w:r>
        <w:rPr>
          <w:kern w:val="18"/>
          <w:szCs w:val="18"/>
        </w:rPr>
        <w:t>on Subnational Governments, Cities and Other Local Authorities for Biodiversity (2011-2020) endorsed</w:t>
      </w:r>
      <w:r w:rsidRPr="00A057EC">
        <w:rPr>
          <w:kern w:val="18"/>
          <w:szCs w:val="18"/>
        </w:rPr>
        <w:t xml:space="preserve"> in decision X/22</w:t>
      </w:r>
      <w:r>
        <w:rPr>
          <w:kern w:val="18"/>
          <w:szCs w:val="18"/>
        </w:rPr>
        <w:t xml:space="preserve">, </w:t>
      </w:r>
      <w:r w:rsidRPr="00CA5C2C">
        <w:rPr>
          <w:kern w:val="18"/>
          <w:szCs w:val="18"/>
        </w:rPr>
        <w:t xml:space="preserve">annex, and paragraph </w:t>
      </w:r>
      <w:r w:rsidRPr="00CA5C2C">
        <w:rPr>
          <w:kern w:val="18"/>
          <w:szCs w:val="18"/>
        </w:rPr>
        <w:fldChar w:fldCharType="begin"/>
      </w:r>
      <w:r w:rsidRPr="00CA5C2C">
        <w:rPr>
          <w:kern w:val="18"/>
          <w:szCs w:val="18"/>
        </w:rPr>
        <w:instrText xml:space="preserve"> REF _Ref73136863 \r \h  \* MERGEFORMAT </w:instrText>
      </w:r>
      <w:r w:rsidRPr="00CA5C2C">
        <w:rPr>
          <w:kern w:val="18"/>
          <w:szCs w:val="18"/>
        </w:rPr>
      </w:r>
      <w:r w:rsidRPr="00CA5C2C">
        <w:rPr>
          <w:kern w:val="18"/>
          <w:szCs w:val="18"/>
        </w:rPr>
        <w:fldChar w:fldCharType="separate"/>
      </w:r>
      <w:r w:rsidR="007459F7">
        <w:rPr>
          <w:kern w:val="18"/>
          <w:szCs w:val="18"/>
          <w:cs/>
        </w:rPr>
        <w:t>‎</w:t>
      </w:r>
      <w:r w:rsidR="007459F7">
        <w:rPr>
          <w:kern w:val="18"/>
          <w:szCs w:val="18"/>
        </w:rPr>
        <w:t>0</w:t>
      </w:r>
      <w:r w:rsidRPr="00CA5C2C">
        <w:rPr>
          <w:kern w:val="18"/>
          <w:szCs w:val="18"/>
        </w:rPr>
        <w:fldChar w:fldCharType="end"/>
      </w:r>
      <w:r w:rsidRPr="00CA5C2C">
        <w:rPr>
          <w:kern w:val="18"/>
          <w:szCs w:val="18"/>
        </w:rPr>
        <w:t xml:space="preserve"> of the present</w:t>
      </w:r>
      <w:r w:rsidRPr="00A057EC">
        <w:rPr>
          <w:kern w:val="18"/>
          <w:szCs w:val="18"/>
        </w:rPr>
        <w:t xml:space="preserve"> Plan of Action.</w:t>
      </w:r>
    </w:p>
  </w:footnote>
  <w:footnote w:id="127">
    <w:p w14:paraId="59952FA5" w14:textId="77777777" w:rsidR="0094446B" w:rsidRPr="00F800F5" w:rsidRDefault="0094446B" w:rsidP="00951193">
      <w:pPr>
        <w:pStyle w:val="FootnoteText"/>
        <w:ind w:firstLine="0"/>
        <w:jc w:val="left"/>
        <w:rPr>
          <w:kern w:val="18"/>
          <w:szCs w:val="18"/>
        </w:rPr>
      </w:pPr>
      <w:r w:rsidRPr="00610646">
        <w:rPr>
          <w:rStyle w:val="FootnoteReference"/>
        </w:rPr>
        <w:footnoteRef/>
      </w:r>
      <w:r w:rsidRPr="00F800F5">
        <w:rPr>
          <w:kern w:val="18"/>
          <w:szCs w:val="18"/>
        </w:rPr>
        <w:t xml:space="preserve"> Principle 2 of the ecosystem approach, adopted in decision V/6, </w:t>
      </w:r>
      <w:r>
        <w:rPr>
          <w:kern w:val="18"/>
          <w:szCs w:val="18"/>
        </w:rPr>
        <w:t xml:space="preserve">annex, </w:t>
      </w:r>
      <w:r w:rsidRPr="00F800F5">
        <w:rPr>
          <w:kern w:val="18"/>
          <w:szCs w:val="18"/>
        </w:rPr>
        <w:t>is “Management should be decentrali</w:t>
      </w:r>
      <w:r>
        <w:rPr>
          <w:kern w:val="18"/>
          <w:szCs w:val="18"/>
        </w:rPr>
        <w:t>z</w:t>
      </w:r>
      <w:r w:rsidRPr="00F800F5">
        <w:rPr>
          <w:kern w:val="18"/>
          <w:szCs w:val="18"/>
        </w:rPr>
        <w:t>ed to the lowest appropriate level.”</w:t>
      </w:r>
    </w:p>
  </w:footnote>
  <w:footnote w:id="128">
    <w:p w14:paraId="4B51A37C" w14:textId="77777777" w:rsidR="0094446B" w:rsidRPr="00F800F5" w:rsidRDefault="0094446B" w:rsidP="00951193">
      <w:pPr>
        <w:pStyle w:val="FootnoteText"/>
        <w:ind w:firstLine="0"/>
        <w:jc w:val="left"/>
        <w:rPr>
          <w:kern w:val="18"/>
          <w:szCs w:val="18"/>
        </w:rPr>
      </w:pPr>
      <w:r w:rsidRPr="00610646">
        <w:rPr>
          <w:rStyle w:val="FootnoteReference"/>
        </w:rPr>
        <w:footnoteRef/>
      </w:r>
      <w:r w:rsidRPr="00D705A3">
        <w:rPr>
          <w:kern w:val="18"/>
          <w:szCs w:val="18"/>
        </w:rPr>
        <w:t xml:space="preserve"> Linked with the Sharm El-Sheikh to Kunming </w:t>
      </w:r>
      <w:r w:rsidRPr="008123B7">
        <w:rPr>
          <w:kern w:val="18"/>
          <w:szCs w:val="18"/>
        </w:rPr>
        <w:t>and</w:t>
      </w:r>
      <w:r w:rsidRPr="00D705A3">
        <w:rPr>
          <w:kern w:val="18"/>
          <w:szCs w:val="18"/>
        </w:rPr>
        <w:t xml:space="preserve"> Montreal Action Agenda for Nature and People.</w:t>
      </w:r>
    </w:p>
  </w:footnote>
  <w:footnote w:id="129">
    <w:p w14:paraId="1865B1A3" w14:textId="77777777" w:rsidR="0065659F" w:rsidRPr="00A40C30" w:rsidRDefault="0065659F" w:rsidP="00235279">
      <w:pPr>
        <w:rPr>
          <w:lang w:val="en-US"/>
        </w:rPr>
      </w:pPr>
      <w:r w:rsidRPr="00610646">
        <w:rPr>
          <w:rStyle w:val="FootnoteReference"/>
        </w:rPr>
        <w:footnoteRef/>
      </w:r>
      <w:r>
        <w:t xml:space="preserve"> </w:t>
      </w:r>
      <w:r w:rsidRPr="00A40C30">
        <w:rPr>
          <w:sz w:val="18"/>
          <w:szCs w:val="18"/>
        </w:rPr>
        <w:t xml:space="preserve">Report of the Consultation Workshop of Biodiversity-related Conventions on the Post-2020 Global Biodiversity Framework, Bern, 10-12 June 2019 (CBD/POST2020/WS/2019/6/2) and report of the Second Consultation Workshop of Biodiversity-related Conventions on the Post-2020 Global Biodiversity Framework (Bern II) </w:t>
      </w:r>
      <w:r w:rsidRPr="00A40C30">
        <w:rPr>
          <w:sz w:val="18"/>
          <w:szCs w:val="18"/>
          <w:lang w:val="en-US"/>
        </w:rPr>
        <w:t>(</w:t>
      </w:r>
      <w:r w:rsidRPr="00A40C30">
        <w:rPr>
          <w:sz w:val="18"/>
          <w:szCs w:val="18"/>
        </w:rPr>
        <w:t>CBD/SBI/3/INF/29)</w:t>
      </w:r>
      <w:r>
        <w:rPr>
          <w:sz w:val="18"/>
          <w:szCs w:val="18"/>
        </w:rPr>
        <w:t>.</w:t>
      </w:r>
    </w:p>
  </w:footnote>
  <w:footnote w:id="130">
    <w:p w14:paraId="105C7111" w14:textId="77777777" w:rsidR="0065659F" w:rsidRPr="00A40C30" w:rsidRDefault="0065659F" w:rsidP="00235279">
      <w:pPr>
        <w:rPr>
          <w:rFonts w:asciiTheme="majorBidi" w:hAnsiTheme="majorBidi" w:cstheme="majorBidi"/>
        </w:rPr>
      </w:pPr>
      <w:r w:rsidRPr="00610646">
        <w:rPr>
          <w:rStyle w:val="FootnoteReference"/>
        </w:rPr>
        <w:footnoteRef/>
      </w:r>
      <w:r>
        <w:t xml:space="preserve"> </w:t>
      </w:r>
      <w:r w:rsidRPr="00DA09FD">
        <w:rPr>
          <w:rFonts w:asciiTheme="majorBidi" w:hAnsiTheme="majorBidi" w:cstheme="majorBidi"/>
          <w:kern w:val="18"/>
          <w:sz w:val="18"/>
          <w:szCs w:val="18"/>
        </w:rPr>
        <w:t xml:space="preserve">Secretariat of the Convention on Biological Diversity (2020). </w:t>
      </w:r>
      <w:r w:rsidRPr="00DA09FD">
        <w:rPr>
          <w:rFonts w:asciiTheme="majorBidi" w:hAnsiTheme="majorBidi" w:cstheme="majorBidi"/>
          <w:i/>
          <w:kern w:val="18"/>
          <w:sz w:val="18"/>
          <w:szCs w:val="18"/>
        </w:rPr>
        <w:t>Global Biodiversity Outlook 5</w:t>
      </w:r>
      <w:r w:rsidRPr="00DA09FD">
        <w:rPr>
          <w:rFonts w:asciiTheme="majorBidi" w:hAnsiTheme="majorBidi" w:cstheme="majorBidi"/>
          <w:kern w:val="18"/>
          <w:sz w:val="18"/>
          <w:szCs w:val="18"/>
        </w:rPr>
        <w:t>. Montreal.</w:t>
      </w:r>
    </w:p>
  </w:footnote>
  <w:footnote w:id="131">
    <w:p w14:paraId="456A4B27" w14:textId="77777777" w:rsidR="0065659F" w:rsidRPr="00D445A7" w:rsidRDefault="0065659F" w:rsidP="00235279">
      <w:pPr>
        <w:pStyle w:val="FootnoteText"/>
        <w:ind w:firstLine="0"/>
      </w:pPr>
      <w:r w:rsidRPr="00610646">
        <w:rPr>
          <w:rStyle w:val="FootnoteReference"/>
        </w:rPr>
        <w:footnoteRef/>
      </w:r>
      <w:r>
        <w:t xml:space="preserve"> </w:t>
      </w:r>
      <w:r w:rsidRPr="005B44C4">
        <w:rPr>
          <w:rFonts w:asciiTheme="majorBidi" w:hAnsiTheme="majorBidi" w:cstheme="majorBidi"/>
          <w:kern w:val="18"/>
          <w:szCs w:val="18"/>
        </w:rPr>
        <w:t xml:space="preserve">Sharrock, S. (2020). </w:t>
      </w:r>
      <w:r w:rsidRPr="005B44C4">
        <w:rPr>
          <w:rFonts w:asciiTheme="majorBidi" w:hAnsiTheme="majorBidi" w:cstheme="majorBidi"/>
          <w:i/>
          <w:kern w:val="18"/>
          <w:szCs w:val="18"/>
        </w:rPr>
        <w:t>Plant Conservation Report 2020: A review of progress in implementation of the Global Strategy for Plant Conservation 2011-2020</w:t>
      </w:r>
      <w:r w:rsidRPr="005B44C4">
        <w:rPr>
          <w:rFonts w:asciiTheme="majorBidi" w:hAnsiTheme="majorBidi" w:cstheme="majorBidi"/>
          <w:kern w:val="18"/>
          <w:szCs w:val="18"/>
        </w:rPr>
        <w:t xml:space="preserve">. Secretariat of the Convention on Biological Diversity, Montreal, Canada and Botanic Gardens Conservation International, Richmond, United Kingdom. </w:t>
      </w:r>
      <w:r w:rsidRPr="005B44C4">
        <w:rPr>
          <w:rFonts w:asciiTheme="majorBidi" w:hAnsiTheme="majorBidi" w:cstheme="majorBidi"/>
          <w:i/>
          <w:kern w:val="18"/>
          <w:szCs w:val="18"/>
        </w:rPr>
        <w:t>Technical Series No. 95</w:t>
      </w:r>
      <w:r w:rsidRPr="005B44C4">
        <w:rPr>
          <w:rFonts w:asciiTheme="majorBidi" w:hAnsiTheme="majorBidi" w:cstheme="majorBidi"/>
          <w:kern w:val="18"/>
          <w:szCs w:val="18"/>
        </w:rPr>
        <w:t>.</w:t>
      </w:r>
    </w:p>
  </w:footnote>
  <w:footnote w:id="132">
    <w:p w14:paraId="19D1F6EE" w14:textId="77777777" w:rsidR="0065659F" w:rsidRPr="005D063B" w:rsidRDefault="0065659F" w:rsidP="00235279">
      <w:pPr>
        <w:pStyle w:val="FootnoteText"/>
        <w:ind w:firstLine="0"/>
      </w:pPr>
      <w:r w:rsidRPr="00610646">
        <w:rPr>
          <w:rStyle w:val="FootnoteReference"/>
        </w:rPr>
        <w:footnoteRef/>
      </w:r>
      <w:r>
        <w:t xml:space="preserve"> Resolution XIII.20 </w:t>
      </w:r>
      <w:r w:rsidRPr="00FA2B38">
        <w:rPr>
          <w:color w:val="000000" w:themeColor="text1"/>
          <w:szCs w:val="22"/>
        </w:rPr>
        <w:t xml:space="preserve">on </w:t>
      </w:r>
      <w:r>
        <w:rPr>
          <w:color w:val="000000" w:themeColor="text1"/>
          <w:szCs w:val="22"/>
        </w:rPr>
        <w:t>p</w:t>
      </w:r>
      <w:r w:rsidRPr="006A227D">
        <w:rPr>
          <w:color w:val="000000" w:themeColor="text1"/>
          <w:szCs w:val="22"/>
        </w:rPr>
        <w:t>romoting the conservation and wise use of intertidal wetlands and ecologically-associated habitats</w:t>
      </w:r>
      <w:r>
        <w:rPr>
          <w:color w:val="000000" w:themeColor="text1"/>
          <w:szCs w:val="22"/>
        </w:rPr>
        <w:t>.</w:t>
      </w:r>
    </w:p>
  </w:footnote>
  <w:footnote w:id="133">
    <w:p w14:paraId="26FAC12F" w14:textId="77777777" w:rsidR="0065659F" w:rsidRPr="00A40C30" w:rsidRDefault="0065659F" w:rsidP="00235279">
      <w:pPr>
        <w:pStyle w:val="FootnoteText"/>
        <w:ind w:firstLine="0"/>
        <w:rPr>
          <w:lang w:val="en-US"/>
        </w:rPr>
      </w:pPr>
      <w:r w:rsidRPr="00610646">
        <w:rPr>
          <w:rStyle w:val="FootnoteReference"/>
        </w:rPr>
        <w:footnoteRef/>
      </w:r>
      <w:r>
        <w:t xml:space="preserve"> Resolution 12.25 </w:t>
      </w:r>
      <w:r w:rsidRPr="00FA2B38">
        <w:rPr>
          <w:color w:val="000000" w:themeColor="text1"/>
          <w:szCs w:val="22"/>
        </w:rPr>
        <w:t xml:space="preserve">on </w:t>
      </w:r>
      <w:r>
        <w:rPr>
          <w:color w:val="000000" w:themeColor="text1"/>
          <w:szCs w:val="22"/>
        </w:rPr>
        <w:t>p</w:t>
      </w:r>
      <w:r w:rsidRPr="006A227D">
        <w:rPr>
          <w:color w:val="000000" w:themeColor="text1"/>
          <w:szCs w:val="22"/>
        </w:rPr>
        <w:t>romoting Conservation of Critical Intertidal and Other Coastal Habitats for Migratory Species</w:t>
      </w:r>
      <w:r>
        <w:rPr>
          <w:color w:val="000000" w:themeColor="text1"/>
          <w:szCs w:val="22"/>
        </w:rPr>
        <w:t>.</w:t>
      </w:r>
    </w:p>
  </w:footnote>
  <w:footnote w:id="134">
    <w:p w14:paraId="7CD1EECE" w14:textId="77777777" w:rsidR="0065659F" w:rsidRPr="00BD70D5" w:rsidRDefault="0065659F" w:rsidP="00235279">
      <w:pPr>
        <w:pStyle w:val="FootnoteText"/>
        <w:ind w:firstLine="0"/>
      </w:pPr>
      <w:r w:rsidRPr="00610646">
        <w:rPr>
          <w:rStyle w:val="FootnoteReference"/>
        </w:rPr>
        <w:footnoteRef/>
      </w:r>
      <w:r>
        <w:t xml:space="preserve"> UNEP/EA.5/Res/5.</w:t>
      </w:r>
    </w:p>
  </w:footnote>
  <w:footnote w:id="135">
    <w:p w14:paraId="34437ABF" w14:textId="77777777" w:rsidR="00DA0273" w:rsidRPr="00F03EE2" w:rsidRDefault="00DA0273" w:rsidP="00710D42">
      <w:pPr>
        <w:pStyle w:val="FootnoteText"/>
        <w:suppressLineNumbers/>
        <w:suppressAutoHyphens/>
        <w:kinsoku w:val="0"/>
        <w:overflowPunct w:val="0"/>
        <w:autoSpaceDE w:val="0"/>
        <w:autoSpaceDN w:val="0"/>
        <w:ind w:firstLine="0"/>
        <w:jc w:val="left"/>
        <w:rPr>
          <w:szCs w:val="18"/>
          <w:lang w:val="it-IT"/>
        </w:rPr>
      </w:pPr>
      <w:r w:rsidRPr="00610646">
        <w:rPr>
          <w:rStyle w:val="FootnoteReference"/>
        </w:rPr>
        <w:footnoteRef/>
      </w:r>
      <w:r w:rsidRPr="00F03EE2">
        <w:rPr>
          <w:szCs w:val="18"/>
          <w:lang w:val="it-IT"/>
        </w:rPr>
        <w:t xml:space="preserve"> Decision VII/24, paragraph 4(ii); decision VIII/6, para. 9.</w:t>
      </w:r>
    </w:p>
  </w:footnote>
  <w:footnote w:id="136">
    <w:p w14:paraId="1BC8C6A8" w14:textId="77777777" w:rsidR="00DA0273" w:rsidRPr="00F03EE2" w:rsidRDefault="00DA0273" w:rsidP="00710D42">
      <w:pPr>
        <w:pStyle w:val="FootnoteText"/>
        <w:ind w:firstLine="0"/>
        <w:rPr>
          <w:lang w:val="it-IT"/>
        </w:rPr>
      </w:pPr>
      <w:r w:rsidRPr="00610646">
        <w:rPr>
          <w:rStyle w:val="FootnoteReference"/>
        </w:rPr>
        <w:footnoteRef/>
      </w:r>
      <w:r w:rsidRPr="00F03EE2">
        <w:rPr>
          <w:lang w:val="it-IT"/>
        </w:rPr>
        <w:t xml:space="preserve"> CBD/SBI/3/9.</w:t>
      </w:r>
    </w:p>
  </w:footnote>
  <w:footnote w:id="137">
    <w:p w14:paraId="0079E9A3" w14:textId="22176B9A" w:rsidR="00DA0273" w:rsidRPr="00F03EE2" w:rsidRDefault="00DA0273" w:rsidP="00797EDB">
      <w:pPr>
        <w:pStyle w:val="FootnoteText"/>
        <w:ind w:firstLine="0"/>
        <w:jc w:val="left"/>
        <w:rPr>
          <w:kern w:val="18"/>
          <w:szCs w:val="18"/>
          <w:lang w:val="it-IT"/>
        </w:rPr>
      </w:pPr>
      <w:r w:rsidRPr="00610646">
        <w:rPr>
          <w:rStyle w:val="FootnoteReference"/>
        </w:rPr>
        <w:footnoteRef/>
      </w:r>
      <w:r w:rsidRPr="00F03EE2">
        <w:rPr>
          <w:kern w:val="18"/>
          <w:szCs w:val="18"/>
          <w:lang w:val="it-IT"/>
        </w:rPr>
        <w:t xml:space="preserve"> </w:t>
      </w:r>
      <w:hyperlink r:id="rId36" w:history="1">
        <w:r w:rsidRPr="00F03EE2">
          <w:rPr>
            <w:rStyle w:val="Hyperlink"/>
            <w:kern w:val="18"/>
            <w:szCs w:val="18"/>
            <w:lang w:val="it-IT"/>
          </w:rPr>
          <w:t>https://www.cbd.int/cepa/toolkit/2008/doc/CBD-Toolkit-Complete.pdf</w:t>
        </w:r>
      </w:hyperlink>
      <w:r w:rsidRPr="00F03EE2">
        <w:rPr>
          <w:kern w:val="18"/>
          <w:szCs w:val="18"/>
          <w:lang w:val="it-IT"/>
        </w:rPr>
        <w:t>.</w:t>
      </w:r>
    </w:p>
  </w:footnote>
  <w:footnote w:id="138">
    <w:p w14:paraId="6004B415" w14:textId="77777777" w:rsidR="00DA0273" w:rsidRPr="00F03EE2" w:rsidRDefault="00DA0273" w:rsidP="00797EDB">
      <w:pPr>
        <w:jc w:val="left"/>
        <w:rPr>
          <w:rFonts w:asciiTheme="majorBidi" w:hAnsiTheme="majorBidi" w:cstheme="majorBidi"/>
          <w:kern w:val="18"/>
          <w:szCs w:val="18"/>
        </w:rPr>
      </w:pPr>
      <w:r w:rsidRPr="00610646">
        <w:rPr>
          <w:rStyle w:val="FootnoteReference"/>
        </w:rPr>
        <w:footnoteRef/>
      </w:r>
      <w:r w:rsidRPr="00F03EE2">
        <w:rPr>
          <w:sz w:val="18"/>
          <w:szCs w:val="18"/>
          <w:lang w:val="en-US"/>
        </w:rPr>
        <w:t xml:space="preserve"> </w:t>
      </w:r>
      <w:r w:rsidRPr="00F03EE2">
        <w:rPr>
          <w:rFonts w:asciiTheme="majorBidi" w:hAnsiTheme="majorBidi" w:cstheme="majorBidi"/>
          <w:kern w:val="18"/>
          <w:sz w:val="18"/>
          <w:szCs w:val="18"/>
        </w:rPr>
        <w:t xml:space="preserve">Secretariat of the Convention on Biological Diversity (2020). </w:t>
      </w:r>
      <w:r w:rsidRPr="00F03EE2">
        <w:rPr>
          <w:rFonts w:asciiTheme="majorBidi" w:hAnsiTheme="majorBidi" w:cstheme="majorBidi"/>
          <w:i/>
          <w:kern w:val="18"/>
          <w:sz w:val="18"/>
          <w:szCs w:val="18"/>
        </w:rPr>
        <w:t>Global Biodiversity Outlook 5</w:t>
      </w:r>
      <w:r w:rsidRPr="00F03EE2">
        <w:rPr>
          <w:rFonts w:asciiTheme="majorBidi" w:hAnsiTheme="majorBidi" w:cstheme="majorBidi"/>
          <w:kern w:val="18"/>
          <w:sz w:val="18"/>
          <w:szCs w:val="18"/>
        </w:rPr>
        <w:t>. Montreal</w:t>
      </w:r>
      <w:r>
        <w:rPr>
          <w:rFonts w:asciiTheme="majorBidi" w:hAnsiTheme="majorBidi" w:cstheme="majorBidi"/>
          <w:kern w:val="18"/>
          <w:sz w:val="18"/>
          <w:szCs w:val="18"/>
        </w:rPr>
        <w:t>.</w:t>
      </w:r>
    </w:p>
  </w:footnote>
  <w:footnote w:id="139">
    <w:p w14:paraId="2F7D675E" w14:textId="7787B5A1" w:rsidR="00DA0273" w:rsidRPr="00F03EE2" w:rsidRDefault="00DA0273" w:rsidP="00797EDB">
      <w:pPr>
        <w:pStyle w:val="FootnoteText"/>
        <w:ind w:firstLine="0"/>
        <w:jc w:val="left"/>
        <w:rPr>
          <w:kern w:val="18"/>
          <w:szCs w:val="18"/>
        </w:rPr>
      </w:pPr>
      <w:r w:rsidRPr="00610646">
        <w:rPr>
          <w:rStyle w:val="FootnoteReference"/>
        </w:rPr>
        <w:footnoteRef/>
      </w:r>
      <w:r w:rsidRPr="00F03EE2">
        <w:rPr>
          <w:kern w:val="18"/>
          <w:szCs w:val="18"/>
        </w:rPr>
        <w:t xml:space="preserve"> </w:t>
      </w:r>
      <w:hyperlink r:id="rId37" w:history="1">
        <w:r w:rsidRPr="00F03EE2">
          <w:rPr>
            <w:rStyle w:val="Hyperlink"/>
            <w:kern w:val="18"/>
            <w:szCs w:val="18"/>
          </w:rPr>
          <w:t>https://ontheedge.org/impact/sentiment-tracker</w:t>
        </w:r>
      </w:hyperlink>
      <w:r w:rsidRPr="00F03EE2">
        <w:rPr>
          <w:kern w:val="18"/>
          <w:szCs w:val="18"/>
        </w:rPr>
        <w:t>.</w:t>
      </w:r>
    </w:p>
  </w:footnote>
  <w:footnote w:id="140">
    <w:p w14:paraId="78F34900" w14:textId="77777777" w:rsidR="00DA0273" w:rsidRPr="001769C1" w:rsidRDefault="00DA0273" w:rsidP="00797EDB">
      <w:pPr>
        <w:pStyle w:val="FootnoteText"/>
        <w:ind w:firstLine="0"/>
        <w:jc w:val="left"/>
        <w:rPr>
          <w:szCs w:val="18"/>
          <w:lang w:val="en-CA"/>
        </w:rPr>
      </w:pPr>
      <w:r w:rsidRPr="00610646">
        <w:rPr>
          <w:rStyle w:val="FootnoteReference"/>
        </w:rPr>
        <w:footnoteRef/>
      </w:r>
      <w:r w:rsidRPr="001769C1">
        <w:rPr>
          <w:szCs w:val="18"/>
        </w:rPr>
        <w:t xml:space="preserve"> Brazil, France, Germany, United Kingdom of Great Britain and Northern Ireland, and United States of America.</w:t>
      </w:r>
    </w:p>
  </w:footnote>
  <w:footnote w:id="141">
    <w:p w14:paraId="28448C9F" w14:textId="2C4FD4A8" w:rsidR="00DA0273" w:rsidRPr="001769C1" w:rsidRDefault="00DA0273" w:rsidP="00797EDB">
      <w:pPr>
        <w:pStyle w:val="FootnoteText"/>
        <w:ind w:firstLine="0"/>
        <w:jc w:val="left"/>
        <w:rPr>
          <w:kern w:val="18"/>
          <w:szCs w:val="18"/>
        </w:rPr>
      </w:pPr>
      <w:r w:rsidRPr="00610646">
        <w:rPr>
          <w:rStyle w:val="FootnoteReference"/>
        </w:rPr>
        <w:footnoteRef/>
      </w:r>
      <w:r w:rsidRPr="001769C1">
        <w:rPr>
          <w:kern w:val="18"/>
          <w:szCs w:val="18"/>
        </w:rPr>
        <w:t xml:space="preserve"> </w:t>
      </w:r>
      <w:hyperlink r:id="rId38" w:anchor="uebt-biodiversity-barometer-2020" w:history="1">
        <w:r w:rsidRPr="001769C1">
          <w:rPr>
            <w:rStyle w:val="Hyperlink"/>
            <w:kern w:val="18"/>
            <w:szCs w:val="18"/>
          </w:rPr>
          <w:t>http://www.biodiversitybarometer.org/#uebt-biodiversity-barometer-2020</w:t>
        </w:r>
      </w:hyperlink>
      <w:r w:rsidRPr="001769C1">
        <w:rPr>
          <w:kern w:val="18"/>
          <w:szCs w:val="18"/>
        </w:rPr>
        <w:t>.</w:t>
      </w:r>
    </w:p>
  </w:footnote>
  <w:footnote w:id="142">
    <w:p w14:paraId="68D380E8" w14:textId="0D9DEB8E" w:rsidR="00DA0273" w:rsidRPr="00C55083" w:rsidRDefault="00DA0273" w:rsidP="00797EDB">
      <w:pPr>
        <w:pStyle w:val="FootnoteText"/>
        <w:ind w:firstLine="0"/>
        <w:jc w:val="left"/>
        <w:rPr>
          <w:kern w:val="18"/>
          <w:szCs w:val="18"/>
        </w:rPr>
      </w:pPr>
      <w:r w:rsidRPr="00610646">
        <w:rPr>
          <w:rStyle w:val="FootnoteReference"/>
        </w:rPr>
        <w:footnoteRef/>
      </w:r>
      <w:r w:rsidRPr="001769C1">
        <w:rPr>
          <w:kern w:val="18"/>
          <w:szCs w:val="18"/>
        </w:rPr>
        <w:t> </w:t>
      </w:r>
      <w:hyperlink r:id="rId39" w:history="1">
        <w:r w:rsidRPr="001769C1">
          <w:rPr>
            <w:rStyle w:val="Hyperlink"/>
            <w:kern w:val="18"/>
            <w:szCs w:val="18"/>
          </w:rPr>
          <w:t>https://wwfint.awsassets.panda.org/downloads/an_ecowakening_measuring_awareness__engagement_and_action_for_nature_final_may_2021__.pdf</w:t>
        </w:r>
      </w:hyperlink>
      <w:r w:rsidRPr="001769C1">
        <w:rPr>
          <w:rFonts w:asciiTheme="majorBidi" w:hAnsiTheme="majorBidi" w:cstheme="majorBidi"/>
          <w:spacing w:val="-12"/>
          <w:kern w:val="18"/>
          <w:szCs w:val="18"/>
        </w:rPr>
        <w:t>.</w:t>
      </w:r>
      <w:r>
        <w:rPr>
          <w:rFonts w:asciiTheme="majorBidi" w:hAnsiTheme="majorBidi" w:cstheme="majorBidi"/>
          <w:spacing w:val="-12"/>
          <w:kern w:val="18"/>
          <w:szCs w:val="18"/>
        </w:rPr>
        <w:t xml:space="preserve"> </w:t>
      </w:r>
    </w:p>
  </w:footnote>
  <w:footnote w:id="143">
    <w:p w14:paraId="1505399F" w14:textId="77777777" w:rsidR="00DA0273" w:rsidRPr="00FE0F28" w:rsidRDefault="00DA0273" w:rsidP="00057A35">
      <w:pPr>
        <w:pStyle w:val="FootnoteText"/>
        <w:ind w:firstLine="0"/>
        <w:jc w:val="left"/>
        <w:rPr>
          <w:kern w:val="18"/>
          <w:szCs w:val="18"/>
        </w:rPr>
      </w:pPr>
      <w:r w:rsidRPr="00610646">
        <w:rPr>
          <w:rStyle w:val="FootnoteReference"/>
        </w:rPr>
        <w:footnoteRef/>
      </w:r>
      <w:r w:rsidRPr="00FE0F28">
        <w:rPr>
          <w:kern w:val="18"/>
          <w:szCs w:val="18"/>
        </w:rPr>
        <w:t xml:space="preserve"> Tentative dates, to be determined by the Conference of the Parties.</w:t>
      </w:r>
    </w:p>
  </w:footnote>
  <w:footnote w:id="144">
    <w:p w14:paraId="04804D7A" w14:textId="77777777" w:rsidR="00DA0273" w:rsidRPr="00957BCB" w:rsidRDefault="00DA0273" w:rsidP="00263051">
      <w:pPr>
        <w:pStyle w:val="FootnoteText"/>
        <w:ind w:firstLine="0"/>
        <w:rPr>
          <w:szCs w:val="18"/>
          <w:lang w:val="en-US"/>
        </w:rPr>
      </w:pPr>
      <w:r w:rsidRPr="00610646">
        <w:rPr>
          <w:rStyle w:val="FootnoteReference"/>
        </w:rPr>
        <w:footnoteRef/>
      </w:r>
      <w:r w:rsidRPr="00060F33">
        <w:rPr>
          <w:szCs w:val="18"/>
        </w:rPr>
        <w:t xml:space="preserve"> </w:t>
      </w:r>
      <w:r w:rsidRPr="00060F33">
        <w:rPr>
          <w:szCs w:val="18"/>
          <w:lang w:val="en-US"/>
        </w:rPr>
        <w:t>See decision XIII/29.</w:t>
      </w:r>
    </w:p>
  </w:footnote>
  <w:footnote w:id="145">
    <w:p w14:paraId="4928E416" w14:textId="7E6254BD" w:rsidR="00DA0273" w:rsidRPr="00797E10" w:rsidRDefault="00DA0273" w:rsidP="003F12C5">
      <w:pPr>
        <w:keepLines/>
        <w:pBdr>
          <w:top w:val="nil"/>
          <w:left w:val="nil"/>
          <w:bottom w:val="nil"/>
          <w:right w:val="nil"/>
          <w:between w:val="nil"/>
        </w:pBdr>
        <w:jc w:val="left"/>
        <w:rPr>
          <w:color w:val="000000"/>
          <w:kern w:val="18"/>
          <w:sz w:val="18"/>
          <w:szCs w:val="18"/>
        </w:rPr>
      </w:pPr>
      <w:r w:rsidRPr="00610646">
        <w:rPr>
          <w:rStyle w:val="FootnoteReference"/>
        </w:rPr>
        <w:footnoteRef/>
      </w:r>
      <w:r w:rsidRPr="00797E10">
        <w:rPr>
          <w:color w:val="000000"/>
          <w:kern w:val="18"/>
          <w:sz w:val="18"/>
          <w:szCs w:val="18"/>
        </w:rPr>
        <w:t xml:space="preserve"> General Assembly resolution </w:t>
      </w:r>
      <w:hyperlink r:id="rId40">
        <w:r w:rsidRPr="00797E10">
          <w:rPr>
            <w:color w:val="0000FF"/>
            <w:kern w:val="18"/>
            <w:sz w:val="18"/>
            <w:szCs w:val="18"/>
            <w:u w:val="single"/>
          </w:rPr>
          <w:t>70/1</w:t>
        </w:r>
      </w:hyperlink>
      <w:r w:rsidRPr="00797E10">
        <w:rPr>
          <w:color w:val="000000"/>
          <w:kern w:val="18"/>
          <w:sz w:val="18"/>
          <w:szCs w:val="18"/>
        </w:rPr>
        <w:t>.</w:t>
      </w:r>
    </w:p>
  </w:footnote>
  <w:footnote w:id="146">
    <w:p w14:paraId="40C3049F" w14:textId="77777777" w:rsidR="00DA0273" w:rsidRPr="00797E10" w:rsidRDefault="00DA0273" w:rsidP="003F12C5">
      <w:pPr>
        <w:keepLines/>
        <w:jc w:val="left"/>
        <w:rPr>
          <w:color w:val="000000"/>
          <w:kern w:val="18"/>
          <w:sz w:val="18"/>
          <w:szCs w:val="18"/>
        </w:rPr>
      </w:pPr>
      <w:r w:rsidRPr="00610646">
        <w:rPr>
          <w:rStyle w:val="FootnoteReference"/>
        </w:rPr>
        <w:footnoteRef/>
      </w:r>
      <w:r w:rsidRPr="00797E10">
        <w:rPr>
          <w:color w:val="000000"/>
          <w:kern w:val="18"/>
          <w:sz w:val="18"/>
          <w:szCs w:val="18"/>
        </w:rPr>
        <w:t xml:space="preserve"> </w:t>
      </w:r>
      <w:r w:rsidRPr="00844D78">
        <w:rPr>
          <w:color w:val="000000"/>
          <w:kern w:val="18"/>
          <w:sz w:val="18"/>
          <w:szCs w:val="18"/>
        </w:rPr>
        <w:t xml:space="preserve">See </w:t>
      </w:r>
      <w:r w:rsidRPr="00797E10">
        <w:rPr>
          <w:color w:val="000000"/>
          <w:kern w:val="18"/>
          <w:sz w:val="18"/>
          <w:szCs w:val="18"/>
        </w:rPr>
        <w:t>General Assembly resolution</w:t>
      </w:r>
      <w:r>
        <w:rPr>
          <w:color w:val="000000"/>
          <w:kern w:val="18"/>
          <w:sz w:val="18"/>
          <w:szCs w:val="18"/>
        </w:rPr>
        <w:t xml:space="preserve"> </w:t>
      </w:r>
      <w:r w:rsidRPr="00844D78">
        <w:rPr>
          <w:color w:val="000000"/>
          <w:kern w:val="18"/>
          <w:sz w:val="18"/>
          <w:szCs w:val="18"/>
        </w:rPr>
        <w:t>72/73, para. 292</w:t>
      </w:r>
      <w:r w:rsidRPr="00797E10">
        <w:rPr>
          <w:color w:val="000000"/>
          <w:kern w:val="18"/>
          <w:sz w:val="18"/>
          <w:szCs w:val="18"/>
        </w:rPr>
        <w:t>.</w:t>
      </w:r>
    </w:p>
  </w:footnote>
  <w:footnote w:id="147">
    <w:p w14:paraId="14951F6E" w14:textId="77777777" w:rsidR="00DA0273" w:rsidRPr="00646159" w:rsidRDefault="00DA0273" w:rsidP="00F03EE2">
      <w:pPr>
        <w:pStyle w:val="FootnoteText"/>
        <w:ind w:firstLine="0"/>
        <w:jc w:val="left"/>
      </w:pPr>
      <w:r w:rsidRPr="00610646">
        <w:rPr>
          <w:rStyle w:val="FootnoteReference"/>
        </w:rPr>
        <w:footnoteRef/>
      </w:r>
      <w:r w:rsidRPr="00E51F76">
        <w:rPr>
          <w:szCs w:val="18"/>
        </w:rPr>
        <w:t xml:space="preserve"> </w:t>
      </w:r>
      <w:r w:rsidRPr="00646159">
        <w:t xml:space="preserve">The Convention on Biological Diversity, the Convention on </w:t>
      </w:r>
      <w:r>
        <w:t xml:space="preserve">the </w:t>
      </w:r>
      <w:r w:rsidRPr="00646159">
        <w:t>Conservation of Migratory Species</w:t>
      </w:r>
      <w:r>
        <w:t xml:space="preserve"> of Wild Animals</w:t>
      </w:r>
      <w:r w:rsidRPr="00646159">
        <w:t>, the Convention on International Trade in Endangered Species of Wild Fauna and Flora, the International Treaty on Plant Genetic Resources for Food and Agriculture, the Ramsar Convention on Wetlands, the World Heritage Convention, the International Plant Protection Convention and the International Whaling Commission</w:t>
      </w:r>
      <w:r>
        <w:t>.</w:t>
      </w:r>
    </w:p>
  </w:footnote>
  <w:footnote w:id="148">
    <w:p w14:paraId="37E3865E" w14:textId="1D59D2AB" w:rsidR="00DA0273" w:rsidRPr="00060F33" w:rsidRDefault="00DA0273" w:rsidP="00060F33">
      <w:pPr>
        <w:pStyle w:val="FootnoteText"/>
        <w:ind w:firstLine="0"/>
      </w:pPr>
      <w:r w:rsidRPr="00610646">
        <w:rPr>
          <w:rStyle w:val="FootnoteReference"/>
        </w:rPr>
        <w:footnoteRef/>
      </w:r>
      <w:r>
        <w:t xml:space="preserve"> </w:t>
      </w:r>
      <w:hyperlink r:id="rId41" w:tgtFrame="_blank" w:tooltip="https://youngoclimate.org/" w:history="1">
        <w:r w:rsidRPr="00060F33">
          <w:rPr>
            <w:rStyle w:val="Hyperlink"/>
            <w:rFonts w:asciiTheme="majorBidi" w:hAnsiTheme="majorBidi" w:cstheme="majorBidi"/>
            <w:color w:val="auto"/>
            <w:szCs w:val="18"/>
            <w:u w:val="none"/>
            <w:bdr w:val="none" w:sz="0" w:space="0" w:color="auto" w:frame="1"/>
            <w:shd w:val="clear" w:color="auto" w:fill="FFFFFF"/>
          </w:rPr>
          <w:t>https://youngoclimate.org</w:t>
        </w:r>
      </w:hyperlink>
      <w:r>
        <w:rPr>
          <w:rStyle w:val="Hyperlink"/>
          <w:rFonts w:asciiTheme="majorBidi" w:hAnsiTheme="majorBidi" w:cstheme="majorBidi"/>
          <w:color w:val="auto"/>
          <w:szCs w:val="18"/>
          <w:u w:val="none"/>
          <w:bdr w:val="none" w:sz="0" w:space="0" w:color="auto" w:frame="1"/>
          <w:shd w:val="clear" w:color="auto" w:fill="FFFFFF"/>
        </w:rPr>
        <w:t>.</w:t>
      </w:r>
      <w:r>
        <w:rPr>
          <w:rFonts w:asciiTheme="majorBidi" w:hAnsiTheme="majorBidi" w:cstheme="majorBidi"/>
          <w:szCs w:val="18"/>
        </w:rPr>
        <w:t xml:space="preserve"> </w:t>
      </w:r>
    </w:p>
  </w:footnote>
  <w:footnote w:id="149">
    <w:p w14:paraId="2EA6A1F6" w14:textId="19F3B547" w:rsidR="00DA0273" w:rsidRPr="00797E10" w:rsidRDefault="00DA0273" w:rsidP="00477193">
      <w:pPr>
        <w:keepLines/>
        <w:pBdr>
          <w:top w:val="nil"/>
          <w:left w:val="nil"/>
          <w:bottom w:val="nil"/>
          <w:right w:val="nil"/>
          <w:between w:val="nil"/>
        </w:pBdr>
        <w:jc w:val="left"/>
        <w:rPr>
          <w:color w:val="000000"/>
          <w:kern w:val="18"/>
          <w:sz w:val="18"/>
          <w:szCs w:val="18"/>
        </w:rPr>
      </w:pPr>
      <w:r w:rsidRPr="00610646">
        <w:rPr>
          <w:rStyle w:val="FootnoteReference"/>
        </w:rPr>
        <w:footnoteRef/>
      </w:r>
      <w:r w:rsidRPr="00797E10">
        <w:rPr>
          <w:color w:val="000000"/>
          <w:kern w:val="18"/>
          <w:sz w:val="18"/>
          <w:szCs w:val="18"/>
        </w:rPr>
        <w:t xml:space="preserve"> Conference of the Parties, decision </w:t>
      </w:r>
      <w:hyperlink r:id="rId42">
        <w:r w:rsidRPr="00797E10">
          <w:rPr>
            <w:color w:val="0000FF"/>
            <w:kern w:val="18"/>
            <w:sz w:val="18"/>
            <w:szCs w:val="18"/>
            <w:u w:val="single"/>
          </w:rPr>
          <w:t>X/2</w:t>
        </w:r>
      </w:hyperlink>
      <w:r w:rsidRPr="00797E10">
        <w:rPr>
          <w:color w:val="000000"/>
          <w:kern w:val="18"/>
          <w:sz w:val="18"/>
          <w:szCs w:val="18"/>
        </w:rPr>
        <w:t>.</w:t>
      </w:r>
    </w:p>
  </w:footnote>
  <w:footnote w:id="150">
    <w:p w14:paraId="49A01DBA" w14:textId="77777777" w:rsidR="00DA0273" w:rsidRPr="00F03EE2" w:rsidRDefault="00DA0273" w:rsidP="00477193">
      <w:pPr>
        <w:pStyle w:val="FootnoteText"/>
        <w:ind w:firstLine="0"/>
        <w:rPr>
          <w:szCs w:val="18"/>
          <w:lang w:val="it-IT"/>
        </w:rPr>
      </w:pPr>
      <w:r w:rsidRPr="00610646">
        <w:rPr>
          <w:rStyle w:val="FootnoteReference"/>
        </w:rPr>
        <w:footnoteRef/>
      </w:r>
      <w:r w:rsidRPr="00F03EE2">
        <w:rPr>
          <w:szCs w:val="18"/>
          <w:lang w:val="it-IT"/>
        </w:rPr>
        <w:t xml:space="preserve"> Decision 15/11.</w:t>
      </w:r>
    </w:p>
  </w:footnote>
  <w:footnote w:id="151">
    <w:p w14:paraId="1EA14DBA" w14:textId="357E1F63" w:rsidR="00DA0273" w:rsidRPr="00F03EE2" w:rsidRDefault="00DA0273" w:rsidP="00DE52D9">
      <w:pPr>
        <w:pStyle w:val="FootnoteText"/>
        <w:ind w:firstLine="0"/>
        <w:rPr>
          <w:szCs w:val="18"/>
          <w:lang w:val="it-IT"/>
        </w:rPr>
      </w:pPr>
      <w:r w:rsidRPr="00610646">
        <w:rPr>
          <w:rStyle w:val="FootnoteReference"/>
        </w:rPr>
        <w:footnoteRef/>
      </w:r>
      <w:r w:rsidRPr="00F03EE2">
        <w:rPr>
          <w:szCs w:val="18"/>
          <w:lang w:val="it-IT"/>
        </w:rPr>
        <w:t xml:space="preserve"> </w:t>
      </w:r>
      <w:hyperlink r:id="rId43" w:history="1">
        <w:r w:rsidRPr="00F03EE2">
          <w:rPr>
            <w:rStyle w:val="Hyperlink"/>
            <w:snapToGrid w:val="0"/>
            <w:kern w:val="22"/>
            <w:szCs w:val="18"/>
            <w:lang w:val="it-IT"/>
          </w:rPr>
          <w:t>https://www.cbd.int/article/people-for-our-planet-aggregator</w:t>
        </w:r>
      </w:hyperlink>
      <w:r w:rsidRPr="00F03EE2">
        <w:rPr>
          <w:szCs w:val="18"/>
          <w:lang w:val="it-IT"/>
        </w:rPr>
        <w:t>.</w:t>
      </w:r>
    </w:p>
  </w:footnote>
  <w:footnote w:id="152">
    <w:p w14:paraId="2D2F944A" w14:textId="77777777" w:rsidR="00DA0273" w:rsidRPr="00F03EE2" w:rsidRDefault="00DA0273" w:rsidP="00F03EE2">
      <w:pPr>
        <w:pStyle w:val="FootnoteText"/>
        <w:ind w:firstLine="0"/>
        <w:rPr>
          <w:lang w:val="en-US"/>
        </w:rPr>
      </w:pPr>
      <w:r w:rsidRPr="00610646">
        <w:rPr>
          <w:rStyle w:val="FootnoteReference"/>
        </w:rPr>
        <w:footnoteRef/>
      </w:r>
      <w:r w:rsidRPr="005E3A73">
        <w:rPr>
          <w:szCs w:val="18"/>
        </w:rPr>
        <w:t xml:space="preserve"> </w:t>
      </w:r>
      <w:r w:rsidRPr="005E3A73">
        <w:rPr>
          <w:szCs w:val="18"/>
          <w:lang w:val="en-US"/>
        </w:rPr>
        <w:t>Decision 15/5.</w:t>
      </w:r>
    </w:p>
  </w:footnote>
  <w:footnote w:id="153">
    <w:p w14:paraId="2F09DBE7" w14:textId="77777777" w:rsidR="00DA0273" w:rsidRPr="008079EE" w:rsidRDefault="00DA0273" w:rsidP="000E778E">
      <w:pPr>
        <w:pStyle w:val="FootnoteText"/>
        <w:ind w:firstLine="0"/>
      </w:pPr>
      <w:r w:rsidRPr="00610646">
        <w:rPr>
          <w:rStyle w:val="FootnoteReference"/>
        </w:rPr>
        <w:footnoteRef/>
      </w:r>
      <w:r>
        <w:t xml:space="preserve"> CBD/COP/15/8.</w:t>
      </w:r>
    </w:p>
  </w:footnote>
  <w:footnote w:id="154">
    <w:p w14:paraId="28460915" w14:textId="77777777" w:rsidR="00DA0273" w:rsidRPr="00B926B8" w:rsidRDefault="00DA0273" w:rsidP="00E66C6E">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B926B8">
        <w:rPr>
          <w:kern w:val="18"/>
          <w:szCs w:val="18"/>
        </w:rPr>
        <w:t xml:space="preserve"> </w:t>
      </w:r>
      <w:r>
        <w:rPr>
          <w:kern w:val="18"/>
          <w:szCs w:val="18"/>
        </w:rPr>
        <w:t>The executive summary is available in CBD/SBI/3/6/Add.2/Rev.1 and the full report is available in CBD/SBI/3/INF/44.</w:t>
      </w:r>
    </w:p>
  </w:footnote>
  <w:footnote w:id="155">
    <w:p w14:paraId="21D72E24" w14:textId="59C2F130" w:rsidR="00DA0273" w:rsidRPr="00824CC1" w:rsidRDefault="00DA0273" w:rsidP="00E21EEB">
      <w:pPr>
        <w:pStyle w:val="FootnoteText"/>
        <w:ind w:firstLine="0"/>
      </w:pPr>
      <w:r w:rsidRPr="00610646">
        <w:rPr>
          <w:rStyle w:val="FootnoteReference"/>
        </w:rPr>
        <w:footnoteRef/>
      </w:r>
      <w:r>
        <w:t xml:space="preserve"> </w:t>
      </w:r>
      <w:bookmarkStart w:id="201" w:name="_Hlk122084754"/>
      <w:r>
        <w:t>Replenishment of the Global Environment Facility refers to replenishment of the Global Environment Facility Trust Fund</w:t>
      </w:r>
      <w:bookmarkEnd w:id="201"/>
      <w:r w:rsidR="00DA4E24">
        <w:t>.</w:t>
      </w:r>
    </w:p>
  </w:footnote>
  <w:footnote w:id="156">
    <w:p w14:paraId="5711E7CE" w14:textId="77777777" w:rsidR="00DA0273" w:rsidRPr="00A01C63" w:rsidRDefault="00DA0273" w:rsidP="000E778E">
      <w:pPr>
        <w:pStyle w:val="FootnoteText"/>
        <w:ind w:firstLine="0"/>
      </w:pPr>
      <w:r w:rsidRPr="00610646">
        <w:rPr>
          <w:rStyle w:val="FootnoteReference"/>
        </w:rPr>
        <w:footnoteRef/>
      </w:r>
      <w:r>
        <w:t xml:space="preserve"> Decision 15/4, annex.</w:t>
      </w:r>
    </w:p>
  </w:footnote>
  <w:footnote w:id="157">
    <w:p w14:paraId="64F6A3AC" w14:textId="77777777" w:rsidR="00DA0273" w:rsidRPr="00E26015" w:rsidRDefault="00DA0273" w:rsidP="000E778E">
      <w:pPr>
        <w:pStyle w:val="FootnoteText"/>
        <w:ind w:firstLine="0"/>
      </w:pPr>
      <w:r w:rsidRPr="00610646">
        <w:rPr>
          <w:rStyle w:val="FootnoteReference"/>
        </w:rPr>
        <w:footnoteRef/>
      </w:r>
      <w:r>
        <w:t xml:space="preserve"> Decision 15/5, annex I.</w:t>
      </w:r>
    </w:p>
  </w:footnote>
  <w:footnote w:id="158">
    <w:p w14:paraId="64F1F584" w14:textId="77777777" w:rsidR="00DA0273" w:rsidRPr="000E778E" w:rsidRDefault="00DA0273" w:rsidP="006B08B1">
      <w:pPr>
        <w:pStyle w:val="FootnoteText"/>
        <w:ind w:firstLine="0"/>
        <w:rPr>
          <w:lang w:val="en-US"/>
        </w:rPr>
      </w:pPr>
      <w:r w:rsidRPr="00610646">
        <w:rPr>
          <w:rStyle w:val="FootnoteReference"/>
        </w:rPr>
        <w:footnoteRef/>
      </w:r>
      <w:r>
        <w:t xml:space="preserve"> </w:t>
      </w:r>
      <w:r>
        <w:rPr>
          <w:lang w:val="en-US"/>
        </w:rPr>
        <w:t>Decision 15/7.</w:t>
      </w:r>
    </w:p>
  </w:footnote>
  <w:footnote w:id="159">
    <w:p w14:paraId="3164C8B5" w14:textId="77777777" w:rsidR="00DA0273" w:rsidRPr="000E778E" w:rsidRDefault="00DA0273" w:rsidP="006B08B1">
      <w:pPr>
        <w:pStyle w:val="FootnoteText"/>
        <w:ind w:firstLine="0"/>
        <w:rPr>
          <w:lang w:val="en-US"/>
        </w:rPr>
      </w:pPr>
      <w:r w:rsidRPr="00610646">
        <w:rPr>
          <w:rStyle w:val="FootnoteReference"/>
        </w:rPr>
        <w:footnoteRef/>
      </w:r>
      <w:r>
        <w:t xml:space="preserve"> </w:t>
      </w:r>
      <w:r>
        <w:rPr>
          <w:lang w:val="en-US"/>
        </w:rPr>
        <w:t>Decision 15/8, annex I.</w:t>
      </w:r>
    </w:p>
  </w:footnote>
  <w:footnote w:id="160">
    <w:p w14:paraId="027495FC" w14:textId="77777777" w:rsidR="00DA0273" w:rsidRPr="000E778E" w:rsidRDefault="00DA0273" w:rsidP="006B08B1">
      <w:pPr>
        <w:pStyle w:val="FootnoteText"/>
        <w:ind w:firstLine="0"/>
        <w:rPr>
          <w:lang w:val="en-US"/>
        </w:rPr>
      </w:pPr>
      <w:r w:rsidRPr="00610646">
        <w:rPr>
          <w:rStyle w:val="FootnoteReference"/>
        </w:rPr>
        <w:footnoteRef/>
      </w:r>
      <w:r>
        <w:t xml:space="preserve"> </w:t>
      </w:r>
      <w:r>
        <w:rPr>
          <w:lang w:val="en-US"/>
        </w:rPr>
        <w:t>Decision 15/12, annex.</w:t>
      </w:r>
    </w:p>
  </w:footnote>
  <w:footnote w:id="161">
    <w:p w14:paraId="4DAA89F0" w14:textId="77777777" w:rsidR="00DA0273" w:rsidRPr="000E778E" w:rsidRDefault="00DA0273" w:rsidP="006B08B1">
      <w:pPr>
        <w:pStyle w:val="FootnoteText"/>
        <w:ind w:firstLine="0"/>
        <w:rPr>
          <w:lang w:val="en-US"/>
        </w:rPr>
      </w:pPr>
      <w:r w:rsidRPr="00610646">
        <w:rPr>
          <w:rStyle w:val="FootnoteReference"/>
        </w:rPr>
        <w:footnoteRef/>
      </w:r>
      <w:r>
        <w:t xml:space="preserve"> </w:t>
      </w:r>
      <w:r>
        <w:rPr>
          <w:lang w:val="en-US"/>
        </w:rPr>
        <w:t>Decision 15/11, annex.</w:t>
      </w:r>
    </w:p>
  </w:footnote>
  <w:footnote w:id="162">
    <w:p w14:paraId="227A882B" w14:textId="77777777" w:rsidR="00DA0273" w:rsidRPr="00AB32F5" w:rsidRDefault="00DA0273" w:rsidP="006B08B1">
      <w:pPr>
        <w:pStyle w:val="FootnoteText"/>
        <w:ind w:firstLine="0"/>
        <w:rPr>
          <w:lang w:val="en-US"/>
        </w:rPr>
      </w:pPr>
      <w:r w:rsidRPr="00610646">
        <w:rPr>
          <w:rStyle w:val="FootnoteReference"/>
        </w:rPr>
        <w:footnoteRef/>
      </w:r>
      <w:r>
        <w:t xml:space="preserve"> Decision 15/6</w:t>
      </w:r>
    </w:p>
  </w:footnote>
  <w:footnote w:id="163">
    <w:p w14:paraId="51C6AB24" w14:textId="77777777" w:rsidR="00DA0273" w:rsidRPr="006573D7" w:rsidRDefault="00DA0273" w:rsidP="006B08B1">
      <w:pPr>
        <w:pStyle w:val="FootnoteText"/>
        <w:ind w:firstLine="0"/>
      </w:pPr>
      <w:r w:rsidRPr="00610646">
        <w:rPr>
          <w:rStyle w:val="FootnoteReference"/>
        </w:rPr>
        <w:footnoteRef/>
      </w:r>
      <w:r>
        <w:t xml:space="preserve"> Decision CP-10/3, annex.</w:t>
      </w:r>
    </w:p>
  </w:footnote>
  <w:footnote w:id="164">
    <w:p w14:paraId="4DA075E5" w14:textId="77777777" w:rsidR="00DA0273" w:rsidRPr="00C038FE" w:rsidRDefault="00DA0273" w:rsidP="006B08B1">
      <w:pPr>
        <w:pStyle w:val="FootnoteText"/>
        <w:ind w:firstLine="0"/>
      </w:pPr>
      <w:r w:rsidRPr="00610646">
        <w:rPr>
          <w:rStyle w:val="FootnoteReference"/>
        </w:rPr>
        <w:footnoteRef/>
      </w:r>
      <w:r>
        <w:t xml:space="preserve"> Decision CP-10/4, annex.</w:t>
      </w:r>
    </w:p>
  </w:footnote>
  <w:footnote w:id="165">
    <w:p w14:paraId="1FD7A8A9" w14:textId="77777777" w:rsidR="00DA0273" w:rsidRPr="00740F4D" w:rsidRDefault="00DA0273" w:rsidP="006B08B1">
      <w:pPr>
        <w:pStyle w:val="FootnoteText"/>
        <w:ind w:firstLine="0"/>
        <w:rPr>
          <w:szCs w:val="18"/>
        </w:rPr>
      </w:pPr>
      <w:r w:rsidRPr="00610646">
        <w:rPr>
          <w:rStyle w:val="FootnoteReference"/>
        </w:rPr>
        <w:footnoteRef/>
      </w:r>
      <w:r w:rsidRPr="00740F4D">
        <w:rPr>
          <w:szCs w:val="18"/>
        </w:rPr>
        <w:t xml:space="preserve"> Such support under GEF-8 would build upon support being provided under GEF-7. </w:t>
      </w:r>
    </w:p>
  </w:footnote>
  <w:footnote w:id="166">
    <w:p w14:paraId="2F6E2666" w14:textId="4286F474" w:rsidR="00DA0273" w:rsidRPr="00F121AC" w:rsidRDefault="00DA0273" w:rsidP="00E66C6E">
      <w:pPr>
        <w:pStyle w:val="FootnoteText"/>
        <w:ind w:firstLine="0"/>
      </w:pPr>
      <w:r w:rsidRPr="00610646">
        <w:rPr>
          <w:rStyle w:val="FootnoteReference"/>
        </w:rPr>
        <w:footnoteRef/>
      </w:r>
      <w:r w:rsidRPr="00F121AC">
        <w:t xml:space="preserve"> Defined in </w:t>
      </w:r>
      <w:hyperlink r:id="rId44" w:history="1">
        <w:r w:rsidRPr="00F121AC">
          <w:rPr>
            <w:rStyle w:val="Hyperlink"/>
          </w:rPr>
          <w:t>decision V/6</w:t>
        </w:r>
      </w:hyperlink>
    </w:p>
  </w:footnote>
  <w:footnote w:id="167">
    <w:p w14:paraId="2FC3EA14" w14:textId="77777777" w:rsidR="00DA0273" w:rsidRPr="00F121AC" w:rsidRDefault="00DA0273" w:rsidP="00E66C6E">
      <w:pPr>
        <w:pStyle w:val="FootnoteText"/>
        <w:ind w:firstLine="0"/>
      </w:pPr>
      <w:r w:rsidRPr="00610646">
        <w:rPr>
          <w:rStyle w:val="FootnoteReference"/>
        </w:rPr>
        <w:footnoteRef/>
      </w:r>
      <w:r w:rsidRPr="00F121AC">
        <w:t xml:space="preserve"> </w:t>
      </w:r>
      <w:r w:rsidRPr="00F121AC">
        <w:rPr>
          <w:szCs w:val="18"/>
        </w:rPr>
        <w:t xml:space="preserve">Resolution </w:t>
      </w:r>
      <w:r w:rsidRPr="00C047BC">
        <w:rPr>
          <w:szCs w:val="18"/>
        </w:rPr>
        <w:t>UNEP/EA.5/Res.5</w:t>
      </w:r>
      <w:r>
        <w:rPr>
          <w:szCs w:val="18"/>
        </w:rPr>
        <w:t xml:space="preserve">. </w:t>
      </w:r>
      <w:r w:rsidRPr="00AB5474">
        <w:rPr>
          <w:szCs w:val="18"/>
        </w:rPr>
        <w:t>Nature-based solutions for supporting sustainable development</w:t>
      </w:r>
      <w:r>
        <w:rPr>
          <w:szCs w:val="18"/>
        </w:rPr>
        <w:t xml:space="preserve">), </w:t>
      </w:r>
      <w:r w:rsidRPr="008E37A4">
        <w:rPr>
          <w:szCs w:val="18"/>
        </w:rPr>
        <w:t>adopted by the United Nations Environment Assembly on 2 March 2022</w:t>
      </w:r>
    </w:p>
  </w:footnote>
  <w:footnote w:id="168">
    <w:p w14:paraId="09F7BEA3" w14:textId="77777777" w:rsidR="00DA0273" w:rsidRPr="00E21EEB" w:rsidRDefault="00DA0273" w:rsidP="0081037E">
      <w:pPr>
        <w:pStyle w:val="FootnoteText"/>
        <w:ind w:firstLine="0"/>
        <w:rPr>
          <w:lang w:val="en-US"/>
        </w:rPr>
      </w:pPr>
      <w:r w:rsidRPr="00610646">
        <w:rPr>
          <w:rStyle w:val="FootnoteReference"/>
        </w:rPr>
        <w:footnoteRef/>
      </w:r>
      <w:r w:rsidRPr="00E21EEB">
        <w:t xml:space="preserve"> </w:t>
      </w:r>
      <w:r w:rsidRPr="00E21EEB">
        <w:rPr>
          <w:lang w:val="en-US"/>
        </w:rPr>
        <w:t>Decision</w:t>
      </w:r>
      <w:r w:rsidRPr="00B07C20">
        <w:rPr>
          <w:lang w:val="en-US"/>
        </w:rPr>
        <w:t xml:space="preserve"> NP-4/</w:t>
      </w:r>
      <w:r>
        <w:rPr>
          <w:lang w:val="en-US"/>
        </w:rPr>
        <w:t>7</w:t>
      </w:r>
      <w:r w:rsidRPr="00B07C20">
        <w:rPr>
          <w:lang w:val="en-US"/>
        </w:rPr>
        <w:t xml:space="preserve">, </w:t>
      </w:r>
      <w:r>
        <w:rPr>
          <w:lang w:val="en-US"/>
        </w:rPr>
        <w:t>a</w:t>
      </w:r>
      <w:r w:rsidRPr="00B07C20">
        <w:rPr>
          <w:lang w:val="en-US"/>
        </w:rPr>
        <w:t>nnex</w:t>
      </w:r>
      <w:r>
        <w:rPr>
          <w:lang w:val="en-US"/>
        </w:rPr>
        <w:t>.</w:t>
      </w:r>
    </w:p>
  </w:footnote>
  <w:footnote w:id="169">
    <w:p w14:paraId="00591DA1" w14:textId="6E731783" w:rsidR="00DA0273" w:rsidRPr="00FF7447" w:rsidRDefault="00DA0273" w:rsidP="008103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Decision XIII/21, annex II, paragraph 52</w:t>
      </w:r>
      <w:r w:rsidR="00573E6C">
        <w:rPr>
          <w:snapToGrid w:val="0"/>
          <w:kern w:val="18"/>
          <w:szCs w:val="18"/>
        </w:rPr>
        <w:t>.</w:t>
      </w:r>
    </w:p>
  </w:footnote>
  <w:footnote w:id="170">
    <w:p w14:paraId="75D2559E" w14:textId="6139BF79" w:rsidR="00DA0273" w:rsidRPr="00FF7447" w:rsidRDefault="00DA0273" w:rsidP="008103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w:t>
      </w:r>
      <w:r>
        <w:rPr>
          <w:snapToGrid w:val="0"/>
          <w:kern w:val="18"/>
          <w:szCs w:val="18"/>
        </w:rPr>
        <w:t>Adapted from d</w:t>
      </w:r>
      <w:r w:rsidRPr="00FF7447">
        <w:rPr>
          <w:snapToGrid w:val="0"/>
          <w:kern w:val="18"/>
          <w:szCs w:val="18"/>
        </w:rPr>
        <w:t>ecisions XIII/21, annex II, paragraph 53, and 14/23, paragraph 2</w:t>
      </w:r>
      <w:r w:rsidR="0081037E">
        <w:rPr>
          <w:snapToGrid w:val="0"/>
          <w:kern w:val="18"/>
          <w:szCs w:val="18"/>
        </w:rPr>
        <w:t>.</w:t>
      </w:r>
    </w:p>
  </w:footnote>
  <w:footnote w:id="171">
    <w:p w14:paraId="212B8E14" w14:textId="0F82181D" w:rsidR="00DA0273" w:rsidRPr="00FF7447" w:rsidRDefault="00DA0273" w:rsidP="00573E6C">
      <w:pPr>
        <w:pStyle w:val="FootnoteText"/>
        <w:keepLines w:val="0"/>
        <w:suppressLineNumbers/>
        <w:tabs>
          <w:tab w:val="left" w:pos="7118"/>
        </w:tab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Decision XIII/21, annex II, paragraph 1</w:t>
      </w:r>
      <w:r w:rsidR="00573E6C">
        <w:rPr>
          <w:snapToGrid w:val="0"/>
          <w:kern w:val="18"/>
          <w:szCs w:val="18"/>
        </w:rPr>
        <w:t>.</w:t>
      </w:r>
    </w:p>
  </w:footnote>
  <w:footnote w:id="172">
    <w:p w14:paraId="1EF66AE9" w14:textId="4E0AAC12" w:rsidR="00DA0273" w:rsidRPr="00FF7447" w:rsidRDefault="00DA0273" w:rsidP="00573E6C">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Decision XIII/21, annex II, paragraph 2</w:t>
      </w:r>
      <w:r w:rsidR="00573E6C">
        <w:rPr>
          <w:snapToGrid w:val="0"/>
          <w:kern w:val="18"/>
          <w:szCs w:val="18"/>
        </w:rPr>
        <w:t>.</w:t>
      </w:r>
    </w:p>
  </w:footnote>
  <w:footnote w:id="173">
    <w:p w14:paraId="6E7037B8" w14:textId="65B653CE" w:rsidR="00DA0273" w:rsidRPr="00FF7447" w:rsidRDefault="00DA0273" w:rsidP="00573E6C">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Decision XIII/21, annex II, paragraph 3</w:t>
      </w:r>
      <w:r w:rsidR="00573E6C">
        <w:rPr>
          <w:snapToGrid w:val="0"/>
          <w:kern w:val="18"/>
          <w:szCs w:val="18"/>
        </w:rPr>
        <w:t>.</w:t>
      </w:r>
    </w:p>
  </w:footnote>
  <w:footnote w:id="174">
    <w:p w14:paraId="62168E32" w14:textId="77777777" w:rsidR="00DA0273" w:rsidRPr="00FF7447" w:rsidRDefault="00DA0273" w:rsidP="00573E6C">
      <w:pPr>
        <w:pStyle w:val="FootnoteText"/>
        <w:keepLines w:val="0"/>
        <w:suppressLineNumbers/>
        <w:suppressAutoHyphens/>
        <w:adjustRightInd w:val="0"/>
        <w:snapToGrid w:val="0"/>
        <w:ind w:firstLine="0"/>
        <w:jc w:val="left"/>
        <w:rPr>
          <w:lang w:val="en-US"/>
        </w:rPr>
      </w:pPr>
      <w:r w:rsidRPr="00610646">
        <w:rPr>
          <w:rStyle w:val="FootnoteReference"/>
          <w:rFonts w:eastAsiaTheme="majorEastAsia"/>
        </w:rPr>
        <w:footnoteRef/>
      </w:r>
      <w:r w:rsidRPr="00FF7447">
        <w:rPr>
          <w:lang w:val="en-US"/>
        </w:rPr>
        <w:t xml:space="preserve"> </w:t>
      </w:r>
      <w:r w:rsidRPr="00FF7447">
        <w:rPr>
          <w:snapToGrid w:val="0"/>
          <w:kern w:val="18"/>
          <w:szCs w:val="18"/>
          <w:lang w:val="en-US"/>
        </w:rPr>
        <w:t xml:space="preserve">Decisions XIII/21, paragraph 24, and </w:t>
      </w:r>
      <w:r w:rsidRPr="00FF7447">
        <w:rPr>
          <w:lang w:val="en-US"/>
        </w:rPr>
        <w:t>XIII/5, paragraph 4</w:t>
      </w:r>
    </w:p>
  </w:footnote>
  <w:footnote w:id="175">
    <w:p w14:paraId="1659F3DA" w14:textId="77777777" w:rsidR="00DA0273" w:rsidRPr="003A50A0" w:rsidRDefault="00DA0273" w:rsidP="00573E6C">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FF7447">
        <w:rPr>
          <w:snapToGrid w:val="0"/>
          <w:kern w:val="18"/>
          <w:szCs w:val="18"/>
        </w:rPr>
        <w:t xml:space="preserve"> Decision XIII/21, annex II, paragraph 4.</w:t>
      </w:r>
    </w:p>
  </w:footnote>
  <w:footnote w:id="176">
    <w:p w14:paraId="13ECA3F3" w14:textId="77777777" w:rsidR="00DA0273" w:rsidRPr="003A50A0" w:rsidRDefault="00DA0273" w:rsidP="00573E6C">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w:t>
      </w:r>
      <w:r>
        <w:rPr>
          <w:snapToGrid w:val="0"/>
          <w:kern w:val="18"/>
          <w:szCs w:val="18"/>
        </w:rPr>
        <w:t>Updated from d</w:t>
      </w:r>
      <w:r w:rsidRPr="003A50A0">
        <w:rPr>
          <w:snapToGrid w:val="0"/>
          <w:kern w:val="18"/>
          <w:szCs w:val="18"/>
        </w:rPr>
        <w:t>ecision XIII/21, annex II, paragraph 5.</w:t>
      </w:r>
    </w:p>
  </w:footnote>
  <w:footnote w:id="177">
    <w:p w14:paraId="785A6C21" w14:textId="77777777"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6.</w:t>
      </w:r>
    </w:p>
  </w:footnote>
  <w:footnote w:id="178">
    <w:p w14:paraId="3FF31970" w14:textId="483E0B3F"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7</w:t>
      </w:r>
      <w:r w:rsidR="00D64C7E">
        <w:rPr>
          <w:snapToGrid w:val="0"/>
          <w:kern w:val="18"/>
          <w:szCs w:val="18"/>
        </w:rPr>
        <w:t>.</w:t>
      </w:r>
    </w:p>
  </w:footnote>
  <w:footnote w:id="179">
    <w:p w14:paraId="6C23A372" w14:textId="70D53491"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8</w:t>
      </w:r>
      <w:r w:rsidR="00D64C7E">
        <w:rPr>
          <w:snapToGrid w:val="0"/>
          <w:kern w:val="18"/>
          <w:szCs w:val="18"/>
        </w:rPr>
        <w:t>.</w:t>
      </w:r>
    </w:p>
  </w:footnote>
  <w:footnote w:id="180">
    <w:p w14:paraId="2E422A60" w14:textId="3A5214C2"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9</w:t>
      </w:r>
      <w:r w:rsidR="00D64C7E">
        <w:rPr>
          <w:snapToGrid w:val="0"/>
          <w:kern w:val="18"/>
          <w:szCs w:val="18"/>
        </w:rPr>
        <w:t>.</w:t>
      </w:r>
    </w:p>
  </w:footnote>
  <w:footnote w:id="181">
    <w:p w14:paraId="3B607653" w14:textId="262C2094"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10</w:t>
      </w:r>
      <w:r w:rsidR="00D64C7E">
        <w:rPr>
          <w:snapToGrid w:val="0"/>
          <w:kern w:val="18"/>
          <w:szCs w:val="18"/>
        </w:rPr>
        <w:t>.</w:t>
      </w:r>
    </w:p>
  </w:footnote>
  <w:footnote w:id="182">
    <w:p w14:paraId="7EA812A2" w14:textId="51CD234E" w:rsidR="00DA0273" w:rsidRPr="003A50A0" w:rsidRDefault="00DA0273" w:rsidP="00D64C7E">
      <w:pPr>
        <w:pStyle w:val="FootnoteText"/>
        <w:keepLines w:val="0"/>
        <w:suppressLineNumbers/>
        <w:suppressAutoHyphens/>
        <w:adjustRightInd w:val="0"/>
        <w:snapToGrid w:val="0"/>
        <w:ind w:firstLine="0"/>
        <w:jc w:val="left"/>
      </w:pPr>
      <w:r w:rsidRPr="00610646">
        <w:rPr>
          <w:rStyle w:val="FootnoteReference"/>
          <w:rFonts w:eastAsiaTheme="majorEastAsia"/>
        </w:rPr>
        <w:footnoteRef/>
      </w:r>
      <w:r w:rsidRPr="003A50A0">
        <w:t xml:space="preserve"> Decision 14/6, </w:t>
      </w:r>
      <w:r w:rsidRPr="003A50A0">
        <w:rPr>
          <w:snapToGrid w:val="0"/>
          <w:kern w:val="18"/>
          <w:szCs w:val="18"/>
        </w:rPr>
        <w:t>paragraph</w:t>
      </w:r>
      <w:r w:rsidRPr="003A50A0">
        <w:t xml:space="preserve"> 7</w:t>
      </w:r>
      <w:r w:rsidR="00D64C7E">
        <w:t>.</w:t>
      </w:r>
    </w:p>
  </w:footnote>
  <w:footnote w:id="183">
    <w:p w14:paraId="10DFD1CE" w14:textId="126DD156"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w:t>
      </w:r>
      <w:r>
        <w:rPr>
          <w:snapToGrid w:val="0"/>
          <w:kern w:val="18"/>
          <w:szCs w:val="18"/>
        </w:rPr>
        <w:t>Updated from d</w:t>
      </w:r>
      <w:r w:rsidRPr="003A50A0">
        <w:rPr>
          <w:snapToGrid w:val="0"/>
          <w:kern w:val="18"/>
          <w:szCs w:val="18"/>
        </w:rPr>
        <w:t>ecision XIII/21, annex II, paragraph 11</w:t>
      </w:r>
      <w:r w:rsidR="00D64C7E">
        <w:rPr>
          <w:snapToGrid w:val="0"/>
          <w:kern w:val="18"/>
          <w:szCs w:val="18"/>
        </w:rPr>
        <w:t>.</w:t>
      </w:r>
    </w:p>
  </w:footnote>
  <w:footnote w:id="184">
    <w:p w14:paraId="75809689" w14:textId="2A5ECF48"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12</w:t>
      </w:r>
      <w:r w:rsidR="00D64C7E">
        <w:rPr>
          <w:snapToGrid w:val="0"/>
          <w:kern w:val="18"/>
          <w:szCs w:val="18"/>
        </w:rPr>
        <w:t>.</w:t>
      </w:r>
    </w:p>
  </w:footnote>
  <w:footnote w:id="185">
    <w:p w14:paraId="611C09A4" w14:textId="4C0E7A15" w:rsidR="00DA0273" w:rsidRPr="003A50A0" w:rsidRDefault="00DA0273" w:rsidP="00D64C7E">
      <w:pPr>
        <w:pStyle w:val="FootnoteText"/>
        <w:keepLines w:val="0"/>
        <w:suppressLineNumbers/>
        <w:suppressAutoHyphens/>
        <w:adjustRightInd w:val="0"/>
        <w:snapToGrid w:val="0"/>
        <w:ind w:firstLine="0"/>
        <w:jc w:val="left"/>
      </w:pPr>
      <w:r w:rsidRPr="00610646">
        <w:rPr>
          <w:rStyle w:val="FootnoteReference"/>
          <w:rFonts w:eastAsiaTheme="majorEastAsia"/>
        </w:rPr>
        <w:footnoteRef/>
      </w:r>
      <w:r w:rsidRPr="003A50A0">
        <w:t xml:space="preserve"> </w:t>
      </w:r>
      <w:r w:rsidRPr="003A50A0">
        <w:rPr>
          <w:snapToGrid w:val="0"/>
          <w:kern w:val="18"/>
          <w:szCs w:val="18"/>
        </w:rPr>
        <w:t xml:space="preserve">Decision XIII/21, paragraph 25, and </w:t>
      </w:r>
      <w:r w:rsidRPr="003A50A0">
        <w:t>XIII/1, paragraph 20</w:t>
      </w:r>
      <w:r w:rsidR="00D64C7E">
        <w:t>.</w:t>
      </w:r>
    </w:p>
  </w:footnote>
  <w:footnote w:id="186">
    <w:p w14:paraId="0BAACCCC" w14:textId="7BF88815"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13</w:t>
      </w:r>
      <w:r w:rsidR="00D64C7E">
        <w:rPr>
          <w:snapToGrid w:val="0"/>
          <w:kern w:val="18"/>
          <w:szCs w:val="18"/>
        </w:rPr>
        <w:t>.</w:t>
      </w:r>
    </w:p>
  </w:footnote>
  <w:footnote w:id="187">
    <w:p w14:paraId="327F5705" w14:textId="0374A360" w:rsidR="00DA0273" w:rsidRPr="003A50A0" w:rsidRDefault="00DA0273" w:rsidP="00D64C7E">
      <w:pPr>
        <w:pStyle w:val="FootnoteText"/>
        <w:keepLines w:val="0"/>
        <w:suppressLineNumbers/>
        <w:suppressAutoHyphens/>
        <w:adjustRightInd w:val="0"/>
        <w:snapToGrid w:val="0"/>
        <w:ind w:firstLine="0"/>
        <w:jc w:val="left"/>
      </w:pPr>
      <w:r w:rsidRPr="00610646">
        <w:rPr>
          <w:rStyle w:val="FootnoteReference"/>
          <w:rFonts w:eastAsiaTheme="majorEastAsia"/>
        </w:rPr>
        <w:footnoteRef/>
      </w:r>
      <w:r w:rsidRPr="003A50A0">
        <w:t xml:space="preserve"> </w:t>
      </w:r>
      <w:r w:rsidRPr="003A50A0">
        <w:rPr>
          <w:snapToGrid w:val="0"/>
          <w:kern w:val="18"/>
          <w:szCs w:val="18"/>
        </w:rPr>
        <w:t xml:space="preserve">Decision XIII/21, paragraph 28, and </w:t>
      </w:r>
      <w:r w:rsidRPr="003A50A0">
        <w:t>XIII/3, paragraph 112</w:t>
      </w:r>
      <w:r w:rsidR="00D64C7E">
        <w:t>.</w:t>
      </w:r>
    </w:p>
  </w:footnote>
  <w:footnote w:id="188">
    <w:p w14:paraId="5A3A3B66" w14:textId="5FD8AAFF"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14</w:t>
      </w:r>
      <w:r w:rsidR="00D64C7E">
        <w:rPr>
          <w:snapToGrid w:val="0"/>
          <w:kern w:val="18"/>
          <w:szCs w:val="18"/>
        </w:rPr>
        <w:t>.</w:t>
      </w:r>
    </w:p>
  </w:footnote>
  <w:footnote w:id="189">
    <w:p w14:paraId="07059711" w14:textId="17DCE02D"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15; XIII/21, paragraph 26, and </w:t>
      </w:r>
      <w:r w:rsidRPr="003A50A0">
        <w:t>XIII/2, paragraph 11</w:t>
      </w:r>
      <w:r w:rsidR="00D64C7E">
        <w:t>.</w:t>
      </w:r>
    </w:p>
  </w:footnote>
  <w:footnote w:id="190">
    <w:p w14:paraId="7C8126F0" w14:textId="55CCB73D"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16</w:t>
      </w:r>
      <w:r w:rsidR="00D64C7E">
        <w:rPr>
          <w:snapToGrid w:val="0"/>
          <w:kern w:val="18"/>
          <w:szCs w:val="18"/>
        </w:rPr>
        <w:t>.</w:t>
      </w:r>
    </w:p>
  </w:footnote>
  <w:footnote w:id="191">
    <w:p w14:paraId="01BFB522" w14:textId="2BED9E84"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16</w:t>
      </w:r>
      <w:r w:rsidR="00D64C7E">
        <w:rPr>
          <w:snapToGrid w:val="0"/>
          <w:kern w:val="18"/>
          <w:szCs w:val="18"/>
        </w:rPr>
        <w:t>.</w:t>
      </w:r>
    </w:p>
  </w:footnote>
  <w:footnote w:id="192">
    <w:p w14:paraId="32949B37" w14:textId="2DEADA2C" w:rsidR="00DA0273" w:rsidRPr="003A50A0" w:rsidRDefault="00DA0273" w:rsidP="00D64C7E">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16</w:t>
      </w:r>
      <w:r w:rsidR="00D64C7E">
        <w:rPr>
          <w:snapToGrid w:val="0"/>
          <w:kern w:val="18"/>
          <w:szCs w:val="18"/>
        </w:rPr>
        <w:t>.</w:t>
      </w:r>
    </w:p>
  </w:footnote>
  <w:footnote w:id="193">
    <w:p w14:paraId="0A1359DD" w14:textId="6BD35408"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16; </w:t>
      </w:r>
      <w:r w:rsidRPr="003A50A0">
        <w:t>14/11, para. 14</w:t>
      </w:r>
      <w:r w:rsidR="00F72E0A">
        <w:t>.</w:t>
      </w:r>
    </w:p>
  </w:footnote>
  <w:footnote w:id="194">
    <w:p w14:paraId="236B2557" w14:textId="069C8CFB"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17</w:t>
      </w:r>
      <w:r w:rsidR="00F72E0A">
        <w:rPr>
          <w:snapToGrid w:val="0"/>
          <w:kern w:val="18"/>
          <w:szCs w:val="18"/>
        </w:rPr>
        <w:t>.</w:t>
      </w:r>
    </w:p>
  </w:footnote>
  <w:footnote w:id="195">
    <w:p w14:paraId="60843AF8" w14:textId="1D419081"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17</w:t>
      </w:r>
      <w:r w:rsidR="00F72E0A">
        <w:rPr>
          <w:snapToGrid w:val="0"/>
          <w:kern w:val="18"/>
          <w:szCs w:val="18"/>
        </w:rPr>
        <w:t>.</w:t>
      </w:r>
    </w:p>
  </w:footnote>
  <w:footnote w:id="196">
    <w:p w14:paraId="4BD7170E" w14:textId="563BE755" w:rsidR="00DA0273" w:rsidRPr="003A50A0" w:rsidRDefault="00DA0273" w:rsidP="00F72E0A">
      <w:pPr>
        <w:pStyle w:val="FootnoteText"/>
        <w:ind w:firstLine="0"/>
      </w:pPr>
      <w:r w:rsidRPr="00610646">
        <w:rPr>
          <w:rStyle w:val="FootnoteReference"/>
          <w:rFonts w:eastAsiaTheme="majorEastAsia"/>
        </w:rPr>
        <w:footnoteRef/>
      </w:r>
      <w:r w:rsidRPr="003A50A0">
        <w:t xml:space="preserve"> </w:t>
      </w:r>
      <w:r w:rsidRPr="003A50A0">
        <w:rPr>
          <w:snapToGrid w:val="0"/>
          <w:kern w:val="18"/>
          <w:szCs w:val="18"/>
        </w:rPr>
        <w:t>Decision XIII/21, paragraph 29</w:t>
      </w:r>
      <w:r w:rsidR="00F72E0A">
        <w:rPr>
          <w:snapToGrid w:val="0"/>
          <w:kern w:val="18"/>
          <w:szCs w:val="18"/>
        </w:rPr>
        <w:t>.</w:t>
      </w:r>
    </w:p>
  </w:footnote>
  <w:footnote w:id="197">
    <w:p w14:paraId="159C618F" w14:textId="6EAAD8E9" w:rsidR="00DA0273" w:rsidRPr="003A50A0" w:rsidRDefault="00DA0273" w:rsidP="00F72E0A">
      <w:pPr>
        <w:pStyle w:val="FootnoteText"/>
        <w:keepLines w:val="0"/>
        <w:suppressLineNumbers/>
        <w:suppressAutoHyphens/>
        <w:adjustRightInd w:val="0"/>
        <w:snapToGrid w:val="0"/>
        <w:ind w:firstLine="0"/>
        <w:jc w:val="left"/>
      </w:pPr>
      <w:r w:rsidRPr="00610646">
        <w:rPr>
          <w:rStyle w:val="FootnoteReference"/>
          <w:rFonts w:eastAsiaTheme="majorEastAsia"/>
        </w:rPr>
        <w:footnoteRef/>
      </w:r>
      <w:r w:rsidRPr="003A50A0">
        <w:t xml:space="preserve"> Decision XIII/18, </w:t>
      </w:r>
      <w:r w:rsidRPr="003A50A0">
        <w:rPr>
          <w:snapToGrid w:val="0"/>
          <w:kern w:val="18"/>
          <w:szCs w:val="18"/>
        </w:rPr>
        <w:t>para</w:t>
      </w:r>
      <w:r w:rsidRPr="003A50A0">
        <w:t>graph 10</w:t>
      </w:r>
      <w:r w:rsidR="00F72E0A">
        <w:t>.</w:t>
      </w:r>
    </w:p>
  </w:footnote>
  <w:footnote w:id="198">
    <w:p w14:paraId="2B576CE3" w14:textId="12CCAD01"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18</w:t>
      </w:r>
      <w:r w:rsidR="00F72E0A">
        <w:rPr>
          <w:snapToGrid w:val="0"/>
          <w:kern w:val="18"/>
          <w:szCs w:val="18"/>
        </w:rPr>
        <w:t>.</w:t>
      </w:r>
    </w:p>
  </w:footnote>
  <w:footnote w:id="199">
    <w:p w14:paraId="53F9144F" w14:textId="3AEC4819"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19</w:t>
      </w:r>
      <w:r w:rsidR="00F72E0A">
        <w:rPr>
          <w:snapToGrid w:val="0"/>
          <w:kern w:val="18"/>
          <w:szCs w:val="18"/>
        </w:rPr>
        <w:t>.</w:t>
      </w:r>
    </w:p>
  </w:footnote>
  <w:footnote w:id="200">
    <w:p w14:paraId="158CFE5B" w14:textId="447BB42A"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20</w:t>
      </w:r>
      <w:r w:rsidR="00F72E0A">
        <w:rPr>
          <w:snapToGrid w:val="0"/>
          <w:kern w:val="18"/>
          <w:szCs w:val="18"/>
        </w:rPr>
        <w:t>.</w:t>
      </w:r>
    </w:p>
  </w:footnote>
  <w:footnote w:id="201">
    <w:p w14:paraId="5D06B2DD" w14:textId="6E711EF5"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21</w:t>
      </w:r>
      <w:r w:rsidR="00F72E0A">
        <w:rPr>
          <w:snapToGrid w:val="0"/>
          <w:kern w:val="18"/>
          <w:szCs w:val="18"/>
        </w:rPr>
        <w:t>.</w:t>
      </w:r>
    </w:p>
  </w:footnote>
  <w:footnote w:id="202">
    <w:p w14:paraId="65089EE6" w14:textId="3F2B5BAE" w:rsidR="00DA0273" w:rsidRPr="003A50A0" w:rsidRDefault="00DA0273" w:rsidP="00F72E0A">
      <w:pPr>
        <w:pStyle w:val="FootnoteText"/>
        <w:keepLines w:val="0"/>
        <w:suppressLineNumbers/>
        <w:suppressAutoHyphens/>
        <w:adjustRightInd w:val="0"/>
        <w:snapToGrid w:val="0"/>
        <w:ind w:firstLine="0"/>
        <w:jc w:val="left"/>
        <w:rPr>
          <w:snapToGrid w:val="0"/>
          <w:kern w:val="18"/>
          <w:szCs w:val="18"/>
        </w:rPr>
      </w:pPr>
      <w:r w:rsidRPr="00610646">
        <w:rPr>
          <w:rStyle w:val="FootnoteReference"/>
          <w:rFonts w:eastAsiaTheme="majorEastAsia"/>
        </w:rPr>
        <w:footnoteRef/>
      </w:r>
      <w:r w:rsidRPr="003A50A0">
        <w:rPr>
          <w:snapToGrid w:val="0"/>
          <w:kern w:val="18"/>
          <w:szCs w:val="18"/>
        </w:rPr>
        <w:t xml:space="preserve"> Decision XIII/21, annex II, paragraph 22</w:t>
      </w:r>
      <w:r w:rsidR="00F72E0A">
        <w:rPr>
          <w:snapToGrid w:val="0"/>
          <w:kern w:val="18"/>
          <w:szCs w:val="18"/>
        </w:rPr>
        <w:t>.</w:t>
      </w:r>
    </w:p>
  </w:footnote>
  <w:footnote w:id="203">
    <w:p w14:paraId="16C4DCDC" w14:textId="1A30B0E2" w:rsidR="00DA0273" w:rsidRPr="00230ABB" w:rsidRDefault="00DA0273" w:rsidP="00F72E0A">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230ABB">
        <w:rPr>
          <w:snapToGrid w:val="0"/>
          <w:kern w:val="18"/>
          <w:szCs w:val="18"/>
          <w:lang w:val="en-US"/>
        </w:rPr>
        <w:t xml:space="preserve"> Decision XIII/21, annex II, paragraph 23, an</w:t>
      </w:r>
      <w:r>
        <w:rPr>
          <w:snapToGrid w:val="0"/>
          <w:kern w:val="18"/>
          <w:szCs w:val="18"/>
          <w:lang w:val="en-US"/>
        </w:rPr>
        <w:t xml:space="preserve">d </w:t>
      </w:r>
      <w:r w:rsidRPr="00230ABB">
        <w:rPr>
          <w:lang w:val="en-US"/>
        </w:rPr>
        <w:t>14/23, para</w:t>
      </w:r>
      <w:r>
        <w:rPr>
          <w:lang w:val="en-US"/>
        </w:rPr>
        <w:t>graph</w:t>
      </w:r>
      <w:r w:rsidRPr="00230ABB">
        <w:rPr>
          <w:lang w:val="en-US"/>
        </w:rPr>
        <w:t xml:space="preserve"> 11</w:t>
      </w:r>
      <w:r w:rsidR="00F72E0A">
        <w:rPr>
          <w:lang w:val="en-US"/>
        </w:rPr>
        <w:t>.</w:t>
      </w:r>
    </w:p>
  </w:footnote>
  <w:footnote w:id="204">
    <w:p w14:paraId="1959AEB4" w14:textId="33086197" w:rsidR="00DA0273" w:rsidRPr="00887761" w:rsidRDefault="00DA0273" w:rsidP="00F72E0A">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887761">
        <w:rPr>
          <w:snapToGrid w:val="0"/>
          <w:kern w:val="18"/>
          <w:szCs w:val="18"/>
          <w:lang w:val="en-US"/>
        </w:rPr>
        <w:t xml:space="preserve"> Decision XIII/21, annex II, paragraph 23</w:t>
      </w:r>
      <w:r w:rsidR="00F72E0A">
        <w:rPr>
          <w:snapToGrid w:val="0"/>
          <w:kern w:val="18"/>
          <w:szCs w:val="18"/>
          <w:lang w:val="en-US"/>
        </w:rPr>
        <w:t>.</w:t>
      </w:r>
    </w:p>
  </w:footnote>
  <w:footnote w:id="205">
    <w:p w14:paraId="208FED82" w14:textId="59DD79BC" w:rsidR="00DA0273" w:rsidRPr="00887761" w:rsidRDefault="00DA0273" w:rsidP="00F72E0A">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887761">
        <w:rPr>
          <w:snapToGrid w:val="0"/>
          <w:kern w:val="18"/>
          <w:szCs w:val="18"/>
          <w:lang w:val="en-US"/>
        </w:rPr>
        <w:t xml:space="preserve"> Decision XIII/21, annex II, paragraph 23</w:t>
      </w:r>
      <w:r w:rsidR="00F72E0A">
        <w:rPr>
          <w:snapToGrid w:val="0"/>
          <w:kern w:val="18"/>
          <w:szCs w:val="18"/>
          <w:lang w:val="en-US"/>
        </w:rPr>
        <w:t>.</w:t>
      </w:r>
    </w:p>
  </w:footnote>
  <w:footnote w:id="206">
    <w:p w14:paraId="4C975DF5" w14:textId="45D799EB" w:rsidR="00DA0273" w:rsidRPr="00887761"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887761">
        <w:rPr>
          <w:snapToGrid w:val="0"/>
          <w:kern w:val="18"/>
          <w:szCs w:val="18"/>
          <w:lang w:val="en-US"/>
        </w:rPr>
        <w:t xml:space="preserve"> Decision XIII/21, annex II, paragraph 23</w:t>
      </w:r>
      <w:r w:rsidR="00F72E0A">
        <w:rPr>
          <w:snapToGrid w:val="0"/>
          <w:kern w:val="18"/>
          <w:szCs w:val="18"/>
          <w:lang w:val="en-US"/>
        </w:rPr>
        <w:t>.</w:t>
      </w:r>
    </w:p>
  </w:footnote>
  <w:footnote w:id="207">
    <w:p w14:paraId="65FC4FA7" w14:textId="516BB8ED" w:rsidR="00DA0273" w:rsidRPr="00887761"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887761">
        <w:rPr>
          <w:snapToGrid w:val="0"/>
          <w:kern w:val="18"/>
          <w:szCs w:val="18"/>
          <w:lang w:val="en-US"/>
        </w:rPr>
        <w:t xml:space="preserve"> Decision XIII/21, annex II, paragraph 23</w:t>
      </w:r>
      <w:r w:rsidR="00F72E0A">
        <w:rPr>
          <w:snapToGrid w:val="0"/>
          <w:kern w:val="18"/>
          <w:szCs w:val="18"/>
          <w:lang w:val="en-US"/>
        </w:rPr>
        <w:t>.</w:t>
      </w:r>
    </w:p>
  </w:footnote>
  <w:footnote w:id="208">
    <w:p w14:paraId="1B8896BB" w14:textId="6EF6FB5C" w:rsidR="00DA0273" w:rsidRPr="00887761"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887761">
        <w:rPr>
          <w:snapToGrid w:val="0"/>
          <w:kern w:val="18"/>
          <w:szCs w:val="18"/>
          <w:lang w:val="en-US"/>
        </w:rPr>
        <w:t xml:space="preserve"> Decision XIII/21, annex II, paragraph 23</w:t>
      </w:r>
      <w:r w:rsidR="00F72E0A">
        <w:rPr>
          <w:snapToGrid w:val="0"/>
          <w:kern w:val="18"/>
          <w:szCs w:val="18"/>
          <w:lang w:val="en-US"/>
        </w:rPr>
        <w:t>.</w:t>
      </w:r>
    </w:p>
  </w:footnote>
  <w:footnote w:id="209">
    <w:p w14:paraId="620B4E56" w14:textId="2B44F39B" w:rsidR="00DA0273" w:rsidRPr="00117B86"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117B86">
        <w:rPr>
          <w:snapToGrid w:val="0"/>
          <w:kern w:val="18"/>
          <w:szCs w:val="18"/>
          <w:lang w:val="en-US"/>
        </w:rPr>
        <w:t xml:space="preserve"> Decision XIII/21, annex II, paragraph 23, </w:t>
      </w:r>
      <w:r>
        <w:rPr>
          <w:snapToGrid w:val="0"/>
          <w:kern w:val="18"/>
          <w:szCs w:val="18"/>
          <w:lang w:val="en-US"/>
        </w:rPr>
        <w:t xml:space="preserve">and </w:t>
      </w:r>
      <w:r w:rsidRPr="00117B86">
        <w:rPr>
          <w:lang w:val="en-US"/>
        </w:rPr>
        <w:t>14/23, para</w:t>
      </w:r>
      <w:r>
        <w:rPr>
          <w:lang w:val="en-US"/>
        </w:rPr>
        <w:t>graph</w:t>
      </w:r>
      <w:r w:rsidRPr="00117B86">
        <w:rPr>
          <w:lang w:val="en-US"/>
        </w:rPr>
        <w:t xml:space="preserve"> 7(b)</w:t>
      </w:r>
      <w:r w:rsidR="00F72E0A">
        <w:rPr>
          <w:lang w:val="en-US"/>
        </w:rPr>
        <w:t>.</w:t>
      </w:r>
    </w:p>
  </w:footnote>
  <w:footnote w:id="210">
    <w:p w14:paraId="66C9213E" w14:textId="1B91141E" w:rsidR="00DA0273" w:rsidRPr="00117B86"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117B86">
        <w:rPr>
          <w:snapToGrid w:val="0"/>
          <w:kern w:val="18"/>
          <w:szCs w:val="18"/>
          <w:lang w:val="en-US"/>
        </w:rPr>
        <w:t xml:space="preserve"> Decision XIII/21, annex II, paragraph 23</w:t>
      </w:r>
      <w:r w:rsidR="00F72E0A">
        <w:rPr>
          <w:snapToGrid w:val="0"/>
          <w:kern w:val="18"/>
          <w:szCs w:val="18"/>
          <w:lang w:val="en-US"/>
        </w:rPr>
        <w:t>.</w:t>
      </w:r>
    </w:p>
  </w:footnote>
  <w:footnote w:id="211">
    <w:p w14:paraId="4D0D25DC" w14:textId="024CD778" w:rsidR="00DA0273" w:rsidRPr="00117B86" w:rsidRDefault="00DA0273" w:rsidP="00EE0658">
      <w:pPr>
        <w:pStyle w:val="FootnoteText"/>
        <w:keepLines w:val="0"/>
        <w:suppressLineNumbers/>
        <w:suppressAutoHyphens/>
        <w:adjustRightInd w:val="0"/>
        <w:snapToGrid w:val="0"/>
        <w:ind w:firstLine="0"/>
        <w:jc w:val="left"/>
        <w:rPr>
          <w:snapToGrid w:val="0"/>
          <w:kern w:val="18"/>
          <w:szCs w:val="18"/>
          <w:lang w:val="en-US"/>
        </w:rPr>
      </w:pPr>
      <w:r w:rsidRPr="00610646">
        <w:rPr>
          <w:rStyle w:val="FootnoteReference"/>
          <w:rFonts w:eastAsiaTheme="majorEastAsia"/>
        </w:rPr>
        <w:footnoteRef/>
      </w:r>
      <w:r w:rsidRPr="00117B86">
        <w:rPr>
          <w:snapToGrid w:val="0"/>
          <w:kern w:val="18"/>
          <w:szCs w:val="18"/>
          <w:lang w:val="en-US"/>
        </w:rPr>
        <w:t xml:space="preserve"> Decision XIII/21, annex II, paragraph 23, and</w:t>
      </w:r>
      <w:r>
        <w:rPr>
          <w:snapToGrid w:val="0"/>
          <w:kern w:val="18"/>
          <w:szCs w:val="18"/>
          <w:lang w:val="en-US"/>
        </w:rPr>
        <w:t xml:space="preserve"> </w:t>
      </w:r>
      <w:r w:rsidRPr="00117B86">
        <w:rPr>
          <w:snapToGrid w:val="0"/>
          <w:kern w:val="18"/>
          <w:szCs w:val="18"/>
          <w:lang w:val="en-US"/>
        </w:rPr>
        <w:t>XIII/21, paragraph 38</w:t>
      </w:r>
      <w:r>
        <w:rPr>
          <w:snapToGrid w:val="0"/>
          <w:kern w:val="18"/>
          <w:szCs w:val="18"/>
          <w:lang w:val="en-US"/>
        </w:rPr>
        <w:t xml:space="preserve">, </w:t>
      </w:r>
      <w:r w:rsidRPr="00117B86">
        <w:rPr>
          <w:lang w:val="en-US"/>
        </w:rPr>
        <w:t>14/23, para</w:t>
      </w:r>
      <w:r>
        <w:rPr>
          <w:lang w:val="en-US"/>
        </w:rPr>
        <w:t>graph</w:t>
      </w:r>
      <w:r w:rsidRPr="00117B86">
        <w:rPr>
          <w:lang w:val="en-US"/>
        </w:rPr>
        <w:t xml:space="preserve"> 10</w:t>
      </w:r>
      <w:r w:rsidR="00F72E0A">
        <w:rPr>
          <w:lang w:val="en-US"/>
        </w:rPr>
        <w:t>.</w:t>
      </w:r>
    </w:p>
  </w:footnote>
  <w:footnote w:id="212">
    <w:p w14:paraId="0C7236B3" w14:textId="3F3EC39E" w:rsidR="00DA0273" w:rsidRPr="009C7E6D" w:rsidRDefault="00DA0273" w:rsidP="00EE0658">
      <w:pPr>
        <w:pStyle w:val="FootnoteText"/>
        <w:ind w:firstLine="0"/>
        <w:rPr>
          <w:lang w:val="it-IT"/>
        </w:rPr>
      </w:pPr>
      <w:r w:rsidRPr="00610646">
        <w:rPr>
          <w:rStyle w:val="FootnoteReference"/>
          <w:rFonts w:eastAsiaTheme="majorEastAsia"/>
        </w:rPr>
        <w:footnoteRef/>
      </w:r>
      <w:r w:rsidRPr="009C7E6D">
        <w:rPr>
          <w:lang w:val="it-IT"/>
        </w:rPr>
        <w:t xml:space="preserve"> Decision 14/23, paragraph 7(a)</w:t>
      </w:r>
      <w:r w:rsidR="00F72E0A">
        <w:rPr>
          <w:lang w:val="it-IT"/>
        </w:rPr>
        <w:t>.</w:t>
      </w:r>
    </w:p>
  </w:footnote>
  <w:footnote w:id="213">
    <w:p w14:paraId="14A93956" w14:textId="34CC1D9D"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24</w:t>
      </w:r>
      <w:r w:rsidR="00CE1C88">
        <w:rPr>
          <w:snapToGrid w:val="0"/>
          <w:kern w:val="18"/>
          <w:szCs w:val="18"/>
          <w:lang w:val="it-IT"/>
        </w:rPr>
        <w:t>.</w:t>
      </w:r>
    </w:p>
  </w:footnote>
  <w:footnote w:id="214">
    <w:p w14:paraId="3B095695" w14:textId="72D5C7A4"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25</w:t>
      </w:r>
      <w:r w:rsidR="00CE1C88">
        <w:rPr>
          <w:snapToGrid w:val="0"/>
          <w:kern w:val="18"/>
          <w:szCs w:val="18"/>
          <w:lang w:val="it-IT"/>
        </w:rPr>
        <w:t>.</w:t>
      </w:r>
    </w:p>
  </w:footnote>
  <w:footnote w:id="215">
    <w:p w14:paraId="704B70C3" w14:textId="37B5943E"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16">
    <w:p w14:paraId="1931D27E" w14:textId="7F71B495"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17">
    <w:p w14:paraId="2764E3BF" w14:textId="6E92DC59"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paragraph 8(a); </w:t>
      </w:r>
      <w:r w:rsidRPr="009C7E6D">
        <w:rPr>
          <w:snapToGrid w:val="0"/>
          <w:kern w:val="18"/>
          <w:szCs w:val="18"/>
          <w:lang w:val="it-IT"/>
        </w:rPr>
        <w:t>XIII/21, paragraphs 33 and 36</w:t>
      </w:r>
      <w:r w:rsidR="00CE1C88">
        <w:rPr>
          <w:snapToGrid w:val="0"/>
          <w:kern w:val="18"/>
          <w:szCs w:val="18"/>
          <w:lang w:val="it-IT"/>
        </w:rPr>
        <w:t>.</w:t>
      </w:r>
    </w:p>
  </w:footnote>
  <w:footnote w:id="218">
    <w:p w14:paraId="6481E429" w14:textId="40295467"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19">
    <w:p w14:paraId="661AE790" w14:textId="20623E81"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w:t>
      </w:r>
      <w:r>
        <w:rPr>
          <w:lang w:val="it-IT"/>
        </w:rPr>
        <w:t>graph</w:t>
      </w:r>
      <w:r w:rsidRPr="009C7E6D">
        <w:rPr>
          <w:lang w:val="it-IT"/>
        </w:rPr>
        <w:t xml:space="preserve"> 9</w:t>
      </w:r>
      <w:r w:rsidR="00CE1C88">
        <w:rPr>
          <w:lang w:val="it-IT"/>
        </w:rPr>
        <w:t>.</w:t>
      </w:r>
    </w:p>
  </w:footnote>
  <w:footnote w:id="220">
    <w:p w14:paraId="31326404" w14:textId="5071404F"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 and XIII/21, paragraph 35</w:t>
      </w:r>
      <w:r w:rsidR="00CE1C88">
        <w:rPr>
          <w:snapToGrid w:val="0"/>
          <w:kern w:val="18"/>
          <w:szCs w:val="18"/>
          <w:lang w:val="it-IT"/>
        </w:rPr>
        <w:t>.</w:t>
      </w:r>
    </w:p>
  </w:footnote>
  <w:footnote w:id="221">
    <w:p w14:paraId="7533CC16" w14:textId="30BABD33"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26</w:t>
      </w:r>
      <w:r w:rsidR="00CE1C88">
        <w:rPr>
          <w:snapToGrid w:val="0"/>
          <w:kern w:val="18"/>
          <w:szCs w:val="18"/>
          <w:lang w:val="it-IT"/>
        </w:rPr>
        <w:t>.</w:t>
      </w:r>
    </w:p>
  </w:footnote>
  <w:footnote w:id="222">
    <w:p w14:paraId="5F2951A4" w14:textId="34F307FF"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23">
    <w:p w14:paraId="4F2DDEEA" w14:textId="5F3CECF9"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24">
    <w:p w14:paraId="2DCD84C9" w14:textId="328FC5FA"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w:t>
      </w:r>
      <w:r w:rsidR="00CE1C88">
        <w:rPr>
          <w:snapToGrid w:val="0"/>
          <w:kern w:val="18"/>
          <w:szCs w:val="18"/>
          <w:lang w:val="it-IT"/>
        </w:rPr>
        <w:t>.</w:t>
      </w:r>
    </w:p>
  </w:footnote>
  <w:footnote w:id="225">
    <w:p w14:paraId="406BDB53" w14:textId="5D0A495A"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34</w:t>
      </w:r>
      <w:r w:rsidR="00CE1C88">
        <w:rPr>
          <w:snapToGrid w:val="0"/>
          <w:kern w:val="18"/>
          <w:szCs w:val="18"/>
          <w:lang w:val="it-IT"/>
        </w:rPr>
        <w:t>.</w:t>
      </w:r>
    </w:p>
  </w:footnote>
  <w:footnote w:id="226">
    <w:p w14:paraId="04C9E3DC" w14:textId="7AA6CAA2"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 XIII/21, paragraphs 30 and 31; </w:t>
      </w:r>
      <w:r w:rsidRPr="009C7E6D">
        <w:rPr>
          <w:lang w:val="it-IT"/>
        </w:rPr>
        <w:t>14/23, paragraph 7(b)</w:t>
      </w:r>
      <w:r w:rsidR="00CE1C88">
        <w:rPr>
          <w:lang w:val="it-IT"/>
        </w:rPr>
        <w:t>.</w:t>
      </w:r>
    </w:p>
  </w:footnote>
  <w:footnote w:id="227">
    <w:p w14:paraId="50372731" w14:textId="2EAE8E7F"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32</w:t>
      </w:r>
      <w:r w:rsidR="00CE1C88">
        <w:rPr>
          <w:snapToGrid w:val="0"/>
          <w:kern w:val="18"/>
          <w:szCs w:val="18"/>
          <w:lang w:val="it-IT"/>
        </w:rPr>
        <w:t>.</w:t>
      </w:r>
    </w:p>
  </w:footnote>
  <w:footnote w:id="228">
    <w:p w14:paraId="6EE76C72" w14:textId="76C5B387"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26; </w:t>
      </w:r>
      <w:r w:rsidRPr="009C7E6D">
        <w:rPr>
          <w:lang w:val="it-IT"/>
        </w:rPr>
        <w:t>14/23, para. 8(b)</w:t>
      </w:r>
      <w:r w:rsidR="00CE1C88">
        <w:rPr>
          <w:lang w:val="it-IT"/>
        </w:rPr>
        <w:t>.</w:t>
      </w:r>
    </w:p>
  </w:footnote>
  <w:footnote w:id="229">
    <w:p w14:paraId="3F3855F6" w14:textId="7788D268"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w:t>
      </w:r>
      <w:r>
        <w:rPr>
          <w:lang w:val="it-IT"/>
        </w:rPr>
        <w:t>graph</w:t>
      </w:r>
      <w:r w:rsidRPr="009C7E6D">
        <w:rPr>
          <w:lang w:val="it-IT"/>
        </w:rPr>
        <w:t xml:space="preserve"> 8(c)</w:t>
      </w:r>
      <w:r w:rsidR="00CE1C88">
        <w:rPr>
          <w:lang w:val="it-IT"/>
        </w:rPr>
        <w:t>.</w:t>
      </w:r>
    </w:p>
  </w:footnote>
  <w:footnote w:id="230">
    <w:p w14:paraId="6F46A4A4" w14:textId="52800101"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36(b); </w:t>
      </w:r>
      <w:r w:rsidRPr="009C7E6D">
        <w:rPr>
          <w:lang w:val="it-IT"/>
        </w:rPr>
        <w:t>14/23, para. 7(a)</w:t>
      </w:r>
      <w:r w:rsidR="00CE1C88">
        <w:rPr>
          <w:lang w:val="it-IT"/>
        </w:rPr>
        <w:t>.</w:t>
      </w:r>
    </w:p>
  </w:footnote>
  <w:footnote w:id="231">
    <w:p w14:paraId="04272576" w14:textId="7E76D3CD"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27</w:t>
      </w:r>
      <w:r w:rsidR="00CE1C88">
        <w:rPr>
          <w:snapToGrid w:val="0"/>
          <w:kern w:val="18"/>
          <w:szCs w:val="18"/>
          <w:lang w:val="it-IT"/>
        </w:rPr>
        <w:t>.</w:t>
      </w:r>
    </w:p>
  </w:footnote>
  <w:footnote w:id="232">
    <w:p w14:paraId="6CD4D956" w14:textId="3BA014D5"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4</w:t>
      </w:r>
      <w:r w:rsidR="00CE1C88">
        <w:rPr>
          <w:snapToGrid w:val="0"/>
          <w:kern w:val="18"/>
          <w:szCs w:val="18"/>
          <w:lang w:val="it-IT"/>
        </w:rPr>
        <w:t>.</w:t>
      </w:r>
    </w:p>
  </w:footnote>
  <w:footnote w:id="233">
    <w:p w14:paraId="3CA29E4C" w14:textId="0A0865D8"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4">
    <w:p w14:paraId="459F8C5F" w14:textId="72670651"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5">
    <w:p w14:paraId="14D8EC49" w14:textId="4D87D500"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6">
    <w:p w14:paraId="60ED62D7" w14:textId="69386D9E"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7">
    <w:p w14:paraId="0DF5C666" w14:textId="0DD8294D"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8">
    <w:p w14:paraId="28C8E6F0" w14:textId="5727A5E6"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39">
    <w:p w14:paraId="3E503B49" w14:textId="024B47B4"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0">
    <w:p w14:paraId="26FF3EE8" w14:textId="77388073"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 XIII/21, paragraph 21</w:t>
      </w:r>
      <w:r w:rsidR="00CE1C88">
        <w:rPr>
          <w:snapToGrid w:val="0"/>
          <w:kern w:val="18"/>
          <w:szCs w:val="18"/>
          <w:lang w:val="it-IT"/>
        </w:rPr>
        <w:t>.</w:t>
      </w:r>
    </w:p>
  </w:footnote>
  <w:footnote w:id="241">
    <w:p w14:paraId="291D0686" w14:textId="7AD12C91"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2">
    <w:p w14:paraId="59901E04" w14:textId="367F4FE5"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17</w:t>
      </w:r>
      <w:r w:rsidR="00CE1C88">
        <w:rPr>
          <w:snapToGrid w:val="0"/>
          <w:kern w:val="18"/>
          <w:szCs w:val="18"/>
          <w:lang w:val="it-IT"/>
        </w:rPr>
        <w:t>.</w:t>
      </w:r>
    </w:p>
  </w:footnote>
  <w:footnote w:id="243">
    <w:p w14:paraId="08DC6968" w14:textId="459D13D0"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4">
    <w:p w14:paraId="0AC4681E" w14:textId="420F8D7E"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5">
    <w:p w14:paraId="2BDAF641" w14:textId="6254CFCF"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6">
    <w:p w14:paraId="0A25EDAA" w14:textId="53D6254C"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w:t>
      </w:r>
      <w:r>
        <w:rPr>
          <w:lang w:val="it-IT"/>
        </w:rPr>
        <w:t>graph</w:t>
      </w:r>
      <w:r w:rsidRPr="009C7E6D">
        <w:rPr>
          <w:lang w:val="it-IT"/>
        </w:rPr>
        <w:t xml:space="preserve"> 12(c)</w:t>
      </w:r>
      <w:r w:rsidR="00CE1C88">
        <w:rPr>
          <w:lang w:val="it-IT"/>
        </w:rPr>
        <w:t>.</w:t>
      </w:r>
    </w:p>
  </w:footnote>
  <w:footnote w:id="247">
    <w:p w14:paraId="6C1B4243" w14:textId="2EE3A1B6"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 XIII/21, paragraph 6</w:t>
      </w:r>
      <w:r w:rsidR="00CE1C88">
        <w:rPr>
          <w:snapToGrid w:val="0"/>
          <w:kern w:val="18"/>
          <w:szCs w:val="18"/>
          <w:lang w:val="it-IT"/>
        </w:rPr>
        <w:t>.</w:t>
      </w:r>
    </w:p>
  </w:footnote>
  <w:footnote w:id="248">
    <w:p w14:paraId="6CC9E452" w14:textId="5AC4D381"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49">
    <w:p w14:paraId="184911DB" w14:textId="2E866C3B"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0">
    <w:p w14:paraId="463EBFF9" w14:textId="69F7AF30"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1">
    <w:p w14:paraId="70577CE2" w14:textId="0DB6D645"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2">
    <w:p w14:paraId="675EEA9A" w14:textId="1368BBC0"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paragraph 12(d)</w:t>
      </w:r>
      <w:r w:rsidR="00CE1C88">
        <w:rPr>
          <w:lang w:val="it-IT"/>
        </w:rPr>
        <w:t>.</w:t>
      </w:r>
    </w:p>
  </w:footnote>
  <w:footnote w:id="253">
    <w:p w14:paraId="3F5B0391" w14:textId="19286244"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4">
    <w:p w14:paraId="21A4A18D" w14:textId="201ED8ED"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5">
    <w:p w14:paraId="43D669D3" w14:textId="74D5D12A"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6">
    <w:p w14:paraId="13A6A80F" w14:textId="2E46F6BC"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7">
    <w:p w14:paraId="7B8A0A35" w14:textId="14C3B262"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Pr>
          <w:lang w:val="it-IT"/>
        </w:rPr>
        <w:t>Updated from d</w:t>
      </w:r>
      <w:r w:rsidRPr="009C7E6D">
        <w:rPr>
          <w:lang w:val="it-IT"/>
        </w:rPr>
        <w:t>ecision 14/23, paragraph 6</w:t>
      </w:r>
      <w:r w:rsidR="00CE1C88">
        <w:rPr>
          <w:lang w:val="it-IT"/>
        </w:rPr>
        <w:t>.</w:t>
      </w:r>
    </w:p>
  </w:footnote>
  <w:footnote w:id="258">
    <w:p w14:paraId="79B68D62" w14:textId="4A3BF539"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28</w:t>
      </w:r>
      <w:r w:rsidR="00CE1C88">
        <w:rPr>
          <w:snapToGrid w:val="0"/>
          <w:kern w:val="18"/>
          <w:szCs w:val="18"/>
          <w:lang w:val="it-IT"/>
        </w:rPr>
        <w:t>.</w:t>
      </w:r>
    </w:p>
  </w:footnote>
  <w:footnote w:id="259">
    <w:p w14:paraId="6B5AEBCC" w14:textId="6BC24458"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paragraphs 18, 19 and 20</w:t>
      </w:r>
      <w:r w:rsidR="00CE1C88">
        <w:rPr>
          <w:snapToGrid w:val="0"/>
          <w:kern w:val="18"/>
          <w:szCs w:val="18"/>
          <w:lang w:val="it-IT"/>
        </w:rPr>
        <w:t>.</w:t>
      </w:r>
    </w:p>
  </w:footnote>
  <w:footnote w:id="260">
    <w:p w14:paraId="1A14F36A" w14:textId="4160C767"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3; </w:t>
      </w:r>
      <w:r w:rsidRPr="009C7E6D">
        <w:rPr>
          <w:lang w:val="it-IT"/>
        </w:rPr>
        <w:t>14/30, paragraph 14; XIII/24, paragraph 7</w:t>
      </w:r>
      <w:r w:rsidR="00CE1C88">
        <w:rPr>
          <w:lang w:val="it-IT"/>
        </w:rPr>
        <w:t>.</w:t>
      </w:r>
    </w:p>
  </w:footnote>
  <w:footnote w:id="261">
    <w:p w14:paraId="30CAD830" w14:textId="06C00BD6"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Decision 14/23, para. 12(b)</w:t>
      </w:r>
      <w:r w:rsidR="00CE1C88">
        <w:rPr>
          <w:lang w:val="it-IT"/>
        </w:rPr>
        <w:t>.</w:t>
      </w:r>
    </w:p>
  </w:footnote>
  <w:footnote w:id="262">
    <w:p w14:paraId="70D4897E" w14:textId="29016130"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29</w:t>
      </w:r>
      <w:r w:rsidR="00CE1C88">
        <w:rPr>
          <w:snapToGrid w:val="0"/>
          <w:kern w:val="18"/>
          <w:szCs w:val="18"/>
          <w:lang w:val="it-IT"/>
        </w:rPr>
        <w:t>.</w:t>
      </w:r>
    </w:p>
  </w:footnote>
  <w:footnote w:id="263">
    <w:p w14:paraId="24ABA1BC" w14:textId="6F19F82D"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30</w:t>
      </w:r>
      <w:r w:rsidR="00CE1C88">
        <w:rPr>
          <w:snapToGrid w:val="0"/>
          <w:kern w:val="18"/>
          <w:szCs w:val="18"/>
          <w:lang w:val="it-IT"/>
        </w:rPr>
        <w:t>.</w:t>
      </w:r>
    </w:p>
  </w:footnote>
  <w:footnote w:id="264">
    <w:p w14:paraId="67685F9E" w14:textId="65D13B7C" w:rsidR="00DA0273" w:rsidRPr="009C7E6D" w:rsidRDefault="00DA0273" w:rsidP="00CE1C88">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paragraph 27; </w:t>
      </w:r>
      <w:r w:rsidRPr="009C7E6D">
        <w:rPr>
          <w:lang w:val="it-IT"/>
        </w:rPr>
        <w:t>XIII/27, paragraph 4; 14/27, paragraph 3(a)</w:t>
      </w:r>
      <w:r w:rsidR="00CE1C88">
        <w:rPr>
          <w:lang w:val="it-IT"/>
        </w:rPr>
        <w:t>.</w:t>
      </w:r>
    </w:p>
  </w:footnote>
  <w:footnote w:id="265">
    <w:p w14:paraId="2A2924B0" w14:textId="46BB8A73"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 31-32</w:t>
      </w:r>
      <w:r w:rsidR="00CE1C88">
        <w:rPr>
          <w:snapToGrid w:val="0"/>
          <w:kern w:val="18"/>
          <w:szCs w:val="18"/>
          <w:lang w:val="it-IT"/>
        </w:rPr>
        <w:t>.</w:t>
      </w:r>
    </w:p>
  </w:footnote>
  <w:footnote w:id="266">
    <w:p w14:paraId="07714A2F" w14:textId="12A13A91"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Fonts w:eastAsiaTheme="majorEastAsia"/>
        </w:rPr>
        <w:footnoteRef/>
      </w:r>
      <w:r w:rsidRPr="009C7E6D">
        <w:rPr>
          <w:snapToGrid w:val="0"/>
          <w:kern w:val="18"/>
          <w:szCs w:val="18"/>
          <w:lang w:val="it-IT"/>
        </w:rPr>
        <w:t xml:space="preserve"> Decision XIII/21, annex II, paragraphs 33-34</w:t>
      </w:r>
      <w:r w:rsidR="00CE1C88">
        <w:rPr>
          <w:snapToGrid w:val="0"/>
          <w:kern w:val="18"/>
          <w:szCs w:val="18"/>
          <w:lang w:val="it-IT"/>
        </w:rPr>
        <w:t>.</w:t>
      </w:r>
    </w:p>
  </w:footnote>
  <w:footnote w:id="267">
    <w:p w14:paraId="2037A32D" w14:textId="7B869B7B"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paragraphs 35-36</w:t>
      </w:r>
      <w:r w:rsidR="00CE1C88">
        <w:rPr>
          <w:snapToGrid w:val="0"/>
          <w:kern w:val="18"/>
          <w:szCs w:val="18"/>
          <w:lang w:val="it-IT"/>
        </w:rPr>
        <w:t>.</w:t>
      </w:r>
    </w:p>
  </w:footnote>
  <w:footnote w:id="268">
    <w:p w14:paraId="117BAE5F" w14:textId="0717AA82" w:rsidR="00DA0273" w:rsidRPr="009C7E6D" w:rsidRDefault="00DA0273" w:rsidP="00CE1C88">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 37</w:t>
      </w:r>
      <w:r w:rsidR="00CE1C88">
        <w:rPr>
          <w:snapToGrid w:val="0"/>
          <w:kern w:val="18"/>
          <w:szCs w:val="18"/>
          <w:lang w:val="it-IT"/>
        </w:rPr>
        <w:t>.</w:t>
      </w:r>
    </w:p>
  </w:footnote>
  <w:footnote w:id="269">
    <w:p w14:paraId="50DD2EC1" w14:textId="15CC5815" w:rsidR="00DA0273" w:rsidRPr="009C7E6D" w:rsidRDefault="00DA0273" w:rsidP="00725BFC">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 40</w:t>
      </w:r>
      <w:r w:rsidR="00725BFC">
        <w:rPr>
          <w:snapToGrid w:val="0"/>
          <w:kern w:val="18"/>
          <w:szCs w:val="18"/>
          <w:lang w:val="it-IT"/>
        </w:rPr>
        <w:t>.</w:t>
      </w:r>
    </w:p>
  </w:footnote>
  <w:footnote w:id="270">
    <w:p w14:paraId="50577D73" w14:textId="1A9AD7BF" w:rsidR="00DA0273" w:rsidRPr="009C7E6D" w:rsidRDefault="00DA0273" w:rsidP="00725BFC">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w:t>
      </w:r>
      <w:r>
        <w:rPr>
          <w:snapToGrid w:val="0"/>
          <w:kern w:val="18"/>
          <w:szCs w:val="18"/>
          <w:lang w:val="it-IT"/>
        </w:rPr>
        <w:t>Updated from d</w:t>
      </w:r>
      <w:r w:rsidRPr="009C7E6D">
        <w:rPr>
          <w:snapToGrid w:val="0"/>
          <w:kern w:val="18"/>
          <w:szCs w:val="18"/>
          <w:lang w:val="it-IT"/>
        </w:rPr>
        <w:t>ecision XIII/21, annex II, paragraph 41</w:t>
      </w:r>
      <w:r w:rsidR="00725BFC">
        <w:rPr>
          <w:snapToGrid w:val="0"/>
          <w:kern w:val="18"/>
          <w:szCs w:val="18"/>
          <w:lang w:val="it-IT"/>
        </w:rPr>
        <w:t>.</w:t>
      </w:r>
    </w:p>
  </w:footnote>
  <w:footnote w:id="271">
    <w:p w14:paraId="47748EBA" w14:textId="59FF1C53" w:rsidR="00DA0273" w:rsidRPr="009C7E6D" w:rsidRDefault="00DA0273" w:rsidP="00725BFC">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 38</w:t>
      </w:r>
      <w:r w:rsidR="00725BFC">
        <w:rPr>
          <w:snapToGrid w:val="0"/>
          <w:kern w:val="18"/>
          <w:szCs w:val="18"/>
          <w:lang w:val="it-IT"/>
        </w:rPr>
        <w:t>.</w:t>
      </w:r>
    </w:p>
  </w:footnote>
  <w:footnote w:id="272">
    <w:p w14:paraId="5D944944" w14:textId="4F177B5D" w:rsidR="00DA0273" w:rsidRPr="009C7E6D" w:rsidRDefault="00DA0273" w:rsidP="00725BFC">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 39</w:t>
      </w:r>
      <w:r w:rsidR="00725BFC">
        <w:rPr>
          <w:snapToGrid w:val="0"/>
          <w:kern w:val="18"/>
          <w:szCs w:val="18"/>
          <w:lang w:val="it-IT"/>
        </w:rPr>
        <w:t>.</w:t>
      </w:r>
    </w:p>
  </w:footnote>
  <w:footnote w:id="273">
    <w:p w14:paraId="1CCB8B6C" w14:textId="7E05E08C" w:rsidR="00DA0273" w:rsidRPr="009C7E6D" w:rsidRDefault="00DA0273" w:rsidP="00725BFC">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 5</w:t>
      </w:r>
      <w:r w:rsidR="00725BFC">
        <w:rPr>
          <w:snapToGrid w:val="0"/>
          <w:kern w:val="18"/>
          <w:szCs w:val="18"/>
          <w:lang w:val="it-IT"/>
        </w:rPr>
        <w:t>.</w:t>
      </w:r>
    </w:p>
  </w:footnote>
  <w:footnote w:id="274">
    <w:p w14:paraId="47B08048" w14:textId="6DB9644D" w:rsidR="00DA0273" w:rsidRPr="009C7E6D" w:rsidRDefault="00DA0273" w:rsidP="00725BFC">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vertAlign w:val="superscript"/>
          <w:lang w:val="it-IT"/>
        </w:rPr>
        <w:t xml:space="preserve"> </w:t>
      </w:r>
      <w:r w:rsidRPr="009C7E6D">
        <w:rPr>
          <w:snapToGrid w:val="0"/>
          <w:kern w:val="18"/>
          <w:szCs w:val="18"/>
          <w:lang w:val="it-IT"/>
        </w:rPr>
        <w:t>Decision XIII/21, annex II, paragraph 42</w:t>
      </w:r>
      <w:r w:rsidR="00725BFC">
        <w:rPr>
          <w:snapToGrid w:val="0"/>
          <w:kern w:val="18"/>
          <w:szCs w:val="18"/>
          <w:lang w:val="it-IT"/>
        </w:rPr>
        <w:t>.</w:t>
      </w:r>
    </w:p>
  </w:footnote>
  <w:footnote w:id="275">
    <w:p w14:paraId="59362006" w14:textId="5898B826" w:rsidR="00DA0273" w:rsidRPr="009C7E6D" w:rsidRDefault="00DA0273" w:rsidP="00725BFC">
      <w:pPr>
        <w:pStyle w:val="FootnoteText"/>
        <w:keepLines w:val="0"/>
        <w:suppressLineNumbers/>
        <w:suppressAutoHyphens/>
        <w:adjustRightInd w:val="0"/>
        <w:snapToGrid w:val="0"/>
        <w:ind w:firstLine="0"/>
        <w:jc w:val="left"/>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47; XIII/21, paragraph 15</w:t>
      </w:r>
      <w:r w:rsidR="00725BFC">
        <w:rPr>
          <w:snapToGrid w:val="0"/>
          <w:kern w:val="18"/>
          <w:szCs w:val="18"/>
          <w:lang w:val="it-IT"/>
        </w:rPr>
        <w:t>.</w:t>
      </w:r>
    </w:p>
  </w:footnote>
  <w:footnote w:id="276">
    <w:p w14:paraId="0C77662B" w14:textId="5EE3BA51" w:rsidR="00DA0273" w:rsidRPr="009C7E6D" w:rsidRDefault="00DA0273" w:rsidP="00725BFC">
      <w:pPr>
        <w:pStyle w:val="FootnoteText"/>
        <w:ind w:firstLine="0"/>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paragraphs 22 and 23</w:t>
      </w:r>
      <w:r w:rsidR="00725BFC">
        <w:rPr>
          <w:snapToGrid w:val="0"/>
          <w:kern w:val="18"/>
          <w:szCs w:val="18"/>
          <w:lang w:val="it-IT"/>
        </w:rPr>
        <w:t>.</w:t>
      </w:r>
    </w:p>
  </w:footnote>
  <w:footnote w:id="277">
    <w:p w14:paraId="5B9726E2" w14:textId="7C46DF98" w:rsidR="00DA0273" w:rsidRPr="009C7E6D" w:rsidRDefault="00DA0273" w:rsidP="00725BFC">
      <w:pPr>
        <w:pStyle w:val="FootnoteText"/>
        <w:ind w:firstLine="0"/>
        <w:rPr>
          <w:lang w:val="it-IT"/>
        </w:rPr>
      </w:pPr>
      <w:r w:rsidRPr="00610646">
        <w:rPr>
          <w:rStyle w:val="FootnoteReference"/>
          <w:rFonts w:eastAsiaTheme="majorEastAsia"/>
        </w:rPr>
        <w:footnoteRef/>
      </w:r>
      <w:r w:rsidRPr="009C7E6D">
        <w:rPr>
          <w:lang w:val="it-IT"/>
        </w:rPr>
        <w:t xml:space="preserve"> Decision 14/23, paragraph 3; 14/15, paragraph 6</w:t>
      </w:r>
      <w:r w:rsidR="00725BFC">
        <w:rPr>
          <w:lang w:val="it-IT"/>
        </w:rPr>
        <w:t>.</w:t>
      </w:r>
    </w:p>
  </w:footnote>
  <w:footnote w:id="278">
    <w:p w14:paraId="50BB8CD5" w14:textId="6F508911" w:rsidR="00DA0273" w:rsidRPr="009C7E6D" w:rsidRDefault="00DA0273" w:rsidP="00D63731">
      <w:pPr>
        <w:pStyle w:val="FootnoteText"/>
        <w:ind w:firstLine="0"/>
        <w:rPr>
          <w:lang w:val="it-IT"/>
        </w:rPr>
      </w:pPr>
      <w:r w:rsidRPr="00610646">
        <w:rPr>
          <w:rStyle w:val="FootnoteReference"/>
          <w:rFonts w:eastAsiaTheme="majorEastAsia"/>
        </w:rPr>
        <w:footnoteRef/>
      </w:r>
      <w:r w:rsidRPr="009C7E6D">
        <w:rPr>
          <w:lang w:val="it-IT"/>
        </w:rPr>
        <w:t xml:space="preserve"> Decision 14/23, para</w:t>
      </w:r>
      <w:r>
        <w:rPr>
          <w:lang w:val="it-IT"/>
        </w:rPr>
        <w:t>graph</w:t>
      </w:r>
      <w:r w:rsidRPr="009C7E6D">
        <w:rPr>
          <w:lang w:val="it-IT"/>
        </w:rPr>
        <w:t xml:space="preserve"> 12(e)(i)</w:t>
      </w:r>
      <w:r w:rsidR="00D63731">
        <w:rPr>
          <w:lang w:val="it-IT"/>
        </w:rPr>
        <w:t>.</w:t>
      </w:r>
    </w:p>
  </w:footnote>
  <w:footnote w:id="279">
    <w:p w14:paraId="4616B453" w14:textId="3BED4ABD" w:rsidR="00DA0273" w:rsidRPr="009C7E6D" w:rsidRDefault="00DA0273" w:rsidP="00D63731">
      <w:pPr>
        <w:pStyle w:val="FootnoteText"/>
        <w:ind w:firstLine="0"/>
        <w:rPr>
          <w:lang w:val="it-IT"/>
        </w:rPr>
      </w:pPr>
      <w:r w:rsidRPr="00610646">
        <w:rPr>
          <w:rStyle w:val="FootnoteReference"/>
          <w:rFonts w:eastAsiaTheme="majorEastAsia"/>
        </w:rPr>
        <w:footnoteRef/>
      </w:r>
      <w:r w:rsidRPr="009C7E6D">
        <w:rPr>
          <w:lang w:val="it-IT"/>
        </w:rPr>
        <w:t xml:space="preserve"> Decision 14/23, paragraph 12(e)(ii)</w:t>
      </w:r>
      <w:r w:rsidR="00D63731">
        <w:rPr>
          <w:lang w:val="it-IT"/>
        </w:rPr>
        <w:t>.</w:t>
      </w:r>
    </w:p>
  </w:footnote>
  <w:footnote w:id="280">
    <w:p w14:paraId="7010B209" w14:textId="6FEB0353" w:rsidR="00DA0273" w:rsidRPr="009C7E6D" w:rsidRDefault="00DA0273" w:rsidP="00D63731">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9C7E6D">
        <w:rPr>
          <w:snapToGrid w:val="0"/>
          <w:kern w:val="18"/>
          <w:szCs w:val="18"/>
          <w:lang w:val="it-IT"/>
        </w:rPr>
        <w:t xml:space="preserve"> Decision XIII/21, annex II, paragraph 43</w:t>
      </w:r>
      <w:r w:rsidR="00D63731">
        <w:rPr>
          <w:snapToGrid w:val="0"/>
          <w:kern w:val="18"/>
          <w:szCs w:val="18"/>
          <w:lang w:val="it-IT"/>
        </w:rPr>
        <w:t>.</w:t>
      </w:r>
    </w:p>
  </w:footnote>
  <w:footnote w:id="281">
    <w:p w14:paraId="4B8AF3F6" w14:textId="0F304ADB" w:rsidR="00DA0273" w:rsidRPr="009C7E6D" w:rsidRDefault="00DA0273" w:rsidP="00D63731">
      <w:pPr>
        <w:pStyle w:val="FootnoteText"/>
        <w:keepLines w:val="0"/>
        <w:suppressLineNumbers/>
        <w:suppressAutoHyphens/>
        <w:adjustRightInd w:val="0"/>
        <w:snapToGrid w:val="0"/>
        <w:ind w:firstLine="0"/>
        <w:jc w:val="left"/>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44</w:t>
      </w:r>
      <w:r w:rsidR="00D63731">
        <w:rPr>
          <w:snapToGrid w:val="0"/>
          <w:kern w:val="18"/>
          <w:szCs w:val="18"/>
          <w:lang w:val="it-IT"/>
        </w:rPr>
        <w:t>.</w:t>
      </w:r>
    </w:p>
  </w:footnote>
  <w:footnote w:id="282">
    <w:p w14:paraId="2CBE0567" w14:textId="65AE0A03" w:rsidR="00DA0273" w:rsidRPr="009C7E6D" w:rsidRDefault="00DA0273" w:rsidP="00D63731">
      <w:pPr>
        <w:pStyle w:val="FootnoteText"/>
        <w:keepLines w:val="0"/>
        <w:suppressLineNumbers/>
        <w:suppressAutoHyphens/>
        <w:adjustRightInd w:val="0"/>
        <w:snapToGrid w:val="0"/>
        <w:ind w:firstLine="0"/>
        <w:jc w:val="left"/>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Decision XIII/21, annex II, paragraph 45</w:t>
      </w:r>
      <w:r w:rsidR="00D63731">
        <w:rPr>
          <w:snapToGrid w:val="0"/>
          <w:kern w:val="18"/>
          <w:szCs w:val="18"/>
          <w:lang w:val="it-IT"/>
        </w:rPr>
        <w:t>.</w:t>
      </w:r>
    </w:p>
  </w:footnote>
  <w:footnote w:id="283">
    <w:p w14:paraId="10E1FC83" w14:textId="1A33DB25" w:rsidR="00DA0273" w:rsidRPr="009C7E6D" w:rsidRDefault="00DA0273" w:rsidP="00D63731">
      <w:pPr>
        <w:pStyle w:val="FootnoteText"/>
        <w:keepLines w:val="0"/>
        <w:suppressLineNumbers/>
        <w:suppressAutoHyphens/>
        <w:adjustRightInd w:val="0"/>
        <w:snapToGrid w:val="0"/>
        <w:ind w:firstLine="0"/>
        <w:jc w:val="left"/>
        <w:rPr>
          <w:lang w:val="it-IT"/>
        </w:rPr>
      </w:pPr>
      <w:r w:rsidRPr="00610646">
        <w:rPr>
          <w:rStyle w:val="FootnoteReference"/>
          <w:rFonts w:eastAsiaTheme="majorEastAsia"/>
        </w:rPr>
        <w:footnoteRef/>
      </w:r>
      <w:r w:rsidRPr="009C7E6D">
        <w:rPr>
          <w:lang w:val="it-IT"/>
        </w:rPr>
        <w:t xml:space="preserve"> </w:t>
      </w:r>
      <w:r w:rsidRPr="009C7E6D">
        <w:rPr>
          <w:snapToGrid w:val="0"/>
          <w:kern w:val="18"/>
          <w:szCs w:val="18"/>
          <w:lang w:val="it-IT"/>
        </w:rPr>
        <w:t xml:space="preserve">Decision XIII/21, annex II, paragraphs 46, 48; XIII/21, paragraph 16; </w:t>
      </w:r>
      <w:r w:rsidRPr="009C7E6D">
        <w:rPr>
          <w:lang w:val="it-IT"/>
        </w:rPr>
        <w:t>14/23, paragraph 1</w:t>
      </w:r>
      <w:r w:rsidR="00D63731">
        <w:rPr>
          <w:lang w:val="it-IT"/>
        </w:rPr>
        <w:t>.</w:t>
      </w:r>
    </w:p>
  </w:footnote>
  <w:footnote w:id="284">
    <w:p w14:paraId="48A0FAFE" w14:textId="00360E6E" w:rsidR="00DA0273" w:rsidRPr="000E778E" w:rsidRDefault="00DA0273" w:rsidP="00D63731">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0E778E">
        <w:rPr>
          <w:snapToGrid w:val="0"/>
          <w:kern w:val="18"/>
          <w:szCs w:val="18"/>
          <w:lang w:val="it-IT"/>
        </w:rPr>
        <w:t xml:space="preserve"> Decision XIII/21, annex II, paragraph 49</w:t>
      </w:r>
      <w:r w:rsidR="00D63731">
        <w:rPr>
          <w:snapToGrid w:val="0"/>
          <w:kern w:val="18"/>
          <w:szCs w:val="18"/>
          <w:lang w:val="it-IT"/>
        </w:rPr>
        <w:t>.</w:t>
      </w:r>
    </w:p>
  </w:footnote>
  <w:footnote w:id="285">
    <w:p w14:paraId="62C9AE19" w14:textId="537EC921" w:rsidR="00DA0273" w:rsidRPr="000E778E" w:rsidRDefault="00DA0273" w:rsidP="00D63731">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0E778E">
        <w:rPr>
          <w:snapToGrid w:val="0"/>
          <w:kern w:val="18"/>
          <w:szCs w:val="18"/>
          <w:lang w:val="it-IT"/>
        </w:rPr>
        <w:t xml:space="preserve"> Decision XIII/21, annex II, paragraph 50</w:t>
      </w:r>
      <w:r w:rsidR="00D63731">
        <w:rPr>
          <w:snapToGrid w:val="0"/>
          <w:kern w:val="18"/>
          <w:szCs w:val="18"/>
          <w:lang w:val="it-IT"/>
        </w:rPr>
        <w:t>.</w:t>
      </w:r>
    </w:p>
  </w:footnote>
  <w:footnote w:id="286">
    <w:p w14:paraId="6E28EE63" w14:textId="239AF081" w:rsidR="00DA0273" w:rsidRPr="000E778E" w:rsidRDefault="00DA0273" w:rsidP="00D63731">
      <w:pPr>
        <w:pStyle w:val="FootnoteText"/>
        <w:keepLines w:val="0"/>
        <w:suppressLineNumbers/>
        <w:suppressAutoHyphens/>
        <w:adjustRightInd w:val="0"/>
        <w:snapToGrid w:val="0"/>
        <w:ind w:firstLine="0"/>
        <w:jc w:val="left"/>
        <w:rPr>
          <w:snapToGrid w:val="0"/>
          <w:kern w:val="18"/>
          <w:szCs w:val="18"/>
          <w:lang w:val="it-IT"/>
        </w:rPr>
      </w:pPr>
      <w:r w:rsidRPr="00610646">
        <w:rPr>
          <w:rStyle w:val="FootnoteReference"/>
        </w:rPr>
        <w:footnoteRef/>
      </w:r>
      <w:r w:rsidRPr="000E778E">
        <w:rPr>
          <w:snapToGrid w:val="0"/>
          <w:kern w:val="18"/>
          <w:szCs w:val="18"/>
          <w:lang w:val="it-IT"/>
        </w:rPr>
        <w:t xml:space="preserve"> Decision XIII/21, annex II, paragraph 51</w:t>
      </w:r>
      <w:r w:rsidR="00D63731">
        <w:rPr>
          <w:snapToGrid w:val="0"/>
          <w:kern w:val="18"/>
          <w:szCs w:val="18"/>
          <w:lang w:val="it-IT"/>
        </w:rPr>
        <w:t>.</w:t>
      </w:r>
    </w:p>
  </w:footnote>
  <w:footnote w:id="287">
    <w:p w14:paraId="334E4F17" w14:textId="3E5850FD" w:rsidR="00DA0273" w:rsidRPr="000E778E" w:rsidRDefault="00DA0273" w:rsidP="00D63731">
      <w:pPr>
        <w:pStyle w:val="FootnoteText"/>
        <w:ind w:firstLine="0"/>
        <w:rPr>
          <w:lang w:val="it-IT"/>
        </w:rPr>
      </w:pPr>
      <w:r w:rsidRPr="00610646">
        <w:rPr>
          <w:rStyle w:val="FootnoteReference"/>
          <w:rFonts w:eastAsiaTheme="majorEastAsia"/>
        </w:rPr>
        <w:footnoteRef/>
      </w:r>
      <w:r w:rsidRPr="000E778E">
        <w:rPr>
          <w:lang w:val="it-IT"/>
        </w:rPr>
        <w:t xml:space="preserve"> Decision 14/23, paragraph 18</w:t>
      </w:r>
      <w:r w:rsidR="00D63731">
        <w:rPr>
          <w:lang w:val="it-IT"/>
        </w:rPr>
        <w:t>.</w:t>
      </w:r>
    </w:p>
  </w:footnote>
  <w:footnote w:id="288">
    <w:p w14:paraId="5E3CFA66" w14:textId="53F29857" w:rsidR="00DA0273" w:rsidRPr="000E778E" w:rsidRDefault="00DA0273" w:rsidP="00D63731">
      <w:pPr>
        <w:pStyle w:val="FootnoteText"/>
        <w:ind w:firstLine="0"/>
        <w:rPr>
          <w:lang w:val="it-IT"/>
        </w:rPr>
      </w:pPr>
      <w:r w:rsidRPr="00610646">
        <w:rPr>
          <w:rStyle w:val="FootnoteReference"/>
          <w:rFonts w:eastAsiaTheme="majorEastAsia"/>
        </w:rPr>
        <w:footnoteRef/>
      </w:r>
      <w:r w:rsidRPr="000E778E">
        <w:rPr>
          <w:lang w:val="it-IT"/>
        </w:rPr>
        <w:t xml:space="preserve"> Decision 14/23, paragraph 19</w:t>
      </w:r>
      <w:r w:rsidR="00D63731">
        <w:rPr>
          <w:lang w:val="it-IT"/>
        </w:rPr>
        <w:t>.</w:t>
      </w:r>
    </w:p>
  </w:footnote>
  <w:footnote w:id="289">
    <w:p w14:paraId="645EFB1C" w14:textId="77777777" w:rsidR="00DA0273" w:rsidRPr="000E778E" w:rsidRDefault="00DA0273" w:rsidP="00D63731">
      <w:pPr>
        <w:pStyle w:val="FootnoteText"/>
        <w:ind w:firstLine="0"/>
        <w:rPr>
          <w:lang w:val="it-IT"/>
        </w:rPr>
      </w:pPr>
      <w:r w:rsidRPr="00610646">
        <w:rPr>
          <w:rStyle w:val="FootnoteReference"/>
        </w:rPr>
        <w:footnoteRef/>
      </w:r>
      <w:r w:rsidRPr="000E778E">
        <w:rPr>
          <w:lang w:val="it-IT"/>
        </w:rPr>
        <w:t xml:space="preserve"> Decision 15/7.</w:t>
      </w:r>
    </w:p>
  </w:footnote>
  <w:footnote w:id="290">
    <w:p w14:paraId="2AD45C21" w14:textId="77777777" w:rsidR="00DA0273" w:rsidRPr="00DD002D" w:rsidRDefault="00DA0273" w:rsidP="00D63731">
      <w:pPr>
        <w:pStyle w:val="FootnoteText"/>
        <w:ind w:firstLine="0"/>
        <w:rPr>
          <w:lang w:val="en-US"/>
        </w:rPr>
      </w:pPr>
      <w:r w:rsidRPr="00610646">
        <w:rPr>
          <w:rStyle w:val="FootnoteReference"/>
        </w:rPr>
        <w:footnoteRef/>
      </w:r>
      <w:r w:rsidRPr="000F2F32">
        <w:t xml:space="preserve"> CBD/POST2020/WS/2020/3/2.</w:t>
      </w:r>
    </w:p>
  </w:footnote>
  <w:footnote w:id="291">
    <w:p w14:paraId="2FDF3A9A" w14:textId="4E5CD7A9" w:rsidR="00DA0273" w:rsidRPr="007254B6" w:rsidRDefault="00DA0273" w:rsidP="00F858E4">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B926B8">
        <w:rPr>
          <w:kern w:val="18"/>
          <w:szCs w:val="18"/>
        </w:rPr>
        <w:t xml:space="preserve"> </w:t>
      </w:r>
      <w:r w:rsidRPr="007254B6">
        <w:rPr>
          <w:kern w:val="18"/>
          <w:szCs w:val="18"/>
        </w:rPr>
        <w:t xml:space="preserve">Instrument for the Establishment of the Restructured Global Environment Facility, September 2019. </w:t>
      </w:r>
      <w:hyperlink r:id="rId45" w:history="1">
        <w:r w:rsidRPr="00B926B8">
          <w:rPr>
            <w:rStyle w:val="Hyperlink"/>
            <w:kern w:val="18"/>
            <w:szCs w:val="18"/>
          </w:rPr>
          <w:t>http://www.thegef.org/publications/instrument-establishment-restructured-gef-2019</w:t>
        </w:r>
      </w:hyperlink>
      <w:r w:rsidRPr="00B926B8">
        <w:rPr>
          <w:kern w:val="18"/>
          <w:szCs w:val="18"/>
        </w:rPr>
        <w:t>.</w:t>
      </w:r>
    </w:p>
  </w:footnote>
  <w:footnote w:id="292">
    <w:p w14:paraId="33625DE3" w14:textId="1D67C5A9" w:rsidR="0050667D" w:rsidRPr="00E80CEA" w:rsidRDefault="0050667D" w:rsidP="00912FBA">
      <w:pPr>
        <w:pStyle w:val="FootnoteText"/>
        <w:suppressLineNumbers/>
        <w:suppressAutoHyphens/>
        <w:kinsoku w:val="0"/>
        <w:overflowPunct w:val="0"/>
        <w:autoSpaceDE w:val="0"/>
        <w:autoSpaceDN w:val="0"/>
        <w:adjustRightInd w:val="0"/>
        <w:snapToGrid w:val="0"/>
        <w:ind w:firstLine="0"/>
        <w:jc w:val="left"/>
        <w:rPr>
          <w:kern w:val="18"/>
          <w:szCs w:val="18"/>
        </w:rPr>
      </w:pPr>
      <w:r w:rsidRPr="00610646">
        <w:rPr>
          <w:rStyle w:val="FootnoteReference"/>
        </w:rPr>
        <w:footnoteRef/>
      </w:r>
      <w:r w:rsidRPr="005163FD">
        <w:rPr>
          <w:kern w:val="18"/>
          <w:szCs w:val="18"/>
          <w:lang w:val="en-CA"/>
        </w:rPr>
        <w:t xml:space="preserve"> See decision </w:t>
      </w:r>
      <w:hyperlink r:id="rId46" w:history="1">
        <w:r w:rsidRPr="005163FD">
          <w:rPr>
            <w:rStyle w:val="Hyperlink"/>
            <w:kern w:val="18"/>
            <w:szCs w:val="18"/>
            <w:lang w:val="en-CA"/>
          </w:rPr>
          <w:t>XI/2</w:t>
        </w:r>
      </w:hyperlink>
      <w:r w:rsidRPr="005163FD">
        <w:rPr>
          <w:kern w:val="18"/>
          <w:szCs w:val="18"/>
          <w:lang w:val="en-CA"/>
        </w:rPr>
        <w:t xml:space="preserve">, para. </w:t>
      </w:r>
      <w:r w:rsidRPr="00E80CEA">
        <w:rPr>
          <w:kern w:val="18"/>
          <w:szCs w:val="18"/>
        </w:rPr>
        <w:t xml:space="preserve">11, and </w:t>
      </w:r>
      <w:hyperlink r:id="rId47" w:history="1">
        <w:r w:rsidRPr="00E80CEA">
          <w:rPr>
            <w:rStyle w:val="Hyperlink"/>
            <w:kern w:val="18"/>
            <w:szCs w:val="18"/>
          </w:rPr>
          <w:t>UNEP/CBD/COP/11/31</w:t>
        </w:r>
      </w:hyperlink>
      <w:r w:rsidRPr="00E80CEA">
        <w:rPr>
          <w:kern w:val="18"/>
          <w:szCs w:val="18"/>
        </w:rPr>
        <w:t>.</w:t>
      </w:r>
    </w:p>
  </w:footnote>
  <w:footnote w:id="293">
    <w:p w14:paraId="5FB889DB" w14:textId="3116A1C3" w:rsidR="0050667D" w:rsidRPr="005163FD" w:rsidRDefault="0050667D" w:rsidP="00912FBA">
      <w:pPr>
        <w:pStyle w:val="FootnoteText"/>
        <w:ind w:firstLine="0"/>
        <w:rPr>
          <w:lang w:val="it-IT"/>
        </w:rPr>
      </w:pPr>
      <w:r w:rsidRPr="00610646">
        <w:rPr>
          <w:rStyle w:val="FootnoteReference"/>
        </w:rPr>
        <w:footnoteRef/>
      </w:r>
      <w:r w:rsidRPr="005163FD">
        <w:rPr>
          <w:lang w:val="it-IT"/>
        </w:rPr>
        <w:t xml:space="preserve"> </w:t>
      </w:r>
      <w:hyperlink r:id="rId48" w:history="1">
        <w:r w:rsidRPr="005163FD">
          <w:rPr>
            <w:rStyle w:val="Hyperlink"/>
            <w:lang w:val="it-IT"/>
          </w:rPr>
          <w:t>CBD/SBSTTA/24/INF/28</w:t>
        </w:r>
      </w:hyperlink>
      <w:r w:rsidRPr="005163FD">
        <w:rPr>
          <w:lang w:val="it-IT"/>
        </w:rPr>
        <w:t>.</w:t>
      </w:r>
    </w:p>
  </w:footnote>
  <w:footnote w:id="294">
    <w:p w14:paraId="458D7FD5" w14:textId="4C48869D" w:rsidR="0050667D" w:rsidRPr="005163FD" w:rsidRDefault="0050667D" w:rsidP="00912FBA">
      <w:pPr>
        <w:pStyle w:val="FootnoteText"/>
        <w:ind w:firstLine="0"/>
        <w:rPr>
          <w:kern w:val="18"/>
          <w:szCs w:val="18"/>
          <w:lang w:val="it-IT"/>
        </w:rPr>
      </w:pPr>
      <w:r w:rsidRPr="00610646">
        <w:rPr>
          <w:rStyle w:val="FootnoteReference"/>
        </w:rPr>
        <w:footnoteRef/>
      </w:r>
      <w:r w:rsidRPr="005163FD">
        <w:rPr>
          <w:kern w:val="18"/>
          <w:szCs w:val="18"/>
          <w:lang w:val="it-IT"/>
        </w:rPr>
        <w:t xml:space="preserve"> </w:t>
      </w:r>
      <w:hyperlink r:id="rId49" w:history="1">
        <w:r w:rsidRPr="005163FD">
          <w:rPr>
            <w:rStyle w:val="Hyperlink"/>
            <w:lang w:val="it-IT"/>
          </w:rPr>
          <w:t>https://gkssb.chm-cbd.net</w:t>
        </w:r>
      </w:hyperlink>
      <w:r w:rsidR="00912FBA">
        <w:rPr>
          <w:rStyle w:val="Hyperlink"/>
          <w:lang w:val="it-IT"/>
        </w:rPr>
        <w:t>.</w:t>
      </w:r>
    </w:p>
  </w:footnote>
  <w:footnote w:id="295">
    <w:p w14:paraId="606DF015" w14:textId="343D9D8D" w:rsidR="0050667D" w:rsidRPr="005163FD" w:rsidRDefault="0050667D" w:rsidP="00912FBA">
      <w:pPr>
        <w:pStyle w:val="FootnoteText"/>
        <w:ind w:firstLine="0"/>
        <w:rPr>
          <w:kern w:val="18"/>
          <w:szCs w:val="18"/>
          <w:lang w:val="it-IT"/>
        </w:rPr>
      </w:pPr>
      <w:r w:rsidRPr="00610646">
        <w:rPr>
          <w:rStyle w:val="FootnoteReference"/>
        </w:rPr>
        <w:footnoteRef/>
      </w:r>
      <w:r w:rsidRPr="005163FD">
        <w:rPr>
          <w:kern w:val="18"/>
          <w:szCs w:val="18"/>
          <w:lang w:val="it-IT"/>
        </w:rPr>
        <w:t xml:space="preserve"> </w:t>
      </w:r>
      <w:hyperlink r:id="rId50" w:history="1">
        <w:r w:rsidRPr="005163FD">
          <w:rPr>
            <w:rStyle w:val="Hyperlink"/>
            <w:lang w:val="it-IT"/>
          </w:rPr>
          <w:t>https://www.gbif.org/data4nature</w:t>
        </w:r>
      </w:hyperlink>
      <w:r w:rsidR="00912FBA">
        <w:rPr>
          <w:lang w:val="it-IT"/>
        </w:rPr>
        <w:t>.</w:t>
      </w:r>
      <w:r w:rsidRPr="005163FD">
        <w:rPr>
          <w:kern w:val="18"/>
          <w:szCs w:val="18"/>
          <w:lang w:val="it-IT"/>
        </w:rPr>
        <w:t xml:space="preserve"> </w:t>
      </w:r>
    </w:p>
  </w:footnote>
  <w:footnote w:id="296">
    <w:p w14:paraId="74A0506F" w14:textId="3AD1ECFC" w:rsidR="0050667D" w:rsidRPr="005163FD" w:rsidRDefault="0050667D" w:rsidP="00912FBA">
      <w:pPr>
        <w:pStyle w:val="FootnoteText"/>
        <w:ind w:firstLine="0"/>
        <w:rPr>
          <w:kern w:val="18"/>
          <w:szCs w:val="18"/>
          <w:lang w:val="it-IT"/>
        </w:rPr>
      </w:pPr>
      <w:r w:rsidRPr="00610646">
        <w:rPr>
          <w:rStyle w:val="FootnoteReference"/>
        </w:rPr>
        <w:footnoteRef/>
      </w:r>
      <w:r w:rsidRPr="005163FD">
        <w:rPr>
          <w:kern w:val="18"/>
          <w:szCs w:val="18"/>
          <w:lang w:val="it-IT"/>
        </w:rPr>
        <w:t xml:space="preserve"> </w:t>
      </w:r>
      <w:hyperlink r:id="rId51" w:history="1">
        <w:r w:rsidRPr="005163FD">
          <w:rPr>
            <w:rStyle w:val="Hyperlink"/>
            <w:kern w:val="18"/>
            <w:szCs w:val="18"/>
            <w:lang w:val="it-IT"/>
          </w:rPr>
          <w:t>https://panorama.solutions/en</w:t>
        </w:r>
      </w:hyperlink>
      <w:r w:rsidR="00912FBA">
        <w:rPr>
          <w:rStyle w:val="Hyperlink"/>
          <w:kern w:val="18"/>
          <w:szCs w:val="18"/>
          <w:lang w:val="it-IT"/>
        </w:rPr>
        <w:t>.</w:t>
      </w:r>
    </w:p>
  </w:footnote>
  <w:footnote w:id="297">
    <w:p w14:paraId="453AA75D" w14:textId="54FB3E3C" w:rsidR="0050667D" w:rsidRPr="005163FD" w:rsidRDefault="0050667D" w:rsidP="00912FBA">
      <w:pPr>
        <w:pStyle w:val="FootnoteText"/>
        <w:ind w:firstLine="0"/>
        <w:rPr>
          <w:lang w:val="it-IT"/>
        </w:rPr>
      </w:pPr>
      <w:r w:rsidRPr="00610646">
        <w:rPr>
          <w:rStyle w:val="FootnoteReference"/>
        </w:rPr>
        <w:footnoteRef/>
      </w:r>
      <w:r w:rsidRPr="005163FD">
        <w:rPr>
          <w:lang w:val="it-IT"/>
        </w:rPr>
        <w:t xml:space="preserve"> </w:t>
      </w:r>
      <w:hyperlink r:id="rId52" w:history="1">
        <w:r w:rsidRPr="005163FD">
          <w:rPr>
            <w:rStyle w:val="Hyperlink"/>
            <w:lang w:val="it-IT"/>
          </w:rPr>
          <w:t>https://www.cbd.int/conferences/post2020/brc-ws</w:t>
        </w:r>
      </w:hyperlink>
      <w:r w:rsidR="00912FBA">
        <w:rPr>
          <w:lang w:val="it-IT"/>
        </w:rPr>
        <w:t>.</w:t>
      </w:r>
    </w:p>
  </w:footnote>
  <w:footnote w:id="298">
    <w:p w14:paraId="76336A22" w14:textId="458F6667" w:rsidR="0050667D" w:rsidRPr="005163FD" w:rsidRDefault="0050667D" w:rsidP="00912FBA">
      <w:pPr>
        <w:pStyle w:val="FootnoteText"/>
        <w:ind w:firstLine="0"/>
        <w:rPr>
          <w:lang w:val="it-IT"/>
        </w:rPr>
      </w:pPr>
      <w:r w:rsidRPr="00610646">
        <w:rPr>
          <w:rStyle w:val="FootnoteReference"/>
        </w:rPr>
        <w:footnoteRef/>
      </w:r>
      <w:r w:rsidRPr="005163FD">
        <w:rPr>
          <w:lang w:val="it-IT"/>
        </w:rPr>
        <w:t xml:space="preserve"> </w:t>
      </w:r>
      <w:hyperlink r:id="rId53" w:history="1">
        <w:r w:rsidRPr="005163FD">
          <w:rPr>
            <w:rStyle w:val="Hyperlink"/>
            <w:lang w:val="it-IT"/>
          </w:rPr>
          <w:t>https://oraotca.org</w:t>
        </w:r>
      </w:hyperlink>
      <w:r w:rsidR="00912FBA">
        <w:rPr>
          <w:rStyle w:val="Hyperlink"/>
          <w:lang w:val="it-IT"/>
        </w:rPr>
        <w:t>.</w:t>
      </w:r>
    </w:p>
  </w:footnote>
  <w:footnote w:id="299">
    <w:p w14:paraId="2D7B81E7" w14:textId="77777777" w:rsidR="0050667D" w:rsidRPr="005163FD" w:rsidRDefault="0050667D" w:rsidP="00912FBA">
      <w:pPr>
        <w:pStyle w:val="FootnoteText"/>
        <w:suppressLineNumbers/>
        <w:suppressAutoHyphens/>
        <w:kinsoku w:val="0"/>
        <w:overflowPunct w:val="0"/>
        <w:autoSpaceDE w:val="0"/>
        <w:autoSpaceDN w:val="0"/>
        <w:adjustRightInd w:val="0"/>
        <w:snapToGrid w:val="0"/>
        <w:ind w:firstLine="0"/>
        <w:jc w:val="left"/>
        <w:rPr>
          <w:kern w:val="18"/>
          <w:szCs w:val="18"/>
          <w:lang w:val="it-IT"/>
        </w:rPr>
      </w:pPr>
      <w:r w:rsidRPr="00610646">
        <w:rPr>
          <w:rStyle w:val="FootnoteReference"/>
        </w:rPr>
        <w:footnoteRef/>
      </w:r>
      <w:r w:rsidRPr="005163FD">
        <w:rPr>
          <w:kern w:val="18"/>
          <w:szCs w:val="18"/>
          <w:lang w:val="it-IT"/>
        </w:rPr>
        <w:t xml:space="preserve"> CBD/SBI/3/8.</w:t>
      </w:r>
    </w:p>
  </w:footnote>
  <w:footnote w:id="300">
    <w:p w14:paraId="763355F4" w14:textId="065B0F83" w:rsidR="0050667D" w:rsidRPr="00E80CEA" w:rsidRDefault="0050667D" w:rsidP="00912FBA">
      <w:pPr>
        <w:pStyle w:val="FootnoteText"/>
        <w:suppressLineNumbers/>
        <w:suppressAutoHyphens/>
        <w:kinsoku w:val="0"/>
        <w:overflowPunct w:val="0"/>
        <w:autoSpaceDE w:val="0"/>
        <w:autoSpaceDN w:val="0"/>
        <w:adjustRightInd w:val="0"/>
        <w:snapToGrid w:val="0"/>
        <w:ind w:firstLine="0"/>
        <w:jc w:val="left"/>
        <w:rPr>
          <w:kern w:val="18"/>
          <w:szCs w:val="18"/>
        </w:rPr>
      </w:pPr>
      <w:r w:rsidRPr="00610646">
        <w:rPr>
          <w:rStyle w:val="FootnoteReference"/>
        </w:rPr>
        <w:footnoteRef/>
      </w:r>
      <w:r w:rsidRPr="00E80CEA">
        <w:rPr>
          <w:kern w:val="18"/>
          <w:szCs w:val="18"/>
        </w:rPr>
        <w:t xml:space="preserve"> </w:t>
      </w:r>
      <w:r>
        <w:rPr>
          <w:kern w:val="18"/>
          <w:szCs w:val="18"/>
        </w:rPr>
        <w:t>Decision 15/8,</w:t>
      </w:r>
      <w:r w:rsidRPr="00E80CEA">
        <w:rPr>
          <w:kern w:val="18"/>
          <w:szCs w:val="18"/>
        </w:rPr>
        <w:t xml:space="preserve"> annex III.</w:t>
      </w:r>
    </w:p>
  </w:footnote>
  <w:footnote w:id="301">
    <w:p w14:paraId="2A756615" w14:textId="77777777" w:rsidR="0050667D" w:rsidRDefault="0050667D" w:rsidP="00912FBA">
      <w:pPr>
        <w:pStyle w:val="FootnoteText"/>
        <w:ind w:firstLine="0"/>
        <w:rPr>
          <w:lang w:val="en-US"/>
        </w:rPr>
      </w:pPr>
      <w:r w:rsidRPr="00610646">
        <w:rPr>
          <w:rStyle w:val="FootnoteReference"/>
        </w:rPr>
        <w:footnoteRef/>
      </w:r>
      <w:r>
        <w:t xml:space="preserve"> R</w:t>
      </w:r>
      <w:r>
        <w:rPr>
          <w:lang w:val="en-US"/>
        </w:rPr>
        <w:t xml:space="preserve">ecommendation 3/10 of the Subsidiary Body on Implementation. </w:t>
      </w:r>
    </w:p>
    <w:p w14:paraId="74D9F197" w14:textId="77777777" w:rsidR="0050667D" w:rsidRPr="001F4782" w:rsidRDefault="0050667D" w:rsidP="00E86498">
      <w:pPr>
        <w:pStyle w:val="FootnoteText"/>
        <w:ind w:firstLine="0"/>
        <w:rPr>
          <w:lang w:val="en-US"/>
        </w:rPr>
      </w:pPr>
    </w:p>
  </w:footnote>
  <w:footnote w:id="302">
    <w:p w14:paraId="31A7F0AD" w14:textId="77777777" w:rsidR="0050667D" w:rsidRPr="00641667" w:rsidRDefault="0050667D" w:rsidP="00EA67A8">
      <w:pPr>
        <w:pStyle w:val="FootnoteText"/>
        <w:ind w:firstLine="0"/>
        <w:jc w:val="left"/>
        <w:rPr>
          <w:kern w:val="18"/>
          <w:szCs w:val="18"/>
        </w:rPr>
      </w:pPr>
      <w:r w:rsidRPr="00610646">
        <w:rPr>
          <w:rStyle w:val="FootnoteReference"/>
        </w:rPr>
        <w:footnoteRef/>
      </w:r>
      <w:r w:rsidRPr="00641667">
        <w:rPr>
          <w:kern w:val="18"/>
          <w:szCs w:val="18"/>
        </w:rPr>
        <w:t xml:space="preserve"> CBD/SBI/3/13.</w:t>
      </w:r>
    </w:p>
  </w:footnote>
  <w:footnote w:id="303">
    <w:p w14:paraId="56C1D1E0" w14:textId="7F9CA02B" w:rsidR="0050667D" w:rsidRPr="005C7DD5" w:rsidRDefault="0050667D" w:rsidP="008022A0">
      <w:pPr>
        <w:keepLines/>
        <w:suppressLineNumbers/>
        <w:suppressAutoHyphens/>
        <w:spacing w:after="60"/>
        <w:jc w:val="left"/>
        <w:rPr>
          <w:kern w:val="18"/>
          <w:sz w:val="18"/>
          <w:szCs w:val="18"/>
        </w:rPr>
      </w:pPr>
      <w:r w:rsidRPr="00610646">
        <w:rPr>
          <w:rStyle w:val="FootnoteReference"/>
        </w:rPr>
        <w:footnoteRef/>
      </w:r>
      <w:r w:rsidRPr="00EA714F">
        <w:rPr>
          <w:kern w:val="18"/>
          <w:sz w:val="18"/>
          <w:szCs w:val="18"/>
          <w:lang w:val="en-US"/>
        </w:rPr>
        <w:t xml:space="preserve"> </w:t>
      </w:r>
      <w:r w:rsidRPr="00207F9F">
        <w:rPr>
          <w:kern w:val="18"/>
          <w:sz w:val="18"/>
          <w:szCs w:val="18"/>
        </w:rPr>
        <w:t xml:space="preserve">See </w:t>
      </w:r>
      <w:hyperlink r:id="rId54" w:history="1">
        <w:r w:rsidRPr="00FC5BFE">
          <w:rPr>
            <w:rStyle w:val="Hyperlink"/>
            <w:kern w:val="18"/>
            <w:szCs w:val="18"/>
          </w:rPr>
          <w:t>CBD/SBI/2/16/Add.1</w:t>
        </w:r>
      </w:hyperlink>
      <w:r w:rsidRPr="00EA714F">
        <w:rPr>
          <w:kern w:val="18"/>
          <w:sz w:val="18"/>
          <w:szCs w:val="18"/>
        </w:rPr>
        <w:t xml:space="preserve"> and associated information notes (</w:t>
      </w:r>
      <w:hyperlink r:id="rId55" w:history="1">
        <w:r w:rsidRPr="00EA714F">
          <w:rPr>
            <w:rStyle w:val="Hyperlink"/>
            <w:kern w:val="18"/>
            <w:szCs w:val="18"/>
          </w:rPr>
          <w:t>CBD/SBI/2/INF/1</w:t>
        </w:r>
      </w:hyperlink>
      <w:r w:rsidRPr="00EA714F">
        <w:rPr>
          <w:kern w:val="18"/>
          <w:sz w:val="18"/>
          <w:szCs w:val="18"/>
        </w:rPr>
        <w:t xml:space="preserve"> and </w:t>
      </w:r>
      <w:hyperlink r:id="rId56" w:history="1">
        <w:r w:rsidRPr="00EA714F">
          <w:rPr>
            <w:rStyle w:val="Hyperlink"/>
            <w:kern w:val="18"/>
            <w:szCs w:val="18"/>
          </w:rPr>
          <w:t>INF/2</w:t>
        </w:r>
      </w:hyperlink>
      <w:r w:rsidRPr="00EA714F">
        <w:rPr>
          <w:kern w:val="18"/>
          <w:sz w:val="18"/>
          <w:szCs w:val="18"/>
        </w:rPr>
        <w:t>).</w:t>
      </w:r>
    </w:p>
  </w:footnote>
  <w:footnote w:id="304">
    <w:p w14:paraId="09EB3F91" w14:textId="36B99918" w:rsidR="00F02C6B" w:rsidRPr="00A17804" w:rsidRDefault="00F02C6B" w:rsidP="00E34747">
      <w:pPr>
        <w:pStyle w:val="FootnoteText"/>
        <w:suppressLineNumbers/>
        <w:suppressAutoHyphens/>
        <w:kinsoku w:val="0"/>
        <w:overflowPunct w:val="0"/>
        <w:autoSpaceDE w:val="0"/>
        <w:autoSpaceDN w:val="0"/>
        <w:ind w:firstLine="0"/>
        <w:jc w:val="left"/>
        <w:rPr>
          <w:snapToGrid w:val="0"/>
          <w:kern w:val="18"/>
          <w:szCs w:val="18"/>
        </w:rPr>
      </w:pPr>
      <w:r w:rsidRPr="00610646">
        <w:rPr>
          <w:rStyle w:val="FootnoteReference"/>
          <w:rFonts w:eastAsiaTheme="majorEastAsia"/>
        </w:rPr>
        <w:footnoteRef/>
      </w:r>
      <w:r w:rsidRPr="00A17804">
        <w:rPr>
          <w:snapToGrid w:val="0"/>
          <w:kern w:val="18"/>
          <w:szCs w:val="18"/>
        </w:rPr>
        <w:t xml:space="preserve"> </w:t>
      </w:r>
      <w:r>
        <w:rPr>
          <w:snapToGrid w:val="0"/>
          <w:kern w:val="18"/>
          <w:szCs w:val="18"/>
        </w:rPr>
        <w:t xml:space="preserve">The scoping reports are available </w:t>
      </w:r>
      <w:r w:rsidRPr="004C474B">
        <w:rPr>
          <w:snapToGrid w:val="0"/>
          <w:kern w:val="18"/>
          <w:szCs w:val="18"/>
        </w:rPr>
        <w:t>in</w:t>
      </w:r>
      <w:r>
        <w:rPr>
          <w:snapToGrid w:val="0"/>
          <w:kern w:val="18"/>
          <w:szCs w:val="18"/>
        </w:rPr>
        <w:t xml:space="preserve"> annexes I and II to decision IPBES-8/1 and annex II to decision IPBES-9/1, available at: </w:t>
      </w:r>
      <w:hyperlink r:id="rId57" w:history="1">
        <w:r w:rsidRPr="00FD0FB5">
          <w:rPr>
            <w:rStyle w:val="Hyperlink"/>
            <w:snapToGrid w:val="0"/>
            <w:kern w:val="18"/>
            <w:szCs w:val="18"/>
          </w:rPr>
          <w:t>https://ipbes.net/documents-by-category/Decisions</w:t>
        </w:r>
      </w:hyperlink>
      <w:r>
        <w:rPr>
          <w:snapToGrid w:val="0"/>
          <w:kern w:val="18"/>
          <w:szCs w:val="18"/>
        </w:rPr>
        <w:t xml:space="preserve"> </w:t>
      </w:r>
    </w:p>
  </w:footnote>
  <w:footnote w:id="305">
    <w:p w14:paraId="20F25F77" w14:textId="77777777" w:rsidR="00F02C6B" w:rsidRPr="001405F5" w:rsidRDefault="00F02C6B" w:rsidP="004F145E">
      <w:pPr>
        <w:pStyle w:val="FootnoteText"/>
        <w:ind w:firstLine="0"/>
        <w:rPr>
          <w:lang w:val="en-US"/>
        </w:rPr>
      </w:pPr>
      <w:r w:rsidRPr="00610646">
        <w:rPr>
          <w:rStyle w:val="FootnoteReference"/>
        </w:rPr>
        <w:footnoteRef/>
      </w:r>
      <w:r>
        <w:t xml:space="preserve"> </w:t>
      </w:r>
      <w:r w:rsidRPr="00BE6BC6">
        <w:t xml:space="preserve">IPBES (2022). </w:t>
      </w:r>
      <w:r w:rsidRPr="001405F5">
        <w:rPr>
          <w:i/>
          <w:iCs/>
        </w:rPr>
        <w:t>Summary for Policymakers of the Methodological Assessment Report on the Diverse Values and Valuation of Nature of the Intergovernmental Science-Policy Platform on Biodiversity and Ecosystem Services</w:t>
      </w:r>
      <w:r>
        <w:t>. IPBES secretariat, Bonn, Germany.</w:t>
      </w:r>
    </w:p>
  </w:footnote>
  <w:footnote w:id="306">
    <w:p w14:paraId="0D451E24" w14:textId="77777777" w:rsidR="00F02C6B" w:rsidRPr="001405F5" w:rsidRDefault="00F02C6B" w:rsidP="004F145E">
      <w:pPr>
        <w:pStyle w:val="FootnoteText"/>
        <w:ind w:firstLine="0"/>
        <w:rPr>
          <w:lang w:val="en-US"/>
        </w:rPr>
      </w:pPr>
      <w:r w:rsidRPr="00610646">
        <w:rPr>
          <w:rStyle w:val="FootnoteReference"/>
        </w:rPr>
        <w:footnoteRef/>
      </w:r>
      <w:r>
        <w:t xml:space="preserve"> IPBES (2022). </w:t>
      </w:r>
      <w:r w:rsidRPr="001405F5">
        <w:rPr>
          <w:i/>
          <w:iCs/>
        </w:rPr>
        <w:t>Summary for Policymakers of the Thematic Assessment Report on the Sustainable Use of Wild Species of the Intergovernmental Science-Policy Platform on Biodiversity and Ecosystem Services</w:t>
      </w:r>
      <w:r>
        <w:t>. IPBES secretariat, Bonn, Germany.</w:t>
      </w:r>
    </w:p>
  </w:footnote>
  <w:footnote w:id="307">
    <w:p w14:paraId="2FA2109D" w14:textId="0932F0C9" w:rsidR="00F02C6B" w:rsidRPr="00A17804" w:rsidRDefault="00F02C6B" w:rsidP="004F145E">
      <w:pPr>
        <w:pStyle w:val="FootnoteText"/>
        <w:suppressLineNumbers/>
        <w:suppressAutoHyphens/>
        <w:kinsoku w:val="0"/>
        <w:overflowPunct w:val="0"/>
        <w:autoSpaceDE w:val="0"/>
        <w:autoSpaceDN w:val="0"/>
        <w:ind w:firstLine="0"/>
        <w:jc w:val="left"/>
        <w:rPr>
          <w:snapToGrid w:val="0"/>
          <w:kern w:val="18"/>
          <w:szCs w:val="18"/>
          <w:lang w:val="en-CA"/>
        </w:rPr>
      </w:pPr>
      <w:r w:rsidRPr="00610646">
        <w:rPr>
          <w:rStyle w:val="FootnoteReference"/>
        </w:rPr>
        <w:footnoteRef/>
      </w:r>
      <w:r w:rsidRPr="00A17804">
        <w:rPr>
          <w:snapToGrid w:val="0"/>
          <w:kern w:val="18"/>
          <w:szCs w:val="18"/>
        </w:rPr>
        <w:t xml:space="preserve"> IPBES (2020). Workshop report on biodiversity and pandemics of the Intergovernmental Platform on Biodiversity and Ecosystem Services. IPBES secretariat, Bonn. </w:t>
      </w:r>
      <w:hyperlink r:id="rId58" w:history="1">
        <w:r w:rsidRPr="00A17804">
          <w:rPr>
            <w:rStyle w:val="Hyperlink"/>
            <w:snapToGrid w:val="0"/>
            <w:kern w:val="18"/>
            <w:szCs w:val="18"/>
          </w:rPr>
          <w:t>https://ipbes.net/pandemics</w:t>
        </w:r>
      </w:hyperlink>
      <w:r w:rsidRPr="00A17804">
        <w:rPr>
          <w:snapToGrid w:val="0"/>
          <w:kern w:val="18"/>
          <w:szCs w:val="18"/>
        </w:rPr>
        <w:t>.</w:t>
      </w:r>
      <w:r>
        <w:rPr>
          <w:snapToGrid w:val="0"/>
          <w:kern w:val="18"/>
          <w:szCs w:val="18"/>
        </w:rPr>
        <w:t xml:space="preserve"> </w:t>
      </w:r>
      <w:r w:rsidRPr="00A17804">
        <w:rPr>
          <w:snapToGrid w:val="0"/>
          <w:kern w:val="18"/>
          <w:szCs w:val="18"/>
        </w:rPr>
        <w:t>This workshop report and any recommendations or conclusions contained therein have not been reviewed, endorsed or approved by the Plenary of the Intergovernmental Science-Policy Platform on Biodiversity and Ecosystem Services</w:t>
      </w:r>
      <w:r>
        <w:rPr>
          <w:snapToGrid w:val="0"/>
          <w:kern w:val="18"/>
          <w:szCs w:val="18"/>
        </w:rPr>
        <w:t>.</w:t>
      </w:r>
    </w:p>
  </w:footnote>
  <w:footnote w:id="308">
    <w:p w14:paraId="77642016" w14:textId="77777777" w:rsidR="00F02C6B" w:rsidRPr="00A17804" w:rsidRDefault="00F02C6B" w:rsidP="004F145E">
      <w:pPr>
        <w:pStyle w:val="FootnoteText"/>
        <w:suppressLineNumbers/>
        <w:suppressAutoHyphens/>
        <w:kinsoku w:val="0"/>
        <w:overflowPunct w:val="0"/>
        <w:autoSpaceDE w:val="0"/>
        <w:autoSpaceDN w:val="0"/>
        <w:ind w:firstLine="0"/>
        <w:jc w:val="left"/>
        <w:rPr>
          <w:snapToGrid w:val="0"/>
          <w:kern w:val="18"/>
          <w:szCs w:val="18"/>
        </w:rPr>
      </w:pPr>
      <w:r w:rsidRPr="00610646">
        <w:rPr>
          <w:rStyle w:val="FootnoteReference"/>
          <w:rFonts w:eastAsiaTheme="majorEastAsia"/>
        </w:rPr>
        <w:footnoteRef/>
      </w:r>
      <w:r w:rsidRPr="00A17804">
        <w:rPr>
          <w:snapToGrid w:val="0"/>
          <w:kern w:val="18"/>
          <w:szCs w:val="18"/>
        </w:rPr>
        <w:t xml:space="preserve"> </w:t>
      </w:r>
      <w:r>
        <w:rPr>
          <w:snapToGrid w:val="0"/>
          <w:kern w:val="18"/>
          <w:szCs w:val="18"/>
        </w:rPr>
        <w:t xml:space="preserve">IPBES/IPCC (2021) </w:t>
      </w:r>
      <w:r w:rsidRPr="00F27277">
        <w:rPr>
          <w:snapToGrid w:val="0"/>
          <w:kern w:val="18"/>
          <w:szCs w:val="18"/>
        </w:rPr>
        <w:t>IPBES-IPCC co-sponsored workshop report on biodiversity and climate change</w:t>
      </w:r>
      <w:r>
        <w:rPr>
          <w:snapToGrid w:val="0"/>
          <w:kern w:val="18"/>
          <w:szCs w:val="18"/>
        </w:rPr>
        <w:t xml:space="preserve">. </w:t>
      </w:r>
      <w:r w:rsidRPr="00A17804">
        <w:rPr>
          <w:snapToGrid w:val="0"/>
          <w:kern w:val="18"/>
          <w:szCs w:val="18"/>
        </w:rPr>
        <w:t xml:space="preserve">This workshop report and any recommendations or conclusions contained therein have not been reviewed, endorsed or approved by the </w:t>
      </w:r>
      <w:r>
        <w:rPr>
          <w:snapToGrid w:val="0"/>
          <w:kern w:val="18"/>
          <w:szCs w:val="18"/>
        </w:rPr>
        <w:t>Plenary of the</w:t>
      </w:r>
      <w:r w:rsidRPr="00A17804">
        <w:rPr>
          <w:snapToGrid w:val="0"/>
          <w:kern w:val="18"/>
          <w:szCs w:val="18"/>
        </w:rPr>
        <w:t xml:space="preserve"> Intergovernmental Science-Policy Platform on Biodiversity and Ecosystem Services</w:t>
      </w:r>
      <w:r>
        <w:rPr>
          <w:snapToGrid w:val="0"/>
          <w:kern w:val="18"/>
          <w:szCs w:val="18"/>
        </w:rPr>
        <w:t xml:space="preserve"> </w:t>
      </w:r>
      <w:r w:rsidRPr="00A17804">
        <w:rPr>
          <w:snapToGrid w:val="0"/>
          <w:kern w:val="18"/>
          <w:szCs w:val="18"/>
        </w:rPr>
        <w:t>or the Intergovernmental Panel on Climate Change</w:t>
      </w:r>
      <w:r w:rsidRPr="00A17804">
        <w:rPr>
          <w:snapToGrid w:val="0"/>
          <w:color w:val="000000" w:themeColor="text1"/>
          <w:kern w:val="18"/>
          <w:szCs w:val="18"/>
        </w:rPr>
        <w:t>.</w:t>
      </w:r>
    </w:p>
  </w:footnote>
  <w:footnote w:id="309">
    <w:p w14:paraId="572FF004" w14:textId="77777777" w:rsidR="00F02C6B" w:rsidRPr="001405F5" w:rsidRDefault="00F02C6B" w:rsidP="004F145E">
      <w:pPr>
        <w:pStyle w:val="FootnoteText"/>
        <w:ind w:firstLine="0"/>
        <w:rPr>
          <w:lang w:val="en-US"/>
        </w:rPr>
      </w:pPr>
      <w:r w:rsidRPr="00610646">
        <w:rPr>
          <w:rStyle w:val="FootnoteReference"/>
        </w:rPr>
        <w:footnoteRef/>
      </w:r>
      <w:r>
        <w:t xml:space="preserve"> </w:t>
      </w:r>
      <w:r w:rsidRPr="00DB2347">
        <w:rPr>
          <w:lang w:val="en-US"/>
        </w:rPr>
        <w:t>Decision 15/5.</w:t>
      </w:r>
    </w:p>
  </w:footnote>
  <w:footnote w:id="310">
    <w:p w14:paraId="6517A563" w14:textId="77777777" w:rsidR="00F02C6B" w:rsidRPr="00A17804" w:rsidRDefault="00F02C6B" w:rsidP="004F145E">
      <w:pPr>
        <w:pStyle w:val="FootnoteText"/>
        <w:suppressLineNumbers/>
        <w:suppressAutoHyphens/>
        <w:kinsoku w:val="0"/>
        <w:overflowPunct w:val="0"/>
        <w:autoSpaceDE w:val="0"/>
        <w:autoSpaceDN w:val="0"/>
        <w:ind w:firstLine="0"/>
        <w:jc w:val="left"/>
        <w:rPr>
          <w:snapToGrid w:val="0"/>
          <w:kern w:val="18"/>
          <w:szCs w:val="18"/>
          <w:lang w:val="en-CA"/>
        </w:rPr>
      </w:pPr>
      <w:r w:rsidRPr="00610646">
        <w:rPr>
          <w:rStyle w:val="FootnoteReference"/>
        </w:rPr>
        <w:footnoteRef/>
      </w:r>
      <w:r w:rsidRPr="00DB2347">
        <w:rPr>
          <w:snapToGrid w:val="0"/>
          <w:kern w:val="18"/>
          <w:szCs w:val="18"/>
        </w:rPr>
        <w:t xml:space="preserve"> CBD/SBSTTA/24/8.</w:t>
      </w:r>
    </w:p>
  </w:footnote>
  <w:footnote w:id="311">
    <w:p w14:paraId="5730C24C" w14:textId="77777777" w:rsidR="00F02C6B" w:rsidRPr="001405F5" w:rsidRDefault="00F02C6B" w:rsidP="004F145E">
      <w:pPr>
        <w:pStyle w:val="FootnoteText"/>
        <w:ind w:firstLine="0"/>
        <w:rPr>
          <w:lang w:val="en-US"/>
        </w:rPr>
      </w:pPr>
      <w:r w:rsidRPr="00610646">
        <w:rPr>
          <w:rStyle w:val="FootnoteReference"/>
        </w:rPr>
        <w:footnoteRef/>
      </w:r>
      <w:r>
        <w:t xml:space="preserve"> </w:t>
      </w:r>
      <w:r w:rsidRPr="001136CE">
        <w:t xml:space="preserve">IPBES (2022). </w:t>
      </w:r>
      <w:r w:rsidRPr="001405F5">
        <w:rPr>
          <w:i/>
          <w:iCs/>
        </w:rPr>
        <w:t>Summary for Policymakers of the Methodological Assessment Report on the Diverse Values and Valuation of Nature of the Intergovernmental Science-Policy Platform on Biodiversity and Ecosystem Services</w:t>
      </w:r>
      <w:r>
        <w:t xml:space="preserve">. </w:t>
      </w:r>
      <w:r w:rsidRPr="005B44C4">
        <w:rPr>
          <w:rFonts w:asciiTheme="majorBidi" w:hAnsiTheme="majorBidi" w:cstheme="majorBidi"/>
        </w:rPr>
        <w:t>IPBES secretariat, Bonn, Germany</w:t>
      </w:r>
      <w:r>
        <w:rPr>
          <w:rFonts w:asciiTheme="majorBidi" w:hAnsiTheme="majorBidi" w:cstheme="majorBidi"/>
        </w:rPr>
        <w:t>.</w:t>
      </w:r>
    </w:p>
  </w:footnote>
  <w:footnote w:id="312">
    <w:p w14:paraId="74DBF258" w14:textId="024BF1F1" w:rsidR="00991198" w:rsidRPr="00B269AE" w:rsidRDefault="00991198" w:rsidP="00FB13AC">
      <w:pPr>
        <w:pStyle w:val="Default"/>
        <w:keepLines/>
        <w:suppressLineNumbers/>
        <w:suppressAutoHyphens/>
        <w:rPr>
          <w:rFonts w:eastAsia="MS Mincho"/>
          <w:noProof/>
          <w:kern w:val="18"/>
          <w:sz w:val="18"/>
          <w:szCs w:val="18"/>
        </w:rPr>
      </w:pPr>
      <w:r w:rsidRPr="00610646">
        <w:rPr>
          <w:rStyle w:val="FootnoteReference"/>
        </w:rPr>
        <w:footnoteRef/>
      </w:r>
      <w:r w:rsidRPr="00B269AE">
        <w:rPr>
          <w:kern w:val="18"/>
          <w:sz w:val="18"/>
          <w:szCs w:val="18"/>
        </w:rPr>
        <w:t xml:space="preserve"> </w:t>
      </w:r>
      <w:hyperlink r:id="rId59" w:history="1">
        <w:r w:rsidRPr="00ED53F8">
          <w:rPr>
            <w:rStyle w:val="Hyperlink"/>
            <w:kern w:val="18"/>
            <w:szCs w:val="18"/>
          </w:rPr>
          <w:t>CBD/WG8J/11/6</w:t>
        </w:r>
      </w:hyperlink>
      <w:r w:rsidRPr="00B269AE">
        <w:rPr>
          <w:noProof/>
          <w:color w:val="auto"/>
          <w:kern w:val="18"/>
          <w:sz w:val="18"/>
          <w:szCs w:val="18"/>
          <w:lang w:val="en-GB"/>
        </w:rPr>
        <w:t>.</w:t>
      </w:r>
    </w:p>
  </w:footnote>
  <w:footnote w:id="313">
    <w:p w14:paraId="34ED0617" w14:textId="575BFD21" w:rsidR="00991198" w:rsidRPr="00B269AE" w:rsidRDefault="00991198" w:rsidP="00FB13AC">
      <w:pPr>
        <w:pStyle w:val="FootnoteText"/>
        <w:suppressLineNumbers/>
        <w:suppressAutoHyphens/>
        <w:ind w:firstLine="0"/>
        <w:jc w:val="left"/>
        <w:rPr>
          <w:kern w:val="18"/>
          <w:szCs w:val="18"/>
        </w:rPr>
      </w:pPr>
      <w:r w:rsidRPr="00610646">
        <w:rPr>
          <w:rStyle w:val="FootnoteReference"/>
          <w:rFonts w:eastAsiaTheme="majorEastAsia"/>
        </w:rPr>
        <w:footnoteRef/>
      </w:r>
      <w:r w:rsidRPr="00B4267B">
        <w:rPr>
          <w:kern w:val="18"/>
          <w:szCs w:val="18"/>
        </w:rPr>
        <w:t xml:space="preserve"> </w:t>
      </w:r>
      <w:hyperlink r:id="rId60" w:history="1">
        <w:r w:rsidRPr="00B269AE">
          <w:rPr>
            <w:rStyle w:val="Hyperlink"/>
            <w:kern w:val="18"/>
            <w:szCs w:val="18"/>
          </w:rPr>
          <w:t>E/C.19/2016/5</w:t>
        </w:r>
      </w:hyperlink>
      <w:r w:rsidRPr="00B269AE">
        <w:rPr>
          <w:kern w:val="18"/>
          <w:szCs w:val="18"/>
        </w:rPr>
        <w:t xml:space="preserve"> and </w:t>
      </w:r>
      <w:hyperlink r:id="rId61" w:history="1">
        <w:r w:rsidRPr="00B269AE">
          <w:rPr>
            <w:rStyle w:val="Hyperlink"/>
            <w:kern w:val="18"/>
            <w:szCs w:val="18"/>
          </w:rPr>
          <w:t>Corr.1</w:t>
        </w:r>
      </w:hyperlink>
      <w:r w:rsidRPr="00B269AE">
        <w:rPr>
          <w:kern w:val="18"/>
          <w:szCs w:val="18"/>
        </w:rPr>
        <w:t>.</w:t>
      </w:r>
    </w:p>
  </w:footnote>
  <w:footnote w:id="314">
    <w:p w14:paraId="2DA97352" w14:textId="77777777" w:rsidR="00927BF8" w:rsidRPr="00A26AED" w:rsidRDefault="00927BF8" w:rsidP="00AB17F9">
      <w:pPr>
        <w:pStyle w:val="FootnoteText"/>
        <w:suppressLineNumbers/>
        <w:suppressAutoHyphens/>
        <w:ind w:firstLine="0"/>
        <w:jc w:val="left"/>
        <w:rPr>
          <w:kern w:val="18"/>
          <w:szCs w:val="18"/>
        </w:rPr>
      </w:pPr>
      <w:r w:rsidRPr="00610646">
        <w:rPr>
          <w:rStyle w:val="FootnoteReference"/>
        </w:rPr>
        <w:footnoteRef/>
      </w:r>
      <w:r w:rsidRPr="00A26AED">
        <w:rPr>
          <w:kern w:val="18"/>
          <w:szCs w:val="18"/>
        </w:rPr>
        <w:t xml:space="preserve"> See the compilation of declarations </w:t>
      </w:r>
      <w:r>
        <w:rPr>
          <w:kern w:val="18"/>
          <w:szCs w:val="18"/>
        </w:rPr>
        <w:t>on the</w:t>
      </w:r>
      <w:r w:rsidRPr="00A26AED">
        <w:rPr>
          <w:kern w:val="18"/>
          <w:szCs w:val="18"/>
        </w:rPr>
        <w:t xml:space="preserve"> links between nature and culture (CBD/WG8J/11/INF/2).</w:t>
      </w:r>
    </w:p>
  </w:footnote>
  <w:footnote w:id="315">
    <w:p w14:paraId="58B9E2D6" w14:textId="77777777" w:rsidR="00927BF8" w:rsidRPr="00414970" w:rsidRDefault="00927BF8" w:rsidP="00AB17F9">
      <w:pPr>
        <w:pStyle w:val="FootnoteText"/>
        <w:ind w:firstLine="0"/>
      </w:pPr>
      <w:r w:rsidRPr="00610646">
        <w:rPr>
          <w:rStyle w:val="FootnoteReference"/>
        </w:rPr>
        <w:footnoteRef/>
      </w:r>
      <w:r>
        <w:t xml:space="preserve"> Decision 15/4, annex.</w:t>
      </w:r>
    </w:p>
  </w:footnote>
  <w:footnote w:id="316">
    <w:p w14:paraId="6E40019C" w14:textId="77777777" w:rsidR="00927BF8" w:rsidRPr="00E5752B" w:rsidRDefault="00927BF8" w:rsidP="00AB17F9">
      <w:pPr>
        <w:pStyle w:val="FootnoteText"/>
        <w:ind w:firstLine="0"/>
      </w:pPr>
      <w:r w:rsidRPr="00610646">
        <w:rPr>
          <w:rStyle w:val="FootnoteReference"/>
        </w:rPr>
        <w:footnoteRef/>
      </w:r>
      <w:r>
        <w:t xml:space="preserve"> Decision X/2.</w:t>
      </w:r>
    </w:p>
  </w:footnote>
  <w:footnote w:id="317">
    <w:p w14:paraId="288A9DA8" w14:textId="2D75A9DF" w:rsidR="00927BF8" w:rsidRPr="008F2A65" w:rsidRDefault="00927BF8" w:rsidP="003D17CE">
      <w:pPr>
        <w:pStyle w:val="FootnoteText"/>
        <w:suppressLineNumbers/>
        <w:suppressAutoHyphens/>
        <w:ind w:firstLine="0"/>
        <w:jc w:val="left"/>
        <w:rPr>
          <w:kern w:val="18"/>
          <w:szCs w:val="18"/>
        </w:rPr>
      </w:pPr>
      <w:r w:rsidRPr="00610646">
        <w:rPr>
          <w:rStyle w:val="FootnoteReference"/>
        </w:rPr>
        <w:footnoteRef/>
      </w:r>
      <w:r w:rsidRPr="00A26AED">
        <w:rPr>
          <w:kern w:val="18"/>
          <w:szCs w:val="18"/>
        </w:rPr>
        <w:t xml:space="preserve"> In decision XIII/28, the Conference of the Parties adopted the following indicators for status and trends in the knowledge, innovations and practices of indigenous peoples and local communities relevant for the conservation and sustainable use of biological diversity: (a) </w:t>
      </w:r>
      <w:hyperlink r:id="rId62" w:history="1">
        <w:r w:rsidRPr="00A26AED">
          <w:rPr>
            <w:kern w:val="18"/>
            <w:szCs w:val="18"/>
            <w:lang w:eastAsia="en-GB"/>
          </w:rPr>
          <w:t>Trends of linguistic diversity and numbers of speakers of indigenous languages</w:t>
        </w:r>
      </w:hyperlink>
      <w:r w:rsidRPr="00A26AED">
        <w:rPr>
          <w:kern w:val="18"/>
          <w:szCs w:val="18"/>
          <w:lang w:eastAsia="en-GB"/>
        </w:rPr>
        <w:t>; (b) </w:t>
      </w:r>
      <w:hyperlink r:id="rId63" w:history="1">
        <w:r w:rsidRPr="00A26AED">
          <w:rPr>
            <w:kern w:val="18"/>
            <w:szCs w:val="18"/>
            <w:lang w:eastAsia="en-GB"/>
          </w:rPr>
          <w:t>Trends in land-use change and land tenure in the traditional territories of indigenous and local communities</w:t>
        </w:r>
      </w:hyperlink>
      <w:r w:rsidRPr="00A26AED">
        <w:rPr>
          <w:kern w:val="18"/>
          <w:szCs w:val="18"/>
          <w:lang w:eastAsia="en-GB"/>
        </w:rPr>
        <w:t>; (c) </w:t>
      </w:r>
      <w:hyperlink r:id="rId64" w:history="1">
        <w:r w:rsidRPr="00A26AED">
          <w:rPr>
            <w:kern w:val="18"/>
            <w:szCs w:val="18"/>
            <w:lang w:eastAsia="en-GB"/>
          </w:rPr>
          <w:t>Trends in the practice of traditional occupations</w:t>
        </w:r>
      </w:hyperlink>
      <w:r w:rsidRPr="00A26AED">
        <w:rPr>
          <w:kern w:val="18"/>
          <w:szCs w:val="18"/>
          <w:lang w:eastAsia="en-GB"/>
        </w:rPr>
        <w:t>; and (d) </w:t>
      </w:r>
      <w:hyperlink r:id="rId65" w:history="1">
        <w:r w:rsidRPr="00A26AED">
          <w:rPr>
            <w:kern w:val="18"/>
            <w:szCs w:val="18"/>
            <w:lang w:eastAsia="en-GB"/>
          </w:rPr>
          <w:t>Trends in degree to which traditional knowledge and practices are respected through: full integration, participation and safeguards in national implementation of the Strategic Plan</w:t>
        </w:r>
      </w:hyperlink>
      <w:r w:rsidRPr="00A26AED">
        <w:rPr>
          <w:kern w:val="18"/>
          <w:szCs w:val="18"/>
          <w:lang w:eastAsia="en-GB"/>
        </w:rPr>
        <w:t>.</w:t>
      </w:r>
    </w:p>
  </w:footnote>
  <w:footnote w:id="318">
    <w:p w14:paraId="68CF03BB" w14:textId="77777777" w:rsidR="00927BF8" w:rsidRPr="00A26AED" w:rsidRDefault="00927BF8" w:rsidP="003D17CE">
      <w:pPr>
        <w:pStyle w:val="FootnoteText"/>
        <w:suppressLineNumbers/>
        <w:suppressAutoHyphens/>
        <w:ind w:firstLine="0"/>
        <w:jc w:val="left"/>
        <w:rPr>
          <w:kern w:val="18"/>
          <w:szCs w:val="18"/>
        </w:rPr>
      </w:pPr>
      <w:r w:rsidRPr="00610646">
        <w:rPr>
          <w:rStyle w:val="FootnoteReference"/>
        </w:rPr>
        <w:footnoteRef/>
      </w:r>
      <w:r w:rsidRPr="00A26AED">
        <w:rPr>
          <w:kern w:val="18"/>
          <w:szCs w:val="18"/>
        </w:rPr>
        <w:t xml:space="preserve"> Recalling that </w:t>
      </w:r>
      <w:r w:rsidRPr="008F2A65">
        <w:rPr>
          <w:kern w:val="18"/>
          <w:szCs w:val="18"/>
        </w:rPr>
        <w:t xml:space="preserve">UNESCO is the lead agency on languages, as proposed by participants in </w:t>
      </w:r>
      <w:r w:rsidRPr="00871703">
        <w:rPr>
          <w:kern w:val="18"/>
          <w:szCs w:val="18"/>
        </w:rPr>
        <w:t xml:space="preserve">the Online Forum on the integration of Article 8(j) </w:t>
      </w:r>
      <w:r w:rsidRPr="00A26AED">
        <w:rPr>
          <w:kern w:val="18"/>
          <w:szCs w:val="18"/>
        </w:rPr>
        <w:t xml:space="preserve">and provisions related to indigenous peoples and local communities in the work of the Convention and its </w:t>
      </w:r>
      <w:r>
        <w:rPr>
          <w:kern w:val="18"/>
          <w:szCs w:val="18"/>
        </w:rPr>
        <w:t>P</w:t>
      </w:r>
      <w:r w:rsidRPr="00A26AED">
        <w:rPr>
          <w:kern w:val="18"/>
          <w:szCs w:val="18"/>
        </w:rPr>
        <w:t>rotocols.</w:t>
      </w:r>
    </w:p>
  </w:footnote>
  <w:footnote w:id="319">
    <w:p w14:paraId="3416FC47" w14:textId="77777777" w:rsidR="00284A40" w:rsidRPr="00496801" w:rsidRDefault="00284A40" w:rsidP="001D6203">
      <w:pPr>
        <w:pStyle w:val="FootnoteText"/>
        <w:ind w:firstLine="0"/>
        <w:rPr>
          <w:lang w:val="en-US"/>
        </w:rPr>
      </w:pPr>
      <w:r w:rsidRPr="00610646">
        <w:rPr>
          <w:rStyle w:val="FootnoteReference"/>
        </w:rPr>
        <w:footnoteRef/>
      </w:r>
      <w:r w:rsidRPr="00B7399F">
        <w:t xml:space="preserve"> </w:t>
      </w:r>
      <w:r w:rsidRPr="00890367">
        <w:t xml:space="preserve">IPBES (2022). </w:t>
      </w:r>
      <w:r w:rsidRPr="00496801">
        <w:rPr>
          <w:i/>
          <w:iCs/>
        </w:rPr>
        <w:t>Thematic Assessment Report on the Sustainable Use of Wild Species of the Intergovernmental Science-Policy Platform on Biodiversity and Ecosystem Services</w:t>
      </w:r>
      <w:r w:rsidRPr="00890367">
        <w:t>. IPBES secretariat, Bonn, Germany.</w:t>
      </w:r>
    </w:p>
  </w:footnote>
  <w:footnote w:id="320">
    <w:p w14:paraId="70D90DE6" w14:textId="16028DAE" w:rsidR="00284A40" w:rsidRPr="007C6BFD" w:rsidRDefault="00284A40" w:rsidP="001D6203">
      <w:pPr>
        <w:pStyle w:val="FootnoteText"/>
        <w:suppressLineNumbers/>
        <w:suppressAutoHyphens/>
        <w:ind w:firstLine="0"/>
        <w:jc w:val="left"/>
        <w:rPr>
          <w:szCs w:val="18"/>
        </w:rPr>
      </w:pPr>
      <w:r w:rsidRPr="00610646">
        <w:rPr>
          <w:rStyle w:val="FootnoteReference"/>
          <w:rFonts w:eastAsiaTheme="majorEastAsia"/>
        </w:rPr>
        <w:footnoteRef/>
      </w:r>
      <w:r w:rsidRPr="007C6BFD">
        <w:rPr>
          <w:szCs w:val="18"/>
        </w:rPr>
        <w:t xml:space="preserve"> See </w:t>
      </w:r>
      <w:hyperlink r:id="rId66" w:history="1">
        <w:r w:rsidRPr="00A93B87">
          <w:rPr>
            <w:rStyle w:val="Hyperlink"/>
            <w:szCs w:val="18"/>
          </w:rPr>
          <w:t>CBD/WG2020/1/INF/3</w:t>
        </w:r>
      </w:hyperlink>
      <w:r w:rsidRPr="00A93B87">
        <w:rPr>
          <w:szCs w:val="18"/>
        </w:rPr>
        <w:t>.</w:t>
      </w:r>
    </w:p>
  </w:footnote>
  <w:footnote w:id="321">
    <w:p w14:paraId="6422345E" w14:textId="77777777" w:rsidR="000062FB" w:rsidRPr="00554D43" w:rsidRDefault="000062FB" w:rsidP="0009479E">
      <w:pPr>
        <w:pStyle w:val="FootnoteText"/>
        <w:ind w:firstLine="0"/>
        <w:rPr>
          <w:lang w:val="en-US"/>
        </w:rPr>
      </w:pPr>
      <w:r w:rsidRPr="00610646">
        <w:rPr>
          <w:rStyle w:val="FootnoteReference"/>
        </w:rPr>
        <w:footnoteRef/>
      </w:r>
      <w:r>
        <w:t xml:space="preserve"> </w:t>
      </w:r>
      <w:r>
        <w:rPr>
          <w:szCs w:val="22"/>
        </w:rPr>
        <w:t>Principle 15 of the Rio Declaration on Environment and Development.</w:t>
      </w:r>
    </w:p>
  </w:footnote>
  <w:footnote w:id="322">
    <w:p w14:paraId="0F3FD6C3" w14:textId="77777777" w:rsidR="000062FB" w:rsidRPr="00700326" w:rsidRDefault="000062FB" w:rsidP="0009479E">
      <w:pPr>
        <w:pStyle w:val="FootnoteText"/>
        <w:ind w:firstLine="0"/>
        <w:rPr>
          <w:lang w:val="en-US"/>
        </w:rPr>
      </w:pPr>
      <w:r w:rsidRPr="00610646">
        <w:rPr>
          <w:rStyle w:val="FootnoteReference"/>
        </w:rPr>
        <w:footnoteRef/>
      </w:r>
      <w:r>
        <w:t xml:space="preserve"> In this decision, free, prior and informed consent refers to the tripartite terminology of “prior and informed consent” or “free, prior and informed consent” or “approval and involvement”.</w:t>
      </w:r>
    </w:p>
  </w:footnote>
  <w:footnote w:id="323">
    <w:p w14:paraId="1F1EBDCD" w14:textId="77777777" w:rsidR="000062FB" w:rsidRPr="006D53FB" w:rsidRDefault="000062FB" w:rsidP="0009479E">
      <w:pPr>
        <w:pStyle w:val="FootnoteText"/>
        <w:ind w:firstLine="0"/>
        <w:rPr>
          <w:lang w:val="en-US"/>
        </w:rPr>
      </w:pPr>
      <w:r w:rsidRPr="00610646">
        <w:rPr>
          <w:rStyle w:val="FootnoteReference"/>
        </w:rPr>
        <w:footnoteRef/>
      </w:r>
      <w:r w:rsidRPr="00E509A1">
        <w:t xml:space="preserve"> </w:t>
      </w:r>
      <w:r w:rsidRPr="006D53FB">
        <w:rPr>
          <w:lang w:val="en-US"/>
        </w:rPr>
        <w:t>Decision XII/23, annex.</w:t>
      </w:r>
    </w:p>
  </w:footnote>
  <w:footnote w:id="324">
    <w:p w14:paraId="79641578" w14:textId="77777777" w:rsidR="000062FB" w:rsidRPr="006D53FB" w:rsidRDefault="000062FB" w:rsidP="0009479E">
      <w:pPr>
        <w:pStyle w:val="FootnoteText"/>
        <w:ind w:firstLine="0"/>
        <w:rPr>
          <w:lang w:val="en-US"/>
        </w:rPr>
      </w:pPr>
      <w:r w:rsidRPr="00610646">
        <w:rPr>
          <w:rStyle w:val="FootnoteReference"/>
        </w:rPr>
        <w:footnoteRef/>
      </w:r>
      <w:r w:rsidRPr="00E509A1">
        <w:t xml:space="preserve"> </w:t>
      </w:r>
      <w:r w:rsidRPr="00E509A1">
        <w:rPr>
          <w:lang w:val="en-US"/>
        </w:rPr>
        <w:t>Decision XIII/11.</w:t>
      </w:r>
    </w:p>
  </w:footnote>
  <w:footnote w:id="325">
    <w:p w14:paraId="0F989F0C" w14:textId="77777777" w:rsidR="000062FB" w:rsidRPr="00061112" w:rsidRDefault="000062FB" w:rsidP="0009479E">
      <w:pPr>
        <w:keepLines/>
        <w:suppressLineNumbers/>
        <w:suppressAutoHyphens/>
        <w:kinsoku w:val="0"/>
        <w:overflowPunct w:val="0"/>
        <w:autoSpaceDE w:val="0"/>
        <w:autoSpaceDN w:val="0"/>
        <w:jc w:val="left"/>
        <w:rPr>
          <w:rFonts w:ascii="Segoe UI" w:hAnsi="Segoe UI" w:cs="Segoe UI"/>
          <w:color w:val="212529"/>
          <w:kern w:val="18"/>
          <w:sz w:val="18"/>
          <w:szCs w:val="18"/>
          <w:lang w:eastAsia="en-CA"/>
        </w:rPr>
      </w:pPr>
      <w:r w:rsidRPr="00610646">
        <w:rPr>
          <w:rStyle w:val="FootnoteReference"/>
          <w:rFonts w:eastAsiaTheme="majorEastAsia"/>
        </w:rPr>
        <w:footnoteRef/>
      </w:r>
      <w:r w:rsidRPr="00E509A1">
        <w:rPr>
          <w:kern w:val="18"/>
          <w:sz w:val="18"/>
          <w:szCs w:val="18"/>
        </w:rPr>
        <w:t xml:space="preserve"> </w:t>
      </w:r>
      <w:r w:rsidRPr="00E509A1">
        <w:rPr>
          <w:color w:val="212529"/>
          <w:kern w:val="18"/>
          <w:sz w:val="18"/>
          <w:szCs w:val="18"/>
          <w:lang w:eastAsia="en-CA"/>
        </w:rPr>
        <w:t>CBD/POST2020/WS/2019/10/2.</w:t>
      </w:r>
    </w:p>
  </w:footnote>
  <w:footnote w:id="326">
    <w:p w14:paraId="6D1A4BF9" w14:textId="77777777" w:rsidR="000062FB" w:rsidRPr="00061112" w:rsidRDefault="000062FB" w:rsidP="0009479E">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sidRPr="00061112">
        <w:rPr>
          <w:kern w:val="18"/>
          <w:szCs w:val="18"/>
        </w:rPr>
        <w:t xml:space="preserve"> United Nations, </w:t>
      </w:r>
      <w:r w:rsidRPr="00061112">
        <w:rPr>
          <w:i/>
          <w:iCs/>
          <w:kern w:val="18"/>
          <w:szCs w:val="18"/>
        </w:rPr>
        <w:t>Treaty Series</w:t>
      </w:r>
      <w:r w:rsidRPr="00061112">
        <w:rPr>
          <w:kern w:val="18"/>
          <w:szCs w:val="18"/>
        </w:rPr>
        <w:t>, vol.</w:t>
      </w:r>
      <w:r w:rsidRPr="00470142">
        <w:rPr>
          <w:kern w:val="18"/>
          <w:szCs w:val="18"/>
        </w:rPr>
        <w:t> </w:t>
      </w:r>
      <w:r w:rsidRPr="00061112">
        <w:rPr>
          <w:kern w:val="18"/>
          <w:szCs w:val="18"/>
        </w:rPr>
        <w:t>1833, No.</w:t>
      </w:r>
      <w:r w:rsidRPr="00470142">
        <w:rPr>
          <w:kern w:val="18"/>
          <w:szCs w:val="18"/>
        </w:rPr>
        <w:t> </w:t>
      </w:r>
      <w:r w:rsidRPr="00061112">
        <w:rPr>
          <w:kern w:val="18"/>
          <w:szCs w:val="18"/>
        </w:rPr>
        <w:t>31363.</w:t>
      </w:r>
    </w:p>
  </w:footnote>
  <w:footnote w:id="327">
    <w:p w14:paraId="24E18DA3" w14:textId="198C5427" w:rsidR="000062FB" w:rsidRPr="006D53FB" w:rsidRDefault="000062FB" w:rsidP="0009479E">
      <w:pPr>
        <w:pStyle w:val="FootnoteText"/>
        <w:ind w:firstLine="0"/>
        <w:rPr>
          <w:lang w:val="en-US"/>
        </w:rPr>
      </w:pPr>
      <w:r w:rsidRPr="00610646">
        <w:rPr>
          <w:rStyle w:val="FootnoteReference"/>
        </w:rPr>
        <w:footnoteRef/>
      </w:r>
      <w:r>
        <w:t xml:space="preserve"> </w:t>
      </w:r>
      <w:r>
        <w:rPr>
          <w:lang w:val="en-US"/>
        </w:rPr>
        <w:t>Rome, 7</w:t>
      </w:r>
      <w:r w:rsidR="0009479E">
        <w:rPr>
          <w:lang w:val="en-US"/>
        </w:rPr>
        <w:t>–</w:t>
      </w:r>
      <w:r>
        <w:rPr>
          <w:lang w:val="en-US"/>
        </w:rPr>
        <w:t xml:space="preserve">10 May 2010. See </w:t>
      </w:r>
      <w:hyperlink r:id="rId67" w:history="1">
        <w:r w:rsidR="0009479E" w:rsidRPr="00740B92">
          <w:rPr>
            <w:rStyle w:val="Hyperlink"/>
            <w:lang w:val="en-US"/>
          </w:rPr>
          <w:t>https://www.fao.org/3/ca7194en/ca7194en.pdf</w:t>
        </w:r>
      </w:hyperlink>
      <w:r w:rsidR="0009479E">
        <w:rPr>
          <w:lang w:val="en-US"/>
        </w:rPr>
        <w:t xml:space="preserve">. </w:t>
      </w:r>
    </w:p>
  </w:footnote>
  <w:footnote w:id="328">
    <w:p w14:paraId="7C037B8E" w14:textId="77777777" w:rsidR="000062FB" w:rsidRPr="006D53FB" w:rsidRDefault="000062FB" w:rsidP="0009479E">
      <w:pPr>
        <w:pStyle w:val="FootnoteText"/>
        <w:ind w:firstLine="0"/>
        <w:rPr>
          <w:lang w:val="en-US"/>
        </w:rPr>
      </w:pPr>
      <w:r w:rsidRPr="00610646">
        <w:rPr>
          <w:rStyle w:val="FootnoteReference"/>
        </w:rPr>
        <w:footnoteRef/>
      </w:r>
      <w:r w:rsidRPr="005A0E60">
        <w:rPr>
          <w:lang w:val="en-US"/>
        </w:rPr>
        <w:t xml:space="preserve"> IUCN-WCPA Task Force on OECMs, (2019). Recogni</w:t>
      </w:r>
      <w:r>
        <w:rPr>
          <w:lang w:val="en-US"/>
        </w:rPr>
        <w:t>z</w:t>
      </w:r>
      <w:r w:rsidRPr="005A0E60">
        <w:rPr>
          <w:lang w:val="en-US"/>
        </w:rPr>
        <w:t>ing and reporting other effective area-based conservation measures. Gland, Switzerland: IUCN.</w:t>
      </w:r>
    </w:p>
  </w:footnote>
  <w:footnote w:id="329">
    <w:p w14:paraId="2CA7F285" w14:textId="77777777" w:rsidR="000062FB" w:rsidRPr="002323E0" w:rsidRDefault="000062FB" w:rsidP="0009479E">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sidRPr="002323E0">
        <w:rPr>
          <w:kern w:val="18"/>
          <w:szCs w:val="18"/>
        </w:rPr>
        <w:t xml:space="preserve"> General Assembly resolution 70/1.</w:t>
      </w:r>
    </w:p>
  </w:footnote>
  <w:footnote w:id="330">
    <w:p w14:paraId="420F9C94" w14:textId="77777777" w:rsidR="000062FB" w:rsidRPr="00061112" w:rsidRDefault="000062FB" w:rsidP="0009479E">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sidRPr="002323E0">
        <w:rPr>
          <w:kern w:val="18"/>
          <w:szCs w:val="18"/>
        </w:rPr>
        <w:t xml:space="preserve"> United Nations, Treaty Series, vol. 1771, No. I-30822.</w:t>
      </w:r>
    </w:p>
  </w:footnote>
  <w:footnote w:id="331">
    <w:p w14:paraId="23D6911A" w14:textId="77777777" w:rsidR="00963618" w:rsidRPr="0052289A" w:rsidRDefault="00963618" w:rsidP="007C350C">
      <w:pPr>
        <w:pStyle w:val="FootnoteText"/>
        <w:suppressLineNumbers/>
        <w:suppressAutoHyphens/>
        <w:ind w:firstLine="0"/>
        <w:jc w:val="left"/>
        <w:rPr>
          <w:kern w:val="18"/>
          <w:szCs w:val="18"/>
        </w:rPr>
      </w:pPr>
      <w:r w:rsidRPr="00610646">
        <w:rPr>
          <w:rStyle w:val="FootnoteReference"/>
        </w:rPr>
        <w:footnoteRef/>
      </w:r>
      <w:r w:rsidRPr="0052289A">
        <w:rPr>
          <w:kern w:val="18"/>
          <w:szCs w:val="18"/>
        </w:rPr>
        <w:t xml:space="preserve"> See decision</w:t>
      </w:r>
      <w:r>
        <w:rPr>
          <w:kern w:val="18"/>
          <w:szCs w:val="18"/>
        </w:rPr>
        <w:t>s</w:t>
      </w:r>
      <w:r w:rsidRPr="0052289A">
        <w:rPr>
          <w:kern w:val="18"/>
          <w:szCs w:val="18"/>
        </w:rPr>
        <w:t xml:space="preserve"> X/29, para. 36, and XI/17, para. 12.</w:t>
      </w:r>
    </w:p>
  </w:footnote>
  <w:footnote w:id="332">
    <w:p w14:paraId="79895D38" w14:textId="77777777" w:rsidR="00963618" w:rsidRPr="00B656C8" w:rsidRDefault="00963618" w:rsidP="007C350C">
      <w:pPr>
        <w:pStyle w:val="FootnoteText"/>
        <w:suppressLineNumbers/>
        <w:suppressAutoHyphens/>
        <w:kinsoku w:val="0"/>
        <w:overflowPunct w:val="0"/>
        <w:autoSpaceDE w:val="0"/>
        <w:autoSpaceDN w:val="0"/>
        <w:ind w:firstLine="0"/>
        <w:jc w:val="left"/>
        <w:rPr>
          <w:snapToGrid w:val="0"/>
          <w:kern w:val="18"/>
          <w:szCs w:val="18"/>
        </w:rPr>
      </w:pPr>
      <w:r w:rsidRPr="00610646">
        <w:rPr>
          <w:rStyle w:val="FootnoteReference"/>
          <w:rFonts w:eastAsiaTheme="majorEastAsia"/>
        </w:rPr>
        <w:footnoteRef/>
      </w:r>
      <w:r w:rsidRPr="0064342E">
        <w:rPr>
          <w:snapToGrid w:val="0"/>
          <w:kern w:val="18"/>
          <w:szCs w:val="18"/>
        </w:rPr>
        <w:t xml:space="preserve"> CBD/EBSA/WS/2019/1/5</w:t>
      </w:r>
      <w:r w:rsidRPr="00B656C8">
        <w:rPr>
          <w:snapToGrid w:val="0"/>
          <w:kern w:val="18"/>
          <w:szCs w:val="18"/>
        </w:rPr>
        <w:t>.</w:t>
      </w:r>
    </w:p>
  </w:footnote>
  <w:footnote w:id="333">
    <w:p w14:paraId="25CA3830" w14:textId="77777777" w:rsidR="00963618" w:rsidRPr="00A73566" w:rsidRDefault="00963618" w:rsidP="007C350C">
      <w:pPr>
        <w:pStyle w:val="FootnoteText"/>
        <w:suppressLineNumbers/>
        <w:suppressAutoHyphens/>
        <w:ind w:firstLine="0"/>
        <w:jc w:val="left"/>
        <w:rPr>
          <w:kern w:val="18"/>
          <w:szCs w:val="18"/>
        </w:rPr>
      </w:pPr>
      <w:r w:rsidRPr="00610646">
        <w:rPr>
          <w:rStyle w:val="FootnoteReference"/>
        </w:rPr>
        <w:footnoteRef/>
      </w:r>
      <w:r w:rsidRPr="0064342E">
        <w:rPr>
          <w:kern w:val="18"/>
          <w:szCs w:val="18"/>
          <w:vertAlign w:val="superscript"/>
        </w:rPr>
        <w:t xml:space="preserve"> </w:t>
      </w:r>
      <w:r w:rsidRPr="00B656C8">
        <w:rPr>
          <w:kern w:val="18"/>
          <w:szCs w:val="18"/>
        </w:rPr>
        <w:t>For the report on the workshop, see CBD/EBSA/WS/2019/1/4.</w:t>
      </w:r>
    </w:p>
  </w:footnote>
  <w:footnote w:id="334">
    <w:p w14:paraId="59DA533E" w14:textId="378510B2" w:rsidR="00963618" w:rsidRPr="00B656C8" w:rsidRDefault="00963618" w:rsidP="007C350C">
      <w:pPr>
        <w:pStyle w:val="FootnoteText"/>
        <w:suppressLineNumbers/>
        <w:suppressAutoHyphens/>
        <w:kinsoku w:val="0"/>
        <w:overflowPunct w:val="0"/>
        <w:autoSpaceDE w:val="0"/>
        <w:autoSpaceDN w:val="0"/>
        <w:ind w:firstLine="0"/>
        <w:jc w:val="left"/>
        <w:rPr>
          <w:snapToGrid w:val="0"/>
          <w:kern w:val="18"/>
          <w:szCs w:val="18"/>
        </w:rPr>
      </w:pPr>
      <w:r w:rsidRPr="00610646">
        <w:rPr>
          <w:rStyle w:val="FootnoteReference"/>
          <w:rFonts w:eastAsiaTheme="majorEastAsia"/>
        </w:rPr>
        <w:footnoteRef/>
      </w:r>
      <w:r w:rsidRPr="0064342E">
        <w:rPr>
          <w:snapToGrid w:val="0"/>
          <w:kern w:val="18"/>
          <w:szCs w:val="18"/>
        </w:rPr>
        <w:t xml:space="preserve"> </w:t>
      </w:r>
      <w:hyperlink r:id="rId68" w:history="1">
        <w:r w:rsidRPr="0064342E">
          <w:rPr>
            <w:rStyle w:val="Hyperlink"/>
            <w:snapToGrid w:val="0"/>
            <w:kern w:val="18"/>
            <w:szCs w:val="18"/>
          </w:rPr>
          <w:t xml:space="preserve">United Nations, </w:t>
        </w:r>
        <w:r w:rsidRPr="0064342E">
          <w:rPr>
            <w:rStyle w:val="Hyperlink"/>
            <w:i/>
            <w:iCs/>
            <w:snapToGrid w:val="0"/>
            <w:kern w:val="18"/>
            <w:szCs w:val="18"/>
          </w:rPr>
          <w:t>Treaty Series</w:t>
        </w:r>
        <w:r w:rsidRPr="0064342E">
          <w:rPr>
            <w:rStyle w:val="Hyperlink"/>
            <w:snapToGrid w:val="0"/>
            <w:kern w:val="18"/>
            <w:szCs w:val="18"/>
          </w:rPr>
          <w:t>, vol. 1833, No. 31363</w:t>
        </w:r>
      </w:hyperlink>
      <w:r w:rsidRPr="0064342E">
        <w:rPr>
          <w:snapToGrid w:val="0"/>
          <w:kern w:val="18"/>
          <w:szCs w:val="18"/>
        </w:rPr>
        <w:t>.</w:t>
      </w:r>
    </w:p>
  </w:footnote>
  <w:footnote w:id="335">
    <w:p w14:paraId="57834F24" w14:textId="77777777" w:rsidR="00252FCF" w:rsidRPr="001D3924" w:rsidRDefault="00252FCF" w:rsidP="006728ED">
      <w:pPr>
        <w:pStyle w:val="FootnoteText"/>
        <w:ind w:firstLine="0"/>
        <w:rPr>
          <w:szCs w:val="18"/>
          <w:lang w:val="en-US"/>
        </w:rPr>
      </w:pPr>
      <w:r w:rsidRPr="00610646">
        <w:rPr>
          <w:rStyle w:val="FootnoteReference"/>
        </w:rPr>
        <w:footnoteRef/>
      </w:r>
      <w:r w:rsidRPr="00BE7BAC">
        <w:rPr>
          <w:szCs w:val="18"/>
        </w:rPr>
        <w:t xml:space="preserve"> Türkiye dissociates itself from the reference made to the United Nations Convention on the Law of the Sea, to which it is not a party. </w:t>
      </w:r>
      <w:r>
        <w:rPr>
          <w:szCs w:val="18"/>
        </w:rPr>
        <w:t>The p</w:t>
      </w:r>
      <w:r w:rsidRPr="00BE7BAC">
        <w:rPr>
          <w:szCs w:val="18"/>
        </w:rPr>
        <w:t>articipat</w:t>
      </w:r>
      <w:r>
        <w:rPr>
          <w:szCs w:val="18"/>
        </w:rPr>
        <w:t xml:space="preserve">ion of </w:t>
      </w:r>
      <w:r w:rsidRPr="00BE7BAC">
        <w:rPr>
          <w:szCs w:val="18"/>
        </w:rPr>
        <w:t>Türkiye</w:t>
      </w:r>
      <w:r w:rsidRPr="00BE7BAC" w:rsidDel="00850468">
        <w:rPr>
          <w:szCs w:val="18"/>
        </w:rPr>
        <w:t xml:space="preserve"> </w:t>
      </w:r>
      <w:r>
        <w:rPr>
          <w:szCs w:val="18"/>
        </w:rPr>
        <w:t>in the discussions under this agenda item during</w:t>
      </w:r>
      <w:r w:rsidRPr="00BE7BAC">
        <w:rPr>
          <w:szCs w:val="18"/>
        </w:rPr>
        <w:t xml:space="preserve"> </w:t>
      </w:r>
      <w:r>
        <w:rPr>
          <w:szCs w:val="18"/>
        </w:rPr>
        <w:t>COP-</w:t>
      </w:r>
      <w:r w:rsidRPr="001D3924">
        <w:rPr>
          <w:szCs w:val="18"/>
        </w:rPr>
        <w:t>15 cannot be construed as a change in the well-known legal position of Türkiye with regard to the said instrument.</w:t>
      </w:r>
    </w:p>
  </w:footnote>
  <w:footnote w:id="336">
    <w:p w14:paraId="637FFD61" w14:textId="77777777" w:rsidR="00252FCF" w:rsidRPr="009A7D91" w:rsidRDefault="00252FCF" w:rsidP="006728ED">
      <w:pPr>
        <w:pStyle w:val="FootnoteText"/>
        <w:ind w:firstLine="0"/>
        <w:rPr>
          <w:szCs w:val="18"/>
        </w:rPr>
      </w:pPr>
      <w:r w:rsidRPr="00610646">
        <w:rPr>
          <w:rStyle w:val="FootnoteReference"/>
        </w:rPr>
        <w:footnoteRef/>
      </w:r>
      <w:r w:rsidRPr="001D3924">
        <w:rPr>
          <w:szCs w:val="18"/>
        </w:rPr>
        <w:t xml:space="preserve"> Colombia reaffirms that the United Nations Convention on the Law of the Sea is not the only legal instruments governing all of the legal activities carried out in the oceans and seas. The participation of Colombia in the discussions under this agenda item during COP-15 does not affect its status or rights, nor can it be interpreted as a tacit or express acceptance of the provisions of the United Nations Convention on the Law of the Sea, an instrument to which Colombia is not a party.</w:t>
      </w:r>
    </w:p>
  </w:footnote>
  <w:footnote w:id="337">
    <w:p w14:paraId="40286242" w14:textId="77777777" w:rsidR="00252FCF" w:rsidRPr="00F577CB" w:rsidRDefault="00252FCF" w:rsidP="006728ED">
      <w:pPr>
        <w:pStyle w:val="FootnoteText"/>
        <w:ind w:firstLine="0"/>
        <w:rPr>
          <w:szCs w:val="18"/>
        </w:rPr>
      </w:pPr>
      <w:r w:rsidRPr="00610646">
        <w:rPr>
          <w:rStyle w:val="FootnoteReference"/>
        </w:rPr>
        <w:footnoteRef/>
      </w:r>
      <w:r w:rsidRPr="001D3924">
        <w:t xml:space="preserve"> </w:t>
      </w:r>
      <w:r w:rsidRPr="001D3924">
        <w:rPr>
          <w:lang w:val="en-US"/>
        </w:rPr>
        <w:t xml:space="preserve">The Bolivarian Republic of Venezuela considers that </w:t>
      </w:r>
      <w:r w:rsidRPr="001D3924">
        <w:rPr>
          <w:szCs w:val="18"/>
        </w:rPr>
        <w:t xml:space="preserve">the United Nations Convention on the Law of the Sea </w:t>
      </w:r>
      <w:r w:rsidRPr="001D3924">
        <w:rPr>
          <w:lang w:val="en-US"/>
        </w:rPr>
        <w:t xml:space="preserve">is not the only legal instrument that governs activities related to the seas and oceans. Therefore, Venezuela disassociates itself from the reference to said international instrument, and participation in the discussions under this agenda item during COP-15 cannot be considered as a change in Venezuela’s national position regarding the </w:t>
      </w:r>
      <w:r w:rsidRPr="001D3924">
        <w:rPr>
          <w:szCs w:val="18"/>
        </w:rPr>
        <w:t>United Nations Convention on the Law of the Sea.</w:t>
      </w:r>
    </w:p>
  </w:footnote>
  <w:footnote w:id="338">
    <w:p w14:paraId="684E46A8" w14:textId="77777777" w:rsidR="00252FCF" w:rsidRPr="00B00D77" w:rsidRDefault="00252FCF" w:rsidP="006728ED">
      <w:pPr>
        <w:pStyle w:val="FootnoteText"/>
        <w:suppressLineNumbers/>
        <w:suppressAutoHyphens/>
        <w:kinsoku w:val="0"/>
        <w:overflowPunct w:val="0"/>
        <w:autoSpaceDE w:val="0"/>
        <w:autoSpaceDN w:val="0"/>
        <w:ind w:firstLine="0"/>
        <w:jc w:val="left"/>
        <w:rPr>
          <w:kern w:val="18"/>
          <w:szCs w:val="18"/>
        </w:rPr>
      </w:pPr>
      <w:r w:rsidRPr="00610646">
        <w:rPr>
          <w:rStyle w:val="FootnoteReference"/>
          <w:rFonts w:eastAsiaTheme="majorEastAsia"/>
        </w:rPr>
        <w:footnoteRef/>
      </w:r>
      <w:r w:rsidRPr="00B00D77">
        <w:rPr>
          <w:kern w:val="18"/>
          <w:szCs w:val="18"/>
        </w:rPr>
        <w:t xml:space="preserve"> CBD/EBSA/WS/2020/1/2.</w:t>
      </w:r>
    </w:p>
  </w:footnote>
  <w:footnote w:id="339">
    <w:p w14:paraId="1DF97C37" w14:textId="77777777" w:rsidR="00252FCF" w:rsidRPr="00980BF7" w:rsidRDefault="00252FCF" w:rsidP="006728ED">
      <w:pPr>
        <w:pStyle w:val="FootnoteText"/>
        <w:ind w:firstLine="0"/>
        <w:rPr>
          <w:lang w:val="en-US"/>
        </w:rPr>
      </w:pPr>
      <w:r w:rsidRPr="00610646">
        <w:rPr>
          <w:rStyle w:val="FootnoteReference"/>
        </w:rPr>
        <w:footnoteRef/>
      </w:r>
      <w:r>
        <w:t xml:space="preserve"> </w:t>
      </w:r>
      <w:r>
        <w:rPr>
          <w:lang w:val="en-US"/>
        </w:rPr>
        <w:t xml:space="preserve">Also considering the </w:t>
      </w:r>
      <w:r w:rsidRPr="00E510D7">
        <w:rPr>
          <w:lang w:val="en-US"/>
        </w:rPr>
        <w:t>information contained in document</w:t>
      </w:r>
      <w:r>
        <w:rPr>
          <w:lang w:val="en-US"/>
        </w:rPr>
        <w:t>s</w:t>
      </w:r>
      <w:r w:rsidRPr="00E510D7">
        <w:rPr>
          <w:lang w:val="en-US"/>
        </w:rPr>
        <w:t xml:space="preserve"> </w:t>
      </w:r>
      <w:r w:rsidRPr="009051BA">
        <w:t>CBD/SBSTTA/24/INF/41 and CBD/EBSA/OM/2022/2/1</w:t>
      </w:r>
      <w:r>
        <w:t>.</w:t>
      </w:r>
    </w:p>
  </w:footnote>
  <w:footnote w:id="340">
    <w:p w14:paraId="071F1403" w14:textId="77777777" w:rsidR="00252FCF" w:rsidRPr="00243A11" w:rsidRDefault="00252FCF" w:rsidP="005971BD">
      <w:pPr>
        <w:pStyle w:val="FootnoteText"/>
        <w:ind w:firstLine="0"/>
        <w:rPr>
          <w:lang w:val="en-US"/>
        </w:rPr>
      </w:pPr>
      <w:r w:rsidRPr="00610646">
        <w:rPr>
          <w:rStyle w:val="FootnoteReference"/>
        </w:rPr>
        <w:footnoteRef/>
      </w:r>
      <w:r>
        <w:t xml:space="preserve"> In this decision, free, prior and informed consent refers to the tripartite terminology of “prior and informed consent” or “free, prior and informed consent” or “approval and involvement”.</w:t>
      </w:r>
    </w:p>
  </w:footnote>
  <w:footnote w:id="341">
    <w:p w14:paraId="26A8889D" w14:textId="77777777" w:rsidR="007523D5" w:rsidRPr="00D9073D" w:rsidRDefault="007523D5" w:rsidP="00FC73CB">
      <w:pPr>
        <w:pStyle w:val="FootnoteText"/>
        <w:ind w:firstLine="0"/>
        <w:rPr>
          <w:lang w:val="en-US"/>
        </w:rPr>
      </w:pPr>
      <w:r w:rsidRPr="00610646">
        <w:rPr>
          <w:rStyle w:val="FootnoteReference"/>
        </w:rPr>
        <w:footnoteRef/>
      </w:r>
      <w:r>
        <w:t xml:space="preserve"> </w:t>
      </w:r>
      <w:r w:rsidRPr="00BE164B">
        <w:rPr>
          <w:rFonts w:asciiTheme="majorBidi" w:hAnsiTheme="majorBidi" w:cstheme="majorBidi"/>
        </w:rPr>
        <w:t xml:space="preserve">IPBES (2019): </w:t>
      </w:r>
      <w:r w:rsidRPr="00E24257">
        <w:rPr>
          <w:rFonts w:asciiTheme="majorBidi" w:hAnsiTheme="majorBidi" w:cstheme="majorBidi"/>
          <w:i/>
          <w:iCs/>
        </w:rPr>
        <w:t>Global assessment report on biodiversity and ecosystem services of the Intergovernmental Science-Policy Platform on Biodiversity and Ecosystem Services</w:t>
      </w:r>
      <w:r w:rsidRPr="00DC33D5">
        <w:rPr>
          <w:rFonts w:asciiTheme="majorBidi" w:hAnsiTheme="majorBidi" w:cstheme="majorBidi"/>
        </w:rPr>
        <w:t>.</w:t>
      </w:r>
      <w:r>
        <w:rPr>
          <w:rFonts w:asciiTheme="majorBidi" w:hAnsiTheme="majorBidi" w:cstheme="majorBidi"/>
        </w:rPr>
        <w:t xml:space="preserve"> </w:t>
      </w:r>
      <w:r w:rsidRPr="005B44C4">
        <w:rPr>
          <w:rFonts w:asciiTheme="majorBidi" w:hAnsiTheme="majorBidi" w:cstheme="majorBidi"/>
        </w:rPr>
        <w:t>IPBES secretariat, Bonn, Germany</w:t>
      </w:r>
      <w:r>
        <w:rPr>
          <w:rFonts w:asciiTheme="majorBidi" w:hAnsiTheme="majorBidi" w:cstheme="majorBidi"/>
        </w:rPr>
        <w:t>.</w:t>
      </w:r>
    </w:p>
  </w:footnote>
  <w:footnote w:id="342">
    <w:p w14:paraId="2A8DA715" w14:textId="77777777" w:rsidR="007523D5" w:rsidRPr="001D14FB" w:rsidRDefault="007523D5" w:rsidP="00FC73CB">
      <w:pPr>
        <w:pStyle w:val="FootnoteText"/>
        <w:suppressLineNumbers/>
        <w:suppressAutoHyphens/>
        <w:ind w:firstLine="0"/>
        <w:jc w:val="left"/>
        <w:rPr>
          <w:kern w:val="18"/>
          <w:szCs w:val="18"/>
        </w:rPr>
      </w:pPr>
      <w:r w:rsidRPr="00610646">
        <w:rPr>
          <w:rStyle w:val="FootnoteReference"/>
        </w:rPr>
        <w:footnoteRef/>
      </w:r>
      <w:r w:rsidRPr="001D14FB">
        <w:rPr>
          <w:kern w:val="18"/>
          <w:szCs w:val="18"/>
        </w:rPr>
        <w:t xml:space="preserve"> CBD/IAS/AHTEG/2019/INF/1.</w:t>
      </w:r>
    </w:p>
  </w:footnote>
  <w:footnote w:id="343">
    <w:p w14:paraId="174FA560" w14:textId="77777777" w:rsidR="007523D5" w:rsidRPr="00C50F14" w:rsidRDefault="007523D5" w:rsidP="00FC73CB">
      <w:pPr>
        <w:pStyle w:val="FootnoteText"/>
        <w:suppressLineNumbers/>
        <w:suppressAutoHyphens/>
        <w:ind w:firstLine="0"/>
        <w:jc w:val="left"/>
        <w:rPr>
          <w:kern w:val="18"/>
          <w:szCs w:val="18"/>
        </w:rPr>
      </w:pPr>
      <w:r w:rsidRPr="00610646">
        <w:rPr>
          <w:rStyle w:val="FootnoteReference"/>
        </w:rPr>
        <w:footnoteRef/>
      </w:r>
      <w:r w:rsidRPr="001D14FB">
        <w:rPr>
          <w:kern w:val="18"/>
          <w:szCs w:val="18"/>
        </w:rPr>
        <w:t xml:space="preserve"> CBD/IAS/AHTEG/2019/1/3.</w:t>
      </w:r>
    </w:p>
  </w:footnote>
  <w:footnote w:id="344">
    <w:p w14:paraId="6588180F" w14:textId="77777777" w:rsidR="007523D5" w:rsidRPr="00D9073D" w:rsidRDefault="007523D5" w:rsidP="00FC73CB">
      <w:pPr>
        <w:pStyle w:val="FootnoteText"/>
        <w:ind w:firstLine="0"/>
        <w:rPr>
          <w:kern w:val="22"/>
          <w:szCs w:val="22"/>
        </w:rPr>
      </w:pPr>
      <w:r w:rsidRPr="00610646">
        <w:rPr>
          <w:rStyle w:val="FootnoteReference"/>
        </w:rPr>
        <w:footnoteRef/>
      </w:r>
      <w:r w:rsidRPr="006019DE">
        <w:t xml:space="preserve"> </w:t>
      </w:r>
      <w:r w:rsidRPr="006019DE">
        <w:rPr>
          <w:kern w:val="22"/>
          <w:szCs w:val="22"/>
        </w:rPr>
        <w:t xml:space="preserve">IPBES (2022). </w:t>
      </w:r>
      <w:r w:rsidRPr="00D9073D">
        <w:rPr>
          <w:i/>
          <w:iCs/>
          <w:kern w:val="22"/>
          <w:szCs w:val="22"/>
        </w:rPr>
        <w:t>Methodological Assessment Report on the Diverse Values and Valuation of Nature of the Intergovernmental Science-Policy Platform on Biodiversity and Ecosystem Services</w:t>
      </w:r>
      <w:r w:rsidRPr="006019DE">
        <w:rPr>
          <w:kern w:val="22"/>
          <w:szCs w:val="22"/>
        </w:rPr>
        <w:t xml:space="preserve">. </w:t>
      </w:r>
      <w:r w:rsidRPr="00721E1F">
        <w:rPr>
          <w:rFonts w:asciiTheme="majorBidi" w:hAnsiTheme="majorBidi" w:cstheme="majorBidi"/>
        </w:rPr>
        <w:t>IPBES secretariat, Bonn, Germany</w:t>
      </w:r>
      <w:r>
        <w:rPr>
          <w:kern w:val="22"/>
          <w:szCs w:val="22"/>
        </w:rPr>
        <w:t>.</w:t>
      </w:r>
    </w:p>
  </w:footnote>
  <w:footnote w:id="345">
    <w:p w14:paraId="310FDC87" w14:textId="77777777" w:rsidR="007523D5" w:rsidRPr="001D14FB" w:rsidRDefault="007523D5" w:rsidP="00FC73CB">
      <w:pPr>
        <w:pStyle w:val="FootnoteText"/>
        <w:ind w:firstLine="0"/>
        <w:jc w:val="left"/>
        <w:rPr>
          <w:kern w:val="18"/>
          <w:szCs w:val="18"/>
        </w:rPr>
      </w:pPr>
      <w:r w:rsidRPr="00610646">
        <w:rPr>
          <w:rStyle w:val="FootnoteReference"/>
        </w:rPr>
        <w:footnoteRef/>
      </w:r>
      <w:r w:rsidRPr="001D14FB">
        <w:rPr>
          <w:kern w:val="18"/>
          <w:szCs w:val="18"/>
        </w:rPr>
        <w:t xml:space="preserve"> United Nations publication, Sales No. E.19.VIII.1.</w:t>
      </w:r>
    </w:p>
  </w:footnote>
  <w:footnote w:id="346">
    <w:p w14:paraId="488C0228" w14:textId="06DE3CCE" w:rsidR="007523D5" w:rsidRPr="00C50F14" w:rsidRDefault="007523D5" w:rsidP="00494C69">
      <w:pPr>
        <w:pStyle w:val="FootnoteText"/>
        <w:suppressLineNumbers/>
        <w:suppressAutoHyphens/>
        <w:ind w:firstLine="0"/>
        <w:jc w:val="left"/>
        <w:rPr>
          <w:kern w:val="18"/>
          <w:szCs w:val="18"/>
        </w:rPr>
      </w:pPr>
      <w:r w:rsidRPr="00610646">
        <w:rPr>
          <w:rStyle w:val="FootnoteReference"/>
        </w:rPr>
        <w:footnoteRef/>
      </w:r>
      <w:r w:rsidRPr="00C50F14">
        <w:rPr>
          <w:kern w:val="18"/>
          <w:szCs w:val="18"/>
        </w:rPr>
        <w:t xml:space="preserve"> This refers to the “application of measures to prevent the introduction of, control or eradicate invasive alien species” (see </w:t>
      </w:r>
      <w:hyperlink r:id="rId69" w:history="1">
        <w:r w:rsidRPr="001D14FB">
          <w:rPr>
            <w:rStyle w:val="Hyperlink"/>
            <w:color w:val="0070C0"/>
            <w:kern w:val="18"/>
            <w:szCs w:val="18"/>
          </w:rPr>
          <w:t>CBD/IAS/AHTEG/2019/1/2</w:t>
        </w:r>
      </w:hyperlink>
      <w:r w:rsidRPr="00C50F14">
        <w:rPr>
          <w:kern w:val="18"/>
          <w:szCs w:val="18"/>
        </w:rPr>
        <w:t>, para. 13(e)).</w:t>
      </w:r>
    </w:p>
  </w:footnote>
  <w:footnote w:id="347">
    <w:p w14:paraId="3E3B8D93" w14:textId="77777777" w:rsidR="007523D5" w:rsidRPr="00BB4F68" w:rsidRDefault="007523D5" w:rsidP="00494C69">
      <w:pPr>
        <w:pStyle w:val="FootnoteText"/>
        <w:suppressLineNumbers/>
        <w:suppressAutoHyphens/>
        <w:ind w:firstLine="0"/>
        <w:jc w:val="left"/>
        <w:rPr>
          <w:kern w:val="18"/>
          <w:szCs w:val="18"/>
        </w:rPr>
      </w:pPr>
      <w:r w:rsidRPr="00610646">
        <w:rPr>
          <w:rStyle w:val="FootnoteReference"/>
        </w:rPr>
        <w:footnoteRef/>
      </w:r>
      <w:r w:rsidRPr="00BB4F68">
        <w:rPr>
          <w:kern w:val="18"/>
          <w:szCs w:val="18"/>
        </w:rPr>
        <w:t xml:space="preserve"> </w:t>
      </w:r>
      <w:r w:rsidRPr="00D9073D">
        <w:rPr>
          <w:kern w:val="18"/>
          <w:szCs w:val="18"/>
        </w:rPr>
        <w:t>States should maintain lists of species with the assessed potential to become invasive and associated with unacceptable risks for biodiversity and make it available through the clearing-house mechanism or other appropriate means. Decision XII/16, para. 23.</w:t>
      </w:r>
    </w:p>
  </w:footnote>
  <w:footnote w:id="348">
    <w:p w14:paraId="0DB32077" w14:textId="77777777" w:rsidR="007523D5" w:rsidRPr="001D14FB" w:rsidRDefault="007523D5" w:rsidP="00494C69">
      <w:pPr>
        <w:pStyle w:val="FootnoteText"/>
        <w:suppressLineNumbers/>
        <w:suppressAutoHyphens/>
        <w:ind w:firstLine="0"/>
        <w:jc w:val="left"/>
        <w:rPr>
          <w:kern w:val="18"/>
          <w:szCs w:val="18"/>
        </w:rPr>
      </w:pPr>
      <w:r w:rsidRPr="00610646">
        <w:rPr>
          <w:rStyle w:val="FootnoteReference"/>
        </w:rPr>
        <w:footnoteRef/>
      </w:r>
      <w:r w:rsidRPr="00BB4F68">
        <w:rPr>
          <w:kern w:val="18"/>
          <w:szCs w:val="18"/>
        </w:rPr>
        <w:t xml:space="preserve"> </w:t>
      </w:r>
      <w:r w:rsidRPr="00D9073D">
        <w:rPr>
          <w:kern w:val="18"/>
          <w:szCs w:val="18"/>
        </w:rPr>
        <w:t>Encourages Parties and invites other Governments (a) to develop and share a list of regulated invasive alien species, based on the results of risk analysis, where appropriate. Decision 14/11, para. 11 (a).</w:t>
      </w:r>
    </w:p>
  </w:footnote>
  <w:footnote w:id="349">
    <w:p w14:paraId="2BF12376" w14:textId="16CF70E6" w:rsidR="007523D5" w:rsidRPr="00C50F14" w:rsidRDefault="007523D5" w:rsidP="00073ECB">
      <w:pPr>
        <w:pStyle w:val="FootnoteText"/>
        <w:suppressLineNumbers/>
        <w:suppressAutoHyphens/>
        <w:ind w:firstLine="0"/>
        <w:jc w:val="left"/>
        <w:rPr>
          <w:kern w:val="18"/>
          <w:szCs w:val="18"/>
        </w:rPr>
      </w:pPr>
      <w:r w:rsidRPr="00610646">
        <w:rPr>
          <w:rStyle w:val="FootnoteReference"/>
        </w:rPr>
        <w:footnoteRef/>
      </w:r>
      <w:r w:rsidRPr="00C50F14">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C50F14" w:rsidDel="008967AC">
        <w:rPr>
          <w:kern w:val="18"/>
          <w:szCs w:val="18"/>
        </w:rPr>
        <w:t xml:space="preserve"> </w:t>
      </w:r>
      <w:r w:rsidRPr="00C50F14">
        <w:rPr>
          <w:kern w:val="18"/>
          <w:szCs w:val="18"/>
        </w:rPr>
        <w:t xml:space="preserve">(see </w:t>
      </w:r>
      <w:hyperlink r:id="rId70" w:history="1">
        <w:r w:rsidRPr="001D14FB">
          <w:rPr>
            <w:rStyle w:val="Hyperlink"/>
            <w:color w:val="0070C0"/>
            <w:kern w:val="18"/>
            <w:szCs w:val="18"/>
          </w:rPr>
          <w:t>http://www.wcoomd.org/~/media/wco/public/global/pdf/topics/facilitation/activities-and-programmes/tf-negociations/wco-docs/info-sheets-on-tf-measures/single-window-concept.pdf</w:t>
        </w:r>
      </w:hyperlink>
      <w:r w:rsidRPr="00C50F14">
        <w:rPr>
          <w:kern w:val="18"/>
          <w:szCs w:val="18"/>
        </w:rPr>
        <w:t>).</w:t>
      </w:r>
    </w:p>
  </w:footnote>
  <w:footnote w:id="350">
    <w:p w14:paraId="5CEA427A" w14:textId="2F2AD4AA" w:rsidR="007523D5" w:rsidRPr="00C50F14" w:rsidRDefault="007523D5" w:rsidP="00D42940">
      <w:pPr>
        <w:pStyle w:val="FootnoteText"/>
        <w:suppressLineNumbers/>
        <w:suppressAutoHyphens/>
        <w:ind w:firstLine="0"/>
        <w:jc w:val="left"/>
        <w:rPr>
          <w:kern w:val="18"/>
          <w:szCs w:val="18"/>
        </w:rPr>
      </w:pPr>
      <w:r w:rsidRPr="00610646">
        <w:rPr>
          <w:rStyle w:val="FootnoteReference"/>
        </w:rPr>
        <w:footnoteRef/>
      </w:r>
      <w:r w:rsidRPr="00C50F14">
        <w:rPr>
          <w:kern w:val="18"/>
          <w:szCs w:val="18"/>
        </w:rPr>
        <w:t xml:space="preserve"> See also WCO </w:t>
      </w:r>
      <w:r w:rsidRPr="00C50F14">
        <w:rPr>
          <w:i/>
          <w:iCs/>
          <w:kern w:val="18"/>
          <w:szCs w:val="18"/>
        </w:rPr>
        <w:t>Compendium of Authorized Economic Operator Programmes</w:t>
      </w:r>
      <w:r w:rsidRPr="00C50F14">
        <w:rPr>
          <w:kern w:val="18"/>
          <w:szCs w:val="18"/>
        </w:rPr>
        <w:t xml:space="preserve"> (2019), </w:t>
      </w:r>
      <w:hyperlink r:id="rId71" w:history="1">
        <w:r w:rsidRPr="001D14FB">
          <w:rPr>
            <w:rStyle w:val="Hyperlink"/>
            <w:color w:val="0070C0"/>
            <w:kern w:val="18"/>
            <w:szCs w:val="18"/>
          </w:rPr>
          <w:t>http://www.wcoomd.org/-/media/wco/public/global/pdf/topics/facilitation/instruments-and-tools/tools/safe-package/aeo-compendium.pdf?db=web</w:t>
        </w:r>
      </w:hyperlink>
      <w:r w:rsidRPr="00780B6B">
        <w:rPr>
          <w:color w:val="0070C0"/>
          <w:kern w:val="18"/>
          <w:szCs w:val="18"/>
        </w:rPr>
        <w:t xml:space="preserve"> </w:t>
      </w:r>
    </w:p>
  </w:footnote>
  <w:footnote w:id="351">
    <w:p w14:paraId="22052FA5" w14:textId="192D3E93" w:rsidR="007523D5" w:rsidRPr="00C50F14" w:rsidRDefault="007523D5" w:rsidP="00D42940">
      <w:pPr>
        <w:pStyle w:val="FootnoteText"/>
        <w:suppressLineNumbers/>
        <w:suppressAutoHyphens/>
        <w:ind w:firstLine="0"/>
        <w:jc w:val="left"/>
        <w:rPr>
          <w:kern w:val="18"/>
          <w:szCs w:val="18"/>
        </w:rPr>
      </w:pPr>
      <w:r w:rsidRPr="00610646">
        <w:rPr>
          <w:rStyle w:val="FootnoteReference"/>
        </w:rPr>
        <w:footnoteRef/>
      </w:r>
      <w:r w:rsidRPr="008F608C">
        <w:rPr>
          <w:kern w:val="18"/>
          <w:szCs w:val="18"/>
        </w:rPr>
        <w:t xml:space="preserve"> IUCN </w:t>
      </w:r>
      <w:r w:rsidRPr="00780B6B">
        <w:rPr>
          <w:i/>
          <w:iCs/>
          <w:kern w:val="18"/>
          <w:szCs w:val="18"/>
        </w:rPr>
        <w:t>Environmental Impact Classification for Alien Taxa</w:t>
      </w:r>
      <w:r w:rsidRPr="008F608C">
        <w:rPr>
          <w:kern w:val="18"/>
          <w:szCs w:val="18"/>
        </w:rPr>
        <w:t xml:space="preserve">, </w:t>
      </w:r>
      <w:hyperlink r:id="rId72" w:history="1">
        <w:r w:rsidRPr="008F608C">
          <w:rPr>
            <w:rStyle w:val="Hyperlink"/>
            <w:color w:val="0070C0"/>
            <w:kern w:val="18"/>
            <w:szCs w:val="18"/>
          </w:rPr>
          <w:t>https://ipbes.net/policy-support/tools-instruments/environmental-impact-classification-alien-taxa-eicat</w:t>
        </w:r>
      </w:hyperlink>
    </w:p>
  </w:footnote>
  <w:footnote w:id="352">
    <w:p w14:paraId="3C0180F1" w14:textId="77777777" w:rsidR="007523D5" w:rsidRPr="001D14FB" w:rsidRDefault="007523D5" w:rsidP="00D42940">
      <w:pPr>
        <w:pStyle w:val="FootnoteText"/>
        <w:suppressLineNumbers/>
        <w:suppressAutoHyphens/>
        <w:ind w:firstLine="0"/>
        <w:jc w:val="left"/>
        <w:rPr>
          <w:kern w:val="18"/>
          <w:szCs w:val="18"/>
        </w:rPr>
      </w:pPr>
      <w:r w:rsidRPr="00610646">
        <w:rPr>
          <w:rStyle w:val="FootnoteReference"/>
        </w:rPr>
        <w:footnoteRef/>
      </w:r>
      <w:r w:rsidRPr="005C2F7E">
        <w:rPr>
          <w:kern w:val="18"/>
          <w:szCs w:val="18"/>
        </w:rPr>
        <w:t xml:space="preserve"> </w:t>
      </w:r>
      <w:r w:rsidRPr="005C2F7E">
        <w:rPr>
          <w:bCs/>
          <w:kern w:val="18"/>
          <w:szCs w:val="18"/>
        </w:rPr>
        <w:t>(CBD/IAS/AHTEG/2019/1/INF/1).</w:t>
      </w:r>
    </w:p>
  </w:footnote>
  <w:footnote w:id="353">
    <w:p w14:paraId="20BC79A4" w14:textId="77777777" w:rsidR="007523D5" w:rsidRPr="00C50F14" w:rsidRDefault="007523D5" w:rsidP="00D42940">
      <w:pPr>
        <w:pStyle w:val="FootnoteText"/>
        <w:suppressLineNumbers/>
        <w:suppressAutoHyphens/>
        <w:ind w:firstLine="0"/>
        <w:jc w:val="left"/>
        <w:rPr>
          <w:kern w:val="18"/>
          <w:szCs w:val="18"/>
        </w:rPr>
      </w:pPr>
      <w:r w:rsidRPr="00610646">
        <w:rPr>
          <w:rStyle w:val="FootnoteReference"/>
        </w:rPr>
        <w:footnoteRef/>
      </w:r>
      <w:r w:rsidRPr="00C50F14">
        <w:rPr>
          <w:kern w:val="18"/>
          <w:szCs w:val="18"/>
        </w:rPr>
        <w:t xml:space="preserve"> Sleeper alien species: alien species whose population persistence is limited by the current climate and which are expected to exhibit greater rates of establishment as a result of climate change.</w:t>
      </w:r>
    </w:p>
  </w:footnote>
  <w:footnote w:id="354">
    <w:p w14:paraId="7993451E" w14:textId="77C64572" w:rsidR="007523D5" w:rsidRPr="00C50F14" w:rsidRDefault="007523D5" w:rsidP="004F1B7C">
      <w:pPr>
        <w:pStyle w:val="FootnoteText"/>
        <w:suppressLineNumbers/>
        <w:suppressAutoHyphens/>
        <w:ind w:firstLine="0"/>
        <w:jc w:val="left"/>
        <w:rPr>
          <w:kern w:val="18"/>
          <w:szCs w:val="18"/>
        </w:rPr>
      </w:pPr>
      <w:r w:rsidRPr="00610646">
        <w:rPr>
          <w:rStyle w:val="FootnoteReference"/>
        </w:rPr>
        <w:footnoteRef/>
      </w:r>
      <w:r w:rsidRPr="00C50F14">
        <w:rPr>
          <w:kern w:val="18"/>
          <w:szCs w:val="18"/>
        </w:rPr>
        <w:t xml:space="preserve"> </w:t>
      </w:r>
      <w:hyperlink r:id="rId73" w:history="1">
        <w:r w:rsidRPr="001D14FB">
          <w:rPr>
            <w:rStyle w:val="Hyperlink"/>
            <w:color w:val="0070C0"/>
            <w:kern w:val="18"/>
            <w:szCs w:val="18"/>
          </w:rPr>
          <w:t>http://diise.islandconservation.org</w:t>
        </w:r>
      </w:hyperlink>
      <w:r w:rsidRPr="00C50F14">
        <w:rPr>
          <w:kern w:val="18"/>
          <w:szCs w:val="18"/>
        </w:rPr>
        <w:t>.</w:t>
      </w:r>
    </w:p>
  </w:footnote>
  <w:footnote w:id="355">
    <w:p w14:paraId="21CF871D" w14:textId="77777777" w:rsidR="007523D5" w:rsidRPr="001D14FB" w:rsidRDefault="007523D5" w:rsidP="006B555A">
      <w:pPr>
        <w:pStyle w:val="FootnoteText"/>
        <w:suppressLineNumbers/>
        <w:suppressAutoHyphens/>
        <w:ind w:firstLine="0"/>
        <w:jc w:val="left"/>
        <w:rPr>
          <w:kern w:val="18"/>
          <w:szCs w:val="18"/>
        </w:rPr>
      </w:pPr>
      <w:r w:rsidRPr="00610646">
        <w:rPr>
          <w:rStyle w:val="FootnoteReference"/>
        </w:rPr>
        <w:footnoteRef/>
      </w:r>
      <w:r w:rsidRPr="001D14FB">
        <w:rPr>
          <w:kern w:val="18"/>
          <w:szCs w:val="18"/>
        </w:rPr>
        <w:t xml:space="preserve"> For more information on using these tools, see CBD/AHTEG/IAS/2019/1/2</w:t>
      </w:r>
      <w:r w:rsidRPr="00C50F14">
        <w:rPr>
          <w:kern w:val="18"/>
          <w:szCs w:val="18"/>
        </w:rPr>
        <w:t>,</w:t>
      </w:r>
      <w:r w:rsidRPr="001D14FB">
        <w:rPr>
          <w:kern w:val="18"/>
          <w:szCs w:val="18"/>
        </w:rPr>
        <w:t xml:space="preserve"> pp</w:t>
      </w:r>
      <w:r>
        <w:rPr>
          <w:kern w:val="18"/>
          <w:szCs w:val="18"/>
        </w:rPr>
        <w:t>.</w:t>
      </w:r>
      <w:r w:rsidRPr="001D14FB">
        <w:rPr>
          <w:kern w:val="18"/>
          <w:szCs w:val="18"/>
        </w:rPr>
        <w:t xml:space="preserve"> 31-35.</w:t>
      </w:r>
    </w:p>
  </w:footnote>
  <w:footnote w:id="356">
    <w:p w14:paraId="317F16B6" w14:textId="0C632186" w:rsidR="007523D5" w:rsidRPr="001D14FB" w:rsidRDefault="007523D5" w:rsidP="00C702A6">
      <w:pPr>
        <w:pStyle w:val="FootnoteText"/>
        <w:suppressLineNumbers/>
        <w:suppressAutoHyphens/>
        <w:ind w:firstLine="0"/>
        <w:jc w:val="left"/>
        <w:rPr>
          <w:kern w:val="18"/>
          <w:szCs w:val="18"/>
        </w:rPr>
      </w:pPr>
      <w:r w:rsidRPr="00610646">
        <w:rPr>
          <w:rStyle w:val="FootnoteReference"/>
        </w:rPr>
        <w:footnoteRef/>
      </w:r>
      <w:r w:rsidRPr="001D14FB">
        <w:rPr>
          <w:kern w:val="18"/>
          <w:szCs w:val="18"/>
        </w:rPr>
        <w:t xml:space="preserve"> Reducing the spread of invasive pests by sea containers (</w:t>
      </w:r>
      <w:hyperlink r:id="rId74" w:history="1">
        <w:r w:rsidRPr="00E10E94">
          <w:rPr>
            <w:rStyle w:val="Hyperlink"/>
            <w:color w:val="0070C0"/>
            <w:kern w:val="18"/>
            <w:szCs w:val="18"/>
          </w:rPr>
          <w:t>http://www.fao.org/3/ca7670en/CA7670EN.pdf</w:t>
        </w:r>
      </w:hyperlink>
      <w:r w:rsidRPr="001D14FB">
        <w:rPr>
          <w:kern w:val="18"/>
          <w:szCs w:val="18"/>
        </w:rPr>
        <w:t>)</w:t>
      </w:r>
      <w:r>
        <w:rPr>
          <w:kern w:val="18"/>
          <w:szCs w:val="18"/>
        </w:rPr>
        <w:t>.</w:t>
      </w:r>
    </w:p>
  </w:footnote>
  <w:footnote w:id="357">
    <w:p w14:paraId="415CB3AE" w14:textId="77777777" w:rsidR="007A11A6" w:rsidRPr="00F544AF" w:rsidRDefault="007A11A6" w:rsidP="009A153A">
      <w:pPr>
        <w:pStyle w:val="FootnoteText"/>
        <w:ind w:firstLine="0"/>
        <w:rPr>
          <w:lang w:val="en-CA"/>
        </w:rPr>
      </w:pPr>
      <w:r w:rsidRPr="00610646">
        <w:rPr>
          <w:rStyle w:val="FootnoteReference"/>
        </w:rPr>
        <w:footnoteRef/>
      </w:r>
      <w:r>
        <w:t xml:space="preserve"> </w:t>
      </w:r>
      <w:r w:rsidRPr="00966C7B">
        <w:t xml:space="preserve">FAO, ITPS, GSBI, SCBD, and EC. 2020. </w:t>
      </w:r>
      <w:r w:rsidRPr="00AA309E">
        <w:rPr>
          <w:i/>
          <w:iCs/>
        </w:rPr>
        <w:t xml:space="preserve">State of knowledge of soil biodiversity - Status, challenges and potentialities, </w:t>
      </w:r>
      <w:r w:rsidRPr="0015519D">
        <w:t>Report 2020.</w:t>
      </w:r>
      <w:r w:rsidRPr="00966C7B">
        <w:t xml:space="preserve"> Rome, FAO.</w:t>
      </w:r>
      <w:r>
        <w:t xml:space="preserve"> </w:t>
      </w:r>
    </w:p>
  </w:footnote>
  <w:footnote w:id="358">
    <w:p w14:paraId="1C65E12C" w14:textId="77777777" w:rsidR="007A11A6" w:rsidRPr="00E91563" w:rsidRDefault="007A11A6" w:rsidP="009A153A">
      <w:pPr>
        <w:pStyle w:val="FootnoteText"/>
        <w:ind w:firstLine="0"/>
        <w:jc w:val="left"/>
        <w:rPr>
          <w:kern w:val="18"/>
          <w:szCs w:val="18"/>
          <w:lang w:val="en-CA"/>
        </w:rPr>
      </w:pPr>
      <w:r w:rsidRPr="00610646">
        <w:rPr>
          <w:rStyle w:val="FootnoteReference"/>
        </w:rPr>
        <w:footnoteRef/>
      </w:r>
      <w:r w:rsidRPr="00E91563">
        <w:rPr>
          <w:kern w:val="18"/>
          <w:szCs w:val="18"/>
        </w:rPr>
        <w:t xml:space="preserve"> See General Assembly resolution 73/284 of 1 March 2019.</w:t>
      </w:r>
    </w:p>
  </w:footnote>
  <w:footnote w:id="359">
    <w:p w14:paraId="0B7C08FD" w14:textId="77777777"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w:t>
      </w:r>
      <w:r w:rsidRPr="00E36DB0">
        <w:rPr>
          <w:kern w:val="18"/>
          <w:szCs w:val="18"/>
        </w:rPr>
        <w:t xml:space="preserve">FAO and ITPS. 2015. </w:t>
      </w:r>
      <w:r w:rsidRPr="00AA309E">
        <w:rPr>
          <w:i/>
          <w:iCs/>
          <w:kern w:val="18"/>
          <w:szCs w:val="18"/>
        </w:rPr>
        <w:t>Status of the World’s Soil Resources</w:t>
      </w:r>
      <w:r w:rsidRPr="00E36DB0">
        <w:rPr>
          <w:kern w:val="18"/>
          <w:szCs w:val="18"/>
        </w:rPr>
        <w:t xml:space="preserve"> (SWSR) – Main Report. Food and Agriculture Organization of the United Nations and Intergovernmental Technical Panel on Soils, Rome, Italy</w:t>
      </w:r>
      <w:r w:rsidRPr="00E91563">
        <w:rPr>
          <w:kern w:val="18"/>
          <w:szCs w:val="18"/>
        </w:rPr>
        <w:t>.</w:t>
      </w:r>
    </w:p>
  </w:footnote>
  <w:footnote w:id="360">
    <w:p w14:paraId="307187A3" w14:textId="77777777" w:rsidR="007A11A6" w:rsidRPr="00AA309E" w:rsidRDefault="007A11A6" w:rsidP="009A153A">
      <w:pPr>
        <w:pStyle w:val="FootnoteText"/>
        <w:ind w:firstLine="0"/>
        <w:jc w:val="left"/>
        <w:rPr>
          <w:szCs w:val="22"/>
        </w:rPr>
      </w:pPr>
      <w:r w:rsidRPr="00610646">
        <w:rPr>
          <w:rStyle w:val="FootnoteReference"/>
        </w:rPr>
        <w:footnoteRef/>
      </w:r>
      <w:r w:rsidRPr="00E91563">
        <w:rPr>
          <w:kern w:val="18"/>
          <w:szCs w:val="18"/>
        </w:rPr>
        <w:t xml:space="preserve"> </w:t>
      </w:r>
      <w:r w:rsidRPr="000A5D7B">
        <w:t xml:space="preserve">FAO, ITPS, GSBI, SCBD, and EC. 2020. </w:t>
      </w:r>
      <w:r w:rsidRPr="000A5D7B">
        <w:rPr>
          <w:i/>
          <w:iCs/>
        </w:rPr>
        <w:t>State of knowledge of soil biodiversity - Status, challenges and potentialities</w:t>
      </w:r>
      <w:r w:rsidRPr="000A5D7B">
        <w:t>, Report 2020. Rome, FAO</w:t>
      </w:r>
      <w:r w:rsidRPr="00E91563">
        <w:rPr>
          <w:kern w:val="18"/>
          <w:szCs w:val="18"/>
        </w:rPr>
        <w:t>.</w:t>
      </w:r>
    </w:p>
  </w:footnote>
  <w:footnote w:id="361">
    <w:p w14:paraId="0E6D34C3" w14:textId="77777777" w:rsidR="007A11A6" w:rsidRPr="008220FC" w:rsidRDefault="007A11A6" w:rsidP="009A153A">
      <w:pPr>
        <w:pStyle w:val="FootnoteText"/>
        <w:ind w:firstLine="0"/>
        <w:jc w:val="left"/>
        <w:rPr>
          <w:highlight w:val="yellow"/>
          <w:lang w:val="en-CA"/>
        </w:rPr>
      </w:pPr>
      <w:r w:rsidRPr="00610646">
        <w:rPr>
          <w:rStyle w:val="FootnoteReference"/>
        </w:rPr>
        <w:footnoteRef/>
      </w:r>
      <w:r>
        <w:t xml:space="preserve"> </w:t>
      </w:r>
      <w:r w:rsidRPr="00E36DB0">
        <w:rPr>
          <w:szCs w:val="18"/>
        </w:rPr>
        <w:t xml:space="preserve">At its </w:t>
      </w:r>
      <w:r w:rsidRPr="00E36DB0">
        <w:rPr>
          <w:szCs w:val="18"/>
          <w:lang w:val="en-CA"/>
        </w:rPr>
        <w:t xml:space="preserve">fifth session, the United Nations Environment Assembly, in its resolution on “Nature-based solutions for supporting sustainable development”, formally adopted the definition of nature-based solutions as being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w:t>
      </w:r>
      <w:r w:rsidRPr="00AA309E">
        <w:t>services</w:t>
      </w:r>
      <w:r w:rsidRPr="00E36DB0">
        <w:rPr>
          <w:szCs w:val="18"/>
          <w:lang w:val="en-CA"/>
        </w:rPr>
        <w:t xml:space="preserve"> and resilience and biodiversity benefits</w:t>
      </w:r>
      <w:r w:rsidRPr="008220FC">
        <w:rPr>
          <w:lang w:val="en-CA"/>
        </w:rPr>
        <w:t>.</w:t>
      </w:r>
      <w:r>
        <w:rPr>
          <w:lang w:val="en-CA"/>
        </w:rPr>
        <w:t>”</w:t>
      </w:r>
    </w:p>
  </w:footnote>
  <w:footnote w:id="362">
    <w:p w14:paraId="0E8DC754" w14:textId="77777777" w:rsidR="007A11A6" w:rsidRPr="00E91563" w:rsidRDefault="007A11A6" w:rsidP="009A153A">
      <w:pPr>
        <w:pStyle w:val="FootnoteText"/>
        <w:ind w:firstLine="0"/>
        <w:jc w:val="left"/>
        <w:rPr>
          <w:rFonts w:eastAsiaTheme="minorHAnsi"/>
          <w:kern w:val="18"/>
          <w:szCs w:val="18"/>
        </w:rPr>
      </w:pPr>
      <w:r w:rsidRPr="00610646">
        <w:rPr>
          <w:rStyle w:val="FootnoteReference"/>
        </w:rPr>
        <w:footnoteRef/>
      </w:r>
      <w:r w:rsidRPr="00E91563">
        <w:rPr>
          <w:kern w:val="18"/>
          <w:szCs w:val="18"/>
        </w:rPr>
        <w:t xml:space="preserve"> </w:t>
      </w:r>
      <w:r w:rsidRPr="00E91563">
        <w:rPr>
          <w:rFonts w:eastAsiaTheme="minorHAnsi"/>
          <w:kern w:val="18"/>
          <w:szCs w:val="18"/>
        </w:rPr>
        <w:t xml:space="preserve">Soil health </w:t>
      </w:r>
      <w:r>
        <w:rPr>
          <w:rFonts w:eastAsiaTheme="minorHAnsi"/>
          <w:kern w:val="18"/>
          <w:szCs w:val="18"/>
        </w:rPr>
        <w:t xml:space="preserve">is </w:t>
      </w:r>
      <w:r w:rsidRPr="00E91563">
        <w:rPr>
          <w:rFonts w:eastAsiaTheme="minorHAnsi"/>
          <w:kern w:val="18"/>
          <w:szCs w:val="18"/>
        </w:rPr>
        <w:t xml:space="preserve">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w:t>
      </w:r>
      <w:r w:rsidRPr="00E91563">
        <w:rPr>
          <w:rFonts w:eastAsiaTheme="minorHAnsi"/>
          <w:i/>
          <w:iCs/>
          <w:kern w:val="18"/>
          <w:szCs w:val="18"/>
        </w:rPr>
        <w:t>Save and Grow: A Policymaker’s Guide to the Sustainable Intensification of Smallholder Crop Production</w:t>
      </w:r>
      <w:r w:rsidRPr="00E91563">
        <w:rPr>
          <w:rFonts w:eastAsiaTheme="minorHAnsi"/>
          <w:kern w:val="18"/>
          <w:szCs w:val="18"/>
        </w:rPr>
        <w:t xml:space="preserve">. ISBN 978-92-5-106871-7112. </w:t>
      </w:r>
    </w:p>
  </w:footnote>
  <w:footnote w:id="363">
    <w:p w14:paraId="7024949D" w14:textId="77777777"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FAO</w:t>
      </w:r>
      <w:r>
        <w:rPr>
          <w:kern w:val="18"/>
          <w:szCs w:val="18"/>
        </w:rPr>
        <w:t>.</w:t>
      </w:r>
      <w:r w:rsidRPr="00E91563">
        <w:rPr>
          <w:kern w:val="18"/>
          <w:szCs w:val="18"/>
        </w:rPr>
        <w:t xml:space="preserve"> 2017. </w:t>
      </w:r>
      <w:r w:rsidRPr="00E91563">
        <w:rPr>
          <w:i/>
          <w:iCs/>
          <w:kern w:val="18"/>
          <w:szCs w:val="18"/>
        </w:rPr>
        <w:t>Voluntary Guidelines for Sustainable Soil Management</w:t>
      </w:r>
      <w:r w:rsidRPr="00E91563">
        <w:rPr>
          <w:kern w:val="18"/>
          <w:szCs w:val="18"/>
        </w:rPr>
        <w:t>. Food and Agriculture Organization of the United Nations, Rome</w:t>
      </w:r>
      <w:r>
        <w:rPr>
          <w:kern w:val="18"/>
          <w:szCs w:val="18"/>
        </w:rPr>
        <w:t>, Italy</w:t>
      </w:r>
      <w:r w:rsidRPr="00E91563">
        <w:rPr>
          <w:kern w:val="18"/>
          <w:szCs w:val="18"/>
        </w:rPr>
        <w:t>.</w:t>
      </w:r>
    </w:p>
  </w:footnote>
  <w:footnote w:id="364">
    <w:p w14:paraId="46664698" w14:textId="77777777"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FAO. 2020. </w:t>
      </w:r>
      <w:r w:rsidRPr="00E91563">
        <w:rPr>
          <w:i/>
          <w:iCs/>
          <w:kern w:val="18"/>
          <w:szCs w:val="18"/>
        </w:rPr>
        <w:t>FAO Strategy on Mainstreaming Biodiversity across Agricultural Sectors</w:t>
      </w:r>
      <w:r w:rsidRPr="00E91563">
        <w:rPr>
          <w:kern w:val="18"/>
          <w:szCs w:val="18"/>
        </w:rPr>
        <w:t xml:space="preserve">. Rome. </w:t>
      </w:r>
      <w:hyperlink w:history="1"/>
    </w:p>
  </w:footnote>
  <w:footnote w:id="365">
    <w:p w14:paraId="5CAEFCEC" w14:textId="77777777"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United Nations Convention to Combat Desertification, Conference of the Parties, thirteenth session, decision 7/COP.13 (see ICCD/COP(13)/21/Add.1).</w:t>
      </w:r>
    </w:p>
  </w:footnote>
  <w:footnote w:id="366">
    <w:p w14:paraId="4029E36B" w14:textId="77777777" w:rsidR="007A11A6" w:rsidRPr="00E91563" w:rsidRDefault="007A11A6" w:rsidP="009A153A">
      <w:pPr>
        <w:pStyle w:val="FootnoteText"/>
        <w:ind w:firstLine="0"/>
        <w:jc w:val="left"/>
        <w:rPr>
          <w:kern w:val="18"/>
          <w:szCs w:val="18"/>
          <w:lang w:val="en-CA"/>
        </w:rPr>
      </w:pPr>
      <w:r w:rsidRPr="00610646">
        <w:rPr>
          <w:rStyle w:val="FootnoteReference"/>
        </w:rPr>
        <w:footnoteRef/>
      </w:r>
      <w:r w:rsidRPr="00E91563">
        <w:rPr>
          <w:kern w:val="18"/>
          <w:szCs w:val="18"/>
        </w:rPr>
        <w:t xml:space="preserve"> United Nations, </w:t>
      </w:r>
      <w:r w:rsidRPr="00E91563">
        <w:rPr>
          <w:i/>
          <w:iCs/>
          <w:kern w:val="18"/>
          <w:szCs w:val="18"/>
        </w:rPr>
        <w:t>Treaty Series</w:t>
      </w:r>
      <w:r w:rsidRPr="00E91563">
        <w:rPr>
          <w:kern w:val="18"/>
          <w:szCs w:val="18"/>
        </w:rPr>
        <w:t>, vol. 1673, No. 28911.</w:t>
      </w:r>
    </w:p>
  </w:footnote>
  <w:footnote w:id="367">
    <w:p w14:paraId="2206591D" w14:textId="77777777" w:rsidR="007A11A6" w:rsidRPr="00AA309E" w:rsidRDefault="007A11A6" w:rsidP="009A153A">
      <w:pPr>
        <w:pStyle w:val="FootnoteText"/>
        <w:ind w:firstLine="0"/>
        <w:jc w:val="left"/>
        <w:rPr>
          <w:kern w:val="18"/>
          <w:szCs w:val="18"/>
          <w:lang w:val="en-CA"/>
        </w:rPr>
      </w:pPr>
      <w:r w:rsidRPr="00610646">
        <w:rPr>
          <w:rStyle w:val="FootnoteReference"/>
        </w:rPr>
        <w:footnoteRef/>
      </w:r>
      <w:r w:rsidRPr="00AA309E">
        <w:rPr>
          <w:kern w:val="18"/>
          <w:szCs w:val="18"/>
          <w:lang w:val="en-CA"/>
        </w:rPr>
        <w:t xml:space="preserve"> Ibid., vol. 2244, No. 39973.</w:t>
      </w:r>
    </w:p>
  </w:footnote>
  <w:footnote w:id="368">
    <w:p w14:paraId="68956DD2" w14:textId="77777777" w:rsidR="007A11A6" w:rsidRPr="00AA309E" w:rsidRDefault="007A11A6" w:rsidP="009A153A">
      <w:pPr>
        <w:pStyle w:val="FootnoteText"/>
        <w:ind w:firstLine="0"/>
        <w:jc w:val="left"/>
        <w:rPr>
          <w:kern w:val="18"/>
          <w:szCs w:val="18"/>
          <w:lang w:val="en-CA"/>
        </w:rPr>
      </w:pPr>
      <w:r w:rsidRPr="00610646">
        <w:rPr>
          <w:rStyle w:val="FootnoteReference"/>
        </w:rPr>
        <w:footnoteRef/>
      </w:r>
      <w:r w:rsidRPr="00AA309E">
        <w:rPr>
          <w:kern w:val="18"/>
          <w:szCs w:val="18"/>
          <w:lang w:val="en-CA"/>
        </w:rPr>
        <w:t xml:space="preserve"> Ibid., vol. 2256, No. 40214.</w:t>
      </w:r>
    </w:p>
  </w:footnote>
  <w:footnote w:id="369">
    <w:p w14:paraId="47A30BA6" w14:textId="77777777" w:rsidR="007A11A6" w:rsidRPr="00E91563" w:rsidRDefault="007A11A6" w:rsidP="009A153A">
      <w:pPr>
        <w:pStyle w:val="FootnoteText"/>
        <w:ind w:firstLine="0"/>
        <w:jc w:val="left"/>
        <w:rPr>
          <w:kern w:val="18"/>
          <w:szCs w:val="18"/>
          <w:lang w:val="en-CA"/>
        </w:rPr>
      </w:pPr>
      <w:r w:rsidRPr="00610646">
        <w:rPr>
          <w:rStyle w:val="FootnoteReference"/>
        </w:rPr>
        <w:footnoteRef/>
      </w:r>
      <w:r w:rsidRPr="00E91563">
        <w:rPr>
          <w:kern w:val="18"/>
          <w:szCs w:val="18"/>
        </w:rPr>
        <w:t xml:space="preserve"> See General Assembly resolution 73/284 of 1 March 2019.</w:t>
      </w:r>
    </w:p>
  </w:footnote>
  <w:footnote w:id="370">
    <w:p w14:paraId="5502AA88" w14:textId="5209D5F0"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General Assembly resolution </w:t>
      </w:r>
      <w:hyperlink r:id="rId75" w:history="1">
        <w:r w:rsidRPr="00E91563">
          <w:rPr>
            <w:rStyle w:val="Hyperlink"/>
            <w:kern w:val="18"/>
            <w:szCs w:val="18"/>
          </w:rPr>
          <w:t>70/1</w:t>
        </w:r>
      </w:hyperlink>
      <w:r w:rsidRPr="00E91563">
        <w:rPr>
          <w:kern w:val="18"/>
          <w:szCs w:val="18"/>
        </w:rPr>
        <w:t>.</w:t>
      </w:r>
    </w:p>
  </w:footnote>
  <w:footnote w:id="371">
    <w:p w14:paraId="62550B54" w14:textId="77777777"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United Nations, </w:t>
      </w:r>
      <w:r w:rsidRPr="00E91563">
        <w:rPr>
          <w:i/>
          <w:iCs/>
          <w:kern w:val="18"/>
          <w:szCs w:val="18"/>
        </w:rPr>
        <w:t>Treaty Series</w:t>
      </w:r>
      <w:r w:rsidRPr="00E91563">
        <w:rPr>
          <w:kern w:val="18"/>
          <w:szCs w:val="18"/>
        </w:rPr>
        <w:t>, Registration No.</w:t>
      </w:r>
      <w:r>
        <w:rPr>
          <w:kern w:val="18"/>
          <w:szCs w:val="18"/>
        </w:rPr>
        <w:t> </w:t>
      </w:r>
      <w:r w:rsidRPr="00E91563">
        <w:rPr>
          <w:kern w:val="18"/>
          <w:szCs w:val="18"/>
        </w:rPr>
        <w:t>I-54113.</w:t>
      </w:r>
    </w:p>
  </w:footnote>
  <w:footnote w:id="372">
    <w:p w14:paraId="73A0933E" w14:textId="5E61443C" w:rsidR="007A11A6" w:rsidRPr="00E91563" w:rsidRDefault="007A11A6" w:rsidP="009A153A">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Decision </w:t>
      </w:r>
      <w:hyperlink r:id="rId76" w:history="1">
        <w:r w:rsidRPr="00E91563">
          <w:rPr>
            <w:rStyle w:val="Hyperlink"/>
            <w:kern w:val="18"/>
            <w:szCs w:val="18"/>
          </w:rPr>
          <w:t>V/6</w:t>
        </w:r>
      </w:hyperlink>
      <w:r w:rsidRPr="00E91563">
        <w:rPr>
          <w:rStyle w:val="Hyperlink"/>
          <w:kern w:val="18"/>
          <w:szCs w:val="18"/>
        </w:rPr>
        <w:t>.</w:t>
      </w:r>
    </w:p>
  </w:footnote>
  <w:footnote w:id="373">
    <w:p w14:paraId="723DA9C8" w14:textId="77777777" w:rsidR="007A11A6" w:rsidRPr="00E91563" w:rsidRDefault="007A11A6" w:rsidP="004209DB">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F</w:t>
      </w:r>
      <w:r w:rsidRPr="00C703CE">
        <w:rPr>
          <w:kern w:val="18"/>
          <w:szCs w:val="18"/>
        </w:rPr>
        <w:t xml:space="preserve">AO. 2017. </w:t>
      </w:r>
      <w:r w:rsidRPr="00C703CE">
        <w:rPr>
          <w:i/>
          <w:iCs/>
          <w:kern w:val="18"/>
          <w:szCs w:val="18"/>
        </w:rPr>
        <w:t>Voluntary Guidelines for Sustainable Soil Management</w:t>
      </w:r>
      <w:r w:rsidRPr="00C703CE">
        <w:rPr>
          <w:kern w:val="18"/>
          <w:szCs w:val="18"/>
        </w:rPr>
        <w:t>. Food and Agriculture Organization of the United Nations. Rome.</w:t>
      </w:r>
      <w:r w:rsidRPr="00C703CE" w:rsidDel="00967EA4">
        <w:rPr>
          <w:kern w:val="18"/>
          <w:szCs w:val="18"/>
        </w:rPr>
        <w:t xml:space="preserve"> </w:t>
      </w:r>
    </w:p>
  </w:footnote>
  <w:footnote w:id="374">
    <w:p w14:paraId="42A74C07" w14:textId="77777777" w:rsidR="007A11A6" w:rsidRPr="00AA309E" w:rsidRDefault="007A11A6" w:rsidP="004209DB">
      <w:pPr>
        <w:pStyle w:val="FootnoteText"/>
        <w:suppressLineNumbers/>
        <w:suppressAutoHyphens/>
        <w:kinsoku w:val="0"/>
        <w:overflowPunct w:val="0"/>
        <w:autoSpaceDE w:val="0"/>
        <w:autoSpaceDN w:val="0"/>
        <w:ind w:firstLine="0"/>
        <w:jc w:val="left"/>
        <w:rPr>
          <w:kern w:val="18"/>
          <w:szCs w:val="18"/>
          <w:lang w:val="it-IT"/>
        </w:rPr>
      </w:pPr>
      <w:r w:rsidRPr="00610646">
        <w:rPr>
          <w:rStyle w:val="FootnoteReference"/>
        </w:rPr>
        <w:footnoteRef/>
      </w:r>
      <w:r w:rsidRPr="00E91563">
        <w:rPr>
          <w:kern w:val="18"/>
          <w:szCs w:val="18"/>
        </w:rPr>
        <w:t xml:space="preserve"> </w:t>
      </w:r>
      <w:r>
        <w:rPr>
          <w:kern w:val="18"/>
          <w:szCs w:val="18"/>
        </w:rPr>
        <w:t xml:space="preserve">FAO. 2015. </w:t>
      </w:r>
      <w:r w:rsidRPr="006A227D">
        <w:rPr>
          <w:i/>
          <w:iCs/>
          <w:kern w:val="18"/>
          <w:szCs w:val="18"/>
        </w:rPr>
        <w:t>Revised World Soil Charter.</w:t>
      </w:r>
      <w:r>
        <w:rPr>
          <w:kern w:val="18"/>
          <w:szCs w:val="18"/>
        </w:rPr>
        <w:t xml:space="preserve"> </w:t>
      </w:r>
      <w:r w:rsidRPr="003156B7">
        <w:rPr>
          <w:kern w:val="18"/>
          <w:szCs w:val="18"/>
        </w:rPr>
        <w:t xml:space="preserve">Food and Agriculture Organization of the United Nations. </w:t>
      </w:r>
      <w:r w:rsidRPr="00AA309E">
        <w:rPr>
          <w:kern w:val="18"/>
          <w:szCs w:val="18"/>
          <w:lang w:val="it-IT"/>
        </w:rPr>
        <w:t>Rome</w:t>
      </w:r>
      <w:r w:rsidRPr="00AA309E">
        <w:rPr>
          <w:lang w:val="it-IT"/>
        </w:rPr>
        <w:t xml:space="preserve">. </w:t>
      </w:r>
    </w:p>
  </w:footnote>
  <w:footnote w:id="375">
    <w:p w14:paraId="271C7173" w14:textId="77777777" w:rsidR="007A11A6" w:rsidRPr="00AA309E" w:rsidRDefault="007A11A6" w:rsidP="004209DB">
      <w:pPr>
        <w:pStyle w:val="FootnoteText"/>
        <w:suppressLineNumbers/>
        <w:suppressAutoHyphens/>
        <w:kinsoku w:val="0"/>
        <w:overflowPunct w:val="0"/>
        <w:autoSpaceDE w:val="0"/>
        <w:autoSpaceDN w:val="0"/>
        <w:ind w:firstLine="0"/>
        <w:jc w:val="left"/>
        <w:rPr>
          <w:kern w:val="18"/>
          <w:szCs w:val="18"/>
          <w:lang w:val="it-IT"/>
        </w:rPr>
      </w:pPr>
      <w:r w:rsidRPr="00610646">
        <w:rPr>
          <w:rStyle w:val="FootnoteReference"/>
        </w:rPr>
        <w:footnoteRef/>
      </w:r>
      <w:r>
        <w:rPr>
          <w:kern w:val="18"/>
          <w:szCs w:val="18"/>
        </w:rPr>
        <w:t xml:space="preserve"> </w:t>
      </w:r>
      <w:r w:rsidRPr="003156B7">
        <w:rPr>
          <w:kern w:val="18"/>
          <w:szCs w:val="18"/>
        </w:rPr>
        <w:t>FAO</w:t>
      </w:r>
      <w:r>
        <w:rPr>
          <w:kern w:val="18"/>
          <w:szCs w:val="18"/>
        </w:rPr>
        <w:t xml:space="preserve"> &amp; WHO.</w:t>
      </w:r>
      <w:r w:rsidRPr="003156B7">
        <w:rPr>
          <w:kern w:val="18"/>
          <w:szCs w:val="18"/>
        </w:rPr>
        <w:t xml:space="preserve"> 201</w:t>
      </w:r>
      <w:r>
        <w:rPr>
          <w:kern w:val="18"/>
          <w:szCs w:val="18"/>
        </w:rPr>
        <w:t>4</w:t>
      </w:r>
      <w:r w:rsidRPr="003156B7">
        <w:rPr>
          <w:kern w:val="18"/>
          <w:szCs w:val="18"/>
        </w:rPr>
        <w:t xml:space="preserve">. </w:t>
      </w:r>
      <w:r w:rsidRPr="006A227D">
        <w:rPr>
          <w:i/>
          <w:iCs/>
          <w:kern w:val="18"/>
          <w:szCs w:val="18"/>
        </w:rPr>
        <w:t>International Code of Conduct on Pesticide Management.</w:t>
      </w:r>
      <w:r w:rsidRPr="003156B7">
        <w:rPr>
          <w:kern w:val="18"/>
          <w:szCs w:val="18"/>
        </w:rPr>
        <w:t xml:space="preserve"> Food and Agriculture Organization of the United Nations</w:t>
      </w:r>
      <w:r>
        <w:rPr>
          <w:kern w:val="18"/>
          <w:szCs w:val="18"/>
        </w:rPr>
        <w:t xml:space="preserve"> and the </w:t>
      </w:r>
      <w:r>
        <w:t>World Health Organization</w:t>
      </w:r>
      <w:r w:rsidRPr="003156B7">
        <w:rPr>
          <w:kern w:val="18"/>
          <w:szCs w:val="18"/>
        </w:rPr>
        <w:t xml:space="preserve">. </w:t>
      </w:r>
      <w:r w:rsidRPr="00AA309E">
        <w:rPr>
          <w:kern w:val="18"/>
          <w:szCs w:val="18"/>
          <w:lang w:val="it-IT"/>
        </w:rPr>
        <w:t xml:space="preserve">Rome. </w:t>
      </w:r>
    </w:p>
  </w:footnote>
  <w:footnote w:id="376">
    <w:p w14:paraId="09391881" w14:textId="77777777" w:rsidR="007A11A6" w:rsidRPr="00E91563" w:rsidRDefault="007A11A6" w:rsidP="004209DB">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w:t>
      </w:r>
      <w:r>
        <w:t xml:space="preserve">FAO. 2019. </w:t>
      </w:r>
      <w:r w:rsidRPr="006A227D">
        <w:rPr>
          <w:i/>
          <w:iCs/>
        </w:rPr>
        <w:t>The International Code of Conduct for the Sustainable Use and Management of Fertilizers.</w:t>
      </w:r>
      <w:r>
        <w:t xml:space="preserve"> </w:t>
      </w:r>
      <w:r w:rsidRPr="003156B7">
        <w:rPr>
          <w:kern w:val="18"/>
          <w:szCs w:val="18"/>
        </w:rPr>
        <w:t xml:space="preserve">Food and Agriculture Organization of the United Nations. </w:t>
      </w:r>
      <w:r>
        <w:t xml:space="preserve">Rome. </w:t>
      </w:r>
    </w:p>
  </w:footnote>
  <w:footnote w:id="377">
    <w:p w14:paraId="6E6DCA87" w14:textId="77777777" w:rsidR="007A11A6" w:rsidRPr="00E91563" w:rsidRDefault="007A11A6" w:rsidP="004209DB">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w:t>
      </w:r>
      <w:r>
        <w:t xml:space="preserve">FAO. 2022. </w:t>
      </w:r>
      <w:r w:rsidRPr="006A227D">
        <w:rPr>
          <w:i/>
          <w:iCs/>
        </w:rPr>
        <w:t>Voluntary Guidelines on the Responsible Governance of Tenure of Land, Fisheries and Forests in the Context of National Food Security.</w:t>
      </w:r>
      <w:r>
        <w:t xml:space="preserve"> First revision. Rome.</w:t>
      </w:r>
      <w:r w:rsidRPr="00E91563">
        <w:rPr>
          <w:kern w:val="18"/>
          <w:szCs w:val="18"/>
        </w:rPr>
        <w:t xml:space="preserve"> </w:t>
      </w:r>
    </w:p>
  </w:footnote>
  <w:footnote w:id="378">
    <w:p w14:paraId="04FF89B1" w14:textId="77777777" w:rsidR="007A11A6" w:rsidRPr="00E91563" w:rsidRDefault="007A11A6" w:rsidP="004209DB">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4539EA">
        <w:rPr>
          <w:kern w:val="18"/>
          <w:szCs w:val="18"/>
        </w:rPr>
        <w:t xml:space="preserve">IPBES (2019): </w:t>
      </w:r>
      <w:r w:rsidRPr="00AA309E">
        <w:rPr>
          <w:i/>
          <w:iCs/>
          <w:kern w:val="18"/>
          <w:szCs w:val="18"/>
        </w:rPr>
        <w:t>Global assessment report on biodiversity and ecosystem services</w:t>
      </w:r>
      <w:r w:rsidRPr="004539EA">
        <w:rPr>
          <w:kern w:val="18"/>
          <w:szCs w:val="18"/>
        </w:rPr>
        <w:t xml:space="preserve"> </w:t>
      </w:r>
      <w:r w:rsidRPr="00AA309E">
        <w:rPr>
          <w:i/>
          <w:iCs/>
          <w:kern w:val="18"/>
          <w:szCs w:val="18"/>
        </w:rPr>
        <w:t>of the Intergovernmental Science-Policy Platform on Biodiversity and Ecosystem Services</w:t>
      </w:r>
      <w:r w:rsidRPr="004539EA">
        <w:rPr>
          <w:kern w:val="18"/>
          <w:szCs w:val="18"/>
        </w:rPr>
        <w:t xml:space="preserve">. IPBES secretariat, Bonn, Germany. </w:t>
      </w:r>
    </w:p>
  </w:footnote>
  <w:footnote w:id="379">
    <w:p w14:paraId="5A520D76" w14:textId="77777777" w:rsidR="007A11A6" w:rsidRPr="00E91563" w:rsidRDefault="007A11A6" w:rsidP="004209DB">
      <w:pPr>
        <w:pStyle w:val="FootnoteText"/>
        <w:suppressLineNumbers/>
        <w:suppressAutoHyphens/>
        <w:kinsoku w:val="0"/>
        <w:overflowPunct w:val="0"/>
        <w:autoSpaceDE w:val="0"/>
        <w:autoSpaceDN w:val="0"/>
        <w:ind w:firstLine="0"/>
        <w:jc w:val="left"/>
        <w:rPr>
          <w:kern w:val="18"/>
          <w:szCs w:val="18"/>
        </w:rPr>
      </w:pPr>
      <w:r w:rsidRPr="00610646">
        <w:rPr>
          <w:rStyle w:val="FootnoteReference"/>
        </w:rPr>
        <w:footnoteRef/>
      </w:r>
      <w:r w:rsidRPr="00E91563">
        <w:rPr>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380">
    <w:p w14:paraId="18DB509F" w14:textId="548388CA" w:rsidR="007A11A6" w:rsidRPr="00E91563" w:rsidRDefault="007A11A6" w:rsidP="004209DB">
      <w:pPr>
        <w:keepLines/>
        <w:suppressLineNumbers/>
        <w:suppressAutoHyphens/>
        <w:kinsoku w:val="0"/>
        <w:overflowPunct w:val="0"/>
        <w:autoSpaceDE w:val="0"/>
        <w:autoSpaceDN w:val="0"/>
        <w:jc w:val="left"/>
        <w:rPr>
          <w:kern w:val="18"/>
          <w:sz w:val="18"/>
          <w:szCs w:val="18"/>
          <w:lang w:eastAsia="ja-JP"/>
        </w:rPr>
      </w:pPr>
      <w:r w:rsidRPr="00610646">
        <w:rPr>
          <w:rStyle w:val="FootnoteReference"/>
        </w:rPr>
        <w:footnoteRef/>
      </w:r>
      <w:r w:rsidRPr="00E91563">
        <w:rPr>
          <w:kern w:val="18"/>
          <w:sz w:val="18"/>
          <w:szCs w:val="18"/>
        </w:rPr>
        <w:t xml:space="preserve"> See General Assembly resolution</w:t>
      </w:r>
      <w:r>
        <w:rPr>
          <w:kern w:val="18"/>
          <w:sz w:val="18"/>
          <w:szCs w:val="18"/>
        </w:rPr>
        <w:t xml:space="preserve"> </w:t>
      </w:r>
      <w:hyperlink r:id="rId77" w:history="1">
        <w:r w:rsidRPr="00BD07D3">
          <w:rPr>
            <w:rStyle w:val="Hyperlink"/>
            <w:kern w:val="18"/>
            <w:szCs w:val="18"/>
          </w:rPr>
          <w:t>68/232</w:t>
        </w:r>
      </w:hyperlink>
      <w:r w:rsidRPr="00E91563">
        <w:rPr>
          <w:kern w:val="18"/>
          <w:sz w:val="18"/>
          <w:szCs w:val="18"/>
        </w:rPr>
        <w:t xml:space="preserve"> of 20 December 2013 on World Soil Day and International Year of Soils.</w:t>
      </w:r>
    </w:p>
  </w:footnote>
  <w:footnote w:id="381">
    <w:p w14:paraId="30B094B1" w14:textId="77777777" w:rsidR="007A11A6" w:rsidRPr="002A257B" w:rsidRDefault="007A11A6" w:rsidP="004209DB">
      <w:pPr>
        <w:pStyle w:val="FootnoteText"/>
        <w:ind w:firstLine="0"/>
        <w:rPr>
          <w:highlight w:val="yellow"/>
        </w:rPr>
      </w:pPr>
      <w:r w:rsidRPr="00610646">
        <w:rPr>
          <w:rStyle w:val="FootnoteReference"/>
        </w:rPr>
        <w:footnoteRef/>
      </w:r>
      <w:r w:rsidRPr="002A257B">
        <w:t xml:space="preserve"> The term </w:t>
      </w:r>
      <w:r>
        <w:t>“</w:t>
      </w:r>
      <w:r w:rsidRPr="002A257B">
        <w:t>pedodiversity</w:t>
      </w:r>
      <w:r>
        <w:t>”</w:t>
      </w:r>
      <w:r w:rsidRPr="002A257B">
        <w:t xml:space="preserve"> and many tools for studying pedodiversity were adapted from biology. Pedodiversity, for example, can be measured just as biodiversity is measured by means of special indices showing the abundance of species and the taxonomic distances between them. A set of mathematical methods, both parametric and non-parametric, can be applied to quantify soil spatial heterogeneity</w:t>
      </w:r>
    </w:p>
  </w:footnote>
  <w:footnote w:id="382">
    <w:p w14:paraId="28C2216F" w14:textId="77777777" w:rsidR="004678BE" w:rsidRPr="00FF12AC" w:rsidRDefault="004678BE" w:rsidP="00FF12AC">
      <w:pPr>
        <w:spacing w:after="60"/>
        <w:rPr>
          <w:rFonts w:asciiTheme="majorBidi" w:hAnsiTheme="majorBidi" w:cstheme="majorBidi"/>
        </w:rPr>
      </w:pPr>
      <w:r w:rsidRPr="00610646">
        <w:rPr>
          <w:rStyle w:val="FootnoteReference"/>
          <w:rFonts w:eastAsiaTheme="majorEastAsia"/>
        </w:rPr>
        <w:footnoteRef/>
      </w:r>
      <w:r>
        <w:t xml:space="preserve"> </w:t>
      </w:r>
      <w:r w:rsidRPr="00FF12AC">
        <w:rPr>
          <w:rFonts w:asciiTheme="majorBidi" w:hAnsiTheme="majorBidi" w:cstheme="majorBidi"/>
          <w:sz w:val="18"/>
          <w:szCs w:val="18"/>
        </w:rPr>
        <w:t xml:space="preserve">IPBES (2019): </w:t>
      </w:r>
      <w:r w:rsidRPr="00FF12AC">
        <w:rPr>
          <w:rFonts w:asciiTheme="majorBidi" w:hAnsiTheme="majorBidi" w:cstheme="majorBidi"/>
          <w:i/>
          <w:iCs/>
          <w:sz w:val="18"/>
          <w:szCs w:val="18"/>
        </w:rPr>
        <w:t>Global assessment report on biodiversity and ecosystem services of the Intergovernmental Science-Policy Platform on Biodiversity and Ecosystem Services</w:t>
      </w:r>
      <w:r w:rsidRPr="00FF12AC">
        <w:rPr>
          <w:rFonts w:asciiTheme="majorBidi" w:hAnsiTheme="majorBidi" w:cstheme="majorBidi"/>
          <w:sz w:val="18"/>
          <w:szCs w:val="18"/>
        </w:rPr>
        <w:t>. IPBES secretariat, Bonn, Germany.</w:t>
      </w:r>
      <w:r w:rsidRPr="00FF12AC">
        <w:rPr>
          <w:rFonts w:asciiTheme="majorBidi" w:hAnsiTheme="majorBidi" w:cstheme="majorBidi"/>
          <w:strike/>
          <w:sz w:val="18"/>
          <w:szCs w:val="18"/>
        </w:rPr>
        <w:t xml:space="preserve"> </w:t>
      </w:r>
    </w:p>
  </w:footnote>
  <w:footnote w:id="383">
    <w:p w14:paraId="2F93E53B" w14:textId="77777777" w:rsidR="004678BE" w:rsidRPr="0086249D" w:rsidRDefault="004678BE" w:rsidP="00CE7BA9">
      <w:pPr>
        <w:pStyle w:val="FootnoteText"/>
        <w:ind w:firstLine="0"/>
        <w:jc w:val="left"/>
        <w:rPr>
          <w:kern w:val="18"/>
          <w:szCs w:val="18"/>
          <w:lang w:val="it-IT"/>
        </w:rPr>
      </w:pPr>
      <w:r w:rsidRPr="00610646">
        <w:rPr>
          <w:rStyle w:val="FootnoteReference"/>
        </w:rPr>
        <w:footnoteRef/>
      </w:r>
      <w:r w:rsidRPr="0086249D">
        <w:rPr>
          <w:kern w:val="18"/>
          <w:szCs w:val="18"/>
          <w:lang w:val="it-IT"/>
        </w:rPr>
        <w:t xml:space="preserve"> CBD/SBSTTA/24/4/Rev.1, annex I, sect. VI.</w:t>
      </w:r>
    </w:p>
  </w:footnote>
  <w:footnote w:id="384">
    <w:p w14:paraId="57CDDC34" w14:textId="77777777" w:rsidR="004678BE" w:rsidRDefault="004678BE" w:rsidP="00CE7BA9">
      <w:pPr>
        <w:pStyle w:val="FootnoteText"/>
        <w:ind w:firstLine="0"/>
        <w:jc w:val="left"/>
        <w:rPr>
          <w:kern w:val="18"/>
          <w:szCs w:val="18"/>
        </w:rPr>
      </w:pPr>
      <w:r w:rsidRPr="00610646">
        <w:rPr>
          <w:rStyle w:val="FootnoteReference"/>
        </w:rPr>
        <w:footnoteRef/>
      </w:r>
      <w:r>
        <w:rPr>
          <w:kern w:val="18"/>
          <w:szCs w:val="18"/>
        </w:rPr>
        <w:t xml:space="preserve"> </w:t>
      </w:r>
      <w:r w:rsidRPr="0086249D">
        <w:rPr>
          <w:kern w:val="18"/>
          <w:szCs w:val="18"/>
          <w:lang w:val="it-IT"/>
        </w:rPr>
        <w:t xml:space="preserve">CBD/SBSTTA/24/4/Rev.1, </w:t>
      </w:r>
      <w:r>
        <w:rPr>
          <w:kern w:val="18"/>
          <w:szCs w:val="18"/>
        </w:rPr>
        <w:t>, annex I.</w:t>
      </w:r>
    </w:p>
  </w:footnote>
  <w:footnote w:id="385">
    <w:p w14:paraId="0F859F15" w14:textId="77777777" w:rsidR="004678BE" w:rsidRDefault="004678BE" w:rsidP="00CE7BA9">
      <w:pPr>
        <w:pStyle w:val="FootnoteText"/>
        <w:ind w:firstLine="0"/>
        <w:jc w:val="left"/>
        <w:rPr>
          <w:kern w:val="18"/>
          <w:szCs w:val="18"/>
        </w:rPr>
      </w:pPr>
      <w:r w:rsidRPr="00610646">
        <w:rPr>
          <w:rStyle w:val="FootnoteReference"/>
        </w:rPr>
        <w:footnoteRef/>
      </w:r>
      <w:r>
        <w:rPr>
          <w:kern w:val="18"/>
          <w:szCs w:val="18"/>
        </w:rPr>
        <w:t xml:space="preserve"> Ibid., annex I, sect. I.</w:t>
      </w:r>
    </w:p>
  </w:footnote>
  <w:footnote w:id="386">
    <w:p w14:paraId="14349EE1" w14:textId="552382CD" w:rsidR="004678BE" w:rsidRPr="0086249D" w:rsidRDefault="004678BE" w:rsidP="00CE7BA9">
      <w:pPr>
        <w:pStyle w:val="FootnoteText"/>
        <w:ind w:firstLine="0"/>
        <w:rPr>
          <w:lang w:val="en-US"/>
        </w:rPr>
      </w:pPr>
      <w:r w:rsidRPr="00610646">
        <w:rPr>
          <w:rStyle w:val="FootnoteReference"/>
        </w:rPr>
        <w:footnoteRef/>
      </w:r>
      <w:r>
        <w:t xml:space="preserve"> </w:t>
      </w:r>
      <w:hyperlink r:id="rId78" w:history="1">
        <w:r w:rsidRPr="004B3280">
          <w:rPr>
            <w:rStyle w:val="Hyperlink"/>
          </w:rPr>
          <w:t>https://www.cbd.int/doc/c/2074/26e7/a135b1b57dabe8e8ed669324/synbio-ahteg-2019-01-03-en.pdf</w:t>
        </w:r>
      </w:hyperlink>
      <w:r>
        <w:t xml:space="preserve"> </w:t>
      </w:r>
    </w:p>
  </w:footnote>
  <w:footnote w:id="387">
    <w:p w14:paraId="4908D4CB" w14:textId="77777777" w:rsidR="005B203B" w:rsidRDefault="005B203B" w:rsidP="004342E7">
      <w:pPr>
        <w:pStyle w:val="FootnoteText"/>
        <w:ind w:firstLine="0"/>
        <w:rPr>
          <w:lang w:val="en-CA"/>
        </w:rPr>
      </w:pPr>
      <w:r w:rsidRPr="00610646">
        <w:rPr>
          <w:rStyle w:val="FootnoteReference"/>
        </w:rPr>
        <w:footnoteRef/>
      </w:r>
      <w:r w:rsidRPr="00246BEA">
        <w:t xml:space="preserve"> </w:t>
      </w:r>
      <w:r w:rsidRPr="00246BEA">
        <w:rPr>
          <w:lang w:val="en-CA"/>
        </w:rPr>
        <w:t>Th</w:t>
      </w:r>
      <w:r w:rsidRPr="00DC5ED5">
        <w:rPr>
          <w:lang w:val="en-CA"/>
        </w:rPr>
        <w:t xml:space="preserve">e list contained in </w:t>
      </w:r>
      <w:r>
        <w:rPr>
          <w:lang w:val="en-CA"/>
        </w:rPr>
        <w:t>this table</w:t>
      </w:r>
      <w:r w:rsidRPr="00DC5ED5">
        <w:rPr>
          <w:lang w:val="en-CA"/>
        </w:rPr>
        <w:t xml:space="preserve"> will be updated in accordance with the request</w:t>
      </w:r>
      <w:r>
        <w:rPr>
          <w:lang w:val="en-CA"/>
        </w:rPr>
        <w:t>s</w:t>
      </w:r>
      <w:r w:rsidRPr="00DC5ED5">
        <w:rPr>
          <w:lang w:val="en-CA"/>
        </w:rPr>
        <w:t xml:space="preserve"> in paragraph</w:t>
      </w:r>
      <w:r>
        <w:rPr>
          <w:lang w:val="en-CA"/>
        </w:rPr>
        <w:t>s</w:t>
      </w:r>
      <w:r w:rsidRPr="00DC5ED5">
        <w:rPr>
          <w:lang w:val="en-CA"/>
        </w:rPr>
        <w:t xml:space="preserve"> 4</w:t>
      </w:r>
      <w:r>
        <w:rPr>
          <w:lang w:val="en-CA"/>
        </w:rPr>
        <w:t xml:space="preserve"> and 5</w:t>
      </w:r>
      <w:r w:rsidRPr="00DC5ED5">
        <w:rPr>
          <w:lang w:val="en-CA"/>
        </w:rPr>
        <w:t xml:space="preserve"> of the present decision</w:t>
      </w:r>
      <w:r w:rsidRPr="00246BEA">
        <w:rPr>
          <w:lang w:val="en-CA"/>
        </w:rPr>
        <w:t>.</w:t>
      </w:r>
    </w:p>
  </w:footnote>
  <w:footnote w:id="388">
    <w:p w14:paraId="744ACBB3" w14:textId="77777777" w:rsidR="00FC752D" w:rsidRPr="0021489F" w:rsidRDefault="00FC752D" w:rsidP="004342E7">
      <w:pPr>
        <w:rPr>
          <w:rFonts w:asciiTheme="majorBidi" w:hAnsiTheme="majorBidi" w:cstheme="majorBidi"/>
        </w:rPr>
      </w:pPr>
      <w:r w:rsidRPr="00610646">
        <w:rPr>
          <w:rStyle w:val="FootnoteReference"/>
        </w:rPr>
        <w:footnoteRef/>
      </w:r>
      <w:r w:rsidRPr="00D307D8">
        <w:rPr>
          <w:rFonts w:asciiTheme="majorBidi" w:hAnsiTheme="majorBidi" w:cstheme="majorBidi"/>
        </w:rPr>
        <w:t xml:space="preserve"> </w:t>
      </w:r>
      <w:r w:rsidRPr="00D307D8">
        <w:rPr>
          <w:rFonts w:asciiTheme="majorBidi" w:hAnsiTheme="majorBidi" w:cstheme="majorBidi"/>
          <w:sz w:val="18"/>
          <w:szCs w:val="18"/>
        </w:rPr>
        <w:t>As per General Assembly resolution 76/238.</w:t>
      </w:r>
    </w:p>
  </w:footnote>
  <w:footnote w:id="389">
    <w:p w14:paraId="7475838A" w14:textId="77777777" w:rsidR="00FC752D" w:rsidRPr="00AA0E75" w:rsidRDefault="00FC752D" w:rsidP="004342E7">
      <w:pPr>
        <w:pStyle w:val="FootnoteText"/>
        <w:ind w:firstLine="0"/>
        <w:rPr>
          <w:szCs w:val="18"/>
        </w:rPr>
      </w:pPr>
      <w:r w:rsidRPr="00610646">
        <w:rPr>
          <w:rStyle w:val="FootnoteReference"/>
        </w:rPr>
        <w:footnoteRef/>
      </w:r>
      <w:r w:rsidRPr="00AA0E75">
        <w:rPr>
          <w:szCs w:val="18"/>
        </w:rPr>
        <w:t xml:space="preserve"> See General Assembly resolution 60/283, sect. IV.</w:t>
      </w:r>
    </w:p>
  </w:footnote>
  <w:footnote w:id="390">
    <w:p w14:paraId="5B444C87" w14:textId="77777777" w:rsidR="00FC752D" w:rsidRPr="00AA0E75" w:rsidRDefault="00FC752D" w:rsidP="004342E7">
      <w:pPr>
        <w:pStyle w:val="FootnoteText"/>
        <w:ind w:firstLine="0"/>
        <w:rPr>
          <w:szCs w:val="18"/>
        </w:rPr>
      </w:pPr>
      <w:r w:rsidRPr="00610646">
        <w:rPr>
          <w:rStyle w:val="FootnoteReference"/>
        </w:rPr>
        <w:footnoteRef/>
      </w:r>
      <w:r w:rsidRPr="00AA0E75">
        <w:rPr>
          <w:szCs w:val="18"/>
        </w:rPr>
        <w:t xml:space="preserve"> Decision 15/4</w:t>
      </w:r>
      <w:r>
        <w:rPr>
          <w:szCs w:val="18"/>
        </w:rPr>
        <w:t>, annex</w:t>
      </w:r>
      <w:r w:rsidRPr="00AA0E75">
        <w:rPr>
          <w:szCs w:val="18"/>
        </w:rPr>
        <w:t>.</w:t>
      </w:r>
    </w:p>
  </w:footnote>
  <w:footnote w:id="391">
    <w:p w14:paraId="6638B992" w14:textId="77777777" w:rsidR="00FC752D" w:rsidRPr="00124D9F" w:rsidRDefault="00FC752D" w:rsidP="00124D9F">
      <w:pPr>
        <w:pStyle w:val="NormalWeb"/>
        <w:spacing w:after="60"/>
      </w:pPr>
      <w:r w:rsidRPr="00610646">
        <w:rPr>
          <w:rStyle w:val="FootnoteReference"/>
        </w:rPr>
        <w:footnoteRef/>
      </w:r>
      <w:r w:rsidRPr="00136E7A">
        <w:rPr>
          <w:sz w:val="18"/>
          <w:szCs w:val="18"/>
        </w:rPr>
        <w:t xml:space="preserve"> As per United Nations General Assembly resolution 76/238.</w:t>
      </w:r>
    </w:p>
  </w:footnote>
  <w:footnote w:id="392">
    <w:p w14:paraId="17B07094" w14:textId="77777777" w:rsidR="004A28CC" w:rsidRPr="00F14EBD" w:rsidRDefault="004A28CC" w:rsidP="004472B4">
      <w:pPr>
        <w:pStyle w:val="FootnoteText"/>
        <w:ind w:firstLine="0"/>
        <w:rPr>
          <w:lang w:val="en-US"/>
        </w:rPr>
      </w:pPr>
      <w:r w:rsidRPr="00610646">
        <w:rPr>
          <w:rStyle w:val="FootnoteReference"/>
        </w:rPr>
        <w:footnoteRef/>
      </w:r>
      <w:r>
        <w:t xml:space="preserve"> </w:t>
      </w:r>
      <w:r w:rsidRPr="001B6774">
        <w:t xml:space="preserve">United Nations, </w:t>
      </w:r>
      <w:r w:rsidRPr="00F14EBD">
        <w:rPr>
          <w:i/>
          <w:iCs/>
        </w:rPr>
        <w:t>Treaty Series</w:t>
      </w:r>
      <w:r w:rsidRPr="001B6774">
        <w:t>, vol. 1760, No. 30619</w:t>
      </w:r>
      <w:r>
        <w:t>.</w:t>
      </w:r>
    </w:p>
  </w:footnote>
  <w:footnote w:id="393">
    <w:p w14:paraId="66DBAEB0" w14:textId="77777777" w:rsidR="004A28CC" w:rsidRPr="004472B4" w:rsidRDefault="004A28CC" w:rsidP="004472B4">
      <w:pPr>
        <w:pStyle w:val="FootnoteText"/>
        <w:ind w:firstLine="0"/>
        <w:rPr>
          <w:szCs w:val="18"/>
          <w:lang w:val="en-US"/>
        </w:rPr>
      </w:pPr>
      <w:r w:rsidRPr="00610646">
        <w:rPr>
          <w:rStyle w:val="FootnoteReference"/>
        </w:rPr>
        <w:footnoteRef/>
      </w:r>
      <w:r w:rsidRPr="004472B4">
        <w:rPr>
          <w:szCs w:val="18"/>
        </w:rPr>
        <w:t xml:space="preserve"> </w:t>
      </w:r>
      <w:r w:rsidRPr="004472B4">
        <w:rPr>
          <w:color w:val="000000"/>
          <w:szCs w:val="18"/>
        </w:rPr>
        <w:t xml:space="preserve">United Nations, </w:t>
      </w:r>
      <w:r w:rsidRPr="004472B4">
        <w:rPr>
          <w:i/>
          <w:iCs/>
          <w:color w:val="000000"/>
          <w:szCs w:val="18"/>
        </w:rPr>
        <w:t>Treaty Series</w:t>
      </w:r>
      <w:r w:rsidRPr="004472B4">
        <w:rPr>
          <w:iCs/>
          <w:color w:val="000000"/>
          <w:szCs w:val="18"/>
        </w:rPr>
        <w:t>,</w:t>
      </w:r>
      <w:r w:rsidRPr="004472B4">
        <w:rPr>
          <w:i/>
          <w:iCs/>
          <w:color w:val="000000"/>
          <w:szCs w:val="18"/>
        </w:rPr>
        <w:t xml:space="preserve"> </w:t>
      </w:r>
      <w:r w:rsidRPr="004472B4">
        <w:rPr>
          <w:color w:val="000000"/>
          <w:szCs w:val="18"/>
        </w:rPr>
        <w:t>vol. 2226, No. 30619.</w:t>
      </w:r>
    </w:p>
  </w:footnote>
  <w:footnote w:id="394">
    <w:p w14:paraId="14C97660" w14:textId="77777777" w:rsidR="004A28CC" w:rsidRPr="004472B4" w:rsidRDefault="004A28CC" w:rsidP="004472B4">
      <w:pPr>
        <w:pStyle w:val="FootnoteText"/>
        <w:ind w:firstLine="0"/>
        <w:rPr>
          <w:szCs w:val="18"/>
          <w:lang w:val="en-US"/>
        </w:rPr>
      </w:pPr>
      <w:r w:rsidRPr="00610646">
        <w:rPr>
          <w:rStyle w:val="FootnoteReference"/>
        </w:rPr>
        <w:footnoteRef/>
      </w:r>
      <w:r w:rsidRPr="004472B4">
        <w:rPr>
          <w:szCs w:val="18"/>
        </w:rPr>
        <w:t xml:space="preserve"> </w:t>
      </w:r>
      <w:r w:rsidRPr="004472B4">
        <w:rPr>
          <w:color w:val="000000"/>
          <w:szCs w:val="18"/>
        </w:rPr>
        <w:t xml:space="preserve">United Nations, </w:t>
      </w:r>
      <w:r w:rsidRPr="004472B4">
        <w:rPr>
          <w:i/>
          <w:iCs/>
          <w:color w:val="000000"/>
          <w:szCs w:val="18"/>
        </w:rPr>
        <w:t>Treaty Series</w:t>
      </w:r>
      <w:r w:rsidRPr="004472B4">
        <w:rPr>
          <w:iCs/>
          <w:color w:val="000000"/>
          <w:szCs w:val="18"/>
        </w:rPr>
        <w:t>,</w:t>
      </w:r>
      <w:r w:rsidRPr="004472B4">
        <w:rPr>
          <w:i/>
          <w:iCs/>
          <w:color w:val="000000"/>
          <w:szCs w:val="18"/>
        </w:rPr>
        <w:t xml:space="preserve"> </w:t>
      </w:r>
      <w:r w:rsidRPr="004472B4">
        <w:rPr>
          <w:color w:val="000000"/>
          <w:szCs w:val="18"/>
        </w:rPr>
        <w:t xml:space="preserve">vol. </w:t>
      </w:r>
      <w:r>
        <w:rPr>
          <w:color w:val="000000"/>
          <w:szCs w:val="18"/>
        </w:rPr>
        <w:t>3008</w:t>
      </w:r>
      <w:r w:rsidRPr="004472B4">
        <w:rPr>
          <w:color w:val="000000"/>
          <w:szCs w:val="18"/>
        </w:rPr>
        <w:t>, No. 30619</w:t>
      </w:r>
      <w:r w:rsidRPr="004472B4">
        <w:rPr>
          <w:szCs w:val="18"/>
        </w:rPr>
        <w:t>.</w:t>
      </w:r>
    </w:p>
  </w:footnote>
  <w:footnote w:id="395">
    <w:p w14:paraId="75DC2160" w14:textId="7A365957" w:rsidR="006D5797" w:rsidRPr="006D5797" w:rsidRDefault="006D5797" w:rsidP="008A3E5C">
      <w:pPr>
        <w:pStyle w:val="FootnoteText"/>
        <w:ind w:firstLine="0"/>
      </w:pPr>
      <w:r w:rsidRPr="00610646">
        <w:rPr>
          <w:rStyle w:val="FootnoteReference"/>
        </w:rPr>
        <w:footnoteRef/>
      </w:r>
      <w:r w:rsidRPr="00CA4F80">
        <w:t xml:space="preserve"> </w:t>
      </w:r>
      <w:r w:rsidRPr="00CA4F80">
        <w:rPr>
          <w:kern w:val="22"/>
        </w:rPr>
        <w:t xml:space="preserve">The report of </w:t>
      </w:r>
      <w:r w:rsidR="00817EF0">
        <w:rPr>
          <w:kern w:val="22"/>
        </w:rPr>
        <w:t xml:space="preserve">the first </w:t>
      </w:r>
      <w:r w:rsidRPr="00CA4F80">
        <w:rPr>
          <w:kern w:val="22"/>
        </w:rPr>
        <w:t xml:space="preserve">part </w:t>
      </w:r>
      <w:r w:rsidR="00817EF0">
        <w:rPr>
          <w:kern w:val="22"/>
        </w:rPr>
        <w:t xml:space="preserve">of the </w:t>
      </w:r>
      <w:r w:rsidR="001C6E8B">
        <w:rPr>
          <w:kern w:val="22"/>
        </w:rPr>
        <w:t xml:space="preserve">fifteenth </w:t>
      </w:r>
      <w:r w:rsidR="00817EF0">
        <w:rPr>
          <w:kern w:val="22"/>
        </w:rPr>
        <w:t xml:space="preserve">meeting </w:t>
      </w:r>
      <w:r w:rsidR="009A1743">
        <w:rPr>
          <w:kern w:val="22"/>
        </w:rPr>
        <w:t>was issued as</w:t>
      </w:r>
      <w:r w:rsidRPr="00CA4F80">
        <w:rPr>
          <w:kern w:val="22"/>
        </w:rPr>
        <w:t xml:space="preserve"> </w:t>
      </w:r>
      <w:r w:rsidRPr="009F2B08">
        <w:rPr>
          <w:kern w:val="22"/>
        </w:rPr>
        <w:t xml:space="preserve">document </w:t>
      </w:r>
      <w:r w:rsidRPr="00CA78BF">
        <w:rPr>
          <w:kern w:val="22"/>
        </w:rPr>
        <w:t>CBD/COP/15/4.</w:t>
      </w:r>
    </w:p>
  </w:footnote>
  <w:footnote w:id="396">
    <w:p w14:paraId="642CBCE6" w14:textId="4E5DCF02" w:rsidR="006903C1" w:rsidRPr="000A704A" w:rsidRDefault="006903C1" w:rsidP="004347CA">
      <w:pPr>
        <w:pStyle w:val="FootnoteText"/>
        <w:ind w:firstLine="0"/>
        <w:rPr>
          <w:lang w:val="en-US"/>
        </w:rPr>
      </w:pPr>
      <w:r w:rsidRPr="000A704A">
        <w:rPr>
          <w:rStyle w:val="FootnoteReference"/>
        </w:rPr>
        <w:t>2</w:t>
      </w:r>
      <w:r w:rsidRPr="000A704A">
        <w:t xml:space="preserve"> </w:t>
      </w:r>
      <w:r w:rsidR="004347CA" w:rsidRPr="000A704A">
        <w:rPr>
          <w:szCs w:val="18"/>
        </w:rPr>
        <w:t xml:space="preserve">See </w:t>
      </w:r>
      <w:hyperlink r:id="rId79" w:history="1">
        <w:r w:rsidR="004347CA" w:rsidRPr="000A704A">
          <w:rPr>
            <w:rStyle w:val="Hyperlink"/>
            <w:u w:val="none"/>
          </w:rPr>
          <w:t>www.cbd.int/conferences/2021-2022/cop-15/documents</w:t>
        </w:r>
      </w:hyperlink>
      <w:r w:rsidR="004347CA" w:rsidRPr="000A704A">
        <w:rPr>
          <w:rStyle w:val="Hyperlink"/>
          <w:szCs w:val="18"/>
          <w:u w:val="none"/>
        </w:rPr>
        <w:t xml:space="preserve">, </w:t>
      </w:r>
      <w:r w:rsidR="004347CA" w:rsidRPr="000A704A">
        <w:t>under “Statements”.</w:t>
      </w:r>
    </w:p>
  </w:footnote>
  <w:footnote w:id="397">
    <w:p w14:paraId="60EE8C5C" w14:textId="2E92502C" w:rsidR="009E7062" w:rsidRPr="009E7062" w:rsidRDefault="009E7062" w:rsidP="00901E72">
      <w:pPr>
        <w:pStyle w:val="FootnoteText"/>
        <w:ind w:firstLine="0"/>
        <w:rPr>
          <w:lang w:val="en-US"/>
        </w:rPr>
      </w:pPr>
      <w:r w:rsidRPr="000A704A">
        <w:rPr>
          <w:rStyle w:val="FootnoteReference"/>
        </w:rPr>
        <w:t>3</w:t>
      </w:r>
      <w:r w:rsidRPr="000A704A">
        <w:t xml:space="preserve"> </w:t>
      </w:r>
      <w:r w:rsidR="00901E72" w:rsidRPr="000A704A">
        <w:t>Vinod Mathur (India) was replaced by Naresh Pal Gangwar, and Andrea Meza Murillo (Costa Rica) was replaced by Eugenia Arguedas Montezuma.</w:t>
      </w:r>
    </w:p>
  </w:footnote>
  <w:footnote w:id="398">
    <w:p w14:paraId="42EC9254" w14:textId="510331CF" w:rsidR="000077DD" w:rsidRPr="000077DD" w:rsidRDefault="000077DD" w:rsidP="00703013">
      <w:pPr>
        <w:pStyle w:val="FootnoteText"/>
        <w:ind w:firstLine="0"/>
        <w:rPr>
          <w:lang w:val="en-US"/>
        </w:rPr>
      </w:pPr>
      <w:r w:rsidRPr="000A704A">
        <w:rPr>
          <w:rStyle w:val="FootnoteReference"/>
        </w:rPr>
        <w:t>4</w:t>
      </w:r>
      <w:r w:rsidRPr="000A704A">
        <w:t xml:space="preserve"> The adoption of each individual draft decision is reflected under the relevant section of the present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259F998" w:rsidR="00534681" w:rsidRPr="00B00053" w:rsidRDefault="00C7518F" w:rsidP="00B00053">
        <w:pPr>
          <w:pStyle w:val="Header"/>
          <w:tabs>
            <w:tab w:val="clear" w:pos="4320"/>
            <w:tab w:val="clear" w:pos="8640"/>
          </w:tabs>
          <w:kinsoku w:val="0"/>
          <w:overflowPunct w:val="0"/>
          <w:autoSpaceDE w:val="0"/>
          <w:autoSpaceDN w:val="0"/>
          <w:jc w:val="left"/>
          <w:rPr>
            <w:noProof/>
          </w:rPr>
        </w:pPr>
        <w:r w:rsidRPr="0024154F">
          <w:rPr>
            <w:noProof/>
          </w:rPr>
          <w:t>CBD/COP/15/17</w:t>
        </w:r>
      </w:p>
    </w:sdtContent>
  </w:sdt>
  <w:p w14:paraId="61C60697" w14:textId="71E3495C" w:rsidR="00534681" w:rsidRPr="00B00053" w:rsidRDefault="00534681" w:rsidP="004F04C4">
    <w:pPr>
      <w:pStyle w:val="Header"/>
      <w:tabs>
        <w:tab w:val="clear" w:pos="4320"/>
        <w:tab w:val="clear" w:pos="8640"/>
      </w:tabs>
      <w:kinsoku w:val="0"/>
      <w:overflowPunct w:val="0"/>
      <w:autoSpaceDE w:val="0"/>
      <w:autoSpaceDN w:val="0"/>
      <w:spacing w:after="24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6586C" w:rsidRPr="00B00053">
      <w:rPr>
        <w:noProof/>
      </w:rPr>
      <w:t>2</w:t>
    </w:r>
    <w:r w:rsidRPr="00B0005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D0D6" w14:textId="77777777" w:rsidR="00215B78" w:rsidRPr="00C02961" w:rsidRDefault="00C10F84" w:rsidP="00565516">
    <w:pPr>
      <w:ind w:left="1298"/>
      <w:jc w:val="right"/>
      <w:rPr>
        <w:szCs w:val="22"/>
      </w:rPr>
    </w:pPr>
    <w:sdt>
      <w:sdtPr>
        <w:rPr>
          <w:szCs w:val="22"/>
        </w:rPr>
        <w:alias w:val="Subject"/>
        <w:tag w:val=""/>
        <w:id w:val="-828363862"/>
        <w:dataBinding w:prefixMappings="xmlns:ns0='http://purl.org/dc/elements/1.1/' xmlns:ns1='http://schemas.openxmlformats.org/package/2006/metadata/core-properties' " w:xpath="/ns1:coreProperties[1]/ns0:subject[1]" w:storeItemID="{6C3C8BC8-F283-45AE-878A-BAB7291924A1}"/>
        <w:text/>
      </w:sdtPr>
      <w:sdtEndPr/>
      <w:sdtContent>
        <w:r w:rsidR="00215B78">
          <w:rPr>
            <w:szCs w:val="22"/>
          </w:rPr>
          <w:t>CBD/COP/15/17</w:t>
        </w:r>
      </w:sdtContent>
    </w:sdt>
  </w:p>
  <w:p w14:paraId="5B5766D3" w14:textId="3E29661F" w:rsidR="00215B78" w:rsidRPr="002913A2" w:rsidRDefault="00215B78" w:rsidP="00B52747">
    <w:pPr>
      <w:pStyle w:val="Header"/>
      <w:keepLines/>
      <w:suppressLineNumbers/>
      <w:tabs>
        <w:tab w:val="clear" w:pos="4320"/>
        <w:tab w:val="clear" w:pos="8640"/>
      </w:tabs>
      <w:suppressAutoHyphens/>
      <w:spacing w:after="240"/>
      <w:jc w:val="righ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6A4594D" w:rsidR="009505C9" w:rsidRPr="00B00053" w:rsidRDefault="00C7518F" w:rsidP="00B00053">
        <w:pPr>
          <w:pStyle w:val="Header"/>
          <w:tabs>
            <w:tab w:val="clear" w:pos="4320"/>
            <w:tab w:val="clear" w:pos="8640"/>
          </w:tabs>
          <w:kinsoku w:val="0"/>
          <w:overflowPunct w:val="0"/>
          <w:autoSpaceDE w:val="0"/>
          <w:autoSpaceDN w:val="0"/>
          <w:jc w:val="right"/>
          <w:rPr>
            <w:noProof/>
          </w:rPr>
        </w:pPr>
        <w:r w:rsidRPr="0024154F">
          <w:rPr>
            <w:noProof/>
          </w:rPr>
          <w:t>CBD/COP/15/17</w:t>
        </w:r>
      </w:p>
    </w:sdtContent>
  </w:sdt>
  <w:p w14:paraId="16137B8A" w14:textId="615FDE84" w:rsidR="009505C9" w:rsidRPr="00B00053" w:rsidRDefault="009505C9" w:rsidP="00161DB4">
    <w:pPr>
      <w:pStyle w:val="Header"/>
      <w:tabs>
        <w:tab w:val="clear" w:pos="4320"/>
        <w:tab w:val="clear" w:pos="8640"/>
      </w:tabs>
      <w:kinsoku w:val="0"/>
      <w:overflowPunct w:val="0"/>
      <w:autoSpaceDE w:val="0"/>
      <w:autoSpaceDN w:val="0"/>
      <w:spacing w:after="24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6586C" w:rsidRPr="00B00053">
      <w:rPr>
        <w:noProof/>
      </w:rPr>
      <w:t>3</w:t>
    </w:r>
    <w:r w:rsidRPr="00B0005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D399" w14:textId="52707E23" w:rsidR="00005A3C" w:rsidRDefault="00005A3C" w:rsidP="00F362C4">
    <w:pPr>
      <w:pStyle w:val="Header"/>
      <w:jc w:val="left"/>
      <w:rPr>
        <w:lang w:val="en-CA"/>
      </w:rPr>
    </w:pPr>
    <w:r>
      <w:rPr>
        <w:lang w:val="en-CA"/>
      </w:rPr>
      <w:t>CBD/COP/</w:t>
    </w:r>
    <w:r w:rsidR="003A325A">
      <w:rPr>
        <w:lang w:val="en-CA"/>
      </w:rPr>
      <w:t>15/17</w:t>
    </w:r>
  </w:p>
  <w:p w14:paraId="11FDA80E" w14:textId="0CE6F8C8" w:rsidR="00005A3C" w:rsidRDefault="00005A3C" w:rsidP="0075050F">
    <w:pPr>
      <w:pStyle w:val="Header"/>
      <w:spacing w:after="240"/>
      <w:jc w:val="left"/>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Pr>
        <w:lang w:val="en-CA"/>
      </w:rPr>
      <w:t>3</w:t>
    </w:r>
    <w:r w:rsidRPr="009C3D7D">
      <w:rPr>
        <w:noProof/>
        <w:lang w:val="en-C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9DD3" w14:textId="58481E73" w:rsidR="00005A3C" w:rsidRDefault="00005A3C" w:rsidP="001163F1">
    <w:pPr>
      <w:pStyle w:val="Header"/>
      <w:jc w:val="right"/>
      <w:rPr>
        <w:lang w:val="en-CA"/>
      </w:rPr>
    </w:pPr>
    <w:r>
      <w:rPr>
        <w:lang w:val="en-CA"/>
      </w:rPr>
      <w:t>CBD/COP/</w:t>
    </w:r>
    <w:r w:rsidR="00A84B73">
      <w:rPr>
        <w:lang w:val="en-CA"/>
      </w:rPr>
      <w:t>15/17</w:t>
    </w:r>
  </w:p>
  <w:p w14:paraId="3CAB5579" w14:textId="47A36470" w:rsidR="00005A3C" w:rsidRPr="009C3D7D" w:rsidRDefault="00005A3C" w:rsidP="0075050F">
    <w:pPr>
      <w:pStyle w:val="Header"/>
      <w:spacing w:after="240"/>
      <w:jc w:val="right"/>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Pr>
        <w:noProof/>
        <w:lang w:val="en-CA"/>
      </w:rPr>
      <w:t>23</w:t>
    </w:r>
    <w:r w:rsidRPr="009C3D7D">
      <w:rPr>
        <w:noProof/>
        <w:lang w:val="en-C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CF44" w14:textId="77777777" w:rsidR="00005A3C" w:rsidRPr="00ED1415" w:rsidRDefault="00005A3C" w:rsidP="00ED1415">
    <w:pPr>
      <w:pStyle w:val="Heade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483B" w14:textId="764235CE" w:rsidR="00FE6115" w:rsidRPr="00C02961" w:rsidRDefault="00C10F84"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EndPr/>
      <w:sdtContent>
        <w:r w:rsidR="00FE6115">
          <w:rPr>
            <w:szCs w:val="22"/>
          </w:rPr>
          <w:t>CBD/COP/15/17</w:t>
        </w:r>
      </w:sdtContent>
    </w:sdt>
  </w:p>
  <w:p w14:paraId="0E04BC81" w14:textId="77777777" w:rsidR="00FE6115" w:rsidRPr="00FF5A52" w:rsidRDefault="00FE6115" w:rsidP="00FF5A52">
    <w:pPr>
      <w:pStyle w:val="Header"/>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FCD1" w14:textId="41BAF1CF" w:rsidR="00FE6115" w:rsidRPr="00C02961" w:rsidRDefault="00C10F84"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EndPr/>
      <w:sdtContent>
        <w:r w:rsidR="00FE6115">
          <w:rPr>
            <w:szCs w:val="22"/>
          </w:rPr>
          <w:t>CBD/COP/15/17</w:t>
        </w:r>
      </w:sdtContent>
    </w:sdt>
  </w:p>
  <w:p w14:paraId="503DDC1B" w14:textId="68577895" w:rsidR="00FE6115" w:rsidRPr="002913A2" w:rsidRDefault="00FE6115" w:rsidP="00B52747">
    <w:pPr>
      <w:pStyle w:val="Header"/>
      <w:keepLines/>
      <w:suppressLineNumbers/>
      <w:tabs>
        <w:tab w:val="clear" w:pos="4320"/>
        <w:tab w:val="clear" w:pos="8640"/>
      </w:tabs>
      <w:suppressAutoHyphens/>
      <w:spacing w:after="240"/>
      <w:jc w:val="righ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09AD" w14:textId="77777777" w:rsidR="00982FED" w:rsidRPr="00C02961" w:rsidRDefault="00C10F84" w:rsidP="00FF5A52">
    <w:pPr>
      <w:jc w:val="left"/>
      <w:rPr>
        <w:szCs w:val="22"/>
      </w:rPr>
    </w:pPr>
    <w:sdt>
      <w:sdtPr>
        <w:rPr>
          <w:szCs w:val="22"/>
        </w:rPr>
        <w:alias w:val="Subject"/>
        <w:tag w:val=""/>
        <w:id w:val="2009016357"/>
        <w:dataBinding w:prefixMappings="xmlns:ns0='http://purl.org/dc/elements/1.1/' xmlns:ns1='http://schemas.openxmlformats.org/package/2006/metadata/core-properties' " w:xpath="/ns1:coreProperties[1]/ns0:subject[1]" w:storeItemID="{6C3C8BC8-F283-45AE-878A-BAB7291924A1}"/>
        <w:text/>
      </w:sdtPr>
      <w:sdtEndPr/>
      <w:sdtContent>
        <w:r w:rsidR="00982FED">
          <w:rPr>
            <w:szCs w:val="22"/>
          </w:rPr>
          <w:t>CBD/COP/15/17</w:t>
        </w:r>
      </w:sdtContent>
    </w:sdt>
  </w:p>
  <w:p w14:paraId="7FF909CF" w14:textId="77777777" w:rsidR="00982FED" w:rsidRPr="00FF5A52" w:rsidRDefault="00982FED" w:rsidP="00FF5A52">
    <w:pPr>
      <w:pStyle w:val="Header"/>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n-US"/>
      </w:rPr>
      <w:alias w:val="Subject"/>
      <w:tag w:val=""/>
      <w:id w:val="1531996536"/>
      <w:placeholder>
        <w:docPart w:val="2907B3E2C04E40E1AD329041C861F47E"/>
      </w:placeholder>
      <w:dataBinding w:prefixMappings="xmlns:ns0='http://purl.org/dc/elements/1.1/' xmlns:ns1='http://schemas.openxmlformats.org/package/2006/metadata/core-properties' " w:xpath="/ns1:coreProperties[1]/ns0:subject[1]" w:storeItemID="{6C3C8BC8-F283-45AE-878A-BAB7291924A1}"/>
      <w:text/>
    </w:sdtPr>
    <w:sdtEndPr/>
    <w:sdtContent>
      <w:p w14:paraId="27B84824" w14:textId="0F131312" w:rsidR="00963618" w:rsidRPr="006514DB" w:rsidRDefault="00963618" w:rsidP="00130003">
        <w:pPr>
          <w:jc w:val="left"/>
          <w:rPr>
            <w:noProof/>
            <w:kern w:val="22"/>
            <w:lang w:val="en-US"/>
          </w:rPr>
        </w:pPr>
        <w:r>
          <w:rPr>
            <w:noProof/>
            <w:kern w:val="22"/>
            <w:lang w:val="en-US"/>
          </w:rPr>
          <w:t>CBD/COP/15/17</w:t>
        </w:r>
      </w:p>
    </w:sdtContent>
  </w:sdt>
  <w:p w14:paraId="1ABA9899" w14:textId="23F85307" w:rsidR="00963618" w:rsidRPr="006514DB" w:rsidRDefault="00963618" w:rsidP="00EC587D">
    <w:pPr>
      <w:pStyle w:val="Header"/>
      <w:tabs>
        <w:tab w:val="clear" w:pos="4320"/>
        <w:tab w:val="clear" w:pos="8640"/>
      </w:tabs>
      <w:spacing w:after="240"/>
      <w:jc w:val="left"/>
      <w:rPr>
        <w:noProof/>
        <w:kern w:val="22"/>
        <w:lang w:val="en-US"/>
      </w:rPr>
    </w:pPr>
    <w:r w:rsidRPr="006514DB">
      <w:rPr>
        <w:noProof/>
        <w:kern w:val="22"/>
        <w:lang w:val="en-US"/>
      </w:rPr>
      <w:t xml:space="preserve">Page </w:t>
    </w:r>
    <w:r w:rsidRPr="003839D2">
      <w:rPr>
        <w:noProof/>
        <w:kern w:val="22"/>
      </w:rPr>
      <w:fldChar w:fldCharType="begin"/>
    </w:r>
    <w:r w:rsidRPr="006514DB">
      <w:rPr>
        <w:noProof/>
        <w:kern w:val="22"/>
        <w:lang w:val="en-US"/>
      </w:rPr>
      <w:instrText xml:space="preserve"> PAGE   \* MERGEFORMAT </w:instrText>
    </w:r>
    <w:r w:rsidRPr="003839D2">
      <w:rPr>
        <w:noProof/>
        <w:kern w:val="22"/>
      </w:rPr>
      <w:fldChar w:fldCharType="separate"/>
    </w:r>
    <w:r w:rsidRPr="006514DB">
      <w:rPr>
        <w:noProof/>
        <w:kern w:val="22"/>
        <w:lang w:val="en-US"/>
      </w:rPr>
      <w:t>2</w:t>
    </w:r>
    <w:r w:rsidRPr="003839D2">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473E"/>
    <w:multiLevelType w:val="hybridMultilevel"/>
    <w:tmpl w:val="92C4CF0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5E5CF3"/>
    <w:multiLevelType w:val="hybridMultilevel"/>
    <w:tmpl w:val="403242A0"/>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2E14"/>
    <w:multiLevelType w:val="hybridMultilevel"/>
    <w:tmpl w:val="5AFE48E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FD1DD0"/>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1"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2"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06DAD"/>
    <w:multiLevelType w:val="hybridMultilevel"/>
    <w:tmpl w:val="19764D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D0470DA">
      <w:start w:val="1"/>
      <w:numFmt w:val="lowerRoman"/>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7E42D3E"/>
    <w:multiLevelType w:val="hybridMultilevel"/>
    <w:tmpl w:val="8E5AAC42"/>
    <w:lvl w:ilvl="0" w:tplc="FFFFFFFF">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757D6E"/>
    <w:multiLevelType w:val="hybridMultilevel"/>
    <w:tmpl w:val="71A66FD0"/>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9" w15:restartNumberingAfterBreak="0">
    <w:nsid w:val="2D555BB3"/>
    <w:multiLevelType w:val="hybridMultilevel"/>
    <w:tmpl w:val="30E8911A"/>
    <w:lvl w:ilvl="0" w:tplc="DC86A94E">
      <w:start w:val="1"/>
      <w:numFmt w:val="decimal"/>
      <w:lvlText w:val="%1."/>
      <w:lvlJc w:val="left"/>
      <w:pPr>
        <w:ind w:left="720" w:hanging="360"/>
      </w:pPr>
      <w:rPr>
        <w:i w:val="0"/>
        <w:iCs/>
      </w:rPr>
    </w:lvl>
    <w:lvl w:ilvl="1" w:tplc="015210E6">
      <w:start w:val="1"/>
      <w:numFmt w:val="lowerLetter"/>
      <w:lvlText w:val="(%2)"/>
      <w:lvlJc w:val="left"/>
      <w:pPr>
        <w:ind w:left="1440" w:hanging="360"/>
      </w:pPr>
      <w:rPr>
        <w:rFonts w:hint="default"/>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2F370C65"/>
    <w:multiLevelType w:val="hybridMultilevel"/>
    <w:tmpl w:val="68201F22"/>
    <w:lvl w:ilvl="0" w:tplc="32FEA4F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9C1E3D"/>
    <w:multiLevelType w:val="hybridMultilevel"/>
    <w:tmpl w:val="662C2F56"/>
    <w:lvl w:ilvl="0" w:tplc="8D0470D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49288F"/>
    <w:multiLevelType w:val="hybridMultilevel"/>
    <w:tmpl w:val="8616829C"/>
    <w:lvl w:ilvl="0" w:tplc="FFFFFFFF">
      <w:start w:val="1"/>
      <w:numFmt w:val="decimal"/>
      <w:lvlText w:val="%1."/>
      <w:lvlJc w:val="left"/>
      <w:pPr>
        <w:ind w:left="720" w:hanging="360"/>
      </w:pPr>
    </w:lvl>
    <w:lvl w:ilvl="1" w:tplc="8D0470DA">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A7903BE"/>
    <w:multiLevelType w:val="hybridMultilevel"/>
    <w:tmpl w:val="C688C35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282B0E"/>
    <w:multiLevelType w:val="hybridMultilevel"/>
    <w:tmpl w:val="E690AF2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A85260"/>
    <w:multiLevelType w:val="hybridMultilevel"/>
    <w:tmpl w:val="FF842C9E"/>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3CE27D9C"/>
    <w:multiLevelType w:val="multilevel"/>
    <w:tmpl w:val="3D3A328A"/>
    <w:lvl w:ilvl="0">
      <w:start w:val="1"/>
      <w:numFmt w:val="lowerLetter"/>
      <w:lvlText w:val="(%1)"/>
      <w:lvlJc w:val="left"/>
      <w:pPr>
        <w:ind w:left="1211" w:hanging="360"/>
      </w:pPr>
      <w:rPr>
        <w:rFonts w:asciiTheme="majorBidi" w:eastAsia="Times New Roman" w:hAnsiTheme="majorBidi" w:cstheme="majorBidi"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437F15A9"/>
    <w:multiLevelType w:val="hybridMultilevel"/>
    <w:tmpl w:val="A5D2E766"/>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E8105F"/>
    <w:multiLevelType w:val="hybridMultilevel"/>
    <w:tmpl w:val="85E41C6E"/>
    <w:lvl w:ilvl="0" w:tplc="7A569CDE">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7084C39"/>
    <w:multiLevelType w:val="hybridMultilevel"/>
    <w:tmpl w:val="E4E4C1AE"/>
    <w:lvl w:ilvl="0" w:tplc="973C7066">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EC47DB"/>
    <w:multiLevelType w:val="hybridMultilevel"/>
    <w:tmpl w:val="D5166BEA"/>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4CF22076"/>
    <w:multiLevelType w:val="multilevel"/>
    <w:tmpl w:val="4CF220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9D7C9B"/>
    <w:multiLevelType w:val="hybridMultilevel"/>
    <w:tmpl w:val="55AC0A40"/>
    <w:lvl w:ilvl="0" w:tplc="069291EE">
      <w:start w:val="1"/>
      <w:numFmt w:val="lowerLetter"/>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6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8643CB"/>
    <w:multiLevelType w:val="hybridMultilevel"/>
    <w:tmpl w:val="1F9873B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585C0938"/>
    <w:multiLevelType w:val="hybridMultilevel"/>
    <w:tmpl w:val="87065BDE"/>
    <w:lvl w:ilvl="0" w:tplc="FFFFFFFF">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620D6AEB"/>
    <w:multiLevelType w:val="multilevel"/>
    <w:tmpl w:val="1DAE21E8"/>
    <w:lvl w:ilvl="0">
      <w:start w:val="1"/>
      <w:numFmt w:val="decimal"/>
      <w:pStyle w:val="Para1"/>
      <w:lvlText w:val="%1."/>
      <w:lvlJc w:val="left"/>
      <w:pPr>
        <w:tabs>
          <w:tab w:val="num" w:pos="72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68"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C30791"/>
    <w:multiLevelType w:val="hybridMultilevel"/>
    <w:tmpl w:val="E4A41F06"/>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650B1BD0"/>
    <w:multiLevelType w:val="hybridMultilevel"/>
    <w:tmpl w:val="85DA6A78"/>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1"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D5E5E13"/>
    <w:multiLevelType w:val="hybridMultilevel"/>
    <w:tmpl w:val="87065B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55565B"/>
    <w:multiLevelType w:val="hybridMultilevel"/>
    <w:tmpl w:val="0EA4FA9C"/>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3074022">
    <w:abstractNumId w:val="30"/>
  </w:num>
  <w:num w:numId="2" w16cid:durableId="783042772">
    <w:abstractNumId w:val="49"/>
  </w:num>
  <w:num w:numId="3" w16cid:durableId="1323658075">
    <w:abstractNumId w:val="73"/>
  </w:num>
  <w:num w:numId="4" w16cid:durableId="1836604486">
    <w:abstractNumId w:val="67"/>
  </w:num>
  <w:num w:numId="5" w16cid:durableId="97874375">
    <w:abstractNumId w:val="67"/>
  </w:num>
  <w:num w:numId="6" w16cid:durableId="978071511">
    <w:abstractNumId w:val="80"/>
  </w:num>
  <w:num w:numId="7" w16cid:durableId="1811434091">
    <w:abstractNumId w:val="59"/>
  </w:num>
  <w:num w:numId="8" w16cid:durableId="1672832697">
    <w:abstractNumId w:val="54"/>
  </w:num>
  <w:num w:numId="9" w16cid:durableId="845246783">
    <w:abstractNumId w:val="41"/>
  </w:num>
  <w:num w:numId="10" w16cid:durableId="1849099935">
    <w:abstractNumId w:val="15"/>
  </w:num>
  <w:num w:numId="11" w16cid:durableId="372314827">
    <w:abstractNumId w:val="12"/>
  </w:num>
  <w:num w:numId="12" w16cid:durableId="28187416">
    <w:abstractNumId w:val="28"/>
  </w:num>
  <w:num w:numId="13" w16cid:durableId="1401752722">
    <w:abstractNumId w:val="10"/>
  </w:num>
  <w:num w:numId="14" w16cid:durableId="1000545572">
    <w:abstractNumId w:val="44"/>
  </w:num>
  <w:num w:numId="15" w16cid:durableId="1930307605">
    <w:abstractNumId w:val="53"/>
  </w:num>
  <w:num w:numId="16" w16cid:durableId="302855522">
    <w:abstractNumId w:val="11"/>
  </w:num>
  <w:num w:numId="17" w16cid:durableId="290677664">
    <w:abstractNumId w:val="21"/>
  </w:num>
  <w:num w:numId="18" w16cid:durableId="869991676">
    <w:abstractNumId w:val="42"/>
  </w:num>
  <w:num w:numId="19" w16cid:durableId="1779792351">
    <w:abstractNumId w:val="47"/>
  </w:num>
  <w:num w:numId="20" w16cid:durableId="1454788445">
    <w:abstractNumId w:val="45"/>
  </w:num>
  <w:num w:numId="21" w16cid:durableId="1797674575">
    <w:abstractNumId w:val="8"/>
  </w:num>
  <w:num w:numId="22" w16cid:durableId="274019236">
    <w:abstractNumId w:val="27"/>
  </w:num>
  <w:num w:numId="23" w16cid:durableId="2064017816">
    <w:abstractNumId w:val="6"/>
  </w:num>
  <w:num w:numId="24" w16cid:durableId="1894610384">
    <w:abstractNumId w:val="78"/>
  </w:num>
  <w:num w:numId="25" w16cid:durableId="1148939127">
    <w:abstractNumId w:val="66"/>
  </w:num>
  <w:num w:numId="26" w16cid:durableId="116410990">
    <w:abstractNumId w:val="35"/>
  </w:num>
  <w:num w:numId="27" w16cid:durableId="7039478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3345305">
    <w:abstractNumId w:val="65"/>
  </w:num>
  <w:num w:numId="29" w16cid:durableId="161707278">
    <w:abstractNumId w:val="50"/>
  </w:num>
  <w:num w:numId="30" w16cid:durableId="1304850381">
    <w:abstractNumId w:val="79"/>
  </w:num>
  <w:num w:numId="31" w16cid:durableId="1741753885">
    <w:abstractNumId w:val="0"/>
    <w:lvlOverride w:ilvl="0">
      <w:startOverride w:val="1"/>
    </w:lvlOverride>
    <w:lvlOverride w:ilvl="1"/>
    <w:lvlOverride w:ilvl="2"/>
    <w:lvlOverride w:ilvl="3"/>
    <w:lvlOverride w:ilvl="4"/>
    <w:lvlOverride w:ilvl="5"/>
    <w:lvlOverride w:ilvl="6"/>
    <w:lvlOverride w:ilvl="7"/>
    <w:lvlOverride w:ilvl="8"/>
  </w:num>
  <w:num w:numId="32" w16cid:durableId="790510744">
    <w:abstractNumId w:val="77"/>
  </w:num>
  <w:num w:numId="33" w16cid:durableId="765346117">
    <w:abstractNumId w:val="76"/>
  </w:num>
  <w:num w:numId="34" w16cid:durableId="1586183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1316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3114939">
    <w:abstractNumId w:val="63"/>
  </w:num>
  <w:num w:numId="37" w16cid:durableId="18238917">
    <w:abstractNumId w:val="7"/>
  </w:num>
  <w:num w:numId="38" w16cid:durableId="338627064">
    <w:abstractNumId w:val="61"/>
  </w:num>
  <w:num w:numId="39" w16cid:durableId="745957314">
    <w:abstractNumId w:val="43"/>
  </w:num>
  <w:num w:numId="40" w16cid:durableId="1127091732">
    <w:abstractNumId w:val="33"/>
  </w:num>
  <w:num w:numId="41" w16cid:durableId="551965669">
    <w:abstractNumId w:val="32"/>
  </w:num>
  <w:num w:numId="42" w16cid:durableId="1153914005">
    <w:abstractNumId w:val="14"/>
  </w:num>
  <w:num w:numId="43" w16cid:durableId="1420519815">
    <w:abstractNumId w:val="62"/>
  </w:num>
  <w:num w:numId="44" w16cid:durableId="33702452">
    <w:abstractNumId w:val="40"/>
  </w:num>
  <w:num w:numId="45" w16cid:durableId="1137575951">
    <w:abstractNumId w:val="38"/>
  </w:num>
  <w:num w:numId="46" w16cid:durableId="11079987">
    <w:abstractNumId w:val="39"/>
  </w:num>
  <w:num w:numId="47" w16cid:durableId="2144544845">
    <w:abstractNumId w:val="16"/>
  </w:num>
  <w:num w:numId="48" w16cid:durableId="615796167">
    <w:abstractNumId w:val="31"/>
  </w:num>
  <w:num w:numId="49" w16cid:durableId="1015808354">
    <w:abstractNumId w:val="25"/>
  </w:num>
  <w:num w:numId="50" w16cid:durableId="1584726086">
    <w:abstractNumId w:val="4"/>
  </w:num>
  <w:num w:numId="51" w16cid:durableId="848442996">
    <w:abstractNumId w:val="29"/>
  </w:num>
  <w:num w:numId="52" w16cid:durableId="433980209">
    <w:abstractNumId w:val="26"/>
  </w:num>
  <w:num w:numId="53" w16cid:durableId="1743941043">
    <w:abstractNumId w:val="52"/>
  </w:num>
  <w:num w:numId="54" w16cid:durableId="1726175185">
    <w:abstractNumId w:val="2"/>
  </w:num>
  <w:num w:numId="55" w16cid:durableId="645815555">
    <w:abstractNumId w:val="1"/>
  </w:num>
  <w:num w:numId="56" w16cid:durableId="1626038679">
    <w:abstractNumId w:val="3"/>
  </w:num>
  <w:num w:numId="57" w16cid:durableId="1826773845">
    <w:abstractNumId w:val="70"/>
  </w:num>
  <w:num w:numId="58" w16cid:durableId="369379350">
    <w:abstractNumId w:val="69"/>
  </w:num>
  <w:num w:numId="59" w16cid:durableId="578176057">
    <w:abstractNumId w:val="58"/>
  </w:num>
  <w:num w:numId="60" w16cid:durableId="2019427268">
    <w:abstractNumId w:val="48"/>
  </w:num>
  <w:num w:numId="61" w16cid:durableId="73011245">
    <w:abstractNumId w:val="34"/>
  </w:num>
  <w:num w:numId="62" w16cid:durableId="11996600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5422646">
    <w:abstractNumId w:val="6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07630199">
    <w:abstractNumId w:val="56"/>
  </w:num>
  <w:num w:numId="65" w16cid:durableId="862213107">
    <w:abstractNumId w:val="74"/>
  </w:num>
  <w:num w:numId="66" w16cid:durableId="166209745">
    <w:abstractNumId w:val="23"/>
  </w:num>
  <w:num w:numId="67" w16cid:durableId="790169973">
    <w:abstractNumId w:val="37"/>
  </w:num>
  <w:num w:numId="68" w16cid:durableId="936909279">
    <w:abstractNumId w:val="46"/>
  </w:num>
  <w:num w:numId="69" w16cid:durableId="930506562">
    <w:abstractNumId w:val="24"/>
  </w:num>
  <w:num w:numId="70" w16cid:durableId="946699535">
    <w:abstractNumId w:val="13"/>
  </w:num>
  <w:num w:numId="71" w16cid:durableId="1925920379">
    <w:abstractNumId w:val="71"/>
  </w:num>
  <w:num w:numId="72" w16cid:durableId="933242455">
    <w:abstractNumId w:val="57"/>
  </w:num>
  <w:num w:numId="73" w16cid:durableId="2145806926">
    <w:abstractNumId w:val="17"/>
  </w:num>
  <w:num w:numId="74" w16cid:durableId="1708720944">
    <w:abstractNumId w:val="51"/>
  </w:num>
  <w:num w:numId="75" w16cid:durableId="1999723433">
    <w:abstractNumId w:val="60"/>
  </w:num>
  <w:num w:numId="76" w16cid:durableId="1305550471">
    <w:abstractNumId w:val="68"/>
  </w:num>
  <w:num w:numId="77" w16cid:durableId="669141497">
    <w:abstractNumId w:val="22"/>
  </w:num>
  <w:num w:numId="78" w16cid:durableId="1553614420">
    <w:abstractNumId w:val="64"/>
  </w:num>
  <w:num w:numId="79" w16cid:durableId="662003282">
    <w:abstractNumId w:val="18"/>
  </w:num>
  <w:num w:numId="80" w16cid:durableId="1205022539">
    <w:abstractNumId w:val="75"/>
  </w:num>
  <w:num w:numId="81" w16cid:durableId="610749096">
    <w:abstractNumId w:val="36"/>
  </w:num>
  <w:num w:numId="82" w16cid:durableId="752776266">
    <w:abstractNumId w:val="20"/>
  </w:num>
  <w:num w:numId="83" w16cid:durableId="740374381">
    <w:abstractNumId w:val="55"/>
  </w:num>
  <w:num w:numId="84" w16cid:durableId="1682929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42765342">
    <w:abstractNumId w:val="72"/>
  </w:num>
  <w:num w:numId="86" w16cid:durableId="1502233486">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95"/>
    <w:rsid w:val="0000061B"/>
    <w:rsid w:val="00000E5E"/>
    <w:rsid w:val="00001305"/>
    <w:rsid w:val="00001384"/>
    <w:rsid w:val="00001405"/>
    <w:rsid w:val="0000159D"/>
    <w:rsid w:val="00001EDF"/>
    <w:rsid w:val="0000296B"/>
    <w:rsid w:val="00002BAD"/>
    <w:rsid w:val="000036B7"/>
    <w:rsid w:val="000037C4"/>
    <w:rsid w:val="00003F6B"/>
    <w:rsid w:val="00004584"/>
    <w:rsid w:val="000053DA"/>
    <w:rsid w:val="0000540C"/>
    <w:rsid w:val="00005A3C"/>
    <w:rsid w:val="000062FB"/>
    <w:rsid w:val="00006D47"/>
    <w:rsid w:val="00006E4F"/>
    <w:rsid w:val="00007034"/>
    <w:rsid w:val="000077DD"/>
    <w:rsid w:val="00007B48"/>
    <w:rsid w:val="00007E8F"/>
    <w:rsid w:val="000101AB"/>
    <w:rsid w:val="00010FE8"/>
    <w:rsid w:val="00011BF4"/>
    <w:rsid w:val="000121A6"/>
    <w:rsid w:val="00012309"/>
    <w:rsid w:val="000127D7"/>
    <w:rsid w:val="00012F9D"/>
    <w:rsid w:val="000133D8"/>
    <w:rsid w:val="00013687"/>
    <w:rsid w:val="0001452D"/>
    <w:rsid w:val="00014B2D"/>
    <w:rsid w:val="00014BE0"/>
    <w:rsid w:val="00014C27"/>
    <w:rsid w:val="00014E3C"/>
    <w:rsid w:val="00015368"/>
    <w:rsid w:val="00015986"/>
    <w:rsid w:val="00015D93"/>
    <w:rsid w:val="00016747"/>
    <w:rsid w:val="000176FD"/>
    <w:rsid w:val="00020659"/>
    <w:rsid w:val="00020B77"/>
    <w:rsid w:val="00020D56"/>
    <w:rsid w:val="00020FD2"/>
    <w:rsid w:val="00021427"/>
    <w:rsid w:val="0002290A"/>
    <w:rsid w:val="00023F05"/>
    <w:rsid w:val="00023FC0"/>
    <w:rsid w:val="00024345"/>
    <w:rsid w:val="00024615"/>
    <w:rsid w:val="00025A23"/>
    <w:rsid w:val="00026BD0"/>
    <w:rsid w:val="0002734E"/>
    <w:rsid w:val="00027FB4"/>
    <w:rsid w:val="00030969"/>
    <w:rsid w:val="00030C57"/>
    <w:rsid w:val="00030CC4"/>
    <w:rsid w:val="00031B78"/>
    <w:rsid w:val="00033280"/>
    <w:rsid w:val="00034DF7"/>
    <w:rsid w:val="00034FE3"/>
    <w:rsid w:val="00035B8D"/>
    <w:rsid w:val="00035BCA"/>
    <w:rsid w:val="0003611C"/>
    <w:rsid w:val="00036434"/>
    <w:rsid w:val="00036436"/>
    <w:rsid w:val="00037095"/>
    <w:rsid w:val="000377DB"/>
    <w:rsid w:val="00037C10"/>
    <w:rsid w:val="00037CAC"/>
    <w:rsid w:val="00041CFD"/>
    <w:rsid w:val="000420A6"/>
    <w:rsid w:val="0004412C"/>
    <w:rsid w:val="00044B98"/>
    <w:rsid w:val="000455AA"/>
    <w:rsid w:val="00046779"/>
    <w:rsid w:val="0004777E"/>
    <w:rsid w:val="000479A2"/>
    <w:rsid w:val="00047B3A"/>
    <w:rsid w:val="000500E6"/>
    <w:rsid w:val="00050821"/>
    <w:rsid w:val="00051539"/>
    <w:rsid w:val="000522C6"/>
    <w:rsid w:val="00052899"/>
    <w:rsid w:val="00053B18"/>
    <w:rsid w:val="000544D7"/>
    <w:rsid w:val="00054511"/>
    <w:rsid w:val="00054679"/>
    <w:rsid w:val="00054BA5"/>
    <w:rsid w:val="0005532E"/>
    <w:rsid w:val="00055432"/>
    <w:rsid w:val="00056924"/>
    <w:rsid w:val="00056A12"/>
    <w:rsid w:val="00056C1F"/>
    <w:rsid w:val="00056FA9"/>
    <w:rsid w:val="00057A35"/>
    <w:rsid w:val="00060C93"/>
    <w:rsid w:val="00060DE1"/>
    <w:rsid w:val="0006192E"/>
    <w:rsid w:val="00061F30"/>
    <w:rsid w:val="000621CC"/>
    <w:rsid w:val="0006223B"/>
    <w:rsid w:val="00062865"/>
    <w:rsid w:val="00062DA6"/>
    <w:rsid w:val="00062EE3"/>
    <w:rsid w:val="0006311E"/>
    <w:rsid w:val="00063A41"/>
    <w:rsid w:val="00063D6D"/>
    <w:rsid w:val="00063F11"/>
    <w:rsid w:val="00064BC5"/>
    <w:rsid w:val="00065AB4"/>
    <w:rsid w:val="00066AB6"/>
    <w:rsid w:val="00067086"/>
    <w:rsid w:val="00067A41"/>
    <w:rsid w:val="0007079D"/>
    <w:rsid w:val="00071412"/>
    <w:rsid w:val="0007171B"/>
    <w:rsid w:val="00072FC8"/>
    <w:rsid w:val="000735C6"/>
    <w:rsid w:val="00073ECB"/>
    <w:rsid w:val="00073F9D"/>
    <w:rsid w:val="000742C0"/>
    <w:rsid w:val="00074DA9"/>
    <w:rsid w:val="000763D5"/>
    <w:rsid w:val="0007662D"/>
    <w:rsid w:val="000769D7"/>
    <w:rsid w:val="00080354"/>
    <w:rsid w:val="00080A7A"/>
    <w:rsid w:val="00080B90"/>
    <w:rsid w:val="00082188"/>
    <w:rsid w:val="00082BC3"/>
    <w:rsid w:val="00082E74"/>
    <w:rsid w:val="0008345E"/>
    <w:rsid w:val="00085A3A"/>
    <w:rsid w:val="000865F0"/>
    <w:rsid w:val="00086D60"/>
    <w:rsid w:val="00086DC3"/>
    <w:rsid w:val="000876B3"/>
    <w:rsid w:val="000904F2"/>
    <w:rsid w:val="000915F9"/>
    <w:rsid w:val="000917BD"/>
    <w:rsid w:val="00092131"/>
    <w:rsid w:val="000921FE"/>
    <w:rsid w:val="000927CF"/>
    <w:rsid w:val="00092B11"/>
    <w:rsid w:val="000935C2"/>
    <w:rsid w:val="000936CC"/>
    <w:rsid w:val="0009479E"/>
    <w:rsid w:val="00094819"/>
    <w:rsid w:val="000954AB"/>
    <w:rsid w:val="000959C3"/>
    <w:rsid w:val="00095AA0"/>
    <w:rsid w:val="00095E1D"/>
    <w:rsid w:val="00095F0F"/>
    <w:rsid w:val="00097273"/>
    <w:rsid w:val="0009729E"/>
    <w:rsid w:val="000978B2"/>
    <w:rsid w:val="00097C19"/>
    <w:rsid w:val="000A11EA"/>
    <w:rsid w:val="000A2175"/>
    <w:rsid w:val="000A259F"/>
    <w:rsid w:val="000A2E96"/>
    <w:rsid w:val="000A3E45"/>
    <w:rsid w:val="000A4711"/>
    <w:rsid w:val="000A4BFC"/>
    <w:rsid w:val="000A56AF"/>
    <w:rsid w:val="000A6950"/>
    <w:rsid w:val="000A6C61"/>
    <w:rsid w:val="000A704A"/>
    <w:rsid w:val="000A734E"/>
    <w:rsid w:val="000B0805"/>
    <w:rsid w:val="000B1079"/>
    <w:rsid w:val="000B154A"/>
    <w:rsid w:val="000B1FDA"/>
    <w:rsid w:val="000B2602"/>
    <w:rsid w:val="000B261F"/>
    <w:rsid w:val="000B3034"/>
    <w:rsid w:val="000B3743"/>
    <w:rsid w:val="000B38EF"/>
    <w:rsid w:val="000B3BF1"/>
    <w:rsid w:val="000B3D5C"/>
    <w:rsid w:val="000B40E1"/>
    <w:rsid w:val="000B47B5"/>
    <w:rsid w:val="000B48C2"/>
    <w:rsid w:val="000B4F27"/>
    <w:rsid w:val="000B5C08"/>
    <w:rsid w:val="000B5C6B"/>
    <w:rsid w:val="000B67A5"/>
    <w:rsid w:val="000B76FB"/>
    <w:rsid w:val="000B7ABE"/>
    <w:rsid w:val="000B7B87"/>
    <w:rsid w:val="000C02F7"/>
    <w:rsid w:val="000C0660"/>
    <w:rsid w:val="000C0F70"/>
    <w:rsid w:val="000C13FD"/>
    <w:rsid w:val="000C19B0"/>
    <w:rsid w:val="000C1C09"/>
    <w:rsid w:val="000C268B"/>
    <w:rsid w:val="000C2CBE"/>
    <w:rsid w:val="000C3189"/>
    <w:rsid w:val="000C3EE9"/>
    <w:rsid w:val="000C406D"/>
    <w:rsid w:val="000C4194"/>
    <w:rsid w:val="000C463A"/>
    <w:rsid w:val="000C4DF1"/>
    <w:rsid w:val="000C4FDD"/>
    <w:rsid w:val="000C6064"/>
    <w:rsid w:val="000C65B8"/>
    <w:rsid w:val="000C7188"/>
    <w:rsid w:val="000C71AE"/>
    <w:rsid w:val="000C7238"/>
    <w:rsid w:val="000C7E9D"/>
    <w:rsid w:val="000D00AE"/>
    <w:rsid w:val="000D0592"/>
    <w:rsid w:val="000D0863"/>
    <w:rsid w:val="000D0B7D"/>
    <w:rsid w:val="000D1CEE"/>
    <w:rsid w:val="000D2441"/>
    <w:rsid w:val="000D3319"/>
    <w:rsid w:val="000D3568"/>
    <w:rsid w:val="000D3660"/>
    <w:rsid w:val="000D3C44"/>
    <w:rsid w:val="000D5AAA"/>
    <w:rsid w:val="000D5BAA"/>
    <w:rsid w:val="000D647C"/>
    <w:rsid w:val="000D6A86"/>
    <w:rsid w:val="000D71D5"/>
    <w:rsid w:val="000D72B0"/>
    <w:rsid w:val="000D7F8C"/>
    <w:rsid w:val="000E07BF"/>
    <w:rsid w:val="000E28FB"/>
    <w:rsid w:val="000E2A84"/>
    <w:rsid w:val="000E2CDB"/>
    <w:rsid w:val="000E35E7"/>
    <w:rsid w:val="000E408E"/>
    <w:rsid w:val="000E4E02"/>
    <w:rsid w:val="000E5B7D"/>
    <w:rsid w:val="000E5D43"/>
    <w:rsid w:val="000E6526"/>
    <w:rsid w:val="000E673A"/>
    <w:rsid w:val="000E6D7F"/>
    <w:rsid w:val="000E6F46"/>
    <w:rsid w:val="000E7042"/>
    <w:rsid w:val="000E7773"/>
    <w:rsid w:val="000E779B"/>
    <w:rsid w:val="000E7B21"/>
    <w:rsid w:val="000E7DCA"/>
    <w:rsid w:val="000F0176"/>
    <w:rsid w:val="000F04FF"/>
    <w:rsid w:val="000F1571"/>
    <w:rsid w:val="000F1DC0"/>
    <w:rsid w:val="000F2EC6"/>
    <w:rsid w:val="000F46CF"/>
    <w:rsid w:val="000F4F82"/>
    <w:rsid w:val="000F4F9F"/>
    <w:rsid w:val="000F4FD1"/>
    <w:rsid w:val="000F5167"/>
    <w:rsid w:val="000F54A5"/>
    <w:rsid w:val="000F7052"/>
    <w:rsid w:val="000F70C7"/>
    <w:rsid w:val="000F74F5"/>
    <w:rsid w:val="00100179"/>
    <w:rsid w:val="00100E65"/>
    <w:rsid w:val="00101162"/>
    <w:rsid w:val="00101E03"/>
    <w:rsid w:val="00102099"/>
    <w:rsid w:val="001025A0"/>
    <w:rsid w:val="001025AB"/>
    <w:rsid w:val="001028BE"/>
    <w:rsid w:val="00103C86"/>
    <w:rsid w:val="0010438A"/>
    <w:rsid w:val="00104BA6"/>
    <w:rsid w:val="00105372"/>
    <w:rsid w:val="00105D6A"/>
    <w:rsid w:val="00105F1E"/>
    <w:rsid w:val="00106049"/>
    <w:rsid w:val="0010669D"/>
    <w:rsid w:val="001066A1"/>
    <w:rsid w:val="00106AAC"/>
    <w:rsid w:val="00107125"/>
    <w:rsid w:val="00107D96"/>
    <w:rsid w:val="00110034"/>
    <w:rsid w:val="00110F1E"/>
    <w:rsid w:val="001127E8"/>
    <w:rsid w:val="001129A3"/>
    <w:rsid w:val="00112F45"/>
    <w:rsid w:val="00113D9F"/>
    <w:rsid w:val="00113E77"/>
    <w:rsid w:val="00114612"/>
    <w:rsid w:val="0011492C"/>
    <w:rsid w:val="001176A1"/>
    <w:rsid w:val="00120533"/>
    <w:rsid w:val="00120AD1"/>
    <w:rsid w:val="00120FBC"/>
    <w:rsid w:val="001227F1"/>
    <w:rsid w:val="00122987"/>
    <w:rsid w:val="00123765"/>
    <w:rsid w:val="001245DF"/>
    <w:rsid w:val="001259D5"/>
    <w:rsid w:val="00125BFF"/>
    <w:rsid w:val="00125F48"/>
    <w:rsid w:val="0012608D"/>
    <w:rsid w:val="00126576"/>
    <w:rsid w:val="00127C00"/>
    <w:rsid w:val="001305B9"/>
    <w:rsid w:val="00130B6D"/>
    <w:rsid w:val="001312AD"/>
    <w:rsid w:val="001318DD"/>
    <w:rsid w:val="00131CEF"/>
    <w:rsid w:val="00131E7A"/>
    <w:rsid w:val="0013356A"/>
    <w:rsid w:val="001338AE"/>
    <w:rsid w:val="00133BC4"/>
    <w:rsid w:val="00134846"/>
    <w:rsid w:val="00134F20"/>
    <w:rsid w:val="00135C09"/>
    <w:rsid w:val="00137120"/>
    <w:rsid w:val="0013729A"/>
    <w:rsid w:val="001403B7"/>
    <w:rsid w:val="0014172A"/>
    <w:rsid w:val="00141E60"/>
    <w:rsid w:val="00142075"/>
    <w:rsid w:val="00142423"/>
    <w:rsid w:val="001425A9"/>
    <w:rsid w:val="00142DB4"/>
    <w:rsid w:val="00143700"/>
    <w:rsid w:val="0014390F"/>
    <w:rsid w:val="00143AC9"/>
    <w:rsid w:val="00143CE9"/>
    <w:rsid w:val="00143EE5"/>
    <w:rsid w:val="00144B04"/>
    <w:rsid w:val="00144E68"/>
    <w:rsid w:val="00144F59"/>
    <w:rsid w:val="00145E04"/>
    <w:rsid w:val="001461C2"/>
    <w:rsid w:val="0014691A"/>
    <w:rsid w:val="00146BD2"/>
    <w:rsid w:val="0014770D"/>
    <w:rsid w:val="00147C05"/>
    <w:rsid w:val="00150221"/>
    <w:rsid w:val="00150866"/>
    <w:rsid w:val="00150907"/>
    <w:rsid w:val="00151616"/>
    <w:rsid w:val="00151676"/>
    <w:rsid w:val="00151C56"/>
    <w:rsid w:val="001520D7"/>
    <w:rsid w:val="00153BFB"/>
    <w:rsid w:val="00154839"/>
    <w:rsid w:val="00154851"/>
    <w:rsid w:val="00155424"/>
    <w:rsid w:val="0015612D"/>
    <w:rsid w:val="0015739F"/>
    <w:rsid w:val="00157D17"/>
    <w:rsid w:val="00157F0F"/>
    <w:rsid w:val="001600A2"/>
    <w:rsid w:val="001605BC"/>
    <w:rsid w:val="001605D7"/>
    <w:rsid w:val="00160E08"/>
    <w:rsid w:val="001615C7"/>
    <w:rsid w:val="00161807"/>
    <w:rsid w:val="00161DB4"/>
    <w:rsid w:val="00161F8B"/>
    <w:rsid w:val="0016277B"/>
    <w:rsid w:val="001631A9"/>
    <w:rsid w:val="0016328B"/>
    <w:rsid w:val="00163D2B"/>
    <w:rsid w:val="001648BC"/>
    <w:rsid w:val="00164F1D"/>
    <w:rsid w:val="00165268"/>
    <w:rsid w:val="00165352"/>
    <w:rsid w:val="00165B85"/>
    <w:rsid w:val="00165DB4"/>
    <w:rsid w:val="00165DE1"/>
    <w:rsid w:val="00166091"/>
    <w:rsid w:val="00166B37"/>
    <w:rsid w:val="001678D1"/>
    <w:rsid w:val="00167CED"/>
    <w:rsid w:val="00167ED7"/>
    <w:rsid w:val="00167F15"/>
    <w:rsid w:val="001703A4"/>
    <w:rsid w:val="00170482"/>
    <w:rsid w:val="00170E5A"/>
    <w:rsid w:val="001722E3"/>
    <w:rsid w:val="00172AF6"/>
    <w:rsid w:val="00172B5A"/>
    <w:rsid w:val="00173DDF"/>
    <w:rsid w:val="00173E69"/>
    <w:rsid w:val="001749B6"/>
    <w:rsid w:val="00174BBF"/>
    <w:rsid w:val="001761E2"/>
    <w:rsid w:val="00176279"/>
    <w:rsid w:val="0017671B"/>
    <w:rsid w:val="00176790"/>
    <w:rsid w:val="00176B32"/>
    <w:rsid w:val="00176B8E"/>
    <w:rsid w:val="00176CEE"/>
    <w:rsid w:val="00177495"/>
    <w:rsid w:val="00177819"/>
    <w:rsid w:val="00180186"/>
    <w:rsid w:val="001803F4"/>
    <w:rsid w:val="00180B37"/>
    <w:rsid w:val="00181E7E"/>
    <w:rsid w:val="001829EE"/>
    <w:rsid w:val="00182A8E"/>
    <w:rsid w:val="0018346E"/>
    <w:rsid w:val="00183AC6"/>
    <w:rsid w:val="00184442"/>
    <w:rsid w:val="00184DB7"/>
    <w:rsid w:val="0018555F"/>
    <w:rsid w:val="001856AF"/>
    <w:rsid w:val="001857DF"/>
    <w:rsid w:val="00185958"/>
    <w:rsid w:val="00186188"/>
    <w:rsid w:val="001863C2"/>
    <w:rsid w:val="00186485"/>
    <w:rsid w:val="0018670B"/>
    <w:rsid w:val="00186DD8"/>
    <w:rsid w:val="001870C6"/>
    <w:rsid w:val="0018728E"/>
    <w:rsid w:val="00187925"/>
    <w:rsid w:val="00190A0E"/>
    <w:rsid w:val="00191055"/>
    <w:rsid w:val="001917DC"/>
    <w:rsid w:val="00192541"/>
    <w:rsid w:val="00192F55"/>
    <w:rsid w:val="00192FAA"/>
    <w:rsid w:val="00193695"/>
    <w:rsid w:val="00193A67"/>
    <w:rsid w:val="00193E49"/>
    <w:rsid w:val="00194862"/>
    <w:rsid w:val="00194A41"/>
    <w:rsid w:val="00195A08"/>
    <w:rsid w:val="00196232"/>
    <w:rsid w:val="0019715C"/>
    <w:rsid w:val="001979E7"/>
    <w:rsid w:val="00197A4F"/>
    <w:rsid w:val="001A14EB"/>
    <w:rsid w:val="001A16DF"/>
    <w:rsid w:val="001A269E"/>
    <w:rsid w:val="001A36BF"/>
    <w:rsid w:val="001A41BC"/>
    <w:rsid w:val="001A5A57"/>
    <w:rsid w:val="001A5E0D"/>
    <w:rsid w:val="001A6085"/>
    <w:rsid w:val="001A618C"/>
    <w:rsid w:val="001A61C9"/>
    <w:rsid w:val="001A67C0"/>
    <w:rsid w:val="001A6A73"/>
    <w:rsid w:val="001A753E"/>
    <w:rsid w:val="001A77EF"/>
    <w:rsid w:val="001B00C3"/>
    <w:rsid w:val="001B0221"/>
    <w:rsid w:val="001B0F28"/>
    <w:rsid w:val="001B11BE"/>
    <w:rsid w:val="001B13FE"/>
    <w:rsid w:val="001B2417"/>
    <w:rsid w:val="001B28B6"/>
    <w:rsid w:val="001B2D36"/>
    <w:rsid w:val="001B2FBF"/>
    <w:rsid w:val="001B36EC"/>
    <w:rsid w:val="001B45D8"/>
    <w:rsid w:val="001B4E4F"/>
    <w:rsid w:val="001B4EE1"/>
    <w:rsid w:val="001B511E"/>
    <w:rsid w:val="001B5236"/>
    <w:rsid w:val="001B5D21"/>
    <w:rsid w:val="001B625C"/>
    <w:rsid w:val="001B627E"/>
    <w:rsid w:val="001B6C9F"/>
    <w:rsid w:val="001C0C36"/>
    <w:rsid w:val="001C10E6"/>
    <w:rsid w:val="001C1FB6"/>
    <w:rsid w:val="001C2158"/>
    <w:rsid w:val="001C27D5"/>
    <w:rsid w:val="001C2B6F"/>
    <w:rsid w:val="001C2CEA"/>
    <w:rsid w:val="001C326A"/>
    <w:rsid w:val="001C32A3"/>
    <w:rsid w:val="001C4512"/>
    <w:rsid w:val="001C4C06"/>
    <w:rsid w:val="001C5193"/>
    <w:rsid w:val="001C5863"/>
    <w:rsid w:val="001C6079"/>
    <w:rsid w:val="001C6E8B"/>
    <w:rsid w:val="001C7CF7"/>
    <w:rsid w:val="001D107E"/>
    <w:rsid w:val="001D11B6"/>
    <w:rsid w:val="001D124D"/>
    <w:rsid w:val="001D1B9C"/>
    <w:rsid w:val="001D1C9D"/>
    <w:rsid w:val="001D21C0"/>
    <w:rsid w:val="001D2D64"/>
    <w:rsid w:val="001D2E2A"/>
    <w:rsid w:val="001D3495"/>
    <w:rsid w:val="001D42C2"/>
    <w:rsid w:val="001D4612"/>
    <w:rsid w:val="001D4CDA"/>
    <w:rsid w:val="001D4FE1"/>
    <w:rsid w:val="001D6203"/>
    <w:rsid w:val="001D650C"/>
    <w:rsid w:val="001D68FA"/>
    <w:rsid w:val="001D69EF"/>
    <w:rsid w:val="001D70E1"/>
    <w:rsid w:val="001D7598"/>
    <w:rsid w:val="001D75DC"/>
    <w:rsid w:val="001D77D3"/>
    <w:rsid w:val="001E01C7"/>
    <w:rsid w:val="001E195A"/>
    <w:rsid w:val="001E1AA3"/>
    <w:rsid w:val="001E1ACD"/>
    <w:rsid w:val="001E2522"/>
    <w:rsid w:val="001E3E77"/>
    <w:rsid w:val="001E54A6"/>
    <w:rsid w:val="001E5821"/>
    <w:rsid w:val="001E58E6"/>
    <w:rsid w:val="001E5D5C"/>
    <w:rsid w:val="001E630D"/>
    <w:rsid w:val="001E7002"/>
    <w:rsid w:val="001E73D4"/>
    <w:rsid w:val="001E77D0"/>
    <w:rsid w:val="001E7AF2"/>
    <w:rsid w:val="001F0A8A"/>
    <w:rsid w:val="001F122C"/>
    <w:rsid w:val="001F12CF"/>
    <w:rsid w:val="001F130C"/>
    <w:rsid w:val="001F2B81"/>
    <w:rsid w:val="001F3432"/>
    <w:rsid w:val="001F46A2"/>
    <w:rsid w:val="001F4D45"/>
    <w:rsid w:val="001F5487"/>
    <w:rsid w:val="001F6CE6"/>
    <w:rsid w:val="00200E8D"/>
    <w:rsid w:val="00201501"/>
    <w:rsid w:val="0020184E"/>
    <w:rsid w:val="00201F09"/>
    <w:rsid w:val="00202077"/>
    <w:rsid w:val="00203B10"/>
    <w:rsid w:val="00205D80"/>
    <w:rsid w:val="002060C3"/>
    <w:rsid w:val="00206628"/>
    <w:rsid w:val="00207163"/>
    <w:rsid w:val="002076F0"/>
    <w:rsid w:val="002120EA"/>
    <w:rsid w:val="00212E25"/>
    <w:rsid w:val="002131BD"/>
    <w:rsid w:val="0021320E"/>
    <w:rsid w:val="00213618"/>
    <w:rsid w:val="002142CC"/>
    <w:rsid w:val="00214641"/>
    <w:rsid w:val="00214A8C"/>
    <w:rsid w:val="00215584"/>
    <w:rsid w:val="00215B78"/>
    <w:rsid w:val="00215D80"/>
    <w:rsid w:val="00215FE1"/>
    <w:rsid w:val="00216016"/>
    <w:rsid w:val="00216CBD"/>
    <w:rsid w:val="00217B29"/>
    <w:rsid w:val="00217FE7"/>
    <w:rsid w:val="00220268"/>
    <w:rsid w:val="00220583"/>
    <w:rsid w:val="00220623"/>
    <w:rsid w:val="002206DF"/>
    <w:rsid w:val="002219AC"/>
    <w:rsid w:val="00221B90"/>
    <w:rsid w:val="00222164"/>
    <w:rsid w:val="00222183"/>
    <w:rsid w:val="00222CB2"/>
    <w:rsid w:val="002232D7"/>
    <w:rsid w:val="00223BE9"/>
    <w:rsid w:val="00224685"/>
    <w:rsid w:val="00225F58"/>
    <w:rsid w:val="002261B3"/>
    <w:rsid w:val="002269EC"/>
    <w:rsid w:val="002272BD"/>
    <w:rsid w:val="00227965"/>
    <w:rsid w:val="002301DA"/>
    <w:rsid w:val="002305F2"/>
    <w:rsid w:val="00230667"/>
    <w:rsid w:val="00230AF2"/>
    <w:rsid w:val="00230BC2"/>
    <w:rsid w:val="00231116"/>
    <w:rsid w:val="00231494"/>
    <w:rsid w:val="00231C1D"/>
    <w:rsid w:val="0023217C"/>
    <w:rsid w:val="00232C52"/>
    <w:rsid w:val="00233416"/>
    <w:rsid w:val="00233EB0"/>
    <w:rsid w:val="00234467"/>
    <w:rsid w:val="00234624"/>
    <w:rsid w:val="00235279"/>
    <w:rsid w:val="00236E67"/>
    <w:rsid w:val="00240AEE"/>
    <w:rsid w:val="0024154F"/>
    <w:rsid w:val="00241C5D"/>
    <w:rsid w:val="00241DF7"/>
    <w:rsid w:val="00243255"/>
    <w:rsid w:val="002439D4"/>
    <w:rsid w:val="00243BB1"/>
    <w:rsid w:val="00243E3C"/>
    <w:rsid w:val="002442FB"/>
    <w:rsid w:val="00245912"/>
    <w:rsid w:val="002464E0"/>
    <w:rsid w:val="00246C5A"/>
    <w:rsid w:val="00247591"/>
    <w:rsid w:val="00247810"/>
    <w:rsid w:val="00247C2B"/>
    <w:rsid w:val="00247E2A"/>
    <w:rsid w:val="00250071"/>
    <w:rsid w:val="002504EC"/>
    <w:rsid w:val="0025069E"/>
    <w:rsid w:val="0025088D"/>
    <w:rsid w:val="00250928"/>
    <w:rsid w:val="00250BF7"/>
    <w:rsid w:val="00250C9C"/>
    <w:rsid w:val="002518B1"/>
    <w:rsid w:val="00251A6D"/>
    <w:rsid w:val="00251BC8"/>
    <w:rsid w:val="00251F1A"/>
    <w:rsid w:val="00252810"/>
    <w:rsid w:val="00252935"/>
    <w:rsid w:val="00252FCF"/>
    <w:rsid w:val="00253567"/>
    <w:rsid w:val="00253918"/>
    <w:rsid w:val="00254A18"/>
    <w:rsid w:val="00254F05"/>
    <w:rsid w:val="0025508D"/>
    <w:rsid w:val="00256501"/>
    <w:rsid w:val="00256649"/>
    <w:rsid w:val="00257E9B"/>
    <w:rsid w:val="00260E95"/>
    <w:rsid w:val="00261165"/>
    <w:rsid w:val="002618D6"/>
    <w:rsid w:val="002623FE"/>
    <w:rsid w:val="0026332E"/>
    <w:rsid w:val="00263870"/>
    <w:rsid w:val="002644F7"/>
    <w:rsid w:val="00264A71"/>
    <w:rsid w:val="00264C3A"/>
    <w:rsid w:val="00265106"/>
    <w:rsid w:val="00265970"/>
    <w:rsid w:val="00265C8F"/>
    <w:rsid w:val="002662CC"/>
    <w:rsid w:val="0026680F"/>
    <w:rsid w:val="00266FF0"/>
    <w:rsid w:val="00267BF1"/>
    <w:rsid w:val="00272FE9"/>
    <w:rsid w:val="00273DA2"/>
    <w:rsid w:val="00273E05"/>
    <w:rsid w:val="00273E2E"/>
    <w:rsid w:val="00274F3B"/>
    <w:rsid w:val="00275D49"/>
    <w:rsid w:val="00275E95"/>
    <w:rsid w:val="002774AE"/>
    <w:rsid w:val="00280125"/>
    <w:rsid w:val="00280564"/>
    <w:rsid w:val="002809EA"/>
    <w:rsid w:val="00281772"/>
    <w:rsid w:val="00281999"/>
    <w:rsid w:val="0028367B"/>
    <w:rsid w:val="00283E3F"/>
    <w:rsid w:val="00283FA5"/>
    <w:rsid w:val="00284012"/>
    <w:rsid w:val="002847BD"/>
    <w:rsid w:val="0028496F"/>
    <w:rsid w:val="00284A40"/>
    <w:rsid w:val="00284AD3"/>
    <w:rsid w:val="00285079"/>
    <w:rsid w:val="00285CDD"/>
    <w:rsid w:val="00287BE2"/>
    <w:rsid w:val="00287C8D"/>
    <w:rsid w:val="002901D8"/>
    <w:rsid w:val="00290462"/>
    <w:rsid w:val="0029069C"/>
    <w:rsid w:val="00290957"/>
    <w:rsid w:val="00290A10"/>
    <w:rsid w:val="00290B6F"/>
    <w:rsid w:val="00290D94"/>
    <w:rsid w:val="002916EA"/>
    <w:rsid w:val="002926D8"/>
    <w:rsid w:val="00293731"/>
    <w:rsid w:val="00293990"/>
    <w:rsid w:val="00294783"/>
    <w:rsid w:val="00295EAE"/>
    <w:rsid w:val="00296749"/>
    <w:rsid w:val="00296D1F"/>
    <w:rsid w:val="00297515"/>
    <w:rsid w:val="00297527"/>
    <w:rsid w:val="002977F7"/>
    <w:rsid w:val="002A06EE"/>
    <w:rsid w:val="002A17FC"/>
    <w:rsid w:val="002A206A"/>
    <w:rsid w:val="002A370C"/>
    <w:rsid w:val="002A441C"/>
    <w:rsid w:val="002A510B"/>
    <w:rsid w:val="002A5CFE"/>
    <w:rsid w:val="002A6085"/>
    <w:rsid w:val="002A6183"/>
    <w:rsid w:val="002A68AF"/>
    <w:rsid w:val="002A701D"/>
    <w:rsid w:val="002A791B"/>
    <w:rsid w:val="002B0AA3"/>
    <w:rsid w:val="002B0FE0"/>
    <w:rsid w:val="002B16C1"/>
    <w:rsid w:val="002B33A4"/>
    <w:rsid w:val="002B3A53"/>
    <w:rsid w:val="002B4292"/>
    <w:rsid w:val="002B4635"/>
    <w:rsid w:val="002B4853"/>
    <w:rsid w:val="002B4D07"/>
    <w:rsid w:val="002B6730"/>
    <w:rsid w:val="002B6746"/>
    <w:rsid w:val="002B6ECB"/>
    <w:rsid w:val="002C1386"/>
    <w:rsid w:val="002C2515"/>
    <w:rsid w:val="002C3049"/>
    <w:rsid w:val="002C5DCC"/>
    <w:rsid w:val="002C6649"/>
    <w:rsid w:val="002C6BBB"/>
    <w:rsid w:val="002C6E50"/>
    <w:rsid w:val="002C713C"/>
    <w:rsid w:val="002C75A5"/>
    <w:rsid w:val="002C7696"/>
    <w:rsid w:val="002C7A16"/>
    <w:rsid w:val="002C7A4F"/>
    <w:rsid w:val="002C7BC0"/>
    <w:rsid w:val="002C7C3F"/>
    <w:rsid w:val="002C7D32"/>
    <w:rsid w:val="002D0096"/>
    <w:rsid w:val="002D2191"/>
    <w:rsid w:val="002D3D84"/>
    <w:rsid w:val="002D433E"/>
    <w:rsid w:val="002D45BF"/>
    <w:rsid w:val="002D5328"/>
    <w:rsid w:val="002D548F"/>
    <w:rsid w:val="002D5906"/>
    <w:rsid w:val="002D60F3"/>
    <w:rsid w:val="002D6280"/>
    <w:rsid w:val="002D69A3"/>
    <w:rsid w:val="002D6EA4"/>
    <w:rsid w:val="002D7148"/>
    <w:rsid w:val="002D7511"/>
    <w:rsid w:val="002D7A46"/>
    <w:rsid w:val="002E0ABE"/>
    <w:rsid w:val="002E2294"/>
    <w:rsid w:val="002E23AE"/>
    <w:rsid w:val="002E2916"/>
    <w:rsid w:val="002E2B0F"/>
    <w:rsid w:val="002E3058"/>
    <w:rsid w:val="002E32E0"/>
    <w:rsid w:val="002E334D"/>
    <w:rsid w:val="002E36EA"/>
    <w:rsid w:val="002E376B"/>
    <w:rsid w:val="002E37F0"/>
    <w:rsid w:val="002E3F66"/>
    <w:rsid w:val="002E45D3"/>
    <w:rsid w:val="002E45E9"/>
    <w:rsid w:val="002E4E4C"/>
    <w:rsid w:val="002E56CB"/>
    <w:rsid w:val="002E6433"/>
    <w:rsid w:val="002E6BDA"/>
    <w:rsid w:val="002E6C40"/>
    <w:rsid w:val="002E6CFD"/>
    <w:rsid w:val="002E6F94"/>
    <w:rsid w:val="002E78AC"/>
    <w:rsid w:val="002E7C1D"/>
    <w:rsid w:val="002F060F"/>
    <w:rsid w:val="002F0AED"/>
    <w:rsid w:val="002F1514"/>
    <w:rsid w:val="002F1D4D"/>
    <w:rsid w:val="002F2A3E"/>
    <w:rsid w:val="002F32C2"/>
    <w:rsid w:val="002F3FD3"/>
    <w:rsid w:val="002F5413"/>
    <w:rsid w:val="002F55F6"/>
    <w:rsid w:val="002F6006"/>
    <w:rsid w:val="002F6A2C"/>
    <w:rsid w:val="002F6FCC"/>
    <w:rsid w:val="002F7085"/>
    <w:rsid w:val="002F74C2"/>
    <w:rsid w:val="002F7B48"/>
    <w:rsid w:val="002F7C9C"/>
    <w:rsid w:val="00300F4B"/>
    <w:rsid w:val="0030169D"/>
    <w:rsid w:val="00301CB6"/>
    <w:rsid w:val="00301EF0"/>
    <w:rsid w:val="00302030"/>
    <w:rsid w:val="00302953"/>
    <w:rsid w:val="00302B93"/>
    <w:rsid w:val="00302CD2"/>
    <w:rsid w:val="00304795"/>
    <w:rsid w:val="00304A92"/>
    <w:rsid w:val="003056FE"/>
    <w:rsid w:val="00305792"/>
    <w:rsid w:val="003060EB"/>
    <w:rsid w:val="0030637C"/>
    <w:rsid w:val="003065BD"/>
    <w:rsid w:val="003104B3"/>
    <w:rsid w:val="00310B05"/>
    <w:rsid w:val="00310B36"/>
    <w:rsid w:val="00311741"/>
    <w:rsid w:val="003119CD"/>
    <w:rsid w:val="003119EF"/>
    <w:rsid w:val="00311AAE"/>
    <w:rsid w:val="00313996"/>
    <w:rsid w:val="00313FFC"/>
    <w:rsid w:val="00314535"/>
    <w:rsid w:val="00314A36"/>
    <w:rsid w:val="00314FD8"/>
    <w:rsid w:val="003153EB"/>
    <w:rsid w:val="00315A97"/>
    <w:rsid w:val="00316132"/>
    <w:rsid w:val="00316D7B"/>
    <w:rsid w:val="00316FF4"/>
    <w:rsid w:val="003179A1"/>
    <w:rsid w:val="00317CB8"/>
    <w:rsid w:val="00317D13"/>
    <w:rsid w:val="0032036A"/>
    <w:rsid w:val="00320379"/>
    <w:rsid w:val="00321985"/>
    <w:rsid w:val="003220D3"/>
    <w:rsid w:val="00322CB6"/>
    <w:rsid w:val="00322CF8"/>
    <w:rsid w:val="00323078"/>
    <w:rsid w:val="00324375"/>
    <w:rsid w:val="00325523"/>
    <w:rsid w:val="0032579E"/>
    <w:rsid w:val="0032593C"/>
    <w:rsid w:val="003259E6"/>
    <w:rsid w:val="003261A1"/>
    <w:rsid w:val="003262B9"/>
    <w:rsid w:val="0032661B"/>
    <w:rsid w:val="00326847"/>
    <w:rsid w:val="003274C0"/>
    <w:rsid w:val="00330ED2"/>
    <w:rsid w:val="00331292"/>
    <w:rsid w:val="003313BD"/>
    <w:rsid w:val="003318E9"/>
    <w:rsid w:val="00331A61"/>
    <w:rsid w:val="00332F15"/>
    <w:rsid w:val="0033387D"/>
    <w:rsid w:val="00334275"/>
    <w:rsid w:val="00334518"/>
    <w:rsid w:val="0033516D"/>
    <w:rsid w:val="003352B5"/>
    <w:rsid w:val="0033609A"/>
    <w:rsid w:val="00336932"/>
    <w:rsid w:val="00336ADC"/>
    <w:rsid w:val="00336DBB"/>
    <w:rsid w:val="00337B37"/>
    <w:rsid w:val="00340326"/>
    <w:rsid w:val="00340E3A"/>
    <w:rsid w:val="00341456"/>
    <w:rsid w:val="00341757"/>
    <w:rsid w:val="0034225F"/>
    <w:rsid w:val="00342425"/>
    <w:rsid w:val="00342ADF"/>
    <w:rsid w:val="00343C2E"/>
    <w:rsid w:val="0034403C"/>
    <w:rsid w:val="00344319"/>
    <w:rsid w:val="0034441D"/>
    <w:rsid w:val="00344812"/>
    <w:rsid w:val="00344B80"/>
    <w:rsid w:val="00345022"/>
    <w:rsid w:val="00345267"/>
    <w:rsid w:val="00346301"/>
    <w:rsid w:val="00346372"/>
    <w:rsid w:val="003466FC"/>
    <w:rsid w:val="00346828"/>
    <w:rsid w:val="00346980"/>
    <w:rsid w:val="003476DA"/>
    <w:rsid w:val="00351205"/>
    <w:rsid w:val="0035166C"/>
    <w:rsid w:val="00351875"/>
    <w:rsid w:val="00352D5E"/>
    <w:rsid w:val="00352FED"/>
    <w:rsid w:val="0035311B"/>
    <w:rsid w:val="00353F41"/>
    <w:rsid w:val="00354668"/>
    <w:rsid w:val="00354B14"/>
    <w:rsid w:val="00354B90"/>
    <w:rsid w:val="00354F93"/>
    <w:rsid w:val="00354FB4"/>
    <w:rsid w:val="00355AED"/>
    <w:rsid w:val="00356074"/>
    <w:rsid w:val="00356241"/>
    <w:rsid w:val="0035699C"/>
    <w:rsid w:val="0036010C"/>
    <w:rsid w:val="00360376"/>
    <w:rsid w:val="003607F3"/>
    <w:rsid w:val="0036103D"/>
    <w:rsid w:val="00361270"/>
    <w:rsid w:val="003616AD"/>
    <w:rsid w:val="00361A79"/>
    <w:rsid w:val="00361F38"/>
    <w:rsid w:val="003629EC"/>
    <w:rsid w:val="00362C2D"/>
    <w:rsid w:val="00362CAC"/>
    <w:rsid w:val="00363641"/>
    <w:rsid w:val="00365508"/>
    <w:rsid w:val="00365514"/>
    <w:rsid w:val="003660CD"/>
    <w:rsid w:val="00366498"/>
    <w:rsid w:val="0036653F"/>
    <w:rsid w:val="00366B7B"/>
    <w:rsid w:val="00366FAC"/>
    <w:rsid w:val="003677F9"/>
    <w:rsid w:val="00367C9E"/>
    <w:rsid w:val="00370AE4"/>
    <w:rsid w:val="00372129"/>
    <w:rsid w:val="00372846"/>
    <w:rsid w:val="00372AB7"/>
    <w:rsid w:val="00372F55"/>
    <w:rsid w:val="00372F74"/>
    <w:rsid w:val="00373A92"/>
    <w:rsid w:val="00373BA2"/>
    <w:rsid w:val="003743D0"/>
    <w:rsid w:val="003744C0"/>
    <w:rsid w:val="003744D1"/>
    <w:rsid w:val="0037732D"/>
    <w:rsid w:val="00377B74"/>
    <w:rsid w:val="003802DA"/>
    <w:rsid w:val="003806F1"/>
    <w:rsid w:val="003808BF"/>
    <w:rsid w:val="003809E1"/>
    <w:rsid w:val="00380B8E"/>
    <w:rsid w:val="00380DCB"/>
    <w:rsid w:val="00380E7D"/>
    <w:rsid w:val="00381131"/>
    <w:rsid w:val="00381840"/>
    <w:rsid w:val="00382D7C"/>
    <w:rsid w:val="0038319C"/>
    <w:rsid w:val="003834A9"/>
    <w:rsid w:val="0038397E"/>
    <w:rsid w:val="00383C45"/>
    <w:rsid w:val="00384BC6"/>
    <w:rsid w:val="00385BAC"/>
    <w:rsid w:val="003864F7"/>
    <w:rsid w:val="003865BA"/>
    <w:rsid w:val="0038664D"/>
    <w:rsid w:val="00387244"/>
    <w:rsid w:val="003873C8"/>
    <w:rsid w:val="00387408"/>
    <w:rsid w:val="00387409"/>
    <w:rsid w:val="00387502"/>
    <w:rsid w:val="00387C7D"/>
    <w:rsid w:val="00387F95"/>
    <w:rsid w:val="0039012B"/>
    <w:rsid w:val="00391F9D"/>
    <w:rsid w:val="00392156"/>
    <w:rsid w:val="00392534"/>
    <w:rsid w:val="00392CD7"/>
    <w:rsid w:val="00392D9B"/>
    <w:rsid w:val="00393383"/>
    <w:rsid w:val="0039379A"/>
    <w:rsid w:val="00393ACA"/>
    <w:rsid w:val="00393CC0"/>
    <w:rsid w:val="00394322"/>
    <w:rsid w:val="003945F9"/>
    <w:rsid w:val="00394DBE"/>
    <w:rsid w:val="00395481"/>
    <w:rsid w:val="00395541"/>
    <w:rsid w:val="00395AE7"/>
    <w:rsid w:val="00395BB6"/>
    <w:rsid w:val="00396826"/>
    <w:rsid w:val="0039689F"/>
    <w:rsid w:val="003969A7"/>
    <w:rsid w:val="003A0B6D"/>
    <w:rsid w:val="003A0CC2"/>
    <w:rsid w:val="003A0D3F"/>
    <w:rsid w:val="003A0DE8"/>
    <w:rsid w:val="003A10CF"/>
    <w:rsid w:val="003A2F2F"/>
    <w:rsid w:val="003A325A"/>
    <w:rsid w:val="003A3ADD"/>
    <w:rsid w:val="003A3B85"/>
    <w:rsid w:val="003A47E9"/>
    <w:rsid w:val="003A5609"/>
    <w:rsid w:val="003A5DD7"/>
    <w:rsid w:val="003A6DCF"/>
    <w:rsid w:val="003B1297"/>
    <w:rsid w:val="003B147C"/>
    <w:rsid w:val="003B2904"/>
    <w:rsid w:val="003B2AD1"/>
    <w:rsid w:val="003B34E2"/>
    <w:rsid w:val="003B37F6"/>
    <w:rsid w:val="003B384E"/>
    <w:rsid w:val="003B3F43"/>
    <w:rsid w:val="003B4440"/>
    <w:rsid w:val="003B44F9"/>
    <w:rsid w:val="003B489F"/>
    <w:rsid w:val="003B53DE"/>
    <w:rsid w:val="003B59E7"/>
    <w:rsid w:val="003B7C04"/>
    <w:rsid w:val="003B7C21"/>
    <w:rsid w:val="003C0227"/>
    <w:rsid w:val="003C0645"/>
    <w:rsid w:val="003C08EE"/>
    <w:rsid w:val="003C13AC"/>
    <w:rsid w:val="003C1501"/>
    <w:rsid w:val="003C1543"/>
    <w:rsid w:val="003C16A1"/>
    <w:rsid w:val="003C22E6"/>
    <w:rsid w:val="003C2B7A"/>
    <w:rsid w:val="003C31B5"/>
    <w:rsid w:val="003C4299"/>
    <w:rsid w:val="003C44DD"/>
    <w:rsid w:val="003C5188"/>
    <w:rsid w:val="003C7874"/>
    <w:rsid w:val="003D0065"/>
    <w:rsid w:val="003D16F4"/>
    <w:rsid w:val="003D17CE"/>
    <w:rsid w:val="003D1AB7"/>
    <w:rsid w:val="003D3517"/>
    <w:rsid w:val="003D5117"/>
    <w:rsid w:val="003D5516"/>
    <w:rsid w:val="003D62BB"/>
    <w:rsid w:val="003D7DBC"/>
    <w:rsid w:val="003E0821"/>
    <w:rsid w:val="003E13F1"/>
    <w:rsid w:val="003E1FD9"/>
    <w:rsid w:val="003E3519"/>
    <w:rsid w:val="003E3923"/>
    <w:rsid w:val="003E3B07"/>
    <w:rsid w:val="003E3BCC"/>
    <w:rsid w:val="003E3C2A"/>
    <w:rsid w:val="003E3D67"/>
    <w:rsid w:val="003E3F90"/>
    <w:rsid w:val="003E4313"/>
    <w:rsid w:val="003E4717"/>
    <w:rsid w:val="003E49B8"/>
    <w:rsid w:val="003E5301"/>
    <w:rsid w:val="003E54D8"/>
    <w:rsid w:val="003E57A0"/>
    <w:rsid w:val="003E5A67"/>
    <w:rsid w:val="003E666E"/>
    <w:rsid w:val="003E69D9"/>
    <w:rsid w:val="003E7D82"/>
    <w:rsid w:val="003E7DB6"/>
    <w:rsid w:val="003E7F46"/>
    <w:rsid w:val="003F0441"/>
    <w:rsid w:val="003F10F8"/>
    <w:rsid w:val="003F12C5"/>
    <w:rsid w:val="003F133C"/>
    <w:rsid w:val="003F1CA5"/>
    <w:rsid w:val="003F2155"/>
    <w:rsid w:val="003F230C"/>
    <w:rsid w:val="003F252F"/>
    <w:rsid w:val="003F264D"/>
    <w:rsid w:val="003F36EA"/>
    <w:rsid w:val="003F393A"/>
    <w:rsid w:val="003F3D55"/>
    <w:rsid w:val="003F3E84"/>
    <w:rsid w:val="003F46E7"/>
    <w:rsid w:val="003F4B13"/>
    <w:rsid w:val="003F581B"/>
    <w:rsid w:val="003F5B91"/>
    <w:rsid w:val="003F6F74"/>
    <w:rsid w:val="003F708C"/>
    <w:rsid w:val="003F7224"/>
    <w:rsid w:val="003F742C"/>
    <w:rsid w:val="003F7ABC"/>
    <w:rsid w:val="003F7C78"/>
    <w:rsid w:val="004003AE"/>
    <w:rsid w:val="004006C5"/>
    <w:rsid w:val="00401042"/>
    <w:rsid w:val="004020F2"/>
    <w:rsid w:val="0040286E"/>
    <w:rsid w:val="00402A3C"/>
    <w:rsid w:val="00403847"/>
    <w:rsid w:val="00404009"/>
    <w:rsid w:val="0040414C"/>
    <w:rsid w:val="0040432A"/>
    <w:rsid w:val="004044AE"/>
    <w:rsid w:val="00405972"/>
    <w:rsid w:val="004061D6"/>
    <w:rsid w:val="00406FCE"/>
    <w:rsid w:val="00407012"/>
    <w:rsid w:val="00410915"/>
    <w:rsid w:val="00410927"/>
    <w:rsid w:val="00411137"/>
    <w:rsid w:val="0041358D"/>
    <w:rsid w:val="00413F14"/>
    <w:rsid w:val="00414472"/>
    <w:rsid w:val="00414DF2"/>
    <w:rsid w:val="0041623B"/>
    <w:rsid w:val="0041699B"/>
    <w:rsid w:val="00417435"/>
    <w:rsid w:val="00420210"/>
    <w:rsid w:val="0042060D"/>
    <w:rsid w:val="004206BD"/>
    <w:rsid w:val="004209DB"/>
    <w:rsid w:val="004211DC"/>
    <w:rsid w:val="004216FC"/>
    <w:rsid w:val="004217CC"/>
    <w:rsid w:val="004230B3"/>
    <w:rsid w:val="00423F08"/>
    <w:rsid w:val="004241DF"/>
    <w:rsid w:val="0042452E"/>
    <w:rsid w:val="004245BB"/>
    <w:rsid w:val="004246DB"/>
    <w:rsid w:val="00424A0B"/>
    <w:rsid w:val="00426501"/>
    <w:rsid w:val="00426944"/>
    <w:rsid w:val="00426D92"/>
    <w:rsid w:val="0042766B"/>
    <w:rsid w:val="004276BD"/>
    <w:rsid w:val="00427C19"/>
    <w:rsid w:val="00427D21"/>
    <w:rsid w:val="00430758"/>
    <w:rsid w:val="004314D3"/>
    <w:rsid w:val="00431645"/>
    <w:rsid w:val="004336D1"/>
    <w:rsid w:val="004342E7"/>
    <w:rsid w:val="004347CA"/>
    <w:rsid w:val="00435B66"/>
    <w:rsid w:val="0043707D"/>
    <w:rsid w:val="00437953"/>
    <w:rsid w:val="00437EB0"/>
    <w:rsid w:val="004402E8"/>
    <w:rsid w:val="00440C32"/>
    <w:rsid w:val="00441700"/>
    <w:rsid w:val="00441FC6"/>
    <w:rsid w:val="004423E1"/>
    <w:rsid w:val="00442BEF"/>
    <w:rsid w:val="00442C94"/>
    <w:rsid w:val="00442F09"/>
    <w:rsid w:val="004438DF"/>
    <w:rsid w:val="00443A10"/>
    <w:rsid w:val="004440CB"/>
    <w:rsid w:val="00444262"/>
    <w:rsid w:val="0044436A"/>
    <w:rsid w:val="00444E92"/>
    <w:rsid w:val="00445AEB"/>
    <w:rsid w:val="00445E82"/>
    <w:rsid w:val="00446366"/>
    <w:rsid w:val="00446453"/>
    <w:rsid w:val="00447124"/>
    <w:rsid w:val="004471D2"/>
    <w:rsid w:val="00447632"/>
    <w:rsid w:val="00447AE6"/>
    <w:rsid w:val="00450881"/>
    <w:rsid w:val="004508E9"/>
    <w:rsid w:val="00450C8B"/>
    <w:rsid w:val="00450F81"/>
    <w:rsid w:val="004512E3"/>
    <w:rsid w:val="0045276B"/>
    <w:rsid w:val="00452C76"/>
    <w:rsid w:val="0045358C"/>
    <w:rsid w:val="00453786"/>
    <w:rsid w:val="0045518D"/>
    <w:rsid w:val="004559BE"/>
    <w:rsid w:val="004559D4"/>
    <w:rsid w:val="004572BA"/>
    <w:rsid w:val="00457946"/>
    <w:rsid w:val="004608CC"/>
    <w:rsid w:val="004608DF"/>
    <w:rsid w:val="0046193C"/>
    <w:rsid w:val="00461E3E"/>
    <w:rsid w:val="00461F3E"/>
    <w:rsid w:val="0046260E"/>
    <w:rsid w:val="004632F0"/>
    <w:rsid w:val="0046365B"/>
    <w:rsid w:val="00463DBA"/>
    <w:rsid w:val="00463F94"/>
    <w:rsid w:val="004640EE"/>
    <w:rsid w:val="004644C2"/>
    <w:rsid w:val="00464E41"/>
    <w:rsid w:val="00465D55"/>
    <w:rsid w:val="004667A0"/>
    <w:rsid w:val="0046688D"/>
    <w:rsid w:val="0046760A"/>
    <w:rsid w:val="004678BE"/>
    <w:rsid w:val="00467A56"/>
    <w:rsid w:val="00467AAC"/>
    <w:rsid w:val="00467F9C"/>
    <w:rsid w:val="00470009"/>
    <w:rsid w:val="00470D06"/>
    <w:rsid w:val="00471C5B"/>
    <w:rsid w:val="00471DDC"/>
    <w:rsid w:val="004723EF"/>
    <w:rsid w:val="00474AEA"/>
    <w:rsid w:val="00475718"/>
    <w:rsid w:val="00475910"/>
    <w:rsid w:val="00475A41"/>
    <w:rsid w:val="00477193"/>
    <w:rsid w:val="00477270"/>
    <w:rsid w:val="00477A0C"/>
    <w:rsid w:val="00477C5A"/>
    <w:rsid w:val="00477F27"/>
    <w:rsid w:val="00480344"/>
    <w:rsid w:val="0048156B"/>
    <w:rsid w:val="00481F70"/>
    <w:rsid w:val="00483740"/>
    <w:rsid w:val="0048482B"/>
    <w:rsid w:val="00484E75"/>
    <w:rsid w:val="00485524"/>
    <w:rsid w:val="0048615E"/>
    <w:rsid w:val="00486895"/>
    <w:rsid w:val="00487734"/>
    <w:rsid w:val="00487B7F"/>
    <w:rsid w:val="00490108"/>
    <w:rsid w:val="00491CBD"/>
    <w:rsid w:val="004928C3"/>
    <w:rsid w:val="0049292D"/>
    <w:rsid w:val="00494C69"/>
    <w:rsid w:val="00496CAA"/>
    <w:rsid w:val="00496DCB"/>
    <w:rsid w:val="004971C0"/>
    <w:rsid w:val="004A1A88"/>
    <w:rsid w:val="004A202D"/>
    <w:rsid w:val="004A28CC"/>
    <w:rsid w:val="004A3874"/>
    <w:rsid w:val="004A3D84"/>
    <w:rsid w:val="004A3DE9"/>
    <w:rsid w:val="004A478A"/>
    <w:rsid w:val="004A56E8"/>
    <w:rsid w:val="004A5B00"/>
    <w:rsid w:val="004A5E79"/>
    <w:rsid w:val="004A632A"/>
    <w:rsid w:val="004B07C0"/>
    <w:rsid w:val="004B118C"/>
    <w:rsid w:val="004B1AE9"/>
    <w:rsid w:val="004B2974"/>
    <w:rsid w:val="004B3A5F"/>
    <w:rsid w:val="004B4CE8"/>
    <w:rsid w:val="004B4D67"/>
    <w:rsid w:val="004B52A9"/>
    <w:rsid w:val="004B5647"/>
    <w:rsid w:val="004B6DDE"/>
    <w:rsid w:val="004C074E"/>
    <w:rsid w:val="004C0B9D"/>
    <w:rsid w:val="004C0DAC"/>
    <w:rsid w:val="004C1797"/>
    <w:rsid w:val="004C183A"/>
    <w:rsid w:val="004C183D"/>
    <w:rsid w:val="004C18A5"/>
    <w:rsid w:val="004C2DDB"/>
    <w:rsid w:val="004C3867"/>
    <w:rsid w:val="004C3DD1"/>
    <w:rsid w:val="004C44BE"/>
    <w:rsid w:val="004C478A"/>
    <w:rsid w:val="004C4B9F"/>
    <w:rsid w:val="004C5634"/>
    <w:rsid w:val="004C5704"/>
    <w:rsid w:val="004C593B"/>
    <w:rsid w:val="004C5B17"/>
    <w:rsid w:val="004C6DE0"/>
    <w:rsid w:val="004C7211"/>
    <w:rsid w:val="004C753F"/>
    <w:rsid w:val="004C7DC2"/>
    <w:rsid w:val="004D02BF"/>
    <w:rsid w:val="004D09A1"/>
    <w:rsid w:val="004D13C9"/>
    <w:rsid w:val="004D18F9"/>
    <w:rsid w:val="004D2A3C"/>
    <w:rsid w:val="004D2B20"/>
    <w:rsid w:val="004D2C4B"/>
    <w:rsid w:val="004D2CCA"/>
    <w:rsid w:val="004D2F51"/>
    <w:rsid w:val="004D2F67"/>
    <w:rsid w:val="004D33E1"/>
    <w:rsid w:val="004D43A1"/>
    <w:rsid w:val="004D5A2A"/>
    <w:rsid w:val="004D5EEA"/>
    <w:rsid w:val="004D6C16"/>
    <w:rsid w:val="004D703C"/>
    <w:rsid w:val="004D7231"/>
    <w:rsid w:val="004D73F6"/>
    <w:rsid w:val="004D790E"/>
    <w:rsid w:val="004D7D08"/>
    <w:rsid w:val="004E0174"/>
    <w:rsid w:val="004E049B"/>
    <w:rsid w:val="004E0B8D"/>
    <w:rsid w:val="004E1951"/>
    <w:rsid w:val="004E201B"/>
    <w:rsid w:val="004E2BDC"/>
    <w:rsid w:val="004E2DD6"/>
    <w:rsid w:val="004E3DB0"/>
    <w:rsid w:val="004E3F6C"/>
    <w:rsid w:val="004E4405"/>
    <w:rsid w:val="004E4DC5"/>
    <w:rsid w:val="004E5DC2"/>
    <w:rsid w:val="004F016A"/>
    <w:rsid w:val="004F04C4"/>
    <w:rsid w:val="004F1160"/>
    <w:rsid w:val="004F129F"/>
    <w:rsid w:val="004F1340"/>
    <w:rsid w:val="004F145E"/>
    <w:rsid w:val="004F16E7"/>
    <w:rsid w:val="004F1B7C"/>
    <w:rsid w:val="004F3A42"/>
    <w:rsid w:val="004F3FC8"/>
    <w:rsid w:val="004F4C7E"/>
    <w:rsid w:val="004F5513"/>
    <w:rsid w:val="004F6112"/>
    <w:rsid w:val="004F655B"/>
    <w:rsid w:val="004F65B2"/>
    <w:rsid w:val="004F6794"/>
    <w:rsid w:val="004F6914"/>
    <w:rsid w:val="004F6948"/>
    <w:rsid w:val="004F6D34"/>
    <w:rsid w:val="004F6D9E"/>
    <w:rsid w:val="004F6F91"/>
    <w:rsid w:val="004F70A8"/>
    <w:rsid w:val="005008CC"/>
    <w:rsid w:val="00500A40"/>
    <w:rsid w:val="00501B54"/>
    <w:rsid w:val="00501C81"/>
    <w:rsid w:val="0050251E"/>
    <w:rsid w:val="00503377"/>
    <w:rsid w:val="00503D88"/>
    <w:rsid w:val="00504D94"/>
    <w:rsid w:val="00505ABC"/>
    <w:rsid w:val="00506481"/>
    <w:rsid w:val="0050667D"/>
    <w:rsid w:val="00506808"/>
    <w:rsid w:val="00507222"/>
    <w:rsid w:val="00507B89"/>
    <w:rsid w:val="00507C49"/>
    <w:rsid w:val="00510A21"/>
    <w:rsid w:val="0051107D"/>
    <w:rsid w:val="00511310"/>
    <w:rsid w:val="0051161B"/>
    <w:rsid w:val="005118E6"/>
    <w:rsid w:val="00513596"/>
    <w:rsid w:val="005138EB"/>
    <w:rsid w:val="005139F9"/>
    <w:rsid w:val="00513D26"/>
    <w:rsid w:val="005141FB"/>
    <w:rsid w:val="005143FE"/>
    <w:rsid w:val="00514C15"/>
    <w:rsid w:val="005153F0"/>
    <w:rsid w:val="00515992"/>
    <w:rsid w:val="00515E2E"/>
    <w:rsid w:val="005168E6"/>
    <w:rsid w:val="00517654"/>
    <w:rsid w:val="00517A7E"/>
    <w:rsid w:val="00517AE6"/>
    <w:rsid w:val="00520486"/>
    <w:rsid w:val="00520921"/>
    <w:rsid w:val="00520AC2"/>
    <w:rsid w:val="00522733"/>
    <w:rsid w:val="0052286D"/>
    <w:rsid w:val="00523561"/>
    <w:rsid w:val="0052368A"/>
    <w:rsid w:val="00523F3E"/>
    <w:rsid w:val="00524C27"/>
    <w:rsid w:val="005250E9"/>
    <w:rsid w:val="00525773"/>
    <w:rsid w:val="0052587E"/>
    <w:rsid w:val="00525C37"/>
    <w:rsid w:val="0052634A"/>
    <w:rsid w:val="005264F8"/>
    <w:rsid w:val="00527AC7"/>
    <w:rsid w:val="00527CA7"/>
    <w:rsid w:val="00527D0A"/>
    <w:rsid w:val="00530E1E"/>
    <w:rsid w:val="0053139E"/>
    <w:rsid w:val="00531453"/>
    <w:rsid w:val="00531B69"/>
    <w:rsid w:val="0053308E"/>
    <w:rsid w:val="005333B9"/>
    <w:rsid w:val="00533A05"/>
    <w:rsid w:val="00534681"/>
    <w:rsid w:val="00535185"/>
    <w:rsid w:val="005354A9"/>
    <w:rsid w:val="00535BD9"/>
    <w:rsid w:val="00535D82"/>
    <w:rsid w:val="00535DFC"/>
    <w:rsid w:val="00535E6B"/>
    <w:rsid w:val="00535FF5"/>
    <w:rsid w:val="00536DBF"/>
    <w:rsid w:val="00537184"/>
    <w:rsid w:val="005373CB"/>
    <w:rsid w:val="005373D3"/>
    <w:rsid w:val="00537522"/>
    <w:rsid w:val="00537C75"/>
    <w:rsid w:val="00537FEF"/>
    <w:rsid w:val="0054013D"/>
    <w:rsid w:val="00540496"/>
    <w:rsid w:val="005405D7"/>
    <w:rsid w:val="00540DCB"/>
    <w:rsid w:val="0054114E"/>
    <w:rsid w:val="00543C33"/>
    <w:rsid w:val="0054404A"/>
    <w:rsid w:val="0054429B"/>
    <w:rsid w:val="005463B9"/>
    <w:rsid w:val="00546A5B"/>
    <w:rsid w:val="00547135"/>
    <w:rsid w:val="00547207"/>
    <w:rsid w:val="0054779C"/>
    <w:rsid w:val="00547BEA"/>
    <w:rsid w:val="00550F40"/>
    <w:rsid w:val="0055218F"/>
    <w:rsid w:val="00552232"/>
    <w:rsid w:val="0055227A"/>
    <w:rsid w:val="00552537"/>
    <w:rsid w:val="005527C0"/>
    <w:rsid w:val="00554206"/>
    <w:rsid w:val="00554D9D"/>
    <w:rsid w:val="005556A5"/>
    <w:rsid w:val="00555EDE"/>
    <w:rsid w:val="00560088"/>
    <w:rsid w:val="005600AC"/>
    <w:rsid w:val="005601BE"/>
    <w:rsid w:val="00560285"/>
    <w:rsid w:val="00560636"/>
    <w:rsid w:val="00561255"/>
    <w:rsid w:val="00561445"/>
    <w:rsid w:val="00562B2C"/>
    <w:rsid w:val="0056328A"/>
    <w:rsid w:val="00563442"/>
    <w:rsid w:val="00563B52"/>
    <w:rsid w:val="0056481A"/>
    <w:rsid w:val="00564E6D"/>
    <w:rsid w:val="0056515D"/>
    <w:rsid w:val="00565307"/>
    <w:rsid w:val="0056570F"/>
    <w:rsid w:val="00565B20"/>
    <w:rsid w:val="00565B42"/>
    <w:rsid w:val="00565BCD"/>
    <w:rsid w:val="00566507"/>
    <w:rsid w:val="00566941"/>
    <w:rsid w:val="00566C29"/>
    <w:rsid w:val="00566F86"/>
    <w:rsid w:val="00567E24"/>
    <w:rsid w:val="00571244"/>
    <w:rsid w:val="00571379"/>
    <w:rsid w:val="005719F3"/>
    <w:rsid w:val="00571DB7"/>
    <w:rsid w:val="005720B8"/>
    <w:rsid w:val="005731F0"/>
    <w:rsid w:val="005735CE"/>
    <w:rsid w:val="00573D1D"/>
    <w:rsid w:val="00573DFE"/>
    <w:rsid w:val="00573E6C"/>
    <w:rsid w:val="005747BA"/>
    <w:rsid w:val="005749D2"/>
    <w:rsid w:val="00574A09"/>
    <w:rsid w:val="00575AC1"/>
    <w:rsid w:val="00575C1C"/>
    <w:rsid w:val="00575D16"/>
    <w:rsid w:val="0057721C"/>
    <w:rsid w:val="00580192"/>
    <w:rsid w:val="005805B0"/>
    <w:rsid w:val="00581244"/>
    <w:rsid w:val="005812CC"/>
    <w:rsid w:val="00581CBE"/>
    <w:rsid w:val="005829C6"/>
    <w:rsid w:val="00582AF7"/>
    <w:rsid w:val="00582B57"/>
    <w:rsid w:val="00582BE6"/>
    <w:rsid w:val="00582C28"/>
    <w:rsid w:val="00583219"/>
    <w:rsid w:val="005832A3"/>
    <w:rsid w:val="00583522"/>
    <w:rsid w:val="0058385D"/>
    <w:rsid w:val="00583A9B"/>
    <w:rsid w:val="00583FC8"/>
    <w:rsid w:val="00584876"/>
    <w:rsid w:val="00584A6C"/>
    <w:rsid w:val="00585130"/>
    <w:rsid w:val="00586190"/>
    <w:rsid w:val="0058654B"/>
    <w:rsid w:val="00586637"/>
    <w:rsid w:val="005866B1"/>
    <w:rsid w:val="005873A3"/>
    <w:rsid w:val="0059009B"/>
    <w:rsid w:val="00590F60"/>
    <w:rsid w:val="005910FD"/>
    <w:rsid w:val="0059148B"/>
    <w:rsid w:val="00591498"/>
    <w:rsid w:val="005918AE"/>
    <w:rsid w:val="00592AE5"/>
    <w:rsid w:val="00593526"/>
    <w:rsid w:val="00593D23"/>
    <w:rsid w:val="00594160"/>
    <w:rsid w:val="00594A17"/>
    <w:rsid w:val="005950B7"/>
    <w:rsid w:val="005957E3"/>
    <w:rsid w:val="005971BD"/>
    <w:rsid w:val="005973EB"/>
    <w:rsid w:val="00597553"/>
    <w:rsid w:val="00597E6C"/>
    <w:rsid w:val="005A0157"/>
    <w:rsid w:val="005A07CA"/>
    <w:rsid w:val="005A0988"/>
    <w:rsid w:val="005A106B"/>
    <w:rsid w:val="005A107A"/>
    <w:rsid w:val="005A177C"/>
    <w:rsid w:val="005A1803"/>
    <w:rsid w:val="005A1C81"/>
    <w:rsid w:val="005A1CED"/>
    <w:rsid w:val="005A1D2E"/>
    <w:rsid w:val="005A2D33"/>
    <w:rsid w:val="005A2E2C"/>
    <w:rsid w:val="005A4F7C"/>
    <w:rsid w:val="005A5148"/>
    <w:rsid w:val="005A5E75"/>
    <w:rsid w:val="005A6654"/>
    <w:rsid w:val="005A6A48"/>
    <w:rsid w:val="005A79CC"/>
    <w:rsid w:val="005A7A72"/>
    <w:rsid w:val="005A7C3E"/>
    <w:rsid w:val="005A7DD6"/>
    <w:rsid w:val="005A7E00"/>
    <w:rsid w:val="005A7FF6"/>
    <w:rsid w:val="005B0732"/>
    <w:rsid w:val="005B18AC"/>
    <w:rsid w:val="005B18D2"/>
    <w:rsid w:val="005B203B"/>
    <w:rsid w:val="005B231E"/>
    <w:rsid w:val="005B3D2A"/>
    <w:rsid w:val="005B4401"/>
    <w:rsid w:val="005B481E"/>
    <w:rsid w:val="005B654A"/>
    <w:rsid w:val="005B6775"/>
    <w:rsid w:val="005B6CC8"/>
    <w:rsid w:val="005B71A0"/>
    <w:rsid w:val="005B7258"/>
    <w:rsid w:val="005B747A"/>
    <w:rsid w:val="005B7D96"/>
    <w:rsid w:val="005C0013"/>
    <w:rsid w:val="005C01FE"/>
    <w:rsid w:val="005C024F"/>
    <w:rsid w:val="005C058B"/>
    <w:rsid w:val="005C06E2"/>
    <w:rsid w:val="005C0790"/>
    <w:rsid w:val="005C1552"/>
    <w:rsid w:val="005C1619"/>
    <w:rsid w:val="005C186D"/>
    <w:rsid w:val="005C1FD4"/>
    <w:rsid w:val="005C22DA"/>
    <w:rsid w:val="005C286F"/>
    <w:rsid w:val="005C2995"/>
    <w:rsid w:val="005C3044"/>
    <w:rsid w:val="005C3A5A"/>
    <w:rsid w:val="005C4A0B"/>
    <w:rsid w:val="005C4AF6"/>
    <w:rsid w:val="005C4CE6"/>
    <w:rsid w:val="005C5DED"/>
    <w:rsid w:val="005C6FD6"/>
    <w:rsid w:val="005C728A"/>
    <w:rsid w:val="005C72FF"/>
    <w:rsid w:val="005C7BE5"/>
    <w:rsid w:val="005C7F6A"/>
    <w:rsid w:val="005D11FC"/>
    <w:rsid w:val="005D2179"/>
    <w:rsid w:val="005D45D9"/>
    <w:rsid w:val="005D55F6"/>
    <w:rsid w:val="005D5633"/>
    <w:rsid w:val="005D5850"/>
    <w:rsid w:val="005D5C7F"/>
    <w:rsid w:val="005D5F97"/>
    <w:rsid w:val="005D6EB7"/>
    <w:rsid w:val="005D783E"/>
    <w:rsid w:val="005E0759"/>
    <w:rsid w:val="005E0EBB"/>
    <w:rsid w:val="005E0ED2"/>
    <w:rsid w:val="005E1260"/>
    <w:rsid w:val="005E1430"/>
    <w:rsid w:val="005E1ABE"/>
    <w:rsid w:val="005E30AD"/>
    <w:rsid w:val="005E3D69"/>
    <w:rsid w:val="005E45A7"/>
    <w:rsid w:val="005E4974"/>
    <w:rsid w:val="005E4CFE"/>
    <w:rsid w:val="005E5A1F"/>
    <w:rsid w:val="005E6867"/>
    <w:rsid w:val="005E7AEF"/>
    <w:rsid w:val="005E7E13"/>
    <w:rsid w:val="005F01A8"/>
    <w:rsid w:val="005F0232"/>
    <w:rsid w:val="005F0BC6"/>
    <w:rsid w:val="005F12FF"/>
    <w:rsid w:val="005F150D"/>
    <w:rsid w:val="005F16A2"/>
    <w:rsid w:val="005F2933"/>
    <w:rsid w:val="005F3D05"/>
    <w:rsid w:val="005F3F00"/>
    <w:rsid w:val="005F53FB"/>
    <w:rsid w:val="005F56AE"/>
    <w:rsid w:val="005F57A5"/>
    <w:rsid w:val="005F64A5"/>
    <w:rsid w:val="005F659C"/>
    <w:rsid w:val="005F69FE"/>
    <w:rsid w:val="005F6D73"/>
    <w:rsid w:val="005F7AF3"/>
    <w:rsid w:val="00600027"/>
    <w:rsid w:val="006002D3"/>
    <w:rsid w:val="00600328"/>
    <w:rsid w:val="00601157"/>
    <w:rsid w:val="006012C3"/>
    <w:rsid w:val="006019BD"/>
    <w:rsid w:val="00602098"/>
    <w:rsid w:val="00602495"/>
    <w:rsid w:val="006027C6"/>
    <w:rsid w:val="00602DEE"/>
    <w:rsid w:val="00602FA9"/>
    <w:rsid w:val="0060393E"/>
    <w:rsid w:val="006039FB"/>
    <w:rsid w:val="00603FF3"/>
    <w:rsid w:val="00604838"/>
    <w:rsid w:val="00604C67"/>
    <w:rsid w:val="006054BB"/>
    <w:rsid w:val="006059C6"/>
    <w:rsid w:val="00605C28"/>
    <w:rsid w:val="00605C94"/>
    <w:rsid w:val="00605E50"/>
    <w:rsid w:val="00606268"/>
    <w:rsid w:val="00606510"/>
    <w:rsid w:val="00606761"/>
    <w:rsid w:val="00606BB3"/>
    <w:rsid w:val="00607055"/>
    <w:rsid w:val="00607888"/>
    <w:rsid w:val="00607A55"/>
    <w:rsid w:val="00610646"/>
    <w:rsid w:val="006119DF"/>
    <w:rsid w:val="00611FEE"/>
    <w:rsid w:val="00612137"/>
    <w:rsid w:val="006122BA"/>
    <w:rsid w:val="0061275F"/>
    <w:rsid w:val="00612B47"/>
    <w:rsid w:val="00613496"/>
    <w:rsid w:val="00613955"/>
    <w:rsid w:val="006147CE"/>
    <w:rsid w:val="00615288"/>
    <w:rsid w:val="006153B4"/>
    <w:rsid w:val="006157F9"/>
    <w:rsid w:val="00616BEA"/>
    <w:rsid w:val="00616C42"/>
    <w:rsid w:val="0061715D"/>
    <w:rsid w:val="006172F0"/>
    <w:rsid w:val="006179E6"/>
    <w:rsid w:val="00620DF5"/>
    <w:rsid w:val="00620FDE"/>
    <w:rsid w:val="00621225"/>
    <w:rsid w:val="006216B4"/>
    <w:rsid w:val="00621EA1"/>
    <w:rsid w:val="00622B41"/>
    <w:rsid w:val="006239F2"/>
    <w:rsid w:val="00626D06"/>
    <w:rsid w:val="0062748E"/>
    <w:rsid w:val="006275BD"/>
    <w:rsid w:val="00627DEB"/>
    <w:rsid w:val="006300C8"/>
    <w:rsid w:val="00630F25"/>
    <w:rsid w:val="006311F2"/>
    <w:rsid w:val="006312EF"/>
    <w:rsid w:val="00631BE0"/>
    <w:rsid w:val="00631F6B"/>
    <w:rsid w:val="006320D4"/>
    <w:rsid w:val="00632DD1"/>
    <w:rsid w:val="00632E72"/>
    <w:rsid w:val="00632F60"/>
    <w:rsid w:val="0063303F"/>
    <w:rsid w:val="006335DB"/>
    <w:rsid w:val="006335EB"/>
    <w:rsid w:val="00633BA2"/>
    <w:rsid w:val="00633C10"/>
    <w:rsid w:val="00634302"/>
    <w:rsid w:val="00634347"/>
    <w:rsid w:val="00635790"/>
    <w:rsid w:val="00635F61"/>
    <w:rsid w:val="006365D3"/>
    <w:rsid w:val="00636961"/>
    <w:rsid w:val="006369AA"/>
    <w:rsid w:val="00636F99"/>
    <w:rsid w:val="00637078"/>
    <w:rsid w:val="00637757"/>
    <w:rsid w:val="006407C0"/>
    <w:rsid w:val="006407D7"/>
    <w:rsid w:val="00640937"/>
    <w:rsid w:val="00640E1A"/>
    <w:rsid w:val="00640F42"/>
    <w:rsid w:val="006412B3"/>
    <w:rsid w:val="00641543"/>
    <w:rsid w:val="006418B8"/>
    <w:rsid w:val="006419FC"/>
    <w:rsid w:val="00641CF8"/>
    <w:rsid w:val="0064275B"/>
    <w:rsid w:val="00642B2B"/>
    <w:rsid w:val="00642EA7"/>
    <w:rsid w:val="00643479"/>
    <w:rsid w:val="00643DA8"/>
    <w:rsid w:val="00643F06"/>
    <w:rsid w:val="00643F0A"/>
    <w:rsid w:val="00644127"/>
    <w:rsid w:val="006442A3"/>
    <w:rsid w:val="006447A0"/>
    <w:rsid w:val="0064593E"/>
    <w:rsid w:val="00645BD7"/>
    <w:rsid w:val="00646638"/>
    <w:rsid w:val="006469D4"/>
    <w:rsid w:val="00647397"/>
    <w:rsid w:val="006504C4"/>
    <w:rsid w:val="00650665"/>
    <w:rsid w:val="00651048"/>
    <w:rsid w:val="00651580"/>
    <w:rsid w:val="00651927"/>
    <w:rsid w:val="00651A27"/>
    <w:rsid w:val="00651A31"/>
    <w:rsid w:val="00652557"/>
    <w:rsid w:val="0065325E"/>
    <w:rsid w:val="00654523"/>
    <w:rsid w:val="0065532C"/>
    <w:rsid w:val="00655B0F"/>
    <w:rsid w:val="00655E3B"/>
    <w:rsid w:val="0065659F"/>
    <w:rsid w:val="0065729B"/>
    <w:rsid w:val="00657998"/>
    <w:rsid w:val="00661094"/>
    <w:rsid w:val="006619E9"/>
    <w:rsid w:val="006622B4"/>
    <w:rsid w:val="00662AA2"/>
    <w:rsid w:val="00662F17"/>
    <w:rsid w:val="00663606"/>
    <w:rsid w:val="006637FD"/>
    <w:rsid w:val="00663DF1"/>
    <w:rsid w:val="00664403"/>
    <w:rsid w:val="00664A9F"/>
    <w:rsid w:val="00664C1E"/>
    <w:rsid w:val="006654C6"/>
    <w:rsid w:val="00665ECB"/>
    <w:rsid w:val="006668F2"/>
    <w:rsid w:val="00666B21"/>
    <w:rsid w:val="0066734A"/>
    <w:rsid w:val="00667382"/>
    <w:rsid w:val="00670242"/>
    <w:rsid w:val="00670EC5"/>
    <w:rsid w:val="00671160"/>
    <w:rsid w:val="00671173"/>
    <w:rsid w:val="006714DA"/>
    <w:rsid w:val="00671A3B"/>
    <w:rsid w:val="00671BF9"/>
    <w:rsid w:val="00671C6D"/>
    <w:rsid w:val="006725C4"/>
    <w:rsid w:val="006728ED"/>
    <w:rsid w:val="00672AE7"/>
    <w:rsid w:val="00672DF2"/>
    <w:rsid w:val="006732B7"/>
    <w:rsid w:val="00673362"/>
    <w:rsid w:val="00673591"/>
    <w:rsid w:val="006739D0"/>
    <w:rsid w:val="00674816"/>
    <w:rsid w:val="006750AD"/>
    <w:rsid w:val="00675A50"/>
    <w:rsid w:val="006760D5"/>
    <w:rsid w:val="00676129"/>
    <w:rsid w:val="00676360"/>
    <w:rsid w:val="00677F62"/>
    <w:rsid w:val="0068012A"/>
    <w:rsid w:val="00680740"/>
    <w:rsid w:val="00680AFE"/>
    <w:rsid w:val="00680DFC"/>
    <w:rsid w:val="00682EBC"/>
    <w:rsid w:val="00683C43"/>
    <w:rsid w:val="00683EE5"/>
    <w:rsid w:val="00685244"/>
    <w:rsid w:val="00685EA7"/>
    <w:rsid w:val="00687288"/>
    <w:rsid w:val="006873F5"/>
    <w:rsid w:val="00687441"/>
    <w:rsid w:val="006903C1"/>
    <w:rsid w:val="00690988"/>
    <w:rsid w:val="006909B9"/>
    <w:rsid w:val="00690C66"/>
    <w:rsid w:val="00690DBC"/>
    <w:rsid w:val="006918DB"/>
    <w:rsid w:val="00691A2A"/>
    <w:rsid w:val="00691C73"/>
    <w:rsid w:val="006930D4"/>
    <w:rsid w:val="00693A22"/>
    <w:rsid w:val="006943AE"/>
    <w:rsid w:val="00694BA0"/>
    <w:rsid w:val="00694DB6"/>
    <w:rsid w:val="00694ECB"/>
    <w:rsid w:val="006950C0"/>
    <w:rsid w:val="0069525C"/>
    <w:rsid w:val="0069545B"/>
    <w:rsid w:val="00695A7E"/>
    <w:rsid w:val="00695DA4"/>
    <w:rsid w:val="0069603A"/>
    <w:rsid w:val="00697C81"/>
    <w:rsid w:val="006A0AC6"/>
    <w:rsid w:val="006A0AF6"/>
    <w:rsid w:val="006A0E5B"/>
    <w:rsid w:val="006A0EB8"/>
    <w:rsid w:val="006A170B"/>
    <w:rsid w:val="006A1DE4"/>
    <w:rsid w:val="006A2F87"/>
    <w:rsid w:val="006A3101"/>
    <w:rsid w:val="006A311F"/>
    <w:rsid w:val="006A3658"/>
    <w:rsid w:val="006A393F"/>
    <w:rsid w:val="006A4344"/>
    <w:rsid w:val="006A48EE"/>
    <w:rsid w:val="006A4B75"/>
    <w:rsid w:val="006A6F44"/>
    <w:rsid w:val="006A6FB0"/>
    <w:rsid w:val="006A7683"/>
    <w:rsid w:val="006A7684"/>
    <w:rsid w:val="006A78D5"/>
    <w:rsid w:val="006A7F70"/>
    <w:rsid w:val="006B08B1"/>
    <w:rsid w:val="006B0B3C"/>
    <w:rsid w:val="006B1FB4"/>
    <w:rsid w:val="006B202E"/>
    <w:rsid w:val="006B21B9"/>
    <w:rsid w:val="006B2290"/>
    <w:rsid w:val="006B23E2"/>
    <w:rsid w:val="006B2F21"/>
    <w:rsid w:val="006B3178"/>
    <w:rsid w:val="006B35E1"/>
    <w:rsid w:val="006B3B08"/>
    <w:rsid w:val="006B4176"/>
    <w:rsid w:val="006B4A0C"/>
    <w:rsid w:val="006B555A"/>
    <w:rsid w:val="006B6A2D"/>
    <w:rsid w:val="006B72B8"/>
    <w:rsid w:val="006B76A8"/>
    <w:rsid w:val="006B7D7F"/>
    <w:rsid w:val="006B7F14"/>
    <w:rsid w:val="006C01A8"/>
    <w:rsid w:val="006C03E3"/>
    <w:rsid w:val="006C06AA"/>
    <w:rsid w:val="006C16AF"/>
    <w:rsid w:val="006C16C8"/>
    <w:rsid w:val="006C1F1A"/>
    <w:rsid w:val="006C2AEC"/>
    <w:rsid w:val="006C3348"/>
    <w:rsid w:val="006C3C99"/>
    <w:rsid w:val="006C4E6D"/>
    <w:rsid w:val="006C5B88"/>
    <w:rsid w:val="006C6BD7"/>
    <w:rsid w:val="006C777B"/>
    <w:rsid w:val="006C7FDA"/>
    <w:rsid w:val="006D22E6"/>
    <w:rsid w:val="006D2452"/>
    <w:rsid w:val="006D27BC"/>
    <w:rsid w:val="006D2A57"/>
    <w:rsid w:val="006D2DCB"/>
    <w:rsid w:val="006D2FAF"/>
    <w:rsid w:val="006D34C8"/>
    <w:rsid w:val="006D36EA"/>
    <w:rsid w:val="006D38D5"/>
    <w:rsid w:val="006D3E7C"/>
    <w:rsid w:val="006D44FF"/>
    <w:rsid w:val="006D4D0D"/>
    <w:rsid w:val="006D5797"/>
    <w:rsid w:val="006D5AEF"/>
    <w:rsid w:val="006D63E5"/>
    <w:rsid w:val="006D7D9C"/>
    <w:rsid w:val="006E18EC"/>
    <w:rsid w:val="006E213B"/>
    <w:rsid w:val="006E2346"/>
    <w:rsid w:val="006E2504"/>
    <w:rsid w:val="006E365D"/>
    <w:rsid w:val="006E3A75"/>
    <w:rsid w:val="006E3CF9"/>
    <w:rsid w:val="006E5542"/>
    <w:rsid w:val="006E5688"/>
    <w:rsid w:val="006E5A71"/>
    <w:rsid w:val="006E61C7"/>
    <w:rsid w:val="006E6548"/>
    <w:rsid w:val="006E6C52"/>
    <w:rsid w:val="006E6C6E"/>
    <w:rsid w:val="006E743F"/>
    <w:rsid w:val="006E75F8"/>
    <w:rsid w:val="006E762F"/>
    <w:rsid w:val="006E7CF7"/>
    <w:rsid w:val="006F02DD"/>
    <w:rsid w:val="006F09E6"/>
    <w:rsid w:val="006F219D"/>
    <w:rsid w:val="006F320A"/>
    <w:rsid w:val="006F3B7E"/>
    <w:rsid w:val="006F3F07"/>
    <w:rsid w:val="006F45DC"/>
    <w:rsid w:val="006F4661"/>
    <w:rsid w:val="006F4670"/>
    <w:rsid w:val="006F5095"/>
    <w:rsid w:val="006F5A31"/>
    <w:rsid w:val="006F5E98"/>
    <w:rsid w:val="006F6AF2"/>
    <w:rsid w:val="006F6EE3"/>
    <w:rsid w:val="006F793F"/>
    <w:rsid w:val="006F7AA2"/>
    <w:rsid w:val="00700096"/>
    <w:rsid w:val="0070080B"/>
    <w:rsid w:val="00700ECD"/>
    <w:rsid w:val="00700F04"/>
    <w:rsid w:val="00700F57"/>
    <w:rsid w:val="00701001"/>
    <w:rsid w:val="00703013"/>
    <w:rsid w:val="007032AD"/>
    <w:rsid w:val="00703A10"/>
    <w:rsid w:val="00703ED5"/>
    <w:rsid w:val="007042E9"/>
    <w:rsid w:val="007046E7"/>
    <w:rsid w:val="007047F8"/>
    <w:rsid w:val="00704C56"/>
    <w:rsid w:val="00704E7B"/>
    <w:rsid w:val="0070532C"/>
    <w:rsid w:val="007054AC"/>
    <w:rsid w:val="00705C3D"/>
    <w:rsid w:val="00706050"/>
    <w:rsid w:val="00706339"/>
    <w:rsid w:val="007066A4"/>
    <w:rsid w:val="00710269"/>
    <w:rsid w:val="00710AD4"/>
    <w:rsid w:val="00710D42"/>
    <w:rsid w:val="00711E83"/>
    <w:rsid w:val="007130D3"/>
    <w:rsid w:val="007137CD"/>
    <w:rsid w:val="007141E8"/>
    <w:rsid w:val="007147E2"/>
    <w:rsid w:val="00714F4D"/>
    <w:rsid w:val="00715548"/>
    <w:rsid w:val="00715A19"/>
    <w:rsid w:val="007165B5"/>
    <w:rsid w:val="00716761"/>
    <w:rsid w:val="00716B36"/>
    <w:rsid w:val="00717D88"/>
    <w:rsid w:val="00717F0C"/>
    <w:rsid w:val="00720771"/>
    <w:rsid w:val="00720CF1"/>
    <w:rsid w:val="00720D5C"/>
    <w:rsid w:val="00720E4D"/>
    <w:rsid w:val="007225D0"/>
    <w:rsid w:val="00722846"/>
    <w:rsid w:val="00722F7D"/>
    <w:rsid w:val="00723436"/>
    <w:rsid w:val="007234A6"/>
    <w:rsid w:val="00724088"/>
    <w:rsid w:val="007242DB"/>
    <w:rsid w:val="007249F5"/>
    <w:rsid w:val="00724AF1"/>
    <w:rsid w:val="00724DDF"/>
    <w:rsid w:val="00725490"/>
    <w:rsid w:val="00725BFC"/>
    <w:rsid w:val="00725E29"/>
    <w:rsid w:val="00725EA1"/>
    <w:rsid w:val="0072790B"/>
    <w:rsid w:val="007303DB"/>
    <w:rsid w:val="0073048B"/>
    <w:rsid w:val="007308A2"/>
    <w:rsid w:val="00732D43"/>
    <w:rsid w:val="00732E9E"/>
    <w:rsid w:val="00733FC4"/>
    <w:rsid w:val="00735756"/>
    <w:rsid w:val="007357BF"/>
    <w:rsid w:val="00736A73"/>
    <w:rsid w:val="0073799D"/>
    <w:rsid w:val="007400AA"/>
    <w:rsid w:val="00740795"/>
    <w:rsid w:val="00740F95"/>
    <w:rsid w:val="0074265C"/>
    <w:rsid w:val="007429C1"/>
    <w:rsid w:val="0074370A"/>
    <w:rsid w:val="00743C91"/>
    <w:rsid w:val="00743CD3"/>
    <w:rsid w:val="007443F0"/>
    <w:rsid w:val="00744B41"/>
    <w:rsid w:val="00744D30"/>
    <w:rsid w:val="0074593A"/>
    <w:rsid w:val="007459F7"/>
    <w:rsid w:val="00745B42"/>
    <w:rsid w:val="00745C34"/>
    <w:rsid w:val="007460BB"/>
    <w:rsid w:val="00746C3D"/>
    <w:rsid w:val="00747098"/>
    <w:rsid w:val="007478B3"/>
    <w:rsid w:val="00747CC4"/>
    <w:rsid w:val="00747EC1"/>
    <w:rsid w:val="0075050F"/>
    <w:rsid w:val="00750617"/>
    <w:rsid w:val="007508C0"/>
    <w:rsid w:val="00750979"/>
    <w:rsid w:val="00750D6D"/>
    <w:rsid w:val="0075184E"/>
    <w:rsid w:val="00751928"/>
    <w:rsid w:val="00751EC0"/>
    <w:rsid w:val="007523D5"/>
    <w:rsid w:val="00752940"/>
    <w:rsid w:val="00752F13"/>
    <w:rsid w:val="00753DAE"/>
    <w:rsid w:val="007547D1"/>
    <w:rsid w:val="00754ABC"/>
    <w:rsid w:val="00754B33"/>
    <w:rsid w:val="00754D5A"/>
    <w:rsid w:val="00755215"/>
    <w:rsid w:val="00755561"/>
    <w:rsid w:val="00755DEE"/>
    <w:rsid w:val="00756850"/>
    <w:rsid w:val="00756D6E"/>
    <w:rsid w:val="00757267"/>
    <w:rsid w:val="007572EF"/>
    <w:rsid w:val="0075798E"/>
    <w:rsid w:val="00757F9A"/>
    <w:rsid w:val="007600A1"/>
    <w:rsid w:val="00760BE8"/>
    <w:rsid w:val="00761622"/>
    <w:rsid w:val="007628FF"/>
    <w:rsid w:val="007629C1"/>
    <w:rsid w:val="007629E3"/>
    <w:rsid w:val="00763948"/>
    <w:rsid w:val="00764597"/>
    <w:rsid w:val="007668C6"/>
    <w:rsid w:val="00767AD6"/>
    <w:rsid w:val="00770145"/>
    <w:rsid w:val="00770F8D"/>
    <w:rsid w:val="00770FA9"/>
    <w:rsid w:val="00771E0E"/>
    <w:rsid w:val="00772B87"/>
    <w:rsid w:val="0077351F"/>
    <w:rsid w:val="00773EA9"/>
    <w:rsid w:val="00773F9A"/>
    <w:rsid w:val="00775069"/>
    <w:rsid w:val="0077547F"/>
    <w:rsid w:val="00775A1C"/>
    <w:rsid w:val="00782AA7"/>
    <w:rsid w:val="00783099"/>
    <w:rsid w:val="00783C8E"/>
    <w:rsid w:val="0078442C"/>
    <w:rsid w:val="0078488C"/>
    <w:rsid w:val="00785032"/>
    <w:rsid w:val="00785430"/>
    <w:rsid w:val="00785A1A"/>
    <w:rsid w:val="00786056"/>
    <w:rsid w:val="00786AF9"/>
    <w:rsid w:val="00787A14"/>
    <w:rsid w:val="007903BD"/>
    <w:rsid w:val="00790F2A"/>
    <w:rsid w:val="00791BAF"/>
    <w:rsid w:val="0079266A"/>
    <w:rsid w:val="007930A4"/>
    <w:rsid w:val="0079314B"/>
    <w:rsid w:val="007933A1"/>
    <w:rsid w:val="007942D3"/>
    <w:rsid w:val="00794371"/>
    <w:rsid w:val="00794BDD"/>
    <w:rsid w:val="00796161"/>
    <w:rsid w:val="007967EA"/>
    <w:rsid w:val="00796D71"/>
    <w:rsid w:val="00797880"/>
    <w:rsid w:val="00797EDB"/>
    <w:rsid w:val="007A01A7"/>
    <w:rsid w:val="007A05CD"/>
    <w:rsid w:val="007A08DF"/>
    <w:rsid w:val="007A11A6"/>
    <w:rsid w:val="007A185D"/>
    <w:rsid w:val="007A1E68"/>
    <w:rsid w:val="007A21AD"/>
    <w:rsid w:val="007A23C3"/>
    <w:rsid w:val="007A26CC"/>
    <w:rsid w:val="007A2BB2"/>
    <w:rsid w:val="007A371F"/>
    <w:rsid w:val="007A3F90"/>
    <w:rsid w:val="007A3FEE"/>
    <w:rsid w:val="007A40F1"/>
    <w:rsid w:val="007A413E"/>
    <w:rsid w:val="007A5716"/>
    <w:rsid w:val="007A5B86"/>
    <w:rsid w:val="007A5D4F"/>
    <w:rsid w:val="007A5EAF"/>
    <w:rsid w:val="007A5FF9"/>
    <w:rsid w:val="007A64CF"/>
    <w:rsid w:val="007A69F0"/>
    <w:rsid w:val="007A707F"/>
    <w:rsid w:val="007B00CD"/>
    <w:rsid w:val="007B1ECB"/>
    <w:rsid w:val="007B1EE1"/>
    <w:rsid w:val="007B2099"/>
    <w:rsid w:val="007B2531"/>
    <w:rsid w:val="007B29F3"/>
    <w:rsid w:val="007B308B"/>
    <w:rsid w:val="007B341C"/>
    <w:rsid w:val="007B3FDA"/>
    <w:rsid w:val="007B477A"/>
    <w:rsid w:val="007B59C2"/>
    <w:rsid w:val="007B626F"/>
    <w:rsid w:val="007B62D6"/>
    <w:rsid w:val="007B6C09"/>
    <w:rsid w:val="007B7167"/>
    <w:rsid w:val="007B7741"/>
    <w:rsid w:val="007B789B"/>
    <w:rsid w:val="007B7EF2"/>
    <w:rsid w:val="007C01F4"/>
    <w:rsid w:val="007C055C"/>
    <w:rsid w:val="007C1227"/>
    <w:rsid w:val="007C1268"/>
    <w:rsid w:val="007C1E0A"/>
    <w:rsid w:val="007C2DE6"/>
    <w:rsid w:val="007C3261"/>
    <w:rsid w:val="007C3366"/>
    <w:rsid w:val="007C350C"/>
    <w:rsid w:val="007C4169"/>
    <w:rsid w:val="007C47FA"/>
    <w:rsid w:val="007C4DFD"/>
    <w:rsid w:val="007C561C"/>
    <w:rsid w:val="007C56FC"/>
    <w:rsid w:val="007C581F"/>
    <w:rsid w:val="007C62D7"/>
    <w:rsid w:val="007C6314"/>
    <w:rsid w:val="007C79CF"/>
    <w:rsid w:val="007D00D9"/>
    <w:rsid w:val="007D0676"/>
    <w:rsid w:val="007D0F9D"/>
    <w:rsid w:val="007D2348"/>
    <w:rsid w:val="007D250F"/>
    <w:rsid w:val="007D2ACC"/>
    <w:rsid w:val="007D3048"/>
    <w:rsid w:val="007D420A"/>
    <w:rsid w:val="007D425F"/>
    <w:rsid w:val="007D4957"/>
    <w:rsid w:val="007D4B87"/>
    <w:rsid w:val="007D5202"/>
    <w:rsid w:val="007D59F3"/>
    <w:rsid w:val="007D5E4F"/>
    <w:rsid w:val="007D61B4"/>
    <w:rsid w:val="007E0714"/>
    <w:rsid w:val="007E07C7"/>
    <w:rsid w:val="007E09DA"/>
    <w:rsid w:val="007E3149"/>
    <w:rsid w:val="007E3940"/>
    <w:rsid w:val="007E3AC0"/>
    <w:rsid w:val="007E3C65"/>
    <w:rsid w:val="007E3E5D"/>
    <w:rsid w:val="007E5803"/>
    <w:rsid w:val="007E5BF2"/>
    <w:rsid w:val="007E6DAB"/>
    <w:rsid w:val="007E702F"/>
    <w:rsid w:val="007E7267"/>
    <w:rsid w:val="007E7F71"/>
    <w:rsid w:val="007F0024"/>
    <w:rsid w:val="007F024E"/>
    <w:rsid w:val="007F027C"/>
    <w:rsid w:val="007F0A7C"/>
    <w:rsid w:val="007F0CA8"/>
    <w:rsid w:val="007F0CE8"/>
    <w:rsid w:val="007F0D04"/>
    <w:rsid w:val="007F20F0"/>
    <w:rsid w:val="007F39A1"/>
    <w:rsid w:val="007F3F13"/>
    <w:rsid w:val="007F4170"/>
    <w:rsid w:val="007F45EB"/>
    <w:rsid w:val="007F5190"/>
    <w:rsid w:val="007F5213"/>
    <w:rsid w:val="007F53F5"/>
    <w:rsid w:val="007F57DC"/>
    <w:rsid w:val="007F5D35"/>
    <w:rsid w:val="007F63B4"/>
    <w:rsid w:val="007F67B4"/>
    <w:rsid w:val="007F6C32"/>
    <w:rsid w:val="007F6FAD"/>
    <w:rsid w:val="007F7323"/>
    <w:rsid w:val="00800A2D"/>
    <w:rsid w:val="00800ABE"/>
    <w:rsid w:val="00800DA6"/>
    <w:rsid w:val="00801536"/>
    <w:rsid w:val="008022D8"/>
    <w:rsid w:val="008023E9"/>
    <w:rsid w:val="00802755"/>
    <w:rsid w:val="0080279B"/>
    <w:rsid w:val="00803E64"/>
    <w:rsid w:val="00803FCA"/>
    <w:rsid w:val="00804286"/>
    <w:rsid w:val="008049CC"/>
    <w:rsid w:val="00805048"/>
    <w:rsid w:val="008068EB"/>
    <w:rsid w:val="00806A02"/>
    <w:rsid w:val="00807192"/>
    <w:rsid w:val="008073D6"/>
    <w:rsid w:val="00807E22"/>
    <w:rsid w:val="0081018E"/>
    <w:rsid w:val="0081037E"/>
    <w:rsid w:val="00810410"/>
    <w:rsid w:val="008107AF"/>
    <w:rsid w:val="008114CF"/>
    <w:rsid w:val="0081195A"/>
    <w:rsid w:val="00811965"/>
    <w:rsid w:val="008120AE"/>
    <w:rsid w:val="00812132"/>
    <w:rsid w:val="008125A7"/>
    <w:rsid w:val="008127F1"/>
    <w:rsid w:val="008128D2"/>
    <w:rsid w:val="00813E4E"/>
    <w:rsid w:val="008144B0"/>
    <w:rsid w:val="00814769"/>
    <w:rsid w:val="008147C7"/>
    <w:rsid w:val="0081522F"/>
    <w:rsid w:val="008156F8"/>
    <w:rsid w:val="00815AA7"/>
    <w:rsid w:val="008165BA"/>
    <w:rsid w:val="008166D0"/>
    <w:rsid w:val="008178B6"/>
    <w:rsid w:val="00817E50"/>
    <w:rsid w:val="00817EF0"/>
    <w:rsid w:val="00820031"/>
    <w:rsid w:val="00821364"/>
    <w:rsid w:val="008213B9"/>
    <w:rsid w:val="00821828"/>
    <w:rsid w:val="00821A95"/>
    <w:rsid w:val="00821BA5"/>
    <w:rsid w:val="00821DE4"/>
    <w:rsid w:val="0082249A"/>
    <w:rsid w:val="00822701"/>
    <w:rsid w:val="00822EE0"/>
    <w:rsid w:val="00823841"/>
    <w:rsid w:val="00823EBF"/>
    <w:rsid w:val="00824D43"/>
    <w:rsid w:val="00824EF9"/>
    <w:rsid w:val="00825BE5"/>
    <w:rsid w:val="00826162"/>
    <w:rsid w:val="00826989"/>
    <w:rsid w:val="008272F1"/>
    <w:rsid w:val="00827E91"/>
    <w:rsid w:val="00827FEE"/>
    <w:rsid w:val="008303EF"/>
    <w:rsid w:val="008309A3"/>
    <w:rsid w:val="00830AE1"/>
    <w:rsid w:val="008319FD"/>
    <w:rsid w:val="008331D8"/>
    <w:rsid w:val="0083359E"/>
    <w:rsid w:val="00833B2D"/>
    <w:rsid w:val="0083440B"/>
    <w:rsid w:val="00834EE7"/>
    <w:rsid w:val="00835078"/>
    <w:rsid w:val="008358A9"/>
    <w:rsid w:val="00835E06"/>
    <w:rsid w:val="00835F8F"/>
    <w:rsid w:val="00836848"/>
    <w:rsid w:val="00836873"/>
    <w:rsid w:val="00836CC0"/>
    <w:rsid w:val="008377F3"/>
    <w:rsid w:val="0083796B"/>
    <w:rsid w:val="00837DA1"/>
    <w:rsid w:val="00837F84"/>
    <w:rsid w:val="0084062A"/>
    <w:rsid w:val="00840860"/>
    <w:rsid w:val="00840B84"/>
    <w:rsid w:val="00842FF6"/>
    <w:rsid w:val="00843105"/>
    <w:rsid w:val="00844530"/>
    <w:rsid w:val="008447A3"/>
    <w:rsid w:val="00844D84"/>
    <w:rsid w:val="00845198"/>
    <w:rsid w:val="00846496"/>
    <w:rsid w:val="00846C5C"/>
    <w:rsid w:val="00851375"/>
    <w:rsid w:val="008519C2"/>
    <w:rsid w:val="00851A41"/>
    <w:rsid w:val="008521DB"/>
    <w:rsid w:val="00852971"/>
    <w:rsid w:val="00852A61"/>
    <w:rsid w:val="00852CBF"/>
    <w:rsid w:val="00853231"/>
    <w:rsid w:val="0085568C"/>
    <w:rsid w:val="00855AFF"/>
    <w:rsid w:val="00855B51"/>
    <w:rsid w:val="00855B78"/>
    <w:rsid w:val="00855EB9"/>
    <w:rsid w:val="008561B7"/>
    <w:rsid w:val="00856234"/>
    <w:rsid w:val="00857D51"/>
    <w:rsid w:val="00860236"/>
    <w:rsid w:val="00860832"/>
    <w:rsid w:val="008615BB"/>
    <w:rsid w:val="00861F51"/>
    <w:rsid w:val="008629E4"/>
    <w:rsid w:val="00862C6C"/>
    <w:rsid w:val="00863C43"/>
    <w:rsid w:val="00863E06"/>
    <w:rsid w:val="00864098"/>
    <w:rsid w:val="00864A31"/>
    <w:rsid w:val="00865B05"/>
    <w:rsid w:val="00865B74"/>
    <w:rsid w:val="00866BE2"/>
    <w:rsid w:val="008703E8"/>
    <w:rsid w:val="00870557"/>
    <w:rsid w:val="00870B5E"/>
    <w:rsid w:val="00870DA1"/>
    <w:rsid w:val="00870DFC"/>
    <w:rsid w:val="00870FD9"/>
    <w:rsid w:val="008723C5"/>
    <w:rsid w:val="00873422"/>
    <w:rsid w:val="008736E8"/>
    <w:rsid w:val="00873CDB"/>
    <w:rsid w:val="008752CE"/>
    <w:rsid w:val="00875A95"/>
    <w:rsid w:val="00875AF2"/>
    <w:rsid w:val="00875D3A"/>
    <w:rsid w:val="00877CD0"/>
    <w:rsid w:val="00877FF2"/>
    <w:rsid w:val="00880208"/>
    <w:rsid w:val="0088082D"/>
    <w:rsid w:val="0088098B"/>
    <w:rsid w:val="00880BFC"/>
    <w:rsid w:val="008814D8"/>
    <w:rsid w:val="0088174B"/>
    <w:rsid w:val="00881A69"/>
    <w:rsid w:val="00881BE1"/>
    <w:rsid w:val="00882534"/>
    <w:rsid w:val="0088277D"/>
    <w:rsid w:val="00882AF7"/>
    <w:rsid w:val="008832EC"/>
    <w:rsid w:val="00884632"/>
    <w:rsid w:val="00884704"/>
    <w:rsid w:val="008848F2"/>
    <w:rsid w:val="008851BE"/>
    <w:rsid w:val="008870DF"/>
    <w:rsid w:val="0088744A"/>
    <w:rsid w:val="008905BE"/>
    <w:rsid w:val="008912AC"/>
    <w:rsid w:val="00891D4C"/>
    <w:rsid w:val="0089394D"/>
    <w:rsid w:val="00893C7E"/>
    <w:rsid w:val="00893FBA"/>
    <w:rsid w:val="0089447E"/>
    <w:rsid w:val="00894BED"/>
    <w:rsid w:val="00894EAA"/>
    <w:rsid w:val="00896669"/>
    <w:rsid w:val="00896C76"/>
    <w:rsid w:val="008974F0"/>
    <w:rsid w:val="00897515"/>
    <w:rsid w:val="008A01F7"/>
    <w:rsid w:val="008A03F2"/>
    <w:rsid w:val="008A0D39"/>
    <w:rsid w:val="008A0D7F"/>
    <w:rsid w:val="008A1151"/>
    <w:rsid w:val="008A19E5"/>
    <w:rsid w:val="008A1C08"/>
    <w:rsid w:val="008A215C"/>
    <w:rsid w:val="008A3533"/>
    <w:rsid w:val="008A3E5C"/>
    <w:rsid w:val="008A3F64"/>
    <w:rsid w:val="008A57A8"/>
    <w:rsid w:val="008A6124"/>
    <w:rsid w:val="008A6465"/>
    <w:rsid w:val="008A65AB"/>
    <w:rsid w:val="008A7C0D"/>
    <w:rsid w:val="008A7C64"/>
    <w:rsid w:val="008B012A"/>
    <w:rsid w:val="008B040F"/>
    <w:rsid w:val="008B25F6"/>
    <w:rsid w:val="008B2708"/>
    <w:rsid w:val="008B2F7C"/>
    <w:rsid w:val="008B3CFD"/>
    <w:rsid w:val="008B4332"/>
    <w:rsid w:val="008B4916"/>
    <w:rsid w:val="008B5D58"/>
    <w:rsid w:val="008B662F"/>
    <w:rsid w:val="008B66EE"/>
    <w:rsid w:val="008B740B"/>
    <w:rsid w:val="008B7DF4"/>
    <w:rsid w:val="008C08DF"/>
    <w:rsid w:val="008C1796"/>
    <w:rsid w:val="008C18A1"/>
    <w:rsid w:val="008C1B24"/>
    <w:rsid w:val="008C203D"/>
    <w:rsid w:val="008C22D4"/>
    <w:rsid w:val="008C23F4"/>
    <w:rsid w:val="008C25D7"/>
    <w:rsid w:val="008C378F"/>
    <w:rsid w:val="008C379F"/>
    <w:rsid w:val="008C3C0B"/>
    <w:rsid w:val="008C4131"/>
    <w:rsid w:val="008C416A"/>
    <w:rsid w:val="008C47BB"/>
    <w:rsid w:val="008C6B94"/>
    <w:rsid w:val="008C7600"/>
    <w:rsid w:val="008C7612"/>
    <w:rsid w:val="008D00F1"/>
    <w:rsid w:val="008D11CE"/>
    <w:rsid w:val="008D14A1"/>
    <w:rsid w:val="008D1EA7"/>
    <w:rsid w:val="008D1F1E"/>
    <w:rsid w:val="008D21E3"/>
    <w:rsid w:val="008D252E"/>
    <w:rsid w:val="008D2937"/>
    <w:rsid w:val="008D3517"/>
    <w:rsid w:val="008D3ADF"/>
    <w:rsid w:val="008D45C5"/>
    <w:rsid w:val="008D4D00"/>
    <w:rsid w:val="008D4E5D"/>
    <w:rsid w:val="008D5232"/>
    <w:rsid w:val="008D5532"/>
    <w:rsid w:val="008D600D"/>
    <w:rsid w:val="008D6E26"/>
    <w:rsid w:val="008D761B"/>
    <w:rsid w:val="008D791D"/>
    <w:rsid w:val="008E00B8"/>
    <w:rsid w:val="008E0240"/>
    <w:rsid w:val="008E0F43"/>
    <w:rsid w:val="008E1135"/>
    <w:rsid w:val="008E1FA9"/>
    <w:rsid w:val="008E2D53"/>
    <w:rsid w:val="008E2F78"/>
    <w:rsid w:val="008E3028"/>
    <w:rsid w:val="008E315A"/>
    <w:rsid w:val="008E3266"/>
    <w:rsid w:val="008E4707"/>
    <w:rsid w:val="008E545E"/>
    <w:rsid w:val="008E564B"/>
    <w:rsid w:val="008E600B"/>
    <w:rsid w:val="008E63CE"/>
    <w:rsid w:val="008E6500"/>
    <w:rsid w:val="008E6736"/>
    <w:rsid w:val="008E73B0"/>
    <w:rsid w:val="008E789F"/>
    <w:rsid w:val="008F0FD9"/>
    <w:rsid w:val="008F12B6"/>
    <w:rsid w:val="008F2035"/>
    <w:rsid w:val="008F2719"/>
    <w:rsid w:val="008F2BD2"/>
    <w:rsid w:val="008F303C"/>
    <w:rsid w:val="008F3420"/>
    <w:rsid w:val="008F4E41"/>
    <w:rsid w:val="008F626F"/>
    <w:rsid w:val="008F630A"/>
    <w:rsid w:val="008F6776"/>
    <w:rsid w:val="0090075A"/>
    <w:rsid w:val="009018EF"/>
    <w:rsid w:val="00901E72"/>
    <w:rsid w:val="00901FD1"/>
    <w:rsid w:val="00902AC4"/>
    <w:rsid w:val="00902CAF"/>
    <w:rsid w:val="00902ECA"/>
    <w:rsid w:val="009033D3"/>
    <w:rsid w:val="00903CB1"/>
    <w:rsid w:val="00903CC8"/>
    <w:rsid w:val="00903CD7"/>
    <w:rsid w:val="00904059"/>
    <w:rsid w:val="00904D85"/>
    <w:rsid w:val="009064C5"/>
    <w:rsid w:val="00906AF9"/>
    <w:rsid w:val="00906E17"/>
    <w:rsid w:val="00906E74"/>
    <w:rsid w:val="009072D7"/>
    <w:rsid w:val="00910AF6"/>
    <w:rsid w:val="00911E7E"/>
    <w:rsid w:val="00912FBA"/>
    <w:rsid w:val="009138C0"/>
    <w:rsid w:val="00913EF6"/>
    <w:rsid w:val="00914008"/>
    <w:rsid w:val="00914126"/>
    <w:rsid w:val="0091526F"/>
    <w:rsid w:val="00915433"/>
    <w:rsid w:val="00915821"/>
    <w:rsid w:val="00915883"/>
    <w:rsid w:val="00915A52"/>
    <w:rsid w:val="009173E0"/>
    <w:rsid w:val="00917564"/>
    <w:rsid w:val="0091761B"/>
    <w:rsid w:val="00917C71"/>
    <w:rsid w:val="00920214"/>
    <w:rsid w:val="00920863"/>
    <w:rsid w:val="009219D6"/>
    <w:rsid w:val="0092203B"/>
    <w:rsid w:val="00922C03"/>
    <w:rsid w:val="00923260"/>
    <w:rsid w:val="00923A6F"/>
    <w:rsid w:val="00923CF8"/>
    <w:rsid w:val="009245B6"/>
    <w:rsid w:val="00924EBE"/>
    <w:rsid w:val="009251DA"/>
    <w:rsid w:val="00925342"/>
    <w:rsid w:val="009256B5"/>
    <w:rsid w:val="00925F15"/>
    <w:rsid w:val="009260D0"/>
    <w:rsid w:val="009263A9"/>
    <w:rsid w:val="00927B11"/>
    <w:rsid w:val="00927B64"/>
    <w:rsid w:val="00927BF8"/>
    <w:rsid w:val="00930BA1"/>
    <w:rsid w:val="00930CDE"/>
    <w:rsid w:val="00931133"/>
    <w:rsid w:val="0093132A"/>
    <w:rsid w:val="0093157A"/>
    <w:rsid w:val="0093169E"/>
    <w:rsid w:val="00931DDE"/>
    <w:rsid w:val="00932FDC"/>
    <w:rsid w:val="00933229"/>
    <w:rsid w:val="009337CF"/>
    <w:rsid w:val="00933E3B"/>
    <w:rsid w:val="00933F2C"/>
    <w:rsid w:val="00934228"/>
    <w:rsid w:val="00934F5C"/>
    <w:rsid w:val="009354B4"/>
    <w:rsid w:val="009355C5"/>
    <w:rsid w:val="009359E4"/>
    <w:rsid w:val="009403BC"/>
    <w:rsid w:val="00941A47"/>
    <w:rsid w:val="00941A54"/>
    <w:rsid w:val="00942CC3"/>
    <w:rsid w:val="0094301E"/>
    <w:rsid w:val="0094446B"/>
    <w:rsid w:val="009444C2"/>
    <w:rsid w:val="0094458E"/>
    <w:rsid w:val="00944892"/>
    <w:rsid w:val="00944AEF"/>
    <w:rsid w:val="009450C5"/>
    <w:rsid w:val="0094530D"/>
    <w:rsid w:val="009473EF"/>
    <w:rsid w:val="0094785D"/>
    <w:rsid w:val="009503C8"/>
    <w:rsid w:val="009504F6"/>
    <w:rsid w:val="009505C9"/>
    <w:rsid w:val="00950752"/>
    <w:rsid w:val="009508D2"/>
    <w:rsid w:val="00950BE4"/>
    <w:rsid w:val="00951193"/>
    <w:rsid w:val="00951B1F"/>
    <w:rsid w:val="00952864"/>
    <w:rsid w:val="0095385B"/>
    <w:rsid w:val="00953F53"/>
    <w:rsid w:val="00954094"/>
    <w:rsid w:val="0095465E"/>
    <w:rsid w:val="00955317"/>
    <w:rsid w:val="00955769"/>
    <w:rsid w:val="0095590D"/>
    <w:rsid w:val="00955BEA"/>
    <w:rsid w:val="00956664"/>
    <w:rsid w:val="009577B2"/>
    <w:rsid w:val="00960CCB"/>
    <w:rsid w:val="00961776"/>
    <w:rsid w:val="00961EDE"/>
    <w:rsid w:val="00961EEE"/>
    <w:rsid w:val="00962859"/>
    <w:rsid w:val="00962AA9"/>
    <w:rsid w:val="0096328D"/>
    <w:rsid w:val="00963618"/>
    <w:rsid w:val="00964710"/>
    <w:rsid w:val="0096486D"/>
    <w:rsid w:val="00964C2A"/>
    <w:rsid w:val="00966424"/>
    <w:rsid w:val="00966902"/>
    <w:rsid w:val="00966C80"/>
    <w:rsid w:val="00966D25"/>
    <w:rsid w:val="00967183"/>
    <w:rsid w:val="009675F5"/>
    <w:rsid w:val="00967F95"/>
    <w:rsid w:val="00970181"/>
    <w:rsid w:val="00970814"/>
    <w:rsid w:val="009710DF"/>
    <w:rsid w:val="00971995"/>
    <w:rsid w:val="00971AFF"/>
    <w:rsid w:val="009722A4"/>
    <w:rsid w:val="00972B2C"/>
    <w:rsid w:val="009734FB"/>
    <w:rsid w:val="00973630"/>
    <w:rsid w:val="00974C78"/>
    <w:rsid w:val="00975FD4"/>
    <w:rsid w:val="00976554"/>
    <w:rsid w:val="00976B90"/>
    <w:rsid w:val="00976CC9"/>
    <w:rsid w:val="00977493"/>
    <w:rsid w:val="0097779E"/>
    <w:rsid w:val="00977913"/>
    <w:rsid w:val="00980243"/>
    <w:rsid w:val="009812D5"/>
    <w:rsid w:val="00982800"/>
    <w:rsid w:val="00982FED"/>
    <w:rsid w:val="009836A3"/>
    <w:rsid w:val="00983A06"/>
    <w:rsid w:val="009842DC"/>
    <w:rsid w:val="00984CBA"/>
    <w:rsid w:val="009850A8"/>
    <w:rsid w:val="009857CD"/>
    <w:rsid w:val="00986C62"/>
    <w:rsid w:val="00987896"/>
    <w:rsid w:val="00987E79"/>
    <w:rsid w:val="00990987"/>
    <w:rsid w:val="00990E4E"/>
    <w:rsid w:val="00991198"/>
    <w:rsid w:val="009928A7"/>
    <w:rsid w:val="00992A2C"/>
    <w:rsid w:val="00992C71"/>
    <w:rsid w:val="009931B7"/>
    <w:rsid w:val="00993CF1"/>
    <w:rsid w:val="00993D71"/>
    <w:rsid w:val="00994B70"/>
    <w:rsid w:val="009952D5"/>
    <w:rsid w:val="00995EFB"/>
    <w:rsid w:val="00996828"/>
    <w:rsid w:val="00997FFD"/>
    <w:rsid w:val="009A004F"/>
    <w:rsid w:val="009A015B"/>
    <w:rsid w:val="009A0667"/>
    <w:rsid w:val="009A0848"/>
    <w:rsid w:val="009A0A69"/>
    <w:rsid w:val="009A153A"/>
    <w:rsid w:val="009A1743"/>
    <w:rsid w:val="009A23AD"/>
    <w:rsid w:val="009A2676"/>
    <w:rsid w:val="009A2CF8"/>
    <w:rsid w:val="009A2F26"/>
    <w:rsid w:val="009A385E"/>
    <w:rsid w:val="009A48E2"/>
    <w:rsid w:val="009A5051"/>
    <w:rsid w:val="009A627F"/>
    <w:rsid w:val="009A6FAD"/>
    <w:rsid w:val="009A7379"/>
    <w:rsid w:val="009B1493"/>
    <w:rsid w:val="009B1706"/>
    <w:rsid w:val="009B1873"/>
    <w:rsid w:val="009B1A75"/>
    <w:rsid w:val="009B1E69"/>
    <w:rsid w:val="009B28C1"/>
    <w:rsid w:val="009B30CE"/>
    <w:rsid w:val="009B36FD"/>
    <w:rsid w:val="009B377E"/>
    <w:rsid w:val="009B3C83"/>
    <w:rsid w:val="009B3E1F"/>
    <w:rsid w:val="009B40F1"/>
    <w:rsid w:val="009B45D4"/>
    <w:rsid w:val="009B50FC"/>
    <w:rsid w:val="009B568C"/>
    <w:rsid w:val="009B5F63"/>
    <w:rsid w:val="009B5FBC"/>
    <w:rsid w:val="009B68DB"/>
    <w:rsid w:val="009B69BD"/>
    <w:rsid w:val="009B6E08"/>
    <w:rsid w:val="009B733B"/>
    <w:rsid w:val="009B7739"/>
    <w:rsid w:val="009B7C8F"/>
    <w:rsid w:val="009B7EAB"/>
    <w:rsid w:val="009B7F03"/>
    <w:rsid w:val="009C042B"/>
    <w:rsid w:val="009C062D"/>
    <w:rsid w:val="009C135F"/>
    <w:rsid w:val="009C175D"/>
    <w:rsid w:val="009C2DE6"/>
    <w:rsid w:val="009C3025"/>
    <w:rsid w:val="009C3F87"/>
    <w:rsid w:val="009C685B"/>
    <w:rsid w:val="009C69E3"/>
    <w:rsid w:val="009C6D76"/>
    <w:rsid w:val="009C71E8"/>
    <w:rsid w:val="009C7F11"/>
    <w:rsid w:val="009D023F"/>
    <w:rsid w:val="009D0451"/>
    <w:rsid w:val="009D1043"/>
    <w:rsid w:val="009D1097"/>
    <w:rsid w:val="009D1DC6"/>
    <w:rsid w:val="009D476F"/>
    <w:rsid w:val="009D4FF8"/>
    <w:rsid w:val="009D54E8"/>
    <w:rsid w:val="009D5729"/>
    <w:rsid w:val="009D5E7C"/>
    <w:rsid w:val="009D5FC6"/>
    <w:rsid w:val="009D6341"/>
    <w:rsid w:val="009D67B0"/>
    <w:rsid w:val="009D7B90"/>
    <w:rsid w:val="009E01D9"/>
    <w:rsid w:val="009E0AE0"/>
    <w:rsid w:val="009E1F01"/>
    <w:rsid w:val="009E2B55"/>
    <w:rsid w:val="009E3373"/>
    <w:rsid w:val="009E3A90"/>
    <w:rsid w:val="009E3A9E"/>
    <w:rsid w:val="009E3CF1"/>
    <w:rsid w:val="009E45E9"/>
    <w:rsid w:val="009E60C7"/>
    <w:rsid w:val="009E6273"/>
    <w:rsid w:val="009E7062"/>
    <w:rsid w:val="009E743F"/>
    <w:rsid w:val="009E75D0"/>
    <w:rsid w:val="009F07EA"/>
    <w:rsid w:val="009F0F54"/>
    <w:rsid w:val="009F15B2"/>
    <w:rsid w:val="009F2217"/>
    <w:rsid w:val="009F2B08"/>
    <w:rsid w:val="009F3D59"/>
    <w:rsid w:val="009F3F57"/>
    <w:rsid w:val="009F4995"/>
    <w:rsid w:val="009F4E1D"/>
    <w:rsid w:val="009F501F"/>
    <w:rsid w:val="009F6051"/>
    <w:rsid w:val="009F649B"/>
    <w:rsid w:val="009F68CA"/>
    <w:rsid w:val="009F6A64"/>
    <w:rsid w:val="009F7469"/>
    <w:rsid w:val="009F75E9"/>
    <w:rsid w:val="009F7A90"/>
    <w:rsid w:val="00A00D31"/>
    <w:rsid w:val="00A02B7C"/>
    <w:rsid w:val="00A02D72"/>
    <w:rsid w:val="00A02D9D"/>
    <w:rsid w:val="00A03A66"/>
    <w:rsid w:val="00A04066"/>
    <w:rsid w:val="00A05F56"/>
    <w:rsid w:val="00A060C9"/>
    <w:rsid w:val="00A065A5"/>
    <w:rsid w:val="00A06784"/>
    <w:rsid w:val="00A0691E"/>
    <w:rsid w:val="00A069AB"/>
    <w:rsid w:val="00A06A61"/>
    <w:rsid w:val="00A07648"/>
    <w:rsid w:val="00A077D8"/>
    <w:rsid w:val="00A07A40"/>
    <w:rsid w:val="00A07C67"/>
    <w:rsid w:val="00A10058"/>
    <w:rsid w:val="00A109C9"/>
    <w:rsid w:val="00A10DC2"/>
    <w:rsid w:val="00A1216E"/>
    <w:rsid w:val="00A124C1"/>
    <w:rsid w:val="00A12E3E"/>
    <w:rsid w:val="00A13472"/>
    <w:rsid w:val="00A135B7"/>
    <w:rsid w:val="00A1383D"/>
    <w:rsid w:val="00A139E2"/>
    <w:rsid w:val="00A13F89"/>
    <w:rsid w:val="00A14C2E"/>
    <w:rsid w:val="00A14FBF"/>
    <w:rsid w:val="00A15474"/>
    <w:rsid w:val="00A154F6"/>
    <w:rsid w:val="00A15C43"/>
    <w:rsid w:val="00A1652D"/>
    <w:rsid w:val="00A16B54"/>
    <w:rsid w:val="00A172B8"/>
    <w:rsid w:val="00A2001F"/>
    <w:rsid w:val="00A20ABE"/>
    <w:rsid w:val="00A20F9E"/>
    <w:rsid w:val="00A21142"/>
    <w:rsid w:val="00A21D0D"/>
    <w:rsid w:val="00A22165"/>
    <w:rsid w:val="00A223E8"/>
    <w:rsid w:val="00A2310E"/>
    <w:rsid w:val="00A231E1"/>
    <w:rsid w:val="00A23359"/>
    <w:rsid w:val="00A23BD9"/>
    <w:rsid w:val="00A23C45"/>
    <w:rsid w:val="00A23F76"/>
    <w:rsid w:val="00A247FB"/>
    <w:rsid w:val="00A2484C"/>
    <w:rsid w:val="00A25187"/>
    <w:rsid w:val="00A25C08"/>
    <w:rsid w:val="00A260EC"/>
    <w:rsid w:val="00A266A0"/>
    <w:rsid w:val="00A26C24"/>
    <w:rsid w:val="00A26E48"/>
    <w:rsid w:val="00A27159"/>
    <w:rsid w:val="00A27B24"/>
    <w:rsid w:val="00A27DA3"/>
    <w:rsid w:val="00A301C7"/>
    <w:rsid w:val="00A30A64"/>
    <w:rsid w:val="00A31E49"/>
    <w:rsid w:val="00A31E98"/>
    <w:rsid w:val="00A324AA"/>
    <w:rsid w:val="00A3266B"/>
    <w:rsid w:val="00A32AE6"/>
    <w:rsid w:val="00A32B67"/>
    <w:rsid w:val="00A32B76"/>
    <w:rsid w:val="00A3381A"/>
    <w:rsid w:val="00A34181"/>
    <w:rsid w:val="00A34F17"/>
    <w:rsid w:val="00A35902"/>
    <w:rsid w:val="00A35D22"/>
    <w:rsid w:val="00A367E9"/>
    <w:rsid w:val="00A36FC9"/>
    <w:rsid w:val="00A3724C"/>
    <w:rsid w:val="00A37B47"/>
    <w:rsid w:val="00A40223"/>
    <w:rsid w:val="00A4030D"/>
    <w:rsid w:val="00A408F9"/>
    <w:rsid w:val="00A40A7E"/>
    <w:rsid w:val="00A41501"/>
    <w:rsid w:val="00A422B9"/>
    <w:rsid w:val="00A426D3"/>
    <w:rsid w:val="00A42981"/>
    <w:rsid w:val="00A43C12"/>
    <w:rsid w:val="00A43DE7"/>
    <w:rsid w:val="00A43F25"/>
    <w:rsid w:val="00A444ED"/>
    <w:rsid w:val="00A45471"/>
    <w:rsid w:val="00A46A4B"/>
    <w:rsid w:val="00A46A74"/>
    <w:rsid w:val="00A46C4C"/>
    <w:rsid w:val="00A470B1"/>
    <w:rsid w:val="00A47984"/>
    <w:rsid w:val="00A502C0"/>
    <w:rsid w:val="00A50395"/>
    <w:rsid w:val="00A503E5"/>
    <w:rsid w:val="00A524C2"/>
    <w:rsid w:val="00A528BE"/>
    <w:rsid w:val="00A532A5"/>
    <w:rsid w:val="00A53BDC"/>
    <w:rsid w:val="00A55301"/>
    <w:rsid w:val="00A55379"/>
    <w:rsid w:val="00A560FF"/>
    <w:rsid w:val="00A5664E"/>
    <w:rsid w:val="00A56829"/>
    <w:rsid w:val="00A5774A"/>
    <w:rsid w:val="00A57C5C"/>
    <w:rsid w:val="00A57DC7"/>
    <w:rsid w:val="00A62AA3"/>
    <w:rsid w:val="00A6300D"/>
    <w:rsid w:val="00A63A51"/>
    <w:rsid w:val="00A63CDD"/>
    <w:rsid w:val="00A64AC7"/>
    <w:rsid w:val="00A65056"/>
    <w:rsid w:val="00A6521E"/>
    <w:rsid w:val="00A668A6"/>
    <w:rsid w:val="00A6736C"/>
    <w:rsid w:val="00A67D8B"/>
    <w:rsid w:val="00A70DEA"/>
    <w:rsid w:val="00A70F23"/>
    <w:rsid w:val="00A71875"/>
    <w:rsid w:val="00A718E7"/>
    <w:rsid w:val="00A725BD"/>
    <w:rsid w:val="00A72E5B"/>
    <w:rsid w:val="00A730BC"/>
    <w:rsid w:val="00A7393D"/>
    <w:rsid w:val="00A7434A"/>
    <w:rsid w:val="00A743D6"/>
    <w:rsid w:val="00A74C55"/>
    <w:rsid w:val="00A75B2C"/>
    <w:rsid w:val="00A76686"/>
    <w:rsid w:val="00A7753C"/>
    <w:rsid w:val="00A77927"/>
    <w:rsid w:val="00A80534"/>
    <w:rsid w:val="00A8054A"/>
    <w:rsid w:val="00A810D4"/>
    <w:rsid w:val="00A818CD"/>
    <w:rsid w:val="00A82043"/>
    <w:rsid w:val="00A8373A"/>
    <w:rsid w:val="00A84B73"/>
    <w:rsid w:val="00A8574C"/>
    <w:rsid w:val="00A86370"/>
    <w:rsid w:val="00A86545"/>
    <w:rsid w:val="00A8676F"/>
    <w:rsid w:val="00A8716D"/>
    <w:rsid w:val="00A90409"/>
    <w:rsid w:val="00A90648"/>
    <w:rsid w:val="00A92ECA"/>
    <w:rsid w:val="00A92EEE"/>
    <w:rsid w:val="00A9383D"/>
    <w:rsid w:val="00A93F76"/>
    <w:rsid w:val="00A940EC"/>
    <w:rsid w:val="00A9431D"/>
    <w:rsid w:val="00A944A0"/>
    <w:rsid w:val="00A951CC"/>
    <w:rsid w:val="00A9581B"/>
    <w:rsid w:val="00A95887"/>
    <w:rsid w:val="00AA073F"/>
    <w:rsid w:val="00AA107F"/>
    <w:rsid w:val="00AA1457"/>
    <w:rsid w:val="00AA1F6A"/>
    <w:rsid w:val="00AA2126"/>
    <w:rsid w:val="00AA2433"/>
    <w:rsid w:val="00AA2528"/>
    <w:rsid w:val="00AA3C0A"/>
    <w:rsid w:val="00AA3C6C"/>
    <w:rsid w:val="00AA45D2"/>
    <w:rsid w:val="00AA54F1"/>
    <w:rsid w:val="00AA5602"/>
    <w:rsid w:val="00AA588F"/>
    <w:rsid w:val="00AA6EC2"/>
    <w:rsid w:val="00AA6F92"/>
    <w:rsid w:val="00AA70A9"/>
    <w:rsid w:val="00AA76BC"/>
    <w:rsid w:val="00AB0096"/>
    <w:rsid w:val="00AB17F9"/>
    <w:rsid w:val="00AB1A14"/>
    <w:rsid w:val="00AB1A5E"/>
    <w:rsid w:val="00AB1E31"/>
    <w:rsid w:val="00AB2199"/>
    <w:rsid w:val="00AB341C"/>
    <w:rsid w:val="00AB3D08"/>
    <w:rsid w:val="00AB4416"/>
    <w:rsid w:val="00AB4ADE"/>
    <w:rsid w:val="00AB4CF5"/>
    <w:rsid w:val="00AB6609"/>
    <w:rsid w:val="00AB6934"/>
    <w:rsid w:val="00AB6F72"/>
    <w:rsid w:val="00AB7864"/>
    <w:rsid w:val="00AB7ECF"/>
    <w:rsid w:val="00AC080D"/>
    <w:rsid w:val="00AC0EC5"/>
    <w:rsid w:val="00AC11AF"/>
    <w:rsid w:val="00AC36B8"/>
    <w:rsid w:val="00AC3C36"/>
    <w:rsid w:val="00AC3E0F"/>
    <w:rsid w:val="00AC43B5"/>
    <w:rsid w:val="00AC55F4"/>
    <w:rsid w:val="00AC6348"/>
    <w:rsid w:val="00AC6BD3"/>
    <w:rsid w:val="00AC7311"/>
    <w:rsid w:val="00AD0157"/>
    <w:rsid w:val="00AD056A"/>
    <w:rsid w:val="00AD0882"/>
    <w:rsid w:val="00AD1074"/>
    <w:rsid w:val="00AD2929"/>
    <w:rsid w:val="00AD3928"/>
    <w:rsid w:val="00AD4814"/>
    <w:rsid w:val="00AD48D8"/>
    <w:rsid w:val="00AD4E99"/>
    <w:rsid w:val="00AD5069"/>
    <w:rsid w:val="00AD51B6"/>
    <w:rsid w:val="00AD5C71"/>
    <w:rsid w:val="00AD6794"/>
    <w:rsid w:val="00AD6A97"/>
    <w:rsid w:val="00AD6BA0"/>
    <w:rsid w:val="00AD77C1"/>
    <w:rsid w:val="00AD78FE"/>
    <w:rsid w:val="00AE025B"/>
    <w:rsid w:val="00AE1A58"/>
    <w:rsid w:val="00AE1F8D"/>
    <w:rsid w:val="00AE221C"/>
    <w:rsid w:val="00AE2253"/>
    <w:rsid w:val="00AE3980"/>
    <w:rsid w:val="00AE41A6"/>
    <w:rsid w:val="00AE4C12"/>
    <w:rsid w:val="00AE555C"/>
    <w:rsid w:val="00AE7105"/>
    <w:rsid w:val="00AE727C"/>
    <w:rsid w:val="00AE7889"/>
    <w:rsid w:val="00AF0345"/>
    <w:rsid w:val="00AF04B1"/>
    <w:rsid w:val="00AF07BF"/>
    <w:rsid w:val="00AF07CB"/>
    <w:rsid w:val="00AF07F6"/>
    <w:rsid w:val="00AF0C0A"/>
    <w:rsid w:val="00AF19AC"/>
    <w:rsid w:val="00AF1AF7"/>
    <w:rsid w:val="00AF2026"/>
    <w:rsid w:val="00AF3251"/>
    <w:rsid w:val="00AF3ED2"/>
    <w:rsid w:val="00AF42B7"/>
    <w:rsid w:val="00AF42DE"/>
    <w:rsid w:val="00AF46F4"/>
    <w:rsid w:val="00AF5D9B"/>
    <w:rsid w:val="00AF5F84"/>
    <w:rsid w:val="00AF77BA"/>
    <w:rsid w:val="00AF7AA3"/>
    <w:rsid w:val="00AF7E74"/>
    <w:rsid w:val="00B00053"/>
    <w:rsid w:val="00B00DB8"/>
    <w:rsid w:val="00B013C2"/>
    <w:rsid w:val="00B027F7"/>
    <w:rsid w:val="00B039D0"/>
    <w:rsid w:val="00B03C50"/>
    <w:rsid w:val="00B0401A"/>
    <w:rsid w:val="00B04877"/>
    <w:rsid w:val="00B05642"/>
    <w:rsid w:val="00B05E90"/>
    <w:rsid w:val="00B0602C"/>
    <w:rsid w:val="00B06193"/>
    <w:rsid w:val="00B06360"/>
    <w:rsid w:val="00B0640B"/>
    <w:rsid w:val="00B0649D"/>
    <w:rsid w:val="00B0655E"/>
    <w:rsid w:val="00B06710"/>
    <w:rsid w:val="00B07C9C"/>
    <w:rsid w:val="00B07CE5"/>
    <w:rsid w:val="00B10134"/>
    <w:rsid w:val="00B112E2"/>
    <w:rsid w:val="00B1288E"/>
    <w:rsid w:val="00B1325F"/>
    <w:rsid w:val="00B14010"/>
    <w:rsid w:val="00B14469"/>
    <w:rsid w:val="00B1495D"/>
    <w:rsid w:val="00B15151"/>
    <w:rsid w:val="00B15219"/>
    <w:rsid w:val="00B15638"/>
    <w:rsid w:val="00B15E4F"/>
    <w:rsid w:val="00B1645A"/>
    <w:rsid w:val="00B20490"/>
    <w:rsid w:val="00B20E1C"/>
    <w:rsid w:val="00B20E69"/>
    <w:rsid w:val="00B222DD"/>
    <w:rsid w:val="00B22830"/>
    <w:rsid w:val="00B22E16"/>
    <w:rsid w:val="00B22FFA"/>
    <w:rsid w:val="00B23F66"/>
    <w:rsid w:val="00B24075"/>
    <w:rsid w:val="00B24105"/>
    <w:rsid w:val="00B25140"/>
    <w:rsid w:val="00B26151"/>
    <w:rsid w:val="00B264FB"/>
    <w:rsid w:val="00B26640"/>
    <w:rsid w:val="00B26923"/>
    <w:rsid w:val="00B26B0F"/>
    <w:rsid w:val="00B30138"/>
    <w:rsid w:val="00B31182"/>
    <w:rsid w:val="00B3118F"/>
    <w:rsid w:val="00B3219B"/>
    <w:rsid w:val="00B32335"/>
    <w:rsid w:val="00B32751"/>
    <w:rsid w:val="00B335F3"/>
    <w:rsid w:val="00B3369F"/>
    <w:rsid w:val="00B33DAE"/>
    <w:rsid w:val="00B342FF"/>
    <w:rsid w:val="00B34A5E"/>
    <w:rsid w:val="00B34B5F"/>
    <w:rsid w:val="00B3517C"/>
    <w:rsid w:val="00B36079"/>
    <w:rsid w:val="00B367DC"/>
    <w:rsid w:val="00B3697D"/>
    <w:rsid w:val="00B369DE"/>
    <w:rsid w:val="00B37794"/>
    <w:rsid w:val="00B42107"/>
    <w:rsid w:val="00B42DCF"/>
    <w:rsid w:val="00B43BDA"/>
    <w:rsid w:val="00B453DE"/>
    <w:rsid w:val="00B4541C"/>
    <w:rsid w:val="00B4579F"/>
    <w:rsid w:val="00B457C5"/>
    <w:rsid w:val="00B5016B"/>
    <w:rsid w:val="00B50E31"/>
    <w:rsid w:val="00B51A15"/>
    <w:rsid w:val="00B52173"/>
    <w:rsid w:val="00B52C13"/>
    <w:rsid w:val="00B53507"/>
    <w:rsid w:val="00B53524"/>
    <w:rsid w:val="00B53863"/>
    <w:rsid w:val="00B5409E"/>
    <w:rsid w:val="00B543AA"/>
    <w:rsid w:val="00B55DC4"/>
    <w:rsid w:val="00B55FBC"/>
    <w:rsid w:val="00B56100"/>
    <w:rsid w:val="00B563F3"/>
    <w:rsid w:val="00B5770C"/>
    <w:rsid w:val="00B57916"/>
    <w:rsid w:val="00B60BC8"/>
    <w:rsid w:val="00B60D6B"/>
    <w:rsid w:val="00B61BB6"/>
    <w:rsid w:val="00B6214D"/>
    <w:rsid w:val="00B62285"/>
    <w:rsid w:val="00B62D25"/>
    <w:rsid w:val="00B62EF7"/>
    <w:rsid w:val="00B63253"/>
    <w:rsid w:val="00B6328C"/>
    <w:rsid w:val="00B63AA2"/>
    <w:rsid w:val="00B64EF2"/>
    <w:rsid w:val="00B653C9"/>
    <w:rsid w:val="00B654B5"/>
    <w:rsid w:val="00B6579C"/>
    <w:rsid w:val="00B660DF"/>
    <w:rsid w:val="00B668F0"/>
    <w:rsid w:val="00B66FDF"/>
    <w:rsid w:val="00B70085"/>
    <w:rsid w:val="00B70992"/>
    <w:rsid w:val="00B71135"/>
    <w:rsid w:val="00B71698"/>
    <w:rsid w:val="00B71E32"/>
    <w:rsid w:val="00B72140"/>
    <w:rsid w:val="00B737C8"/>
    <w:rsid w:val="00B74711"/>
    <w:rsid w:val="00B75033"/>
    <w:rsid w:val="00B7524B"/>
    <w:rsid w:val="00B75410"/>
    <w:rsid w:val="00B75766"/>
    <w:rsid w:val="00B75D01"/>
    <w:rsid w:val="00B768ED"/>
    <w:rsid w:val="00B7693B"/>
    <w:rsid w:val="00B773E9"/>
    <w:rsid w:val="00B7741A"/>
    <w:rsid w:val="00B776BD"/>
    <w:rsid w:val="00B77924"/>
    <w:rsid w:val="00B77B3C"/>
    <w:rsid w:val="00B80FE8"/>
    <w:rsid w:val="00B81E4A"/>
    <w:rsid w:val="00B8228D"/>
    <w:rsid w:val="00B8275E"/>
    <w:rsid w:val="00B82E53"/>
    <w:rsid w:val="00B8303C"/>
    <w:rsid w:val="00B84595"/>
    <w:rsid w:val="00B845FE"/>
    <w:rsid w:val="00B84FB7"/>
    <w:rsid w:val="00B85063"/>
    <w:rsid w:val="00B85D14"/>
    <w:rsid w:val="00B86281"/>
    <w:rsid w:val="00B86AC4"/>
    <w:rsid w:val="00B86DB8"/>
    <w:rsid w:val="00B87058"/>
    <w:rsid w:val="00B87290"/>
    <w:rsid w:val="00B9009B"/>
    <w:rsid w:val="00B906D7"/>
    <w:rsid w:val="00B907DD"/>
    <w:rsid w:val="00B90C26"/>
    <w:rsid w:val="00B90F29"/>
    <w:rsid w:val="00B91B4D"/>
    <w:rsid w:val="00B91DDD"/>
    <w:rsid w:val="00B9209B"/>
    <w:rsid w:val="00B92687"/>
    <w:rsid w:val="00B92AA9"/>
    <w:rsid w:val="00B92E83"/>
    <w:rsid w:val="00B93035"/>
    <w:rsid w:val="00B93330"/>
    <w:rsid w:val="00B93D9F"/>
    <w:rsid w:val="00B941A5"/>
    <w:rsid w:val="00B94E6C"/>
    <w:rsid w:val="00B95308"/>
    <w:rsid w:val="00B9567C"/>
    <w:rsid w:val="00B960A6"/>
    <w:rsid w:val="00B96B20"/>
    <w:rsid w:val="00B96FDC"/>
    <w:rsid w:val="00B96FFE"/>
    <w:rsid w:val="00B97862"/>
    <w:rsid w:val="00BA02C3"/>
    <w:rsid w:val="00BA0529"/>
    <w:rsid w:val="00BA1062"/>
    <w:rsid w:val="00BA2097"/>
    <w:rsid w:val="00BA2AF2"/>
    <w:rsid w:val="00BA2CFF"/>
    <w:rsid w:val="00BA317C"/>
    <w:rsid w:val="00BA34B4"/>
    <w:rsid w:val="00BA3B8D"/>
    <w:rsid w:val="00BA3F90"/>
    <w:rsid w:val="00BA4C2E"/>
    <w:rsid w:val="00BA4FB1"/>
    <w:rsid w:val="00BA5B6F"/>
    <w:rsid w:val="00BA5C23"/>
    <w:rsid w:val="00BA5F4F"/>
    <w:rsid w:val="00BA5FF6"/>
    <w:rsid w:val="00BA693E"/>
    <w:rsid w:val="00BA73FF"/>
    <w:rsid w:val="00BA7DCA"/>
    <w:rsid w:val="00BB0EE1"/>
    <w:rsid w:val="00BB0F0C"/>
    <w:rsid w:val="00BB1B67"/>
    <w:rsid w:val="00BB1DA1"/>
    <w:rsid w:val="00BB2A2E"/>
    <w:rsid w:val="00BB2CA0"/>
    <w:rsid w:val="00BB3021"/>
    <w:rsid w:val="00BB32EE"/>
    <w:rsid w:val="00BB33CD"/>
    <w:rsid w:val="00BB3F08"/>
    <w:rsid w:val="00BB4606"/>
    <w:rsid w:val="00BB4CD1"/>
    <w:rsid w:val="00BB50F4"/>
    <w:rsid w:val="00BB533E"/>
    <w:rsid w:val="00BB57CB"/>
    <w:rsid w:val="00BB5B29"/>
    <w:rsid w:val="00BB6321"/>
    <w:rsid w:val="00BB65FF"/>
    <w:rsid w:val="00BB6B8E"/>
    <w:rsid w:val="00BB6D1F"/>
    <w:rsid w:val="00BB6D2D"/>
    <w:rsid w:val="00BB78A8"/>
    <w:rsid w:val="00BB79CE"/>
    <w:rsid w:val="00BC046B"/>
    <w:rsid w:val="00BC0AD1"/>
    <w:rsid w:val="00BC0CCD"/>
    <w:rsid w:val="00BC11AD"/>
    <w:rsid w:val="00BC136C"/>
    <w:rsid w:val="00BC1642"/>
    <w:rsid w:val="00BC1BCF"/>
    <w:rsid w:val="00BC244E"/>
    <w:rsid w:val="00BC374B"/>
    <w:rsid w:val="00BC4984"/>
    <w:rsid w:val="00BC525B"/>
    <w:rsid w:val="00BD00B3"/>
    <w:rsid w:val="00BD0F35"/>
    <w:rsid w:val="00BD18F1"/>
    <w:rsid w:val="00BD1E1F"/>
    <w:rsid w:val="00BD20BA"/>
    <w:rsid w:val="00BD2BDB"/>
    <w:rsid w:val="00BD2FD1"/>
    <w:rsid w:val="00BD37D3"/>
    <w:rsid w:val="00BD3EF4"/>
    <w:rsid w:val="00BD4D97"/>
    <w:rsid w:val="00BD5469"/>
    <w:rsid w:val="00BD567F"/>
    <w:rsid w:val="00BD572D"/>
    <w:rsid w:val="00BD5D28"/>
    <w:rsid w:val="00BD6AD7"/>
    <w:rsid w:val="00BD6E20"/>
    <w:rsid w:val="00BD6FB7"/>
    <w:rsid w:val="00BD72E8"/>
    <w:rsid w:val="00BD75AF"/>
    <w:rsid w:val="00BE08E6"/>
    <w:rsid w:val="00BE097B"/>
    <w:rsid w:val="00BE38B6"/>
    <w:rsid w:val="00BE4D95"/>
    <w:rsid w:val="00BE5671"/>
    <w:rsid w:val="00BE5C0C"/>
    <w:rsid w:val="00BE7D5E"/>
    <w:rsid w:val="00BF0005"/>
    <w:rsid w:val="00BF08EA"/>
    <w:rsid w:val="00BF0E7E"/>
    <w:rsid w:val="00BF13B2"/>
    <w:rsid w:val="00BF17BA"/>
    <w:rsid w:val="00BF242A"/>
    <w:rsid w:val="00BF29D2"/>
    <w:rsid w:val="00BF3CAB"/>
    <w:rsid w:val="00BF400A"/>
    <w:rsid w:val="00BF433A"/>
    <w:rsid w:val="00BF4471"/>
    <w:rsid w:val="00BF47E4"/>
    <w:rsid w:val="00BF4AB9"/>
    <w:rsid w:val="00BF4C5D"/>
    <w:rsid w:val="00BF594E"/>
    <w:rsid w:val="00BF5A18"/>
    <w:rsid w:val="00BF64DE"/>
    <w:rsid w:val="00C0061D"/>
    <w:rsid w:val="00C00703"/>
    <w:rsid w:val="00C00B11"/>
    <w:rsid w:val="00C00B19"/>
    <w:rsid w:val="00C01837"/>
    <w:rsid w:val="00C01D52"/>
    <w:rsid w:val="00C01EC5"/>
    <w:rsid w:val="00C021B3"/>
    <w:rsid w:val="00C0257F"/>
    <w:rsid w:val="00C031E0"/>
    <w:rsid w:val="00C03560"/>
    <w:rsid w:val="00C03DF1"/>
    <w:rsid w:val="00C04248"/>
    <w:rsid w:val="00C0579E"/>
    <w:rsid w:val="00C0696A"/>
    <w:rsid w:val="00C06FC2"/>
    <w:rsid w:val="00C079E4"/>
    <w:rsid w:val="00C10060"/>
    <w:rsid w:val="00C10CD9"/>
    <w:rsid w:val="00C10F84"/>
    <w:rsid w:val="00C11652"/>
    <w:rsid w:val="00C1188F"/>
    <w:rsid w:val="00C11C5B"/>
    <w:rsid w:val="00C1282E"/>
    <w:rsid w:val="00C12920"/>
    <w:rsid w:val="00C12D57"/>
    <w:rsid w:val="00C13079"/>
    <w:rsid w:val="00C13493"/>
    <w:rsid w:val="00C14F1D"/>
    <w:rsid w:val="00C1513E"/>
    <w:rsid w:val="00C15624"/>
    <w:rsid w:val="00C15708"/>
    <w:rsid w:val="00C15D15"/>
    <w:rsid w:val="00C163DA"/>
    <w:rsid w:val="00C16AC2"/>
    <w:rsid w:val="00C17F21"/>
    <w:rsid w:val="00C17F86"/>
    <w:rsid w:val="00C201AE"/>
    <w:rsid w:val="00C20D59"/>
    <w:rsid w:val="00C21678"/>
    <w:rsid w:val="00C218F6"/>
    <w:rsid w:val="00C22533"/>
    <w:rsid w:val="00C22DFC"/>
    <w:rsid w:val="00C22E0D"/>
    <w:rsid w:val="00C232CE"/>
    <w:rsid w:val="00C23C4F"/>
    <w:rsid w:val="00C23D2F"/>
    <w:rsid w:val="00C24432"/>
    <w:rsid w:val="00C252B1"/>
    <w:rsid w:val="00C255E4"/>
    <w:rsid w:val="00C2594C"/>
    <w:rsid w:val="00C261E9"/>
    <w:rsid w:val="00C2620F"/>
    <w:rsid w:val="00C26924"/>
    <w:rsid w:val="00C26AE9"/>
    <w:rsid w:val="00C26AEA"/>
    <w:rsid w:val="00C270C6"/>
    <w:rsid w:val="00C27396"/>
    <w:rsid w:val="00C27649"/>
    <w:rsid w:val="00C27C18"/>
    <w:rsid w:val="00C304E6"/>
    <w:rsid w:val="00C31243"/>
    <w:rsid w:val="00C31758"/>
    <w:rsid w:val="00C3190F"/>
    <w:rsid w:val="00C31AC6"/>
    <w:rsid w:val="00C3306F"/>
    <w:rsid w:val="00C33ED3"/>
    <w:rsid w:val="00C34154"/>
    <w:rsid w:val="00C34A27"/>
    <w:rsid w:val="00C34B69"/>
    <w:rsid w:val="00C35417"/>
    <w:rsid w:val="00C356E0"/>
    <w:rsid w:val="00C35B15"/>
    <w:rsid w:val="00C403D6"/>
    <w:rsid w:val="00C4085D"/>
    <w:rsid w:val="00C40DB5"/>
    <w:rsid w:val="00C415DA"/>
    <w:rsid w:val="00C41A2E"/>
    <w:rsid w:val="00C41B1A"/>
    <w:rsid w:val="00C41C95"/>
    <w:rsid w:val="00C42FE2"/>
    <w:rsid w:val="00C43210"/>
    <w:rsid w:val="00C43519"/>
    <w:rsid w:val="00C439A2"/>
    <w:rsid w:val="00C4417F"/>
    <w:rsid w:val="00C443BD"/>
    <w:rsid w:val="00C44475"/>
    <w:rsid w:val="00C44B53"/>
    <w:rsid w:val="00C451C5"/>
    <w:rsid w:val="00C458A3"/>
    <w:rsid w:val="00C45B0A"/>
    <w:rsid w:val="00C45FA1"/>
    <w:rsid w:val="00C46AF2"/>
    <w:rsid w:val="00C47142"/>
    <w:rsid w:val="00C47826"/>
    <w:rsid w:val="00C5073C"/>
    <w:rsid w:val="00C5243B"/>
    <w:rsid w:val="00C52D53"/>
    <w:rsid w:val="00C5333A"/>
    <w:rsid w:val="00C536E2"/>
    <w:rsid w:val="00C53B18"/>
    <w:rsid w:val="00C55B82"/>
    <w:rsid w:val="00C572F5"/>
    <w:rsid w:val="00C57958"/>
    <w:rsid w:val="00C61167"/>
    <w:rsid w:val="00C61315"/>
    <w:rsid w:val="00C627A7"/>
    <w:rsid w:val="00C64049"/>
    <w:rsid w:val="00C6475B"/>
    <w:rsid w:val="00C64AC8"/>
    <w:rsid w:val="00C64FA0"/>
    <w:rsid w:val="00C651B2"/>
    <w:rsid w:val="00C6593F"/>
    <w:rsid w:val="00C65E7F"/>
    <w:rsid w:val="00C65EAB"/>
    <w:rsid w:val="00C65EFC"/>
    <w:rsid w:val="00C6623C"/>
    <w:rsid w:val="00C6648D"/>
    <w:rsid w:val="00C6665A"/>
    <w:rsid w:val="00C6686B"/>
    <w:rsid w:val="00C66F61"/>
    <w:rsid w:val="00C673A5"/>
    <w:rsid w:val="00C673C5"/>
    <w:rsid w:val="00C67634"/>
    <w:rsid w:val="00C67A65"/>
    <w:rsid w:val="00C702A6"/>
    <w:rsid w:val="00C7048E"/>
    <w:rsid w:val="00C70CA4"/>
    <w:rsid w:val="00C71B54"/>
    <w:rsid w:val="00C71F95"/>
    <w:rsid w:val="00C721EA"/>
    <w:rsid w:val="00C72C5D"/>
    <w:rsid w:val="00C7390D"/>
    <w:rsid w:val="00C73A32"/>
    <w:rsid w:val="00C74617"/>
    <w:rsid w:val="00C75062"/>
    <w:rsid w:val="00C7518F"/>
    <w:rsid w:val="00C75974"/>
    <w:rsid w:val="00C75D50"/>
    <w:rsid w:val="00C76584"/>
    <w:rsid w:val="00C77084"/>
    <w:rsid w:val="00C778A0"/>
    <w:rsid w:val="00C8025F"/>
    <w:rsid w:val="00C80560"/>
    <w:rsid w:val="00C80624"/>
    <w:rsid w:val="00C81374"/>
    <w:rsid w:val="00C8155C"/>
    <w:rsid w:val="00C81B9C"/>
    <w:rsid w:val="00C8466B"/>
    <w:rsid w:val="00C8480F"/>
    <w:rsid w:val="00C84965"/>
    <w:rsid w:val="00C85596"/>
    <w:rsid w:val="00C86439"/>
    <w:rsid w:val="00C86797"/>
    <w:rsid w:val="00C8732D"/>
    <w:rsid w:val="00C8784E"/>
    <w:rsid w:val="00C87E35"/>
    <w:rsid w:val="00C907FD"/>
    <w:rsid w:val="00C90A14"/>
    <w:rsid w:val="00C9161D"/>
    <w:rsid w:val="00C918A7"/>
    <w:rsid w:val="00C92932"/>
    <w:rsid w:val="00C93DA2"/>
    <w:rsid w:val="00C9498A"/>
    <w:rsid w:val="00C955E5"/>
    <w:rsid w:val="00C96813"/>
    <w:rsid w:val="00C96D28"/>
    <w:rsid w:val="00C97453"/>
    <w:rsid w:val="00C97C56"/>
    <w:rsid w:val="00CA06AA"/>
    <w:rsid w:val="00CA0AB1"/>
    <w:rsid w:val="00CA0C1D"/>
    <w:rsid w:val="00CA1077"/>
    <w:rsid w:val="00CA10D1"/>
    <w:rsid w:val="00CA2F94"/>
    <w:rsid w:val="00CA312C"/>
    <w:rsid w:val="00CA36C7"/>
    <w:rsid w:val="00CA378A"/>
    <w:rsid w:val="00CA3DF0"/>
    <w:rsid w:val="00CA43DE"/>
    <w:rsid w:val="00CA4DDF"/>
    <w:rsid w:val="00CA4F80"/>
    <w:rsid w:val="00CA4FFF"/>
    <w:rsid w:val="00CA5489"/>
    <w:rsid w:val="00CA56C3"/>
    <w:rsid w:val="00CA658B"/>
    <w:rsid w:val="00CA65B3"/>
    <w:rsid w:val="00CA6C38"/>
    <w:rsid w:val="00CA701E"/>
    <w:rsid w:val="00CA7519"/>
    <w:rsid w:val="00CA769D"/>
    <w:rsid w:val="00CA78BF"/>
    <w:rsid w:val="00CB0D18"/>
    <w:rsid w:val="00CB12BC"/>
    <w:rsid w:val="00CB1709"/>
    <w:rsid w:val="00CB2619"/>
    <w:rsid w:val="00CB29E2"/>
    <w:rsid w:val="00CB2EBD"/>
    <w:rsid w:val="00CB328E"/>
    <w:rsid w:val="00CB340C"/>
    <w:rsid w:val="00CB3512"/>
    <w:rsid w:val="00CB3959"/>
    <w:rsid w:val="00CB3B9D"/>
    <w:rsid w:val="00CB3BD8"/>
    <w:rsid w:val="00CB4BB5"/>
    <w:rsid w:val="00CB5BBD"/>
    <w:rsid w:val="00CB5DE7"/>
    <w:rsid w:val="00CB62A9"/>
    <w:rsid w:val="00CB6739"/>
    <w:rsid w:val="00CB693D"/>
    <w:rsid w:val="00CB7015"/>
    <w:rsid w:val="00CB780F"/>
    <w:rsid w:val="00CB7FE9"/>
    <w:rsid w:val="00CC0421"/>
    <w:rsid w:val="00CC072B"/>
    <w:rsid w:val="00CC235E"/>
    <w:rsid w:val="00CC2F9E"/>
    <w:rsid w:val="00CC3B75"/>
    <w:rsid w:val="00CC462D"/>
    <w:rsid w:val="00CC4642"/>
    <w:rsid w:val="00CC5BBA"/>
    <w:rsid w:val="00CC767A"/>
    <w:rsid w:val="00CC7BA4"/>
    <w:rsid w:val="00CD1042"/>
    <w:rsid w:val="00CD1654"/>
    <w:rsid w:val="00CD1AA4"/>
    <w:rsid w:val="00CD26BD"/>
    <w:rsid w:val="00CD292B"/>
    <w:rsid w:val="00CD29C5"/>
    <w:rsid w:val="00CD2E99"/>
    <w:rsid w:val="00CD3468"/>
    <w:rsid w:val="00CD39CB"/>
    <w:rsid w:val="00CD39F7"/>
    <w:rsid w:val="00CD3F44"/>
    <w:rsid w:val="00CD413E"/>
    <w:rsid w:val="00CD48E9"/>
    <w:rsid w:val="00CD4D98"/>
    <w:rsid w:val="00CD5462"/>
    <w:rsid w:val="00CD5A8E"/>
    <w:rsid w:val="00CD5D02"/>
    <w:rsid w:val="00CD5E5D"/>
    <w:rsid w:val="00CD6275"/>
    <w:rsid w:val="00CD6390"/>
    <w:rsid w:val="00CD6497"/>
    <w:rsid w:val="00CD6968"/>
    <w:rsid w:val="00CD69F3"/>
    <w:rsid w:val="00CD702A"/>
    <w:rsid w:val="00CD70A7"/>
    <w:rsid w:val="00CE008F"/>
    <w:rsid w:val="00CE02A8"/>
    <w:rsid w:val="00CE0E1B"/>
    <w:rsid w:val="00CE1C6F"/>
    <w:rsid w:val="00CE1C88"/>
    <w:rsid w:val="00CE2663"/>
    <w:rsid w:val="00CE2A0D"/>
    <w:rsid w:val="00CE3722"/>
    <w:rsid w:val="00CE3F6F"/>
    <w:rsid w:val="00CE4A1F"/>
    <w:rsid w:val="00CE4D10"/>
    <w:rsid w:val="00CE509F"/>
    <w:rsid w:val="00CE53EB"/>
    <w:rsid w:val="00CE604B"/>
    <w:rsid w:val="00CE737B"/>
    <w:rsid w:val="00CE756F"/>
    <w:rsid w:val="00CE76E8"/>
    <w:rsid w:val="00CE7BA9"/>
    <w:rsid w:val="00CF0010"/>
    <w:rsid w:val="00CF08E3"/>
    <w:rsid w:val="00CF0EAE"/>
    <w:rsid w:val="00CF101C"/>
    <w:rsid w:val="00CF17FB"/>
    <w:rsid w:val="00CF1848"/>
    <w:rsid w:val="00CF1B96"/>
    <w:rsid w:val="00CF22CD"/>
    <w:rsid w:val="00CF3FEB"/>
    <w:rsid w:val="00CF4DAC"/>
    <w:rsid w:val="00CF4E74"/>
    <w:rsid w:val="00CF4F84"/>
    <w:rsid w:val="00CF52AE"/>
    <w:rsid w:val="00CF6173"/>
    <w:rsid w:val="00CF666E"/>
    <w:rsid w:val="00CF6C56"/>
    <w:rsid w:val="00CF6D5A"/>
    <w:rsid w:val="00CF739C"/>
    <w:rsid w:val="00CF73CC"/>
    <w:rsid w:val="00CF7414"/>
    <w:rsid w:val="00CF772E"/>
    <w:rsid w:val="00CF7A56"/>
    <w:rsid w:val="00CF7F53"/>
    <w:rsid w:val="00D000AB"/>
    <w:rsid w:val="00D011F6"/>
    <w:rsid w:val="00D01B90"/>
    <w:rsid w:val="00D01F90"/>
    <w:rsid w:val="00D0241E"/>
    <w:rsid w:val="00D02CEB"/>
    <w:rsid w:val="00D02D07"/>
    <w:rsid w:val="00D02F6B"/>
    <w:rsid w:val="00D0307F"/>
    <w:rsid w:val="00D0320A"/>
    <w:rsid w:val="00D037D5"/>
    <w:rsid w:val="00D039D9"/>
    <w:rsid w:val="00D041FC"/>
    <w:rsid w:val="00D04C80"/>
    <w:rsid w:val="00D0537F"/>
    <w:rsid w:val="00D06149"/>
    <w:rsid w:val="00D06F85"/>
    <w:rsid w:val="00D071C2"/>
    <w:rsid w:val="00D07848"/>
    <w:rsid w:val="00D100F7"/>
    <w:rsid w:val="00D10232"/>
    <w:rsid w:val="00D10C54"/>
    <w:rsid w:val="00D114F0"/>
    <w:rsid w:val="00D11FE2"/>
    <w:rsid w:val="00D12044"/>
    <w:rsid w:val="00D1244B"/>
    <w:rsid w:val="00D1288D"/>
    <w:rsid w:val="00D12EAF"/>
    <w:rsid w:val="00D13149"/>
    <w:rsid w:val="00D14E16"/>
    <w:rsid w:val="00D14FA2"/>
    <w:rsid w:val="00D1520E"/>
    <w:rsid w:val="00D15C4A"/>
    <w:rsid w:val="00D15CF2"/>
    <w:rsid w:val="00D160B3"/>
    <w:rsid w:val="00D16D00"/>
    <w:rsid w:val="00D1727B"/>
    <w:rsid w:val="00D17979"/>
    <w:rsid w:val="00D17E46"/>
    <w:rsid w:val="00D17E9D"/>
    <w:rsid w:val="00D21186"/>
    <w:rsid w:val="00D21850"/>
    <w:rsid w:val="00D23128"/>
    <w:rsid w:val="00D23DE7"/>
    <w:rsid w:val="00D24166"/>
    <w:rsid w:val="00D24F4C"/>
    <w:rsid w:val="00D25F17"/>
    <w:rsid w:val="00D26003"/>
    <w:rsid w:val="00D2612F"/>
    <w:rsid w:val="00D27A93"/>
    <w:rsid w:val="00D3070C"/>
    <w:rsid w:val="00D32045"/>
    <w:rsid w:val="00D33D00"/>
    <w:rsid w:val="00D33EB7"/>
    <w:rsid w:val="00D33EFC"/>
    <w:rsid w:val="00D33FB0"/>
    <w:rsid w:val="00D3406D"/>
    <w:rsid w:val="00D3437E"/>
    <w:rsid w:val="00D34515"/>
    <w:rsid w:val="00D3463B"/>
    <w:rsid w:val="00D349DC"/>
    <w:rsid w:val="00D34BFD"/>
    <w:rsid w:val="00D34EF4"/>
    <w:rsid w:val="00D35A4A"/>
    <w:rsid w:val="00D35AD1"/>
    <w:rsid w:val="00D36515"/>
    <w:rsid w:val="00D37C01"/>
    <w:rsid w:val="00D400C7"/>
    <w:rsid w:val="00D4071D"/>
    <w:rsid w:val="00D40DBC"/>
    <w:rsid w:val="00D40FF8"/>
    <w:rsid w:val="00D41088"/>
    <w:rsid w:val="00D41C08"/>
    <w:rsid w:val="00D41C9E"/>
    <w:rsid w:val="00D41EA4"/>
    <w:rsid w:val="00D42940"/>
    <w:rsid w:val="00D43907"/>
    <w:rsid w:val="00D4421E"/>
    <w:rsid w:val="00D443C5"/>
    <w:rsid w:val="00D44594"/>
    <w:rsid w:val="00D44CF7"/>
    <w:rsid w:val="00D44D33"/>
    <w:rsid w:val="00D4503C"/>
    <w:rsid w:val="00D453B6"/>
    <w:rsid w:val="00D464B1"/>
    <w:rsid w:val="00D47F06"/>
    <w:rsid w:val="00D502FB"/>
    <w:rsid w:val="00D5122C"/>
    <w:rsid w:val="00D51666"/>
    <w:rsid w:val="00D5172B"/>
    <w:rsid w:val="00D527EA"/>
    <w:rsid w:val="00D5285F"/>
    <w:rsid w:val="00D52BF0"/>
    <w:rsid w:val="00D52FD9"/>
    <w:rsid w:val="00D5478E"/>
    <w:rsid w:val="00D561AC"/>
    <w:rsid w:val="00D5624C"/>
    <w:rsid w:val="00D56432"/>
    <w:rsid w:val="00D565D2"/>
    <w:rsid w:val="00D565DF"/>
    <w:rsid w:val="00D5665E"/>
    <w:rsid w:val="00D56DC3"/>
    <w:rsid w:val="00D57510"/>
    <w:rsid w:val="00D5766D"/>
    <w:rsid w:val="00D57831"/>
    <w:rsid w:val="00D57B62"/>
    <w:rsid w:val="00D60DD0"/>
    <w:rsid w:val="00D60F7C"/>
    <w:rsid w:val="00D61329"/>
    <w:rsid w:val="00D63731"/>
    <w:rsid w:val="00D6387F"/>
    <w:rsid w:val="00D643DC"/>
    <w:rsid w:val="00D64C7E"/>
    <w:rsid w:val="00D64EA8"/>
    <w:rsid w:val="00D650B7"/>
    <w:rsid w:val="00D65881"/>
    <w:rsid w:val="00D6603E"/>
    <w:rsid w:val="00D66A46"/>
    <w:rsid w:val="00D67730"/>
    <w:rsid w:val="00D67DAF"/>
    <w:rsid w:val="00D705C4"/>
    <w:rsid w:val="00D71740"/>
    <w:rsid w:val="00D72BDD"/>
    <w:rsid w:val="00D72CE1"/>
    <w:rsid w:val="00D73EFE"/>
    <w:rsid w:val="00D74A36"/>
    <w:rsid w:val="00D75167"/>
    <w:rsid w:val="00D75673"/>
    <w:rsid w:val="00D75F39"/>
    <w:rsid w:val="00D765EE"/>
    <w:rsid w:val="00D76605"/>
    <w:rsid w:val="00D76A18"/>
    <w:rsid w:val="00D77560"/>
    <w:rsid w:val="00D77B46"/>
    <w:rsid w:val="00D8015F"/>
    <w:rsid w:val="00D80849"/>
    <w:rsid w:val="00D808BE"/>
    <w:rsid w:val="00D80FA1"/>
    <w:rsid w:val="00D82AA9"/>
    <w:rsid w:val="00D82CFF"/>
    <w:rsid w:val="00D82E8F"/>
    <w:rsid w:val="00D8313C"/>
    <w:rsid w:val="00D8333C"/>
    <w:rsid w:val="00D83C4B"/>
    <w:rsid w:val="00D83F42"/>
    <w:rsid w:val="00D84673"/>
    <w:rsid w:val="00D8487C"/>
    <w:rsid w:val="00D84D41"/>
    <w:rsid w:val="00D854D1"/>
    <w:rsid w:val="00D859CE"/>
    <w:rsid w:val="00D8720A"/>
    <w:rsid w:val="00D87BC7"/>
    <w:rsid w:val="00D87E9E"/>
    <w:rsid w:val="00D87EA2"/>
    <w:rsid w:val="00D9055C"/>
    <w:rsid w:val="00D9069D"/>
    <w:rsid w:val="00D91513"/>
    <w:rsid w:val="00D92850"/>
    <w:rsid w:val="00D92A35"/>
    <w:rsid w:val="00D92D2F"/>
    <w:rsid w:val="00D934B1"/>
    <w:rsid w:val="00D93531"/>
    <w:rsid w:val="00D942AC"/>
    <w:rsid w:val="00D94633"/>
    <w:rsid w:val="00D94EB4"/>
    <w:rsid w:val="00D95248"/>
    <w:rsid w:val="00D952A9"/>
    <w:rsid w:val="00D9556A"/>
    <w:rsid w:val="00D957D7"/>
    <w:rsid w:val="00D96035"/>
    <w:rsid w:val="00D962BC"/>
    <w:rsid w:val="00D964E5"/>
    <w:rsid w:val="00D96941"/>
    <w:rsid w:val="00D96B72"/>
    <w:rsid w:val="00D96C48"/>
    <w:rsid w:val="00D96DFA"/>
    <w:rsid w:val="00DA012C"/>
    <w:rsid w:val="00DA0273"/>
    <w:rsid w:val="00DA0AAC"/>
    <w:rsid w:val="00DA1ABF"/>
    <w:rsid w:val="00DA1E51"/>
    <w:rsid w:val="00DA21F3"/>
    <w:rsid w:val="00DA23D8"/>
    <w:rsid w:val="00DA2529"/>
    <w:rsid w:val="00DA2738"/>
    <w:rsid w:val="00DA2B4B"/>
    <w:rsid w:val="00DA2C31"/>
    <w:rsid w:val="00DA36D8"/>
    <w:rsid w:val="00DA3F58"/>
    <w:rsid w:val="00DA4458"/>
    <w:rsid w:val="00DA4E24"/>
    <w:rsid w:val="00DA5439"/>
    <w:rsid w:val="00DA56DD"/>
    <w:rsid w:val="00DA5D8A"/>
    <w:rsid w:val="00DB0E2A"/>
    <w:rsid w:val="00DB417B"/>
    <w:rsid w:val="00DB4BFE"/>
    <w:rsid w:val="00DB5BD2"/>
    <w:rsid w:val="00DB6E92"/>
    <w:rsid w:val="00DB71FF"/>
    <w:rsid w:val="00DB736A"/>
    <w:rsid w:val="00DB75DF"/>
    <w:rsid w:val="00DC01C4"/>
    <w:rsid w:val="00DC073B"/>
    <w:rsid w:val="00DC0A87"/>
    <w:rsid w:val="00DC0B54"/>
    <w:rsid w:val="00DC0F02"/>
    <w:rsid w:val="00DC12D8"/>
    <w:rsid w:val="00DC2CC8"/>
    <w:rsid w:val="00DC2E9F"/>
    <w:rsid w:val="00DC3004"/>
    <w:rsid w:val="00DC318E"/>
    <w:rsid w:val="00DC31AF"/>
    <w:rsid w:val="00DC34D2"/>
    <w:rsid w:val="00DC36D9"/>
    <w:rsid w:val="00DC5087"/>
    <w:rsid w:val="00DC54A9"/>
    <w:rsid w:val="00DC7442"/>
    <w:rsid w:val="00DC7901"/>
    <w:rsid w:val="00DD0440"/>
    <w:rsid w:val="00DD0AA1"/>
    <w:rsid w:val="00DD118C"/>
    <w:rsid w:val="00DD1560"/>
    <w:rsid w:val="00DD18CF"/>
    <w:rsid w:val="00DD1B46"/>
    <w:rsid w:val="00DD200B"/>
    <w:rsid w:val="00DD25D0"/>
    <w:rsid w:val="00DD32AF"/>
    <w:rsid w:val="00DD33CC"/>
    <w:rsid w:val="00DD3ABB"/>
    <w:rsid w:val="00DD3E8F"/>
    <w:rsid w:val="00DD5CD4"/>
    <w:rsid w:val="00DD753C"/>
    <w:rsid w:val="00DE0123"/>
    <w:rsid w:val="00DE04BF"/>
    <w:rsid w:val="00DE0894"/>
    <w:rsid w:val="00DE1768"/>
    <w:rsid w:val="00DE1C23"/>
    <w:rsid w:val="00DE1F31"/>
    <w:rsid w:val="00DE307C"/>
    <w:rsid w:val="00DE4F53"/>
    <w:rsid w:val="00DE56A1"/>
    <w:rsid w:val="00DE5778"/>
    <w:rsid w:val="00DE5FD5"/>
    <w:rsid w:val="00DE60D5"/>
    <w:rsid w:val="00DE639C"/>
    <w:rsid w:val="00DE678C"/>
    <w:rsid w:val="00DE6CFA"/>
    <w:rsid w:val="00DE6D72"/>
    <w:rsid w:val="00DE76BF"/>
    <w:rsid w:val="00DE76F8"/>
    <w:rsid w:val="00DF0079"/>
    <w:rsid w:val="00DF088A"/>
    <w:rsid w:val="00DF1073"/>
    <w:rsid w:val="00DF19AA"/>
    <w:rsid w:val="00DF2F64"/>
    <w:rsid w:val="00DF3537"/>
    <w:rsid w:val="00DF430F"/>
    <w:rsid w:val="00DF4B37"/>
    <w:rsid w:val="00DF4DEF"/>
    <w:rsid w:val="00DF4E94"/>
    <w:rsid w:val="00DF5614"/>
    <w:rsid w:val="00DF649A"/>
    <w:rsid w:val="00DF6CD5"/>
    <w:rsid w:val="00DF7281"/>
    <w:rsid w:val="00DF7373"/>
    <w:rsid w:val="00E0044C"/>
    <w:rsid w:val="00E00F55"/>
    <w:rsid w:val="00E0131C"/>
    <w:rsid w:val="00E01594"/>
    <w:rsid w:val="00E01D9D"/>
    <w:rsid w:val="00E03EA4"/>
    <w:rsid w:val="00E053B9"/>
    <w:rsid w:val="00E05868"/>
    <w:rsid w:val="00E05B97"/>
    <w:rsid w:val="00E05CDE"/>
    <w:rsid w:val="00E072FB"/>
    <w:rsid w:val="00E07945"/>
    <w:rsid w:val="00E105B6"/>
    <w:rsid w:val="00E11100"/>
    <w:rsid w:val="00E112C7"/>
    <w:rsid w:val="00E11A06"/>
    <w:rsid w:val="00E138F6"/>
    <w:rsid w:val="00E155BF"/>
    <w:rsid w:val="00E15670"/>
    <w:rsid w:val="00E15CF3"/>
    <w:rsid w:val="00E15FF7"/>
    <w:rsid w:val="00E176AE"/>
    <w:rsid w:val="00E17703"/>
    <w:rsid w:val="00E177EE"/>
    <w:rsid w:val="00E17AA5"/>
    <w:rsid w:val="00E206E7"/>
    <w:rsid w:val="00E20FA9"/>
    <w:rsid w:val="00E21C50"/>
    <w:rsid w:val="00E21FC5"/>
    <w:rsid w:val="00E22002"/>
    <w:rsid w:val="00E231FB"/>
    <w:rsid w:val="00E2394A"/>
    <w:rsid w:val="00E23E91"/>
    <w:rsid w:val="00E2455F"/>
    <w:rsid w:val="00E248B4"/>
    <w:rsid w:val="00E253DB"/>
    <w:rsid w:val="00E254D1"/>
    <w:rsid w:val="00E25703"/>
    <w:rsid w:val="00E25C6C"/>
    <w:rsid w:val="00E269AD"/>
    <w:rsid w:val="00E2733B"/>
    <w:rsid w:val="00E27936"/>
    <w:rsid w:val="00E30CE6"/>
    <w:rsid w:val="00E30F64"/>
    <w:rsid w:val="00E32BD3"/>
    <w:rsid w:val="00E32E2A"/>
    <w:rsid w:val="00E32E9D"/>
    <w:rsid w:val="00E33655"/>
    <w:rsid w:val="00E34619"/>
    <w:rsid w:val="00E34EE2"/>
    <w:rsid w:val="00E3518C"/>
    <w:rsid w:val="00E351DE"/>
    <w:rsid w:val="00E35355"/>
    <w:rsid w:val="00E353E2"/>
    <w:rsid w:val="00E35458"/>
    <w:rsid w:val="00E35591"/>
    <w:rsid w:val="00E3574C"/>
    <w:rsid w:val="00E35B23"/>
    <w:rsid w:val="00E3622B"/>
    <w:rsid w:val="00E36CA8"/>
    <w:rsid w:val="00E371A8"/>
    <w:rsid w:val="00E37D34"/>
    <w:rsid w:val="00E40222"/>
    <w:rsid w:val="00E41240"/>
    <w:rsid w:val="00E41549"/>
    <w:rsid w:val="00E41943"/>
    <w:rsid w:val="00E4237E"/>
    <w:rsid w:val="00E42551"/>
    <w:rsid w:val="00E42EAD"/>
    <w:rsid w:val="00E42FCC"/>
    <w:rsid w:val="00E431BB"/>
    <w:rsid w:val="00E44410"/>
    <w:rsid w:val="00E444F7"/>
    <w:rsid w:val="00E44992"/>
    <w:rsid w:val="00E44B18"/>
    <w:rsid w:val="00E44D20"/>
    <w:rsid w:val="00E4566F"/>
    <w:rsid w:val="00E457D6"/>
    <w:rsid w:val="00E45C17"/>
    <w:rsid w:val="00E4615C"/>
    <w:rsid w:val="00E462AD"/>
    <w:rsid w:val="00E464D5"/>
    <w:rsid w:val="00E46D1D"/>
    <w:rsid w:val="00E477DF"/>
    <w:rsid w:val="00E50824"/>
    <w:rsid w:val="00E509BA"/>
    <w:rsid w:val="00E51671"/>
    <w:rsid w:val="00E51B64"/>
    <w:rsid w:val="00E53442"/>
    <w:rsid w:val="00E53823"/>
    <w:rsid w:val="00E53E2B"/>
    <w:rsid w:val="00E53E66"/>
    <w:rsid w:val="00E548C7"/>
    <w:rsid w:val="00E55CAD"/>
    <w:rsid w:val="00E56000"/>
    <w:rsid w:val="00E561D1"/>
    <w:rsid w:val="00E568A9"/>
    <w:rsid w:val="00E56A9E"/>
    <w:rsid w:val="00E56BAF"/>
    <w:rsid w:val="00E57609"/>
    <w:rsid w:val="00E57699"/>
    <w:rsid w:val="00E579BE"/>
    <w:rsid w:val="00E57BDA"/>
    <w:rsid w:val="00E6071E"/>
    <w:rsid w:val="00E6159A"/>
    <w:rsid w:val="00E61B19"/>
    <w:rsid w:val="00E62675"/>
    <w:rsid w:val="00E6340A"/>
    <w:rsid w:val="00E643B3"/>
    <w:rsid w:val="00E643CA"/>
    <w:rsid w:val="00E644E0"/>
    <w:rsid w:val="00E654EC"/>
    <w:rsid w:val="00E65D99"/>
    <w:rsid w:val="00E66235"/>
    <w:rsid w:val="00E663EF"/>
    <w:rsid w:val="00E663FD"/>
    <w:rsid w:val="00E6673E"/>
    <w:rsid w:val="00E66CB3"/>
    <w:rsid w:val="00E67010"/>
    <w:rsid w:val="00E67935"/>
    <w:rsid w:val="00E7060A"/>
    <w:rsid w:val="00E721B5"/>
    <w:rsid w:val="00E723FD"/>
    <w:rsid w:val="00E724BB"/>
    <w:rsid w:val="00E7286F"/>
    <w:rsid w:val="00E732CE"/>
    <w:rsid w:val="00E7352C"/>
    <w:rsid w:val="00E73536"/>
    <w:rsid w:val="00E745DD"/>
    <w:rsid w:val="00E74EED"/>
    <w:rsid w:val="00E774D4"/>
    <w:rsid w:val="00E77F70"/>
    <w:rsid w:val="00E80078"/>
    <w:rsid w:val="00E816F5"/>
    <w:rsid w:val="00E82989"/>
    <w:rsid w:val="00E82EB3"/>
    <w:rsid w:val="00E830DC"/>
    <w:rsid w:val="00E83448"/>
    <w:rsid w:val="00E83C24"/>
    <w:rsid w:val="00E85BFD"/>
    <w:rsid w:val="00E86051"/>
    <w:rsid w:val="00E869CB"/>
    <w:rsid w:val="00E86AB4"/>
    <w:rsid w:val="00E86DA3"/>
    <w:rsid w:val="00E879C8"/>
    <w:rsid w:val="00E879E6"/>
    <w:rsid w:val="00E90CF9"/>
    <w:rsid w:val="00E913E9"/>
    <w:rsid w:val="00E91698"/>
    <w:rsid w:val="00E91804"/>
    <w:rsid w:val="00E92A54"/>
    <w:rsid w:val="00E9318D"/>
    <w:rsid w:val="00E940E5"/>
    <w:rsid w:val="00E969A8"/>
    <w:rsid w:val="00E969C4"/>
    <w:rsid w:val="00E97520"/>
    <w:rsid w:val="00E977D2"/>
    <w:rsid w:val="00E97813"/>
    <w:rsid w:val="00EA02E8"/>
    <w:rsid w:val="00EA087D"/>
    <w:rsid w:val="00EA09A5"/>
    <w:rsid w:val="00EA39D3"/>
    <w:rsid w:val="00EA3B51"/>
    <w:rsid w:val="00EA3FA2"/>
    <w:rsid w:val="00EA413C"/>
    <w:rsid w:val="00EA4765"/>
    <w:rsid w:val="00EA4A46"/>
    <w:rsid w:val="00EA551A"/>
    <w:rsid w:val="00EA732D"/>
    <w:rsid w:val="00EB0778"/>
    <w:rsid w:val="00EB13DD"/>
    <w:rsid w:val="00EB148E"/>
    <w:rsid w:val="00EB179D"/>
    <w:rsid w:val="00EB1F54"/>
    <w:rsid w:val="00EB2026"/>
    <w:rsid w:val="00EB24F5"/>
    <w:rsid w:val="00EB2839"/>
    <w:rsid w:val="00EB4DB7"/>
    <w:rsid w:val="00EB567F"/>
    <w:rsid w:val="00EB5D13"/>
    <w:rsid w:val="00EB5F0B"/>
    <w:rsid w:val="00EB6395"/>
    <w:rsid w:val="00EB6CF3"/>
    <w:rsid w:val="00EB6D9A"/>
    <w:rsid w:val="00EB78F6"/>
    <w:rsid w:val="00EB7B58"/>
    <w:rsid w:val="00EC103A"/>
    <w:rsid w:val="00EC10FF"/>
    <w:rsid w:val="00EC20FF"/>
    <w:rsid w:val="00EC2369"/>
    <w:rsid w:val="00EC2F6F"/>
    <w:rsid w:val="00EC37CD"/>
    <w:rsid w:val="00EC4396"/>
    <w:rsid w:val="00EC458E"/>
    <w:rsid w:val="00EC4E33"/>
    <w:rsid w:val="00EC587D"/>
    <w:rsid w:val="00EC5AEC"/>
    <w:rsid w:val="00EC6295"/>
    <w:rsid w:val="00EC66E2"/>
    <w:rsid w:val="00EC6711"/>
    <w:rsid w:val="00EC6A83"/>
    <w:rsid w:val="00EC6E07"/>
    <w:rsid w:val="00EC6FA6"/>
    <w:rsid w:val="00EC72EA"/>
    <w:rsid w:val="00ED03A3"/>
    <w:rsid w:val="00ED1519"/>
    <w:rsid w:val="00ED276B"/>
    <w:rsid w:val="00ED2FE1"/>
    <w:rsid w:val="00ED372C"/>
    <w:rsid w:val="00ED4B74"/>
    <w:rsid w:val="00ED4CAE"/>
    <w:rsid w:val="00ED4F77"/>
    <w:rsid w:val="00ED5098"/>
    <w:rsid w:val="00ED5260"/>
    <w:rsid w:val="00ED671E"/>
    <w:rsid w:val="00ED781F"/>
    <w:rsid w:val="00ED783A"/>
    <w:rsid w:val="00ED79EA"/>
    <w:rsid w:val="00ED7A93"/>
    <w:rsid w:val="00EE0658"/>
    <w:rsid w:val="00EE1B9A"/>
    <w:rsid w:val="00EE25AA"/>
    <w:rsid w:val="00EE35A9"/>
    <w:rsid w:val="00EE370F"/>
    <w:rsid w:val="00EE48CF"/>
    <w:rsid w:val="00EE4A92"/>
    <w:rsid w:val="00EE4FB9"/>
    <w:rsid w:val="00EE5647"/>
    <w:rsid w:val="00EE5F41"/>
    <w:rsid w:val="00EE67E6"/>
    <w:rsid w:val="00EE6F7F"/>
    <w:rsid w:val="00EE735F"/>
    <w:rsid w:val="00EE7675"/>
    <w:rsid w:val="00EE7BB2"/>
    <w:rsid w:val="00EE7CC4"/>
    <w:rsid w:val="00EE7D55"/>
    <w:rsid w:val="00EE7F52"/>
    <w:rsid w:val="00EF07CC"/>
    <w:rsid w:val="00EF0CB3"/>
    <w:rsid w:val="00EF0E5D"/>
    <w:rsid w:val="00EF1DCB"/>
    <w:rsid w:val="00EF2C5B"/>
    <w:rsid w:val="00EF385C"/>
    <w:rsid w:val="00EF3895"/>
    <w:rsid w:val="00EF3D85"/>
    <w:rsid w:val="00EF4198"/>
    <w:rsid w:val="00EF4248"/>
    <w:rsid w:val="00EF50EB"/>
    <w:rsid w:val="00EF53EA"/>
    <w:rsid w:val="00EF5547"/>
    <w:rsid w:val="00EF568B"/>
    <w:rsid w:val="00EF59A8"/>
    <w:rsid w:val="00EF61E7"/>
    <w:rsid w:val="00EF6256"/>
    <w:rsid w:val="00EF6D42"/>
    <w:rsid w:val="00EF6E6A"/>
    <w:rsid w:val="00EF74DC"/>
    <w:rsid w:val="00EF7577"/>
    <w:rsid w:val="00EF768C"/>
    <w:rsid w:val="00F00E07"/>
    <w:rsid w:val="00F01532"/>
    <w:rsid w:val="00F01D57"/>
    <w:rsid w:val="00F02A15"/>
    <w:rsid w:val="00F02C6B"/>
    <w:rsid w:val="00F0324A"/>
    <w:rsid w:val="00F046AB"/>
    <w:rsid w:val="00F0486E"/>
    <w:rsid w:val="00F04A06"/>
    <w:rsid w:val="00F04B98"/>
    <w:rsid w:val="00F04EDA"/>
    <w:rsid w:val="00F05C7A"/>
    <w:rsid w:val="00F0603E"/>
    <w:rsid w:val="00F067F7"/>
    <w:rsid w:val="00F071B1"/>
    <w:rsid w:val="00F075FF"/>
    <w:rsid w:val="00F078CF"/>
    <w:rsid w:val="00F100BD"/>
    <w:rsid w:val="00F10E68"/>
    <w:rsid w:val="00F11B61"/>
    <w:rsid w:val="00F12685"/>
    <w:rsid w:val="00F13A6E"/>
    <w:rsid w:val="00F1403D"/>
    <w:rsid w:val="00F1413E"/>
    <w:rsid w:val="00F14F8C"/>
    <w:rsid w:val="00F150F0"/>
    <w:rsid w:val="00F152E7"/>
    <w:rsid w:val="00F15BFC"/>
    <w:rsid w:val="00F16A29"/>
    <w:rsid w:val="00F16F07"/>
    <w:rsid w:val="00F17B24"/>
    <w:rsid w:val="00F202EF"/>
    <w:rsid w:val="00F2084A"/>
    <w:rsid w:val="00F20E5F"/>
    <w:rsid w:val="00F21402"/>
    <w:rsid w:val="00F23BB4"/>
    <w:rsid w:val="00F241DC"/>
    <w:rsid w:val="00F24A76"/>
    <w:rsid w:val="00F24A83"/>
    <w:rsid w:val="00F2503F"/>
    <w:rsid w:val="00F251F5"/>
    <w:rsid w:val="00F2546F"/>
    <w:rsid w:val="00F267AB"/>
    <w:rsid w:val="00F2697C"/>
    <w:rsid w:val="00F26CDA"/>
    <w:rsid w:val="00F27103"/>
    <w:rsid w:val="00F27573"/>
    <w:rsid w:val="00F2772E"/>
    <w:rsid w:val="00F3010E"/>
    <w:rsid w:val="00F30A1E"/>
    <w:rsid w:val="00F30F23"/>
    <w:rsid w:val="00F3100B"/>
    <w:rsid w:val="00F312ED"/>
    <w:rsid w:val="00F31831"/>
    <w:rsid w:val="00F32269"/>
    <w:rsid w:val="00F328C2"/>
    <w:rsid w:val="00F32BC0"/>
    <w:rsid w:val="00F32E16"/>
    <w:rsid w:val="00F32E6B"/>
    <w:rsid w:val="00F33A28"/>
    <w:rsid w:val="00F33F38"/>
    <w:rsid w:val="00F34063"/>
    <w:rsid w:val="00F354D2"/>
    <w:rsid w:val="00F35D1E"/>
    <w:rsid w:val="00F36DF0"/>
    <w:rsid w:val="00F36E75"/>
    <w:rsid w:val="00F40369"/>
    <w:rsid w:val="00F40783"/>
    <w:rsid w:val="00F40953"/>
    <w:rsid w:val="00F432C6"/>
    <w:rsid w:val="00F435C5"/>
    <w:rsid w:val="00F43C34"/>
    <w:rsid w:val="00F443E3"/>
    <w:rsid w:val="00F455B2"/>
    <w:rsid w:val="00F4596C"/>
    <w:rsid w:val="00F45D1D"/>
    <w:rsid w:val="00F45DCE"/>
    <w:rsid w:val="00F4624F"/>
    <w:rsid w:val="00F463E3"/>
    <w:rsid w:val="00F47209"/>
    <w:rsid w:val="00F47F27"/>
    <w:rsid w:val="00F5075E"/>
    <w:rsid w:val="00F511FE"/>
    <w:rsid w:val="00F5185D"/>
    <w:rsid w:val="00F51A88"/>
    <w:rsid w:val="00F530DD"/>
    <w:rsid w:val="00F53193"/>
    <w:rsid w:val="00F5357E"/>
    <w:rsid w:val="00F53A90"/>
    <w:rsid w:val="00F53B7C"/>
    <w:rsid w:val="00F5538C"/>
    <w:rsid w:val="00F55423"/>
    <w:rsid w:val="00F5556B"/>
    <w:rsid w:val="00F55A21"/>
    <w:rsid w:val="00F56BF7"/>
    <w:rsid w:val="00F56CC7"/>
    <w:rsid w:val="00F57880"/>
    <w:rsid w:val="00F601EC"/>
    <w:rsid w:val="00F6118D"/>
    <w:rsid w:val="00F611DF"/>
    <w:rsid w:val="00F61343"/>
    <w:rsid w:val="00F615B8"/>
    <w:rsid w:val="00F61BDE"/>
    <w:rsid w:val="00F629D9"/>
    <w:rsid w:val="00F62B22"/>
    <w:rsid w:val="00F63468"/>
    <w:rsid w:val="00F635D5"/>
    <w:rsid w:val="00F63E2E"/>
    <w:rsid w:val="00F643DF"/>
    <w:rsid w:val="00F64AFC"/>
    <w:rsid w:val="00F6586C"/>
    <w:rsid w:val="00F65A56"/>
    <w:rsid w:val="00F65C20"/>
    <w:rsid w:val="00F65F0D"/>
    <w:rsid w:val="00F663F0"/>
    <w:rsid w:val="00F66C62"/>
    <w:rsid w:val="00F671E7"/>
    <w:rsid w:val="00F67695"/>
    <w:rsid w:val="00F67ABC"/>
    <w:rsid w:val="00F67F5A"/>
    <w:rsid w:val="00F70134"/>
    <w:rsid w:val="00F706F4"/>
    <w:rsid w:val="00F70E16"/>
    <w:rsid w:val="00F71AEE"/>
    <w:rsid w:val="00F72433"/>
    <w:rsid w:val="00F72E0A"/>
    <w:rsid w:val="00F73120"/>
    <w:rsid w:val="00F73793"/>
    <w:rsid w:val="00F74F38"/>
    <w:rsid w:val="00F7529F"/>
    <w:rsid w:val="00F758A6"/>
    <w:rsid w:val="00F75F25"/>
    <w:rsid w:val="00F7676D"/>
    <w:rsid w:val="00F769E8"/>
    <w:rsid w:val="00F7749E"/>
    <w:rsid w:val="00F801F9"/>
    <w:rsid w:val="00F80396"/>
    <w:rsid w:val="00F80A89"/>
    <w:rsid w:val="00F81B6F"/>
    <w:rsid w:val="00F827FA"/>
    <w:rsid w:val="00F83D19"/>
    <w:rsid w:val="00F84235"/>
    <w:rsid w:val="00F843B4"/>
    <w:rsid w:val="00F8441F"/>
    <w:rsid w:val="00F84FE5"/>
    <w:rsid w:val="00F85093"/>
    <w:rsid w:val="00F85550"/>
    <w:rsid w:val="00F858E4"/>
    <w:rsid w:val="00F85BA1"/>
    <w:rsid w:val="00F865A0"/>
    <w:rsid w:val="00F87291"/>
    <w:rsid w:val="00F90649"/>
    <w:rsid w:val="00F90EA3"/>
    <w:rsid w:val="00F91028"/>
    <w:rsid w:val="00F912BC"/>
    <w:rsid w:val="00F91E89"/>
    <w:rsid w:val="00F93285"/>
    <w:rsid w:val="00F9378C"/>
    <w:rsid w:val="00F9446A"/>
    <w:rsid w:val="00F94774"/>
    <w:rsid w:val="00F953E8"/>
    <w:rsid w:val="00F96B55"/>
    <w:rsid w:val="00F96F2B"/>
    <w:rsid w:val="00F97378"/>
    <w:rsid w:val="00F979E6"/>
    <w:rsid w:val="00F97A76"/>
    <w:rsid w:val="00F97D1F"/>
    <w:rsid w:val="00FA0704"/>
    <w:rsid w:val="00FA084E"/>
    <w:rsid w:val="00FA0FEA"/>
    <w:rsid w:val="00FA158B"/>
    <w:rsid w:val="00FA1661"/>
    <w:rsid w:val="00FA3F77"/>
    <w:rsid w:val="00FA4014"/>
    <w:rsid w:val="00FA53E2"/>
    <w:rsid w:val="00FA5708"/>
    <w:rsid w:val="00FA58AC"/>
    <w:rsid w:val="00FA5F4E"/>
    <w:rsid w:val="00FA60C9"/>
    <w:rsid w:val="00FA663B"/>
    <w:rsid w:val="00FA6723"/>
    <w:rsid w:val="00FA77E6"/>
    <w:rsid w:val="00FA7E2C"/>
    <w:rsid w:val="00FB0587"/>
    <w:rsid w:val="00FB11DD"/>
    <w:rsid w:val="00FB120E"/>
    <w:rsid w:val="00FB13AC"/>
    <w:rsid w:val="00FB1401"/>
    <w:rsid w:val="00FB26CD"/>
    <w:rsid w:val="00FB296A"/>
    <w:rsid w:val="00FB45DB"/>
    <w:rsid w:val="00FB4653"/>
    <w:rsid w:val="00FB4AB9"/>
    <w:rsid w:val="00FB5359"/>
    <w:rsid w:val="00FB539C"/>
    <w:rsid w:val="00FB5A75"/>
    <w:rsid w:val="00FB650D"/>
    <w:rsid w:val="00FB6671"/>
    <w:rsid w:val="00FB6E21"/>
    <w:rsid w:val="00FB70D6"/>
    <w:rsid w:val="00FB7299"/>
    <w:rsid w:val="00FB7D33"/>
    <w:rsid w:val="00FC3E8D"/>
    <w:rsid w:val="00FC43F7"/>
    <w:rsid w:val="00FC4BA7"/>
    <w:rsid w:val="00FC5264"/>
    <w:rsid w:val="00FC53DB"/>
    <w:rsid w:val="00FC5557"/>
    <w:rsid w:val="00FC5BD5"/>
    <w:rsid w:val="00FC7283"/>
    <w:rsid w:val="00FC73CB"/>
    <w:rsid w:val="00FC74C9"/>
    <w:rsid w:val="00FC752D"/>
    <w:rsid w:val="00FC7839"/>
    <w:rsid w:val="00FC7CED"/>
    <w:rsid w:val="00FC7E4C"/>
    <w:rsid w:val="00FC7E94"/>
    <w:rsid w:val="00FD01A5"/>
    <w:rsid w:val="00FD04F7"/>
    <w:rsid w:val="00FD1614"/>
    <w:rsid w:val="00FD1687"/>
    <w:rsid w:val="00FD278A"/>
    <w:rsid w:val="00FD3513"/>
    <w:rsid w:val="00FD4A2D"/>
    <w:rsid w:val="00FD4CCD"/>
    <w:rsid w:val="00FD51AE"/>
    <w:rsid w:val="00FD5487"/>
    <w:rsid w:val="00FD56E1"/>
    <w:rsid w:val="00FD6070"/>
    <w:rsid w:val="00FD6709"/>
    <w:rsid w:val="00FD67DC"/>
    <w:rsid w:val="00FD70AE"/>
    <w:rsid w:val="00FD74D9"/>
    <w:rsid w:val="00FD761E"/>
    <w:rsid w:val="00FD7DA1"/>
    <w:rsid w:val="00FE18B2"/>
    <w:rsid w:val="00FE1B94"/>
    <w:rsid w:val="00FE293A"/>
    <w:rsid w:val="00FE2EAF"/>
    <w:rsid w:val="00FE385B"/>
    <w:rsid w:val="00FE422F"/>
    <w:rsid w:val="00FE4CFD"/>
    <w:rsid w:val="00FE50A2"/>
    <w:rsid w:val="00FE51DB"/>
    <w:rsid w:val="00FE5329"/>
    <w:rsid w:val="00FE53B5"/>
    <w:rsid w:val="00FE6115"/>
    <w:rsid w:val="00FE6672"/>
    <w:rsid w:val="00FE7131"/>
    <w:rsid w:val="00FE762E"/>
    <w:rsid w:val="00FE79A5"/>
    <w:rsid w:val="00FF0394"/>
    <w:rsid w:val="00FF0B5B"/>
    <w:rsid w:val="00FF0F13"/>
    <w:rsid w:val="00FF0FF6"/>
    <w:rsid w:val="00FF1A84"/>
    <w:rsid w:val="00FF23A1"/>
    <w:rsid w:val="00FF4BB9"/>
    <w:rsid w:val="00FF511A"/>
    <w:rsid w:val="00FF6442"/>
    <w:rsid w:val="00FF6C69"/>
    <w:rsid w:val="00FF70BA"/>
    <w:rsid w:val="00FF7330"/>
    <w:rsid w:val="00FF74C4"/>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15:docId w15:val="{C0387227-3917-4561-918B-A5255633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5E"/>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392D9B"/>
    <w:pPr>
      <w:keepNext/>
      <w:spacing w:before="240" w:after="120"/>
      <w:jc w:val="center"/>
      <w:outlineLvl w:val="1"/>
    </w:pPr>
    <w:rPr>
      <w:b/>
      <w:bCs/>
      <w:szCs w:val="22"/>
    </w:rPr>
  </w:style>
  <w:style w:type="paragraph" w:styleId="Heading3">
    <w:name w:val="heading 3"/>
    <w:basedOn w:val="Normal"/>
    <w:next w:val="Normal"/>
    <w:link w:val="Heading3Char"/>
    <w:qFormat/>
    <w:rsid w:val="00CD3F44"/>
    <w:pPr>
      <w:keepNext/>
      <w:spacing w:before="120" w:after="120"/>
      <w:jc w:val="center"/>
      <w:outlineLvl w:val="2"/>
    </w:pPr>
    <w:rPr>
      <w:rFonts w:eastAsia="DengXian"/>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24A83"/>
    <w:pPr>
      <w:keepNext/>
      <w:spacing w:after="240" w:line="240" w:lineRule="exact"/>
      <w:outlineLvl w:val="5"/>
    </w:pPr>
    <w:rPr>
      <w:snapToGrid w:val="0"/>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qFormat/>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qFormat/>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qForma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qFormat/>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504F6"/>
    <w:pPr>
      <w:keepLines/>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9504F6"/>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392D9B"/>
    <w:rPr>
      <w:rFonts w:ascii="Times New Roman" w:eastAsia="Times New Roman" w:hAnsi="Times New Roman" w:cs="Times New Roman"/>
      <w:b/>
      <w:bCs/>
      <w:sz w:val="22"/>
      <w:szCs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CD3F44"/>
    <w:rPr>
      <w:rFonts w:ascii="Times New Roman" w:eastAsia="DengXi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F24A83"/>
    <w:rPr>
      <w:rFonts w:ascii="Times New Roman" w:eastAsia="Times New Roman" w:hAnsi="Times New Roman" w:cs="Times New Roman"/>
      <w:snapToGrid w:val="0"/>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3466FC"/>
    <w:pPr>
      <w:numPr>
        <w:numId w:val="5"/>
      </w:numPr>
      <w:overflowPunct w:val="0"/>
      <w:autoSpaceDE w:val="0"/>
      <w:autoSpaceDN w:val="0"/>
      <w:snapToGrid w:val="0"/>
      <w:spacing w:after="120"/>
    </w:pPr>
    <w:rPr>
      <w:snapToGrid w:val="0"/>
      <w:color w:val="000000"/>
      <w:kern w:val="22"/>
      <w:szCs w:val="22"/>
    </w:rPr>
  </w:style>
  <w:style w:type="paragraph" w:customStyle="1" w:styleId="Para2">
    <w:name w:val="Para2"/>
    <w:basedOn w:val="Para1"/>
    <w:rsid w:val="007E09DA"/>
    <w:pPr>
      <w:numPr>
        <w:numId w:val="0"/>
      </w:numPr>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346301"/>
    <w:pPr>
      <w:tabs>
        <w:tab w:val="left" w:pos="426"/>
        <w:tab w:val="right" w:leader="dot" w:pos="9350"/>
      </w:tabs>
      <w:jc w:val="right"/>
    </w:pPr>
    <w:rPr>
      <w:noProof/>
      <w:snapToGrid w:val="0"/>
      <w:szCs w:val="22"/>
    </w:rPr>
  </w:style>
  <w:style w:type="paragraph" w:styleId="TOC2">
    <w:name w:val="toc 2"/>
    <w:basedOn w:val="Normal"/>
    <w:next w:val="Normal"/>
    <w:autoRedefine/>
    <w:uiPriority w:val="39"/>
    <w:rsid w:val="00F241DC"/>
    <w:pPr>
      <w:tabs>
        <w:tab w:val="left" w:pos="1134"/>
        <w:tab w:val="right" w:leader="dot" w:pos="9356"/>
      </w:tabs>
      <w:ind w:left="1134" w:hanging="708"/>
      <w:jc w:val="left"/>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3466FC"/>
    <w:rPr>
      <w:rFonts w:ascii="Times New Roman" w:eastAsia="Times New Roman" w:hAnsi="Times New Roman" w:cs="Times New Roman"/>
      <w:snapToGrid w:val="0"/>
      <w:color w:val="00000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unhideWhenUsed/>
    <w:rsid w:val="006D22E6"/>
    <w:rPr>
      <w:sz w:val="24"/>
    </w:rPr>
  </w:style>
  <w:style w:type="paragraph" w:styleId="BodyText3">
    <w:name w:val="Body Text 3"/>
    <w:basedOn w:val="Normal"/>
    <w:link w:val="BodyText3Char"/>
    <w:unhideWhenUsed/>
    <w:rsid w:val="00AD3928"/>
    <w:pPr>
      <w:spacing w:after="120"/>
    </w:pPr>
    <w:rPr>
      <w:sz w:val="16"/>
      <w:szCs w:val="16"/>
    </w:rPr>
  </w:style>
  <w:style w:type="character" w:customStyle="1" w:styleId="BodyText3Char">
    <w:name w:val="Body Text 3 Char"/>
    <w:basedOn w:val="DefaultParagraphFont"/>
    <w:link w:val="BodyText3"/>
    <w:rsid w:val="00AD3928"/>
    <w:rPr>
      <w:rFonts w:ascii="Times New Roman" w:eastAsia="Times New Roman" w:hAnsi="Times New Roman" w:cs="Times New Roman"/>
      <w:sz w:val="16"/>
      <w:szCs w:val="16"/>
      <w:lang w:val="en-GB"/>
    </w:rPr>
  </w:style>
  <w:style w:type="paragraph" w:styleId="NoSpacing">
    <w:name w:val="No Spacing"/>
    <w:link w:val="NoSpacingChar"/>
    <w:uiPriority w:val="1"/>
    <w:qFormat/>
    <w:rsid w:val="009E3A9E"/>
    <w:pPr>
      <w:jc w:val="both"/>
    </w:pPr>
    <w:rPr>
      <w:rFonts w:ascii="Times New Roman" w:eastAsia="Times New Roman" w:hAnsi="Times New Roman" w:cs="Times New Roman"/>
      <w:sz w:val="22"/>
      <w:lang w:val="en-GB"/>
    </w:rPr>
  </w:style>
  <w:style w:type="character" w:customStyle="1" w:styleId="ui-provider">
    <w:name w:val="ui-provider"/>
    <w:basedOn w:val="DefaultParagraphFont"/>
    <w:rsid w:val="00F26CDA"/>
  </w:style>
  <w:style w:type="paragraph" w:customStyle="1" w:styleId="Normalnumber">
    <w:name w:val="Normal_number"/>
    <w:link w:val="NormalnumberChar"/>
    <w:qFormat/>
    <w:rsid w:val="00B04877"/>
    <w:pPr>
      <w:numPr>
        <w:numId w:val="7"/>
      </w:numPr>
      <w:tabs>
        <w:tab w:val="clear" w:pos="568"/>
        <w:tab w:val="num" w:pos="580"/>
        <w:tab w:val="left" w:pos="1843"/>
      </w:tabs>
      <w:spacing w:after="120"/>
      <w:ind w:left="1260"/>
    </w:pPr>
    <w:rPr>
      <w:rFonts w:ascii="Times New Roman" w:eastAsia="Times New Roman" w:hAnsi="Times New Roman" w:cs="Times New Roman"/>
      <w:sz w:val="20"/>
      <w:szCs w:val="20"/>
      <w:lang w:val="en-GB"/>
    </w:rPr>
  </w:style>
  <w:style w:type="numbering" w:customStyle="1" w:styleId="Normallist">
    <w:name w:val="Normal_list"/>
    <w:rsid w:val="00B04877"/>
    <w:pPr>
      <w:numPr>
        <w:numId w:val="7"/>
      </w:numPr>
    </w:pPr>
  </w:style>
  <w:style w:type="character" w:customStyle="1" w:styleId="NormalnumberChar">
    <w:name w:val="Normal_number Char"/>
    <w:link w:val="Normalnumber"/>
    <w:qFormat/>
    <w:locked/>
    <w:rsid w:val="00B04877"/>
    <w:rPr>
      <w:rFonts w:ascii="Times New Roman" w:eastAsia="Times New Roman" w:hAnsi="Times New Roman" w:cs="Times New Roman"/>
      <w:sz w:val="20"/>
      <w:szCs w:val="20"/>
      <w:lang w:val="en-GB"/>
    </w:rPr>
  </w:style>
  <w:style w:type="paragraph" w:customStyle="1" w:styleId="Item">
    <w:name w:val="Item"/>
    <w:basedOn w:val="Normal"/>
    <w:qFormat/>
    <w:rsid w:val="00CF6C56"/>
    <w:pPr>
      <w:keepNext/>
      <w:spacing w:before="240" w:after="120"/>
      <w:ind w:left="720" w:hanging="720"/>
      <w:jc w:val="center"/>
    </w:pPr>
    <w:rPr>
      <w:b/>
      <w:kern w:val="22"/>
    </w:rPr>
  </w:style>
  <w:style w:type="paragraph" w:customStyle="1" w:styleId="Default">
    <w:name w:val="Default"/>
    <w:rsid w:val="00CF6C56"/>
    <w:pPr>
      <w:autoSpaceDE w:val="0"/>
      <w:autoSpaceDN w:val="0"/>
      <w:adjustRightInd w:val="0"/>
    </w:pPr>
    <w:rPr>
      <w:rFonts w:ascii="Times New Roman" w:eastAsia="Times New Roman" w:hAnsi="Times New Roman" w:cs="Times New Roman"/>
      <w:color w:val="000000"/>
      <w:lang w:val="de-CH" w:eastAsia="de-CH"/>
    </w:rPr>
  </w:style>
  <w:style w:type="character" w:customStyle="1" w:styleId="NoSpacingChar">
    <w:name w:val="No Spacing Char"/>
    <w:basedOn w:val="DefaultParagraphFont"/>
    <w:link w:val="NoSpacing"/>
    <w:uiPriority w:val="1"/>
    <w:rsid w:val="00CF6C56"/>
    <w:rPr>
      <w:rFonts w:ascii="Times New Roman" w:eastAsia="Times New Roman" w:hAnsi="Times New Roman" w:cs="Times New Roman"/>
      <w:sz w:val="22"/>
      <w:lang w:val="en-GB"/>
    </w:rPr>
  </w:style>
  <w:style w:type="paragraph" w:customStyle="1" w:styleId="decision">
    <w:name w:val="decision"/>
    <w:basedOn w:val="Normal"/>
    <w:qFormat/>
    <w:rsid w:val="0040414C"/>
    <w:pPr>
      <w:keepNext/>
      <w:spacing w:before="120" w:after="120"/>
      <w:jc w:val="center"/>
      <w:outlineLvl w:val="1"/>
    </w:pPr>
    <w:rPr>
      <w:rFonts w:ascii="Times New Roman Bold" w:eastAsia="Malgun Gothic" w:hAnsi="Times New Roman Bold"/>
      <w:b/>
    </w:rPr>
  </w:style>
  <w:style w:type="paragraph" w:customStyle="1" w:styleId="xl66">
    <w:name w:val="xl66"/>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CF6C56"/>
    <w:pPr>
      <w:spacing w:before="100" w:beforeAutospacing="1" w:after="100" w:afterAutospacing="1"/>
      <w:textAlignment w:val="center"/>
    </w:pPr>
    <w:rPr>
      <w:sz w:val="20"/>
      <w:szCs w:val="20"/>
    </w:rPr>
  </w:style>
  <w:style w:type="paragraph" w:customStyle="1" w:styleId="xl68">
    <w:name w:val="xl68"/>
    <w:basedOn w:val="Normal"/>
    <w:rsid w:val="00CF6C56"/>
    <w:pPr>
      <w:spacing w:before="100" w:beforeAutospacing="1" w:after="100" w:afterAutospacing="1"/>
      <w:jc w:val="center"/>
      <w:textAlignment w:val="center"/>
    </w:pPr>
    <w:rPr>
      <w:b/>
      <w:bCs/>
      <w:sz w:val="20"/>
      <w:szCs w:val="20"/>
    </w:rPr>
  </w:style>
  <w:style w:type="paragraph" w:customStyle="1" w:styleId="xl69">
    <w:name w:val="xl69"/>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CF6C5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CF6C56"/>
    <w:pPr>
      <w:spacing w:before="100" w:beforeAutospacing="1" w:after="100" w:afterAutospacing="1"/>
      <w:textAlignment w:val="center"/>
    </w:pPr>
    <w:rPr>
      <w:b/>
      <w:bCs/>
    </w:rPr>
  </w:style>
  <w:style w:type="character" w:customStyle="1" w:styleId="UnresolvedMention1">
    <w:name w:val="Unresolved Mention1"/>
    <w:basedOn w:val="DefaultParagraphFont"/>
    <w:uiPriority w:val="99"/>
    <w:unhideWhenUsed/>
    <w:rsid w:val="00CF6C56"/>
    <w:rPr>
      <w:color w:val="605E5C"/>
      <w:shd w:val="clear" w:color="auto" w:fill="E1DFDD"/>
    </w:rPr>
  </w:style>
  <w:style w:type="paragraph" w:styleId="PlainText">
    <w:name w:val="Plain Text"/>
    <w:basedOn w:val="Normal"/>
    <w:link w:val="PlainTextChar"/>
    <w:uiPriority w:val="99"/>
    <w:unhideWhenUsed/>
    <w:rsid w:val="00CF6C56"/>
    <w:rPr>
      <w:rFonts w:ascii="Calibri" w:eastAsiaTheme="minorHAnsi" w:hAnsi="Calibri" w:cs="Calibri"/>
      <w:lang w:val="fr-FR"/>
    </w:rPr>
  </w:style>
  <w:style w:type="character" w:customStyle="1" w:styleId="PlainTextChar">
    <w:name w:val="Plain Text Char"/>
    <w:basedOn w:val="DefaultParagraphFont"/>
    <w:link w:val="PlainText"/>
    <w:uiPriority w:val="99"/>
    <w:qFormat/>
    <w:rsid w:val="00CF6C56"/>
    <w:rPr>
      <w:rFonts w:ascii="Calibri" w:eastAsiaTheme="minorHAnsi" w:hAnsi="Calibri" w:cs="Calibri"/>
      <w:sz w:val="22"/>
      <w:lang w:val="fr-FR"/>
    </w:rPr>
  </w:style>
  <w:style w:type="table" w:customStyle="1" w:styleId="TableGrid1">
    <w:name w:val="Table Grid1"/>
    <w:basedOn w:val="TableNormal"/>
    <w:next w:val="TableGrid"/>
    <w:uiPriority w:val="59"/>
    <w:rsid w:val="00C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CF6C5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rsid w:val="00CF6C56"/>
    <w:pPr>
      <w:keepLines/>
      <w:numPr>
        <w:numId w:val="9"/>
      </w:numPr>
      <w:spacing w:before="120" w:after="120"/>
    </w:pPr>
    <w:rPr>
      <w:szCs w:val="22"/>
      <w:lang w:val="en-US"/>
    </w:rPr>
  </w:style>
  <w:style w:type="character" w:customStyle="1" w:styleId="CBD-ParaCharChar">
    <w:name w:val="CBD-Para Char Char"/>
    <w:link w:val="CBD-Para"/>
    <w:qFormat/>
    <w:locked/>
    <w:rsid w:val="00CF6C56"/>
    <w:rPr>
      <w:rFonts w:ascii="Times New Roman" w:eastAsia="Times New Roman" w:hAnsi="Times New Roman" w:cs="Times New Roman"/>
      <w:sz w:val="22"/>
      <w:szCs w:val="22"/>
      <w:lang w:val="en-US"/>
    </w:rPr>
  </w:style>
  <w:style w:type="character" w:customStyle="1" w:styleId="markedcontent">
    <w:name w:val="markedcontent"/>
    <w:basedOn w:val="DefaultParagraphFont"/>
    <w:rsid w:val="00CF6C56"/>
  </w:style>
  <w:style w:type="character" w:customStyle="1" w:styleId="eop">
    <w:name w:val="eop"/>
    <w:basedOn w:val="DefaultParagraphFont"/>
    <w:rsid w:val="00CF6C56"/>
  </w:style>
  <w:style w:type="character" w:customStyle="1" w:styleId="tabchar">
    <w:name w:val="tabchar"/>
    <w:basedOn w:val="DefaultParagraphFont"/>
    <w:rsid w:val="00CF6C56"/>
  </w:style>
  <w:style w:type="paragraph" w:customStyle="1" w:styleId="msonormal0">
    <w:name w:val="msonormal"/>
    <w:basedOn w:val="Normal"/>
    <w:rsid w:val="00CF6C56"/>
    <w:pPr>
      <w:spacing w:before="100" w:beforeAutospacing="1" w:after="100" w:afterAutospacing="1"/>
      <w:jc w:val="left"/>
    </w:pPr>
    <w:rPr>
      <w:sz w:val="24"/>
      <w:lang w:val="en-US" w:eastAsia="zh-CN"/>
    </w:rPr>
  </w:style>
  <w:style w:type="paragraph" w:customStyle="1" w:styleId="xl65">
    <w:name w:val="xl65"/>
    <w:basedOn w:val="Normal"/>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CF6C56"/>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rsid w:val="00E86051"/>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character" w:customStyle="1" w:styleId="BodyText2Char">
    <w:name w:val="Body Text 2 Char"/>
    <w:basedOn w:val="DefaultParagraphFont"/>
    <w:link w:val="BodyText2"/>
    <w:uiPriority w:val="99"/>
    <w:rsid w:val="00E86051"/>
    <w:rPr>
      <w:rFonts w:ascii="Times New Roman" w:eastAsia="Malgun Gothic" w:hAnsi="Times New Roman" w:cs="Times New Roman"/>
      <w:lang w:val="en-CA"/>
    </w:rPr>
  </w:style>
  <w:style w:type="character" w:styleId="Emphasis">
    <w:name w:val="Emphasis"/>
    <w:basedOn w:val="DefaultParagraphFont"/>
    <w:uiPriority w:val="20"/>
    <w:qFormat/>
    <w:rsid w:val="00E86051"/>
    <w:rPr>
      <w:i/>
      <w:iCs/>
    </w:rPr>
  </w:style>
  <w:style w:type="paragraph" w:customStyle="1" w:styleId="Revision1">
    <w:name w:val="Revision1"/>
    <w:hidden/>
    <w:uiPriority w:val="99"/>
    <w:semiHidden/>
    <w:rsid w:val="00E86051"/>
    <w:rPr>
      <w:rFonts w:ascii="Times New Roman" w:eastAsia="Times New Roman" w:hAnsi="Times New Roman" w:cs="Times New Roman"/>
      <w:sz w:val="22"/>
      <w:lang w:val="en-GB"/>
    </w:rPr>
  </w:style>
  <w:style w:type="paragraph" w:customStyle="1" w:styleId="para10">
    <w:name w:val="para10"/>
    <w:basedOn w:val="Normal"/>
    <w:rsid w:val="00E86051"/>
    <w:pPr>
      <w:numPr>
        <w:numId w:val="11"/>
      </w:numPr>
      <w:snapToGrid w:val="0"/>
      <w:spacing w:before="120" w:after="120"/>
    </w:pPr>
    <w:rPr>
      <w:szCs w:val="22"/>
      <w:lang w:val="en-US"/>
    </w:rPr>
  </w:style>
  <w:style w:type="paragraph" w:customStyle="1" w:styleId="p1">
    <w:name w:val="p1"/>
    <w:basedOn w:val="Normal"/>
    <w:qFormat/>
    <w:rsid w:val="00E86051"/>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86051"/>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8605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86051"/>
    <w:rPr>
      <w:rFonts w:ascii="Times New Roman" w:eastAsia="Times New Roman" w:hAnsi="Times New Roman" w:cs="Times New Roman"/>
      <w:sz w:val="22"/>
      <w:lang w:val="en-GB"/>
    </w:rPr>
  </w:style>
  <w:style w:type="character" w:customStyle="1" w:styleId="apple-converted-space">
    <w:name w:val="apple-converted-space"/>
    <w:basedOn w:val="DefaultParagraphFont"/>
    <w:rsid w:val="00E86051"/>
  </w:style>
  <w:style w:type="character" w:customStyle="1" w:styleId="Mention1">
    <w:name w:val="Mention1"/>
    <w:basedOn w:val="DefaultParagraphFont"/>
    <w:uiPriority w:val="99"/>
    <w:unhideWhenUsed/>
    <w:rsid w:val="00E86051"/>
    <w:rPr>
      <w:color w:val="2B579A"/>
      <w:shd w:val="clear" w:color="auto" w:fill="E1DFDD"/>
    </w:rPr>
  </w:style>
  <w:style w:type="character" w:customStyle="1" w:styleId="UnresolvedMention11">
    <w:name w:val="Unresolved Mention11"/>
    <w:basedOn w:val="DefaultParagraphFont"/>
    <w:uiPriority w:val="99"/>
    <w:unhideWhenUsed/>
    <w:rsid w:val="00E86051"/>
    <w:rPr>
      <w:color w:val="605E5C"/>
      <w:shd w:val="clear" w:color="auto" w:fill="E1DFDD"/>
    </w:rPr>
  </w:style>
  <w:style w:type="paragraph" w:customStyle="1" w:styleId="StylePara1Before0pt">
    <w:name w:val="Style Para1 + Before:  0 pt"/>
    <w:basedOn w:val="Para1"/>
    <w:rsid w:val="00E86051"/>
    <w:pPr>
      <w:numPr>
        <w:numId w:val="12"/>
      </w:numPr>
      <w:tabs>
        <w:tab w:val="left" w:pos="360"/>
      </w:tabs>
      <w:overflowPunct/>
      <w:autoSpaceDE/>
      <w:autoSpaceDN/>
      <w:snapToGrid/>
      <w:spacing w:before="120"/>
      <w:jc w:val="left"/>
    </w:pPr>
    <w:rPr>
      <w:color w:val="auto"/>
      <w:kern w:val="0"/>
      <w:sz w:val="24"/>
      <w:szCs w:val="20"/>
      <w:lang w:val="en-CA"/>
    </w:rPr>
  </w:style>
  <w:style w:type="paragraph" w:customStyle="1" w:styleId="Para">
    <w:name w:val="Para"/>
    <w:basedOn w:val="Normal"/>
    <w:rsid w:val="00E86051"/>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sid w:val="00E86051"/>
    <w:rPr>
      <w:color w:val="2B579A"/>
      <w:shd w:val="clear" w:color="auto" w:fill="E1DFDD"/>
    </w:rPr>
  </w:style>
  <w:style w:type="character" w:customStyle="1" w:styleId="FootnoteTextChar1">
    <w:name w:val="Footnote Text Char1"/>
    <w:basedOn w:val="DefaultParagraphFont"/>
    <w:uiPriority w:val="99"/>
    <w:semiHidden/>
    <w:rsid w:val="00E86051"/>
    <w:rPr>
      <w:sz w:val="20"/>
      <w:szCs w:val="20"/>
    </w:rPr>
  </w:style>
  <w:style w:type="character" w:customStyle="1" w:styleId="superscript">
    <w:name w:val="superscript"/>
    <w:basedOn w:val="DefaultParagraphFont"/>
    <w:rsid w:val="00E86051"/>
  </w:style>
  <w:style w:type="character" w:customStyle="1" w:styleId="UnresolvedMention2">
    <w:name w:val="Unresolved Mention2"/>
    <w:basedOn w:val="DefaultParagraphFont"/>
    <w:uiPriority w:val="99"/>
    <w:semiHidden/>
    <w:unhideWhenUsed/>
    <w:rsid w:val="00E86051"/>
    <w:rPr>
      <w:color w:val="605E5C"/>
      <w:shd w:val="clear" w:color="auto" w:fill="E1DFDD"/>
    </w:rPr>
  </w:style>
  <w:style w:type="paragraph" w:customStyle="1" w:styleId="xmsonormal">
    <w:name w:val="x_msonormal"/>
    <w:basedOn w:val="Normal"/>
    <w:uiPriority w:val="99"/>
    <w:rsid w:val="00E86051"/>
    <w:pPr>
      <w:jc w:val="left"/>
    </w:pPr>
    <w:rPr>
      <w:rFonts w:eastAsiaTheme="minorHAnsi"/>
      <w:color w:val="000000"/>
      <w:sz w:val="24"/>
      <w:lang w:val="en-CA" w:eastAsia="en-CA"/>
    </w:rPr>
  </w:style>
  <w:style w:type="paragraph" w:styleId="BodyTextIndent2">
    <w:name w:val="Body Text Indent 2"/>
    <w:basedOn w:val="Normal"/>
    <w:link w:val="BodyTextIndent2Char"/>
    <w:rsid w:val="00005A3C"/>
    <w:pPr>
      <w:ind w:firstLine="720"/>
      <w:jc w:val="left"/>
    </w:pPr>
    <w:rPr>
      <w:sz w:val="24"/>
      <w:lang w:val="en-CA"/>
    </w:rPr>
  </w:style>
  <w:style w:type="character" w:customStyle="1" w:styleId="BodyTextIndent2Char">
    <w:name w:val="Body Text Indent 2 Char"/>
    <w:basedOn w:val="DefaultParagraphFont"/>
    <w:link w:val="BodyTextIndent2"/>
    <w:rsid w:val="00005A3C"/>
    <w:rPr>
      <w:rFonts w:ascii="Times New Roman" w:eastAsia="Times New Roman" w:hAnsi="Times New Roman" w:cs="Times New Roman"/>
      <w:lang w:val="en-CA"/>
    </w:rPr>
  </w:style>
  <w:style w:type="paragraph" w:styleId="BodyTextIndent3">
    <w:name w:val="Body Text Indent 3"/>
    <w:basedOn w:val="Normal"/>
    <w:link w:val="BodyTextIndent3Char"/>
    <w:rsid w:val="00005A3C"/>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05A3C"/>
    <w:rPr>
      <w:rFonts w:ascii="Courier" w:eastAsia="Times New Roman" w:hAnsi="Courier" w:cs="Times New Roman"/>
      <w:sz w:val="20"/>
      <w:lang w:val="en-CA"/>
    </w:rPr>
  </w:style>
  <w:style w:type="paragraph" w:customStyle="1" w:styleId="BodyText21">
    <w:name w:val="Body Text 21"/>
    <w:basedOn w:val="Normal"/>
    <w:rsid w:val="00005A3C"/>
    <w:pPr>
      <w:jc w:val="left"/>
    </w:pPr>
  </w:style>
  <w:style w:type="paragraph" w:styleId="BlockText">
    <w:name w:val="Block Text"/>
    <w:basedOn w:val="Normal"/>
    <w:rsid w:val="00005A3C"/>
    <w:pPr>
      <w:tabs>
        <w:tab w:val="left" w:leader="dot" w:pos="8100"/>
        <w:tab w:val="left" w:pos="8370"/>
      </w:tabs>
      <w:suppressAutoHyphens/>
      <w:ind w:left="720" w:right="1440" w:hanging="720"/>
      <w:jc w:val="left"/>
    </w:pPr>
    <w:rPr>
      <w:rFonts w:ascii="Courier New" w:hAnsi="Courier New"/>
      <w:sz w:val="20"/>
    </w:rPr>
  </w:style>
  <w:style w:type="paragraph" w:styleId="DocumentMap">
    <w:name w:val="Document Map"/>
    <w:basedOn w:val="Normal"/>
    <w:link w:val="DocumentMapChar"/>
    <w:semiHidden/>
    <w:rsid w:val="00005A3C"/>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05A3C"/>
    <w:rPr>
      <w:rFonts w:ascii="Tahoma" w:eastAsia="Times New Roman" w:hAnsi="Tahoma" w:cs="Times New Roman"/>
      <w:shd w:val="clear" w:color="auto" w:fill="000080"/>
      <w:lang w:val="en-CA"/>
    </w:rPr>
  </w:style>
  <w:style w:type="paragraph" w:customStyle="1" w:styleId="para20">
    <w:name w:val="para2"/>
    <w:basedOn w:val="Normal"/>
    <w:rsid w:val="00005A3C"/>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05A3C"/>
    <w:pPr>
      <w:tabs>
        <w:tab w:val="left" w:pos="720"/>
      </w:tabs>
      <w:spacing w:before="120"/>
    </w:pPr>
    <w:rPr>
      <w:i/>
      <w:iCs/>
      <w:sz w:val="24"/>
      <w:szCs w:val="24"/>
      <w:lang w:val="en-CA"/>
    </w:rPr>
  </w:style>
  <w:style w:type="paragraph" w:customStyle="1" w:styleId="xl24">
    <w:name w:val="xl24"/>
    <w:basedOn w:val="Normal"/>
    <w:rsid w:val="00005A3C"/>
    <w:pPr>
      <w:spacing w:before="100" w:beforeAutospacing="1" w:after="100" w:afterAutospacing="1"/>
      <w:jc w:val="left"/>
    </w:pPr>
    <w:rPr>
      <w:rFonts w:eastAsia="Arial Unicode MS"/>
      <w:b/>
      <w:bCs/>
      <w:szCs w:val="22"/>
      <w:lang w:val="en-CA"/>
    </w:rPr>
  </w:style>
  <w:style w:type="paragraph" w:customStyle="1" w:styleId="xl25">
    <w:name w:val="xl25"/>
    <w:basedOn w:val="Normal"/>
    <w:rsid w:val="00005A3C"/>
    <w:pPr>
      <w:spacing w:before="100" w:beforeAutospacing="1" w:after="100" w:afterAutospacing="1"/>
      <w:jc w:val="left"/>
    </w:pPr>
    <w:rPr>
      <w:rFonts w:eastAsia="Arial Unicode MS"/>
      <w:b/>
      <w:bCs/>
      <w:szCs w:val="22"/>
      <w:lang w:val="en-CA"/>
    </w:rPr>
  </w:style>
  <w:style w:type="paragraph" w:customStyle="1" w:styleId="xl26">
    <w:name w:val="xl26"/>
    <w:basedOn w:val="Normal"/>
    <w:rsid w:val="00005A3C"/>
    <w:pPr>
      <w:spacing w:before="100" w:beforeAutospacing="1" w:after="100" w:afterAutospacing="1"/>
      <w:jc w:val="center"/>
    </w:pPr>
    <w:rPr>
      <w:rFonts w:eastAsia="Arial Unicode MS"/>
      <w:b/>
      <w:bCs/>
      <w:szCs w:val="22"/>
      <w:lang w:val="en-CA"/>
    </w:rPr>
  </w:style>
  <w:style w:type="paragraph" w:customStyle="1" w:styleId="xl27">
    <w:name w:val="xl27"/>
    <w:basedOn w:val="Normal"/>
    <w:rsid w:val="00005A3C"/>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005A3C"/>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005A3C"/>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005A3C"/>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005A3C"/>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005A3C"/>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005A3C"/>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005A3C"/>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005A3C"/>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005A3C"/>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005A3C"/>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005A3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005A3C"/>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005A3C"/>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005A3C"/>
    <w:pPr>
      <w:spacing w:before="100" w:beforeAutospacing="1" w:after="100" w:afterAutospacing="1"/>
      <w:textAlignment w:val="top"/>
    </w:pPr>
    <w:rPr>
      <w:rFonts w:eastAsia="Arial Unicode MS"/>
      <w:szCs w:val="22"/>
      <w:lang w:val="en-CA"/>
    </w:rPr>
  </w:style>
  <w:style w:type="paragraph" w:customStyle="1" w:styleId="xl42">
    <w:name w:val="xl42"/>
    <w:basedOn w:val="Normal"/>
    <w:rsid w:val="00005A3C"/>
    <w:pPr>
      <w:spacing w:before="100" w:beforeAutospacing="1" w:after="100" w:afterAutospacing="1"/>
      <w:jc w:val="center"/>
    </w:pPr>
    <w:rPr>
      <w:rFonts w:eastAsia="Arial Unicode MS"/>
      <w:szCs w:val="22"/>
      <w:lang w:val="en-CA"/>
    </w:rPr>
  </w:style>
  <w:style w:type="paragraph" w:customStyle="1" w:styleId="xl43">
    <w:name w:val="xl43"/>
    <w:basedOn w:val="Normal"/>
    <w:rsid w:val="00005A3C"/>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005A3C"/>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005A3C"/>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005A3C"/>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005A3C"/>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005A3C"/>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005A3C"/>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005A3C"/>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005A3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005A3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005A3C"/>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005A3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005A3C"/>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005A3C"/>
    <w:pPr>
      <w:spacing w:before="100" w:beforeAutospacing="1" w:after="100" w:afterAutospacing="1"/>
      <w:jc w:val="left"/>
    </w:pPr>
    <w:rPr>
      <w:rFonts w:eastAsia="Arial Unicode MS"/>
      <w:szCs w:val="22"/>
      <w:lang w:val="en-CA"/>
    </w:rPr>
  </w:style>
  <w:style w:type="paragraph" w:customStyle="1" w:styleId="xl57">
    <w:name w:val="xl57"/>
    <w:basedOn w:val="Normal"/>
    <w:rsid w:val="00005A3C"/>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005A3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005A3C"/>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005A3C"/>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005A3C"/>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005A3C"/>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005A3C"/>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005A3C"/>
    <w:pPr>
      <w:pBdr>
        <w:left w:val="single" w:sz="4" w:space="0" w:color="auto"/>
      </w:pBdr>
      <w:spacing w:before="100" w:beforeAutospacing="1" w:after="100" w:afterAutospacing="1"/>
      <w:jc w:val="left"/>
    </w:pPr>
    <w:rPr>
      <w:rFonts w:eastAsia="Arial Unicode MS"/>
      <w:szCs w:val="22"/>
      <w:lang w:val="en-CA"/>
    </w:rPr>
  </w:style>
  <w:style w:type="paragraph" w:customStyle="1" w:styleId="Texte">
    <w:name w:val="Texte"/>
    <w:basedOn w:val="Normal"/>
    <w:rsid w:val="00005A3C"/>
    <w:pPr>
      <w:widowControl w:val="0"/>
      <w:tabs>
        <w:tab w:val="left" w:pos="720"/>
      </w:tabs>
      <w:spacing w:before="120" w:after="120"/>
    </w:pPr>
    <w:rPr>
      <w:lang w:val="en-CA"/>
    </w:rPr>
  </w:style>
  <w:style w:type="paragraph" w:customStyle="1" w:styleId="xl22">
    <w:name w:val="xl22"/>
    <w:basedOn w:val="Normal"/>
    <w:rsid w:val="00005A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005A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005A3C"/>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05A3C"/>
    <w:rPr>
      <w:b/>
      <w:bCs/>
    </w:rPr>
  </w:style>
  <w:style w:type="paragraph" w:customStyle="1" w:styleId="Para11">
    <w:name w:val="Para 1"/>
    <w:basedOn w:val="BodyText"/>
    <w:rsid w:val="00005A3C"/>
    <w:pPr>
      <w:ind w:firstLine="0"/>
      <w:jc w:val="left"/>
    </w:pPr>
    <w:rPr>
      <w:rFonts w:eastAsia="MS Mincho"/>
      <w:bCs/>
      <w:iCs w:val="0"/>
      <w:sz w:val="24"/>
      <w:szCs w:val="22"/>
      <w:lang w:val="en-CA"/>
    </w:rPr>
  </w:style>
  <w:style w:type="paragraph" w:customStyle="1" w:styleId="aident">
    <w:name w:val="(a) ident"/>
    <w:basedOn w:val="Normal"/>
    <w:rsid w:val="00005A3C"/>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05A3C"/>
    <w:pPr>
      <w:numPr>
        <w:numId w:val="0"/>
      </w:numPr>
      <w:tabs>
        <w:tab w:val="num" w:pos="1080"/>
      </w:tabs>
      <w:overflowPunct/>
      <w:autoSpaceDE/>
      <w:autoSpaceDN/>
      <w:snapToGrid/>
      <w:spacing w:line="240" w:lineRule="exact"/>
      <w:ind w:left="1080" w:hanging="360"/>
      <w:jc w:val="left"/>
    </w:pPr>
    <w:rPr>
      <w:snapToGrid/>
      <w:color w:val="auto"/>
      <w:kern w:val="0"/>
      <w:sz w:val="24"/>
      <w:szCs w:val="20"/>
      <w:lang w:val="en-US"/>
    </w:rPr>
  </w:style>
  <w:style w:type="paragraph" w:customStyle="1" w:styleId="Document1">
    <w:name w:val="Document 1"/>
    <w:basedOn w:val="Normal"/>
    <w:next w:val="Normal"/>
    <w:rsid w:val="00005A3C"/>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05A3C"/>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05A3C"/>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005A3C"/>
    <w:pPr>
      <w:numPr>
        <w:numId w:val="0"/>
      </w:numPr>
      <w:tabs>
        <w:tab w:val="left" w:pos="360"/>
      </w:tabs>
      <w:adjustRightInd w:val="0"/>
      <w:snapToGrid/>
      <w:jc w:val="left"/>
      <w:textAlignment w:val="baseline"/>
    </w:pPr>
    <w:rPr>
      <w:rFonts w:ascii="Courier" w:hAnsi="Courier"/>
      <w:color w:val="auto"/>
      <w:kern w:val="0"/>
      <w:sz w:val="20"/>
      <w:szCs w:val="20"/>
      <w:lang w:val="en-US"/>
    </w:rPr>
  </w:style>
  <w:style w:type="paragraph" w:customStyle="1" w:styleId="Paranumbered">
    <w:name w:val="Paranumbered"/>
    <w:basedOn w:val="Normal"/>
    <w:rsid w:val="00005A3C"/>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005A3C"/>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00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05A3C"/>
    <w:rPr>
      <w:rFonts w:ascii="Courier New" w:eastAsia="Times New Roman" w:hAnsi="Courier New" w:cs="Courier New"/>
      <w:sz w:val="20"/>
      <w:lang w:val="en-CA"/>
    </w:rPr>
  </w:style>
  <w:style w:type="paragraph" w:customStyle="1" w:styleId="Para1alternative">
    <w:name w:val="Para1 (alternative)"/>
    <w:basedOn w:val="Normal"/>
    <w:rsid w:val="00005A3C"/>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05A3C"/>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05A3C"/>
    <w:rPr>
      <w:rFonts w:ascii="Arial" w:hAnsi="Arial" w:cs="Arial" w:hint="default"/>
      <w:b w:val="0"/>
      <w:bCs w:val="0"/>
      <w:color w:val="000000"/>
      <w:sz w:val="24"/>
      <w:szCs w:val="24"/>
    </w:rPr>
  </w:style>
  <w:style w:type="character" w:customStyle="1" w:styleId="BodyText2CharCharChar">
    <w:name w:val="Body Text 2 Char Char Char"/>
    <w:rsid w:val="00005A3C"/>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05A3C"/>
    <w:rPr>
      <w:sz w:val="22"/>
      <w:lang w:val="en-US" w:eastAsia="en-US" w:bidi="ar-SA"/>
    </w:rPr>
  </w:style>
  <w:style w:type="paragraph" w:customStyle="1" w:styleId="StylePara1Firstline127cm">
    <w:name w:val="Style Para1 + First line:  1.27 cm"/>
    <w:basedOn w:val="Para1"/>
    <w:rsid w:val="00005A3C"/>
    <w:pPr>
      <w:numPr>
        <w:numId w:val="0"/>
      </w:numPr>
      <w:tabs>
        <w:tab w:val="num" w:pos="360"/>
      </w:tabs>
      <w:overflowPunct/>
      <w:autoSpaceDE/>
      <w:autoSpaceDN/>
      <w:snapToGrid/>
      <w:jc w:val="left"/>
    </w:pPr>
    <w:rPr>
      <w:color w:val="auto"/>
      <w:kern w:val="0"/>
      <w:sz w:val="24"/>
      <w:szCs w:val="20"/>
      <w:lang w:val="en-CA"/>
    </w:rPr>
  </w:style>
  <w:style w:type="paragraph" w:customStyle="1" w:styleId="subhead">
    <w:name w:val="subhead"/>
    <w:basedOn w:val="Normal"/>
    <w:next w:val="Para1"/>
    <w:rsid w:val="00005A3C"/>
    <w:pPr>
      <w:spacing w:before="120" w:after="120"/>
      <w:jc w:val="center"/>
    </w:pPr>
    <w:rPr>
      <w:rFonts w:cs="Angsana New"/>
      <w:i/>
    </w:rPr>
  </w:style>
  <w:style w:type="character" w:customStyle="1" w:styleId="BlockTextChar">
    <w:name w:val="Block Text Char"/>
    <w:rsid w:val="00005A3C"/>
    <w:rPr>
      <w:sz w:val="24"/>
      <w:szCs w:val="24"/>
      <w:lang w:val="en-US" w:eastAsia="en-US" w:bidi="ar-SA"/>
    </w:rPr>
  </w:style>
  <w:style w:type="paragraph" w:customStyle="1" w:styleId="bodytext210">
    <w:name w:val="bodytext21"/>
    <w:basedOn w:val="Normal"/>
    <w:rsid w:val="00005A3C"/>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05A3C"/>
    <w:rPr>
      <w:sz w:val="22"/>
      <w:lang w:val="en-US" w:eastAsia="en-US" w:bidi="ar-SA"/>
    </w:rPr>
  </w:style>
  <w:style w:type="character" w:customStyle="1" w:styleId="MathieuRgnier">
    <w:name w:val="Mathieu Régnier"/>
    <w:semiHidden/>
    <w:rsid w:val="00005A3C"/>
    <w:rPr>
      <w:rFonts w:ascii="Arial" w:hAnsi="Arial" w:cs="Arial"/>
      <w:color w:val="auto"/>
      <w:sz w:val="20"/>
      <w:szCs w:val="20"/>
    </w:rPr>
  </w:style>
  <w:style w:type="paragraph" w:customStyle="1" w:styleId="bodytextnoindent">
    <w:name w:val="body text (no indent)"/>
    <w:basedOn w:val="Normal"/>
    <w:rsid w:val="00005A3C"/>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05A3C"/>
    <w:pPr>
      <w:jc w:val="left"/>
    </w:pPr>
    <w:rPr>
      <w:i/>
      <w:iCs w:val="0"/>
      <w:sz w:val="24"/>
      <w:lang w:val="en-CA"/>
    </w:rPr>
  </w:style>
  <w:style w:type="paragraph" w:customStyle="1" w:styleId="boxbody">
    <w:name w:val="boxbody"/>
    <w:basedOn w:val="Normal"/>
    <w:rsid w:val="00005A3C"/>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05A3C"/>
    <w:pPr>
      <w:tabs>
        <w:tab w:val="left" w:pos="900"/>
      </w:tabs>
      <w:spacing w:before="120"/>
    </w:pPr>
    <w:rPr>
      <w:rFonts w:eastAsia="Batang"/>
      <w:b w:val="0"/>
      <w:bCs w:val="0"/>
      <w:i/>
      <w:iCs/>
      <w:sz w:val="24"/>
      <w:szCs w:val="20"/>
      <w:lang w:val="en-CA"/>
    </w:rPr>
  </w:style>
  <w:style w:type="paragraph" w:customStyle="1" w:styleId="Heading2noletter">
    <w:name w:val="Heading 2 (no letter)"/>
    <w:basedOn w:val="Heading2"/>
    <w:rsid w:val="00005A3C"/>
    <w:pPr>
      <w:spacing w:before="120"/>
    </w:pPr>
    <w:rPr>
      <w:i/>
      <w:iCs/>
      <w:sz w:val="24"/>
      <w:szCs w:val="24"/>
      <w:lang w:val="en-CA"/>
    </w:rPr>
  </w:style>
  <w:style w:type="character" w:customStyle="1" w:styleId="Heading2CharChar">
    <w:name w:val="Heading 2 Char Char"/>
    <w:rsid w:val="00005A3C"/>
    <w:rPr>
      <w:rFonts w:ascii="Arial" w:hAnsi="Arial" w:cs="Arial"/>
      <w:b/>
      <w:bCs/>
      <w:i/>
      <w:iCs/>
      <w:noProof w:val="0"/>
      <w:sz w:val="28"/>
      <w:szCs w:val="28"/>
      <w:lang w:val="en-US" w:eastAsia="en-US" w:bidi="ar-SA"/>
    </w:rPr>
  </w:style>
  <w:style w:type="paragraph" w:customStyle="1" w:styleId="Heading-plain0">
    <w:name w:val="Heading-plain"/>
    <w:basedOn w:val="Normal"/>
    <w:rsid w:val="00005A3C"/>
    <w:pPr>
      <w:spacing w:before="120" w:after="120"/>
      <w:jc w:val="center"/>
      <w:outlineLvl w:val="0"/>
    </w:pPr>
    <w:rPr>
      <w:i/>
      <w:sz w:val="24"/>
      <w:szCs w:val="20"/>
      <w:lang w:val="en-CA"/>
    </w:rPr>
  </w:style>
  <w:style w:type="paragraph" w:customStyle="1" w:styleId="Heading-plainitalic">
    <w:name w:val="Heading-plain italic"/>
    <w:basedOn w:val="Heading-plainbold"/>
    <w:rsid w:val="00005A3C"/>
    <w:rPr>
      <w:rFonts w:eastAsia="Times New Roman"/>
      <w:b w:val="0"/>
      <w:bCs w:val="0"/>
      <w:sz w:val="24"/>
      <w:lang w:val="en-CA" w:eastAsia="en-US"/>
    </w:rPr>
  </w:style>
  <w:style w:type="character" w:customStyle="1" w:styleId="Para1Char0">
    <w:name w:val="Para 1 Char"/>
    <w:rsid w:val="00005A3C"/>
    <w:rPr>
      <w:rFonts w:eastAsia="MS Mincho"/>
      <w:bCs/>
      <w:iCs/>
      <w:sz w:val="22"/>
      <w:szCs w:val="22"/>
      <w:lang w:val="en-GB" w:eastAsia="en-US" w:bidi="ar-SA"/>
    </w:rPr>
  </w:style>
  <w:style w:type="paragraph" w:customStyle="1" w:styleId="Para2rev">
    <w:name w:val="Para 2 (rev)"/>
    <w:basedOn w:val="Normal"/>
    <w:rsid w:val="00005A3C"/>
    <w:pPr>
      <w:tabs>
        <w:tab w:val="num" w:pos="720"/>
      </w:tabs>
      <w:spacing w:after="120"/>
      <w:ind w:left="720" w:hanging="360"/>
      <w:jc w:val="left"/>
    </w:pPr>
    <w:rPr>
      <w:sz w:val="24"/>
      <w:lang w:val="en-CA"/>
    </w:rPr>
  </w:style>
  <w:style w:type="paragraph" w:customStyle="1" w:styleId="Paraofficial">
    <w:name w:val="Para official"/>
    <w:basedOn w:val="Normal"/>
    <w:rsid w:val="00005A3C"/>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05A3C"/>
    <w:pPr>
      <w:tabs>
        <w:tab w:val="num" w:pos="720"/>
      </w:tabs>
      <w:spacing w:after="120"/>
      <w:jc w:val="left"/>
    </w:pPr>
    <w:rPr>
      <w:sz w:val="24"/>
      <w:szCs w:val="22"/>
      <w:lang w:val="en-US"/>
    </w:rPr>
  </w:style>
  <w:style w:type="paragraph" w:customStyle="1" w:styleId="Para40">
    <w:name w:val="Para4"/>
    <w:basedOn w:val="Para3"/>
    <w:rsid w:val="00005A3C"/>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05A3C"/>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05A3C"/>
    <w:rPr>
      <w:rFonts w:cs="Angsana New"/>
      <w:iCs/>
      <w:snapToGrid w:val="0"/>
      <w:color w:val="000000"/>
      <w:sz w:val="22"/>
      <w:szCs w:val="22"/>
      <w:lang w:val="en-US" w:eastAsia="en-US" w:bidi="ar-SA"/>
    </w:rPr>
  </w:style>
  <w:style w:type="numbering" w:styleId="111111">
    <w:name w:val="Outline List 2"/>
    <w:basedOn w:val="NoList"/>
    <w:rsid w:val="00005A3C"/>
  </w:style>
  <w:style w:type="numbering" w:customStyle="1" w:styleId="Style2">
    <w:name w:val="Style2"/>
    <w:rsid w:val="00005A3C"/>
    <w:pPr>
      <w:numPr>
        <w:numId w:val="20"/>
      </w:numPr>
    </w:pPr>
  </w:style>
  <w:style w:type="character" w:customStyle="1" w:styleId="Heading1longmultilineChar">
    <w:name w:val="Heading 1 (long multiline) Char"/>
    <w:link w:val="Heading1longmultiline"/>
    <w:rsid w:val="00005A3C"/>
    <w:rPr>
      <w:rFonts w:ascii="Times New Roman" w:eastAsia="Times New Roman" w:hAnsi="Times New Roman" w:cs="Times New Roman"/>
      <w:b/>
      <w:caps/>
      <w:sz w:val="22"/>
      <w:lang w:val="en-GB"/>
    </w:rPr>
  </w:style>
  <w:style w:type="paragraph" w:customStyle="1" w:styleId="SubtleEmphasis1">
    <w:name w:val="Subtle Emphasis1"/>
    <w:basedOn w:val="Normal"/>
    <w:uiPriority w:val="34"/>
    <w:qFormat/>
    <w:rsid w:val="00005A3C"/>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05A3C"/>
    <w:pPr>
      <w:tabs>
        <w:tab w:val="left" w:pos="567"/>
      </w:tabs>
    </w:pPr>
    <w:rPr>
      <w:rFonts w:ascii="Times New Roman Bold" w:eastAsia="Times New Roman" w:hAnsi="Times New Roman Bold"/>
      <w:b/>
      <w:bCs/>
      <w:i w:val="0"/>
      <w:iCs w:val="0"/>
      <w:caps/>
      <w:sz w:val="24"/>
      <w:lang w:val="en-CA"/>
    </w:rPr>
  </w:style>
  <w:style w:type="paragraph" w:customStyle="1" w:styleId="DarkList-Accent61">
    <w:name w:val="Dark List - Accent 61"/>
    <w:uiPriority w:val="1"/>
    <w:qFormat/>
    <w:rsid w:val="00005A3C"/>
    <w:rPr>
      <w:rFonts w:ascii="Calibri" w:eastAsia="MS Mincho" w:hAnsi="Calibri" w:cs="Times New Roman"/>
      <w:sz w:val="22"/>
      <w:szCs w:val="22"/>
      <w:lang w:val="en-US"/>
    </w:rPr>
  </w:style>
  <w:style w:type="paragraph" w:customStyle="1" w:styleId="Paraa">
    <w:name w:val="Para (a)"/>
    <w:basedOn w:val="Normal"/>
    <w:rsid w:val="0000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05A3C"/>
    <w:rPr>
      <w:kern w:val="20"/>
      <w:sz w:val="22"/>
      <w:u w:val="none"/>
      <w:vertAlign w:val="superscript"/>
    </w:rPr>
  </w:style>
  <w:style w:type="character" w:customStyle="1" w:styleId="s13">
    <w:name w:val="s13"/>
    <w:rsid w:val="00005A3C"/>
  </w:style>
  <w:style w:type="paragraph" w:customStyle="1" w:styleId="ColorfulGrid-Accent61">
    <w:name w:val="Colorful Grid - Accent 61"/>
    <w:hidden/>
    <w:uiPriority w:val="99"/>
    <w:semiHidden/>
    <w:rsid w:val="00005A3C"/>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05A3C"/>
    <w:rPr>
      <w:rFonts w:ascii="Times New Roman" w:eastAsia="MS Mincho" w:hAnsi="Times New Roman" w:cs="Angsana New"/>
      <w:sz w:val="22"/>
      <w:lang w:val="en-GB"/>
    </w:rPr>
  </w:style>
  <w:style w:type="paragraph" w:customStyle="1" w:styleId="SubtleEmphasis2">
    <w:name w:val="Subtle Emphasis2"/>
    <w:basedOn w:val="Normal"/>
    <w:uiPriority w:val="34"/>
    <w:qFormat/>
    <w:rsid w:val="00005A3C"/>
    <w:pPr>
      <w:ind w:left="720"/>
      <w:jc w:val="left"/>
    </w:pPr>
    <w:rPr>
      <w:sz w:val="24"/>
      <w:lang w:val="en-CA"/>
    </w:rPr>
  </w:style>
  <w:style w:type="paragraph" w:customStyle="1" w:styleId="LightGrid-Accent31">
    <w:name w:val="Light Grid - Accent 31"/>
    <w:basedOn w:val="Normal"/>
    <w:uiPriority w:val="34"/>
    <w:qFormat/>
    <w:rsid w:val="00005A3C"/>
    <w:pPr>
      <w:ind w:left="720"/>
      <w:jc w:val="left"/>
    </w:pPr>
    <w:rPr>
      <w:sz w:val="24"/>
      <w:lang w:val="en-CA"/>
    </w:rPr>
  </w:style>
  <w:style w:type="numbering" w:customStyle="1" w:styleId="NoList1">
    <w:name w:val="No List1"/>
    <w:next w:val="NoList"/>
    <w:uiPriority w:val="99"/>
    <w:semiHidden/>
    <w:unhideWhenUsed/>
    <w:rsid w:val="00005A3C"/>
  </w:style>
  <w:style w:type="character" w:customStyle="1" w:styleId="A7">
    <w:name w:val="A7"/>
    <w:uiPriority w:val="99"/>
    <w:rsid w:val="00005A3C"/>
    <w:rPr>
      <w:rFonts w:cs="HelveticaNeueLT Std Lt"/>
      <w:color w:val="000000"/>
      <w:sz w:val="18"/>
      <w:szCs w:val="18"/>
    </w:rPr>
  </w:style>
  <w:style w:type="paragraph" w:customStyle="1" w:styleId="ListBullet1">
    <w:name w:val="List Bullet1"/>
    <w:basedOn w:val="Normal"/>
    <w:next w:val="ListBullet"/>
    <w:uiPriority w:val="99"/>
    <w:semiHidden/>
    <w:unhideWhenUsed/>
    <w:qFormat/>
    <w:rsid w:val="00005A3C"/>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05A3C"/>
    <w:pPr>
      <w:tabs>
        <w:tab w:val="num" w:pos="360"/>
      </w:tabs>
      <w:contextualSpacing/>
    </w:pPr>
  </w:style>
  <w:style w:type="character" w:customStyle="1" w:styleId="StyleFootnoteReferencenumberFootnoteReferenceSuperscript-EF">
    <w:name w:val="Style Footnote ReferencenumberFootnote Reference Superscript-E F..."/>
    <w:basedOn w:val="DefaultParagraphFont"/>
    <w:rsid w:val="006335DB"/>
    <w:rPr>
      <w:kern w:val="22"/>
      <w:sz w:val="18"/>
      <w:u w:val="none"/>
      <w:vertAlign w:val="superscript"/>
    </w:rPr>
  </w:style>
  <w:style w:type="paragraph" w:customStyle="1" w:styleId="CBD-Para-a">
    <w:name w:val="CBD-Para-a"/>
    <w:basedOn w:val="CBD-Para"/>
    <w:rsid w:val="00005A3C"/>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005A3C"/>
  </w:style>
  <w:style w:type="paragraph" w:customStyle="1" w:styleId="StylePara1Kernat11pt">
    <w:name w:val="Style Para1 + Kern at 11 pt"/>
    <w:basedOn w:val="Normal"/>
    <w:rsid w:val="00005A3C"/>
    <w:pPr>
      <w:snapToGrid w:val="0"/>
      <w:spacing w:before="120" w:after="120"/>
      <w:jc w:val="left"/>
    </w:pPr>
    <w:rPr>
      <w:kern w:val="22"/>
      <w:sz w:val="24"/>
      <w:szCs w:val="18"/>
      <w:lang w:val="en-CA"/>
    </w:rPr>
  </w:style>
  <w:style w:type="paragraph" w:customStyle="1" w:styleId="xmsolistparagraph">
    <w:name w:val="x_msolistparagraph"/>
    <w:basedOn w:val="Normal"/>
    <w:rsid w:val="00005A3C"/>
    <w:pPr>
      <w:jc w:val="left"/>
    </w:pPr>
    <w:rPr>
      <w:rFonts w:eastAsiaTheme="minorHAnsi"/>
      <w:sz w:val="24"/>
      <w:lang w:val="en-US"/>
    </w:rPr>
  </w:style>
  <w:style w:type="paragraph" w:customStyle="1" w:styleId="CharChar12">
    <w:name w:val="Char Char12"/>
    <w:basedOn w:val="Normal"/>
    <w:rsid w:val="00005A3C"/>
  </w:style>
  <w:style w:type="character" w:customStyle="1" w:styleId="Style1Char">
    <w:name w:val="Style1 Char"/>
    <w:basedOn w:val="DefaultParagraphFont"/>
    <w:link w:val="Style1"/>
    <w:rsid w:val="00005A3C"/>
    <w:rPr>
      <w:rFonts w:ascii="Times New Roman" w:eastAsia="Times New Roman" w:hAnsi="Times New Roman" w:cs="Times New Roman"/>
      <w:b/>
      <w:bCs/>
      <w:i/>
      <w:sz w:val="22"/>
      <w:szCs w:val="22"/>
      <w:lang w:val="en-GB"/>
    </w:rPr>
  </w:style>
  <w:style w:type="paragraph" w:customStyle="1" w:styleId="Rubrik1Nr">
    <w:name w:val="Rubrik 1 Nr"/>
    <w:basedOn w:val="Heading1"/>
    <w:next w:val="Normal"/>
    <w:qFormat/>
    <w:rsid w:val="00005A3C"/>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05A3C"/>
    <w:pPr>
      <w:keepLines/>
      <w:spacing w:after="60" w:line="259" w:lineRule="auto"/>
      <w:ind w:left="1440" w:hanging="360"/>
      <w:jc w:val="left"/>
    </w:pPr>
    <w:rPr>
      <w:rFonts w:ascii="Calibri" w:eastAsiaTheme="majorEastAsia" w:hAnsi="Calibri" w:cstheme="majorBidi"/>
      <w:bCs w:val="0"/>
      <w:i/>
      <w:szCs w:val="26"/>
      <w:lang w:val="en-CA" w:eastAsia="ja-JP"/>
    </w:rPr>
  </w:style>
  <w:style w:type="paragraph" w:customStyle="1" w:styleId="Rubrik3Nr">
    <w:name w:val="Rubrik 3 Nr"/>
    <w:basedOn w:val="Heading3"/>
    <w:next w:val="Normal"/>
    <w:qFormat/>
    <w:rsid w:val="00005A3C"/>
    <w:pPr>
      <w:keepLine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005A3C"/>
    <w:rPr>
      <w:color w:val="605E5C"/>
      <w:shd w:val="clear" w:color="auto" w:fill="E1DFDD"/>
    </w:rPr>
  </w:style>
  <w:style w:type="numbering" w:customStyle="1" w:styleId="1">
    <w:name w:val="読み込んだスタイル1"/>
    <w:rsid w:val="00005A3C"/>
    <w:pPr>
      <w:numPr>
        <w:numId w:val="21"/>
      </w:numPr>
    </w:pPr>
  </w:style>
  <w:style w:type="character" w:customStyle="1" w:styleId="Hyperlink0">
    <w:name w:val="Hyperlink.0"/>
    <w:basedOn w:val="Hyperlink"/>
    <w:rsid w:val="00005A3C"/>
    <w:rPr>
      <w:outline w:val="0"/>
      <w:color w:val="0000FF"/>
      <w:sz w:val="18"/>
      <w:szCs w:val="18"/>
      <w:u w:val="single" w:color="0000FF"/>
    </w:rPr>
  </w:style>
  <w:style w:type="numbering" w:customStyle="1" w:styleId="2">
    <w:name w:val="読み込んだスタイル2"/>
    <w:rsid w:val="00005A3C"/>
    <w:pPr>
      <w:numPr>
        <w:numId w:val="22"/>
      </w:numPr>
    </w:pPr>
  </w:style>
  <w:style w:type="character" w:customStyle="1" w:styleId="Hyperlink3">
    <w:name w:val="Hyperlink.3"/>
    <w:basedOn w:val="Hyperlink0"/>
    <w:rsid w:val="00005A3C"/>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05A3C"/>
    <w:pPr>
      <w:numPr>
        <w:numId w:val="23"/>
      </w:numPr>
    </w:pPr>
  </w:style>
  <w:style w:type="character" w:customStyle="1" w:styleId="Hyperlink4">
    <w:name w:val="Hyperlink.4"/>
    <w:basedOn w:val="Hyperlink0"/>
    <w:rsid w:val="00005A3C"/>
    <w:rPr>
      <w:outline w:val="0"/>
      <w:color w:val="0000FF"/>
      <w:sz w:val="20"/>
      <w:szCs w:val="20"/>
      <w:u w:val="single" w:color="0000FF"/>
    </w:rPr>
  </w:style>
  <w:style w:type="numbering" w:customStyle="1" w:styleId="8">
    <w:name w:val="読み込んだスタイル8"/>
    <w:rsid w:val="00005A3C"/>
    <w:pPr>
      <w:numPr>
        <w:numId w:val="24"/>
      </w:numPr>
    </w:pPr>
  </w:style>
  <w:style w:type="paragraph" w:customStyle="1" w:styleId="Heading1-compilation">
    <w:name w:val="Heading 1 - compilation"/>
    <w:basedOn w:val="HEADINGNOTFORTOC"/>
    <w:qFormat/>
    <w:rsid w:val="00005A3C"/>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05A3C"/>
    <w:pPr>
      <w:keepLines/>
      <w:numPr>
        <w:numId w:val="25"/>
      </w:numPr>
      <w:spacing w:before="120" w:after="120"/>
    </w:pPr>
    <w:rPr>
      <w:rFonts w:eastAsia="Malgun Gothic"/>
    </w:rPr>
  </w:style>
  <w:style w:type="paragraph" w:customStyle="1" w:styleId="heading3notforTOC">
    <w:name w:val="heading3 not for TOC"/>
    <w:basedOn w:val="Heading3"/>
    <w:qFormat/>
    <w:rsid w:val="00005A3C"/>
    <w:pPr>
      <w:tabs>
        <w:tab w:val="left" w:pos="567"/>
      </w:tabs>
      <w:outlineLvl w:val="9"/>
    </w:pPr>
    <w:rPr>
      <w:rFonts w:eastAsia="Times New Roman"/>
      <w:snapToGrid w:val="0"/>
      <w:sz w:val="20"/>
      <w:szCs w:val="20"/>
    </w:rPr>
  </w:style>
  <w:style w:type="paragraph" w:styleId="TOCHeading">
    <w:name w:val="TOC Heading"/>
    <w:basedOn w:val="Heading1"/>
    <w:next w:val="Normal"/>
    <w:uiPriority w:val="39"/>
    <w:unhideWhenUsed/>
    <w:qFormat/>
    <w:rsid w:val="00005A3C"/>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005A3C"/>
    <w:pPr>
      <w:tabs>
        <w:tab w:val="clear" w:pos="284"/>
        <w:tab w:val="left" w:pos="709"/>
      </w:tabs>
      <w:ind w:left="1418" w:hanging="1134"/>
      <w:jc w:val="left"/>
    </w:pPr>
    <w:rPr>
      <w:caps w:val="0"/>
    </w:rPr>
  </w:style>
  <w:style w:type="paragraph" w:customStyle="1" w:styleId="CBD-Para-i">
    <w:name w:val="CBD-Para-i"/>
    <w:basedOn w:val="Normal"/>
    <w:rsid w:val="0018728E"/>
    <w:pPr>
      <w:tabs>
        <w:tab w:val="num" w:pos="1814"/>
        <w:tab w:val="left" w:pos="2160"/>
        <w:tab w:val="left" w:pos="2880"/>
      </w:tabs>
      <w:spacing w:before="80" w:after="80"/>
      <w:ind w:left="1814" w:hanging="170"/>
    </w:pPr>
    <w:rPr>
      <w:szCs w:val="20"/>
    </w:rPr>
  </w:style>
  <w:style w:type="character" w:customStyle="1" w:styleId="UnresolvedMention4">
    <w:name w:val="Unresolved Mention4"/>
    <w:basedOn w:val="DefaultParagraphFont"/>
    <w:uiPriority w:val="99"/>
    <w:semiHidden/>
    <w:unhideWhenUsed/>
    <w:rsid w:val="00DA0273"/>
    <w:rPr>
      <w:color w:val="605E5C"/>
      <w:shd w:val="clear" w:color="auto" w:fill="E1DFDD"/>
    </w:rPr>
  </w:style>
  <w:style w:type="paragraph" w:customStyle="1" w:styleId="xl81">
    <w:name w:val="xl81"/>
    <w:basedOn w:val="Normal"/>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2">
    <w:name w:val="xl82"/>
    <w:basedOn w:val="Normal"/>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3">
    <w:name w:val="xl83"/>
    <w:basedOn w:val="Normal"/>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styleId="FootnoteReference">
    <w:name w:val="footnote reference"/>
    <w:basedOn w:val="DefaultParagraphFont"/>
    <w:semiHidden/>
    <w:unhideWhenUsed/>
    <w:qFormat/>
    <w:rsid w:val="00CE7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8186">
      <w:bodyDiv w:val="1"/>
      <w:marLeft w:val="0"/>
      <w:marRight w:val="0"/>
      <w:marTop w:val="0"/>
      <w:marBottom w:val="0"/>
      <w:divBdr>
        <w:top w:val="none" w:sz="0" w:space="0" w:color="auto"/>
        <w:left w:val="none" w:sz="0" w:space="0" w:color="auto"/>
        <w:bottom w:val="none" w:sz="0" w:space="0" w:color="auto"/>
        <w:right w:val="none" w:sz="0" w:space="0" w:color="auto"/>
      </w:divBdr>
    </w:div>
    <w:div w:id="185095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N16/044/09/PDF/N1604409.pdf?OpenElement" TargetMode="External"/><Relationship Id="rId21" Type="http://schemas.openxmlformats.org/officeDocument/2006/relationships/hyperlink" Target="mailto:secretariat@cbd.int" TargetMode="External"/><Relationship Id="rId42" Type="http://schemas.openxmlformats.org/officeDocument/2006/relationships/hyperlink" Target="https://www.cbd.int/doc/decisions/cop-12/cop-12-dec-22-en.pdf" TargetMode="External"/><Relationship Id="rId47" Type="http://schemas.openxmlformats.org/officeDocument/2006/relationships/hyperlink" Target="https://www.cbd.int/doc/decisions/cop-12/cop-12-dec-22-en.pdf" TargetMode="External"/><Relationship Id="rId63" Type="http://schemas.openxmlformats.org/officeDocument/2006/relationships/hyperlink" Target="https://www.cbd.int/doc/decisions/cop-10/cop-10-dec-33-en.pdf" TargetMode="External"/><Relationship Id="rId68" Type="http://schemas.openxmlformats.org/officeDocument/2006/relationships/hyperlink" Target="https://www.cbd.int/doc/notifications/2023/ntf-2023-082-cop16-en.pdf"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yperlink" Target="https://www.cbd.int/sp/indicators/factsheets/?id=70" TargetMode="External"/><Relationship Id="rId32" Type="http://schemas.openxmlformats.org/officeDocument/2006/relationships/hyperlink" Target="https://www.cbd.int/doc/decisions/cop-12/cop-12-dec-09-en.pdf" TargetMode="External"/><Relationship Id="rId37" Type="http://schemas.openxmlformats.org/officeDocument/2006/relationships/hyperlink" Target="https://www.cbd.int/doc/decisions/cop-13/cop-13-dec-23-en.pdf" TargetMode="External"/><Relationship Id="rId40" Type="http://schemas.openxmlformats.org/officeDocument/2006/relationships/hyperlink" Target="https://www.cbd.int/doc/decisions/cop-10/cop-10-dec-29-en.pdf" TargetMode="External"/><Relationship Id="rId45" Type="http://schemas.openxmlformats.org/officeDocument/2006/relationships/hyperlink" Target="https://www.cbd.int/doc/decisions/cop-10/cop-10-dec-29-en.pdf" TargetMode="External"/><Relationship Id="rId53" Type="http://schemas.openxmlformats.org/officeDocument/2006/relationships/hyperlink" Target="https://www.cbd.int/doc/c/aa9a/bde9/eaf24f73bd471d64e8094722/ebsa-ws-2018-01-04-en.pdf" TargetMode="External"/><Relationship Id="rId58" Type="http://schemas.openxmlformats.org/officeDocument/2006/relationships/hyperlink" Target="https://www.cbd.int/doc/decisions/cop-08/cop-08-dec-23-en.pdf" TargetMode="External"/><Relationship Id="rId66" Type="http://schemas.openxmlformats.org/officeDocument/2006/relationships/hyperlink" Target="https://www.cbd.int/doc/decisions/cop-13/cop-13-dec-04-en.pdf" TargetMode="External"/><Relationship Id="rId5" Type="http://schemas.openxmlformats.org/officeDocument/2006/relationships/customXml" Target="../customXml/item5.xml"/><Relationship Id="rId61" Type="http://schemas.openxmlformats.org/officeDocument/2006/relationships/hyperlink" Target="https://www.cbd.int/doc/decisions/cop-07/cop-07-dec-15-en.pdf" TargetMode="External"/><Relationship Id="rId19" Type="http://schemas.openxmlformats.org/officeDocument/2006/relationships/header" Target="header4.xml"/><Relationship Id="rId14" Type="http://schemas.openxmlformats.org/officeDocument/2006/relationships/image" Target="media/image3.emf"/><Relationship Id="rId22" Type="http://schemas.openxmlformats.org/officeDocument/2006/relationships/hyperlink" Target="https://www.cbd.int/doc/decisions/cop-13/cop-13-dec-23-en.pdf" TargetMode="External"/><Relationship Id="rId27" Type="http://schemas.openxmlformats.org/officeDocument/2006/relationships/hyperlink" Target="https://www.cbd.int/doc/decisions/cop-14/cop-14-dec-16-en.pdf" TargetMode="External"/><Relationship Id="rId30" Type="http://schemas.openxmlformats.org/officeDocument/2006/relationships/header" Target="header8.xml"/><Relationship Id="rId35" Type="http://schemas.openxmlformats.org/officeDocument/2006/relationships/hyperlink" Target="http://www.cbd.int/decisions/?m=cop-03&amp;n=08" TargetMode="External"/><Relationship Id="rId43" Type="http://schemas.openxmlformats.org/officeDocument/2006/relationships/hyperlink" Target="https://www.cbd.int/doc/decisions/cop-13/cop-13-dec-12-en.pdf" TargetMode="External"/><Relationship Id="rId48" Type="http://schemas.openxmlformats.org/officeDocument/2006/relationships/hyperlink" Target="https://www.cbd.int/doc/decisions/cop-13/cop-13-dec-12-en.pdf" TargetMode="External"/><Relationship Id="rId56" Type="http://schemas.openxmlformats.org/officeDocument/2006/relationships/hyperlink" Target="https://documents-dds-ny.un.org/doc/UNDOC/GEN/N17/468/77/PDF/N1746877.pdf?OpenElement" TargetMode="External"/><Relationship Id="rId64" Type="http://schemas.openxmlformats.org/officeDocument/2006/relationships/hyperlink" Target="https://www.cbd.int/doc/decisions/cop-11/cop-11-dec-19-en.pdf"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5" Type="http://schemas.openxmlformats.org/officeDocument/2006/relationships/hyperlink" Target="https://www.un.org/en/ga/search/view_doc.asp?symbol=E/C.19/2016/5" TargetMode="External"/><Relationship Id="rId33" Type="http://schemas.openxmlformats.org/officeDocument/2006/relationships/hyperlink" Target="https://www.cbd.int/doc/decisions/cop-14/cop-14-dec-34-en.pdf" TargetMode="External"/><Relationship Id="rId38" Type="http://schemas.openxmlformats.org/officeDocument/2006/relationships/hyperlink" Target="https://www.cbd.int/doc/decisions/cop-12/cop-12-dec-02-en.pdf" TargetMode="External"/><Relationship Id="rId46" Type="http://schemas.openxmlformats.org/officeDocument/2006/relationships/hyperlink" Target="https://www.cbd.int/doc/decisions/cop-11/cop-11-dec-17-en.pdf" TargetMode="External"/><Relationship Id="rId59" Type="http://schemas.openxmlformats.org/officeDocument/2006/relationships/hyperlink" Target="https://www.cbd.int/doc/decisions/cop-10/cop-10-dec-34-en.pdf" TargetMode="External"/><Relationship Id="rId67" Type="http://schemas.openxmlformats.org/officeDocument/2006/relationships/hyperlink" Target="https://www.cbd.int/doc/decisions/cop-14/cop-14-dec-05-en.pdf" TargetMode="External"/><Relationship Id="rId20" Type="http://schemas.openxmlformats.org/officeDocument/2006/relationships/header" Target="header5.xml"/><Relationship Id="rId41" Type="http://schemas.openxmlformats.org/officeDocument/2006/relationships/hyperlink" Target="https://www.cbd.int/doc/decisions/cop-11/cop-11-dec-17-en.pdf" TargetMode="External"/><Relationship Id="rId54" Type="http://schemas.openxmlformats.org/officeDocument/2006/relationships/header" Target="header10.xml"/><Relationship Id="rId62" Type="http://schemas.openxmlformats.org/officeDocument/2006/relationships/hyperlink" Target="https://www.cbd.int/doc/decisions/cop-09/cop-09-dec-16-en.pdf"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bd.int/doc/decisions/cop-14/cop-14-dec-24-en.pdf" TargetMode="External"/><Relationship Id="rId28" Type="http://schemas.openxmlformats.org/officeDocument/2006/relationships/header" Target="header6.xml"/><Relationship Id="rId36" Type="http://schemas.openxmlformats.org/officeDocument/2006/relationships/hyperlink" Target="https://www.cbd.int/doc/decisions/cop-14/cop-14-dec-25-en.pdf" TargetMode="External"/><Relationship Id="rId49" Type="http://schemas.openxmlformats.org/officeDocument/2006/relationships/hyperlink" Target="https://www.cbd.int/doc/decisions/cop-14/cop-14-dec-09-en.pdf" TargetMode="External"/><Relationship Id="rId57" Type="http://schemas.openxmlformats.org/officeDocument/2006/relationships/hyperlink" Target="https://www.cbd.int/decision/cop/?id=7179" TargetMode="External"/><Relationship Id="rId10" Type="http://schemas.openxmlformats.org/officeDocument/2006/relationships/footnotes" Target="footnotes.xml"/><Relationship Id="rId31" Type="http://schemas.openxmlformats.org/officeDocument/2006/relationships/hyperlink" Target="https://www.cbd.int/doc/decisions/cop-10/cop-10-dec-22-en.pdf" TargetMode="External"/><Relationship Id="rId44" Type="http://schemas.openxmlformats.org/officeDocument/2006/relationships/hyperlink" Target="https://www.cbd.int/doc/decisions/cop-14/cop-14-dec-09-en.pdf" TargetMode="External"/><Relationship Id="rId52" Type="http://schemas.openxmlformats.org/officeDocument/2006/relationships/hyperlink" Target="https://www.cbd.int/doc/c/7d96/2418/5a119cb332dbc741312d97b6/ebsa-ws-2019-01-04-en.pdf" TargetMode="External"/><Relationship Id="rId60" Type="http://schemas.openxmlformats.org/officeDocument/2006/relationships/hyperlink" Target="https://www.cbd.int/doc/decisions/cop-14/cop-14-dec-30-en.pdf" TargetMode="External"/><Relationship Id="rId65" Type="http://schemas.openxmlformats.org/officeDocument/2006/relationships/hyperlink" Target="https://www.cbd.int/doc/decisions/cop-12/cop-12-dec-20-en.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hyperlink" Target="https://www.cbd.int/doc/decisions/cop-11/cop-11-dec-02-en.pdf" TargetMode="External"/><Relationship Id="rId34" Type="http://schemas.openxmlformats.org/officeDocument/2006/relationships/hyperlink" Target="https://www.cbd.int/doc/decisions/cop-13/cop-13-dec-22-en.pdf" TargetMode="External"/><Relationship Id="rId50" Type="http://schemas.openxmlformats.org/officeDocument/2006/relationships/header" Target="header9.xml"/><Relationship Id="rId55" Type="http://schemas.openxmlformats.org/officeDocument/2006/relationships/hyperlink" Target="https://documents-dds-ny.un.org/doc/UNDOC/GEN/N21/386/39/PDF/N2138639.pdf?OpenElement"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bd.int/decision/cop/?id=12308" TargetMode="External"/><Relationship Id="rId21" Type="http://schemas.openxmlformats.org/officeDocument/2006/relationships/hyperlink" Target="https://www.un.org/en/development/desa/population/migration/generalassembly/docs/globalcompact/FCCC_CP_2015_10_Add.1.pdf" TargetMode="External"/><Relationship Id="rId42" Type="http://schemas.openxmlformats.org/officeDocument/2006/relationships/hyperlink" Target="https://www.cbd.int/doc/decisions/cop-10/cop-10-dec-02-en.pdf" TargetMode="External"/><Relationship Id="rId47" Type="http://schemas.openxmlformats.org/officeDocument/2006/relationships/hyperlink" Target="https://www.cbd.int/doc/meetings/cop/cop-11/official/cop-11-31-en.pdf" TargetMode="External"/><Relationship Id="rId63" Type="http://schemas.openxmlformats.org/officeDocument/2006/relationships/hyperlink" Target="https://www.cbd.int/sp/indicators/factsheets/?id=70" TargetMode="External"/><Relationship Id="rId68" Type="http://schemas.openxmlformats.org/officeDocument/2006/relationships/hyperlink" Target="http://www.un.org/depts/los/convention_agreements/texts/unclos/unclos_e.pdf" TargetMode="External"/><Relationship Id="rId16" Type="http://schemas.openxmlformats.org/officeDocument/2006/relationships/hyperlink" Target="https://www.unicef.org/evaldatabase/index_70552.html" TargetMode="External"/><Relationship Id="rId11" Type="http://schemas.openxmlformats.org/officeDocument/2006/relationships/hyperlink" Target="https://www.cbd.int/doc/c/0ab8/2d14/07d2c32c7c92ee730c6e3e58/sbi-03-inf-09-en.pdf" TargetMode="External"/><Relationship Id="rId24" Type="http://schemas.openxmlformats.org/officeDocument/2006/relationships/hyperlink" Target="https://www.cbd.int/decision/cop/default.shtml?id=7753" TargetMode="External"/><Relationship Id="rId32" Type="http://schemas.openxmlformats.org/officeDocument/2006/relationships/hyperlink" Target="https://www.cbd.int/decision/cop/default.shtml?id=13375" TargetMode="External"/><Relationship Id="rId37" Type="http://schemas.openxmlformats.org/officeDocument/2006/relationships/hyperlink" Target="https://ontheedge.org/impact/sentiment-tracker" TargetMode="External"/><Relationship Id="rId40" Type="http://schemas.openxmlformats.org/officeDocument/2006/relationships/hyperlink" Target="http://undocs.org/A/RES/70/1" TargetMode="External"/><Relationship Id="rId45" Type="http://schemas.openxmlformats.org/officeDocument/2006/relationships/hyperlink" Target="http://www.thegef.org/publications/instrument-establishment-restructured-gef-2019" TargetMode="External"/><Relationship Id="rId53" Type="http://schemas.openxmlformats.org/officeDocument/2006/relationships/hyperlink" Target="https://oraotca.org/" TargetMode="External"/><Relationship Id="rId58" Type="http://schemas.openxmlformats.org/officeDocument/2006/relationships/hyperlink" Target="https://ipbes.net/pandemics" TargetMode="External"/><Relationship Id="rId66" Type="http://schemas.openxmlformats.org/officeDocument/2006/relationships/hyperlink" Target="https://www.cbd.int/doc/c/2d1f/ab01/681ae86a81ab601e585ecfe0/wg2020-01-inf-03-en.pdf" TargetMode="External"/><Relationship Id="rId74" Type="http://schemas.openxmlformats.org/officeDocument/2006/relationships/hyperlink" Target="http://www.fao.org/3/ca7670en/CA7670EN.pdf" TargetMode="External"/><Relationship Id="rId79" Type="http://schemas.openxmlformats.org/officeDocument/2006/relationships/hyperlink" Target="http://www.cbd.int/conferences/2021-2022/cop-15/documents" TargetMode="External"/><Relationship Id="rId5" Type="http://schemas.openxmlformats.org/officeDocument/2006/relationships/hyperlink" Target="https://www.cbd.int/doc/c/0467/f15b/8d9256aea9ae53240e3da979/sbi-03-21-en.pdf" TargetMode="External"/><Relationship Id="rId61" Type="http://schemas.openxmlformats.org/officeDocument/2006/relationships/hyperlink" Target="https://documents-dds-ny.un.org/doc/UNDOC/GEN/N16/126/35/pdf/N1612635.pdf?OpenElement" TargetMode="External"/><Relationship Id="rId19" Type="http://schemas.openxmlformats.org/officeDocument/2006/relationships/hyperlink" Target="https://www.cbd.int/decision/cop/?id=12309" TargetMode="External"/><Relationship Id="rId14" Type="http://schemas.openxmlformats.org/officeDocument/2006/relationships/hyperlink" Target="https://unsdg.un.org/resources/theory-change-undaf-companion-guidance" TargetMode="External"/><Relationship Id="rId22" Type="http://schemas.openxmlformats.org/officeDocument/2006/relationships/hyperlink" Target="https://www.cbd.int/doc/decisions/cop-07/cop-07-dec-16-en.pdf" TargetMode="External"/><Relationship Id="rId27" Type="http://schemas.openxmlformats.org/officeDocument/2006/relationships/hyperlink" Target="https://www.cbd.int/decision/cop/?id=12308" TargetMode="External"/><Relationship Id="rId30" Type="http://schemas.openxmlformats.org/officeDocument/2006/relationships/hyperlink" Target="https://www.cbd.int/decision/cop/default.shtml?id=13375" TargetMode="External"/><Relationship Id="rId35" Type="http://schemas.openxmlformats.org/officeDocument/2006/relationships/hyperlink" Target="https://www.ohchr.org/EN/HRBodies/CERD/Pages/EarlyWarningProcedure.aspx" TargetMode="External"/><Relationship Id="rId43" Type="http://schemas.openxmlformats.org/officeDocument/2006/relationships/hyperlink" Target="https://www.cbd.int/article/people-for-our-planet-aggregator" TargetMode="External"/><Relationship Id="rId48" Type="http://schemas.openxmlformats.org/officeDocument/2006/relationships/hyperlink" Target="https://www.cbd.int/doc/c/8cd2/6eab/663d8a4cc2d198b104225345/sbstta-24-inf-28-en.pdf" TargetMode="External"/><Relationship Id="rId56" Type="http://schemas.openxmlformats.org/officeDocument/2006/relationships/hyperlink" Target="https://www.cbd.int/doc/c/28b9/9ae8/d4ee604de9dea40eca158d65/sbi-02-inf-02-en.pdf" TargetMode="External"/><Relationship Id="rId64" Type="http://schemas.openxmlformats.org/officeDocument/2006/relationships/hyperlink" Target="https://www.cbd.int/sp/indicators/factsheets/?id=71" TargetMode="External"/><Relationship Id="rId69" Type="http://schemas.openxmlformats.org/officeDocument/2006/relationships/hyperlink" Target="https://www.cbd.int/doc/c/f82f/90c8/4e82b4a23db2edfc632d56c5/ias-ahteg-2019-01-02-en.pdf" TargetMode="External"/><Relationship Id="rId77" Type="http://schemas.openxmlformats.org/officeDocument/2006/relationships/hyperlink" Target="https://digitallibrary.un.org/record/765786?ln=en" TargetMode="External"/><Relationship Id="rId8" Type="http://schemas.openxmlformats.org/officeDocument/2006/relationships/hyperlink" Target="https://www.un.org/pga/75/united-nations-summit-on-biodiversity-summary" TargetMode="External"/><Relationship Id="rId51" Type="http://schemas.openxmlformats.org/officeDocument/2006/relationships/hyperlink" Target="https://panorama.solutions/en" TargetMode="External"/><Relationship Id="rId72" Type="http://schemas.openxmlformats.org/officeDocument/2006/relationships/hyperlink" Target="https://ipbes.net/policy-support/tools-instruments/environmental-impact-classification-alien-taxa-eicat" TargetMode="External"/><Relationship Id="rId3" Type="http://schemas.openxmlformats.org/officeDocument/2006/relationships/hyperlink" Target="https://www.cbd.int/doc/c/e215/de56/af0aed70a7410e0fbffbe686/sbstta-23-09-en.pdf" TargetMode="External"/><Relationship Id="rId12" Type="http://schemas.openxmlformats.org/officeDocument/2006/relationships/hyperlink" Target="https://unsdg.un.org/resources/capacity-development-undaf-companion-guidance" TargetMode="External"/><Relationship Id="rId17" Type="http://schemas.openxmlformats.org/officeDocument/2006/relationships/hyperlink" Target="https://www.undp.org/sites/g/files/zskgke326/files/publications/Incentive-Systems-cp8.pdf" TargetMode="External"/><Relationship Id="rId25" Type="http://schemas.openxmlformats.org/officeDocument/2006/relationships/hyperlink" Target="https://www.cbd.int/decision/cop/default.shtml?id=7753" TargetMode="External"/><Relationship Id="rId33" Type="http://schemas.openxmlformats.org/officeDocument/2006/relationships/hyperlink" Target="https://www.cbd.int/doc/decisions/cop-13/cop-13-dec-18-en.pdf" TargetMode="External"/><Relationship Id="rId38" Type="http://schemas.openxmlformats.org/officeDocument/2006/relationships/hyperlink" Target="http://www.biodiversitybarometer.org/" TargetMode="External"/><Relationship Id="rId46" Type="http://schemas.openxmlformats.org/officeDocument/2006/relationships/hyperlink" Target="https://www.cbd.int/doc/decisions/cop-11/cop-11-dec-02-en.pdf" TargetMode="External"/><Relationship Id="rId59" Type="http://schemas.openxmlformats.org/officeDocument/2006/relationships/hyperlink" Target="https://www.cbd.int/doc/c/4386/ac7b/fe383a6c1a542cafe05da837/wg8j-11-06-en.pdf" TargetMode="External"/><Relationship Id="rId67" Type="http://schemas.openxmlformats.org/officeDocument/2006/relationships/hyperlink" Target="https://www.fao.org/3/ca7194en/ca7194en.pdf" TargetMode="External"/><Relationship Id="rId20" Type="http://schemas.openxmlformats.org/officeDocument/2006/relationships/hyperlink" Target="https://www.un.org/en/development/desa/population/migration/generalassembly/docs/globalcompact/A_RES_70_1_E.pdf" TargetMode="External"/><Relationship Id="rId41" Type="http://schemas.openxmlformats.org/officeDocument/2006/relationships/hyperlink" Target="https://youngoclimate.org/" TargetMode="External"/><Relationship Id="rId54" Type="http://schemas.openxmlformats.org/officeDocument/2006/relationships/hyperlink" Target="https://www.cbd.int/doc/c/2a4e/4a1b/9aa23008d4af76c6e2cf4de8/sbi-02-16-add1-en.pdf" TargetMode="External"/><Relationship Id="rId62" Type="http://schemas.openxmlformats.org/officeDocument/2006/relationships/hyperlink" Target="https://www.cbd.int/sp/indicators/factsheets/?id=88" TargetMode="External"/><Relationship Id="rId70" Type="http://schemas.openxmlformats.org/officeDocument/2006/relationships/hyperlink" Target="http://www.wcoomd.org/~/media/wco/public/global/pdf/topics/facilitation/activities-and-programmes/tf-negociations/wco-docs/info-sheets-on-tf-measures/single-window-concept.pdf" TargetMode="External"/><Relationship Id="rId75" Type="http://schemas.openxmlformats.org/officeDocument/2006/relationships/hyperlink" Target="https://undocs.org/A/RES/70/1" TargetMode="External"/><Relationship Id="rId1" Type="http://schemas.openxmlformats.org/officeDocument/2006/relationships/hyperlink" Target="https://www.cbd.int/conferences/post2020" TargetMode="External"/><Relationship Id="rId6" Type="http://schemas.openxmlformats.org/officeDocument/2006/relationships/hyperlink" Target="https://www.cbd.int/doc/decisions/cop-10/cop-10-dec-02-en.pdf" TargetMode="External"/><Relationship Id="rId15" Type="http://schemas.openxmlformats.org/officeDocument/2006/relationships/hyperlink" Target="https://www.cbd.int/cb/plans/" TargetMode="External"/><Relationship Id="rId23" Type="http://schemas.openxmlformats.org/officeDocument/2006/relationships/hyperlink" Target="https://www.cbd.int/doc/decisions/cop-07/cop-07-dec-16-en.pdf" TargetMode="External"/><Relationship Id="rId28" Type="http://schemas.openxmlformats.org/officeDocument/2006/relationships/hyperlink" Target="https://www.cbd.int/decision/cop/?id=12308" TargetMode="External"/><Relationship Id="rId36" Type="http://schemas.openxmlformats.org/officeDocument/2006/relationships/hyperlink" Target="https://www.cbd.int/cepa/toolkit/2008/doc/CBD-Toolkit-Complete.pdf" TargetMode="External"/><Relationship Id="rId49" Type="http://schemas.openxmlformats.org/officeDocument/2006/relationships/hyperlink" Target="https://gkssb.chm-cbd.net/" TargetMode="External"/><Relationship Id="rId57" Type="http://schemas.openxmlformats.org/officeDocument/2006/relationships/hyperlink" Target="https://ipbes.net/documents-by-category/Decisions" TargetMode="External"/><Relationship Id="rId10" Type="http://schemas.openxmlformats.org/officeDocument/2006/relationships/hyperlink" Target="https://unsceb.org/topics/biodiversity" TargetMode="External"/><Relationship Id="rId31" Type="http://schemas.openxmlformats.org/officeDocument/2006/relationships/hyperlink" Target="https://www.cbd.int/decision/cop/default.shtml?id=13375" TargetMode="External"/><Relationship Id="rId44" Type="http://schemas.openxmlformats.org/officeDocument/2006/relationships/hyperlink" Target="https://www.cbd.int/doc/meetings/cop/cop-05/official/cop-05-23-en.pdf" TargetMode="External"/><Relationship Id="rId52" Type="http://schemas.openxmlformats.org/officeDocument/2006/relationships/hyperlink" Target="https://www.cbd.int/conferences/post2020/brc-ws" TargetMode="External"/><Relationship Id="rId60" Type="http://schemas.openxmlformats.org/officeDocument/2006/relationships/hyperlink" Target="https://documents-dds-ny.un.org/doc/UNDOC/GEN/N16/044/09/pdf/N1604409.pdf?OpenElement" TargetMode="External"/><Relationship Id="rId65" Type="http://schemas.openxmlformats.org/officeDocument/2006/relationships/hyperlink" Target="https://www.cbd.int/sp/indicators/factsheets/?id=87" TargetMode="External"/><Relationship Id="rId73" Type="http://schemas.openxmlformats.org/officeDocument/2006/relationships/hyperlink" Target="http://diise.islandconservation.org/" TargetMode="External"/><Relationship Id="rId78" Type="http://schemas.openxmlformats.org/officeDocument/2006/relationships/hyperlink" Target="https://www.cbd.int/doc/c/2074/26e7/a135b1b57dabe8e8ed669324/synbio-ahteg-2019-01-03-en.pdf" TargetMode="External"/><Relationship Id="rId4" Type="http://schemas.openxmlformats.org/officeDocument/2006/relationships/hyperlink" Target="https://www.cbd.int/doc/c/403d/780c/318cb218f16e939fddf1076b/sbstta-24-12-en.pdf" TargetMode="External"/><Relationship Id="rId9" Type="http://schemas.openxmlformats.org/officeDocument/2006/relationships/hyperlink" Target="https://www.cbd.int/doc/c/e660/b9bf/9cb474bfb0e1ed9c4fa03cba/sbi-03-07-add1-en.pdf" TargetMode="External"/><Relationship Id="rId13" Type="http://schemas.openxmlformats.org/officeDocument/2006/relationships/hyperlink" Target="https://warwick.ac.uk/fac/soc/wbs/conf/olkc/archive/olk4/papers/villardi.pdf" TargetMode="External"/><Relationship Id="rId18" Type="http://schemas.openxmlformats.org/officeDocument/2006/relationships/hyperlink" Target="https://unesdoc.unesco.org/ark:/48223/pf0000379949.locale=en" TargetMode="External"/><Relationship Id="rId39" Type="http://schemas.openxmlformats.org/officeDocument/2006/relationships/hyperlink" Target="https://wwfint.awsassets.panda.org/downloads/an_ecowakening_measuring_awareness__engagement_and_action_for_nature_final_may_2021__.pdf" TargetMode="External"/><Relationship Id="rId34" Type="http://schemas.openxmlformats.org/officeDocument/2006/relationships/hyperlink" Target="https://www.cbd.int/doc/decisions/cop-13/cop-13-dec-18-en.pdf" TargetMode="External"/><Relationship Id="rId50" Type="http://schemas.openxmlformats.org/officeDocument/2006/relationships/hyperlink" Target="https://www.gbif.org/data4nature" TargetMode="External"/><Relationship Id="rId55" Type="http://schemas.openxmlformats.org/officeDocument/2006/relationships/hyperlink" Target="https://www.cbd.int/doc/c/e896/e6a9/58e656fef046cec35bbbe6d7/sbi-02-inf-01-en.pdf" TargetMode="External"/><Relationship Id="rId76" Type="http://schemas.openxmlformats.org/officeDocument/2006/relationships/hyperlink" Target="https://www.cbd.int/decision/cop/?id=7148" TargetMode="External"/><Relationship Id="rId7" Type="http://schemas.openxmlformats.org/officeDocument/2006/relationships/hyperlink" Target="https://chm.cbd.int/" TargetMode="External"/><Relationship Id="rId71"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s://www.cbd.int/doc/c/bd0a/077c/9af6c8783485bec92396af97/wg8j-11-07-en.pdf" TargetMode="External"/><Relationship Id="rId29" Type="http://schemas.openxmlformats.org/officeDocument/2006/relationships/hyperlink" Target="https://www.cbd.int/decision/cop/default.shtml?id=133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BAF50A6B5764CF6B487FA027EC3EC28"/>
        <w:category>
          <w:name w:val="General"/>
          <w:gallery w:val="placeholder"/>
        </w:category>
        <w:types>
          <w:type w:val="bbPlcHdr"/>
        </w:types>
        <w:behaviors>
          <w:behavior w:val="content"/>
        </w:behaviors>
        <w:guid w:val="{BAB75216-4A69-42F9-8458-FF54E7E2CF29}"/>
      </w:docPartPr>
      <w:docPartBody>
        <w:p w:rsidR="006F3F91" w:rsidRDefault="009C4ECF">
          <w:r w:rsidRPr="00FE53CC">
            <w:rPr>
              <w:rStyle w:val="PlaceholderText"/>
            </w:rPr>
            <w:t>[Title]</w:t>
          </w:r>
        </w:p>
      </w:docPartBody>
    </w:docPart>
    <w:docPart>
      <w:docPartPr>
        <w:name w:val="2907B3E2C04E40E1AD329041C861F47E"/>
        <w:category>
          <w:name w:val="General"/>
          <w:gallery w:val="placeholder"/>
        </w:category>
        <w:types>
          <w:type w:val="bbPlcHdr"/>
        </w:types>
        <w:behaviors>
          <w:behavior w:val="content"/>
        </w:behaviors>
        <w:guid w:val="{4DB48224-0C77-4E25-A637-38D2B55FD5EE}"/>
      </w:docPartPr>
      <w:docPartBody>
        <w:p w:rsidR="008E262F" w:rsidRDefault="00715CCA" w:rsidP="00715CCA">
          <w:pPr>
            <w:pStyle w:val="2907B3E2C04E40E1AD329041C861F47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772"/>
    <w:rsid w:val="000057DE"/>
    <w:rsid w:val="00006698"/>
    <w:rsid w:val="00033BB9"/>
    <w:rsid w:val="00067F27"/>
    <w:rsid w:val="00085A3A"/>
    <w:rsid w:val="00096B51"/>
    <w:rsid w:val="000A22AD"/>
    <w:rsid w:val="000B113C"/>
    <w:rsid w:val="000C606B"/>
    <w:rsid w:val="000F0597"/>
    <w:rsid w:val="000F089C"/>
    <w:rsid w:val="00114901"/>
    <w:rsid w:val="00147D90"/>
    <w:rsid w:val="00156D85"/>
    <w:rsid w:val="00193D07"/>
    <w:rsid w:val="001E1BE0"/>
    <w:rsid w:val="00223B63"/>
    <w:rsid w:val="002545A6"/>
    <w:rsid w:val="002646C7"/>
    <w:rsid w:val="002811B7"/>
    <w:rsid w:val="002A67D5"/>
    <w:rsid w:val="002B1906"/>
    <w:rsid w:val="002E7079"/>
    <w:rsid w:val="002F1E9D"/>
    <w:rsid w:val="00333F13"/>
    <w:rsid w:val="00357334"/>
    <w:rsid w:val="003744EA"/>
    <w:rsid w:val="003776F6"/>
    <w:rsid w:val="003A0FA1"/>
    <w:rsid w:val="00403167"/>
    <w:rsid w:val="00404B93"/>
    <w:rsid w:val="0041050A"/>
    <w:rsid w:val="004272D9"/>
    <w:rsid w:val="0043436B"/>
    <w:rsid w:val="0046422C"/>
    <w:rsid w:val="004760CF"/>
    <w:rsid w:val="00496548"/>
    <w:rsid w:val="004B3B40"/>
    <w:rsid w:val="004B5B88"/>
    <w:rsid w:val="004C6B43"/>
    <w:rsid w:val="004E092F"/>
    <w:rsid w:val="004E0CC9"/>
    <w:rsid w:val="00500A2B"/>
    <w:rsid w:val="00523376"/>
    <w:rsid w:val="00527A0B"/>
    <w:rsid w:val="00550BBF"/>
    <w:rsid w:val="00560A91"/>
    <w:rsid w:val="00572B26"/>
    <w:rsid w:val="005825E4"/>
    <w:rsid w:val="0058288D"/>
    <w:rsid w:val="005A6A04"/>
    <w:rsid w:val="005B583A"/>
    <w:rsid w:val="005B762A"/>
    <w:rsid w:val="005C3998"/>
    <w:rsid w:val="005D5590"/>
    <w:rsid w:val="005E1749"/>
    <w:rsid w:val="005E260F"/>
    <w:rsid w:val="005E771B"/>
    <w:rsid w:val="005F654E"/>
    <w:rsid w:val="00600C6E"/>
    <w:rsid w:val="006451D0"/>
    <w:rsid w:val="00652F68"/>
    <w:rsid w:val="00665C6B"/>
    <w:rsid w:val="00666E10"/>
    <w:rsid w:val="00670891"/>
    <w:rsid w:val="006801B3"/>
    <w:rsid w:val="006A165A"/>
    <w:rsid w:val="006D6819"/>
    <w:rsid w:val="006F3F91"/>
    <w:rsid w:val="007038E7"/>
    <w:rsid w:val="00715CCA"/>
    <w:rsid w:val="0072448C"/>
    <w:rsid w:val="0075066A"/>
    <w:rsid w:val="00756E36"/>
    <w:rsid w:val="007950D5"/>
    <w:rsid w:val="00810A55"/>
    <w:rsid w:val="008129CC"/>
    <w:rsid w:val="00817B97"/>
    <w:rsid w:val="00824FA5"/>
    <w:rsid w:val="008338DD"/>
    <w:rsid w:val="00852326"/>
    <w:rsid w:val="008723BC"/>
    <w:rsid w:val="008741BC"/>
    <w:rsid w:val="00880565"/>
    <w:rsid w:val="00886CAA"/>
    <w:rsid w:val="008C0C33"/>
    <w:rsid w:val="008C152F"/>
    <w:rsid w:val="008C6619"/>
    <w:rsid w:val="008D420E"/>
    <w:rsid w:val="008D4A6E"/>
    <w:rsid w:val="008E262F"/>
    <w:rsid w:val="008F2D6B"/>
    <w:rsid w:val="00943997"/>
    <w:rsid w:val="00955A2E"/>
    <w:rsid w:val="0098642F"/>
    <w:rsid w:val="009A1D33"/>
    <w:rsid w:val="009A4101"/>
    <w:rsid w:val="009C4ECF"/>
    <w:rsid w:val="009E6629"/>
    <w:rsid w:val="00A01265"/>
    <w:rsid w:val="00A473A1"/>
    <w:rsid w:val="00A64B07"/>
    <w:rsid w:val="00A7770D"/>
    <w:rsid w:val="00A955CE"/>
    <w:rsid w:val="00A97F65"/>
    <w:rsid w:val="00AA3FFE"/>
    <w:rsid w:val="00AC1CFF"/>
    <w:rsid w:val="00AC6DE1"/>
    <w:rsid w:val="00AD6E7A"/>
    <w:rsid w:val="00B06EB7"/>
    <w:rsid w:val="00B26677"/>
    <w:rsid w:val="00B50055"/>
    <w:rsid w:val="00B6763C"/>
    <w:rsid w:val="00B83D53"/>
    <w:rsid w:val="00B941B7"/>
    <w:rsid w:val="00BA2199"/>
    <w:rsid w:val="00BC0F7A"/>
    <w:rsid w:val="00BC7852"/>
    <w:rsid w:val="00BF4206"/>
    <w:rsid w:val="00C1311A"/>
    <w:rsid w:val="00C259ED"/>
    <w:rsid w:val="00C6793D"/>
    <w:rsid w:val="00C74039"/>
    <w:rsid w:val="00C76B7C"/>
    <w:rsid w:val="00C8104B"/>
    <w:rsid w:val="00C8220E"/>
    <w:rsid w:val="00CA2729"/>
    <w:rsid w:val="00CE0432"/>
    <w:rsid w:val="00D31D12"/>
    <w:rsid w:val="00D3620A"/>
    <w:rsid w:val="00D45544"/>
    <w:rsid w:val="00D52DE8"/>
    <w:rsid w:val="00D571A1"/>
    <w:rsid w:val="00D67586"/>
    <w:rsid w:val="00D86C67"/>
    <w:rsid w:val="00DC3538"/>
    <w:rsid w:val="00DC3CE5"/>
    <w:rsid w:val="00E25A9D"/>
    <w:rsid w:val="00E44EA4"/>
    <w:rsid w:val="00E51EF7"/>
    <w:rsid w:val="00E714C7"/>
    <w:rsid w:val="00E852CE"/>
    <w:rsid w:val="00E86380"/>
    <w:rsid w:val="00E937E1"/>
    <w:rsid w:val="00E95F16"/>
    <w:rsid w:val="00EA693C"/>
    <w:rsid w:val="00EE179A"/>
    <w:rsid w:val="00F030D0"/>
    <w:rsid w:val="00F12247"/>
    <w:rsid w:val="00F163FF"/>
    <w:rsid w:val="00F436EE"/>
    <w:rsid w:val="00F57CEA"/>
    <w:rsid w:val="00F633B8"/>
    <w:rsid w:val="00F930B5"/>
    <w:rsid w:val="00FB0D4C"/>
    <w:rsid w:val="00FE3711"/>
    <w:rsid w:val="00FE7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262F"/>
  </w:style>
  <w:style w:type="paragraph" w:customStyle="1" w:styleId="2907B3E2C04E40E1AD329041C861F47E">
    <w:name w:val="2907B3E2C04E40E1AD329041C861F47E"/>
    <w:rsid w:val="00715CCA"/>
    <w:pPr>
      <w:spacing w:after="160" w:line="259" w:lineRule="auto"/>
    </w:pPr>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FBBBF-EC3B-4E22-9B31-A9303CF0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291</Pages>
  <Words>127617</Words>
  <Characters>727417</Characters>
  <Application>Microsoft Office Word</Application>
  <DocSecurity>0</DocSecurity>
  <Lines>6061</Lines>
  <Paragraphs>1706</Paragraphs>
  <ScaleCrop>false</ScaleCrop>
  <HeadingPairs>
    <vt:vector size="2" baseType="variant">
      <vt:variant>
        <vt:lpstr>Title</vt:lpstr>
      </vt:variant>
      <vt:variant>
        <vt:i4>1</vt:i4>
      </vt:variant>
    </vt:vector>
  </HeadingPairs>
  <TitlesOfParts>
    <vt:vector size="1" baseType="lpstr">
      <vt:lpstr>REPORT OF THE SECOND PART OF THE MEETING</vt:lpstr>
    </vt:vector>
  </TitlesOfParts>
  <Company>United Nations</Company>
  <LinksUpToDate>false</LinksUpToDate>
  <CharactersWithSpaces>853328</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ON THE SECOND PART OF ITS FIFTEENTH MEETING</dc:title>
  <dc:subject>CBD/COP/15/17</dc:subject>
  <dc:creator>SCBD</dc:creator>
  <cp:keywords>Convention on Biological Diversity, Conference of the Parties, fifteenth meeting, Kunming, China, 11-15 October 2021 and 25 April-8 May 2022</cp:keywords>
  <cp:lastModifiedBy>Veronique Lefebvre</cp:lastModifiedBy>
  <cp:revision>9</cp:revision>
  <cp:lastPrinted>2023-11-15T11:37:00Z</cp:lastPrinted>
  <dcterms:created xsi:type="dcterms:W3CDTF">2023-12-01T20:34:00Z</dcterms:created>
  <dcterms:modified xsi:type="dcterms:W3CDTF">2023-12-15T14:45:00Z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59204245a049e31aa669e9b766939e6c5980ee56ca49c251021077e60007e957</vt:lpwstr>
  </property>
</Properties>
</file>