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5" w:type="pct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307"/>
        <w:gridCol w:w="1221"/>
        <w:gridCol w:w="2930"/>
        <w:gridCol w:w="282"/>
        <w:gridCol w:w="4687"/>
      </w:tblGrid>
      <w:tr w:rsidR="00FD0B4D" w:rsidRPr="00690DD5" w:rsidTr="00E37586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</w:trPr>
        <w:tc>
          <w:tcPr>
            <w:tcW w:w="1307" w:type="dxa"/>
            <w:tcBorders>
              <w:bottom w:val="single" w:sz="12" w:space="0" w:color="000000"/>
            </w:tcBorders>
          </w:tcPr>
          <w:p w:rsidR="00FD0B4D" w:rsidRPr="00690DD5" w:rsidRDefault="00845C67" w:rsidP="00FD0B4D">
            <w:pPr>
              <w:rPr>
                <w:kern w:val="22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597535" cy="6604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tcBorders>
              <w:bottom w:val="single" w:sz="12" w:space="0" w:color="000000"/>
            </w:tcBorders>
          </w:tcPr>
          <w:p w:rsidR="00FD0B4D" w:rsidRPr="00690DD5" w:rsidRDefault="00845C67" w:rsidP="00FD0B4D">
            <w:pPr>
              <w:rPr>
                <w:kern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6704" behindDoc="0" locked="1" layoutInCell="1" allowOverlap="0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635</wp:posOffset>
                  </wp:positionV>
                  <wp:extent cx="822960" cy="58293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99" w:type="dxa"/>
            <w:gridSpan w:val="3"/>
            <w:tcBorders>
              <w:bottom w:val="single" w:sz="12" w:space="0" w:color="000000"/>
            </w:tcBorders>
          </w:tcPr>
          <w:p w:rsidR="00FD0B4D" w:rsidRPr="00690DD5" w:rsidRDefault="00FD0B4D" w:rsidP="00FD0B4D">
            <w:pPr>
              <w:jc w:val="right"/>
              <w:rPr>
                <w:rFonts w:ascii="Univers" w:hAnsi="Univers"/>
                <w:b/>
                <w:kern w:val="22"/>
                <w:sz w:val="32"/>
              </w:rPr>
            </w:pPr>
            <w:r w:rsidRPr="00690DD5">
              <w:rPr>
                <w:rStyle w:val="Normal"/>
                <w:rFonts w:ascii="Univers" w:hAnsi="Univers"/>
                <w:b/>
                <w:kern w:val="22"/>
                <w:sz w:val="32"/>
              </w:rPr>
              <w:t>CBD</w:t>
            </w:r>
          </w:p>
          <w:p w:rsidR="00FD0B4D" w:rsidRPr="00690DD5" w:rsidRDefault="00FD0B4D" w:rsidP="00FD0B4D">
            <w:pPr>
              <w:rPr>
                <w:rFonts w:ascii="Univers" w:hAnsi="Univers"/>
                <w:b/>
                <w:kern w:val="22"/>
                <w:sz w:val="32"/>
              </w:rPr>
            </w:pPr>
          </w:p>
        </w:tc>
      </w:tr>
      <w:tr w:rsidR="00FD0B4D" w:rsidRPr="00690DD5" w:rsidTr="00E37586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5479" w:type="dxa"/>
            <w:gridSpan w:val="4"/>
          </w:tcPr>
          <w:p w:rsidR="00FD0B4D" w:rsidRPr="00690DD5" w:rsidRDefault="00845C67" w:rsidP="00FD0B4D">
            <w:pPr>
              <w:rPr>
                <w:kern w:val="22"/>
              </w:rPr>
            </w:pPr>
            <w:r>
              <w:rPr>
                <w:rFonts w:ascii="Univers" w:hAnsi="Univers"/>
                <w:noProof/>
                <w:sz w:val="32"/>
                <w:lang w:val="en-US" w:eastAsia="zh-CN"/>
              </w:rPr>
              <w:drawing>
                <wp:inline distT="0" distB="0" distL="0" distR="0">
                  <wp:extent cx="2621915" cy="1078230"/>
                  <wp:effectExtent l="0" t="0" r="698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91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</w:tcPr>
          <w:p w:rsidR="00FD0B4D" w:rsidRPr="00690DD5" w:rsidRDefault="00FD0B4D" w:rsidP="00FD0B4D">
            <w:pPr>
              <w:rPr>
                <w:kern w:val="22"/>
              </w:rPr>
            </w:pPr>
          </w:p>
        </w:tc>
        <w:tc>
          <w:tcPr>
            <w:tcW w:w="4687" w:type="dxa"/>
          </w:tcPr>
          <w:p w:rsidR="00660906" w:rsidRPr="00690DD5" w:rsidRDefault="00FD0B4D" w:rsidP="00FD0B4D">
            <w:pPr>
              <w:suppressAutoHyphens/>
              <w:ind w:left="1045"/>
              <w:rPr>
                <w:rStyle w:val="Normal"/>
                <w:kern w:val="22"/>
              </w:rPr>
            </w:pPr>
            <w:r w:rsidRPr="00690DD5">
              <w:rPr>
                <w:rStyle w:val="Normal"/>
                <w:kern w:val="22"/>
              </w:rPr>
              <w:t>Distr.</w:t>
            </w:r>
          </w:p>
          <w:p w:rsidR="00660906" w:rsidRPr="00690DD5" w:rsidRDefault="00FD0B4D" w:rsidP="00FD0B4D">
            <w:pPr>
              <w:suppressAutoHyphens/>
              <w:ind w:left="1045"/>
              <w:rPr>
                <w:rStyle w:val="Normal"/>
                <w:kern w:val="22"/>
              </w:rPr>
            </w:pPr>
            <w:r w:rsidRPr="00690DD5">
              <w:rPr>
                <w:rStyle w:val="Normal"/>
                <w:kern w:val="22"/>
              </w:rPr>
              <w:t>GENERAL</w:t>
            </w:r>
          </w:p>
          <w:p w:rsidR="00E37586" w:rsidRDefault="00E37586" w:rsidP="00E37586">
            <w:pPr>
              <w:suppressAutoHyphens/>
              <w:rPr>
                <w:kern w:val="22"/>
                <w:lang w:val="en-CA"/>
              </w:rPr>
            </w:pPr>
            <w:r>
              <w:rPr>
                <w:kern w:val="22"/>
                <w:lang w:val="en-CA"/>
              </w:rPr>
              <w:t xml:space="preserve"> </w:t>
            </w:r>
          </w:p>
          <w:p w:rsidR="00E37586" w:rsidRPr="00E37586" w:rsidRDefault="00C33523" w:rsidP="00E37586">
            <w:pPr>
              <w:suppressAutoHyphens/>
              <w:rPr>
                <w:kern w:val="22"/>
                <w:lang w:val="en-CA"/>
              </w:rPr>
            </w:pPr>
            <w:r>
              <w:rPr>
                <w:kern w:val="22"/>
                <w:lang w:val="en-CA"/>
              </w:rPr>
              <w:t xml:space="preserve">  </w:t>
            </w:r>
            <w:r w:rsidR="00345DB9">
              <w:rPr>
                <w:kern w:val="22"/>
                <w:lang w:val="en-CA"/>
              </w:rPr>
              <w:t xml:space="preserve">                 </w:t>
            </w:r>
            <w:r w:rsidR="00E37586" w:rsidRPr="00E37586">
              <w:rPr>
                <w:kern w:val="22"/>
                <w:lang w:val="en-CA"/>
              </w:rPr>
              <w:t>CBD/</w:t>
            </w:r>
            <w:r w:rsidR="007D36BE">
              <w:rPr>
                <w:kern w:val="22"/>
                <w:lang w:val="en-CA"/>
              </w:rPr>
              <w:t>SBI/2/2/</w:t>
            </w:r>
            <w:r w:rsidR="00E37586" w:rsidRPr="00E37586">
              <w:rPr>
                <w:kern w:val="22"/>
                <w:lang w:val="en-CA"/>
              </w:rPr>
              <w:t>Add.</w:t>
            </w:r>
            <w:r w:rsidR="007D36BE">
              <w:rPr>
                <w:kern w:val="22"/>
                <w:lang w:val="en-CA"/>
              </w:rPr>
              <w:t>2</w:t>
            </w:r>
          </w:p>
          <w:p w:rsidR="00FD0B4D" w:rsidRPr="001812E2" w:rsidRDefault="007D36BE" w:rsidP="00E37586">
            <w:pPr>
              <w:suppressAutoHyphens/>
              <w:ind w:left="1045"/>
              <w:rPr>
                <w:kern w:val="22"/>
                <w:lang w:val="en-CA"/>
              </w:rPr>
            </w:pPr>
            <w:r>
              <w:rPr>
                <w:kern w:val="22"/>
                <w:lang w:val="en-CA"/>
              </w:rPr>
              <w:t>13 March</w:t>
            </w:r>
            <w:r w:rsidR="00E37586" w:rsidRPr="001812E2">
              <w:rPr>
                <w:kern w:val="22"/>
                <w:lang w:val="en-CA"/>
              </w:rPr>
              <w:t xml:space="preserve"> 201</w:t>
            </w:r>
            <w:r>
              <w:rPr>
                <w:kern w:val="22"/>
                <w:lang w:val="en-CA"/>
              </w:rPr>
              <w:t>8</w:t>
            </w:r>
          </w:p>
          <w:p w:rsidR="00FD0B4D" w:rsidRPr="001812E2" w:rsidRDefault="00FD0B4D" w:rsidP="00FD0B4D">
            <w:pPr>
              <w:pStyle w:val="Footer"/>
              <w:tabs>
                <w:tab w:val="clear" w:pos="4320"/>
                <w:tab w:val="clear" w:pos="8640"/>
              </w:tabs>
              <w:ind w:left="1045"/>
              <w:rPr>
                <w:rFonts w:cs="Angsana New"/>
                <w:kern w:val="22"/>
                <w:lang w:val="en-CA"/>
              </w:rPr>
            </w:pPr>
          </w:p>
          <w:p w:rsidR="00FD0B4D" w:rsidRPr="00690DD5" w:rsidRDefault="00FD0B4D" w:rsidP="00E37586">
            <w:pPr>
              <w:ind w:left="1045" w:right="-327"/>
              <w:rPr>
                <w:rFonts w:ascii="Courier New" w:hAnsi="Courier New"/>
                <w:kern w:val="22"/>
              </w:rPr>
            </w:pPr>
            <w:r w:rsidRPr="00690DD5">
              <w:rPr>
                <w:rStyle w:val="Normal"/>
                <w:kern w:val="22"/>
              </w:rPr>
              <w:t>RUSSIAN</w:t>
            </w:r>
            <w:r w:rsidRPr="00690DD5">
              <w:br/>
            </w:r>
            <w:r w:rsidRPr="00690DD5">
              <w:rPr>
                <w:rStyle w:val="Normal"/>
                <w:kern w:val="22"/>
              </w:rPr>
              <w:t xml:space="preserve">ORIGINAL: ENGLISH </w:t>
            </w:r>
          </w:p>
        </w:tc>
      </w:tr>
    </w:tbl>
    <w:p w:rsidR="008E4885" w:rsidRPr="00690DD5" w:rsidRDefault="00F67460" w:rsidP="008E4885">
      <w:pPr>
        <w:pStyle w:val="Cornernotation"/>
        <w:suppressLineNumbers/>
        <w:suppressAutoHyphens/>
        <w:ind w:right="261"/>
        <w:rPr>
          <w:kern w:val="22"/>
          <w:szCs w:val="22"/>
        </w:rPr>
      </w:pPr>
      <w:r w:rsidRPr="00F67460">
        <w:rPr>
          <w:rFonts w:eastAsia="Malgun Gothic" w:cs="Times New Roman"/>
          <w:caps/>
          <w:kern w:val="22"/>
          <w:szCs w:val="22"/>
        </w:rPr>
        <w:t>Вспомогательн</w:t>
      </w:r>
      <w:r>
        <w:rPr>
          <w:rFonts w:eastAsia="Malgun Gothic" w:cs="Times New Roman"/>
          <w:caps/>
          <w:kern w:val="22"/>
          <w:szCs w:val="22"/>
        </w:rPr>
        <w:t>ЫЙ</w:t>
      </w:r>
      <w:r w:rsidRPr="00F67460">
        <w:rPr>
          <w:rFonts w:eastAsia="Malgun Gothic" w:cs="Times New Roman"/>
          <w:caps/>
          <w:kern w:val="22"/>
          <w:szCs w:val="22"/>
        </w:rPr>
        <w:t xml:space="preserve"> орган по осуществлению</w:t>
      </w:r>
    </w:p>
    <w:p w:rsidR="008E4885" w:rsidRPr="00690DD5" w:rsidRDefault="00F67460" w:rsidP="008E4885">
      <w:pPr>
        <w:pStyle w:val="Cornernotation"/>
        <w:suppressLineNumbers/>
        <w:suppressAutoHyphens/>
        <w:ind w:right="261"/>
        <w:rPr>
          <w:kern w:val="22"/>
          <w:szCs w:val="22"/>
        </w:rPr>
      </w:pPr>
      <w:r>
        <w:rPr>
          <w:kern w:val="22"/>
          <w:szCs w:val="22"/>
        </w:rPr>
        <w:t xml:space="preserve">Второе </w:t>
      </w:r>
      <w:r w:rsidR="008E4885" w:rsidRPr="00690DD5">
        <w:rPr>
          <w:kern w:val="22"/>
          <w:szCs w:val="22"/>
        </w:rPr>
        <w:t>совещание</w:t>
      </w:r>
    </w:p>
    <w:p w:rsidR="008E4885" w:rsidRPr="00690DD5" w:rsidRDefault="00F67460" w:rsidP="008E4885">
      <w:pPr>
        <w:pStyle w:val="Cornernotation"/>
        <w:suppressLineNumbers/>
        <w:suppressAutoHyphens/>
        <w:ind w:left="0" w:right="261" w:firstLine="0"/>
        <w:rPr>
          <w:kern w:val="22"/>
          <w:szCs w:val="22"/>
        </w:rPr>
      </w:pPr>
      <w:r>
        <w:rPr>
          <w:kern w:val="22"/>
          <w:szCs w:val="22"/>
        </w:rPr>
        <w:t>Монреаль, Канада</w:t>
      </w:r>
      <w:r w:rsidR="008E4885" w:rsidRPr="00690DD5">
        <w:rPr>
          <w:szCs w:val="22"/>
        </w:rPr>
        <w:t xml:space="preserve">, </w:t>
      </w:r>
      <w:r>
        <w:rPr>
          <w:szCs w:val="22"/>
        </w:rPr>
        <w:t>9</w:t>
      </w:r>
      <w:r w:rsidR="008E4885" w:rsidRPr="00690DD5">
        <w:rPr>
          <w:szCs w:val="22"/>
        </w:rPr>
        <w:t>-1</w:t>
      </w:r>
      <w:r>
        <w:rPr>
          <w:szCs w:val="22"/>
        </w:rPr>
        <w:t>3 июля</w:t>
      </w:r>
      <w:r w:rsidR="008E4885" w:rsidRPr="00690DD5">
        <w:rPr>
          <w:szCs w:val="22"/>
        </w:rPr>
        <w:t xml:space="preserve"> 201</w:t>
      </w:r>
      <w:r>
        <w:rPr>
          <w:szCs w:val="22"/>
        </w:rPr>
        <w:t>8</w:t>
      </w:r>
      <w:r w:rsidR="008E4885" w:rsidRPr="00690DD5">
        <w:rPr>
          <w:szCs w:val="22"/>
        </w:rPr>
        <w:t xml:space="preserve"> года</w:t>
      </w:r>
      <w:r w:rsidR="008E4885" w:rsidRPr="00690DD5">
        <w:rPr>
          <w:kern w:val="22"/>
          <w:szCs w:val="22"/>
        </w:rPr>
        <w:t xml:space="preserve"> </w:t>
      </w:r>
    </w:p>
    <w:p w:rsidR="00FD0B4D" w:rsidRPr="00690DD5" w:rsidRDefault="008E4885" w:rsidP="008E4885">
      <w:pPr>
        <w:autoSpaceDE w:val="0"/>
        <w:autoSpaceDN w:val="0"/>
        <w:adjustRightInd w:val="0"/>
        <w:ind w:right="3124"/>
        <w:jc w:val="left"/>
        <w:rPr>
          <w:kern w:val="22"/>
          <w:szCs w:val="22"/>
        </w:rPr>
      </w:pPr>
      <w:r w:rsidRPr="00690DD5">
        <w:rPr>
          <w:rFonts w:eastAsia="Times New Roman"/>
          <w:kern w:val="22"/>
          <w:szCs w:val="22"/>
        </w:rPr>
        <w:t xml:space="preserve">Пункт </w:t>
      </w:r>
      <w:r w:rsidR="00F67460">
        <w:rPr>
          <w:rFonts w:eastAsia="Times New Roman"/>
          <w:kern w:val="22"/>
          <w:szCs w:val="22"/>
        </w:rPr>
        <w:t>3</w:t>
      </w:r>
      <w:r w:rsidRPr="00690DD5">
        <w:rPr>
          <w:rFonts w:eastAsia="Times New Roman"/>
          <w:kern w:val="22"/>
          <w:szCs w:val="22"/>
        </w:rPr>
        <w:t xml:space="preserve"> предварительной повестки дня</w:t>
      </w:r>
      <w:r w:rsidR="00FD0B4D" w:rsidRPr="00690DD5">
        <w:rPr>
          <w:rStyle w:val="FootnoteReference"/>
          <w:kern w:val="22"/>
          <w:u w:val="none"/>
        </w:rPr>
        <w:footnoteReference w:customMarkFollows="1" w:id="1"/>
        <w:t>*</w:t>
      </w:r>
    </w:p>
    <w:p w:rsidR="00FD0B4D" w:rsidRPr="007C5977" w:rsidRDefault="00AD60F3" w:rsidP="00FD0B4D">
      <w:pPr>
        <w:pStyle w:val="Heading2"/>
        <w:suppressLineNumbers/>
        <w:tabs>
          <w:tab w:val="clear" w:pos="720"/>
        </w:tabs>
        <w:suppressAutoHyphens/>
        <w:spacing w:before="240"/>
        <w:rPr>
          <w:i w:val="0"/>
          <w:kern w:val="22"/>
          <w:szCs w:val="22"/>
        </w:rPr>
      </w:pPr>
      <w:r w:rsidRPr="007C5977">
        <w:rPr>
          <w:rStyle w:val="Para1"/>
          <w:rFonts w:ascii="Times New Roman Bold" w:hAnsi="Times New Roman Bold"/>
          <w:i w:val="0"/>
          <w:caps/>
          <w:kern w:val="22"/>
        </w:rPr>
        <w:t>анализ вклада национальных целевых задач, поставленных Сторонами, и результатов на пути к выполнению целевых задач по сохранению и устойчивому использованию биоразнообразия, принятых в Айти</w:t>
      </w:r>
    </w:p>
    <w:p w:rsidR="00FD0B4D" w:rsidRPr="00690DD5" w:rsidRDefault="00FD0B4D" w:rsidP="00FD0B4D">
      <w:pPr>
        <w:pStyle w:val="Heading2"/>
        <w:suppressLineNumbers/>
        <w:tabs>
          <w:tab w:val="clear" w:pos="720"/>
        </w:tabs>
        <w:suppressAutoHyphens/>
        <w:spacing w:before="240"/>
        <w:rPr>
          <w:b w:val="0"/>
          <w:kern w:val="22"/>
          <w:szCs w:val="22"/>
        </w:rPr>
      </w:pPr>
      <w:r w:rsidRPr="00690DD5">
        <w:rPr>
          <w:rStyle w:val="Heading2"/>
          <w:b w:val="0"/>
          <w:kern w:val="22"/>
        </w:rPr>
        <w:t>Записка Исполнительного секретаря</w:t>
      </w:r>
    </w:p>
    <w:p w:rsidR="00FD0B4D" w:rsidRPr="00690DD5" w:rsidRDefault="00EA2423" w:rsidP="00FD0B4D">
      <w:pPr>
        <w:tabs>
          <w:tab w:val="left" w:pos="0"/>
        </w:tabs>
        <w:spacing w:before="120" w:after="120"/>
        <w:jc w:val="center"/>
        <w:rPr>
          <w:rFonts w:cs="Times New Roman"/>
          <w:b/>
          <w:bCs/>
        </w:rPr>
      </w:pPr>
      <w:r w:rsidRPr="00690DD5">
        <w:rPr>
          <w:rStyle w:val="Normal"/>
          <w:b/>
        </w:rPr>
        <w:t>ИСТОРИЯ ВОПРОСА</w:t>
      </w:r>
    </w:p>
    <w:p w:rsidR="00660906" w:rsidRPr="00690DD5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>При утверждении Стратегического плана в области сохранения и устойчивого развития биоразнообразия на 2011-2020 годы</w:t>
      </w:r>
      <w:r w:rsidR="000B5F21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</w:t>
      </w:r>
      <w:bookmarkStart w:id="1" w:name="_Hlk509576358"/>
      <w:r w:rsidRPr="00690DD5">
        <w:rPr>
          <w:rStyle w:val="Para1"/>
          <w:snapToGrid/>
          <w:kern w:val="22"/>
        </w:rPr>
        <w:t xml:space="preserve">Конференция Сторон </w:t>
      </w:r>
      <w:bookmarkEnd w:id="1"/>
      <w:r w:rsidRPr="00690DD5">
        <w:rPr>
          <w:rStyle w:val="Para1"/>
          <w:snapToGrid/>
          <w:kern w:val="22"/>
        </w:rPr>
        <w:t>Конвенции о биологическом разнообразии пр</w:t>
      </w:r>
      <w:r w:rsidR="00B76E08" w:rsidRPr="00690DD5">
        <w:rPr>
          <w:rStyle w:val="Para1"/>
          <w:snapToGrid/>
          <w:kern w:val="22"/>
        </w:rPr>
        <w:t xml:space="preserve">едложила </w:t>
      </w:r>
      <w:r w:rsidRPr="00690DD5">
        <w:rPr>
          <w:rStyle w:val="Para1"/>
          <w:snapToGrid/>
          <w:kern w:val="22"/>
        </w:rPr>
        <w:t>Сторон</w:t>
      </w:r>
      <w:r w:rsidR="00B76E08" w:rsidRPr="00690DD5">
        <w:rPr>
          <w:rStyle w:val="Para1"/>
          <w:snapToGrid/>
          <w:kern w:val="22"/>
        </w:rPr>
        <w:t>ам</w:t>
      </w:r>
      <w:r w:rsidRPr="00690DD5">
        <w:rPr>
          <w:rStyle w:val="Para1"/>
          <w:snapToGrid/>
          <w:kern w:val="22"/>
        </w:rPr>
        <w:t xml:space="preserve"> выработать собственные целевые задачи, используя Стратегический план в качестве гибкой структуры, с учетом национальных потребностей и приоритетов, одновременно принимая во внимание национальны</w:t>
      </w:r>
      <w:r w:rsidR="002A25E7">
        <w:rPr>
          <w:rStyle w:val="Para1"/>
          <w:snapToGrid/>
          <w:kern w:val="22"/>
        </w:rPr>
        <w:t>е</w:t>
      </w:r>
      <w:r w:rsidRPr="00690DD5">
        <w:rPr>
          <w:rStyle w:val="Para1"/>
          <w:snapToGrid/>
          <w:kern w:val="22"/>
        </w:rPr>
        <w:t xml:space="preserve"> вклад</w:t>
      </w:r>
      <w:r w:rsidR="002A25E7">
        <w:rPr>
          <w:rStyle w:val="Para1"/>
          <w:snapToGrid/>
          <w:kern w:val="22"/>
        </w:rPr>
        <w:t>ы</w:t>
      </w:r>
      <w:r w:rsidRPr="00690DD5">
        <w:rPr>
          <w:rStyle w:val="Para1"/>
          <w:snapToGrid/>
          <w:kern w:val="22"/>
        </w:rPr>
        <w:t xml:space="preserve"> в выполнение </w:t>
      </w:r>
      <w:r w:rsidR="002A25E7">
        <w:rPr>
          <w:rStyle w:val="Para1"/>
          <w:snapToGrid/>
          <w:kern w:val="22"/>
        </w:rPr>
        <w:t>г</w:t>
      </w:r>
      <w:r w:rsidRPr="00690DD5">
        <w:rPr>
          <w:rStyle w:val="Para1"/>
          <w:snapToGrid/>
          <w:kern w:val="22"/>
        </w:rPr>
        <w:t>лобальных целевых задач по сохранению и устойчивому использованию биоразнообразия, принятых в Айти. Сторонам также было настоятельно рекомендовано провести обзор и</w:t>
      </w:r>
      <w:r w:rsidR="006E16D2">
        <w:rPr>
          <w:rStyle w:val="Para1"/>
          <w:snapToGrid/>
          <w:kern w:val="22"/>
        </w:rPr>
        <w:t xml:space="preserve">, </w:t>
      </w:r>
      <w:r w:rsidRPr="00690DD5">
        <w:rPr>
          <w:rStyle w:val="Para1"/>
          <w:snapToGrid/>
          <w:kern w:val="22"/>
        </w:rPr>
        <w:t>соответственно обстоятельствам</w:t>
      </w:r>
      <w:r w:rsidR="006E16D2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обновить и пересмотреть свои национальные стратегии и планы действий по сохранению биоразнообразия </w:t>
      </w:r>
      <w:r w:rsidR="001F5A64" w:rsidRPr="00EC2C45">
        <w:rPr>
          <w:rStyle w:val="Para1"/>
          <w:snapToGrid/>
          <w:kern w:val="22"/>
        </w:rPr>
        <w:t>(</w:t>
      </w:r>
      <w:r w:rsidR="001F5A64" w:rsidRPr="00690DD5">
        <w:rPr>
          <w:rStyle w:val="Para1"/>
          <w:snapToGrid/>
          <w:kern w:val="22"/>
        </w:rPr>
        <w:t>НСПДСБ</w:t>
      </w:r>
      <w:r w:rsidR="001F5A64" w:rsidRPr="00EC2C45">
        <w:rPr>
          <w:rStyle w:val="Para1"/>
          <w:snapToGrid/>
          <w:kern w:val="22"/>
        </w:rPr>
        <w:t>)</w:t>
      </w:r>
      <w:r w:rsidR="00BD7D04">
        <w:rPr>
          <w:rStyle w:val="Para1"/>
          <w:snapToGrid/>
          <w:kern w:val="22"/>
        </w:rPr>
        <w:t xml:space="preserve"> </w:t>
      </w:r>
      <w:r w:rsidRPr="00690DD5">
        <w:rPr>
          <w:rStyle w:val="Para1"/>
          <w:snapToGrid/>
          <w:kern w:val="22"/>
        </w:rPr>
        <w:t xml:space="preserve">в соответствии со Стратегическим планом и руководящими указаниями, принятыми в </w:t>
      </w:r>
      <w:hyperlink r:id="rId12" w:history="1">
        <w:r w:rsidR="006E4E01" w:rsidRPr="001128F2">
          <w:rPr>
            <w:rStyle w:val="Hyperlink"/>
            <w:rFonts w:eastAsia="Malgun Gothic"/>
          </w:rPr>
          <w:t>решен</w:t>
        </w:r>
        <w:r w:rsidR="006E4E01" w:rsidRPr="001128F2">
          <w:rPr>
            <w:rStyle w:val="Hyperlink"/>
            <w:rFonts w:eastAsia="Malgun Gothic"/>
          </w:rPr>
          <w:t>и</w:t>
        </w:r>
        <w:r w:rsidR="006E4E01" w:rsidRPr="001128F2">
          <w:rPr>
            <w:rStyle w:val="Hyperlink"/>
            <w:rFonts w:eastAsia="Malgun Gothic"/>
          </w:rPr>
          <w:t>и</w:t>
        </w:r>
        <w:r w:rsidR="006E4E01" w:rsidRPr="001128F2">
          <w:rPr>
            <w:rStyle w:val="Hyperlink"/>
            <w:rFonts w:eastAsia="Malgun Gothic"/>
          </w:rPr>
          <w:t xml:space="preserve"> </w:t>
        </w:r>
        <w:r w:rsidR="006E4E01" w:rsidRPr="001128F2">
          <w:rPr>
            <w:rStyle w:val="Hyperlink"/>
            <w:rFonts w:eastAsia="Malgun Gothic"/>
          </w:rPr>
          <w:t>IX/9</w:t>
        </w:r>
      </w:hyperlink>
      <w:r w:rsidRPr="00690DD5">
        <w:rPr>
          <w:rStyle w:val="Para1"/>
          <w:snapToGrid/>
          <w:kern w:val="22"/>
        </w:rPr>
        <w:t xml:space="preserve">, в том числе путем включения своих национальных целевых задач в </w:t>
      </w:r>
      <w:r w:rsidR="00EC2C45" w:rsidRPr="00690DD5">
        <w:rPr>
          <w:rStyle w:val="Para1"/>
          <w:snapToGrid/>
          <w:kern w:val="22"/>
        </w:rPr>
        <w:t>НСПДСБ</w:t>
      </w:r>
      <w:r w:rsidRPr="00690DD5">
        <w:rPr>
          <w:rStyle w:val="Para1"/>
          <w:snapToGrid/>
          <w:kern w:val="22"/>
        </w:rPr>
        <w:t>, принятые в качестве инструмента политики.</w:t>
      </w:r>
    </w:p>
    <w:p w:rsidR="000B42A0" w:rsidRPr="00690DD5" w:rsidRDefault="00761EFA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snapToGrid/>
          <w:kern w:val="22"/>
        </w:rPr>
      </w:pPr>
      <w:r w:rsidRPr="00690DD5">
        <w:rPr>
          <w:rFonts w:eastAsia="Malgun Gothic" w:cs="Times New Roman"/>
          <w:kern w:val="22"/>
          <w:szCs w:val="22"/>
        </w:rPr>
        <w:t>В свое</w:t>
      </w:r>
      <w:r w:rsidR="00EC2C45">
        <w:rPr>
          <w:rFonts w:eastAsia="Malgun Gothic" w:cs="Times New Roman"/>
          <w:kern w:val="22"/>
          <w:szCs w:val="22"/>
        </w:rPr>
        <w:t>м</w:t>
      </w:r>
      <w:r w:rsidR="00EC2C45" w:rsidRPr="00690DD5">
        <w:rPr>
          <w:rStyle w:val="Para1"/>
          <w:snapToGrid/>
          <w:kern w:val="22"/>
        </w:rPr>
        <w:t xml:space="preserve"> </w:t>
      </w:r>
      <w:hyperlink r:id="rId13" w:history="1">
        <w:r w:rsidR="007F1256" w:rsidRPr="001128F2">
          <w:rPr>
            <w:rStyle w:val="Hyperlink"/>
            <w:rFonts w:eastAsia="Malgun Gothic"/>
            <w:kern w:val="22"/>
            <w:szCs w:val="22"/>
          </w:rPr>
          <w:t>решении</w:t>
        </w:r>
        <w:r w:rsidR="007F1256" w:rsidRPr="001128F2">
          <w:rPr>
            <w:rStyle w:val="Hyperlink"/>
            <w:rFonts w:eastAsia="Malgun Gothic"/>
            <w:kern w:val="22"/>
            <w:szCs w:val="22"/>
          </w:rPr>
          <w:t xml:space="preserve"> </w:t>
        </w:r>
        <w:r w:rsidR="007F1256" w:rsidRPr="001128F2">
          <w:rPr>
            <w:rStyle w:val="Hyperlink"/>
            <w:rFonts w:eastAsia="Malgun Gothic"/>
            <w:kern w:val="22"/>
            <w:szCs w:val="22"/>
          </w:rPr>
          <w:t>X</w:t>
        </w:r>
        <w:r w:rsidR="007F1256" w:rsidRPr="001128F2">
          <w:rPr>
            <w:rStyle w:val="Hyperlink"/>
            <w:rFonts w:eastAsia="Malgun Gothic"/>
            <w:kern w:val="22"/>
            <w:szCs w:val="22"/>
          </w:rPr>
          <w:t>III/1</w:t>
        </w:r>
      </w:hyperlink>
      <w:r w:rsidRPr="00690DD5">
        <w:rPr>
          <w:rFonts w:eastAsia="Malgun Gothic" w:cs="Times New Roman"/>
          <w:kern w:val="22"/>
          <w:szCs w:val="22"/>
        </w:rPr>
        <w:t xml:space="preserve"> </w:t>
      </w:r>
      <w:r w:rsidR="00020478" w:rsidRPr="00690DD5">
        <w:rPr>
          <w:rStyle w:val="Para1"/>
          <w:snapToGrid/>
          <w:kern w:val="22"/>
        </w:rPr>
        <w:t xml:space="preserve">Конференция Сторон </w:t>
      </w:r>
      <w:r w:rsidR="00EE0AC3" w:rsidRPr="00690DD5">
        <w:rPr>
          <w:kern w:val="22"/>
          <w:szCs w:val="22"/>
        </w:rPr>
        <w:t>настоятельно призвал</w:t>
      </w:r>
      <w:r w:rsidR="00020478">
        <w:rPr>
          <w:kern w:val="22"/>
          <w:szCs w:val="22"/>
        </w:rPr>
        <w:t>а</w:t>
      </w:r>
      <w:r w:rsidR="00EE0AC3" w:rsidRPr="00690DD5">
        <w:rPr>
          <w:kern w:val="22"/>
          <w:szCs w:val="22"/>
        </w:rPr>
        <w:t xml:space="preserve"> те Стороны, которые еще не обновили свои национальные </w:t>
      </w:r>
      <w:r w:rsidR="005E220C">
        <w:rPr>
          <w:kern w:val="22"/>
          <w:szCs w:val="22"/>
        </w:rPr>
        <w:t xml:space="preserve">или региональные </w:t>
      </w:r>
      <w:r w:rsidR="00BA2AFD">
        <w:rPr>
          <w:kern w:val="22"/>
          <w:szCs w:val="22"/>
        </w:rPr>
        <w:t>стр</w:t>
      </w:r>
      <w:r w:rsidR="00EE0AC3" w:rsidRPr="00690DD5">
        <w:rPr>
          <w:kern w:val="22"/>
          <w:szCs w:val="22"/>
        </w:rPr>
        <w:t>атегии и планы действий по сохранению биоразнообразия, обновить их в кратчайшие сроки</w:t>
      </w:r>
      <w:r w:rsidR="00EF1AFF">
        <w:rPr>
          <w:kern w:val="22"/>
          <w:szCs w:val="22"/>
        </w:rPr>
        <w:t>,</w:t>
      </w:r>
      <w:r w:rsidR="00020478">
        <w:rPr>
          <w:kern w:val="22"/>
          <w:szCs w:val="22"/>
        </w:rPr>
        <w:t xml:space="preserve"> в соответствии с </w:t>
      </w:r>
      <w:hyperlink r:id="rId14" w:history="1">
        <w:r w:rsidR="00CE2A0B" w:rsidRPr="001128F2">
          <w:rPr>
            <w:rStyle w:val="Hyperlink"/>
            <w:kern w:val="22"/>
            <w:szCs w:val="22"/>
          </w:rPr>
          <w:t>ре</w:t>
        </w:r>
        <w:r w:rsidR="00CE2A0B" w:rsidRPr="001128F2">
          <w:rPr>
            <w:rStyle w:val="Hyperlink"/>
            <w:kern w:val="22"/>
            <w:szCs w:val="22"/>
          </w:rPr>
          <w:t>ш</w:t>
        </w:r>
        <w:r w:rsidR="00CE2A0B" w:rsidRPr="001128F2">
          <w:rPr>
            <w:rStyle w:val="Hyperlink"/>
            <w:kern w:val="22"/>
            <w:szCs w:val="22"/>
          </w:rPr>
          <w:t>е</w:t>
        </w:r>
        <w:r w:rsidR="00CE2A0B" w:rsidRPr="001128F2">
          <w:rPr>
            <w:rStyle w:val="Hyperlink"/>
            <w:kern w:val="22"/>
            <w:szCs w:val="22"/>
          </w:rPr>
          <w:t>н</w:t>
        </w:r>
        <w:r w:rsidR="00CE2A0B" w:rsidRPr="001128F2">
          <w:rPr>
            <w:rStyle w:val="Hyperlink"/>
            <w:kern w:val="22"/>
            <w:szCs w:val="22"/>
          </w:rPr>
          <w:t>и</w:t>
        </w:r>
        <w:r w:rsidR="00CE2A0B" w:rsidRPr="001128F2">
          <w:rPr>
            <w:rStyle w:val="Hyperlink"/>
            <w:kern w:val="22"/>
            <w:szCs w:val="22"/>
          </w:rPr>
          <w:t>е</w:t>
        </w:r>
        <w:r w:rsidR="00CE2A0B" w:rsidRPr="001128F2">
          <w:rPr>
            <w:rStyle w:val="Hyperlink"/>
            <w:kern w:val="22"/>
            <w:szCs w:val="22"/>
          </w:rPr>
          <w:t>м</w:t>
        </w:r>
        <w:r w:rsidR="00CE2A0B" w:rsidRPr="001128F2">
          <w:rPr>
            <w:rStyle w:val="Hyperlink"/>
            <w:kern w:val="22"/>
            <w:szCs w:val="22"/>
          </w:rPr>
          <w:t xml:space="preserve"> XI/2</w:t>
        </w:r>
      </w:hyperlink>
      <w:r w:rsidR="00020478" w:rsidRPr="00020478">
        <w:rPr>
          <w:kern w:val="22"/>
          <w:szCs w:val="22"/>
        </w:rPr>
        <w:t>.</w:t>
      </w:r>
      <w:r w:rsidR="00EE0AC3" w:rsidRPr="00690DD5">
        <w:rPr>
          <w:kern w:val="22"/>
          <w:szCs w:val="22"/>
        </w:rPr>
        <w:t xml:space="preserve"> </w:t>
      </w:r>
    </w:p>
    <w:p w:rsidR="00167128" w:rsidRPr="00167128" w:rsidRDefault="00AF0131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 w:rsidRPr="00167128">
        <w:rPr>
          <w:rStyle w:val="Para1"/>
          <w:snapToGrid/>
          <w:kern w:val="22"/>
        </w:rPr>
        <w:t>В период между 10-м совещанием</w:t>
      </w:r>
      <w:r w:rsidR="00624C81" w:rsidRPr="00167128">
        <w:rPr>
          <w:rStyle w:val="Para1"/>
          <w:snapToGrid/>
          <w:kern w:val="22"/>
        </w:rPr>
        <w:t xml:space="preserve"> Конференции Сторон</w:t>
      </w:r>
      <w:r w:rsidRPr="00167128">
        <w:rPr>
          <w:rStyle w:val="Para1"/>
          <w:snapToGrid/>
          <w:kern w:val="22"/>
        </w:rPr>
        <w:t xml:space="preserve"> и 1</w:t>
      </w:r>
      <w:r w:rsidR="00624C81" w:rsidRPr="00167128">
        <w:rPr>
          <w:rStyle w:val="Para1"/>
          <w:snapToGrid/>
          <w:kern w:val="22"/>
        </w:rPr>
        <w:t>4</w:t>
      </w:r>
      <w:r w:rsidR="008D5B5A" w:rsidRPr="00167128">
        <w:rPr>
          <w:rStyle w:val="Para1"/>
          <w:snapToGrid/>
          <w:kern w:val="22"/>
        </w:rPr>
        <w:t xml:space="preserve"> </w:t>
      </w:r>
      <w:r w:rsidR="00624C81" w:rsidRPr="00167128">
        <w:rPr>
          <w:rStyle w:val="Para1"/>
          <w:snapToGrid/>
          <w:kern w:val="22"/>
        </w:rPr>
        <w:t>марта</w:t>
      </w:r>
      <w:r w:rsidRPr="00167128">
        <w:rPr>
          <w:rStyle w:val="Para1"/>
          <w:snapToGrid/>
          <w:kern w:val="22"/>
        </w:rPr>
        <w:t xml:space="preserve"> 20</w:t>
      </w:r>
      <w:r w:rsidR="00624C81" w:rsidRPr="00167128">
        <w:rPr>
          <w:rStyle w:val="Para1"/>
          <w:snapToGrid/>
          <w:kern w:val="22"/>
        </w:rPr>
        <w:t>18</w:t>
      </w:r>
      <w:r w:rsidRPr="00167128">
        <w:rPr>
          <w:rStyle w:val="Para1"/>
          <w:snapToGrid/>
          <w:kern w:val="22"/>
        </w:rPr>
        <w:t xml:space="preserve"> года секретариату Конвенции о биологическом разнообразии был</w:t>
      </w:r>
      <w:r w:rsidR="00624C81" w:rsidRPr="00167128">
        <w:rPr>
          <w:rStyle w:val="Para1"/>
          <w:snapToGrid/>
          <w:kern w:val="22"/>
        </w:rPr>
        <w:t>и</w:t>
      </w:r>
      <w:r w:rsidRPr="00167128">
        <w:rPr>
          <w:rStyle w:val="Para1"/>
          <w:snapToGrid/>
          <w:kern w:val="22"/>
        </w:rPr>
        <w:t xml:space="preserve"> представлен</w:t>
      </w:r>
      <w:r w:rsidR="00624C81" w:rsidRPr="00167128">
        <w:rPr>
          <w:rStyle w:val="Para1"/>
          <w:snapToGrid/>
          <w:kern w:val="22"/>
        </w:rPr>
        <w:t>ы</w:t>
      </w:r>
      <w:r w:rsidRPr="00167128">
        <w:rPr>
          <w:rStyle w:val="Para1"/>
          <w:snapToGrid/>
          <w:kern w:val="22"/>
        </w:rPr>
        <w:t xml:space="preserve"> 1</w:t>
      </w:r>
      <w:r w:rsidR="00624C81" w:rsidRPr="00167128">
        <w:rPr>
          <w:rStyle w:val="Para1"/>
          <w:snapToGrid/>
          <w:kern w:val="22"/>
        </w:rPr>
        <w:t>54</w:t>
      </w:r>
      <w:r w:rsidRPr="00167128">
        <w:rPr>
          <w:rStyle w:val="Para1"/>
          <w:snapToGrid/>
          <w:kern w:val="22"/>
        </w:rPr>
        <w:t xml:space="preserve"> нов</w:t>
      </w:r>
      <w:r w:rsidR="00624C81" w:rsidRPr="00167128">
        <w:rPr>
          <w:rStyle w:val="Para1"/>
          <w:snapToGrid/>
          <w:kern w:val="22"/>
        </w:rPr>
        <w:t>ых</w:t>
      </w:r>
      <w:r w:rsidRPr="00167128">
        <w:rPr>
          <w:rStyle w:val="Para1"/>
          <w:snapToGrid/>
          <w:kern w:val="22"/>
        </w:rPr>
        <w:t xml:space="preserve"> </w:t>
      </w:r>
      <w:bookmarkStart w:id="2" w:name="_Hlk509576287"/>
      <w:r w:rsidRPr="00167128">
        <w:rPr>
          <w:rStyle w:val="Para1"/>
          <w:snapToGrid/>
          <w:kern w:val="22"/>
        </w:rPr>
        <w:t>НСПДСБ</w:t>
      </w:r>
      <w:bookmarkEnd w:id="2"/>
      <w:r w:rsidRPr="00690DD5">
        <w:rPr>
          <w:sz w:val="18"/>
          <w:vertAlign w:val="superscript"/>
        </w:rPr>
        <w:footnoteReference w:id="2"/>
      </w:r>
      <w:r w:rsidRPr="00167128">
        <w:rPr>
          <w:rStyle w:val="Para1"/>
          <w:snapToGrid/>
          <w:kern w:val="22"/>
        </w:rPr>
        <w:t>. 1</w:t>
      </w:r>
      <w:r w:rsidR="00624C81" w:rsidRPr="00167128">
        <w:rPr>
          <w:rStyle w:val="Para1"/>
          <w:snapToGrid/>
          <w:kern w:val="22"/>
        </w:rPr>
        <w:t>5</w:t>
      </w:r>
      <w:r w:rsidRPr="00167128">
        <w:rPr>
          <w:rStyle w:val="Para1"/>
          <w:snapToGrid/>
          <w:kern w:val="22"/>
        </w:rPr>
        <w:t xml:space="preserve"> из них являются первыми НСПДСБ страны. Более подробная информация об обновлении и анализе национальных стратегий и планов действий по сохранению биоразнообразия, представленных после того, как был принят Стратегический план в области сохранения и устойчивого использования биоразнообразия на 2011-2020 годы, приведена в документе </w:t>
      </w:r>
      <w:r w:rsidRPr="004B3CBC">
        <w:t>CBD/SBI/</w:t>
      </w:r>
      <w:r w:rsidR="00624C81" w:rsidRPr="004B3CBC">
        <w:t>2</w:t>
      </w:r>
      <w:r w:rsidRPr="004B3CBC">
        <w:t>/2/Add.1</w:t>
      </w:r>
      <w:r w:rsidR="00337F94" w:rsidRPr="004B3CBC">
        <w:t>.</w:t>
      </w:r>
    </w:p>
    <w:p w:rsidR="00A9316E" w:rsidRPr="00A9316E" w:rsidRDefault="00FD0B4D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rFonts w:eastAsia="Malgun Gothic" w:cs="Times New Roman"/>
          <w:kern w:val="22"/>
          <w:szCs w:val="22"/>
        </w:rPr>
      </w:pPr>
      <w:r w:rsidRPr="00A9316E">
        <w:rPr>
          <w:rStyle w:val="Para1"/>
          <w:snapToGrid/>
          <w:kern w:val="22"/>
        </w:rPr>
        <w:lastRenderedPageBreak/>
        <w:t xml:space="preserve">При утверждении Стратегического плана Конференция Сторон (решение Х/2) также отмечала необходимость осуществлять надзор за его осуществлением. Национальные доклады являются основным источником информации для такой деятельности. В решении </w:t>
      </w:r>
      <w:hyperlink r:id="rId15" w:history="1">
        <w:r w:rsidR="00D03294" w:rsidRPr="00A9316E">
          <w:rPr>
            <w:rStyle w:val="Hyperlink"/>
            <w:rFonts w:eastAsia="Malgun Gothic"/>
            <w:kern w:val="22"/>
            <w:szCs w:val="22"/>
          </w:rPr>
          <w:t>X/10</w:t>
        </w:r>
      </w:hyperlink>
      <w:r w:rsidRPr="00A9316E">
        <w:rPr>
          <w:rStyle w:val="Para1"/>
          <w:snapToGrid/>
          <w:kern w:val="22"/>
        </w:rPr>
        <w:t xml:space="preserve"> Конференция Сторон предложила Сторонам представить пятый национальный доклад до 31 марта 2014 года. </w:t>
      </w:r>
      <w:r w:rsidR="000C3CD3" w:rsidRPr="00A9316E">
        <w:rPr>
          <w:rStyle w:val="Para1"/>
          <w:snapToGrid/>
          <w:kern w:val="22"/>
        </w:rPr>
        <w:t>Впоследствии</w:t>
      </w:r>
      <w:r w:rsidR="00AF4317">
        <w:rPr>
          <w:rStyle w:val="Para1"/>
          <w:snapToGrid/>
          <w:kern w:val="22"/>
        </w:rPr>
        <w:t>,</w:t>
      </w:r>
      <w:r w:rsidR="000C3CD3" w:rsidRPr="00A9316E">
        <w:rPr>
          <w:rStyle w:val="Para1"/>
          <w:snapToGrid/>
          <w:kern w:val="22"/>
        </w:rPr>
        <w:t xml:space="preserve"> Вспомогательный орган по осуществлению в </w:t>
      </w:r>
      <w:hyperlink r:id="rId16" w:history="1">
        <w:r w:rsidR="00486A57" w:rsidRPr="00A9316E">
          <w:rPr>
            <w:rStyle w:val="Hyperlink"/>
            <w:rFonts w:eastAsia="Malgun Gothic"/>
          </w:rPr>
          <w:t>рекоме</w:t>
        </w:r>
        <w:r w:rsidR="00486A57" w:rsidRPr="00A9316E">
          <w:rPr>
            <w:rStyle w:val="Hyperlink"/>
            <w:rFonts w:eastAsia="Malgun Gothic"/>
          </w:rPr>
          <w:t>н</w:t>
        </w:r>
        <w:r w:rsidR="00486A57" w:rsidRPr="00A9316E">
          <w:rPr>
            <w:rStyle w:val="Hyperlink"/>
            <w:rFonts w:eastAsia="Malgun Gothic"/>
          </w:rPr>
          <w:t>дации 1/1</w:t>
        </w:r>
      </w:hyperlink>
      <w:r w:rsidR="000C3CD3" w:rsidRPr="00A9316E">
        <w:rPr>
          <w:rStyle w:val="Para1"/>
          <w:snapToGrid/>
          <w:kern w:val="22"/>
        </w:rPr>
        <w:t xml:space="preserve"> подчер</w:t>
      </w:r>
      <w:r w:rsidR="009374EC" w:rsidRPr="00A9316E">
        <w:rPr>
          <w:rStyle w:val="Para1"/>
          <w:snapToGrid/>
          <w:kern w:val="22"/>
        </w:rPr>
        <w:t>кнул</w:t>
      </w:r>
      <w:r w:rsidR="000C3CD3" w:rsidRPr="00A9316E">
        <w:rPr>
          <w:rStyle w:val="Para1"/>
          <w:snapToGrid/>
          <w:kern w:val="22"/>
        </w:rPr>
        <w:t xml:space="preserve">, что эффективный обзор прогресса в деле осуществления Стратегического плана в области сохранения и устойчивого использования биоразнообразия на 2011-2020 годы зависит от своевременного представления информации Сторонами и, ссылаясь на решения </w:t>
      </w:r>
      <w:hyperlink r:id="rId17" w:history="1">
        <w:r w:rsidR="005C6F55" w:rsidRPr="00A9316E">
          <w:rPr>
            <w:rStyle w:val="Hyperlink"/>
            <w:kern w:val="22"/>
            <w:szCs w:val="22"/>
          </w:rPr>
          <w:t>XI</w:t>
        </w:r>
        <w:r w:rsidR="005C6F55" w:rsidRPr="00A9316E">
          <w:rPr>
            <w:rStyle w:val="Hyperlink"/>
            <w:kern w:val="22"/>
            <w:szCs w:val="22"/>
          </w:rPr>
          <w:t>/</w:t>
        </w:r>
        <w:r w:rsidR="005C6F55" w:rsidRPr="00A9316E">
          <w:rPr>
            <w:rStyle w:val="Hyperlink"/>
            <w:kern w:val="22"/>
            <w:szCs w:val="22"/>
          </w:rPr>
          <w:t>3</w:t>
        </w:r>
      </w:hyperlink>
      <w:r w:rsidR="000C3CD3" w:rsidRPr="00A9316E">
        <w:rPr>
          <w:rStyle w:val="Para1"/>
          <w:snapToGrid/>
          <w:kern w:val="22"/>
        </w:rPr>
        <w:t xml:space="preserve"> и </w:t>
      </w:r>
      <w:hyperlink r:id="rId18" w:history="1">
        <w:r w:rsidR="005C6F55" w:rsidRPr="00A9316E">
          <w:rPr>
            <w:rStyle w:val="Hyperlink"/>
            <w:kern w:val="22"/>
            <w:szCs w:val="22"/>
          </w:rPr>
          <w:t>X</w:t>
        </w:r>
        <w:r w:rsidR="005C6F55" w:rsidRPr="00A9316E">
          <w:rPr>
            <w:rStyle w:val="Hyperlink"/>
            <w:kern w:val="22"/>
            <w:szCs w:val="22"/>
          </w:rPr>
          <w:t>I</w:t>
        </w:r>
        <w:r w:rsidR="005C6F55" w:rsidRPr="00A9316E">
          <w:rPr>
            <w:rStyle w:val="Hyperlink"/>
            <w:kern w:val="22"/>
            <w:szCs w:val="22"/>
          </w:rPr>
          <w:t>I/2</w:t>
        </w:r>
      </w:hyperlink>
      <w:r w:rsidR="000C3CD3" w:rsidRPr="00A9316E">
        <w:rPr>
          <w:rStyle w:val="Para1"/>
          <w:snapToGrid/>
          <w:kern w:val="22"/>
        </w:rPr>
        <w:t xml:space="preserve"> A, насто</w:t>
      </w:r>
      <w:r w:rsidR="003A22C7" w:rsidRPr="00A9316E">
        <w:rPr>
          <w:rStyle w:val="Para1"/>
          <w:snapToGrid/>
          <w:kern w:val="22"/>
        </w:rPr>
        <w:t xml:space="preserve">йчиво </w:t>
      </w:r>
      <w:r w:rsidR="000C3CD3" w:rsidRPr="00A9316E">
        <w:rPr>
          <w:rStyle w:val="Para1"/>
          <w:snapToGrid/>
          <w:kern w:val="22"/>
        </w:rPr>
        <w:t xml:space="preserve">призвал те Стороны, которые еще не представили свой пятый национальный доклад, в срочном порядке </w:t>
      </w:r>
      <w:r w:rsidR="00D3283D" w:rsidRPr="00A9316E">
        <w:rPr>
          <w:rStyle w:val="Para1"/>
          <w:snapToGrid/>
          <w:kern w:val="22"/>
        </w:rPr>
        <w:t>сделать это</w:t>
      </w:r>
      <w:r w:rsidR="00C875F7" w:rsidRPr="00A9316E">
        <w:rPr>
          <w:rStyle w:val="Para1"/>
          <w:snapToGrid/>
          <w:kern w:val="22"/>
        </w:rPr>
        <w:t xml:space="preserve">, </w:t>
      </w:r>
      <w:r w:rsidR="00430C8D" w:rsidRPr="00A9316E">
        <w:rPr>
          <w:rStyle w:val="Para1"/>
          <w:snapToGrid/>
          <w:kern w:val="22"/>
        </w:rPr>
        <w:t>и</w:t>
      </w:r>
      <w:r w:rsidR="00D3283D" w:rsidRPr="00A9316E">
        <w:rPr>
          <w:rStyle w:val="Para1"/>
          <w:snapToGrid/>
          <w:kern w:val="22"/>
        </w:rPr>
        <w:t xml:space="preserve"> н</w:t>
      </w:r>
      <w:r w:rsidR="000C3CD3" w:rsidRPr="00A9316E">
        <w:rPr>
          <w:rStyle w:val="Para1"/>
          <w:snapToGrid/>
          <w:kern w:val="22"/>
        </w:rPr>
        <w:t xml:space="preserve">е позднее 30 июня 2016 года. К 14 марта 2018 года </w:t>
      </w:r>
      <w:r w:rsidRPr="00A9316E">
        <w:rPr>
          <w:rStyle w:val="Para1"/>
          <w:snapToGrid/>
          <w:kern w:val="22"/>
        </w:rPr>
        <w:t>был получен 1</w:t>
      </w:r>
      <w:r w:rsidR="004B3CBC" w:rsidRPr="00A9316E">
        <w:rPr>
          <w:rStyle w:val="Para1"/>
          <w:snapToGrid/>
          <w:kern w:val="22"/>
        </w:rPr>
        <w:t>91</w:t>
      </w:r>
      <w:r w:rsidRPr="00A9316E">
        <w:rPr>
          <w:rStyle w:val="Para1"/>
          <w:snapToGrid/>
          <w:kern w:val="22"/>
        </w:rPr>
        <w:t xml:space="preserve"> пят</w:t>
      </w:r>
      <w:r w:rsidR="00C23D34" w:rsidRPr="00A9316E">
        <w:rPr>
          <w:rStyle w:val="Para1"/>
          <w:snapToGrid/>
          <w:kern w:val="22"/>
        </w:rPr>
        <w:t>ый</w:t>
      </w:r>
      <w:r w:rsidRPr="00A9316E">
        <w:rPr>
          <w:rStyle w:val="Para1"/>
          <w:snapToGrid/>
          <w:kern w:val="22"/>
        </w:rPr>
        <w:t xml:space="preserve"> национальны</w:t>
      </w:r>
      <w:r w:rsidR="00C23D34" w:rsidRPr="00A9316E">
        <w:rPr>
          <w:rStyle w:val="Para1"/>
          <w:snapToGrid/>
          <w:kern w:val="22"/>
        </w:rPr>
        <w:t>й</w:t>
      </w:r>
      <w:r w:rsidRPr="00A9316E">
        <w:rPr>
          <w:rStyle w:val="Para1"/>
          <w:snapToGrid/>
          <w:kern w:val="22"/>
        </w:rPr>
        <w:t xml:space="preserve"> доклад.</w:t>
      </w:r>
    </w:p>
    <w:p w:rsidR="00A9316E" w:rsidRDefault="00FD0B4D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A9316E">
        <w:rPr>
          <w:rStyle w:val="Para1"/>
          <w:snapToGrid/>
          <w:kern w:val="22"/>
        </w:rPr>
        <w:t>В решении </w:t>
      </w:r>
      <w:hyperlink r:id="rId19" w:history="1">
        <w:r w:rsidR="001C0D0B" w:rsidRPr="00A9316E">
          <w:rPr>
            <w:rStyle w:val="Hyperlink"/>
            <w:rFonts w:eastAsia="Malgun Gothic"/>
            <w:kern w:val="22"/>
            <w:szCs w:val="22"/>
          </w:rPr>
          <w:t>X</w:t>
        </w:r>
        <w:r w:rsidR="001C0D0B" w:rsidRPr="00A9316E">
          <w:rPr>
            <w:rStyle w:val="Hyperlink"/>
            <w:rFonts w:eastAsia="Malgun Gothic"/>
            <w:kern w:val="22"/>
            <w:szCs w:val="22"/>
          </w:rPr>
          <w:t>/</w:t>
        </w:r>
        <w:r w:rsidR="001C0D0B" w:rsidRPr="00A9316E">
          <w:rPr>
            <w:rStyle w:val="Hyperlink"/>
            <w:rFonts w:eastAsia="Malgun Gothic"/>
            <w:kern w:val="22"/>
            <w:szCs w:val="22"/>
          </w:rPr>
          <w:t>2</w:t>
        </w:r>
      </w:hyperlink>
      <w:r w:rsidRPr="00A9316E">
        <w:rPr>
          <w:rStyle w:val="Para1"/>
          <w:snapToGrid/>
          <w:kern w:val="22"/>
        </w:rPr>
        <w:t xml:space="preserve"> Конференция Сторон поручила Исполнительному секретарю подготовить анализ/обобщение национальных, региональных и других мер, включая в соответствующих случаях целевые задачи, намеченных в соответствии со Стратегическим планом, чтобы Рабочая группа по обзору осуществления Конвенции на ее четвертом совещании и Конференция Сторон на ее 11-м и последующих совещаниях смогли провести оценку вклада таких национальных и региональных целевых задач в достижение глобальных целевых задач.</w:t>
      </w:r>
    </w:p>
    <w:p w:rsidR="00660906" w:rsidRPr="00A9316E" w:rsidRDefault="00AC051C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A9316E">
        <w:rPr>
          <w:iCs/>
          <w:kern w:val="22"/>
          <w:szCs w:val="22"/>
        </w:rPr>
        <w:t>Во исполнение данного поручения секретариат обновил в настоящем документе</w:t>
      </w:r>
      <w:r w:rsidR="009A4098" w:rsidRPr="00FD2079">
        <w:rPr>
          <w:sz w:val="18"/>
          <w:vertAlign w:val="superscript"/>
        </w:rPr>
        <w:footnoteReference w:id="3"/>
      </w:r>
      <w:r w:rsidRPr="00A9316E">
        <w:rPr>
          <w:iCs/>
          <w:kern w:val="22"/>
          <w:szCs w:val="22"/>
        </w:rPr>
        <w:t xml:space="preserve"> анализ вклада целевых задач, поставленных Сторонами, и</w:t>
      </w:r>
      <w:r w:rsidRPr="00A9316E">
        <w:rPr>
          <w:rStyle w:val="Heading2"/>
          <w:i/>
          <w:kern w:val="22"/>
        </w:rPr>
        <w:t xml:space="preserve"> </w:t>
      </w:r>
      <w:r w:rsidRPr="00A9316E">
        <w:rPr>
          <w:rStyle w:val="Heading2"/>
          <w:kern w:val="22"/>
        </w:rPr>
        <w:t xml:space="preserve">результатов </w:t>
      </w:r>
      <w:r w:rsidR="00A06FA5" w:rsidRPr="00A9316E">
        <w:rPr>
          <w:rStyle w:val="Heading2"/>
          <w:kern w:val="22"/>
        </w:rPr>
        <w:t>выполнения</w:t>
      </w:r>
      <w:r w:rsidRPr="00A9316E">
        <w:rPr>
          <w:rStyle w:val="Heading2"/>
          <w:kern w:val="22"/>
        </w:rPr>
        <w:t xml:space="preserve"> целевых задач по сохранению и устойчивому использованию биоразнообразия, принятых в Айти, который был представлен </w:t>
      </w:r>
      <w:r w:rsidR="009A4098" w:rsidRPr="00A9316E">
        <w:rPr>
          <w:rStyle w:val="Heading2"/>
          <w:kern w:val="22"/>
        </w:rPr>
        <w:t>Конференции Сторон</w:t>
      </w:r>
      <w:r w:rsidRPr="00A9316E">
        <w:rPr>
          <w:rStyle w:val="Heading2"/>
          <w:kern w:val="22"/>
        </w:rPr>
        <w:t xml:space="preserve"> на е</w:t>
      </w:r>
      <w:r w:rsidR="009A4098" w:rsidRPr="00A9316E">
        <w:rPr>
          <w:rStyle w:val="Heading2"/>
          <w:kern w:val="22"/>
        </w:rPr>
        <w:t>е тринадцатом</w:t>
      </w:r>
      <w:r w:rsidRPr="00A9316E">
        <w:rPr>
          <w:rStyle w:val="Heading2"/>
          <w:kern w:val="22"/>
        </w:rPr>
        <w:t xml:space="preserve"> совещани</w:t>
      </w:r>
      <w:r w:rsidR="00FD2079" w:rsidRPr="00A9316E">
        <w:rPr>
          <w:rStyle w:val="Heading2"/>
          <w:kern w:val="22"/>
        </w:rPr>
        <w:t>и.</w:t>
      </w:r>
      <w:r w:rsidR="00FD2079" w:rsidRPr="00FD2079">
        <w:rPr>
          <w:vertAlign w:val="superscript"/>
        </w:rPr>
        <w:footnoteReference w:id="4"/>
      </w:r>
      <w:r w:rsidR="00374E0A" w:rsidRPr="00A9316E">
        <w:rPr>
          <w:sz w:val="18"/>
          <w:vertAlign w:val="superscript"/>
        </w:rPr>
        <w:t xml:space="preserve"> </w:t>
      </w:r>
      <w:r w:rsidR="00374E0A" w:rsidRPr="00A9316E">
        <w:rPr>
          <w:rStyle w:val="Heading2"/>
          <w:kern w:val="22"/>
        </w:rPr>
        <w:t xml:space="preserve">Настоящий документ </w:t>
      </w:r>
      <w:r w:rsidR="004A4617" w:rsidRPr="00A9316E">
        <w:rPr>
          <w:rStyle w:val="Heading2"/>
          <w:kern w:val="22"/>
        </w:rPr>
        <w:t xml:space="preserve">дополняет документ, </w:t>
      </w:r>
      <w:r w:rsidR="004A4617" w:rsidRPr="00A9316E">
        <w:rPr>
          <w:rFonts w:eastAsia="Malgun Gothic" w:cs="Times New Roman"/>
          <w:kern w:val="22"/>
          <w:szCs w:val="22"/>
        </w:rPr>
        <w:t xml:space="preserve">выпущенный для </w:t>
      </w:r>
      <w:r w:rsidR="005E5863" w:rsidRPr="00A51D12">
        <w:t>Вспомогательн</w:t>
      </w:r>
      <w:r w:rsidR="005C29F8" w:rsidRPr="00A51D12">
        <w:t xml:space="preserve">ого </w:t>
      </w:r>
      <w:r w:rsidR="004A4617" w:rsidRPr="00A9316E">
        <w:rPr>
          <w:rFonts w:eastAsia="Malgun Gothic" w:cs="Times New Roman"/>
          <w:kern w:val="22"/>
          <w:szCs w:val="22"/>
        </w:rPr>
        <w:t xml:space="preserve">органа по научным, техническим и технологическим консультациям, </w:t>
      </w:r>
      <w:r w:rsidR="00D067E4" w:rsidRPr="00A9316E">
        <w:rPr>
          <w:rFonts w:eastAsia="Malgun Gothic" w:cs="Times New Roman"/>
          <w:kern w:val="22"/>
          <w:szCs w:val="22"/>
        </w:rPr>
        <w:t xml:space="preserve">касающийся </w:t>
      </w:r>
      <w:r w:rsidR="004A4617" w:rsidRPr="00A9316E">
        <w:rPr>
          <w:rFonts w:eastAsia="Malgun Gothic" w:cs="Times New Roman"/>
          <w:kern w:val="22"/>
          <w:szCs w:val="22"/>
        </w:rPr>
        <w:t>обновленной научной оценк</w:t>
      </w:r>
      <w:r w:rsidR="00AE126D" w:rsidRPr="00A9316E">
        <w:rPr>
          <w:rFonts w:eastAsia="Malgun Gothic" w:cs="Times New Roman"/>
          <w:kern w:val="22"/>
          <w:szCs w:val="22"/>
        </w:rPr>
        <w:t>и</w:t>
      </w:r>
      <w:r w:rsidR="004A4617" w:rsidRPr="00A9316E">
        <w:rPr>
          <w:rFonts w:eastAsia="Malgun Gothic" w:cs="Times New Roman"/>
          <w:kern w:val="22"/>
          <w:szCs w:val="22"/>
        </w:rPr>
        <w:t xml:space="preserve"> прогресса в </w:t>
      </w:r>
      <w:r w:rsidR="00FD7D36" w:rsidRPr="00A9316E">
        <w:rPr>
          <w:rStyle w:val="Normal"/>
          <w:kern w:val="22"/>
        </w:rPr>
        <w:t>отношении целевых задач по сохранению и устойчивому использованию биоразнообразия, принятых в Айти, и вариант</w:t>
      </w:r>
      <w:r w:rsidR="008C542C" w:rsidRPr="00A9316E">
        <w:rPr>
          <w:rStyle w:val="Normal"/>
          <w:kern w:val="22"/>
        </w:rPr>
        <w:t>ов</w:t>
      </w:r>
      <w:r w:rsidR="00FD7D36" w:rsidRPr="00A9316E">
        <w:rPr>
          <w:rStyle w:val="Normal"/>
          <w:kern w:val="22"/>
        </w:rPr>
        <w:t xml:space="preserve"> ускорения прогресса</w:t>
      </w:r>
      <w:r w:rsidR="005D6484" w:rsidRPr="00A51D12">
        <w:rPr>
          <w:vertAlign w:val="superscript"/>
        </w:rPr>
        <w:footnoteReference w:id="5"/>
      </w:r>
      <w:r w:rsidR="004A4617" w:rsidRPr="00A9316E">
        <w:rPr>
          <w:rFonts w:eastAsia="Malgun Gothic" w:cs="Times New Roman"/>
          <w:kern w:val="22"/>
          <w:szCs w:val="22"/>
        </w:rPr>
        <w:t xml:space="preserve">, основное внимание </w:t>
      </w:r>
      <w:r w:rsidR="00BE5906" w:rsidRPr="00A9316E">
        <w:rPr>
          <w:rFonts w:eastAsia="Malgun Gothic" w:cs="Times New Roman"/>
          <w:kern w:val="22"/>
          <w:szCs w:val="22"/>
        </w:rPr>
        <w:t xml:space="preserve">в котором </w:t>
      </w:r>
      <w:r w:rsidR="004A4617" w:rsidRPr="00A9316E">
        <w:rPr>
          <w:rFonts w:eastAsia="Malgun Gothic" w:cs="Times New Roman"/>
          <w:kern w:val="22"/>
          <w:szCs w:val="22"/>
        </w:rPr>
        <w:t xml:space="preserve">уделяется </w:t>
      </w:r>
      <w:r w:rsidR="00366A79" w:rsidRPr="00A9316E">
        <w:rPr>
          <w:rFonts w:eastAsia="Malgun Gothic" w:cs="Times New Roman"/>
          <w:kern w:val="22"/>
          <w:szCs w:val="22"/>
        </w:rPr>
        <w:t>подтверждени</w:t>
      </w:r>
      <w:r w:rsidR="00262B3F" w:rsidRPr="00A9316E">
        <w:rPr>
          <w:rFonts w:eastAsia="Malgun Gothic" w:cs="Times New Roman"/>
          <w:kern w:val="22"/>
          <w:szCs w:val="22"/>
        </w:rPr>
        <w:t xml:space="preserve">ю </w:t>
      </w:r>
      <w:r w:rsidR="006F3D07" w:rsidRPr="00A9316E">
        <w:rPr>
          <w:rFonts w:eastAsia="Malgun Gothic" w:cs="Times New Roman"/>
          <w:kern w:val="22"/>
          <w:szCs w:val="22"/>
        </w:rPr>
        <w:t xml:space="preserve">прогресса </w:t>
      </w:r>
      <w:r w:rsidR="00D670FC" w:rsidRPr="00A9316E">
        <w:rPr>
          <w:rStyle w:val="BodyText"/>
          <w:snapToGrid/>
          <w:kern w:val="22"/>
        </w:rPr>
        <w:t>научны</w:t>
      </w:r>
      <w:r w:rsidR="005E4125" w:rsidRPr="00A9316E">
        <w:rPr>
          <w:rStyle w:val="BodyText"/>
          <w:snapToGrid/>
          <w:kern w:val="22"/>
        </w:rPr>
        <w:t>ми</w:t>
      </w:r>
      <w:r w:rsidR="00D670FC" w:rsidRPr="00A9316E">
        <w:rPr>
          <w:rStyle w:val="BodyText"/>
          <w:snapToGrid/>
          <w:kern w:val="22"/>
        </w:rPr>
        <w:t xml:space="preserve"> материал</w:t>
      </w:r>
      <w:r w:rsidR="006F3D07" w:rsidRPr="00A9316E">
        <w:rPr>
          <w:rStyle w:val="BodyText"/>
          <w:snapToGrid/>
          <w:kern w:val="22"/>
        </w:rPr>
        <w:t>а</w:t>
      </w:r>
      <w:r w:rsidR="005E4125" w:rsidRPr="00A9316E">
        <w:rPr>
          <w:rStyle w:val="BodyText"/>
          <w:snapToGrid/>
          <w:kern w:val="22"/>
        </w:rPr>
        <w:t>ми</w:t>
      </w:r>
      <w:r w:rsidR="006F3D07" w:rsidRPr="00A9316E">
        <w:rPr>
          <w:rStyle w:val="BodyText"/>
          <w:snapToGrid/>
          <w:kern w:val="22"/>
        </w:rPr>
        <w:t xml:space="preserve"> </w:t>
      </w:r>
      <w:r w:rsidR="00D670FC" w:rsidRPr="00A9316E">
        <w:rPr>
          <w:rStyle w:val="BodyText"/>
          <w:snapToGrid/>
          <w:kern w:val="22"/>
        </w:rPr>
        <w:t xml:space="preserve">и </w:t>
      </w:r>
      <w:r w:rsidR="004A4617" w:rsidRPr="00A9316E">
        <w:rPr>
          <w:rFonts w:eastAsia="Malgun Gothic" w:cs="Times New Roman"/>
          <w:kern w:val="22"/>
          <w:szCs w:val="22"/>
        </w:rPr>
        <w:t>соответствующи</w:t>
      </w:r>
      <w:r w:rsidR="005E4125" w:rsidRPr="00A9316E">
        <w:rPr>
          <w:rFonts w:eastAsia="Malgun Gothic" w:cs="Times New Roman"/>
          <w:kern w:val="22"/>
          <w:szCs w:val="22"/>
        </w:rPr>
        <w:t>м</w:t>
      </w:r>
      <w:r w:rsidR="00EC30BD" w:rsidRPr="00A9316E">
        <w:rPr>
          <w:rFonts w:eastAsia="Malgun Gothic" w:cs="Times New Roman"/>
          <w:kern w:val="22"/>
          <w:szCs w:val="22"/>
        </w:rPr>
        <w:t>и</w:t>
      </w:r>
      <w:r w:rsidR="004A4617" w:rsidRPr="00A9316E">
        <w:rPr>
          <w:rFonts w:eastAsia="Malgun Gothic" w:cs="Times New Roman"/>
          <w:kern w:val="22"/>
          <w:szCs w:val="22"/>
        </w:rPr>
        <w:t xml:space="preserve"> показателя</w:t>
      </w:r>
      <w:r w:rsidR="005E4125" w:rsidRPr="00A9316E">
        <w:rPr>
          <w:rFonts w:eastAsia="Malgun Gothic" w:cs="Times New Roman"/>
          <w:kern w:val="22"/>
          <w:szCs w:val="22"/>
        </w:rPr>
        <w:t>ми</w:t>
      </w:r>
      <w:r w:rsidR="005D6484" w:rsidRPr="00A9316E">
        <w:rPr>
          <w:rFonts w:eastAsia="Malgun Gothic" w:cs="Times New Roman"/>
          <w:kern w:val="22"/>
          <w:szCs w:val="22"/>
        </w:rPr>
        <w:t>.</w:t>
      </w:r>
    </w:p>
    <w:p w:rsidR="00FD0B4D" w:rsidRPr="00690DD5" w:rsidRDefault="00FD0B4D" w:rsidP="00FD0B4D">
      <w:pPr>
        <w:numPr>
          <w:ilvl w:val="0"/>
          <w:numId w:val="61"/>
        </w:numPr>
        <w:spacing w:before="120" w:after="120"/>
        <w:ind w:left="1077"/>
        <w:jc w:val="center"/>
        <w:rPr>
          <w:rFonts w:cs="Times New Roman"/>
          <w:b/>
          <w:bCs/>
        </w:rPr>
      </w:pPr>
      <w:r w:rsidRPr="00690DD5">
        <w:rPr>
          <w:rStyle w:val="Normal"/>
          <w:b/>
        </w:rPr>
        <w:t>МЕТОДИКА</w:t>
      </w:r>
    </w:p>
    <w:p w:rsidR="00FD0B4D" w:rsidRPr="00690DD5" w:rsidRDefault="00057E6F" w:rsidP="00FD0B4D">
      <w:pPr>
        <w:spacing w:after="120"/>
        <w:jc w:val="center"/>
        <w:rPr>
          <w:rFonts w:cs="Times New Roman"/>
          <w:b/>
          <w:bCs/>
        </w:rPr>
      </w:pPr>
      <w:r w:rsidRPr="00690DD5">
        <w:rPr>
          <w:rFonts w:cs="Times New Roman"/>
          <w:b/>
          <w:bCs/>
          <w:snapToGrid w:val="0"/>
          <w:kern w:val="22"/>
          <w:szCs w:val="22"/>
        </w:rPr>
        <w:t>A.</w:t>
      </w:r>
      <w:r w:rsidRPr="00690DD5">
        <w:rPr>
          <w:rFonts w:cs="Times New Roman"/>
          <w:b/>
          <w:bCs/>
          <w:snapToGrid w:val="0"/>
          <w:kern w:val="22"/>
          <w:szCs w:val="22"/>
        </w:rPr>
        <w:tab/>
      </w:r>
      <w:r w:rsidR="00FD0B4D" w:rsidRPr="00690DD5">
        <w:rPr>
          <w:rStyle w:val="Normal"/>
          <w:b/>
        </w:rPr>
        <w:t>Национальные стратегии и планы действий по сохранению биоразнообразия</w:t>
      </w:r>
    </w:p>
    <w:p w:rsidR="00FD0B4D" w:rsidRPr="005D6484" w:rsidRDefault="00FD0B4D" w:rsidP="005D6484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</w:rPr>
      </w:pPr>
      <w:r w:rsidRPr="00690DD5">
        <w:rPr>
          <w:rStyle w:val="Para1"/>
          <w:snapToGrid/>
          <w:kern w:val="22"/>
        </w:rPr>
        <w:t xml:space="preserve">В ходе оценки </w:t>
      </w:r>
      <w:r w:rsidR="00905B0C" w:rsidRPr="00690DD5">
        <w:rPr>
          <w:rStyle w:val="Para1"/>
          <w:snapToGrid/>
          <w:kern w:val="22"/>
        </w:rPr>
        <w:t xml:space="preserve">было </w:t>
      </w:r>
      <w:r w:rsidRPr="00690DD5">
        <w:rPr>
          <w:rStyle w:val="Para1"/>
          <w:snapToGrid/>
          <w:kern w:val="22"/>
        </w:rPr>
        <w:t>рассм</w:t>
      </w:r>
      <w:r w:rsidR="00905B0C" w:rsidRPr="00690DD5">
        <w:rPr>
          <w:rStyle w:val="Para1"/>
          <w:snapToGrid/>
          <w:kern w:val="22"/>
        </w:rPr>
        <w:t xml:space="preserve">отрено в общей сложности </w:t>
      </w:r>
      <w:r w:rsidR="00F213F8">
        <w:rPr>
          <w:rStyle w:val="Para1"/>
          <w:snapToGrid/>
          <w:kern w:val="22"/>
        </w:rPr>
        <w:t>1</w:t>
      </w:r>
      <w:r w:rsidR="005D6484" w:rsidRPr="005D6484">
        <w:rPr>
          <w:rStyle w:val="Para1"/>
          <w:snapToGrid/>
          <w:kern w:val="22"/>
        </w:rPr>
        <w:t>54</w:t>
      </w:r>
      <w:r w:rsidR="00905B0C" w:rsidRPr="00690DD5">
        <w:rPr>
          <w:rStyle w:val="Para1"/>
          <w:snapToGrid/>
          <w:kern w:val="22"/>
        </w:rPr>
        <w:t xml:space="preserve"> </w:t>
      </w:r>
      <w:r w:rsidRPr="00690DD5">
        <w:rPr>
          <w:rStyle w:val="Para1"/>
          <w:snapToGrid/>
          <w:kern w:val="22"/>
        </w:rPr>
        <w:t xml:space="preserve">пересмотренных или обновленных </w:t>
      </w:r>
      <w:r w:rsidR="00905B0C" w:rsidRPr="00690DD5">
        <w:rPr>
          <w:rStyle w:val="Para1"/>
          <w:snapToGrid/>
          <w:kern w:val="22"/>
        </w:rPr>
        <w:t>НСПДСБ</w:t>
      </w:r>
      <w:r w:rsidR="00660906" w:rsidRPr="005D6484">
        <w:rPr>
          <w:sz w:val="18"/>
          <w:vertAlign w:val="superscript"/>
        </w:rPr>
        <w:footnoteReference w:id="6"/>
      </w:r>
      <w:r w:rsidRPr="00690DD5">
        <w:rPr>
          <w:rStyle w:val="Para1"/>
          <w:snapToGrid/>
          <w:kern w:val="22"/>
        </w:rPr>
        <w:t xml:space="preserve">. Были </w:t>
      </w:r>
      <w:r w:rsidR="00905B0C" w:rsidRPr="00690DD5">
        <w:rPr>
          <w:rStyle w:val="Para1"/>
          <w:snapToGrid/>
          <w:kern w:val="22"/>
        </w:rPr>
        <w:t>изуч</w:t>
      </w:r>
      <w:r w:rsidRPr="00690DD5">
        <w:rPr>
          <w:rStyle w:val="Para1"/>
          <w:snapToGrid/>
          <w:kern w:val="22"/>
        </w:rPr>
        <w:t xml:space="preserve">ены </w:t>
      </w:r>
      <w:r w:rsidR="00905B0C" w:rsidRPr="00690DD5">
        <w:rPr>
          <w:rStyle w:val="Para1"/>
          <w:snapToGrid/>
          <w:kern w:val="22"/>
        </w:rPr>
        <w:t>НСПДСБ, которые представили</w:t>
      </w:r>
      <w:r w:rsidRPr="00690DD5">
        <w:rPr>
          <w:rStyle w:val="Para1"/>
          <w:snapToGrid/>
          <w:kern w:val="22"/>
        </w:rPr>
        <w:t xml:space="preserve">: </w:t>
      </w:r>
      <w:r w:rsidRPr="00CB248B">
        <w:rPr>
          <w:rStyle w:val="Para1"/>
          <w:snapToGrid/>
          <w:kern w:val="22"/>
        </w:rPr>
        <w:t xml:space="preserve">Австралия, Австрия, </w:t>
      </w:r>
      <w:r w:rsidR="0080175E" w:rsidRPr="00CB248B">
        <w:rPr>
          <w:rStyle w:val="Para1"/>
          <w:snapToGrid/>
          <w:kern w:val="22"/>
        </w:rPr>
        <w:t xml:space="preserve">Азербайджан, </w:t>
      </w:r>
      <w:r w:rsidR="003100EE" w:rsidRPr="00CB248B">
        <w:rPr>
          <w:rStyle w:val="Para1"/>
          <w:snapToGrid/>
          <w:kern w:val="22"/>
        </w:rPr>
        <w:t xml:space="preserve">Албания, </w:t>
      </w:r>
      <w:r w:rsidR="00905B0C" w:rsidRPr="00CB248B">
        <w:rPr>
          <w:rStyle w:val="Para1"/>
          <w:snapToGrid/>
          <w:kern w:val="22"/>
        </w:rPr>
        <w:t>Ал</w:t>
      </w:r>
      <w:r w:rsidR="003100EE" w:rsidRPr="00CB248B">
        <w:rPr>
          <w:rStyle w:val="Para1"/>
          <w:snapToGrid/>
          <w:kern w:val="22"/>
        </w:rPr>
        <w:t>жирия</w:t>
      </w:r>
      <w:r w:rsidR="00905B0C" w:rsidRPr="00CB248B">
        <w:rPr>
          <w:rStyle w:val="Para1"/>
          <w:snapToGrid/>
          <w:kern w:val="22"/>
        </w:rPr>
        <w:t>,</w:t>
      </w:r>
      <w:r w:rsidR="003100EE" w:rsidRPr="00CB248B">
        <w:rPr>
          <w:rStyle w:val="Para1"/>
          <w:snapToGrid/>
          <w:kern w:val="22"/>
        </w:rPr>
        <w:t xml:space="preserve"> Андорра,</w:t>
      </w:r>
      <w:r w:rsidR="00905B0C" w:rsidRPr="00CB248B">
        <w:rPr>
          <w:rStyle w:val="Para1"/>
          <w:snapToGrid/>
          <w:kern w:val="22"/>
        </w:rPr>
        <w:t xml:space="preserve"> </w:t>
      </w:r>
      <w:r w:rsidRPr="00CB248B">
        <w:rPr>
          <w:rStyle w:val="Para1"/>
          <w:snapToGrid/>
          <w:kern w:val="22"/>
        </w:rPr>
        <w:t xml:space="preserve">Антигуа и Барбуда, </w:t>
      </w:r>
      <w:r w:rsidR="003100EE" w:rsidRPr="00CB248B">
        <w:rPr>
          <w:rStyle w:val="Para1"/>
          <w:snapToGrid/>
          <w:kern w:val="22"/>
        </w:rPr>
        <w:t xml:space="preserve">Аргентина, </w:t>
      </w:r>
      <w:r w:rsidRPr="00CB248B">
        <w:rPr>
          <w:rStyle w:val="Para1"/>
          <w:snapToGrid/>
          <w:kern w:val="22"/>
        </w:rPr>
        <w:t xml:space="preserve">Армения, Афганистан, </w:t>
      </w:r>
      <w:r w:rsidR="001F59A2" w:rsidRPr="00CB248B">
        <w:rPr>
          <w:rStyle w:val="Para1"/>
          <w:snapToGrid/>
          <w:kern w:val="22"/>
        </w:rPr>
        <w:t xml:space="preserve">Бангладеш, </w:t>
      </w:r>
      <w:r w:rsidR="00905B0C" w:rsidRPr="00CB248B">
        <w:rPr>
          <w:rStyle w:val="Para1"/>
          <w:snapToGrid/>
          <w:kern w:val="22"/>
        </w:rPr>
        <w:t xml:space="preserve">Бахрейн, </w:t>
      </w:r>
      <w:r w:rsidRPr="00CB248B">
        <w:rPr>
          <w:rStyle w:val="Para1"/>
          <w:snapToGrid/>
          <w:kern w:val="22"/>
        </w:rPr>
        <w:t xml:space="preserve">Беларусь, </w:t>
      </w:r>
      <w:r w:rsidR="0080175E" w:rsidRPr="00CB248B">
        <w:rPr>
          <w:rStyle w:val="Para1"/>
          <w:snapToGrid/>
          <w:kern w:val="22"/>
        </w:rPr>
        <w:t xml:space="preserve">Белиз, </w:t>
      </w:r>
      <w:r w:rsidRPr="00CB248B">
        <w:rPr>
          <w:rStyle w:val="Para1"/>
          <w:snapToGrid/>
          <w:kern w:val="22"/>
        </w:rPr>
        <w:t xml:space="preserve">Бельгия, </w:t>
      </w:r>
      <w:r w:rsidR="00905B0C" w:rsidRPr="00CB248B">
        <w:rPr>
          <w:rStyle w:val="Para1"/>
          <w:snapToGrid/>
          <w:kern w:val="22"/>
        </w:rPr>
        <w:t xml:space="preserve">Бенин, Босния и Герцеговина, Ботсвана, </w:t>
      </w:r>
      <w:r w:rsidR="001F59A2" w:rsidRPr="00CB248B">
        <w:rPr>
          <w:rStyle w:val="Para1"/>
          <w:snapToGrid/>
          <w:kern w:val="22"/>
        </w:rPr>
        <w:t xml:space="preserve">Бразилия, Бруней Даруссалам, </w:t>
      </w:r>
      <w:r w:rsidRPr="00CB248B">
        <w:rPr>
          <w:rStyle w:val="Para1"/>
          <w:snapToGrid/>
          <w:kern w:val="22"/>
        </w:rPr>
        <w:t xml:space="preserve">Буркина-Фасо, Бурунди, Бутан, Венгрия, Венесуэла, Вьетнам, Гайана, </w:t>
      </w:r>
      <w:r w:rsidR="002F511F" w:rsidRPr="00CB248B">
        <w:rPr>
          <w:rStyle w:val="Para1"/>
          <w:snapToGrid/>
          <w:kern w:val="22"/>
        </w:rPr>
        <w:t xml:space="preserve">Гана, </w:t>
      </w:r>
      <w:r w:rsidRPr="00CB248B">
        <w:rPr>
          <w:rStyle w:val="Para1"/>
          <w:snapToGrid/>
          <w:kern w:val="22"/>
        </w:rPr>
        <w:t xml:space="preserve">Гамбия, Гватемала, </w:t>
      </w:r>
      <w:r w:rsidR="001F59A2" w:rsidRPr="00CB248B">
        <w:rPr>
          <w:rStyle w:val="Para1"/>
          <w:snapToGrid/>
          <w:kern w:val="22"/>
        </w:rPr>
        <w:t xml:space="preserve">Гвинея, </w:t>
      </w:r>
      <w:r w:rsidR="00905B0C" w:rsidRPr="00CB248B">
        <w:rPr>
          <w:rStyle w:val="Para1"/>
          <w:snapToGrid/>
          <w:kern w:val="22"/>
        </w:rPr>
        <w:t xml:space="preserve">Гвинея-Бисау, Германия, </w:t>
      </w:r>
      <w:r w:rsidR="009C1C2D" w:rsidRPr="00CB248B">
        <w:rPr>
          <w:rStyle w:val="Para1"/>
          <w:snapToGrid/>
          <w:kern w:val="22"/>
        </w:rPr>
        <w:t xml:space="preserve">Гондурас, </w:t>
      </w:r>
      <w:r w:rsidR="001F59A2" w:rsidRPr="00CB248B">
        <w:rPr>
          <w:rStyle w:val="Para1"/>
          <w:snapToGrid/>
          <w:kern w:val="22"/>
        </w:rPr>
        <w:t xml:space="preserve">Гренада, </w:t>
      </w:r>
      <w:r w:rsidRPr="00CB248B">
        <w:rPr>
          <w:rStyle w:val="Para1"/>
          <w:snapToGrid/>
          <w:kern w:val="22"/>
        </w:rPr>
        <w:t xml:space="preserve">Греция, Грузия, Дания, </w:t>
      </w:r>
      <w:r w:rsidR="001F59A2" w:rsidRPr="00CB248B">
        <w:rPr>
          <w:rStyle w:val="Para1"/>
          <w:snapToGrid/>
          <w:kern w:val="22"/>
        </w:rPr>
        <w:t>Демократическая Республика Конго,</w:t>
      </w:r>
      <w:r w:rsidR="003B6F8E" w:rsidRPr="00CB248B">
        <w:rPr>
          <w:rStyle w:val="Para1"/>
          <w:snapToGrid/>
          <w:kern w:val="22"/>
        </w:rPr>
        <w:t xml:space="preserve"> Джибути,</w:t>
      </w:r>
      <w:r w:rsidR="001F59A2" w:rsidRPr="00CB248B">
        <w:rPr>
          <w:rStyle w:val="Para1"/>
          <w:snapToGrid/>
          <w:kern w:val="22"/>
        </w:rPr>
        <w:t xml:space="preserve"> </w:t>
      </w:r>
      <w:r w:rsidRPr="00CB248B">
        <w:rPr>
          <w:rStyle w:val="Para1"/>
          <w:snapToGrid/>
          <w:kern w:val="22"/>
        </w:rPr>
        <w:t xml:space="preserve">Доминика, Доминиканская Республика, Европейский союз, </w:t>
      </w:r>
      <w:r w:rsidR="00905B0C" w:rsidRPr="00CB248B">
        <w:rPr>
          <w:rStyle w:val="Para1"/>
          <w:snapToGrid/>
          <w:kern w:val="22"/>
        </w:rPr>
        <w:t xml:space="preserve">Египет, </w:t>
      </w:r>
      <w:r w:rsidR="000127FC" w:rsidRPr="00CB248B">
        <w:rPr>
          <w:rStyle w:val="Para1"/>
          <w:snapToGrid/>
          <w:kern w:val="22"/>
        </w:rPr>
        <w:t xml:space="preserve">Замбия, </w:t>
      </w:r>
      <w:r w:rsidRPr="00CB248B">
        <w:rPr>
          <w:rStyle w:val="Para1"/>
          <w:snapToGrid/>
          <w:kern w:val="22"/>
        </w:rPr>
        <w:t xml:space="preserve">Зимбабве, Индия, </w:t>
      </w:r>
      <w:r w:rsidR="00D34119" w:rsidRPr="00CB248B">
        <w:rPr>
          <w:rStyle w:val="Para1"/>
          <w:snapToGrid/>
          <w:kern w:val="22"/>
        </w:rPr>
        <w:t xml:space="preserve">Индонезия, </w:t>
      </w:r>
      <w:r w:rsidRPr="00CB248B">
        <w:rPr>
          <w:rStyle w:val="Para1"/>
          <w:snapToGrid/>
          <w:kern w:val="22"/>
        </w:rPr>
        <w:t xml:space="preserve">Иордания, </w:t>
      </w:r>
      <w:r w:rsidR="00905B0C" w:rsidRPr="00CB248B">
        <w:rPr>
          <w:rStyle w:val="Para1"/>
          <w:snapToGrid/>
          <w:kern w:val="22"/>
        </w:rPr>
        <w:t xml:space="preserve">Ирак, </w:t>
      </w:r>
      <w:r w:rsidR="005B3468" w:rsidRPr="00CB248B">
        <w:rPr>
          <w:rStyle w:val="Para1"/>
          <w:snapToGrid/>
          <w:kern w:val="22"/>
        </w:rPr>
        <w:t xml:space="preserve">Иран, </w:t>
      </w:r>
      <w:r w:rsidRPr="00CB248B">
        <w:rPr>
          <w:rStyle w:val="Para1"/>
          <w:snapToGrid/>
          <w:kern w:val="22"/>
        </w:rPr>
        <w:t xml:space="preserve">Ирландия, Испания, Италия, </w:t>
      </w:r>
      <w:r w:rsidR="00980CB7" w:rsidRPr="00CB248B">
        <w:rPr>
          <w:rStyle w:val="Para1"/>
          <w:snapToGrid/>
          <w:kern w:val="22"/>
        </w:rPr>
        <w:t xml:space="preserve">Йемен, </w:t>
      </w:r>
      <w:r w:rsidR="001F59A2" w:rsidRPr="00CB248B">
        <w:rPr>
          <w:rStyle w:val="Para1"/>
          <w:snapToGrid/>
          <w:kern w:val="22"/>
        </w:rPr>
        <w:t xml:space="preserve">Кабо-Верде, </w:t>
      </w:r>
      <w:r w:rsidR="00905B0C" w:rsidRPr="00CB248B">
        <w:rPr>
          <w:rStyle w:val="Para1"/>
          <w:snapToGrid/>
          <w:kern w:val="22"/>
        </w:rPr>
        <w:t xml:space="preserve">Камбоджа, </w:t>
      </w:r>
      <w:r w:rsidRPr="00CB248B">
        <w:rPr>
          <w:rStyle w:val="Para1"/>
          <w:snapToGrid/>
          <w:kern w:val="22"/>
        </w:rPr>
        <w:t xml:space="preserve">Камерун, </w:t>
      </w:r>
      <w:r w:rsidR="001F59A2" w:rsidRPr="00CB248B">
        <w:rPr>
          <w:rStyle w:val="Para1"/>
          <w:snapToGrid/>
          <w:kern w:val="22"/>
        </w:rPr>
        <w:t xml:space="preserve">Канада, </w:t>
      </w:r>
      <w:r w:rsidR="004C244C" w:rsidRPr="00CB248B">
        <w:rPr>
          <w:rStyle w:val="Para1"/>
          <w:snapToGrid/>
          <w:kern w:val="22"/>
        </w:rPr>
        <w:t xml:space="preserve">Катар, </w:t>
      </w:r>
      <w:r w:rsidR="00FC096C" w:rsidRPr="00CB248B">
        <w:rPr>
          <w:rStyle w:val="Para1"/>
          <w:snapToGrid/>
          <w:kern w:val="22"/>
        </w:rPr>
        <w:t xml:space="preserve">Кирибати, </w:t>
      </w:r>
      <w:r w:rsidR="00905B0C" w:rsidRPr="00CB248B">
        <w:rPr>
          <w:rStyle w:val="Para1"/>
          <w:snapToGrid/>
          <w:kern w:val="22"/>
        </w:rPr>
        <w:t xml:space="preserve">Китай, </w:t>
      </w:r>
      <w:r w:rsidRPr="00CB248B">
        <w:rPr>
          <w:rStyle w:val="Para1"/>
          <w:snapToGrid/>
          <w:kern w:val="22"/>
        </w:rPr>
        <w:t xml:space="preserve">Колумбия, </w:t>
      </w:r>
      <w:r w:rsidR="001F59A2" w:rsidRPr="00CB248B">
        <w:rPr>
          <w:rStyle w:val="Para1"/>
          <w:snapToGrid/>
          <w:kern w:val="22"/>
        </w:rPr>
        <w:t xml:space="preserve">Коморские Острова, </w:t>
      </w:r>
      <w:r w:rsidRPr="00CB248B">
        <w:rPr>
          <w:rStyle w:val="Para1"/>
          <w:snapToGrid/>
          <w:kern w:val="22"/>
        </w:rPr>
        <w:t>Конго, Корейская Народно-Демократическая Республика</w:t>
      </w:r>
      <w:r w:rsidR="000A137A" w:rsidRPr="00CB248B">
        <w:rPr>
          <w:rStyle w:val="Para1"/>
          <w:snapToGrid/>
          <w:kern w:val="22"/>
        </w:rPr>
        <w:t xml:space="preserve">, </w:t>
      </w:r>
      <w:r w:rsidR="00EB61C5" w:rsidRPr="00CB248B">
        <w:rPr>
          <w:rStyle w:val="Para1"/>
          <w:snapToGrid/>
          <w:kern w:val="22"/>
        </w:rPr>
        <w:t xml:space="preserve">Коста-Рика, </w:t>
      </w:r>
      <w:r w:rsidRPr="00CB248B">
        <w:rPr>
          <w:rStyle w:val="Para1"/>
          <w:snapToGrid/>
          <w:kern w:val="22"/>
        </w:rPr>
        <w:t xml:space="preserve">Кот-д'Ивуар, </w:t>
      </w:r>
      <w:r w:rsidR="001F59A2" w:rsidRPr="00CB248B">
        <w:rPr>
          <w:rStyle w:val="Para1"/>
          <w:snapToGrid/>
          <w:kern w:val="22"/>
        </w:rPr>
        <w:t xml:space="preserve">Куба, </w:t>
      </w:r>
      <w:r w:rsidRPr="00CB248B">
        <w:rPr>
          <w:rStyle w:val="Para1"/>
          <w:snapToGrid/>
          <w:kern w:val="22"/>
        </w:rPr>
        <w:t xml:space="preserve">Кыргызстан, </w:t>
      </w:r>
      <w:r w:rsidR="00905B0C" w:rsidRPr="00CB248B">
        <w:rPr>
          <w:rStyle w:val="Para1"/>
          <w:snapToGrid/>
          <w:kern w:val="22"/>
        </w:rPr>
        <w:t xml:space="preserve">Лаосская Народно-Демократическая Республика, </w:t>
      </w:r>
      <w:r w:rsidR="00A741FA" w:rsidRPr="00CB248B">
        <w:rPr>
          <w:rStyle w:val="Para1"/>
          <w:snapToGrid/>
          <w:kern w:val="22"/>
        </w:rPr>
        <w:t xml:space="preserve">Либерия, </w:t>
      </w:r>
      <w:r w:rsidR="004C244C" w:rsidRPr="00CB248B">
        <w:rPr>
          <w:rStyle w:val="Para1"/>
          <w:snapToGrid/>
          <w:kern w:val="22"/>
        </w:rPr>
        <w:t>Ливан,</w:t>
      </w:r>
      <w:r w:rsidR="00112C59" w:rsidRPr="00CB248B">
        <w:rPr>
          <w:rStyle w:val="Para1"/>
          <w:snapToGrid/>
          <w:kern w:val="22"/>
        </w:rPr>
        <w:t xml:space="preserve"> Литва, </w:t>
      </w:r>
      <w:r w:rsidRPr="00CB248B">
        <w:rPr>
          <w:rStyle w:val="Para1"/>
          <w:snapToGrid/>
          <w:kern w:val="22"/>
        </w:rPr>
        <w:t xml:space="preserve">Лихтенштейн, </w:t>
      </w:r>
      <w:r w:rsidR="00AB2F54" w:rsidRPr="00CB248B">
        <w:rPr>
          <w:rStyle w:val="Para1"/>
          <w:snapToGrid/>
          <w:kern w:val="22"/>
        </w:rPr>
        <w:t xml:space="preserve">Люксембург, </w:t>
      </w:r>
      <w:r w:rsidR="00290A7B" w:rsidRPr="00CB248B">
        <w:rPr>
          <w:rStyle w:val="Para1"/>
          <w:snapToGrid/>
          <w:kern w:val="22"/>
        </w:rPr>
        <w:t xml:space="preserve">Маврикий, </w:t>
      </w:r>
      <w:r w:rsidRPr="00CB248B">
        <w:rPr>
          <w:rStyle w:val="Para1"/>
          <w:snapToGrid/>
          <w:kern w:val="22"/>
        </w:rPr>
        <w:t xml:space="preserve">Мавритания, </w:t>
      </w:r>
      <w:r w:rsidR="004C244C" w:rsidRPr="00CB248B">
        <w:rPr>
          <w:rStyle w:val="Para1"/>
          <w:snapToGrid/>
          <w:kern w:val="22"/>
        </w:rPr>
        <w:t xml:space="preserve">Мадагаскар, </w:t>
      </w:r>
      <w:r w:rsidRPr="00CB248B">
        <w:rPr>
          <w:rStyle w:val="Para1"/>
          <w:snapToGrid/>
          <w:kern w:val="22"/>
        </w:rPr>
        <w:t xml:space="preserve">Малави, </w:t>
      </w:r>
      <w:r w:rsidR="004C244C" w:rsidRPr="00CB248B">
        <w:rPr>
          <w:rStyle w:val="Para1"/>
          <w:snapToGrid/>
          <w:kern w:val="22"/>
        </w:rPr>
        <w:t xml:space="preserve">Малайзия, </w:t>
      </w:r>
      <w:r w:rsidRPr="00CB248B">
        <w:rPr>
          <w:rStyle w:val="Para1"/>
          <w:snapToGrid/>
          <w:kern w:val="22"/>
        </w:rPr>
        <w:t xml:space="preserve">Мали, Мальдивские Острова, Мальта, </w:t>
      </w:r>
      <w:r w:rsidR="004C244C" w:rsidRPr="00CB248B">
        <w:rPr>
          <w:rStyle w:val="Para1"/>
          <w:snapToGrid/>
          <w:kern w:val="22"/>
        </w:rPr>
        <w:t xml:space="preserve">Марокко, </w:t>
      </w:r>
      <w:r w:rsidR="001F59A2" w:rsidRPr="00CB248B">
        <w:rPr>
          <w:rStyle w:val="Para1"/>
          <w:snapToGrid/>
          <w:kern w:val="22"/>
        </w:rPr>
        <w:t xml:space="preserve">Мексика, </w:t>
      </w:r>
      <w:r w:rsidR="004C244C" w:rsidRPr="00CB248B">
        <w:rPr>
          <w:rStyle w:val="Para1"/>
          <w:snapToGrid/>
          <w:kern w:val="22"/>
        </w:rPr>
        <w:t xml:space="preserve">Мозамбик, </w:t>
      </w:r>
      <w:r w:rsidRPr="00CB248B">
        <w:rPr>
          <w:rStyle w:val="Para1"/>
          <w:snapToGrid/>
          <w:kern w:val="22"/>
        </w:rPr>
        <w:t xml:space="preserve">Монголия, Мьянма, Намибия, </w:t>
      </w:r>
      <w:r w:rsidR="001F59A2" w:rsidRPr="00CB248B">
        <w:rPr>
          <w:rStyle w:val="Para1"/>
          <w:snapToGrid/>
          <w:kern w:val="22"/>
        </w:rPr>
        <w:t xml:space="preserve">Науру, </w:t>
      </w:r>
      <w:r w:rsidRPr="00CB248B">
        <w:rPr>
          <w:rStyle w:val="Para1"/>
          <w:snapToGrid/>
          <w:kern w:val="22"/>
        </w:rPr>
        <w:t xml:space="preserve">Непал, Нигер, Нигерия, Нидерланды, </w:t>
      </w:r>
      <w:r w:rsidR="004C244C" w:rsidRPr="00CB248B">
        <w:rPr>
          <w:rStyle w:val="Para1"/>
          <w:snapToGrid/>
          <w:kern w:val="22"/>
        </w:rPr>
        <w:t xml:space="preserve">Никарагуа, </w:t>
      </w:r>
      <w:r w:rsidRPr="00CB248B">
        <w:rPr>
          <w:rStyle w:val="Para1"/>
          <w:snapToGrid/>
          <w:kern w:val="22"/>
        </w:rPr>
        <w:t xml:space="preserve">Ниуэ, </w:t>
      </w:r>
      <w:r w:rsidR="001F59A2" w:rsidRPr="00CB248B">
        <w:rPr>
          <w:rStyle w:val="Para1"/>
          <w:snapToGrid/>
          <w:kern w:val="22"/>
        </w:rPr>
        <w:t xml:space="preserve">Новая Зеландия, </w:t>
      </w:r>
      <w:r w:rsidR="001F59A2" w:rsidRPr="00CB248B">
        <w:rPr>
          <w:rStyle w:val="Para1"/>
          <w:snapToGrid/>
          <w:kern w:val="22"/>
        </w:rPr>
        <w:lastRenderedPageBreak/>
        <w:t xml:space="preserve">Норвегия, </w:t>
      </w:r>
      <w:r w:rsidRPr="00CB248B">
        <w:rPr>
          <w:rStyle w:val="Para1"/>
          <w:snapToGrid/>
          <w:kern w:val="22"/>
        </w:rPr>
        <w:t xml:space="preserve">Объединенная Республика Танзания, Объединенные Арабские Эмираты, </w:t>
      </w:r>
      <w:r w:rsidR="009549FC" w:rsidRPr="00CB248B">
        <w:rPr>
          <w:rStyle w:val="Para1"/>
          <w:snapToGrid/>
          <w:kern w:val="22"/>
        </w:rPr>
        <w:t xml:space="preserve">Парагвай, </w:t>
      </w:r>
      <w:r w:rsidRPr="00CB248B">
        <w:rPr>
          <w:rStyle w:val="Para1"/>
          <w:snapToGrid/>
          <w:kern w:val="22"/>
        </w:rPr>
        <w:t xml:space="preserve">Перу, </w:t>
      </w:r>
      <w:r w:rsidR="004C244C" w:rsidRPr="00CB248B">
        <w:rPr>
          <w:rStyle w:val="Para1"/>
          <w:snapToGrid/>
          <w:kern w:val="22"/>
        </w:rPr>
        <w:t xml:space="preserve">Польша, </w:t>
      </w:r>
      <w:r w:rsidRPr="00CB248B">
        <w:rPr>
          <w:rStyle w:val="Para1"/>
          <w:snapToGrid/>
          <w:kern w:val="22"/>
        </w:rPr>
        <w:t xml:space="preserve">Республика Корея, Республика Молдова, </w:t>
      </w:r>
      <w:r w:rsidR="001F59A2" w:rsidRPr="00CB248B">
        <w:rPr>
          <w:rStyle w:val="Para1"/>
          <w:snapToGrid/>
          <w:kern w:val="22"/>
        </w:rPr>
        <w:t xml:space="preserve">Российская Федерация, </w:t>
      </w:r>
      <w:r w:rsidR="0055366C" w:rsidRPr="00CB248B">
        <w:rPr>
          <w:rStyle w:val="Para1"/>
          <w:snapToGrid/>
          <w:kern w:val="22"/>
        </w:rPr>
        <w:t xml:space="preserve">Руанда, Румыния, </w:t>
      </w:r>
      <w:r w:rsidRPr="00CB248B">
        <w:rPr>
          <w:rStyle w:val="Para1"/>
          <w:snapToGrid/>
          <w:kern w:val="22"/>
        </w:rPr>
        <w:t xml:space="preserve">Сальвадор, </w:t>
      </w:r>
      <w:r w:rsidR="001F59A2" w:rsidRPr="00CB248B">
        <w:rPr>
          <w:rStyle w:val="Para1"/>
          <w:snapToGrid/>
          <w:kern w:val="22"/>
        </w:rPr>
        <w:t xml:space="preserve">Самоа, </w:t>
      </w:r>
      <w:r w:rsidR="00CF5F7D" w:rsidRPr="00CB248B">
        <w:rPr>
          <w:rStyle w:val="Para1"/>
          <w:snapToGrid/>
          <w:kern w:val="22"/>
        </w:rPr>
        <w:t xml:space="preserve">Сан-Марино, Сан-Томе и Принсипи, </w:t>
      </w:r>
      <w:r w:rsidRPr="00CB248B">
        <w:rPr>
          <w:rStyle w:val="Para1"/>
          <w:snapToGrid/>
          <w:kern w:val="22"/>
        </w:rPr>
        <w:t xml:space="preserve">Сейшельские Острова, </w:t>
      </w:r>
      <w:r w:rsidR="002F2575" w:rsidRPr="00CB248B">
        <w:rPr>
          <w:rStyle w:val="Para1"/>
          <w:snapToGrid/>
          <w:kern w:val="22"/>
        </w:rPr>
        <w:t xml:space="preserve">Свазиленд, </w:t>
      </w:r>
      <w:r w:rsidRPr="00CB248B">
        <w:rPr>
          <w:rStyle w:val="Para1"/>
          <w:snapToGrid/>
          <w:kern w:val="22"/>
        </w:rPr>
        <w:t xml:space="preserve">Сенегал, Сент-Китс и Невис, Сербия, Словакия, Соединенное Королевство Великобритании и Северной Ирландии, </w:t>
      </w:r>
      <w:r w:rsidR="001F59A2" w:rsidRPr="00CB248B">
        <w:rPr>
          <w:rStyle w:val="Para1"/>
          <w:snapToGrid/>
          <w:kern w:val="22"/>
        </w:rPr>
        <w:t xml:space="preserve">Соломоновы Острова, Сомали, </w:t>
      </w:r>
      <w:r w:rsidRPr="00CB248B">
        <w:rPr>
          <w:rStyle w:val="Para1"/>
          <w:snapToGrid/>
          <w:kern w:val="22"/>
        </w:rPr>
        <w:t xml:space="preserve">Судан, Суринам, </w:t>
      </w:r>
      <w:r w:rsidR="00A741FA" w:rsidRPr="00CB248B">
        <w:rPr>
          <w:rStyle w:val="Para1"/>
          <w:snapToGrid/>
          <w:kern w:val="22"/>
        </w:rPr>
        <w:t xml:space="preserve">Сьерра-Леоне, </w:t>
      </w:r>
      <w:r w:rsidR="001F59A2" w:rsidRPr="00CB248B">
        <w:rPr>
          <w:rStyle w:val="Para1"/>
          <w:snapToGrid/>
          <w:kern w:val="22"/>
        </w:rPr>
        <w:t xml:space="preserve">Таджикистан, </w:t>
      </w:r>
      <w:r w:rsidR="00BD2862" w:rsidRPr="00CB248B">
        <w:rPr>
          <w:rStyle w:val="Para1"/>
          <w:snapToGrid/>
          <w:kern w:val="22"/>
        </w:rPr>
        <w:t xml:space="preserve">Тайланд, </w:t>
      </w:r>
      <w:r w:rsidRPr="00CB248B">
        <w:rPr>
          <w:rStyle w:val="Para1"/>
          <w:snapToGrid/>
          <w:kern w:val="22"/>
        </w:rPr>
        <w:t>Тимора-Лешти, Того, Тувалу,</w:t>
      </w:r>
      <w:r w:rsidR="00E974AC" w:rsidRPr="00CB248B">
        <w:rPr>
          <w:rStyle w:val="Para1"/>
          <w:snapToGrid/>
          <w:kern w:val="22"/>
        </w:rPr>
        <w:t xml:space="preserve"> Тунис,</w:t>
      </w:r>
      <w:r w:rsidRPr="00CB248B">
        <w:rPr>
          <w:rStyle w:val="Para1"/>
          <w:snapToGrid/>
          <w:kern w:val="22"/>
        </w:rPr>
        <w:t xml:space="preserve"> Уганда, </w:t>
      </w:r>
      <w:r w:rsidR="001F59A2" w:rsidRPr="00CB248B">
        <w:rPr>
          <w:rStyle w:val="Para1"/>
          <w:snapToGrid/>
          <w:kern w:val="22"/>
        </w:rPr>
        <w:t xml:space="preserve">Украина, </w:t>
      </w:r>
      <w:r w:rsidRPr="00CB248B">
        <w:rPr>
          <w:rStyle w:val="Para1"/>
          <w:snapToGrid/>
          <w:kern w:val="22"/>
        </w:rPr>
        <w:t xml:space="preserve">Уругвай, </w:t>
      </w:r>
      <w:r w:rsidR="001F59A2" w:rsidRPr="00CB248B">
        <w:rPr>
          <w:rStyle w:val="Para1"/>
          <w:snapToGrid/>
          <w:kern w:val="22"/>
        </w:rPr>
        <w:t xml:space="preserve">Филиппины, </w:t>
      </w:r>
      <w:r w:rsidRPr="00CB248B">
        <w:rPr>
          <w:rStyle w:val="Para1"/>
          <w:snapToGrid/>
          <w:kern w:val="22"/>
        </w:rPr>
        <w:t xml:space="preserve">Финляндия, Франция, </w:t>
      </w:r>
      <w:r w:rsidR="00905B0C" w:rsidRPr="00CB248B">
        <w:rPr>
          <w:rStyle w:val="Para1"/>
          <w:snapToGrid/>
          <w:kern w:val="22"/>
        </w:rPr>
        <w:t xml:space="preserve">Чад, </w:t>
      </w:r>
      <w:r w:rsidR="00E542A5" w:rsidRPr="00CB248B">
        <w:rPr>
          <w:rStyle w:val="Para1"/>
          <w:snapToGrid/>
          <w:kern w:val="22"/>
        </w:rPr>
        <w:t xml:space="preserve">Черногория, </w:t>
      </w:r>
      <w:r w:rsidR="001F59A2" w:rsidRPr="00CB248B">
        <w:rPr>
          <w:rStyle w:val="Para1"/>
          <w:snapToGrid/>
          <w:kern w:val="22"/>
        </w:rPr>
        <w:t xml:space="preserve">Чешская Республика, </w:t>
      </w:r>
      <w:r w:rsidR="00802B31" w:rsidRPr="00CB248B">
        <w:rPr>
          <w:rStyle w:val="Para1"/>
          <w:snapToGrid/>
          <w:kern w:val="22"/>
        </w:rPr>
        <w:t xml:space="preserve">Чили, </w:t>
      </w:r>
      <w:r w:rsidRPr="00CB248B">
        <w:rPr>
          <w:rStyle w:val="Para1"/>
          <w:snapToGrid/>
          <w:kern w:val="22"/>
        </w:rPr>
        <w:t>Швейцария,</w:t>
      </w:r>
      <w:r w:rsidR="004C244C" w:rsidRPr="00CB248B">
        <w:rPr>
          <w:rStyle w:val="Para1"/>
          <w:snapToGrid/>
          <w:kern w:val="22"/>
        </w:rPr>
        <w:t xml:space="preserve"> Швеция, </w:t>
      </w:r>
      <w:r w:rsidR="001F59A2" w:rsidRPr="00CB248B">
        <w:rPr>
          <w:rStyle w:val="Para1"/>
          <w:snapToGrid/>
          <w:kern w:val="22"/>
        </w:rPr>
        <w:t xml:space="preserve">Шри-Ланка, </w:t>
      </w:r>
      <w:r w:rsidR="00BD2862" w:rsidRPr="00CB248B">
        <w:rPr>
          <w:rStyle w:val="Para1"/>
          <w:snapToGrid/>
          <w:kern w:val="22"/>
        </w:rPr>
        <w:t xml:space="preserve">Эквадор, </w:t>
      </w:r>
      <w:r w:rsidR="00057E6F" w:rsidRPr="00CB248B">
        <w:rPr>
          <w:rStyle w:val="Para1"/>
          <w:snapToGrid/>
          <w:kern w:val="22"/>
        </w:rPr>
        <w:t xml:space="preserve">Экваториальная Гвинея, </w:t>
      </w:r>
      <w:r w:rsidRPr="00CB248B">
        <w:rPr>
          <w:rStyle w:val="Para1"/>
          <w:snapToGrid/>
          <w:kern w:val="22"/>
        </w:rPr>
        <w:t xml:space="preserve">Эритрея, Эстония, </w:t>
      </w:r>
      <w:r w:rsidR="00905B0C" w:rsidRPr="00CB248B">
        <w:rPr>
          <w:rStyle w:val="Para1"/>
          <w:snapToGrid/>
          <w:kern w:val="22"/>
        </w:rPr>
        <w:t xml:space="preserve">Эфиопия, </w:t>
      </w:r>
      <w:r w:rsidR="004C244C" w:rsidRPr="00CB248B">
        <w:rPr>
          <w:rStyle w:val="Para1"/>
          <w:snapToGrid/>
          <w:kern w:val="22"/>
        </w:rPr>
        <w:t xml:space="preserve">Южная Африка, </w:t>
      </w:r>
      <w:r w:rsidR="00D75F92" w:rsidRPr="00CB248B">
        <w:rPr>
          <w:rStyle w:val="Para1"/>
          <w:snapToGrid/>
          <w:kern w:val="22"/>
        </w:rPr>
        <w:t xml:space="preserve">Ямайка, </w:t>
      </w:r>
      <w:r w:rsidRPr="00CB248B">
        <w:rPr>
          <w:rStyle w:val="Para1"/>
          <w:snapToGrid/>
          <w:kern w:val="22"/>
        </w:rPr>
        <w:t>Япония.</w:t>
      </w:r>
      <w:r w:rsidR="00C33523" w:rsidRPr="00CB248B">
        <w:rPr>
          <w:rStyle w:val="Para1"/>
          <w:snapToGrid/>
          <w:kern w:val="22"/>
        </w:rPr>
        <w:t xml:space="preserve"> </w:t>
      </w:r>
    </w:p>
    <w:p w:rsidR="00660906" w:rsidRPr="00C951CE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spacing w:after="80"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>Проводился обзор каждого НСПДСБ и национальные целевые задачи или аналогичные обязательства соотносились с целевыми задачами по сохранению и устойчивому использованию биоразнообразия, принятыми в Айти</w:t>
      </w:r>
      <w:r w:rsidR="007734D8" w:rsidRPr="00ED4796">
        <w:rPr>
          <w:rStyle w:val="FootnoteReference"/>
          <w:snapToGrid/>
          <w:sz w:val="16"/>
          <w:szCs w:val="16"/>
          <w:u w:val="none"/>
          <w:vertAlign w:val="superscript"/>
        </w:rPr>
        <w:footnoteReference w:id="7"/>
      </w:r>
      <w:r w:rsidRPr="00690DD5">
        <w:rPr>
          <w:rStyle w:val="Para1"/>
          <w:snapToGrid/>
          <w:kern w:val="22"/>
        </w:rPr>
        <w:t xml:space="preserve">. </w:t>
      </w:r>
      <w:r w:rsidR="00C951CE">
        <w:rPr>
          <w:rStyle w:val="Para1"/>
          <w:snapToGrid/>
          <w:kern w:val="22"/>
        </w:rPr>
        <w:t xml:space="preserve">В целом </w:t>
      </w:r>
      <w:r w:rsidRPr="00690DD5">
        <w:rPr>
          <w:rStyle w:val="Para1"/>
          <w:snapToGrid/>
          <w:kern w:val="22"/>
        </w:rPr>
        <w:t>4</w:t>
      </w:r>
      <w:r w:rsidR="004C0DB8">
        <w:rPr>
          <w:rStyle w:val="Para1"/>
          <w:snapToGrid/>
          <w:kern w:val="22"/>
        </w:rPr>
        <w:t>8</w:t>
      </w:r>
      <w:r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Сторон, которые представили обновленные НСПДСБ, провели сопоставление своих национальных целевых задач (или аналогичных обязательств) с </w:t>
      </w:r>
      <w:r w:rsidRPr="00C951CE">
        <w:rPr>
          <w:rStyle w:val="Para1"/>
          <w:snapToGrid/>
          <w:kern w:val="22"/>
        </w:rPr>
        <w:t xml:space="preserve">целевыми задачами по сохранению и устойчивому использованию биоразнообразия, принятыми в Айти, либо непосредственно в своих НСПДСБ, либо в своих национальных докладах. Если такое сопоставление проводилось, его использовали в настоящей оценке. В тех случаях, когда такое сопоставление не проводилось, секретариат </w:t>
      </w:r>
      <w:r w:rsidR="00F017CC" w:rsidRPr="00C951CE">
        <w:rPr>
          <w:rStyle w:val="Para1"/>
          <w:snapToGrid/>
          <w:kern w:val="22"/>
        </w:rPr>
        <w:t>со</w:t>
      </w:r>
      <w:r w:rsidRPr="00C951CE">
        <w:rPr>
          <w:rStyle w:val="Para1"/>
          <w:snapToGrid/>
          <w:kern w:val="22"/>
        </w:rPr>
        <w:t xml:space="preserve">относил каждую национальную целевую задачу </w:t>
      </w:r>
      <w:r w:rsidR="00F017CC" w:rsidRPr="00C951CE">
        <w:rPr>
          <w:rStyle w:val="Para1"/>
          <w:snapToGrid/>
          <w:kern w:val="22"/>
        </w:rPr>
        <w:t>с</w:t>
      </w:r>
      <w:r w:rsidRPr="00C951CE">
        <w:rPr>
          <w:rStyle w:val="Para1"/>
          <w:snapToGrid/>
          <w:kern w:val="22"/>
        </w:rPr>
        <w:t xml:space="preserve"> наиболее близкой </w:t>
      </w:r>
      <w:r w:rsidR="00F017CC" w:rsidRPr="00C951CE">
        <w:rPr>
          <w:rStyle w:val="Para1"/>
          <w:snapToGrid/>
          <w:kern w:val="22"/>
        </w:rPr>
        <w:t>связанной</w:t>
      </w:r>
      <w:r w:rsidRPr="00C951CE">
        <w:rPr>
          <w:rStyle w:val="Para1"/>
          <w:snapToGrid/>
          <w:kern w:val="22"/>
        </w:rPr>
        <w:t xml:space="preserve"> целевой задаче</w:t>
      </w:r>
      <w:r w:rsidR="00F017CC" w:rsidRPr="00C951CE">
        <w:rPr>
          <w:rStyle w:val="Para1"/>
          <w:snapToGrid/>
          <w:kern w:val="22"/>
        </w:rPr>
        <w:t>й</w:t>
      </w:r>
      <w:r w:rsidRPr="00C951CE">
        <w:rPr>
          <w:rStyle w:val="Para1"/>
          <w:snapToGrid/>
          <w:kern w:val="22"/>
        </w:rPr>
        <w:t xml:space="preserve"> по сохранению и устойчивому использованию биоразнообразия, принятой в Айти. В ситуациях, когда та или иная национальная целевая задача затрагивала сразу несколько целевых задач по сохранению и устойчивому использованию биоразнообразия, принятых в Айти, это также рассматривалось в ходе оценки с </w:t>
      </w:r>
      <w:r w:rsidR="00F017CC" w:rsidRPr="00C951CE">
        <w:rPr>
          <w:rStyle w:val="Para1"/>
          <w:snapToGrid/>
          <w:kern w:val="22"/>
        </w:rPr>
        <w:t>со</w:t>
      </w:r>
      <w:r w:rsidRPr="00C951CE">
        <w:rPr>
          <w:rStyle w:val="Para1"/>
          <w:snapToGrid/>
          <w:kern w:val="22"/>
        </w:rPr>
        <w:t>отнесением такой национальной целевой задачи к нескольким целевым задачам по сохранению и устойчивому использованию биоразнообразия, принятым в Айти. Национальные целевые задачи или аналогичные обязательства (например, национальные приоритеты, стратегии</w:t>
      </w:r>
      <w:r w:rsidR="004C0DB8" w:rsidRPr="00C951CE">
        <w:rPr>
          <w:rStyle w:val="Para1"/>
          <w:snapToGrid/>
          <w:kern w:val="22"/>
        </w:rPr>
        <w:t>, цели</w:t>
      </w:r>
      <w:r w:rsidRPr="00C951CE">
        <w:rPr>
          <w:rStyle w:val="Para1"/>
          <w:snapToGrid/>
          <w:kern w:val="22"/>
        </w:rPr>
        <w:t xml:space="preserve"> или проекты) затем оценивались с точки зрения охвата и уровня амбициозности, установленных в целевых задачах по сохранению и устойчивому использованию биоразнообразия, принятых в Айти. Кроме того, рассматривали любые связанные с ними мероприятия, промежуточные целевые задачи, конкретные целевые задачи для биома или экосистемы, связанные с национальной целевой задачей. Целевые задачи и аналогичные обязательства по каждому НСПДСБ затем относили к одной из </w:t>
      </w:r>
      <w:r w:rsidR="001A07AA" w:rsidRPr="00C951CE">
        <w:rPr>
          <w:rStyle w:val="Para1"/>
          <w:snapToGrid/>
          <w:kern w:val="22"/>
        </w:rPr>
        <w:t>четырех к</w:t>
      </w:r>
      <w:r w:rsidRPr="00C951CE">
        <w:rPr>
          <w:rStyle w:val="Para1"/>
          <w:snapToGrid/>
          <w:kern w:val="22"/>
        </w:rPr>
        <w:t>атегорий:</w:t>
      </w:r>
    </w:p>
    <w:p w:rsidR="00FD0B4D" w:rsidRPr="00C951CE" w:rsidRDefault="00FD0B4D" w:rsidP="00FD0B4D">
      <w:pPr>
        <w:pStyle w:val="Para1"/>
        <w:numPr>
          <w:ilvl w:val="1"/>
          <w:numId w:val="13"/>
        </w:numPr>
        <w:suppressLineNumbers/>
        <w:suppressAutoHyphens/>
        <w:spacing w:after="80"/>
        <w:rPr>
          <w:rFonts w:eastAsia="Malgun Gothic" w:cs="Times New Roman"/>
          <w:kern w:val="22"/>
          <w:szCs w:val="22"/>
        </w:rPr>
      </w:pPr>
      <w:r w:rsidRPr="00C951CE">
        <w:rPr>
          <w:rStyle w:val="Para1"/>
          <w:i/>
          <w:snapToGrid/>
        </w:rPr>
        <w:t>национальная целевая задача превосходит охват и уровень амбициозности целевой задачи по сохранению и устойчивому использованию биоразнообразия, принятой в Айти</w:t>
      </w:r>
      <w:r w:rsidR="008B4FCC" w:rsidRPr="00C951CE">
        <w:rPr>
          <w:rStyle w:val="Para1"/>
          <w:i/>
          <w:snapToGrid/>
        </w:rPr>
        <w:t>.</w:t>
      </w:r>
      <w:r w:rsidR="00850F02" w:rsidRPr="00C951CE">
        <w:rPr>
          <w:rStyle w:val="Para1"/>
          <w:i/>
          <w:snapToGrid/>
        </w:rPr>
        <w:t xml:space="preserve"> </w:t>
      </w:r>
      <w:r w:rsidRPr="00C951CE">
        <w:rPr>
          <w:rStyle w:val="Para1"/>
          <w:snapToGrid/>
        </w:rPr>
        <w:t>Данная категория указывает, что национальная целевая задача или аналогичное обязательство отличается более высоким уровнем амбициозности по сравнению с целевой задачей по сохранению и устойчивому использованию биоразнообразия, принятой в Айти. Это может быть связано с тем, что целевая задача отличается более высокими количественными пороговыми уровнями или включает обязательства, которые превосходят установленные в целевых задачах по сохранению и устойчивому использованию биоразнообразия, принятых в Айти;</w:t>
      </w:r>
    </w:p>
    <w:p w:rsidR="00FD0B4D" w:rsidRPr="00C951CE" w:rsidRDefault="00FD0B4D" w:rsidP="00660906">
      <w:pPr>
        <w:pStyle w:val="Para1"/>
        <w:numPr>
          <w:ilvl w:val="1"/>
          <w:numId w:val="13"/>
        </w:numPr>
        <w:suppressLineNumbers/>
        <w:suppressAutoHyphens/>
        <w:spacing w:after="80"/>
        <w:rPr>
          <w:rFonts w:eastAsia="Malgun Gothic" w:cs="Times New Roman"/>
          <w:kern w:val="22"/>
          <w:szCs w:val="22"/>
        </w:rPr>
      </w:pPr>
      <w:r w:rsidRPr="00C951CE">
        <w:rPr>
          <w:rStyle w:val="Para1"/>
          <w:i/>
          <w:snapToGrid/>
        </w:rPr>
        <w:t>национальная целевая задача соответствует целевой задаче по сохранению и устойчивому использованию биоразнообразия, принятой в Айти</w:t>
      </w:r>
      <w:r w:rsidR="008B4FCC" w:rsidRPr="00C951CE">
        <w:rPr>
          <w:rStyle w:val="Para1"/>
          <w:i/>
          <w:snapToGrid/>
        </w:rPr>
        <w:t>.</w:t>
      </w:r>
      <w:r w:rsidR="00850F02" w:rsidRPr="00C951CE">
        <w:rPr>
          <w:rStyle w:val="Para1"/>
          <w:i/>
          <w:snapToGrid/>
        </w:rPr>
        <w:t xml:space="preserve"> </w:t>
      </w:r>
      <w:r w:rsidRPr="00C951CE">
        <w:rPr>
          <w:rStyle w:val="Para1"/>
          <w:snapToGrid/>
        </w:rPr>
        <w:t>Данная категория указывает, что национальная целевая задача или аналогичное обязательство по своему охвату и уровню амбициозности в целом эквивалентны целевой задаче, принятой в Айти</w:t>
      </w:r>
      <w:r w:rsidRPr="00C951CE">
        <w:rPr>
          <w:rStyle w:val="Para1"/>
          <w:i/>
          <w:snapToGrid/>
        </w:rPr>
        <w:t>;</w:t>
      </w:r>
    </w:p>
    <w:p w:rsidR="00660906" w:rsidRPr="00C951CE" w:rsidRDefault="00FD0B4D" w:rsidP="00FD0B4D">
      <w:pPr>
        <w:pStyle w:val="Para1"/>
        <w:numPr>
          <w:ilvl w:val="1"/>
          <w:numId w:val="13"/>
        </w:numPr>
        <w:suppressLineNumbers/>
        <w:suppressAutoHyphens/>
        <w:spacing w:after="80"/>
        <w:rPr>
          <w:rStyle w:val="Para1"/>
          <w:snapToGrid/>
        </w:rPr>
      </w:pPr>
      <w:r w:rsidRPr="00C951CE">
        <w:rPr>
          <w:rStyle w:val="Para1"/>
          <w:i/>
          <w:snapToGrid/>
        </w:rPr>
        <w:t>национальная целевая задача менее амбициозна, чем целевая задача, принятая в Айти, или не затрагивает всех ее элементов</w:t>
      </w:r>
      <w:r w:rsidR="008B4FCC" w:rsidRPr="00C951CE">
        <w:rPr>
          <w:rStyle w:val="Para1"/>
          <w:i/>
          <w:snapToGrid/>
        </w:rPr>
        <w:t>.</w:t>
      </w:r>
      <w:r w:rsidRPr="00C951CE">
        <w:rPr>
          <w:rStyle w:val="Para1"/>
          <w:snapToGrid/>
          <w:cs/>
        </w:rPr>
        <w:t xml:space="preserve"> </w:t>
      </w:r>
      <w:r w:rsidRPr="00C951CE">
        <w:rPr>
          <w:rStyle w:val="Para1"/>
          <w:snapToGrid/>
        </w:rPr>
        <w:t xml:space="preserve">Данная категория указывает, что национальная задача по некоторым аспектам отличается более низким пороговым уровнем или недостаточно четко затрагивает все элементы целевой задачи, принятой в Айти. Сюда относятся целевые задачи с гораздо более низким пороговым уровнем по сравнению с целевыми задачами по сохранению и устойчивому использованию биоразнообразия, принятыми в Айти, а также целевые задачи, </w:t>
      </w:r>
      <w:r w:rsidRPr="00C951CE">
        <w:rPr>
          <w:rStyle w:val="Para1"/>
          <w:snapToGrid/>
        </w:rPr>
        <w:lastRenderedPageBreak/>
        <w:t>которые Сторона соотнесла с той или иной целевой задачей, принятой в Айти, но для которых отсутствует четкая взаимосвязь между ними;</w:t>
      </w:r>
    </w:p>
    <w:p w:rsidR="00FD0B4D" w:rsidRPr="00C951CE" w:rsidRDefault="00FD0B4D" w:rsidP="00FD0B4D">
      <w:pPr>
        <w:pStyle w:val="Para1"/>
        <w:numPr>
          <w:ilvl w:val="1"/>
          <w:numId w:val="13"/>
        </w:numPr>
        <w:suppressLineNumbers/>
        <w:suppressAutoHyphens/>
        <w:rPr>
          <w:rFonts w:eastAsia="Malgun Gothic" w:cs="Times New Roman"/>
          <w:kern w:val="22"/>
          <w:szCs w:val="22"/>
        </w:rPr>
      </w:pPr>
      <w:r w:rsidRPr="00C951CE">
        <w:rPr>
          <w:rStyle w:val="Para1"/>
          <w:i/>
          <w:snapToGrid/>
        </w:rPr>
        <w:t>национальная задача отсутствует</w:t>
      </w:r>
      <w:r w:rsidR="008B4FCC" w:rsidRPr="00C951CE">
        <w:rPr>
          <w:rStyle w:val="Para1"/>
          <w:i/>
          <w:snapToGrid/>
        </w:rPr>
        <w:t>.</w:t>
      </w:r>
      <w:r w:rsidRPr="00C951CE">
        <w:rPr>
          <w:rStyle w:val="Para1"/>
          <w:snapToGrid/>
          <w:cs/>
        </w:rPr>
        <w:t xml:space="preserve"> </w:t>
      </w:r>
      <w:r w:rsidRPr="00C951CE">
        <w:rPr>
          <w:rStyle w:val="Para1"/>
          <w:snapToGrid/>
        </w:rPr>
        <w:t>НСПДСБ не содержит целевой задачи или аналогичного обязательства, связанных с целевыми задачами по сохранению и устойчивому использованию биоразнообразия, принятыми в Айти.</w:t>
      </w:r>
    </w:p>
    <w:p w:rsidR="00660906" w:rsidRPr="00690DD5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>Важно отметить, что такая оценка проводилась с учетом охвата и уровня амбициозности национальной целевой задачи по сравнению с целевой задачей, принятой в Айти. В ходе оценки не рассматривались национальные обстоятельства той или иной страны. Поэтому некоторые целевые задачи, которые при сопоставлении с целевой задачей, принятой в Айти, оказывались ниже по уровню целевой задачи, принятой в Айти, тем не менее могли быть достаточно амбициозными в свете отправной точки той или иной страны. По этой причине такая оценка не может быть использован</w:t>
      </w:r>
      <w:r w:rsidR="004C0774">
        <w:rPr>
          <w:rStyle w:val="Para1"/>
          <w:snapToGrid/>
          <w:kern w:val="22"/>
        </w:rPr>
        <w:t>а</w:t>
      </w:r>
      <w:r w:rsidRPr="00690DD5">
        <w:rPr>
          <w:rStyle w:val="Para1"/>
          <w:snapToGrid/>
          <w:kern w:val="22"/>
        </w:rPr>
        <w:t xml:space="preserve"> для проведения сопоставлений между странами, а, скорее, только как основа для обсуждения глобальных результатов </w:t>
      </w:r>
      <w:r w:rsidR="00A06FA5" w:rsidRPr="00690DD5">
        <w:rPr>
          <w:rStyle w:val="Para1"/>
          <w:snapToGrid/>
          <w:kern w:val="22"/>
        </w:rPr>
        <w:t>выполнения</w:t>
      </w:r>
      <w:r w:rsidRPr="00690DD5">
        <w:rPr>
          <w:rStyle w:val="Para1"/>
          <w:snapToGrid/>
          <w:kern w:val="22"/>
        </w:rPr>
        <w:t xml:space="preserve"> целевых задач по сохранению и устойчивому использованию биоразнообразия, принятых в Айти.</w:t>
      </w:r>
    </w:p>
    <w:p w:rsidR="00FD0B4D" w:rsidRPr="00690DD5" w:rsidRDefault="00F017CC" w:rsidP="00660906">
      <w:pPr>
        <w:keepNext/>
        <w:keepLines/>
        <w:spacing w:after="120"/>
        <w:jc w:val="center"/>
        <w:rPr>
          <w:rFonts w:cs="Times New Roman"/>
          <w:bCs/>
        </w:rPr>
      </w:pPr>
      <w:r w:rsidRPr="00690DD5">
        <w:rPr>
          <w:rFonts w:cs="Times New Roman"/>
          <w:b/>
          <w:bCs/>
        </w:rPr>
        <w:t>B.</w:t>
      </w:r>
      <w:r w:rsidRPr="00690DD5">
        <w:rPr>
          <w:rFonts w:cs="Times New Roman"/>
          <w:b/>
          <w:bCs/>
        </w:rPr>
        <w:tab/>
      </w:r>
      <w:r w:rsidR="00FD0B4D" w:rsidRPr="00690DD5">
        <w:rPr>
          <w:rStyle w:val="Normal"/>
          <w:b/>
        </w:rPr>
        <w:t>Пятые национальные доклады</w:t>
      </w:r>
    </w:p>
    <w:p w:rsidR="00660906" w:rsidRPr="00690DD5" w:rsidRDefault="00FD0B4D" w:rsidP="00660906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 xml:space="preserve">В ходе </w:t>
      </w:r>
      <w:r w:rsidR="00F25F08">
        <w:rPr>
          <w:rStyle w:val="Para1"/>
          <w:snapToGrid/>
          <w:kern w:val="22"/>
        </w:rPr>
        <w:t xml:space="preserve">данного анализа </w:t>
      </w:r>
      <w:r w:rsidR="00C83C93">
        <w:rPr>
          <w:rStyle w:val="Para1"/>
          <w:snapToGrid/>
          <w:kern w:val="22"/>
        </w:rPr>
        <w:t xml:space="preserve">был </w:t>
      </w:r>
      <w:r w:rsidRPr="00690DD5">
        <w:rPr>
          <w:rStyle w:val="Para1"/>
          <w:snapToGrid/>
          <w:kern w:val="22"/>
        </w:rPr>
        <w:t>рассм</w:t>
      </w:r>
      <w:r w:rsidR="00C951CE">
        <w:rPr>
          <w:rStyle w:val="Para1"/>
          <w:snapToGrid/>
          <w:kern w:val="22"/>
        </w:rPr>
        <w:t>о</w:t>
      </w:r>
      <w:r w:rsidRPr="00690DD5">
        <w:rPr>
          <w:rStyle w:val="Para1"/>
          <w:snapToGrid/>
          <w:kern w:val="22"/>
        </w:rPr>
        <w:t>тр</w:t>
      </w:r>
      <w:r w:rsidR="00C83C93">
        <w:rPr>
          <w:rStyle w:val="Para1"/>
          <w:snapToGrid/>
          <w:kern w:val="22"/>
        </w:rPr>
        <w:t xml:space="preserve">ен </w:t>
      </w:r>
      <w:r w:rsidRPr="00690DD5">
        <w:rPr>
          <w:rStyle w:val="Para1"/>
          <w:snapToGrid/>
          <w:kern w:val="22"/>
        </w:rPr>
        <w:t>1</w:t>
      </w:r>
      <w:r w:rsidR="00276966">
        <w:rPr>
          <w:rStyle w:val="Para1"/>
          <w:snapToGrid/>
          <w:kern w:val="22"/>
        </w:rPr>
        <w:t>9</w:t>
      </w:r>
      <w:r w:rsidR="00F94C1C" w:rsidRPr="00F94C1C">
        <w:rPr>
          <w:rStyle w:val="Para1"/>
          <w:snapToGrid/>
          <w:kern w:val="22"/>
        </w:rPr>
        <w:t>1</w:t>
      </w:r>
      <w:r w:rsidRPr="00690DD5">
        <w:rPr>
          <w:rStyle w:val="Para1"/>
          <w:snapToGrid/>
          <w:kern w:val="22"/>
        </w:rPr>
        <w:t xml:space="preserve"> пяты</w:t>
      </w:r>
      <w:r w:rsidR="00F94C1C">
        <w:rPr>
          <w:rStyle w:val="Para1"/>
          <w:snapToGrid/>
          <w:kern w:val="22"/>
        </w:rPr>
        <w:t>й</w:t>
      </w:r>
      <w:r w:rsidRPr="00690DD5">
        <w:rPr>
          <w:rStyle w:val="Para1"/>
          <w:snapToGrid/>
          <w:kern w:val="22"/>
        </w:rPr>
        <w:t xml:space="preserve"> национальны</w:t>
      </w:r>
      <w:r w:rsidR="00F94C1C">
        <w:rPr>
          <w:rStyle w:val="Para1"/>
          <w:snapToGrid/>
          <w:kern w:val="22"/>
        </w:rPr>
        <w:t>й</w:t>
      </w:r>
      <w:r w:rsidRPr="00690DD5">
        <w:rPr>
          <w:rStyle w:val="Para1"/>
          <w:snapToGrid/>
          <w:kern w:val="22"/>
        </w:rPr>
        <w:t xml:space="preserve"> доклад</w:t>
      </w:r>
      <w:r w:rsidR="00660906" w:rsidRPr="00690DD5">
        <w:rPr>
          <w:rStyle w:val="FootnoteReference"/>
          <w:kern w:val="22"/>
          <w:u w:val="none"/>
          <w:vertAlign w:val="superscript"/>
        </w:rPr>
        <w:footnoteReference w:id="8"/>
      </w:r>
      <w:r w:rsidRPr="00690DD5">
        <w:rPr>
          <w:rStyle w:val="Para1"/>
          <w:snapToGrid/>
          <w:kern w:val="22"/>
        </w:rPr>
        <w:t>.</w:t>
      </w:r>
      <w:r w:rsidRPr="00690DD5">
        <w:rPr>
          <w:rStyle w:val="Para1"/>
          <w:snapToGrid/>
          <w:kern w:val="22"/>
          <w:vertAlign w:val="superscript"/>
        </w:rPr>
        <w:t xml:space="preserve"> </w:t>
      </w:r>
      <w:r w:rsidRPr="00690DD5">
        <w:rPr>
          <w:rStyle w:val="Para1"/>
          <w:snapToGrid/>
          <w:kern w:val="22"/>
        </w:rPr>
        <w:t xml:space="preserve">Информация о положении дел, тенденциях и нагрузках на биоразнообразие, а также информация о различных мерах, о принятии которых сообщили страны, или которые будут приняты в ближайшем будущем, использовалась для отнесения национальных результатов </w:t>
      </w:r>
      <w:r w:rsidR="00A06FA5" w:rsidRPr="00690DD5">
        <w:rPr>
          <w:rStyle w:val="Para1"/>
          <w:snapToGrid/>
          <w:kern w:val="22"/>
        </w:rPr>
        <w:t>выполнения</w:t>
      </w:r>
      <w:r w:rsidRPr="00690DD5">
        <w:rPr>
          <w:rStyle w:val="Para1"/>
          <w:snapToGrid/>
          <w:kern w:val="22"/>
        </w:rPr>
        <w:t xml:space="preserve"> каждой и</w:t>
      </w:r>
      <w:r w:rsidR="00323394">
        <w:rPr>
          <w:rStyle w:val="Para1"/>
          <w:snapToGrid/>
          <w:kern w:val="22"/>
        </w:rPr>
        <w:t>з</w:t>
      </w:r>
      <w:r w:rsidRPr="00690DD5">
        <w:rPr>
          <w:rStyle w:val="Para1"/>
          <w:snapToGrid/>
          <w:kern w:val="22"/>
        </w:rPr>
        <w:t xml:space="preserve"> целевых задач, принятых в Айти, к одной из шести категорий.</w:t>
      </w:r>
    </w:p>
    <w:p w:rsidR="00FD0B4D" w:rsidRPr="00690DD5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 w:rsidRPr="00690DD5">
        <w:rPr>
          <w:rStyle w:val="Para1"/>
          <w:snapToGrid/>
          <w:kern w:val="22"/>
        </w:rPr>
        <w:t>Примерно 4</w:t>
      </w:r>
      <w:r w:rsidR="0089095C">
        <w:rPr>
          <w:rStyle w:val="Para1"/>
          <w:snapToGrid/>
          <w:kern w:val="22"/>
        </w:rPr>
        <w:t>6</w:t>
      </w:r>
      <w:r w:rsidR="008B4FCC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национальных докладов содержали четкую оценку результатов </w:t>
      </w:r>
      <w:r w:rsidR="00A06FA5" w:rsidRPr="00690DD5">
        <w:rPr>
          <w:rStyle w:val="Para1"/>
          <w:snapToGrid/>
          <w:kern w:val="22"/>
        </w:rPr>
        <w:t>выполнения</w:t>
      </w:r>
      <w:r w:rsidRPr="00690DD5">
        <w:rPr>
          <w:rStyle w:val="Para1"/>
          <w:snapToGrid/>
          <w:kern w:val="22"/>
        </w:rPr>
        <w:t xml:space="preserve"> целевых задач, принятых в Айти. В этом случае страновая оценка использовалась, но выделялась в одну из шести категорий с тем</w:t>
      </w:r>
      <w:r w:rsidR="00A972B1">
        <w:rPr>
          <w:rStyle w:val="Para1"/>
          <w:snapToGrid/>
          <w:kern w:val="22"/>
        </w:rPr>
        <w:t>, ч</w:t>
      </w:r>
      <w:r w:rsidRPr="00690DD5">
        <w:rPr>
          <w:rStyle w:val="Para1"/>
          <w:snapToGrid/>
          <w:kern w:val="22"/>
        </w:rPr>
        <w:t xml:space="preserve">тобы обеспечить возможность агрегирования информации из всех национальных докладов в одну глобальную картину результатов </w:t>
      </w:r>
      <w:r w:rsidR="00A06FA5" w:rsidRPr="00690DD5">
        <w:rPr>
          <w:rStyle w:val="Para1"/>
          <w:snapToGrid/>
          <w:kern w:val="22"/>
        </w:rPr>
        <w:t>выполнения</w:t>
      </w:r>
      <w:r w:rsidRPr="00690DD5">
        <w:rPr>
          <w:rStyle w:val="Para1"/>
          <w:snapToGrid/>
          <w:kern w:val="22"/>
        </w:rPr>
        <w:t xml:space="preserve"> целевых задач по сохранению и устойчивому использованию биоразнообразия, принятых в Айти. В тех случаях, когда такие оценки результатов </w:t>
      </w:r>
      <w:r w:rsidR="00A06FA5" w:rsidRPr="00690DD5">
        <w:rPr>
          <w:rStyle w:val="Para1"/>
          <w:snapToGrid/>
          <w:kern w:val="22"/>
        </w:rPr>
        <w:t>выполнения</w:t>
      </w:r>
      <w:r w:rsidRPr="00690DD5">
        <w:rPr>
          <w:rStyle w:val="Para1"/>
          <w:snapToGrid/>
          <w:kern w:val="22"/>
        </w:rPr>
        <w:t xml:space="preserve"> не проводились, оценка осуществлялась секретариатом</w:t>
      </w:r>
      <w:r w:rsidR="00496039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в соответствии с приведенными выше принципами.</w:t>
      </w:r>
    </w:p>
    <w:p w:rsidR="00FD0B4D" w:rsidRPr="00690DD5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spacing w:after="80"/>
        <w:rPr>
          <w:rFonts w:eastAsia="Malgun Gothic" w:cs="Times New Roman"/>
          <w:kern w:val="22"/>
          <w:szCs w:val="22"/>
        </w:rPr>
      </w:pPr>
      <w:r w:rsidRPr="00690DD5">
        <w:rPr>
          <w:rStyle w:val="Para1"/>
          <w:snapToGrid/>
          <w:kern w:val="22"/>
        </w:rPr>
        <w:t xml:space="preserve">Ниже перечислены шесть категорий, использованных в ходе оценки, которые соответствуют применявшимся в четвертом издании </w:t>
      </w:r>
      <w:r w:rsidR="00404FF5" w:rsidRPr="00690DD5">
        <w:rPr>
          <w:rStyle w:val="Para1"/>
          <w:snapToGrid/>
          <w:kern w:val="22"/>
        </w:rPr>
        <w:t>"</w:t>
      </w:r>
      <w:r w:rsidRPr="00690DD5">
        <w:rPr>
          <w:rStyle w:val="Para1"/>
          <w:iCs/>
          <w:snapToGrid/>
          <w:kern w:val="22"/>
        </w:rPr>
        <w:t>Глобальной перспективы в области биоразнообразия</w:t>
      </w:r>
      <w:r w:rsidR="00404FF5" w:rsidRPr="00690DD5">
        <w:rPr>
          <w:rStyle w:val="Para1"/>
          <w:iCs/>
          <w:snapToGrid/>
          <w:kern w:val="22"/>
        </w:rPr>
        <w:t>"</w:t>
      </w:r>
      <w:r w:rsidRPr="00690DD5">
        <w:rPr>
          <w:rStyle w:val="Para1"/>
          <w:snapToGrid/>
        </w:rPr>
        <w:t>:</w:t>
      </w:r>
    </w:p>
    <w:p w:rsidR="00660906" w:rsidRPr="00690DD5" w:rsidRDefault="00FD0B4D" w:rsidP="00FD0B4D">
      <w:pPr>
        <w:pStyle w:val="Para1"/>
        <w:numPr>
          <w:ilvl w:val="1"/>
          <w:numId w:val="13"/>
        </w:numPr>
        <w:suppressLineNumbers/>
        <w:suppressAutoHyphens/>
        <w:spacing w:after="80"/>
        <w:rPr>
          <w:rStyle w:val="Para1"/>
          <w:snapToGrid/>
        </w:rPr>
      </w:pPr>
      <w:r w:rsidRPr="00690DD5">
        <w:rPr>
          <w:rStyle w:val="Para1"/>
          <w:i/>
          <w:snapToGrid/>
        </w:rPr>
        <w:t xml:space="preserve">курс на перевыполнение </w:t>
      </w:r>
      <w:r w:rsidR="00CC674F" w:rsidRPr="00690DD5">
        <w:rPr>
          <w:rStyle w:val="Para1"/>
          <w:i/>
          <w:snapToGrid/>
        </w:rPr>
        <w:t>целевой задачи.</w:t>
      </w:r>
      <w:r w:rsidR="00850F02">
        <w:rPr>
          <w:rStyle w:val="Para1"/>
          <w:i/>
          <w:snapToGrid/>
        </w:rPr>
        <w:t xml:space="preserve"> </w:t>
      </w:r>
      <w:r w:rsidR="00CC674F" w:rsidRPr="00690DD5">
        <w:rPr>
          <w:rStyle w:val="Para1"/>
          <w:snapToGrid/>
        </w:rPr>
        <w:t>Ц</w:t>
      </w:r>
      <w:r w:rsidR="005260DF" w:rsidRPr="00690DD5">
        <w:rPr>
          <w:rStyle w:val="Para1"/>
          <w:snapToGrid/>
        </w:rPr>
        <w:t>еле</w:t>
      </w:r>
      <w:r w:rsidRPr="00690DD5">
        <w:rPr>
          <w:rStyle w:val="Para1"/>
          <w:snapToGrid/>
        </w:rPr>
        <w:t>вая задача с такой оценкой указывает на то, что принятые меры на национальном уровне позволят превысить критерии/предельные значения, установленные в данной целевой задаче.</w:t>
      </w:r>
      <w:r w:rsidR="00660906" w:rsidRPr="00690DD5">
        <w:rPr>
          <w:rStyle w:val="Para1"/>
          <w:snapToGrid/>
        </w:rPr>
        <w:t xml:space="preserve"> </w:t>
      </w:r>
      <w:r w:rsidRPr="00690DD5">
        <w:rPr>
          <w:rStyle w:val="Para1"/>
          <w:snapToGrid/>
        </w:rPr>
        <w:t>В случае целевых задач с количественными элементами это будет означать, что установленное предельное значение будет превышено. В случае качественных целей это будет означать фактическое или предполагаемое перевыполнение различных мероприятий или условий, обязательных для соблюдения;</w:t>
      </w:r>
    </w:p>
    <w:p w:rsidR="00660906" w:rsidRPr="00690DD5" w:rsidRDefault="00FD0B4D" w:rsidP="00FD0B4D">
      <w:pPr>
        <w:pStyle w:val="Para1"/>
        <w:numPr>
          <w:ilvl w:val="1"/>
          <w:numId w:val="13"/>
        </w:numPr>
        <w:suppressLineNumbers/>
        <w:suppressAutoHyphens/>
        <w:spacing w:after="80"/>
        <w:rPr>
          <w:rStyle w:val="Para1"/>
          <w:snapToGrid/>
        </w:rPr>
      </w:pPr>
      <w:r w:rsidRPr="00690DD5">
        <w:rPr>
          <w:rStyle w:val="Para1"/>
          <w:i/>
          <w:snapToGrid/>
        </w:rPr>
        <w:t>соответствует темпам выполнения целевой задачи</w:t>
      </w:r>
      <w:r w:rsidR="00CC674F" w:rsidRPr="00690DD5">
        <w:rPr>
          <w:rStyle w:val="Para1"/>
          <w:i/>
          <w:snapToGrid/>
        </w:rPr>
        <w:t>.</w:t>
      </w:r>
      <w:r w:rsidR="00850F02">
        <w:rPr>
          <w:rStyle w:val="Para1"/>
          <w:i/>
          <w:snapToGrid/>
        </w:rPr>
        <w:t xml:space="preserve"> </w:t>
      </w:r>
      <w:r w:rsidRPr="00690DD5">
        <w:rPr>
          <w:rStyle w:val="Para1"/>
          <w:snapToGrid/>
        </w:rPr>
        <w:t>Данная категория указывает, что принятые меры и текущее положение дел по аспектам, рассматриваемым в целевой задаче, указывают на то, что целевая задача будет выполнена в соответствии со сроками для данной целевой задачи;</w:t>
      </w:r>
    </w:p>
    <w:p w:rsidR="00660906" w:rsidRPr="00690DD5" w:rsidRDefault="00FD0B4D" w:rsidP="00FD0B4D">
      <w:pPr>
        <w:pStyle w:val="Para1"/>
        <w:numPr>
          <w:ilvl w:val="1"/>
          <w:numId w:val="13"/>
        </w:numPr>
        <w:suppressLineNumbers/>
        <w:suppressAutoHyphens/>
        <w:spacing w:after="80"/>
        <w:rPr>
          <w:rStyle w:val="Para1"/>
          <w:snapToGrid/>
        </w:rPr>
      </w:pPr>
      <w:r w:rsidRPr="00690DD5">
        <w:rPr>
          <w:rStyle w:val="Para1"/>
          <w:i/>
          <w:snapToGrid/>
        </w:rPr>
        <w:t>прогресс достигается</w:t>
      </w:r>
      <w:r w:rsidR="00690DD5">
        <w:rPr>
          <w:rStyle w:val="Para1"/>
          <w:i/>
          <w:snapToGrid/>
        </w:rPr>
        <w:t>,</w:t>
      </w:r>
      <w:r w:rsidRPr="00690DD5">
        <w:rPr>
          <w:rStyle w:val="Para1"/>
          <w:i/>
          <w:snapToGrid/>
        </w:rPr>
        <w:t xml:space="preserve"> но недостаточными темпами</w:t>
      </w:r>
      <w:r w:rsidR="00CC674F" w:rsidRPr="00690DD5">
        <w:rPr>
          <w:rStyle w:val="Para1"/>
          <w:i/>
          <w:snapToGrid/>
        </w:rPr>
        <w:t>.</w:t>
      </w:r>
      <w:r w:rsidR="00850F02">
        <w:rPr>
          <w:rStyle w:val="Para1"/>
          <w:i/>
          <w:snapToGrid/>
          <w:cs/>
        </w:rPr>
        <w:t xml:space="preserve"> </w:t>
      </w:r>
      <w:r w:rsidRPr="00690DD5">
        <w:rPr>
          <w:rStyle w:val="Para1"/>
          <w:snapToGrid/>
        </w:rPr>
        <w:t>Данная категория</w:t>
      </w:r>
      <w:r w:rsidR="006A5116" w:rsidRPr="00690DD5">
        <w:rPr>
          <w:rStyle w:val="Para1"/>
          <w:snapToGrid/>
        </w:rPr>
        <w:t xml:space="preserve"> указывает</w:t>
      </w:r>
      <w:r w:rsidRPr="00690DD5">
        <w:rPr>
          <w:rStyle w:val="Para1"/>
          <w:snapToGrid/>
        </w:rPr>
        <w:t xml:space="preserve">, что с момента постановки целевой задачи был достигнут прогресс в ее выполнении. Такой прогресс может принимать форму принятых мер или фактическое улучшение статуса рассматриваемых проблем. </w:t>
      </w:r>
      <w:r w:rsidR="00690DD5">
        <w:rPr>
          <w:rStyle w:val="Para1"/>
          <w:snapToGrid/>
        </w:rPr>
        <w:t>Вместе с тем</w:t>
      </w:r>
      <w:r w:rsidR="0060662D">
        <w:rPr>
          <w:rStyle w:val="Para1"/>
          <w:snapToGrid/>
        </w:rPr>
        <w:t>,</w:t>
      </w:r>
      <w:r w:rsidRPr="00690DD5">
        <w:rPr>
          <w:rStyle w:val="Para1"/>
          <w:snapToGrid/>
        </w:rPr>
        <w:t xml:space="preserve"> несмотря на то</w:t>
      </w:r>
      <w:r w:rsidR="00456C2D">
        <w:rPr>
          <w:rStyle w:val="Para1"/>
          <w:snapToGrid/>
        </w:rPr>
        <w:t>,</w:t>
      </w:r>
      <w:r w:rsidRPr="00690DD5">
        <w:rPr>
          <w:rStyle w:val="Para1"/>
          <w:snapToGrid/>
        </w:rPr>
        <w:t xml:space="preserve"> что данная категория указывает на </w:t>
      </w:r>
      <w:r w:rsidRPr="00690DD5">
        <w:rPr>
          <w:rStyle w:val="Para1"/>
          <w:snapToGrid/>
        </w:rPr>
        <w:lastRenderedPageBreak/>
        <w:t>улучшающуюся ситуацию, достигнутого прогресса будет недостаточно для выполнения целевой задачи к установленному сроку;</w:t>
      </w:r>
    </w:p>
    <w:p w:rsidR="00FD0B4D" w:rsidRPr="00690DD5" w:rsidRDefault="00FD0B4D" w:rsidP="00FD0B4D">
      <w:pPr>
        <w:pStyle w:val="Para1"/>
        <w:numPr>
          <w:ilvl w:val="1"/>
          <w:numId w:val="13"/>
        </w:numPr>
        <w:suppressLineNumbers/>
        <w:suppressAutoHyphens/>
        <w:spacing w:after="80"/>
        <w:rPr>
          <w:rFonts w:eastAsia="Malgun Gothic" w:cs="Times New Roman"/>
          <w:kern w:val="22"/>
          <w:szCs w:val="22"/>
        </w:rPr>
      </w:pPr>
      <w:r w:rsidRPr="00690DD5">
        <w:rPr>
          <w:rStyle w:val="Para1"/>
          <w:i/>
          <w:snapToGrid/>
        </w:rPr>
        <w:t>без существенного прогресса</w:t>
      </w:r>
      <w:r w:rsidR="00CC674F" w:rsidRPr="00690DD5">
        <w:rPr>
          <w:rStyle w:val="Para1"/>
          <w:i/>
          <w:snapToGrid/>
        </w:rPr>
        <w:t>.</w:t>
      </w:r>
      <w:r w:rsidRPr="00690DD5">
        <w:rPr>
          <w:rStyle w:val="Para1"/>
          <w:snapToGrid/>
          <w:cs/>
        </w:rPr>
        <w:t xml:space="preserve"> </w:t>
      </w:r>
      <w:r w:rsidRPr="00690DD5">
        <w:rPr>
          <w:rStyle w:val="Para1"/>
          <w:snapToGrid/>
        </w:rPr>
        <w:t>Данная категория указывает, что с момента постановки целевой задачи не отмечалось заметного прогресса в ее выполнении или не было заметного ухудшения ситуации. Оценки по данной категории подразумевают, что никакие значимые мероприятия для выполнения целевой задачи не проводились и не планируются в ближайшем будущем, и что общее положение дел по проблемам, которых касается такая целевая задача, не улучшилось, но и не ухудшилось;</w:t>
      </w:r>
    </w:p>
    <w:p w:rsidR="00FD0B4D" w:rsidRPr="00690DD5" w:rsidRDefault="00FD0B4D" w:rsidP="00FD0B4D">
      <w:pPr>
        <w:pStyle w:val="Para1"/>
        <w:numPr>
          <w:ilvl w:val="1"/>
          <w:numId w:val="13"/>
        </w:numPr>
        <w:suppressLineNumbers/>
        <w:suppressAutoHyphens/>
        <w:spacing w:after="80"/>
        <w:rPr>
          <w:rFonts w:eastAsia="Malgun Gothic" w:cs="Times New Roman"/>
          <w:kern w:val="22"/>
          <w:szCs w:val="22"/>
        </w:rPr>
      </w:pPr>
      <w:r w:rsidRPr="00690DD5">
        <w:rPr>
          <w:rStyle w:val="Para1"/>
          <w:i/>
          <w:snapToGrid/>
        </w:rPr>
        <w:t>отход от выполнения целевой задачи</w:t>
      </w:r>
      <w:r w:rsidR="00CC674F" w:rsidRPr="00690DD5">
        <w:rPr>
          <w:rStyle w:val="Para1"/>
          <w:i/>
          <w:snapToGrid/>
        </w:rPr>
        <w:t>.</w:t>
      </w:r>
      <w:r w:rsidR="00850F02">
        <w:rPr>
          <w:rStyle w:val="Para1"/>
          <w:i/>
          <w:snapToGrid/>
        </w:rPr>
        <w:t xml:space="preserve"> </w:t>
      </w:r>
      <w:r w:rsidRPr="00690DD5">
        <w:rPr>
          <w:rStyle w:val="Para1"/>
          <w:snapToGrid/>
        </w:rPr>
        <w:t>Данная категория указывает на ухудшение ситуации по аспектам, которых должна касаться рассматриваемая целевая задача. Это может быть связано с тем, что для выполнения целевой задачи не принимались никакие серьезные меры, или же принятые меры оказались неэффективными. Причиной этого также может быть растущая напряженность в этой сфере или другие изменения национальных обстоятельств;</w:t>
      </w:r>
    </w:p>
    <w:p w:rsidR="00660906" w:rsidRPr="00690DD5" w:rsidRDefault="00FD0B4D" w:rsidP="00FD0B4D">
      <w:pPr>
        <w:pStyle w:val="Para1"/>
        <w:numPr>
          <w:ilvl w:val="1"/>
          <w:numId w:val="13"/>
        </w:numPr>
        <w:suppressLineNumbers/>
        <w:suppressAutoHyphens/>
        <w:rPr>
          <w:rStyle w:val="Para1"/>
          <w:i/>
          <w:snapToGrid/>
        </w:rPr>
      </w:pPr>
      <w:r w:rsidRPr="00690DD5">
        <w:rPr>
          <w:rStyle w:val="Para1"/>
          <w:i/>
          <w:snapToGrid/>
        </w:rPr>
        <w:t>нет информации</w:t>
      </w:r>
      <w:r w:rsidR="00CC674F" w:rsidRPr="00690DD5">
        <w:rPr>
          <w:rStyle w:val="Para1"/>
          <w:i/>
          <w:snapToGrid/>
        </w:rPr>
        <w:t>.</w:t>
      </w:r>
      <w:r w:rsidRPr="00690DD5">
        <w:rPr>
          <w:rStyle w:val="Para1"/>
          <w:snapToGrid/>
          <w:cs/>
        </w:rPr>
        <w:t xml:space="preserve"> </w:t>
      </w:r>
      <w:r w:rsidRPr="00690DD5">
        <w:rPr>
          <w:rStyle w:val="Para1"/>
          <w:snapToGrid/>
        </w:rPr>
        <w:t xml:space="preserve">В докладе отсутствует достаточная информация, которая позволяла бы оценить результаты </w:t>
      </w:r>
      <w:r w:rsidR="00A06FA5" w:rsidRPr="00690DD5">
        <w:rPr>
          <w:rStyle w:val="Para1"/>
          <w:snapToGrid/>
        </w:rPr>
        <w:t>выполнения</w:t>
      </w:r>
      <w:r w:rsidRPr="00690DD5">
        <w:rPr>
          <w:rStyle w:val="Para1"/>
          <w:snapToGrid/>
        </w:rPr>
        <w:t xml:space="preserve"> целевой задачи, принятой в Айти, с каким-либо уровнем достоверности.</w:t>
      </w:r>
    </w:p>
    <w:p w:rsidR="00FD0B4D" w:rsidRPr="00690DD5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 w:rsidRPr="00690DD5">
        <w:rPr>
          <w:rStyle w:val="Para1"/>
          <w:snapToGrid/>
          <w:kern w:val="22"/>
        </w:rPr>
        <w:t xml:space="preserve">Важно отметить, что оценка, представленная в настоящей записке, отражает ожидаемый уровень результатов на конечную дату целевой задачи, принятой в Айти, исходя из положения дел и мер, которые </w:t>
      </w:r>
      <w:r w:rsidRPr="004440CB">
        <w:rPr>
          <w:rStyle w:val="Para1"/>
          <w:snapToGrid/>
          <w:kern w:val="22"/>
        </w:rPr>
        <w:t xml:space="preserve">отражены в пятых национальных докладах. Категории как таковые указывают на текущую траекторию выполнения и предполагают, что она остается неизменной </w:t>
      </w:r>
      <w:r w:rsidR="00B107D0" w:rsidRPr="004440CB">
        <w:rPr>
          <w:rStyle w:val="Para1"/>
          <w:snapToGrid/>
          <w:kern w:val="22"/>
        </w:rPr>
        <w:t xml:space="preserve">в </w:t>
      </w:r>
      <w:r w:rsidRPr="004440CB">
        <w:rPr>
          <w:rStyle w:val="Para1"/>
          <w:snapToGrid/>
          <w:kern w:val="22"/>
        </w:rPr>
        <w:t xml:space="preserve">период </w:t>
      </w:r>
      <w:r w:rsidR="00016335" w:rsidRPr="004440CB">
        <w:rPr>
          <w:rStyle w:val="Para1"/>
          <w:snapToGrid/>
          <w:kern w:val="22"/>
        </w:rPr>
        <w:t xml:space="preserve">между </w:t>
      </w:r>
      <w:r w:rsidR="00C00556" w:rsidRPr="004440CB">
        <w:rPr>
          <w:rStyle w:val="Para1"/>
          <w:snapToGrid/>
          <w:kern w:val="22"/>
        </w:rPr>
        <w:t>подготовк</w:t>
      </w:r>
      <w:r w:rsidR="00016335" w:rsidRPr="004440CB">
        <w:rPr>
          <w:rStyle w:val="Para1"/>
          <w:snapToGrid/>
          <w:kern w:val="22"/>
        </w:rPr>
        <w:t>ой</w:t>
      </w:r>
      <w:r w:rsidR="00C00556" w:rsidRPr="004440CB">
        <w:rPr>
          <w:rStyle w:val="Para1"/>
          <w:snapToGrid/>
          <w:kern w:val="22"/>
        </w:rPr>
        <w:t xml:space="preserve"> </w:t>
      </w:r>
      <w:r w:rsidR="00016335" w:rsidRPr="004440CB">
        <w:rPr>
          <w:rStyle w:val="Para1"/>
          <w:snapToGrid/>
          <w:kern w:val="22"/>
        </w:rPr>
        <w:t xml:space="preserve">национального </w:t>
      </w:r>
      <w:r w:rsidR="00C00556" w:rsidRPr="004440CB">
        <w:rPr>
          <w:rStyle w:val="Para1"/>
          <w:snapToGrid/>
          <w:kern w:val="22"/>
        </w:rPr>
        <w:t xml:space="preserve">доклада </w:t>
      </w:r>
      <w:r w:rsidRPr="004440CB">
        <w:rPr>
          <w:rStyle w:val="Para1"/>
          <w:snapToGrid/>
          <w:kern w:val="22"/>
        </w:rPr>
        <w:t>и срок</w:t>
      </w:r>
      <w:r w:rsidR="00B107D0" w:rsidRPr="004440CB">
        <w:rPr>
          <w:rStyle w:val="Para1"/>
          <w:snapToGrid/>
          <w:kern w:val="22"/>
        </w:rPr>
        <w:t>ом</w:t>
      </w:r>
      <w:r w:rsidRPr="004440CB">
        <w:rPr>
          <w:rStyle w:val="Para1"/>
          <w:snapToGrid/>
          <w:kern w:val="22"/>
        </w:rPr>
        <w:t xml:space="preserve"> выполнения целевой задачи. Кроме того, такая оценка не учитывает национ</w:t>
      </w:r>
      <w:r w:rsidRPr="00690DD5">
        <w:rPr>
          <w:rStyle w:val="Para1"/>
          <w:snapToGrid/>
          <w:kern w:val="22"/>
        </w:rPr>
        <w:t xml:space="preserve">альных обстоятельств или исходных уровней. Поэтому упомянутая информация не может быть использована для сопоставления результатов, достигнутых странами. Она пригодна только для формирования глобальной картины результатов </w:t>
      </w:r>
      <w:r w:rsidR="00A06FA5" w:rsidRPr="00690DD5">
        <w:rPr>
          <w:rStyle w:val="Para1"/>
          <w:snapToGrid/>
          <w:kern w:val="22"/>
        </w:rPr>
        <w:t>выполнения</w:t>
      </w:r>
      <w:r w:rsidRPr="00690DD5">
        <w:rPr>
          <w:rStyle w:val="Para1"/>
          <w:snapToGrid/>
          <w:kern w:val="22"/>
        </w:rPr>
        <w:t xml:space="preserve"> целевых задач по сохранению и устойчивому использованию биоразнообразия, принятых в Айти.</w:t>
      </w:r>
    </w:p>
    <w:p w:rsidR="00FD0B4D" w:rsidRPr="00690DD5" w:rsidRDefault="00FD0B4D" w:rsidP="00FD0B4D">
      <w:pPr>
        <w:numPr>
          <w:ilvl w:val="0"/>
          <w:numId w:val="61"/>
        </w:numPr>
        <w:tabs>
          <w:tab w:val="left" w:pos="1418"/>
        </w:tabs>
        <w:spacing w:before="120" w:after="120"/>
        <w:ind w:left="1418"/>
        <w:jc w:val="left"/>
        <w:rPr>
          <w:rFonts w:cs="Times New Roman"/>
          <w:b/>
          <w:bCs/>
        </w:rPr>
      </w:pPr>
      <w:r w:rsidRPr="00690DD5">
        <w:rPr>
          <w:rStyle w:val="Normal"/>
          <w:b/>
        </w:rPr>
        <w:t xml:space="preserve">НАЦИОНАЛЬНЫЕ ЦЕЛЕВЫЕ ЗАДАЧИ ИЗ НАЦИОНАЛЬНЫХ СТРАТЕГИЙ И ПЛАНОВ ДЕЙСТВИЙ ПО СОХРАНЕНИЮ БИОРАЗНООБРАЗИЯ, УСТАНОВЛЕННЫЕ В СООТВЕТСТВИИ С ЦЕЛЕВЫМИ ЗАДАЧАМИ ПО СОХРАНЕНИЮ И УСТОЙЧИВОМУ ИСПОЛЬЗОВАНИЮ БИОРАЗНООБРАЗИЯ, ПРИНЯТЫМИ В АЙТИ, И РЕЗУЛЬТАТЫ </w:t>
      </w:r>
      <w:r w:rsidR="00A06FA5" w:rsidRPr="00690DD5">
        <w:rPr>
          <w:rStyle w:val="Normal"/>
          <w:b/>
        </w:rPr>
        <w:t>ВЫПОЛНЕНИЯ</w:t>
      </w:r>
      <w:r w:rsidRPr="00690DD5">
        <w:rPr>
          <w:rStyle w:val="Normal"/>
          <w:b/>
        </w:rPr>
        <w:t xml:space="preserve"> ЦЕЛЕВЫХ ЗАДАЧ ПО СОХРАНЕНИЮ И УСТОЙЧИВОМУ ИСПОЛЬЗОВАНИЮ БИОРАЗНООБРАЗИЯ, ПРИНЯТЫХ В АЙТИ</w:t>
      </w:r>
    </w:p>
    <w:p w:rsidR="00FD0B4D" w:rsidRPr="00690DD5" w:rsidRDefault="00FD0B4D" w:rsidP="00FD0B4D">
      <w:pPr>
        <w:spacing w:after="120"/>
        <w:rPr>
          <w:rFonts w:cs="Times New Roman"/>
          <w:i/>
          <w:iCs/>
          <w:color w:val="333333"/>
          <w:shd w:val="clear" w:color="000000" w:fill="auto"/>
        </w:rPr>
      </w:pPr>
      <w:r w:rsidRPr="00690DD5">
        <w:rPr>
          <w:rStyle w:val="Normal"/>
          <w:i/>
          <w:color w:val="333333"/>
        </w:rPr>
        <w:t>Целевая задача 1</w:t>
      </w:r>
      <w:r w:rsidR="00CC674F" w:rsidRPr="00690DD5">
        <w:rPr>
          <w:rStyle w:val="Normal"/>
          <w:i/>
          <w:color w:val="333333"/>
        </w:rPr>
        <w:t>.</w:t>
      </w:r>
      <w:r w:rsidR="00660906" w:rsidRPr="00690DD5">
        <w:rPr>
          <w:rStyle w:val="Normal"/>
          <w:i/>
          <w:color w:val="333333"/>
        </w:rPr>
        <w:t xml:space="preserve"> </w:t>
      </w:r>
      <w:r w:rsidRPr="00690DD5">
        <w:rPr>
          <w:rStyle w:val="Normal"/>
          <w:i/>
          <w:color w:val="333333"/>
        </w:rPr>
        <w:t>К 2020 году, но не позднее этого срока, люди осведомлены о</w:t>
      </w:r>
      <w:r w:rsidR="00AF4317">
        <w:rPr>
          <w:rStyle w:val="Normal"/>
          <w:i/>
          <w:color w:val="333333"/>
        </w:rPr>
        <w:t xml:space="preserve"> стоимостной</w:t>
      </w:r>
      <w:r w:rsidRPr="00690DD5">
        <w:rPr>
          <w:rStyle w:val="Normal"/>
          <w:i/>
          <w:color w:val="333333"/>
        </w:rPr>
        <w:t xml:space="preserve"> </w:t>
      </w:r>
      <w:r w:rsidR="004440CB" w:rsidRPr="00690DD5">
        <w:rPr>
          <w:rStyle w:val="Normal"/>
          <w:i/>
          <w:color w:val="333333"/>
        </w:rPr>
        <w:t>ценност</w:t>
      </w:r>
      <w:r w:rsidR="00AF4317">
        <w:rPr>
          <w:rStyle w:val="Normal"/>
          <w:i/>
          <w:color w:val="333333"/>
        </w:rPr>
        <w:t>и</w:t>
      </w:r>
      <w:r w:rsidR="004440CB" w:rsidRPr="00690DD5">
        <w:rPr>
          <w:rStyle w:val="Normal"/>
          <w:i/>
          <w:color w:val="333333"/>
        </w:rPr>
        <w:t xml:space="preserve"> биоразнообразия и </w:t>
      </w:r>
      <w:r w:rsidR="00AF4317">
        <w:rPr>
          <w:rStyle w:val="Normal"/>
          <w:i/>
          <w:color w:val="333333"/>
        </w:rPr>
        <w:t xml:space="preserve">о </w:t>
      </w:r>
      <w:r w:rsidRPr="00690DD5">
        <w:rPr>
          <w:rStyle w:val="Normal"/>
          <w:i/>
          <w:color w:val="333333"/>
        </w:rPr>
        <w:t>мерах, которые они могут принимать для его сохранения и устойчивого использования.</w:t>
      </w:r>
      <w:r w:rsidR="00C45B41" w:rsidRPr="00C45B4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FD0B4D" w:rsidRPr="00690DD5" w:rsidRDefault="0097502A" w:rsidP="00450C8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>
        <w:rPr>
          <w:rStyle w:val="Para1"/>
          <w:snapToGrid/>
          <w:kern w:val="22"/>
        </w:rPr>
        <w:t>Примерно в</w:t>
      </w:r>
      <w:r w:rsidR="00CC674F" w:rsidRPr="00690DD5">
        <w:rPr>
          <w:rStyle w:val="Para1"/>
          <w:snapToGrid/>
          <w:kern w:val="22"/>
        </w:rPr>
        <w:t xml:space="preserve"> </w:t>
      </w:r>
      <w:r w:rsidR="00C57C50">
        <w:rPr>
          <w:rStyle w:val="Para1"/>
          <w:snapToGrid/>
          <w:kern w:val="22"/>
        </w:rPr>
        <w:t xml:space="preserve">четверти </w:t>
      </w:r>
      <w:r w:rsidR="00CC674F" w:rsidRPr="00690DD5">
        <w:rPr>
          <w:rStyle w:val="Para1"/>
          <w:snapToGrid/>
          <w:kern w:val="22"/>
        </w:rPr>
        <w:t>(</w:t>
      </w:r>
      <w:r w:rsidR="00C57C50">
        <w:rPr>
          <w:rStyle w:val="Para1"/>
          <w:snapToGrid/>
          <w:kern w:val="22"/>
        </w:rPr>
        <w:t>27</w:t>
      </w:r>
      <w:r w:rsidR="00CC674F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) НСПДСБ, </w:t>
      </w:r>
      <w:r w:rsidR="00450C8D" w:rsidRPr="00690DD5">
        <w:rPr>
          <w:rStyle w:val="Para1"/>
          <w:snapToGrid/>
          <w:kern w:val="22"/>
        </w:rPr>
        <w:t xml:space="preserve">изученных для целей настоящего анализа, </w:t>
      </w:r>
      <w:r w:rsidR="00FD0B4D" w:rsidRPr="00690DD5">
        <w:rPr>
          <w:rStyle w:val="Para1"/>
          <w:snapToGrid/>
          <w:kern w:val="22"/>
        </w:rPr>
        <w:t>содержались национальные целевые задачи или обязательства, которые эквивалентны по охвату и уровню амбициозности</w:t>
      </w:r>
      <w:r w:rsidR="008D6E35">
        <w:rPr>
          <w:rStyle w:val="Para1"/>
          <w:snapToGrid/>
          <w:kern w:val="22"/>
        </w:rPr>
        <w:t>,</w:t>
      </w:r>
      <w:r w:rsidR="00FD0B4D" w:rsidRPr="00690DD5">
        <w:rPr>
          <w:rStyle w:val="Para1"/>
          <w:snapToGrid/>
          <w:kern w:val="22"/>
        </w:rPr>
        <w:t xml:space="preserve"> установленным в той или иной целевой задаче, принятой в Айти</w:t>
      </w:r>
      <w:r w:rsidR="00FD0B4D" w:rsidRPr="00690DD5">
        <w:rPr>
          <w:snapToGrid/>
          <w:kern w:val="22"/>
          <w:sz w:val="18"/>
          <w:vertAlign w:val="superscript"/>
        </w:rPr>
        <w:footnoteReference w:id="9"/>
      </w:r>
      <w:r w:rsidR="00FD0B4D" w:rsidRPr="00690DD5">
        <w:rPr>
          <w:rStyle w:val="Para1"/>
          <w:snapToGrid/>
          <w:kern w:val="22"/>
        </w:rPr>
        <w:t xml:space="preserve">. Целевая задача 1 относится к наиболее близко соответствующим национальным целевым задачам в НСПДСБ. </w:t>
      </w:r>
      <w:r w:rsidR="00690DD5">
        <w:rPr>
          <w:rStyle w:val="Para1"/>
          <w:snapToGrid/>
          <w:kern w:val="22"/>
        </w:rPr>
        <w:t>Вместе с тем</w:t>
      </w:r>
      <w:r w:rsidR="008D6E35">
        <w:rPr>
          <w:rStyle w:val="Para1"/>
          <w:snapToGrid/>
          <w:kern w:val="22"/>
        </w:rPr>
        <w:t xml:space="preserve">, </w:t>
      </w:r>
      <w:r w:rsidR="00FD0B4D" w:rsidRPr="00690DD5">
        <w:rPr>
          <w:rStyle w:val="Para1"/>
          <w:snapToGrid/>
          <w:kern w:val="22"/>
        </w:rPr>
        <w:t>более чем в половине (</w:t>
      </w:r>
      <w:r w:rsidR="00371ED5" w:rsidRPr="00371ED5">
        <w:rPr>
          <w:rStyle w:val="Para1"/>
          <w:snapToGrid/>
          <w:kern w:val="22"/>
        </w:rPr>
        <w:t>61</w:t>
      </w:r>
      <w:r w:rsidR="00CC674F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) НСПДСБ содержатся национальные целевые задачи или обязательства, которые ниже по уровню целевой задачи, принятой в Айти, или не </w:t>
      </w:r>
      <w:r w:rsidR="00AB0A01" w:rsidRPr="00690DD5">
        <w:rPr>
          <w:rStyle w:val="Para1"/>
          <w:snapToGrid/>
          <w:kern w:val="22"/>
        </w:rPr>
        <w:t>охватывают</w:t>
      </w:r>
      <w:r w:rsidR="00FD0B4D" w:rsidRPr="00690DD5">
        <w:rPr>
          <w:rStyle w:val="Para1"/>
          <w:snapToGrid/>
          <w:kern w:val="22"/>
        </w:rPr>
        <w:t xml:space="preserve"> всех элементов целевой задачи, принятой в Айти. </w:t>
      </w:r>
      <w:r w:rsidR="00CB4CC1" w:rsidRPr="00690DD5">
        <w:rPr>
          <w:rStyle w:val="Para1"/>
          <w:snapToGrid/>
          <w:kern w:val="22"/>
        </w:rPr>
        <w:t>Примерно в</w:t>
      </w:r>
      <w:r w:rsidR="00FD0B4D" w:rsidRPr="00690DD5">
        <w:rPr>
          <w:rStyle w:val="Para1"/>
          <w:snapToGrid/>
          <w:kern w:val="22"/>
        </w:rPr>
        <w:t xml:space="preserve"> 1</w:t>
      </w:r>
      <w:r w:rsidR="00304B16">
        <w:rPr>
          <w:rStyle w:val="Para1"/>
          <w:snapToGrid/>
          <w:kern w:val="22"/>
        </w:rPr>
        <w:t>2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НСПДСБ не содерж</w:t>
      </w:r>
      <w:r w:rsidR="00C72F4F">
        <w:rPr>
          <w:rStyle w:val="Para1"/>
          <w:snapToGrid/>
          <w:kern w:val="22"/>
        </w:rPr>
        <w:t xml:space="preserve">ится </w:t>
      </w:r>
      <w:r w:rsidR="00FD0B4D" w:rsidRPr="00690DD5">
        <w:rPr>
          <w:rStyle w:val="Para1"/>
          <w:snapToGrid/>
          <w:kern w:val="22"/>
        </w:rPr>
        <w:t xml:space="preserve">никаких целевых задач или обязательств, связанных с той или иной целевой задачей </w:t>
      </w:r>
      <w:r w:rsidR="00FD0B4D" w:rsidRPr="00690DD5">
        <w:rPr>
          <w:rStyle w:val="Para1"/>
          <w:snapToGrid/>
          <w:kern w:val="22"/>
        </w:rPr>
        <w:lastRenderedPageBreak/>
        <w:t xml:space="preserve">по сохранению и устойчивому использованию биоразнообразия, принятой в Айти. В </w:t>
      </w:r>
      <w:r w:rsidR="00450C8D" w:rsidRPr="00690DD5">
        <w:rPr>
          <w:rStyle w:val="Para1"/>
          <w:snapToGrid/>
          <w:kern w:val="22"/>
        </w:rPr>
        <w:t>большинстве целевых за</w:t>
      </w:r>
      <w:r w:rsidR="00FD0B4D" w:rsidRPr="00690DD5">
        <w:rPr>
          <w:rStyle w:val="Para1"/>
          <w:snapToGrid/>
          <w:kern w:val="22"/>
        </w:rPr>
        <w:t xml:space="preserve">дач основное </w:t>
      </w:r>
      <w:r w:rsidR="00450C8D" w:rsidRPr="00690DD5">
        <w:rPr>
          <w:rStyle w:val="Para1"/>
          <w:snapToGrid/>
          <w:kern w:val="22"/>
        </w:rPr>
        <w:t>внимание,</w:t>
      </w:r>
      <w:r w:rsidR="00FD0B4D" w:rsidRPr="00690DD5">
        <w:rPr>
          <w:rStyle w:val="Para1"/>
          <w:snapToGrid/>
          <w:kern w:val="22"/>
        </w:rPr>
        <w:t xml:space="preserve"> по</w:t>
      </w:r>
      <w:r w:rsidR="00450C8D" w:rsidRPr="00690DD5">
        <w:rPr>
          <w:rStyle w:val="Para1"/>
          <w:snapToGrid/>
          <w:kern w:val="22"/>
        </w:rPr>
        <w:t xml:space="preserve"> всей видимости, </w:t>
      </w:r>
      <w:r w:rsidR="00FD0B4D" w:rsidRPr="00690DD5">
        <w:rPr>
          <w:rStyle w:val="Para1"/>
          <w:snapToGrid/>
          <w:kern w:val="22"/>
        </w:rPr>
        <w:t>уделя</w:t>
      </w:r>
      <w:r w:rsidR="00450C8D" w:rsidRPr="00690DD5">
        <w:rPr>
          <w:rStyle w:val="Para1"/>
          <w:snapToGrid/>
          <w:kern w:val="22"/>
        </w:rPr>
        <w:t xml:space="preserve">ется </w:t>
      </w:r>
      <w:r w:rsidR="00FD0B4D" w:rsidRPr="00690DD5">
        <w:rPr>
          <w:rStyle w:val="Para1"/>
          <w:snapToGrid/>
          <w:kern w:val="22"/>
        </w:rPr>
        <w:t>повышению осведомленности о проблемах биоразнообразия. Сравнительно меньшее число национальных целевых задач ориентирован</w:t>
      </w:r>
      <w:r w:rsidR="00450C8D" w:rsidRPr="00690DD5">
        <w:rPr>
          <w:rStyle w:val="Para1"/>
          <w:snapToGrid/>
          <w:kern w:val="22"/>
        </w:rPr>
        <w:t xml:space="preserve">о </w:t>
      </w:r>
      <w:r w:rsidR="00FD0B4D" w:rsidRPr="00690DD5">
        <w:rPr>
          <w:rStyle w:val="Para1"/>
          <w:snapToGrid/>
          <w:kern w:val="22"/>
        </w:rPr>
        <w:t xml:space="preserve">на повышение осведомленности </w:t>
      </w:r>
      <w:r w:rsidR="00450C8D" w:rsidRPr="00690DD5">
        <w:rPr>
          <w:rStyle w:val="Para1"/>
          <w:snapToGrid/>
          <w:kern w:val="22"/>
        </w:rPr>
        <w:t>людей</w:t>
      </w:r>
      <w:r w:rsidR="00FD0B4D" w:rsidRPr="00690DD5">
        <w:rPr>
          <w:rStyle w:val="Para1"/>
          <w:snapToGrid/>
          <w:kern w:val="22"/>
        </w:rPr>
        <w:t xml:space="preserve"> о мерах, которые </w:t>
      </w:r>
      <w:r w:rsidR="00450C8D" w:rsidRPr="00690DD5">
        <w:rPr>
          <w:rStyle w:val="Para1"/>
          <w:snapToGrid/>
          <w:kern w:val="22"/>
        </w:rPr>
        <w:t xml:space="preserve">они могут принимать для </w:t>
      </w:r>
      <w:r w:rsidR="00FD0B4D" w:rsidRPr="00690DD5">
        <w:rPr>
          <w:rStyle w:val="Para1"/>
          <w:snapToGrid/>
          <w:kern w:val="22"/>
        </w:rPr>
        <w:t>сохранени</w:t>
      </w:r>
      <w:r w:rsidR="00450C8D" w:rsidRPr="00690DD5">
        <w:rPr>
          <w:rStyle w:val="Para1"/>
          <w:snapToGrid/>
          <w:kern w:val="22"/>
        </w:rPr>
        <w:t>я</w:t>
      </w:r>
      <w:r w:rsidR="00FD0B4D" w:rsidRPr="00690DD5">
        <w:rPr>
          <w:rStyle w:val="Para1"/>
          <w:snapToGrid/>
          <w:kern w:val="22"/>
        </w:rPr>
        <w:t xml:space="preserve"> биоразнообразия.</w:t>
      </w:r>
      <w:r w:rsidR="00450C8D" w:rsidRPr="00690DD5">
        <w:rPr>
          <w:rFonts w:eastAsia="Malgun Gothic" w:cs="Times New Roman"/>
          <w:kern w:val="22"/>
          <w:szCs w:val="22"/>
        </w:rPr>
        <w:t xml:space="preserve"> </w:t>
      </w:r>
    </w:p>
    <w:p w:rsidR="00FD0B4D" w:rsidRPr="00690DD5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 w:rsidRPr="00690DD5">
        <w:rPr>
          <w:rStyle w:val="Para1"/>
          <w:snapToGrid/>
          <w:kern w:val="22"/>
        </w:rPr>
        <w:t>Что касается национальных докладов, то в 1</w:t>
      </w:r>
      <w:r w:rsidR="0082040C">
        <w:rPr>
          <w:rStyle w:val="Para1"/>
          <w:snapToGrid/>
          <w:kern w:val="22"/>
        </w:rPr>
        <w:t>6</w:t>
      </w:r>
      <w:r w:rsidR="006761D5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из них отмечается, что целевая задача будет выполнена, тогда как более чем две трети (6</w:t>
      </w:r>
      <w:r w:rsidR="00153BAD">
        <w:rPr>
          <w:rStyle w:val="Para1"/>
          <w:snapToGrid/>
          <w:kern w:val="22"/>
        </w:rPr>
        <w:t>9</w:t>
      </w:r>
      <w:r w:rsidR="006761D5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) содержат информацию о достигнутых </w:t>
      </w:r>
      <w:r w:rsidR="002000B0" w:rsidRPr="00690DD5">
        <w:rPr>
          <w:rStyle w:val="Para1"/>
          <w:snapToGrid/>
          <w:kern w:val="22"/>
        </w:rPr>
        <w:t>результатах в выполнении</w:t>
      </w:r>
      <w:r w:rsidRPr="00690DD5">
        <w:rPr>
          <w:rStyle w:val="Para1"/>
          <w:snapToGrid/>
          <w:kern w:val="22"/>
        </w:rPr>
        <w:t xml:space="preserve"> целевой задачи, но при таких темпах, которые не позволяют обеспечить ее выполнение к 2020 году. </w:t>
      </w:r>
      <w:r w:rsidR="00205838" w:rsidRPr="00690DD5">
        <w:rPr>
          <w:rStyle w:val="Para1"/>
          <w:snapToGrid/>
          <w:kern w:val="22"/>
        </w:rPr>
        <w:t xml:space="preserve">Примерно в </w:t>
      </w:r>
      <w:r w:rsidR="00153BAD">
        <w:rPr>
          <w:rStyle w:val="Para1"/>
          <w:snapToGrid/>
          <w:kern w:val="22"/>
        </w:rPr>
        <w:t>9</w:t>
      </w:r>
      <w:r w:rsidR="006761D5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докладов отмечается отсутствие заметных изменений, и ни в одном из докладов не указывается на снижение уровня осведомленности о проблемах биоразнообразия. Информация в национальных докладах также </w:t>
      </w:r>
      <w:r w:rsidR="00E07D5A">
        <w:rPr>
          <w:rStyle w:val="Para1"/>
          <w:snapToGrid/>
          <w:kern w:val="22"/>
        </w:rPr>
        <w:t>указывает на то</w:t>
      </w:r>
      <w:r w:rsidRPr="00690DD5">
        <w:rPr>
          <w:rStyle w:val="Para1"/>
          <w:snapToGrid/>
          <w:kern w:val="22"/>
        </w:rPr>
        <w:t>, что Сторонами рассматривались оба элемента целевой задачи (осведомленность общества о проблемах биоразнообразия повышается, и люди осведомлены о тех мерах, которые они могут принимать), но меньшинство Сторон проводили мероприятия, непосредственно связанные с осведомленностью людей о мерах, которые они могут принимать для сохранения и устойчивого использования биоразнообразия.</w:t>
      </w:r>
    </w:p>
    <w:p w:rsidR="00FD0B4D" w:rsidRPr="00690DD5" w:rsidRDefault="00FD0B4D" w:rsidP="00FD0B4D">
      <w:pPr>
        <w:spacing w:after="120"/>
        <w:rPr>
          <w:rFonts w:cs="Times New Roman"/>
          <w:i/>
          <w:iCs/>
          <w:color w:val="333333"/>
          <w:shd w:val="clear" w:color="000000" w:fill="auto"/>
        </w:rPr>
      </w:pPr>
      <w:r w:rsidRPr="00690DD5">
        <w:rPr>
          <w:rStyle w:val="Normal"/>
          <w:i/>
          <w:color w:val="333333"/>
        </w:rPr>
        <w:t>Целевая задача 2</w:t>
      </w:r>
      <w:r w:rsidR="00CC674F" w:rsidRPr="00690DD5">
        <w:rPr>
          <w:rStyle w:val="Normal"/>
          <w:i/>
          <w:color w:val="333333"/>
        </w:rPr>
        <w:t>.</w:t>
      </w:r>
      <w:r w:rsidR="00660906" w:rsidRPr="00690DD5">
        <w:rPr>
          <w:rStyle w:val="Normal"/>
          <w:i/>
          <w:color w:val="333333"/>
        </w:rPr>
        <w:t xml:space="preserve"> </w:t>
      </w:r>
      <w:r w:rsidRPr="00690DD5">
        <w:rPr>
          <w:rStyle w:val="Normal"/>
          <w:i/>
          <w:color w:val="333333"/>
        </w:rPr>
        <w:t xml:space="preserve">К 2020 году, но не позднее этого срока, </w:t>
      </w:r>
      <w:r w:rsidR="00610815">
        <w:rPr>
          <w:rStyle w:val="Normal"/>
          <w:i/>
          <w:color w:val="333333"/>
        </w:rPr>
        <w:t xml:space="preserve">стоимостная </w:t>
      </w:r>
      <w:r w:rsidRPr="00690DD5">
        <w:rPr>
          <w:rStyle w:val="Normal"/>
          <w:i/>
          <w:color w:val="333333"/>
        </w:rPr>
        <w:t>ценност</w:t>
      </w:r>
      <w:r w:rsidR="00610815">
        <w:rPr>
          <w:rStyle w:val="Normal"/>
          <w:i/>
          <w:color w:val="333333"/>
        </w:rPr>
        <w:t xml:space="preserve">ь </w:t>
      </w:r>
      <w:r w:rsidRPr="00690DD5">
        <w:rPr>
          <w:rStyle w:val="Normal"/>
          <w:i/>
          <w:color w:val="333333"/>
        </w:rPr>
        <w:t>биоразнообразия включен</w:t>
      </w:r>
      <w:r w:rsidR="00610815">
        <w:rPr>
          <w:rStyle w:val="Normal"/>
          <w:i/>
          <w:color w:val="333333"/>
        </w:rPr>
        <w:t>а</w:t>
      </w:r>
      <w:r w:rsidRPr="00690DD5">
        <w:rPr>
          <w:rStyle w:val="Normal"/>
          <w:i/>
          <w:color w:val="333333"/>
        </w:rPr>
        <w:t xml:space="preserve"> в национальные и местные стратегии развития и сокращения бедности и в процессы планирования и включа</w:t>
      </w:r>
      <w:r w:rsidR="00610815">
        <w:rPr>
          <w:rStyle w:val="Normal"/>
          <w:i/>
          <w:color w:val="333333"/>
        </w:rPr>
        <w:t>е</w:t>
      </w:r>
      <w:r w:rsidRPr="00690DD5">
        <w:rPr>
          <w:rStyle w:val="Normal"/>
          <w:i/>
          <w:color w:val="333333"/>
        </w:rPr>
        <w:t>тся в соответствующих случаях в системы национального учета и счетов.</w:t>
      </w:r>
      <w:r w:rsidR="00610815" w:rsidRPr="0061081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7247EF" w:rsidRDefault="00D736EC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7247EF">
        <w:rPr>
          <w:rStyle w:val="Para1"/>
          <w:snapToGrid/>
        </w:rPr>
        <w:t xml:space="preserve">Только </w:t>
      </w:r>
      <w:r w:rsidR="00153BAD" w:rsidRPr="007247EF">
        <w:rPr>
          <w:rStyle w:val="Para1"/>
          <w:snapToGrid/>
        </w:rPr>
        <w:t>6</w:t>
      </w:r>
      <w:r w:rsidR="006761D5" w:rsidRPr="007247EF">
        <w:rPr>
          <w:rStyle w:val="Para1"/>
          <w:snapToGrid/>
        </w:rPr>
        <w:t> </w:t>
      </w:r>
      <w:r w:rsidRPr="007247EF">
        <w:rPr>
          <w:rStyle w:val="Para1"/>
          <w:snapToGrid/>
        </w:rPr>
        <w:t>%</w:t>
      </w:r>
      <w:r w:rsidR="00FD0B4D" w:rsidRPr="007247EF">
        <w:rPr>
          <w:rStyle w:val="Para1"/>
          <w:snapToGrid/>
          <w:kern w:val="22"/>
        </w:rPr>
        <w:t xml:space="preserve"> НСПДСБ содержа</w:t>
      </w:r>
      <w:r w:rsidR="00417876" w:rsidRPr="007247EF">
        <w:rPr>
          <w:rStyle w:val="Para1"/>
          <w:snapToGrid/>
          <w:kern w:val="22"/>
        </w:rPr>
        <w:t>т</w:t>
      </w:r>
      <w:r w:rsidR="00FD0B4D" w:rsidRPr="007247EF">
        <w:rPr>
          <w:rStyle w:val="Para1"/>
          <w:snapToGrid/>
          <w:kern w:val="22"/>
        </w:rPr>
        <w:t xml:space="preserve"> национальные целевые задачи или аналогичные обязательства, которые соответствов</w:t>
      </w:r>
      <w:r w:rsidR="0094001D" w:rsidRPr="007247EF">
        <w:rPr>
          <w:rStyle w:val="Para1"/>
          <w:snapToGrid/>
          <w:kern w:val="22"/>
        </w:rPr>
        <w:t>ают</w:t>
      </w:r>
      <w:r w:rsidR="00FD0B4D" w:rsidRPr="007247EF">
        <w:rPr>
          <w:rStyle w:val="Para1"/>
          <w:snapToGrid/>
          <w:kern w:val="22"/>
        </w:rPr>
        <w:t xml:space="preserve"> охвату и уровню амбициозности, установленным в целевой задаче 2, принятой в Айти</w:t>
      </w:r>
      <w:r w:rsidR="00660906" w:rsidRPr="00690DD5">
        <w:rPr>
          <w:rStyle w:val="FootnoteReference"/>
          <w:kern w:val="22"/>
          <w:u w:val="none"/>
          <w:vertAlign w:val="superscript"/>
        </w:rPr>
        <w:footnoteReference w:id="10"/>
      </w:r>
      <w:r w:rsidR="005B6620" w:rsidRPr="007247EF">
        <w:rPr>
          <w:rStyle w:val="Para1"/>
          <w:snapToGrid/>
          <w:kern w:val="22"/>
        </w:rPr>
        <w:t>, и одна Сторона поставила целевую задачу, превосходящую целевую задачу, принятую в Айти, поскольку в ней намечен более ранний крайний срок ее реализации</w:t>
      </w:r>
      <w:r w:rsidR="005B6620" w:rsidRPr="00690DD5">
        <w:rPr>
          <w:rStyle w:val="FootnoteReference"/>
          <w:rFonts w:eastAsia="Malgun Gothic" w:cs="Times New Roman"/>
          <w:kern w:val="22"/>
          <w:u w:val="none"/>
          <w:vertAlign w:val="superscript"/>
        </w:rPr>
        <w:footnoteReference w:id="11"/>
      </w:r>
      <w:r w:rsidR="00FD0B4D" w:rsidRPr="007247EF">
        <w:rPr>
          <w:rStyle w:val="Para1"/>
          <w:snapToGrid/>
        </w:rPr>
        <w:t>.</w:t>
      </w:r>
      <w:r w:rsidR="00FD0B4D" w:rsidRPr="007247EF">
        <w:rPr>
          <w:rStyle w:val="Para1"/>
          <w:snapToGrid/>
          <w:kern w:val="22"/>
        </w:rPr>
        <w:t xml:space="preserve"> Более трех четвертей (7</w:t>
      </w:r>
      <w:r w:rsidR="00153BAD" w:rsidRPr="007247EF">
        <w:rPr>
          <w:rStyle w:val="Para1"/>
          <w:snapToGrid/>
          <w:kern w:val="22"/>
        </w:rPr>
        <w:t>8</w:t>
      </w:r>
      <w:r w:rsidR="006761D5" w:rsidRPr="007247EF">
        <w:rPr>
          <w:rStyle w:val="Para1"/>
          <w:snapToGrid/>
          <w:kern w:val="22"/>
        </w:rPr>
        <w:t> </w:t>
      </w:r>
      <w:r w:rsidRPr="007247EF">
        <w:rPr>
          <w:rStyle w:val="Para1"/>
          <w:snapToGrid/>
          <w:kern w:val="22"/>
        </w:rPr>
        <w:t>%</w:t>
      </w:r>
      <w:r w:rsidR="00FD0B4D" w:rsidRPr="007247EF">
        <w:rPr>
          <w:rStyle w:val="Para1"/>
          <w:snapToGrid/>
          <w:kern w:val="22"/>
        </w:rPr>
        <w:t xml:space="preserve">) НСПДСБ содержат национальные целевые задачи или обязательства, которые ниже по уровню целевой задачи, принятой в Айти, или не </w:t>
      </w:r>
      <w:r w:rsidR="00AB0A01" w:rsidRPr="007247EF">
        <w:rPr>
          <w:rStyle w:val="Para1"/>
          <w:snapToGrid/>
          <w:kern w:val="22"/>
        </w:rPr>
        <w:t>охватывают</w:t>
      </w:r>
      <w:r w:rsidR="00FD0B4D" w:rsidRPr="007247EF">
        <w:rPr>
          <w:rStyle w:val="Para1"/>
          <w:snapToGrid/>
          <w:kern w:val="22"/>
        </w:rPr>
        <w:t xml:space="preserve"> всех элементов целевой задачи, принятой в Айти. </w:t>
      </w:r>
      <w:r w:rsidRPr="007247EF">
        <w:rPr>
          <w:rStyle w:val="Para1"/>
          <w:snapToGrid/>
          <w:kern w:val="22"/>
        </w:rPr>
        <w:t xml:space="preserve">Примерно </w:t>
      </w:r>
      <w:r w:rsidR="00FD0B4D" w:rsidRPr="007247EF">
        <w:rPr>
          <w:rStyle w:val="Para1"/>
          <w:snapToGrid/>
          <w:kern w:val="22"/>
        </w:rPr>
        <w:t>1</w:t>
      </w:r>
      <w:r w:rsidR="00387317" w:rsidRPr="007247EF">
        <w:rPr>
          <w:rStyle w:val="Para1"/>
          <w:snapToGrid/>
          <w:kern w:val="22"/>
        </w:rPr>
        <w:t>6</w:t>
      </w:r>
      <w:r w:rsidR="00FD0B4D" w:rsidRPr="007247EF">
        <w:rPr>
          <w:rStyle w:val="Para1"/>
          <w:snapToGrid/>
          <w:kern w:val="22"/>
        </w:rPr>
        <w:t xml:space="preserve"> </w:t>
      </w:r>
      <w:r w:rsidRPr="007247EF">
        <w:rPr>
          <w:rStyle w:val="Para1"/>
          <w:snapToGrid/>
          <w:kern w:val="22"/>
        </w:rPr>
        <w:t>%</w:t>
      </w:r>
      <w:r w:rsidR="00FD0B4D" w:rsidRPr="007247EF">
        <w:rPr>
          <w:rStyle w:val="Para1"/>
          <w:snapToGrid/>
          <w:kern w:val="22"/>
        </w:rPr>
        <w:t xml:space="preserve"> НСПДСБ не содерж</w:t>
      </w:r>
      <w:r w:rsidR="00E24644" w:rsidRPr="007247EF">
        <w:rPr>
          <w:rStyle w:val="Para1"/>
          <w:snapToGrid/>
          <w:kern w:val="22"/>
        </w:rPr>
        <w:t>а</w:t>
      </w:r>
      <w:r w:rsidR="000D6392" w:rsidRPr="007247EF">
        <w:rPr>
          <w:rStyle w:val="Para1"/>
          <w:snapToGrid/>
          <w:kern w:val="22"/>
        </w:rPr>
        <w:t xml:space="preserve">т </w:t>
      </w:r>
      <w:r w:rsidR="00FD0B4D" w:rsidRPr="007247EF">
        <w:rPr>
          <w:rStyle w:val="Para1"/>
          <w:snapToGrid/>
          <w:kern w:val="22"/>
        </w:rPr>
        <w:t xml:space="preserve">никаких национальных целевых задач или аналогичных обязательств, связанных с данной целевой задачей, принятой в Айти. Сравнительно немногие </w:t>
      </w:r>
      <w:r w:rsidR="006761D5" w:rsidRPr="007247EF">
        <w:rPr>
          <w:rStyle w:val="Para1"/>
          <w:snapToGrid/>
          <w:kern w:val="22"/>
        </w:rPr>
        <w:t>и</w:t>
      </w:r>
      <w:r w:rsidR="00FD0B4D" w:rsidRPr="007247EF">
        <w:rPr>
          <w:rStyle w:val="Para1"/>
          <w:snapToGrid/>
          <w:kern w:val="22"/>
        </w:rPr>
        <w:t xml:space="preserve">з всех поставленных целевых задач касались включения ценностей биоразнообразия в национальные и местные процессы планирования, системы национального учета или </w:t>
      </w:r>
      <w:r w:rsidR="00F170DD" w:rsidRPr="007247EF">
        <w:rPr>
          <w:rStyle w:val="Para1"/>
          <w:snapToGrid/>
          <w:kern w:val="22"/>
        </w:rPr>
        <w:t>отчетности</w:t>
      </w:r>
      <w:r w:rsidR="00FD0B4D" w:rsidRPr="007247EF">
        <w:rPr>
          <w:rStyle w:val="Para1"/>
          <w:snapToGrid/>
          <w:kern w:val="22"/>
        </w:rPr>
        <w:t>. Поставленные национальные целевые задачи в основном уделяли внимание включению ценностей биоразнообразия в национальные стратегии развития и сокращения бедности. Кроме того, многие из поставленных целевых задач относились к вопросу согласования политики и/или включения биоразнообразия в процесс принятия решений в целом.</w:t>
      </w:r>
    </w:p>
    <w:p w:rsidR="00660906" w:rsidRPr="007247EF" w:rsidRDefault="00FD0B4D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7247EF">
        <w:rPr>
          <w:rStyle w:val="Para1"/>
          <w:snapToGrid/>
          <w:kern w:val="22"/>
        </w:rPr>
        <w:t xml:space="preserve">Что касается национальных </w:t>
      </w:r>
      <w:r w:rsidR="008B353D" w:rsidRPr="007247EF">
        <w:rPr>
          <w:rStyle w:val="Para1"/>
          <w:snapToGrid/>
          <w:kern w:val="22"/>
        </w:rPr>
        <w:t>докладов</w:t>
      </w:r>
      <w:r w:rsidRPr="007247EF">
        <w:rPr>
          <w:rStyle w:val="Para1"/>
          <w:snapToGrid/>
          <w:kern w:val="22"/>
        </w:rPr>
        <w:t xml:space="preserve">, менее </w:t>
      </w:r>
      <w:r w:rsidR="005260DF" w:rsidRPr="007247EF">
        <w:rPr>
          <w:rStyle w:val="Para1"/>
          <w:snapToGrid/>
          <w:kern w:val="22"/>
        </w:rPr>
        <w:t>10</w:t>
      </w:r>
      <w:r w:rsidRPr="007247EF">
        <w:rPr>
          <w:rStyle w:val="Para1"/>
          <w:snapToGrid/>
          <w:kern w:val="22"/>
        </w:rPr>
        <w:t xml:space="preserve"> </w:t>
      </w:r>
      <w:r w:rsidR="00D736EC" w:rsidRPr="007247EF">
        <w:rPr>
          <w:rStyle w:val="Para1"/>
          <w:snapToGrid/>
          <w:kern w:val="22"/>
        </w:rPr>
        <w:t>%</w:t>
      </w:r>
      <w:r w:rsidRPr="007247EF">
        <w:rPr>
          <w:rStyle w:val="Para1"/>
          <w:snapToGrid/>
          <w:kern w:val="22"/>
        </w:rPr>
        <w:t xml:space="preserve"> </w:t>
      </w:r>
      <w:r w:rsidR="00A862BF" w:rsidRPr="007247EF">
        <w:rPr>
          <w:rStyle w:val="Para1"/>
          <w:snapToGrid/>
          <w:kern w:val="22"/>
        </w:rPr>
        <w:t xml:space="preserve">из них </w:t>
      </w:r>
      <w:r w:rsidRPr="007247EF">
        <w:rPr>
          <w:rStyle w:val="Para1"/>
          <w:snapToGrid/>
          <w:kern w:val="22"/>
        </w:rPr>
        <w:t>содержали информацию, которая указывает на то, что данная целевая задача будет выполнена в срок. Более 60</w:t>
      </w:r>
      <w:r w:rsidR="008072D0" w:rsidRPr="007247EF">
        <w:rPr>
          <w:rStyle w:val="Para1"/>
          <w:snapToGrid/>
          <w:kern w:val="22"/>
        </w:rPr>
        <w:t> </w:t>
      </w:r>
      <w:r w:rsidR="00D736EC" w:rsidRPr="007247EF">
        <w:rPr>
          <w:rStyle w:val="Para1"/>
          <w:snapToGrid/>
          <w:kern w:val="22"/>
        </w:rPr>
        <w:t>%</w:t>
      </w:r>
      <w:r w:rsidRPr="007247EF">
        <w:rPr>
          <w:rStyle w:val="Para1"/>
          <w:snapToGrid/>
          <w:kern w:val="22"/>
        </w:rPr>
        <w:t xml:space="preserve"> отмечают достигнутые результаты </w:t>
      </w:r>
      <w:r w:rsidR="00A06FA5" w:rsidRPr="007247EF">
        <w:rPr>
          <w:rStyle w:val="Para1"/>
          <w:snapToGrid/>
          <w:kern w:val="22"/>
        </w:rPr>
        <w:t>выполнения</w:t>
      </w:r>
      <w:r w:rsidRPr="007247EF">
        <w:rPr>
          <w:rStyle w:val="Para1"/>
          <w:snapToGrid/>
          <w:kern w:val="22"/>
        </w:rPr>
        <w:t xml:space="preserve"> целевой задачи 2, принятой в Айти, но темпы выполнения не обеспечивают достижения такой целевой задачи к 2020 году. </w:t>
      </w:r>
      <w:r w:rsidR="0045535F" w:rsidRPr="007247EF">
        <w:rPr>
          <w:rStyle w:val="Para1"/>
          <w:snapToGrid/>
          <w:kern w:val="22"/>
        </w:rPr>
        <w:t xml:space="preserve">Кроме того, более </w:t>
      </w:r>
      <w:r w:rsidR="00AE70CE" w:rsidRPr="007247EF">
        <w:rPr>
          <w:rStyle w:val="Para1"/>
          <w:snapToGrid/>
          <w:kern w:val="22"/>
        </w:rPr>
        <w:t xml:space="preserve">одной </w:t>
      </w:r>
      <w:r w:rsidR="0045535F" w:rsidRPr="007247EF">
        <w:rPr>
          <w:rStyle w:val="Para1"/>
          <w:snapToGrid/>
          <w:kern w:val="22"/>
        </w:rPr>
        <w:t xml:space="preserve">пятой (22 </w:t>
      </w:r>
      <w:r w:rsidR="00C52BBA" w:rsidRPr="007247EF">
        <w:rPr>
          <w:rStyle w:val="Para1"/>
          <w:snapToGrid/>
          <w:kern w:val="22"/>
        </w:rPr>
        <w:t>%</w:t>
      </w:r>
      <w:r w:rsidR="0045535F" w:rsidRPr="007247EF">
        <w:rPr>
          <w:rStyle w:val="Para1"/>
          <w:snapToGrid/>
          <w:kern w:val="22"/>
        </w:rPr>
        <w:t>) национальных докладов содержат информацию</w:t>
      </w:r>
      <w:r w:rsidR="0085254E" w:rsidRPr="007247EF">
        <w:rPr>
          <w:rStyle w:val="Para1"/>
          <w:snapToGrid/>
          <w:kern w:val="22"/>
        </w:rPr>
        <w:t>,</w:t>
      </w:r>
      <w:r w:rsidR="00C176F8" w:rsidRPr="007247EF">
        <w:rPr>
          <w:rStyle w:val="Para1"/>
          <w:snapToGrid/>
          <w:kern w:val="22"/>
        </w:rPr>
        <w:t xml:space="preserve"> </w:t>
      </w:r>
      <w:r w:rsidR="00897796" w:rsidRPr="007247EF">
        <w:rPr>
          <w:rStyle w:val="Para1"/>
          <w:snapToGrid/>
          <w:kern w:val="22"/>
        </w:rPr>
        <w:t xml:space="preserve">указывающую на </w:t>
      </w:r>
      <w:r w:rsidR="00080031" w:rsidRPr="007247EF">
        <w:rPr>
          <w:rStyle w:val="Para1"/>
          <w:snapToGrid/>
          <w:kern w:val="22"/>
        </w:rPr>
        <w:t>отсутстви</w:t>
      </w:r>
      <w:r w:rsidR="00897796" w:rsidRPr="007247EF">
        <w:rPr>
          <w:rStyle w:val="Para1"/>
          <w:snapToGrid/>
          <w:kern w:val="22"/>
        </w:rPr>
        <w:t>е</w:t>
      </w:r>
      <w:r w:rsidR="00080031" w:rsidRPr="007247EF">
        <w:rPr>
          <w:rStyle w:val="Para1"/>
          <w:snapToGrid/>
          <w:kern w:val="22"/>
        </w:rPr>
        <w:t xml:space="preserve"> существенных изменений </w:t>
      </w:r>
      <w:r w:rsidR="0045535F" w:rsidRPr="007247EF">
        <w:rPr>
          <w:rStyle w:val="Para1"/>
          <w:snapToGrid/>
          <w:kern w:val="22"/>
        </w:rPr>
        <w:t>с</w:t>
      </w:r>
      <w:r w:rsidR="00550A64" w:rsidRPr="007247EF">
        <w:rPr>
          <w:rStyle w:val="Para1"/>
          <w:snapToGrid/>
          <w:kern w:val="22"/>
        </w:rPr>
        <w:t xml:space="preserve"> момента </w:t>
      </w:r>
      <w:r w:rsidR="0045535F" w:rsidRPr="007247EF">
        <w:rPr>
          <w:rStyle w:val="Para1"/>
          <w:snapToGrid/>
          <w:kern w:val="22"/>
        </w:rPr>
        <w:t xml:space="preserve">принятия Стратегического плана в области сохранения и устойчивого использования биоразнообразия </w:t>
      </w:r>
      <w:r w:rsidR="00550A64" w:rsidRPr="007247EF">
        <w:rPr>
          <w:rStyle w:val="Para1"/>
          <w:snapToGrid/>
          <w:kern w:val="22"/>
        </w:rPr>
        <w:t>на 2011-2020 годы</w:t>
      </w:r>
      <w:r w:rsidR="0045535F" w:rsidRPr="007247EF">
        <w:rPr>
          <w:rStyle w:val="Para1"/>
          <w:snapToGrid/>
          <w:kern w:val="22"/>
        </w:rPr>
        <w:t>.</w:t>
      </w:r>
      <w:r w:rsidR="00550A64" w:rsidRPr="007247EF">
        <w:rPr>
          <w:rStyle w:val="Para1"/>
          <w:snapToGrid/>
          <w:kern w:val="22"/>
        </w:rPr>
        <w:t xml:space="preserve"> </w:t>
      </w:r>
      <w:r w:rsidRPr="007247EF">
        <w:rPr>
          <w:rStyle w:val="Para1"/>
          <w:snapToGrid/>
          <w:kern w:val="22"/>
        </w:rPr>
        <w:t>Наиболее заметные достигнутые результаты, по всей видимости, относятся к включению биоразнообразия в национальные стратегии развития и сокращения бедности, а также в национальные и местные процессы планирования. В отличие от этого</w:t>
      </w:r>
      <w:r w:rsidR="00236F73" w:rsidRPr="007247EF">
        <w:rPr>
          <w:rStyle w:val="Para1"/>
          <w:snapToGrid/>
          <w:kern w:val="22"/>
        </w:rPr>
        <w:t>,</w:t>
      </w:r>
      <w:r w:rsidRPr="007247EF">
        <w:rPr>
          <w:rStyle w:val="Para1"/>
          <w:snapToGrid/>
          <w:kern w:val="22"/>
        </w:rPr>
        <w:t xml:space="preserve"> результаты в области включения биоразнообразия в национальные системы учета и отчетности менее заметны.</w:t>
      </w:r>
    </w:p>
    <w:p w:rsidR="00FD0B4D" w:rsidRPr="00690DD5" w:rsidRDefault="00FD0B4D" w:rsidP="00FD0B4D">
      <w:pPr>
        <w:spacing w:after="120"/>
        <w:rPr>
          <w:rFonts w:ascii="Arial" w:hAnsi="Arial"/>
          <w:color w:val="333333"/>
          <w:sz w:val="18"/>
          <w:szCs w:val="18"/>
          <w:shd w:val="clear" w:color="000000" w:fill="auto"/>
        </w:rPr>
      </w:pPr>
      <w:r w:rsidRPr="00690DD5">
        <w:rPr>
          <w:rStyle w:val="Normal"/>
          <w:i/>
          <w:color w:val="333333"/>
        </w:rPr>
        <w:lastRenderedPageBreak/>
        <w:t>Целевая задача 3</w:t>
      </w:r>
      <w:r w:rsidR="00EF0A11" w:rsidRPr="00690DD5">
        <w:rPr>
          <w:rStyle w:val="Normal"/>
          <w:i/>
          <w:color w:val="333333"/>
        </w:rPr>
        <w:t>.</w:t>
      </w:r>
      <w:r w:rsidR="00660906" w:rsidRPr="00690DD5">
        <w:rPr>
          <w:rStyle w:val="Normal"/>
          <w:i/>
          <w:color w:val="333333"/>
        </w:rPr>
        <w:t xml:space="preserve"> </w:t>
      </w:r>
      <w:r w:rsidRPr="00690DD5">
        <w:rPr>
          <w:rStyle w:val="Normal"/>
          <w:i/>
          <w:color w:val="333333"/>
        </w:rPr>
        <w:t>К 2020 году, но не позднее этого срока, стимулы, включая субсидии, наносящие вред биоразнообразию, устранены, поэтапно отменены или изменены в целях сведения к минимуму или предотвращения негативного воздействия, и разрабатываются и используются положительные стимулы к сохранению и устойчивому использованию биоразнообразия в соответствии и согласии с Конвенцией и другими соответствующими международными обязательствами и с учетом национальных социально-экономических условий.</w:t>
      </w:r>
      <w:r w:rsidR="00143A0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B42FFA" w:rsidRPr="00B42FFA" w:rsidRDefault="000C53BE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rFonts w:eastAsia="Malgun Gothic" w:cs="Times New Roman"/>
          <w:kern w:val="22"/>
          <w:szCs w:val="22"/>
        </w:rPr>
      </w:pPr>
      <w:r w:rsidRPr="00B42FFA">
        <w:rPr>
          <w:rStyle w:val="Para1"/>
          <w:snapToGrid/>
          <w:kern w:val="22"/>
        </w:rPr>
        <w:t>Примерно в</w:t>
      </w:r>
      <w:r w:rsidR="00FD0B4D" w:rsidRPr="00B42FFA">
        <w:rPr>
          <w:rStyle w:val="Para1"/>
          <w:snapToGrid/>
          <w:kern w:val="22"/>
        </w:rPr>
        <w:t xml:space="preserve"> </w:t>
      </w:r>
      <w:r w:rsidR="00D02244" w:rsidRPr="00B42FFA">
        <w:rPr>
          <w:rStyle w:val="Para1"/>
          <w:snapToGrid/>
          <w:kern w:val="22"/>
        </w:rPr>
        <w:t>1</w:t>
      </w:r>
      <w:r w:rsidRPr="00B42FFA">
        <w:rPr>
          <w:rStyle w:val="Para1"/>
          <w:snapToGrid/>
          <w:kern w:val="22"/>
        </w:rPr>
        <w:t>1</w:t>
      </w:r>
      <w:r w:rsidR="008072D0" w:rsidRPr="00B42FFA">
        <w:rPr>
          <w:rStyle w:val="Para1"/>
          <w:snapToGrid/>
          <w:kern w:val="22"/>
        </w:rPr>
        <w:t> </w:t>
      </w:r>
      <w:r w:rsidR="00D736EC" w:rsidRPr="00B42FFA">
        <w:rPr>
          <w:rStyle w:val="Para1"/>
          <w:snapToGrid/>
          <w:kern w:val="22"/>
        </w:rPr>
        <w:t>%</w:t>
      </w:r>
      <w:r w:rsidR="00FD0B4D" w:rsidRPr="00B42FFA">
        <w:rPr>
          <w:rStyle w:val="Para1"/>
          <w:snapToGrid/>
          <w:kern w:val="22"/>
        </w:rPr>
        <w:t xml:space="preserve"> прошедших оценку НСПДСБ содержа</w:t>
      </w:r>
      <w:r w:rsidR="00236F73" w:rsidRPr="00B42FFA">
        <w:rPr>
          <w:rStyle w:val="Para1"/>
          <w:snapToGrid/>
          <w:kern w:val="22"/>
        </w:rPr>
        <w:t>тся</w:t>
      </w:r>
      <w:r w:rsidR="00FD0B4D" w:rsidRPr="00B42FFA">
        <w:rPr>
          <w:rStyle w:val="Para1"/>
          <w:snapToGrid/>
          <w:kern w:val="22"/>
        </w:rPr>
        <w:t xml:space="preserve"> целевые задачи, которые по своему охвату и уровню амбициозности были подобны целевой задаче 3, принятой в Айти</w:t>
      </w:r>
      <w:r w:rsidR="00FD0B4D" w:rsidRPr="00690DD5">
        <w:rPr>
          <w:snapToGrid/>
          <w:kern w:val="22"/>
          <w:sz w:val="18"/>
          <w:vertAlign w:val="superscript"/>
        </w:rPr>
        <w:footnoteReference w:id="12"/>
      </w:r>
      <w:r w:rsidR="00FD0B4D" w:rsidRPr="00B42FFA">
        <w:rPr>
          <w:rStyle w:val="Para1"/>
          <w:snapToGrid/>
          <w:kern w:val="22"/>
        </w:rPr>
        <w:t xml:space="preserve">, а в одном </w:t>
      </w:r>
      <w:r w:rsidR="005E3A10" w:rsidRPr="00B42FFA">
        <w:rPr>
          <w:rStyle w:val="Para1"/>
          <w:snapToGrid/>
          <w:kern w:val="22"/>
        </w:rPr>
        <w:t>НСПДСБ</w:t>
      </w:r>
      <w:r w:rsidR="00FD0B4D" w:rsidRPr="00B42FFA">
        <w:rPr>
          <w:rStyle w:val="Para1"/>
          <w:snapToGrid/>
          <w:kern w:val="22"/>
        </w:rPr>
        <w:t xml:space="preserve"> содержалась национальная целевая задача, которая превосходила целевую задачу, принятую в Айти, поскольку срок ее выполнения наступал в 2017 году</w:t>
      </w:r>
      <w:r w:rsidR="00660906" w:rsidRPr="00690DD5">
        <w:rPr>
          <w:snapToGrid/>
          <w:kern w:val="22"/>
          <w:sz w:val="18"/>
          <w:vertAlign w:val="superscript"/>
        </w:rPr>
        <w:footnoteReference w:id="13"/>
      </w:r>
      <w:r w:rsidR="00FD0B4D" w:rsidRPr="00B42FFA">
        <w:rPr>
          <w:rStyle w:val="Para1"/>
          <w:snapToGrid/>
          <w:kern w:val="22"/>
        </w:rPr>
        <w:t>. В</w:t>
      </w:r>
      <w:r w:rsidR="00BA5D20" w:rsidRPr="00B42FFA">
        <w:rPr>
          <w:rStyle w:val="Para1"/>
          <w:snapToGrid/>
          <w:kern w:val="22"/>
        </w:rPr>
        <w:t xml:space="preserve"> </w:t>
      </w:r>
      <w:r w:rsidR="00D02244" w:rsidRPr="00B42FFA">
        <w:rPr>
          <w:rStyle w:val="Para1"/>
          <w:snapToGrid/>
          <w:kern w:val="22"/>
        </w:rPr>
        <w:t>4</w:t>
      </w:r>
      <w:r w:rsidR="008B36D4" w:rsidRPr="00B42FFA">
        <w:rPr>
          <w:rStyle w:val="Para1"/>
          <w:snapToGrid/>
          <w:kern w:val="22"/>
        </w:rPr>
        <w:t>8</w:t>
      </w:r>
      <w:r w:rsidR="008072D0" w:rsidRPr="00B42FFA">
        <w:rPr>
          <w:rStyle w:val="Para1"/>
          <w:snapToGrid/>
          <w:kern w:val="22"/>
        </w:rPr>
        <w:t> </w:t>
      </w:r>
      <w:r w:rsidR="00D736EC" w:rsidRPr="00B42FFA">
        <w:rPr>
          <w:rStyle w:val="Para1"/>
          <w:snapToGrid/>
          <w:kern w:val="22"/>
        </w:rPr>
        <w:t>%</w:t>
      </w:r>
      <w:r w:rsidR="00FD0B4D" w:rsidRPr="00B42FFA">
        <w:rPr>
          <w:rStyle w:val="Para1"/>
          <w:snapToGrid/>
          <w:kern w:val="22"/>
        </w:rPr>
        <w:t xml:space="preserve"> НСПДСБ содержались целевые задачи, которые ниже по уровню амбициозности или не </w:t>
      </w:r>
      <w:r w:rsidR="00AB0A01" w:rsidRPr="00B42FFA">
        <w:rPr>
          <w:rStyle w:val="Para1"/>
          <w:snapToGrid/>
          <w:kern w:val="22"/>
        </w:rPr>
        <w:t>охватывают</w:t>
      </w:r>
      <w:r w:rsidR="00FD0B4D" w:rsidRPr="00B42FFA">
        <w:rPr>
          <w:rStyle w:val="Para1"/>
          <w:snapToGrid/>
          <w:kern w:val="22"/>
        </w:rPr>
        <w:t xml:space="preserve"> всех элементов целевой задачи, принятой в Айти. Многие из таких целевых задач носили общий характер и упоминали стимулы и субсидии в целом, не указывая конкретно на устранение или на наносящие вред стимулы, или на разработку положительных стимулов. В </w:t>
      </w:r>
      <w:r w:rsidR="006D4378" w:rsidRPr="00B42FFA">
        <w:rPr>
          <w:rStyle w:val="Para1"/>
          <w:snapToGrid/>
          <w:kern w:val="22"/>
        </w:rPr>
        <w:t>4</w:t>
      </w:r>
      <w:r w:rsidR="008B36D4" w:rsidRPr="00B42FFA">
        <w:rPr>
          <w:rStyle w:val="Para1"/>
          <w:snapToGrid/>
          <w:kern w:val="22"/>
        </w:rPr>
        <w:t>0</w:t>
      </w:r>
      <w:r w:rsidR="008072D0" w:rsidRPr="00B42FFA">
        <w:rPr>
          <w:rStyle w:val="Para1"/>
          <w:snapToGrid/>
          <w:kern w:val="22"/>
        </w:rPr>
        <w:t> </w:t>
      </w:r>
      <w:r w:rsidR="00D736EC" w:rsidRPr="00B42FFA">
        <w:rPr>
          <w:rStyle w:val="Para1"/>
          <w:snapToGrid/>
          <w:kern w:val="22"/>
        </w:rPr>
        <w:t>%</w:t>
      </w:r>
      <w:r w:rsidR="00FD0B4D" w:rsidRPr="00B42FFA">
        <w:rPr>
          <w:rStyle w:val="Para1"/>
          <w:snapToGrid/>
          <w:kern w:val="22"/>
        </w:rPr>
        <w:t xml:space="preserve"> оцененных НСПДСБ не содержалось никаких национальных целевых задач или обязательств, связанных с данной целевой задачей. Данная целевая задача относится </w:t>
      </w:r>
      <w:r w:rsidR="005D7CCB" w:rsidRPr="00B42FFA">
        <w:rPr>
          <w:rStyle w:val="Para1"/>
          <w:snapToGrid/>
          <w:kern w:val="22"/>
        </w:rPr>
        <w:t>к</w:t>
      </w:r>
      <w:r w:rsidR="00FD0B4D" w:rsidRPr="00B42FFA">
        <w:rPr>
          <w:rStyle w:val="Para1"/>
          <w:snapToGrid/>
          <w:kern w:val="22"/>
        </w:rPr>
        <w:t xml:space="preserve"> задачам с наименьшим уровнем соответствия национальным целевым задачам, содержащимся в НСПДСБ.</w:t>
      </w:r>
    </w:p>
    <w:p w:rsidR="00FD0B4D" w:rsidRPr="00B42FFA" w:rsidRDefault="00FD0B4D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 w:rsidRPr="00B42FFA">
        <w:rPr>
          <w:rStyle w:val="Para1"/>
          <w:snapToGrid/>
          <w:kern w:val="22"/>
        </w:rPr>
        <w:t xml:space="preserve">Только в </w:t>
      </w:r>
      <w:r w:rsidR="002E3215" w:rsidRPr="00B42FFA">
        <w:rPr>
          <w:rStyle w:val="Para1"/>
          <w:snapToGrid/>
          <w:kern w:val="22"/>
        </w:rPr>
        <w:t>3</w:t>
      </w:r>
      <w:r w:rsidR="008072D0" w:rsidRPr="00B42FFA">
        <w:rPr>
          <w:rStyle w:val="Para1"/>
          <w:snapToGrid/>
          <w:kern w:val="22"/>
        </w:rPr>
        <w:t> </w:t>
      </w:r>
      <w:r w:rsidR="00D736EC" w:rsidRPr="00B42FFA">
        <w:rPr>
          <w:rStyle w:val="Para1"/>
          <w:snapToGrid/>
          <w:kern w:val="22"/>
        </w:rPr>
        <w:t>%</w:t>
      </w:r>
      <w:r w:rsidRPr="00B42FFA">
        <w:rPr>
          <w:rStyle w:val="Para1"/>
          <w:snapToGrid/>
          <w:kern w:val="22"/>
        </w:rPr>
        <w:t xml:space="preserve"> национальных докладов содерж</w:t>
      </w:r>
      <w:r w:rsidR="00EC4327" w:rsidRPr="00B42FFA">
        <w:rPr>
          <w:rStyle w:val="Para1"/>
          <w:snapToGrid/>
          <w:kern w:val="22"/>
        </w:rPr>
        <w:t>ится</w:t>
      </w:r>
      <w:r w:rsidRPr="00B42FFA">
        <w:rPr>
          <w:rStyle w:val="Para1"/>
          <w:snapToGrid/>
          <w:kern w:val="22"/>
        </w:rPr>
        <w:t xml:space="preserve"> информация, указывающая на возможность выполнения данной целевой задачи к установленному сроку. </w:t>
      </w:r>
      <w:r w:rsidR="00A271C4" w:rsidRPr="00B42FFA">
        <w:rPr>
          <w:rStyle w:val="Para1"/>
          <w:snapToGrid/>
          <w:kern w:val="22"/>
        </w:rPr>
        <w:t xml:space="preserve">Более чем </w:t>
      </w:r>
      <w:r w:rsidRPr="00B42FFA">
        <w:rPr>
          <w:rStyle w:val="Para1"/>
          <w:snapToGrid/>
          <w:kern w:val="22"/>
        </w:rPr>
        <w:t xml:space="preserve">в 40 </w:t>
      </w:r>
      <w:r w:rsidR="00D736EC" w:rsidRPr="00B42FFA">
        <w:rPr>
          <w:rStyle w:val="Para1"/>
          <w:snapToGrid/>
          <w:kern w:val="22"/>
        </w:rPr>
        <w:t>%</w:t>
      </w:r>
      <w:r w:rsidRPr="00B42FFA">
        <w:rPr>
          <w:rStyle w:val="Para1"/>
          <w:snapToGrid/>
          <w:kern w:val="22"/>
        </w:rPr>
        <w:t xml:space="preserve"> пятых национальных докладов отмечаются достигнутые результаты </w:t>
      </w:r>
      <w:r w:rsidR="00A06FA5" w:rsidRPr="00B42FFA">
        <w:rPr>
          <w:rStyle w:val="Para1"/>
          <w:snapToGrid/>
          <w:kern w:val="22"/>
        </w:rPr>
        <w:t>выполнения</w:t>
      </w:r>
      <w:r w:rsidRPr="00B42FFA">
        <w:rPr>
          <w:rStyle w:val="Para1"/>
          <w:snapToGrid/>
          <w:kern w:val="22"/>
        </w:rPr>
        <w:t xml:space="preserve"> данной целевой задачи, но темпы выполнения не обеспечивают ее достижения к 2020 году. Почти в 30 </w:t>
      </w:r>
      <w:r w:rsidR="00D736EC" w:rsidRPr="00B42FFA">
        <w:rPr>
          <w:rStyle w:val="Para1"/>
          <w:snapToGrid/>
          <w:kern w:val="22"/>
        </w:rPr>
        <w:t>%</w:t>
      </w:r>
      <w:r w:rsidRPr="00B42FFA">
        <w:rPr>
          <w:rStyle w:val="Para1"/>
          <w:snapToGrid/>
          <w:kern w:val="22"/>
        </w:rPr>
        <w:t xml:space="preserve"> доклад</w:t>
      </w:r>
      <w:r w:rsidR="007E1DE0" w:rsidRPr="00B42FFA">
        <w:rPr>
          <w:rStyle w:val="Para1"/>
          <w:snapToGrid/>
          <w:kern w:val="22"/>
        </w:rPr>
        <w:t>ов</w:t>
      </w:r>
      <w:r w:rsidRPr="00B42FFA">
        <w:rPr>
          <w:rStyle w:val="Para1"/>
          <w:snapToGrid/>
          <w:kern w:val="22"/>
        </w:rPr>
        <w:t xml:space="preserve"> указывается на отсутствие заметных изменений в результатах выполнени</w:t>
      </w:r>
      <w:r w:rsidR="002000B0" w:rsidRPr="00B42FFA">
        <w:rPr>
          <w:rStyle w:val="Para1"/>
          <w:snapToGrid/>
          <w:kern w:val="22"/>
        </w:rPr>
        <w:t>я</w:t>
      </w:r>
      <w:r w:rsidRPr="00B42FFA">
        <w:rPr>
          <w:rStyle w:val="Para1"/>
          <w:snapToGrid/>
          <w:kern w:val="22"/>
        </w:rPr>
        <w:t xml:space="preserve"> данной целевой задачи, тогда как в </w:t>
      </w:r>
      <w:r w:rsidR="00A271C4" w:rsidRPr="00B42FFA">
        <w:rPr>
          <w:rStyle w:val="Para1"/>
          <w:snapToGrid/>
          <w:kern w:val="22"/>
        </w:rPr>
        <w:t xml:space="preserve">почти в </w:t>
      </w:r>
      <w:r w:rsidRPr="00B42FFA">
        <w:rPr>
          <w:rStyle w:val="Para1"/>
          <w:snapToGrid/>
          <w:kern w:val="22"/>
        </w:rPr>
        <w:t xml:space="preserve">четверти </w:t>
      </w:r>
      <w:r w:rsidR="00A271C4" w:rsidRPr="00B42FFA">
        <w:rPr>
          <w:rStyle w:val="Para1"/>
          <w:snapToGrid/>
          <w:kern w:val="22"/>
        </w:rPr>
        <w:t>(2</w:t>
      </w:r>
      <w:r w:rsidR="00D84482" w:rsidRPr="00B42FFA">
        <w:rPr>
          <w:rStyle w:val="Para1"/>
          <w:snapToGrid/>
          <w:kern w:val="22"/>
        </w:rPr>
        <w:t>5</w:t>
      </w:r>
      <w:r w:rsidR="00A271C4" w:rsidRPr="00B42FFA">
        <w:rPr>
          <w:rStyle w:val="Para1"/>
          <w:snapToGrid/>
          <w:kern w:val="22"/>
        </w:rPr>
        <w:t xml:space="preserve"> %) </w:t>
      </w:r>
      <w:r w:rsidRPr="00B42FFA">
        <w:rPr>
          <w:rStyle w:val="Para1"/>
          <w:snapToGrid/>
          <w:kern w:val="22"/>
        </w:rPr>
        <w:t xml:space="preserve">национальных докладов приводилась недостаточная информация, не позволявшая оценить достигнутые результаты </w:t>
      </w:r>
      <w:r w:rsidR="00736986" w:rsidRPr="00B42FFA">
        <w:rPr>
          <w:rStyle w:val="Para1"/>
          <w:snapToGrid/>
          <w:kern w:val="22"/>
        </w:rPr>
        <w:t>в</w:t>
      </w:r>
      <w:r w:rsidRPr="00B42FFA">
        <w:rPr>
          <w:rStyle w:val="Para1"/>
          <w:snapToGrid/>
          <w:kern w:val="22"/>
        </w:rPr>
        <w:t xml:space="preserve"> выполнени</w:t>
      </w:r>
      <w:r w:rsidR="00736986" w:rsidRPr="00B42FFA">
        <w:rPr>
          <w:rStyle w:val="Para1"/>
          <w:snapToGrid/>
          <w:kern w:val="22"/>
        </w:rPr>
        <w:t>и</w:t>
      </w:r>
      <w:r w:rsidRPr="00B42FFA">
        <w:rPr>
          <w:rStyle w:val="Para1"/>
          <w:snapToGrid/>
          <w:kern w:val="22"/>
        </w:rPr>
        <w:t xml:space="preserve"> данной целевой задачи. Информация в национальных докладах показывает, что сравнительно больше внимани</w:t>
      </w:r>
      <w:r w:rsidR="00EC4327" w:rsidRPr="00B42FFA">
        <w:rPr>
          <w:rStyle w:val="Para1"/>
          <w:snapToGrid/>
          <w:kern w:val="22"/>
        </w:rPr>
        <w:t>я</w:t>
      </w:r>
      <w:r w:rsidRPr="00B42FFA">
        <w:rPr>
          <w:rStyle w:val="Para1"/>
          <w:snapToGrid/>
          <w:kern w:val="22"/>
        </w:rPr>
        <w:t xml:space="preserve"> уделяется разработке положительных стимулов, чем устранению или изменению </w:t>
      </w:r>
      <w:r w:rsidR="00EC4327" w:rsidRPr="00B42FFA">
        <w:rPr>
          <w:rStyle w:val="Para1"/>
          <w:snapToGrid/>
          <w:kern w:val="22"/>
        </w:rPr>
        <w:t xml:space="preserve">стимулов, </w:t>
      </w:r>
      <w:r w:rsidRPr="00B42FFA">
        <w:rPr>
          <w:rStyle w:val="Para1"/>
          <w:snapToGrid/>
          <w:kern w:val="22"/>
        </w:rPr>
        <w:t>наносящих вред.</w:t>
      </w:r>
      <w:r w:rsidR="00A271C4" w:rsidRPr="00B42FFA">
        <w:rPr>
          <w:rStyle w:val="Para1"/>
          <w:snapToGrid/>
          <w:kern w:val="22"/>
        </w:rPr>
        <w:t xml:space="preserve"> </w:t>
      </w:r>
      <w:r w:rsidR="00D84482" w:rsidRPr="00B42FFA">
        <w:rPr>
          <w:rStyle w:val="Para1"/>
          <w:snapToGrid/>
          <w:kern w:val="22"/>
        </w:rPr>
        <w:t>Дополнительная информация о цел</w:t>
      </w:r>
      <w:r w:rsidR="00FC353C" w:rsidRPr="00B42FFA">
        <w:rPr>
          <w:rStyle w:val="Para1"/>
          <w:snapToGrid/>
          <w:kern w:val="22"/>
        </w:rPr>
        <w:t>евой задаче</w:t>
      </w:r>
      <w:r w:rsidR="00D84482" w:rsidRPr="00B42FFA">
        <w:rPr>
          <w:rStyle w:val="Para1"/>
          <w:snapToGrid/>
          <w:kern w:val="22"/>
        </w:rPr>
        <w:t xml:space="preserve"> 3 представлена в документе CBD/SBI/2/2/Add.4.</w:t>
      </w:r>
    </w:p>
    <w:p w:rsidR="00FD0B4D" w:rsidRPr="00690DD5" w:rsidRDefault="00FD0B4D" w:rsidP="00FD0B4D">
      <w:pPr>
        <w:spacing w:after="120"/>
        <w:rPr>
          <w:rFonts w:cs="Times New Roman"/>
          <w:i/>
          <w:iCs/>
          <w:color w:val="333333"/>
          <w:shd w:val="clear" w:color="000000" w:fill="auto"/>
        </w:rPr>
      </w:pPr>
      <w:r w:rsidRPr="00690DD5">
        <w:rPr>
          <w:rStyle w:val="Normal"/>
          <w:i/>
          <w:color w:val="333333"/>
        </w:rPr>
        <w:t>Целевая задача 4</w:t>
      </w:r>
      <w:r w:rsidR="00EF0A11" w:rsidRPr="00690DD5">
        <w:rPr>
          <w:rStyle w:val="Normal"/>
          <w:i/>
          <w:color w:val="333333"/>
        </w:rPr>
        <w:t xml:space="preserve">. </w:t>
      </w:r>
      <w:r w:rsidRPr="00690DD5">
        <w:rPr>
          <w:rStyle w:val="Normal"/>
          <w:i/>
          <w:color w:val="333333"/>
        </w:rPr>
        <w:t>К 2020 году, но не позднее этого срока, правительства, деловые круги и субъекты деятельности на всех уровнях приняли меры или внедрили планы в целях достижения устойчивости производства и потребления и не допускают, чтобы последствия использования природных ресурсов нарушали экологическую устойчивость.</w:t>
      </w:r>
      <w:r w:rsidR="00460950" w:rsidRPr="0046095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460950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64618B" w:rsidRDefault="00D942DC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4618B">
        <w:rPr>
          <w:rStyle w:val="Para1"/>
          <w:snapToGrid/>
          <w:kern w:val="22"/>
        </w:rPr>
        <w:t>Только в</w:t>
      </w:r>
      <w:r w:rsidR="00FD0B4D" w:rsidRPr="0064618B">
        <w:rPr>
          <w:rStyle w:val="Para1"/>
          <w:snapToGrid/>
          <w:kern w:val="22"/>
        </w:rPr>
        <w:t xml:space="preserve"> </w:t>
      </w:r>
      <w:r w:rsidRPr="0064618B">
        <w:rPr>
          <w:rStyle w:val="Para1"/>
          <w:snapToGrid/>
          <w:kern w:val="22"/>
        </w:rPr>
        <w:t>1</w:t>
      </w:r>
      <w:r w:rsidR="00FC353C" w:rsidRPr="0064618B">
        <w:rPr>
          <w:rStyle w:val="Para1"/>
          <w:snapToGrid/>
          <w:kern w:val="22"/>
        </w:rPr>
        <w:t>1</w:t>
      </w:r>
      <w:r w:rsidR="008072D0" w:rsidRPr="0064618B">
        <w:rPr>
          <w:rStyle w:val="Para1"/>
          <w:snapToGrid/>
          <w:kern w:val="22"/>
        </w:rPr>
        <w:t> </w:t>
      </w:r>
      <w:r w:rsidR="00D736EC" w:rsidRPr="0064618B">
        <w:rPr>
          <w:rStyle w:val="Para1"/>
          <w:snapToGrid/>
          <w:kern w:val="22"/>
        </w:rPr>
        <w:t>%</w:t>
      </w:r>
      <w:r w:rsidR="00FD0B4D" w:rsidRPr="0064618B">
        <w:rPr>
          <w:rStyle w:val="Para1"/>
          <w:snapToGrid/>
          <w:kern w:val="22"/>
        </w:rPr>
        <w:t xml:space="preserve"> НСПДСБ содержатся целевые задачи, которые </w:t>
      </w:r>
      <w:r w:rsidR="002E6835" w:rsidRPr="0064618B">
        <w:rPr>
          <w:rStyle w:val="Para1"/>
          <w:snapToGrid/>
          <w:kern w:val="22"/>
        </w:rPr>
        <w:t xml:space="preserve">эквивалентны </w:t>
      </w:r>
      <w:r w:rsidR="00FD0B4D" w:rsidRPr="0064618B">
        <w:rPr>
          <w:rStyle w:val="Para1"/>
          <w:snapToGrid/>
          <w:kern w:val="22"/>
        </w:rPr>
        <w:t>по охвату и амбициозности целевой задаче, принятой в Айти</w:t>
      </w:r>
      <w:r w:rsidR="00FD0B4D" w:rsidRPr="00690DD5">
        <w:rPr>
          <w:snapToGrid/>
          <w:kern w:val="22"/>
          <w:sz w:val="18"/>
          <w:vertAlign w:val="superscript"/>
        </w:rPr>
        <w:footnoteReference w:id="14"/>
      </w:r>
      <w:r w:rsidR="00FD0B4D" w:rsidRPr="0064618B">
        <w:rPr>
          <w:rStyle w:val="Para1"/>
          <w:snapToGrid/>
          <w:kern w:val="22"/>
        </w:rPr>
        <w:t>, тогда как 6</w:t>
      </w:r>
      <w:r w:rsidR="00FC353C" w:rsidRPr="0064618B">
        <w:rPr>
          <w:rStyle w:val="Para1"/>
          <w:snapToGrid/>
          <w:kern w:val="22"/>
        </w:rPr>
        <w:t>5</w:t>
      </w:r>
      <w:r w:rsidR="00FD0B4D" w:rsidRPr="0064618B">
        <w:rPr>
          <w:rStyle w:val="Para1"/>
          <w:snapToGrid/>
          <w:kern w:val="22"/>
        </w:rPr>
        <w:t xml:space="preserve"> </w:t>
      </w:r>
      <w:r w:rsidR="00D736EC" w:rsidRPr="0064618B">
        <w:rPr>
          <w:rStyle w:val="Para1"/>
          <w:snapToGrid/>
          <w:kern w:val="22"/>
        </w:rPr>
        <w:t>%</w:t>
      </w:r>
      <w:r w:rsidR="00FD0B4D" w:rsidRPr="0064618B">
        <w:rPr>
          <w:rStyle w:val="Para1"/>
          <w:snapToGrid/>
          <w:kern w:val="22"/>
        </w:rPr>
        <w:t xml:space="preserve"> содержат целевые задачи с более низким уровнем амбициозности или не включающие всех элементов целевой задачи, принятой в Айти. </w:t>
      </w:r>
      <w:r w:rsidR="00FC353C" w:rsidRPr="0064618B">
        <w:rPr>
          <w:rStyle w:val="Para1"/>
          <w:snapToGrid/>
          <w:kern w:val="22"/>
        </w:rPr>
        <w:t xml:space="preserve">Около </w:t>
      </w:r>
      <w:r w:rsidR="00FD0B4D" w:rsidRPr="0064618B">
        <w:rPr>
          <w:rStyle w:val="Para1"/>
          <w:snapToGrid/>
          <w:kern w:val="22"/>
        </w:rPr>
        <w:t>четверти (2</w:t>
      </w:r>
      <w:r w:rsidR="00FC353C" w:rsidRPr="0064618B">
        <w:rPr>
          <w:rStyle w:val="Para1"/>
          <w:snapToGrid/>
          <w:kern w:val="22"/>
        </w:rPr>
        <w:t>4</w:t>
      </w:r>
      <w:r w:rsidR="00FD0B4D" w:rsidRPr="0064618B">
        <w:rPr>
          <w:rStyle w:val="Para1"/>
          <w:snapToGrid/>
          <w:kern w:val="22"/>
        </w:rPr>
        <w:t xml:space="preserve"> </w:t>
      </w:r>
      <w:r w:rsidR="00D736EC" w:rsidRPr="0064618B">
        <w:rPr>
          <w:rStyle w:val="Para1"/>
          <w:snapToGrid/>
          <w:kern w:val="22"/>
        </w:rPr>
        <w:t>%</w:t>
      </w:r>
      <w:r w:rsidR="00FD0B4D" w:rsidRPr="0064618B">
        <w:rPr>
          <w:rStyle w:val="Para1"/>
          <w:snapToGrid/>
          <w:kern w:val="22"/>
        </w:rPr>
        <w:t>) НСПДСБ не содержат целевых задач, связанных с настоящей целевой задачей. Среди поставленных целевых задач лишь в немногих упоминается необходимость не допускать, чтобы последствия использования природных ресурсов нарушали экологическую устойчивость. Большинство поставленных целевых задач упоминают устойчивое использование в целом и не затрагивают конкретного устойчивого производства и потребления.</w:t>
      </w:r>
    </w:p>
    <w:p w:rsidR="00660906" w:rsidRPr="0064618B" w:rsidRDefault="00FD0B4D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4618B">
        <w:rPr>
          <w:rStyle w:val="Para1"/>
          <w:snapToGrid/>
          <w:kern w:val="22"/>
        </w:rPr>
        <w:t xml:space="preserve">Только </w:t>
      </w:r>
      <w:r w:rsidR="0059062D" w:rsidRPr="0064618B">
        <w:rPr>
          <w:rStyle w:val="Para1"/>
          <w:snapToGrid/>
          <w:kern w:val="22"/>
        </w:rPr>
        <w:t>3</w:t>
      </w:r>
      <w:r w:rsidR="00EF0A11" w:rsidRPr="0064618B">
        <w:rPr>
          <w:rStyle w:val="Para1"/>
          <w:snapToGrid/>
          <w:kern w:val="22"/>
        </w:rPr>
        <w:t> </w:t>
      </w:r>
      <w:r w:rsidR="008C3313" w:rsidRPr="0064618B">
        <w:rPr>
          <w:rStyle w:val="Para1"/>
          <w:snapToGrid/>
          <w:kern w:val="22"/>
        </w:rPr>
        <w:t>%</w:t>
      </w:r>
      <w:r w:rsidRPr="0064618B">
        <w:rPr>
          <w:rStyle w:val="Para1"/>
          <w:snapToGrid/>
          <w:kern w:val="22"/>
        </w:rPr>
        <w:t xml:space="preserve"> национальных докладов содержа</w:t>
      </w:r>
      <w:r w:rsidR="002E6835" w:rsidRPr="0064618B">
        <w:rPr>
          <w:rStyle w:val="Para1"/>
          <w:snapToGrid/>
          <w:kern w:val="22"/>
        </w:rPr>
        <w:t>т</w:t>
      </w:r>
      <w:r w:rsidRPr="0064618B">
        <w:rPr>
          <w:rStyle w:val="Para1"/>
          <w:snapToGrid/>
          <w:kern w:val="22"/>
        </w:rPr>
        <w:t xml:space="preserve"> информацию, указывающую на возможность выполнения данной целевой задачи к установленному сроку. Более половины (5</w:t>
      </w:r>
      <w:r w:rsidR="0059062D" w:rsidRPr="0064618B">
        <w:rPr>
          <w:rStyle w:val="Para1"/>
          <w:snapToGrid/>
          <w:kern w:val="22"/>
        </w:rPr>
        <w:t>4</w:t>
      </w:r>
      <w:r w:rsidRPr="0064618B">
        <w:rPr>
          <w:rStyle w:val="Para1"/>
          <w:snapToGrid/>
          <w:kern w:val="22"/>
        </w:rPr>
        <w:t xml:space="preserve"> </w:t>
      </w:r>
      <w:r w:rsidR="00D736EC" w:rsidRPr="0064618B">
        <w:rPr>
          <w:rStyle w:val="Para1"/>
          <w:snapToGrid/>
          <w:kern w:val="22"/>
        </w:rPr>
        <w:t>%</w:t>
      </w:r>
      <w:r w:rsidRPr="0064618B">
        <w:rPr>
          <w:rStyle w:val="Para1"/>
          <w:snapToGrid/>
          <w:kern w:val="22"/>
        </w:rPr>
        <w:t xml:space="preserve">) национальных докладов содержат информацию, указывающую на достигнутые результаты </w:t>
      </w:r>
      <w:r w:rsidR="00A06FA5" w:rsidRPr="0064618B">
        <w:rPr>
          <w:rStyle w:val="Para1"/>
          <w:snapToGrid/>
          <w:kern w:val="22"/>
        </w:rPr>
        <w:t>выполнения</w:t>
      </w:r>
      <w:r w:rsidRPr="0064618B">
        <w:rPr>
          <w:rStyle w:val="Para1"/>
          <w:snapToGrid/>
          <w:kern w:val="22"/>
        </w:rPr>
        <w:t xml:space="preserve"> целевой задачи, но темпы выполнения не обеспечивают достижения такой целевой </w:t>
      </w:r>
      <w:r w:rsidRPr="0064618B">
        <w:rPr>
          <w:rStyle w:val="Para1"/>
          <w:snapToGrid/>
          <w:kern w:val="22"/>
        </w:rPr>
        <w:lastRenderedPageBreak/>
        <w:t xml:space="preserve">задачи к 2020 году. </w:t>
      </w:r>
      <w:r w:rsidR="0059062D" w:rsidRPr="0064618B">
        <w:rPr>
          <w:rStyle w:val="Para1"/>
          <w:snapToGrid/>
          <w:kern w:val="22"/>
        </w:rPr>
        <w:t xml:space="preserve">Почти треть </w:t>
      </w:r>
      <w:r w:rsidR="00482418" w:rsidRPr="0064618B">
        <w:rPr>
          <w:rStyle w:val="Para1"/>
          <w:snapToGrid/>
          <w:kern w:val="22"/>
        </w:rPr>
        <w:t xml:space="preserve">докладов </w:t>
      </w:r>
      <w:r w:rsidR="0059062D" w:rsidRPr="0064618B">
        <w:rPr>
          <w:rStyle w:val="Para1"/>
          <w:snapToGrid/>
          <w:kern w:val="22"/>
        </w:rPr>
        <w:t xml:space="preserve">(31 %) </w:t>
      </w:r>
      <w:r w:rsidR="001B3807" w:rsidRPr="0064618B">
        <w:rPr>
          <w:rStyle w:val="Para1"/>
          <w:snapToGrid/>
          <w:kern w:val="22"/>
        </w:rPr>
        <w:t>указывают на</w:t>
      </w:r>
      <w:r w:rsidR="0059062D" w:rsidRPr="0064618B">
        <w:rPr>
          <w:rStyle w:val="Para1"/>
          <w:snapToGrid/>
          <w:kern w:val="22"/>
        </w:rPr>
        <w:t xml:space="preserve"> остутстви</w:t>
      </w:r>
      <w:r w:rsidR="001B3807" w:rsidRPr="0064618B">
        <w:rPr>
          <w:rStyle w:val="Para1"/>
          <w:snapToGrid/>
          <w:kern w:val="22"/>
        </w:rPr>
        <w:t>е</w:t>
      </w:r>
      <w:r w:rsidR="0059062D" w:rsidRPr="0064618B">
        <w:rPr>
          <w:rStyle w:val="Para1"/>
          <w:snapToGrid/>
          <w:kern w:val="22"/>
        </w:rPr>
        <w:t xml:space="preserve"> существенных изменений.</w:t>
      </w:r>
      <w:r w:rsidR="00B078E7" w:rsidRPr="0064618B">
        <w:rPr>
          <w:rStyle w:val="Para1"/>
          <w:snapToGrid/>
          <w:kern w:val="22"/>
        </w:rPr>
        <w:t xml:space="preserve"> </w:t>
      </w:r>
      <w:r w:rsidRPr="0064618B">
        <w:rPr>
          <w:rStyle w:val="Para1"/>
          <w:snapToGrid/>
          <w:kern w:val="22"/>
        </w:rPr>
        <w:t xml:space="preserve">Достигнутые результаты </w:t>
      </w:r>
      <w:r w:rsidR="00A06FA5" w:rsidRPr="0064618B">
        <w:rPr>
          <w:rStyle w:val="Para1"/>
          <w:snapToGrid/>
          <w:kern w:val="22"/>
        </w:rPr>
        <w:t>выполнения</w:t>
      </w:r>
      <w:r w:rsidRPr="0064618B">
        <w:rPr>
          <w:rStyle w:val="Para1"/>
          <w:snapToGrid/>
          <w:kern w:val="22"/>
        </w:rPr>
        <w:t>, по всей видимости, в гораздо большей степени относ</w:t>
      </w:r>
      <w:r w:rsidR="002E6835" w:rsidRPr="0064618B">
        <w:rPr>
          <w:rStyle w:val="Para1"/>
          <w:snapToGrid/>
          <w:kern w:val="22"/>
        </w:rPr>
        <w:t xml:space="preserve">ятся </w:t>
      </w:r>
      <w:r w:rsidRPr="0064618B">
        <w:rPr>
          <w:rStyle w:val="Para1"/>
          <w:snapToGrid/>
          <w:kern w:val="22"/>
        </w:rPr>
        <w:t>к принятию мер по содействию устойчивому производству в целом. В то время как отмечались сравнительно менее заметные достигнутые результаты по вопросам, связанным с устойчивым потреблением, и немногие из докладов содержа</w:t>
      </w:r>
      <w:r w:rsidR="002E6835" w:rsidRPr="0064618B">
        <w:rPr>
          <w:rStyle w:val="Para1"/>
          <w:snapToGrid/>
          <w:kern w:val="22"/>
        </w:rPr>
        <w:t xml:space="preserve">т </w:t>
      </w:r>
      <w:r w:rsidRPr="0064618B">
        <w:rPr>
          <w:rStyle w:val="Para1"/>
          <w:snapToGrid/>
          <w:kern w:val="22"/>
        </w:rPr>
        <w:t>информацию, относящуюся к мерам, призванным не допускать, чтобы последствия использования природных ресурсов нарушали экологическую устойчивость.</w:t>
      </w:r>
    </w:p>
    <w:p w:rsidR="00FD0B4D" w:rsidRPr="00690DD5" w:rsidRDefault="00FD0B4D" w:rsidP="00FD0B4D">
      <w:pPr>
        <w:spacing w:after="120"/>
        <w:rPr>
          <w:rFonts w:cs="Times New Roman"/>
          <w:i/>
          <w:iCs/>
          <w:color w:val="333333"/>
          <w:shd w:val="clear" w:color="000000" w:fill="auto"/>
        </w:rPr>
      </w:pPr>
      <w:r w:rsidRPr="00690DD5">
        <w:rPr>
          <w:rStyle w:val="Normal"/>
          <w:i/>
          <w:color w:val="333333"/>
        </w:rPr>
        <w:t>Целевая задача 5</w:t>
      </w:r>
      <w:r w:rsidR="00EF0A11" w:rsidRPr="00690DD5">
        <w:rPr>
          <w:rStyle w:val="Normal"/>
          <w:i/>
          <w:color w:val="333333"/>
        </w:rPr>
        <w:t>.</w:t>
      </w:r>
      <w:r w:rsidR="00660906" w:rsidRPr="00690DD5">
        <w:rPr>
          <w:rStyle w:val="Normal"/>
          <w:i/>
          <w:color w:val="333333"/>
        </w:rPr>
        <w:t xml:space="preserve"> </w:t>
      </w:r>
      <w:r w:rsidRPr="00690DD5">
        <w:rPr>
          <w:rStyle w:val="Normal"/>
          <w:i/>
          <w:color w:val="333333"/>
        </w:rPr>
        <w:t xml:space="preserve">К 2020 году темпы утраты всех естественных мест обитания, включая леса, </w:t>
      </w:r>
      <w:r w:rsidR="00304A36">
        <w:rPr>
          <w:rStyle w:val="Normal"/>
          <w:i/>
          <w:color w:val="333333"/>
        </w:rPr>
        <w:t xml:space="preserve">как минимум </w:t>
      </w:r>
      <w:r w:rsidRPr="00690DD5">
        <w:rPr>
          <w:rStyle w:val="Normal"/>
          <w:i/>
          <w:color w:val="333333"/>
        </w:rPr>
        <w:t>сокращены наполовину и там, где осуществимо, приведены почти к нулю, а деградация и фрагментация существенно снижены.</w:t>
      </w:r>
    </w:p>
    <w:p w:rsidR="00290E15" w:rsidRDefault="00FD0B4D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290E15">
        <w:rPr>
          <w:rStyle w:val="Para1"/>
          <w:snapToGrid/>
          <w:kern w:val="22"/>
        </w:rPr>
        <w:t xml:space="preserve">Из всех оценивавшихся НСПДСБ в </w:t>
      </w:r>
      <w:r w:rsidR="00A41B86" w:rsidRPr="00290E15">
        <w:rPr>
          <w:rStyle w:val="Para1"/>
          <w:snapToGrid/>
          <w:kern w:val="22"/>
        </w:rPr>
        <w:t>6</w:t>
      </w:r>
      <w:r w:rsidR="008072D0" w:rsidRPr="00290E15">
        <w:rPr>
          <w:rStyle w:val="Para1"/>
          <w:snapToGrid/>
          <w:kern w:val="22"/>
        </w:rPr>
        <w:t> </w:t>
      </w:r>
      <w:r w:rsidR="00D736EC" w:rsidRPr="00290E15">
        <w:rPr>
          <w:rStyle w:val="Para1"/>
          <w:snapToGrid/>
          <w:kern w:val="22"/>
        </w:rPr>
        <w:t>%</w:t>
      </w:r>
      <w:r w:rsidRPr="00290E15">
        <w:rPr>
          <w:rStyle w:val="Para1"/>
          <w:snapToGrid/>
          <w:kern w:val="22"/>
        </w:rPr>
        <w:t xml:space="preserve"> содержа</w:t>
      </w:r>
      <w:r w:rsidR="002E6835" w:rsidRPr="00290E15">
        <w:rPr>
          <w:rStyle w:val="Para1"/>
          <w:snapToGrid/>
          <w:kern w:val="22"/>
        </w:rPr>
        <w:t>тся</w:t>
      </w:r>
      <w:r w:rsidRPr="00290E15">
        <w:rPr>
          <w:rStyle w:val="Para1"/>
          <w:snapToGrid/>
          <w:kern w:val="22"/>
        </w:rPr>
        <w:t xml:space="preserve"> целевые задачи или обязательства, которые обладают сходным охватом и уровнем амбициозности по сравнению с целевой задачей 5, принятой в Айти</w:t>
      </w:r>
      <w:r w:rsidRPr="00690DD5">
        <w:rPr>
          <w:snapToGrid/>
          <w:kern w:val="22"/>
          <w:sz w:val="18"/>
          <w:vertAlign w:val="superscript"/>
        </w:rPr>
        <w:footnoteReference w:id="15"/>
      </w:r>
      <w:r w:rsidRPr="00290E15">
        <w:rPr>
          <w:rStyle w:val="Para1"/>
          <w:snapToGrid/>
          <w:kern w:val="22"/>
        </w:rPr>
        <w:t xml:space="preserve">, тогда как </w:t>
      </w:r>
      <w:r w:rsidR="008C3313" w:rsidRPr="00290E15">
        <w:rPr>
          <w:rStyle w:val="Para1"/>
          <w:snapToGrid/>
          <w:kern w:val="22"/>
        </w:rPr>
        <w:t>1</w:t>
      </w:r>
      <w:r w:rsidRPr="00290E15">
        <w:rPr>
          <w:rStyle w:val="Para1"/>
          <w:snapToGrid/>
          <w:kern w:val="22"/>
        </w:rPr>
        <w:t xml:space="preserve"> </w:t>
      </w:r>
      <w:r w:rsidR="008C3313" w:rsidRPr="00290E15">
        <w:rPr>
          <w:rStyle w:val="Para1"/>
          <w:snapToGrid/>
          <w:kern w:val="22"/>
        </w:rPr>
        <w:t>%</w:t>
      </w:r>
      <w:r w:rsidRPr="00290E15">
        <w:rPr>
          <w:rStyle w:val="Para1"/>
          <w:snapToGrid/>
          <w:kern w:val="22"/>
        </w:rPr>
        <w:t xml:space="preserve"> содержа</w:t>
      </w:r>
      <w:r w:rsidR="002E6835" w:rsidRPr="00290E15">
        <w:rPr>
          <w:rStyle w:val="Para1"/>
          <w:snapToGrid/>
          <w:kern w:val="22"/>
        </w:rPr>
        <w:t>т</w:t>
      </w:r>
      <w:r w:rsidRPr="00290E15">
        <w:rPr>
          <w:rStyle w:val="Para1"/>
          <w:snapToGrid/>
          <w:kern w:val="22"/>
        </w:rPr>
        <w:t xml:space="preserve"> целевые задачи более амбициозные по сравнению с целевой задачей, принятой в Айти</w:t>
      </w:r>
      <w:r w:rsidR="00660906" w:rsidRPr="00690DD5">
        <w:rPr>
          <w:snapToGrid/>
          <w:kern w:val="22"/>
          <w:sz w:val="18"/>
          <w:vertAlign w:val="superscript"/>
        </w:rPr>
        <w:footnoteReference w:id="16"/>
      </w:r>
      <w:r w:rsidRPr="00290E15">
        <w:rPr>
          <w:rStyle w:val="Para1"/>
          <w:snapToGrid/>
          <w:kern w:val="22"/>
        </w:rPr>
        <w:t xml:space="preserve">. </w:t>
      </w:r>
      <w:r w:rsidR="0043075F" w:rsidRPr="00290E15">
        <w:rPr>
          <w:rStyle w:val="Para1"/>
          <w:snapToGrid/>
          <w:kern w:val="22"/>
        </w:rPr>
        <w:t xml:space="preserve">Почти три четверти </w:t>
      </w:r>
      <w:r w:rsidRPr="00290E15">
        <w:rPr>
          <w:rStyle w:val="Para1"/>
          <w:snapToGrid/>
          <w:kern w:val="22"/>
        </w:rPr>
        <w:t>(</w:t>
      </w:r>
      <w:r w:rsidR="0043075F" w:rsidRPr="00290E15">
        <w:rPr>
          <w:rStyle w:val="Para1"/>
          <w:snapToGrid/>
          <w:kern w:val="22"/>
        </w:rPr>
        <w:t>7</w:t>
      </w:r>
      <w:r w:rsidR="00A41B86" w:rsidRPr="00290E15">
        <w:rPr>
          <w:rStyle w:val="Para1"/>
          <w:snapToGrid/>
          <w:kern w:val="22"/>
        </w:rPr>
        <w:t>4</w:t>
      </w:r>
      <w:r w:rsidRPr="00290E15">
        <w:rPr>
          <w:rStyle w:val="Para1"/>
          <w:snapToGrid/>
          <w:kern w:val="22"/>
        </w:rPr>
        <w:t xml:space="preserve"> </w:t>
      </w:r>
      <w:r w:rsidR="00D736EC" w:rsidRPr="00290E15">
        <w:rPr>
          <w:rStyle w:val="Para1"/>
          <w:snapToGrid/>
          <w:kern w:val="22"/>
        </w:rPr>
        <w:t>%</w:t>
      </w:r>
      <w:r w:rsidRPr="00290E15">
        <w:rPr>
          <w:rStyle w:val="Para1"/>
          <w:snapToGrid/>
          <w:kern w:val="22"/>
        </w:rPr>
        <w:t xml:space="preserve">) НСПДСБ содержат целевые задачи с более низким уровнем амбициозности или непосредственно не </w:t>
      </w:r>
      <w:r w:rsidR="00AB0A01" w:rsidRPr="00290E15">
        <w:rPr>
          <w:rStyle w:val="Para1"/>
          <w:snapToGrid/>
          <w:kern w:val="22"/>
        </w:rPr>
        <w:t>охватывают</w:t>
      </w:r>
      <w:r w:rsidRPr="00290E15">
        <w:rPr>
          <w:rStyle w:val="Para1"/>
          <w:snapToGrid/>
          <w:kern w:val="22"/>
        </w:rPr>
        <w:t xml:space="preserve"> всех элементов целевой задачи, принятой в Айти, тогда как </w:t>
      </w:r>
      <w:r w:rsidR="0043075F" w:rsidRPr="00290E15">
        <w:rPr>
          <w:rStyle w:val="Para1"/>
          <w:snapToGrid/>
          <w:kern w:val="22"/>
        </w:rPr>
        <w:t>пятая часть</w:t>
      </w:r>
      <w:r w:rsidRPr="00290E15">
        <w:rPr>
          <w:rStyle w:val="Para1"/>
          <w:snapToGrid/>
          <w:kern w:val="22"/>
        </w:rPr>
        <w:t xml:space="preserve"> (2</w:t>
      </w:r>
      <w:r w:rsidR="00A41B86" w:rsidRPr="00290E15">
        <w:rPr>
          <w:rStyle w:val="Para1"/>
          <w:snapToGrid/>
          <w:kern w:val="22"/>
        </w:rPr>
        <w:t>0</w:t>
      </w:r>
      <w:r w:rsidR="008072D0" w:rsidRPr="00290E15">
        <w:rPr>
          <w:rStyle w:val="Para1"/>
          <w:snapToGrid/>
          <w:kern w:val="22"/>
        </w:rPr>
        <w:t> </w:t>
      </w:r>
      <w:r w:rsidR="008C3313" w:rsidRPr="00290E15">
        <w:rPr>
          <w:rStyle w:val="Para1"/>
          <w:snapToGrid/>
          <w:kern w:val="22"/>
        </w:rPr>
        <w:t>%</w:t>
      </w:r>
      <w:r w:rsidRPr="00290E15">
        <w:rPr>
          <w:rStyle w:val="Para1"/>
          <w:snapToGrid/>
          <w:kern w:val="22"/>
        </w:rPr>
        <w:t xml:space="preserve">) </w:t>
      </w:r>
      <w:r w:rsidR="008072D0" w:rsidRPr="00290E15">
        <w:rPr>
          <w:rStyle w:val="Para1"/>
          <w:snapToGrid/>
          <w:kern w:val="22"/>
        </w:rPr>
        <w:t>НСПДСБ</w:t>
      </w:r>
      <w:r w:rsidRPr="00290E15">
        <w:rPr>
          <w:rStyle w:val="Para1"/>
          <w:snapToGrid/>
          <w:kern w:val="22"/>
        </w:rPr>
        <w:t xml:space="preserve"> не содержит никаких соответствующих целевых задач. Большинство поставленных целевых задач относится к сокращению утраты мест обитания в природных условиях в целом. Большинство национальных целевых задач, в которых указаны конкретные места обитания, относятся к лесам. При этом также упоминаются мангровые леса, коралловые рифы, реки, пастбищные угодья и морская среда, но в гораздо меньшей степени. В немногих национальных целевых задачах указана величина сокращения темпов утраты мест обитания и немногие из них напрямую затрагивают деградацию или фрагментацию мест обитания.</w:t>
      </w:r>
    </w:p>
    <w:p w:rsidR="00660906" w:rsidRPr="00290E15" w:rsidRDefault="00FD0B4D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290E15">
        <w:rPr>
          <w:rStyle w:val="Para1"/>
          <w:snapToGrid/>
          <w:kern w:val="22"/>
        </w:rPr>
        <w:t xml:space="preserve">Только в </w:t>
      </w:r>
      <w:r w:rsidR="00C176F8" w:rsidRPr="00290E15">
        <w:rPr>
          <w:rStyle w:val="Para1"/>
          <w:snapToGrid/>
          <w:kern w:val="22"/>
        </w:rPr>
        <w:t>5</w:t>
      </w:r>
      <w:r w:rsidR="00EF0A11" w:rsidRPr="00290E15">
        <w:rPr>
          <w:rStyle w:val="Para1"/>
          <w:snapToGrid/>
          <w:kern w:val="22"/>
        </w:rPr>
        <w:t> </w:t>
      </w:r>
      <w:r w:rsidR="00D736EC" w:rsidRPr="00290E15">
        <w:rPr>
          <w:rStyle w:val="Para1"/>
          <w:snapToGrid/>
          <w:kern w:val="22"/>
        </w:rPr>
        <w:t>%</w:t>
      </w:r>
      <w:r w:rsidRPr="00290E15">
        <w:rPr>
          <w:rStyle w:val="Para1"/>
          <w:snapToGrid/>
          <w:kern w:val="22"/>
        </w:rPr>
        <w:t xml:space="preserve"> национальных докладов содерж</w:t>
      </w:r>
      <w:r w:rsidR="002E6835" w:rsidRPr="00290E15">
        <w:rPr>
          <w:rStyle w:val="Para1"/>
          <w:snapToGrid/>
          <w:kern w:val="22"/>
        </w:rPr>
        <w:t>ится</w:t>
      </w:r>
      <w:r w:rsidRPr="00290E15">
        <w:rPr>
          <w:rStyle w:val="Para1"/>
          <w:snapToGrid/>
          <w:kern w:val="22"/>
        </w:rPr>
        <w:t xml:space="preserve"> информация, указывающая на возможность выполнения данной целевой задачи к установленному сроку. </w:t>
      </w:r>
      <w:r w:rsidR="00C176F8" w:rsidRPr="00290E15">
        <w:rPr>
          <w:rStyle w:val="Para1"/>
          <w:snapToGrid/>
          <w:kern w:val="22"/>
        </w:rPr>
        <w:t xml:space="preserve">Более 40 процентов </w:t>
      </w:r>
      <w:r w:rsidR="00F74DEE" w:rsidRPr="00290E15">
        <w:rPr>
          <w:rStyle w:val="Para1"/>
          <w:snapToGrid/>
          <w:kern w:val="22"/>
        </w:rPr>
        <w:t>докладов с</w:t>
      </w:r>
      <w:r w:rsidR="00C176F8" w:rsidRPr="00290E15">
        <w:rPr>
          <w:rStyle w:val="Para1"/>
          <w:snapToGrid/>
          <w:kern w:val="22"/>
        </w:rPr>
        <w:t xml:space="preserve">одержат информацию, </w:t>
      </w:r>
      <w:r w:rsidR="00833684" w:rsidRPr="00290E15">
        <w:rPr>
          <w:rStyle w:val="Para1"/>
          <w:snapToGrid/>
          <w:kern w:val="22"/>
        </w:rPr>
        <w:t>указывающую на отсутствие изменений или ухудшение положения с утратой мест обитания</w:t>
      </w:r>
      <w:r w:rsidR="00C176F8" w:rsidRPr="00290E15">
        <w:rPr>
          <w:rStyle w:val="Para1"/>
          <w:snapToGrid/>
          <w:kern w:val="22"/>
        </w:rPr>
        <w:t>, в то время как</w:t>
      </w:r>
      <w:r w:rsidR="00DE141D" w:rsidRPr="00290E15">
        <w:rPr>
          <w:rStyle w:val="Para1"/>
          <w:snapToGrid/>
          <w:kern w:val="22"/>
        </w:rPr>
        <w:t xml:space="preserve"> </w:t>
      </w:r>
      <w:r w:rsidR="00201DE1" w:rsidRPr="00290E15">
        <w:rPr>
          <w:rStyle w:val="Para1"/>
          <w:snapToGrid/>
          <w:kern w:val="22"/>
        </w:rPr>
        <w:t>такое же к</w:t>
      </w:r>
      <w:r w:rsidR="00DE141D" w:rsidRPr="00290E15">
        <w:rPr>
          <w:rStyle w:val="Para1"/>
          <w:snapToGrid/>
          <w:kern w:val="22"/>
        </w:rPr>
        <w:t xml:space="preserve">оличество докладов </w:t>
      </w:r>
      <w:r w:rsidR="00A40A7D" w:rsidRPr="00290E15">
        <w:rPr>
          <w:rStyle w:val="Para1"/>
          <w:snapToGrid/>
          <w:kern w:val="22"/>
        </w:rPr>
        <w:t>указывает на то,</w:t>
      </w:r>
      <w:r w:rsidR="00DE141D" w:rsidRPr="00290E15">
        <w:rPr>
          <w:rStyle w:val="Para1"/>
          <w:snapToGrid/>
          <w:kern w:val="22"/>
        </w:rPr>
        <w:t xml:space="preserve"> что </w:t>
      </w:r>
      <w:r w:rsidR="00C176F8" w:rsidRPr="00290E15">
        <w:rPr>
          <w:rStyle w:val="Para1"/>
          <w:snapToGrid/>
          <w:kern w:val="22"/>
        </w:rPr>
        <w:t>прогресс достиг</w:t>
      </w:r>
      <w:r w:rsidR="00DE141D" w:rsidRPr="00290E15">
        <w:rPr>
          <w:rStyle w:val="Para1"/>
          <w:snapToGrid/>
          <w:kern w:val="22"/>
        </w:rPr>
        <w:t xml:space="preserve">ается, </w:t>
      </w:r>
      <w:r w:rsidR="00C176F8" w:rsidRPr="00290E15">
        <w:rPr>
          <w:rStyle w:val="Para1"/>
          <w:snapToGrid/>
          <w:kern w:val="22"/>
        </w:rPr>
        <w:t>но не с такой скоростью, которая позволила бы достичь цели к 2020 году.</w:t>
      </w:r>
      <w:r w:rsidR="00F74DEE" w:rsidRPr="00290E15">
        <w:rPr>
          <w:rStyle w:val="Para1"/>
          <w:snapToGrid/>
          <w:kern w:val="22"/>
        </w:rPr>
        <w:t xml:space="preserve"> </w:t>
      </w:r>
      <w:r w:rsidRPr="00290E15">
        <w:rPr>
          <w:rStyle w:val="Para1"/>
          <w:snapToGrid/>
          <w:kern w:val="22"/>
        </w:rPr>
        <w:t>Информация в национальных докладах показывает, что равное внимание уделяется сокращению утраты мест обитания и деградации и фрагментации мест обитания.</w:t>
      </w:r>
    </w:p>
    <w:p w:rsidR="00FD0B4D" w:rsidRPr="00690DD5" w:rsidRDefault="00FD0B4D" w:rsidP="00FD0B4D">
      <w:pPr>
        <w:spacing w:after="120"/>
        <w:rPr>
          <w:rFonts w:cs="Times New Roman"/>
          <w:i/>
          <w:iCs/>
          <w:color w:val="333333"/>
          <w:shd w:val="clear" w:color="000000" w:fill="auto"/>
        </w:rPr>
      </w:pPr>
      <w:r w:rsidRPr="00690DD5">
        <w:rPr>
          <w:rStyle w:val="Normal"/>
          <w:i/>
          <w:color w:val="333333"/>
        </w:rPr>
        <w:t>Целевая задача 6</w:t>
      </w:r>
      <w:r w:rsidR="00EF0A11" w:rsidRPr="00690DD5">
        <w:rPr>
          <w:rStyle w:val="Normal"/>
          <w:i/>
          <w:color w:val="333333"/>
        </w:rPr>
        <w:t>.</w:t>
      </w:r>
      <w:r w:rsidR="00660906" w:rsidRPr="00690DD5">
        <w:rPr>
          <w:rStyle w:val="Normal"/>
          <w:i/>
          <w:color w:val="333333"/>
        </w:rPr>
        <w:t xml:space="preserve"> </w:t>
      </w:r>
      <w:r w:rsidRPr="00690DD5">
        <w:rPr>
          <w:rStyle w:val="Normal"/>
          <w:i/>
          <w:color w:val="333333"/>
        </w:rPr>
        <w:t>К 2020 году регулирование и промысел всех запасов рыбы и беспозвоночных и водяных растений осуществляются устойчиво, на законных основаниях и с применением подходов с позиций экосистем, чтобы избегать чрезмерной эксплуатации рыбных ресурсов</w:t>
      </w:r>
      <w:r w:rsidR="004D5FB8">
        <w:rPr>
          <w:rStyle w:val="Normal"/>
          <w:i/>
          <w:color w:val="333333"/>
        </w:rPr>
        <w:t>,</w:t>
      </w:r>
      <w:r w:rsidRPr="00690DD5">
        <w:rPr>
          <w:rStyle w:val="Normal"/>
          <w:i/>
          <w:color w:val="333333"/>
        </w:rPr>
        <w:t xml:space="preserve"> внедрены планы и меры восстановления всех истощенных видов, рыболовный промысел не оказывает значительного неблагоприятного воздействия на угрожаемые виды и уязвимые экосистемы и воздействие рыболовства на живые запасы, виды и экосистемы не превышает экологически безопасных пределов.</w:t>
      </w:r>
    </w:p>
    <w:p w:rsidR="00FD0B4D" w:rsidRPr="00690DD5" w:rsidRDefault="00FD0B4D" w:rsidP="00660906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 w:rsidRPr="00690DD5">
        <w:rPr>
          <w:rStyle w:val="Para1"/>
          <w:snapToGrid/>
          <w:kern w:val="22"/>
        </w:rPr>
        <w:t xml:space="preserve">Только в </w:t>
      </w:r>
      <w:r w:rsidR="00362378">
        <w:rPr>
          <w:rStyle w:val="Para1"/>
          <w:snapToGrid/>
          <w:kern w:val="22"/>
        </w:rPr>
        <w:t>8</w:t>
      </w:r>
      <w:r w:rsidR="00EF0A11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оценивавшихся НСПДСБ содержались национальные целевые задачи или обязательства, которые были аналогичны по охвату и уровню амбициозности установленным в данной целевой задаче, принятой в Айти</w:t>
      </w:r>
      <w:r w:rsidR="00660906" w:rsidRPr="00690DD5">
        <w:rPr>
          <w:snapToGrid/>
          <w:kern w:val="22"/>
          <w:sz w:val="18"/>
          <w:vertAlign w:val="superscript"/>
        </w:rPr>
        <w:footnoteReference w:id="17"/>
      </w:r>
      <w:r w:rsidRPr="00690DD5">
        <w:rPr>
          <w:rStyle w:val="Para1"/>
          <w:snapToGrid/>
          <w:kern w:val="22"/>
        </w:rPr>
        <w:t xml:space="preserve">. </w:t>
      </w:r>
      <w:r w:rsidR="0043075F" w:rsidRPr="00690DD5">
        <w:rPr>
          <w:rStyle w:val="Para1"/>
          <w:snapToGrid/>
          <w:kern w:val="22"/>
        </w:rPr>
        <w:t xml:space="preserve">Более </w:t>
      </w:r>
      <w:r w:rsidRPr="00690DD5">
        <w:rPr>
          <w:rStyle w:val="Para1"/>
          <w:snapToGrid/>
          <w:kern w:val="22"/>
        </w:rPr>
        <w:t>половин</w:t>
      </w:r>
      <w:r w:rsidR="0043075F" w:rsidRPr="00690DD5">
        <w:rPr>
          <w:rStyle w:val="Para1"/>
          <w:snapToGrid/>
          <w:kern w:val="22"/>
        </w:rPr>
        <w:t>ы</w:t>
      </w:r>
      <w:r w:rsidRPr="00690DD5">
        <w:rPr>
          <w:rStyle w:val="Para1"/>
          <w:snapToGrid/>
          <w:kern w:val="22"/>
        </w:rPr>
        <w:t xml:space="preserve"> (</w:t>
      </w:r>
      <w:r w:rsidR="0043075F" w:rsidRPr="00690DD5">
        <w:rPr>
          <w:rStyle w:val="Para1"/>
          <w:snapToGrid/>
          <w:kern w:val="22"/>
        </w:rPr>
        <w:t>5</w:t>
      </w:r>
      <w:r w:rsidR="00362378">
        <w:rPr>
          <w:rStyle w:val="Para1"/>
          <w:snapToGrid/>
          <w:kern w:val="22"/>
        </w:rPr>
        <w:t>9</w:t>
      </w:r>
      <w:r w:rsidR="00EF0A11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) целевых задач в НСПДСБ ниже по уровню целевой задачи, принятой в Айти, или не </w:t>
      </w:r>
      <w:r w:rsidR="0043075F" w:rsidRPr="00690DD5">
        <w:rPr>
          <w:rStyle w:val="Para1"/>
          <w:snapToGrid/>
          <w:kern w:val="22"/>
        </w:rPr>
        <w:t>охватывают</w:t>
      </w:r>
      <w:r w:rsidRPr="00690DD5">
        <w:rPr>
          <w:rStyle w:val="Para1"/>
          <w:snapToGrid/>
          <w:kern w:val="22"/>
        </w:rPr>
        <w:t xml:space="preserve"> всех элементов целевой задачи, принятой в Айти. Данная целевая задача, принятая в Айти, </w:t>
      </w:r>
      <w:r w:rsidR="0084529C" w:rsidRPr="00690DD5">
        <w:rPr>
          <w:rStyle w:val="Para1"/>
          <w:snapToGrid/>
          <w:kern w:val="22"/>
        </w:rPr>
        <w:t>является одной из целевых задач, сопоставимые целевые задачи по которым содержатся в наим</w:t>
      </w:r>
      <w:r w:rsidRPr="00690DD5">
        <w:rPr>
          <w:rStyle w:val="Para1"/>
          <w:snapToGrid/>
          <w:kern w:val="22"/>
        </w:rPr>
        <w:t>еньш</w:t>
      </w:r>
      <w:r w:rsidR="0084529C" w:rsidRPr="00690DD5">
        <w:rPr>
          <w:rStyle w:val="Para1"/>
          <w:snapToGrid/>
          <w:kern w:val="22"/>
        </w:rPr>
        <w:t>ем</w:t>
      </w:r>
      <w:r w:rsidRPr="00690DD5">
        <w:rPr>
          <w:rStyle w:val="Para1"/>
          <w:snapToGrid/>
          <w:kern w:val="22"/>
        </w:rPr>
        <w:t xml:space="preserve"> числ</w:t>
      </w:r>
      <w:r w:rsidR="0084529C" w:rsidRPr="00690DD5">
        <w:rPr>
          <w:rStyle w:val="Para1"/>
          <w:snapToGrid/>
          <w:kern w:val="22"/>
        </w:rPr>
        <w:t>е</w:t>
      </w:r>
      <w:r w:rsidRPr="00690DD5">
        <w:rPr>
          <w:rStyle w:val="Para1"/>
          <w:snapToGrid/>
          <w:kern w:val="22"/>
        </w:rPr>
        <w:t xml:space="preserve"> НСПДСБ</w:t>
      </w:r>
      <w:r w:rsidR="0084529C" w:rsidRPr="00690DD5">
        <w:rPr>
          <w:rStyle w:val="Para1"/>
          <w:snapToGrid/>
          <w:kern w:val="22"/>
        </w:rPr>
        <w:t>.</w:t>
      </w:r>
      <w:r w:rsidR="0043075F" w:rsidRPr="00690DD5">
        <w:rPr>
          <w:rFonts w:eastAsia="Malgun Gothic" w:cs="Times New Roman"/>
          <w:kern w:val="22"/>
          <w:szCs w:val="22"/>
        </w:rPr>
        <w:t xml:space="preserve"> </w:t>
      </w:r>
      <w:r w:rsidRPr="00690DD5">
        <w:rPr>
          <w:rStyle w:val="Para1"/>
          <w:snapToGrid/>
          <w:kern w:val="22"/>
        </w:rPr>
        <w:t xml:space="preserve">В </w:t>
      </w:r>
      <w:r w:rsidR="0084529C" w:rsidRPr="00690DD5">
        <w:rPr>
          <w:rStyle w:val="Para1"/>
          <w:snapToGrid/>
          <w:kern w:val="22"/>
        </w:rPr>
        <w:t>3</w:t>
      </w:r>
      <w:r w:rsidR="0020487B">
        <w:rPr>
          <w:rStyle w:val="Para1"/>
          <w:snapToGrid/>
          <w:kern w:val="22"/>
        </w:rPr>
        <w:t>3</w:t>
      </w:r>
      <w:r w:rsidR="00EF0A11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оцененных НСПДСБ не содерж</w:t>
      </w:r>
      <w:r w:rsidR="002E6835">
        <w:rPr>
          <w:rStyle w:val="Para1"/>
          <w:snapToGrid/>
          <w:kern w:val="22"/>
        </w:rPr>
        <w:t xml:space="preserve">атся </w:t>
      </w:r>
      <w:r w:rsidRPr="00690DD5">
        <w:rPr>
          <w:rStyle w:val="Para1"/>
          <w:snapToGrid/>
          <w:kern w:val="22"/>
        </w:rPr>
        <w:t>национальны</w:t>
      </w:r>
      <w:r w:rsidR="002E6835">
        <w:rPr>
          <w:rStyle w:val="Para1"/>
          <w:snapToGrid/>
          <w:kern w:val="22"/>
        </w:rPr>
        <w:t xml:space="preserve">е </w:t>
      </w:r>
      <w:r w:rsidRPr="00690DD5">
        <w:rPr>
          <w:rStyle w:val="Para1"/>
          <w:snapToGrid/>
          <w:kern w:val="22"/>
        </w:rPr>
        <w:t>целевы</w:t>
      </w:r>
      <w:r w:rsidR="002E6835">
        <w:rPr>
          <w:rStyle w:val="Para1"/>
          <w:snapToGrid/>
          <w:kern w:val="22"/>
        </w:rPr>
        <w:t>е</w:t>
      </w:r>
      <w:r w:rsidRPr="00690DD5">
        <w:rPr>
          <w:rStyle w:val="Para1"/>
          <w:snapToGrid/>
          <w:kern w:val="22"/>
        </w:rPr>
        <w:t xml:space="preserve"> задач</w:t>
      </w:r>
      <w:r w:rsidR="002E6835">
        <w:rPr>
          <w:rStyle w:val="Para1"/>
          <w:snapToGrid/>
          <w:kern w:val="22"/>
        </w:rPr>
        <w:t>и</w:t>
      </w:r>
      <w:r w:rsidRPr="00690DD5">
        <w:rPr>
          <w:rStyle w:val="Para1"/>
          <w:snapToGrid/>
          <w:kern w:val="22"/>
        </w:rPr>
        <w:t xml:space="preserve"> или обязательств</w:t>
      </w:r>
      <w:r w:rsidR="002E6835">
        <w:rPr>
          <w:rStyle w:val="Para1"/>
          <w:snapToGrid/>
          <w:kern w:val="22"/>
        </w:rPr>
        <w:t>а</w:t>
      </w:r>
      <w:r w:rsidRPr="00690DD5">
        <w:rPr>
          <w:rStyle w:val="Para1"/>
          <w:snapToGrid/>
          <w:kern w:val="22"/>
        </w:rPr>
        <w:t>, связанны</w:t>
      </w:r>
      <w:r w:rsidR="002E6835">
        <w:rPr>
          <w:rStyle w:val="Para1"/>
          <w:snapToGrid/>
          <w:kern w:val="22"/>
        </w:rPr>
        <w:t>е</w:t>
      </w:r>
      <w:r w:rsidRPr="00690DD5">
        <w:rPr>
          <w:rStyle w:val="Para1"/>
          <w:snapToGrid/>
          <w:kern w:val="22"/>
        </w:rPr>
        <w:t xml:space="preserve"> с данной целевой задачей. В большинстве случаев целевая задача относи</w:t>
      </w:r>
      <w:r w:rsidR="002E6835">
        <w:rPr>
          <w:rStyle w:val="Para1"/>
          <w:snapToGrid/>
          <w:kern w:val="22"/>
        </w:rPr>
        <w:t xml:space="preserve">тся </w:t>
      </w:r>
      <w:r w:rsidRPr="00690DD5">
        <w:rPr>
          <w:rStyle w:val="Para1"/>
          <w:snapToGrid/>
          <w:kern w:val="22"/>
        </w:rPr>
        <w:t xml:space="preserve">к морскому </w:t>
      </w:r>
      <w:r w:rsidRPr="00690DD5">
        <w:rPr>
          <w:rStyle w:val="Para1"/>
          <w:snapToGrid/>
          <w:kern w:val="22"/>
        </w:rPr>
        <w:lastRenderedPageBreak/>
        <w:t>рыболовному промыслу. При этом некоторые страны, не имеющие выхода к морю, также устан</w:t>
      </w:r>
      <w:r w:rsidR="002E6835">
        <w:rPr>
          <w:rStyle w:val="Para1"/>
          <w:snapToGrid/>
          <w:kern w:val="22"/>
        </w:rPr>
        <w:t>овили</w:t>
      </w:r>
      <w:r w:rsidRPr="00690DD5">
        <w:rPr>
          <w:rStyle w:val="Para1"/>
          <w:snapToGrid/>
          <w:kern w:val="22"/>
        </w:rPr>
        <w:t xml:space="preserve"> целевые задачи, связанные с целевой задачей 6, принятой в Айти, отмечая, что такие национальные целевые задачи будут относиться к запасам рыбы и беспозвоночных и водяных растений во внутренних водах.</w:t>
      </w:r>
    </w:p>
    <w:p w:rsidR="00660906" w:rsidRPr="00690DD5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>Из всех поставленных целевых задач большинство уделяет особое внимание вопроса</w:t>
      </w:r>
      <w:r w:rsidR="002E6835">
        <w:rPr>
          <w:rStyle w:val="Para1"/>
          <w:snapToGrid/>
          <w:kern w:val="22"/>
        </w:rPr>
        <w:t>м</w:t>
      </w:r>
      <w:r w:rsidRPr="00690DD5">
        <w:rPr>
          <w:rStyle w:val="Para1"/>
          <w:snapToGrid/>
          <w:kern w:val="22"/>
        </w:rPr>
        <w:t>, связанным с обеспечением устойчивого управления и промысла запасов рыбы. В то же время сравнительно немногие целевые задачи затрагив</w:t>
      </w:r>
      <w:r w:rsidR="005530FB">
        <w:rPr>
          <w:rStyle w:val="Para1"/>
          <w:snapToGrid/>
          <w:kern w:val="22"/>
        </w:rPr>
        <w:t>аю</w:t>
      </w:r>
      <w:r w:rsidR="004D2EC6">
        <w:rPr>
          <w:rStyle w:val="Para1"/>
          <w:snapToGrid/>
          <w:kern w:val="22"/>
        </w:rPr>
        <w:t>т</w:t>
      </w:r>
      <w:r w:rsidRPr="00690DD5">
        <w:rPr>
          <w:rStyle w:val="Para1"/>
          <w:snapToGrid/>
          <w:kern w:val="22"/>
        </w:rPr>
        <w:t xml:space="preserve"> меры, направленные на то, чтобы избегать чрезмерной эксплуатации рыбных ресурсов, разрабатывать планы восстановления истощенных видов, обеспечивать гарантии того, что</w:t>
      </w:r>
      <w:r w:rsidR="002E6835">
        <w:rPr>
          <w:rStyle w:val="Para1"/>
          <w:snapToGrid/>
          <w:kern w:val="22"/>
        </w:rPr>
        <w:t>бы</w:t>
      </w:r>
      <w:r w:rsidRPr="00690DD5">
        <w:rPr>
          <w:rStyle w:val="Para1"/>
          <w:snapToGrid/>
          <w:kern w:val="22"/>
        </w:rPr>
        <w:t xml:space="preserve"> рыболовный промысел не оказыва</w:t>
      </w:r>
      <w:r w:rsidR="002E6835">
        <w:rPr>
          <w:rStyle w:val="Para1"/>
          <w:snapToGrid/>
          <w:kern w:val="22"/>
        </w:rPr>
        <w:t>л</w:t>
      </w:r>
      <w:r w:rsidRPr="00690DD5">
        <w:rPr>
          <w:rStyle w:val="Para1"/>
          <w:snapToGrid/>
          <w:kern w:val="22"/>
        </w:rPr>
        <w:t xml:space="preserve"> значительного неблагоприятного воздействия на угрожаемые виды или уязвимые экосистемы, а воздействие рыболовства не превыша</w:t>
      </w:r>
      <w:r w:rsidR="002E6835">
        <w:rPr>
          <w:rStyle w:val="Para1"/>
          <w:snapToGrid/>
          <w:kern w:val="22"/>
        </w:rPr>
        <w:t xml:space="preserve">ло </w:t>
      </w:r>
      <w:r w:rsidRPr="00690DD5">
        <w:rPr>
          <w:rStyle w:val="Para1"/>
          <w:snapToGrid/>
          <w:kern w:val="22"/>
        </w:rPr>
        <w:t>экологически безопасных пределов</w:t>
      </w:r>
    </w:p>
    <w:p w:rsidR="00660906" w:rsidRPr="00690DD5" w:rsidRDefault="00694D23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>
        <w:rPr>
          <w:rStyle w:val="Para1"/>
          <w:snapToGrid/>
          <w:kern w:val="22"/>
        </w:rPr>
        <w:t>Только 4</w:t>
      </w:r>
      <w:r w:rsidR="00DC7ED0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национальных докладов содержа</w:t>
      </w:r>
      <w:r w:rsidR="00E16547">
        <w:rPr>
          <w:rStyle w:val="Para1"/>
          <w:snapToGrid/>
          <w:kern w:val="22"/>
        </w:rPr>
        <w:t xml:space="preserve">т </w:t>
      </w:r>
      <w:r w:rsidR="00FD0B4D" w:rsidRPr="00690DD5">
        <w:rPr>
          <w:rStyle w:val="Para1"/>
          <w:snapToGrid/>
          <w:kern w:val="22"/>
        </w:rPr>
        <w:t>информацию, указывающую на возможность выполнения данной целевой задачи к установленному сроку. Почти половина (4</w:t>
      </w:r>
      <w:r w:rsidR="00022EDF">
        <w:rPr>
          <w:rStyle w:val="Para1"/>
          <w:snapToGrid/>
          <w:kern w:val="22"/>
        </w:rPr>
        <w:t>8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>) национальных докладов содерж</w:t>
      </w:r>
      <w:r w:rsidR="00E37441">
        <w:rPr>
          <w:rStyle w:val="Para1"/>
          <w:snapToGrid/>
          <w:kern w:val="22"/>
        </w:rPr>
        <w:t>и</w:t>
      </w:r>
      <w:r w:rsidR="00FD0B4D" w:rsidRPr="00690DD5">
        <w:rPr>
          <w:rStyle w:val="Para1"/>
          <w:snapToGrid/>
          <w:kern w:val="22"/>
        </w:rPr>
        <w:t xml:space="preserve">т информацию, указывающую на достигнутые результаты </w:t>
      </w:r>
      <w:r w:rsidR="00A06FA5" w:rsidRPr="00690DD5">
        <w:rPr>
          <w:rStyle w:val="Para1"/>
          <w:snapToGrid/>
          <w:kern w:val="22"/>
        </w:rPr>
        <w:t>выполнения</w:t>
      </w:r>
      <w:r w:rsidR="00FD0B4D" w:rsidRPr="00690DD5">
        <w:rPr>
          <w:rStyle w:val="Para1"/>
          <w:snapToGrid/>
          <w:kern w:val="22"/>
        </w:rPr>
        <w:t xml:space="preserve"> данной целевой задачи, но темпы выполнения не обеспечивают достижения такой целевой задачи к 2020 году. </w:t>
      </w:r>
      <w:r w:rsidR="00022EDF">
        <w:rPr>
          <w:rStyle w:val="Para1"/>
          <w:snapToGrid/>
          <w:kern w:val="22"/>
        </w:rPr>
        <w:t>Более четверти (29</w:t>
      </w:r>
      <w:r w:rsidR="00DC7ED0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022EDF">
        <w:rPr>
          <w:rStyle w:val="Para1"/>
          <w:snapToGrid/>
          <w:kern w:val="22"/>
        </w:rPr>
        <w:t>)</w:t>
      </w:r>
      <w:r w:rsidR="00FD0B4D" w:rsidRPr="00690DD5">
        <w:rPr>
          <w:rStyle w:val="Para1"/>
          <w:snapToGrid/>
          <w:kern w:val="22"/>
        </w:rPr>
        <w:t xml:space="preserve"> докладов отмеча</w:t>
      </w:r>
      <w:r w:rsidR="00806CA1">
        <w:rPr>
          <w:rStyle w:val="Para1"/>
          <w:snapToGrid/>
          <w:kern w:val="22"/>
        </w:rPr>
        <w:t xml:space="preserve">ют </w:t>
      </w:r>
      <w:r w:rsidR="00FD0B4D" w:rsidRPr="00690DD5">
        <w:rPr>
          <w:rStyle w:val="Para1"/>
          <w:snapToGrid/>
          <w:kern w:val="22"/>
        </w:rPr>
        <w:t xml:space="preserve">отсутствие заметных изменений, связанных с выполнением такой целевой задачи. </w:t>
      </w:r>
      <w:r w:rsidR="00B622C8" w:rsidRPr="00690DD5">
        <w:rPr>
          <w:rStyle w:val="Para1"/>
          <w:snapToGrid/>
          <w:kern w:val="22"/>
        </w:rPr>
        <w:t>Почти 15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национальных докладов не содержат достаточной информации, которая позволяла бы оценить достигнутые результаты </w:t>
      </w:r>
      <w:r w:rsidR="00A06FA5" w:rsidRPr="00690DD5">
        <w:rPr>
          <w:rStyle w:val="Para1"/>
          <w:snapToGrid/>
          <w:kern w:val="22"/>
        </w:rPr>
        <w:t>выполнения</w:t>
      </w:r>
      <w:r w:rsidR="00FD0B4D" w:rsidRPr="00690DD5">
        <w:rPr>
          <w:rStyle w:val="Para1"/>
          <w:snapToGrid/>
          <w:kern w:val="22"/>
        </w:rPr>
        <w:t xml:space="preserve"> данной целевой задачи.</w:t>
      </w:r>
    </w:p>
    <w:p w:rsidR="007D2CC7" w:rsidRPr="00690DD5" w:rsidRDefault="00FD0B4D" w:rsidP="00463AA3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</w:pPr>
      <w:r w:rsidRPr="00690DD5">
        <w:rPr>
          <w:rStyle w:val="Para1"/>
          <w:kern w:val="22"/>
        </w:rPr>
        <w:t xml:space="preserve">Информация в пятых национальных докладах в целом указывает на то, что основное внимание уделялось устойчивому управлению запасами рыбы и мерам, позволяющим избегать чрезмерной эксплуатации рыбных ресурсов. </w:t>
      </w:r>
      <w:r w:rsidR="006347F6" w:rsidRPr="00690DD5">
        <w:rPr>
          <w:rStyle w:val="Para1"/>
          <w:kern w:val="22"/>
        </w:rPr>
        <w:t>Более</w:t>
      </w:r>
      <w:r w:rsidRPr="00690DD5">
        <w:rPr>
          <w:rStyle w:val="Para1"/>
          <w:kern w:val="22"/>
        </w:rPr>
        <w:t xml:space="preserve"> 50</w:t>
      </w:r>
      <w:r w:rsidR="00DC7ED0" w:rsidRPr="00690DD5">
        <w:rPr>
          <w:rStyle w:val="Para1"/>
          <w:kern w:val="22"/>
        </w:rPr>
        <w:t> </w:t>
      </w:r>
      <w:r w:rsidR="00D736EC" w:rsidRPr="00690DD5">
        <w:rPr>
          <w:rStyle w:val="Para1"/>
          <w:kern w:val="22"/>
        </w:rPr>
        <w:t>%</w:t>
      </w:r>
      <w:r w:rsidRPr="00690DD5">
        <w:rPr>
          <w:rStyle w:val="Para1"/>
          <w:kern w:val="22"/>
        </w:rPr>
        <w:t xml:space="preserve"> докладов не содержат никакой информации о </w:t>
      </w:r>
      <w:r w:rsidR="006347F6" w:rsidRPr="00690DD5">
        <w:rPr>
          <w:rStyle w:val="Para1"/>
          <w:kern w:val="22"/>
        </w:rPr>
        <w:t>реализации</w:t>
      </w:r>
      <w:r w:rsidRPr="00690DD5">
        <w:rPr>
          <w:rStyle w:val="Para1"/>
          <w:kern w:val="22"/>
        </w:rPr>
        <w:t xml:space="preserve"> планов </w:t>
      </w:r>
      <w:r w:rsidR="006347F6" w:rsidRPr="00690DD5">
        <w:rPr>
          <w:rStyle w:val="Para1"/>
          <w:kern w:val="22"/>
        </w:rPr>
        <w:t xml:space="preserve">по </w:t>
      </w:r>
      <w:r w:rsidRPr="00690DD5">
        <w:rPr>
          <w:rStyle w:val="Para1"/>
          <w:kern w:val="22"/>
        </w:rPr>
        <w:t>восстановлени</w:t>
      </w:r>
      <w:r w:rsidR="006347F6" w:rsidRPr="00690DD5">
        <w:rPr>
          <w:rStyle w:val="Para1"/>
          <w:kern w:val="22"/>
        </w:rPr>
        <w:t>ю</w:t>
      </w:r>
      <w:r w:rsidRPr="00690DD5">
        <w:rPr>
          <w:rStyle w:val="Para1"/>
          <w:kern w:val="22"/>
        </w:rPr>
        <w:t xml:space="preserve"> истощенных видов</w:t>
      </w:r>
      <w:r w:rsidR="00CC2486">
        <w:rPr>
          <w:rStyle w:val="Para1"/>
          <w:kern w:val="22"/>
        </w:rPr>
        <w:t>,</w:t>
      </w:r>
      <w:r w:rsidR="001A398D">
        <w:rPr>
          <w:rStyle w:val="Para1"/>
          <w:kern w:val="22"/>
        </w:rPr>
        <w:t xml:space="preserve"> </w:t>
      </w:r>
      <w:r w:rsidR="006347F6" w:rsidRPr="00690DD5">
        <w:rPr>
          <w:rStyle w:val="Para1"/>
          <w:kern w:val="22"/>
        </w:rPr>
        <w:t>ограничении воздействия рыболовства экологически безопасными пределами</w:t>
      </w:r>
      <w:r w:rsidR="00CC2486">
        <w:rPr>
          <w:rStyle w:val="Para1"/>
          <w:kern w:val="22"/>
        </w:rPr>
        <w:t xml:space="preserve"> и </w:t>
      </w:r>
      <w:r w:rsidR="00463AA3" w:rsidRPr="00690DD5">
        <w:rPr>
          <w:rStyle w:val="Para1"/>
          <w:kern w:val="22"/>
        </w:rPr>
        <w:t>обеспечени</w:t>
      </w:r>
      <w:r w:rsidR="00CC2486">
        <w:rPr>
          <w:rStyle w:val="Para1"/>
          <w:kern w:val="22"/>
        </w:rPr>
        <w:t>и</w:t>
      </w:r>
      <w:r w:rsidR="006347F6" w:rsidRPr="00690DD5">
        <w:rPr>
          <w:rStyle w:val="Para1"/>
          <w:kern w:val="22"/>
        </w:rPr>
        <w:t xml:space="preserve"> </w:t>
      </w:r>
      <w:r w:rsidRPr="00690DD5">
        <w:rPr>
          <w:rStyle w:val="Para1"/>
          <w:kern w:val="22"/>
        </w:rPr>
        <w:t>того, что</w:t>
      </w:r>
      <w:r w:rsidR="00463AA3" w:rsidRPr="00690DD5">
        <w:rPr>
          <w:rStyle w:val="Para1"/>
          <w:kern w:val="22"/>
        </w:rPr>
        <w:t>бы</w:t>
      </w:r>
      <w:r w:rsidRPr="00690DD5">
        <w:rPr>
          <w:rStyle w:val="Para1"/>
          <w:kern w:val="22"/>
        </w:rPr>
        <w:t xml:space="preserve"> рыболовный промысел не оказыва</w:t>
      </w:r>
      <w:r w:rsidR="00463AA3" w:rsidRPr="00690DD5">
        <w:rPr>
          <w:rStyle w:val="Para1"/>
          <w:kern w:val="22"/>
        </w:rPr>
        <w:t xml:space="preserve">л </w:t>
      </w:r>
      <w:r w:rsidRPr="00690DD5">
        <w:rPr>
          <w:rStyle w:val="Para1"/>
          <w:kern w:val="22"/>
        </w:rPr>
        <w:t>неблагоприятного воздействия на угрожаемые виды или уязвимые экосистемы</w:t>
      </w:r>
      <w:r w:rsidR="00463AA3" w:rsidRPr="00690DD5">
        <w:rPr>
          <w:rStyle w:val="Para1"/>
          <w:kern w:val="22"/>
        </w:rPr>
        <w:t>.</w:t>
      </w:r>
      <w:r w:rsidR="00850F02">
        <w:rPr>
          <w:rStyle w:val="Para1"/>
          <w:kern w:val="22"/>
        </w:rPr>
        <w:t xml:space="preserve"> </w:t>
      </w:r>
    </w:p>
    <w:p w:rsidR="00FD0B4D" w:rsidRPr="00690DD5" w:rsidRDefault="00FD0B4D" w:rsidP="00FD0B4D">
      <w:pPr>
        <w:tabs>
          <w:tab w:val="left" w:pos="180"/>
        </w:tabs>
        <w:spacing w:after="120"/>
        <w:rPr>
          <w:rFonts w:cs="Times New Roman"/>
          <w:color w:val="333333"/>
          <w:shd w:val="clear" w:color="000000" w:fill="auto"/>
        </w:rPr>
      </w:pPr>
      <w:r w:rsidRPr="00690DD5">
        <w:rPr>
          <w:rStyle w:val="Normal"/>
          <w:i/>
          <w:color w:val="333333"/>
        </w:rPr>
        <w:t>Целевая задача 7</w:t>
      </w:r>
      <w:r w:rsidR="00DC7ED0" w:rsidRPr="00690DD5">
        <w:rPr>
          <w:rStyle w:val="Normal"/>
          <w:i/>
          <w:color w:val="333333"/>
        </w:rPr>
        <w:t>.</w:t>
      </w:r>
      <w:r w:rsidR="00660906" w:rsidRPr="00690DD5">
        <w:rPr>
          <w:rStyle w:val="Normal"/>
          <w:i/>
          <w:color w:val="333333"/>
        </w:rPr>
        <w:t xml:space="preserve"> </w:t>
      </w:r>
      <w:r w:rsidRPr="00690DD5">
        <w:rPr>
          <w:rStyle w:val="Normal"/>
          <w:i/>
          <w:color w:val="333333"/>
        </w:rPr>
        <w:t xml:space="preserve">К 2020 году территории, занятые под сельское хозяйство, аквакультуру и лесное хозяйство, </w:t>
      </w:r>
      <w:r w:rsidR="00D13EC8">
        <w:rPr>
          <w:rStyle w:val="Normal"/>
          <w:i/>
          <w:color w:val="333333"/>
        </w:rPr>
        <w:t xml:space="preserve">должны </w:t>
      </w:r>
      <w:r w:rsidRPr="00690DD5">
        <w:rPr>
          <w:rStyle w:val="Normal"/>
          <w:i/>
          <w:color w:val="333333"/>
        </w:rPr>
        <w:t>управлят</w:t>
      </w:r>
      <w:r w:rsidR="00D13EC8">
        <w:rPr>
          <w:rStyle w:val="Normal"/>
          <w:i/>
          <w:color w:val="333333"/>
        </w:rPr>
        <w:t>ь</w:t>
      </w:r>
      <w:r w:rsidRPr="00690DD5">
        <w:rPr>
          <w:rStyle w:val="Normal"/>
          <w:i/>
          <w:color w:val="333333"/>
        </w:rPr>
        <w:t>ся устойчивым образом, обеспечивая сохранение биоразнообразия.</w:t>
      </w:r>
    </w:p>
    <w:p w:rsidR="00290E15" w:rsidRPr="00290E15" w:rsidRDefault="00FD0B4D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rFonts w:eastAsia="Malgun Gothic" w:cs="Times New Roman"/>
          <w:kern w:val="22"/>
          <w:szCs w:val="22"/>
        </w:rPr>
      </w:pPr>
      <w:r w:rsidRPr="00290E15">
        <w:rPr>
          <w:rStyle w:val="Para1"/>
          <w:snapToGrid/>
          <w:kern w:val="22"/>
        </w:rPr>
        <w:t xml:space="preserve">В </w:t>
      </w:r>
      <w:r w:rsidR="007436D6" w:rsidRPr="00290E15">
        <w:rPr>
          <w:rStyle w:val="Para1"/>
          <w:snapToGrid/>
          <w:kern w:val="22"/>
        </w:rPr>
        <w:t>9</w:t>
      </w:r>
      <w:r w:rsidR="00DC7ED0" w:rsidRPr="00290E15">
        <w:rPr>
          <w:rStyle w:val="Para1"/>
          <w:snapToGrid/>
          <w:kern w:val="22"/>
        </w:rPr>
        <w:t> </w:t>
      </w:r>
      <w:r w:rsidR="00D736EC" w:rsidRPr="00290E15">
        <w:rPr>
          <w:rStyle w:val="Para1"/>
          <w:snapToGrid/>
          <w:kern w:val="22"/>
        </w:rPr>
        <w:t>%</w:t>
      </w:r>
      <w:r w:rsidRPr="00290E15">
        <w:rPr>
          <w:rStyle w:val="Para1"/>
          <w:snapToGrid/>
          <w:kern w:val="22"/>
        </w:rPr>
        <w:t xml:space="preserve"> оценивавшихся НСПДСБ содержа</w:t>
      </w:r>
      <w:r w:rsidR="007436D6" w:rsidRPr="00290E15">
        <w:rPr>
          <w:rStyle w:val="Para1"/>
          <w:snapToGrid/>
          <w:kern w:val="22"/>
        </w:rPr>
        <w:t xml:space="preserve">тся </w:t>
      </w:r>
      <w:r w:rsidRPr="00290E15">
        <w:rPr>
          <w:rStyle w:val="Para1"/>
          <w:snapToGrid/>
          <w:kern w:val="22"/>
        </w:rPr>
        <w:t>национальные целевые задачи или обязательства, которые эквивалентны по общему охвату и уровню амбициозности</w:t>
      </w:r>
      <w:r w:rsidR="002D1B24" w:rsidRPr="00290E15">
        <w:rPr>
          <w:rStyle w:val="Para1"/>
          <w:snapToGrid/>
          <w:kern w:val="22"/>
        </w:rPr>
        <w:t>,</w:t>
      </w:r>
      <w:r w:rsidRPr="00290E15">
        <w:rPr>
          <w:rStyle w:val="Para1"/>
          <w:snapToGrid/>
          <w:kern w:val="22"/>
        </w:rPr>
        <w:t xml:space="preserve"> установленным в целевой задаче, принятой в Айти</w:t>
      </w:r>
      <w:r w:rsidR="00660906" w:rsidRPr="00690DD5">
        <w:rPr>
          <w:snapToGrid/>
          <w:kern w:val="22"/>
          <w:sz w:val="18"/>
          <w:vertAlign w:val="superscript"/>
        </w:rPr>
        <w:footnoteReference w:id="18"/>
      </w:r>
      <w:r w:rsidRPr="00290E15">
        <w:rPr>
          <w:rStyle w:val="Para1"/>
          <w:snapToGrid/>
          <w:kern w:val="22"/>
        </w:rPr>
        <w:t xml:space="preserve">. </w:t>
      </w:r>
      <w:r w:rsidR="00342B65" w:rsidRPr="00290E15">
        <w:rPr>
          <w:rStyle w:val="Para1"/>
          <w:snapToGrid/>
          <w:kern w:val="22"/>
        </w:rPr>
        <w:t xml:space="preserve">Три </w:t>
      </w:r>
      <w:r w:rsidR="000522B9" w:rsidRPr="00290E15">
        <w:rPr>
          <w:rStyle w:val="Para1"/>
          <w:snapToGrid/>
          <w:kern w:val="22"/>
        </w:rPr>
        <w:t xml:space="preserve">четверти </w:t>
      </w:r>
      <w:r w:rsidRPr="00290E15">
        <w:rPr>
          <w:rStyle w:val="Para1"/>
          <w:snapToGrid/>
          <w:kern w:val="22"/>
        </w:rPr>
        <w:t>(</w:t>
      </w:r>
      <w:r w:rsidR="000522B9" w:rsidRPr="00290E15">
        <w:rPr>
          <w:rStyle w:val="Para1"/>
          <w:snapToGrid/>
          <w:kern w:val="22"/>
        </w:rPr>
        <w:t>7</w:t>
      </w:r>
      <w:r w:rsidR="006D0B09" w:rsidRPr="00290E15">
        <w:rPr>
          <w:rStyle w:val="Para1"/>
          <w:snapToGrid/>
          <w:kern w:val="22"/>
        </w:rPr>
        <w:t>5</w:t>
      </w:r>
      <w:r w:rsidRPr="00290E15">
        <w:rPr>
          <w:rStyle w:val="Para1"/>
          <w:snapToGrid/>
          <w:kern w:val="22"/>
        </w:rPr>
        <w:t xml:space="preserve"> </w:t>
      </w:r>
      <w:r w:rsidR="00D736EC" w:rsidRPr="00290E15">
        <w:rPr>
          <w:rStyle w:val="Para1"/>
          <w:snapToGrid/>
          <w:kern w:val="22"/>
        </w:rPr>
        <w:t>%</w:t>
      </w:r>
      <w:r w:rsidRPr="00290E15">
        <w:rPr>
          <w:rStyle w:val="Para1"/>
          <w:snapToGrid/>
          <w:kern w:val="22"/>
        </w:rPr>
        <w:t xml:space="preserve">) НСПДСБ содержат целевые задачи, которые ниже по уровню целевой задачи, принятой в Айти, или </w:t>
      </w:r>
      <w:r w:rsidR="00AB0A01" w:rsidRPr="00290E15">
        <w:rPr>
          <w:rStyle w:val="Para1"/>
          <w:snapToGrid/>
          <w:kern w:val="22"/>
        </w:rPr>
        <w:t>охватывают</w:t>
      </w:r>
      <w:r w:rsidRPr="00290E15">
        <w:rPr>
          <w:rStyle w:val="Para1"/>
          <w:snapToGrid/>
          <w:kern w:val="22"/>
        </w:rPr>
        <w:t xml:space="preserve"> лишь некоторые элементы, включенные в охват целевой задачи, принятой в Айти. </w:t>
      </w:r>
      <w:r w:rsidR="006D0B09" w:rsidRPr="00290E15">
        <w:rPr>
          <w:rStyle w:val="Para1"/>
          <w:snapToGrid/>
          <w:kern w:val="22"/>
        </w:rPr>
        <w:t xml:space="preserve">В общей сложности </w:t>
      </w:r>
      <w:r w:rsidRPr="00290E15">
        <w:rPr>
          <w:rStyle w:val="Para1"/>
          <w:snapToGrid/>
          <w:kern w:val="22"/>
        </w:rPr>
        <w:t>1</w:t>
      </w:r>
      <w:r w:rsidR="009513EA" w:rsidRPr="00290E15">
        <w:rPr>
          <w:rStyle w:val="Para1"/>
          <w:snapToGrid/>
          <w:kern w:val="22"/>
        </w:rPr>
        <w:t>6</w:t>
      </w:r>
      <w:r w:rsidR="00DC7ED0" w:rsidRPr="00290E15">
        <w:rPr>
          <w:rStyle w:val="Para1"/>
          <w:snapToGrid/>
          <w:kern w:val="22"/>
        </w:rPr>
        <w:t> </w:t>
      </w:r>
      <w:r w:rsidR="00D736EC" w:rsidRPr="00290E15">
        <w:rPr>
          <w:rStyle w:val="Para1"/>
          <w:snapToGrid/>
          <w:kern w:val="22"/>
        </w:rPr>
        <w:t>%</w:t>
      </w:r>
      <w:r w:rsidR="006D0B09" w:rsidRPr="00290E15">
        <w:rPr>
          <w:rStyle w:val="Para1"/>
          <w:snapToGrid/>
          <w:kern w:val="22"/>
        </w:rPr>
        <w:t xml:space="preserve"> </w:t>
      </w:r>
      <w:r w:rsidRPr="00290E15">
        <w:rPr>
          <w:rStyle w:val="Para1"/>
          <w:snapToGrid/>
          <w:kern w:val="22"/>
        </w:rPr>
        <w:t>НСПДСБ не содерж</w:t>
      </w:r>
      <w:r w:rsidR="000F0BC0" w:rsidRPr="00290E15">
        <w:rPr>
          <w:rStyle w:val="Para1"/>
          <w:snapToGrid/>
          <w:kern w:val="22"/>
        </w:rPr>
        <w:t>а</w:t>
      </w:r>
      <w:r w:rsidR="000522B9" w:rsidRPr="00290E15">
        <w:rPr>
          <w:rStyle w:val="Para1"/>
          <w:snapToGrid/>
          <w:kern w:val="22"/>
        </w:rPr>
        <w:t xml:space="preserve">т </w:t>
      </w:r>
      <w:r w:rsidRPr="00290E15">
        <w:rPr>
          <w:rStyle w:val="Para1"/>
          <w:snapToGrid/>
          <w:kern w:val="22"/>
        </w:rPr>
        <w:t>никаких национальных целевых задач или аналогичных обязательств, связанных с данной целевой задачей 7, принятой в Айти. Сравнительно немногие целевые задачи или национальные обязательства в НСПДСБ, связанные с данной целевой задачей, принятой в Айти, затрагивали вопросы аквакультуры. Кроме того, многие национальные целевые задачи относятся к устойчивому управлению в целом и конкретно не упоминают сельское хозяйство или лесное хозяйство.</w:t>
      </w:r>
    </w:p>
    <w:p w:rsidR="00FD0B4D" w:rsidRPr="00290E15" w:rsidRDefault="00EA72D2" w:rsidP="00A163C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 w:rsidRPr="00290E15">
        <w:rPr>
          <w:rStyle w:val="Para1"/>
          <w:snapToGrid/>
          <w:kern w:val="22"/>
        </w:rPr>
        <w:t>Только 7</w:t>
      </w:r>
      <w:r w:rsidR="00FD0B4D" w:rsidRPr="00290E15">
        <w:rPr>
          <w:rStyle w:val="Para1"/>
          <w:snapToGrid/>
          <w:kern w:val="22"/>
        </w:rPr>
        <w:t xml:space="preserve"> </w:t>
      </w:r>
      <w:r w:rsidR="00D736EC" w:rsidRPr="00290E15">
        <w:rPr>
          <w:rStyle w:val="Para1"/>
          <w:snapToGrid/>
          <w:kern w:val="22"/>
        </w:rPr>
        <w:t>%</w:t>
      </w:r>
      <w:r w:rsidR="00FD0B4D" w:rsidRPr="00290E15">
        <w:rPr>
          <w:rStyle w:val="Para1"/>
          <w:snapToGrid/>
          <w:kern w:val="22"/>
        </w:rPr>
        <w:t xml:space="preserve"> национальных докладов содерж</w:t>
      </w:r>
      <w:r w:rsidRPr="00290E15">
        <w:rPr>
          <w:rStyle w:val="Para1"/>
          <w:snapToGrid/>
          <w:kern w:val="22"/>
        </w:rPr>
        <w:t>а</w:t>
      </w:r>
      <w:r w:rsidR="00FD0B4D" w:rsidRPr="00290E15">
        <w:rPr>
          <w:rStyle w:val="Para1"/>
          <w:snapToGrid/>
          <w:kern w:val="22"/>
        </w:rPr>
        <w:t>т информацию, указывающую на возможность выполнения данной целевой задачи к 2020 году. Большинство</w:t>
      </w:r>
      <w:r w:rsidR="004333FE" w:rsidRPr="00290E15">
        <w:rPr>
          <w:rStyle w:val="Para1"/>
          <w:snapToGrid/>
          <w:kern w:val="22"/>
        </w:rPr>
        <w:t xml:space="preserve"> национальных докладов</w:t>
      </w:r>
      <w:r w:rsidR="00FD0B4D" w:rsidRPr="00290E15">
        <w:rPr>
          <w:rStyle w:val="Para1"/>
          <w:snapToGrid/>
          <w:kern w:val="22"/>
        </w:rPr>
        <w:t xml:space="preserve"> (5</w:t>
      </w:r>
      <w:r w:rsidR="004333FE" w:rsidRPr="00290E15">
        <w:rPr>
          <w:rStyle w:val="Para1"/>
          <w:snapToGrid/>
          <w:kern w:val="22"/>
        </w:rPr>
        <w:t>7</w:t>
      </w:r>
      <w:r w:rsidR="00FD0B4D" w:rsidRPr="00290E15">
        <w:rPr>
          <w:rStyle w:val="Para1"/>
          <w:snapToGrid/>
          <w:kern w:val="22"/>
        </w:rPr>
        <w:t xml:space="preserve"> </w:t>
      </w:r>
      <w:r w:rsidR="00D736EC" w:rsidRPr="00290E15">
        <w:rPr>
          <w:rStyle w:val="Para1"/>
          <w:snapToGrid/>
          <w:kern w:val="22"/>
        </w:rPr>
        <w:t>%</w:t>
      </w:r>
      <w:r w:rsidR="00FD0B4D" w:rsidRPr="00290E15">
        <w:rPr>
          <w:rStyle w:val="Para1"/>
          <w:snapToGrid/>
          <w:kern w:val="22"/>
        </w:rPr>
        <w:t xml:space="preserve">) </w:t>
      </w:r>
      <w:r w:rsidR="004333FE" w:rsidRPr="00290E15">
        <w:rPr>
          <w:rStyle w:val="Para1"/>
          <w:snapToGrid/>
          <w:kern w:val="22"/>
        </w:rPr>
        <w:t xml:space="preserve">указывают на прогресс в </w:t>
      </w:r>
      <w:r w:rsidR="00F23FCF" w:rsidRPr="00290E15">
        <w:rPr>
          <w:rStyle w:val="Para1"/>
          <w:snapToGrid/>
          <w:kern w:val="22"/>
        </w:rPr>
        <w:t xml:space="preserve">выполнении </w:t>
      </w:r>
      <w:r w:rsidR="00FD0B4D" w:rsidRPr="00290E15">
        <w:rPr>
          <w:rStyle w:val="Para1"/>
          <w:snapToGrid/>
          <w:kern w:val="22"/>
        </w:rPr>
        <w:t xml:space="preserve">целевой задачи, принятой в Айти, но темпы выполнения не обеспечивают ее выполнения к 2020 году. </w:t>
      </w:r>
      <w:r w:rsidR="006076AF" w:rsidRPr="00290E15">
        <w:rPr>
          <w:rStyle w:val="Para1"/>
          <w:snapToGrid/>
          <w:kern w:val="22"/>
        </w:rPr>
        <w:t>Почти четверть (23 %)</w:t>
      </w:r>
      <w:r w:rsidR="00CB0D91" w:rsidRPr="00290E15">
        <w:rPr>
          <w:rStyle w:val="Para1"/>
          <w:snapToGrid/>
          <w:kern w:val="22"/>
        </w:rPr>
        <w:t xml:space="preserve"> докладов </w:t>
      </w:r>
      <w:r w:rsidR="006C3569" w:rsidRPr="00290E15">
        <w:rPr>
          <w:rStyle w:val="Para1"/>
          <w:snapToGrid/>
          <w:kern w:val="22"/>
        </w:rPr>
        <w:t xml:space="preserve">указывают на отсутствие </w:t>
      </w:r>
      <w:r w:rsidR="006076AF" w:rsidRPr="00290E15">
        <w:rPr>
          <w:rStyle w:val="Para1"/>
          <w:snapToGrid/>
          <w:kern w:val="22"/>
        </w:rPr>
        <w:t>существенных изменений.</w:t>
      </w:r>
      <w:r w:rsidR="006C3569" w:rsidRPr="00290E15">
        <w:rPr>
          <w:rStyle w:val="Para1"/>
          <w:snapToGrid/>
          <w:kern w:val="22"/>
        </w:rPr>
        <w:t xml:space="preserve"> </w:t>
      </w:r>
      <w:r w:rsidR="00FD0B4D" w:rsidRPr="00290E15">
        <w:rPr>
          <w:rStyle w:val="Para1"/>
          <w:snapToGrid/>
          <w:kern w:val="22"/>
        </w:rPr>
        <w:t xml:space="preserve">Из всей информации в национальных докладах сравнительно небольшая часть касается устойчивости аквакультуры. Лесное хозяйство и сельское </w:t>
      </w:r>
      <w:r w:rsidR="00FD0B4D" w:rsidRPr="00290E15">
        <w:rPr>
          <w:rStyle w:val="Para1"/>
          <w:snapToGrid/>
          <w:kern w:val="22"/>
        </w:rPr>
        <w:lastRenderedPageBreak/>
        <w:t xml:space="preserve">хозяйство сравнительно широко рассматриваются в национальных докладах </w:t>
      </w:r>
      <w:r w:rsidR="00233E09" w:rsidRPr="00290E15">
        <w:rPr>
          <w:rStyle w:val="Para1"/>
          <w:snapToGrid/>
          <w:kern w:val="22"/>
        </w:rPr>
        <w:t>и это</w:t>
      </w:r>
      <w:r w:rsidR="00506E4B" w:rsidRPr="00290E15">
        <w:rPr>
          <w:rStyle w:val="Para1"/>
          <w:snapToGrid/>
          <w:kern w:val="22"/>
        </w:rPr>
        <w:t xml:space="preserve"> указывает на том, что д</w:t>
      </w:r>
      <w:r w:rsidR="00233E09" w:rsidRPr="00290E15">
        <w:rPr>
          <w:rStyle w:val="Para1"/>
          <w:snapToGrid/>
          <w:kern w:val="22"/>
        </w:rPr>
        <w:t xml:space="preserve">ля решения данных вопросов меры </w:t>
      </w:r>
      <w:r w:rsidR="00FD0B4D" w:rsidRPr="00290E15">
        <w:rPr>
          <w:rStyle w:val="Para1"/>
          <w:snapToGrid/>
          <w:kern w:val="22"/>
        </w:rPr>
        <w:t>принима</w:t>
      </w:r>
      <w:r w:rsidR="00233E09" w:rsidRPr="00290E15">
        <w:rPr>
          <w:rStyle w:val="Para1"/>
          <w:snapToGrid/>
          <w:kern w:val="22"/>
        </w:rPr>
        <w:t xml:space="preserve">ются. </w:t>
      </w:r>
    </w:p>
    <w:p w:rsidR="00FD0B4D" w:rsidRPr="00690DD5" w:rsidRDefault="00FD0B4D" w:rsidP="00FD0B4D">
      <w:pPr>
        <w:tabs>
          <w:tab w:val="left" w:pos="180"/>
        </w:tabs>
        <w:spacing w:after="120"/>
        <w:rPr>
          <w:rFonts w:ascii="Arial" w:hAnsi="Arial"/>
          <w:color w:val="333333"/>
          <w:sz w:val="18"/>
          <w:szCs w:val="18"/>
          <w:shd w:val="clear" w:color="000000" w:fill="auto"/>
        </w:rPr>
      </w:pPr>
      <w:r w:rsidRPr="00690DD5">
        <w:rPr>
          <w:rStyle w:val="Normal"/>
          <w:i/>
          <w:color w:val="333333"/>
        </w:rPr>
        <w:t>Целевая задача 8</w:t>
      </w:r>
      <w:r w:rsidR="00DC7ED0" w:rsidRPr="00690DD5">
        <w:rPr>
          <w:rStyle w:val="Normal"/>
          <w:i/>
          <w:color w:val="333333"/>
        </w:rPr>
        <w:t>.</w:t>
      </w:r>
      <w:r w:rsidR="00660906" w:rsidRPr="00690DD5">
        <w:rPr>
          <w:rStyle w:val="Normal"/>
          <w:i/>
          <w:color w:val="333333"/>
        </w:rPr>
        <w:t xml:space="preserve"> </w:t>
      </w:r>
      <w:r w:rsidRPr="00690DD5">
        <w:rPr>
          <w:rStyle w:val="Normal"/>
          <w:i/>
          <w:color w:val="333333"/>
        </w:rPr>
        <w:t>К 2020 году загрязнение окружающей среды, в том числе в результате чрезмерного сброса биогенных веществ, доведено до уровней, при которых функционированию экосистем и биоразнообразию не наносится ущерб.</w:t>
      </w:r>
    </w:p>
    <w:p w:rsidR="00660906" w:rsidRPr="00690DD5" w:rsidRDefault="0040155A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>
        <w:rPr>
          <w:rStyle w:val="Para1"/>
          <w:snapToGrid/>
          <w:kern w:val="22"/>
        </w:rPr>
        <w:t xml:space="preserve">В общей сложности </w:t>
      </w:r>
      <w:r w:rsidR="00FD0B4D" w:rsidRPr="00690DD5">
        <w:rPr>
          <w:rStyle w:val="Para1"/>
          <w:snapToGrid/>
          <w:kern w:val="22"/>
        </w:rPr>
        <w:t>1</w:t>
      </w:r>
      <w:r>
        <w:rPr>
          <w:rStyle w:val="Para1"/>
          <w:snapToGrid/>
          <w:kern w:val="22"/>
        </w:rPr>
        <w:t>4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>
        <w:rPr>
          <w:rStyle w:val="Para1"/>
          <w:snapToGrid/>
          <w:kern w:val="22"/>
        </w:rPr>
        <w:t xml:space="preserve"> </w:t>
      </w:r>
      <w:r w:rsidR="00FD0B4D" w:rsidRPr="00690DD5">
        <w:rPr>
          <w:rStyle w:val="Para1"/>
          <w:snapToGrid/>
          <w:kern w:val="22"/>
        </w:rPr>
        <w:t>оценивавшихся НСПДСБ содерж</w:t>
      </w:r>
      <w:r w:rsidR="009A3EAC">
        <w:rPr>
          <w:rStyle w:val="Para1"/>
          <w:snapToGrid/>
          <w:kern w:val="22"/>
        </w:rPr>
        <w:t>ат</w:t>
      </w:r>
      <w:r w:rsidR="009C2284" w:rsidRPr="00690DD5">
        <w:rPr>
          <w:rStyle w:val="Para1"/>
          <w:snapToGrid/>
          <w:kern w:val="22"/>
        </w:rPr>
        <w:t xml:space="preserve"> </w:t>
      </w:r>
      <w:r w:rsidR="00FD0B4D" w:rsidRPr="00690DD5">
        <w:rPr>
          <w:rStyle w:val="Para1"/>
          <w:snapToGrid/>
          <w:kern w:val="22"/>
        </w:rPr>
        <w:t>целевые задачи или другие обязательства, которые эквивалентны по охвату и уровню амбициозности</w:t>
      </w:r>
      <w:r w:rsidR="00FC30AC" w:rsidRPr="00690DD5">
        <w:rPr>
          <w:rStyle w:val="Para1"/>
          <w:snapToGrid/>
          <w:kern w:val="22"/>
        </w:rPr>
        <w:t xml:space="preserve"> тем, что</w:t>
      </w:r>
      <w:r w:rsidR="00FD0B4D" w:rsidRPr="00690DD5">
        <w:rPr>
          <w:rStyle w:val="Para1"/>
          <w:snapToGrid/>
          <w:kern w:val="22"/>
        </w:rPr>
        <w:t xml:space="preserve"> установлены в целевой задаче 8, принятой в Айти</w:t>
      </w:r>
      <w:r w:rsidR="00FD0B4D" w:rsidRPr="00690DD5">
        <w:rPr>
          <w:snapToGrid/>
          <w:kern w:val="22"/>
          <w:sz w:val="18"/>
          <w:vertAlign w:val="superscript"/>
        </w:rPr>
        <w:footnoteReference w:id="19"/>
      </w:r>
      <w:r w:rsidR="00FD0B4D" w:rsidRPr="00690DD5">
        <w:rPr>
          <w:rStyle w:val="Para1"/>
          <w:snapToGrid/>
          <w:kern w:val="22"/>
        </w:rPr>
        <w:t xml:space="preserve">. </w:t>
      </w:r>
      <w:r w:rsidR="00690DD5">
        <w:rPr>
          <w:rStyle w:val="Para1"/>
          <w:snapToGrid/>
          <w:kern w:val="22"/>
        </w:rPr>
        <w:t>Вместе с тем</w:t>
      </w:r>
      <w:r w:rsidR="00FD0B4D" w:rsidRPr="00690DD5">
        <w:rPr>
          <w:rStyle w:val="Para1"/>
          <w:snapToGrid/>
          <w:kern w:val="22"/>
        </w:rPr>
        <w:t xml:space="preserve"> </w:t>
      </w:r>
      <w:r w:rsidR="00947789">
        <w:rPr>
          <w:rStyle w:val="Para1"/>
          <w:snapToGrid/>
          <w:kern w:val="22"/>
        </w:rPr>
        <w:t>более</w:t>
      </w:r>
      <w:r w:rsidR="00FD0B4D" w:rsidRPr="00690DD5">
        <w:rPr>
          <w:rStyle w:val="Para1"/>
          <w:snapToGrid/>
          <w:kern w:val="22"/>
        </w:rPr>
        <w:t xml:space="preserve"> половин</w:t>
      </w:r>
      <w:r w:rsidR="00947789">
        <w:rPr>
          <w:rStyle w:val="Para1"/>
          <w:snapToGrid/>
          <w:kern w:val="22"/>
        </w:rPr>
        <w:t>ы</w:t>
      </w:r>
      <w:r w:rsidR="00FD0B4D" w:rsidRPr="00690DD5">
        <w:rPr>
          <w:rStyle w:val="Para1"/>
          <w:snapToGrid/>
          <w:kern w:val="22"/>
        </w:rPr>
        <w:t xml:space="preserve"> (5</w:t>
      </w:r>
      <w:r w:rsidR="001F415E">
        <w:rPr>
          <w:rStyle w:val="Para1"/>
          <w:snapToGrid/>
          <w:kern w:val="22"/>
        </w:rPr>
        <w:t>8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>) НСПДСБ содерж</w:t>
      </w:r>
      <w:r w:rsidR="00C25B8B">
        <w:rPr>
          <w:rStyle w:val="Para1"/>
          <w:snapToGrid/>
          <w:kern w:val="22"/>
        </w:rPr>
        <w:t>а</w:t>
      </w:r>
      <w:r w:rsidR="00FD0B4D" w:rsidRPr="00690DD5">
        <w:rPr>
          <w:rStyle w:val="Para1"/>
          <w:snapToGrid/>
          <w:kern w:val="22"/>
        </w:rPr>
        <w:t xml:space="preserve">т целевые задачи или обязательства, которые ниже по уровню целевой задачи, принятой в Айти, и/или не </w:t>
      </w:r>
      <w:r w:rsidR="00FC30AC" w:rsidRPr="00690DD5">
        <w:rPr>
          <w:rStyle w:val="Para1"/>
          <w:snapToGrid/>
          <w:kern w:val="22"/>
        </w:rPr>
        <w:t>охваты</w:t>
      </w:r>
      <w:r w:rsidR="00FD0B4D" w:rsidRPr="00690DD5">
        <w:rPr>
          <w:rStyle w:val="Para1"/>
          <w:snapToGrid/>
          <w:kern w:val="22"/>
        </w:rPr>
        <w:t xml:space="preserve">вают всех элементов целевой задачи, принятой в Айти. </w:t>
      </w:r>
      <w:r w:rsidR="001F415E">
        <w:rPr>
          <w:rStyle w:val="Para1"/>
          <w:snapToGrid/>
          <w:kern w:val="22"/>
        </w:rPr>
        <w:t>Более четверти (</w:t>
      </w:r>
      <w:r w:rsidR="00233E09" w:rsidRPr="00690DD5">
        <w:rPr>
          <w:rStyle w:val="Para1"/>
          <w:snapToGrid/>
          <w:kern w:val="22"/>
        </w:rPr>
        <w:t>2</w:t>
      </w:r>
      <w:r w:rsidR="00947789">
        <w:rPr>
          <w:rStyle w:val="Para1"/>
          <w:snapToGrid/>
          <w:kern w:val="22"/>
        </w:rPr>
        <w:t>8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1F415E">
        <w:rPr>
          <w:rStyle w:val="Para1"/>
          <w:snapToGrid/>
          <w:kern w:val="22"/>
        </w:rPr>
        <w:t>)</w:t>
      </w:r>
      <w:r w:rsidR="00FD0B4D" w:rsidRPr="00690DD5">
        <w:rPr>
          <w:rStyle w:val="Para1"/>
          <w:snapToGrid/>
          <w:kern w:val="22"/>
        </w:rPr>
        <w:t xml:space="preserve"> НСПДСБ не содержа</w:t>
      </w:r>
      <w:r w:rsidR="008C5B09">
        <w:rPr>
          <w:rStyle w:val="Para1"/>
          <w:snapToGrid/>
          <w:kern w:val="22"/>
        </w:rPr>
        <w:t>т</w:t>
      </w:r>
      <w:r w:rsidR="00FD0B4D" w:rsidRPr="00690DD5">
        <w:rPr>
          <w:rStyle w:val="Para1"/>
          <w:snapToGrid/>
          <w:kern w:val="22"/>
        </w:rPr>
        <w:t xml:space="preserve"> никаких целевых задач, связанных с целевой задачей 8, принятой в Айти. В поставленных целевых задачах несколько более заметное внимание уделя</w:t>
      </w:r>
      <w:r w:rsidR="00E11D77">
        <w:rPr>
          <w:rStyle w:val="Para1"/>
          <w:snapToGrid/>
          <w:kern w:val="22"/>
        </w:rPr>
        <w:t xml:space="preserve">ется </w:t>
      </w:r>
      <w:r w:rsidR="00FD0B4D" w:rsidRPr="00690DD5">
        <w:rPr>
          <w:rStyle w:val="Para1"/>
          <w:snapToGrid/>
          <w:kern w:val="22"/>
        </w:rPr>
        <w:t>сокращению загрязнения по сравнению с уменьшением сброса биогенных веществ.</w:t>
      </w:r>
    </w:p>
    <w:p w:rsidR="00FD0B4D" w:rsidRPr="00E5689A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  <w:lang w:val="en-CA"/>
        </w:rPr>
      </w:pPr>
      <w:r w:rsidRPr="00690DD5">
        <w:rPr>
          <w:rStyle w:val="Para1"/>
          <w:snapToGrid/>
          <w:kern w:val="22"/>
        </w:rPr>
        <w:t xml:space="preserve">Только в </w:t>
      </w:r>
      <w:r w:rsidR="00E5689A">
        <w:rPr>
          <w:rStyle w:val="Para1"/>
          <w:snapToGrid/>
          <w:kern w:val="22"/>
        </w:rPr>
        <w:t>4</w:t>
      </w:r>
      <w:r w:rsidR="00DC7ED0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национальных докладов содерж</w:t>
      </w:r>
      <w:r w:rsidR="00E11D77">
        <w:rPr>
          <w:rStyle w:val="Para1"/>
          <w:snapToGrid/>
          <w:kern w:val="22"/>
        </w:rPr>
        <w:t xml:space="preserve">ится </w:t>
      </w:r>
      <w:r w:rsidRPr="00690DD5">
        <w:rPr>
          <w:rStyle w:val="Para1"/>
          <w:snapToGrid/>
          <w:kern w:val="22"/>
        </w:rPr>
        <w:t xml:space="preserve">информация, указывающая на возможность выполнения данной целевой задачи к установленному сроку. </w:t>
      </w:r>
      <w:r w:rsidR="00E5689A">
        <w:rPr>
          <w:rStyle w:val="Para1"/>
          <w:snapToGrid/>
          <w:kern w:val="22"/>
        </w:rPr>
        <w:t>Более</w:t>
      </w:r>
      <w:r w:rsidRPr="00690DD5">
        <w:rPr>
          <w:rStyle w:val="Para1"/>
          <w:snapToGrid/>
          <w:kern w:val="22"/>
        </w:rPr>
        <w:t xml:space="preserve"> 40</w:t>
      </w:r>
      <w:r w:rsidR="00DC7ED0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национальных докладов содержат информацию, указывающую на достигнутые результаты </w:t>
      </w:r>
      <w:r w:rsidR="00A06FA5" w:rsidRPr="00690DD5">
        <w:rPr>
          <w:rStyle w:val="Para1"/>
          <w:snapToGrid/>
          <w:kern w:val="22"/>
        </w:rPr>
        <w:t>выполнения</w:t>
      </w:r>
      <w:r w:rsidRPr="00690DD5">
        <w:rPr>
          <w:rStyle w:val="Para1"/>
          <w:snapToGrid/>
          <w:kern w:val="22"/>
        </w:rPr>
        <w:t xml:space="preserve"> данной целевой задачи, но темпы выполнения не обеспечивают ее выполнения к 2020 году. Примерно столько же докладов</w:t>
      </w:r>
      <w:r w:rsidR="00C33523">
        <w:rPr>
          <w:rStyle w:val="Para1"/>
          <w:snapToGrid/>
          <w:kern w:val="22"/>
        </w:rPr>
        <w:t xml:space="preserve"> </w:t>
      </w:r>
      <w:r w:rsidRPr="00690DD5">
        <w:rPr>
          <w:rStyle w:val="Para1"/>
          <w:snapToGrid/>
          <w:kern w:val="22"/>
        </w:rPr>
        <w:t xml:space="preserve">указывает на отсутствие достигнутых результатов </w:t>
      </w:r>
      <w:r w:rsidR="00A06FA5" w:rsidRPr="00690DD5">
        <w:rPr>
          <w:rStyle w:val="Para1"/>
          <w:snapToGrid/>
          <w:kern w:val="22"/>
        </w:rPr>
        <w:t>выполнения</w:t>
      </w:r>
      <w:r w:rsidRPr="00690DD5">
        <w:rPr>
          <w:rStyle w:val="Para1"/>
          <w:snapToGrid/>
          <w:kern w:val="22"/>
        </w:rPr>
        <w:t xml:space="preserve"> целевой задачи </w:t>
      </w:r>
      <w:r w:rsidR="00E5689A">
        <w:rPr>
          <w:rStyle w:val="Para1"/>
          <w:snapToGrid/>
          <w:kern w:val="22"/>
        </w:rPr>
        <w:t>(2</w:t>
      </w:r>
      <w:r w:rsidR="00DE7AF4">
        <w:rPr>
          <w:rStyle w:val="Para1"/>
          <w:snapToGrid/>
          <w:kern w:val="22"/>
        </w:rPr>
        <w:t>7</w:t>
      </w:r>
      <w:r w:rsidR="00E5689A">
        <w:rPr>
          <w:rStyle w:val="Para1"/>
          <w:snapToGrid/>
          <w:kern w:val="22"/>
        </w:rPr>
        <w:t xml:space="preserve"> %) </w:t>
      </w:r>
      <w:r w:rsidRPr="00690DD5">
        <w:rPr>
          <w:rStyle w:val="Para1"/>
          <w:snapToGrid/>
          <w:kern w:val="22"/>
        </w:rPr>
        <w:t>или на ухудшение положения</w:t>
      </w:r>
      <w:r w:rsidR="00E5689A">
        <w:rPr>
          <w:rStyle w:val="Para1"/>
          <w:snapToGrid/>
          <w:kern w:val="22"/>
        </w:rPr>
        <w:t xml:space="preserve"> (9 %)</w:t>
      </w:r>
      <w:r w:rsidRPr="00690DD5">
        <w:rPr>
          <w:rStyle w:val="Para1"/>
          <w:snapToGrid/>
          <w:kern w:val="22"/>
        </w:rPr>
        <w:t>. Сравнительно большее число докладов содержит информацию о загрязнении в целом, чем о проблемах, связанных с чрезмерным сбросом биогенных веществ.</w:t>
      </w:r>
      <w:r w:rsidR="00C33523">
        <w:rPr>
          <w:rStyle w:val="Para1"/>
          <w:snapToGrid/>
          <w:kern w:val="22"/>
        </w:rPr>
        <w:t xml:space="preserve"> </w:t>
      </w:r>
    </w:p>
    <w:p w:rsidR="00FD0B4D" w:rsidRPr="00690DD5" w:rsidRDefault="00FD0B4D" w:rsidP="00FD0B4D">
      <w:pPr>
        <w:tabs>
          <w:tab w:val="left" w:pos="180"/>
        </w:tabs>
        <w:spacing w:after="120"/>
        <w:rPr>
          <w:rFonts w:cs="Times New Roman"/>
          <w:i/>
          <w:iCs/>
          <w:color w:val="333333"/>
          <w:shd w:val="clear" w:color="000000" w:fill="auto"/>
        </w:rPr>
      </w:pPr>
      <w:r w:rsidRPr="00690DD5">
        <w:rPr>
          <w:rStyle w:val="Normal"/>
          <w:i/>
          <w:color w:val="333333"/>
        </w:rPr>
        <w:t>Целевая задача 9</w:t>
      </w:r>
      <w:r w:rsidR="00DC7ED0" w:rsidRPr="00690DD5">
        <w:rPr>
          <w:rStyle w:val="Normal"/>
          <w:i/>
          <w:color w:val="333333"/>
        </w:rPr>
        <w:t xml:space="preserve">. </w:t>
      </w:r>
      <w:r w:rsidRPr="00690DD5">
        <w:rPr>
          <w:rStyle w:val="Normal"/>
          <w:i/>
          <w:color w:val="333333"/>
        </w:rPr>
        <w:t>К 2020 году инвазивные чужеродные виды и пути их интродукции идентифицированы и классифицированы по приоритетности, приоритетные виды регулируются или искоренены и принимаются меры регулирования путей перемещения для предотвращения их интродукции и внедрения.</w:t>
      </w:r>
    </w:p>
    <w:p w:rsidR="00FD0B4D" w:rsidRPr="00BE5941" w:rsidRDefault="00FD0B4D" w:rsidP="00BE5941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spacing w:after="80"/>
        <w:rPr>
          <w:snapToGrid/>
          <w:kern w:val="22"/>
        </w:rPr>
      </w:pPr>
      <w:r w:rsidRPr="00690DD5">
        <w:rPr>
          <w:rStyle w:val="Para1"/>
          <w:kern w:val="22"/>
        </w:rPr>
        <w:t xml:space="preserve">Данная целевая задача относится с задачам с наибольшим уровнем соответствия национальным целевым задачам, содержащимся в НСПДСБ. </w:t>
      </w:r>
      <w:r w:rsidR="00FC30AC" w:rsidRPr="00690DD5">
        <w:rPr>
          <w:rStyle w:val="Para1"/>
          <w:kern w:val="22"/>
        </w:rPr>
        <w:t>Почти</w:t>
      </w:r>
      <w:r w:rsidRPr="00690DD5">
        <w:rPr>
          <w:rStyle w:val="Para1"/>
          <w:kern w:val="22"/>
        </w:rPr>
        <w:t xml:space="preserve"> в четверти (2</w:t>
      </w:r>
      <w:r w:rsidR="001D0261">
        <w:rPr>
          <w:rStyle w:val="Para1"/>
          <w:kern w:val="22"/>
        </w:rPr>
        <w:t>2</w:t>
      </w:r>
      <w:r w:rsidRPr="00690DD5">
        <w:rPr>
          <w:rStyle w:val="Para1"/>
          <w:kern w:val="22"/>
        </w:rPr>
        <w:t xml:space="preserve"> </w:t>
      </w:r>
      <w:r w:rsidR="00D736EC" w:rsidRPr="00690DD5">
        <w:rPr>
          <w:rStyle w:val="Para1"/>
          <w:kern w:val="22"/>
        </w:rPr>
        <w:t>%</w:t>
      </w:r>
      <w:r w:rsidRPr="00690DD5">
        <w:rPr>
          <w:rStyle w:val="Para1"/>
          <w:kern w:val="22"/>
        </w:rPr>
        <w:t>) НСПДСБ, рассмотренных в ходе настоящей оценки, содержа</w:t>
      </w:r>
      <w:r w:rsidR="00FC30AC" w:rsidRPr="00690DD5">
        <w:rPr>
          <w:rStyle w:val="Para1"/>
          <w:kern w:val="22"/>
        </w:rPr>
        <w:t>тся</w:t>
      </w:r>
      <w:r w:rsidRPr="00690DD5">
        <w:rPr>
          <w:rStyle w:val="Para1"/>
          <w:kern w:val="22"/>
        </w:rPr>
        <w:t xml:space="preserve"> национальные целевые задачи или другие обязательства, которые по уровню амбициозности и охвату приближаются к установленным в целевой задаче, принятой в Айти</w:t>
      </w:r>
      <w:r w:rsidR="00660906" w:rsidRPr="00690DD5">
        <w:rPr>
          <w:kern w:val="22"/>
          <w:sz w:val="18"/>
          <w:vertAlign w:val="superscript"/>
        </w:rPr>
        <w:footnoteReference w:id="20"/>
      </w:r>
      <w:r w:rsidRPr="00690DD5">
        <w:rPr>
          <w:rStyle w:val="Para1"/>
          <w:kern w:val="22"/>
        </w:rPr>
        <w:t xml:space="preserve">. </w:t>
      </w:r>
      <w:r w:rsidR="00FC30AC" w:rsidRPr="00690DD5">
        <w:rPr>
          <w:rStyle w:val="Para1"/>
          <w:kern w:val="22"/>
        </w:rPr>
        <w:t>Кроме того, в одной НСПДСБ приводится национальная целевая задача, превосход</w:t>
      </w:r>
      <w:r w:rsidR="00590455">
        <w:rPr>
          <w:rStyle w:val="Para1"/>
          <w:kern w:val="22"/>
        </w:rPr>
        <w:t xml:space="preserve">ящая </w:t>
      </w:r>
      <w:r w:rsidR="00FC30AC" w:rsidRPr="00690DD5">
        <w:rPr>
          <w:rStyle w:val="Para1"/>
          <w:kern w:val="22"/>
        </w:rPr>
        <w:t xml:space="preserve">целевую задачу, принятую в Айти, </w:t>
      </w:r>
      <w:r w:rsidR="000E3099" w:rsidRPr="00690DD5">
        <w:rPr>
          <w:rStyle w:val="Para1"/>
          <w:kern w:val="22"/>
        </w:rPr>
        <w:t>поскольку</w:t>
      </w:r>
      <w:r w:rsidR="00FC30AC" w:rsidRPr="00690DD5">
        <w:rPr>
          <w:rStyle w:val="Para1"/>
          <w:kern w:val="22"/>
        </w:rPr>
        <w:t xml:space="preserve"> крайний срок ее осуществления </w:t>
      </w:r>
      <w:r w:rsidR="000E3099" w:rsidRPr="00690DD5">
        <w:rPr>
          <w:rStyle w:val="Para1"/>
          <w:snapToGrid/>
          <w:kern w:val="22"/>
        </w:rPr>
        <w:t>намечен</w:t>
      </w:r>
      <w:r w:rsidR="000E3099" w:rsidRPr="00690DD5">
        <w:rPr>
          <w:rStyle w:val="Para1"/>
          <w:kern w:val="22"/>
        </w:rPr>
        <w:t xml:space="preserve"> на</w:t>
      </w:r>
      <w:r w:rsidR="00FC30AC" w:rsidRPr="00690DD5">
        <w:rPr>
          <w:rStyle w:val="Para1"/>
          <w:kern w:val="22"/>
        </w:rPr>
        <w:t xml:space="preserve"> 2015 год</w:t>
      </w:r>
      <w:r w:rsidR="000E3099" w:rsidRPr="00690DD5">
        <w:rPr>
          <w:kern w:val="22"/>
          <w:sz w:val="18"/>
          <w:vertAlign w:val="superscript"/>
        </w:rPr>
        <w:footnoteReference w:id="21"/>
      </w:r>
      <w:r w:rsidR="000E3099" w:rsidRPr="00690DD5">
        <w:rPr>
          <w:rStyle w:val="Para1"/>
          <w:kern w:val="22"/>
        </w:rPr>
        <w:t xml:space="preserve">. </w:t>
      </w:r>
      <w:r w:rsidR="00AB0A01" w:rsidRPr="00690DD5">
        <w:rPr>
          <w:rStyle w:val="Para1"/>
          <w:kern w:val="22"/>
        </w:rPr>
        <w:t>Б</w:t>
      </w:r>
      <w:r w:rsidRPr="00690DD5">
        <w:rPr>
          <w:rStyle w:val="Para1"/>
          <w:kern w:val="22"/>
        </w:rPr>
        <w:t xml:space="preserve">олее чем в половине </w:t>
      </w:r>
      <w:r w:rsidR="0001525C" w:rsidRPr="00690DD5">
        <w:rPr>
          <w:rStyle w:val="Para1"/>
          <w:kern w:val="22"/>
        </w:rPr>
        <w:t>НСПДСБ</w:t>
      </w:r>
      <w:r w:rsidRPr="00690DD5">
        <w:rPr>
          <w:rStyle w:val="Para1"/>
          <w:kern w:val="22"/>
        </w:rPr>
        <w:t xml:space="preserve"> (</w:t>
      </w:r>
      <w:r w:rsidR="009F1BB7">
        <w:rPr>
          <w:rStyle w:val="Para1"/>
          <w:kern w:val="22"/>
        </w:rPr>
        <w:t>62</w:t>
      </w:r>
      <w:r w:rsidR="00CB5524" w:rsidRPr="00690DD5">
        <w:rPr>
          <w:rStyle w:val="Para1"/>
          <w:kern w:val="22"/>
        </w:rPr>
        <w:t> </w:t>
      </w:r>
      <w:r w:rsidR="00D736EC" w:rsidRPr="00690DD5">
        <w:rPr>
          <w:rStyle w:val="Para1"/>
          <w:kern w:val="22"/>
        </w:rPr>
        <w:t>%</w:t>
      </w:r>
      <w:r w:rsidRPr="00690DD5">
        <w:rPr>
          <w:rStyle w:val="Para1"/>
          <w:kern w:val="22"/>
        </w:rPr>
        <w:t xml:space="preserve">) содержатся национальные целевые задачи, которые ниже по уровню и/или не </w:t>
      </w:r>
      <w:r w:rsidR="00AB0A01" w:rsidRPr="00690DD5">
        <w:rPr>
          <w:rStyle w:val="Para1"/>
          <w:kern w:val="22"/>
        </w:rPr>
        <w:t>охватывают</w:t>
      </w:r>
      <w:r w:rsidRPr="00690DD5">
        <w:rPr>
          <w:rStyle w:val="Para1"/>
          <w:kern w:val="22"/>
        </w:rPr>
        <w:t xml:space="preserve"> всех элементов целевой задачи, принятой в Айти. </w:t>
      </w:r>
      <w:r w:rsidR="00CB5524" w:rsidRPr="00690DD5">
        <w:rPr>
          <w:rStyle w:val="Para1"/>
          <w:kern w:val="22"/>
        </w:rPr>
        <w:t>Примерно 1</w:t>
      </w:r>
      <w:r w:rsidR="00BE5941">
        <w:rPr>
          <w:rStyle w:val="Para1"/>
          <w:kern w:val="22"/>
        </w:rPr>
        <w:t>6</w:t>
      </w:r>
      <w:r w:rsidRPr="00690DD5">
        <w:rPr>
          <w:rStyle w:val="Para1"/>
          <w:kern w:val="22"/>
        </w:rPr>
        <w:t xml:space="preserve"> </w:t>
      </w:r>
      <w:r w:rsidR="00D736EC" w:rsidRPr="00690DD5">
        <w:rPr>
          <w:rStyle w:val="Para1"/>
          <w:kern w:val="22"/>
        </w:rPr>
        <w:t>%</w:t>
      </w:r>
      <w:r w:rsidRPr="00690DD5">
        <w:rPr>
          <w:rStyle w:val="Para1"/>
          <w:kern w:val="22"/>
        </w:rPr>
        <w:t xml:space="preserve"> НСПДСБ не содержат никаких целевых задач, связанных с целевой задачей, принятой в Айти. Многие из целевых задач, поставленных Сторонами, носят общий характер и относятся к регулированию инвазивных чужеродных видов в целом. Кроме того, многие поставленные национальные целевые задачи не рассматривают проблемы, связанные с идентификацией и классификацией по приоритетности путей интродукции инвазивных чужеродных видов.</w:t>
      </w:r>
      <w:r w:rsidR="00850F02">
        <w:rPr>
          <w:rStyle w:val="Para1"/>
          <w:kern w:val="22"/>
        </w:rPr>
        <w:t xml:space="preserve"> </w:t>
      </w:r>
      <w:r w:rsidR="00850F02" w:rsidRPr="00BE5941">
        <w:rPr>
          <w:rStyle w:val="Para1"/>
          <w:snapToGrid/>
          <w:color w:val="333333"/>
        </w:rPr>
        <w:t xml:space="preserve"> </w:t>
      </w:r>
    </w:p>
    <w:p w:rsidR="00660906" w:rsidRPr="00690DD5" w:rsidRDefault="00CB5524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 xml:space="preserve">Информация, указывающая на возможность выполнения данной целевой задачи к установленному сроку, содержится в </w:t>
      </w:r>
      <w:r w:rsidR="00BE5941">
        <w:rPr>
          <w:rStyle w:val="Para1"/>
          <w:snapToGrid/>
          <w:kern w:val="22"/>
        </w:rPr>
        <w:t>3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национальных докладов. Почти половина (4</w:t>
      </w:r>
      <w:r w:rsidR="00F701F8">
        <w:rPr>
          <w:rStyle w:val="Para1"/>
          <w:snapToGrid/>
          <w:kern w:val="22"/>
        </w:rPr>
        <w:t>9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>) национальных докладов содержат информацию</w:t>
      </w:r>
      <w:r w:rsidR="00A554A8" w:rsidRPr="00690DD5">
        <w:rPr>
          <w:rStyle w:val="Para1"/>
          <w:snapToGrid/>
          <w:kern w:val="22"/>
        </w:rPr>
        <w:t xml:space="preserve"> о дост</w:t>
      </w:r>
      <w:r w:rsidR="00FD0B4D" w:rsidRPr="00690DD5">
        <w:rPr>
          <w:rStyle w:val="Para1"/>
          <w:snapToGrid/>
          <w:kern w:val="22"/>
        </w:rPr>
        <w:t>игнуты</w:t>
      </w:r>
      <w:r w:rsidR="00A554A8" w:rsidRPr="00690DD5">
        <w:rPr>
          <w:rStyle w:val="Para1"/>
          <w:snapToGrid/>
          <w:kern w:val="22"/>
        </w:rPr>
        <w:t>х</w:t>
      </w:r>
      <w:r w:rsidR="00FD0B4D" w:rsidRPr="00690DD5">
        <w:rPr>
          <w:rStyle w:val="Para1"/>
          <w:snapToGrid/>
          <w:kern w:val="22"/>
        </w:rPr>
        <w:t xml:space="preserve"> результат</w:t>
      </w:r>
      <w:r w:rsidR="00A554A8" w:rsidRPr="00690DD5">
        <w:rPr>
          <w:rStyle w:val="Para1"/>
          <w:snapToGrid/>
          <w:kern w:val="22"/>
        </w:rPr>
        <w:t>ах</w:t>
      </w:r>
      <w:r w:rsidR="00FD0B4D" w:rsidRPr="00690DD5">
        <w:rPr>
          <w:rStyle w:val="Para1"/>
          <w:snapToGrid/>
          <w:kern w:val="22"/>
        </w:rPr>
        <w:t xml:space="preserve"> выполнени</w:t>
      </w:r>
      <w:r w:rsidR="00A554A8" w:rsidRPr="00690DD5">
        <w:rPr>
          <w:rStyle w:val="Para1"/>
          <w:snapToGrid/>
          <w:kern w:val="22"/>
        </w:rPr>
        <w:t>я</w:t>
      </w:r>
      <w:r w:rsidR="00FD0B4D" w:rsidRPr="00690DD5">
        <w:rPr>
          <w:rStyle w:val="Para1"/>
          <w:snapToGrid/>
          <w:kern w:val="22"/>
        </w:rPr>
        <w:t xml:space="preserve"> данной целевой задачи, но темпы выполнения не обеспечивают </w:t>
      </w:r>
      <w:r w:rsidR="00A554A8" w:rsidRPr="00690DD5">
        <w:rPr>
          <w:rStyle w:val="Para1"/>
          <w:snapToGrid/>
          <w:kern w:val="22"/>
        </w:rPr>
        <w:t xml:space="preserve">ее </w:t>
      </w:r>
      <w:r w:rsidR="00FD0B4D" w:rsidRPr="00690DD5">
        <w:rPr>
          <w:rStyle w:val="Para1"/>
          <w:snapToGrid/>
          <w:kern w:val="22"/>
        </w:rPr>
        <w:t>достижения к 2020 год</w:t>
      </w:r>
      <w:r w:rsidR="00A554A8" w:rsidRPr="00690DD5">
        <w:rPr>
          <w:rStyle w:val="Para1"/>
          <w:snapToGrid/>
          <w:kern w:val="22"/>
        </w:rPr>
        <w:t>у</w:t>
      </w:r>
      <w:r w:rsidR="00FD0B4D" w:rsidRPr="00690DD5">
        <w:rPr>
          <w:rStyle w:val="Para1"/>
          <w:snapToGrid/>
          <w:kern w:val="22"/>
        </w:rPr>
        <w:t>, тогда как трет</w:t>
      </w:r>
      <w:r w:rsidR="0041144E">
        <w:rPr>
          <w:rStyle w:val="Para1"/>
          <w:snapToGrid/>
          <w:kern w:val="22"/>
        </w:rPr>
        <w:t>ь</w:t>
      </w:r>
      <w:r w:rsidR="00FD0B4D" w:rsidRPr="00690DD5">
        <w:rPr>
          <w:rStyle w:val="Para1"/>
          <w:snapToGrid/>
          <w:kern w:val="22"/>
        </w:rPr>
        <w:t xml:space="preserve"> </w:t>
      </w:r>
      <w:r w:rsidR="00F701F8">
        <w:rPr>
          <w:rStyle w:val="Para1"/>
          <w:snapToGrid/>
          <w:kern w:val="22"/>
        </w:rPr>
        <w:lastRenderedPageBreak/>
        <w:t>(3</w:t>
      </w:r>
      <w:r w:rsidR="0077150B">
        <w:rPr>
          <w:rStyle w:val="Para1"/>
          <w:snapToGrid/>
          <w:kern w:val="22"/>
        </w:rPr>
        <w:t>3</w:t>
      </w:r>
      <w:r w:rsidR="00F701F8">
        <w:rPr>
          <w:rStyle w:val="Para1"/>
          <w:snapToGrid/>
          <w:kern w:val="22"/>
        </w:rPr>
        <w:t xml:space="preserve"> %) </w:t>
      </w:r>
      <w:r w:rsidR="00FD0B4D" w:rsidRPr="00690DD5">
        <w:rPr>
          <w:rStyle w:val="Para1"/>
          <w:snapToGrid/>
          <w:kern w:val="22"/>
        </w:rPr>
        <w:t xml:space="preserve">национальных докладов </w:t>
      </w:r>
      <w:r w:rsidR="006B0627">
        <w:rPr>
          <w:rStyle w:val="Para1"/>
          <w:snapToGrid/>
          <w:kern w:val="22"/>
        </w:rPr>
        <w:t>указывает</w:t>
      </w:r>
      <w:r w:rsidR="0041144E">
        <w:rPr>
          <w:rStyle w:val="Para1"/>
          <w:snapToGrid/>
          <w:kern w:val="22"/>
        </w:rPr>
        <w:t xml:space="preserve"> на </w:t>
      </w:r>
      <w:r w:rsidR="00FD0B4D" w:rsidRPr="00690DD5">
        <w:rPr>
          <w:rStyle w:val="Para1"/>
          <w:snapToGrid/>
          <w:kern w:val="22"/>
        </w:rPr>
        <w:t xml:space="preserve">отсутствие </w:t>
      </w:r>
      <w:r w:rsidR="00A554A8" w:rsidRPr="00690DD5">
        <w:rPr>
          <w:rStyle w:val="Para1"/>
          <w:snapToGrid/>
          <w:kern w:val="22"/>
        </w:rPr>
        <w:t xml:space="preserve">общего прогресса в выполнении </w:t>
      </w:r>
      <w:r w:rsidR="00FD0B4D" w:rsidRPr="00690DD5">
        <w:rPr>
          <w:rStyle w:val="Para1"/>
          <w:snapToGrid/>
          <w:kern w:val="22"/>
        </w:rPr>
        <w:t>данной целевой задачи. Информация национальных докладов свидетельствует о том, что наиболее активные усилия на пути к выполнению данной целевой задачи были направлены на регулирование и/или искоренение уже выявленных чужеродных инвазивных видов, тогда как сравнительно меньше внимания уделялось мерам регулирования путей их перемещения.</w:t>
      </w:r>
    </w:p>
    <w:p w:rsidR="00FD0B4D" w:rsidRPr="00690DD5" w:rsidRDefault="00FD0B4D" w:rsidP="00FD0B4D">
      <w:pPr>
        <w:spacing w:after="120"/>
        <w:rPr>
          <w:rFonts w:cs="Times New Roman"/>
          <w:i/>
          <w:iCs/>
        </w:rPr>
      </w:pPr>
      <w:r w:rsidRPr="00690DD5">
        <w:rPr>
          <w:rStyle w:val="Normal"/>
          <w:i/>
        </w:rPr>
        <w:t>Целевая задача 10</w:t>
      </w:r>
      <w:r w:rsidR="00F6170B" w:rsidRPr="00690DD5">
        <w:rPr>
          <w:rStyle w:val="Normal"/>
          <w:i/>
        </w:rPr>
        <w:t>.</w:t>
      </w:r>
      <w:r w:rsidRPr="00690DD5">
        <w:rPr>
          <w:rStyle w:val="Normal"/>
          <w:i/>
        </w:rPr>
        <w:t xml:space="preserve"> </w:t>
      </w:r>
      <w:r w:rsidR="00F6170B" w:rsidRPr="00690DD5">
        <w:rPr>
          <w:rStyle w:val="Normal"/>
          <w:i/>
        </w:rPr>
        <w:t>К</w:t>
      </w:r>
      <w:r w:rsidRPr="00690DD5">
        <w:rPr>
          <w:rStyle w:val="Normal"/>
          <w:i/>
        </w:rPr>
        <w:t xml:space="preserve"> 2015 году сведены к минимуму многочисленные антропогенные нагрузки на коралловые рифы и другие уязвимые экосистемы, на которые воздействует изменение климата или подкисление океанов, в целях поддержания их целостности и функционирования.</w:t>
      </w:r>
    </w:p>
    <w:p w:rsidR="00FD0B4D" w:rsidRPr="00690DD5" w:rsidRDefault="00B61A04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>
        <w:rPr>
          <w:rStyle w:val="Para1"/>
          <w:snapToGrid/>
          <w:kern w:val="22"/>
        </w:rPr>
        <w:t xml:space="preserve">Только </w:t>
      </w:r>
      <w:r w:rsidR="00EF0165">
        <w:rPr>
          <w:rStyle w:val="Para1"/>
          <w:snapToGrid/>
          <w:kern w:val="22"/>
        </w:rPr>
        <w:t>8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</w:t>
      </w:r>
      <w:r w:rsidRPr="00690DD5">
        <w:rPr>
          <w:rStyle w:val="Para1"/>
          <w:snapToGrid/>
          <w:kern w:val="22"/>
        </w:rPr>
        <w:t xml:space="preserve">НСПДСБ </w:t>
      </w:r>
      <w:r w:rsidR="00FD0B4D" w:rsidRPr="00690DD5">
        <w:rPr>
          <w:rStyle w:val="Para1"/>
          <w:snapToGrid/>
          <w:kern w:val="22"/>
        </w:rPr>
        <w:t>содержат национальные целевые задачи или другие обязательства, которые по охвату и уровню амбициозности приближаются к установленным в целевой задаче 10, принятой в Айти</w:t>
      </w:r>
      <w:r w:rsidR="00FD0B4D" w:rsidRPr="00690DD5">
        <w:rPr>
          <w:snapToGrid/>
          <w:kern w:val="22"/>
          <w:sz w:val="18"/>
          <w:vertAlign w:val="superscript"/>
        </w:rPr>
        <w:footnoteReference w:id="22"/>
      </w:r>
      <w:r w:rsidR="006E0A56">
        <w:rPr>
          <w:rStyle w:val="Para1"/>
          <w:snapToGrid/>
          <w:kern w:val="22"/>
        </w:rPr>
        <w:t xml:space="preserve">, </w:t>
      </w:r>
      <w:r w:rsidR="0017118C">
        <w:rPr>
          <w:rStyle w:val="Para1"/>
          <w:snapToGrid/>
          <w:kern w:val="22"/>
        </w:rPr>
        <w:t xml:space="preserve">а </w:t>
      </w:r>
      <w:r w:rsidR="006E0A56">
        <w:rPr>
          <w:rStyle w:val="Para1"/>
          <w:snapToGrid/>
          <w:kern w:val="22"/>
        </w:rPr>
        <w:t>50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НСПДСБ содерж</w:t>
      </w:r>
      <w:r w:rsidR="001C2DD5">
        <w:rPr>
          <w:rStyle w:val="Para1"/>
          <w:snapToGrid/>
          <w:kern w:val="22"/>
        </w:rPr>
        <w:t>а</w:t>
      </w:r>
      <w:r w:rsidR="00FD0B4D" w:rsidRPr="00690DD5">
        <w:rPr>
          <w:rStyle w:val="Para1"/>
          <w:snapToGrid/>
          <w:kern w:val="22"/>
        </w:rPr>
        <w:t xml:space="preserve">т национальные целевые задачи или аналогичные обязательства, которые ниже по уровню целевой задачи, принятой в Айти, или не </w:t>
      </w:r>
      <w:r w:rsidR="00AB0A01" w:rsidRPr="00690DD5">
        <w:rPr>
          <w:rStyle w:val="Para1"/>
          <w:snapToGrid/>
          <w:kern w:val="22"/>
        </w:rPr>
        <w:t>охватывают</w:t>
      </w:r>
      <w:r w:rsidR="00FD0B4D" w:rsidRPr="00690DD5">
        <w:rPr>
          <w:rStyle w:val="Para1"/>
          <w:snapToGrid/>
          <w:kern w:val="22"/>
        </w:rPr>
        <w:t xml:space="preserve"> всех элементов целевой задачи, принятой в Айти.</w:t>
      </w:r>
      <w:r w:rsidR="00E0723B">
        <w:rPr>
          <w:rStyle w:val="Para1"/>
          <w:snapToGrid/>
          <w:kern w:val="22"/>
        </w:rPr>
        <w:t xml:space="preserve"> В общей сложности </w:t>
      </w:r>
      <w:r w:rsidR="00FD0B4D" w:rsidRPr="00690DD5">
        <w:rPr>
          <w:rStyle w:val="Para1"/>
          <w:snapToGrid/>
          <w:kern w:val="22"/>
        </w:rPr>
        <w:t>4</w:t>
      </w:r>
      <w:r w:rsidR="00E0723B">
        <w:rPr>
          <w:rStyle w:val="Para1"/>
          <w:snapToGrid/>
          <w:kern w:val="22"/>
        </w:rPr>
        <w:t xml:space="preserve">2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НСПДСБ не содержат никаких национальных целевых задач, связанных с данной целевой задачей, принятой в Айти. Данная целевая задача, принятая в Айти, относится к целевым задачам с наименьшим числом НСПДСБ, содержащих сопоставимые целевые задачи. Поставленные целевые задачи носят </w:t>
      </w:r>
      <w:r w:rsidR="00A13CC5">
        <w:rPr>
          <w:rStyle w:val="Para1"/>
          <w:snapToGrid/>
          <w:kern w:val="22"/>
        </w:rPr>
        <w:t>большей частью</w:t>
      </w:r>
      <w:r w:rsidR="00FD0B4D" w:rsidRPr="00690DD5">
        <w:rPr>
          <w:rStyle w:val="Para1"/>
          <w:snapToGrid/>
          <w:kern w:val="22"/>
        </w:rPr>
        <w:t xml:space="preserve"> общий характер. Лишь некоторые из них непосредственно касаются коралловых рифов или других конкретных экосистем, уязвимых по отношению к изменению климата.</w:t>
      </w:r>
    </w:p>
    <w:p w:rsidR="00664624" w:rsidRPr="00690DD5" w:rsidRDefault="004B3AF8" w:rsidP="00C4735C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spacing w:after="80"/>
      </w:pPr>
      <w:r w:rsidRPr="00690DD5">
        <w:rPr>
          <w:rStyle w:val="Para1"/>
          <w:kern w:val="22"/>
        </w:rPr>
        <w:t xml:space="preserve">Только </w:t>
      </w:r>
      <w:r w:rsidR="002000B0" w:rsidRPr="00690DD5">
        <w:rPr>
          <w:rStyle w:val="Para1"/>
          <w:kern w:val="22"/>
        </w:rPr>
        <w:t>3</w:t>
      </w:r>
      <w:r w:rsidR="00FD0B4D" w:rsidRPr="00690DD5">
        <w:rPr>
          <w:rStyle w:val="Para1"/>
          <w:kern w:val="22"/>
        </w:rPr>
        <w:t xml:space="preserve"> </w:t>
      </w:r>
      <w:r w:rsidR="00D736EC" w:rsidRPr="00690DD5">
        <w:rPr>
          <w:rStyle w:val="Para1"/>
          <w:kern w:val="22"/>
        </w:rPr>
        <w:t>%</w:t>
      </w:r>
      <w:r w:rsidR="00FD0B4D" w:rsidRPr="00690DD5">
        <w:rPr>
          <w:rStyle w:val="Para1"/>
          <w:kern w:val="22"/>
        </w:rPr>
        <w:t xml:space="preserve"> национальных докладов содержат информацию, </w:t>
      </w:r>
      <w:r w:rsidR="002000B0" w:rsidRPr="00690DD5">
        <w:rPr>
          <w:rStyle w:val="Para1"/>
          <w:kern w:val="22"/>
        </w:rPr>
        <w:t xml:space="preserve">указывающую </w:t>
      </w:r>
      <w:r w:rsidR="00FD0B4D" w:rsidRPr="00690DD5">
        <w:rPr>
          <w:rStyle w:val="Para1"/>
          <w:kern w:val="22"/>
        </w:rPr>
        <w:t xml:space="preserve">на возможность выполнения данной </w:t>
      </w:r>
      <w:r w:rsidR="00FD0B4D" w:rsidRPr="00690DD5">
        <w:rPr>
          <w:rStyle w:val="Para1"/>
          <w:snapToGrid/>
          <w:kern w:val="22"/>
        </w:rPr>
        <w:t>целевой</w:t>
      </w:r>
      <w:r w:rsidR="00FD0B4D" w:rsidRPr="00690DD5">
        <w:rPr>
          <w:rStyle w:val="Para1"/>
          <w:kern w:val="22"/>
        </w:rPr>
        <w:t xml:space="preserve"> задачи к установленному сроку, тогда как </w:t>
      </w:r>
      <w:r w:rsidR="002000B0" w:rsidRPr="00690DD5">
        <w:rPr>
          <w:rStyle w:val="Para1"/>
          <w:kern w:val="22"/>
        </w:rPr>
        <w:t xml:space="preserve">более </w:t>
      </w:r>
      <w:r w:rsidR="00FD0B4D" w:rsidRPr="00690DD5">
        <w:rPr>
          <w:rStyle w:val="Para1"/>
          <w:kern w:val="22"/>
        </w:rPr>
        <w:t>трет</w:t>
      </w:r>
      <w:r w:rsidR="002000B0" w:rsidRPr="00690DD5">
        <w:rPr>
          <w:rStyle w:val="Para1"/>
          <w:kern w:val="22"/>
        </w:rPr>
        <w:t>и</w:t>
      </w:r>
      <w:r w:rsidR="00FD0B4D" w:rsidRPr="00690DD5">
        <w:rPr>
          <w:rStyle w:val="Para1"/>
          <w:kern w:val="22"/>
        </w:rPr>
        <w:t xml:space="preserve"> докладов сообща</w:t>
      </w:r>
      <w:r w:rsidR="00A83D9C">
        <w:rPr>
          <w:rStyle w:val="Para1"/>
          <w:kern w:val="22"/>
        </w:rPr>
        <w:t xml:space="preserve">ют </w:t>
      </w:r>
      <w:r w:rsidR="00FD0B4D" w:rsidRPr="00690DD5">
        <w:rPr>
          <w:rStyle w:val="Para1"/>
          <w:kern w:val="22"/>
        </w:rPr>
        <w:t>о дости</w:t>
      </w:r>
      <w:r w:rsidR="002000B0" w:rsidRPr="00690DD5">
        <w:rPr>
          <w:rStyle w:val="Para1"/>
          <w:kern w:val="22"/>
        </w:rPr>
        <w:t xml:space="preserve">жении </w:t>
      </w:r>
      <w:r w:rsidR="00FD0B4D" w:rsidRPr="00690DD5">
        <w:rPr>
          <w:rStyle w:val="Para1"/>
          <w:kern w:val="22"/>
        </w:rPr>
        <w:t>результат</w:t>
      </w:r>
      <w:r w:rsidR="002000B0" w:rsidRPr="00690DD5">
        <w:rPr>
          <w:rStyle w:val="Para1"/>
          <w:kern w:val="22"/>
        </w:rPr>
        <w:t xml:space="preserve">ов в </w:t>
      </w:r>
      <w:r w:rsidR="00FD0B4D" w:rsidRPr="00690DD5">
        <w:rPr>
          <w:rStyle w:val="Para1"/>
          <w:kern w:val="22"/>
        </w:rPr>
        <w:t>выполнени</w:t>
      </w:r>
      <w:r w:rsidR="002000B0" w:rsidRPr="00690DD5">
        <w:rPr>
          <w:rStyle w:val="Para1"/>
          <w:kern w:val="22"/>
        </w:rPr>
        <w:t>и</w:t>
      </w:r>
      <w:r w:rsidR="00FD0B4D" w:rsidRPr="00690DD5">
        <w:rPr>
          <w:rStyle w:val="Para1"/>
          <w:kern w:val="22"/>
        </w:rPr>
        <w:t xml:space="preserve"> целевой задачи, но таки</w:t>
      </w:r>
      <w:r w:rsidR="002000B0" w:rsidRPr="00690DD5">
        <w:rPr>
          <w:rStyle w:val="Para1"/>
          <w:kern w:val="22"/>
        </w:rPr>
        <w:t>ми</w:t>
      </w:r>
      <w:r w:rsidR="00FD0B4D" w:rsidRPr="00690DD5">
        <w:rPr>
          <w:rStyle w:val="Para1"/>
          <w:kern w:val="22"/>
        </w:rPr>
        <w:t xml:space="preserve"> темпа</w:t>
      </w:r>
      <w:r w:rsidR="002000B0" w:rsidRPr="00690DD5">
        <w:rPr>
          <w:rStyle w:val="Para1"/>
          <w:kern w:val="22"/>
        </w:rPr>
        <w:t>ми</w:t>
      </w:r>
      <w:r w:rsidR="00FD0B4D" w:rsidRPr="00690DD5">
        <w:rPr>
          <w:rStyle w:val="Para1"/>
          <w:kern w:val="22"/>
        </w:rPr>
        <w:t>, которые не позволят выполн</w:t>
      </w:r>
      <w:r w:rsidR="002000B0" w:rsidRPr="00690DD5">
        <w:rPr>
          <w:rStyle w:val="Para1"/>
          <w:kern w:val="22"/>
        </w:rPr>
        <w:t>ить ее</w:t>
      </w:r>
      <w:r w:rsidR="00FD0B4D" w:rsidRPr="00690DD5">
        <w:rPr>
          <w:rStyle w:val="Para1"/>
          <w:kern w:val="22"/>
        </w:rPr>
        <w:t xml:space="preserve"> к установленному сроку. </w:t>
      </w:r>
      <w:r w:rsidR="002000B0" w:rsidRPr="00690DD5">
        <w:rPr>
          <w:rStyle w:val="Para1"/>
          <w:kern w:val="22"/>
        </w:rPr>
        <w:t>П</w:t>
      </w:r>
      <w:r w:rsidR="00434575">
        <w:rPr>
          <w:rStyle w:val="Para1"/>
          <w:kern w:val="22"/>
        </w:rPr>
        <w:t xml:space="preserve">очти </w:t>
      </w:r>
      <w:r w:rsidR="002000B0" w:rsidRPr="00690DD5">
        <w:rPr>
          <w:rStyle w:val="Para1"/>
          <w:kern w:val="22"/>
        </w:rPr>
        <w:t>в четверт</w:t>
      </w:r>
      <w:r w:rsidR="00233947">
        <w:rPr>
          <w:rStyle w:val="Para1"/>
          <w:kern w:val="22"/>
        </w:rPr>
        <w:t xml:space="preserve">и </w:t>
      </w:r>
      <w:r w:rsidR="002000B0" w:rsidRPr="00690DD5">
        <w:rPr>
          <w:rStyle w:val="Para1"/>
          <w:kern w:val="22"/>
        </w:rPr>
        <w:t>(2</w:t>
      </w:r>
      <w:r w:rsidR="00FD0B4D" w:rsidRPr="00690DD5">
        <w:rPr>
          <w:rStyle w:val="Para1"/>
          <w:kern w:val="22"/>
        </w:rPr>
        <w:t xml:space="preserve">3 </w:t>
      </w:r>
      <w:r w:rsidR="00D736EC" w:rsidRPr="00690DD5">
        <w:rPr>
          <w:rStyle w:val="Para1"/>
          <w:kern w:val="22"/>
        </w:rPr>
        <w:t>%</w:t>
      </w:r>
      <w:r w:rsidR="002000B0" w:rsidRPr="00690DD5">
        <w:rPr>
          <w:rStyle w:val="Para1"/>
          <w:kern w:val="22"/>
        </w:rPr>
        <w:t>)</w:t>
      </w:r>
      <w:r w:rsidR="00FD0B4D" w:rsidRPr="00690DD5">
        <w:rPr>
          <w:rStyle w:val="Para1"/>
          <w:kern w:val="22"/>
        </w:rPr>
        <w:t xml:space="preserve"> </w:t>
      </w:r>
      <w:r w:rsidR="00255835">
        <w:rPr>
          <w:rStyle w:val="Para1"/>
          <w:kern w:val="22"/>
        </w:rPr>
        <w:t xml:space="preserve">докладов </w:t>
      </w:r>
      <w:r w:rsidR="00FD0B4D" w:rsidRPr="00690DD5">
        <w:rPr>
          <w:rStyle w:val="Para1"/>
          <w:kern w:val="22"/>
        </w:rPr>
        <w:t>отмечается отсутствие заметных изменений</w:t>
      </w:r>
      <w:r w:rsidR="002000B0" w:rsidRPr="00690DD5">
        <w:rPr>
          <w:rStyle w:val="Para1"/>
          <w:kern w:val="22"/>
        </w:rPr>
        <w:t>, тогда как в 7 % докладов приводится информация, свидетельствующая о том, что положение ухудшается. В</w:t>
      </w:r>
      <w:r w:rsidR="00FD0B4D" w:rsidRPr="00690DD5">
        <w:rPr>
          <w:rStyle w:val="Para1"/>
          <w:kern w:val="22"/>
        </w:rPr>
        <w:t xml:space="preserve"> отличие от других целевых задач </w:t>
      </w:r>
      <w:r w:rsidR="00FD0B4D" w:rsidRPr="00A83498">
        <w:rPr>
          <w:rStyle w:val="Para1"/>
          <w:kern w:val="22"/>
        </w:rPr>
        <w:t>сравнительно немного стран привод</w:t>
      </w:r>
      <w:r w:rsidR="00AF5492" w:rsidRPr="00A83498">
        <w:rPr>
          <w:rStyle w:val="Para1"/>
          <w:kern w:val="22"/>
        </w:rPr>
        <w:t>я</w:t>
      </w:r>
      <w:r w:rsidR="00FD0B4D" w:rsidRPr="00A83498">
        <w:rPr>
          <w:rStyle w:val="Para1"/>
          <w:kern w:val="22"/>
        </w:rPr>
        <w:t>т</w:t>
      </w:r>
      <w:r w:rsidR="00FD0B4D" w:rsidRPr="00AB6A2F">
        <w:rPr>
          <w:rStyle w:val="Para1"/>
          <w:color w:val="FF0000"/>
          <w:kern w:val="22"/>
        </w:rPr>
        <w:t xml:space="preserve"> </w:t>
      </w:r>
      <w:r w:rsidR="00FD0B4D" w:rsidRPr="00690DD5">
        <w:rPr>
          <w:rStyle w:val="Para1"/>
          <w:kern w:val="22"/>
        </w:rPr>
        <w:t xml:space="preserve">информацию о достигнутых </w:t>
      </w:r>
      <w:r w:rsidR="002000B0" w:rsidRPr="00690DD5">
        <w:rPr>
          <w:rStyle w:val="Para1"/>
          <w:kern w:val="22"/>
        </w:rPr>
        <w:t>результатах в выполнении</w:t>
      </w:r>
      <w:r w:rsidR="00FD0B4D" w:rsidRPr="00690DD5">
        <w:rPr>
          <w:rStyle w:val="Para1"/>
          <w:kern w:val="22"/>
        </w:rPr>
        <w:t xml:space="preserve"> данной целевой задачи. </w:t>
      </w:r>
      <w:r w:rsidR="00E201A4">
        <w:rPr>
          <w:rStyle w:val="Para1"/>
          <w:kern w:val="22"/>
        </w:rPr>
        <w:t>Более т</w:t>
      </w:r>
      <w:r w:rsidR="00FD0B4D" w:rsidRPr="00690DD5">
        <w:rPr>
          <w:rStyle w:val="Para1"/>
          <w:kern w:val="22"/>
        </w:rPr>
        <w:t>рет</w:t>
      </w:r>
      <w:r w:rsidR="00E201A4">
        <w:rPr>
          <w:rStyle w:val="Para1"/>
          <w:kern w:val="22"/>
        </w:rPr>
        <w:t>и</w:t>
      </w:r>
      <w:r w:rsidR="00FD0B4D" w:rsidRPr="00690DD5">
        <w:rPr>
          <w:rStyle w:val="Para1"/>
          <w:kern w:val="22"/>
        </w:rPr>
        <w:t xml:space="preserve"> докладов </w:t>
      </w:r>
      <w:r w:rsidR="00E201A4">
        <w:rPr>
          <w:rStyle w:val="Para1"/>
          <w:kern w:val="22"/>
        </w:rPr>
        <w:t>(3</w:t>
      </w:r>
      <w:r w:rsidR="00C36DA1">
        <w:rPr>
          <w:rStyle w:val="Para1"/>
          <w:kern w:val="22"/>
        </w:rPr>
        <w:t>2</w:t>
      </w:r>
      <w:r w:rsidR="00E201A4">
        <w:rPr>
          <w:rStyle w:val="Para1"/>
          <w:kern w:val="22"/>
        </w:rPr>
        <w:t xml:space="preserve"> %) </w:t>
      </w:r>
      <w:r w:rsidR="00FD0B4D" w:rsidRPr="00690DD5">
        <w:rPr>
          <w:rStyle w:val="Para1"/>
          <w:kern w:val="22"/>
        </w:rPr>
        <w:t>не содержит информации, позволя</w:t>
      </w:r>
      <w:r w:rsidR="00A06FA5" w:rsidRPr="00690DD5">
        <w:rPr>
          <w:rStyle w:val="Para1"/>
          <w:kern w:val="22"/>
        </w:rPr>
        <w:t xml:space="preserve">ющей провести оценку </w:t>
      </w:r>
      <w:r w:rsidR="00FD0B4D" w:rsidRPr="00690DD5">
        <w:rPr>
          <w:rStyle w:val="Para1"/>
          <w:kern w:val="22"/>
        </w:rPr>
        <w:t>результат</w:t>
      </w:r>
      <w:r w:rsidR="00A06FA5" w:rsidRPr="00690DD5">
        <w:rPr>
          <w:rStyle w:val="Para1"/>
          <w:kern w:val="22"/>
        </w:rPr>
        <w:t>ов</w:t>
      </w:r>
      <w:r w:rsidR="00FD0B4D" w:rsidRPr="00690DD5">
        <w:rPr>
          <w:rStyle w:val="Para1"/>
          <w:kern w:val="22"/>
        </w:rPr>
        <w:t xml:space="preserve"> </w:t>
      </w:r>
      <w:r w:rsidR="00A06FA5" w:rsidRPr="00690DD5">
        <w:rPr>
          <w:rStyle w:val="Para1"/>
          <w:kern w:val="22"/>
        </w:rPr>
        <w:t>выполнения</w:t>
      </w:r>
      <w:r w:rsidR="00FD0B4D" w:rsidRPr="00690DD5">
        <w:rPr>
          <w:rStyle w:val="Para1"/>
          <w:kern w:val="22"/>
        </w:rPr>
        <w:t xml:space="preserve"> настоящей целевой задачи.</w:t>
      </w:r>
      <w:r w:rsidR="00850F02">
        <w:rPr>
          <w:rStyle w:val="Para1"/>
          <w:kern w:val="22"/>
        </w:rPr>
        <w:t xml:space="preserve"> </w:t>
      </w:r>
    </w:p>
    <w:p w:rsidR="00FD0B4D" w:rsidRPr="00690DD5" w:rsidRDefault="00FD0B4D" w:rsidP="00FD0B4D">
      <w:pPr>
        <w:spacing w:after="120"/>
        <w:rPr>
          <w:rFonts w:cs="Times New Roman"/>
          <w:i/>
          <w:iCs/>
        </w:rPr>
      </w:pPr>
      <w:r w:rsidRPr="00690DD5">
        <w:rPr>
          <w:rStyle w:val="Normal"/>
          <w:i/>
        </w:rPr>
        <w:t>Целевая задача 11</w:t>
      </w:r>
      <w:r w:rsidR="00F6170B" w:rsidRPr="00690DD5">
        <w:rPr>
          <w:rStyle w:val="Normal"/>
          <w:i/>
        </w:rPr>
        <w:t>.</w:t>
      </w:r>
      <w:r w:rsidRPr="00690DD5">
        <w:rPr>
          <w:rStyle w:val="Normal"/>
          <w:i/>
        </w:rPr>
        <w:t xml:space="preserve"> </w:t>
      </w:r>
      <w:r w:rsidR="00F6170B" w:rsidRPr="00690DD5">
        <w:rPr>
          <w:rStyle w:val="Normal"/>
          <w:i/>
        </w:rPr>
        <w:t>К</w:t>
      </w:r>
      <w:r w:rsidRPr="00690DD5">
        <w:rPr>
          <w:rStyle w:val="Normal"/>
          <w:i/>
        </w:rPr>
        <w:t xml:space="preserve"> 2020 году не менее 17% районов суши и внутренних вод и 10% прибрежных и морских районов,</w:t>
      </w:r>
      <w:r w:rsidR="00A143B0">
        <w:rPr>
          <w:rStyle w:val="Normal"/>
          <w:i/>
        </w:rPr>
        <w:t xml:space="preserve"> и</w:t>
      </w:r>
      <w:r w:rsidRPr="00690DD5">
        <w:rPr>
          <w:rStyle w:val="Normal"/>
          <w:i/>
        </w:rPr>
        <w:t xml:space="preserve"> в частности районов, имеющих особо</w:t>
      </w:r>
      <w:r w:rsidR="00A143B0">
        <w:rPr>
          <w:rStyle w:val="Normal"/>
          <w:i/>
        </w:rPr>
        <w:t xml:space="preserve"> важное</w:t>
      </w:r>
      <w:r w:rsidRPr="00690DD5">
        <w:rPr>
          <w:rStyle w:val="Normal"/>
          <w:i/>
        </w:rPr>
        <w:t xml:space="preserve"> значение для сохранения биоразнообразия и обеспечения экосистемных услуг, сохраняются за счет эффективного и справедливого управления, существования экологически репрезентативных и хорошо связанных между собой систем охраняемых районов и применения других природоохранных мер на порайонной основе и включения их в более широкие ландшафты суши и морские ландшафты.</w:t>
      </w:r>
    </w:p>
    <w:p w:rsidR="00660906" w:rsidRPr="00690DD5" w:rsidRDefault="00DC4526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 xml:space="preserve">Из </w:t>
      </w:r>
      <w:r w:rsidR="00FD0B4D" w:rsidRPr="00690DD5">
        <w:rPr>
          <w:rStyle w:val="Para1"/>
          <w:snapToGrid/>
          <w:kern w:val="22"/>
        </w:rPr>
        <w:t xml:space="preserve">НСПДСБ, рассмотренных в ходе настоящей оценки, </w:t>
      </w:r>
      <w:r w:rsidRPr="00690DD5">
        <w:rPr>
          <w:rStyle w:val="Para1"/>
          <w:snapToGrid/>
          <w:kern w:val="22"/>
        </w:rPr>
        <w:t>1</w:t>
      </w:r>
      <w:r w:rsidR="00AB6A2F">
        <w:rPr>
          <w:rStyle w:val="Para1"/>
          <w:snapToGrid/>
          <w:kern w:val="22"/>
        </w:rPr>
        <w:t>0</w:t>
      </w:r>
      <w:r w:rsidRPr="00690DD5">
        <w:rPr>
          <w:rStyle w:val="Para1"/>
          <w:snapToGrid/>
          <w:kern w:val="22"/>
        </w:rPr>
        <w:t xml:space="preserve"> % </w:t>
      </w:r>
      <w:r w:rsidR="00FD0B4D" w:rsidRPr="00690DD5">
        <w:rPr>
          <w:rStyle w:val="Para1"/>
          <w:snapToGrid/>
          <w:kern w:val="22"/>
        </w:rPr>
        <w:t>содержали целевые задачи или обязательства, близкие по охвату и уровню амбициозности, установленным в целевой задаче, принятой в Айти</w:t>
      </w:r>
      <w:r w:rsidR="00FD0B4D" w:rsidRPr="00690DD5">
        <w:rPr>
          <w:snapToGrid/>
          <w:kern w:val="22"/>
          <w:sz w:val="18"/>
          <w:vertAlign w:val="superscript"/>
        </w:rPr>
        <w:footnoteReference w:id="23"/>
      </w:r>
      <w:r w:rsidR="00FD0B4D" w:rsidRPr="00690DD5">
        <w:rPr>
          <w:rStyle w:val="Para1"/>
          <w:snapToGrid/>
          <w:kern w:val="22"/>
        </w:rPr>
        <w:t xml:space="preserve">. Еще </w:t>
      </w:r>
      <w:r w:rsidR="00015ABE" w:rsidRPr="00690DD5">
        <w:rPr>
          <w:rStyle w:val="Para1"/>
          <w:snapToGrid/>
          <w:kern w:val="22"/>
        </w:rPr>
        <w:t>2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НСПДСБ содержа</w:t>
      </w:r>
      <w:r w:rsidR="004E2891">
        <w:rPr>
          <w:rStyle w:val="Para1"/>
          <w:snapToGrid/>
          <w:kern w:val="22"/>
        </w:rPr>
        <w:t>т</w:t>
      </w:r>
      <w:r w:rsidR="00FD0B4D" w:rsidRPr="00690DD5">
        <w:rPr>
          <w:rStyle w:val="Para1"/>
          <w:snapToGrid/>
          <w:kern w:val="22"/>
        </w:rPr>
        <w:t xml:space="preserve"> национальные целевые задачи, которые отличались более высоким уровнем амбициозности по сравнению с целевой задачей, принятой в Айти</w:t>
      </w:r>
      <w:r w:rsidR="00FD0B4D" w:rsidRPr="00690DD5">
        <w:rPr>
          <w:snapToGrid/>
          <w:kern w:val="22"/>
          <w:sz w:val="18"/>
          <w:vertAlign w:val="superscript"/>
        </w:rPr>
        <w:footnoteReference w:id="24"/>
      </w:r>
      <w:r w:rsidR="00FD0B4D" w:rsidRPr="00690DD5">
        <w:rPr>
          <w:rStyle w:val="Para1"/>
          <w:snapToGrid/>
          <w:kern w:val="22"/>
        </w:rPr>
        <w:t xml:space="preserve">. </w:t>
      </w:r>
      <w:r w:rsidR="00392B28">
        <w:rPr>
          <w:rStyle w:val="Para1"/>
          <w:snapToGrid/>
          <w:kern w:val="22"/>
        </w:rPr>
        <w:t xml:space="preserve">Более </w:t>
      </w:r>
      <w:r w:rsidR="00015ABE" w:rsidRPr="00690DD5">
        <w:rPr>
          <w:rStyle w:val="Para1"/>
          <w:snapToGrid/>
          <w:kern w:val="22"/>
        </w:rPr>
        <w:t>тр</w:t>
      </w:r>
      <w:r w:rsidR="00392B28">
        <w:rPr>
          <w:rStyle w:val="Para1"/>
          <w:snapToGrid/>
          <w:kern w:val="22"/>
        </w:rPr>
        <w:t xml:space="preserve">ех </w:t>
      </w:r>
      <w:r w:rsidR="00015ABE" w:rsidRPr="00690DD5">
        <w:rPr>
          <w:rStyle w:val="Para1"/>
          <w:snapToGrid/>
          <w:kern w:val="22"/>
        </w:rPr>
        <w:t>четверт</w:t>
      </w:r>
      <w:r w:rsidR="00997002">
        <w:rPr>
          <w:rStyle w:val="Para1"/>
          <w:snapToGrid/>
          <w:kern w:val="22"/>
        </w:rPr>
        <w:t xml:space="preserve">ых </w:t>
      </w:r>
      <w:r w:rsidR="00FD0B4D" w:rsidRPr="00690DD5">
        <w:rPr>
          <w:rStyle w:val="Para1"/>
          <w:snapToGrid/>
          <w:kern w:val="22"/>
        </w:rPr>
        <w:t>(7</w:t>
      </w:r>
      <w:r w:rsidR="0089605E">
        <w:rPr>
          <w:rStyle w:val="Para1"/>
          <w:snapToGrid/>
          <w:kern w:val="22"/>
        </w:rPr>
        <w:t>7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>) НСПДСБ содержа</w:t>
      </w:r>
      <w:r w:rsidR="00512BDD">
        <w:rPr>
          <w:rStyle w:val="Para1"/>
          <w:snapToGrid/>
          <w:kern w:val="22"/>
        </w:rPr>
        <w:t xml:space="preserve">т </w:t>
      </w:r>
      <w:r w:rsidR="00FD0B4D" w:rsidRPr="00690DD5">
        <w:rPr>
          <w:rStyle w:val="Para1"/>
          <w:snapToGrid/>
          <w:kern w:val="22"/>
        </w:rPr>
        <w:t xml:space="preserve">национальные целевые задачи, которые либо ниже по уровню целевой задачи, принятой в Айти, либо не затрагивали всех элементов целевой задачи, принятой в Айти. </w:t>
      </w:r>
      <w:r w:rsidRPr="00690DD5">
        <w:rPr>
          <w:rStyle w:val="Para1"/>
          <w:snapToGrid/>
          <w:kern w:val="22"/>
        </w:rPr>
        <w:t>Примерно 1</w:t>
      </w:r>
      <w:r w:rsidR="00154EA2">
        <w:rPr>
          <w:rStyle w:val="Para1"/>
          <w:snapToGrid/>
          <w:kern w:val="22"/>
        </w:rPr>
        <w:t>0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НСПДСБ не содержа</w:t>
      </w:r>
      <w:r w:rsidR="00645748">
        <w:rPr>
          <w:rStyle w:val="Para1"/>
          <w:snapToGrid/>
          <w:kern w:val="22"/>
        </w:rPr>
        <w:t>т</w:t>
      </w:r>
      <w:r w:rsidR="00FD0B4D" w:rsidRPr="00690DD5">
        <w:rPr>
          <w:rStyle w:val="Para1"/>
          <w:snapToGrid/>
          <w:kern w:val="22"/>
        </w:rPr>
        <w:t xml:space="preserve"> никаких национальных целевых задач или аналогичных обязательств, связанных с данной целевой задачей по сохранению и устойчивому использованию биоразнообразия, принятой в Айти. Многие из целевых задач относились к улучшению национальных охраняемых районов страны в целом. Наибольшее внимание в национальных целевых задачах уделялось расширению площадей охраняемых районов суши. Несколько меньше внимания уделялось созданию морских охраняемых районов. Элементы </w:t>
      </w:r>
      <w:r w:rsidR="00FD0B4D" w:rsidRPr="00690DD5">
        <w:rPr>
          <w:rStyle w:val="Para1"/>
          <w:snapToGrid/>
          <w:kern w:val="22"/>
        </w:rPr>
        <w:lastRenderedPageBreak/>
        <w:t>целевой задачи, принятой в Айти, которые носили в большей степени качественный характер (экологическая репрезентативность, эффективность управления, защита имеющих особое значение охраняемых районов и их взаимная связь), также были недостаточно полно охвачены в национальных целевых задачах НСПДСБ.</w:t>
      </w:r>
    </w:p>
    <w:p w:rsidR="00660906" w:rsidRPr="00690DD5" w:rsidRDefault="00CC4376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 xml:space="preserve">В пятой части </w:t>
      </w:r>
      <w:r w:rsidR="00FD0B4D" w:rsidRPr="00690DD5">
        <w:rPr>
          <w:rStyle w:val="Para1"/>
          <w:snapToGrid/>
          <w:kern w:val="22"/>
        </w:rPr>
        <w:t>национальных докладов отмечает</w:t>
      </w:r>
      <w:r w:rsidR="00400047" w:rsidRPr="00690DD5">
        <w:rPr>
          <w:rStyle w:val="Para1"/>
          <w:snapToGrid/>
          <w:kern w:val="22"/>
        </w:rPr>
        <w:t>ся</w:t>
      </w:r>
      <w:r w:rsidR="00FD0B4D" w:rsidRPr="00690DD5">
        <w:rPr>
          <w:rStyle w:val="Para1"/>
          <w:snapToGrid/>
          <w:kern w:val="22"/>
        </w:rPr>
        <w:t xml:space="preserve"> возможность выполнения данной целевой задачи к 2020 году. Еще 6</w:t>
      </w:r>
      <w:r w:rsidR="009C2B30">
        <w:rPr>
          <w:rStyle w:val="Para1"/>
          <w:snapToGrid/>
          <w:kern w:val="22"/>
        </w:rPr>
        <w:t>7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докладов указывают на достигнутые результаты </w:t>
      </w:r>
      <w:r w:rsidR="00A06FA5" w:rsidRPr="00690DD5">
        <w:rPr>
          <w:rStyle w:val="Para1"/>
          <w:snapToGrid/>
          <w:kern w:val="22"/>
        </w:rPr>
        <w:t>выполнения</w:t>
      </w:r>
      <w:r w:rsidR="00FD0B4D" w:rsidRPr="00690DD5">
        <w:rPr>
          <w:rStyle w:val="Para1"/>
          <w:snapToGrid/>
          <w:kern w:val="22"/>
        </w:rPr>
        <w:t xml:space="preserve"> данной целевой задачи, но темпы выполнения не обеспечивают ее достижения к 2020 году. Только </w:t>
      </w:r>
      <w:r w:rsidR="009C2B30">
        <w:rPr>
          <w:rStyle w:val="Para1"/>
          <w:snapToGrid/>
          <w:kern w:val="22"/>
        </w:rPr>
        <w:t>7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докладов отмечают отсутствие заметных изменений, и ни в одном из докладов не сообщается об ухудшении ситуации. Достигнутые результаты </w:t>
      </w:r>
      <w:r w:rsidR="00A06FA5" w:rsidRPr="00690DD5">
        <w:rPr>
          <w:rStyle w:val="Para1"/>
          <w:snapToGrid/>
          <w:kern w:val="22"/>
        </w:rPr>
        <w:t>выполнения</w:t>
      </w:r>
      <w:r w:rsidR="00FD0B4D" w:rsidRPr="00690DD5">
        <w:rPr>
          <w:rStyle w:val="Para1"/>
          <w:snapToGrid/>
          <w:kern w:val="22"/>
        </w:rPr>
        <w:t xml:space="preserve"> настоящей целевой задачи относятся к наиболее положительным из всех 20 целевых задач, при</w:t>
      </w:r>
      <w:r w:rsidR="00022C52" w:rsidRPr="00690DD5">
        <w:rPr>
          <w:rStyle w:val="Para1"/>
          <w:snapToGrid/>
          <w:kern w:val="22"/>
        </w:rPr>
        <w:t xml:space="preserve">нятых в Айти, однако </w:t>
      </w:r>
      <w:r w:rsidR="00FD0B4D" w:rsidRPr="00690DD5">
        <w:rPr>
          <w:rStyle w:val="Para1"/>
          <w:snapToGrid/>
          <w:kern w:val="22"/>
        </w:rPr>
        <w:t>представляется, что Стороны</w:t>
      </w:r>
      <w:r w:rsidR="005445F7">
        <w:rPr>
          <w:rStyle w:val="Para1"/>
          <w:snapToGrid/>
          <w:kern w:val="22"/>
        </w:rPr>
        <w:t>,</w:t>
      </w:r>
      <w:r w:rsidR="00FD0B4D" w:rsidRPr="00690DD5">
        <w:rPr>
          <w:rStyle w:val="Para1"/>
          <w:snapToGrid/>
          <w:kern w:val="22"/>
        </w:rPr>
        <w:t xml:space="preserve"> в основном</w:t>
      </w:r>
      <w:r w:rsidR="005445F7">
        <w:rPr>
          <w:rStyle w:val="Para1"/>
          <w:snapToGrid/>
          <w:kern w:val="22"/>
        </w:rPr>
        <w:t>,</w:t>
      </w:r>
      <w:r w:rsidR="00FD0B4D" w:rsidRPr="00690DD5">
        <w:rPr>
          <w:rStyle w:val="Para1"/>
          <w:snapToGrid/>
          <w:kern w:val="22"/>
        </w:rPr>
        <w:t xml:space="preserve"> обращали внимание на расширение охраняемых районов суши и сравнительно немногие </w:t>
      </w:r>
      <w:r w:rsidR="00B8318B" w:rsidRPr="00690DD5">
        <w:rPr>
          <w:rStyle w:val="Para1"/>
          <w:snapToGrid/>
          <w:kern w:val="22"/>
        </w:rPr>
        <w:t>доклады содержат</w:t>
      </w:r>
      <w:r w:rsidR="00FD0B4D" w:rsidRPr="00690DD5">
        <w:rPr>
          <w:rStyle w:val="Para1"/>
          <w:snapToGrid/>
          <w:kern w:val="22"/>
        </w:rPr>
        <w:t xml:space="preserve"> информацию</w:t>
      </w:r>
      <w:r w:rsidR="00A361E2" w:rsidRPr="00690DD5">
        <w:rPr>
          <w:rStyle w:val="Para1"/>
          <w:snapToGrid/>
          <w:kern w:val="22"/>
        </w:rPr>
        <w:t xml:space="preserve"> о </w:t>
      </w:r>
      <w:r w:rsidR="00FD0B4D" w:rsidRPr="00690DD5">
        <w:rPr>
          <w:rStyle w:val="Para1"/>
          <w:snapToGrid/>
          <w:kern w:val="22"/>
        </w:rPr>
        <w:t>морски</w:t>
      </w:r>
      <w:r w:rsidR="00A361E2" w:rsidRPr="00690DD5">
        <w:rPr>
          <w:rStyle w:val="Para1"/>
          <w:snapToGrid/>
          <w:kern w:val="22"/>
        </w:rPr>
        <w:t>х</w:t>
      </w:r>
      <w:r w:rsidR="00FD0B4D" w:rsidRPr="00690DD5">
        <w:rPr>
          <w:rStyle w:val="Para1"/>
          <w:snapToGrid/>
          <w:kern w:val="22"/>
        </w:rPr>
        <w:t xml:space="preserve"> охраняемы</w:t>
      </w:r>
      <w:r w:rsidR="00A361E2" w:rsidRPr="00690DD5">
        <w:rPr>
          <w:rStyle w:val="Para1"/>
          <w:snapToGrid/>
          <w:kern w:val="22"/>
        </w:rPr>
        <w:t>х</w:t>
      </w:r>
      <w:r w:rsidR="00FD0B4D" w:rsidRPr="00690DD5">
        <w:rPr>
          <w:rStyle w:val="Para1"/>
          <w:snapToGrid/>
          <w:kern w:val="22"/>
        </w:rPr>
        <w:t xml:space="preserve"> района</w:t>
      </w:r>
      <w:r w:rsidR="00A361E2" w:rsidRPr="00690DD5">
        <w:rPr>
          <w:rStyle w:val="Para1"/>
          <w:snapToGrid/>
          <w:kern w:val="22"/>
        </w:rPr>
        <w:t>х</w:t>
      </w:r>
      <w:r w:rsidR="00FD0B4D" w:rsidRPr="00690DD5">
        <w:rPr>
          <w:rStyle w:val="Para1"/>
          <w:snapToGrid/>
          <w:kern w:val="22"/>
        </w:rPr>
        <w:t>. Кроме того, более половины докладов не содержат информации об экологической репрезентативности охраняемых районов или о включении охраняемых районов в более широкие ландшафты суши и морские ландшафты. К тому же, более трети докладов не содержит никакой информации об охраняемых районах, имеющих особое значение для сохранения биоразнообразия, или об обеспечении эффективного и справедливого управления охраняемыми районами.</w:t>
      </w:r>
    </w:p>
    <w:p w:rsidR="00FD0B4D" w:rsidRPr="00690DD5" w:rsidRDefault="00FD0B4D" w:rsidP="00FD0B4D">
      <w:pPr>
        <w:spacing w:after="120"/>
        <w:rPr>
          <w:rFonts w:cs="Times New Roman"/>
          <w:i/>
          <w:iCs/>
        </w:rPr>
      </w:pPr>
      <w:r w:rsidRPr="00690DD5">
        <w:rPr>
          <w:rStyle w:val="Normal"/>
          <w:i/>
        </w:rPr>
        <w:t>Целевая задача 12</w:t>
      </w:r>
      <w:r w:rsidR="00DC7ED0" w:rsidRPr="00690DD5">
        <w:rPr>
          <w:rStyle w:val="Normal"/>
          <w:i/>
        </w:rPr>
        <w:t>.</w:t>
      </w:r>
      <w:r w:rsidR="00660906" w:rsidRPr="00690DD5">
        <w:rPr>
          <w:rStyle w:val="Normal"/>
          <w:i/>
        </w:rPr>
        <w:t xml:space="preserve"> </w:t>
      </w:r>
      <w:r w:rsidRPr="00690DD5">
        <w:rPr>
          <w:rStyle w:val="Normal"/>
          <w:i/>
        </w:rPr>
        <w:t>К 2020 году предотвращено исчезновение известных угрожаемых видов</w:t>
      </w:r>
      <w:r w:rsidR="00E0637F">
        <w:rPr>
          <w:rStyle w:val="Normal"/>
          <w:i/>
        </w:rPr>
        <w:t>,</w:t>
      </w:r>
      <w:r w:rsidRPr="00690DD5">
        <w:rPr>
          <w:rStyle w:val="Normal"/>
          <w:i/>
        </w:rPr>
        <w:t xml:space="preserve"> и статус их сохранности, </w:t>
      </w:r>
      <w:r w:rsidR="00E0637F">
        <w:rPr>
          <w:rStyle w:val="Normal"/>
          <w:i/>
        </w:rPr>
        <w:t xml:space="preserve">и </w:t>
      </w:r>
      <w:r w:rsidRPr="00690DD5">
        <w:rPr>
          <w:rStyle w:val="Normal"/>
          <w:i/>
        </w:rPr>
        <w:t>в частности видов, численность которых более всего сокращается, улучшен и поддерживается.</w:t>
      </w:r>
    </w:p>
    <w:p w:rsidR="00FD0B4D" w:rsidRPr="00690DD5" w:rsidRDefault="00EA76CD" w:rsidP="00660906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>
        <w:rPr>
          <w:rStyle w:val="Para1"/>
          <w:snapToGrid/>
          <w:kern w:val="22"/>
        </w:rPr>
        <w:t xml:space="preserve">Менее одной пятой </w:t>
      </w:r>
      <w:r w:rsidR="00FD0B4D" w:rsidRPr="00690DD5">
        <w:rPr>
          <w:rStyle w:val="Para1"/>
          <w:snapToGrid/>
          <w:kern w:val="22"/>
        </w:rPr>
        <w:t>(</w:t>
      </w:r>
      <w:r>
        <w:rPr>
          <w:rStyle w:val="Para1"/>
          <w:snapToGrid/>
          <w:kern w:val="22"/>
        </w:rPr>
        <w:t>19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>) НСПДСБ содержатся целевые задачи, которые по охвату и уровню амбициозности приближаются к установленным в целевой задаче 12, принятой в Айти</w:t>
      </w:r>
      <w:r w:rsidR="00660906" w:rsidRPr="00690DD5">
        <w:rPr>
          <w:snapToGrid/>
          <w:kern w:val="22"/>
          <w:sz w:val="18"/>
          <w:vertAlign w:val="superscript"/>
        </w:rPr>
        <w:footnoteReference w:id="25"/>
      </w:r>
      <w:r w:rsidR="00FD0B4D" w:rsidRPr="00690DD5">
        <w:rPr>
          <w:rStyle w:val="Para1"/>
          <w:snapToGrid/>
          <w:kern w:val="22"/>
        </w:rPr>
        <w:t xml:space="preserve">. </w:t>
      </w:r>
      <w:r w:rsidR="00C40A6F">
        <w:rPr>
          <w:rStyle w:val="Para1"/>
          <w:snapToGrid/>
          <w:kern w:val="22"/>
        </w:rPr>
        <w:t>В общей сложности</w:t>
      </w:r>
      <w:r w:rsidR="00FD0B4D" w:rsidRPr="00690DD5">
        <w:rPr>
          <w:rStyle w:val="Para1"/>
          <w:snapToGrid/>
          <w:kern w:val="22"/>
        </w:rPr>
        <w:t xml:space="preserve"> </w:t>
      </w:r>
      <w:r w:rsidR="00015B29" w:rsidRPr="00690DD5">
        <w:rPr>
          <w:rStyle w:val="Para1"/>
          <w:snapToGrid/>
          <w:kern w:val="22"/>
        </w:rPr>
        <w:t>6</w:t>
      </w:r>
      <w:r w:rsidR="00C40A6F">
        <w:rPr>
          <w:rStyle w:val="Para1"/>
          <w:snapToGrid/>
          <w:kern w:val="22"/>
        </w:rPr>
        <w:t>7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НСПДСБ содерж</w:t>
      </w:r>
      <w:r w:rsidR="00F0500C">
        <w:rPr>
          <w:rStyle w:val="Para1"/>
          <w:snapToGrid/>
          <w:kern w:val="22"/>
        </w:rPr>
        <w:t>а</w:t>
      </w:r>
      <w:r w:rsidR="00FD0B4D" w:rsidRPr="00690DD5">
        <w:rPr>
          <w:rStyle w:val="Para1"/>
          <w:snapToGrid/>
          <w:kern w:val="22"/>
        </w:rPr>
        <w:t xml:space="preserve">т целевые задачи либо с более низким уровнем амбициозности, либо не </w:t>
      </w:r>
      <w:r w:rsidR="00015B29" w:rsidRPr="00690DD5">
        <w:rPr>
          <w:rStyle w:val="Para1"/>
          <w:snapToGrid/>
          <w:kern w:val="22"/>
        </w:rPr>
        <w:t>охватывающие</w:t>
      </w:r>
      <w:r w:rsidR="00FD0B4D" w:rsidRPr="00690DD5">
        <w:rPr>
          <w:rStyle w:val="Para1"/>
          <w:snapToGrid/>
          <w:kern w:val="22"/>
        </w:rPr>
        <w:t xml:space="preserve"> все элементы целевой задачи, принятой в Айти, а еще 1</w:t>
      </w:r>
      <w:r w:rsidR="00CE304C">
        <w:rPr>
          <w:rStyle w:val="Para1"/>
          <w:snapToGrid/>
          <w:kern w:val="22"/>
        </w:rPr>
        <w:t>4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</w:t>
      </w:r>
      <w:r w:rsidR="0001525C" w:rsidRPr="00690DD5">
        <w:rPr>
          <w:rStyle w:val="Para1"/>
          <w:snapToGrid/>
          <w:kern w:val="22"/>
        </w:rPr>
        <w:t>НСПДСБ</w:t>
      </w:r>
      <w:r w:rsidR="00FD0B4D" w:rsidRPr="00690DD5">
        <w:rPr>
          <w:rStyle w:val="Para1"/>
          <w:snapToGrid/>
          <w:kern w:val="22"/>
        </w:rPr>
        <w:t xml:space="preserve"> не содерж</w:t>
      </w:r>
      <w:r w:rsidR="00987D53">
        <w:rPr>
          <w:rStyle w:val="Para1"/>
          <w:snapToGrid/>
          <w:kern w:val="22"/>
        </w:rPr>
        <w:t>а</w:t>
      </w:r>
      <w:r w:rsidR="00FD0B4D" w:rsidRPr="00690DD5">
        <w:rPr>
          <w:rStyle w:val="Para1"/>
          <w:snapToGrid/>
          <w:kern w:val="22"/>
        </w:rPr>
        <w:t>т никаких национальных целевых задач или обязательств, связанных с данной целевой задачей, принятой в Айти. Поставленные национальные целевые задачи в равной степени касаются предотвращения исчезновения и улучшение статуса сохранности угрожаемых видов.</w:t>
      </w:r>
    </w:p>
    <w:p w:rsidR="00660906" w:rsidRPr="00690DD5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 xml:space="preserve">Только </w:t>
      </w:r>
      <w:r w:rsidR="00FF2E62" w:rsidRPr="00690DD5">
        <w:rPr>
          <w:rStyle w:val="Para1"/>
          <w:snapToGrid/>
          <w:kern w:val="22"/>
        </w:rPr>
        <w:t>4</w:t>
      </w:r>
      <w:r w:rsidR="00DC7ED0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национальных докладов содержа</w:t>
      </w:r>
      <w:r w:rsidR="00056B8F">
        <w:rPr>
          <w:rStyle w:val="Para1"/>
          <w:snapToGrid/>
          <w:kern w:val="22"/>
        </w:rPr>
        <w:t>т</w:t>
      </w:r>
      <w:r w:rsidRPr="00690DD5">
        <w:rPr>
          <w:rStyle w:val="Para1"/>
          <w:snapToGrid/>
          <w:kern w:val="22"/>
        </w:rPr>
        <w:t xml:space="preserve"> информацию, указывающую на возможность выполнения данной целевой задачи к установленному сроку. Более половины (5</w:t>
      </w:r>
      <w:r w:rsidR="0003234B">
        <w:rPr>
          <w:rStyle w:val="Para1"/>
          <w:snapToGrid/>
          <w:kern w:val="22"/>
        </w:rPr>
        <w:t>1</w:t>
      </w:r>
      <w:r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>) национальных докладов содержат информацию, которая свидетельствует о том, что</w:t>
      </w:r>
      <w:r w:rsidR="0003234B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несмотря на достигнутые результаты </w:t>
      </w:r>
      <w:r w:rsidR="00A06FA5" w:rsidRPr="00690DD5">
        <w:rPr>
          <w:rStyle w:val="Para1"/>
          <w:snapToGrid/>
          <w:kern w:val="22"/>
        </w:rPr>
        <w:t>выполнения</w:t>
      </w:r>
      <w:r w:rsidRPr="00690DD5">
        <w:rPr>
          <w:rStyle w:val="Para1"/>
          <w:snapToGrid/>
          <w:kern w:val="22"/>
        </w:rPr>
        <w:t xml:space="preserve"> целевой задачи, их будет недостаточно для выполнения целевой задачи к 2020 году. Как правило, отмечаются более заметные достигнутые результаты по улучшению статуса сохранения видов, чем по предотвращению их исчезновения. </w:t>
      </w:r>
      <w:r w:rsidR="00690DD5">
        <w:rPr>
          <w:rStyle w:val="Para1"/>
          <w:snapToGrid/>
          <w:kern w:val="22"/>
        </w:rPr>
        <w:t>Вместе с тем</w:t>
      </w:r>
      <w:r w:rsidR="005445F7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не всегда очевидна разница между предотвращением исчезновения видов и улучшением статуса сохранения видов.</w:t>
      </w:r>
    </w:p>
    <w:p w:rsidR="00FD0B4D" w:rsidRPr="00690DD5" w:rsidRDefault="00FD0B4D" w:rsidP="00FD0B4D">
      <w:pPr>
        <w:spacing w:after="120"/>
        <w:rPr>
          <w:rFonts w:cs="Times New Roman"/>
          <w:i/>
          <w:iCs/>
        </w:rPr>
      </w:pPr>
      <w:r w:rsidRPr="00690DD5">
        <w:rPr>
          <w:rStyle w:val="Normal"/>
          <w:i/>
        </w:rPr>
        <w:t>Целевая задача 13</w:t>
      </w:r>
      <w:r w:rsidR="00F6170B" w:rsidRPr="00690DD5">
        <w:rPr>
          <w:rStyle w:val="Normal"/>
          <w:i/>
        </w:rPr>
        <w:t>.</w:t>
      </w:r>
      <w:r w:rsidRPr="00690DD5">
        <w:rPr>
          <w:rStyle w:val="Normal"/>
          <w:i/>
        </w:rPr>
        <w:t xml:space="preserve"> </w:t>
      </w:r>
      <w:r w:rsidR="00F6170B" w:rsidRPr="00690DD5">
        <w:rPr>
          <w:rStyle w:val="Normal"/>
          <w:i/>
        </w:rPr>
        <w:t>К</w:t>
      </w:r>
      <w:r w:rsidRPr="00690DD5">
        <w:rPr>
          <w:rStyle w:val="Normal"/>
          <w:i/>
        </w:rPr>
        <w:t xml:space="preserve"> 2020 году поддерживается генетическое разнообразие культивируемых растений</w:t>
      </w:r>
      <w:r w:rsidR="00822B3B">
        <w:rPr>
          <w:rStyle w:val="Normal"/>
          <w:i/>
        </w:rPr>
        <w:t xml:space="preserve"> и</w:t>
      </w:r>
      <w:r w:rsidRPr="00690DD5">
        <w:rPr>
          <w:rStyle w:val="Normal"/>
          <w:i/>
        </w:rPr>
        <w:t xml:space="preserve"> сельскохозяйственных и домашних животных и их диких родственников, включая другие ценные виды с социально-экономической и культурной точек зрения, </w:t>
      </w:r>
      <w:r w:rsidR="00822B3B">
        <w:rPr>
          <w:rStyle w:val="Normal"/>
          <w:i/>
        </w:rPr>
        <w:t xml:space="preserve">и </w:t>
      </w:r>
      <w:r w:rsidRPr="00690DD5">
        <w:rPr>
          <w:rStyle w:val="Normal"/>
          <w:i/>
        </w:rPr>
        <w:t>разработаны и осуществлены стратегии по минимизации генетической эрозии и сохранению их генетического разнообразия</w:t>
      </w:r>
    </w:p>
    <w:p w:rsidR="00660906" w:rsidRPr="00690DD5" w:rsidRDefault="00720421" w:rsidP="00720421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kern w:val="22"/>
        </w:rPr>
        <w:t xml:space="preserve">Из общего числа целевых задач, </w:t>
      </w:r>
      <w:r w:rsidR="00FD0B4D" w:rsidRPr="00690DD5">
        <w:rPr>
          <w:rStyle w:val="Para1"/>
          <w:snapToGrid/>
          <w:kern w:val="22"/>
        </w:rPr>
        <w:t>содержа</w:t>
      </w:r>
      <w:r w:rsidRPr="00690DD5">
        <w:rPr>
          <w:rStyle w:val="Para1"/>
          <w:kern w:val="22"/>
        </w:rPr>
        <w:t>щ</w:t>
      </w:r>
      <w:r w:rsidR="00FD0B4D" w:rsidRPr="00690DD5">
        <w:rPr>
          <w:rStyle w:val="Para1"/>
          <w:snapToGrid/>
          <w:kern w:val="22"/>
        </w:rPr>
        <w:t xml:space="preserve">ихся в НСПДСБ, </w:t>
      </w:r>
      <w:r w:rsidRPr="00690DD5">
        <w:rPr>
          <w:rStyle w:val="Para1"/>
          <w:kern w:val="22"/>
        </w:rPr>
        <w:t>1</w:t>
      </w:r>
      <w:r w:rsidR="00F5029B">
        <w:rPr>
          <w:rStyle w:val="Para1"/>
          <w:kern w:val="22"/>
        </w:rPr>
        <w:t>3</w:t>
      </w:r>
      <w:r w:rsidRPr="00690DD5">
        <w:rPr>
          <w:rStyle w:val="Para1"/>
          <w:kern w:val="22"/>
        </w:rPr>
        <w:t xml:space="preserve"> % </w:t>
      </w:r>
      <w:r w:rsidR="005445F7">
        <w:rPr>
          <w:rStyle w:val="Para1"/>
          <w:snapToGrid/>
          <w:kern w:val="22"/>
        </w:rPr>
        <w:t xml:space="preserve">эквивалентны </w:t>
      </w:r>
      <w:r w:rsidRPr="00690DD5">
        <w:rPr>
          <w:rStyle w:val="Para1"/>
          <w:kern w:val="22"/>
        </w:rPr>
        <w:t xml:space="preserve">по </w:t>
      </w:r>
      <w:r w:rsidR="00FD0B4D" w:rsidRPr="00690DD5">
        <w:rPr>
          <w:rStyle w:val="Para1"/>
          <w:snapToGrid/>
          <w:kern w:val="22"/>
        </w:rPr>
        <w:t>охват</w:t>
      </w:r>
      <w:r w:rsidRPr="00690DD5">
        <w:rPr>
          <w:rStyle w:val="Para1"/>
          <w:kern w:val="22"/>
        </w:rPr>
        <w:t>у</w:t>
      </w:r>
      <w:r w:rsidR="00FD0B4D" w:rsidRPr="00690DD5">
        <w:rPr>
          <w:rStyle w:val="Para1"/>
          <w:snapToGrid/>
          <w:kern w:val="22"/>
        </w:rPr>
        <w:t xml:space="preserve"> и уровн</w:t>
      </w:r>
      <w:r w:rsidRPr="00690DD5">
        <w:rPr>
          <w:rStyle w:val="Para1"/>
          <w:kern w:val="22"/>
        </w:rPr>
        <w:t>ю</w:t>
      </w:r>
      <w:r w:rsidR="00FD0B4D" w:rsidRPr="00690DD5">
        <w:rPr>
          <w:rStyle w:val="Para1"/>
          <w:snapToGrid/>
          <w:kern w:val="22"/>
        </w:rPr>
        <w:t xml:space="preserve"> амбициозности </w:t>
      </w:r>
      <w:r w:rsidRPr="00690DD5">
        <w:rPr>
          <w:rStyle w:val="Para1"/>
          <w:kern w:val="22"/>
        </w:rPr>
        <w:t xml:space="preserve">к </w:t>
      </w:r>
      <w:r w:rsidR="00FD0B4D" w:rsidRPr="00690DD5">
        <w:rPr>
          <w:rStyle w:val="Para1"/>
          <w:snapToGrid/>
          <w:kern w:val="22"/>
        </w:rPr>
        <w:t>целевой задаче, принятой в Айти</w:t>
      </w:r>
      <w:r w:rsidR="00FD0B4D" w:rsidRPr="00690DD5">
        <w:rPr>
          <w:snapToGrid/>
          <w:kern w:val="22"/>
          <w:sz w:val="18"/>
          <w:vertAlign w:val="superscript"/>
        </w:rPr>
        <w:footnoteReference w:id="26"/>
      </w:r>
      <w:r w:rsidR="00FD0B4D" w:rsidRPr="00690DD5">
        <w:rPr>
          <w:rStyle w:val="Para1"/>
          <w:snapToGrid/>
          <w:kern w:val="22"/>
        </w:rPr>
        <w:t xml:space="preserve">, и один </w:t>
      </w:r>
      <w:r w:rsidR="0001525C" w:rsidRPr="00690DD5">
        <w:rPr>
          <w:rStyle w:val="Para1"/>
          <w:snapToGrid/>
          <w:kern w:val="22"/>
        </w:rPr>
        <w:t>НСПДСБ</w:t>
      </w:r>
      <w:r w:rsidR="00FD0B4D" w:rsidRPr="00690DD5">
        <w:rPr>
          <w:snapToGrid/>
          <w:kern w:val="22"/>
          <w:sz w:val="18"/>
          <w:vertAlign w:val="superscript"/>
        </w:rPr>
        <w:footnoteReference w:id="27"/>
      </w:r>
      <w:r w:rsidR="00FD0B4D" w:rsidRPr="00690DD5">
        <w:rPr>
          <w:rStyle w:val="Para1"/>
          <w:snapToGrid/>
          <w:kern w:val="22"/>
        </w:rPr>
        <w:t xml:space="preserve"> содерж</w:t>
      </w:r>
      <w:r w:rsidR="000C302E">
        <w:rPr>
          <w:rStyle w:val="Para1"/>
          <w:snapToGrid/>
          <w:kern w:val="22"/>
        </w:rPr>
        <w:t xml:space="preserve">ал </w:t>
      </w:r>
      <w:r w:rsidR="00FD0B4D" w:rsidRPr="00690DD5">
        <w:rPr>
          <w:rStyle w:val="Para1"/>
          <w:snapToGrid/>
          <w:kern w:val="22"/>
        </w:rPr>
        <w:t xml:space="preserve">целевую </w:t>
      </w:r>
      <w:r w:rsidR="00FD0B4D" w:rsidRPr="00690DD5">
        <w:rPr>
          <w:rStyle w:val="Para1"/>
          <w:snapToGrid/>
          <w:kern w:val="22"/>
        </w:rPr>
        <w:lastRenderedPageBreak/>
        <w:t>задачу более амбициозную по сравнению с целевой задачей, принятой в Айти. Более половины (</w:t>
      </w:r>
      <w:r w:rsidR="00F5029B">
        <w:rPr>
          <w:rStyle w:val="Para1"/>
          <w:snapToGrid/>
          <w:kern w:val="22"/>
        </w:rPr>
        <w:t>63</w:t>
      </w:r>
      <w:r w:rsidR="00690DD5">
        <w:rPr>
          <w:rStyle w:val="Para1"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) таких поставленных целевых задач отличаются либо более низким уровнем, либо не </w:t>
      </w:r>
      <w:r w:rsidR="00AB0A01" w:rsidRPr="00690DD5">
        <w:rPr>
          <w:rStyle w:val="Para1"/>
          <w:snapToGrid/>
          <w:kern w:val="22"/>
        </w:rPr>
        <w:t>охватывают</w:t>
      </w:r>
      <w:r w:rsidR="00FD0B4D" w:rsidRPr="00690DD5">
        <w:rPr>
          <w:rStyle w:val="Para1"/>
          <w:snapToGrid/>
          <w:kern w:val="22"/>
        </w:rPr>
        <w:t xml:space="preserve"> всех элементов целевой задачи по сохранению и устойчивому использованию биоразнообразия, принятой в Айти.</w:t>
      </w:r>
      <w:r w:rsidR="00386C9C">
        <w:rPr>
          <w:rStyle w:val="Para1"/>
          <w:snapToGrid/>
          <w:kern w:val="22"/>
        </w:rPr>
        <w:t xml:space="preserve"> Почти </w:t>
      </w:r>
      <w:r w:rsidR="007A47C5">
        <w:rPr>
          <w:rStyle w:val="Para1"/>
          <w:snapToGrid/>
          <w:kern w:val="22"/>
        </w:rPr>
        <w:t>четверт</w:t>
      </w:r>
      <w:r w:rsidR="00386C9C">
        <w:rPr>
          <w:rStyle w:val="Para1"/>
          <w:snapToGrid/>
          <w:kern w:val="22"/>
        </w:rPr>
        <w:t xml:space="preserve">ь </w:t>
      </w:r>
      <w:r w:rsidR="00A030E5">
        <w:rPr>
          <w:rStyle w:val="Para1"/>
          <w:snapToGrid/>
          <w:kern w:val="22"/>
        </w:rPr>
        <w:t xml:space="preserve">(24 %) </w:t>
      </w:r>
      <w:r w:rsidR="00FD0B4D" w:rsidRPr="00690DD5">
        <w:rPr>
          <w:rStyle w:val="Para1"/>
          <w:snapToGrid/>
          <w:kern w:val="22"/>
        </w:rPr>
        <w:t>НСПДСБ не содерж</w:t>
      </w:r>
      <w:r w:rsidR="00A030E5">
        <w:rPr>
          <w:rStyle w:val="Para1"/>
          <w:snapToGrid/>
          <w:kern w:val="22"/>
        </w:rPr>
        <w:t>а</w:t>
      </w:r>
      <w:r w:rsidR="00FD0B4D" w:rsidRPr="00690DD5">
        <w:rPr>
          <w:rStyle w:val="Para1"/>
          <w:snapToGrid/>
          <w:kern w:val="22"/>
        </w:rPr>
        <w:t>т никаких целевых задач, непосредственно связанных с целевой задачей 13, принятой в Айти. Большинство поставленных целевых задач относится к сохранению генетического разнообразия в целом. Лишь немногие из целевых задач непосредственно относятся к конкретным элементам целевой задачи. В частности</w:t>
      </w:r>
      <w:r w:rsidR="005445F7">
        <w:rPr>
          <w:rStyle w:val="Para1"/>
          <w:snapToGrid/>
          <w:kern w:val="22"/>
        </w:rPr>
        <w:t>,</w:t>
      </w:r>
      <w:r w:rsidR="00FD0B4D" w:rsidRPr="00690DD5">
        <w:rPr>
          <w:rStyle w:val="Para1"/>
          <w:snapToGrid/>
          <w:kern w:val="22"/>
        </w:rPr>
        <w:t xml:space="preserve"> вопрос о сохранении генетического разнообразия диких родственников, ценных видов с социально-экономической и культурной точек зрения, а также разработки стратегии по минимизации генетической эрозии в целом не нашл</w:t>
      </w:r>
      <w:r w:rsidR="003D0387">
        <w:rPr>
          <w:rStyle w:val="Para1"/>
          <w:snapToGrid/>
          <w:kern w:val="22"/>
        </w:rPr>
        <w:t>и</w:t>
      </w:r>
      <w:r w:rsidR="00FD0B4D" w:rsidRPr="00690DD5">
        <w:rPr>
          <w:rStyle w:val="Para1"/>
          <w:snapToGrid/>
          <w:kern w:val="22"/>
        </w:rPr>
        <w:t xml:space="preserve"> отражения в целевых задачах, поставленных Сторонами.</w:t>
      </w:r>
      <w:r w:rsidRPr="00690DD5">
        <w:rPr>
          <w:rFonts w:eastAsia="Malgun Gothic" w:cs="Times New Roman"/>
          <w:kern w:val="22"/>
          <w:szCs w:val="22"/>
        </w:rPr>
        <w:t xml:space="preserve"> </w:t>
      </w:r>
    </w:p>
    <w:p w:rsidR="00660906" w:rsidRPr="00690DD5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 xml:space="preserve">Менее </w:t>
      </w:r>
      <w:r w:rsidR="00933AE9">
        <w:rPr>
          <w:rStyle w:val="Para1"/>
          <w:snapToGrid/>
          <w:kern w:val="22"/>
        </w:rPr>
        <w:t>одной десятой (</w:t>
      </w:r>
      <w:r w:rsidR="003F6923">
        <w:rPr>
          <w:rStyle w:val="Para1"/>
          <w:snapToGrid/>
          <w:kern w:val="22"/>
        </w:rPr>
        <w:t>7</w:t>
      </w:r>
      <w:r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933AE9">
        <w:rPr>
          <w:rStyle w:val="Para1"/>
          <w:snapToGrid/>
          <w:kern w:val="22"/>
        </w:rPr>
        <w:t xml:space="preserve">) </w:t>
      </w:r>
      <w:r w:rsidRPr="00690DD5">
        <w:rPr>
          <w:rStyle w:val="Para1"/>
          <w:snapToGrid/>
          <w:kern w:val="22"/>
        </w:rPr>
        <w:t>национальных докладов содержат информацию, указывающую на возможность выполнения данной целевой задачи к установленному сроку. Более</w:t>
      </w:r>
      <w:r w:rsidR="00BA4590">
        <w:rPr>
          <w:rStyle w:val="Para1"/>
          <w:snapToGrid/>
          <w:kern w:val="22"/>
        </w:rPr>
        <w:t xml:space="preserve"> половины (</w:t>
      </w:r>
      <w:r w:rsidRPr="00690DD5">
        <w:rPr>
          <w:rStyle w:val="Para1"/>
          <w:snapToGrid/>
          <w:kern w:val="22"/>
        </w:rPr>
        <w:t>5</w:t>
      </w:r>
      <w:r w:rsidR="00BA4590">
        <w:rPr>
          <w:rStyle w:val="Para1"/>
          <w:snapToGrid/>
          <w:kern w:val="22"/>
        </w:rPr>
        <w:t>3</w:t>
      </w:r>
      <w:r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BA4590">
        <w:rPr>
          <w:rStyle w:val="Para1"/>
          <w:snapToGrid/>
          <w:kern w:val="22"/>
        </w:rPr>
        <w:t>)</w:t>
      </w:r>
      <w:r w:rsidRPr="00690DD5">
        <w:rPr>
          <w:rStyle w:val="Para1"/>
          <w:snapToGrid/>
          <w:kern w:val="22"/>
        </w:rPr>
        <w:t xml:space="preserve"> национальных докладов отмечают достигнутые результаты </w:t>
      </w:r>
      <w:r w:rsidR="00A06FA5" w:rsidRPr="00690DD5">
        <w:rPr>
          <w:rStyle w:val="Para1"/>
          <w:snapToGrid/>
          <w:kern w:val="22"/>
        </w:rPr>
        <w:t>выполнения</w:t>
      </w:r>
      <w:r w:rsidRPr="00690DD5">
        <w:rPr>
          <w:rStyle w:val="Para1"/>
          <w:snapToGrid/>
          <w:kern w:val="22"/>
        </w:rPr>
        <w:t xml:space="preserve"> данной целевой задачи, но темпы выполнения не обеспечивают ее достижения к установленному сроку. </w:t>
      </w:r>
      <w:r w:rsidR="00174DE0">
        <w:rPr>
          <w:rStyle w:val="Para1"/>
          <w:snapToGrid/>
          <w:kern w:val="22"/>
        </w:rPr>
        <w:t>Кроме того, в б</w:t>
      </w:r>
      <w:r w:rsidRPr="00690DD5">
        <w:rPr>
          <w:rStyle w:val="Para1"/>
          <w:snapToGrid/>
          <w:kern w:val="22"/>
        </w:rPr>
        <w:t>олее 20</w:t>
      </w:r>
      <w:r w:rsidR="00174DE0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докладов отмечается отсутствие заметных изменений, связанных с выполнением такой целевой задачи. </w:t>
      </w:r>
      <w:r w:rsidR="00BB43DC" w:rsidRPr="00690DD5">
        <w:rPr>
          <w:rStyle w:val="Para1"/>
          <w:snapToGrid/>
          <w:kern w:val="22"/>
        </w:rPr>
        <w:t>1</w:t>
      </w:r>
      <w:r w:rsidR="00DC0754">
        <w:rPr>
          <w:rStyle w:val="Para1"/>
          <w:snapToGrid/>
          <w:kern w:val="22"/>
        </w:rPr>
        <w:t>6</w:t>
      </w:r>
      <w:r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докладов не содерж</w:t>
      </w:r>
      <w:r w:rsidR="00DC0754">
        <w:rPr>
          <w:rStyle w:val="Para1"/>
          <w:snapToGrid/>
          <w:kern w:val="22"/>
        </w:rPr>
        <w:t>а</w:t>
      </w:r>
      <w:r w:rsidRPr="00690DD5">
        <w:rPr>
          <w:rStyle w:val="Para1"/>
          <w:snapToGrid/>
          <w:kern w:val="22"/>
        </w:rPr>
        <w:t xml:space="preserve">т </w:t>
      </w:r>
      <w:r w:rsidR="005445F7">
        <w:rPr>
          <w:rStyle w:val="Para1"/>
          <w:snapToGrid/>
          <w:kern w:val="22"/>
        </w:rPr>
        <w:t xml:space="preserve">достаточной </w:t>
      </w:r>
      <w:r w:rsidRPr="00690DD5">
        <w:rPr>
          <w:rStyle w:val="Para1"/>
          <w:snapToGrid/>
          <w:kern w:val="22"/>
        </w:rPr>
        <w:t xml:space="preserve">информации, которая позволяла бы оценить достигнутые результаты </w:t>
      </w:r>
      <w:r w:rsidR="00A06FA5" w:rsidRPr="00690DD5">
        <w:rPr>
          <w:rStyle w:val="Para1"/>
          <w:snapToGrid/>
          <w:kern w:val="22"/>
        </w:rPr>
        <w:t>выполнения</w:t>
      </w:r>
      <w:r w:rsidRPr="00690DD5">
        <w:rPr>
          <w:rStyle w:val="Para1"/>
          <w:snapToGrid/>
          <w:kern w:val="22"/>
        </w:rPr>
        <w:t xml:space="preserve"> настоящей целевой задачи. Основное внимание в настоящей целевой задаче, по всей видимости, уделяется сохранению генетического разнообразия культивируемых растений. Более </w:t>
      </w:r>
      <w:r w:rsidR="003921A0">
        <w:rPr>
          <w:rStyle w:val="Para1"/>
          <w:snapToGrid/>
          <w:kern w:val="22"/>
        </w:rPr>
        <w:t xml:space="preserve">половины </w:t>
      </w:r>
      <w:r w:rsidRPr="00690DD5">
        <w:rPr>
          <w:rStyle w:val="Para1"/>
          <w:snapToGrid/>
          <w:kern w:val="22"/>
        </w:rPr>
        <w:t>докладов не содержат информации о сохранении генетического разнообразия сельскохозяйственных и домашних животных</w:t>
      </w:r>
      <w:r w:rsidR="004602F2" w:rsidRPr="00690DD5">
        <w:rPr>
          <w:rStyle w:val="Para1"/>
          <w:snapToGrid/>
          <w:kern w:val="22"/>
        </w:rPr>
        <w:t xml:space="preserve"> и</w:t>
      </w:r>
      <w:r w:rsidRPr="00690DD5">
        <w:rPr>
          <w:rStyle w:val="Para1"/>
          <w:snapToGrid/>
          <w:kern w:val="22"/>
        </w:rPr>
        <w:t xml:space="preserve"> диких родственников</w:t>
      </w:r>
      <w:r w:rsidR="004602F2" w:rsidRPr="00690DD5">
        <w:rPr>
          <w:rStyle w:val="Para1"/>
          <w:snapToGrid/>
          <w:kern w:val="22"/>
        </w:rPr>
        <w:t>. Почти две трети (6</w:t>
      </w:r>
      <w:r w:rsidR="000055D1">
        <w:rPr>
          <w:rStyle w:val="Para1"/>
          <w:snapToGrid/>
          <w:kern w:val="22"/>
        </w:rPr>
        <w:t>3</w:t>
      </w:r>
      <w:r w:rsidR="004602F2" w:rsidRPr="00690DD5">
        <w:rPr>
          <w:rStyle w:val="Para1"/>
          <w:snapToGrid/>
          <w:kern w:val="22"/>
        </w:rPr>
        <w:t xml:space="preserve"> %) национальных докладов не содержат информации о поддержании генетического разнообразия </w:t>
      </w:r>
      <w:r w:rsidRPr="00690DD5">
        <w:rPr>
          <w:rStyle w:val="Para1"/>
          <w:snapToGrid/>
          <w:kern w:val="22"/>
        </w:rPr>
        <w:t>ценных видов с социально-экономической и культурной точек зрения. Точно так же</w:t>
      </w:r>
      <w:r w:rsidR="005445F7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более 40 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докладов не содерж</w:t>
      </w:r>
      <w:r w:rsidR="000055D1">
        <w:rPr>
          <w:rStyle w:val="Para1"/>
          <w:snapToGrid/>
          <w:kern w:val="22"/>
        </w:rPr>
        <w:t>а</w:t>
      </w:r>
      <w:r w:rsidRPr="00690DD5">
        <w:rPr>
          <w:rStyle w:val="Para1"/>
          <w:snapToGrid/>
          <w:kern w:val="22"/>
        </w:rPr>
        <w:t>т информации о разработке стратегий или планов по устранению генетической эрозии и сохранени</w:t>
      </w:r>
      <w:r w:rsidR="004602F2" w:rsidRPr="00690DD5">
        <w:rPr>
          <w:rStyle w:val="Para1"/>
          <w:snapToGrid/>
          <w:kern w:val="22"/>
        </w:rPr>
        <w:t>ю</w:t>
      </w:r>
      <w:r w:rsidRPr="00690DD5">
        <w:rPr>
          <w:rStyle w:val="Para1"/>
          <w:snapToGrid/>
          <w:kern w:val="22"/>
        </w:rPr>
        <w:t xml:space="preserve"> генетического разнообразия.</w:t>
      </w:r>
      <w:r w:rsidR="004602F2" w:rsidRPr="00690DD5">
        <w:rPr>
          <w:rStyle w:val="Para1"/>
          <w:snapToGrid/>
          <w:kern w:val="22"/>
        </w:rPr>
        <w:t xml:space="preserve"> </w:t>
      </w:r>
    </w:p>
    <w:p w:rsidR="00FD0B4D" w:rsidRPr="00690DD5" w:rsidRDefault="00FD0B4D" w:rsidP="00FD0B4D">
      <w:pPr>
        <w:spacing w:after="120"/>
        <w:rPr>
          <w:rFonts w:cs="Times New Roman"/>
          <w:i/>
          <w:iCs/>
        </w:rPr>
      </w:pPr>
      <w:r w:rsidRPr="00690DD5">
        <w:rPr>
          <w:rStyle w:val="Normal"/>
          <w:i/>
        </w:rPr>
        <w:t>Целевая задача 14</w:t>
      </w:r>
      <w:r w:rsidR="00F6170B" w:rsidRPr="00690DD5">
        <w:rPr>
          <w:rStyle w:val="Normal"/>
          <w:i/>
        </w:rPr>
        <w:t>.</w:t>
      </w:r>
      <w:r w:rsidRPr="00690DD5">
        <w:rPr>
          <w:rStyle w:val="Normal"/>
          <w:i/>
        </w:rPr>
        <w:t xml:space="preserve"> </w:t>
      </w:r>
      <w:r w:rsidR="00F6170B" w:rsidRPr="00690DD5">
        <w:rPr>
          <w:rStyle w:val="Normal"/>
          <w:i/>
        </w:rPr>
        <w:t>К</w:t>
      </w:r>
      <w:r w:rsidRPr="00690DD5">
        <w:rPr>
          <w:rStyle w:val="Normal"/>
          <w:i/>
        </w:rPr>
        <w:t xml:space="preserve"> 2020 году восстановлены и охраняются экосистемы, оказывающие важнейшие услуги, включая услуги, связанные с водой, и содействующие охране здоровья, жизнеобеспечению и благосостоянию, с учетом потребностей женщин, коренных и местных общин и бедных и уязвимых слоев населения.</w:t>
      </w:r>
    </w:p>
    <w:p w:rsidR="00FD0B4D" w:rsidRPr="00E31690" w:rsidRDefault="00FD0B4D" w:rsidP="00E31690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 w:rsidRPr="00690DD5">
        <w:rPr>
          <w:rStyle w:val="Para1"/>
          <w:snapToGrid/>
          <w:kern w:val="22"/>
        </w:rPr>
        <w:t>Только 1</w:t>
      </w:r>
      <w:r w:rsidR="002F0F47">
        <w:rPr>
          <w:rStyle w:val="Para1"/>
          <w:snapToGrid/>
          <w:kern w:val="22"/>
        </w:rPr>
        <w:t>5</w:t>
      </w:r>
      <w:r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НСПДСБ содержали целевые задачи, близкие по охвату и уровню амбициозности, установленным в целевой задаче, принятой в Айти</w:t>
      </w:r>
      <w:r w:rsidR="00660906" w:rsidRPr="00690DD5">
        <w:rPr>
          <w:snapToGrid/>
          <w:kern w:val="22"/>
          <w:sz w:val="18"/>
          <w:vertAlign w:val="superscript"/>
        </w:rPr>
        <w:footnoteReference w:id="28"/>
      </w:r>
      <w:r w:rsidRPr="00690DD5">
        <w:rPr>
          <w:rStyle w:val="Para1"/>
          <w:snapToGrid/>
          <w:kern w:val="22"/>
        </w:rPr>
        <w:t xml:space="preserve">. </w:t>
      </w:r>
      <w:r w:rsidR="002F0F47">
        <w:rPr>
          <w:rStyle w:val="Para1"/>
          <w:snapToGrid/>
          <w:kern w:val="22"/>
        </w:rPr>
        <w:t xml:space="preserve">Более половины (52 </w:t>
      </w:r>
      <w:r w:rsidR="00D736EC" w:rsidRPr="00690DD5">
        <w:rPr>
          <w:rStyle w:val="Para1"/>
          <w:snapToGrid/>
          <w:kern w:val="22"/>
        </w:rPr>
        <w:t>%</w:t>
      </w:r>
      <w:r w:rsidR="002F0F47">
        <w:rPr>
          <w:rStyle w:val="Para1"/>
          <w:snapToGrid/>
          <w:kern w:val="22"/>
        </w:rPr>
        <w:t>)</w:t>
      </w:r>
      <w:r w:rsidRPr="00690DD5">
        <w:rPr>
          <w:rStyle w:val="Para1"/>
          <w:snapToGrid/>
          <w:kern w:val="22"/>
        </w:rPr>
        <w:t xml:space="preserve"> НСПДСБ содержали целевые задачи, которые были ниже уровню или не затрагивали всех элементов целевой задачи, принятой в Айти. </w:t>
      </w:r>
      <w:r w:rsidR="005445F7">
        <w:rPr>
          <w:rStyle w:val="Para1"/>
          <w:snapToGrid/>
          <w:kern w:val="22"/>
        </w:rPr>
        <w:t>Кроме того</w:t>
      </w:r>
      <w:r w:rsidR="00001485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трет</w:t>
      </w:r>
      <w:r w:rsidR="0045112D">
        <w:rPr>
          <w:rStyle w:val="Para1"/>
          <w:snapToGrid/>
          <w:kern w:val="22"/>
        </w:rPr>
        <w:t>ь</w:t>
      </w:r>
      <w:r w:rsidRPr="00690DD5">
        <w:rPr>
          <w:rStyle w:val="Para1"/>
          <w:snapToGrid/>
          <w:kern w:val="22"/>
        </w:rPr>
        <w:t xml:space="preserve"> (3</w:t>
      </w:r>
      <w:r w:rsidR="0045112D">
        <w:rPr>
          <w:rStyle w:val="Para1"/>
          <w:snapToGrid/>
          <w:kern w:val="22"/>
        </w:rPr>
        <w:t>3</w:t>
      </w:r>
      <w:r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>) оценивавшихся НСПДСБ не содержа</w:t>
      </w:r>
      <w:r w:rsidR="0045112D">
        <w:rPr>
          <w:rStyle w:val="Para1"/>
          <w:snapToGrid/>
          <w:kern w:val="22"/>
        </w:rPr>
        <w:t>ли</w:t>
      </w:r>
      <w:r w:rsidRPr="00690DD5">
        <w:rPr>
          <w:rStyle w:val="Para1"/>
          <w:snapToGrid/>
          <w:kern w:val="22"/>
        </w:rPr>
        <w:t xml:space="preserve"> целевых задач, непосредственно связанных с целевой задачей 14 по сохранению и устойчивому использованию биоразнообразия, принятой в Айти. Сравнительно немногие национальные целевые задачи, которые были включены в НСПДСБ, непосредственно относ</w:t>
      </w:r>
      <w:r w:rsidR="00345FF7" w:rsidRPr="00690DD5">
        <w:rPr>
          <w:rStyle w:val="Para1"/>
          <w:snapToGrid/>
          <w:kern w:val="22"/>
        </w:rPr>
        <w:t>ятся</w:t>
      </w:r>
      <w:r w:rsidRPr="00690DD5">
        <w:rPr>
          <w:rStyle w:val="Para1"/>
          <w:snapToGrid/>
          <w:kern w:val="22"/>
        </w:rPr>
        <w:t xml:space="preserve"> к учету потребностей женщин, коренных народов и местных общин и бедных и уязвимых слоев населения. </w:t>
      </w:r>
      <w:r w:rsidR="0009024A" w:rsidRPr="00690DD5">
        <w:rPr>
          <w:rStyle w:val="Para1"/>
          <w:snapToGrid/>
          <w:kern w:val="22"/>
        </w:rPr>
        <w:t xml:space="preserve">Целевая </w:t>
      </w:r>
      <w:r w:rsidRPr="00690DD5">
        <w:rPr>
          <w:rStyle w:val="Para1"/>
          <w:snapToGrid/>
          <w:kern w:val="22"/>
        </w:rPr>
        <w:t>задача 14 относится к целевым задачам, для которых отмечается наименьшее число НСПДСБ с национальными целевыми задачами, имеющими близкий уровень охвата и амбициозности.</w:t>
      </w:r>
    </w:p>
    <w:p w:rsidR="00660906" w:rsidRPr="00E729E4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 xml:space="preserve">Только в </w:t>
      </w:r>
      <w:r w:rsidR="00C30772" w:rsidRPr="00690DD5">
        <w:rPr>
          <w:rStyle w:val="Para1"/>
          <w:snapToGrid/>
          <w:kern w:val="22"/>
        </w:rPr>
        <w:t>3</w:t>
      </w:r>
      <w:r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докладов отмечается, что данная целевая задача </w:t>
      </w:r>
      <w:r w:rsidR="00666BC4" w:rsidRPr="00690DD5">
        <w:rPr>
          <w:rStyle w:val="Para1"/>
          <w:snapToGrid/>
          <w:kern w:val="22"/>
        </w:rPr>
        <w:t xml:space="preserve">выполняется темпами, которые позволят завершить ее к 2020 году, </w:t>
      </w:r>
      <w:r w:rsidRPr="00690DD5">
        <w:rPr>
          <w:rStyle w:val="Para1"/>
          <w:snapToGrid/>
          <w:kern w:val="22"/>
        </w:rPr>
        <w:t xml:space="preserve">тогда как </w:t>
      </w:r>
      <w:r w:rsidR="00666BC4" w:rsidRPr="00690DD5">
        <w:rPr>
          <w:rStyle w:val="Para1"/>
          <w:snapToGrid/>
          <w:kern w:val="22"/>
        </w:rPr>
        <w:t xml:space="preserve">в </w:t>
      </w:r>
      <w:r w:rsidR="00C05F0A">
        <w:rPr>
          <w:rStyle w:val="Para1"/>
          <w:snapToGrid/>
          <w:kern w:val="22"/>
        </w:rPr>
        <w:t>более чем половине (</w:t>
      </w:r>
      <w:r w:rsidRPr="00690DD5">
        <w:rPr>
          <w:rStyle w:val="Para1"/>
          <w:snapToGrid/>
          <w:kern w:val="22"/>
        </w:rPr>
        <w:t>5</w:t>
      </w:r>
      <w:r w:rsidR="00C05F0A">
        <w:rPr>
          <w:rStyle w:val="Para1"/>
          <w:snapToGrid/>
          <w:kern w:val="22"/>
        </w:rPr>
        <w:t>1</w:t>
      </w:r>
      <w:r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C05F0A">
        <w:rPr>
          <w:rStyle w:val="Para1"/>
          <w:snapToGrid/>
          <w:kern w:val="22"/>
        </w:rPr>
        <w:t>)</w:t>
      </w:r>
      <w:r w:rsidRPr="00690DD5">
        <w:rPr>
          <w:rStyle w:val="Para1"/>
          <w:snapToGrid/>
          <w:kern w:val="22"/>
        </w:rPr>
        <w:t xml:space="preserve"> оценивавшихся национальных доклад</w:t>
      </w:r>
      <w:r w:rsidR="00F046EB">
        <w:rPr>
          <w:rStyle w:val="Para1"/>
          <w:snapToGrid/>
          <w:kern w:val="22"/>
        </w:rPr>
        <w:t>ов</w:t>
      </w:r>
      <w:r w:rsidRPr="00690DD5">
        <w:rPr>
          <w:rStyle w:val="Para1"/>
          <w:snapToGrid/>
          <w:kern w:val="22"/>
        </w:rPr>
        <w:t xml:space="preserve"> указыва</w:t>
      </w:r>
      <w:r w:rsidR="00666BC4" w:rsidRPr="00690DD5">
        <w:rPr>
          <w:rStyle w:val="Para1"/>
          <w:snapToGrid/>
          <w:kern w:val="22"/>
        </w:rPr>
        <w:t>е</w:t>
      </w:r>
      <w:r w:rsidRPr="00690DD5">
        <w:rPr>
          <w:rStyle w:val="Para1"/>
          <w:snapToGrid/>
          <w:kern w:val="22"/>
        </w:rPr>
        <w:t>т</w:t>
      </w:r>
      <w:r w:rsidR="00666BC4" w:rsidRPr="00690DD5">
        <w:rPr>
          <w:rStyle w:val="Para1"/>
          <w:snapToGrid/>
          <w:kern w:val="22"/>
        </w:rPr>
        <w:t>ся</w:t>
      </w:r>
      <w:r w:rsidRPr="00690DD5">
        <w:rPr>
          <w:rStyle w:val="Para1"/>
          <w:snapToGrid/>
          <w:kern w:val="22"/>
        </w:rPr>
        <w:t>, что</w:t>
      </w:r>
      <w:r w:rsidR="00666BC4" w:rsidRPr="00690DD5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несмотря на дости</w:t>
      </w:r>
      <w:r w:rsidR="00285B1E">
        <w:rPr>
          <w:rStyle w:val="Para1"/>
          <w:snapToGrid/>
          <w:kern w:val="22"/>
        </w:rPr>
        <w:t xml:space="preserve">жение результатов в выполнении этой целевой задачи, </w:t>
      </w:r>
      <w:r w:rsidR="00666BC4" w:rsidRPr="00690DD5">
        <w:rPr>
          <w:rStyle w:val="Para1"/>
          <w:snapToGrid/>
          <w:kern w:val="22"/>
        </w:rPr>
        <w:t>темпы</w:t>
      </w:r>
      <w:r w:rsidRPr="00690DD5">
        <w:rPr>
          <w:rStyle w:val="Para1"/>
          <w:snapToGrid/>
          <w:kern w:val="22"/>
        </w:rPr>
        <w:t xml:space="preserve"> </w:t>
      </w:r>
      <w:r w:rsidR="00285B1E">
        <w:rPr>
          <w:rStyle w:val="Para1"/>
          <w:snapToGrid/>
          <w:kern w:val="22"/>
        </w:rPr>
        <w:t>реализации</w:t>
      </w:r>
      <w:r w:rsidRPr="00690DD5">
        <w:rPr>
          <w:rStyle w:val="Para1"/>
          <w:snapToGrid/>
          <w:kern w:val="22"/>
        </w:rPr>
        <w:t xml:space="preserve"> буд</w:t>
      </w:r>
      <w:r w:rsidR="00666BC4" w:rsidRPr="00690DD5">
        <w:rPr>
          <w:rStyle w:val="Para1"/>
          <w:snapToGrid/>
          <w:kern w:val="22"/>
        </w:rPr>
        <w:t>у</w:t>
      </w:r>
      <w:r w:rsidRPr="00690DD5">
        <w:rPr>
          <w:rStyle w:val="Para1"/>
          <w:snapToGrid/>
          <w:kern w:val="22"/>
        </w:rPr>
        <w:t>т недостаточн</w:t>
      </w:r>
      <w:r w:rsidR="00666BC4" w:rsidRPr="00690DD5">
        <w:rPr>
          <w:rStyle w:val="Para1"/>
          <w:snapToGrid/>
          <w:kern w:val="22"/>
        </w:rPr>
        <w:t>ыми</w:t>
      </w:r>
      <w:r w:rsidRPr="00690DD5">
        <w:rPr>
          <w:rStyle w:val="Para1"/>
          <w:snapToGrid/>
          <w:kern w:val="22"/>
        </w:rPr>
        <w:t xml:space="preserve"> для </w:t>
      </w:r>
      <w:r w:rsidR="00666BC4" w:rsidRPr="00690DD5">
        <w:rPr>
          <w:rStyle w:val="Para1"/>
          <w:snapToGrid/>
          <w:kern w:val="22"/>
        </w:rPr>
        <w:t xml:space="preserve">ее </w:t>
      </w:r>
      <w:r w:rsidRPr="00690DD5">
        <w:rPr>
          <w:rStyle w:val="Para1"/>
          <w:snapToGrid/>
          <w:kern w:val="22"/>
        </w:rPr>
        <w:t xml:space="preserve">выполнения к установленному сроку. </w:t>
      </w:r>
      <w:r w:rsidR="00666BC4" w:rsidRPr="00690DD5">
        <w:rPr>
          <w:rStyle w:val="Para1"/>
          <w:snapToGrid/>
          <w:kern w:val="22"/>
        </w:rPr>
        <w:t xml:space="preserve">В </w:t>
      </w:r>
      <w:r w:rsidR="00E729E4">
        <w:rPr>
          <w:rStyle w:val="Para1"/>
          <w:snapToGrid/>
          <w:kern w:val="22"/>
        </w:rPr>
        <w:t xml:space="preserve">более чем </w:t>
      </w:r>
      <w:r w:rsidR="00666BC4" w:rsidRPr="00690DD5">
        <w:rPr>
          <w:rStyle w:val="Para1"/>
          <w:snapToGrid/>
          <w:kern w:val="22"/>
        </w:rPr>
        <w:t>ч</w:t>
      </w:r>
      <w:r w:rsidRPr="00690DD5">
        <w:rPr>
          <w:rStyle w:val="Para1"/>
          <w:snapToGrid/>
          <w:kern w:val="22"/>
        </w:rPr>
        <w:t>етверт</w:t>
      </w:r>
      <w:r w:rsidR="00666BC4" w:rsidRPr="00690DD5">
        <w:rPr>
          <w:rStyle w:val="Para1"/>
          <w:snapToGrid/>
          <w:kern w:val="22"/>
        </w:rPr>
        <w:t>и</w:t>
      </w:r>
      <w:r w:rsidRPr="00690DD5">
        <w:rPr>
          <w:rStyle w:val="Para1"/>
          <w:snapToGrid/>
          <w:kern w:val="22"/>
        </w:rPr>
        <w:t xml:space="preserve"> национальных докладов отмеча</w:t>
      </w:r>
      <w:r w:rsidR="00666BC4" w:rsidRPr="00690DD5">
        <w:rPr>
          <w:rStyle w:val="Para1"/>
          <w:snapToGrid/>
          <w:kern w:val="22"/>
        </w:rPr>
        <w:t>е</w:t>
      </w:r>
      <w:r w:rsidRPr="00690DD5">
        <w:rPr>
          <w:rStyle w:val="Para1"/>
          <w:snapToGrid/>
          <w:kern w:val="22"/>
        </w:rPr>
        <w:t>т</w:t>
      </w:r>
      <w:r w:rsidR="00666BC4" w:rsidRPr="00690DD5">
        <w:rPr>
          <w:rStyle w:val="Para1"/>
          <w:snapToGrid/>
          <w:kern w:val="22"/>
        </w:rPr>
        <w:t>ся</w:t>
      </w:r>
      <w:r w:rsidRPr="00690DD5">
        <w:rPr>
          <w:rStyle w:val="Para1"/>
          <w:snapToGrid/>
          <w:kern w:val="22"/>
        </w:rPr>
        <w:t xml:space="preserve"> отсутствие заметных изменений </w:t>
      </w:r>
      <w:r w:rsidR="00E729E4">
        <w:rPr>
          <w:rStyle w:val="Para1"/>
          <w:snapToGrid/>
          <w:kern w:val="22"/>
        </w:rPr>
        <w:t xml:space="preserve">(23 %) </w:t>
      </w:r>
      <w:r w:rsidRPr="00690DD5">
        <w:rPr>
          <w:rStyle w:val="Para1"/>
          <w:snapToGrid/>
          <w:kern w:val="22"/>
        </w:rPr>
        <w:t>или отход от выполнения целевой задачи</w:t>
      </w:r>
      <w:r w:rsidR="00E729E4">
        <w:rPr>
          <w:rStyle w:val="Para1"/>
          <w:snapToGrid/>
          <w:kern w:val="22"/>
        </w:rPr>
        <w:t xml:space="preserve"> (3 %)</w:t>
      </w:r>
      <w:r w:rsidRPr="00690DD5">
        <w:rPr>
          <w:rStyle w:val="Para1"/>
          <w:snapToGrid/>
          <w:kern w:val="22"/>
        </w:rPr>
        <w:t xml:space="preserve">. </w:t>
      </w:r>
      <w:r w:rsidR="00F065F2">
        <w:rPr>
          <w:rStyle w:val="Para1"/>
          <w:snapToGrid/>
          <w:kern w:val="22"/>
        </w:rPr>
        <w:t xml:space="preserve">Около </w:t>
      </w:r>
      <w:r w:rsidR="00E729E4">
        <w:rPr>
          <w:rStyle w:val="Para1"/>
          <w:snapToGrid/>
          <w:kern w:val="22"/>
        </w:rPr>
        <w:t>6</w:t>
      </w:r>
      <w:r w:rsidRPr="00690DD5">
        <w:rPr>
          <w:rStyle w:val="Para1"/>
          <w:snapToGrid/>
          <w:kern w:val="22"/>
        </w:rPr>
        <w:t xml:space="preserve">0 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докладов не содержа</w:t>
      </w:r>
      <w:r w:rsidR="0007078B">
        <w:rPr>
          <w:rStyle w:val="Para1"/>
          <w:snapToGrid/>
          <w:kern w:val="22"/>
        </w:rPr>
        <w:t>ли</w:t>
      </w:r>
      <w:r w:rsidRPr="00690DD5">
        <w:rPr>
          <w:rStyle w:val="Para1"/>
          <w:snapToGrid/>
          <w:kern w:val="22"/>
        </w:rPr>
        <w:t xml:space="preserve"> никакой информации о том, каким образом потребности женщин, коренных народов и местных общин и </w:t>
      </w:r>
      <w:r w:rsidRPr="00690DD5">
        <w:rPr>
          <w:rStyle w:val="Para1"/>
          <w:snapToGrid/>
          <w:kern w:val="22"/>
        </w:rPr>
        <w:lastRenderedPageBreak/>
        <w:t>бедных и уязвимых слоев населения находят отражение в мерах, принима</w:t>
      </w:r>
      <w:r w:rsidR="00666BC4" w:rsidRPr="00690DD5">
        <w:rPr>
          <w:rStyle w:val="Para1"/>
          <w:snapToGrid/>
          <w:kern w:val="22"/>
        </w:rPr>
        <w:t xml:space="preserve">емых </w:t>
      </w:r>
      <w:r w:rsidRPr="00690DD5">
        <w:rPr>
          <w:rStyle w:val="Para1"/>
          <w:snapToGrid/>
          <w:kern w:val="22"/>
        </w:rPr>
        <w:t>для выполнения данной целевой задачи</w:t>
      </w:r>
      <w:r w:rsidR="00666BC4" w:rsidRPr="00690DD5">
        <w:rPr>
          <w:rStyle w:val="Para1"/>
          <w:snapToGrid/>
          <w:kern w:val="22"/>
        </w:rPr>
        <w:t>.</w:t>
      </w:r>
      <w:r w:rsidR="00C33523">
        <w:rPr>
          <w:rStyle w:val="Para1"/>
          <w:snapToGrid/>
          <w:kern w:val="22"/>
        </w:rPr>
        <w:t xml:space="preserve"> </w:t>
      </w:r>
    </w:p>
    <w:p w:rsidR="00FD0B4D" w:rsidRPr="00690DD5" w:rsidRDefault="00FD0B4D" w:rsidP="00FD0B4D">
      <w:pPr>
        <w:spacing w:after="120"/>
        <w:rPr>
          <w:rFonts w:cs="Times New Roman"/>
          <w:i/>
          <w:iCs/>
        </w:rPr>
      </w:pPr>
      <w:r w:rsidRPr="00690DD5">
        <w:rPr>
          <w:rStyle w:val="Normal"/>
          <w:i/>
        </w:rPr>
        <w:t>Целевая задача 15</w:t>
      </w:r>
      <w:r w:rsidR="00F6170B" w:rsidRPr="00690DD5">
        <w:rPr>
          <w:rStyle w:val="Normal"/>
          <w:i/>
        </w:rPr>
        <w:t>.</w:t>
      </w:r>
      <w:r w:rsidRPr="00690DD5">
        <w:rPr>
          <w:rStyle w:val="Normal"/>
          <w:i/>
        </w:rPr>
        <w:t xml:space="preserve"> </w:t>
      </w:r>
      <w:r w:rsidR="00F6170B" w:rsidRPr="00690DD5">
        <w:rPr>
          <w:rStyle w:val="Normal"/>
          <w:i/>
        </w:rPr>
        <w:t>К</w:t>
      </w:r>
      <w:r w:rsidRPr="00690DD5">
        <w:rPr>
          <w:rStyle w:val="Normal"/>
          <w:i/>
        </w:rPr>
        <w:t xml:space="preserve"> 2020 году повышена сопротивляемость экосистем и увеличен вклад биоразнообразия в накопление углерода благодаря сохранению и восстановлению природы, включая восстановление как минимум 15 % деградировавших экосистем, что способствует смягчению последствий изменения климата и адаптации к ним и борьбе с опустыниванием.</w:t>
      </w:r>
    </w:p>
    <w:p w:rsidR="00660906" w:rsidRPr="00961647" w:rsidRDefault="002B5625" w:rsidP="00660906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  <w:lang w:val="en-CA"/>
        </w:rPr>
      </w:pPr>
      <w:r w:rsidRPr="00690DD5">
        <w:rPr>
          <w:rStyle w:val="Para1"/>
          <w:snapToGrid/>
          <w:kern w:val="22"/>
        </w:rPr>
        <w:t xml:space="preserve">Из </w:t>
      </w:r>
      <w:r w:rsidR="00FD0B4D" w:rsidRPr="00690DD5">
        <w:rPr>
          <w:rStyle w:val="Para1"/>
          <w:snapToGrid/>
          <w:kern w:val="22"/>
        </w:rPr>
        <w:t>оцен</w:t>
      </w:r>
      <w:r w:rsidRPr="00690DD5">
        <w:rPr>
          <w:rStyle w:val="Para1"/>
          <w:snapToGrid/>
          <w:kern w:val="22"/>
        </w:rPr>
        <w:t xml:space="preserve">енных </w:t>
      </w:r>
      <w:r w:rsidR="00FD0B4D" w:rsidRPr="00690DD5">
        <w:rPr>
          <w:rStyle w:val="Para1"/>
          <w:snapToGrid/>
          <w:kern w:val="22"/>
        </w:rPr>
        <w:t xml:space="preserve">НСПДСБ </w:t>
      </w:r>
      <w:r w:rsidR="00B84459">
        <w:rPr>
          <w:rStyle w:val="Para1"/>
          <w:snapToGrid/>
          <w:kern w:val="22"/>
        </w:rPr>
        <w:t>3</w:t>
      </w:r>
      <w:r w:rsidR="0001525C" w:rsidRPr="00690DD5">
        <w:rPr>
          <w:rStyle w:val="Para1"/>
          <w:snapToGrid/>
          <w:kern w:val="22"/>
        </w:rPr>
        <w:t> </w:t>
      </w:r>
      <w:r w:rsidRPr="00690DD5">
        <w:rPr>
          <w:rStyle w:val="Para1"/>
          <w:snapToGrid/>
          <w:kern w:val="22"/>
        </w:rPr>
        <w:t xml:space="preserve">% </w:t>
      </w:r>
      <w:r w:rsidR="00FD0B4D" w:rsidRPr="00690DD5">
        <w:rPr>
          <w:rStyle w:val="Para1"/>
          <w:snapToGrid/>
          <w:kern w:val="22"/>
        </w:rPr>
        <w:t>содержали национальные целевые задачи, которые превосходят охват и/или пороговые значения, установленные в целевой задаче</w:t>
      </w:r>
      <w:r w:rsidR="00FC2BDE" w:rsidRPr="00690DD5">
        <w:rPr>
          <w:rStyle w:val="Para1"/>
          <w:snapToGrid/>
          <w:kern w:val="22"/>
        </w:rPr>
        <w:t xml:space="preserve"> 15</w:t>
      </w:r>
      <w:r w:rsidR="00FD0B4D" w:rsidRPr="00690DD5">
        <w:rPr>
          <w:rStyle w:val="Para1"/>
          <w:snapToGrid/>
          <w:kern w:val="22"/>
        </w:rPr>
        <w:t>, принятой в Айти</w:t>
      </w:r>
      <w:r w:rsidR="00FD0B4D" w:rsidRPr="00690DD5">
        <w:rPr>
          <w:snapToGrid/>
          <w:kern w:val="22"/>
          <w:sz w:val="18"/>
          <w:vertAlign w:val="superscript"/>
        </w:rPr>
        <w:footnoteReference w:id="29"/>
      </w:r>
      <w:r w:rsidR="00FC2BDE" w:rsidRPr="00690DD5">
        <w:rPr>
          <w:rStyle w:val="Para1"/>
          <w:snapToGrid/>
          <w:kern w:val="22"/>
        </w:rPr>
        <w:t xml:space="preserve">, и </w:t>
      </w:r>
      <w:r w:rsidRPr="00690DD5">
        <w:rPr>
          <w:rStyle w:val="Para1"/>
          <w:snapToGrid/>
          <w:kern w:val="22"/>
        </w:rPr>
        <w:t>1</w:t>
      </w:r>
      <w:r w:rsidR="00B84459">
        <w:rPr>
          <w:rStyle w:val="Para1"/>
          <w:snapToGrid/>
          <w:kern w:val="22"/>
        </w:rPr>
        <w:t>1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НСПДСБ содержали целевые задачи, близкие по охвату и уровню амбициозности, установленным в целевой задаче, принятой в Айти</w:t>
      </w:r>
      <w:r w:rsidR="00660906" w:rsidRPr="00690DD5">
        <w:rPr>
          <w:snapToGrid/>
          <w:kern w:val="22"/>
          <w:sz w:val="18"/>
          <w:vertAlign w:val="superscript"/>
        </w:rPr>
        <w:footnoteReference w:id="30"/>
      </w:r>
      <w:r w:rsidR="00FD0B4D" w:rsidRPr="00690DD5">
        <w:rPr>
          <w:rStyle w:val="Para1"/>
          <w:snapToGrid/>
          <w:kern w:val="22"/>
        </w:rPr>
        <w:t xml:space="preserve">. </w:t>
      </w:r>
      <w:r w:rsidR="00FC2BDE" w:rsidRPr="00690DD5">
        <w:rPr>
          <w:rStyle w:val="Para1"/>
          <w:snapToGrid/>
          <w:kern w:val="22"/>
        </w:rPr>
        <w:t xml:space="preserve">Более половины </w:t>
      </w:r>
      <w:r w:rsidR="00FD0B4D" w:rsidRPr="00690DD5">
        <w:rPr>
          <w:rStyle w:val="Para1"/>
          <w:snapToGrid/>
          <w:kern w:val="22"/>
        </w:rPr>
        <w:t>(</w:t>
      </w:r>
      <w:r w:rsidR="00FC2BDE" w:rsidRPr="00690DD5">
        <w:rPr>
          <w:rStyle w:val="Para1"/>
          <w:snapToGrid/>
          <w:kern w:val="22"/>
        </w:rPr>
        <w:t>5</w:t>
      </w:r>
      <w:r w:rsidR="00D411B8">
        <w:rPr>
          <w:rStyle w:val="Para1"/>
          <w:snapToGrid/>
          <w:kern w:val="22"/>
        </w:rPr>
        <w:t>8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) НСПДСБ содержали целевые задачи, которые были ниже </w:t>
      </w:r>
      <w:r w:rsidR="00FC2BDE" w:rsidRPr="00690DD5">
        <w:rPr>
          <w:rStyle w:val="Para1"/>
          <w:snapToGrid/>
          <w:kern w:val="22"/>
        </w:rPr>
        <w:t xml:space="preserve">по </w:t>
      </w:r>
      <w:r w:rsidR="00FD0B4D" w:rsidRPr="00690DD5">
        <w:rPr>
          <w:rStyle w:val="Para1"/>
          <w:snapToGrid/>
          <w:kern w:val="22"/>
        </w:rPr>
        <w:t xml:space="preserve">уровню или не </w:t>
      </w:r>
      <w:r w:rsidR="00FC2BDE" w:rsidRPr="00690DD5">
        <w:rPr>
          <w:rStyle w:val="Para1"/>
          <w:snapToGrid/>
          <w:kern w:val="22"/>
        </w:rPr>
        <w:t>охватывали</w:t>
      </w:r>
      <w:r w:rsidR="00FD0B4D" w:rsidRPr="00690DD5">
        <w:rPr>
          <w:rStyle w:val="Para1"/>
          <w:snapToGrid/>
          <w:kern w:val="22"/>
        </w:rPr>
        <w:t xml:space="preserve"> всех элементов целевой задачи, принятой в Айти. </w:t>
      </w:r>
      <w:r w:rsidR="00961647">
        <w:rPr>
          <w:rStyle w:val="Para1"/>
          <w:snapToGrid/>
          <w:kern w:val="22"/>
        </w:rPr>
        <w:t xml:space="preserve">Более четверти </w:t>
      </w:r>
      <w:r w:rsidR="00FC2BDE" w:rsidRPr="00690DD5">
        <w:rPr>
          <w:rStyle w:val="Para1"/>
          <w:snapToGrid/>
          <w:kern w:val="22"/>
        </w:rPr>
        <w:t>(</w:t>
      </w:r>
      <w:r w:rsidR="00961647">
        <w:rPr>
          <w:rStyle w:val="Para1"/>
          <w:snapToGrid/>
          <w:kern w:val="22"/>
        </w:rPr>
        <w:t>2</w:t>
      </w:r>
      <w:r w:rsidR="00D411B8">
        <w:rPr>
          <w:rStyle w:val="Para1"/>
          <w:snapToGrid/>
          <w:kern w:val="22"/>
        </w:rPr>
        <w:t>8</w:t>
      </w:r>
      <w:r w:rsidR="00FC2BDE" w:rsidRPr="00690DD5">
        <w:rPr>
          <w:rStyle w:val="Para1"/>
          <w:snapToGrid/>
          <w:kern w:val="22"/>
        </w:rPr>
        <w:t xml:space="preserve"> %) </w:t>
      </w:r>
      <w:r w:rsidR="00FD0B4D" w:rsidRPr="00690DD5">
        <w:rPr>
          <w:rStyle w:val="Para1"/>
          <w:snapToGrid/>
          <w:kern w:val="22"/>
        </w:rPr>
        <w:t>оцен</w:t>
      </w:r>
      <w:r w:rsidR="005445F7">
        <w:rPr>
          <w:rStyle w:val="Para1"/>
          <w:snapToGrid/>
          <w:kern w:val="22"/>
        </w:rPr>
        <w:t xml:space="preserve">ивающихся </w:t>
      </w:r>
      <w:r w:rsidR="00FD0B4D" w:rsidRPr="00690DD5">
        <w:rPr>
          <w:rStyle w:val="Para1"/>
          <w:snapToGrid/>
          <w:kern w:val="22"/>
        </w:rPr>
        <w:t>НСПДСБ не содержали никаких национальных целевых задач или аналогичных обязательств, связанных с данной целевой задачей, принятой в Айти. Поставленные национальные целевые задачи</w:t>
      </w:r>
      <w:r w:rsidR="00FC2BDE" w:rsidRPr="00690DD5">
        <w:rPr>
          <w:rStyle w:val="Para1"/>
          <w:snapToGrid/>
          <w:kern w:val="22"/>
        </w:rPr>
        <w:t xml:space="preserve"> в большинстве случаев были, скорее, </w:t>
      </w:r>
      <w:r w:rsidR="00FD0B4D" w:rsidRPr="00690DD5">
        <w:rPr>
          <w:rStyle w:val="Para1"/>
          <w:snapToGrid/>
          <w:kern w:val="22"/>
        </w:rPr>
        <w:t>ориентирова</w:t>
      </w:r>
      <w:r w:rsidR="00FC2BDE" w:rsidRPr="00690DD5">
        <w:rPr>
          <w:rStyle w:val="Para1"/>
          <w:snapToGrid/>
          <w:kern w:val="22"/>
        </w:rPr>
        <w:t xml:space="preserve">ны </w:t>
      </w:r>
      <w:r w:rsidR="00FD0B4D" w:rsidRPr="00690DD5">
        <w:rPr>
          <w:rStyle w:val="Para1"/>
          <w:snapToGrid/>
          <w:kern w:val="22"/>
        </w:rPr>
        <w:t xml:space="preserve">на элемент </w:t>
      </w:r>
      <w:r w:rsidR="00FC2BDE" w:rsidRPr="00690DD5">
        <w:rPr>
          <w:rStyle w:val="Para1"/>
          <w:snapToGrid/>
          <w:kern w:val="22"/>
        </w:rPr>
        <w:t xml:space="preserve">целевой задачи, касающийся </w:t>
      </w:r>
      <w:r w:rsidR="00FD0B4D" w:rsidRPr="00690DD5">
        <w:rPr>
          <w:rStyle w:val="Para1"/>
          <w:snapToGrid/>
          <w:kern w:val="22"/>
        </w:rPr>
        <w:t xml:space="preserve">восстановления, а не на элемент, связанный с сопротивляемостью экосистем и </w:t>
      </w:r>
      <w:r w:rsidR="00FC2BDE" w:rsidRPr="00690DD5">
        <w:rPr>
          <w:rStyle w:val="Para1"/>
          <w:snapToGrid/>
          <w:kern w:val="22"/>
        </w:rPr>
        <w:t>депонированием углерода</w:t>
      </w:r>
      <w:r w:rsidR="00FD0B4D" w:rsidRPr="00690DD5">
        <w:rPr>
          <w:rStyle w:val="Para1"/>
          <w:snapToGrid/>
          <w:kern w:val="22"/>
        </w:rPr>
        <w:t>.</w:t>
      </w:r>
      <w:r w:rsidR="00C33523">
        <w:rPr>
          <w:rStyle w:val="Para1"/>
          <w:snapToGrid/>
          <w:kern w:val="22"/>
        </w:rPr>
        <w:t xml:space="preserve"> </w:t>
      </w:r>
    </w:p>
    <w:p w:rsidR="00FD0B4D" w:rsidRPr="00690DD5" w:rsidRDefault="00D411B8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>
        <w:rPr>
          <w:rStyle w:val="Para1"/>
          <w:snapToGrid/>
          <w:kern w:val="22"/>
        </w:rPr>
        <w:t>Только 4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национальных докладов содержат информацию, указывающую на возможность выполнения данной целевой задачи к установленному сроку</w:t>
      </w:r>
      <w:r w:rsidR="005445F7">
        <w:rPr>
          <w:rStyle w:val="Para1"/>
          <w:snapToGrid/>
          <w:kern w:val="22"/>
        </w:rPr>
        <w:t>,</w:t>
      </w:r>
      <w:r w:rsidR="006E56DB">
        <w:rPr>
          <w:rStyle w:val="Para1"/>
          <w:snapToGrid/>
          <w:kern w:val="22"/>
        </w:rPr>
        <w:t xml:space="preserve"> и 58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полученных национальных докладов отмеча</w:t>
      </w:r>
      <w:r w:rsidR="005445F7">
        <w:rPr>
          <w:rStyle w:val="Para1"/>
          <w:snapToGrid/>
          <w:kern w:val="22"/>
        </w:rPr>
        <w:t>ют</w:t>
      </w:r>
      <w:r w:rsidR="00174689" w:rsidRPr="00690DD5">
        <w:rPr>
          <w:rStyle w:val="Para1"/>
          <w:snapToGrid/>
          <w:kern w:val="22"/>
        </w:rPr>
        <w:t xml:space="preserve">, что целевая задача выполняется, но что </w:t>
      </w:r>
      <w:r w:rsidR="00FD0B4D" w:rsidRPr="00690DD5">
        <w:rPr>
          <w:rStyle w:val="Para1"/>
          <w:snapToGrid/>
          <w:kern w:val="22"/>
        </w:rPr>
        <w:t xml:space="preserve">темпы </w:t>
      </w:r>
      <w:r w:rsidR="00174689" w:rsidRPr="00690DD5">
        <w:rPr>
          <w:rStyle w:val="Para1"/>
          <w:snapToGrid/>
          <w:kern w:val="22"/>
        </w:rPr>
        <w:t xml:space="preserve">ее </w:t>
      </w:r>
      <w:r w:rsidR="00FD0B4D" w:rsidRPr="00690DD5">
        <w:rPr>
          <w:rStyle w:val="Para1"/>
          <w:snapToGrid/>
          <w:kern w:val="22"/>
        </w:rPr>
        <w:t xml:space="preserve">выполнения не </w:t>
      </w:r>
      <w:r w:rsidR="00174689" w:rsidRPr="00690DD5">
        <w:rPr>
          <w:rStyle w:val="Para1"/>
          <w:snapToGrid/>
          <w:kern w:val="22"/>
        </w:rPr>
        <w:t>позволят завершить ее</w:t>
      </w:r>
      <w:r w:rsidR="00FD0B4D" w:rsidRPr="00690DD5">
        <w:rPr>
          <w:rStyle w:val="Para1"/>
          <w:snapToGrid/>
          <w:kern w:val="22"/>
        </w:rPr>
        <w:t xml:space="preserve"> к установленному сроку. </w:t>
      </w:r>
      <w:r w:rsidR="00174689" w:rsidRPr="00690DD5">
        <w:rPr>
          <w:rStyle w:val="Para1"/>
          <w:snapToGrid/>
          <w:kern w:val="22"/>
        </w:rPr>
        <w:t>1</w:t>
      </w:r>
      <w:r w:rsidR="00BF5344">
        <w:rPr>
          <w:rStyle w:val="Para1"/>
          <w:snapToGrid/>
          <w:kern w:val="22"/>
        </w:rPr>
        <w:t>7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докладов указывают на отсутствие </w:t>
      </w:r>
      <w:r w:rsidR="00174689" w:rsidRPr="00690DD5">
        <w:rPr>
          <w:rStyle w:val="Para1"/>
          <w:snapToGrid/>
          <w:kern w:val="22"/>
        </w:rPr>
        <w:t xml:space="preserve">каких-либо </w:t>
      </w:r>
      <w:r w:rsidR="00FD0B4D" w:rsidRPr="00690DD5">
        <w:rPr>
          <w:rStyle w:val="Para1"/>
          <w:snapToGrid/>
          <w:kern w:val="22"/>
        </w:rPr>
        <w:t xml:space="preserve">заметных изменений, тогда как </w:t>
      </w:r>
      <w:r w:rsidR="00617F6C">
        <w:rPr>
          <w:rStyle w:val="Para1"/>
          <w:snapToGrid/>
          <w:kern w:val="22"/>
        </w:rPr>
        <w:t xml:space="preserve">более чем </w:t>
      </w:r>
      <w:r w:rsidR="006265DC">
        <w:rPr>
          <w:rStyle w:val="Para1"/>
          <w:snapToGrid/>
          <w:kern w:val="22"/>
        </w:rPr>
        <w:t xml:space="preserve">в </w:t>
      </w:r>
      <w:r w:rsidR="00617F6C">
        <w:rPr>
          <w:rStyle w:val="Para1"/>
          <w:snapToGrid/>
          <w:kern w:val="22"/>
        </w:rPr>
        <w:t xml:space="preserve">пятой части </w:t>
      </w:r>
      <w:r w:rsidR="006265DC">
        <w:rPr>
          <w:rStyle w:val="Para1"/>
          <w:snapToGrid/>
          <w:kern w:val="22"/>
        </w:rPr>
        <w:t xml:space="preserve">(21 %) </w:t>
      </w:r>
      <w:r w:rsidR="00FD0B4D" w:rsidRPr="00690DD5">
        <w:rPr>
          <w:rStyle w:val="Para1"/>
          <w:snapToGrid/>
          <w:kern w:val="22"/>
        </w:rPr>
        <w:t>национальных докладов не содерж</w:t>
      </w:r>
      <w:r w:rsidR="00B434C2">
        <w:rPr>
          <w:rStyle w:val="Para1"/>
          <w:snapToGrid/>
          <w:kern w:val="22"/>
        </w:rPr>
        <w:t xml:space="preserve">алась </w:t>
      </w:r>
      <w:r w:rsidR="00FD0B4D" w:rsidRPr="00690DD5">
        <w:rPr>
          <w:rStyle w:val="Para1"/>
          <w:snapToGrid/>
          <w:kern w:val="22"/>
        </w:rPr>
        <w:t>информаци</w:t>
      </w:r>
      <w:r w:rsidR="00B434C2">
        <w:rPr>
          <w:rStyle w:val="Para1"/>
          <w:snapToGrid/>
          <w:kern w:val="22"/>
        </w:rPr>
        <w:t>я</w:t>
      </w:r>
      <w:r w:rsidR="00FD0B4D" w:rsidRPr="00690DD5">
        <w:rPr>
          <w:rStyle w:val="Para1"/>
          <w:snapToGrid/>
          <w:kern w:val="22"/>
        </w:rPr>
        <w:t>, позволя</w:t>
      </w:r>
      <w:r w:rsidR="00174689" w:rsidRPr="00690DD5">
        <w:rPr>
          <w:rStyle w:val="Para1"/>
          <w:snapToGrid/>
          <w:kern w:val="22"/>
        </w:rPr>
        <w:t>ющ</w:t>
      </w:r>
      <w:r w:rsidR="00B434C2">
        <w:rPr>
          <w:rStyle w:val="Para1"/>
          <w:snapToGrid/>
          <w:kern w:val="22"/>
        </w:rPr>
        <w:t>ая</w:t>
      </w:r>
      <w:r w:rsidR="00174689" w:rsidRPr="00690DD5">
        <w:rPr>
          <w:rStyle w:val="Para1"/>
          <w:snapToGrid/>
          <w:kern w:val="22"/>
        </w:rPr>
        <w:t xml:space="preserve"> </w:t>
      </w:r>
      <w:r w:rsidR="00FD0B4D" w:rsidRPr="00690DD5">
        <w:rPr>
          <w:rStyle w:val="Para1"/>
          <w:snapToGrid/>
          <w:kern w:val="22"/>
        </w:rPr>
        <w:t xml:space="preserve">провести оценку результатов </w:t>
      </w:r>
      <w:r w:rsidR="00A06FA5" w:rsidRPr="00690DD5">
        <w:rPr>
          <w:rStyle w:val="Para1"/>
          <w:snapToGrid/>
          <w:kern w:val="22"/>
        </w:rPr>
        <w:t>выполнения</w:t>
      </w:r>
      <w:r w:rsidR="00FD0B4D" w:rsidRPr="00690DD5">
        <w:rPr>
          <w:rStyle w:val="Para1"/>
          <w:snapToGrid/>
          <w:kern w:val="22"/>
        </w:rPr>
        <w:t xml:space="preserve"> данной целевой задачи. Информация, содержащаяся в национальных докладах, показывает, что несколько более заметные результаты были достигнуты в плане повышения сопротивляемости экосистем и </w:t>
      </w:r>
      <w:r w:rsidR="00174689" w:rsidRPr="00690DD5">
        <w:rPr>
          <w:rStyle w:val="Para1"/>
          <w:snapToGrid/>
          <w:kern w:val="22"/>
        </w:rPr>
        <w:t xml:space="preserve">аккумуляции </w:t>
      </w:r>
      <w:r w:rsidR="00FD0B4D" w:rsidRPr="00690DD5">
        <w:rPr>
          <w:rStyle w:val="Para1"/>
          <w:snapToGrid/>
          <w:kern w:val="22"/>
        </w:rPr>
        <w:t>углерода по сравнению с восстановлением деградировавших экосистем. Лишь немногие страны сообщают о восстановленных конкретных районах деградировавших мест обитания, хотя некоторые из них указывают продолжающиеся или планируемые проекты или программы восстановления.</w:t>
      </w:r>
    </w:p>
    <w:p w:rsidR="00FD0B4D" w:rsidRPr="00690DD5" w:rsidRDefault="00FD0B4D" w:rsidP="00FD0B4D">
      <w:pPr>
        <w:tabs>
          <w:tab w:val="left" w:pos="180"/>
        </w:tabs>
        <w:spacing w:after="120"/>
        <w:rPr>
          <w:rFonts w:cs="Times New Roman"/>
          <w:i/>
          <w:iCs/>
        </w:rPr>
      </w:pPr>
      <w:r w:rsidRPr="00690DD5">
        <w:rPr>
          <w:rStyle w:val="Normal"/>
          <w:i/>
        </w:rPr>
        <w:t>Целевая задача 16</w:t>
      </w:r>
      <w:r w:rsidR="00DC7ED0" w:rsidRPr="00690DD5">
        <w:rPr>
          <w:rStyle w:val="Normal"/>
          <w:i/>
        </w:rPr>
        <w:t>.</w:t>
      </w:r>
      <w:r w:rsidR="00660906" w:rsidRPr="00690DD5">
        <w:rPr>
          <w:rStyle w:val="Normal"/>
          <w:i/>
        </w:rPr>
        <w:t xml:space="preserve"> </w:t>
      </w:r>
      <w:r w:rsidRPr="00690DD5">
        <w:rPr>
          <w:rStyle w:val="Normal"/>
          <w:i/>
        </w:rPr>
        <w:t>К 2015 году Нагойский протокол регулирования доступа к генетическим ресурсам и совместного использования на справедливой и равной основе выгод от их применения вступил в силу и функционирует в соответствии с национальным законодательством.</w:t>
      </w:r>
    </w:p>
    <w:p w:rsidR="007D514E" w:rsidRPr="007D514E" w:rsidRDefault="00384BD1" w:rsidP="00A163CD">
      <w:pPr>
        <w:pStyle w:val="Para1"/>
        <w:numPr>
          <w:ilvl w:val="0"/>
          <w:numId w:val="13"/>
        </w:numPr>
        <w:suppressLineNumbers/>
        <w:shd w:val="clear" w:color="auto" w:fill="FFFFFF"/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Style w:val="Para1"/>
          <w:rFonts w:eastAsia="Times New Roman" w:cs="Times New Roman"/>
          <w:szCs w:val="22"/>
        </w:rPr>
      </w:pPr>
      <w:r w:rsidRPr="007D514E">
        <w:rPr>
          <w:rStyle w:val="Para1"/>
          <w:snapToGrid/>
          <w:kern w:val="22"/>
        </w:rPr>
        <w:t xml:space="preserve">Около одной пятой </w:t>
      </w:r>
      <w:r w:rsidR="00FD0B4D" w:rsidRPr="007D514E">
        <w:rPr>
          <w:rStyle w:val="Para1"/>
          <w:snapToGrid/>
          <w:kern w:val="22"/>
        </w:rPr>
        <w:t>(</w:t>
      </w:r>
      <w:r w:rsidRPr="007D514E">
        <w:rPr>
          <w:rStyle w:val="Para1"/>
          <w:snapToGrid/>
          <w:kern w:val="22"/>
        </w:rPr>
        <w:t>18</w:t>
      </w:r>
      <w:r w:rsidR="00FD0B4D" w:rsidRPr="007D514E">
        <w:rPr>
          <w:rStyle w:val="Para1"/>
          <w:snapToGrid/>
          <w:kern w:val="22"/>
        </w:rPr>
        <w:t xml:space="preserve"> </w:t>
      </w:r>
      <w:r w:rsidR="00D736EC" w:rsidRPr="007D514E">
        <w:rPr>
          <w:rStyle w:val="Para1"/>
          <w:snapToGrid/>
          <w:kern w:val="22"/>
        </w:rPr>
        <w:t>%</w:t>
      </w:r>
      <w:r w:rsidR="00FD0B4D" w:rsidRPr="007D514E">
        <w:rPr>
          <w:rStyle w:val="Para1"/>
          <w:snapToGrid/>
          <w:kern w:val="22"/>
        </w:rPr>
        <w:t>) оценивавшихся НСПДСБ содержали национальные целевые задачи или другие обязательства, которые по общему охвату и уровню амбициозности были близки к установленным в целевой задаче 16 по сохранению и устойчивому использованию биоразнообразия, принятой в Айти</w:t>
      </w:r>
      <w:r w:rsidR="00660906" w:rsidRPr="00690DD5">
        <w:rPr>
          <w:snapToGrid/>
          <w:kern w:val="22"/>
          <w:sz w:val="18"/>
          <w:vertAlign w:val="superscript"/>
        </w:rPr>
        <w:footnoteReference w:id="31"/>
      </w:r>
      <w:r w:rsidR="00FD0B4D" w:rsidRPr="007D514E">
        <w:rPr>
          <w:rStyle w:val="Para1"/>
          <w:snapToGrid/>
          <w:kern w:val="22"/>
        </w:rPr>
        <w:t xml:space="preserve">. </w:t>
      </w:r>
      <w:r w:rsidR="001C7850" w:rsidRPr="007D514E">
        <w:rPr>
          <w:rStyle w:val="Para1"/>
          <w:snapToGrid/>
          <w:kern w:val="22"/>
        </w:rPr>
        <w:t>В общей сложност</w:t>
      </w:r>
      <w:r w:rsidR="005445F7" w:rsidRPr="007D514E">
        <w:rPr>
          <w:rStyle w:val="Para1"/>
          <w:snapToGrid/>
          <w:kern w:val="22"/>
        </w:rPr>
        <w:t>и</w:t>
      </w:r>
      <w:r w:rsidR="001C7850" w:rsidRPr="007D514E">
        <w:rPr>
          <w:rStyle w:val="Para1"/>
          <w:snapToGrid/>
          <w:kern w:val="22"/>
        </w:rPr>
        <w:t xml:space="preserve"> 50</w:t>
      </w:r>
      <w:r w:rsidR="00FD0B4D" w:rsidRPr="007D514E">
        <w:rPr>
          <w:rStyle w:val="Para1"/>
          <w:snapToGrid/>
          <w:kern w:val="22"/>
        </w:rPr>
        <w:t xml:space="preserve"> </w:t>
      </w:r>
      <w:r w:rsidR="00D736EC" w:rsidRPr="007D514E">
        <w:rPr>
          <w:rStyle w:val="Para1"/>
          <w:snapToGrid/>
          <w:kern w:val="22"/>
        </w:rPr>
        <w:t>%</w:t>
      </w:r>
      <w:r w:rsidR="00FD0B4D" w:rsidRPr="007D514E">
        <w:rPr>
          <w:rStyle w:val="Para1"/>
          <w:snapToGrid/>
          <w:kern w:val="22"/>
        </w:rPr>
        <w:t xml:space="preserve"> НСПДСБ содержали целевые задачи, которые были ниже по уровню целевой задачи, принятой в Айти, и/или не затрагивали всех элементов, входящих в охват целевой задачи, принятой в Айти. Почти треть (</w:t>
      </w:r>
      <w:r w:rsidR="00CD456F" w:rsidRPr="007D514E">
        <w:rPr>
          <w:rStyle w:val="Para1"/>
          <w:snapToGrid/>
          <w:kern w:val="22"/>
        </w:rPr>
        <w:t>30</w:t>
      </w:r>
      <w:r w:rsidR="00FD0B4D" w:rsidRPr="007D514E">
        <w:rPr>
          <w:rStyle w:val="Para1"/>
          <w:snapToGrid/>
          <w:kern w:val="22"/>
        </w:rPr>
        <w:t xml:space="preserve"> </w:t>
      </w:r>
      <w:r w:rsidR="008C3313" w:rsidRPr="007D514E">
        <w:rPr>
          <w:rStyle w:val="Para1"/>
          <w:snapToGrid/>
          <w:kern w:val="22"/>
        </w:rPr>
        <w:t>%</w:t>
      </w:r>
      <w:r w:rsidR="00FD0B4D" w:rsidRPr="007D514E">
        <w:rPr>
          <w:rStyle w:val="Para1"/>
          <w:snapToGrid/>
          <w:kern w:val="22"/>
        </w:rPr>
        <w:t>) НСПДСБ не содержали никаких национальных целевых задач, связанных с данной целевой задачей, принятой в Айти. Многие из поставленных целевых задач носили общий характер и относились к доступу и совместному использованию выгод, а некоторые не содержали прямой ссылки на Нагойский протокол. Данная целевая задача, принятая в Айти, относится к целевым задачам с наибольшим числом НСПДСБ, содержащих связанные с ней национальные целевые задачи.</w:t>
      </w:r>
    </w:p>
    <w:p w:rsidR="00DA1A65" w:rsidRPr="007D514E" w:rsidRDefault="00D71B76" w:rsidP="00A163CD">
      <w:pPr>
        <w:pStyle w:val="Para1"/>
        <w:numPr>
          <w:ilvl w:val="0"/>
          <w:numId w:val="13"/>
        </w:numPr>
        <w:suppressLineNumbers/>
        <w:shd w:val="clear" w:color="auto" w:fill="FFFFFF"/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Cs w:val="22"/>
        </w:rPr>
      </w:pPr>
      <w:r w:rsidRPr="007D514E">
        <w:rPr>
          <w:rStyle w:val="Para1"/>
          <w:kern w:val="22"/>
        </w:rPr>
        <w:lastRenderedPageBreak/>
        <w:t>Почти п</w:t>
      </w:r>
      <w:r w:rsidR="00FD0B4D" w:rsidRPr="007D514E">
        <w:rPr>
          <w:rStyle w:val="Para1"/>
          <w:kern w:val="22"/>
        </w:rPr>
        <w:t xml:space="preserve">ятая часть </w:t>
      </w:r>
      <w:r w:rsidRPr="007D514E">
        <w:rPr>
          <w:rStyle w:val="Para1"/>
          <w:kern w:val="22"/>
        </w:rPr>
        <w:t>(1</w:t>
      </w:r>
      <w:r w:rsidR="002D4309" w:rsidRPr="007D514E">
        <w:rPr>
          <w:rStyle w:val="Para1"/>
          <w:kern w:val="22"/>
        </w:rPr>
        <w:t>8</w:t>
      </w:r>
      <w:r w:rsidRPr="007D514E">
        <w:rPr>
          <w:rStyle w:val="Para1"/>
          <w:kern w:val="22"/>
        </w:rPr>
        <w:t xml:space="preserve"> %) </w:t>
      </w:r>
      <w:r w:rsidR="00FD0B4D" w:rsidRPr="007D514E">
        <w:rPr>
          <w:rStyle w:val="Para1"/>
          <w:kern w:val="22"/>
        </w:rPr>
        <w:t>национальных докладов содерж</w:t>
      </w:r>
      <w:r w:rsidR="005445F7" w:rsidRPr="007D514E">
        <w:rPr>
          <w:rStyle w:val="Para1"/>
          <w:kern w:val="22"/>
        </w:rPr>
        <w:t>ит</w:t>
      </w:r>
      <w:r w:rsidR="00FD0B4D" w:rsidRPr="007D514E">
        <w:rPr>
          <w:rStyle w:val="Para1"/>
          <w:kern w:val="22"/>
        </w:rPr>
        <w:t xml:space="preserve"> информацию, указывающую на возможность выполнения </w:t>
      </w:r>
      <w:r w:rsidR="005445F7" w:rsidRPr="007D514E">
        <w:rPr>
          <w:rStyle w:val="Para1"/>
          <w:kern w:val="22"/>
        </w:rPr>
        <w:t xml:space="preserve">к установленному сроку </w:t>
      </w:r>
      <w:r w:rsidR="00FD0B4D" w:rsidRPr="007D514E">
        <w:rPr>
          <w:rStyle w:val="Para1"/>
          <w:kern w:val="22"/>
        </w:rPr>
        <w:t>целевой задачи 16, принятой в Айти. При этом</w:t>
      </w:r>
      <w:r w:rsidR="00D17C04" w:rsidRPr="007D514E">
        <w:rPr>
          <w:rStyle w:val="Para1"/>
          <w:kern w:val="22"/>
        </w:rPr>
        <w:t>,</w:t>
      </w:r>
      <w:r w:rsidR="00FD0B4D" w:rsidRPr="007D514E">
        <w:rPr>
          <w:rStyle w:val="Para1"/>
          <w:kern w:val="22"/>
        </w:rPr>
        <w:t xml:space="preserve"> п</w:t>
      </w:r>
      <w:r w:rsidR="002D4309" w:rsidRPr="007D514E">
        <w:rPr>
          <w:rStyle w:val="Para1"/>
          <w:kern w:val="22"/>
        </w:rPr>
        <w:t xml:space="preserve">очти четвертая часть </w:t>
      </w:r>
      <w:r w:rsidR="00FD0B4D" w:rsidRPr="007D514E">
        <w:rPr>
          <w:rStyle w:val="Para1"/>
          <w:kern w:val="22"/>
        </w:rPr>
        <w:t>национальных докладов (2</w:t>
      </w:r>
      <w:r w:rsidR="00790DEA" w:rsidRPr="007D514E">
        <w:rPr>
          <w:rStyle w:val="Para1"/>
          <w:kern w:val="22"/>
        </w:rPr>
        <w:t>3</w:t>
      </w:r>
      <w:r w:rsidR="004E1A4D" w:rsidRPr="007D514E">
        <w:rPr>
          <w:rStyle w:val="Para1"/>
          <w:kern w:val="22"/>
        </w:rPr>
        <w:t> </w:t>
      </w:r>
      <w:r w:rsidR="00D736EC" w:rsidRPr="007D514E">
        <w:rPr>
          <w:rStyle w:val="Para1"/>
          <w:kern w:val="22"/>
        </w:rPr>
        <w:t>%</w:t>
      </w:r>
      <w:r w:rsidR="00FD0B4D" w:rsidRPr="007D514E">
        <w:rPr>
          <w:rStyle w:val="Para1"/>
          <w:kern w:val="22"/>
        </w:rPr>
        <w:t>) содерж</w:t>
      </w:r>
      <w:r w:rsidR="00653D24" w:rsidRPr="007D514E">
        <w:rPr>
          <w:rStyle w:val="Para1"/>
          <w:kern w:val="22"/>
        </w:rPr>
        <w:t>и</w:t>
      </w:r>
      <w:r w:rsidR="00FD0B4D" w:rsidRPr="007D514E">
        <w:rPr>
          <w:rStyle w:val="Para1"/>
          <w:kern w:val="22"/>
        </w:rPr>
        <w:t xml:space="preserve">т информацию, свидетельствующую об отсутствии достигнутых результатов </w:t>
      </w:r>
      <w:r w:rsidR="00A06FA5" w:rsidRPr="007D514E">
        <w:rPr>
          <w:rStyle w:val="Para1"/>
          <w:kern w:val="22"/>
        </w:rPr>
        <w:t>выполнения</w:t>
      </w:r>
      <w:r w:rsidR="00FD0B4D" w:rsidRPr="007D514E">
        <w:rPr>
          <w:rStyle w:val="Para1"/>
          <w:kern w:val="22"/>
        </w:rPr>
        <w:t xml:space="preserve"> данной целевой задачи, тогда как 1</w:t>
      </w:r>
      <w:r w:rsidR="00DA1A65" w:rsidRPr="007D514E">
        <w:rPr>
          <w:rStyle w:val="Para1"/>
          <w:kern w:val="22"/>
        </w:rPr>
        <w:t>7</w:t>
      </w:r>
      <w:r w:rsidR="00FD0B4D" w:rsidRPr="007D514E">
        <w:rPr>
          <w:rStyle w:val="Para1"/>
          <w:kern w:val="22"/>
        </w:rPr>
        <w:t xml:space="preserve"> </w:t>
      </w:r>
      <w:r w:rsidR="00D736EC" w:rsidRPr="007D514E">
        <w:rPr>
          <w:rStyle w:val="Para1"/>
          <w:kern w:val="22"/>
        </w:rPr>
        <w:t>%</w:t>
      </w:r>
      <w:r w:rsidR="00FD0B4D" w:rsidRPr="007D514E">
        <w:rPr>
          <w:rStyle w:val="Para1"/>
          <w:kern w:val="22"/>
        </w:rPr>
        <w:t xml:space="preserve"> докладов не содержат никакой информации, связанной с данной целевой задачей. </w:t>
      </w:r>
      <w:r w:rsidR="00ED46A6" w:rsidRPr="007D514E">
        <w:rPr>
          <w:rStyle w:val="Para1"/>
          <w:kern w:val="22"/>
        </w:rPr>
        <w:t>Примерно 4</w:t>
      </w:r>
      <w:r w:rsidR="00790DEA" w:rsidRPr="007D514E">
        <w:rPr>
          <w:rStyle w:val="Para1"/>
          <w:kern w:val="22"/>
        </w:rPr>
        <w:t>0</w:t>
      </w:r>
      <w:r w:rsidR="00FD0B4D" w:rsidRPr="007D514E">
        <w:rPr>
          <w:rStyle w:val="Para1"/>
          <w:kern w:val="22"/>
        </w:rPr>
        <w:t xml:space="preserve"> </w:t>
      </w:r>
      <w:r w:rsidR="00D736EC" w:rsidRPr="007D514E">
        <w:rPr>
          <w:rStyle w:val="Para1"/>
          <w:kern w:val="22"/>
        </w:rPr>
        <w:t>%</w:t>
      </w:r>
      <w:r w:rsidR="00FD0B4D" w:rsidRPr="007D514E">
        <w:rPr>
          <w:rStyle w:val="Para1"/>
          <w:kern w:val="22"/>
        </w:rPr>
        <w:t xml:space="preserve"> докладов содержат информацию, указывающую на достигнутые результаты </w:t>
      </w:r>
      <w:r w:rsidR="00A06FA5" w:rsidRPr="007D514E">
        <w:rPr>
          <w:rStyle w:val="Para1"/>
          <w:kern w:val="22"/>
        </w:rPr>
        <w:t>выполнения</w:t>
      </w:r>
      <w:r w:rsidR="00FD0B4D" w:rsidRPr="007D514E">
        <w:rPr>
          <w:rStyle w:val="Para1"/>
          <w:kern w:val="22"/>
        </w:rPr>
        <w:t xml:space="preserve"> данной целевой задачи, но темпы выполнения не обеспечивают ее выполнения к установленному сроку. Информация в национальных докладах показывает</w:t>
      </w:r>
      <w:r w:rsidR="00FD0B4D" w:rsidRPr="007D514E">
        <w:rPr>
          <w:rStyle w:val="Para1"/>
          <w:rFonts w:cs="Times New Roman"/>
          <w:kern w:val="22"/>
        </w:rPr>
        <w:t xml:space="preserve">, что наиболее заметные достигнутые результаты </w:t>
      </w:r>
      <w:r w:rsidR="00A06FA5" w:rsidRPr="007D514E">
        <w:rPr>
          <w:rStyle w:val="Para1"/>
          <w:rFonts w:cs="Times New Roman"/>
          <w:kern w:val="22"/>
        </w:rPr>
        <w:t>выполнения</w:t>
      </w:r>
      <w:r w:rsidR="00FD0B4D" w:rsidRPr="007D514E">
        <w:rPr>
          <w:rStyle w:val="Para1"/>
          <w:rFonts w:cs="Times New Roman"/>
          <w:kern w:val="22"/>
        </w:rPr>
        <w:t xml:space="preserve"> настоящей целевой задачи были связаны с ратификацией Нагойского протокола. Сравнительно более скромные результаты </w:t>
      </w:r>
      <w:r w:rsidR="00E521C1" w:rsidRPr="007D514E">
        <w:rPr>
          <w:rStyle w:val="Para1"/>
          <w:rFonts w:cs="Times New Roman"/>
          <w:kern w:val="22"/>
        </w:rPr>
        <w:t xml:space="preserve">достигнуты в </w:t>
      </w:r>
      <w:r w:rsidR="00FD0B4D" w:rsidRPr="007D514E">
        <w:rPr>
          <w:rStyle w:val="Para1"/>
          <w:rFonts w:cs="Times New Roman"/>
          <w:kern w:val="22"/>
        </w:rPr>
        <w:t>обеспечени</w:t>
      </w:r>
      <w:r w:rsidR="00E521C1" w:rsidRPr="007D514E">
        <w:rPr>
          <w:rStyle w:val="Para1"/>
          <w:rFonts w:cs="Times New Roman"/>
          <w:kern w:val="22"/>
        </w:rPr>
        <w:t>и</w:t>
      </w:r>
      <w:r w:rsidR="00FD0B4D" w:rsidRPr="007D514E">
        <w:rPr>
          <w:rStyle w:val="Para1"/>
          <w:rFonts w:cs="Times New Roman"/>
          <w:kern w:val="22"/>
        </w:rPr>
        <w:t xml:space="preserve"> функционирования </w:t>
      </w:r>
      <w:r w:rsidR="00CC573B" w:rsidRPr="007D514E">
        <w:rPr>
          <w:rStyle w:val="Para1"/>
          <w:rFonts w:cs="Times New Roman"/>
          <w:kern w:val="22"/>
        </w:rPr>
        <w:t>П</w:t>
      </w:r>
      <w:r w:rsidR="00FD0B4D" w:rsidRPr="007D514E">
        <w:rPr>
          <w:rStyle w:val="Para1"/>
          <w:rFonts w:cs="Times New Roman"/>
          <w:kern w:val="22"/>
        </w:rPr>
        <w:t xml:space="preserve">ротокола </w:t>
      </w:r>
      <w:r w:rsidR="00E521C1" w:rsidRPr="007D514E">
        <w:rPr>
          <w:rStyle w:val="Para1"/>
          <w:rFonts w:cs="Times New Roman"/>
          <w:kern w:val="22"/>
        </w:rPr>
        <w:t>в</w:t>
      </w:r>
      <w:r w:rsidR="00FD0B4D" w:rsidRPr="007D514E">
        <w:rPr>
          <w:rStyle w:val="Para1"/>
          <w:rFonts w:cs="Times New Roman"/>
          <w:kern w:val="22"/>
        </w:rPr>
        <w:t xml:space="preserve"> национальном </w:t>
      </w:r>
      <w:r w:rsidR="00E521C1" w:rsidRPr="007D514E">
        <w:rPr>
          <w:rStyle w:val="Para1"/>
          <w:rFonts w:cs="Times New Roman"/>
          <w:kern w:val="22"/>
        </w:rPr>
        <w:t>масштабе</w:t>
      </w:r>
      <w:r w:rsidR="00DA1A65" w:rsidRPr="007D514E">
        <w:rPr>
          <w:rFonts w:eastAsia="Times New Roman" w:cs="Times New Roman"/>
          <w:szCs w:val="22"/>
        </w:rPr>
        <w:t>. Дополнительная информация, относящаяся к цел</w:t>
      </w:r>
      <w:r w:rsidR="00AE55A8" w:rsidRPr="007D514E">
        <w:rPr>
          <w:rFonts w:eastAsia="Times New Roman" w:cs="Times New Roman"/>
          <w:szCs w:val="22"/>
        </w:rPr>
        <w:t>евой задаче</w:t>
      </w:r>
      <w:r w:rsidR="00AE55A8" w:rsidRPr="007D514E">
        <w:rPr>
          <w:rStyle w:val="Para1"/>
          <w:rFonts w:cs="Times New Roman"/>
          <w:kern w:val="22"/>
        </w:rPr>
        <w:t xml:space="preserve"> 16, принятой в Айти, </w:t>
      </w:r>
      <w:r w:rsidR="00DA1A65" w:rsidRPr="007D514E">
        <w:rPr>
          <w:rFonts w:eastAsia="Times New Roman" w:cs="Times New Roman"/>
          <w:szCs w:val="22"/>
        </w:rPr>
        <w:t>в контексте оценки и обзора эффективности Нагойского протокола, представлена ​​в документе CBD/SBI/2/3.</w:t>
      </w:r>
    </w:p>
    <w:p w:rsidR="00FD0B4D" w:rsidRPr="00690DD5" w:rsidRDefault="00FD0B4D" w:rsidP="00FD0B4D">
      <w:pPr>
        <w:tabs>
          <w:tab w:val="left" w:pos="180"/>
        </w:tabs>
        <w:spacing w:after="120"/>
        <w:rPr>
          <w:rFonts w:cs="Times New Roman"/>
          <w:i/>
          <w:iCs/>
        </w:rPr>
      </w:pPr>
      <w:r w:rsidRPr="00690DD5">
        <w:rPr>
          <w:rStyle w:val="Normal"/>
          <w:i/>
        </w:rPr>
        <w:t>Целевая задача 17</w:t>
      </w:r>
      <w:r w:rsidR="00DC7ED0" w:rsidRPr="00690DD5">
        <w:rPr>
          <w:rStyle w:val="Normal"/>
          <w:i/>
        </w:rPr>
        <w:t>.</w:t>
      </w:r>
      <w:r w:rsidR="00660906" w:rsidRPr="00690DD5">
        <w:rPr>
          <w:rStyle w:val="Normal"/>
          <w:i/>
        </w:rPr>
        <w:t xml:space="preserve"> </w:t>
      </w:r>
      <w:r w:rsidRPr="00690DD5">
        <w:rPr>
          <w:rStyle w:val="Normal"/>
          <w:i/>
        </w:rPr>
        <w:t>К 2015 году каждая Сторона разработала и приняла в качестве политического инструмента эффективную совместную и обновленную национальную стратегию и план действий по сохранению биоразнообразия и приступила к их реализации.</w:t>
      </w:r>
    </w:p>
    <w:p w:rsidR="00FD0B4D" w:rsidRPr="00690DD5" w:rsidRDefault="00EF4D31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 w:rsidRPr="00690DD5">
        <w:rPr>
          <w:rStyle w:val="Para1"/>
          <w:snapToGrid/>
          <w:kern w:val="22"/>
        </w:rPr>
        <w:t xml:space="preserve">Почти </w:t>
      </w:r>
      <w:r w:rsidR="00C12062">
        <w:rPr>
          <w:rStyle w:val="Para1"/>
          <w:snapToGrid/>
          <w:kern w:val="22"/>
        </w:rPr>
        <w:t xml:space="preserve">пятая часть </w:t>
      </w:r>
      <w:r w:rsidRPr="00690DD5">
        <w:rPr>
          <w:rStyle w:val="Para1"/>
          <w:snapToGrid/>
          <w:kern w:val="22"/>
        </w:rPr>
        <w:t>(</w:t>
      </w:r>
      <w:r w:rsidR="00C12062">
        <w:rPr>
          <w:rStyle w:val="Para1"/>
          <w:snapToGrid/>
          <w:kern w:val="22"/>
        </w:rPr>
        <w:t>19</w:t>
      </w:r>
      <w:r w:rsidRPr="00690DD5">
        <w:rPr>
          <w:rStyle w:val="Para1"/>
          <w:snapToGrid/>
          <w:kern w:val="22"/>
        </w:rPr>
        <w:t xml:space="preserve"> %) </w:t>
      </w:r>
      <w:r w:rsidR="00FD0B4D" w:rsidRPr="00690DD5">
        <w:rPr>
          <w:rStyle w:val="Para1"/>
          <w:snapToGrid/>
          <w:kern w:val="22"/>
        </w:rPr>
        <w:t>НСПДСБ содержат целевые задачи или другие обязательства, которые по охвату и уровню амбициозности приближаются к установленным в целевой задаче 17, принятой в Айти</w:t>
      </w:r>
      <w:r w:rsidR="00FD0B4D" w:rsidRPr="00690DD5">
        <w:rPr>
          <w:snapToGrid/>
          <w:kern w:val="22"/>
          <w:sz w:val="18"/>
          <w:vertAlign w:val="superscript"/>
        </w:rPr>
        <w:footnoteReference w:id="32"/>
      </w:r>
      <w:r w:rsidR="00FD0B4D" w:rsidRPr="00690DD5">
        <w:rPr>
          <w:rStyle w:val="Para1"/>
          <w:snapToGrid/>
          <w:kern w:val="22"/>
        </w:rPr>
        <w:t>.</w:t>
      </w:r>
      <w:r w:rsidR="00100522">
        <w:rPr>
          <w:rStyle w:val="Para1"/>
          <w:snapToGrid/>
          <w:kern w:val="22"/>
        </w:rPr>
        <w:t xml:space="preserve"> Более трети </w:t>
      </w:r>
      <w:r w:rsidR="00140513" w:rsidRPr="00690DD5">
        <w:rPr>
          <w:rStyle w:val="Para1"/>
          <w:snapToGrid/>
          <w:kern w:val="22"/>
        </w:rPr>
        <w:t>(</w:t>
      </w:r>
      <w:r w:rsidR="00A61A17">
        <w:rPr>
          <w:rStyle w:val="Para1"/>
          <w:snapToGrid/>
          <w:kern w:val="22"/>
        </w:rPr>
        <w:t>35</w:t>
      </w:r>
      <w:r w:rsidR="00140513" w:rsidRPr="00690DD5">
        <w:rPr>
          <w:rStyle w:val="Para1"/>
          <w:snapToGrid/>
          <w:kern w:val="22"/>
        </w:rPr>
        <w:t xml:space="preserve"> %) </w:t>
      </w:r>
      <w:r w:rsidR="00FD0B4D" w:rsidRPr="00690DD5">
        <w:rPr>
          <w:rStyle w:val="Para1"/>
          <w:snapToGrid/>
          <w:kern w:val="22"/>
        </w:rPr>
        <w:t>НСПДСБ содерж</w:t>
      </w:r>
      <w:r w:rsidR="0086498E">
        <w:rPr>
          <w:rStyle w:val="Para1"/>
          <w:snapToGrid/>
          <w:kern w:val="22"/>
        </w:rPr>
        <w:t>а</w:t>
      </w:r>
      <w:r w:rsidR="00FD0B4D" w:rsidRPr="00690DD5">
        <w:rPr>
          <w:rStyle w:val="Para1"/>
          <w:snapToGrid/>
          <w:kern w:val="22"/>
        </w:rPr>
        <w:t xml:space="preserve">т целевые задачи, которые ниже уровню или не </w:t>
      </w:r>
      <w:r w:rsidR="00AB0A01" w:rsidRPr="00690DD5">
        <w:rPr>
          <w:rStyle w:val="Para1"/>
          <w:snapToGrid/>
          <w:kern w:val="22"/>
        </w:rPr>
        <w:t>охватывают</w:t>
      </w:r>
      <w:r w:rsidR="00FD0B4D" w:rsidRPr="00690DD5">
        <w:rPr>
          <w:rStyle w:val="Para1"/>
          <w:snapToGrid/>
          <w:kern w:val="22"/>
        </w:rPr>
        <w:t xml:space="preserve"> всех элементов целевой задачи, принятой в Айти. Примерно половина (</w:t>
      </w:r>
      <w:r w:rsidR="001D05B0">
        <w:rPr>
          <w:rStyle w:val="Para1"/>
          <w:snapToGrid/>
          <w:kern w:val="22"/>
        </w:rPr>
        <w:t>4</w:t>
      </w:r>
      <w:r w:rsidR="002D5500">
        <w:rPr>
          <w:rStyle w:val="Para1"/>
          <w:snapToGrid/>
          <w:kern w:val="22"/>
        </w:rPr>
        <w:t>6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>) НСПДСБ не содерж</w:t>
      </w:r>
      <w:r w:rsidR="00D57910">
        <w:rPr>
          <w:rStyle w:val="Para1"/>
          <w:snapToGrid/>
          <w:kern w:val="22"/>
        </w:rPr>
        <w:t>а</w:t>
      </w:r>
      <w:r w:rsidR="00FD0B4D" w:rsidRPr="00690DD5">
        <w:rPr>
          <w:rStyle w:val="Para1"/>
          <w:snapToGrid/>
          <w:kern w:val="22"/>
        </w:rPr>
        <w:t>т никаких национальных целевых задач или обязательств, связанных с данной целевой задачей, принятой в Айти. Объяснением этому может служить тот факт, что поскольку страны разрабатывали или обновляли свои НСПДСБ, они не считали необходимым отражать данную целевую задачу, принятую в Айти, в своих НСПДСБ. Данная целевая задача, принятая в Айти, относится к целевым задачам с наименьшим числом НСПДСБ, содержащих связанные с ней национальные целевые задачи или другие обязательства.</w:t>
      </w:r>
    </w:p>
    <w:p w:rsidR="00FD0B4D" w:rsidRPr="00690DD5" w:rsidRDefault="00D57910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>
        <w:rPr>
          <w:rStyle w:val="Para1"/>
          <w:snapToGrid/>
          <w:kern w:val="22"/>
        </w:rPr>
        <w:t>Более четверти</w:t>
      </w:r>
      <w:r w:rsidR="00FD0B4D" w:rsidRPr="00690DD5">
        <w:rPr>
          <w:rStyle w:val="Para1"/>
          <w:snapToGrid/>
          <w:kern w:val="22"/>
        </w:rPr>
        <w:t xml:space="preserve"> национальных докладов (</w:t>
      </w:r>
      <w:r w:rsidR="00F7254B">
        <w:rPr>
          <w:rStyle w:val="Para1"/>
          <w:snapToGrid/>
          <w:kern w:val="22"/>
        </w:rPr>
        <w:t>29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>) содержат информацию, которая указывает на возможность выполнения данной целевой задачи к установленному сроку, тогда как половин</w:t>
      </w:r>
      <w:r w:rsidR="00F7254B">
        <w:rPr>
          <w:rStyle w:val="Para1"/>
          <w:snapToGrid/>
          <w:kern w:val="22"/>
        </w:rPr>
        <w:t>а</w:t>
      </w:r>
      <w:r w:rsidR="00FD0B4D" w:rsidRPr="00690DD5">
        <w:rPr>
          <w:rStyle w:val="Para1"/>
          <w:snapToGrid/>
          <w:kern w:val="22"/>
        </w:rPr>
        <w:t xml:space="preserve"> докладов привод</w:t>
      </w:r>
      <w:r w:rsidR="00054F18">
        <w:rPr>
          <w:rStyle w:val="Para1"/>
          <w:snapToGrid/>
          <w:kern w:val="22"/>
        </w:rPr>
        <w:t>и</w:t>
      </w:r>
      <w:r w:rsidR="00FD0B4D" w:rsidRPr="00690DD5">
        <w:rPr>
          <w:rStyle w:val="Para1"/>
          <w:snapToGrid/>
          <w:kern w:val="22"/>
        </w:rPr>
        <w:t xml:space="preserve">т достигнутые результаты </w:t>
      </w:r>
      <w:r w:rsidR="00A06FA5" w:rsidRPr="00690DD5">
        <w:rPr>
          <w:rStyle w:val="Para1"/>
          <w:snapToGrid/>
          <w:kern w:val="22"/>
        </w:rPr>
        <w:t>выполнения</w:t>
      </w:r>
      <w:r w:rsidR="00FD0B4D" w:rsidRPr="00690DD5">
        <w:rPr>
          <w:rStyle w:val="Para1"/>
          <w:snapToGrid/>
          <w:kern w:val="22"/>
        </w:rPr>
        <w:t xml:space="preserve"> целевой задачи, но при таких темпах, которые не позволяют обеспечить ее выполнение к установленному сроку. </w:t>
      </w:r>
      <w:r w:rsidR="00ED75EC" w:rsidRPr="00690DD5">
        <w:rPr>
          <w:rStyle w:val="Para1"/>
          <w:snapToGrid/>
          <w:kern w:val="22"/>
        </w:rPr>
        <w:t xml:space="preserve">Примерно </w:t>
      </w:r>
      <w:r w:rsidR="00FD0B4D" w:rsidRPr="00690DD5">
        <w:rPr>
          <w:rStyle w:val="Para1"/>
          <w:snapToGrid/>
          <w:kern w:val="22"/>
        </w:rPr>
        <w:t>1</w:t>
      </w:r>
      <w:r w:rsidR="00054F18">
        <w:rPr>
          <w:rStyle w:val="Para1"/>
          <w:snapToGrid/>
          <w:kern w:val="22"/>
        </w:rPr>
        <w:t>3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национальных докладов свидетельствуют об отсутствии результатов в достижении этой целевой задачи</w:t>
      </w:r>
      <w:r w:rsidR="00054F18">
        <w:rPr>
          <w:rStyle w:val="Para1"/>
          <w:snapToGrid/>
          <w:kern w:val="22"/>
        </w:rPr>
        <w:t xml:space="preserve"> и 7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национальных докладов не содержат никакой информации о достигнутых </w:t>
      </w:r>
      <w:r w:rsidR="002000B0" w:rsidRPr="00690DD5">
        <w:rPr>
          <w:rStyle w:val="Para1"/>
          <w:snapToGrid/>
          <w:kern w:val="22"/>
        </w:rPr>
        <w:t>результатах в выполнении</w:t>
      </w:r>
      <w:r w:rsidR="00FD0B4D" w:rsidRPr="00690DD5">
        <w:rPr>
          <w:rStyle w:val="Para1"/>
          <w:snapToGrid/>
          <w:kern w:val="22"/>
        </w:rPr>
        <w:t xml:space="preserve"> данной целевой задачи. Это кардинально отличается о</w:t>
      </w:r>
      <w:r w:rsidR="0001525C" w:rsidRPr="00690DD5">
        <w:rPr>
          <w:rStyle w:val="Para1"/>
          <w:snapToGrid/>
          <w:kern w:val="22"/>
        </w:rPr>
        <w:t>т</w:t>
      </w:r>
      <w:r w:rsidR="00FD0B4D" w:rsidRPr="00690DD5">
        <w:rPr>
          <w:rStyle w:val="Para1"/>
          <w:snapToGrid/>
          <w:kern w:val="22"/>
        </w:rPr>
        <w:t xml:space="preserve"> </w:t>
      </w:r>
      <w:r w:rsidR="0001525C" w:rsidRPr="00690DD5">
        <w:rPr>
          <w:rStyle w:val="Para1"/>
          <w:snapToGrid/>
          <w:kern w:val="22"/>
        </w:rPr>
        <w:t xml:space="preserve">вышеприведенной </w:t>
      </w:r>
      <w:r w:rsidR="00FD0B4D" w:rsidRPr="00690DD5">
        <w:rPr>
          <w:rStyle w:val="Para1"/>
          <w:snapToGrid/>
          <w:kern w:val="22"/>
        </w:rPr>
        <w:t xml:space="preserve">оценки НСПДСБ, где большинство НСПДСБ не содержали никаких целевых задач, связанных с данной целевой задачей, принятой в Айти. Информация в национальных докладах показывает, что наиболее заметные достигнутые результаты </w:t>
      </w:r>
      <w:r w:rsidR="00A06FA5" w:rsidRPr="00690DD5">
        <w:rPr>
          <w:rStyle w:val="Para1"/>
          <w:snapToGrid/>
          <w:kern w:val="22"/>
        </w:rPr>
        <w:t>выполнения</w:t>
      </w:r>
      <w:r w:rsidR="00FD0B4D" w:rsidRPr="00690DD5">
        <w:rPr>
          <w:rStyle w:val="Para1"/>
          <w:snapToGrid/>
          <w:kern w:val="22"/>
        </w:rPr>
        <w:t xml:space="preserve"> настоящей целевой задачи были связаны с разработкой или пересмотром НСПДСБ. Напротив, менее заметные результаты были достигнуты в плане принятия НСПДСБ в качестве политического инструмента. Дополнительная информация, касающаяся целевой задачи 17</w:t>
      </w:r>
      <w:r w:rsidR="00D17C04">
        <w:rPr>
          <w:rStyle w:val="Para1"/>
          <w:snapToGrid/>
          <w:kern w:val="22"/>
        </w:rPr>
        <w:t>,</w:t>
      </w:r>
      <w:r w:rsidR="00FD0B4D" w:rsidRPr="00690DD5">
        <w:rPr>
          <w:rStyle w:val="Para1"/>
          <w:snapToGrid/>
          <w:kern w:val="22"/>
        </w:rPr>
        <w:t xml:space="preserve"> приведена в документе </w:t>
      </w:r>
      <w:r w:rsidR="00292B47" w:rsidRPr="00690DD5">
        <w:rPr>
          <w:rFonts w:eastAsia="Malgun Gothic" w:cs="Times New Roman"/>
          <w:kern w:val="22"/>
          <w:szCs w:val="22"/>
        </w:rPr>
        <w:t>CBD/</w:t>
      </w:r>
      <w:r w:rsidR="00823D04">
        <w:rPr>
          <w:rFonts w:eastAsia="Malgun Gothic" w:cs="Times New Roman"/>
          <w:kern w:val="22"/>
          <w:szCs w:val="22"/>
          <w:lang w:val="fr-CA"/>
        </w:rPr>
        <w:t>SBI</w:t>
      </w:r>
      <w:r w:rsidR="00292B47" w:rsidRPr="00690DD5">
        <w:rPr>
          <w:rFonts w:eastAsia="Malgun Gothic" w:cs="Times New Roman"/>
          <w:kern w:val="22"/>
          <w:szCs w:val="22"/>
        </w:rPr>
        <w:t>/</w:t>
      </w:r>
      <w:r w:rsidR="00F51726" w:rsidRPr="009F372B">
        <w:rPr>
          <w:rFonts w:eastAsia="Malgun Gothic" w:cs="Times New Roman"/>
          <w:kern w:val="22"/>
          <w:szCs w:val="22"/>
        </w:rPr>
        <w:t>2</w:t>
      </w:r>
      <w:r w:rsidR="00823D04" w:rsidRPr="00823D04">
        <w:rPr>
          <w:rFonts w:eastAsia="Malgun Gothic" w:cs="Times New Roman"/>
          <w:kern w:val="22"/>
          <w:szCs w:val="22"/>
        </w:rPr>
        <w:t>/2</w:t>
      </w:r>
      <w:r w:rsidR="00292B47" w:rsidRPr="00690DD5">
        <w:rPr>
          <w:rFonts w:eastAsia="Malgun Gothic" w:cs="Times New Roman"/>
          <w:kern w:val="22"/>
          <w:szCs w:val="22"/>
        </w:rPr>
        <w:t>/Add.</w:t>
      </w:r>
      <w:r w:rsidR="00823D04" w:rsidRPr="00823D04">
        <w:rPr>
          <w:rFonts w:eastAsia="Malgun Gothic" w:cs="Times New Roman"/>
          <w:kern w:val="22"/>
          <w:szCs w:val="22"/>
        </w:rPr>
        <w:t>1.</w:t>
      </w:r>
    </w:p>
    <w:p w:rsidR="00FD0B4D" w:rsidRPr="00690DD5" w:rsidRDefault="00FD0B4D" w:rsidP="00FD0B4D">
      <w:pPr>
        <w:spacing w:after="120"/>
        <w:rPr>
          <w:rFonts w:cs="Times New Roman"/>
          <w:i/>
          <w:iCs/>
        </w:rPr>
      </w:pPr>
      <w:r w:rsidRPr="00690DD5">
        <w:rPr>
          <w:rStyle w:val="Normal"/>
          <w:i/>
        </w:rPr>
        <w:t>Целевая задача 18</w:t>
      </w:r>
      <w:r w:rsidR="00F6170B" w:rsidRPr="00690DD5">
        <w:rPr>
          <w:rStyle w:val="Normal"/>
          <w:i/>
        </w:rPr>
        <w:t>.</w:t>
      </w:r>
      <w:r w:rsidRPr="00690DD5">
        <w:rPr>
          <w:rStyle w:val="Normal"/>
          <w:i/>
        </w:rPr>
        <w:t> </w:t>
      </w:r>
      <w:r w:rsidR="00F6170B" w:rsidRPr="00690DD5">
        <w:rPr>
          <w:rStyle w:val="Normal"/>
          <w:i/>
        </w:rPr>
        <w:t>К</w:t>
      </w:r>
      <w:r w:rsidRPr="00690DD5">
        <w:rPr>
          <w:rStyle w:val="Normal"/>
          <w:i/>
        </w:rPr>
        <w:t xml:space="preserve"> 2020 году традиционные знания, нововведения и практика коренных народов и местных общин, имеющие значение для сохранения и устойчивого использования биоразнообразия, и традиционное использование ими биологических ресурсов уважаются в соответствии с национальным законодательством и соответствующими международными обязательствами и полностью включены в процесс осуществления Конвенции и отражены в нем </w:t>
      </w:r>
      <w:r w:rsidRPr="00690DD5">
        <w:rPr>
          <w:rStyle w:val="Normal"/>
          <w:i/>
        </w:rPr>
        <w:lastRenderedPageBreak/>
        <w:t>при всемерном и эффективном участии коренных народов и местных общин на всех соответствующих уровнях.</w:t>
      </w:r>
    </w:p>
    <w:p w:rsidR="00660906" w:rsidRPr="00690DD5" w:rsidRDefault="00A528E7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>Только в</w:t>
      </w:r>
      <w:r w:rsidR="00FD0B4D" w:rsidRPr="00690DD5">
        <w:rPr>
          <w:rStyle w:val="Para1"/>
          <w:snapToGrid/>
          <w:kern w:val="22"/>
        </w:rPr>
        <w:t xml:space="preserve"> </w:t>
      </w:r>
      <w:r w:rsidRPr="00690DD5">
        <w:rPr>
          <w:rStyle w:val="Para1"/>
          <w:snapToGrid/>
          <w:kern w:val="22"/>
        </w:rPr>
        <w:t>1</w:t>
      </w:r>
      <w:r w:rsidR="009F372B">
        <w:rPr>
          <w:rStyle w:val="Para1"/>
          <w:snapToGrid/>
          <w:kern w:val="22"/>
        </w:rPr>
        <w:t>4</w:t>
      </w:r>
      <w:r w:rsidR="00F6170B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НСПДСБ содержатся целевые задачи, которые подобны по охвату и амбициозности целевой задаче</w:t>
      </w:r>
      <w:r w:rsidR="009F372B">
        <w:rPr>
          <w:rStyle w:val="Para1"/>
          <w:snapToGrid/>
          <w:kern w:val="22"/>
        </w:rPr>
        <w:t xml:space="preserve"> 18</w:t>
      </w:r>
      <w:r w:rsidR="00FD0B4D" w:rsidRPr="00690DD5">
        <w:rPr>
          <w:rStyle w:val="Para1"/>
          <w:snapToGrid/>
          <w:kern w:val="22"/>
        </w:rPr>
        <w:t>, принятой в Айти</w:t>
      </w:r>
      <w:r w:rsidR="00FD0B4D" w:rsidRPr="00690DD5">
        <w:rPr>
          <w:snapToGrid/>
          <w:kern w:val="22"/>
          <w:sz w:val="18"/>
          <w:vertAlign w:val="superscript"/>
        </w:rPr>
        <w:footnoteReference w:id="33"/>
      </w:r>
      <w:r w:rsidR="00FD0B4D" w:rsidRPr="00690DD5">
        <w:rPr>
          <w:rStyle w:val="Para1"/>
          <w:snapToGrid/>
          <w:kern w:val="22"/>
        </w:rPr>
        <w:t>, тогда как более половины (5</w:t>
      </w:r>
      <w:r w:rsidR="009F372B">
        <w:rPr>
          <w:rStyle w:val="Para1"/>
          <w:snapToGrid/>
          <w:kern w:val="22"/>
        </w:rPr>
        <w:t>5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) содержали целевые задачи с более низким уровнем по сравнению с целевой задачей, принятой в Айти, или не затрагивали всех элементов целевой задачи. </w:t>
      </w:r>
      <w:r w:rsidR="006F491D">
        <w:rPr>
          <w:rStyle w:val="Para1"/>
          <w:snapToGrid/>
          <w:kern w:val="22"/>
        </w:rPr>
        <w:t xml:space="preserve">Почти </w:t>
      </w:r>
      <w:r w:rsidR="00FD0B4D" w:rsidRPr="00690DD5">
        <w:rPr>
          <w:rStyle w:val="Para1"/>
          <w:snapToGrid/>
          <w:kern w:val="22"/>
        </w:rPr>
        <w:t>трет</w:t>
      </w:r>
      <w:r w:rsidR="006F491D">
        <w:rPr>
          <w:rStyle w:val="Para1"/>
          <w:snapToGrid/>
          <w:kern w:val="22"/>
        </w:rPr>
        <w:t>ь</w:t>
      </w:r>
      <w:r w:rsidR="00FD0B4D" w:rsidRPr="00690DD5">
        <w:rPr>
          <w:rStyle w:val="Para1"/>
          <w:snapToGrid/>
          <w:kern w:val="22"/>
        </w:rPr>
        <w:t xml:space="preserve"> (3</w:t>
      </w:r>
      <w:r w:rsidR="00037174">
        <w:rPr>
          <w:rStyle w:val="Para1"/>
          <w:snapToGrid/>
          <w:kern w:val="22"/>
        </w:rPr>
        <w:t>3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>) НСПДСБ не содержали целевых задач, связанных с настоящей целевой задачей, принятой в Айти. Многие из поставленных целевых задач носили общий характер. Основное внимание в</w:t>
      </w:r>
      <w:r w:rsidR="00466245">
        <w:rPr>
          <w:rStyle w:val="Para1"/>
          <w:snapToGrid/>
          <w:kern w:val="22"/>
        </w:rPr>
        <w:t xml:space="preserve"> национальных</w:t>
      </w:r>
      <w:r w:rsidR="00FD0B4D" w:rsidRPr="00690DD5">
        <w:rPr>
          <w:rStyle w:val="Para1"/>
          <w:snapToGrid/>
          <w:kern w:val="22"/>
        </w:rPr>
        <w:t xml:space="preserve"> целевых задачах по большей части сосредоточ</w:t>
      </w:r>
      <w:r w:rsidR="000E0324" w:rsidRPr="00690DD5">
        <w:rPr>
          <w:rStyle w:val="Para1"/>
          <w:snapToGrid/>
          <w:kern w:val="22"/>
        </w:rPr>
        <w:t xml:space="preserve">ено </w:t>
      </w:r>
      <w:r w:rsidR="00FD0B4D" w:rsidRPr="00690DD5">
        <w:rPr>
          <w:rStyle w:val="Para1"/>
          <w:snapToGrid/>
          <w:kern w:val="22"/>
        </w:rPr>
        <w:t>на уважении традиционных знаний, нововведений и практики, а также на их включени</w:t>
      </w:r>
      <w:r w:rsidR="00BE0604" w:rsidRPr="00690DD5">
        <w:rPr>
          <w:rStyle w:val="Para1"/>
          <w:snapToGrid/>
          <w:kern w:val="22"/>
        </w:rPr>
        <w:t>и</w:t>
      </w:r>
      <w:r w:rsidR="00FD0B4D" w:rsidRPr="00690DD5">
        <w:rPr>
          <w:rStyle w:val="Para1"/>
          <w:snapToGrid/>
          <w:kern w:val="22"/>
        </w:rPr>
        <w:t xml:space="preserve"> в процесс осуществления Конвенции. В то же время сравнительно меньше внимания удел</w:t>
      </w:r>
      <w:r w:rsidR="00BE0604" w:rsidRPr="00690DD5">
        <w:rPr>
          <w:rStyle w:val="Para1"/>
          <w:snapToGrid/>
          <w:kern w:val="22"/>
        </w:rPr>
        <w:t xml:space="preserve">ено </w:t>
      </w:r>
      <w:r w:rsidR="00FD0B4D" w:rsidRPr="00690DD5">
        <w:rPr>
          <w:rStyle w:val="Para1"/>
          <w:snapToGrid/>
          <w:kern w:val="22"/>
        </w:rPr>
        <w:t>обеспечению всемерного и эффективного участия коренных народов и местных общин.</w:t>
      </w:r>
    </w:p>
    <w:p w:rsidR="00660906" w:rsidRPr="00690DD5" w:rsidRDefault="00BD6703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>Примерно 1</w:t>
      </w:r>
      <w:r w:rsidR="006C66C0">
        <w:rPr>
          <w:rStyle w:val="Para1"/>
          <w:snapToGrid/>
          <w:kern w:val="22"/>
        </w:rPr>
        <w:t>5</w:t>
      </w:r>
      <w:r w:rsidR="00B22C1E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Сторон в своих национальных докладах указывали, что данная целевая задача может быть выполнена к установленному сроку. Еще 4</w:t>
      </w:r>
      <w:r w:rsidR="003C04EF">
        <w:rPr>
          <w:rStyle w:val="Para1"/>
          <w:snapToGrid/>
          <w:kern w:val="22"/>
        </w:rPr>
        <w:t>2</w:t>
      </w:r>
      <w:r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Сторон указывают на достигнутые результаты, но темпы выполнения не обеспечивают выполнения целевой задачи к установленному сроку. </w:t>
      </w:r>
      <w:r w:rsidRPr="00690DD5">
        <w:rPr>
          <w:rStyle w:val="Para1"/>
          <w:snapToGrid/>
          <w:kern w:val="22"/>
        </w:rPr>
        <w:t>Примерно 2</w:t>
      </w:r>
      <w:r w:rsidR="003C04EF">
        <w:rPr>
          <w:rStyle w:val="Para1"/>
          <w:snapToGrid/>
          <w:kern w:val="22"/>
        </w:rPr>
        <w:t>1</w:t>
      </w:r>
      <w:r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докладов указывают на отсутствие значительных изменений. Более пятой части (22</w:t>
      </w:r>
      <w:r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) включенных в обзор докладов не содержали достаточной информации для оценки достигнутых результатов </w:t>
      </w:r>
      <w:r w:rsidR="00A06FA5" w:rsidRPr="00690DD5">
        <w:rPr>
          <w:rStyle w:val="Para1"/>
          <w:snapToGrid/>
          <w:kern w:val="22"/>
        </w:rPr>
        <w:t>выполнения</w:t>
      </w:r>
      <w:r w:rsidR="00FD0B4D" w:rsidRPr="00690DD5">
        <w:rPr>
          <w:rStyle w:val="Para1"/>
          <w:snapToGrid/>
          <w:kern w:val="22"/>
        </w:rPr>
        <w:t xml:space="preserve"> настоящей целевой задачи. Достигнутые результаты </w:t>
      </w:r>
      <w:r w:rsidR="00A06FA5" w:rsidRPr="00690DD5">
        <w:rPr>
          <w:rStyle w:val="Para1"/>
          <w:snapToGrid/>
          <w:kern w:val="22"/>
        </w:rPr>
        <w:t>выполнения</w:t>
      </w:r>
      <w:r w:rsidR="00FD0B4D" w:rsidRPr="00690DD5">
        <w:rPr>
          <w:rStyle w:val="Para1"/>
          <w:snapToGrid/>
          <w:kern w:val="22"/>
        </w:rPr>
        <w:t xml:space="preserve"> различных элементов целевой задачи сложно оценить, поскольку более 40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докладов не содержали связанной с ними информации.</w:t>
      </w:r>
    </w:p>
    <w:p w:rsidR="00FD0B4D" w:rsidRPr="00690DD5" w:rsidRDefault="00FD0B4D" w:rsidP="00FD0B4D">
      <w:pPr>
        <w:spacing w:after="120"/>
        <w:jc w:val="left"/>
        <w:rPr>
          <w:rFonts w:cs="Times New Roman"/>
          <w:color w:val="333333"/>
          <w:shd w:val="clear" w:color="000000" w:fill="auto"/>
        </w:rPr>
      </w:pPr>
      <w:r w:rsidRPr="00690DD5">
        <w:rPr>
          <w:rStyle w:val="Normal"/>
          <w:i/>
        </w:rPr>
        <w:t>Целевая задача 19</w:t>
      </w:r>
      <w:r w:rsidR="00F6170B" w:rsidRPr="00690DD5">
        <w:rPr>
          <w:rStyle w:val="Normal"/>
          <w:i/>
        </w:rPr>
        <w:t>.</w:t>
      </w:r>
      <w:r w:rsidRPr="00690DD5">
        <w:rPr>
          <w:rStyle w:val="Normal"/>
          <w:i/>
        </w:rPr>
        <w:t xml:space="preserve"> </w:t>
      </w:r>
      <w:r w:rsidR="00F6170B" w:rsidRPr="00690DD5">
        <w:rPr>
          <w:rStyle w:val="Normal"/>
          <w:i/>
        </w:rPr>
        <w:t>К</w:t>
      </w:r>
      <w:r w:rsidRPr="00690DD5">
        <w:rPr>
          <w:rStyle w:val="Normal"/>
          <w:i/>
        </w:rPr>
        <w:t xml:space="preserve"> 2020 году усовершенствованы, широко совместно используются, передаются и применяются знания, научная база и технологии, связанные с биоразнообразием, его стоимостной ценностью и функционированием, его статусом и тенденциями в этой области, а также с последствиями его утраты.</w:t>
      </w:r>
    </w:p>
    <w:p w:rsidR="00FD0B4D" w:rsidRPr="00690DD5" w:rsidRDefault="003C04EF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>
        <w:rPr>
          <w:rStyle w:val="Para1"/>
          <w:snapToGrid/>
          <w:kern w:val="22"/>
        </w:rPr>
        <w:t xml:space="preserve">Около </w:t>
      </w:r>
      <w:r w:rsidR="00FD0B4D" w:rsidRPr="00690DD5">
        <w:rPr>
          <w:rStyle w:val="Para1"/>
          <w:snapToGrid/>
          <w:kern w:val="22"/>
        </w:rPr>
        <w:t>четверти (2</w:t>
      </w:r>
      <w:r w:rsidR="002B5389">
        <w:rPr>
          <w:rStyle w:val="Para1"/>
          <w:snapToGrid/>
          <w:kern w:val="22"/>
        </w:rPr>
        <w:t>4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>) НСПДСБ содержат целевые задачи, которые по охвату и уровню амбициозности приближаются к установленным в целевой задаче, принятой в Айти</w:t>
      </w:r>
      <w:r w:rsidR="00FD0B4D" w:rsidRPr="00690DD5">
        <w:rPr>
          <w:snapToGrid/>
          <w:kern w:val="22"/>
          <w:sz w:val="18"/>
          <w:vertAlign w:val="superscript"/>
        </w:rPr>
        <w:footnoteReference w:id="34"/>
      </w:r>
      <w:r w:rsidR="00FD0B4D" w:rsidRPr="00690DD5">
        <w:rPr>
          <w:rStyle w:val="Para1"/>
          <w:snapToGrid/>
          <w:kern w:val="22"/>
        </w:rPr>
        <w:t xml:space="preserve">, и в одном </w:t>
      </w:r>
      <w:r w:rsidR="00DC7ED0" w:rsidRPr="00690DD5">
        <w:rPr>
          <w:rStyle w:val="Para1"/>
          <w:snapToGrid/>
          <w:kern w:val="22"/>
        </w:rPr>
        <w:t>НСПДСБ</w:t>
      </w:r>
      <w:r w:rsidR="00FD0B4D" w:rsidRPr="00690DD5">
        <w:rPr>
          <w:rStyle w:val="Para1"/>
          <w:snapToGrid/>
          <w:kern w:val="22"/>
        </w:rPr>
        <w:t xml:space="preserve"> содерж</w:t>
      </w:r>
      <w:r w:rsidR="00BD1559">
        <w:rPr>
          <w:rStyle w:val="Para1"/>
          <w:snapToGrid/>
          <w:kern w:val="22"/>
        </w:rPr>
        <w:t>ится</w:t>
      </w:r>
      <w:r w:rsidR="00FD0B4D" w:rsidRPr="00690DD5">
        <w:rPr>
          <w:rStyle w:val="Para1"/>
          <w:snapToGrid/>
          <w:kern w:val="22"/>
        </w:rPr>
        <w:t xml:space="preserve"> целевая задача, которая превосходи</w:t>
      </w:r>
      <w:r w:rsidR="00BD1559">
        <w:rPr>
          <w:rStyle w:val="Para1"/>
          <w:snapToGrid/>
          <w:kern w:val="22"/>
        </w:rPr>
        <w:t>т</w:t>
      </w:r>
      <w:r w:rsidR="00FD0B4D" w:rsidRPr="00690DD5">
        <w:rPr>
          <w:rStyle w:val="Para1"/>
          <w:snapToGrid/>
          <w:kern w:val="22"/>
        </w:rPr>
        <w:t xml:space="preserve"> ее</w:t>
      </w:r>
      <w:r w:rsidR="00FD0B4D" w:rsidRPr="00690DD5">
        <w:rPr>
          <w:snapToGrid/>
          <w:kern w:val="22"/>
          <w:sz w:val="18"/>
          <w:vertAlign w:val="superscript"/>
        </w:rPr>
        <w:footnoteReference w:id="35"/>
      </w:r>
      <w:r w:rsidR="00FD0B4D" w:rsidRPr="00690DD5">
        <w:rPr>
          <w:rStyle w:val="Para1"/>
          <w:snapToGrid/>
          <w:kern w:val="22"/>
        </w:rPr>
        <w:t>. Более половины (</w:t>
      </w:r>
      <w:r w:rsidR="00813378">
        <w:rPr>
          <w:rStyle w:val="Para1"/>
          <w:snapToGrid/>
          <w:kern w:val="22"/>
        </w:rPr>
        <w:t>61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) НСПДСБ содержали целевые задачи или другие обязательства, которые ниже по уровню целевой задачи, принятой в Айти, и/или не </w:t>
      </w:r>
      <w:r w:rsidR="00AB0A01" w:rsidRPr="00690DD5">
        <w:rPr>
          <w:rStyle w:val="Para1"/>
          <w:snapToGrid/>
          <w:kern w:val="22"/>
        </w:rPr>
        <w:t>охватывают</w:t>
      </w:r>
      <w:r w:rsidR="00FD0B4D" w:rsidRPr="00690DD5">
        <w:rPr>
          <w:rStyle w:val="Para1"/>
          <w:snapToGrid/>
          <w:kern w:val="22"/>
        </w:rPr>
        <w:t xml:space="preserve"> всех элементов целевой задачи, принятой в Айти. </w:t>
      </w:r>
      <w:r w:rsidR="00B22C1E" w:rsidRPr="00690DD5">
        <w:rPr>
          <w:rStyle w:val="Para1"/>
          <w:snapToGrid/>
          <w:kern w:val="22"/>
        </w:rPr>
        <w:t>Примерно 1</w:t>
      </w:r>
      <w:r w:rsidR="00813378">
        <w:rPr>
          <w:rStyle w:val="Para1"/>
          <w:snapToGrid/>
          <w:kern w:val="22"/>
        </w:rPr>
        <w:t>4</w:t>
      </w:r>
      <w:r w:rsidR="00B22C1E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НСПДСБ не содержали никаких целевых задач, связанных с данной целевой задачей, принятой в Айти. Поставленные целевые задачи по большей части сосредоточивались на увеличении объема и качества доступной информации о биоразнообразии. В меньшем числе целевых задач рассматривается совместное использование информации и технологии, связанных с биоразнообразием, и еще меньше рассматривают вопросы, связанные с применением информации о биоразнообразии. Целевая задача 19, принятая в Айти, относится к целевым задачам</w:t>
      </w:r>
      <w:r w:rsidR="00114F37" w:rsidRPr="00690DD5">
        <w:rPr>
          <w:rStyle w:val="Para1"/>
          <w:snapToGrid/>
          <w:kern w:val="22"/>
        </w:rPr>
        <w:t xml:space="preserve">, </w:t>
      </w:r>
      <w:r w:rsidR="00FC2084">
        <w:rPr>
          <w:rStyle w:val="Para1"/>
          <w:snapToGrid/>
          <w:kern w:val="22"/>
        </w:rPr>
        <w:t xml:space="preserve">с </w:t>
      </w:r>
      <w:r w:rsidR="00114F37" w:rsidRPr="00690DD5">
        <w:rPr>
          <w:rStyle w:val="Para1"/>
          <w:snapToGrid/>
          <w:kern w:val="22"/>
        </w:rPr>
        <w:t>которым</w:t>
      </w:r>
      <w:r w:rsidR="00FC2084">
        <w:rPr>
          <w:rStyle w:val="Para1"/>
          <w:snapToGrid/>
          <w:kern w:val="22"/>
        </w:rPr>
        <w:t xml:space="preserve">и </w:t>
      </w:r>
      <w:r w:rsidR="000B4BD1">
        <w:rPr>
          <w:rStyle w:val="Para1"/>
          <w:snapToGrid/>
          <w:kern w:val="22"/>
        </w:rPr>
        <w:t xml:space="preserve">согласуется </w:t>
      </w:r>
      <w:r w:rsidR="00FD0B4D" w:rsidRPr="00690DD5">
        <w:rPr>
          <w:rStyle w:val="Para1"/>
          <w:snapToGrid/>
          <w:kern w:val="22"/>
        </w:rPr>
        <w:t>наибольш</w:t>
      </w:r>
      <w:r w:rsidR="00114F37" w:rsidRPr="00690DD5">
        <w:rPr>
          <w:rStyle w:val="Para1"/>
          <w:snapToGrid/>
          <w:kern w:val="22"/>
        </w:rPr>
        <w:t>е</w:t>
      </w:r>
      <w:r w:rsidR="00FC2084">
        <w:rPr>
          <w:rStyle w:val="Para1"/>
          <w:snapToGrid/>
          <w:kern w:val="22"/>
        </w:rPr>
        <w:t>е</w:t>
      </w:r>
      <w:r w:rsidR="00FD0B4D" w:rsidRPr="00690DD5">
        <w:rPr>
          <w:rStyle w:val="Para1"/>
          <w:snapToGrid/>
          <w:kern w:val="22"/>
        </w:rPr>
        <w:t xml:space="preserve"> числ</w:t>
      </w:r>
      <w:r w:rsidR="00FC2084">
        <w:rPr>
          <w:rStyle w:val="Para1"/>
          <w:snapToGrid/>
          <w:kern w:val="22"/>
        </w:rPr>
        <w:t>о</w:t>
      </w:r>
      <w:r w:rsidR="00FD0B4D" w:rsidRPr="00690DD5">
        <w:rPr>
          <w:rStyle w:val="Para1"/>
          <w:snapToGrid/>
          <w:kern w:val="22"/>
        </w:rPr>
        <w:t xml:space="preserve"> НСПДСБ</w:t>
      </w:r>
      <w:r w:rsidR="000B4BD1">
        <w:rPr>
          <w:rStyle w:val="Para1"/>
          <w:snapToGrid/>
          <w:kern w:val="22"/>
        </w:rPr>
        <w:t xml:space="preserve"> с соотвествующими ц</w:t>
      </w:r>
      <w:r w:rsidR="00FD0B4D" w:rsidRPr="00690DD5">
        <w:rPr>
          <w:rStyle w:val="Para1"/>
          <w:snapToGrid/>
          <w:kern w:val="22"/>
        </w:rPr>
        <w:t>елевы</w:t>
      </w:r>
      <w:r w:rsidR="000B4BD1">
        <w:rPr>
          <w:rStyle w:val="Para1"/>
          <w:snapToGrid/>
          <w:kern w:val="22"/>
        </w:rPr>
        <w:t>ми</w:t>
      </w:r>
      <w:r w:rsidR="00FD0B4D" w:rsidRPr="00690DD5">
        <w:rPr>
          <w:rStyle w:val="Para1"/>
          <w:snapToGrid/>
          <w:kern w:val="22"/>
        </w:rPr>
        <w:t xml:space="preserve"> задач</w:t>
      </w:r>
      <w:r w:rsidR="000B4BD1">
        <w:rPr>
          <w:rStyle w:val="Para1"/>
          <w:snapToGrid/>
          <w:kern w:val="22"/>
        </w:rPr>
        <w:t>ам</w:t>
      </w:r>
      <w:r w:rsidR="00FD0B4D" w:rsidRPr="00690DD5">
        <w:rPr>
          <w:rStyle w:val="Para1"/>
          <w:snapToGrid/>
          <w:kern w:val="22"/>
        </w:rPr>
        <w:t>и.</w:t>
      </w:r>
    </w:p>
    <w:p w:rsidR="00660906" w:rsidRPr="00690DD5" w:rsidRDefault="004D63EA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>Примерно 1</w:t>
      </w:r>
      <w:r w:rsidR="00966596">
        <w:rPr>
          <w:rStyle w:val="Para1"/>
          <w:snapToGrid/>
          <w:kern w:val="22"/>
        </w:rPr>
        <w:t>2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Сторон в своих пятых национальных докладах приводят информацию, </w:t>
      </w:r>
      <w:r w:rsidR="0024454B" w:rsidRPr="00690DD5">
        <w:rPr>
          <w:rStyle w:val="Para1"/>
          <w:snapToGrid/>
          <w:kern w:val="22"/>
        </w:rPr>
        <w:t>указывающую</w:t>
      </w:r>
      <w:r w:rsidR="00FD0B4D" w:rsidRPr="00690DD5">
        <w:rPr>
          <w:rStyle w:val="Para1"/>
          <w:snapToGrid/>
          <w:kern w:val="22"/>
        </w:rPr>
        <w:t xml:space="preserve"> на возможность выполнения данной целевой задачи к установленному сроку. Еще 6</w:t>
      </w:r>
      <w:r w:rsidR="0024454B" w:rsidRPr="00690DD5">
        <w:rPr>
          <w:rStyle w:val="Para1"/>
          <w:snapToGrid/>
          <w:kern w:val="22"/>
        </w:rPr>
        <w:t>0</w:t>
      </w:r>
      <w:r w:rsidR="00FD0B4D" w:rsidRPr="00690DD5">
        <w:rPr>
          <w:rStyle w:val="Para1"/>
          <w:snapToGrid/>
          <w:kern w:val="22"/>
        </w:rPr>
        <w:t xml:space="preserve"> </w:t>
      </w:r>
      <w:r w:rsidR="008C3313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Сторон </w:t>
      </w:r>
      <w:r w:rsidR="0024454B" w:rsidRPr="00690DD5">
        <w:rPr>
          <w:rStyle w:val="Para1"/>
          <w:snapToGrid/>
          <w:kern w:val="22"/>
        </w:rPr>
        <w:t xml:space="preserve">сообщают о </w:t>
      </w:r>
      <w:r w:rsidR="00FD0B4D" w:rsidRPr="00690DD5">
        <w:rPr>
          <w:rStyle w:val="Para1"/>
          <w:snapToGrid/>
          <w:kern w:val="22"/>
        </w:rPr>
        <w:t>достигнуты</w:t>
      </w:r>
      <w:r w:rsidR="0024454B" w:rsidRPr="00690DD5">
        <w:rPr>
          <w:rStyle w:val="Para1"/>
          <w:snapToGrid/>
          <w:kern w:val="22"/>
        </w:rPr>
        <w:t>х</w:t>
      </w:r>
      <w:r w:rsidR="00FD0B4D" w:rsidRPr="00690DD5">
        <w:rPr>
          <w:rStyle w:val="Para1"/>
          <w:snapToGrid/>
          <w:kern w:val="22"/>
        </w:rPr>
        <w:t xml:space="preserve"> результат</w:t>
      </w:r>
      <w:r w:rsidR="0024454B" w:rsidRPr="00690DD5">
        <w:rPr>
          <w:rStyle w:val="Para1"/>
          <w:snapToGrid/>
          <w:kern w:val="22"/>
        </w:rPr>
        <w:t>ах</w:t>
      </w:r>
      <w:r w:rsidR="00FD0B4D" w:rsidRPr="00690DD5">
        <w:rPr>
          <w:rStyle w:val="Para1"/>
          <w:snapToGrid/>
          <w:kern w:val="22"/>
        </w:rPr>
        <w:t xml:space="preserve"> </w:t>
      </w:r>
      <w:r w:rsidR="00A06FA5" w:rsidRPr="00690DD5">
        <w:rPr>
          <w:rStyle w:val="Para1"/>
          <w:snapToGrid/>
          <w:kern w:val="22"/>
        </w:rPr>
        <w:t>выполнения</w:t>
      </w:r>
      <w:r w:rsidR="00FD0B4D" w:rsidRPr="00690DD5">
        <w:rPr>
          <w:rStyle w:val="Para1"/>
          <w:snapToGrid/>
          <w:kern w:val="22"/>
        </w:rPr>
        <w:t xml:space="preserve"> целевой задачи, но </w:t>
      </w:r>
      <w:r w:rsidR="0024454B" w:rsidRPr="00690DD5">
        <w:rPr>
          <w:rStyle w:val="Para1"/>
          <w:snapToGrid/>
          <w:kern w:val="22"/>
        </w:rPr>
        <w:t xml:space="preserve">при этом отмечают, что </w:t>
      </w:r>
      <w:r w:rsidR="00FD0B4D" w:rsidRPr="00690DD5">
        <w:rPr>
          <w:rStyle w:val="Para1"/>
          <w:snapToGrid/>
          <w:kern w:val="22"/>
        </w:rPr>
        <w:t>темпы выполнения не обеспеч</w:t>
      </w:r>
      <w:r w:rsidR="0024454B" w:rsidRPr="00690DD5">
        <w:rPr>
          <w:rStyle w:val="Para1"/>
          <w:snapToGrid/>
          <w:kern w:val="22"/>
        </w:rPr>
        <w:t xml:space="preserve">ат ее завершения </w:t>
      </w:r>
      <w:r w:rsidR="00FD0B4D" w:rsidRPr="00690DD5">
        <w:rPr>
          <w:rStyle w:val="Para1"/>
          <w:snapToGrid/>
          <w:kern w:val="22"/>
        </w:rPr>
        <w:t>к установленному сроку. В докладах приводится сравнительно немного сведений о том, каким образом информация о биоразнообразии применяется в ходе принятия решений (4</w:t>
      </w:r>
      <w:r w:rsidR="0024454B" w:rsidRPr="00690DD5">
        <w:rPr>
          <w:rStyle w:val="Para1"/>
          <w:snapToGrid/>
          <w:kern w:val="22"/>
        </w:rPr>
        <w:t>9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Сторон не приводят никаких данных по этому вопросу), или каким образом совместно используются информация и технологии, связанные с биоразнообразием (3</w:t>
      </w:r>
      <w:r w:rsidR="00465374">
        <w:rPr>
          <w:rStyle w:val="Para1"/>
          <w:snapToGrid/>
          <w:kern w:val="22"/>
        </w:rPr>
        <w:t>6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Сторон не приводят никаких данных по этому вопросу).</w:t>
      </w:r>
      <w:r w:rsidR="00660906" w:rsidRPr="00690DD5">
        <w:rPr>
          <w:rStyle w:val="Para1"/>
          <w:snapToGrid/>
          <w:kern w:val="22"/>
        </w:rPr>
        <w:t xml:space="preserve"> </w:t>
      </w:r>
      <w:r w:rsidR="00BD1559">
        <w:rPr>
          <w:rStyle w:val="Para1"/>
          <w:snapToGrid/>
          <w:kern w:val="22"/>
        </w:rPr>
        <w:t xml:space="preserve">В </w:t>
      </w:r>
      <w:r w:rsidR="00FD0B4D" w:rsidRPr="00690DD5">
        <w:rPr>
          <w:rStyle w:val="Para1"/>
          <w:snapToGrid/>
          <w:kern w:val="22"/>
        </w:rPr>
        <w:t xml:space="preserve">целом </w:t>
      </w:r>
      <w:r w:rsidR="00BD1559">
        <w:rPr>
          <w:rStyle w:val="Para1"/>
          <w:snapToGrid/>
          <w:kern w:val="22"/>
        </w:rPr>
        <w:t xml:space="preserve">это </w:t>
      </w:r>
      <w:r w:rsidR="00FD0B4D" w:rsidRPr="00690DD5">
        <w:rPr>
          <w:rStyle w:val="Para1"/>
          <w:snapToGrid/>
          <w:kern w:val="22"/>
        </w:rPr>
        <w:lastRenderedPageBreak/>
        <w:t>свидетельствует о том, что большинство мероприятий, связанных с настоящей целевой задачей, призваны обеспечить увеличение объема и повышение качества доступной информации о биоразнообразии.</w:t>
      </w:r>
    </w:p>
    <w:p w:rsidR="00FD0B4D" w:rsidRPr="00690DD5" w:rsidRDefault="00FD0B4D" w:rsidP="00FD0B4D">
      <w:pPr>
        <w:spacing w:after="120"/>
        <w:rPr>
          <w:rFonts w:cs="Times New Roman"/>
          <w:i/>
          <w:iCs/>
        </w:rPr>
      </w:pPr>
      <w:r w:rsidRPr="00690DD5">
        <w:rPr>
          <w:rStyle w:val="Normal"/>
          <w:i/>
        </w:rPr>
        <w:t>Целевая задача 20</w:t>
      </w:r>
      <w:r w:rsidR="00DC7ED0" w:rsidRPr="00690DD5">
        <w:rPr>
          <w:rStyle w:val="Normal"/>
          <w:i/>
        </w:rPr>
        <w:t xml:space="preserve">. </w:t>
      </w:r>
      <w:r w:rsidRPr="00690DD5">
        <w:rPr>
          <w:rStyle w:val="Normal"/>
          <w:i/>
        </w:rPr>
        <w:t xml:space="preserve">К 2020 году, но не позднее этого срока, должна значительно расшириться по сравнению с </w:t>
      </w:r>
      <w:r w:rsidR="00D456A8">
        <w:rPr>
          <w:rStyle w:val="Normal"/>
          <w:i/>
        </w:rPr>
        <w:t>текущими</w:t>
      </w:r>
      <w:r w:rsidRPr="00690DD5">
        <w:rPr>
          <w:rStyle w:val="Normal"/>
          <w:i/>
        </w:rPr>
        <w:t xml:space="preserve"> уровнями мобилизация финансовых ресурсов для эффективного осуществления Стратегического плана в области сохранения и устойчивого использования биоразнообразия на 2011-2010 годы из всех источников и в соответствии с обобщенным и согласованным процессом в рамках Стратегии мобилизации ресурсов. Данная целевая задача будет подвергаться корректировке в зависимости от оценок потребностей в ресурсах, которые будут разрабатываться и представляться Сторонами.</w:t>
      </w:r>
    </w:p>
    <w:p w:rsidR="00FD0B4D" w:rsidRPr="00690DD5" w:rsidRDefault="00465374" w:rsidP="00660906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Fonts w:eastAsia="Malgun Gothic" w:cs="Times New Roman"/>
          <w:kern w:val="22"/>
          <w:szCs w:val="22"/>
        </w:rPr>
      </w:pPr>
      <w:r>
        <w:rPr>
          <w:rStyle w:val="Para1"/>
          <w:snapToGrid/>
          <w:kern w:val="22"/>
        </w:rPr>
        <w:t xml:space="preserve">В одной пятой </w:t>
      </w:r>
      <w:r w:rsidR="00FD0B4D" w:rsidRPr="00690DD5">
        <w:rPr>
          <w:rStyle w:val="Para1"/>
          <w:snapToGrid/>
          <w:kern w:val="22"/>
        </w:rPr>
        <w:t>(2</w:t>
      </w:r>
      <w:r>
        <w:rPr>
          <w:rStyle w:val="Para1"/>
          <w:snapToGrid/>
          <w:kern w:val="22"/>
        </w:rPr>
        <w:t>0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>) НСПДСБ содержатся целевые задачи, которые по уровню охвата и амбициозности приближаются к установленным в целевой задаче, принятой в Айти</w:t>
      </w:r>
      <w:r w:rsidR="00660906" w:rsidRPr="00690DD5">
        <w:rPr>
          <w:snapToGrid/>
          <w:kern w:val="22"/>
          <w:sz w:val="18"/>
          <w:vertAlign w:val="superscript"/>
        </w:rPr>
        <w:footnoteReference w:id="36"/>
      </w:r>
      <w:r w:rsidR="005F5153">
        <w:rPr>
          <w:rStyle w:val="Para1"/>
          <w:snapToGrid/>
          <w:kern w:val="22"/>
        </w:rPr>
        <w:t xml:space="preserve"> и одна Сторона</w:t>
      </w:r>
      <w:r w:rsidR="0053417F">
        <w:rPr>
          <w:rStyle w:val="Para1"/>
          <w:snapToGrid/>
          <w:kern w:val="22"/>
        </w:rPr>
        <w:t xml:space="preserve"> установил</w:t>
      </w:r>
      <w:r w:rsidR="0016591D">
        <w:rPr>
          <w:rStyle w:val="Para1"/>
          <w:snapToGrid/>
          <w:kern w:val="22"/>
        </w:rPr>
        <w:t>а</w:t>
      </w:r>
      <w:r w:rsidR="0053417F">
        <w:rPr>
          <w:rStyle w:val="Para1"/>
          <w:snapToGrid/>
          <w:kern w:val="22"/>
        </w:rPr>
        <w:t xml:space="preserve"> </w:t>
      </w:r>
      <w:r w:rsidR="0016591D">
        <w:rPr>
          <w:rStyle w:val="Para1"/>
          <w:snapToGrid/>
          <w:kern w:val="22"/>
        </w:rPr>
        <w:t xml:space="preserve">курс на перевыполнение </w:t>
      </w:r>
      <w:r w:rsidR="0053417F">
        <w:rPr>
          <w:rStyle w:val="Para1"/>
          <w:snapToGrid/>
          <w:kern w:val="22"/>
        </w:rPr>
        <w:t>целев</w:t>
      </w:r>
      <w:r w:rsidR="0016591D">
        <w:rPr>
          <w:rStyle w:val="Para1"/>
          <w:snapToGrid/>
          <w:kern w:val="22"/>
        </w:rPr>
        <w:t xml:space="preserve">ой </w:t>
      </w:r>
      <w:r w:rsidR="0053417F">
        <w:rPr>
          <w:rStyle w:val="Para1"/>
          <w:snapToGrid/>
          <w:kern w:val="22"/>
        </w:rPr>
        <w:t>задач</w:t>
      </w:r>
      <w:r w:rsidR="0016591D">
        <w:rPr>
          <w:rStyle w:val="Para1"/>
          <w:snapToGrid/>
          <w:kern w:val="22"/>
        </w:rPr>
        <w:t>и</w:t>
      </w:r>
      <w:r w:rsidR="0053417F">
        <w:rPr>
          <w:rStyle w:val="Para1"/>
          <w:snapToGrid/>
          <w:kern w:val="22"/>
        </w:rPr>
        <w:t>,</w:t>
      </w:r>
      <w:r w:rsidR="004A55C3" w:rsidRPr="00690DD5">
        <w:rPr>
          <w:rStyle w:val="Para1"/>
          <w:snapToGrid/>
          <w:kern w:val="22"/>
        </w:rPr>
        <w:t xml:space="preserve"> принят</w:t>
      </w:r>
      <w:r w:rsidR="00467083">
        <w:rPr>
          <w:rStyle w:val="Para1"/>
          <w:snapToGrid/>
          <w:kern w:val="22"/>
        </w:rPr>
        <w:t>ой</w:t>
      </w:r>
      <w:r w:rsidR="004A55C3" w:rsidRPr="00690DD5">
        <w:rPr>
          <w:rStyle w:val="Para1"/>
          <w:snapToGrid/>
          <w:kern w:val="22"/>
        </w:rPr>
        <w:t xml:space="preserve"> в Айти</w:t>
      </w:r>
      <w:r w:rsidR="0016591D">
        <w:rPr>
          <w:rStyle w:val="Para1"/>
          <w:snapToGrid/>
          <w:kern w:val="22"/>
        </w:rPr>
        <w:t>,</w:t>
      </w:r>
      <w:r w:rsidR="007A4391">
        <w:rPr>
          <w:rStyle w:val="Para1"/>
          <w:snapToGrid/>
          <w:kern w:val="22"/>
        </w:rPr>
        <w:t xml:space="preserve"> определив</w:t>
      </w:r>
      <w:r w:rsidR="0016591D">
        <w:rPr>
          <w:rStyle w:val="Para1"/>
          <w:snapToGrid/>
          <w:kern w:val="22"/>
        </w:rPr>
        <w:t xml:space="preserve"> более ранний срок </w:t>
      </w:r>
      <w:r w:rsidR="007A4391">
        <w:rPr>
          <w:rStyle w:val="Para1"/>
          <w:snapToGrid/>
          <w:kern w:val="22"/>
        </w:rPr>
        <w:t xml:space="preserve">ее </w:t>
      </w:r>
      <w:r w:rsidR="0016591D">
        <w:rPr>
          <w:rStyle w:val="Para1"/>
          <w:snapToGrid/>
          <w:kern w:val="22"/>
        </w:rPr>
        <w:t>исполнения</w:t>
      </w:r>
      <w:r w:rsidR="001D3A91" w:rsidRPr="007D751E">
        <w:rPr>
          <w:snapToGrid/>
          <w:kern w:val="22"/>
          <w:sz w:val="18"/>
          <w:vertAlign w:val="superscript"/>
        </w:rPr>
        <w:footnoteReference w:id="37"/>
      </w:r>
      <w:r w:rsidR="0016591D" w:rsidRPr="007148A1">
        <w:rPr>
          <w:rStyle w:val="Para1"/>
          <w:snapToGrid/>
          <w:kern w:val="22"/>
        </w:rPr>
        <w:t xml:space="preserve">. </w:t>
      </w:r>
      <w:r w:rsidR="00FD0B4D" w:rsidRPr="00690DD5">
        <w:rPr>
          <w:rStyle w:val="Para1"/>
          <w:snapToGrid/>
          <w:kern w:val="22"/>
        </w:rPr>
        <w:t>Более половины (5</w:t>
      </w:r>
      <w:r w:rsidR="00186F19">
        <w:rPr>
          <w:rStyle w:val="Para1"/>
          <w:snapToGrid/>
          <w:kern w:val="22"/>
        </w:rPr>
        <w:t>6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>) НСПДСБ содержит целевую задачу, которая ниже по уровню целевой задачи, принятой в Айти, или не затрагивает всех элементов целевой задачи 20, принятой в Айти. Поставленные целевые задачи обычно носят общий характер и большинство из них не касается увеличения ресурсов из всех источников или не указывает, какие именно ресурсы должны быть существенно увеличены. Кроме того, многие из поставленных целевых задач также относятся к нефинансовым ресурсам, например, кадровым ресурсам. Почти четверть (2</w:t>
      </w:r>
      <w:r w:rsidR="00BC4336" w:rsidRPr="00690DD5">
        <w:rPr>
          <w:rStyle w:val="Para1"/>
          <w:snapToGrid/>
          <w:kern w:val="22"/>
        </w:rPr>
        <w:t>4</w:t>
      </w:r>
      <w:r w:rsidR="00FD0B4D" w:rsidRPr="00690DD5">
        <w:rPr>
          <w:rStyle w:val="Para1"/>
          <w:snapToGrid/>
          <w:kern w:val="22"/>
        </w:rPr>
        <w:t xml:space="preserve"> </w:t>
      </w:r>
      <w:r w:rsidR="008C3313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>) НСПДСБ не содержат никаких целевых задач, связанных с данной целевой задачей, принятой в Айти.</w:t>
      </w:r>
    </w:p>
    <w:p w:rsidR="00186F19" w:rsidRPr="00186F19" w:rsidRDefault="00D73534" w:rsidP="00186F19">
      <w:pPr>
        <w:pStyle w:val="Para1"/>
        <w:numPr>
          <w:ilvl w:val="0"/>
          <w:numId w:val="13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rFonts w:eastAsia="Malgun Gothic"/>
          <w:kern w:val="22"/>
          <w:szCs w:val="22"/>
        </w:rPr>
      </w:pPr>
      <w:r w:rsidRPr="00690DD5">
        <w:rPr>
          <w:rStyle w:val="Para1"/>
          <w:snapToGrid/>
          <w:kern w:val="22"/>
        </w:rPr>
        <w:t>Менее д</w:t>
      </w:r>
      <w:r w:rsidR="00FD0B4D" w:rsidRPr="00690DD5">
        <w:rPr>
          <w:rStyle w:val="Para1"/>
          <w:snapToGrid/>
          <w:kern w:val="22"/>
        </w:rPr>
        <w:t>есят</w:t>
      </w:r>
      <w:r w:rsidRPr="00690DD5">
        <w:rPr>
          <w:rStyle w:val="Para1"/>
          <w:snapToGrid/>
          <w:kern w:val="22"/>
        </w:rPr>
        <w:t xml:space="preserve">ой </w:t>
      </w:r>
      <w:r w:rsidR="00FD0B4D" w:rsidRPr="00690DD5">
        <w:rPr>
          <w:rStyle w:val="Para1"/>
          <w:snapToGrid/>
          <w:kern w:val="22"/>
        </w:rPr>
        <w:t>част</w:t>
      </w:r>
      <w:r w:rsidRPr="00690DD5">
        <w:rPr>
          <w:rStyle w:val="Para1"/>
          <w:snapToGrid/>
          <w:kern w:val="22"/>
        </w:rPr>
        <w:t>и</w:t>
      </w:r>
      <w:r w:rsidR="00FD0B4D" w:rsidRPr="00690DD5">
        <w:rPr>
          <w:rStyle w:val="Para1"/>
          <w:snapToGrid/>
          <w:kern w:val="22"/>
        </w:rPr>
        <w:t xml:space="preserve"> </w:t>
      </w:r>
      <w:r w:rsidRPr="00690DD5">
        <w:rPr>
          <w:rStyle w:val="Para1"/>
          <w:snapToGrid/>
          <w:kern w:val="22"/>
        </w:rPr>
        <w:t>(</w:t>
      </w:r>
      <w:r w:rsidR="00406F8D">
        <w:rPr>
          <w:rStyle w:val="Para1"/>
          <w:snapToGrid/>
          <w:kern w:val="22"/>
        </w:rPr>
        <w:t>8</w:t>
      </w:r>
      <w:r w:rsidRPr="00690DD5">
        <w:rPr>
          <w:rStyle w:val="Para1"/>
          <w:snapToGrid/>
          <w:kern w:val="22"/>
        </w:rPr>
        <w:t xml:space="preserve"> %) национальных докладов, </w:t>
      </w:r>
      <w:r w:rsidR="00FD0B4D" w:rsidRPr="00690DD5">
        <w:rPr>
          <w:rStyle w:val="Para1"/>
          <w:snapToGrid/>
          <w:kern w:val="22"/>
        </w:rPr>
        <w:t>рассмотренных в ходе настоящей оценки</w:t>
      </w:r>
      <w:r w:rsidRPr="00690DD5">
        <w:rPr>
          <w:rStyle w:val="Para1"/>
          <w:snapToGrid/>
          <w:kern w:val="22"/>
        </w:rPr>
        <w:t>,</w:t>
      </w:r>
      <w:r w:rsidR="00FD0B4D" w:rsidRPr="00690DD5">
        <w:rPr>
          <w:rStyle w:val="Para1"/>
          <w:snapToGrid/>
          <w:kern w:val="22"/>
        </w:rPr>
        <w:t xml:space="preserve"> содерж</w:t>
      </w:r>
      <w:r w:rsidR="00BD1559">
        <w:rPr>
          <w:rStyle w:val="Para1"/>
          <w:snapToGrid/>
          <w:kern w:val="22"/>
        </w:rPr>
        <w:t>а</w:t>
      </w:r>
      <w:r w:rsidR="00FD0B4D" w:rsidRPr="00690DD5">
        <w:rPr>
          <w:rStyle w:val="Para1"/>
          <w:snapToGrid/>
          <w:kern w:val="22"/>
        </w:rPr>
        <w:t>т информацию, указывающую на возможность выполнения данной целевой задачи к установленному сроку. Почти половина (4</w:t>
      </w:r>
      <w:r w:rsidR="00186F19">
        <w:rPr>
          <w:rStyle w:val="Para1"/>
          <w:snapToGrid/>
          <w:kern w:val="22"/>
        </w:rPr>
        <w:t>7</w:t>
      </w:r>
      <w:r w:rsidR="00FD0B4D"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) докладов содержат информацию о том, что несмотря не достигнутые результаты </w:t>
      </w:r>
      <w:r w:rsidR="00A06FA5" w:rsidRPr="00690DD5">
        <w:rPr>
          <w:rStyle w:val="Para1"/>
          <w:snapToGrid/>
          <w:kern w:val="22"/>
        </w:rPr>
        <w:t>выполнения</w:t>
      </w:r>
      <w:r w:rsidR="00FD0B4D" w:rsidRPr="00690DD5">
        <w:rPr>
          <w:rStyle w:val="Para1"/>
          <w:snapToGrid/>
          <w:kern w:val="22"/>
        </w:rPr>
        <w:t xml:space="preserve"> данной целевой задачи, такая целевая задача не может быть выполнена в установленный срок. Более четверти национальных докладов содержат информацию, указывающую на отсутствие результатов </w:t>
      </w:r>
      <w:r w:rsidR="00A06FA5" w:rsidRPr="00690DD5">
        <w:rPr>
          <w:rStyle w:val="Para1"/>
          <w:snapToGrid/>
          <w:kern w:val="22"/>
        </w:rPr>
        <w:t>выполнения</w:t>
      </w:r>
      <w:r w:rsidR="00FD0B4D" w:rsidRPr="00690DD5">
        <w:rPr>
          <w:rStyle w:val="Para1"/>
          <w:snapToGrid/>
          <w:kern w:val="22"/>
        </w:rPr>
        <w:t xml:space="preserve"> целевой задач (2</w:t>
      </w:r>
      <w:r w:rsidRPr="00690DD5">
        <w:rPr>
          <w:rStyle w:val="Para1"/>
          <w:snapToGrid/>
          <w:kern w:val="22"/>
        </w:rPr>
        <w:t>6</w:t>
      </w:r>
      <w:r w:rsidR="00A97E67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>), или отмечают ухудшение положения с ресурсами биоразнообразия (</w:t>
      </w:r>
      <w:r w:rsidR="00186F19">
        <w:rPr>
          <w:rStyle w:val="Para1"/>
          <w:snapToGrid/>
          <w:kern w:val="22"/>
        </w:rPr>
        <w:t>3</w:t>
      </w:r>
      <w:r w:rsidR="00A97E67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). </w:t>
      </w:r>
      <w:r w:rsidR="00A97E67" w:rsidRPr="00690DD5">
        <w:rPr>
          <w:rStyle w:val="Para1"/>
          <w:snapToGrid/>
          <w:kern w:val="22"/>
        </w:rPr>
        <w:t>1</w:t>
      </w:r>
      <w:r w:rsidR="00406F8D">
        <w:rPr>
          <w:rStyle w:val="Para1"/>
          <w:snapToGrid/>
          <w:kern w:val="22"/>
        </w:rPr>
        <w:t>7</w:t>
      </w:r>
      <w:r w:rsidR="00A97E67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="00FD0B4D" w:rsidRPr="00690DD5">
        <w:rPr>
          <w:rStyle w:val="Para1"/>
          <w:snapToGrid/>
          <w:kern w:val="22"/>
        </w:rPr>
        <w:t xml:space="preserve"> национальных докладов не содержат достаточной информации для оценки достигнутых результатов </w:t>
      </w:r>
      <w:r w:rsidR="00A06FA5" w:rsidRPr="00690DD5">
        <w:rPr>
          <w:rStyle w:val="Para1"/>
          <w:snapToGrid/>
          <w:kern w:val="22"/>
        </w:rPr>
        <w:t>выполнения</w:t>
      </w:r>
      <w:r w:rsidR="00FD0B4D" w:rsidRPr="00690DD5">
        <w:rPr>
          <w:rStyle w:val="Para1"/>
          <w:snapToGrid/>
          <w:kern w:val="22"/>
        </w:rPr>
        <w:t xml:space="preserve"> данной целевой задачи, принятой в Айти. В национальных докладах прив</w:t>
      </w:r>
      <w:r w:rsidR="0078256C" w:rsidRPr="00690DD5">
        <w:rPr>
          <w:rStyle w:val="Para1"/>
          <w:snapToGrid/>
          <w:kern w:val="22"/>
        </w:rPr>
        <w:t xml:space="preserve">едена </w:t>
      </w:r>
      <w:r w:rsidR="00FD0B4D" w:rsidRPr="00690DD5">
        <w:rPr>
          <w:rStyle w:val="Para1"/>
          <w:snapToGrid/>
          <w:kern w:val="22"/>
        </w:rPr>
        <w:t xml:space="preserve">достаточно </w:t>
      </w:r>
      <w:r w:rsidR="0078256C" w:rsidRPr="00690DD5">
        <w:rPr>
          <w:rStyle w:val="Para1"/>
          <w:snapToGrid/>
          <w:kern w:val="22"/>
        </w:rPr>
        <w:t xml:space="preserve">ограниченная </w:t>
      </w:r>
      <w:r w:rsidR="00FD0B4D" w:rsidRPr="00690DD5">
        <w:rPr>
          <w:rStyle w:val="Para1"/>
          <w:snapToGrid/>
          <w:kern w:val="22"/>
        </w:rPr>
        <w:t>информация о достигнутых результатах на пути мобилизации ресурсов из всех источников. Большинство информации, по всей видимости, относится</w:t>
      </w:r>
      <w:r w:rsidR="00BD1559">
        <w:rPr>
          <w:rStyle w:val="Para1"/>
          <w:snapToGrid/>
          <w:kern w:val="22"/>
        </w:rPr>
        <w:t>,</w:t>
      </w:r>
      <w:r w:rsidR="00FD0B4D" w:rsidRPr="00690DD5">
        <w:rPr>
          <w:rStyle w:val="Para1"/>
          <w:snapToGrid/>
          <w:kern w:val="22"/>
        </w:rPr>
        <w:t xml:space="preserve"> в основном</w:t>
      </w:r>
      <w:r w:rsidR="00BD1559">
        <w:rPr>
          <w:rStyle w:val="Para1"/>
          <w:snapToGrid/>
          <w:kern w:val="22"/>
        </w:rPr>
        <w:t>,</w:t>
      </w:r>
      <w:r w:rsidR="00FD0B4D" w:rsidRPr="00690DD5">
        <w:rPr>
          <w:rStyle w:val="Para1"/>
          <w:snapToGrid/>
          <w:kern w:val="22"/>
        </w:rPr>
        <w:t xml:space="preserve"> к увеличению ресурсов, получаемых из государственных источников.</w:t>
      </w:r>
      <w:r w:rsidR="00186F19">
        <w:rPr>
          <w:rStyle w:val="Para1"/>
          <w:snapToGrid/>
          <w:kern w:val="22"/>
        </w:rPr>
        <w:t xml:space="preserve"> Дополнительная</w:t>
      </w:r>
      <w:r w:rsidR="00186F19" w:rsidRPr="00186F19">
        <w:rPr>
          <w:rStyle w:val="Para1"/>
          <w:snapToGrid/>
          <w:kern w:val="22"/>
        </w:rPr>
        <w:t xml:space="preserve"> </w:t>
      </w:r>
      <w:r w:rsidR="00186F19">
        <w:rPr>
          <w:rStyle w:val="Para1"/>
          <w:snapToGrid/>
          <w:kern w:val="22"/>
        </w:rPr>
        <w:t>информация</w:t>
      </w:r>
      <w:r w:rsidR="00186F19" w:rsidRPr="00186F19">
        <w:rPr>
          <w:rStyle w:val="Para1"/>
          <w:snapToGrid/>
          <w:kern w:val="22"/>
        </w:rPr>
        <w:t xml:space="preserve">, </w:t>
      </w:r>
      <w:r w:rsidR="00186F19">
        <w:rPr>
          <w:rStyle w:val="Para1"/>
          <w:snapToGrid/>
          <w:kern w:val="22"/>
        </w:rPr>
        <w:t>от</w:t>
      </w:r>
      <w:r w:rsidR="00AE5FAC">
        <w:rPr>
          <w:rStyle w:val="Para1"/>
          <w:snapToGrid/>
          <w:kern w:val="22"/>
        </w:rPr>
        <w:t>н</w:t>
      </w:r>
      <w:r w:rsidR="00186F19">
        <w:rPr>
          <w:rStyle w:val="Para1"/>
          <w:snapToGrid/>
          <w:kern w:val="22"/>
        </w:rPr>
        <w:t>осящаяся</w:t>
      </w:r>
      <w:r w:rsidR="00186F19" w:rsidRPr="00186F19">
        <w:rPr>
          <w:rStyle w:val="Para1"/>
          <w:snapToGrid/>
          <w:kern w:val="22"/>
        </w:rPr>
        <w:t xml:space="preserve"> </w:t>
      </w:r>
      <w:r w:rsidR="00186F19">
        <w:rPr>
          <w:rStyle w:val="Para1"/>
          <w:snapToGrid/>
          <w:kern w:val="22"/>
        </w:rPr>
        <w:t>к</w:t>
      </w:r>
      <w:r w:rsidR="00186F19" w:rsidRPr="00186F19">
        <w:rPr>
          <w:rStyle w:val="Para1"/>
          <w:snapToGrid/>
          <w:kern w:val="22"/>
        </w:rPr>
        <w:t xml:space="preserve"> </w:t>
      </w:r>
      <w:r w:rsidR="00186F19">
        <w:rPr>
          <w:rStyle w:val="Para1"/>
          <w:snapToGrid/>
          <w:kern w:val="22"/>
        </w:rPr>
        <w:t>целевой</w:t>
      </w:r>
      <w:r w:rsidR="00186F19" w:rsidRPr="00186F19">
        <w:rPr>
          <w:rStyle w:val="Para1"/>
          <w:snapToGrid/>
          <w:kern w:val="22"/>
        </w:rPr>
        <w:t xml:space="preserve"> </w:t>
      </w:r>
      <w:r w:rsidR="00186F19">
        <w:rPr>
          <w:rStyle w:val="Para1"/>
          <w:snapToGrid/>
          <w:kern w:val="22"/>
        </w:rPr>
        <w:t>задаче</w:t>
      </w:r>
      <w:r w:rsidR="00186F19" w:rsidRPr="00186F19">
        <w:rPr>
          <w:rStyle w:val="Para1"/>
          <w:snapToGrid/>
          <w:kern w:val="22"/>
        </w:rPr>
        <w:t xml:space="preserve"> 20, </w:t>
      </w:r>
      <w:r w:rsidR="00186F19">
        <w:rPr>
          <w:rStyle w:val="Para1"/>
          <w:snapToGrid/>
          <w:kern w:val="22"/>
        </w:rPr>
        <w:t>принятой</w:t>
      </w:r>
      <w:r w:rsidR="00186F19" w:rsidRPr="00186F19">
        <w:rPr>
          <w:rStyle w:val="Para1"/>
          <w:snapToGrid/>
          <w:kern w:val="22"/>
        </w:rPr>
        <w:t xml:space="preserve"> </w:t>
      </w:r>
      <w:r w:rsidR="00186F19">
        <w:rPr>
          <w:rStyle w:val="Para1"/>
          <w:snapToGrid/>
          <w:kern w:val="22"/>
        </w:rPr>
        <w:t>в</w:t>
      </w:r>
      <w:r w:rsidR="00186F19" w:rsidRPr="00186F19">
        <w:rPr>
          <w:rStyle w:val="Para1"/>
          <w:snapToGrid/>
          <w:kern w:val="22"/>
        </w:rPr>
        <w:t xml:space="preserve"> </w:t>
      </w:r>
      <w:r w:rsidR="00186F19">
        <w:rPr>
          <w:rStyle w:val="Para1"/>
          <w:snapToGrid/>
          <w:kern w:val="22"/>
        </w:rPr>
        <w:t xml:space="preserve">Айти, представлена в документе </w:t>
      </w:r>
      <w:r w:rsidR="00186F19" w:rsidRPr="00186F19">
        <w:rPr>
          <w:rFonts w:eastAsia="Malgun Gothic"/>
          <w:kern w:val="22"/>
          <w:szCs w:val="22"/>
          <w:lang w:val="en-US"/>
        </w:rPr>
        <w:t>CBD</w:t>
      </w:r>
      <w:r w:rsidR="00186F19" w:rsidRPr="00186F19">
        <w:rPr>
          <w:rFonts w:eastAsia="Malgun Gothic"/>
          <w:kern w:val="22"/>
          <w:szCs w:val="22"/>
        </w:rPr>
        <w:t>/</w:t>
      </w:r>
      <w:r w:rsidR="00186F19" w:rsidRPr="00186F19">
        <w:rPr>
          <w:rFonts w:eastAsia="Malgun Gothic"/>
          <w:kern w:val="22"/>
          <w:szCs w:val="22"/>
          <w:lang w:val="en-US"/>
        </w:rPr>
        <w:t>SBI</w:t>
      </w:r>
      <w:r w:rsidR="00186F19" w:rsidRPr="00186F19">
        <w:rPr>
          <w:rFonts w:eastAsia="Malgun Gothic"/>
          <w:kern w:val="22"/>
          <w:szCs w:val="22"/>
        </w:rPr>
        <w:t>/2/7.</w:t>
      </w:r>
    </w:p>
    <w:p w:rsidR="00FD0B4D" w:rsidRPr="00690DD5" w:rsidRDefault="00FD0B4D" w:rsidP="00FD0B4D">
      <w:pPr>
        <w:numPr>
          <w:ilvl w:val="0"/>
          <w:numId w:val="61"/>
        </w:numPr>
        <w:spacing w:before="120" w:after="120"/>
        <w:ind w:left="0" w:firstLine="0"/>
        <w:jc w:val="center"/>
        <w:rPr>
          <w:rFonts w:cs="Times New Roman"/>
          <w:b/>
          <w:bCs/>
        </w:rPr>
      </w:pPr>
      <w:r w:rsidRPr="00690DD5">
        <w:rPr>
          <w:rStyle w:val="Normal"/>
          <w:b/>
        </w:rPr>
        <w:t>ВЫВОДЫ</w:t>
      </w:r>
    </w:p>
    <w:p w:rsidR="00660906" w:rsidRPr="00690DD5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 xml:space="preserve">В большинстве НСПДСБ, рассмотренных в ходе настоящей оценки, содержатся целевые задачи, связанные с целевыми задачи по сохранению и устойчивому использованию биоразнообразия, принятыми в Айти, хотя для некоторых целевых задач, принятых в Айти, например, целевых задач 3, 6, 10, 14 и 17, существует множество НСПДСБ без соответствующих национальных целевых задач или обязательств. Целевые задачи 1, </w:t>
      </w:r>
      <w:r w:rsidR="00883CE8" w:rsidRPr="00690DD5">
        <w:rPr>
          <w:rStyle w:val="Para1"/>
          <w:snapToGrid/>
          <w:kern w:val="22"/>
        </w:rPr>
        <w:t xml:space="preserve">8, </w:t>
      </w:r>
      <w:r w:rsidRPr="00690DD5">
        <w:rPr>
          <w:rStyle w:val="Para1"/>
          <w:snapToGrid/>
          <w:kern w:val="22"/>
        </w:rPr>
        <w:t>9, 11, 12, 16</w:t>
      </w:r>
      <w:r w:rsidR="00883CE8" w:rsidRPr="00690DD5">
        <w:rPr>
          <w:rStyle w:val="Para1"/>
          <w:snapToGrid/>
          <w:kern w:val="22"/>
        </w:rPr>
        <w:t xml:space="preserve"> </w:t>
      </w:r>
      <w:r w:rsidRPr="00690DD5">
        <w:rPr>
          <w:rStyle w:val="Para1"/>
          <w:snapToGrid/>
          <w:kern w:val="22"/>
        </w:rPr>
        <w:t>и 19 по сохранению и устойчивому использованию биоразнообразия, принятые в Айти, относились к целевым задачам, принятым в Айти, с наибольшим числом в целом аналогичных национальных целевых задач или обязательств. Вместе с тем</w:t>
      </w:r>
      <w:r w:rsidR="00BD1559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даже в этих случаях число НСПДСБ</w:t>
      </w:r>
      <w:r w:rsidR="00883CE8" w:rsidRPr="00690DD5">
        <w:rPr>
          <w:rStyle w:val="Para1"/>
          <w:snapToGrid/>
          <w:kern w:val="22"/>
        </w:rPr>
        <w:t xml:space="preserve">, в которых охват и уровень амбициозности </w:t>
      </w:r>
      <w:r w:rsidRPr="00690DD5">
        <w:rPr>
          <w:rStyle w:val="Para1"/>
          <w:snapToGrid/>
          <w:kern w:val="22"/>
        </w:rPr>
        <w:t>целевы</w:t>
      </w:r>
      <w:r w:rsidR="00883CE8" w:rsidRPr="00690DD5">
        <w:rPr>
          <w:rStyle w:val="Para1"/>
          <w:snapToGrid/>
          <w:kern w:val="22"/>
        </w:rPr>
        <w:t>х</w:t>
      </w:r>
      <w:r w:rsidRPr="00690DD5">
        <w:rPr>
          <w:rStyle w:val="Para1"/>
          <w:snapToGrid/>
          <w:kern w:val="22"/>
        </w:rPr>
        <w:t xml:space="preserve"> задач</w:t>
      </w:r>
      <w:r w:rsidR="00883CE8" w:rsidRPr="00690DD5">
        <w:rPr>
          <w:rStyle w:val="Para1"/>
          <w:snapToGrid/>
          <w:kern w:val="22"/>
        </w:rPr>
        <w:t xml:space="preserve"> аналогичны </w:t>
      </w:r>
      <w:r w:rsidRPr="00690DD5">
        <w:rPr>
          <w:rStyle w:val="Para1"/>
          <w:snapToGrid/>
          <w:kern w:val="22"/>
        </w:rPr>
        <w:t xml:space="preserve">целевым задачам, принятым в Айти, </w:t>
      </w:r>
      <w:r w:rsidRPr="00690DD5">
        <w:rPr>
          <w:rStyle w:val="Para1"/>
          <w:snapToGrid/>
          <w:kern w:val="22"/>
        </w:rPr>
        <w:lastRenderedPageBreak/>
        <w:t>редко превышало 2</w:t>
      </w:r>
      <w:r w:rsidR="00883CE8" w:rsidRPr="00690DD5">
        <w:rPr>
          <w:rStyle w:val="Para1"/>
          <w:snapToGrid/>
          <w:kern w:val="22"/>
        </w:rPr>
        <w:t>0</w:t>
      </w:r>
      <w:r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(см. рисунок 1). В целом</w:t>
      </w:r>
      <w:r w:rsidR="00BD1559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большинство целевых задач и/или обязательств, содержащихся в НСПДСБ, было ниже по уровню целевой задачи, принятой в Айти, или не </w:t>
      </w:r>
      <w:r w:rsidR="00883CE8" w:rsidRPr="00690DD5">
        <w:rPr>
          <w:rStyle w:val="Para1"/>
          <w:snapToGrid/>
          <w:kern w:val="22"/>
        </w:rPr>
        <w:t>охватывало</w:t>
      </w:r>
      <w:r w:rsidRPr="00690DD5">
        <w:rPr>
          <w:rStyle w:val="Para1"/>
          <w:snapToGrid/>
          <w:kern w:val="22"/>
        </w:rPr>
        <w:t xml:space="preserve"> всех элементов целевой задачи, принятой в Айти. Как правило, поставленные к настоящему времени национальные целевые задачи носили более общий характер, чем целевые задачи, принятые в Айти. Многие Стороны поставили целевые задачи, относ</w:t>
      </w:r>
      <w:r w:rsidR="00883CE8" w:rsidRPr="00690DD5">
        <w:rPr>
          <w:rStyle w:val="Para1"/>
          <w:snapToGrid/>
          <w:kern w:val="22"/>
        </w:rPr>
        <w:t>ящиеся к</w:t>
      </w:r>
      <w:r w:rsidRPr="00690DD5">
        <w:rPr>
          <w:rStyle w:val="Para1"/>
          <w:snapToGrid/>
          <w:kern w:val="22"/>
        </w:rPr>
        <w:t xml:space="preserve"> нескольким целевым задачам, принятым в Айти.</w:t>
      </w:r>
      <w:r w:rsidR="00883CE8" w:rsidRPr="00690DD5">
        <w:rPr>
          <w:rStyle w:val="Para1"/>
          <w:snapToGrid/>
          <w:kern w:val="22"/>
        </w:rPr>
        <w:t xml:space="preserve"> Данные выводы аналогичны результатам анализа, распространенным на первом совещании Вспомогательного органа по осуществлению</w:t>
      </w:r>
      <w:r w:rsidR="005335D3" w:rsidRPr="00C7729D">
        <w:rPr>
          <w:snapToGrid/>
          <w:kern w:val="22"/>
          <w:sz w:val="18"/>
          <w:vertAlign w:val="superscript"/>
        </w:rPr>
        <w:footnoteReference w:id="38"/>
      </w:r>
      <w:r w:rsidR="00AE5FAC" w:rsidRPr="005335D3">
        <w:rPr>
          <w:rStyle w:val="Para1"/>
          <w:snapToGrid/>
          <w:color w:val="FF0000"/>
          <w:kern w:val="22"/>
        </w:rPr>
        <w:t xml:space="preserve"> </w:t>
      </w:r>
      <w:r w:rsidR="00AE5FAC">
        <w:rPr>
          <w:rStyle w:val="Para1"/>
          <w:snapToGrid/>
          <w:kern w:val="22"/>
        </w:rPr>
        <w:t>и тринадцатом совещании Конференции Сторон Конвенции о биоразнооразии</w:t>
      </w:r>
      <w:r w:rsidR="00044C17" w:rsidRPr="001906ED">
        <w:rPr>
          <w:sz w:val="18"/>
          <w:vertAlign w:val="superscript"/>
        </w:rPr>
        <w:footnoteReference w:id="39"/>
      </w:r>
      <w:r w:rsidR="003F2623" w:rsidRPr="001906ED">
        <w:rPr>
          <w:rFonts w:eastAsia="Malgun Gothic" w:cs="Times New Roman"/>
          <w:kern w:val="22"/>
          <w:szCs w:val="22"/>
        </w:rPr>
        <w:t xml:space="preserve">. </w:t>
      </w:r>
    </w:p>
    <w:p w:rsidR="00660906" w:rsidRPr="00690DD5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 xml:space="preserve">Оценка информации в национальных докладах показывает, что большинство Сторон достигли заметных результатов </w:t>
      </w:r>
      <w:r w:rsidR="00540BD9" w:rsidRPr="00690DD5">
        <w:rPr>
          <w:rStyle w:val="Para1"/>
          <w:snapToGrid/>
          <w:kern w:val="22"/>
        </w:rPr>
        <w:t xml:space="preserve">в </w:t>
      </w:r>
      <w:r w:rsidR="00A06FA5" w:rsidRPr="00690DD5">
        <w:rPr>
          <w:rStyle w:val="Para1"/>
          <w:snapToGrid/>
          <w:kern w:val="22"/>
        </w:rPr>
        <w:t>выполнени</w:t>
      </w:r>
      <w:r w:rsidR="00540BD9" w:rsidRPr="00690DD5">
        <w:rPr>
          <w:rStyle w:val="Para1"/>
          <w:snapToGrid/>
          <w:kern w:val="22"/>
        </w:rPr>
        <w:t>и</w:t>
      </w:r>
      <w:r w:rsidRPr="00690DD5">
        <w:rPr>
          <w:rStyle w:val="Para1"/>
          <w:snapToGrid/>
          <w:kern w:val="22"/>
        </w:rPr>
        <w:t xml:space="preserve"> целевых задач, принятых в Айти, но</w:t>
      </w:r>
      <w:r w:rsidR="00540BD9" w:rsidRPr="00690DD5">
        <w:rPr>
          <w:rStyle w:val="Para1"/>
          <w:snapToGrid/>
          <w:kern w:val="22"/>
        </w:rPr>
        <w:t xml:space="preserve"> темпы их выполнения</w:t>
      </w:r>
      <w:r w:rsidRPr="00690DD5">
        <w:rPr>
          <w:rStyle w:val="Para1"/>
          <w:snapToGrid/>
          <w:kern w:val="22"/>
        </w:rPr>
        <w:t xml:space="preserve">, если не будут приняты дополнительные меры, </w:t>
      </w:r>
      <w:r w:rsidR="00540BD9" w:rsidRPr="00690DD5">
        <w:rPr>
          <w:rStyle w:val="Para1"/>
          <w:snapToGrid/>
          <w:kern w:val="22"/>
        </w:rPr>
        <w:t xml:space="preserve">не позволят завершить их </w:t>
      </w:r>
      <w:r w:rsidRPr="00690DD5">
        <w:rPr>
          <w:rStyle w:val="Para1"/>
          <w:snapToGrid/>
          <w:kern w:val="22"/>
        </w:rPr>
        <w:t xml:space="preserve">к установленному сроку. В </w:t>
      </w:r>
      <w:r w:rsidR="00540BD9" w:rsidRPr="00690DD5">
        <w:rPr>
          <w:rStyle w:val="Para1"/>
          <w:snapToGrid/>
          <w:kern w:val="22"/>
        </w:rPr>
        <w:t xml:space="preserve">зависимости от целевой задачи, принятой в Айти, </w:t>
      </w:r>
      <w:r w:rsidR="00456EA1" w:rsidRPr="00690DD5">
        <w:rPr>
          <w:rStyle w:val="Para1"/>
          <w:snapToGrid/>
          <w:kern w:val="22"/>
        </w:rPr>
        <w:t xml:space="preserve">от </w:t>
      </w:r>
      <w:r w:rsidR="00540BD9" w:rsidRPr="00690DD5">
        <w:rPr>
          <w:rStyle w:val="Para1"/>
          <w:snapToGrid/>
          <w:kern w:val="22"/>
        </w:rPr>
        <w:t>трет</w:t>
      </w:r>
      <w:r w:rsidR="00456EA1" w:rsidRPr="00690DD5">
        <w:rPr>
          <w:rStyle w:val="Para1"/>
          <w:snapToGrid/>
          <w:kern w:val="22"/>
        </w:rPr>
        <w:t xml:space="preserve">и до </w:t>
      </w:r>
      <w:r w:rsidR="00540BD9" w:rsidRPr="00690DD5">
        <w:rPr>
          <w:rStyle w:val="Para1"/>
          <w:snapToGrid/>
          <w:kern w:val="22"/>
        </w:rPr>
        <w:t>дву</w:t>
      </w:r>
      <w:r w:rsidR="00456EA1" w:rsidRPr="00690DD5">
        <w:rPr>
          <w:rStyle w:val="Para1"/>
          <w:snapToGrid/>
          <w:kern w:val="22"/>
        </w:rPr>
        <w:t>х</w:t>
      </w:r>
      <w:r w:rsidR="00540BD9" w:rsidRPr="00690DD5">
        <w:rPr>
          <w:rStyle w:val="Para1"/>
          <w:snapToGrid/>
          <w:kern w:val="22"/>
        </w:rPr>
        <w:t xml:space="preserve"> </w:t>
      </w:r>
      <w:r w:rsidRPr="00690DD5">
        <w:rPr>
          <w:rStyle w:val="Para1"/>
          <w:snapToGrid/>
          <w:kern w:val="22"/>
        </w:rPr>
        <w:t>тре</w:t>
      </w:r>
      <w:r w:rsidR="00540BD9" w:rsidRPr="00690DD5">
        <w:rPr>
          <w:rStyle w:val="Para1"/>
          <w:snapToGrid/>
          <w:kern w:val="22"/>
        </w:rPr>
        <w:t>т</w:t>
      </w:r>
      <w:r w:rsidR="00456EA1" w:rsidRPr="00690DD5">
        <w:rPr>
          <w:rStyle w:val="Para1"/>
          <w:snapToGrid/>
          <w:kern w:val="22"/>
        </w:rPr>
        <w:t xml:space="preserve">ей </w:t>
      </w:r>
      <w:r w:rsidRPr="00690DD5">
        <w:rPr>
          <w:rStyle w:val="Para1"/>
          <w:snapToGrid/>
          <w:kern w:val="22"/>
        </w:rPr>
        <w:t>национальных докладов содерж</w:t>
      </w:r>
      <w:r w:rsidR="00456EA1" w:rsidRPr="00690DD5">
        <w:rPr>
          <w:rStyle w:val="Para1"/>
          <w:snapToGrid/>
          <w:kern w:val="22"/>
        </w:rPr>
        <w:t>а</w:t>
      </w:r>
      <w:r w:rsidRPr="00690DD5">
        <w:rPr>
          <w:rStyle w:val="Para1"/>
          <w:snapToGrid/>
          <w:kern w:val="22"/>
        </w:rPr>
        <w:t>т информаци</w:t>
      </w:r>
      <w:r w:rsidR="00DD3CCC">
        <w:rPr>
          <w:rStyle w:val="Para1"/>
          <w:snapToGrid/>
          <w:kern w:val="22"/>
        </w:rPr>
        <w:t>ю</w:t>
      </w:r>
      <w:r w:rsidRPr="00690DD5">
        <w:rPr>
          <w:rStyle w:val="Para1"/>
          <w:snapToGrid/>
          <w:kern w:val="22"/>
        </w:rPr>
        <w:t>, указывающ</w:t>
      </w:r>
      <w:r w:rsidR="00456EA1" w:rsidRPr="00690DD5">
        <w:rPr>
          <w:rStyle w:val="Para1"/>
          <w:snapToGrid/>
          <w:kern w:val="22"/>
        </w:rPr>
        <w:t>ую</w:t>
      </w:r>
      <w:r w:rsidRPr="00690DD5">
        <w:rPr>
          <w:rStyle w:val="Para1"/>
          <w:snapToGrid/>
          <w:kern w:val="22"/>
        </w:rPr>
        <w:t xml:space="preserve"> на дости</w:t>
      </w:r>
      <w:r w:rsidR="00000812" w:rsidRPr="00690DD5">
        <w:rPr>
          <w:rStyle w:val="Para1"/>
          <w:snapToGrid/>
          <w:kern w:val="22"/>
        </w:rPr>
        <w:t xml:space="preserve">жение прогресса, но </w:t>
      </w:r>
      <w:r w:rsidRPr="00690DD5">
        <w:rPr>
          <w:rStyle w:val="Para1"/>
          <w:snapToGrid/>
          <w:kern w:val="22"/>
        </w:rPr>
        <w:t xml:space="preserve">недостаточными темпами. Кроме того, </w:t>
      </w:r>
      <w:r w:rsidR="00000812" w:rsidRPr="00690DD5">
        <w:rPr>
          <w:rStyle w:val="Para1"/>
          <w:snapToGrid/>
          <w:kern w:val="22"/>
        </w:rPr>
        <w:t>в</w:t>
      </w:r>
      <w:r w:rsidRPr="00690DD5">
        <w:rPr>
          <w:rStyle w:val="Para1"/>
          <w:snapToGrid/>
          <w:kern w:val="22"/>
        </w:rPr>
        <w:t xml:space="preserve"> </w:t>
      </w:r>
      <w:r w:rsidR="0089783C">
        <w:rPr>
          <w:rStyle w:val="Para1"/>
          <w:snapToGrid/>
          <w:kern w:val="22"/>
        </w:rPr>
        <w:t>7</w:t>
      </w:r>
      <w:r w:rsidR="005743B9">
        <w:rPr>
          <w:rStyle w:val="Para1"/>
          <w:snapToGrid/>
          <w:kern w:val="22"/>
        </w:rPr>
        <w:t xml:space="preserve"> </w:t>
      </w:r>
      <w:r w:rsidR="00000812" w:rsidRPr="00690DD5">
        <w:rPr>
          <w:rStyle w:val="Para1"/>
          <w:snapToGrid/>
          <w:kern w:val="22"/>
        </w:rPr>
        <w:t>-</w:t>
      </w:r>
      <w:r w:rsidR="005743B9">
        <w:rPr>
          <w:rStyle w:val="Para1"/>
          <w:snapToGrid/>
          <w:kern w:val="22"/>
        </w:rPr>
        <w:t xml:space="preserve"> </w:t>
      </w:r>
      <w:r w:rsidRPr="00690DD5">
        <w:rPr>
          <w:rStyle w:val="Para1"/>
          <w:snapToGrid/>
          <w:kern w:val="22"/>
        </w:rPr>
        <w:t>4</w:t>
      </w:r>
      <w:r w:rsidR="005743B9">
        <w:rPr>
          <w:rStyle w:val="Para1"/>
          <w:snapToGrid/>
          <w:kern w:val="22"/>
        </w:rPr>
        <w:t>3</w:t>
      </w:r>
      <w:r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национальных доклад</w:t>
      </w:r>
      <w:r w:rsidR="00456EA1" w:rsidRPr="00690DD5">
        <w:rPr>
          <w:rStyle w:val="Para1"/>
          <w:snapToGrid/>
          <w:kern w:val="22"/>
        </w:rPr>
        <w:t>ов</w:t>
      </w:r>
      <w:r w:rsidR="00000812" w:rsidRPr="00690DD5">
        <w:rPr>
          <w:rStyle w:val="Para1"/>
          <w:snapToGrid/>
          <w:kern w:val="22"/>
        </w:rPr>
        <w:t xml:space="preserve"> </w:t>
      </w:r>
      <w:r w:rsidRPr="00690DD5">
        <w:rPr>
          <w:rStyle w:val="Para1"/>
          <w:snapToGrid/>
          <w:kern w:val="22"/>
        </w:rPr>
        <w:t>указыва</w:t>
      </w:r>
      <w:r w:rsidR="00000812" w:rsidRPr="00690DD5">
        <w:rPr>
          <w:rStyle w:val="Para1"/>
          <w:snapToGrid/>
          <w:kern w:val="22"/>
        </w:rPr>
        <w:t>ет</w:t>
      </w:r>
      <w:r w:rsidR="000D10A5">
        <w:rPr>
          <w:rStyle w:val="Para1"/>
          <w:snapToGrid/>
          <w:kern w:val="22"/>
        </w:rPr>
        <w:t>ся</w:t>
      </w:r>
      <w:r w:rsidR="00000812" w:rsidRPr="00690DD5">
        <w:rPr>
          <w:rStyle w:val="Para1"/>
          <w:snapToGrid/>
          <w:kern w:val="22"/>
        </w:rPr>
        <w:t xml:space="preserve"> </w:t>
      </w:r>
      <w:r w:rsidRPr="00690DD5">
        <w:rPr>
          <w:rStyle w:val="Para1"/>
          <w:snapToGrid/>
          <w:kern w:val="22"/>
        </w:rPr>
        <w:t>либо на отсутствие заметных изменений, либо на от</w:t>
      </w:r>
      <w:r w:rsidR="00000812" w:rsidRPr="00690DD5">
        <w:rPr>
          <w:rStyle w:val="Para1"/>
          <w:snapToGrid/>
          <w:kern w:val="22"/>
        </w:rPr>
        <w:t xml:space="preserve">клонение </w:t>
      </w:r>
      <w:r w:rsidRPr="00690DD5">
        <w:rPr>
          <w:rStyle w:val="Para1"/>
          <w:snapToGrid/>
          <w:kern w:val="22"/>
        </w:rPr>
        <w:t xml:space="preserve">страны от </w:t>
      </w:r>
      <w:r w:rsidR="00000812" w:rsidRPr="00690DD5">
        <w:rPr>
          <w:rStyle w:val="Para1"/>
          <w:snapToGrid/>
          <w:kern w:val="22"/>
        </w:rPr>
        <w:t xml:space="preserve">курса на </w:t>
      </w:r>
      <w:r w:rsidRPr="00690DD5">
        <w:rPr>
          <w:rStyle w:val="Para1"/>
          <w:snapToGrid/>
          <w:kern w:val="22"/>
        </w:rPr>
        <w:t>выполнени</w:t>
      </w:r>
      <w:r w:rsidR="00000812" w:rsidRPr="00690DD5">
        <w:rPr>
          <w:rStyle w:val="Para1"/>
          <w:snapToGrid/>
          <w:kern w:val="22"/>
        </w:rPr>
        <w:t>е</w:t>
      </w:r>
      <w:r w:rsidRPr="00690DD5">
        <w:rPr>
          <w:rStyle w:val="Para1"/>
          <w:snapToGrid/>
          <w:kern w:val="22"/>
        </w:rPr>
        <w:t xml:space="preserve"> целевой задачи. Число оценок, </w:t>
      </w:r>
      <w:r w:rsidR="00000812" w:rsidRPr="00690DD5">
        <w:rPr>
          <w:rStyle w:val="Para1"/>
          <w:snapToGrid/>
          <w:kern w:val="22"/>
        </w:rPr>
        <w:t xml:space="preserve">в которых отмечается, что курс на реализацию целевой задачи обеспечит ее выполнение или перевыполнение, варьируется </w:t>
      </w:r>
      <w:r w:rsidRPr="00690DD5">
        <w:rPr>
          <w:rStyle w:val="Para1"/>
          <w:snapToGrid/>
          <w:kern w:val="22"/>
        </w:rPr>
        <w:t xml:space="preserve">от </w:t>
      </w:r>
      <w:r w:rsidR="00042991">
        <w:rPr>
          <w:rStyle w:val="Para1"/>
          <w:snapToGrid/>
          <w:kern w:val="22"/>
        </w:rPr>
        <w:t>3</w:t>
      </w:r>
      <w:r w:rsidRPr="00690DD5">
        <w:rPr>
          <w:rStyle w:val="Para1"/>
          <w:snapToGrid/>
          <w:kern w:val="22"/>
        </w:rPr>
        <w:t xml:space="preserve"> до </w:t>
      </w:r>
      <w:r w:rsidR="00042991">
        <w:rPr>
          <w:rStyle w:val="Para1"/>
          <w:snapToGrid/>
          <w:kern w:val="22"/>
        </w:rPr>
        <w:t>29</w:t>
      </w:r>
      <w:r w:rsidR="00456EA1" w:rsidRPr="00690DD5">
        <w:rPr>
          <w:rStyle w:val="Para1"/>
          <w:snapToGrid/>
          <w:kern w:val="22"/>
        </w:rPr>
        <w:t xml:space="preserve"> %</w:t>
      </w:r>
      <w:r w:rsidRPr="00690DD5">
        <w:rPr>
          <w:rStyle w:val="Para1"/>
          <w:snapToGrid/>
          <w:kern w:val="22"/>
        </w:rPr>
        <w:t xml:space="preserve"> в зависимости от целевой задачи (см. рисунок 2). В целом</w:t>
      </w:r>
      <w:r w:rsidR="00DD3CCC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оценка информации в национальных докладах показывает, что от 6</w:t>
      </w:r>
      <w:r w:rsidR="00000812" w:rsidRPr="00690DD5">
        <w:rPr>
          <w:rStyle w:val="Para1"/>
          <w:snapToGrid/>
          <w:kern w:val="22"/>
        </w:rPr>
        <w:t>3</w:t>
      </w:r>
      <w:r w:rsidRPr="00690DD5">
        <w:rPr>
          <w:rStyle w:val="Para1"/>
          <w:snapToGrid/>
          <w:kern w:val="22"/>
        </w:rPr>
        <w:t xml:space="preserve"> до 8</w:t>
      </w:r>
      <w:r w:rsidR="00042991">
        <w:rPr>
          <w:rStyle w:val="Para1"/>
          <w:snapToGrid/>
          <w:kern w:val="22"/>
        </w:rPr>
        <w:t>6</w:t>
      </w:r>
      <w:r w:rsidR="00404FF5" w:rsidRPr="00690DD5">
        <w:rPr>
          <w:rStyle w:val="Para1"/>
          <w:snapToGrid/>
          <w:kern w:val="22"/>
        </w:rPr>
        <w:t> 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Сторон не </w:t>
      </w:r>
      <w:r w:rsidR="00456EA1" w:rsidRPr="00690DD5">
        <w:rPr>
          <w:rStyle w:val="Para1"/>
          <w:snapToGrid/>
          <w:kern w:val="22"/>
        </w:rPr>
        <w:t xml:space="preserve">удастся </w:t>
      </w:r>
      <w:r w:rsidRPr="00690DD5">
        <w:rPr>
          <w:rStyle w:val="Para1"/>
          <w:snapToGrid/>
          <w:kern w:val="22"/>
        </w:rPr>
        <w:t>выполн</w:t>
      </w:r>
      <w:r w:rsidR="00456EA1" w:rsidRPr="00690DD5">
        <w:rPr>
          <w:rStyle w:val="Para1"/>
          <w:snapToGrid/>
          <w:kern w:val="22"/>
        </w:rPr>
        <w:t xml:space="preserve">ить ту или иную </w:t>
      </w:r>
      <w:r w:rsidRPr="00690DD5">
        <w:rPr>
          <w:rStyle w:val="Para1"/>
          <w:snapToGrid/>
          <w:kern w:val="22"/>
        </w:rPr>
        <w:t>целев</w:t>
      </w:r>
      <w:r w:rsidR="00456EA1" w:rsidRPr="00690DD5">
        <w:rPr>
          <w:rStyle w:val="Para1"/>
          <w:snapToGrid/>
          <w:kern w:val="22"/>
        </w:rPr>
        <w:t>ую</w:t>
      </w:r>
      <w:r w:rsidRPr="00690DD5">
        <w:rPr>
          <w:rStyle w:val="Para1"/>
          <w:snapToGrid/>
          <w:kern w:val="22"/>
        </w:rPr>
        <w:t xml:space="preserve"> задач</w:t>
      </w:r>
      <w:r w:rsidR="00456EA1" w:rsidRPr="00690DD5">
        <w:rPr>
          <w:rStyle w:val="Para1"/>
          <w:snapToGrid/>
          <w:kern w:val="22"/>
        </w:rPr>
        <w:t>у</w:t>
      </w:r>
      <w:r w:rsidRPr="00690DD5">
        <w:rPr>
          <w:rStyle w:val="Para1"/>
          <w:snapToGrid/>
          <w:kern w:val="22"/>
        </w:rPr>
        <w:t xml:space="preserve"> по сохранению и устойчивому использованию биоразнообразия, принят</w:t>
      </w:r>
      <w:r w:rsidR="00456EA1" w:rsidRPr="00690DD5">
        <w:rPr>
          <w:rStyle w:val="Para1"/>
          <w:snapToGrid/>
          <w:kern w:val="22"/>
        </w:rPr>
        <w:t>ую</w:t>
      </w:r>
      <w:r w:rsidRPr="00690DD5">
        <w:rPr>
          <w:rStyle w:val="Para1"/>
          <w:snapToGrid/>
          <w:kern w:val="22"/>
        </w:rPr>
        <w:t xml:space="preserve"> в Айти. </w:t>
      </w:r>
      <w:r w:rsidR="00540BD9" w:rsidRPr="00690DD5">
        <w:rPr>
          <w:rStyle w:val="Para1"/>
          <w:snapToGrid/>
          <w:kern w:val="22"/>
        </w:rPr>
        <w:t xml:space="preserve">Общий вывод, сделанный на основе настоящего анализа, аналогичен </w:t>
      </w:r>
      <w:r w:rsidR="00456EA1" w:rsidRPr="00690DD5">
        <w:rPr>
          <w:rStyle w:val="Para1"/>
          <w:snapToGrid/>
          <w:kern w:val="22"/>
        </w:rPr>
        <w:t>том</w:t>
      </w:r>
      <w:r w:rsidR="00540BD9" w:rsidRPr="00690DD5">
        <w:rPr>
          <w:rStyle w:val="Para1"/>
          <w:snapToGrid/>
          <w:kern w:val="22"/>
        </w:rPr>
        <w:t xml:space="preserve">у, </w:t>
      </w:r>
      <w:r w:rsidR="00456EA1" w:rsidRPr="00690DD5">
        <w:rPr>
          <w:rStyle w:val="Para1"/>
          <w:snapToGrid/>
          <w:kern w:val="22"/>
        </w:rPr>
        <w:t xml:space="preserve">что был </w:t>
      </w:r>
      <w:r w:rsidR="00540BD9" w:rsidRPr="00690DD5">
        <w:rPr>
          <w:rStyle w:val="Para1"/>
          <w:snapToGrid/>
          <w:kern w:val="22"/>
        </w:rPr>
        <w:t>распространен</w:t>
      </w:r>
      <w:r w:rsidR="00456EA1" w:rsidRPr="00690DD5">
        <w:rPr>
          <w:rStyle w:val="Para1"/>
          <w:snapToGrid/>
          <w:kern w:val="22"/>
        </w:rPr>
        <w:t xml:space="preserve"> </w:t>
      </w:r>
      <w:r w:rsidR="00540BD9" w:rsidRPr="00690DD5">
        <w:rPr>
          <w:rStyle w:val="Para1"/>
          <w:snapToGrid/>
          <w:kern w:val="22"/>
        </w:rPr>
        <w:t xml:space="preserve">на первом совещании Вспомогательного органа по осуществлению. Кроме того, данный анализ соответствует тому, который приведен </w:t>
      </w:r>
      <w:r w:rsidRPr="00690DD5">
        <w:rPr>
          <w:rStyle w:val="Para1"/>
          <w:snapToGrid/>
          <w:kern w:val="22"/>
        </w:rPr>
        <w:t xml:space="preserve">в четвертом издании </w:t>
      </w:r>
      <w:r w:rsidRPr="00690DD5">
        <w:rPr>
          <w:rStyle w:val="Para1"/>
          <w:i/>
          <w:snapToGrid/>
          <w:kern w:val="22"/>
        </w:rPr>
        <w:t>Глобальной перспективы в области биоразнообразия</w:t>
      </w:r>
      <w:r w:rsidRPr="00690DD5">
        <w:rPr>
          <w:rStyle w:val="Para1"/>
          <w:snapToGrid/>
          <w:kern w:val="22"/>
        </w:rPr>
        <w:t xml:space="preserve">, </w:t>
      </w:r>
      <w:r w:rsidR="00456EA1" w:rsidRPr="00690DD5">
        <w:rPr>
          <w:rStyle w:val="Para1"/>
          <w:snapToGrid/>
          <w:kern w:val="22"/>
        </w:rPr>
        <w:t>где</w:t>
      </w:r>
      <w:r w:rsidRPr="00690DD5">
        <w:rPr>
          <w:rStyle w:val="Para1"/>
          <w:snapToGrid/>
          <w:kern w:val="22"/>
        </w:rPr>
        <w:t xml:space="preserve"> на основ</w:t>
      </w:r>
      <w:r w:rsidR="00540BD9" w:rsidRPr="00690DD5">
        <w:rPr>
          <w:rStyle w:val="Para1"/>
          <w:snapToGrid/>
          <w:kern w:val="22"/>
        </w:rPr>
        <w:t>е</w:t>
      </w:r>
      <w:r w:rsidRPr="00690DD5">
        <w:rPr>
          <w:rStyle w:val="Para1"/>
          <w:snapToGrid/>
          <w:kern w:val="22"/>
        </w:rPr>
        <w:t xml:space="preserve"> оценки 64 пятых национальных докладов был сделан вывод о том, что от 53 до 92 </w:t>
      </w:r>
      <w:r w:rsidR="00D736EC" w:rsidRPr="00690DD5">
        <w:rPr>
          <w:rStyle w:val="Para1"/>
          <w:snapToGrid/>
          <w:kern w:val="22"/>
        </w:rPr>
        <w:t>%</w:t>
      </w:r>
      <w:r w:rsidRPr="00690DD5">
        <w:rPr>
          <w:rStyle w:val="Para1"/>
          <w:snapToGrid/>
          <w:kern w:val="22"/>
        </w:rPr>
        <w:t xml:space="preserve"> Сторон не </w:t>
      </w:r>
      <w:r w:rsidR="00540BD9" w:rsidRPr="00690DD5">
        <w:rPr>
          <w:rStyle w:val="Para1"/>
          <w:snapToGrid/>
          <w:kern w:val="22"/>
        </w:rPr>
        <w:t xml:space="preserve">удастся </w:t>
      </w:r>
      <w:r w:rsidRPr="00690DD5">
        <w:rPr>
          <w:rStyle w:val="Para1"/>
          <w:snapToGrid/>
          <w:kern w:val="22"/>
        </w:rPr>
        <w:t>выполн</w:t>
      </w:r>
      <w:r w:rsidR="00540BD9" w:rsidRPr="00690DD5">
        <w:rPr>
          <w:rStyle w:val="Para1"/>
          <w:snapToGrid/>
          <w:kern w:val="22"/>
        </w:rPr>
        <w:t xml:space="preserve">ить ту или иную </w:t>
      </w:r>
      <w:r w:rsidRPr="00690DD5">
        <w:rPr>
          <w:rStyle w:val="Para1"/>
          <w:snapToGrid/>
          <w:kern w:val="22"/>
        </w:rPr>
        <w:t>целев</w:t>
      </w:r>
      <w:r w:rsidR="00540BD9" w:rsidRPr="00690DD5">
        <w:rPr>
          <w:rStyle w:val="Para1"/>
          <w:snapToGrid/>
          <w:kern w:val="22"/>
        </w:rPr>
        <w:t>ую</w:t>
      </w:r>
      <w:r w:rsidRPr="00690DD5">
        <w:rPr>
          <w:rStyle w:val="Para1"/>
          <w:snapToGrid/>
          <w:kern w:val="22"/>
        </w:rPr>
        <w:t xml:space="preserve"> задач</w:t>
      </w:r>
      <w:r w:rsidR="00540BD9" w:rsidRPr="00690DD5">
        <w:rPr>
          <w:rStyle w:val="Para1"/>
          <w:snapToGrid/>
          <w:kern w:val="22"/>
        </w:rPr>
        <w:t>у</w:t>
      </w:r>
      <w:r w:rsidRPr="00690DD5">
        <w:rPr>
          <w:rStyle w:val="Para1"/>
          <w:snapToGrid/>
          <w:kern w:val="22"/>
        </w:rPr>
        <w:t xml:space="preserve"> по сохранению и устойчивому использованию биоразнообразия, принят</w:t>
      </w:r>
      <w:r w:rsidR="00540BD9" w:rsidRPr="00690DD5">
        <w:rPr>
          <w:rStyle w:val="Para1"/>
          <w:snapToGrid/>
          <w:kern w:val="22"/>
        </w:rPr>
        <w:t>ую</w:t>
      </w:r>
      <w:r w:rsidRPr="00690DD5">
        <w:rPr>
          <w:rStyle w:val="Para1"/>
          <w:snapToGrid/>
          <w:kern w:val="22"/>
        </w:rPr>
        <w:t xml:space="preserve"> в Айти.</w:t>
      </w:r>
      <w:r w:rsidR="00540BD9" w:rsidRPr="00690DD5">
        <w:rPr>
          <w:rStyle w:val="Para1"/>
          <w:snapToGrid/>
          <w:kern w:val="22"/>
        </w:rPr>
        <w:t xml:space="preserve"> </w:t>
      </w:r>
    </w:p>
    <w:p w:rsidR="00660906" w:rsidRPr="00690DD5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 xml:space="preserve">Важно отметить неодинаковый объем информации, доступной для оценки НСПДСБ и национальных докладов. </w:t>
      </w:r>
      <w:r w:rsidR="008C4202">
        <w:rPr>
          <w:rStyle w:val="Para1"/>
          <w:snapToGrid/>
          <w:kern w:val="22"/>
        </w:rPr>
        <w:t xml:space="preserve">В отношении </w:t>
      </w:r>
      <w:r w:rsidRPr="00690DD5">
        <w:rPr>
          <w:rStyle w:val="Para1"/>
          <w:snapToGrid/>
          <w:kern w:val="22"/>
        </w:rPr>
        <w:t xml:space="preserve">национальных докладов </w:t>
      </w:r>
      <w:r w:rsidR="00411370">
        <w:rPr>
          <w:rStyle w:val="Para1"/>
          <w:snapToGrid/>
          <w:kern w:val="22"/>
        </w:rPr>
        <w:t xml:space="preserve">имелась </w:t>
      </w:r>
      <w:r w:rsidR="008C4202" w:rsidRPr="00690DD5">
        <w:rPr>
          <w:rStyle w:val="Para1"/>
          <w:snapToGrid/>
          <w:kern w:val="22"/>
        </w:rPr>
        <w:t>информация</w:t>
      </w:r>
      <w:r w:rsidR="008C4202">
        <w:rPr>
          <w:rStyle w:val="Para1"/>
          <w:snapToGrid/>
          <w:kern w:val="22"/>
        </w:rPr>
        <w:t xml:space="preserve"> </w:t>
      </w:r>
      <w:r w:rsidR="00042991">
        <w:rPr>
          <w:rStyle w:val="Para1"/>
          <w:snapToGrid/>
          <w:kern w:val="22"/>
        </w:rPr>
        <w:t xml:space="preserve">почти </w:t>
      </w:r>
      <w:r w:rsidR="008C4202">
        <w:rPr>
          <w:rStyle w:val="Para1"/>
          <w:snapToGrid/>
          <w:kern w:val="22"/>
        </w:rPr>
        <w:t xml:space="preserve">по </w:t>
      </w:r>
      <w:r w:rsidR="00042991">
        <w:rPr>
          <w:rStyle w:val="Para1"/>
          <w:snapToGrid/>
          <w:kern w:val="22"/>
        </w:rPr>
        <w:t xml:space="preserve">всем </w:t>
      </w:r>
      <w:r w:rsidRPr="00690DD5">
        <w:rPr>
          <w:rStyle w:val="Para1"/>
          <w:snapToGrid/>
          <w:kern w:val="22"/>
        </w:rPr>
        <w:t>Сторон</w:t>
      </w:r>
      <w:r w:rsidR="00042991">
        <w:rPr>
          <w:rStyle w:val="Para1"/>
          <w:snapToGrid/>
          <w:kern w:val="22"/>
        </w:rPr>
        <w:t>ам</w:t>
      </w:r>
      <w:r w:rsidRPr="00690DD5">
        <w:rPr>
          <w:rStyle w:val="Para1"/>
          <w:snapToGrid/>
          <w:kern w:val="22"/>
        </w:rPr>
        <w:t>.</w:t>
      </w:r>
      <w:r w:rsidR="00C36618">
        <w:rPr>
          <w:rStyle w:val="Para1"/>
          <w:snapToGrid/>
          <w:kern w:val="22"/>
        </w:rPr>
        <w:t xml:space="preserve"> Однако </w:t>
      </w:r>
      <w:r w:rsidR="00324483" w:rsidRPr="00690DD5">
        <w:rPr>
          <w:rStyle w:val="Para1"/>
          <w:snapToGrid/>
          <w:kern w:val="22"/>
        </w:rPr>
        <w:t xml:space="preserve">для </w:t>
      </w:r>
      <w:r w:rsidRPr="00690DD5">
        <w:rPr>
          <w:rStyle w:val="Para1"/>
          <w:snapToGrid/>
          <w:kern w:val="22"/>
        </w:rPr>
        <w:t xml:space="preserve">оценки НСПДСБ </w:t>
      </w:r>
      <w:r w:rsidR="005C586F">
        <w:rPr>
          <w:rStyle w:val="Para1"/>
          <w:snapToGrid/>
          <w:kern w:val="22"/>
        </w:rPr>
        <w:t xml:space="preserve">могла рассматриваться </w:t>
      </w:r>
      <w:r w:rsidR="006D6D28">
        <w:rPr>
          <w:rStyle w:val="Para1"/>
          <w:snapToGrid/>
          <w:kern w:val="22"/>
        </w:rPr>
        <w:t xml:space="preserve">лишь </w:t>
      </w:r>
      <w:r w:rsidRPr="00690DD5">
        <w:rPr>
          <w:rStyle w:val="Para1"/>
          <w:snapToGrid/>
          <w:kern w:val="22"/>
        </w:rPr>
        <w:t>информаци</w:t>
      </w:r>
      <w:r w:rsidR="00324483" w:rsidRPr="00690DD5">
        <w:rPr>
          <w:rStyle w:val="Para1"/>
          <w:snapToGrid/>
          <w:kern w:val="22"/>
        </w:rPr>
        <w:t>я</w:t>
      </w:r>
      <w:r w:rsidRPr="00690DD5">
        <w:rPr>
          <w:rStyle w:val="Para1"/>
          <w:snapToGrid/>
          <w:kern w:val="22"/>
        </w:rPr>
        <w:t xml:space="preserve"> </w:t>
      </w:r>
      <w:r w:rsidR="005C586F">
        <w:rPr>
          <w:rStyle w:val="Para1"/>
          <w:snapToGrid/>
          <w:kern w:val="22"/>
        </w:rPr>
        <w:t xml:space="preserve">от приблизительно </w:t>
      </w:r>
      <w:r w:rsidR="0055738F">
        <w:rPr>
          <w:rStyle w:val="Para1"/>
          <w:snapToGrid/>
          <w:kern w:val="22"/>
        </w:rPr>
        <w:t>тре</w:t>
      </w:r>
      <w:r w:rsidR="009B2605">
        <w:rPr>
          <w:rStyle w:val="Para1"/>
          <w:snapToGrid/>
          <w:kern w:val="22"/>
        </w:rPr>
        <w:t xml:space="preserve">х четвертых </w:t>
      </w:r>
      <w:r w:rsidR="00324483" w:rsidRPr="00690DD5">
        <w:rPr>
          <w:rStyle w:val="Para1"/>
          <w:snapToGrid/>
          <w:kern w:val="22"/>
        </w:rPr>
        <w:t>(</w:t>
      </w:r>
      <w:r w:rsidR="00B91460">
        <w:rPr>
          <w:rStyle w:val="Para1"/>
          <w:snapToGrid/>
          <w:kern w:val="22"/>
        </w:rPr>
        <w:t>7</w:t>
      </w:r>
      <w:r w:rsidR="00C36618">
        <w:rPr>
          <w:rStyle w:val="Para1"/>
          <w:snapToGrid/>
          <w:kern w:val="22"/>
        </w:rPr>
        <w:t>6</w:t>
      </w:r>
      <w:r w:rsidRPr="00690DD5">
        <w:rPr>
          <w:rStyle w:val="Para1"/>
          <w:snapToGrid/>
          <w:kern w:val="22"/>
        </w:rPr>
        <w:t xml:space="preserve"> </w:t>
      </w:r>
      <w:r w:rsidR="00D736EC" w:rsidRPr="00690DD5">
        <w:rPr>
          <w:rStyle w:val="Para1"/>
          <w:snapToGrid/>
          <w:kern w:val="22"/>
        </w:rPr>
        <w:t>%</w:t>
      </w:r>
      <w:r w:rsidR="00324483" w:rsidRPr="00690DD5">
        <w:rPr>
          <w:rStyle w:val="Para1"/>
          <w:snapToGrid/>
          <w:kern w:val="22"/>
        </w:rPr>
        <w:t>)</w:t>
      </w:r>
      <w:r w:rsidRPr="00690DD5">
        <w:rPr>
          <w:rStyle w:val="Para1"/>
          <w:snapToGrid/>
          <w:kern w:val="22"/>
        </w:rPr>
        <w:t xml:space="preserve"> </w:t>
      </w:r>
      <w:r w:rsidR="00B91460">
        <w:rPr>
          <w:rStyle w:val="Para1"/>
          <w:snapToGrid/>
          <w:kern w:val="22"/>
        </w:rPr>
        <w:t>С</w:t>
      </w:r>
      <w:r w:rsidRPr="00690DD5">
        <w:rPr>
          <w:rStyle w:val="Para1"/>
          <w:snapToGrid/>
          <w:kern w:val="22"/>
        </w:rPr>
        <w:t xml:space="preserve">торон, </w:t>
      </w:r>
      <w:r w:rsidR="005D0B1F">
        <w:rPr>
          <w:rStyle w:val="Para1"/>
          <w:snapToGrid/>
          <w:kern w:val="22"/>
        </w:rPr>
        <w:t xml:space="preserve">поэтому </w:t>
      </w:r>
      <w:r w:rsidRPr="00690DD5">
        <w:rPr>
          <w:rStyle w:val="Para1"/>
          <w:snapToGrid/>
          <w:kern w:val="22"/>
        </w:rPr>
        <w:t xml:space="preserve">по мере поступления большего числа НСПДСБ общая картина, представленная в настоящей оценке, может измениться. </w:t>
      </w:r>
      <w:r w:rsidR="00690DD5">
        <w:rPr>
          <w:rStyle w:val="Para1"/>
          <w:snapToGrid/>
          <w:kern w:val="22"/>
        </w:rPr>
        <w:t>Вместе с тем</w:t>
      </w:r>
      <w:r w:rsidR="00DD3CCC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если НСПДСБ</w:t>
      </w:r>
      <w:r w:rsidR="00324483" w:rsidRPr="00690DD5">
        <w:rPr>
          <w:rStyle w:val="Para1"/>
          <w:snapToGrid/>
          <w:kern w:val="22"/>
        </w:rPr>
        <w:t xml:space="preserve">, которые </w:t>
      </w:r>
      <w:r w:rsidR="00D50703">
        <w:rPr>
          <w:rStyle w:val="Para1"/>
          <w:snapToGrid/>
          <w:kern w:val="22"/>
        </w:rPr>
        <w:t>Секретари</w:t>
      </w:r>
      <w:r w:rsidR="0002351C">
        <w:rPr>
          <w:rStyle w:val="Para1"/>
          <w:snapToGrid/>
          <w:kern w:val="22"/>
        </w:rPr>
        <w:t>а</w:t>
      </w:r>
      <w:r w:rsidR="00D50703">
        <w:rPr>
          <w:rStyle w:val="Para1"/>
          <w:snapToGrid/>
          <w:kern w:val="22"/>
        </w:rPr>
        <w:t xml:space="preserve">ту </w:t>
      </w:r>
      <w:r w:rsidR="00554FD0">
        <w:rPr>
          <w:rStyle w:val="Para1"/>
          <w:snapToGrid/>
          <w:kern w:val="22"/>
        </w:rPr>
        <w:t>еще предстоит получит</w:t>
      </w:r>
      <w:r w:rsidR="00D50703">
        <w:rPr>
          <w:rStyle w:val="Para1"/>
          <w:snapToGrid/>
          <w:kern w:val="22"/>
        </w:rPr>
        <w:t>ь</w:t>
      </w:r>
      <w:r w:rsidR="00554FD0">
        <w:rPr>
          <w:rStyle w:val="Para1"/>
          <w:snapToGrid/>
          <w:kern w:val="22"/>
        </w:rPr>
        <w:t xml:space="preserve">, </w:t>
      </w:r>
      <w:r w:rsidRPr="00690DD5">
        <w:rPr>
          <w:rStyle w:val="Para1"/>
          <w:snapToGrid/>
          <w:kern w:val="22"/>
        </w:rPr>
        <w:t>буд</w:t>
      </w:r>
      <w:r w:rsidR="00223DD1" w:rsidRPr="00690DD5">
        <w:rPr>
          <w:rStyle w:val="Para1"/>
          <w:snapToGrid/>
          <w:kern w:val="22"/>
        </w:rPr>
        <w:t>у</w:t>
      </w:r>
      <w:r w:rsidRPr="00690DD5">
        <w:rPr>
          <w:rStyle w:val="Para1"/>
          <w:snapToGrid/>
          <w:kern w:val="22"/>
        </w:rPr>
        <w:t xml:space="preserve">т </w:t>
      </w:r>
      <w:r w:rsidR="00223DD1" w:rsidRPr="00690DD5">
        <w:rPr>
          <w:rStyle w:val="Para1"/>
          <w:snapToGrid/>
          <w:kern w:val="22"/>
        </w:rPr>
        <w:t xml:space="preserve">разрабатываться по образцу </w:t>
      </w:r>
      <w:r w:rsidR="008C0C01">
        <w:rPr>
          <w:rStyle w:val="Para1"/>
          <w:snapToGrid/>
          <w:kern w:val="22"/>
        </w:rPr>
        <w:t xml:space="preserve">уже представленных, </w:t>
      </w:r>
      <w:r w:rsidR="00223DD1" w:rsidRPr="00690DD5">
        <w:rPr>
          <w:rStyle w:val="Para1"/>
          <w:snapToGrid/>
          <w:kern w:val="22"/>
        </w:rPr>
        <w:t xml:space="preserve">то маловероятно, что </w:t>
      </w:r>
      <w:r w:rsidRPr="00690DD5">
        <w:rPr>
          <w:rStyle w:val="Para1"/>
          <w:snapToGrid/>
          <w:kern w:val="22"/>
        </w:rPr>
        <w:t>агрегирован</w:t>
      </w:r>
      <w:r w:rsidR="00223DD1" w:rsidRPr="00690DD5">
        <w:rPr>
          <w:rStyle w:val="Para1"/>
          <w:snapToGrid/>
          <w:kern w:val="22"/>
        </w:rPr>
        <w:t xml:space="preserve">ные </w:t>
      </w:r>
      <w:r w:rsidRPr="00690DD5">
        <w:rPr>
          <w:rStyle w:val="Para1"/>
          <w:snapToGrid/>
          <w:kern w:val="22"/>
        </w:rPr>
        <w:t>дополнительны</w:t>
      </w:r>
      <w:r w:rsidR="00223DD1" w:rsidRPr="00690DD5">
        <w:rPr>
          <w:rStyle w:val="Para1"/>
          <w:snapToGrid/>
          <w:kern w:val="22"/>
        </w:rPr>
        <w:t>е</w:t>
      </w:r>
      <w:r w:rsidRPr="00690DD5">
        <w:rPr>
          <w:rStyle w:val="Para1"/>
          <w:snapToGrid/>
          <w:kern w:val="22"/>
        </w:rPr>
        <w:t xml:space="preserve"> национальны</w:t>
      </w:r>
      <w:r w:rsidR="00223DD1" w:rsidRPr="00690DD5">
        <w:rPr>
          <w:rStyle w:val="Para1"/>
          <w:snapToGrid/>
          <w:kern w:val="22"/>
        </w:rPr>
        <w:t>е</w:t>
      </w:r>
      <w:r w:rsidRPr="00690DD5">
        <w:rPr>
          <w:rStyle w:val="Para1"/>
          <w:snapToGrid/>
          <w:kern w:val="22"/>
        </w:rPr>
        <w:t xml:space="preserve"> обязательств</w:t>
      </w:r>
      <w:r w:rsidR="00223DD1" w:rsidRPr="00690DD5">
        <w:rPr>
          <w:rStyle w:val="Para1"/>
          <w:snapToGrid/>
          <w:kern w:val="22"/>
        </w:rPr>
        <w:t>а</w:t>
      </w:r>
      <w:r w:rsidRPr="00690DD5">
        <w:rPr>
          <w:rStyle w:val="Para1"/>
          <w:snapToGrid/>
          <w:kern w:val="22"/>
        </w:rPr>
        <w:t xml:space="preserve"> буд</w:t>
      </w:r>
      <w:r w:rsidR="00223DD1" w:rsidRPr="00690DD5">
        <w:rPr>
          <w:rStyle w:val="Para1"/>
          <w:snapToGrid/>
          <w:kern w:val="22"/>
        </w:rPr>
        <w:t>у</w:t>
      </w:r>
      <w:r w:rsidRPr="00690DD5">
        <w:rPr>
          <w:rStyle w:val="Para1"/>
          <w:snapToGrid/>
          <w:kern w:val="22"/>
        </w:rPr>
        <w:t xml:space="preserve">т соответствовать масштабам и уровню амбициозности, установленным </w:t>
      </w:r>
      <w:r w:rsidR="00223DD1" w:rsidRPr="00690DD5">
        <w:rPr>
          <w:rStyle w:val="Para1"/>
          <w:snapToGrid/>
          <w:kern w:val="22"/>
        </w:rPr>
        <w:t>в</w:t>
      </w:r>
      <w:r w:rsidRPr="00690DD5">
        <w:rPr>
          <w:rStyle w:val="Para1"/>
          <w:snapToGrid/>
          <w:kern w:val="22"/>
        </w:rPr>
        <w:t xml:space="preserve"> глобальных целевых задач</w:t>
      </w:r>
      <w:r w:rsidR="00223DD1" w:rsidRPr="00690DD5">
        <w:rPr>
          <w:rStyle w:val="Para1"/>
          <w:snapToGrid/>
          <w:kern w:val="22"/>
        </w:rPr>
        <w:t>ах</w:t>
      </w:r>
      <w:r w:rsidRPr="00690DD5">
        <w:rPr>
          <w:rStyle w:val="Para1"/>
          <w:snapToGrid/>
          <w:kern w:val="22"/>
        </w:rPr>
        <w:t>, принятых в Айти.</w:t>
      </w:r>
      <w:r w:rsidR="00324483" w:rsidRPr="00690DD5">
        <w:rPr>
          <w:rStyle w:val="Para1"/>
          <w:snapToGrid/>
          <w:kern w:val="22"/>
        </w:rPr>
        <w:t xml:space="preserve"> </w:t>
      </w:r>
      <w:r w:rsidR="00223DD1" w:rsidRPr="00690DD5">
        <w:rPr>
          <w:rStyle w:val="Para1"/>
          <w:snapToGrid/>
          <w:kern w:val="22"/>
        </w:rPr>
        <w:t xml:space="preserve">Судя по НСПДСБ, представленным в период между </w:t>
      </w:r>
      <w:r w:rsidR="009C6701">
        <w:rPr>
          <w:rStyle w:val="Para1"/>
          <w:snapToGrid/>
          <w:kern w:val="22"/>
        </w:rPr>
        <w:t>тринадцатым совещанием Конференции Сторон и</w:t>
      </w:r>
      <w:r w:rsidR="009C6701" w:rsidRPr="00690DD5">
        <w:rPr>
          <w:rStyle w:val="Para1"/>
          <w:snapToGrid/>
          <w:kern w:val="22"/>
        </w:rPr>
        <w:t xml:space="preserve"> </w:t>
      </w:r>
      <w:r w:rsidR="000A4139">
        <w:rPr>
          <w:rStyle w:val="Para1"/>
          <w:snapToGrid/>
          <w:kern w:val="22"/>
        </w:rPr>
        <w:t>14 марта</w:t>
      </w:r>
      <w:r w:rsidR="00835A6B">
        <w:rPr>
          <w:rStyle w:val="Para1"/>
          <w:snapToGrid/>
          <w:kern w:val="22"/>
        </w:rPr>
        <w:t xml:space="preserve"> </w:t>
      </w:r>
      <w:r w:rsidR="00223DD1" w:rsidRPr="00690DD5">
        <w:rPr>
          <w:rStyle w:val="Para1"/>
          <w:snapToGrid/>
          <w:kern w:val="22"/>
        </w:rPr>
        <w:t>201</w:t>
      </w:r>
      <w:r w:rsidR="000A4139">
        <w:rPr>
          <w:rStyle w:val="Para1"/>
          <w:snapToGrid/>
          <w:kern w:val="22"/>
        </w:rPr>
        <w:t>8</w:t>
      </w:r>
      <w:r w:rsidR="00223DD1" w:rsidRPr="00690DD5">
        <w:rPr>
          <w:rStyle w:val="Para1"/>
          <w:snapToGrid/>
          <w:kern w:val="22"/>
        </w:rPr>
        <w:t xml:space="preserve"> года, дело обстоит именно так.</w:t>
      </w:r>
    </w:p>
    <w:p w:rsidR="00660906" w:rsidRPr="00690DD5" w:rsidRDefault="00FD0B4D" w:rsidP="00FD0B4D">
      <w:pPr>
        <w:pStyle w:val="Para1"/>
        <w:numPr>
          <w:ilvl w:val="0"/>
          <w:numId w:val="13"/>
        </w:numPr>
        <w:suppressLineNumbers/>
        <w:tabs>
          <w:tab w:val="clear" w:pos="360"/>
          <w:tab w:val="num" w:pos="720"/>
        </w:tabs>
        <w:suppressAutoHyphens/>
        <w:rPr>
          <w:rStyle w:val="Para1"/>
          <w:snapToGrid/>
          <w:kern w:val="22"/>
        </w:rPr>
      </w:pPr>
      <w:r w:rsidRPr="00690DD5">
        <w:rPr>
          <w:rStyle w:val="Para1"/>
          <w:snapToGrid/>
          <w:kern w:val="22"/>
        </w:rPr>
        <w:t>Несмотря на то</w:t>
      </w:r>
      <w:r w:rsidR="00223DD1" w:rsidRPr="00690DD5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что информация </w:t>
      </w:r>
      <w:r w:rsidR="00223DD1" w:rsidRPr="00690DD5">
        <w:rPr>
          <w:rStyle w:val="Para1"/>
          <w:snapToGrid/>
          <w:kern w:val="22"/>
        </w:rPr>
        <w:t xml:space="preserve">по </w:t>
      </w:r>
      <w:r w:rsidRPr="00690DD5">
        <w:rPr>
          <w:rStyle w:val="Para1"/>
          <w:snapToGrid/>
          <w:kern w:val="22"/>
        </w:rPr>
        <w:t>оценк</w:t>
      </w:r>
      <w:r w:rsidR="00223DD1" w:rsidRPr="00690DD5">
        <w:rPr>
          <w:rStyle w:val="Para1"/>
          <w:snapToGrid/>
          <w:kern w:val="22"/>
        </w:rPr>
        <w:t>е</w:t>
      </w:r>
      <w:r w:rsidRPr="00690DD5">
        <w:rPr>
          <w:rStyle w:val="Para1"/>
          <w:snapToGrid/>
          <w:kern w:val="22"/>
        </w:rPr>
        <w:t xml:space="preserve"> НСПДСБ относится к обязательствам, а информация </w:t>
      </w:r>
      <w:r w:rsidR="00223DD1" w:rsidRPr="00690DD5">
        <w:rPr>
          <w:rStyle w:val="Para1"/>
          <w:snapToGrid/>
          <w:kern w:val="22"/>
        </w:rPr>
        <w:t xml:space="preserve">по </w:t>
      </w:r>
      <w:r w:rsidRPr="00690DD5">
        <w:rPr>
          <w:rStyle w:val="Para1"/>
          <w:snapToGrid/>
          <w:kern w:val="22"/>
        </w:rPr>
        <w:t>национальны</w:t>
      </w:r>
      <w:r w:rsidR="00223DD1" w:rsidRPr="00690DD5">
        <w:rPr>
          <w:rStyle w:val="Para1"/>
          <w:snapToGrid/>
          <w:kern w:val="22"/>
        </w:rPr>
        <w:t>м</w:t>
      </w:r>
      <w:r w:rsidRPr="00690DD5">
        <w:rPr>
          <w:rStyle w:val="Para1"/>
          <w:snapToGrid/>
          <w:kern w:val="22"/>
        </w:rPr>
        <w:t xml:space="preserve"> доклад</w:t>
      </w:r>
      <w:r w:rsidR="00223DD1" w:rsidRPr="00690DD5">
        <w:rPr>
          <w:rStyle w:val="Para1"/>
          <w:snapToGrid/>
          <w:kern w:val="22"/>
        </w:rPr>
        <w:t>ам</w:t>
      </w:r>
      <w:r w:rsidRPr="00690DD5">
        <w:rPr>
          <w:rStyle w:val="Para1"/>
          <w:snapToGrid/>
          <w:kern w:val="22"/>
        </w:rPr>
        <w:t xml:space="preserve"> касается мероприятий и их результатов, оба источника информации позволяют сформировать согласованную картину. Предпринимались определенные усилия по преобразованию целевых задач по сохранению и устойчивому использованию биоразнообразия, принятых в Айти, в национальные обязательства, и проводились мероприятия на национальном уровне для выполнения целевых задач, принятых в Айти. Вместе с тем масштаб таких обязательств и усилий нуждается в значительном </w:t>
      </w:r>
      <w:r w:rsidR="00223DD1" w:rsidRPr="00690DD5">
        <w:rPr>
          <w:rStyle w:val="Para1"/>
          <w:snapToGrid/>
          <w:kern w:val="22"/>
        </w:rPr>
        <w:t>расширении</w:t>
      </w:r>
      <w:r w:rsidRPr="00690DD5">
        <w:rPr>
          <w:rStyle w:val="Para1"/>
          <w:snapToGrid/>
          <w:kern w:val="22"/>
        </w:rPr>
        <w:t>,</w:t>
      </w:r>
      <w:r w:rsidR="00223DD1" w:rsidRPr="00690DD5">
        <w:rPr>
          <w:rStyle w:val="Para1"/>
          <w:snapToGrid/>
          <w:kern w:val="22"/>
        </w:rPr>
        <w:t xml:space="preserve"> без чего </w:t>
      </w:r>
      <w:r w:rsidRPr="00690DD5">
        <w:rPr>
          <w:rStyle w:val="Para1"/>
          <w:snapToGrid/>
          <w:kern w:val="22"/>
        </w:rPr>
        <w:t>не</w:t>
      </w:r>
      <w:r w:rsidR="00223DD1" w:rsidRPr="00690DD5">
        <w:rPr>
          <w:rStyle w:val="Para1"/>
          <w:snapToGrid/>
          <w:kern w:val="22"/>
        </w:rPr>
        <w:t xml:space="preserve">возможно будет </w:t>
      </w:r>
      <w:r w:rsidRPr="00690DD5">
        <w:rPr>
          <w:rStyle w:val="Para1"/>
          <w:snapToGrid/>
          <w:kern w:val="22"/>
        </w:rPr>
        <w:t xml:space="preserve">обеспечить выполнение целевых задач по сохранению и устойчивому использованию биоразнообразия, принятых в Айти, и Стратегического плана в области сохранения и устойчивого использования биоразнообразия на 2011-2020 годы. Информация </w:t>
      </w:r>
      <w:r w:rsidR="00223DD1" w:rsidRPr="00690DD5">
        <w:rPr>
          <w:rStyle w:val="Para1"/>
          <w:snapToGrid/>
          <w:kern w:val="22"/>
        </w:rPr>
        <w:t xml:space="preserve">в </w:t>
      </w:r>
      <w:r w:rsidRPr="00690DD5">
        <w:rPr>
          <w:rStyle w:val="Para1"/>
          <w:snapToGrid/>
          <w:kern w:val="22"/>
        </w:rPr>
        <w:t>настояще</w:t>
      </w:r>
      <w:r w:rsidR="00223DD1" w:rsidRPr="00690DD5">
        <w:rPr>
          <w:rStyle w:val="Para1"/>
          <w:snapToGrid/>
          <w:kern w:val="22"/>
        </w:rPr>
        <w:t xml:space="preserve">м анализе </w:t>
      </w:r>
      <w:r w:rsidRPr="00690DD5">
        <w:rPr>
          <w:rStyle w:val="Para1"/>
          <w:snapToGrid/>
          <w:kern w:val="22"/>
        </w:rPr>
        <w:t xml:space="preserve">в целом </w:t>
      </w:r>
      <w:r w:rsidRPr="00690DD5">
        <w:rPr>
          <w:rStyle w:val="Para1"/>
          <w:snapToGrid/>
          <w:kern w:val="22"/>
        </w:rPr>
        <w:lastRenderedPageBreak/>
        <w:t xml:space="preserve">согласуется с информацией, представленной в четвертом издании </w:t>
      </w:r>
      <w:r w:rsidRPr="00690DD5">
        <w:rPr>
          <w:rStyle w:val="Para1"/>
          <w:i/>
          <w:snapToGrid/>
          <w:kern w:val="22"/>
        </w:rPr>
        <w:t>Глобальной перспективы в области биоразнообразия</w:t>
      </w:r>
      <w:r w:rsidRPr="00690DD5">
        <w:rPr>
          <w:rStyle w:val="Para1"/>
          <w:snapToGrid/>
          <w:kern w:val="22"/>
        </w:rPr>
        <w:t>, где сделан вывод о том, что</w:t>
      </w:r>
      <w:r w:rsidR="00223DD1" w:rsidRPr="00690DD5">
        <w:rPr>
          <w:rStyle w:val="Para1"/>
          <w:snapToGrid/>
          <w:kern w:val="22"/>
        </w:rPr>
        <w:t>,</w:t>
      </w:r>
      <w:r w:rsidRPr="00690DD5">
        <w:rPr>
          <w:rStyle w:val="Para1"/>
          <w:snapToGrid/>
          <w:kern w:val="22"/>
        </w:rPr>
        <w:t xml:space="preserve"> несмотря на достигнутые результаты </w:t>
      </w:r>
      <w:r w:rsidR="00A06FA5" w:rsidRPr="00690DD5">
        <w:rPr>
          <w:rStyle w:val="Para1"/>
          <w:snapToGrid/>
          <w:kern w:val="22"/>
        </w:rPr>
        <w:t>выполнения</w:t>
      </w:r>
      <w:r w:rsidRPr="00690DD5">
        <w:rPr>
          <w:rStyle w:val="Para1"/>
          <w:snapToGrid/>
          <w:kern w:val="22"/>
        </w:rPr>
        <w:t xml:space="preserve"> всех целевых задач, таких результатов в настоящее время недостаточно для выполнения целевых задач по сохранению и устойчивому использованию биоразнообразия, принятых в Айти, и для сохранения курса на выполнение Стратегического плана в области сохранения и устойчивого использования биоразнообразия на 2011-2020 годы необходимо принять дополнительные меры.</w:t>
      </w:r>
    </w:p>
    <w:p w:rsidR="00FD0B4D" w:rsidRPr="00690DD5" w:rsidRDefault="00FD0B4D" w:rsidP="00FD0B4D">
      <w:pPr>
        <w:rPr>
          <w:rFonts w:cs="Times New Roman"/>
          <w:shd w:val="clear" w:color="000000" w:fill="auto"/>
        </w:rPr>
      </w:pPr>
    </w:p>
    <w:p w:rsidR="00FD0B4D" w:rsidRDefault="00845C67" w:rsidP="00FD0B4D">
      <w:r>
        <w:rPr>
          <w:noProof/>
          <w:lang w:val="en-US" w:eastAsia="zh-CN"/>
        </w:rPr>
        <w:drawing>
          <wp:inline distT="0" distB="0" distL="0" distR="0">
            <wp:extent cx="5975350" cy="35052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F3D" w:rsidRPr="00690DD5" w:rsidRDefault="00483F3D" w:rsidP="00FD0B4D"/>
    <w:p w:rsidR="00404FF5" w:rsidRPr="00690DD5" w:rsidRDefault="00FD0B4D" w:rsidP="00FD0B4D">
      <w:pPr>
        <w:rPr>
          <w:rStyle w:val="Normal"/>
          <w:b/>
        </w:rPr>
      </w:pPr>
      <w:r w:rsidRPr="00690DD5">
        <w:rPr>
          <w:rStyle w:val="Normal"/>
        </w:rPr>
        <w:t>Рисунок 1</w:t>
      </w:r>
      <w:r w:rsidR="00404FF5" w:rsidRPr="00690DD5">
        <w:rPr>
          <w:rStyle w:val="Normal"/>
        </w:rPr>
        <w:t>.</w:t>
      </w:r>
      <w:r w:rsidR="00404FF5" w:rsidRPr="00690DD5">
        <w:rPr>
          <w:rStyle w:val="Normal"/>
          <w:b/>
        </w:rPr>
        <w:t xml:space="preserve"> </w:t>
      </w:r>
      <w:r w:rsidRPr="00690DD5">
        <w:rPr>
          <w:rStyle w:val="Normal"/>
          <w:b/>
        </w:rPr>
        <w:t xml:space="preserve">Оценка соответствия национальных целевых задач и других обязательств, содержащихся в обновленных НСПДСБ, целевым задачам, принятым в Айти. </w:t>
      </w:r>
    </w:p>
    <w:p w:rsidR="00404FF5" w:rsidRPr="00690DD5" w:rsidRDefault="00404FF5" w:rsidP="00FD0B4D">
      <w:pPr>
        <w:rPr>
          <w:rStyle w:val="Normal"/>
        </w:rPr>
      </w:pPr>
    </w:p>
    <w:p w:rsidR="00FD0B4D" w:rsidRPr="00690DD5" w:rsidRDefault="00404FF5" w:rsidP="00FD0B4D">
      <w:pPr>
        <w:rPr>
          <w:rFonts w:cs="Times New Roman"/>
          <w:szCs w:val="22"/>
          <w:shd w:val="clear" w:color="000000" w:fill="auto"/>
        </w:rPr>
      </w:pPr>
      <w:r w:rsidRPr="00690DD5">
        <w:rPr>
          <w:rStyle w:val="Normal"/>
          <w:i/>
        </w:rPr>
        <w:t>Примечание</w:t>
      </w:r>
      <w:r w:rsidRPr="00690DD5">
        <w:rPr>
          <w:rStyle w:val="Normal"/>
        </w:rPr>
        <w:t xml:space="preserve">. </w:t>
      </w:r>
      <w:r w:rsidR="00753BDB">
        <w:rPr>
          <w:rStyle w:val="Normal"/>
        </w:rPr>
        <w:t>Линии</w:t>
      </w:r>
      <w:r w:rsidR="00FD0B4D" w:rsidRPr="00690DD5">
        <w:rPr>
          <w:rStyle w:val="Normal"/>
        </w:rPr>
        <w:t xml:space="preserve"> различного цвета обозначают долю НСПДСБ в каждой категории. Для большей наглядности в данной оценке были объединены категории </w:t>
      </w:r>
      <w:r w:rsidRPr="00690DD5">
        <w:rPr>
          <w:rStyle w:val="Normal"/>
        </w:rPr>
        <w:t>"</w:t>
      </w:r>
      <w:r w:rsidR="00FD0B4D" w:rsidRPr="00690DD5">
        <w:rPr>
          <w:rStyle w:val="Normal"/>
        </w:rPr>
        <w:t>Национальная целевая задача не соответствует целевой задаче, принятой в Айти</w:t>
      </w:r>
      <w:r w:rsidRPr="00690DD5">
        <w:rPr>
          <w:rStyle w:val="Normal"/>
        </w:rPr>
        <w:t>"</w:t>
      </w:r>
      <w:r w:rsidR="00FD0B4D" w:rsidRPr="00690DD5">
        <w:rPr>
          <w:rStyle w:val="Normal"/>
        </w:rPr>
        <w:t xml:space="preserve">, </w:t>
      </w:r>
      <w:r w:rsidRPr="00690DD5">
        <w:rPr>
          <w:rStyle w:val="Normal"/>
        </w:rPr>
        <w:t>"</w:t>
      </w:r>
      <w:r w:rsidR="00FD0B4D" w:rsidRPr="00690DD5">
        <w:rPr>
          <w:rStyle w:val="Normal"/>
        </w:rPr>
        <w:t>Национальная целевая задача значительно ниже по уровню целевой задачи, принятой в Айти</w:t>
      </w:r>
      <w:r w:rsidRPr="00690DD5">
        <w:rPr>
          <w:rStyle w:val="Normal"/>
        </w:rPr>
        <w:t>"</w:t>
      </w:r>
      <w:r w:rsidR="00FD0B4D" w:rsidRPr="00690DD5">
        <w:rPr>
          <w:rStyle w:val="Normal"/>
        </w:rPr>
        <w:t xml:space="preserve">, </w:t>
      </w:r>
      <w:r w:rsidRPr="00690DD5">
        <w:rPr>
          <w:rStyle w:val="Normal"/>
        </w:rPr>
        <w:t>"</w:t>
      </w:r>
      <w:r w:rsidR="00FD0B4D" w:rsidRPr="00690DD5">
        <w:rPr>
          <w:rStyle w:val="Normal"/>
        </w:rPr>
        <w:t xml:space="preserve">Национальная целевая задача близка к целевой задаче, принятой в Айти, но на более низком уровне/не </w:t>
      </w:r>
      <w:r w:rsidR="00804F92" w:rsidRPr="00690DD5">
        <w:rPr>
          <w:rStyle w:val="Normal"/>
        </w:rPr>
        <w:t>охваты</w:t>
      </w:r>
      <w:r w:rsidR="00FD0B4D" w:rsidRPr="00690DD5">
        <w:rPr>
          <w:rStyle w:val="Normal"/>
        </w:rPr>
        <w:t>вает всех элементов</w:t>
      </w:r>
      <w:r w:rsidRPr="00690DD5">
        <w:rPr>
          <w:rStyle w:val="Normal"/>
        </w:rPr>
        <w:t>"</w:t>
      </w:r>
      <w:r w:rsidR="00804F92" w:rsidRPr="00690DD5">
        <w:rPr>
          <w:rStyle w:val="Normal"/>
        </w:rPr>
        <w:t>.</w:t>
      </w:r>
    </w:p>
    <w:p w:rsidR="00660906" w:rsidRPr="00690DD5" w:rsidRDefault="00660906" w:rsidP="00FD0B4D">
      <w:pPr>
        <w:ind w:left="360"/>
        <w:rPr>
          <w:rStyle w:val="Normal"/>
        </w:rPr>
      </w:pPr>
    </w:p>
    <w:p w:rsidR="00FD0B4D" w:rsidRPr="00690DD5" w:rsidRDefault="00845C67" w:rsidP="00FD0B4D">
      <w:pPr>
        <w:rPr>
          <w:rFonts w:cs="Times New Roman"/>
          <w:shd w:val="clear" w:color="000000" w:fill="auto"/>
        </w:rPr>
      </w:pPr>
      <w:r>
        <w:rPr>
          <w:rFonts w:cs="Times New Roman"/>
          <w:noProof/>
          <w:shd w:val="clear" w:color="000000" w:fill="auto"/>
          <w:lang w:val="en-US" w:eastAsia="zh-CN"/>
        </w:rPr>
        <w:lastRenderedPageBreak/>
        <w:drawing>
          <wp:inline distT="0" distB="0" distL="0" distR="0">
            <wp:extent cx="5961380" cy="3649345"/>
            <wp:effectExtent l="0" t="0" r="1270" b="825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364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FF5" w:rsidRPr="00690DD5" w:rsidRDefault="00FD0B4D" w:rsidP="00FD0B4D">
      <w:pPr>
        <w:rPr>
          <w:rStyle w:val="Normal"/>
        </w:rPr>
      </w:pPr>
      <w:r w:rsidRPr="00690DD5">
        <w:rPr>
          <w:rStyle w:val="Normal"/>
        </w:rPr>
        <w:t>Рисунок 2</w:t>
      </w:r>
      <w:r w:rsidR="00404FF5" w:rsidRPr="00690DD5">
        <w:rPr>
          <w:rStyle w:val="Normal"/>
        </w:rPr>
        <w:t xml:space="preserve">. </w:t>
      </w:r>
      <w:r w:rsidRPr="00690DD5">
        <w:rPr>
          <w:rStyle w:val="Normal"/>
          <w:b/>
        </w:rPr>
        <w:t>Оценка выполнения каждой из целевых задач по сохранению и устойчивому использованию биоразнообразия, принятых в Айти, на основе информации, содержащейся в пятых национальных докладах.</w:t>
      </w:r>
      <w:r w:rsidRPr="00690DD5">
        <w:rPr>
          <w:rStyle w:val="Normal"/>
        </w:rPr>
        <w:t xml:space="preserve"> </w:t>
      </w:r>
    </w:p>
    <w:p w:rsidR="00404FF5" w:rsidRPr="00690DD5" w:rsidRDefault="00404FF5" w:rsidP="00FD0B4D">
      <w:pPr>
        <w:rPr>
          <w:rStyle w:val="Normal"/>
        </w:rPr>
      </w:pPr>
    </w:p>
    <w:p w:rsidR="00660906" w:rsidRPr="00690DD5" w:rsidRDefault="00404FF5" w:rsidP="00FD0B4D">
      <w:pPr>
        <w:rPr>
          <w:rStyle w:val="Normal"/>
        </w:rPr>
      </w:pPr>
      <w:r w:rsidRPr="00690DD5">
        <w:rPr>
          <w:rStyle w:val="Normal"/>
          <w:i/>
        </w:rPr>
        <w:t>Примечание</w:t>
      </w:r>
      <w:r w:rsidRPr="00690DD5">
        <w:rPr>
          <w:rStyle w:val="Normal"/>
        </w:rPr>
        <w:t xml:space="preserve">. </w:t>
      </w:r>
      <w:r w:rsidR="00753BDB">
        <w:rPr>
          <w:rStyle w:val="Normal"/>
        </w:rPr>
        <w:t>Линии</w:t>
      </w:r>
      <w:r w:rsidR="00FD0B4D" w:rsidRPr="00690DD5">
        <w:rPr>
          <w:rStyle w:val="Normal"/>
        </w:rPr>
        <w:t xml:space="preserve"> различного цвета обозначают долю национальных докладов в каждой категории.</w:t>
      </w:r>
    </w:p>
    <w:p w:rsidR="00FD0B4D" w:rsidRPr="00690DD5" w:rsidRDefault="00FD0B4D" w:rsidP="00FD0B4D">
      <w:pPr>
        <w:jc w:val="center"/>
        <w:rPr>
          <w:rFonts w:cs="Times New Roman"/>
          <w:b/>
          <w:bCs/>
          <w:szCs w:val="22"/>
          <w:shd w:val="clear" w:color="000000" w:fill="auto"/>
        </w:rPr>
      </w:pPr>
      <w:r w:rsidRPr="00690DD5">
        <w:rPr>
          <w:rStyle w:val="Normal"/>
        </w:rPr>
        <w:t>__________</w:t>
      </w:r>
    </w:p>
    <w:sectPr w:rsidR="00FD0B4D" w:rsidRPr="00690DD5" w:rsidSect="00FD0B4D">
      <w:headerReference w:type="even" r:id="rId22"/>
      <w:headerReference w:type="default" r:id="rId23"/>
      <w:pgSz w:w="12240" w:h="15840" w:code="1"/>
      <w:pgMar w:top="1021" w:right="1440" w:bottom="1140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2B" w:rsidRDefault="0094092B">
      <w:r>
        <w:separator/>
      </w:r>
    </w:p>
  </w:endnote>
  <w:endnote w:type="continuationSeparator" w:id="0">
    <w:p w:rsidR="0094092B" w:rsidRDefault="0094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2B" w:rsidRDefault="0094092B">
      <w:r>
        <w:separator/>
      </w:r>
    </w:p>
  </w:footnote>
  <w:footnote w:type="continuationSeparator" w:id="0">
    <w:p w:rsidR="0094092B" w:rsidRDefault="0094092B">
      <w:r>
        <w:continuationSeparator/>
      </w:r>
    </w:p>
  </w:footnote>
  <w:footnote w:id="1">
    <w:p w:rsidR="00795EAD" w:rsidRPr="005B6620" w:rsidRDefault="00795EAD" w:rsidP="00690DD5">
      <w:pPr>
        <w:pStyle w:val="FootnoteText"/>
        <w:spacing w:after="0"/>
        <w:ind w:firstLine="0"/>
        <w:jc w:val="left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</w:rPr>
        <w:t>*</w:t>
      </w:r>
      <w:r w:rsidRPr="005B6620">
        <w:rPr>
          <w:rStyle w:val="FootnoteText"/>
          <w:sz w:val="16"/>
          <w:szCs w:val="16"/>
        </w:rPr>
        <w:t xml:space="preserve"> </w:t>
      </w:r>
      <w:hyperlink r:id="rId1" w:history="1">
        <w:r w:rsidR="00EF3323" w:rsidRPr="001128F2">
          <w:rPr>
            <w:rStyle w:val="Hyperlink"/>
            <w:snapToGrid w:val="0"/>
            <w:kern w:val="18"/>
            <w:sz w:val="16"/>
            <w:szCs w:val="16"/>
          </w:rPr>
          <w:t>CBD/</w:t>
        </w:r>
        <w:r w:rsidR="00EF3323" w:rsidRPr="001128F2">
          <w:rPr>
            <w:rStyle w:val="Hyperlink"/>
            <w:snapToGrid w:val="0"/>
            <w:kern w:val="18"/>
            <w:sz w:val="16"/>
            <w:szCs w:val="16"/>
          </w:rPr>
          <w:t>S</w:t>
        </w:r>
        <w:r w:rsidR="00EF3323" w:rsidRPr="001128F2">
          <w:rPr>
            <w:rStyle w:val="Hyperlink"/>
            <w:snapToGrid w:val="0"/>
            <w:kern w:val="18"/>
            <w:sz w:val="16"/>
            <w:szCs w:val="16"/>
          </w:rPr>
          <w:t>BI/2/1</w:t>
        </w:r>
      </w:hyperlink>
      <w:r w:rsidRPr="00497852">
        <w:rPr>
          <w:rStyle w:val="FootnoteText"/>
          <w:sz w:val="16"/>
          <w:szCs w:val="16"/>
        </w:rPr>
        <w:t>.</w:t>
      </w:r>
    </w:p>
  </w:footnote>
  <w:footnote w:id="2">
    <w:p w:rsidR="00795EAD" w:rsidRPr="005B6620" w:rsidRDefault="00795EAD" w:rsidP="00690DD5">
      <w:pPr>
        <w:pStyle w:val="FootnoteText"/>
        <w:keepLines w:val="0"/>
        <w:spacing w:after="0"/>
        <w:ind w:firstLine="0"/>
        <w:rPr>
          <w:kern w:val="18"/>
          <w:sz w:val="16"/>
          <w:szCs w:val="16"/>
        </w:rPr>
      </w:pPr>
      <w:r w:rsidRPr="005B6620">
        <w:rPr>
          <w:rStyle w:val="FootnoteReference"/>
          <w:kern w:val="18"/>
          <w:sz w:val="16"/>
          <w:szCs w:val="16"/>
          <w:u w:val="none"/>
          <w:vertAlign w:val="superscript"/>
          <w:lang w:eastAsia="en-US"/>
        </w:rPr>
        <w:footnoteRef/>
      </w:r>
      <w:r w:rsidRPr="005B6620">
        <w:rPr>
          <w:rStyle w:val="FootnoteReference"/>
          <w:kern w:val="18"/>
          <w:sz w:val="16"/>
          <w:szCs w:val="16"/>
          <w:u w:val="none"/>
          <w:vertAlign w:val="superscript"/>
          <w:lang w:eastAsia="en-US"/>
        </w:rPr>
        <w:t xml:space="preserve"> </w:t>
      </w:r>
      <w:r w:rsidRPr="005B6620">
        <w:rPr>
          <w:color w:val="333333"/>
          <w:kern w:val="18"/>
          <w:sz w:val="16"/>
          <w:szCs w:val="16"/>
          <w:shd w:val="clear" w:color="auto" w:fill="FFFFFF"/>
          <w:lang w:eastAsia="en-US"/>
        </w:rPr>
        <w:t xml:space="preserve">Пересмотренная НСПДСБ Китая была представлена в сентябре 2010 года и была разработана с учетом Стратегического плана в области сохранения и устойчивого использования биоразнообразия на 2011-2020 годы. Германия представила план действий на 2020 год по НСПДСБ, которая была разработана до принятия Стратегического плана в области сохранения и устойчивого использования биоразнообразия на 2011-2020 годы. </w:t>
      </w:r>
    </w:p>
  </w:footnote>
  <w:footnote w:id="3">
    <w:p w:rsidR="009A4098" w:rsidRPr="00497852" w:rsidRDefault="009A4098" w:rsidP="00FD2079">
      <w:pPr>
        <w:rPr>
          <w:rStyle w:val="Normal"/>
          <w:szCs w:val="16"/>
        </w:rPr>
      </w:pPr>
      <w:r w:rsidRPr="00495DE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495DE0">
        <w:rPr>
          <w:rStyle w:val="FootnoteReference"/>
          <w:sz w:val="16"/>
          <w:u w:val="none"/>
          <w:vertAlign w:val="superscript"/>
        </w:rPr>
        <w:t xml:space="preserve"> </w:t>
      </w:r>
      <w:r w:rsidR="00FD2079" w:rsidRPr="00497852">
        <w:rPr>
          <w:rStyle w:val="Normal"/>
          <w:sz w:val="16"/>
          <w:szCs w:val="16"/>
        </w:rPr>
        <w:t xml:space="preserve">Версия этого документа была предоставлена для </w:t>
      </w:r>
      <w:r w:rsidR="00F469CB" w:rsidRPr="00497852">
        <w:rPr>
          <w:rStyle w:val="Normal"/>
          <w:sz w:val="16"/>
          <w:szCs w:val="16"/>
        </w:rPr>
        <w:t xml:space="preserve">коллегиального обзора </w:t>
      </w:r>
      <w:r w:rsidR="00F43301" w:rsidRPr="00497852">
        <w:rPr>
          <w:rStyle w:val="Normal"/>
          <w:sz w:val="16"/>
          <w:szCs w:val="16"/>
        </w:rPr>
        <w:t>с</w:t>
      </w:r>
      <w:r w:rsidR="00FD2079" w:rsidRPr="00497852">
        <w:rPr>
          <w:rStyle w:val="Normal"/>
          <w:sz w:val="16"/>
          <w:szCs w:val="16"/>
        </w:rPr>
        <w:t xml:space="preserve"> 16 февраля 2018 года по 12 марта 2018 года. </w:t>
      </w:r>
      <w:r w:rsidR="00FD7A04" w:rsidRPr="00497852">
        <w:rPr>
          <w:rStyle w:val="Normal"/>
          <w:sz w:val="16"/>
          <w:szCs w:val="16"/>
        </w:rPr>
        <w:t xml:space="preserve">Документ был </w:t>
      </w:r>
      <w:r w:rsidR="00FD2079" w:rsidRPr="00497852">
        <w:rPr>
          <w:rStyle w:val="Normal"/>
          <w:sz w:val="16"/>
          <w:szCs w:val="16"/>
        </w:rPr>
        <w:t>обновлен</w:t>
      </w:r>
      <w:r w:rsidR="004632B5" w:rsidRPr="00497852">
        <w:rPr>
          <w:rStyle w:val="Normal"/>
          <w:sz w:val="16"/>
          <w:szCs w:val="16"/>
        </w:rPr>
        <w:t xml:space="preserve"> с учетом замечаний</w:t>
      </w:r>
      <w:r w:rsidR="00370864" w:rsidRPr="00497852">
        <w:rPr>
          <w:rStyle w:val="Normal"/>
          <w:sz w:val="16"/>
          <w:szCs w:val="16"/>
        </w:rPr>
        <w:t xml:space="preserve">, </w:t>
      </w:r>
      <w:r w:rsidR="00AB77C9" w:rsidRPr="00497852">
        <w:rPr>
          <w:rStyle w:val="Normal"/>
          <w:sz w:val="16"/>
          <w:szCs w:val="16"/>
        </w:rPr>
        <w:t xml:space="preserve">сделанных </w:t>
      </w:r>
      <w:r w:rsidR="00370864" w:rsidRPr="00497852">
        <w:rPr>
          <w:rStyle w:val="Normal"/>
          <w:sz w:val="16"/>
          <w:szCs w:val="16"/>
        </w:rPr>
        <w:t>в ходе коллегиального обзора</w:t>
      </w:r>
      <w:r w:rsidR="005F20BA" w:rsidRPr="00497852">
        <w:rPr>
          <w:rStyle w:val="Normal"/>
          <w:sz w:val="16"/>
          <w:szCs w:val="16"/>
        </w:rPr>
        <w:t>, а такж</w:t>
      </w:r>
      <w:r w:rsidR="002469E1" w:rsidRPr="00497852">
        <w:rPr>
          <w:rStyle w:val="Normal"/>
          <w:sz w:val="16"/>
          <w:szCs w:val="16"/>
        </w:rPr>
        <w:t xml:space="preserve">е </w:t>
      </w:r>
      <w:r w:rsidR="00FD2079" w:rsidRPr="00497852">
        <w:rPr>
          <w:rStyle w:val="Normal"/>
          <w:sz w:val="16"/>
          <w:szCs w:val="16"/>
        </w:rPr>
        <w:t>дополнительны</w:t>
      </w:r>
      <w:r w:rsidR="002469E1" w:rsidRPr="00497852">
        <w:rPr>
          <w:rStyle w:val="Normal"/>
          <w:sz w:val="16"/>
          <w:szCs w:val="16"/>
        </w:rPr>
        <w:t>х</w:t>
      </w:r>
      <w:r w:rsidR="00FD2079" w:rsidRPr="00497852">
        <w:rPr>
          <w:rStyle w:val="Normal"/>
          <w:sz w:val="16"/>
          <w:szCs w:val="16"/>
        </w:rPr>
        <w:t xml:space="preserve"> пяты</w:t>
      </w:r>
      <w:r w:rsidR="002469E1" w:rsidRPr="00497852">
        <w:rPr>
          <w:rStyle w:val="Normal"/>
          <w:sz w:val="16"/>
          <w:szCs w:val="16"/>
        </w:rPr>
        <w:t>х</w:t>
      </w:r>
      <w:r w:rsidR="00FD2079" w:rsidRPr="00497852">
        <w:rPr>
          <w:rStyle w:val="Normal"/>
          <w:sz w:val="16"/>
          <w:szCs w:val="16"/>
        </w:rPr>
        <w:t xml:space="preserve"> национальны</w:t>
      </w:r>
      <w:r w:rsidR="002469E1" w:rsidRPr="00497852">
        <w:rPr>
          <w:rStyle w:val="Normal"/>
          <w:sz w:val="16"/>
          <w:szCs w:val="16"/>
        </w:rPr>
        <w:t>х</w:t>
      </w:r>
      <w:r w:rsidR="00FD2079" w:rsidRPr="00497852">
        <w:rPr>
          <w:rStyle w:val="Normal"/>
          <w:sz w:val="16"/>
          <w:szCs w:val="16"/>
        </w:rPr>
        <w:t xml:space="preserve"> доклад</w:t>
      </w:r>
      <w:r w:rsidR="002469E1" w:rsidRPr="00497852">
        <w:rPr>
          <w:rStyle w:val="Normal"/>
          <w:sz w:val="16"/>
          <w:szCs w:val="16"/>
        </w:rPr>
        <w:t xml:space="preserve">ов и </w:t>
      </w:r>
      <w:r w:rsidR="00FD2079" w:rsidRPr="00497852">
        <w:rPr>
          <w:rStyle w:val="Normal"/>
          <w:sz w:val="16"/>
          <w:szCs w:val="16"/>
        </w:rPr>
        <w:t>национальны</w:t>
      </w:r>
      <w:r w:rsidR="002469E1" w:rsidRPr="00497852">
        <w:rPr>
          <w:rStyle w:val="Normal"/>
          <w:sz w:val="16"/>
          <w:szCs w:val="16"/>
        </w:rPr>
        <w:t xml:space="preserve">х </w:t>
      </w:r>
      <w:r w:rsidR="00FD2079" w:rsidRPr="00497852">
        <w:rPr>
          <w:rStyle w:val="Normal"/>
          <w:sz w:val="16"/>
          <w:szCs w:val="16"/>
        </w:rPr>
        <w:t>стратеги</w:t>
      </w:r>
      <w:r w:rsidR="002469E1" w:rsidRPr="00497852">
        <w:rPr>
          <w:rStyle w:val="Normal"/>
          <w:sz w:val="16"/>
          <w:szCs w:val="16"/>
        </w:rPr>
        <w:t>й</w:t>
      </w:r>
      <w:r w:rsidR="00FD2079" w:rsidRPr="00497852">
        <w:rPr>
          <w:rStyle w:val="Normal"/>
          <w:sz w:val="16"/>
          <w:szCs w:val="16"/>
        </w:rPr>
        <w:t xml:space="preserve"> и план</w:t>
      </w:r>
      <w:r w:rsidR="002469E1" w:rsidRPr="00497852">
        <w:rPr>
          <w:rStyle w:val="Normal"/>
          <w:sz w:val="16"/>
          <w:szCs w:val="16"/>
        </w:rPr>
        <w:t xml:space="preserve">ов </w:t>
      </w:r>
      <w:r w:rsidR="006804A1" w:rsidRPr="00497852">
        <w:rPr>
          <w:rStyle w:val="Normal"/>
          <w:sz w:val="16"/>
          <w:szCs w:val="16"/>
        </w:rPr>
        <w:t>д</w:t>
      </w:r>
      <w:r w:rsidR="00FD2079" w:rsidRPr="00497852">
        <w:rPr>
          <w:rStyle w:val="Normal"/>
          <w:sz w:val="16"/>
          <w:szCs w:val="16"/>
        </w:rPr>
        <w:t>ействий по сохранению биоразнообразия</w:t>
      </w:r>
      <w:r w:rsidR="00591CE8" w:rsidRPr="00497852">
        <w:rPr>
          <w:rStyle w:val="Normal"/>
          <w:sz w:val="16"/>
          <w:szCs w:val="16"/>
        </w:rPr>
        <w:t>, полученных за этот период.</w:t>
      </w:r>
    </w:p>
  </w:footnote>
  <w:footnote w:id="4">
    <w:p w:rsidR="00FD2079" w:rsidRPr="00A44547" w:rsidRDefault="00FD2079" w:rsidP="00FD2079">
      <w:pPr>
        <w:rPr>
          <w:rStyle w:val="Normal"/>
          <w:sz w:val="16"/>
          <w:szCs w:val="16"/>
          <w:lang w:val="en-US"/>
        </w:rPr>
      </w:pPr>
      <w:r w:rsidRPr="005D6484">
        <w:rPr>
          <w:rStyle w:val="FootnoteReference"/>
          <w:rFonts w:cs="Times New Roman"/>
          <w:sz w:val="16"/>
          <w:u w:val="none"/>
          <w:vertAlign w:val="superscript"/>
        </w:rPr>
        <w:footnoteRef/>
      </w:r>
      <w:r w:rsidRPr="00A44547">
        <w:rPr>
          <w:rStyle w:val="FootnoteReference"/>
          <w:rFonts w:cs="Times New Roman"/>
          <w:sz w:val="16"/>
          <w:u w:val="none"/>
          <w:vertAlign w:val="superscript"/>
          <w:lang w:val="en-US"/>
        </w:rPr>
        <w:t xml:space="preserve"> </w:t>
      </w:r>
      <w:hyperlink r:id="rId2" w:history="1">
        <w:r w:rsidR="00C7019A" w:rsidRPr="00B827BA">
          <w:rPr>
            <w:rStyle w:val="Hyperlink"/>
            <w:snapToGrid w:val="0"/>
            <w:kern w:val="18"/>
            <w:sz w:val="16"/>
            <w:szCs w:val="16"/>
            <w:lang w:val="en-US"/>
          </w:rPr>
          <w:t>UNEP/CBD/COP/</w:t>
        </w:r>
        <w:r w:rsidR="00C7019A" w:rsidRPr="00B827BA">
          <w:rPr>
            <w:rStyle w:val="Hyperlink"/>
            <w:snapToGrid w:val="0"/>
            <w:kern w:val="18"/>
            <w:sz w:val="16"/>
            <w:szCs w:val="16"/>
            <w:lang w:val="en-US"/>
          </w:rPr>
          <w:t>1</w:t>
        </w:r>
        <w:r w:rsidR="00C7019A" w:rsidRPr="00B827BA">
          <w:rPr>
            <w:rStyle w:val="Hyperlink"/>
            <w:snapToGrid w:val="0"/>
            <w:kern w:val="18"/>
            <w:sz w:val="16"/>
            <w:szCs w:val="16"/>
            <w:lang w:val="en-US"/>
          </w:rPr>
          <w:t>3/8/Add.2/Rev.1</w:t>
        </w:r>
      </w:hyperlink>
      <w:r w:rsidRPr="00497852">
        <w:rPr>
          <w:rStyle w:val="Normal"/>
          <w:sz w:val="18"/>
          <w:szCs w:val="18"/>
          <w:u w:val="single"/>
          <w:lang w:val="en-US"/>
        </w:rPr>
        <w:t>.</w:t>
      </w:r>
    </w:p>
  </w:footnote>
  <w:footnote w:id="5">
    <w:p w:rsidR="005D6484" w:rsidRPr="005D6484" w:rsidRDefault="005D6484" w:rsidP="005D6484">
      <w:pPr>
        <w:rPr>
          <w:rStyle w:val="Normal"/>
          <w:rFonts w:cs="Times New Roman"/>
          <w:color w:val="333333"/>
          <w:sz w:val="16"/>
          <w:szCs w:val="16"/>
        </w:rPr>
      </w:pPr>
      <w:r w:rsidRPr="005D6484">
        <w:rPr>
          <w:rStyle w:val="FootnoteReference"/>
          <w:rFonts w:cs="Times New Roman"/>
          <w:sz w:val="16"/>
          <w:u w:val="none"/>
          <w:vertAlign w:val="superscript"/>
        </w:rPr>
        <w:footnoteRef/>
      </w:r>
      <w:r w:rsidRPr="005D6484">
        <w:rPr>
          <w:rStyle w:val="FootnoteReference"/>
          <w:rFonts w:cs="Times New Roman"/>
          <w:sz w:val="16"/>
          <w:u w:val="none"/>
          <w:vertAlign w:val="superscript"/>
        </w:rPr>
        <w:t xml:space="preserve"> </w:t>
      </w:r>
      <w:r w:rsidRPr="005D6484">
        <w:rPr>
          <w:rStyle w:val="Normal"/>
          <w:sz w:val="16"/>
          <w:szCs w:val="16"/>
        </w:rPr>
        <w:t>CBD/SBSTTA/22/5.</w:t>
      </w:r>
    </w:p>
  </w:footnote>
  <w:footnote w:id="6">
    <w:p w:rsidR="00795EAD" w:rsidRPr="005D6484" w:rsidRDefault="00795EAD" w:rsidP="00690DD5">
      <w:pPr>
        <w:rPr>
          <w:rStyle w:val="Normal"/>
          <w:rFonts w:cs="Times New Roman"/>
          <w:color w:val="333333"/>
          <w:sz w:val="16"/>
          <w:szCs w:val="16"/>
        </w:rPr>
      </w:pPr>
      <w:r w:rsidRPr="005D6484">
        <w:rPr>
          <w:rStyle w:val="FootnoteReference"/>
          <w:rFonts w:cs="Times New Roman"/>
          <w:sz w:val="16"/>
          <w:szCs w:val="16"/>
          <w:u w:val="none"/>
          <w:vertAlign w:val="superscript"/>
        </w:rPr>
        <w:footnoteRef/>
      </w:r>
      <w:r w:rsidRPr="005D6484">
        <w:rPr>
          <w:rStyle w:val="Normal"/>
          <w:rFonts w:cs="Times New Roman"/>
          <w:color w:val="333333"/>
          <w:sz w:val="16"/>
          <w:szCs w:val="16"/>
        </w:rPr>
        <w:t xml:space="preserve"> Одна НСПДСБ (Латвия) не была проанализирована по причине отсутствия документа на одном из официальных языков Организации Объединенных Наций.</w:t>
      </w:r>
    </w:p>
    <w:p w:rsidR="00795EAD" w:rsidRPr="005B6620" w:rsidRDefault="00795EAD" w:rsidP="00FD2079">
      <w:pPr>
        <w:pStyle w:val="FootnoteText"/>
        <w:rPr>
          <w:sz w:val="16"/>
          <w:szCs w:val="16"/>
        </w:rPr>
      </w:pPr>
    </w:p>
  </w:footnote>
  <w:footnote w:id="7">
    <w:p w:rsidR="007734D8" w:rsidRPr="007734D8" w:rsidRDefault="007734D8" w:rsidP="007734D8">
      <w:pPr>
        <w:pStyle w:val="FootnoteText"/>
        <w:ind w:firstLine="0"/>
      </w:pPr>
      <w:r w:rsidRPr="00ED4796">
        <w:rPr>
          <w:rStyle w:val="FootnoteReference"/>
          <w:rFonts w:cs="Angsana New"/>
          <w:sz w:val="16"/>
          <w:szCs w:val="16"/>
          <w:u w:val="none"/>
          <w:vertAlign w:val="superscript"/>
        </w:rPr>
        <w:footnoteRef/>
      </w:r>
      <w:r w:rsidRPr="00ED4796">
        <w:rPr>
          <w:rStyle w:val="FootnoteReference"/>
          <w:rFonts w:cs="Angsana New"/>
          <w:sz w:val="16"/>
          <w:u w:val="none"/>
          <w:vertAlign w:val="superscript"/>
        </w:rPr>
        <w:t xml:space="preserve"> </w:t>
      </w:r>
      <w:r w:rsidRPr="0012759A">
        <w:rPr>
          <w:rStyle w:val="FootnoteReference"/>
          <w:sz w:val="24"/>
          <w:szCs w:val="16"/>
          <w:u w:val="none"/>
          <w:vertAlign w:val="superscript"/>
        </w:rPr>
        <w:t xml:space="preserve">Полный перечень национальных целевых задач, включая задачи, представленные в более ранних НСПДБ, а также в в пятых национальных докладах, приводится по адресу </w:t>
      </w:r>
      <w:hyperlink r:id="rId3" w:history="1">
        <w:r w:rsidRPr="0012759A">
          <w:rPr>
            <w:rStyle w:val="FootnoteReference"/>
            <w:sz w:val="24"/>
            <w:szCs w:val="16"/>
            <w:u w:val="none"/>
            <w:vertAlign w:val="superscript"/>
          </w:rPr>
          <w:t>https://www.cbd.int/nbsap/targets/default.shtml</w:t>
        </w:r>
      </w:hyperlink>
      <w:r w:rsidRPr="0012759A">
        <w:rPr>
          <w:rStyle w:val="FootnoteReference"/>
          <w:sz w:val="24"/>
          <w:szCs w:val="16"/>
          <w:u w:val="none"/>
          <w:vertAlign w:val="superscript"/>
        </w:rPr>
        <w:t>.</w:t>
      </w:r>
    </w:p>
  </w:footnote>
  <w:footnote w:id="8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</w:t>
      </w:r>
      <w:r w:rsidR="00BB3DDB" w:rsidRPr="00BB3DDB">
        <w:rPr>
          <w:rStyle w:val="FootnoteText"/>
          <w:sz w:val="16"/>
          <w:szCs w:val="16"/>
        </w:rPr>
        <w:t>Были рассмотрены все национальные доклады, получен</w:t>
      </w:r>
      <w:r w:rsidR="008E3936">
        <w:rPr>
          <w:rStyle w:val="FootnoteText"/>
          <w:sz w:val="16"/>
          <w:szCs w:val="16"/>
        </w:rPr>
        <w:t>ные</w:t>
      </w:r>
      <w:r w:rsidR="00BB3DDB" w:rsidRPr="00BB3DDB">
        <w:rPr>
          <w:rStyle w:val="FootnoteText"/>
          <w:sz w:val="16"/>
          <w:szCs w:val="16"/>
        </w:rPr>
        <w:t xml:space="preserve"> секретариатом Конвенции о биологическом разнообразии. Национальные доклады не </w:t>
      </w:r>
      <w:r w:rsidR="007A0B01">
        <w:rPr>
          <w:rStyle w:val="FootnoteText"/>
          <w:sz w:val="16"/>
          <w:szCs w:val="16"/>
        </w:rPr>
        <w:t xml:space="preserve">были получены от </w:t>
      </w:r>
      <w:r w:rsidR="00BB3DDB" w:rsidRPr="00BB3DDB">
        <w:rPr>
          <w:rStyle w:val="FootnoteText"/>
          <w:sz w:val="16"/>
          <w:szCs w:val="16"/>
        </w:rPr>
        <w:t>Багамских Островов, Габона, Исландии, Лесото или Ливии.</w:t>
      </w:r>
    </w:p>
  </w:footnote>
  <w:footnote w:id="9">
    <w:p w:rsidR="00795EAD" w:rsidRPr="00715CD6" w:rsidRDefault="00795EAD" w:rsidP="00690DD5">
      <w:pPr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</w:t>
      </w:r>
      <w:r w:rsidRPr="00715CD6">
        <w:rPr>
          <w:rStyle w:val="FootnoteText"/>
          <w:sz w:val="16"/>
          <w:szCs w:val="16"/>
        </w:rPr>
        <w:t>Австрия, Антигуа и Барбуда, Беларусь, Бельгия, Бенин, Бразилия, Бурунди, Гвинея, Доминика, Замбия, Индия, Ирландия, Испания, Конго, Куба, Ливан,</w:t>
      </w:r>
      <w:r w:rsidR="008457D3" w:rsidRPr="00715CD6">
        <w:rPr>
          <w:rStyle w:val="FootnoteText"/>
          <w:sz w:val="16"/>
          <w:szCs w:val="16"/>
        </w:rPr>
        <w:t xml:space="preserve"> Люксембург,</w:t>
      </w:r>
      <w:r w:rsidRPr="00715CD6">
        <w:rPr>
          <w:rStyle w:val="FootnoteText"/>
          <w:sz w:val="16"/>
          <w:szCs w:val="16"/>
        </w:rPr>
        <w:t xml:space="preserve"> Мали, Никарагуа, Новая Зеландия, Республика Корея, Российская Федерация, </w:t>
      </w:r>
      <w:r w:rsidR="00A17E3A" w:rsidRPr="00715CD6">
        <w:rPr>
          <w:rStyle w:val="FootnoteText"/>
          <w:sz w:val="16"/>
          <w:szCs w:val="16"/>
        </w:rPr>
        <w:t xml:space="preserve">Руанда, </w:t>
      </w:r>
      <w:r w:rsidRPr="00715CD6">
        <w:rPr>
          <w:rStyle w:val="FootnoteText"/>
          <w:sz w:val="16"/>
          <w:szCs w:val="16"/>
        </w:rPr>
        <w:t xml:space="preserve">Самоа, Сенегал, Сент-Китс и Невис, Сербия, Словакия, Соединенное Королевство Великобритании и Северной Ирландии, Соломоновы Острова, </w:t>
      </w:r>
      <w:r w:rsidR="008457D3" w:rsidRPr="00715CD6">
        <w:rPr>
          <w:rStyle w:val="FootnoteText"/>
          <w:sz w:val="16"/>
          <w:szCs w:val="16"/>
        </w:rPr>
        <w:t xml:space="preserve">Тайланд, </w:t>
      </w:r>
      <w:r w:rsidRPr="00715CD6">
        <w:rPr>
          <w:rStyle w:val="FootnoteText"/>
          <w:sz w:val="16"/>
          <w:szCs w:val="16"/>
        </w:rPr>
        <w:t xml:space="preserve">Тимор-Лешти, Тувалу, Уганда, Финляндия, Экваториальная Гвинея, Эстония, Эфиопия, Южная Африка, Япония. </w:t>
      </w:r>
    </w:p>
    <w:p w:rsidR="00795EAD" w:rsidRPr="00715CD6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</w:p>
  </w:footnote>
  <w:footnote w:id="10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Бразилия, </w:t>
      </w:r>
      <w:r>
        <w:rPr>
          <w:rStyle w:val="FootnoteText"/>
          <w:sz w:val="16"/>
          <w:szCs w:val="16"/>
        </w:rPr>
        <w:t xml:space="preserve">Гвинея, </w:t>
      </w:r>
      <w:r w:rsidRPr="005B6620">
        <w:rPr>
          <w:rStyle w:val="FootnoteText"/>
          <w:sz w:val="16"/>
          <w:szCs w:val="16"/>
        </w:rPr>
        <w:t xml:space="preserve">Грузия, Замбия, Конго, </w:t>
      </w:r>
      <w:r>
        <w:rPr>
          <w:rStyle w:val="FootnoteText"/>
          <w:sz w:val="16"/>
          <w:szCs w:val="16"/>
        </w:rPr>
        <w:t xml:space="preserve">Самоа, Таджикистан, </w:t>
      </w:r>
      <w:r w:rsidRPr="005B6620">
        <w:rPr>
          <w:rStyle w:val="FootnoteText"/>
          <w:sz w:val="16"/>
          <w:szCs w:val="16"/>
        </w:rPr>
        <w:t>Того, Финляндия.</w:t>
      </w:r>
    </w:p>
  </w:footnote>
  <w:footnote w:id="11">
    <w:p w:rsidR="00795EAD" w:rsidRPr="005B6620" w:rsidRDefault="00795EAD" w:rsidP="00690DD5">
      <w:pPr>
        <w:pStyle w:val="FootnoteText"/>
        <w:keepLines w:val="0"/>
        <w:spacing w:after="0"/>
        <w:ind w:firstLine="0"/>
        <w:jc w:val="left"/>
        <w:rPr>
          <w:kern w:val="18"/>
          <w:sz w:val="16"/>
          <w:szCs w:val="16"/>
        </w:rPr>
      </w:pPr>
      <w:r w:rsidRPr="005B6620">
        <w:rPr>
          <w:rStyle w:val="FootnoteReference"/>
          <w:kern w:val="18"/>
          <w:sz w:val="16"/>
          <w:szCs w:val="16"/>
          <w:u w:val="none"/>
          <w:vertAlign w:val="superscript"/>
        </w:rPr>
        <w:footnoteRef/>
      </w:r>
      <w:r w:rsidRPr="005B6620">
        <w:rPr>
          <w:rStyle w:val="FootnoteReference"/>
          <w:kern w:val="18"/>
          <w:sz w:val="16"/>
          <w:szCs w:val="16"/>
          <w:u w:val="none"/>
          <w:vertAlign w:val="superscript"/>
        </w:rPr>
        <w:t xml:space="preserve"> </w:t>
      </w:r>
      <w:r w:rsidRPr="005B6620">
        <w:rPr>
          <w:kern w:val="18"/>
          <w:sz w:val="16"/>
          <w:szCs w:val="16"/>
        </w:rPr>
        <w:t>Гвинея-Бисау.</w:t>
      </w:r>
    </w:p>
  </w:footnote>
  <w:footnote w:id="12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Reference"/>
          <w:sz w:val="16"/>
          <w:szCs w:val="16"/>
          <w:u w:val="none"/>
          <w:vertAlign w:val="superscript"/>
        </w:rPr>
        <w:t xml:space="preserve"> </w:t>
      </w:r>
      <w:r w:rsidR="00957428" w:rsidRPr="00957428">
        <w:rPr>
          <w:rStyle w:val="FootnoteText"/>
          <w:sz w:val="16"/>
          <w:szCs w:val="16"/>
        </w:rPr>
        <w:t xml:space="preserve">Антигуа и Барбуда, Бельгия, Бразилия, </w:t>
      </w:r>
      <w:r w:rsidR="00986F7A">
        <w:rPr>
          <w:rStyle w:val="FootnoteText"/>
          <w:sz w:val="16"/>
          <w:szCs w:val="16"/>
        </w:rPr>
        <w:t xml:space="preserve">Бутан, </w:t>
      </w:r>
      <w:r w:rsidR="00957428" w:rsidRPr="00957428">
        <w:rPr>
          <w:rStyle w:val="FootnoteText"/>
          <w:sz w:val="16"/>
          <w:szCs w:val="16"/>
        </w:rPr>
        <w:t xml:space="preserve">Гвинея, </w:t>
      </w:r>
      <w:r w:rsidR="00986F7A">
        <w:rPr>
          <w:rStyle w:val="FootnoteText"/>
          <w:sz w:val="16"/>
          <w:szCs w:val="16"/>
        </w:rPr>
        <w:t xml:space="preserve">Грузия, </w:t>
      </w:r>
      <w:r w:rsidR="00957428" w:rsidRPr="00957428">
        <w:rPr>
          <w:rStyle w:val="FootnoteText"/>
          <w:sz w:val="16"/>
          <w:szCs w:val="16"/>
        </w:rPr>
        <w:t>Конго, Люксембург, М</w:t>
      </w:r>
      <w:r w:rsidR="003101E6">
        <w:rPr>
          <w:rStyle w:val="FootnoteText"/>
          <w:sz w:val="16"/>
          <w:szCs w:val="16"/>
        </w:rPr>
        <w:t>онголия</w:t>
      </w:r>
      <w:r w:rsidR="00957428" w:rsidRPr="00957428">
        <w:rPr>
          <w:rStyle w:val="FootnoteText"/>
          <w:sz w:val="16"/>
          <w:szCs w:val="16"/>
        </w:rPr>
        <w:t xml:space="preserve">, </w:t>
      </w:r>
      <w:r w:rsidR="00231C4E">
        <w:rPr>
          <w:rStyle w:val="FootnoteText"/>
          <w:sz w:val="16"/>
          <w:szCs w:val="16"/>
        </w:rPr>
        <w:t xml:space="preserve">Намибия, </w:t>
      </w:r>
      <w:r w:rsidR="00BC3C32" w:rsidRPr="005B6620">
        <w:rPr>
          <w:rStyle w:val="FootnoteText"/>
          <w:sz w:val="16"/>
          <w:szCs w:val="16"/>
        </w:rPr>
        <w:t xml:space="preserve">Объединенная Республика Танзания, </w:t>
      </w:r>
      <w:r w:rsidR="008A2736" w:rsidRPr="005B6620">
        <w:rPr>
          <w:rStyle w:val="FootnoteText"/>
          <w:sz w:val="16"/>
          <w:szCs w:val="16"/>
        </w:rPr>
        <w:t>Объединенн</w:t>
      </w:r>
      <w:r w:rsidR="008A2736">
        <w:rPr>
          <w:rStyle w:val="FootnoteText"/>
          <w:sz w:val="16"/>
          <w:szCs w:val="16"/>
        </w:rPr>
        <w:t>ые Арабские Эмираты</w:t>
      </w:r>
      <w:r w:rsidR="008A2736" w:rsidRPr="005B6620">
        <w:rPr>
          <w:rStyle w:val="FootnoteText"/>
          <w:sz w:val="16"/>
          <w:szCs w:val="16"/>
        </w:rPr>
        <w:t xml:space="preserve">, </w:t>
      </w:r>
      <w:r w:rsidR="00957428" w:rsidRPr="00957428">
        <w:rPr>
          <w:rStyle w:val="FootnoteText"/>
          <w:sz w:val="16"/>
          <w:szCs w:val="16"/>
        </w:rPr>
        <w:t xml:space="preserve">Руанда, Самоа, </w:t>
      </w:r>
      <w:r w:rsidR="008D1318">
        <w:rPr>
          <w:rStyle w:val="FootnoteText"/>
          <w:sz w:val="16"/>
          <w:szCs w:val="16"/>
        </w:rPr>
        <w:t xml:space="preserve">Свазиленд, </w:t>
      </w:r>
      <w:r w:rsidR="000244EB">
        <w:rPr>
          <w:rStyle w:val="FootnoteText"/>
          <w:sz w:val="16"/>
          <w:szCs w:val="16"/>
        </w:rPr>
        <w:t xml:space="preserve">Таджикистан, </w:t>
      </w:r>
      <w:r w:rsidR="00957428" w:rsidRPr="00957428">
        <w:rPr>
          <w:rStyle w:val="FootnoteText"/>
          <w:sz w:val="16"/>
          <w:szCs w:val="16"/>
        </w:rPr>
        <w:t>Э</w:t>
      </w:r>
      <w:r w:rsidR="00110995">
        <w:rPr>
          <w:rStyle w:val="FootnoteText"/>
          <w:sz w:val="16"/>
          <w:szCs w:val="16"/>
        </w:rPr>
        <w:t>ритрея</w:t>
      </w:r>
      <w:r w:rsidRPr="005B6620">
        <w:rPr>
          <w:rStyle w:val="FootnoteText"/>
          <w:sz w:val="16"/>
          <w:szCs w:val="16"/>
        </w:rPr>
        <w:t>.</w:t>
      </w:r>
    </w:p>
  </w:footnote>
  <w:footnote w:id="13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Мальдивские Острова.</w:t>
      </w:r>
    </w:p>
  </w:footnote>
  <w:footnote w:id="14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</w:t>
      </w:r>
      <w:r>
        <w:rPr>
          <w:rStyle w:val="FootnoteText"/>
          <w:sz w:val="16"/>
          <w:szCs w:val="16"/>
        </w:rPr>
        <w:t xml:space="preserve">Бенин, </w:t>
      </w:r>
      <w:r w:rsidRPr="005B6620">
        <w:rPr>
          <w:rStyle w:val="FootnoteText"/>
          <w:sz w:val="16"/>
          <w:szCs w:val="16"/>
        </w:rPr>
        <w:t xml:space="preserve">Бразилия, Бурунди, Бутан, </w:t>
      </w:r>
      <w:r>
        <w:rPr>
          <w:rStyle w:val="FootnoteText"/>
          <w:sz w:val="16"/>
          <w:szCs w:val="16"/>
        </w:rPr>
        <w:t xml:space="preserve">Гвинея, Гвинея-Бисау, </w:t>
      </w:r>
      <w:r w:rsidR="00E22CB5">
        <w:rPr>
          <w:rStyle w:val="FootnoteText"/>
          <w:sz w:val="16"/>
          <w:szCs w:val="16"/>
        </w:rPr>
        <w:t xml:space="preserve">Индонезия, </w:t>
      </w:r>
      <w:r w:rsidRPr="005B6620">
        <w:rPr>
          <w:rStyle w:val="FootnoteText"/>
          <w:sz w:val="16"/>
          <w:szCs w:val="16"/>
        </w:rPr>
        <w:t xml:space="preserve">Камерун, Конго, Мали, </w:t>
      </w:r>
      <w:r>
        <w:rPr>
          <w:rStyle w:val="FootnoteText"/>
          <w:sz w:val="16"/>
          <w:szCs w:val="16"/>
        </w:rPr>
        <w:t xml:space="preserve">Российская Федерация, Самоа, Сомали, </w:t>
      </w:r>
      <w:r w:rsidRPr="005B6620">
        <w:rPr>
          <w:rStyle w:val="FootnoteText"/>
          <w:sz w:val="16"/>
          <w:szCs w:val="16"/>
        </w:rPr>
        <w:t xml:space="preserve">Судан, </w:t>
      </w:r>
      <w:r w:rsidR="00E22CB5">
        <w:rPr>
          <w:rStyle w:val="FootnoteText"/>
          <w:sz w:val="16"/>
          <w:szCs w:val="16"/>
        </w:rPr>
        <w:t xml:space="preserve">Тайланд, </w:t>
      </w:r>
      <w:r w:rsidRPr="005B6620">
        <w:rPr>
          <w:rStyle w:val="FootnoteText"/>
          <w:sz w:val="16"/>
          <w:szCs w:val="16"/>
        </w:rPr>
        <w:t>Финляндия, Эритрея.</w:t>
      </w:r>
      <w:r>
        <w:rPr>
          <w:rStyle w:val="FootnoteText"/>
          <w:sz w:val="16"/>
          <w:szCs w:val="16"/>
        </w:rPr>
        <w:t xml:space="preserve"> </w:t>
      </w:r>
    </w:p>
  </w:footnote>
  <w:footnote w:id="15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  <w:vertAlign w:val="superscript"/>
        </w:rPr>
        <w:t xml:space="preserve"> </w:t>
      </w:r>
      <w:r w:rsidRPr="005B6620">
        <w:rPr>
          <w:rStyle w:val="FootnoteText"/>
          <w:sz w:val="16"/>
          <w:szCs w:val="16"/>
        </w:rPr>
        <w:t xml:space="preserve">Бразилия, Европейский союз, Камерун, Конго, Мальта, </w:t>
      </w:r>
      <w:r>
        <w:rPr>
          <w:rStyle w:val="FootnoteText"/>
          <w:sz w:val="16"/>
          <w:szCs w:val="16"/>
        </w:rPr>
        <w:t xml:space="preserve">Российская Федерация, Самоа, </w:t>
      </w:r>
      <w:r w:rsidRPr="005B6620">
        <w:rPr>
          <w:rStyle w:val="FootnoteText"/>
          <w:sz w:val="16"/>
          <w:szCs w:val="16"/>
        </w:rPr>
        <w:t>Уганда, Япония.</w:t>
      </w:r>
    </w:p>
  </w:footnote>
  <w:footnote w:id="16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Финляндия.</w:t>
      </w:r>
    </w:p>
  </w:footnote>
  <w:footnote w:id="17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Бразилия, </w:t>
      </w:r>
      <w:r>
        <w:rPr>
          <w:rStyle w:val="FootnoteText"/>
          <w:sz w:val="16"/>
          <w:szCs w:val="16"/>
        </w:rPr>
        <w:t xml:space="preserve">Гвинея, Гвинея-Бисау, </w:t>
      </w:r>
      <w:r w:rsidRPr="005B6620">
        <w:rPr>
          <w:rStyle w:val="FootnoteText"/>
          <w:sz w:val="16"/>
          <w:szCs w:val="16"/>
        </w:rPr>
        <w:t xml:space="preserve">Европейский союз, Конго, </w:t>
      </w:r>
      <w:r>
        <w:rPr>
          <w:rStyle w:val="FootnoteText"/>
          <w:sz w:val="16"/>
          <w:szCs w:val="16"/>
        </w:rPr>
        <w:t xml:space="preserve">Российская Федерация, Самоа, Соломоновы Острова, </w:t>
      </w:r>
      <w:r w:rsidRPr="005B6620">
        <w:rPr>
          <w:rStyle w:val="FootnoteText"/>
          <w:sz w:val="16"/>
          <w:szCs w:val="16"/>
        </w:rPr>
        <w:t>Судан, Уганда, Финляндия, Эритрея.</w:t>
      </w:r>
    </w:p>
  </w:footnote>
  <w:footnote w:id="18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Афганистан, Беларусь, Бельгия, </w:t>
      </w:r>
      <w:r w:rsidR="006A7C50">
        <w:rPr>
          <w:rStyle w:val="FootnoteText"/>
          <w:sz w:val="16"/>
          <w:szCs w:val="16"/>
        </w:rPr>
        <w:t xml:space="preserve">Бенин, </w:t>
      </w:r>
      <w:r w:rsidRPr="005B6620">
        <w:rPr>
          <w:rStyle w:val="FootnoteText"/>
          <w:sz w:val="16"/>
          <w:szCs w:val="16"/>
        </w:rPr>
        <w:t xml:space="preserve">Бутан, </w:t>
      </w:r>
      <w:r w:rsidR="0080520A">
        <w:rPr>
          <w:rStyle w:val="FootnoteText"/>
          <w:sz w:val="16"/>
          <w:szCs w:val="16"/>
        </w:rPr>
        <w:t xml:space="preserve">Гвинея-Бисау, </w:t>
      </w:r>
      <w:r w:rsidRPr="005B6620">
        <w:rPr>
          <w:rStyle w:val="FootnoteText"/>
          <w:sz w:val="16"/>
          <w:szCs w:val="16"/>
        </w:rPr>
        <w:t xml:space="preserve">Замбия, </w:t>
      </w:r>
      <w:r w:rsidR="0088230D">
        <w:rPr>
          <w:rStyle w:val="FootnoteText"/>
          <w:sz w:val="16"/>
          <w:szCs w:val="16"/>
        </w:rPr>
        <w:t xml:space="preserve">Камбоджа, </w:t>
      </w:r>
      <w:r w:rsidRPr="005B6620">
        <w:rPr>
          <w:rStyle w:val="FootnoteText"/>
          <w:sz w:val="16"/>
          <w:szCs w:val="16"/>
        </w:rPr>
        <w:t xml:space="preserve">Конго, </w:t>
      </w:r>
      <w:r w:rsidR="0080520A">
        <w:rPr>
          <w:rStyle w:val="FootnoteText"/>
          <w:sz w:val="16"/>
          <w:szCs w:val="16"/>
        </w:rPr>
        <w:t xml:space="preserve">Руанда, </w:t>
      </w:r>
      <w:r>
        <w:rPr>
          <w:rStyle w:val="FootnoteText"/>
          <w:sz w:val="16"/>
          <w:szCs w:val="16"/>
        </w:rPr>
        <w:t xml:space="preserve">Самоа, </w:t>
      </w:r>
      <w:r w:rsidRPr="005B6620">
        <w:rPr>
          <w:rStyle w:val="FootnoteText"/>
          <w:sz w:val="16"/>
          <w:szCs w:val="16"/>
        </w:rPr>
        <w:t>Сент-Китс и Невис, Уганда, Финляндия.</w:t>
      </w:r>
    </w:p>
  </w:footnote>
  <w:footnote w:id="19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Австрия, </w:t>
      </w:r>
      <w:r>
        <w:rPr>
          <w:rStyle w:val="FootnoteText"/>
          <w:sz w:val="16"/>
          <w:szCs w:val="16"/>
        </w:rPr>
        <w:t xml:space="preserve">Бенин, </w:t>
      </w:r>
      <w:r w:rsidRPr="005B6620">
        <w:rPr>
          <w:rStyle w:val="FootnoteText"/>
          <w:sz w:val="16"/>
          <w:szCs w:val="16"/>
        </w:rPr>
        <w:t xml:space="preserve">Бразилия, Бутан, Грузия, Доминика, Замбия, Камерун, </w:t>
      </w:r>
      <w:r>
        <w:rPr>
          <w:rStyle w:val="FootnoteText"/>
          <w:sz w:val="16"/>
          <w:szCs w:val="16"/>
        </w:rPr>
        <w:t xml:space="preserve">Катар, </w:t>
      </w:r>
      <w:r w:rsidRPr="005B6620">
        <w:rPr>
          <w:rStyle w:val="FootnoteText"/>
          <w:sz w:val="16"/>
          <w:szCs w:val="16"/>
        </w:rPr>
        <w:t xml:space="preserve">Конго, Мали, Мальдивские Острова, Намибия, Объединенная Республика Танзания, </w:t>
      </w:r>
      <w:r w:rsidR="00700B69">
        <w:rPr>
          <w:rStyle w:val="FootnoteText"/>
          <w:sz w:val="16"/>
          <w:szCs w:val="16"/>
        </w:rPr>
        <w:t xml:space="preserve">Руанда, </w:t>
      </w:r>
      <w:r>
        <w:rPr>
          <w:rStyle w:val="FootnoteText"/>
          <w:sz w:val="16"/>
          <w:szCs w:val="16"/>
        </w:rPr>
        <w:t xml:space="preserve">Самоа, </w:t>
      </w:r>
      <w:r w:rsidRPr="005B6620">
        <w:rPr>
          <w:rStyle w:val="FootnoteText"/>
          <w:sz w:val="16"/>
          <w:szCs w:val="16"/>
        </w:rPr>
        <w:t xml:space="preserve">Сент-Китс и Невис, </w:t>
      </w:r>
      <w:r>
        <w:rPr>
          <w:rStyle w:val="FootnoteText"/>
          <w:sz w:val="16"/>
          <w:szCs w:val="16"/>
        </w:rPr>
        <w:t xml:space="preserve">Соломоновы Острова, </w:t>
      </w:r>
      <w:r w:rsidRPr="005B6620">
        <w:rPr>
          <w:rStyle w:val="FootnoteText"/>
          <w:sz w:val="16"/>
          <w:szCs w:val="16"/>
        </w:rPr>
        <w:t>Уганда, Финляндия, Эритрея.</w:t>
      </w:r>
    </w:p>
  </w:footnote>
  <w:footnote w:id="20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Афганистан, Бельгия, Бразилия, Бутан, </w:t>
      </w:r>
      <w:r>
        <w:rPr>
          <w:rStyle w:val="FootnoteText"/>
          <w:sz w:val="16"/>
          <w:szCs w:val="16"/>
        </w:rPr>
        <w:t xml:space="preserve">Гвинея, </w:t>
      </w:r>
      <w:r w:rsidRPr="005B6620">
        <w:rPr>
          <w:rStyle w:val="FootnoteText"/>
          <w:sz w:val="16"/>
          <w:szCs w:val="16"/>
        </w:rPr>
        <w:t>Грузия, Европейский союз, Замбия</w:t>
      </w:r>
      <w:r w:rsidR="00CA65A6">
        <w:rPr>
          <w:rStyle w:val="FootnoteText"/>
          <w:sz w:val="16"/>
          <w:szCs w:val="16"/>
        </w:rPr>
        <w:t xml:space="preserve">, </w:t>
      </w:r>
      <w:r w:rsidRPr="005B6620">
        <w:rPr>
          <w:rStyle w:val="FootnoteText"/>
          <w:sz w:val="16"/>
          <w:szCs w:val="16"/>
        </w:rPr>
        <w:t xml:space="preserve">Индия, Ирландия, </w:t>
      </w:r>
      <w:r w:rsidR="00BE6EC7">
        <w:rPr>
          <w:rStyle w:val="FootnoteText"/>
          <w:sz w:val="16"/>
          <w:szCs w:val="16"/>
        </w:rPr>
        <w:t xml:space="preserve">Йемен, </w:t>
      </w:r>
      <w:r>
        <w:rPr>
          <w:rStyle w:val="FootnoteText"/>
          <w:sz w:val="16"/>
          <w:szCs w:val="16"/>
        </w:rPr>
        <w:t xml:space="preserve">Камбоджа, </w:t>
      </w:r>
      <w:r w:rsidRPr="005B6620">
        <w:rPr>
          <w:rStyle w:val="FootnoteText"/>
          <w:sz w:val="16"/>
          <w:szCs w:val="16"/>
        </w:rPr>
        <w:t xml:space="preserve">Конго, </w:t>
      </w:r>
      <w:r>
        <w:rPr>
          <w:rStyle w:val="FootnoteText"/>
          <w:sz w:val="16"/>
          <w:szCs w:val="16"/>
        </w:rPr>
        <w:t xml:space="preserve">Куба, </w:t>
      </w:r>
      <w:r w:rsidRPr="005B6620">
        <w:rPr>
          <w:rStyle w:val="FootnoteText"/>
          <w:sz w:val="16"/>
          <w:szCs w:val="16"/>
        </w:rPr>
        <w:t xml:space="preserve">Кыргызстан, </w:t>
      </w:r>
      <w:r w:rsidR="00E50834">
        <w:rPr>
          <w:rStyle w:val="FootnoteText"/>
          <w:sz w:val="16"/>
          <w:szCs w:val="16"/>
        </w:rPr>
        <w:t xml:space="preserve">Либерия, Люксембург, </w:t>
      </w:r>
      <w:r w:rsidRPr="005B6620">
        <w:rPr>
          <w:rStyle w:val="FootnoteText"/>
          <w:sz w:val="16"/>
          <w:szCs w:val="16"/>
        </w:rPr>
        <w:t xml:space="preserve">Мали, Намибия, Нигерия, </w:t>
      </w:r>
      <w:r>
        <w:rPr>
          <w:rStyle w:val="FootnoteText"/>
          <w:sz w:val="16"/>
          <w:szCs w:val="16"/>
        </w:rPr>
        <w:t xml:space="preserve">Новая Зеландия, </w:t>
      </w:r>
      <w:r w:rsidRPr="005B6620">
        <w:rPr>
          <w:rStyle w:val="FootnoteText"/>
          <w:sz w:val="16"/>
          <w:szCs w:val="16"/>
        </w:rPr>
        <w:t xml:space="preserve">Объединенная Республика Танзания, Объединенные Арабские Эмираты, </w:t>
      </w:r>
      <w:r w:rsidR="008F4E7E">
        <w:rPr>
          <w:rStyle w:val="FootnoteText"/>
          <w:sz w:val="16"/>
          <w:szCs w:val="16"/>
        </w:rPr>
        <w:t xml:space="preserve">Руанда, </w:t>
      </w:r>
      <w:r>
        <w:rPr>
          <w:rStyle w:val="FootnoteText"/>
          <w:sz w:val="16"/>
          <w:szCs w:val="16"/>
        </w:rPr>
        <w:t xml:space="preserve">Самоа, Соломоновы Острова, </w:t>
      </w:r>
      <w:r w:rsidRPr="005B6620">
        <w:rPr>
          <w:rStyle w:val="FootnoteText"/>
          <w:sz w:val="16"/>
          <w:szCs w:val="16"/>
        </w:rPr>
        <w:t xml:space="preserve">Судан, </w:t>
      </w:r>
      <w:r>
        <w:rPr>
          <w:rStyle w:val="FootnoteText"/>
          <w:sz w:val="16"/>
          <w:szCs w:val="16"/>
        </w:rPr>
        <w:t xml:space="preserve">Таджикистан, </w:t>
      </w:r>
      <w:r w:rsidR="00654D2A">
        <w:rPr>
          <w:rStyle w:val="FootnoteText"/>
          <w:sz w:val="16"/>
          <w:szCs w:val="16"/>
        </w:rPr>
        <w:t xml:space="preserve">Тайланд, </w:t>
      </w:r>
      <w:r w:rsidRPr="005B6620">
        <w:rPr>
          <w:rStyle w:val="FootnoteText"/>
          <w:sz w:val="16"/>
          <w:szCs w:val="16"/>
        </w:rPr>
        <w:t>Уганда, Уругвай, Финляндия, Япония.</w:t>
      </w:r>
      <w:r>
        <w:rPr>
          <w:rStyle w:val="FootnoteText"/>
          <w:sz w:val="16"/>
          <w:szCs w:val="16"/>
        </w:rPr>
        <w:t xml:space="preserve"> </w:t>
      </w:r>
    </w:p>
  </w:footnote>
  <w:footnote w:id="21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>
        <w:rPr>
          <w:rStyle w:val="FootnoteText"/>
          <w:sz w:val="16"/>
          <w:szCs w:val="16"/>
        </w:rPr>
        <w:t xml:space="preserve"> Швеция</w:t>
      </w:r>
      <w:r w:rsidRPr="005B6620">
        <w:rPr>
          <w:rStyle w:val="FootnoteText"/>
          <w:sz w:val="16"/>
          <w:szCs w:val="16"/>
        </w:rPr>
        <w:t>.</w:t>
      </w:r>
    </w:p>
  </w:footnote>
  <w:footnote w:id="22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Антигуа и Барбуда, </w:t>
      </w:r>
      <w:r>
        <w:rPr>
          <w:rStyle w:val="FootnoteText"/>
          <w:sz w:val="16"/>
          <w:szCs w:val="16"/>
        </w:rPr>
        <w:t xml:space="preserve">Бенин, </w:t>
      </w:r>
      <w:r w:rsidRPr="005B6620">
        <w:rPr>
          <w:rStyle w:val="FootnoteText"/>
          <w:sz w:val="16"/>
          <w:szCs w:val="16"/>
        </w:rPr>
        <w:t xml:space="preserve">Бразилия, </w:t>
      </w:r>
      <w:r>
        <w:rPr>
          <w:rStyle w:val="FootnoteText"/>
          <w:sz w:val="16"/>
          <w:szCs w:val="16"/>
        </w:rPr>
        <w:t xml:space="preserve">Куба, </w:t>
      </w:r>
      <w:r w:rsidRPr="005B6620">
        <w:rPr>
          <w:rStyle w:val="FootnoteText"/>
          <w:sz w:val="16"/>
          <w:szCs w:val="16"/>
        </w:rPr>
        <w:t>Намибия, Объединенная Республика Танзания, Сент-Китс и Невис, Судан, Уругвай, Финляндия, Эритрея, Япония.</w:t>
      </w:r>
    </w:p>
  </w:footnote>
  <w:footnote w:id="23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Бельгия, </w:t>
      </w:r>
      <w:r>
        <w:rPr>
          <w:rStyle w:val="FootnoteText"/>
          <w:sz w:val="16"/>
          <w:szCs w:val="16"/>
        </w:rPr>
        <w:t xml:space="preserve">Гвинея, Гвинея-Бисау, </w:t>
      </w:r>
      <w:r w:rsidRPr="005B6620">
        <w:rPr>
          <w:rStyle w:val="FootnoteText"/>
          <w:sz w:val="16"/>
          <w:szCs w:val="16"/>
        </w:rPr>
        <w:t xml:space="preserve">Индия, Камерун, Конго, </w:t>
      </w:r>
      <w:r>
        <w:rPr>
          <w:rStyle w:val="FootnoteText"/>
          <w:sz w:val="16"/>
          <w:szCs w:val="16"/>
        </w:rPr>
        <w:t xml:space="preserve">Мексика, </w:t>
      </w:r>
      <w:r w:rsidRPr="005B6620">
        <w:rPr>
          <w:rStyle w:val="FootnoteText"/>
          <w:sz w:val="16"/>
          <w:szCs w:val="16"/>
        </w:rPr>
        <w:t xml:space="preserve">Объединенные Арабские Эмираты, </w:t>
      </w:r>
      <w:r>
        <w:rPr>
          <w:rStyle w:val="FootnoteText"/>
          <w:sz w:val="16"/>
          <w:szCs w:val="16"/>
        </w:rPr>
        <w:t xml:space="preserve">Самоа, </w:t>
      </w:r>
      <w:r w:rsidRPr="005B6620">
        <w:rPr>
          <w:rStyle w:val="FootnoteText"/>
          <w:sz w:val="16"/>
          <w:szCs w:val="16"/>
        </w:rPr>
        <w:t xml:space="preserve">Соединенное Королевство, </w:t>
      </w:r>
      <w:r>
        <w:rPr>
          <w:rStyle w:val="FootnoteText"/>
          <w:sz w:val="16"/>
          <w:szCs w:val="16"/>
        </w:rPr>
        <w:t xml:space="preserve">Соломоновы Острова, </w:t>
      </w:r>
      <w:r w:rsidRPr="005B6620">
        <w:rPr>
          <w:rStyle w:val="FootnoteText"/>
          <w:sz w:val="16"/>
          <w:szCs w:val="16"/>
        </w:rPr>
        <w:t>Судан, Уганда, Финляндия</w:t>
      </w:r>
      <w:r w:rsidR="00F87CB4">
        <w:rPr>
          <w:rStyle w:val="FootnoteText"/>
          <w:sz w:val="16"/>
          <w:szCs w:val="16"/>
        </w:rPr>
        <w:t>, Ямайка</w:t>
      </w:r>
      <w:r w:rsidRPr="005B6620">
        <w:rPr>
          <w:rStyle w:val="FootnoteText"/>
          <w:sz w:val="16"/>
          <w:szCs w:val="16"/>
        </w:rPr>
        <w:t>.</w:t>
      </w:r>
      <w:r>
        <w:rPr>
          <w:rStyle w:val="FootnoteText"/>
          <w:sz w:val="16"/>
          <w:szCs w:val="16"/>
        </w:rPr>
        <w:t xml:space="preserve"> </w:t>
      </w:r>
    </w:p>
  </w:footnote>
  <w:footnote w:id="24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Reference"/>
          <w:sz w:val="16"/>
          <w:szCs w:val="16"/>
          <w:u w:val="none"/>
          <w:vertAlign w:val="superscript"/>
        </w:rPr>
        <w:t xml:space="preserve"> </w:t>
      </w:r>
      <w:r w:rsidRPr="005B6620">
        <w:rPr>
          <w:rStyle w:val="FootnoteText"/>
          <w:sz w:val="16"/>
          <w:szCs w:val="16"/>
        </w:rPr>
        <w:t>Бразилия</w:t>
      </w:r>
      <w:r>
        <w:rPr>
          <w:rStyle w:val="FootnoteText"/>
          <w:sz w:val="16"/>
          <w:szCs w:val="16"/>
        </w:rPr>
        <w:t>,</w:t>
      </w:r>
      <w:r w:rsidRPr="005B6620">
        <w:rPr>
          <w:rStyle w:val="FootnoteText"/>
          <w:sz w:val="16"/>
          <w:szCs w:val="16"/>
        </w:rPr>
        <w:t xml:space="preserve"> Доминика</w:t>
      </w:r>
      <w:r w:rsidR="009A199A">
        <w:rPr>
          <w:rStyle w:val="FootnoteText"/>
          <w:sz w:val="16"/>
          <w:szCs w:val="16"/>
        </w:rPr>
        <w:t xml:space="preserve">, </w:t>
      </w:r>
      <w:r>
        <w:rPr>
          <w:rStyle w:val="FootnoteText"/>
          <w:sz w:val="16"/>
          <w:szCs w:val="16"/>
        </w:rPr>
        <w:t>Куба</w:t>
      </w:r>
      <w:r w:rsidRPr="005B6620">
        <w:rPr>
          <w:rStyle w:val="FootnoteText"/>
          <w:sz w:val="16"/>
          <w:szCs w:val="16"/>
        </w:rPr>
        <w:t>.</w:t>
      </w:r>
    </w:p>
  </w:footnote>
  <w:footnote w:id="25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Австрия, Афганистан, </w:t>
      </w:r>
      <w:r>
        <w:rPr>
          <w:rStyle w:val="FootnoteText"/>
          <w:sz w:val="16"/>
          <w:szCs w:val="16"/>
        </w:rPr>
        <w:t xml:space="preserve">Бангладеш, </w:t>
      </w:r>
      <w:r w:rsidRPr="005B6620">
        <w:rPr>
          <w:rStyle w:val="FootnoteText"/>
          <w:sz w:val="16"/>
          <w:szCs w:val="16"/>
        </w:rPr>
        <w:t xml:space="preserve">Беларусь, </w:t>
      </w:r>
      <w:r>
        <w:rPr>
          <w:rStyle w:val="FootnoteText"/>
          <w:sz w:val="16"/>
          <w:szCs w:val="16"/>
        </w:rPr>
        <w:t xml:space="preserve">Бенин, </w:t>
      </w:r>
      <w:r w:rsidRPr="005B6620">
        <w:rPr>
          <w:rStyle w:val="FootnoteText"/>
          <w:sz w:val="16"/>
          <w:szCs w:val="16"/>
        </w:rPr>
        <w:t xml:space="preserve">Бразилия, Бутан, Венгрия, Венесуэла, Вьетнам, </w:t>
      </w:r>
      <w:r>
        <w:rPr>
          <w:rStyle w:val="FootnoteText"/>
          <w:sz w:val="16"/>
          <w:szCs w:val="16"/>
        </w:rPr>
        <w:t xml:space="preserve">Гвинея, </w:t>
      </w:r>
      <w:r w:rsidRPr="005B6620">
        <w:rPr>
          <w:rStyle w:val="FootnoteText"/>
          <w:sz w:val="16"/>
          <w:szCs w:val="16"/>
        </w:rPr>
        <w:t xml:space="preserve">Грузия, Доминиканская Республика, Зимбабве, </w:t>
      </w:r>
      <w:r>
        <w:rPr>
          <w:rStyle w:val="FootnoteText"/>
          <w:sz w:val="16"/>
          <w:szCs w:val="16"/>
        </w:rPr>
        <w:t xml:space="preserve">Камбоджа, </w:t>
      </w:r>
      <w:r w:rsidRPr="005B6620">
        <w:rPr>
          <w:rStyle w:val="FootnoteText"/>
          <w:sz w:val="16"/>
          <w:szCs w:val="16"/>
        </w:rPr>
        <w:t xml:space="preserve">Камерун, Канада, Конго, </w:t>
      </w:r>
      <w:r w:rsidR="009328A0">
        <w:rPr>
          <w:rStyle w:val="FootnoteText"/>
          <w:sz w:val="16"/>
          <w:szCs w:val="16"/>
        </w:rPr>
        <w:t xml:space="preserve">Маврикий, </w:t>
      </w:r>
      <w:r>
        <w:rPr>
          <w:rStyle w:val="FootnoteText"/>
          <w:sz w:val="16"/>
          <w:szCs w:val="16"/>
        </w:rPr>
        <w:t xml:space="preserve">Норвегия, </w:t>
      </w:r>
      <w:r w:rsidR="00FB3B81">
        <w:rPr>
          <w:rStyle w:val="FootnoteText"/>
          <w:sz w:val="16"/>
          <w:szCs w:val="16"/>
        </w:rPr>
        <w:t xml:space="preserve">Руанда, </w:t>
      </w:r>
      <w:r>
        <w:rPr>
          <w:rStyle w:val="FootnoteText"/>
          <w:sz w:val="16"/>
          <w:szCs w:val="16"/>
        </w:rPr>
        <w:t xml:space="preserve">Самоа, Соломоновы Острова, </w:t>
      </w:r>
      <w:r w:rsidRPr="005B6620">
        <w:rPr>
          <w:rStyle w:val="FootnoteText"/>
          <w:sz w:val="16"/>
          <w:szCs w:val="16"/>
        </w:rPr>
        <w:t>Соединенное Королевство Великобритании и Северной Ирландии (Англия, Северная Ирландия, Шотландия), Судан, Уганда, Финляндия, Эритрея, Япония.</w:t>
      </w:r>
    </w:p>
  </w:footnote>
  <w:footnote w:id="26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Афганистан, Бутан, </w:t>
      </w:r>
      <w:r>
        <w:rPr>
          <w:rStyle w:val="FootnoteText"/>
          <w:sz w:val="16"/>
          <w:szCs w:val="16"/>
        </w:rPr>
        <w:t xml:space="preserve">Гвинея, Гвинея-Бисау, </w:t>
      </w:r>
      <w:r w:rsidRPr="005B6620">
        <w:rPr>
          <w:rStyle w:val="FootnoteText"/>
          <w:sz w:val="16"/>
          <w:szCs w:val="16"/>
        </w:rPr>
        <w:t xml:space="preserve">Грузия, Замбия, Зимбабве, Индия, Камерун, Конго, </w:t>
      </w:r>
      <w:r w:rsidR="00550D60">
        <w:rPr>
          <w:rStyle w:val="FootnoteText"/>
          <w:sz w:val="16"/>
          <w:szCs w:val="16"/>
        </w:rPr>
        <w:t xml:space="preserve">Маврикий, </w:t>
      </w:r>
      <w:r w:rsidRPr="005B6620">
        <w:rPr>
          <w:rStyle w:val="FootnoteText"/>
          <w:sz w:val="16"/>
          <w:szCs w:val="16"/>
        </w:rPr>
        <w:t xml:space="preserve">Мали, </w:t>
      </w:r>
      <w:r>
        <w:rPr>
          <w:rStyle w:val="FootnoteText"/>
          <w:sz w:val="16"/>
          <w:szCs w:val="16"/>
        </w:rPr>
        <w:t xml:space="preserve">Мексика, </w:t>
      </w:r>
      <w:r w:rsidR="005445F7" w:rsidRPr="005B6620">
        <w:rPr>
          <w:rStyle w:val="FootnoteText"/>
          <w:sz w:val="16"/>
          <w:szCs w:val="16"/>
        </w:rPr>
        <w:t xml:space="preserve">Нигерия, </w:t>
      </w:r>
      <w:r>
        <w:rPr>
          <w:rStyle w:val="FootnoteText"/>
          <w:sz w:val="16"/>
          <w:szCs w:val="16"/>
        </w:rPr>
        <w:t xml:space="preserve">Самоа, Соломоновы Острова, </w:t>
      </w:r>
      <w:r w:rsidRPr="005B6620">
        <w:rPr>
          <w:rStyle w:val="FootnoteText"/>
          <w:sz w:val="16"/>
          <w:szCs w:val="16"/>
        </w:rPr>
        <w:t>Судан, Того, Уганда, Финляндия.</w:t>
      </w:r>
    </w:p>
  </w:footnote>
  <w:footnote w:id="27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Бразилия.</w:t>
      </w:r>
    </w:p>
  </w:footnote>
  <w:footnote w:id="28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Афганистан, </w:t>
      </w:r>
      <w:r>
        <w:rPr>
          <w:rStyle w:val="FootnoteText"/>
          <w:sz w:val="16"/>
          <w:szCs w:val="16"/>
        </w:rPr>
        <w:t xml:space="preserve">Бангладеш, </w:t>
      </w:r>
      <w:r w:rsidRPr="005B6620">
        <w:rPr>
          <w:rStyle w:val="FootnoteText"/>
          <w:sz w:val="16"/>
          <w:szCs w:val="16"/>
        </w:rPr>
        <w:t xml:space="preserve">Бельгия, </w:t>
      </w:r>
      <w:r>
        <w:rPr>
          <w:rStyle w:val="FootnoteText"/>
          <w:sz w:val="16"/>
          <w:szCs w:val="16"/>
        </w:rPr>
        <w:t xml:space="preserve">Бенин, </w:t>
      </w:r>
      <w:r w:rsidRPr="005B6620">
        <w:rPr>
          <w:rStyle w:val="FootnoteText"/>
          <w:sz w:val="16"/>
          <w:szCs w:val="16"/>
        </w:rPr>
        <w:t xml:space="preserve">Бразилия, Бутан, </w:t>
      </w:r>
      <w:r>
        <w:rPr>
          <w:rStyle w:val="FootnoteText"/>
          <w:sz w:val="16"/>
          <w:szCs w:val="16"/>
        </w:rPr>
        <w:t>Гвинея</w:t>
      </w:r>
      <w:r w:rsidR="00AE5772">
        <w:rPr>
          <w:rStyle w:val="FootnoteText"/>
          <w:sz w:val="16"/>
          <w:szCs w:val="16"/>
        </w:rPr>
        <w:t xml:space="preserve">, </w:t>
      </w:r>
      <w:r>
        <w:rPr>
          <w:rStyle w:val="FootnoteText"/>
          <w:sz w:val="16"/>
          <w:szCs w:val="16"/>
        </w:rPr>
        <w:t xml:space="preserve">Гвинея-Бисау, </w:t>
      </w:r>
      <w:r w:rsidRPr="005B6620">
        <w:rPr>
          <w:rStyle w:val="FootnoteText"/>
          <w:sz w:val="16"/>
          <w:szCs w:val="16"/>
        </w:rPr>
        <w:t xml:space="preserve">Зимбабве, </w:t>
      </w:r>
      <w:r>
        <w:rPr>
          <w:rStyle w:val="FootnoteText"/>
          <w:sz w:val="16"/>
          <w:szCs w:val="16"/>
        </w:rPr>
        <w:t xml:space="preserve">Камбоджа, </w:t>
      </w:r>
      <w:r w:rsidRPr="005B6620">
        <w:rPr>
          <w:rStyle w:val="FootnoteText"/>
          <w:sz w:val="16"/>
          <w:szCs w:val="16"/>
        </w:rPr>
        <w:t xml:space="preserve">Конго, Мали, </w:t>
      </w:r>
      <w:r>
        <w:rPr>
          <w:rStyle w:val="FootnoteText"/>
          <w:sz w:val="16"/>
          <w:szCs w:val="16"/>
        </w:rPr>
        <w:t xml:space="preserve">Самоа, Соломоновы Острова, </w:t>
      </w:r>
      <w:r w:rsidRPr="005B6620">
        <w:rPr>
          <w:rStyle w:val="FootnoteText"/>
          <w:sz w:val="16"/>
          <w:szCs w:val="16"/>
        </w:rPr>
        <w:t xml:space="preserve">Судан, Объединенная Республика Танзания, </w:t>
      </w:r>
      <w:r w:rsidR="003027B1">
        <w:rPr>
          <w:rStyle w:val="FootnoteText"/>
          <w:sz w:val="16"/>
          <w:szCs w:val="16"/>
        </w:rPr>
        <w:t xml:space="preserve">Руанда, </w:t>
      </w:r>
      <w:r w:rsidRPr="005B6620">
        <w:rPr>
          <w:rStyle w:val="FootnoteText"/>
          <w:sz w:val="16"/>
          <w:szCs w:val="16"/>
        </w:rPr>
        <w:t>Уругвай</w:t>
      </w:r>
      <w:r>
        <w:rPr>
          <w:rStyle w:val="FootnoteText"/>
          <w:sz w:val="16"/>
          <w:szCs w:val="16"/>
        </w:rPr>
        <w:t>,</w:t>
      </w:r>
      <w:r w:rsidRPr="005B6620">
        <w:rPr>
          <w:rStyle w:val="FootnoteText"/>
          <w:sz w:val="16"/>
          <w:szCs w:val="16"/>
        </w:rPr>
        <w:t xml:space="preserve"> Финляндия</w:t>
      </w:r>
      <w:r w:rsidR="00326499">
        <w:rPr>
          <w:rStyle w:val="FootnoteText"/>
          <w:sz w:val="16"/>
          <w:szCs w:val="16"/>
        </w:rPr>
        <w:t xml:space="preserve">, </w:t>
      </w:r>
      <w:r w:rsidR="003F3580">
        <w:rPr>
          <w:rStyle w:val="FootnoteText"/>
          <w:sz w:val="16"/>
          <w:szCs w:val="16"/>
        </w:rPr>
        <w:t>Эритрея</w:t>
      </w:r>
      <w:r w:rsidR="00326499">
        <w:rPr>
          <w:rStyle w:val="FootnoteText"/>
          <w:sz w:val="16"/>
          <w:szCs w:val="16"/>
        </w:rPr>
        <w:t>,</w:t>
      </w:r>
      <w:r w:rsidR="00326499" w:rsidRPr="00326499">
        <w:rPr>
          <w:rStyle w:val="FootnoteText"/>
          <w:sz w:val="16"/>
          <w:szCs w:val="16"/>
        </w:rPr>
        <w:t xml:space="preserve"> </w:t>
      </w:r>
      <w:r w:rsidR="00326499">
        <w:rPr>
          <w:rStyle w:val="FootnoteText"/>
          <w:sz w:val="16"/>
          <w:szCs w:val="16"/>
        </w:rPr>
        <w:t>Южная Африка</w:t>
      </w:r>
      <w:r w:rsidR="006F43D6">
        <w:rPr>
          <w:rStyle w:val="FootnoteText"/>
          <w:sz w:val="16"/>
          <w:szCs w:val="16"/>
        </w:rPr>
        <w:t>, Ямайка.</w:t>
      </w:r>
    </w:p>
  </w:footnote>
  <w:footnote w:id="29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Гамбия, Объединенные Арабские Эмираты и Япония.</w:t>
      </w:r>
    </w:p>
  </w:footnote>
  <w:footnote w:id="30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Австрия, Беларусь, </w:t>
      </w:r>
      <w:r w:rsidR="00E97AC3">
        <w:rPr>
          <w:rStyle w:val="FootnoteText"/>
          <w:sz w:val="16"/>
          <w:szCs w:val="16"/>
        </w:rPr>
        <w:t xml:space="preserve">Белиз, </w:t>
      </w:r>
      <w:r w:rsidRPr="005B6620">
        <w:rPr>
          <w:rStyle w:val="FootnoteText"/>
          <w:sz w:val="16"/>
          <w:szCs w:val="16"/>
        </w:rPr>
        <w:t xml:space="preserve">Бельгия, Бразилия, Венгрия, Гватемала, </w:t>
      </w:r>
      <w:r>
        <w:rPr>
          <w:rStyle w:val="FootnoteText"/>
          <w:sz w:val="16"/>
          <w:szCs w:val="16"/>
        </w:rPr>
        <w:t xml:space="preserve">Гвинея, </w:t>
      </w:r>
      <w:r w:rsidRPr="005B6620">
        <w:rPr>
          <w:rStyle w:val="FootnoteText"/>
          <w:sz w:val="16"/>
          <w:szCs w:val="16"/>
        </w:rPr>
        <w:t xml:space="preserve">Доминика, Европейский союз, Конго, </w:t>
      </w:r>
      <w:r w:rsidR="002A059B">
        <w:rPr>
          <w:rStyle w:val="FootnoteText"/>
          <w:sz w:val="16"/>
          <w:szCs w:val="16"/>
        </w:rPr>
        <w:t xml:space="preserve">Люксембург, </w:t>
      </w:r>
      <w:r>
        <w:rPr>
          <w:rStyle w:val="FootnoteText"/>
          <w:sz w:val="16"/>
          <w:szCs w:val="16"/>
        </w:rPr>
        <w:t xml:space="preserve">Российская Федерация, Самоа, </w:t>
      </w:r>
      <w:r w:rsidRPr="005B6620">
        <w:rPr>
          <w:rStyle w:val="FootnoteText"/>
          <w:sz w:val="16"/>
          <w:szCs w:val="16"/>
        </w:rPr>
        <w:t xml:space="preserve">Судан, </w:t>
      </w:r>
      <w:r>
        <w:rPr>
          <w:rStyle w:val="FootnoteText"/>
          <w:sz w:val="16"/>
          <w:szCs w:val="16"/>
        </w:rPr>
        <w:t xml:space="preserve">Таджикистан, </w:t>
      </w:r>
      <w:r w:rsidRPr="005B6620">
        <w:rPr>
          <w:rStyle w:val="FootnoteText"/>
          <w:sz w:val="16"/>
          <w:szCs w:val="16"/>
        </w:rPr>
        <w:t>Уганда</w:t>
      </w:r>
      <w:r w:rsidR="00E97AC3">
        <w:rPr>
          <w:rStyle w:val="FootnoteText"/>
          <w:sz w:val="16"/>
          <w:szCs w:val="16"/>
        </w:rPr>
        <w:t>, Ямайка</w:t>
      </w:r>
      <w:r w:rsidRPr="005B6620">
        <w:rPr>
          <w:rStyle w:val="FootnoteText"/>
          <w:sz w:val="16"/>
          <w:szCs w:val="16"/>
        </w:rPr>
        <w:t>.</w:t>
      </w:r>
    </w:p>
  </w:footnote>
  <w:footnote w:id="31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</w:t>
      </w:r>
      <w:r>
        <w:rPr>
          <w:rStyle w:val="FootnoteText"/>
          <w:sz w:val="16"/>
          <w:szCs w:val="16"/>
        </w:rPr>
        <w:t xml:space="preserve">Албания, </w:t>
      </w:r>
      <w:r w:rsidRPr="005B6620">
        <w:rPr>
          <w:rStyle w:val="FootnoteText"/>
          <w:sz w:val="16"/>
          <w:szCs w:val="16"/>
        </w:rPr>
        <w:t xml:space="preserve">Антигуа и Барбуда, Афганистан, Бельгия, </w:t>
      </w:r>
      <w:r>
        <w:rPr>
          <w:rStyle w:val="FootnoteText"/>
          <w:sz w:val="16"/>
          <w:szCs w:val="16"/>
        </w:rPr>
        <w:t xml:space="preserve">Бенин, </w:t>
      </w:r>
      <w:r w:rsidRPr="005B6620">
        <w:rPr>
          <w:rStyle w:val="FootnoteText"/>
          <w:sz w:val="16"/>
          <w:szCs w:val="16"/>
        </w:rPr>
        <w:t>Бразилия, Бутан, Венгрия, Гамбия, Доминиканская Республика, Замби</w:t>
      </w:r>
      <w:r w:rsidR="00842CB2">
        <w:rPr>
          <w:rStyle w:val="FootnoteText"/>
          <w:sz w:val="16"/>
          <w:szCs w:val="16"/>
        </w:rPr>
        <w:t>я</w:t>
      </w:r>
      <w:r w:rsidRPr="005B6620">
        <w:rPr>
          <w:rStyle w:val="FootnoteText"/>
          <w:sz w:val="16"/>
          <w:szCs w:val="16"/>
        </w:rPr>
        <w:t xml:space="preserve">, Зимбабве, Индия, Иордания, </w:t>
      </w:r>
      <w:r>
        <w:rPr>
          <w:rStyle w:val="FootnoteText"/>
          <w:sz w:val="16"/>
          <w:szCs w:val="16"/>
        </w:rPr>
        <w:t xml:space="preserve">Кабо-Верде, Камбоджа, </w:t>
      </w:r>
      <w:r w:rsidRPr="005B6620">
        <w:rPr>
          <w:rStyle w:val="FootnoteText"/>
          <w:sz w:val="16"/>
          <w:szCs w:val="16"/>
        </w:rPr>
        <w:t xml:space="preserve">Конго, Мали, Намибия, Перу, </w:t>
      </w:r>
      <w:r w:rsidR="00402925">
        <w:rPr>
          <w:rStyle w:val="FootnoteText"/>
          <w:sz w:val="16"/>
          <w:szCs w:val="16"/>
        </w:rPr>
        <w:t xml:space="preserve">Румыния, </w:t>
      </w:r>
      <w:r>
        <w:rPr>
          <w:rStyle w:val="FootnoteText"/>
          <w:sz w:val="16"/>
          <w:szCs w:val="16"/>
        </w:rPr>
        <w:t xml:space="preserve">Самоа, </w:t>
      </w:r>
      <w:r w:rsidRPr="005B6620">
        <w:rPr>
          <w:rStyle w:val="FootnoteText"/>
          <w:sz w:val="16"/>
          <w:szCs w:val="16"/>
        </w:rPr>
        <w:t xml:space="preserve">Того, Финляндия, Эритрея, </w:t>
      </w:r>
      <w:r>
        <w:rPr>
          <w:rStyle w:val="FootnoteText"/>
          <w:sz w:val="16"/>
          <w:szCs w:val="16"/>
        </w:rPr>
        <w:t xml:space="preserve">Эфиопия, </w:t>
      </w:r>
      <w:r w:rsidRPr="005B6620">
        <w:rPr>
          <w:rStyle w:val="FootnoteText"/>
          <w:sz w:val="16"/>
          <w:szCs w:val="16"/>
        </w:rPr>
        <w:t>Япония.</w:t>
      </w:r>
      <w:r>
        <w:rPr>
          <w:rStyle w:val="FootnoteText"/>
          <w:sz w:val="16"/>
          <w:szCs w:val="16"/>
        </w:rPr>
        <w:t xml:space="preserve"> </w:t>
      </w:r>
    </w:p>
  </w:footnote>
  <w:footnote w:id="32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Reference"/>
          <w:sz w:val="16"/>
          <w:szCs w:val="16"/>
          <w:u w:val="none"/>
          <w:vertAlign w:val="superscript"/>
        </w:rPr>
        <w:t xml:space="preserve"> </w:t>
      </w:r>
      <w:r w:rsidRPr="005B6620">
        <w:rPr>
          <w:rStyle w:val="FootnoteText"/>
          <w:sz w:val="16"/>
          <w:szCs w:val="16"/>
        </w:rPr>
        <w:t>А</w:t>
      </w:r>
      <w:r>
        <w:rPr>
          <w:rStyle w:val="FootnoteText"/>
          <w:sz w:val="16"/>
          <w:szCs w:val="16"/>
        </w:rPr>
        <w:t>лбания, А</w:t>
      </w:r>
      <w:r w:rsidRPr="005B6620">
        <w:rPr>
          <w:rStyle w:val="FootnoteText"/>
          <w:sz w:val="16"/>
          <w:szCs w:val="16"/>
        </w:rPr>
        <w:t xml:space="preserve">нтигуа и Барбуда, </w:t>
      </w:r>
      <w:r>
        <w:rPr>
          <w:rStyle w:val="FootnoteText"/>
          <w:sz w:val="16"/>
          <w:szCs w:val="16"/>
        </w:rPr>
        <w:t xml:space="preserve">Бангладеш, </w:t>
      </w:r>
      <w:r w:rsidRPr="005B6620">
        <w:rPr>
          <w:rStyle w:val="FootnoteText"/>
          <w:sz w:val="16"/>
          <w:szCs w:val="16"/>
        </w:rPr>
        <w:t xml:space="preserve">Бразилия, Бутан, Гамбия, </w:t>
      </w:r>
      <w:r>
        <w:rPr>
          <w:rStyle w:val="FootnoteText"/>
          <w:sz w:val="16"/>
          <w:szCs w:val="16"/>
        </w:rPr>
        <w:t xml:space="preserve">Гвинея-Бисау, </w:t>
      </w:r>
      <w:r w:rsidRPr="005B6620">
        <w:rPr>
          <w:rStyle w:val="FootnoteText"/>
          <w:sz w:val="16"/>
          <w:szCs w:val="16"/>
        </w:rPr>
        <w:t xml:space="preserve">Доминиканская Республика, Зимбабве, Индия, Ирландия, </w:t>
      </w:r>
      <w:r>
        <w:rPr>
          <w:rStyle w:val="FootnoteText"/>
          <w:sz w:val="16"/>
          <w:szCs w:val="16"/>
        </w:rPr>
        <w:t xml:space="preserve">Кабо-Верде, Камбоджа, </w:t>
      </w:r>
      <w:r w:rsidRPr="005B6620">
        <w:rPr>
          <w:rStyle w:val="FootnoteText"/>
          <w:sz w:val="16"/>
          <w:szCs w:val="16"/>
        </w:rPr>
        <w:t xml:space="preserve">Камерун, </w:t>
      </w:r>
      <w:r>
        <w:rPr>
          <w:rStyle w:val="FootnoteText"/>
          <w:sz w:val="16"/>
          <w:szCs w:val="16"/>
        </w:rPr>
        <w:t xml:space="preserve">Коморские Острова, </w:t>
      </w:r>
      <w:r w:rsidRPr="005B6620">
        <w:rPr>
          <w:rStyle w:val="FootnoteText"/>
          <w:sz w:val="16"/>
          <w:szCs w:val="16"/>
        </w:rPr>
        <w:t xml:space="preserve">Мали, Мальта, </w:t>
      </w:r>
      <w:r>
        <w:rPr>
          <w:rStyle w:val="FootnoteText"/>
          <w:sz w:val="16"/>
          <w:szCs w:val="16"/>
        </w:rPr>
        <w:t xml:space="preserve">Мексика, </w:t>
      </w:r>
      <w:r w:rsidRPr="005B6620">
        <w:rPr>
          <w:rStyle w:val="FootnoteText"/>
          <w:sz w:val="16"/>
          <w:szCs w:val="16"/>
        </w:rPr>
        <w:t xml:space="preserve">Нигерия, Объединенная Республика Танзания, Объединенные Арабские Эмираты, </w:t>
      </w:r>
      <w:r w:rsidR="00D17C04" w:rsidRPr="005B6620">
        <w:rPr>
          <w:rStyle w:val="FootnoteText"/>
          <w:sz w:val="16"/>
          <w:szCs w:val="16"/>
        </w:rPr>
        <w:t>Сент-Китс и Невис</w:t>
      </w:r>
      <w:r w:rsidR="00D17C04">
        <w:rPr>
          <w:rStyle w:val="FootnoteText"/>
          <w:sz w:val="16"/>
          <w:szCs w:val="16"/>
        </w:rPr>
        <w:t xml:space="preserve">, </w:t>
      </w:r>
      <w:r>
        <w:rPr>
          <w:rStyle w:val="FootnoteText"/>
          <w:sz w:val="16"/>
          <w:szCs w:val="16"/>
        </w:rPr>
        <w:t xml:space="preserve">Соломоновы Острова, Сомали, Таджикистан, </w:t>
      </w:r>
      <w:r w:rsidRPr="005B6620">
        <w:rPr>
          <w:rStyle w:val="FootnoteText"/>
          <w:sz w:val="16"/>
          <w:szCs w:val="16"/>
        </w:rPr>
        <w:t>Уганда, Уругвай, Эритрея, Япония.</w:t>
      </w:r>
      <w:r>
        <w:rPr>
          <w:rStyle w:val="FootnoteText"/>
          <w:sz w:val="16"/>
          <w:szCs w:val="16"/>
        </w:rPr>
        <w:t xml:space="preserve"> </w:t>
      </w:r>
    </w:p>
  </w:footnote>
  <w:footnote w:id="33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Афганистан, Бразилия, </w:t>
      </w:r>
      <w:r>
        <w:rPr>
          <w:rStyle w:val="FootnoteText"/>
          <w:sz w:val="16"/>
          <w:szCs w:val="16"/>
        </w:rPr>
        <w:t xml:space="preserve">Гвинея, Гвинея-Бисау, </w:t>
      </w:r>
      <w:r w:rsidRPr="005B6620">
        <w:rPr>
          <w:rStyle w:val="FootnoteText"/>
          <w:sz w:val="16"/>
          <w:szCs w:val="16"/>
        </w:rPr>
        <w:t xml:space="preserve">Замбия, Зимбабве, </w:t>
      </w:r>
      <w:r>
        <w:rPr>
          <w:rStyle w:val="FootnoteText"/>
          <w:sz w:val="16"/>
          <w:szCs w:val="16"/>
        </w:rPr>
        <w:t xml:space="preserve">Камбоджа, </w:t>
      </w:r>
      <w:r w:rsidRPr="005B6620">
        <w:rPr>
          <w:rStyle w:val="FootnoteText"/>
          <w:sz w:val="16"/>
          <w:szCs w:val="16"/>
        </w:rPr>
        <w:t xml:space="preserve">Канада, Конго, </w:t>
      </w:r>
      <w:r>
        <w:rPr>
          <w:rStyle w:val="FootnoteText"/>
          <w:sz w:val="16"/>
          <w:szCs w:val="16"/>
        </w:rPr>
        <w:t xml:space="preserve">Мексика, Никарагуа, Новая Зеландия, </w:t>
      </w:r>
      <w:r w:rsidRPr="005B6620">
        <w:rPr>
          <w:rStyle w:val="FootnoteText"/>
          <w:sz w:val="16"/>
          <w:szCs w:val="16"/>
        </w:rPr>
        <w:t xml:space="preserve">Перу, </w:t>
      </w:r>
      <w:r w:rsidR="009F372B">
        <w:rPr>
          <w:rStyle w:val="FootnoteText"/>
          <w:sz w:val="16"/>
          <w:szCs w:val="16"/>
        </w:rPr>
        <w:t xml:space="preserve">Руанда, </w:t>
      </w:r>
      <w:r>
        <w:rPr>
          <w:rStyle w:val="FootnoteText"/>
          <w:sz w:val="16"/>
          <w:szCs w:val="16"/>
        </w:rPr>
        <w:t xml:space="preserve">Самоа, Сомали, </w:t>
      </w:r>
      <w:r w:rsidRPr="005B6620">
        <w:rPr>
          <w:rStyle w:val="FootnoteText"/>
          <w:sz w:val="16"/>
          <w:szCs w:val="16"/>
        </w:rPr>
        <w:t xml:space="preserve">Судан, </w:t>
      </w:r>
      <w:r>
        <w:rPr>
          <w:rStyle w:val="FootnoteText"/>
          <w:sz w:val="16"/>
          <w:szCs w:val="16"/>
        </w:rPr>
        <w:t xml:space="preserve">Таджикистан, </w:t>
      </w:r>
      <w:r w:rsidRPr="005B6620">
        <w:rPr>
          <w:rStyle w:val="FootnoteText"/>
          <w:sz w:val="16"/>
          <w:szCs w:val="16"/>
        </w:rPr>
        <w:t>Тувалу, Финляндия</w:t>
      </w:r>
      <w:r>
        <w:rPr>
          <w:rStyle w:val="FootnoteText"/>
          <w:sz w:val="16"/>
          <w:szCs w:val="16"/>
        </w:rPr>
        <w:t>, Эфиопия</w:t>
      </w:r>
      <w:r w:rsidRPr="005B6620">
        <w:rPr>
          <w:rStyle w:val="FootnoteText"/>
          <w:sz w:val="16"/>
          <w:szCs w:val="16"/>
        </w:rPr>
        <w:t>.</w:t>
      </w:r>
      <w:r>
        <w:rPr>
          <w:rStyle w:val="FootnoteText"/>
          <w:sz w:val="16"/>
          <w:szCs w:val="16"/>
        </w:rPr>
        <w:t xml:space="preserve"> </w:t>
      </w:r>
    </w:p>
  </w:footnote>
  <w:footnote w:id="34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Австрия, </w:t>
      </w:r>
      <w:r w:rsidR="002B5389">
        <w:rPr>
          <w:rStyle w:val="FootnoteText"/>
          <w:sz w:val="16"/>
          <w:szCs w:val="16"/>
        </w:rPr>
        <w:t xml:space="preserve">Аргентина, </w:t>
      </w:r>
      <w:r w:rsidRPr="005B6620">
        <w:rPr>
          <w:rStyle w:val="FootnoteText"/>
          <w:sz w:val="16"/>
          <w:szCs w:val="16"/>
        </w:rPr>
        <w:t xml:space="preserve">Беларусь, </w:t>
      </w:r>
      <w:r>
        <w:rPr>
          <w:rStyle w:val="FootnoteText"/>
          <w:sz w:val="16"/>
          <w:szCs w:val="16"/>
        </w:rPr>
        <w:t xml:space="preserve">Бенин, </w:t>
      </w:r>
      <w:r w:rsidRPr="005B6620">
        <w:rPr>
          <w:rStyle w:val="FootnoteText"/>
          <w:sz w:val="16"/>
          <w:szCs w:val="16"/>
        </w:rPr>
        <w:t xml:space="preserve">Бурунди, Бутан, Гамбия, </w:t>
      </w:r>
      <w:r>
        <w:rPr>
          <w:rStyle w:val="FootnoteText"/>
          <w:sz w:val="16"/>
          <w:szCs w:val="16"/>
        </w:rPr>
        <w:t xml:space="preserve">Гвинея, Гвинея-Бисау, Египет, </w:t>
      </w:r>
      <w:r w:rsidRPr="005B6620">
        <w:rPr>
          <w:rStyle w:val="FootnoteText"/>
          <w:sz w:val="16"/>
          <w:szCs w:val="16"/>
        </w:rPr>
        <w:t xml:space="preserve">Замбия, Зимбабве, Ирландия, Конго, </w:t>
      </w:r>
      <w:r>
        <w:rPr>
          <w:rStyle w:val="FootnoteText"/>
          <w:sz w:val="16"/>
          <w:szCs w:val="16"/>
        </w:rPr>
        <w:t xml:space="preserve">Куба, </w:t>
      </w:r>
      <w:r w:rsidR="00520997">
        <w:rPr>
          <w:rStyle w:val="FootnoteText"/>
          <w:sz w:val="16"/>
          <w:szCs w:val="16"/>
        </w:rPr>
        <w:t xml:space="preserve">Маврикий, </w:t>
      </w:r>
      <w:r w:rsidRPr="005B6620">
        <w:rPr>
          <w:rStyle w:val="FootnoteText"/>
          <w:sz w:val="16"/>
          <w:szCs w:val="16"/>
        </w:rPr>
        <w:t xml:space="preserve">Мали, </w:t>
      </w:r>
      <w:r>
        <w:rPr>
          <w:rStyle w:val="FootnoteText"/>
          <w:sz w:val="16"/>
          <w:szCs w:val="16"/>
        </w:rPr>
        <w:t xml:space="preserve">Мексика, </w:t>
      </w:r>
      <w:r w:rsidRPr="005B6620">
        <w:rPr>
          <w:rStyle w:val="FootnoteText"/>
          <w:sz w:val="16"/>
          <w:szCs w:val="16"/>
        </w:rPr>
        <w:t xml:space="preserve">Монголия, </w:t>
      </w:r>
      <w:r>
        <w:rPr>
          <w:rStyle w:val="FootnoteText"/>
          <w:sz w:val="16"/>
          <w:szCs w:val="16"/>
        </w:rPr>
        <w:t xml:space="preserve">Новая Зеландия, </w:t>
      </w:r>
      <w:r w:rsidR="00B03C1B">
        <w:rPr>
          <w:rStyle w:val="FootnoteText"/>
          <w:sz w:val="16"/>
          <w:szCs w:val="16"/>
        </w:rPr>
        <w:t xml:space="preserve">Руанда, </w:t>
      </w:r>
      <w:r>
        <w:rPr>
          <w:rStyle w:val="FootnoteText"/>
          <w:sz w:val="16"/>
          <w:szCs w:val="16"/>
        </w:rPr>
        <w:t xml:space="preserve">Самоа, </w:t>
      </w:r>
      <w:r w:rsidRPr="005B6620">
        <w:rPr>
          <w:rStyle w:val="FootnoteText"/>
          <w:sz w:val="16"/>
          <w:szCs w:val="16"/>
        </w:rPr>
        <w:t xml:space="preserve">Сейшельские Острова, Сенегал, Судан, </w:t>
      </w:r>
      <w:r>
        <w:rPr>
          <w:rStyle w:val="FootnoteText"/>
          <w:sz w:val="16"/>
          <w:szCs w:val="16"/>
        </w:rPr>
        <w:t xml:space="preserve">Таджикистан, </w:t>
      </w:r>
      <w:r w:rsidR="0011156A">
        <w:rPr>
          <w:rStyle w:val="FootnoteText"/>
          <w:sz w:val="16"/>
          <w:szCs w:val="16"/>
        </w:rPr>
        <w:t xml:space="preserve">Тайланд, </w:t>
      </w:r>
      <w:r w:rsidRPr="005B6620">
        <w:rPr>
          <w:rStyle w:val="FootnoteText"/>
          <w:sz w:val="16"/>
          <w:szCs w:val="16"/>
        </w:rPr>
        <w:t xml:space="preserve">Уганда, Уругвай, Финляндия, Швейцария, Экваториальная Гвинея, Эритрея, </w:t>
      </w:r>
      <w:r>
        <w:rPr>
          <w:rStyle w:val="FootnoteText"/>
          <w:sz w:val="16"/>
          <w:szCs w:val="16"/>
        </w:rPr>
        <w:t xml:space="preserve">Эфиопия, </w:t>
      </w:r>
      <w:r w:rsidR="00931CC8">
        <w:rPr>
          <w:rStyle w:val="FootnoteText"/>
          <w:sz w:val="16"/>
          <w:szCs w:val="16"/>
        </w:rPr>
        <w:t xml:space="preserve">Ямайка, </w:t>
      </w:r>
      <w:r w:rsidRPr="005B6620">
        <w:rPr>
          <w:rStyle w:val="FootnoteText"/>
          <w:sz w:val="16"/>
          <w:szCs w:val="16"/>
        </w:rPr>
        <w:t>Япони</w:t>
      </w:r>
      <w:r>
        <w:rPr>
          <w:rStyle w:val="FootnoteText"/>
          <w:sz w:val="16"/>
          <w:szCs w:val="16"/>
        </w:rPr>
        <w:t>я</w:t>
      </w:r>
      <w:r w:rsidRPr="005B6620">
        <w:rPr>
          <w:rStyle w:val="FootnoteText"/>
          <w:sz w:val="16"/>
          <w:szCs w:val="16"/>
        </w:rPr>
        <w:t>.</w:t>
      </w:r>
      <w:r>
        <w:rPr>
          <w:rStyle w:val="FootnoteText"/>
          <w:sz w:val="16"/>
          <w:szCs w:val="16"/>
        </w:rPr>
        <w:t xml:space="preserve"> </w:t>
      </w:r>
    </w:p>
  </w:footnote>
  <w:footnote w:id="35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Бразилия</w:t>
      </w:r>
      <w:r>
        <w:rPr>
          <w:rStyle w:val="FootnoteText"/>
          <w:sz w:val="16"/>
          <w:szCs w:val="16"/>
        </w:rPr>
        <w:t>.</w:t>
      </w:r>
    </w:p>
  </w:footnote>
  <w:footnote w:id="36">
    <w:p w:rsidR="00795EAD" w:rsidRPr="005B6620" w:rsidRDefault="00795EAD" w:rsidP="00690DD5">
      <w:pPr>
        <w:pStyle w:val="FootnoteText"/>
        <w:spacing w:after="0"/>
        <w:ind w:firstLine="0"/>
        <w:rPr>
          <w:sz w:val="16"/>
          <w:szCs w:val="16"/>
        </w:rPr>
      </w:pPr>
      <w:r w:rsidRPr="005B6620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5B6620">
        <w:rPr>
          <w:rStyle w:val="FootnoteText"/>
          <w:sz w:val="16"/>
          <w:szCs w:val="16"/>
        </w:rPr>
        <w:t xml:space="preserve"> </w:t>
      </w:r>
      <w:r w:rsidRPr="0011246E">
        <w:rPr>
          <w:rStyle w:val="FootnoteText"/>
          <w:sz w:val="16"/>
          <w:szCs w:val="16"/>
        </w:rPr>
        <w:t xml:space="preserve">Албания, Беларусь, Бельгия, Ботсвана, Бразилия, Бутан, Гамбия, </w:t>
      </w:r>
      <w:r w:rsidR="00E62089">
        <w:rPr>
          <w:rStyle w:val="FootnoteText"/>
          <w:sz w:val="16"/>
          <w:szCs w:val="16"/>
        </w:rPr>
        <w:t xml:space="preserve">Гана, </w:t>
      </w:r>
      <w:r w:rsidRPr="0011246E">
        <w:rPr>
          <w:rStyle w:val="FootnoteText"/>
          <w:sz w:val="16"/>
          <w:szCs w:val="16"/>
        </w:rPr>
        <w:t xml:space="preserve">Гватемала, Гвинея, Гренада, Египет, Замбия, Зимбабве, Конго, Куба, </w:t>
      </w:r>
      <w:r w:rsidR="00B45EB5">
        <w:rPr>
          <w:rStyle w:val="FootnoteText"/>
          <w:sz w:val="16"/>
          <w:szCs w:val="16"/>
        </w:rPr>
        <w:t xml:space="preserve">Люксембург, </w:t>
      </w:r>
      <w:r w:rsidRPr="0011246E">
        <w:rPr>
          <w:rStyle w:val="FootnoteText"/>
          <w:sz w:val="16"/>
          <w:szCs w:val="16"/>
        </w:rPr>
        <w:t>Мали, Нигерия, Объединенная Республика Танзания, Объединенные Арабские Эмираты, Самоа, Сербия, Судан, Таджикистан, Уганда, Финляндия, Эритрея, Эфиопия</w:t>
      </w:r>
      <w:r w:rsidR="00465374">
        <w:rPr>
          <w:rStyle w:val="FootnoteText"/>
          <w:sz w:val="16"/>
          <w:szCs w:val="16"/>
        </w:rPr>
        <w:t>, Ямайка</w:t>
      </w:r>
      <w:r w:rsidRPr="005B6620">
        <w:rPr>
          <w:rStyle w:val="FootnoteText"/>
          <w:sz w:val="16"/>
          <w:szCs w:val="16"/>
        </w:rPr>
        <w:t>.</w:t>
      </w:r>
      <w:r>
        <w:rPr>
          <w:rStyle w:val="FootnoteText"/>
          <w:sz w:val="16"/>
          <w:szCs w:val="16"/>
        </w:rPr>
        <w:t xml:space="preserve"> </w:t>
      </w:r>
    </w:p>
  </w:footnote>
  <w:footnote w:id="37">
    <w:p w:rsidR="001D3A91" w:rsidRDefault="001D3A91" w:rsidP="007D514E">
      <w:pPr>
        <w:pStyle w:val="FootnoteText"/>
        <w:ind w:firstLine="0"/>
      </w:pPr>
      <w:r w:rsidRPr="007D514E">
        <w:rPr>
          <w:rStyle w:val="FootnoteReference"/>
          <w:sz w:val="16"/>
          <w:szCs w:val="16"/>
          <w:u w:val="none"/>
          <w:vertAlign w:val="superscript"/>
        </w:rPr>
        <w:footnoteRef/>
      </w:r>
      <w:r>
        <w:t xml:space="preserve"> </w:t>
      </w:r>
      <w:r w:rsidRPr="007D514E">
        <w:rPr>
          <w:sz w:val="16"/>
          <w:szCs w:val="16"/>
        </w:rPr>
        <w:t>Ямайка</w:t>
      </w:r>
      <w:r>
        <w:t>.</w:t>
      </w:r>
    </w:p>
  </w:footnote>
  <w:footnote w:id="38">
    <w:p w:rsidR="005335D3" w:rsidRPr="00ED4796" w:rsidRDefault="005335D3" w:rsidP="00D803E1">
      <w:pPr>
        <w:pStyle w:val="FootnoteText"/>
        <w:ind w:firstLine="0"/>
        <w:rPr>
          <w:lang w:val="en-US"/>
        </w:rPr>
      </w:pPr>
      <w:r w:rsidRPr="00D803E1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ED4796">
        <w:rPr>
          <w:lang w:val="en-US"/>
        </w:rPr>
        <w:t xml:space="preserve"> </w:t>
      </w:r>
      <w:hyperlink r:id="rId4" w:history="1">
        <w:r w:rsidR="00044C17" w:rsidRPr="006E5024">
          <w:rPr>
            <w:rStyle w:val="Hyperlink"/>
            <w:snapToGrid w:val="0"/>
            <w:kern w:val="18"/>
            <w:sz w:val="16"/>
            <w:szCs w:val="16"/>
            <w:lang w:val="en-US"/>
          </w:rPr>
          <w:t>UNEP</w:t>
        </w:r>
        <w:r w:rsidR="00044C17" w:rsidRPr="00ED4796">
          <w:rPr>
            <w:rStyle w:val="Hyperlink"/>
            <w:snapToGrid w:val="0"/>
            <w:kern w:val="18"/>
            <w:sz w:val="16"/>
            <w:szCs w:val="16"/>
            <w:lang w:val="en-US"/>
          </w:rPr>
          <w:t>/</w:t>
        </w:r>
        <w:r w:rsidR="00044C17" w:rsidRPr="006E5024">
          <w:rPr>
            <w:rStyle w:val="Hyperlink"/>
            <w:snapToGrid w:val="0"/>
            <w:kern w:val="18"/>
            <w:sz w:val="16"/>
            <w:szCs w:val="16"/>
            <w:lang w:val="en-US"/>
          </w:rPr>
          <w:t>CBD</w:t>
        </w:r>
        <w:r w:rsidR="00044C17" w:rsidRPr="00ED4796">
          <w:rPr>
            <w:rStyle w:val="Hyperlink"/>
            <w:snapToGrid w:val="0"/>
            <w:kern w:val="18"/>
            <w:sz w:val="16"/>
            <w:szCs w:val="16"/>
            <w:lang w:val="en-US"/>
          </w:rPr>
          <w:t>/</w:t>
        </w:r>
        <w:r w:rsidR="00044C17" w:rsidRPr="006E5024">
          <w:rPr>
            <w:rStyle w:val="Hyperlink"/>
            <w:snapToGrid w:val="0"/>
            <w:kern w:val="18"/>
            <w:sz w:val="16"/>
            <w:szCs w:val="16"/>
            <w:lang w:val="en-US"/>
          </w:rPr>
          <w:t>SBI</w:t>
        </w:r>
        <w:r w:rsidR="00044C17" w:rsidRPr="00ED4796">
          <w:rPr>
            <w:rStyle w:val="Hyperlink"/>
            <w:snapToGrid w:val="0"/>
            <w:kern w:val="18"/>
            <w:sz w:val="16"/>
            <w:szCs w:val="16"/>
            <w:lang w:val="en-US"/>
          </w:rPr>
          <w:t>/1/2/</w:t>
        </w:r>
        <w:r w:rsidR="00044C17" w:rsidRPr="006E5024">
          <w:rPr>
            <w:rStyle w:val="Hyperlink"/>
            <w:snapToGrid w:val="0"/>
            <w:kern w:val="18"/>
            <w:sz w:val="16"/>
            <w:szCs w:val="16"/>
            <w:lang w:val="en-US"/>
          </w:rPr>
          <w:t>Add</w:t>
        </w:r>
        <w:r w:rsidR="00044C17" w:rsidRPr="00ED4796">
          <w:rPr>
            <w:rStyle w:val="Hyperlink"/>
            <w:snapToGrid w:val="0"/>
            <w:kern w:val="18"/>
            <w:sz w:val="16"/>
            <w:szCs w:val="16"/>
            <w:lang w:val="en-US"/>
          </w:rPr>
          <w:t>.2</w:t>
        </w:r>
      </w:hyperlink>
      <w:r w:rsidR="00044C17" w:rsidRPr="00ED4796">
        <w:rPr>
          <w:snapToGrid w:val="0"/>
          <w:kern w:val="18"/>
          <w:sz w:val="16"/>
          <w:szCs w:val="16"/>
          <w:lang w:val="en-US"/>
        </w:rPr>
        <w:t>.</w:t>
      </w:r>
    </w:p>
  </w:footnote>
  <w:footnote w:id="39">
    <w:p w:rsidR="00044C17" w:rsidRPr="00044C17" w:rsidRDefault="00044C17" w:rsidP="00D803E1">
      <w:pPr>
        <w:pStyle w:val="FootnoteText"/>
        <w:ind w:firstLine="0"/>
        <w:rPr>
          <w:lang w:val="en-US"/>
        </w:rPr>
      </w:pPr>
      <w:r w:rsidRPr="00D803E1">
        <w:rPr>
          <w:rStyle w:val="FootnoteReference"/>
          <w:sz w:val="16"/>
          <w:szCs w:val="16"/>
          <w:u w:val="none"/>
          <w:vertAlign w:val="superscript"/>
        </w:rPr>
        <w:footnoteRef/>
      </w:r>
      <w:r w:rsidRPr="00ED4796">
        <w:rPr>
          <w:rStyle w:val="FootnoteReference"/>
          <w:sz w:val="16"/>
          <w:szCs w:val="16"/>
          <w:u w:val="none"/>
          <w:vertAlign w:val="superscript"/>
          <w:lang w:val="en-US"/>
        </w:rPr>
        <w:t xml:space="preserve"> </w:t>
      </w:r>
      <w:hyperlink r:id="rId5" w:history="1">
        <w:r w:rsidRPr="006E5024">
          <w:rPr>
            <w:rStyle w:val="Hyperlink"/>
            <w:snapToGrid w:val="0"/>
            <w:kern w:val="18"/>
            <w:sz w:val="16"/>
            <w:szCs w:val="16"/>
            <w:lang w:val="en-US"/>
          </w:rPr>
          <w:t>UNEP/CBD/CO</w:t>
        </w:r>
        <w:r w:rsidRPr="006E5024">
          <w:rPr>
            <w:rStyle w:val="Hyperlink"/>
            <w:snapToGrid w:val="0"/>
            <w:kern w:val="18"/>
            <w:sz w:val="16"/>
            <w:szCs w:val="16"/>
            <w:lang w:val="en-US"/>
          </w:rPr>
          <w:t>P</w:t>
        </w:r>
        <w:r w:rsidRPr="006E5024">
          <w:rPr>
            <w:rStyle w:val="Hyperlink"/>
            <w:snapToGrid w:val="0"/>
            <w:kern w:val="18"/>
            <w:sz w:val="16"/>
            <w:szCs w:val="16"/>
            <w:lang w:val="en-US"/>
          </w:rPr>
          <w:t>/</w:t>
        </w:r>
        <w:r w:rsidRPr="006E5024">
          <w:rPr>
            <w:rStyle w:val="Hyperlink"/>
            <w:snapToGrid w:val="0"/>
            <w:kern w:val="18"/>
            <w:sz w:val="16"/>
            <w:szCs w:val="16"/>
            <w:lang w:val="en-US"/>
          </w:rPr>
          <w:t>1</w:t>
        </w:r>
        <w:r w:rsidRPr="006E5024">
          <w:rPr>
            <w:rStyle w:val="Hyperlink"/>
            <w:snapToGrid w:val="0"/>
            <w:kern w:val="18"/>
            <w:sz w:val="16"/>
            <w:szCs w:val="16"/>
            <w:lang w:val="en-US"/>
          </w:rPr>
          <w:t>3</w:t>
        </w:r>
        <w:r w:rsidRPr="006E5024">
          <w:rPr>
            <w:rStyle w:val="Hyperlink"/>
            <w:snapToGrid w:val="0"/>
            <w:kern w:val="18"/>
            <w:sz w:val="16"/>
            <w:szCs w:val="16"/>
            <w:lang w:val="en-US"/>
          </w:rPr>
          <w:t>/</w:t>
        </w:r>
        <w:r w:rsidRPr="006E5024">
          <w:rPr>
            <w:rStyle w:val="Hyperlink"/>
            <w:snapToGrid w:val="0"/>
            <w:kern w:val="18"/>
            <w:sz w:val="16"/>
            <w:szCs w:val="16"/>
            <w:lang w:val="en-US"/>
          </w:rPr>
          <w:t>8/Add.2/Rev.1</w:t>
        </w:r>
      </w:hyperlink>
      <w:r w:rsidRPr="00E33B12">
        <w:rPr>
          <w:snapToGrid w:val="0"/>
          <w:kern w:val="18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AD" w:rsidRPr="001812E2" w:rsidRDefault="00795EAD" w:rsidP="00FD0B4D">
    <w:pPr>
      <w:suppressAutoHyphens/>
      <w:rPr>
        <w:kern w:val="22"/>
        <w:lang w:val="en-CA"/>
      </w:rPr>
    </w:pPr>
    <w:r w:rsidRPr="00E37586">
      <w:rPr>
        <w:kern w:val="22"/>
        <w:lang w:val="en-CA"/>
      </w:rPr>
      <w:t>CBD/</w:t>
    </w:r>
    <w:r w:rsidR="00010AB5">
      <w:rPr>
        <w:kern w:val="22"/>
        <w:lang w:val="en-US"/>
      </w:rPr>
      <w:t>SBI/2/2/</w:t>
    </w:r>
    <w:r w:rsidRPr="00E37586">
      <w:rPr>
        <w:kern w:val="22"/>
        <w:lang w:val="en-CA"/>
      </w:rPr>
      <w:t>Add.2</w:t>
    </w:r>
  </w:p>
  <w:p w:rsidR="00795EAD" w:rsidRDefault="00795EAD" w:rsidP="00660906">
    <w:pPr>
      <w:pStyle w:val="Header"/>
      <w:tabs>
        <w:tab w:val="clear" w:pos="4320"/>
        <w:tab w:val="clear" w:pos="8640"/>
      </w:tabs>
      <w:jc w:val="left"/>
    </w:pPr>
    <w:r>
      <w:rPr>
        <w:rStyle w:val="Header"/>
      </w:rPr>
      <w:t xml:space="preserve">Страница </w:t>
    </w:r>
    <w:r>
      <w:fldChar w:fldCharType="begin"/>
    </w:r>
    <w:r>
      <w:rPr>
        <w:rStyle w:val="Header"/>
      </w:rPr>
      <w:instrText xml:space="preserve"> PAGE   \* MERGEFORMAT </w:instrText>
    </w:r>
    <w:r>
      <w:fldChar w:fldCharType="separate"/>
    </w:r>
    <w:r w:rsidR="00845C67">
      <w:rPr>
        <w:rStyle w:val="Header"/>
        <w:noProof/>
      </w:rPr>
      <w:t>20</w:t>
    </w:r>
    <w:r>
      <w:fldChar w:fldCharType="end"/>
    </w:r>
  </w:p>
  <w:p w:rsidR="00795EAD" w:rsidRDefault="00795EAD" w:rsidP="00660906">
    <w:pPr>
      <w:pStyle w:val="Header"/>
      <w:tabs>
        <w:tab w:val="clear" w:pos="4320"/>
        <w:tab w:val="clear" w:pos="8640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AD" w:rsidRPr="001812E2" w:rsidRDefault="00795EAD" w:rsidP="00FD0B4D">
    <w:pPr>
      <w:suppressAutoHyphens/>
      <w:ind w:left="1045"/>
      <w:jc w:val="right"/>
      <w:rPr>
        <w:kern w:val="22"/>
        <w:lang w:val="en-CA"/>
      </w:rPr>
    </w:pPr>
    <w:r w:rsidRPr="00E37586">
      <w:rPr>
        <w:kern w:val="22"/>
        <w:lang w:val="en-CA"/>
      </w:rPr>
      <w:t>CBD/</w:t>
    </w:r>
    <w:r w:rsidR="00010AB5">
      <w:rPr>
        <w:kern w:val="22"/>
        <w:lang w:val="en-CA"/>
      </w:rPr>
      <w:t>SBI/2/2/</w:t>
    </w:r>
    <w:r w:rsidRPr="00E37586">
      <w:rPr>
        <w:kern w:val="22"/>
        <w:lang w:val="en-CA"/>
      </w:rPr>
      <w:t>Add.2</w:t>
    </w:r>
  </w:p>
  <w:p w:rsidR="00795EAD" w:rsidRPr="008E46EF" w:rsidRDefault="00795EAD" w:rsidP="00FD0B4D">
    <w:pPr>
      <w:pStyle w:val="Header"/>
      <w:jc w:val="right"/>
    </w:pPr>
    <w:r>
      <w:rPr>
        <w:rStyle w:val="Header"/>
      </w:rPr>
      <w:t xml:space="preserve">Страница </w:t>
    </w:r>
    <w:r>
      <w:fldChar w:fldCharType="begin"/>
    </w:r>
    <w:r>
      <w:rPr>
        <w:rStyle w:val="Header"/>
      </w:rPr>
      <w:instrText xml:space="preserve"> PAGE   \* MERGEFORMAT </w:instrText>
    </w:r>
    <w:r>
      <w:fldChar w:fldCharType="separate"/>
    </w:r>
    <w:r w:rsidR="00845C67">
      <w:rPr>
        <w:rStyle w:val="Header"/>
        <w:noProof/>
      </w:rPr>
      <w:t>19</w:t>
    </w:r>
    <w:r>
      <w:fldChar w:fldCharType="end"/>
    </w:r>
  </w:p>
  <w:p w:rsidR="00795EAD" w:rsidRPr="008E46EF" w:rsidRDefault="00795EAD" w:rsidP="00FD0B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FC9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D382E"/>
    <w:multiLevelType w:val="hybridMultilevel"/>
    <w:tmpl w:val="0D1C34DA"/>
    <w:lvl w:ilvl="0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B3431"/>
    <w:multiLevelType w:val="hybridMultilevel"/>
    <w:tmpl w:val="1F381FF6"/>
    <w:lvl w:ilvl="0">
      <w:start w:val="1"/>
      <w:numFmt w:val="decimal"/>
      <w:lvlText w:val="8.%1."/>
      <w:lvlJc w:val="left"/>
      <w:pPr>
        <w:ind w:left="1080" w:hanging="360"/>
      </w:pPr>
      <w:rPr>
        <w:rFonts w:eastAsia="MS Mincho" w:hint="default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2105AB"/>
    <w:multiLevelType w:val="hybridMultilevel"/>
    <w:tmpl w:val="D8E42B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3496"/>
    <w:multiLevelType w:val="multilevel"/>
    <w:tmpl w:val="1A3856FC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950AC6"/>
    <w:multiLevelType w:val="multilevel"/>
    <w:tmpl w:val="FF5C19E0"/>
    <w:lvl w:ilvl="0">
      <w:start w:val="1"/>
      <w:numFmt w:val="decimal"/>
      <w:pStyle w:val="Para1alternative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DB33FC5"/>
    <w:multiLevelType w:val="multilevel"/>
    <w:tmpl w:val="6BC4AF3C"/>
    <w:lvl w:ilvl="0">
      <w:start w:val="12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7">
    <w:nsid w:val="110A55D6"/>
    <w:multiLevelType w:val="hybridMultilevel"/>
    <w:tmpl w:val="0D083972"/>
    <w:lvl w:ilvl="0">
      <w:start w:val="1"/>
      <w:numFmt w:val="decimal"/>
      <w:lvlText w:val="5.3.%1."/>
      <w:lvlJc w:val="left"/>
      <w:pPr>
        <w:ind w:left="2160" w:hanging="360"/>
      </w:pPr>
      <w:rPr>
        <w:rFonts w:eastAsia="MS Mincho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63AD6"/>
    <w:multiLevelType w:val="hybridMultilevel"/>
    <w:tmpl w:val="20C22412"/>
    <w:lvl w:ilvl="0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4925"/>
    <w:multiLevelType w:val="hybridMultilevel"/>
    <w:tmpl w:val="F7B2F33E"/>
    <w:lvl w:ilvl="0">
      <w:start w:val="1"/>
      <w:numFmt w:val="decimal"/>
      <w:lvlText w:val="7.%1."/>
      <w:lvlJc w:val="left"/>
      <w:pPr>
        <w:ind w:left="1440" w:hanging="360"/>
      </w:pPr>
      <w:rPr>
        <w:rFonts w:eastAsia="MS Mincho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243D8"/>
    <w:multiLevelType w:val="hybridMultilevel"/>
    <w:tmpl w:val="00CAA0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07F15"/>
    <w:multiLevelType w:val="multilevel"/>
    <w:tmpl w:val="544EA59A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C40A97"/>
    <w:multiLevelType w:val="hybridMultilevel"/>
    <w:tmpl w:val="539C2078"/>
    <w:lvl w:ilvl="0">
      <w:start w:val="1"/>
      <w:numFmt w:val="decimal"/>
      <w:lvlText w:val="13.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63584E"/>
    <w:multiLevelType w:val="hybridMultilevel"/>
    <w:tmpl w:val="DA10539A"/>
    <w:lvl w:ilvl="0">
      <w:start w:val="1"/>
      <w:numFmt w:val="decimal"/>
      <w:lvlText w:val="10.%1."/>
      <w:lvlJc w:val="left"/>
      <w:pPr>
        <w:ind w:left="17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7219CA"/>
    <w:multiLevelType w:val="hybridMultilevel"/>
    <w:tmpl w:val="0F245256"/>
    <w:lvl w:ilvl="0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851BD"/>
    <w:multiLevelType w:val="hybridMultilevel"/>
    <w:tmpl w:val="41F821D0"/>
    <w:lvl w:ilvl="0">
      <w:start w:val="1"/>
      <w:numFmt w:val="decimal"/>
      <w:lvlText w:val="5.%1."/>
      <w:lvlJc w:val="left"/>
      <w:pPr>
        <w:ind w:left="360" w:hanging="360"/>
      </w:pPr>
      <w:rPr>
        <w:rFonts w:eastAsia="MS Mincho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011E81"/>
    <w:multiLevelType w:val="multilevel"/>
    <w:tmpl w:val="E56E59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26216FD1"/>
    <w:multiLevelType w:val="multilevel"/>
    <w:tmpl w:val="08AC1BD0"/>
    <w:lvl w:ilvl="0">
      <w:start w:val="2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170178"/>
    <w:multiLevelType w:val="multilevel"/>
    <w:tmpl w:val="732AB3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A566F77"/>
    <w:multiLevelType w:val="hybridMultilevel"/>
    <w:tmpl w:val="045C9CD6"/>
    <w:lvl w:ilvl="0">
      <w:start w:val="1"/>
      <w:numFmt w:val="decimal"/>
      <w:lvlText w:val="8.%1."/>
      <w:lvlJc w:val="left"/>
      <w:pPr>
        <w:ind w:left="2160" w:hanging="360"/>
      </w:pPr>
      <w:rPr>
        <w:rFonts w:eastAsia="MS Mincho" w:hint="default"/>
        <w:i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BA16B6B"/>
    <w:multiLevelType w:val="hybridMultilevel"/>
    <w:tmpl w:val="4CB4FAE6"/>
    <w:lvl w:ilvl="0">
      <w:start w:val="1"/>
      <w:numFmt w:val="decimal"/>
      <w:lvlText w:val="8.%1."/>
      <w:lvlJc w:val="left"/>
      <w:pPr>
        <w:ind w:left="1440" w:hanging="360"/>
      </w:pPr>
      <w:rPr>
        <w:rFonts w:eastAsia="MS Mincho" w:hint="default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0A12A3"/>
    <w:multiLevelType w:val="multilevel"/>
    <w:tmpl w:val="7870C2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D171201"/>
    <w:multiLevelType w:val="multilevel"/>
    <w:tmpl w:val="DE7840AE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415771"/>
    <w:multiLevelType w:val="hybridMultilevel"/>
    <w:tmpl w:val="4F5A89DE"/>
    <w:lvl w:ilvl="0">
      <w:start w:val="1"/>
      <w:numFmt w:val="decimal"/>
      <w:lvlText w:val="12.%1."/>
      <w:lvlJc w:val="left"/>
      <w:pPr>
        <w:ind w:left="1080" w:hanging="360"/>
      </w:pPr>
      <w:rPr>
        <w:rFonts w:eastAsia="MS Mincho" w:hint="default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317642D9"/>
    <w:multiLevelType w:val="multilevel"/>
    <w:tmpl w:val="765E86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>
    <w:nsid w:val="3C705002"/>
    <w:multiLevelType w:val="multilevel"/>
    <w:tmpl w:val="3B9885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C9A1798"/>
    <w:multiLevelType w:val="hybridMultilevel"/>
    <w:tmpl w:val="0F24525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>
    <w:nsid w:val="3D1B784A"/>
    <w:multiLevelType w:val="hybridMultilevel"/>
    <w:tmpl w:val="EA7E79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C7FBB"/>
    <w:multiLevelType w:val="hybridMultilevel"/>
    <w:tmpl w:val="80D60170"/>
    <w:lvl w:ilvl="0">
      <w:start w:val="1"/>
      <w:numFmt w:val="lowerLetter"/>
      <w:lvlRestart w:val="0"/>
      <w:pStyle w:val="aident"/>
      <w:lvlText w:val="(%1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58B2A5F"/>
    <w:multiLevelType w:val="hybridMultilevel"/>
    <w:tmpl w:val="0F245256"/>
    <w:lvl w:ilvl="0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49E93595"/>
    <w:multiLevelType w:val="multilevel"/>
    <w:tmpl w:val="4E1C0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5">
    <w:nsid w:val="4A473A5C"/>
    <w:multiLevelType w:val="multilevel"/>
    <w:tmpl w:val="3120F54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E0442B4"/>
    <w:multiLevelType w:val="multilevel"/>
    <w:tmpl w:val="F39C2D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ascii="Times New Roman" w:eastAsia="Calibri" w:hAnsi="Times New Roman"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4E0D0FD7"/>
    <w:multiLevelType w:val="multilevel"/>
    <w:tmpl w:val="BDB68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>
    <w:nsid w:val="50F9217F"/>
    <w:multiLevelType w:val="hybridMultilevel"/>
    <w:tmpl w:val="948A14C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2887001"/>
    <w:multiLevelType w:val="multilevel"/>
    <w:tmpl w:val="40349D2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5612300C"/>
    <w:multiLevelType w:val="multilevel"/>
    <w:tmpl w:val="765E86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6A7102D"/>
    <w:multiLevelType w:val="hybridMultilevel"/>
    <w:tmpl w:val="B9AC85D2"/>
    <w:lvl w:ilvl="0">
      <w:start w:val="1"/>
      <w:numFmt w:val="decimal"/>
      <w:lvlText w:val="8.1.%1."/>
      <w:lvlJc w:val="left"/>
      <w:pPr>
        <w:ind w:left="1530" w:hanging="360"/>
      </w:pPr>
      <w:rPr>
        <w:rFonts w:eastAsia="MS Mincho" w:hint="default"/>
        <w:i w:val="0"/>
      </w:rPr>
    </w:lvl>
    <w:lvl w:ilvl="1" w:tentative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>
    <w:nsid w:val="590F6E7D"/>
    <w:multiLevelType w:val="multilevel"/>
    <w:tmpl w:val="10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59E57DD8"/>
    <w:multiLevelType w:val="multilevel"/>
    <w:tmpl w:val="B65EE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5AE42D92"/>
    <w:multiLevelType w:val="hybridMultilevel"/>
    <w:tmpl w:val="E40AEA0E"/>
    <w:lvl w:ilvl="0">
      <w:start w:val="1"/>
      <w:numFmt w:val="decimal"/>
      <w:lvlText w:val="12.%1."/>
      <w:lvlJc w:val="left"/>
      <w:pPr>
        <w:ind w:left="720" w:hanging="360"/>
      </w:pPr>
      <w:rPr>
        <w:rFonts w:eastAsia="MS Mincho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B91A5C"/>
    <w:multiLevelType w:val="hybridMultilevel"/>
    <w:tmpl w:val="01F43F4C"/>
    <w:lvl w:ilvl="0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5122ED"/>
    <w:multiLevelType w:val="hybridMultilevel"/>
    <w:tmpl w:val="50F89FD6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F6714"/>
    <w:multiLevelType w:val="multilevel"/>
    <w:tmpl w:val="679E849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5EC33090"/>
    <w:multiLevelType w:val="multilevel"/>
    <w:tmpl w:val="A50406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0">
    <w:nsid w:val="608B0D67"/>
    <w:multiLevelType w:val="multilevel"/>
    <w:tmpl w:val="A0601B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3045E1E"/>
    <w:multiLevelType w:val="multilevel"/>
    <w:tmpl w:val="FD60FA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4933052"/>
    <w:multiLevelType w:val="hybridMultilevel"/>
    <w:tmpl w:val="8836F49A"/>
    <w:lvl w:ilvl="0">
      <w:start w:val="1"/>
      <w:numFmt w:val="decimal"/>
      <w:lvlText w:val="11.3.%1."/>
      <w:lvlJc w:val="left"/>
      <w:pPr>
        <w:ind w:left="1800" w:hanging="360"/>
      </w:pPr>
      <w:rPr>
        <w:rFonts w:eastAsia="MS Mincho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357F78"/>
    <w:multiLevelType w:val="hybridMultilevel"/>
    <w:tmpl w:val="E59652FE"/>
    <w:lvl w:ilvl="0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>
    <w:nsid w:val="66033C9C"/>
    <w:multiLevelType w:val="multilevel"/>
    <w:tmpl w:val="C478CB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55">
    <w:nsid w:val="664E1103"/>
    <w:multiLevelType w:val="hybridMultilevel"/>
    <w:tmpl w:val="166EF7D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006BD"/>
    <w:multiLevelType w:val="hybridMultilevel"/>
    <w:tmpl w:val="E7B21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014AF5"/>
    <w:multiLevelType w:val="multilevel"/>
    <w:tmpl w:val="C48A99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6D786413"/>
    <w:multiLevelType w:val="hybridMultilevel"/>
    <w:tmpl w:val="6AA6CB38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Roman"/>
      <w:lvlText w:val="(%2)"/>
      <w:lvlJc w:val="right"/>
      <w:pPr>
        <w:ind w:left="180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DF22951"/>
    <w:multiLevelType w:val="hybridMultilevel"/>
    <w:tmpl w:val="545E2592"/>
    <w:lvl w:ilvl="0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FD092E"/>
    <w:multiLevelType w:val="multilevel"/>
    <w:tmpl w:val="7870C2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75F466BF"/>
    <w:multiLevelType w:val="hybridMultilevel"/>
    <w:tmpl w:val="D22EA9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602101"/>
    <w:multiLevelType w:val="multilevel"/>
    <w:tmpl w:val="765E86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A2A7CB6"/>
    <w:multiLevelType w:val="hybridMultilevel"/>
    <w:tmpl w:val="5FFE12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31"/>
    <w:lvlOverride w:ilvl="0">
      <w:startOverride w:val="1"/>
    </w:lvlOverride>
  </w:num>
  <w:num w:numId="4">
    <w:abstractNumId w:val="5"/>
  </w:num>
  <w:num w:numId="5">
    <w:abstractNumId w:val="24"/>
  </w:num>
  <w:num w:numId="6">
    <w:abstractNumId w:val="53"/>
  </w:num>
  <w:num w:numId="7">
    <w:abstractNumId w:val="40"/>
  </w:num>
  <w:num w:numId="8">
    <w:abstractNumId w:val="26"/>
  </w:num>
  <w:num w:numId="9">
    <w:abstractNumId w:val="33"/>
  </w:num>
  <w:num w:numId="10">
    <w:abstractNumId w:val="29"/>
  </w:num>
  <w:num w:numId="11">
    <w:abstractNumId w:val="43"/>
  </w:num>
  <w:num w:numId="12">
    <w:abstractNumId w:val="17"/>
  </w:num>
  <w:num w:numId="13">
    <w:abstractNumId w:val="36"/>
  </w:num>
  <w:num w:numId="14">
    <w:abstractNumId w:val="10"/>
  </w:num>
  <w:num w:numId="15">
    <w:abstractNumId w:val="59"/>
  </w:num>
  <w:num w:numId="16">
    <w:abstractNumId w:val="46"/>
  </w:num>
  <w:num w:numId="17">
    <w:abstractNumId w:val="13"/>
  </w:num>
  <w:num w:numId="18">
    <w:abstractNumId w:val="49"/>
  </w:num>
  <w:num w:numId="19">
    <w:abstractNumId w:val="54"/>
  </w:num>
  <w:num w:numId="20">
    <w:abstractNumId w:val="30"/>
  </w:num>
  <w:num w:numId="21">
    <w:abstractNumId w:val="0"/>
  </w:num>
  <w:num w:numId="22">
    <w:abstractNumId w:val="57"/>
  </w:num>
  <w:num w:numId="23">
    <w:abstractNumId w:val="8"/>
  </w:num>
  <w:num w:numId="24">
    <w:abstractNumId w:val="4"/>
  </w:num>
  <w:num w:numId="25">
    <w:abstractNumId w:val="25"/>
  </w:num>
  <w:num w:numId="26">
    <w:abstractNumId w:val="62"/>
  </w:num>
  <w:num w:numId="27">
    <w:abstractNumId w:val="41"/>
  </w:num>
  <w:num w:numId="28">
    <w:abstractNumId w:val="15"/>
  </w:num>
  <w:num w:numId="29">
    <w:abstractNumId w:val="7"/>
  </w:num>
  <w:num w:numId="30">
    <w:abstractNumId w:val="9"/>
  </w:num>
  <w:num w:numId="31">
    <w:abstractNumId w:val="47"/>
  </w:num>
  <w:num w:numId="32">
    <w:abstractNumId w:val="23"/>
  </w:num>
  <w:num w:numId="33">
    <w:abstractNumId w:val="45"/>
  </w:num>
  <w:num w:numId="34">
    <w:abstractNumId w:val="44"/>
  </w:num>
  <w:num w:numId="35">
    <w:abstractNumId w:val="16"/>
  </w:num>
  <w:num w:numId="36">
    <w:abstractNumId w:val="37"/>
  </w:num>
  <w:num w:numId="37">
    <w:abstractNumId w:val="51"/>
  </w:num>
  <w:num w:numId="38">
    <w:abstractNumId w:val="2"/>
  </w:num>
  <w:num w:numId="39">
    <w:abstractNumId w:val="42"/>
  </w:num>
  <w:num w:numId="40">
    <w:abstractNumId w:val="52"/>
  </w:num>
  <w:num w:numId="41">
    <w:abstractNumId w:val="61"/>
  </w:num>
  <w:num w:numId="42">
    <w:abstractNumId w:val="19"/>
  </w:num>
  <w:num w:numId="43">
    <w:abstractNumId w:val="20"/>
  </w:num>
  <w:num w:numId="44">
    <w:abstractNumId w:val="35"/>
  </w:num>
  <w:num w:numId="45">
    <w:abstractNumId w:val="11"/>
  </w:num>
  <w:num w:numId="46">
    <w:abstractNumId w:val="39"/>
  </w:num>
  <w:num w:numId="47">
    <w:abstractNumId w:val="50"/>
  </w:num>
  <w:num w:numId="48">
    <w:abstractNumId w:val="21"/>
  </w:num>
  <w:num w:numId="49">
    <w:abstractNumId w:val="60"/>
  </w:num>
  <w:num w:numId="50">
    <w:abstractNumId w:val="6"/>
  </w:num>
  <w:num w:numId="51">
    <w:abstractNumId w:val="55"/>
  </w:num>
  <w:num w:numId="52">
    <w:abstractNumId w:val="12"/>
  </w:num>
  <w:num w:numId="53">
    <w:abstractNumId w:val="27"/>
  </w:num>
  <w:num w:numId="54">
    <w:abstractNumId w:val="1"/>
  </w:num>
  <w:num w:numId="55">
    <w:abstractNumId w:val="18"/>
  </w:num>
  <w:num w:numId="56">
    <w:abstractNumId w:val="48"/>
  </w:num>
  <w:num w:numId="57">
    <w:abstractNumId w:val="56"/>
  </w:num>
  <w:num w:numId="58">
    <w:abstractNumId w:val="58"/>
  </w:num>
  <w:num w:numId="59">
    <w:abstractNumId w:val="63"/>
  </w:num>
  <w:num w:numId="60">
    <w:abstractNumId w:val="38"/>
  </w:num>
  <w:num w:numId="61">
    <w:abstractNumId w:val="3"/>
  </w:num>
  <w:num w:numId="62">
    <w:abstractNumId w:val="28"/>
  </w:num>
  <w:num w:numId="63">
    <w:abstractNumId w:val="32"/>
  </w:num>
  <w:num w:numId="64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0F"/>
    <w:rsid w:val="00000812"/>
    <w:rsid w:val="00001485"/>
    <w:rsid w:val="000024F3"/>
    <w:rsid w:val="000055D1"/>
    <w:rsid w:val="00005F36"/>
    <w:rsid w:val="00010AB5"/>
    <w:rsid w:val="000127FC"/>
    <w:rsid w:val="00013A3F"/>
    <w:rsid w:val="00015212"/>
    <w:rsid w:val="0001525C"/>
    <w:rsid w:val="00015ABE"/>
    <w:rsid w:val="00015B29"/>
    <w:rsid w:val="00016335"/>
    <w:rsid w:val="00020478"/>
    <w:rsid w:val="00022C52"/>
    <w:rsid w:val="00022EDF"/>
    <w:rsid w:val="0002351C"/>
    <w:rsid w:val="000244EB"/>
    <w:rsid w:val="000266F5"/>
    <w:rsid w:val="0003234B"/>
    <w:rsid w:val="00037174"/>
    <w:rsid w:val="00042991"/>
    <w:rsid w:val="00044044"/>
    <w:rsid w:val="00044C17"/>
    <w:rsid w:val="000522B9"/>
    <w:rsid w:val="00054F18"/>
    <w:rsid w:val="0005679D"/>
    <w:rsid w:val="00056B8F"/>
    <w:rsid w:val="00057E6F"/>
    <w:rsid w:val="00060809"/>
    <w:rsid w:val="0007078B"/>
    <w:rsid w:val="00071F26"/>
    <w:rsid w:val="00072E21"/>
    <w:rsid w:val="00080031"/>
    <w:rsid w:val="00081176"/>
    <w:rsid w:val="0008692E"/>
    <w:rsid w:val="0009024A"/>
    <w:rsid w:val="000A137A"/>
    <w:rsid w:val="000A1693"/>
    <w:rsid w:val="000A4139"/>
    <w:rsid w:val="000A6541"/>
    <w:rsid w:val="000B42A0"/>
    <w:rsid w:val="000B4BD1"/>
    <w:rsid w:val="000B5F21"/>
    <w:rsid w:val="000C302E"/>
    <w:rsid w:val="000C3CD3"/>
    <w:rsid w:val="000C40D9"/>
    <w:rsid w:val="000C53BE"/>
    <w:rsid w:val="000C5F41"/>
    <w:rsid w:val="000D10A5"/>
    <w:rsid w:val="000D164C"/>
    <w:rsid w:val="000D4E7C"/>
    <w:rsid w:val="000D5902"/>
    <w:rsid w:val="000D6392"/>
    <w:rsid w:val="000E0324"/>
    <w:rsid w:val="000E3099"/>
    <w:rsid w:val="000F0BC0"/>
    <w:rsid w:val="000F4864"/>
    <w:rsid w:val="000F51F1"/>
    <w:rsid w:val="00100522"/>
    <w:rsid w:val="00103415"/>
    <w:rsid w:val="00106E27"/>
    <w:rsid w:val="00110995"/>
    <w:rsid w:val="0011156A"/>
    <w:rsid w:val="001128F2"/>
    <w:rsid w:val="00112C59"/>
    <w:rsid w:val="00114F37"/>
    <w:rsid w:val="0011530E"/>
    <w:rsid w:val="001154A4"/>
    <w:rsid w:val="001171E0"/>
    <w:rsid w:val="00117AC0"/>
    <w:rsid w:val="00121502"/>
    <w:rsid w:val="0012759A"/>
    <w:rsid w:val="00137AE1"/>
    <w:rsid w:val="00140513"/>
    <w:rsid w:val="00140B72"/>
    <w:rsid w:val="001430E7"/>
    <w:rsid w:val="00143A05"/>
    <w:rsid w:val="00145EE4"/>
    <w:rsid w:val="00153BAD"/>
    <w:rsid w:val="00154EA2"/>
    <w:rsid w:val="00156C4F"/>
    <w:rsid w:val="001606B0"/>
    <w:rsid w:val="00161C71"/>
    <w:rsid w:val="001641DC"/>
    <w:rsid w:val="0016591D"/>
    <w:rsid w:val="00167128"/>
    <w:rsid w:val="0017118C"/>
    <w:rsid w:val="00173AD2"/>
    <w:rsid w:val="00174689"/>
    <w:rsid w:val="00174DE0"/>
    <w:rsid w:val="00175704"/>
    <w:rsid w:val="001812E2"/>
    <w:rsid w:val="001857AD"/>
    <w:rsid w:val="00186F19"/>
    <w:rsid w:val="001906ED"/>
    <w:rsid w:val="00197A90"/>
    <w:rsid w:val="001A01D2"/>
    <w:rsid w:val="001A07AA"/>
    <w:rsid w:val="001A398D"/>
    <w:rsid w:val="001A6173"/>
    <w:rsid w:val="001B3807"/>
    <w:rsid w:val="001B7067"/>
    <w:rsid w:val="001C0D0B"/>
    <w:rsid w:val="001C2DD5"/>
    <w:rsid w:val="001C4E40"/>
    <w:rsid w:val="001C7850"/>
    <w:rsid w:val="001D0261"/>
    <w:rsid w:val="001D05B0"/>
    <w:rsid w:val="001D3A91"/>
    <w:rsid w:val="001E70C0"/>
    <w:rsid w:val="001F415E"/>
    <w:rsid w:val="001F59A2"/>
    <w:rsid w:val="001F5A64"/>
    <w:rsid w:val="002000B0"/>
    <w:rsid w:val="00201DE1"/>
    <w:rsid w:val="0020487B"/>
    <w:rsid w:val="00205838"/>
    <w:rsid w:val="0021261A"/>
    <w:rsid w:val="002219FA"/>
    <w:rsid w:val="002233EF"/>
    <w:rsid w:val="00223DD1"/>
    <w:rsid w:val="0023019A"/>
    <w:rsid w:val="00231C4E"/>
    <w:rsid w:val="002337F9"/>
    <w:rsid w:val="00233947"/>
    <w:rsid w:val="00233E09"/>
    <w:rsid w:val="00236084"/>
    <w:rsid w:val="00236F73"/>
    <w:rsid w:val="0024454B"/>
    <w:rsid w:val="002469E1"/>
    <w:rsid w:val="00255835"/>
    <w:rsid w:val="00262B3F"/>
    <w:rsid w:val="00273E70"/>
    <w:rsid w:val="0027501F"/>
    <w:rsid w:val="00275676"/>
    <w:rsid w:val="0027671B"/>
    <w:rsid w:val="00276966"/>
    <w:rsid w:val="002842D3"/>
    <w:rsid w:val="00285B1E"/>
    <w:rsid w:val="00287018"/>
    <w:rsid w:val="00290A7B"/>
    <w:rsid w:val="00290E15"/>
    <w:rsid w:val="00292B47"/>
    <w:rsid w:val="002943AE"/>
    <w:rsid w:val="002A059B"/>
    <w:rsid w:val="002A25E7"/>
    <w:rsid w:val="002A6986"/>
    <w:rsid w:val="002B4AFF"/>
    <w:rsid w:val="002B5389"/>
    <w:rsid w:val="002B5625"/>
    <w:rsid w:val="002C2A32"/>
    <w:rsid w:val="002C2B8D"/>
    <w:rsid w:val="002D1B24"/>
    <w:rsid w:val="002D4309"/>
    <w:rsid w:val="002D5500"/>
    <w:rsid w:val="002E2556"/>
    <w:rsid w:val="002E3215"/>
    <w:rsid w:val="002E4875"/>
    <w:rsid w:val="002E58E9"/>
    <w:rsid w:val="002E6835"/>
    <w:rsid w:val="002F0F47"/>
    <w:rsid w:val="002F2575"/>
    <w:rsid w:val="002F4CD4"/>
    <w:rsid w:val="002F511F"/>
    <w:rsid w:val="002F6754"/>
    <w:rsid w:val="003027B1"/>
    <w:rsid w:val="00304A36"/>
    <w:rsid w:val="00304B16"/>
    <w:rsid w:val="003059A2"/>
    <w:rsid w:val="00307648"/>
    <w:rsid w:val="003100EE"/>
    <w:rsid w:val="003101E6"/>
    <w:rsid w:val="00312A80"/>
    <w:rsid w:val="00314F04"/>
    <w:rsid w:val="003177FA"/>
    <w:rsid w:val="00323394"/>
    <w:rsid w:val="00324483"/>
    <w:rsid w:val="00326499"/>
    <w:rsid w:val="003271C5"/>
    <w:rsid w:val="00337F94"/>
    <w:rsid w:val="00340ACE"/>
    <w:rsid w:val="00342B65"/>
    <w:rsid w:val="00345DB9"/>
    <w:rsid w:val="00345FF7"/>
    <w:rsid w:val="00351269"/>
    <w:rsid w:val="0035728B"/>
    <w:rsid w:val="00362378"/>
    <w:rsid w:val="00366A79"/>
    <w:rsid w:val="00367576"/>
    <w:rsid w:val="00370864"/>
    <w:rsid w:val="00371ED5"/>
    <w:rsid w:val="00374E0A"/>
    <w:rsid w:val="00375E4D"/>
    <w:rsid w:val="003765C4"/>
    <w:rsid w:val="00377468"/>
    <w:rsid w:val="0037757B"/>
    <w:rsid w:val="00384BD1"/>
    <w:rsid w:val="00386C9C"/>
    <w:rsid w:val="00387317"/>
    <w:rsid w:val="003921A0"/>
    <w:rsid w:val="00392B28"/>
    <w:rsid w:val="003A22C7"/>
    <w:rsid w:val="003A4365"/>
    <w:rsid w:val="003B1589"/>
    <w:rsid w:val="003B58C0"/>
    <w:rsid w:val="003B5D5E"/>
    <w:rsid w:val="003B6F8E"/>
    <w:rsid w:val="003C03FC"/>
    <w:rsid w:val="003C04EF"/>
    <w:rsid w:val="003C1F70"/>
    <w:rsid w:val="003C4494"/>
    <w:rsid w:val="003C4B5F"/>
    <w:rsid w:val="003C6FD2"/>
    <w:rsid w:val="003D0387"/>
    <w:rsid w:val="003D6423"/>
    <w:rsid w:val="003D7C77"/>
    <w:rsid w:val="003E75CD"/>
    <w:rsid w:val="003F0D4C"/>
    <w:rsid w:val="003F217A"/>
    <w:rsid w:val="003F2623"/>
    <w:rsid w:val="003F3580"/>
    <w:rsid w:val="003F6923"/>
    <w:rsid w:val="00400047"/>
    <w:rsid w:val="0040155A"/>
    <w:rsid w:val="00402925"/>
    <w:rsid w:val="00404FF5"/>
    <w:rsid w:val="0040664F"/>
    <w:rsid w:val="00406F8D"/>
    <w:rsid w:val="00411370"/>
    <w:rsid w:val="0041144E"/>
    <w:rsid w:val="00411E7B"/>
    <w:rsid w:val="00413E62"/>
    <w:rsid w:val="00414078"/>
    <w:rsid w:val="00417876"/>
    <w:rsid w:val="0043075F"/>
    <w:rsid w:val="00430C8D"/>
    <w:rsid w:val="004333FE"/>
    <w:rsid w:val="00434575"/>
    <w:rsid w:val="004364F7"/>
    <w:rsid w:val="00436C32"/>
    <w:rsid w:val="004440CB"/>
    <w:rsid w:val="00450649"/>
    <w:rsid w:val="00450C8D"/>
    <w:rsid w:val="0045112D"/>
    <w:rsid w:val="00451F36"/>
    <w:rsid w:val="0045535F"/>
    <w:rsid w:val="00456C2D"/>
    <w:rsid w:val="00456EA1"/>
    <w:rsid w:val="004602F2"/>
    <w:rsid w:val="00460950"/>
    <w:rsid w:val="00460EB5"/>
    <w:rsid w:val="00462BF8"/>
    <w:rsid w:val="004632B5"/>
    <w:rsid w:val="00463AA3"/>
    <w:rsid w:val="00465374"/>
    <w:rsid w:val="00466245"/>
    <w:rsid w:val="00466545"/>
    <w:rsid w:val="00467083"/>
    <w:rsid w:val="00475C37"/>
    <w:rsid w:val="00482418"/>
    <w:rsid w:val="00483F3D"/>
    <w:rsid w:val="00486A57"/>
    <w:rsid w:val="004908F1"/>
    <w:rsid w:val="0049115F"/>
    <w:rsid w:val="00494115"/>
    <w:rsid w:val="00495DE0"/>
    <w:rsid w:val="00496039"/>
    <w:rsid w:val="00497852"/>
    <w:rsid w:val="004A4617"/>
    <w:rsid w:val="004A55C3"/>
    <w:rsid w:val="004B3AF8"/>
    <w:rsid w:val="004B3CBC"/>
    <w:rsid w:val="004B56EB"/>
    <w:rsid w:val="004C0774"/>
    <w:rsid w:val="004C0DB8"/>
    <w:rsid w:val="004C244C"/>
    <w:rsid w:val="004D2EC6"/>
    <w:rsid w:val="004D4788"/>
    <w:rsid w:val="004D5FB8"/>
    <w:rsid w:val="004D63EA"/>
    <w:rsid w:val="004D7EB1"/>
    <w:rsid w:val="004E1A4D"/>
    <w:rsid w:val="004E2891"/>
    <w:rsid w:val="004E593A"/>
    <w:rsid w:val="004F315C"/>
    <w:rsid w:val="00506E4B"/>
    <w:rsid w:val="00512BDD"/>
    <w:rsid w:val="00513DCF"/>
    <w:rsid w:val="00520997"/>
    <w:rsid w:val="00522C40"/>
    <w:rsid w:val="00522DDA"/>
    <w:rsid w:val="005260DF"/>
    <w:rsid w:val="005335D3"/>
    <w:rsid w:val="0053417F"/>
    <w:rsid w:val="00540BD9"/>
    <w:rsid w:val="00541938"/>
    <w:rsid w:val="005428DE"/>
    <w:rsid w:val="005445F7"/>
    <w:rsid w:val="00544EF2"/>
    <w:rsid w:val="00550A64"/>
    <w:rsid w:val="00550D60"/>
    <w:rsid w:val="005530FB"/>
    <w:rsid w:val="0055366C"/>
    <w:rsid w:val="00554FD0"/>
    <w:rsid w:val="005572FF"/>
    <w:rsid w:val="0055738F"/>
    <w:rsid w:val="005579A4"/>
    <w:rsid w:val="00560C2E"/>
    <w:rsid w:val="00565748"/>
    <w:rsid w:val="00566175"/>
    <w:rsid w:val="005705A3"/>
    <w:rsid w:val="005743B9"/>
    <w:rsid w:val="005749D1"/>
    <w:rsid w:val="00580E8B"/>
    <w:rsid w:val="0058312F"/>
    <w:rsid w:val="005832F5"/>
    <w:rsid w:val="00584144"/>
    <w:rsid w:val="00587342"/>
    <w:rsid w:val="00590455"/>
    <w:rsid w:val="0059062D"/>
    <w:rsid w:val="00591CE8"/>
    <w:rsid w:val="00594BA8"/>
    <w:rsid w:val="005A12BB"/>
    <w:rsid w:val="005A7A98"/>
    <w:rsid w:val="005B3468"/>
    <w:rsid w:val="005B6620"/>
    <w:rsid w:val="005C29F8"/>
    <w:rsid w:val="005C586F"/>
    <w:rsid w:val="005C6F55"/>
    <w:rsid w:val="005D0B1F"/>
    <w:rsid w:val="005D6484"/>
    <w:rsid w:val="005D6CC0"/>
    <w:rsid w:val="005D7CCB"/>
    <w:rsid w:val="005E220C"/>
    <w:rsid w:val="005E38A5"/>
    <w:rsid w:val="005E3A10"/>
    <w:rsid w:val="005E4125"/>
    <w:rsid w:val="005E5863"/>
    <w:rsid w:val="005F20BA"/>
    <w:rsid w:val="005F5153"/>
    <w:rsid w:val="0060662D"/>
    <w:rsid w:val="006076AF"/>
    <w:rsid w:val="00607DB4"/>
    <w:rsid w:val="00610815"/>
    <w:rsid w:val="00613A48"/>
    <w:rsid w:val="00617F6C"/>
    <w:rsid w:val="00624C81"/>
    <w:rsid w:val="006265DC"/>
    <w:rsid w:val="00626654"/>
    <w:rsid w:val="00631698"/>
    <w:rsid w:val="006322D1"/>
    <w:rsid w:val="006347F6"/>
    <w:rsid w:val="0063608D"/>
    <w:rsid w:val="00641961"/>
    <w:rsid w:val="00645748"/>
    <w:rsid w:val="00646026"/>
    <w:rsid w:val="0064618B"/>
    <w:rsid w:val="00653D24"/>
    <w:rsid w:val="00654D2A"/>
    <w:rsid w:val="00660906"/>
    <w:rsid w:val="0066411D"/>
    <w:rsid w:val="00664624"/>
    <w:rsid w:val="00666BC4"/>
    <w:rsid w:val="006761D5"/>
    <w:rsid w:val="006804A1"/>
    <w:rsid w:val="00685E11"/>
    <w:rsid w:val="00690DD5"/>
    <w:rsid w:val="0069142D"/>
    <w:rsid w:val="0069252F"/>
    <w:rsid w:val="00694452"/>
    <w:rsid w:val="00694D23"/>
    <w:rsid w:val="006A5115"/>
    <w:rsid w:val="006A5116"/>
    <w:rsid w:val="006A7AAD"/>
    <w:rsid w:val="006A7C24"/>
    <w:rsid w:val="006A7C50"/>
    <w:rsid w:val="006B0627"/>
    <w:rsid w:val="006B4727"/>
    <w:rsid w:val="006B4DB9"/>
    <w:rsid w:val="006B6287"/>
    <w:rsid w:val="006C1BCB"/>
    <w:rsid w:val="006C302D"/>
    <w:rsid w:val="006C3569"/>
    <w:rsid w:val="006C66C0"/>
    <w:rsid w:val="006D03FF"/>
    <w:rsid w:val="006D0B09"/>
    <w:rsid w:val="006D2DE6"/>
    <w:rsid w:val="006D4378"/>
    <w:rsid w:val="006D4DED"/>
    <w:rsid w:val="006D61A5"/>
    <w:rsid w:val="006D6D28"/>
    <w:rsid w:val="006E0A56"/>
    <w:rsid w:val="006E0C5F"/>
    <w:rsid w:val="006E16D2"/>
    <w:rsid w:val="006E4E01"/>
    <w:rsid w:val="006E5024"/>
    <w:rsid w:val="006E56DB"/>
    <w:rsid w:val="006F3D07"/>
    <w:rsid w:val="006F43D6"/>
    <w:rsid w:val="006F491D"/>
    <w:rsid w:val="006F6149"/>
    <w:rsid w:val="006F6480"/>
    <w:rsid w:val="0070044C"/>
    <w:rsid w:val="00700B69"/>
    <w:rsid w:val="0071374E"/>
    <w:rsid w:val="007148A1"/>
    <w:rsid w:val="00715CD6"/>
    <w:rsid w:val="00720421"/>
    <w:rsid w:val="007244E0"/>
    <w:rsid w:val="007247EF"/>
    <w:rsid w:val="007255DF"/>
    <w:rsid w:val="00736986"/>
    <w:rsid w:val="007436D6"/>
    <w:rsid w:val="00753BDB"/>
    <w:rsid w:val="00755101"/>
    <w:rsid w:val="00755E36"/>
    <w:rsid w:val="00761427"/>
    <w:rsid w:val="00761EFA"/>
    <w:rsid w:val="00762957"/>
    <w:rsid w:val="0077150B"/>
    <w:rsid w:val="00772241"/>
    <w:rsid w:val="007734D8"/>
    <w:rsid w:val="0078256C"/>
    <w:rsid w:val="00790DEA"/>
    <w:rsid w:val="00795EAD"/>
    <w:rsid w:val="00796572"/>
    <w:rsid w:val="00797813"/>
    <w:rsid w:val="007A0B01"/>
    <w:rsid w:val="007A35DD"/>
    <w:rsid w:val="007A4391"/>
    <w:rsid w:val="007A47C5"/>
    <w:rsid w:val="007A536D"/>
    <w:rsid w:val="007B20A3"/>
    <w:rsid w:val="007C5977"/>
    <w:rsid w:val="007D1D2B"/>
    <w:rsid w:val="007D2CC7"/>
    <w:rsid w:val="007D36BE"/>
    <w:rsid w:val="007D514E"/>
    <w:rsid w:val="007D6422"/>
    <w:rsid w:val="007D711E"/>
    <w:rsid w:val="007D751E"/>
    <w:rsid w:val="007E1DE0"/>
    <w:rsid w:val="007E2811"/>
    <w:rsid w:val="007E383A"/>
    <w:rsid w:val="007E3B9E"/>
    <w:rsid w:val="007E3C54"/>
    <w:rsid w:val="007E66B4"/>
    <w:rsid w:val="007F04BA"/>
    <w:rsid w:val="007F1256"/>
    <w:rsid w:val="0080175E"/>
    <w:rsid w:val="00802B31"/>
    <w:rsid w:val="00804F92"/>
    <w:rsid w:val="0080520A"/>
    <w:rsid w:val="00806CA1"/>
    <w:rsid w:val="008070E0"/>
    <w:rsid w:val="008072D0"/>
    <w:rsid w:val="00812F93"/>
    <w:rsid w:val="00813378"/>
    <w:rsid w:val="0081380D"/>
    <w:rsid w:val="00817807"/>
    <w:rsid w:val="0082040C"/>
    <w:rsid w:val="00820488"/>
    <w:rsid w:val="00822B3B"/>
    <w:rsid w:val="00823D04"/>
    <w:rsid w:val="00824898"/>
    <w:rsid w:val="00833684"/>
    <w:rsid w:val="00835A6B"/>
    <w:rsid w:val="00842CB2"/>
    <w:rsid w:val="0084529C"/>
    <w:rsid w:val="008457D3"/>
    <w:rsid w:val="00845C67"/>
    <w:rsid w:val="00847278"/>
    <w:rsid w:val="00850F02"/>
    <w:rsid w:val="0085130C"/>
    <w:rsid w:val="0085254E"/>
    <w:rsid w:val="00855703"/>
    <w:rsid w:val="0086028F"/>
    <w:rsid w:val="008615B1"/>
    <w:rsid w:val="0086498E"/>
    <w:rsid w:val="0088230D"/>
    <w:rsid w:val="00883CE8"/>
    <w:rsid w:val="0089095C"/>
    <w:rsid w:val="0089605E"/>
    <w:rsid w:val="00897215"/>
    <w:rsid w:val="00897796"/>
    <w:rsid w:val="0089783C"/>
    <w:rsid w:val="008A2736"/>
    <w:rsid w:val="008A752C"/>
    <w:rsid w:val="008B353D"/>
    <w:rsid w:val="008B36D4"/>
    <w:rsid w:val="008B4FCC"/>
    <w:rsid w:val="008C00E1"/>
    <w:rsid w:val="008C0C01"/>
    <w:rsid w:val="008C3313"/>
    <w:rsid w:val="008C4202"/>
    <w:rsid w:val="008C542C"/>
    <w:rsid w:val="008C5B09"/>
    <w:rsid w:val="008D1318"/>
    <w:rsid w:val="008D2A7C"/>
    <w:rsid w:val="008D4F11"/>
    <w:rsid w:val="008D57BB"/>
    <w:rsid w:val="008D5B5A"/>
    <w:rsid w:val="008D6E35"/>
    <w:rsid w:val="008E06E0"/>
    <w:rsid w:val="008E3936"/>
    <w:rsid w:val="008E4885"/>
    <w:rsid w:val="008E534A"/>
    <w:rsid w:val="008E5743"/>
    <w:rsid w:val="008E75AE"/>
    <w:rsid w:val="008F426F"/>
    <w:rsid w:val="008F4E7E"/>
    <w:rsid w:val="008F67FD"/>
    <w:rsid w:val="008F6E75"/>
    <w:rsid w:val="00905B0C"/>
    <w:rsid w:val="00910E22"/>
    <w:rsid w:val="00923780"/>
    <w:rsid w:val="0092419E"/>
    <w:rsid w:val="00931CC8"/>
    <w:rsid w:val="009328A0"/>
    <w:rsid w:val="00933AE9"/>
    <w:rsid w:val="00933FFB"/>
    <w:rsid w:val="009363CC"/>
    <w:rsid w:val="009374EC"/>
    <w:rsid w:val="0094001D"/>
    <w:rsid w:val="0094092B"/>
    <w:rsid w:val="00940973"/>
    <w:rsid w:val="00941C61"/>
    <w:rsid w:val="00941EAB"/>
    <w:rsid w:val="009473E0"/>
    <w:rsid w:val="00947789"/>
    <w:rsid w:val="009513EA"/>
    <w:rsid w:val="009516D6"/>
    <w:rsid w:val="009549FC"/>
    <w:rsid w:val="00955B11"/>
    <w:rsid w:val="00957428"/>
    <w:rsid w:val="00961647"/>
    <w:rsid w:val="00964BA1"/>
    <w:rsid w:val="00966596"/>
    <w:rsid w:val="00970599"/>
    <w:rsid w:val="00971263"/>
    <w:rsid w:val="0097502A"/>
    <w:rsid w:val="00976917"/>
    <w:rsid w:val="00980CB7"/>
    <w:rsid w:val="00980CC6"/>
    <w:rsid w:val="00986F7A"/>
    <w:rsid w:val="00987D53"/>
    <w:rsid w:val="0099126B"/>
    <w:rsid w:val="0099486B"/>
    <w:rsid w:val="00997002"/>
    <w:rsid w:val="009A199A"/>
    <w:rsid w:val="009A3EAC"/>
    <w:rsid w:val="009A4098"/>
    <w:rsid w:val="009B2605"/>
    <w:rsid w:val="009B37B8"/>
    <w:rsid w:val="009B6F27"/>
    <w:rsid w:val="009B6FB2"/>
    <w:rsid w:val="009C1C2D"/>
    <w:rsid w:val="009C2284"/>
    <w:rsid w:val="009C2B30"/>
    <w:rsid w:val="009C31EB"/>
    <w:rsid w:val="009C3BC5"/>
    <w:rsid w:val="009C6701"/>
    <w:rsid w:val="009D4945"/>
    <w:rsid w:val="009E2ACD"/>
    <w:rsid w:val="009E4A1F"/>
    <w:rsid w:val="009F1BB7"/>
    <w:rsid w:val="009F372B"/>
    <w:rsid w:val="009F41AF"/>
    <w:rsid w:val="009F6D67"/>
    <w:rsid w:val="00A019DA"/>
    <w:rsid w:val="00A030E5"/>
    <w:rsid w:val="00A062B4"/>
    <w:rsid w:val="00A06FA5"/>
    <w:rsid w:val="00A13CC5"/>
    <w:rsid w:val="00A143B0"/>
    <w:rsid w:val="00A163CD"/>
    <w:rsid w:val="00A17E3A"/>
    <w:rsid w:val="00A271C4"/>
    <w:rsid w:val="00A3141D"/>
    <w:rsid w:val="00A3236A"/>
    <w:rsid w:val="00A361E2"/>
    <w:rsid w:val="00A40A7D"/>
    <w:rsid w:val="00A41B86"/>
    <w:rsid w:val="00A44547"/>
    <w:rsid w:val="00A44B01"/>
    <w:rsid w:val="00A47831"/>
    <w:rsid w:val="00A51D12"/>
    <w:rsid w:val="00A528E7"/>
    <w:rsid w:val="00A54248"/>
    <w:rsid w:val="00A554A8"/>
    <w:rsid w:val="00A56973"/>
    <w:rsid w:val="00A61A17"/>
    <w:rsid w:val="00A620F9"/>
    <w:rsid w:val="00A741FA"/>
    <w:rsid w:val="00A83498"/>
    <w:rsid w:val="00A83D9C"/>
    <w:rsid w:val="00A862BF"/>
    <w:rsid w:val="00A9316E"/>
    <w:rsid w:val="00A972B1"/>
    <w:rsid w:val="00A97E67"/>
    <w:rsid w:val="00AB0A01"/>
    <w:rsid w:val="00AB2F54"/>
    <w:rsid w:val="00AB461B"/>
    <w:rsid w:val="00AB6A2F"/>
    <w:rsid w:val="00AB77C9"/>
    <w:rsid w:val="00AC051C"/>
    <w:rsid w:val="00AC2A19"/>
    <w:rsid w:val="00AC5229"/>
    <w:rsid w:val="00AC5E1F"/>
    <w:rsid w:val="00AD60F3"/>
    <w:rsid w:val="00AE126D"/>
    <w:rsid w:val="00AE1600"/>
    <w:rsid w:val="00AE55A8"/>
    <w:rsid w:val="00AE5772"/>
    <w:rsid w:val="00AE5FAC"/>
    <w:rsid w:val="00AE70CE"/>
    <w:rsid w:val="00AF0131"/>
    <w:rsid w:val="00AF4317"/>
    <w:rsid w:val="00AF5492"/>
    <w:rsid w:val="00B02584"/>
    <w:rsid w:val="00B0354B"/>
    <w:rsid w:val="00B03C1B"/>
    <w:rsid w:val="00B078E7"/>
    <w:rsid w:val="00B107D0"/>
    <w:rsid w:val="00B174DD"/>
    <w:rsid w:val="00B20606"/>
    <w:rsid w:val="00B22C1E"/>
    <w:rsid w:val="00B22CFB"/>
    <w:rsid w:val="00B26082"/>
    <w:rsid w:val="00B26DFA"/>
    <w:rsid w:val="00B364AC"/>
    <w:rsid w:val="00B403C4"/>
    <w:rsid w:val="00B4240C"/>
    <w:rsid w:val="00B42FFA"/>
    <w:rsid w:val="00B434C2"/>
    <w:rsid w:val="00B45953"/>
    <w:rsid w:val="00B45EB5"/>
    <w:rsid w:val="00B5706C"/>
    <w:rsid w:val="00B60388"/>
    <w:rsid w:val="00B61A04"/>
    <w:rsid w:val="00B622C8"/>
    <w:rsid w:val="00B76E08"/>
    <w:rsid w:val="00B81FC6"/>
    <w:rsid w:val="00B827BA"/>
    <w:rsid w:val="00B8318B"/>
    <w:rsid w:val="00B84459"/>
    <w:rsid w:val="00B901CE"/>
    <w:rsid w:val="00B91460"/>
    <w:rsid w:val="00B94EDB"/>
    <w:rsid w:val="00B95F1A"/>
    <w:rsid w:val="00BA2AFD"/>
    <w:rsid w:val="00BA4590"/>
    <w:rsid w:val="00BA5D20"/>
    <w:rsid w:val="00BA75F3"/>
    <w:rsid w:val="00BB20DE"/>
    <w:rsid w:val="00BB3DDB"/>
    <w:rsid w:val="00BB43DC"/>
    <w:rsid w:val="00BB6FA8"/>
    <w:rsid w:val="00BC3C32"/>
    <w:rsid w:val="00BC4336"/>
    <w:rsid w:val="00BD04D9"/>
    <w:rsid w:val="00BD1559"/>
    <w:rsid w:val="00BD2862"/>
    <w:rsid w:val="00BD6703"/>
    <w:rsid w:val="00BD7D04"/>
    <w:rsid w:val="00BE0604"/>
    <w:rsid w:val="00BE3299"/>
    <w:rsid w:val="00BE5906"/>
    <w:rsid w:val="00BE5941"/>
    <w:rsid w:val="00BE6614"/>
    <w:rsid w:val="00BE6EC7"/>
    <w:rsid w:val="00BF26C5"/>
    <w:rsid w:val="00BF5344"/>
    <w:rsid w:val="00C00556"/>
    <w:rsid w:val="00C03463"/>
    <w:rsid w:val="00C05F0A"/>
    <w:rsid w:val="00C12062"/>
    <w:rsid w:val="00C1213E"/>
    <w:rsid w:val="00C15287"/>
    <w:rsid w:val="00C176F8"/>
    <w:rsid w:val="00C23D34"/>
    <w:rsid w:val="00C25B8B"/>
    <w:rsid w:val="00C26F83"/>
    <w:rsid w:val="00C30772"/>
    <w:rsid w:val="00C33523"/>
    <w:rsid w:val="00C36618"/>
    <w:rsid w:val="00C36DA1"/>
    <w:rsid w:val="00C40A6F"/>
    <w:rsid w:val="00C435ED"/>
    <w:rsid w:val="00C45B41"/>
    <w:rsid w:val="00C4735C"/>
    <w:rsid w:val="00C52BBA"/>
    <w:rsid w:val="00C57C50"/>
    <w:rsid w:val="00C60679"/>
    <w:rsid w:val="00C64ECA"/>
    <w:rsid w:val="00C7019A"/>
    <w:rsid w:val="00C71F94"/>
    <w:rsid w:val="00C72F4F"/>
    <w:rsid w:val="00C742FE"/>
    <w:rsid w:val="00C757C3"/>
    <w:rsid w:val="00C7729D"/>
    <w:rsid w:val="00C83C93"/>
    <w:rsid w:val="00C875F7"/>
    <w:rsid w:val="00C951CE"/>
    <w:rsid w:val="00CA65A6"/>
    <w:rsid w:val="00CB0D91"/>
    <w:rsid w:val="00CB1599"/>
    <w:rsid w:val="00CB248B"/>
    <w:rsid w:val="00CB4CC1"/>
    <w:rsid w:val="00CB5524"/>
    <w:rsid w:val="00CB6984"/>
    <w:rsid w:val="00CC2486"/>
    <w:rsid w:val="00CC4376"/>
    <w:rsid w:val="00CC573B"/>
    <w:rsid w:val="00CC674F"/>
    <w:rsid w:val="00CD3443"/>
    <w:rsid w:val="00CD456F"/>
    <w:rsid w:val="00CE2A0B"/>
    <w:rsid w:val="00CE304C"/>
    <w:rsid w:val="00CE401C"/>
    <w:rsid w:val="00CF5F7D"/>
    <w:rsid w:val="00D02244"/>
    <w:rsid w:val="00D03294"/>
    <w:rsid w:val="00D067E4"/>
    <w:rsid w:val="00D07170"/>
    <w:rsid w:val="00D13EC8"/>
    <w:rsid w:val="00D17C04"/>
    <w:rsid w:val="00D2063E"/>
    <w:rsid w:val="00D237EC"/>
    <w:rsid w:val="00D247A6"/>
    <w:rsid w:val="00D30BC8"/>
    <w:rsid w:val="00D3283D"/>
    <w:rsid w:val="00D34119"/>
    <w:rsid w:val="00D376B6"/>
    <w:rsid w:val="00D411B8"/>
    <w:rsid w:val="00D456A8"/>
    <w:rsid w:val="00D50703"/>
    <w:rsid w:val="00D50EFF"/>
    <w:rsid w:val="00D57910"/>
    <w:rsid w:val="00D57935"/>
    <w:rsid w:val="00D62B97"/>
    <w:rsid w:val="00D670FC"/>
    <w:rsid w:val="00D71B76"/>
    <w:rsid w:val="00D73534"/>
    <w:rsid w:val="00D736EC"/>
    <w:rsid w:val="00D75F92"/>
    <w:rsid w:val="00D803E1"/>
    <w:rsid w:val="00D84482"/>
    <w:rsid w:val="00D90626"/>
    <w:rsid w:val="00D90DBB"/>
    <w:rsid w:val="00D942DC"/>
    <w:rsid w:val="00DA1A65"/>
    <w:rsid w:val="00DA59EE"/>
    <w:rsid w:val="00DB210C"/>
    <w:rsid w:val="00DC0754"/>
    <w:rsid w:val="00DC0C6F"/>
    <w:rsid w:val="00DC0E7F"/>
    <w:rsid w:val="00DC4526"/>
    <w:rsid w:val="00DC7ED0"/>
    <w:rsid w:val="00DD3CCC"/>
    <w:rsid w:val="00DE141D"/>
    <w:rsid w:val="00DE7AF4"/>
    <w:rsid w:val="00DF174E"/>
    <w:rsid w:val="00E0637F"/>
    <w:rsid w:val="00E066EB"/>
    <w:rsid w:val="00E0723B"/>
    <w:rsid w:val="00E07D5A"/>
    <w:rsid w:val="00E11D77"/>
    <w:rsid w:val="00E16547"/>
    <w:rsid w:val="00E201A4"/>
    <w:rsid w:val="00E20E6F"/>
    <w:rsid w:val="00E22CB5"/>
    <w:rsid w:val="00E24644"/>
    <w:rsid w:val="00E24FE3"/>
    <w:rsid w:val="00E31690"/>
    <w:rsid w:val="00E33153"/>
    <w:rsid w:val="00E33B12"/>
    <w:rsid w:val="00E3494D"/>
    <w:rsid w:val="00E360BF"/>
    <w:rsid w:val="00E37441"/>
    <w:rsid w:val="00E37586"/>
    <w:rsid w:val="00E50834"/>
    <w:rsid w:val="00E521C1"/>
    <w:rsid w:val="00E542A5"/>
    <w:rsid w:val="00E5689A"/>
    <w:rsid w:val="00E62089"/>
    <w:rsid w:val="00E64962"/>
    <w:rsid w:val="00E651A0"/>
    <w:rsid w:val="00E729E4"/>
    <w:rsid w:val="00E82F84"/>
    <w:rsid w:val="00E910D1"/>
    <w:rsid w:val="00E92C1E"/>
    <w:rsid w:val="00E9375A"/>
    <w:rsid w:val="00E974AC"/>
    <w:rsid w:val="00E97AC3"/>
    <w:rsid w:val="00EA2423"/>
    <w:rsid w:val="00EA3B84"/>
    <w:rsid w:val="00EA5318"/>
    <w:rsid w:val="00EA72D2"/>
    <w:rsid w:val="00EA76CD"/>
    <w:rsid w:val="00EB0AAC"/>
    <w:rsid w:val="00EB61C5"/>
    <w:rsid w:val="00EC2C45"/>
    <w:rsid w:val="00EC30BD"/>
    <w:rsid w:val="00EC4327"/>
    <w:rsid w:val="00EC58CD"/>
    <w:rsid w:val="00ED1E82"/>
    <w:rsid w:val="00ED46A6"/>
    <w:rsid w:val="00ED4796"/>
    <w:rsid w:val="00ED75EC"/>
    <w:rsid w:val="00EE01E7"/>
    <w:rsid w:val="00EE0AC3"/>
    <w:rsid w:val="00EE6996"/>
    <w:rsid w:val="00EF0165"/>
    <w:rsid w:val="00EF0A11"/>
    <w:rsid w:val="00EF1AFF"/>
    <w:rsid w:val="00EF3323"/>
    <w:rsid w:val="00EF36F9"/>
    <w:rsid w:val="00EF3F61"/>
    <w:rsid w:val="00EF40FF"/>
    <w:rsid w:val="00EF4826"/>
    <w:rsid w:val="00EF4D31"/>
    <w:rsid w:val="00F0042C"/>
    <w:rsid w:val="00F017CC"/>
    <w:rsid w:val="00F046EB"/>
    <w:rsid w:val="00F0500C"/>
    <w:rsid w:val="00F065F2"/>
    <w:rsid w:val="00F07C43"/>
    <w:rsid w:val="00F13FEC"/>
    <w:rsid w:val="00F170DD"/>
    <w:rsid w:val="00F213F8"/>
    <w:rsid w:val="00F23FCF"/>
    <w:rsid w:val="00F25F08"/>
    <w:rsid w:val="00F34251"/>
    <w:rsid w:val="00F36005"/>
    <w:rsid w:val="00F427E7"/>
    <w:rsid w:val="00F43301"/>
    <w:rsid w:val="00F469CB"/>
    <w:rsid w:val="00F5029B"/>
    <w:rsid w:val="00F51726"/>
    <w:rsid w:val="00F6170B"/>
    <w:rsid w:val="00F67460"/>
    <w:rsid w:val="00F701F8"/>
    <w:rsid w:val="00F7254B"/>
    <w:rsid w:val="00F74DEE"/>
    <w:rsid w:val="00F74F4F"/>
    <w:rsid w:val="00F82EF0"/>
    <w:rsid w:val="00F8460F"/>
    <w:rsid w:val="00F87CB4"/>
    <w:rsid w:val="00F94C1C"/>
    <w:rsid w:val="00F96EF7"/>
    <w:rsid w:val="00FA4EF9"/>
    <w:rsid w:val="00FA6308"/>
    <w:rsid w:val="00FB3A9F"/>
    <w:rsid w:val="00FB3AD7"/>
    <w:rsid w:val="00FB3B81"/>
    <w:rsid w:val="00FB5D9B"/>
    <w:rsid w:val="00FC096C"/>
    <w:rsid w:val="00FC2084"/>
    <w:rsid w:val="00FC2BDE"/>
    <w:rsid w:val="00FC30AC"/>
    <w:rsid w:val="00FC353C"/>
    <w:rsid w:val="00FC3B07"/>
    <w:rsid w:val="00FD0B4D"/>
    <w:rsid w:val="00FD2079"/>
    <w:rsid w:val="00FD74B5"/>
    <w:rsid w:val="00FD7A04"/>
    <w:rsid w:val="00FD7D36"/>
    <w:rsid w:val="00FE365F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qFormat="1"/>
    <w:lsdException w:name="footnote reference" w:uiPriority="99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00"/>
    <w:pPr>
      <w:jc w:val="both"/>
    </w:pPr>
    <w:rPr>
      <w:rFonts w:cs="Angsana New"/>
      <w:sz w:val="22"/>
      <w:szCs w:val="24"/>
      <w:lang w:val="ru-RU" w:eastAsia="ru-RU"/>
    </w:rPr>
  </w:style>
  <w:style w:type="paragraph" w:styleId="Heading1">
    <w:name w:val="heading 1"/>
    <w:basedOn w:val="Normal"/>
    <w:next w:val="Heading2"/>
    <w:link w:val="Heading1Char"/>
    <w:qFormat/>
    <w:rsid w:val="00424E0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qFormat/>
    <w:rsid w:val="00424E0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24E0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424E0F"/>
    <w:pPr>
      <w:keepNext/>
      <w:spacing w:before="120" w:after="120"/>
      <w:outlineLvl w:val="3"/>
    </w:pPr>
    <w:rPr>
      <w:rFonts w:ascii="Times New Roman Bold" w:eastAsia="Angsana New" w:hAnsi="Times New Roman Bold"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qFormat/>
    <w:rsid w:val="00424E0F"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rsid w:val="00424E0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24E0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424E0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424E0F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  <w:rsid w:val="00424E0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4E0F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4E0F"/>
    <w:rPr>
      <w:sz w:val="18"/>
      <w:u w:val="single"/>
      <w:vertAlign w:val="baseline"/>
      <w:lang w:val="ru-RU" w:eastAsia="ru-RU"/>
    </w:rPr>
  </w:style>
  <w:style w:type="character" w:styleId="PageNumber">
    <w:name w:val="page number"/>
    <w:rsid w:val="00424E0F"/>
    <w:rPr>
      <w:rFonts w:ascii="Times New Roman" w:hAnsi="Times New Roman"/>
      <w:sz w:val="22"/>
      <w:lang w:val="ru-RU" w:eastAsia="ru-RU"/>
    </w:rPr>
  </w:style>
  <w:style w:type="paragraph" w:styleId="BodyText">
    <w:name w:val="Body Text"/>
    <w:basedOn w:val="Normal"/>
    <w:rsid w:val="00424E0F"/>
    <w:pPr>
      <w:spacing w:before="120" w:after="120"/>
      <w:ind w:firstLine="720"/>
    </w:pPr>
    <w:rPr>
      <w:iCs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424E0F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rsid w:val="00424E0F"/>
    <w:pPr>
      <w:tabs>
        <w:tab w:val="center" w:pos="4320"/>
        <w:tab w:val="right" w:pos="8640"/>
      </w:tabs>
      <w:ind w:firstLine="720"/>
      <w:jc w:val="right"/>
    </w:pPr>
    <w:rPr>
      <w:rFonts w:cs="Times New Roman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424E0F"/>
    <w:pPr>
      <w:keepLines/>
      <w:spacing w:after="60"/>
      <w:ind w:firstLine="720"/>
    </w:pPr>
    <w:rPr>
      <w:rFonts w:cs="Times New Roman"/>
      <w:sz w:val="18"/>
    </w:rPr>
  </w:style>
  <w:style w:type="paragraph" w:styleId="BodyText2">
    <w:name w:val="Body Text 2"/>
    <w:basedOn w:val="Normal"/>
    <w:rsid w:val="00424E0F"/>
    <w:rPr>
      <w:i/>
      <w:iCs/>
    </w:rPr>
  </w:style>
  <w:style w:type="paragraph" w:styleId="BodyText3">
    <w:name w:val="Body Text 3"/>
    <w:basedOn w:val="Normal"/>
    <w:rsid w:val="00424E0F"/>
    <w:pPr>
      <w:jc w:val="center"/>
    </w:pPr>
    <w:rPr>
      <w:sz w:val="28"/>
    </w:rPr>
  </w:style>
  <w:style w:type="paragraph" w:styleId="BodyTextIndent2">
    <w:name w:val="Body Text Indent 2"/>
    <w:basedOn w:val="Normal"/>
    <w:rsid w:val="00424E0F"/>
    <w:pPr>
      <w:ind w:firstLine="720"/>
    </w:pPr>
  </w:style>
  <w:style w:type="paragraph" w:styleId="BodyTextIndent3">
    <w:name w:val="Body Text Indent 3"/>
    <w:basedOn w:val="Normal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Normal"/>
  </w:style>
  <w:style w:type="paragraph" w:styleId="BlockText">
    <w:name w:val="Block Text"/>
    <w:basedOn w:val="Normal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</w:rPr>
  </w:style>
  <w:style w:type="paragraph" w:customStyle="1" w:styleId="Para">
    <w:name w:val="Para"/>
    <w:basedOn w:val="Normal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style>
  <w:style w:type="paragraph" w:styleId="BodyTextIndent">
    <w:name w:val="Body Text Indent"/>
    <w:basedOn w:val="Normal"/>
    <w:rsid w:val="00424E0F"/>
    <w:pPr>
      <w:spacing w:before="120" w:after="120"/>
      <w:ind w:left="1440" w:hanging="720"/>
      <w:jc w:val="left"/>
    </w:pPr>
  </w:style>
  <w:style w:type="character" w:styleId="EndnoteReference">
    <w:name w:val="endnote reference"/>
    <w:uiPriority w:val="99"/>
    <w:semiHidden/>
    <w:rsid w:val="00424E0F"/>
    <w:rPr>
      <w:vertAlign w:val="superscript"/>
      <w:lang w:val="ru-RU" w:eastAsia="ru-RU"/>
    </w:rPr>
  </w:style>
  <w:style w:type="paragraph" w:styleId="Title">
    <w:name w:val="Title"/>
    <w:basedOn w:val="Normal"/>
    <w:qFormat/>
    <w:rsid w:val="00424E0F"/>
    <w:pPr>
      <w:jc w:val="center"/>
    </w:pPr>
    <w:rPr>
      <w:i/>
      <w:iCs/>
    </w:rPr>
  </w:style>
  <w:style w:type="character" w:styleId="Hyperlink">
    <w:name w:val="Hyperlink"/>
    <w:rsid w:val="00424E0F"/>
    <w:rPr>
      <w:color w:val="0000FF"/>
      <w:u w:val="single"/>
      <w:lang w:val="ru-RU" w:eastAsia="ru-R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Normal"/>
    <w:rsid w:val="00424E0F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 w:cs="Times New Roman"/>
      <w:b/>
      <w:bCs/>
      <w:caps/>
    </w:rPr>
  </w:style>
  <w:style w:type="paragraph" w:customStyle="1" w:styleId="Cornernotation">
    <w:name w:val="Corner notation"/>
    <w:basedOn w:val="Normal"/>
    <w:rsid w:val="00424E0F"/>
    <w:pPr>
      <w:ind w:left="284" w:right="4398" w:hanging="284"/>
      <w:jc w:val="left"/>
    </w:pPr>
  </w:style>
  <w:style w:type="paragraph" w:customStyle="1" w:styleId="Para1">
    <w:name w:val="Para1"/>
    <w:basedOn w:val="Normal"/>
    <w:rsid w:val="00424E0F"/>
    <w:pPr>
      <w:spacing w:after="120"/>
    </w:pPr>
    <w:rPr>
      <w:snapToGrid w:val="0"/>
      <w:szCs w:val="18"/>
    </w:rPr>
  </w:style>
  <w:style w:type="paragraph" w:customStyle="1" w:styleId="para2">
    <w:name w:val="para2"/>
    <w:basedOn w:val="Normal"/>
    <w:rsid w:val="00424E0F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424E0F"/>
    <w:p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424E0F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Heading2"/>
  </w:style>
  <w:style w:type="paragraph" w:customStyle="1" w:styleId="Heading4indent">
    <w:name w:val="Heading 4 indent"/>
    <w:basedOn w:val="Heading4"/>
    <w:pPr>
      <w:ind w:left="72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Times New Roman"/>
      <w:sz w:val="2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ngsana New"/>
      <w:b/>
      <w:bCs/>
      <w:szCs w:val="22"/>
    </w:rPr>
  </w:style>
  <w:style w:type="paragraph" w:customStyle="1" w:styleId="xl27">
    <w:name w:val="xl27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28">
    <w:name w:val="xl2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ngsana New"/>
      <w:b/>
      <w:bCs/>
      <w:szCs w:val="22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ngsana New"/>
      <w:szCs w:val="22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33">
    <w:name w:val="xl33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Angsana New"/>
      <w:szCs w:val="22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ngsana New"/>
      <w:szCs w:val="22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ngsana New"/>
      <w:szCs w:val="22"/>
    </w:rPr>
  </w:style>
  <w:style w:type="paragraph" w:customStyle="1" w:styleId="xl37">
    <w:name w:val="xl3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ngsana New"/>
      <w:szCs w:val="22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ngsana New"/>
      <w:szCs w:val="22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ngsana New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  <w:textAlignment w:val="top"/>
    </w:pPr>
    <w:rPr>
      <w:rFonts w:eastAsia="Angsana New"/>
      <w:szCs w:val="22"/>
    </w:rPr>
  </w:style>
  <w:style w:type="paragraph" w:customStyle="1" w:styleId="xl41">
    <w:name w:val="xl41"/>
    <w:basedOn w:val="Normal"/>
    <w:pPr>
      <w:spacing w:before="100" w:beforeAutospacing="1" w:after="100" w:afterAutospacing="1"/>
      <w:textAlignment w:val="top"/>
    </w:pPr>
    <w:rPr>
      <w:rFonts w:eastAsia="Angsana New"/>
      <w:szCs w:val="22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</w:pPr>
    <w:rPr>
      <w:rFonts w:eastAsia="Angsana New"/>
      <w:szCs w:val="22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44">
    <w:name w:val="xl44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ngsana New"/>
      <w:b/>
      <w:bCs/>
      <w:szCs w:val="22"/>
    </w:rPr>
  </w:style>
  <w:style w:type="paragraph" w:customStyle="1" w:styleId="xl45">
    <w:name w:val="xl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46">
    <w:name w:val="xl4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47">
    <w:name w:val="xl4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48">
    <w:name w:val="xl4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ngsana New"/>
      <w:szCs w:val="22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0">
    <w:name w:val="xl5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3">
    <w:name w:val="xl5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5">
    <w:name w:val="xl55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6">
    <w:name w:val="xl56"/>
    <w:basedOn w:val="Normal"/>
    <w:pP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7">
    <w:name w:val="xl5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8">
    <w:name w:val="xl5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59">
    <w:name w:val="xl5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0">
    <w:name w:val="xl60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1">
    <w:name w:val="xl61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ngsana New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4">
    <w:name w:val="xl6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ngsana New"/>
      <w:szCs w:val="22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ngsana New"/>
      <w:b/>
      <w:bCs/>
      <w:szCs w:val="22"/>
    </w:rPr>
  </w:style>
  <w:style w:type="paragraph" w:customStyle="1" w:styleId="Texte">
    <w:name w:val="Texte"/>
    <w:basedOn w:val="Normal"/>
    <w:pPr>
      <w:widowControl w:val="0"/>
      <w:tabs>
        <w:tab w:val="left" w:pos="720"/>
      </w:tabs>
      <w:spacing w:before="120" w:after="120"/>
    </w:pPr>
  </w:style>
  <w:style w:type="paragraph" w:styleId="NormalWeb">
    <w:name w:val="Normal (Web)"/>
    <w:basedOn w:val="Normal"/>
    <w:uiPriority w:val="99"/>
    <w:rsid w:val="00424E0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</w:rPr>
  </w:style>
  <w:style w:type="character" w:styleId="FollowedHyperlink">
    <w:name w:val="FollowedHyperlink"/>
    <w:rsid w:val="00424E0F"/>
    <w:rPr>
      <w:color w:val="800080"/>
      <w:u w:val="single"/>
      <w:lang w:val="ru-RU" w:eastAsia="ru-RU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ngsana New" w:hAnsi="Arial" w:cs="Arial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ngsana New" w:hAnsi="Arial" w:cs="Arial"/>
      <w:color w:val="000000"/>
    </w:rPr>
  </w:style>
  <w:style w:type="paragraph" w:customStyle="1" w:styleId="content">
    <w:name w:val="content"/>
    <w:basedOn w:val="Normal"/>
    <w:pPr>
      <w:spacing w:before="100" w:beforeAutospacing="1" w:after="100" w:afterAutospacing="1" w:line="260" w:lineRule="atLeast"/>
    </w:pPr>
    <w:rPr>
      <w:rFonts w:ascii="Angsana New" w:eastAsia="Angsana New" w:hAnsi="Angsana New"/>
      <w:sz w:val="18"/>
      <w:szCs w:val="18"/>
    </w:rPr>
  </w:style>
  <w:style w:type="paragraph" w:customStyle="1" w:styleId="Para20">
    <w:name w:val="Para2"/>
    <w:basedOn w:val="Para1"/>
    <w:rsid w:val="00424E0F"/>
    <w:pPr>
      <w:autoSpaceDE w:val="0"/>
      <w:autoSpaceDN w:val="0"/>
    </w:pPr>
  </w:style>
  <w:style w:type="paragraph" w:customStyle="1" w:styleId="HEADINGNOTFORTOC">
    <w:name w:val="HEADING (NOT FOR TOC)"/>
    <w:basedOn w:val="Heading1"/>
    <w:next w:val="Heading2"/>
    <w:rsid w:val="00424E0F"/>
  </w:style>
  <w:style w:type="paragraph" w:styleId="Subtitle">
    <w:name w:val="Subtitle"/>
    <w:basedOn w:val="Normal"/>
    <w:qFormat/>
    <w:rPr>
      <w:b/>
      <w:bCs/>
    </w:rPr>
  </w:style>
  <w:style w:type="character" w:styleId="Strong">
    <w:name w:val="Strong"/>
    <w:qFormat/>
    <w:rsid w:val="00424E0F"/>
    <w:rPr>
      <w:b/>
      <w:bCs/>
      <w:lang w:val="ru-RU" w:eastAsia="ru-RU"/>
    </w:rPr>
  </w:style>
  <w:style w:type="paragraph" w:customStyle="1" w:styleId="Para10">
    <w:name w:val="Para 1"/>
    <w:basedOn w:val="BodyText"/>
    <w:rsid w:val="00424E0F"/>
    <w:pPr>
      <w:ind w:firstLine="0"/>
    </w:pPr>
    <w:rPr>
      <w:bCs/>
      <w:iCs w:val="0"/>
      <w:szCs w:val="22"/>
    </w:rPr>
  </w:style>
  <w:style w:type="paragraph" w:customStyle="1" w:styleId="Style1">
    <w:name w:val="Style1"/>
    <w:basedOn w:val="Para10"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Normal"/>
    <w:pPr>
      <w:numPr>
        <w:numId w:val="3"/>
      </w:numPr>
      <w:autoSpaceDE w:val="0"/>
      <w:autoSpaceDN w:val="0"/>
      <w:spacing w:before="120" w:after="120"/>
    </w:pPr>
    <w:rPr>
      <w:snapToGrid w:val="0"/>
      <w:szCs w:val="18"/>
    </w:rPr>
  </w:style>
  <w:style w:type="paragraph" w:styleId="BalloonText">
    <w:name w:val="Balloon Text"/>
    <w:basedOn w:val="Normal"/>
    <w:semiHidden/>
    <w:rsid w:val="00424E0F"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rsid w:val="00424E0F"/>
    <w:pPr>
      <w:numPr>
        <w:numId w:val="10"/>
      </w:numPr>
      <w:spacing w:line="240" w:lineRule="exact"/>
    </w:pPr>
    <w:rPr>
      <w:snapToGrid/>
      <w:szCs w:val="20"/>
    </w:rPr>
  </w:style>
  <w:style w:type="paragraph" w:customStyle="1" w:styleId="Document1">
    <w:name w:val="Document 1"/>
    <w:basedOn w:val="Normal"/>
    <w:next w:val="Normal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Head2">
    <w:name w:val="Head2"/>
    <w:basedOn w:val="Normal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</w:rPr>
  </w:style>
  <w:style w:type="paragraph" w:customStyle="1" w:styleId="Paranumbered">
    <w:name w:val="Paranumbered"/>
    <w:basedOn w:val="Normal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sid w:val="00424E0F"/>
    <w:rPr>
      <w:iCs/>
      <w:sz w:val="22"/>
      <w:szCs w:val="24"/>
      <w:lang w:val="ru-RU" w:eastAsia="ru-RU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Normal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MainParanoChapter">
    <w:name w:val="Main Para no Chapter #"/>
    <w:basedOn w:val="Normal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Pr>
      <w:rFonts w:ascii="Arial" w:hAnsi="Arial" w:cs="Arial" w:hint="default"/>
      <w:color w:val="000000"/>
      <w:sz w:val="24"/>
      <w:szCs w:val="24"/>
      <w:lang w:val="ru-RU" w:eastAsia="ru-RU"/>
    </w:rPr>
  </w:style>
  <w:style w:type="character" w:styleId="CommentReference">
    <w:name w:val="annotation reference"/>
    <w:uiPriority w:val="99"/>
    <w:semiHidden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BodyText2Char">
    <w:name w:val="Body Text 2 Char"/>
    <w:rPr>
      <w:sz w:val="22"/>
      <w:lang w:val="ru-RU" w:eastAsia="ru-RU" w:bidi="ar-SA"/>
    </w:rPr>
  </w:style>
  <w:style w:type="character" w:customStyle="1" w:styleId="BodyText2CharCharChar">
    <w:name w:val="Body Text 2 Char Char Char"/>
    <w:rPr>
      <w:sz w:val="22"/>
      <w:lang w:val="ru-RU" w:eastAsia="ru-RU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Pr>
      <w:sz w:val="22"/>
      <w:lang w:val="ru-RU" w:eastAsia="ru-RU" w:bidi="ar-SA"/>
    </w:rPr>
  </w:style>
  <w:style w:type="paragraph" w:customStyle="1" w:styleId="StylePara1Firstline127cm">
    <w:name w:val="Style Para1 + First line:  1.27 cm"/>
    <w:basedOn w:val="Para1"/>
    <w:rsid w:val="00424E0F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ru-RU" w:eastAsia="ru-RU" w:bidi="ar-SA"/>
    </w:rPr>
  </w:style>
  <w:style w:type="paragraph" w:customStyle="1" w:styleId="subhead">
    <w:name w:val="subhead"/>
    <w:basedOn w:val="Normal"/>
    <w:next w:val="Para1"/>
    <w:pPr>
      <w:spacing w:before="120" w:after="120"/>
      <w:jc w:val="center"/>
    </w:pPr>
    <w:rPr>
      <w:i/>
    </w:rPr>
  </w:style>
  <w:style w:type="character" w:styleId="Emphasis">
    <w:name w:val="Emphasis"/>
    <w:qFormat/>
    <w:rPr>
      <w:i/>
      <w:iCs/>
      <w:lang w:val="ru-RU" w:eastAsia="ru-RU"/>
    </w:rPr>
  </w:style>
  <w:style w:type="character" w:customStyle="1" w:styleId="BlockTextChar">
    <w:name w:val="Block Text Char"/>
    <w:rPr>
      <w:sz w:val="24"/>
      <w:szCs w:val="24"/>
      <w:lang w:val="ru-RU" w:eastAsia="ru-RU" w:bidi="ar-SA"/>
    </w:rPr>
  </w:style>
  <w:style w:type="paragraph" w:customStyle="1" w:styleId="bodytext210">
    <w:name w:val="bodytext21"/>
    <w:basedOn w:val="Normal"/>
    <w:pPr>
      <w:spacing w:before="100" w:beforeAutospacing="1" w:after="100" w:afterAutospacing="1"/>
    </w:pPr>
    <w:rPr>
      <w:rFonts w:ascii="Angsana New" w:eastAsia="Angsana New" w:hAnsi="Angsana New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Pr>
      <w:sz w:val="22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424E0F"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noProof/>
      <w:szCs w:val="2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MathieuRgnier">
    <w:name w:val="Mathieu Régnier"/>
    <w:semiHidden/>
    <w:rPr>
      <w:rFonts w:ascii="Arial" w:hAnsi="Arial" w:cs="Arial"/>
      <w:color w:val="000000"/>
      <w:sz w:val="20"/>
      <w:szCs w:val="20"/>
      <w:lang w:val="ru-RU" w:eastAsia="ru-RU"/>
    </w:rPr>
  </w:style>
  <w:style w:type="paragraph" w:customStyle="1" w:styleId="bodytextnoindent">
    <w:name w:val="body text (no indent)"/>
    <w:basedOn w:val="Normal"/>
    <w:rsid w:val="00424E0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paragraph" w:customStyle="1" w:styleId="Bodytextitalic">
    <w:name w:val="Body text italic"/>
    <w:basedOn w:val="BodyText"/>
    <w:rsid w:val="00424E0F"/>
    <w:rPr>
      <w:i/>
      <w:iCs w:val="0"/>
    </w:rPr>
  </w:style>
  <w:style w:type="paragraph" w:customStyle="1" w:styleId="boxbody">
    <w:name w:val="boxbody"/>
    <w:basedOn w:val="Normal"/>
    <w:rsid w:val="00424E0F"/>
    <w:pPr>
      <w:spacing w:before="100" w:beforeAutospacing="1" w:after="100" w:afterAutospacing="1"/>
      <w:ind w:left="612" w:right="612"/>
    </w:pPr>
    <w:rPr>
      <w:rFonts w:ascii="Helvetica" w:eastAsia="Angsana New" w:hAnsi="Helvetica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424E0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Heading2"/>
    <w:next w:val="BodyText"/>
    <w:rsid w:val="00424E0F"/>
    <w:pPr>
      <w:tabs>
        <w:tab w:val="clear" w:pos="720"/>
        <w:tab w:val="left" w:pos="900"/>
      </w:tabs>
    </w:pPr>
    <w:rPr>
      <w:rFonts w:eastAsia="Batang" w:cs="Times New Roman"/>
      <w:b w:val="0"/>
      <w:bCs w:val="0"/>
      <w:szCs w:val="20"/>
    </w:rPr>
  </w:style>
  <w:style w:type="paragraph" w:customStyle="1" w:styleId="Heading1longmultiline">
    <w:name w:val="Heading 1 (long multiline)"/>
    <w:basedOn w:val="Heading1"/>
    <w:link w:val="Heading1longmultilineChar"/>
    <w:rsid w:val="00424E0F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424E0F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424E0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424E0F"/>
    <w:pPr>
      <w:ind w:left="2127" w:hanging="1276"/>
    </w:pPr>
  </w:style>
  <w:style w:type="paragraph" w:customStyle="1" w:styleId="Heading2noletter">
    <w:name w:val="Heading 2 (no letter)"/>
    <w:basedOn w:val="Heading2"/>
    <w:rsid w:val="00424E0F"/>
    <w:pPr>
      <w:tabs>
        <w:tab w:val="clear" w:pos="720"/>
      </w:tabs>
    </w:pPr>
    <w:rPr>
      <w:rFonts w:cs="Times New Roman"/>
    </w:rPr>
  </w:style>
  <w:style w:type="character" w:customStyle="1" w:styleId="Heading2CharChar">
    <w:name w:val="Heading 2 Char Char"/>
    <w:rsid w:val="00424E0F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paragraph" w:customStyle="1" w:styleId="Heading3multiline">
    <w:name w:val="Heading 3 (multiline)"/>
    <w:basedOn w:val="Heading3"/>
    <w:next w:val="Normal"/>
    <w:rsid w:val="00424E0F"/>
    <w:pPr>
      <w:ind w:left="1418" w:hanging="425"/>
      <w:jc w:val="left"/>
    </w:pPr>
  </w:style>
  <w:style w:type="paragraph" w:customStyle="1" w:styleId="Heading-plain0">
    <w:name w:val="Heading-plain"/>
    <w:basedOn w:val="Normal"/>
    <w:rsid w:val="00424E0F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BodyText"/>
    <w:rsid w:val="00424E0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24E0F"/>
    <w:rPr>
      <w:b w:val="0"/>
      <w:bCs w:val="0"/>
    </w:rPr>
  </w:style>
  <w:style w:type="character" w:customStyle="1" w:styleId="Para1Char">
    <w:name w:val="Para 1 Char"/>
    <w:rsid w:val="00424E0F"/>
    <w:rPr>
      <w:rFonts w:eastAsia="MS Mincho"/>
      <w:bCs/>
      <w:iCs/>
      <w:sz w:val="22"/>
      <w:szCs w:val="22"/>
      <w:lang w:val="ru-RU" w:eastAsia="ru-RU" w:bidi="ar-SA"/>
    </w:rPr>
  </w:style>
  <w:style w:type="paragraph" w:customStyle="1" w:styleId="Para2rev">
    <w:name w:val="Para 2 (rev)"/>
    <w:basedOn w:val="Normal"/>
    <w:rsid w:val="00424E0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424E0F"/>
    <w:pPr>
      <w:framePr w:hSpace="187" w:vSpace="187" w:wrap="notBeside" w:vAnchor="text" w:hAnchor="text" w:y="1"/>
      <w:numPr>
        <w:numId w:val="6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rsid w:val="00424E0F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424E0F"/>
    <w:pPr>
      <w:numPr>
        <w:numId w:val="7"/>
      </w:numPr>
      <w:spacing w:after="120"/>
    </w:pPr>
    <w:rPr>
      <w:rFonts w:cs="Times New Roman"/>
      <w:szCs w:val="22"/>
    </w:rPr>
  </w:style>
  <w:style w:type="paragraph" w:customStyle="1" w:styleId="Para40">
    <w:name w:val="Para4"/>
    <w:basedOn w:val="Para3"/>
    <w:rsid w:val="00424E0F"/>
    <w:pPr>
      <w:tabs>
        <w:tab w:val="clear" w:pos="1980"/>
        <w:tab w:val="left" w:pos="2552"/>
        <w:tab w:val="num" w:pos="3540"/>
      </w:tabs>
      <w:ind w:left="2552" w:hanging="567"/>
    </w:pPr>
  </w:style>
  <w:style w:type="paragraph" w:customStyle="1" w:styleId="StyleBodyTextTimesNewRoman11ptCharChar">
    <w:name w:val="Style Body Text + Times New Roman 11 pt Char Char"/>
    <w:basedOn w:val="BodyText"/>
    <w:rsid w:val="00424E0F"/>
    <w:rPr>
      <w:iCs w:val="0"/>
      <w:snapToGrid w:val="0"/>
      <w:color w:val="000000"/>
      <w:szCs w:val="22"/>
    </w:rPr>
  </w:style>
  <w:style w:type="character" w:customStyle="1" w:styleId="StyleBodyTextTimesNewRoman11ptCharCharChar">
    <w:name w:val="Style Body Text + Times New Roman 11 pt Char Char Char"/>
    <w:rsid w:val="00424E0F"/>
    <w:rPr>
      <w:rFonts w:cs="Angsana New"/>
      <w:iCs/>
      <w:snapToGrid w:val="0"/>
      <w:color w:val="000000"/>
      <w:sz w:val="22"/>
      <w:szCs w:val="22"/>
      <w:lang w:val="ru-RU" w:eastAsia="ru-RU" w:bidi="ar-SA"/>
    </w:rPr>
  </w:style>
  <w:style w:type="paragraph" w:styleId="TOC2">
    <w:name w:val="toc 2"/>
    <w:basedOn w:val="Normal"/>
    <w:next w:val="Normal"/>
    <w:autoRedefine/>
    <w:semiHidden/>
    <w:rsid w:val="00424E0F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424E0F"/>
    <w:pPr>
      <w:ind w:left="2160" w:hanging="720"/>
    </w:pPr>
  </w:style>
  <w:style w:type="paragraph" w:styleId="TOC5">
    <w:name w:val="toc 5"/>
    <w:basedOn w:val="Normal"/>
    <w:next w:val="Normal"/>
    <w:autoRedefine/>
    <w:semiHidden/>
    <w:rsid w:val="00424E0F"/>
    <w:pPr>
      <w:ind w:left="880"/>
    </w:pPr>
  </w:style>
  <w:style w:type="character" w:customStyle="1" w:styleId="Heading1Char">
    <w:name w:val="Heading 1 Char"/>
    <w:link w:val="Heading1"/>
    <w:rsid w:val="00CA25AD"/>
    <w:rPr>
      <w:rFonts w:cs="Angsana New"/>
      <w:b/>
      <w:caps/>
      <w:sz w:val="22"/>
      <w:szCs w:val="24"/>
      <w:lang w:val="ru-RU" w:eastAsia="ru-RU" w:bidi="ar-SA"/>
    </w:rPr>
  </w:style>
  <w:style w:type="numbering" w:styleId="111111">
    <w:name w:val="Outline List 2"/>
    <w:basedOn w:val="NoList"/>
    <w:rsid w:val="005B3F2E"/>
    <w:pPr>
      <w:numPr>
        <w:numId w:val="11"/>
      </w:numPr>
    </w:pPr>
  </w:style>
  <w:style w:type="numbering" w:customStyle="1" w:styleId="Style2">
    <w:name w:val="Style2"/>
    <w:rsid w:val="005B3F2E"/>
    <w:pPr>
      <w:numPr>
        <w:numId w:val="12"/>
      </w:numPr>
    </w:pPr>
  </w:style>
  <w:style w:type="character" w:customStyle="1" w:styleId="Heading1longmultilineChar">
    <w:name w:val="Heading 1 (long multiline) Char"/>
    <w:basedOn w:val="Heading1Char"/>
    <w:link w:val="Heading1longmultiline"/>
    <w:rsid w:val="00CA25AD"/>
    <w:rPr>
      <w:rFonts w:cs="Angsana New"/>
      <w:b/>
      <w:caps/>
      <w:sz w:val="22"/>
      <w:szCs w:val="24"/>
      <w:lang w:val="ru-RU" w:eastAsia="ru-RU" w:bidi="ar-SA"/>
    </w:rPr>
  </w:style>
  <w:style w:type="paragraph" w:customStyle="1" w:styleId="ColorfulList-Accent11">
    <w:name w:val="Colorful List - Accent 11"/>
    <w:basedOn w:val="Normal"/>
    <w:uiPriority w:val="34"/>
    <w:qFormat/>
    <w:rsid w:val="00CA4FBF"/>
    <w:pPr>
      <w:ind w:left="720"/>
    </w:pPr>
  </w:style>
  <w:style w:type="paragraph" w:customStyle="1" w:styleId="Default">
    <w:name w:val="Default"/>
    <w:basedOn w:val="Normal"/>
    <w:rsid w:val="00900F86"/>
    <w:pPr>
      <w:autoSpaceDE w:val="0"/>
      <w:autoSpaceDN w:val="0"/>
      <w:jc w:val="left"/>
    </w:pPr>
    <w:rPr>
      <w:rFonts w:eastAsia="Calibri" w:cs="Times New Roman"/>
      <w:color w:val="000000"/>
      <w:sz w:val="24"/>
    </w:rPr>
  </w:style>
  <w:style w:type="character" w:customStyle="1" w:styleId="apple-style-span">
    <w:name w:val="apple-style-span"/>
    <w:rsid w:val="00900F86"/>
  </w:style>
  <w:style w:type="character" w:customStyle="1" w:styleId="HeaderChar">
    <w:name w:val="Header Char"/>
    <w:link w:val="Header"/>
    <w:rsid w:val="00203EDB"/>
    <w:rPr>
      <w:rFonts w:cs="Angsana New"/>
      <w:sz w:val="22"/>
      <w:szCs w:val="24"/>
      <w:lang w:val="ru-RU" w:eastAsia="ru-RU"/>
    </w:rPr>
  </w:style>
  <w:style w:type="character" w:customStyle="1" w:styleId="PlainTextChar">
    <w:name w:val="Plain Text Char"/>
    <w:link w:val="PlainText"/>
    <w:uiPriority w:val="99"/>
    <w:rsid w:val="00B22797"/>
    <w:rPr>
      <w:rFonts w:ascii="Courier New" w:hAnsi="Courier New" w:cs="Courier New"/>
      <w:szCs w:val="24"/>
      <w:lang w:val="ru-RU" w:eastAsia="ru-RU"/>
    </w:rPr>
  </w:style>
  <w:style w:type="character" w:customStyle="1" w:styleId="FooterChar">
    <w:name w:val="Footer Char"/>
    <w:link w:val="Footer"/>
    <w:rsid w:val="00316C7D"/>
    <w:rPr>
      <w:rFonts w:cs="Angsana New"/>
      <w:sz w:val="22"/>
      <w:szCs w:val="24"/>
      <w:lang w:val="ru-RU" w:eastAsia="ru-RU"/>
    </w:rPr>
  </w:style>
  <w:style w:type="paragraph" w:customStyle="1" w:styleId="PlainTable31">
    <w:name w:val="Plain Table 31"/>
    <w:basedOn w:val="Normal"/>
    <w:uiPriority w:val="34"/>
    <w:qFormat/>
    <w:rsid w:val="00057950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Heading3"/>
    <w:next w:val="Heading2"/>
    <w:rsid w:val="00FA7F67"/>
    <w:rPr>
      <w:rFonts w:ascii="Times New Roman Bold" w:hAnsi="Times New Roman Bold"/>
      <w:b/>
      <w:bCs/>
      <w:i w:val="0"/>
      <w:iCs w:val="0"/>
      <w:caps/>
    </w:rPr>
  </w:style>
  <w:style w:type="paragraph" w:styleId="Bibliography">
    <w:name w:val="Bibliography"/>
    <w:uiPriority w:val="1"/>
    <w:qFormat/>
    <w:rsid w:val="00276F6A"/>
    <w:rPr>
      <w:rFonts w:ascii="Calibri" w:hAnsi="Calibri"/>
      <w:sz w:val="22"/>
      <w:szCs w:val="22"/>
      <w:lang w:val="ru-RU" w:eastAsia="ru-RU"/>
    </w:rPr>
  </w:style>
  <w:style w:type="paragraph" w:customStyle="1" w:styleId="Paraa">
    <w:name w:val="Para (a)"/>
    <w:basedOn w:val="Normal"/>
    <w:rsid w:val="00463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left"/>
      <w:outlineLvl w:val="1"/>
    </w:pPr>
    <w:rPr>
      <w:rFonts w:eastAsia="SimSun" w:cs="Times New Roman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3C3938"/>
    <w:rPr>
      <w:rFonts w:cs="Angsana New"/>
      <w:sz w:val="18"/>
      <w:szCs w:val="24"/>
      <w:lang w:val="ru-RU" w:eastAsia="ru-RU"/>
    </w:rPr>
  </w:style>
  <w:style w:type="character" w:customStyle="1" w:styleId="StyleFootnoteReferenceNounderlineSuperscriptKernat10pt">
    <w:name w:val="Style Footnote Reference + No underline Superscript Kern at 10 pt"/>
    <w:rsid w:val="003C3938"/>
    <w:rPr>
      <w:kern w:val="20"/>
      <w:sz w:val="22"/>
      <w:u w:val="none"/>
      <w:vertAlign w:val="superscript"/>
      <w:lang w:val="ru-RU" w:eastAsia="ru-RU"/>
    </w:rPr>
  </w:style>
  <w:style w:type="character" w:customStyle="1" w:styleId="s13">
    <w:name w:val="s13"/>
    <w:rsid w:val="00745CC8"/>
  </w:style>
  <w:style w:type="paragraph" w:customStyle="1" w:styleId="PlainTable21">
    <w:name w:val="Plain Table 21"/>
    <w:hidden/>
    <w:uiPriority w:val="99"/>
    <w:semiHidden/>
    <w:rsid w:val="00EC5B43"/>
    <w:rPr>
      <w:rFonts w:cs="Angsana New"/>
      <w:sz w:val="22"/>
      <w:szCs w:val="24"/>
      <w:lang w:val="ru-RU" w:eastAsia="ru-RU"/>
    </w:rPr>
  </w:style>
  <w:style w:type="paragraph" w:customStyle="1" w:styleId="PlainTable22">
    <w:name w:val="Plain Table 22"/>
    <w:hidden/>
    <w:uiPriority w:val="99"/>
    <w:semiHidden/>
    <w:rsid w:val="00023D05"/>
    <w:rPr>
      <w:rFonts w:cs="Angsana New"/>
      <w:sz w:val="22"/>
      <w:szCs w:val="24"/>
      <w:lang w:val="ru-RU" w:eastAsia="ru-RU"/>
    </w:rPr>
  </w:style>
  <w:style w:type="paragraph" w:customStyle="1" w:styleId="PlainTable32">
    <w:name w:val="Plain Table 32"/>
    <w:basedOn w:val="Normal"/>
    <w:uiPriority w:val="34"/>
    <w:qFormat/>
    <w:rsid w:val="00914CF7"/>
    <w:pPr>
      <w:ind w:left="720"/>
    </w:pPr>
  </w:style>
  <w:style w:type="paragraph" w:customStyle="1" w:styleId="DarkList-Accent51">
    <w:name w:val="Dark List - Accent 51"/>
    <w:basedOn w:val="Normal"/>
    <w:uiPriority w:val="34"/>
    <w:qFormat/>
    <w:rsid w:val="009252DF"/>
    <w:pPr>
      <w:ind w:left="720"/>
    </w:pPr>
  </w:style>
  <w:style w:type="paragraph" w:customStyle="1" w:styleId="LightList-Accent31">
    <w:name w:val="Light List - Accent 31"/>
    <w:hidden/>
    <w:uiPriority w:val="99"/>
    <w:semiHidden/>
    <w:rsid w:val="0011508D"/>
    <w:rPr>
      <w:rFonts w:cs="Angsana New"/>
      <w:sz w:val="22"/>
      <w:szCs w:val="24"/>
      <w:lang w:val="ru-RU" w:eastAsia="ru-RU"/>
    </w:rPr>
  </w:style>
  <w:style w:type="character" w:customStyle="1" w:styleId="CommentTextChar">
    <w:name w:val="Comment Text Char"/>
    <w:link w:val="CommentText"/>
    <w:uiPriority w:val="99"/>
    <w:semiHidden/>
    <w:rsid w:val="00D706A4"/>
    <w:rPr>
      <w:rFonts w:cs="Angsana New"/>
      <w:szCs w:val="24"/>
      <w:lang w:val="ru-RU" w:eastAsia="ru-RU"/>
    </w:rPr>
  </w:style>
  <w:style w:type="character" w:customStyle="1" w:styleId="EndnoteTextChar">
    <w:name w:val="Endnote Text Char"/>
    <w:link w:val="EndnoteText"/>
    <w:uiPriority w:val="99"/>
    <w:rsid w:val="00D706A4"/>
    <w:rPr>
      <w:rFonts w:ascii="Courier New" w:hAnsi="Courier New" w:cs="Angsana New"/>
      <w:sz w:val="22"/>
      <w:szCs w:val="24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2F4CD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qFormat="1"/>
    <w:lsdException w:name="footnote reference" w:uiPriority="99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00"/>
    <w:pPr>
      <w:jc w:val="both"/>
    </w:pPr>
    <w:rPr>
      <w:rFonts w:cs="Angsana New"/>
      <w:sz w:val="22"/>
      <w:szCs w:val="24"/>
      <w:lang w:val="ru-RU" w:eastAsia="ru-RU"/>
    </w:rPr>
  </w:style>
  <w:style w:type="paragraph" w:styleId="Heading1">
    <w:name w:val="heading 1"/>
    <w:basedOn w:val="Normal"/>
    <w:next w:val="Heading2"/>
    <w:link w:val="Heading1Char"/>
    <w:qFormat/>
    <w:rsid w:val="00424E0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qFormat/>
    <w:rsid w:val="00424E0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24E0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424E0F"/>
    <w:pPr>
      <w:keepNext/>
      <w:spacing w:before="120" w:after="120"/>
      <w:outlineLvl w:val="3"/>
    </w:pPr>
    <w:rPr>
      <w:rFonts w:ascii="Times New Roman Bold" w:eastAsia="Angsana New" w:hAnsi="Times New Roman Bold"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qFormat/>
    <w:rsid w:val="00424E0F"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rsid w:val="00424E0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24E0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424E0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424E0F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  <w:rsid w:val="00424E0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4E0F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4E0F"/>
    <w:rPr>
      <w:sz w:val="18"/>
      <w:u w:val="single"/>
      <w:vertAlign w:val="baseline"/>
      <w:lang w:val="ru-RU" w:eastAsia="ru-RU"/>
    </w:rPr>
  </w:style>
  <w:style w:type="character" w:styleId="PageNumber">
    <w:name w:val="page number"/>
    <w:rsid w:val="00424E0F"/>
    <w:rPr>
      <w:rFonts w:ascii="Times New Roman" w:hAnsi="Times New Roman"/>
      <w:sz w:val="22"/>
      <w:lang w:val="ru-RU" w:eastAsia="ru-RU"/>
    </w:rPr>
  </w:style>
  <w:style w:type="paragraph" w:styleId="BodyText">
    <w:name w:val="Body Text"/>
    <w:basedOn w:val="Normal"/>
    <w:rsid w:val="00424E0F"/>
    <w:pPr>
      <w:spacing w:before="120" w:after="120"/>
      <w:ind w:firstLine="720"/>
    </w:pPr>
    <w:rPr>
      <w:iCs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424E0F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rsid w:val="00424E0F"/>
    <w:pPr>
      <w:tabs>
        <w:tab w:val="center" w:pos="4320"/>
        <w:tab w:val="right" w:pos="8640"/>
      </w:tabs>
      <w:ind w:firstLine="720"/>
      <w:jc w:val="right"/>
    </w:pPr>
    <w:rPr>
      <w:rFonts w:cs="Times New Roman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424E0F"/>
    <w:pPr>
      <w:keepLines/>
      <w:spacing w:after="60"/>
      <w:ind w:firstLine="720"/>
    </w:pPr>
    <w:rPr>
      <w:rFonts w:cs="Times New Roman"/>
      <w:sz w:val="18"/>
    </w:rPr>
  </w:style>
  <w:style w:type="paragraph" w:styleId="BodyText2">
    <w:name w:val="Body Text 2"/>
    <w:basedOn w:val="Normal"/>
    <w:rsid w:val="00424E0F"/>
    <w:rPr>
      <w:i/>
      <w:iCs/>
    </w:rPr>
  </w:style>
  <w:style w:type="paragraph" w:styleId="BodyText3">
    <w:name w:val="Body Text 3"/>
    <w:basedOn w:val="Normal"/>
    <w:rsid w:val="00424E0F"/>
    <w:pPr>
      <w:jc w:val="center"/>
    </w:pPr>
    <w:rPr>
      <w:sz w:val="28"/>
    </w:rPr>
  </w:style>
  <w:style w:type="paragraph" w:styleId="BodyTextIndent2">
    <w:name w:val="Body Text Indent 2"/>
    <w:basedOn w:val="Normal"/>
    <w:rsid w:val="00424E0F"/>
    <w:pPr>
      <w:ind w:firstLine="720"/>
    </w:pPr>
  </w:style>
  <w:style w:type="paragraph" w:styleId="BodyTextIndent3">
    <w:name w:val="Body Text Indent 3"/>
    <w:basedOn w:val="Normal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Normal"/>
  </w:style>
  <w:style w:type="paragraph" w:styleId="BlockText">
    <w:name w:val="Block Text"/>
    <w:basedOn w:val="Normal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</w:rPr>
  </w:style>
  <w:style w:type="paragraph" w:customStyle="1" w:styleId="Para">
    <w:name w:val="Para"/>
    <w:basedOn w:val="Normal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style>
  <w:style w:type="paragraph" w:styleId="BodyTextIndent">
    <w:name w:val="Body Text Indent"/>
    <w:basedOn w:val="Normal"/>
    <w:rsid w:val="00424E0F"/>
    <w:pPr>
      <w:spacing w:before="120" w:after="120"/>
      <w:ind w:left="1440" w:hanging="720"/>
      <w:jc w:val="left"/>
    </w:pPr>
  </w:style>
  <w:style w:type="character" w:styleId="EndnoteReference">
    <w:name w:val="endnote reference"/>
    <w:uiPriority w:val="99"/>
    <w:semiHidden/>
    <w:rsid w:val="00424E0F"/>
    <w:rPr>
      <w:vertAlign w:val="superscript"/>
      <w:lang w:val="ru-RU" w:eastAsia="ru-RU"/>
    </w:rPr>
  </w:style>
  <w:style w:type="paragraph" w:styleId="Title">
    <w:name w:val="Title"/>
    <w:basedOn w:val="Normal"/>
    <w:qFormat/>
    <w:rsid w:val="00424E0F"/>
    <w:pPr>
      <w:jc w:val="center"/>
    </w:pPr>
    <w:rPr>
      <w:i/>
      <w:iCs/>
    </w:rPr>
  </w:style>
  <w:style w:type="character" w:styleId="Hyperlink">
    <w:name w:val="Hyperlink"/>
    <w:rsid w:val="00424E0F"/>
    <w:rPr>
      <w:color w:val="0000FF"/>
      <w:u w:val="single"/>
      <w:lang w:val="ru-RU" w:eastAsia="ru-R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Normal"/>
    <w:rsid w:val="00424E0F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 w:cs="Times New Roman"/>
      <w:b/>
      <w:bCs/>
      <w:caps/>
    </w:rPr>
  </w:style>
  <w:style w:type="paragraph" w:customStyle="1" w:styleId="Cornernotation">
    <w:name w:val="Corner notation"/>
    <w:basedOn w:val="Normal"/>
    <w:rsid w:val="00424E0F"/>
    <w:pPr>
      <w:ind w:left="284" w:right="4398" w:hanging="284"/>
      <w:jc w:val="left"/>
    </w:pPr>
  </w:style>
  <w:style w:type="paragraph" w:customStyle="1" w:styleId="Para1">
    <w:name w:val="Para1"/>
    <w:basedOn w:val="Normal"/>
    <w:rsid w:val="00424E0F"/>
    <w:pPr>
      <w:spacing w:after="120"/>
    </w:pPr>
    <w:rPr>
      <w:snapToGrid w:val="0"/>
      <w:szCs w:val="18"/>
    </w:rPr>
  </w:style>
  <w:style w:type="paragraph" w:customStyle="1" w:styleId="para2">
    <w:name w:val="para2"/>
    <w:basedOn w:val="Normal"/>
    <w:rsid w:val="00424E0F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424E0F"/>
    <w:p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424E0F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Heading2"/>
  </w:style>
  <w:style w:type="paragraph" w:customStyle="1" w:styleId="Heading4indent">
    <w:name w:val="Heading 4 indent"/>
    <w:basedOn w:val="Heading4"/>
    <w:pPr>
      <w:ind w:left="72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Times New Roman"/>
      <w:sz w:val="2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ngsana New"/>
      <w:b/>
      <w:bCs/>
      <w:szCs w:val="22"/>
    </w:rPr>
  </w:style>
  <w:style w:type="paragraph" w:customStyle="1" w:styleId="xl27">
    <w:name w:val="xl27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28">
    <w:name w:val="xl2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ngsana New"/>
      <w:b/>
      <w:bCs/>
      <w:szCs w:val="22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ngsana New"/>
      <w:szCs w:val="22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33">
    <w:name w:val="xl33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Angsana New"/>
      <w:szCs w:val="22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ngsana New"/>
      <w:szCs w:val="22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ngsana New"/>
      <w:szCs w:val="22"/>
    </w:rPr>
  </w:style>
  <w:style w:type="paragraph" w:customStyle="1" w:styleId="xl37">
    <w:name w:val="xl3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ngsana New"/>
      <w:szCs w:val="22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ngsana New"/>
      <w:szCs w:val="22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ngsana New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  <w:textAlignment w:val="top"/>
    </w:pPr>
    <w:rPr>
      <w:rFonts w:eastAsia="Angsana New"/>
      <w:szCs w:val="22"/>
    </w:rPr>
  </w:style>
  <w:style w:type="paragraph" w:customStyle="1" w:styleId="xl41">
    <w:name w:val="xl41"/>
    <w:basedOn w:val="Normal"/>
    <w:pPr>
      <w:spacing w:before="100" w:beforeAutospacing="1" w:after="100" w:afterAutospacing="1"/>
      <w:textAlignment w:val="top"/>
    </w:pPr>
    <w:rPr>
      <w:rFonts w:eastAsia="Angsana New"/>
      <w:szCs w:val="22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</w:pPr>
    <w:rPr>
      <w:rFonts w:eastAsia="Angsana New"/>
      <w:szCs w:val="22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44">
    <w:name w:val="xl44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ngsana New"/>
      <w:b/>
      <w:bCs/>
      <w:szCs w:val="22"/>
    </w:rPr>
  </w:style>
  <w:style w:type="paragraph" w:customStyle="1" w:styleId="xl45">
    <w:name w:val="xl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46">
    <w:name w:val="xl4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47">
    <w:name w:val="xl4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48">
    <w:name w:val="xl4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ngsana New"/>
      <w:szCs w:val="22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0">
    <w:name w:val="xl5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3">
    <w:name w:val="xl5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5">
    <w:name w:val="xl55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6">
    <w:name w:val="xl56"/>
    <w:basedOn w:val="Normal"/>
    <w:pP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7">
    <w:name w:val="xl5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58">
    <w:name w:val="xl5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b/>
      <w:bCs/>
      <w:szCs w:val="22"/>
    </w:rPr>
  </w:style>
  <w:style w:type="paragraph" w:customStyle="1" w:styleId="xl59">
    <w:name w:val="xl5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0">
    <w:name w:val="xl60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1">
    <w:name w:val="xl61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ngsana New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4">
    <w:name w:val="xl6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ngsana New"/>
      <w:szCs w:val="22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ngsana New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ngsana New"/>
      <w:b/>
      <w:bCs/>
      <w:szCs w:val="22"/>
    </w:rPr>
  </w:style>
  <w:style w:type="paragraph" w:customStyle="1" w:styleId="Texte">
    <w:name w:val="Texte"/>
    <w:basedOn w:val="Normal"/>
    <w:pPr>
      <w:widowControl w:val="0"/>
      <w:tabs>
        <w:tab w:val="left" w:pos="720"/>
      </w:tabs>
      <w:spacing w:before="120" w:after="120"/>
    </w:pPr>
  </w:style>
  <w:style w:type="paragraph" w:styleId="NormalWeb">
    <w:name w:val="Normal (Web)"/>
    <w:basedOn w:val="Normal"/>
    <w:uiPriority w:val="99"/>
    <w:rsid w:val="00424E0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</w:rPr>
  </w:style>
  <w:style w:type="character" w:styleId="FollowedHyperlink">
    <w:name w:val="FollowedHyperlink"/>
    <w:rsid w:val="00424E0F"/>
    <w:rPr>
      <w:color w:val="800080"/>
      <w:u w:val="single"/>
      <w:lang w:val="ru-RU" w:eastAsia="ru-RU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ngsana New" w:hAnsi="Arial" w:cs="Arial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ngsana New" w:hAnsi="Arial" w:cs="Arial"/>
      <w:color w:val="000000"/>
    </w:rPr>
  </w:style>
  <w:style w:type="paragraph" w:customStyle="1" w:styleId="content">
    <w:name w:val="content"/>
    <w:basedOn w:val="Normal"/>
    <w:pPr>
      <w:spacing w:before="100" w:beforeAutospacing="1" w:after="100" w:afterAutospacing="1" w:line="260" w:lineRule="atLeast"/>
    </w:pPr>
    <w:rPr>
      <w:rFonts w:ascii="Angsana New" w:eastAsia="Angsana New" w:hAnsi="Angsana New"/>
      <w:sz w:val="18"/>
      <w:szCs w:val="18"/>
    </w:rPr>
  </w:style>
  <w:style w:type="paragraph" w:customStyle="1" w:styleId="Para20">
    <w:name w:val="Para2"/>
    <w:basedOn w:val="Para1"/>
    <w:rsid w:val="00424E0F"/>
    <w:pPr>
      <w:autoSpaceDE w:val="0"/>
      <w:autoSpaceDN w:val="0"/>
    </w:pPr>
  </w:style>
  <w:style w:type="paragraph" w:customStyle="1" w:styleId="HEADINGNOTFORTOC">
    <w:name w:val="HEADING (NOT FOR TOC)"/>
    <w:basedOn w:val="Heading1"/>
    <w:next w:val="Heading2"/>
    <w:rsid w:val="00424E0F"/>
  </w:style>
  <w:style w:type="paragraph" w:styleId="Subtitle">
    <w:name w:val="Subtitle"/>
    <w:basedOn w:val="Normal"/>
    <w:qFormat/>
    <w:rPr>
      <w:b/>
      <w:bCs/>
    </w:rPr>
  </w:style>
  <w:style w:type="character" w:styleId="Strong">
    <w:name w:val="Strong"/>
    <w:qFormat/>
    <w:rsid w:val="00424E0F"/>
    <w:rPr>
      <w:b/>
      <w:bCs/>
      <w:lang w:val="ru-RU" w:eastAsia="ru-RU"/>
    </w:rPr>
  </w:style>
  <w:style w:type="paragraph" w:customStyle="1" w:styleId="Para10">
    <w:name w:val="Para 1"/>
    <w:basedOn w:val="BodyText"/>
    <w:rsid w:val="00424E0F"/>
    <w:pPr>
      <w:ind w:firstLine="0"/>
    </w:pPr>
    <w:rPr>
      <w:bCs/>
      <w:iCs w:val="0"/>
      <w:szCs w:val="22"/>
    </w:rPr>
  </w:style>
  <w:style w:type="paragraph" w:customStyle="1" w:styleId="Style1">
    <w:name w:val="Style1"/>
    <w:basedOn w:val="Para10"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Normal"/>
    <w:pPr>
      <w:numPr>
        <w:numId w:val="3"/>
      </w:numPr>
      <w:autoSpaceDE w:val="0"/>
      <w:autoSpaceDN w:val="0"/>
      <w:spacing w:before="120" w:after="120"/>
    </w:pPr>
    <w:rPr>
      <w:snapToGrid w:val="0"/>
      <w:szCs w:val="18"/>
    </w:rPr>
  </w:style>
  <w:style w:type="paragraph" w:styleId="BalloonText">
    <w:name w:val="Balloon Text"/>
    <w:basedOn w:val="Normal"/>
    <w:semiHidden/>
    <w:rsid w:val="00424E0F"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rsid w:val="00424E0F"/>
    <w:pPr>
      <w:numPr>
        <w:numId w:val="10"/>
      </w:numPr>
      <w:spacing w:line="240" w:lineRule="exact"/>
    </w:pPr>
    <w:rPr>
      <w:snapToGrid/>
      <w:szCs w:val="20"/>
    </w:rPr>
  </w:style>
  <w:style w:type="paragraph" w:customStyle="1" w:styleId="Document1">
    <w:name w:val="Document 1"/>
    <w:basedOn w:val="Normal"/>
    <w:next w:val="Normal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Head2">
    <w:name w:val="Head2"/>
    <w:basedOn w:val="Normal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</w:rPr>
  </w:style>
  <w:style w:type="paragraph" w:customStyle="1" w:styleId="Paranumbered">
    <w:name w:val="Paranumbered"/>
    <w:basedOn w:val="Normal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sid w:val="00424E0F"/>
    <w:rPr>
      <w:iCs/>
      <w:sz w:val="22"/>
      <w:szCs w:val="24"/>
      <w:lang w:val="ru-RU" w:eastAsia="ru-RU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Normal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MainParanoChapter">
    <w:name w:val="Main Para no Chapter #"/>
    <w:basedOn w:val="Normal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Pr>
      <w:rFonts w:ascii="Arial" w:hAnsi="Arial" w:cs="Arial" w:hint="default"/>
      <w:color w:val="000000"/>
      <w:sz w:val="24"/>
      <w:szCs w:val="24"/>
      <w:lang w:val="ru-RU" w:eastAsia="ru-RU"/>
    </w:rPr>
  </w:style>
  <w:style w:type="character" w:styleId="CommentReference">
    <w:name w:val="annotation reference"/>
    <w:uiPriority w:val="99"/>
    <w:semiHidden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BodyText2Char">
    <w:name w:val="Body Text 2 Char"/>
    <w:rPr>
      <w:sz w:val="22"/>
      <w:lang w:val="ru-RU" w:eastAsia="ru-RU" w:bidi="ar-SA"/>
    </w:rPr>
  </w:style>
  <w:style w:type="character" w:customStyle="1" w:styleId="BodyText2CharCharChar">
    <w:name w:val="Body Text 2 Char Char Char"/>
    <w:rPr>
      <w:sz w:val="22"/>
      <w:lang w:val="ru-RU" w:eastAsia="ru-RU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Pr>
      <w:sz w:val="22"/>
      <w:lang w:val="ru-RU" w:eastAsia="ru-RU" w:bidi="ar-SA"/>
    </w:rPr>
  </w:style>
  <w:style w:type="paragraph" w:customStyle="1" w:styleId="StylePara1Firstline127cm">
    <w:name w:val="Style Para1 + First line:  1.27 cm"/>
    <w:basedOn w:val="Para1"/>
    <w:rsid w:val="00424E0F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ru-RU" w:eastAsia="ru-RU" w:bidi="ar-SA"/>
    </w:rPr>
  </w:style>
  <w:style w:type="paragraph" w:customStyle="1" w:styleId="subhead">
    <w:name w:val="subhead"/>
    <w:basedOn w:val="Normal"/>
    <w:next w:val="Para1"/>
    <w:pPr>
      <w:spacing w:before="120" w:after="120"/>
      <w:jc w:val="center"/>
    </w:pPr>
    <w:rPr>
      <w:i/>
    </w:rPr>
  </w:style>
  <w:style w:type="character" w:styleId="Emphasis">
    <w:name w:val="Emphasis"/>
    <w:qFormat/>
    <w:rPr>
      <w:i/>
      <w:iCs/>
      <w:lang w:val="ru-RU" w:eastAsia="ru-RU"/>
    </w:rPr>
  </w:style>
  <w:style w:type="character" w:customStyle="1" w:styleId="BlockTextChar">
    <w:name w:val="Block Text Char"/>
    <w:rPr>
      <w:sz w:val="24"/>
      <w:szCs w:val="24"/>
      <w:lang w:val="ru-RU" w:eastAsia="ru-RU" w:bidi="ar-SA"/>
    </w:rPr>
  </w:style>
  <w:style w:type="paragraph" w:customStyle="1" w:styleId="bodytext210">
    <w:name w:val="bodytext21"/>
    <w:basedOn w:val="Normal"/>
    <w:pPr>
      <w:spacing w:before="100" w:beforeAutospacing="1" w:after="100" w:afterAutospacing="1"/>
    </w:pPr>
    <w:rPr>
      <w:rFonts w:ascii="Angsana New" w:eastAsia="Angsana New" w:hAnsi="Angsana New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Pr>
      <w:sz w:val="22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424E0F"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noProof/>
      <w:szCs w:val="2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MathieuRgnier">
    <w:name w:val="Mathieu Régnier"/>
    <w:semiHidden/>
    <w:rPr>
      <w:rFonts w:ascii="Arial" w:hAnsi="Arial" w:cs="Arial"/>
      <w:color w:val="000000"/>
      <w:sz w:val="20"/>
      <w:szCs w:val="20"/>
      <w:lang w:val="ru-RU" w:eastAsia="ru-RU"/>
    </w:rPr>
  </w:style>
  <w:style w:type="paragraph" w:customStyle="1" w:styleId="bodytextnoindent">
    <w:name w:val="body text (no indent)"/>
    <w:basedOn w:val="Normal"/>
    <w:rsid w:val="00424E0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paragraph" w:customStyle="1" w:styleId="Bodytextitalic">
    <w:name w:val="Body text italic"/>
    <w:basedOn w:val="BodyText"/>
    <w:rsid w:val="00424E0F"/>
    <w:rPr>
      <w:i/>
      <w:iCs w:val="0"/>
    </w:rPr>
  </w:style>
  <w:style w:type="paragraph" w:customStyle="1" w:styleId="boxbody">
    <w:name w:val="boxbody"/>
    <w:basedOn w:val="Normal"/>
    <w:rsid w:val="00424E0F"/>
    <w:pPr>
      <w:spacing w:before="100" w:beforeAutospacing="1" w:after="100" w:afterAutospacing="1"/>
      <w:ind w:left="612" w:right="612"/>
    </w:pPr>
    <w:rPr>
      <w:rFonts w:ascii="Helvetica" w:eastAsia="Angsana New" w:hAnsi="Helvetica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424E0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Heading2"/>
    <w:next w:val="BodyText"/>
    <w:rsid w:val="00424E0F"/>
    <w:pPr>
      <w:tabs>
        <w:tab w:val="clear" w:pos="720"/>
        <w:tab w:val="left" w:pos="900"/>
      </w:tabs>
    </w:pPr>
    <w:rPr>
      <w:rFonts w:eastAsia="Batang" w:cs="Times New Roman"/>
      <w:b w:val="0"/>
      <w:bCs w:val="0"/>
      <w:szCs w:val="20"/>
    </w:rPr>
  </w:style>
  <w:style w:type="paragraph" w:customStyle="1" w:styleId="Heading1longmultiline">
    <w:name w:val="Heading 1 (long multiline)"/>
    <w:basedOn w:val="Heading1"/>
    <w:link w:val="Heading1longmultilineChar"/>
    <w:rsid w:val="00424E0F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424E0F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424E0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424E0F"/>
    <w:pPr>
      <w:ind w:left="2127" w:hanging="1276"/>
    </w:pPr>
  </w:style>
  <w:style w:type="paragraph" w:customStyle="1" w:styleId="Heading2noletter">
    <w:name w:val="Heading 2 (no letter)"/>
    <w:basedOn w:val="Heading2"/>
    <w:rsid w:val="00424E0F"/>
    <w:pPr>
      <w:tabs>
        <w:tab w:val="clear" w:pos="720"/>
      </w:tabs>
    </w:pPr>
    <w:rPr>
      <w:rFonts w:cs="Times New Roman"/>
    </w:rPr>
  </w:style>
  <w:style w:type="character" w:customStyle="1" w:styleId="Heading2CharChar">
    <w:name w:val="Heading 2 Char Char"/>
    <w:rsid w:val="00424E0F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paragraph" w:customStyle="1" w:styleId="Heading3multiline">
    <w:name w:val="Heading 3 (multiline)"/>
    <w:basedOn w:val="Heading3"/>
    <w:next w:val="Normal"/>
    <w:rsid w:val="00424E0F"/>
    <w:pPr>
      <w:ind w:left="1418" w:hanging="425"/>
      <w:jc w:val="left"/>
    </w:pPr>
  </w:style>
  <w:style w:type="paragraph" w:customStyle="1" w:styleId="Heading-plain0">
    <w:name w:val="Heading-plain"/>
    <w:basedOn w:val="Normal"/>
    <w:rsid w:val="00424E0F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BodyText"/>
    <w:rsid w:val="00424E0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24E0F"/>
    <w:rPr>
      <w:b w:val="0"/>
      <w:bCs w:val="0"/>
    </w:rPr>
  </w:style>
  <w:style w:type="character" w:customStyle="1" w:styleId="Para1Char">
    <w:name w:val="Para 1 Char"/>
    <w:rsid w:val="00424E0F"/>
    <w:rPr>
      <w:rFonts w:eastAsia="MS Mincho"/>
      <w:bCs/>
      <w:iCs/>
      <w:sz w:val="22"/>
      <w:szCs w:val="22"/>
      <w:lang w:val="ru-RU" w:eastAsia="ru-RU" w:bidi="ar-SA"/>
    </w:rPr>
  </w:style>
  <w:style w:type="paragraph" w:customStyle="1" w:styleId="Para2rev">
    <w:name w:val="Para 2 (rev)"/>
    <w:basedOn w:val="Normal"/>
    <w:rsid w:val="00424E0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424E0F"/>
    <w:pPr>
      <w:framePr w:hSpace="187" w:vSpace="187" w:wrap="notBeside" w:vAnchor="text" w:hAnchor="text" w:y="1"/>
      <w:numPr>
        <w:numId w:val="6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rsid w:val="00424E0F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424E0F"/>
    <w:pPr>
      <w:numPr>
        <w:numId w:val="7"/>
      </w:numPr>
      <w:spacing w:after="120"/>
    </w:pPr>
    <w:rPr>
      <w:rFonts w:cs="Times New Roman"/>
      <w:szCs w:val="22"/>
    </w:rPr>
  </w:style>
  <w:style w:type="paragraph" w:customStyle="1" w:styleId="Para40">
    <w:name w:val="Para4"/>
    <w:basedOn w:val="Para3"/>
    <w:rsid w:val="00424E0F"/>
    <w:pPr>
      <w:tabs>
        <w:tab w:val="clear" w:pos="1980"/>
        <w:tab w:val="left" w:pos="2552"/>
        <w:tab w:val="num" w:pos="3540"/>
      </w:tabs>
      <w:ind w:left="2552" w:hanging="567"/>
    </w:pPr>
  </w:style>
  <w:style w:type="paragraph" w:customStyle="1" w:styleId="StyleBodyTextTimesNewRoman11ptCharChar">
    <w:name w:val="Style Body Text + Times New Roman 11 pt Char Char"/>
    <w:basedOn w:val="BodyText"/>
    <w:rsid w:val="00424E0F"/>
    <w:rPr>
      <w:iCs w:val="0"/>
      <w:snapToGrid w:val="0"/>
      <w:color w:val="000000"/>
      <w:szCs w:val="22"/>
    </w:rPr>
  </w:style>
  <w:style w:type="character" w:customStyle="1" w:styleId="StyleBodyTextTimesNewRoman11ptCharCharChar">
    <w:name w:val="Style Body Text + Times New Roman 11 pt Char Char Char"/>
    <w:rsid w:val="00424E0F"/>
    <w:rPr>
      <w:rFonts w:cs="Angsana New"/>
      <w:iCs/>
      <w:snapToGrid w:val="0"/>
      <w:color w:val="000000"/>
      <w:sz w:val="22"/>
      <w:szCs w:val="22"/>
      <w:lang w:val="ru-RU" w:eastAsia="ru-RU" w:bidi="ar-SA"/>
    </w:rPr>
  </w:style>
  <w:style w:type="paragraph" w:styleId="TOC2">
    <w:name w:val="toc 2"/>
    <w:basedOn w:val="Normal"/>
    <w:next w:val="Normal"/>
    <w:autoRedefine/>
    <w:semiHidden/>
    <w:rsid w:val="00424E0F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424E0F"/>
    <w:pPr>
      <w:ind w:left="2160" w:hanging="720"/>
    </w:pPr>
  </w:style>
  <w:style w:type="paragraph" w:styleId="TOC5">
    <w:name w:val="toc 5"/>
    <w:basedOn w:val="Normal"/>
    <w:next w:val="Normal"/>
    <w:autoRedefine/>
    <w:semiHidden/>
    <w:rsid w:val="00424E0F"/>
    <w:pPr>
      <w:ind w:left="880"/>
    </w:pPr>
  </w:style>
  <w:style w:type="character" w:customStyle="1" w:styleId="Heading1Char">
    <w:name w:val="Heading 1 Char"/>
    <w:link w:val="Heading1"/>
    <w:rsid w:val="00CA25AD"/>
    <w:rPr>
      <w:rFonts w:cs="Angsana New"/>
      <w:b/>
      <w:caps/>
      <w:sz w:val="22"/>
      <w:szCs w:val="24"/>
      <w:lang w:val="ru-RU" w:eastAsia="ru-RU" w:bidi="ar-SA"/>
    </w:rPr>
  </w:style>
  <w:style w:type="numbering" w:styleId="111111">
    <w:name w:val="Outline List 2"/>
    <w:basedOn w:val="NoList"/>
    <w:rsid w:val="005B3F2E"/>
    <w:pPr>
      <w:numPr>
        <w:numId w:val="11"/>
      </w:numPr>
    </w:pPr>
  </w:style>
  <w:style w:type="numbering" w:customStyle="1" w:styleId="Style2">
    <w:name w:val="Style2"/>
    <w:rsid w:val="005B3F2E"/>
    <w:pPr>
      <w:numPr>
        <w:numId w:val="12"/>
      </w:numPr>
    </w:pPr>
  </w:style>
  <w:style w:type="character" w:customStyle="1" w:styleId="Heading1longmultilineChar">
    <w:name w:val="Heading 1 (long multiline) Char"/>
    <w:basedOn w:val="Heading1Char"/>
    <w:link w:val="Heading1longmultiline"/>
    <w:rsid w:val="00CA25AD"/>
    <w:rPr>
      <w:rFonts w:cs="Angsana New"/>
      <w:b/>
      <w:caps/>
      <w:sz w:val="22"/>
      <w:szCs w:val="24"/>
      <w:lang w:val="ru-RU" w:eastAsia="ru-RU" w:bidi="ar-SA"/>
    </w:rPr>
  </w:style>
  <w:style w:type="paragraph" w:customStyle="1" w:styleId="ColorfulList-Accent11">
    <w:name w:val="Colorful List - Accent 11"/>
    <w:basedOn w:val="Normal"/>
    <w:uiPriority w:val="34"/>
    <w:qFormat/>
    <w:rsid w:val="00CA4FBF"/>
    <w:pPr>
      <w:ind w:left="720"/>
    </w:pPr>
  </w:style>
  <w:style w:type="paragraph" w:customStyle="1" w:styleId="Default">
    <w:name w:val="Default"/>
    <w:basedOn w:val="Normal"/>
    <w:rsid w:val="00900F86"/>
    <w:pPr>
      <w:autoSpaceDE w:val="0"/>
      <w:autoSpaceDN w:val="0"/>
      <w:jc w:val="left"/>
    </w:pPr>
    <w:rPr>
      <w:rFonts w:eastAsia="Calibri" w:cs="Times New Roman"/>
      <w:color w:val="000000"/>
      <w:sz w:val="24"/>
    </w:rPr>
  </w:style>
  <w:style w:type="character" w:customStyle="1" w:styleId="apple-style-span">
    <w:name w:val="apple-style-span"/>
    <w:rsid w:val="00900F86"/>
  </w:style>
  <w:style w:type="character" w:customStyle="1" w:styleId="HeaderChar">
    <w:name w:val="Header Char"/>
    <w:link w:val="Header"/>
    <w:rsid w:val="00203EDB"/>
    <w:rPr>
      <w:rFonts w:cs="Angsana New"/>
      <w:sz w:val="22"/>
      <w:szCs w:val="24"/>
      <w:lang w:val="ru-RU" w:eastAsia="ru-RU"/>
    </w:rPr>
  </w:style>
  <w:style w:type="character" w:customStyle="1" w:styleId="PlainTextChar">
    <w:name w:val="Plain Text Char"/>
    <w:link w:val="PlainText"/>
    <w:uiPriority w:val="99"/>
    <w:rsid w:val="00B22797"/>
    <w:rPr>
      <w:rFonts w:ascii="Courier New" w:hAnsi="Courier New" w:cs="Courier New"/>
      <w:szCs w:val="24"/>
      <w:lang w:val="ru-RU" w:eastAsia="ru-RU"/>
    </w:rPr>
  </w:style>
  <w:style w:type="character" w:customStyle="1" w:styleId="FooterChar">
    <w:name w:val="Footer Char"/>
    <w:link w:val="Footer"/>
    <w:rsid w:val="00316C7D"/>
    <w:rPr>
      <w:rFonts w:cs="Angsana New"/>
      <w:sz w:val="22"/>
      <w:szCs w:val="24"/>
      <w:lang w:val="ru-RU" w:eastAsia="ru-RU"/>
    </w:rPr>
  </w:style>
  <w:style w:type="paragraph" w:customStyle="1" w:styleId="PlainTable31">
    <w:name w:val="Plain Table 31"/>
    <w:basedOn w:val="Normal"/>
    <w:uiPriority w:val="34"/>
    <w:qFormat/>
    <w:rsid w:val="00057950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Heading3"/>
    <w:next w:val="Heading2"/>
    <w:rsid w:val="00FA7F67"/>
    <w:rPr>
      <w:rFonts w:ascii="Times New Roman Bold" w:hAnsi="Times New Roman Bold"/>
      <w:b/>
      <w:bCs/>
      <w:i w:val="0"/>
      <w:iCs w:val="0"/>
      <w:caps/>
    </w:rPr>
  </w:style>
  <w:style w:type="paragraph" w:styleId="Bibliography">
    <w:name w:val="Bibliography"/>
    <w:uiPriority w:val="1"/>
    <w:qFormat/>
    <w:rsid w:val="00276F6A"/>
    <w:rPr>
      <w:rFonts w:ascii="Calibri" w:hAnsi="Calibri"/>
      <w:sz w:val="22"/>
      <w:szCs w:val="22"/>
      <w:lang w:val="ru-RU" w:eastAsia="ru-RU"/>
    </w:rPr>
  </w:style>
  <w:style w:type="paragraph" w:customStyle="1" w:styleId="Paraa">
    <w:name w:val="Para (a)"/>
    <w:basedOn w:val="Normal"/>
    <w:rsid w:val="00463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left"/>
      <w:outlineLvl w:val="1"/>
    </w:pPr>
    <w:rPr>
      <w:rFonts w:eastAsia="SimSun" w:cs="Times New Roman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3C3938"/>
    <w:rPr>
      <w:rFonts w:cs="Angsana New"/>
      <w:sz w:val="18"/>
      <w:szCs w:val="24"/>
      <w:lang w:val="ru-RU" w:eastAsia="ru-RU"/>
    </w:rPr>
  </w:style>
  <w:style w:type="character" w:customStyle="1" w:styleId="StyleFootnoteReferenceNounderlineSuperscriptKernat10pt">
    <w:name w:val="Style Footnote Reference + No underline Superscript Kern at 10 pt"/>
    <w:rsid w:val="003C3938"/>
    <w:rPr>
      <w:kern w:val="20"/>
      <w:sz w:val="22"/>
      <w:u w:val="none"/>
      <w:vertAlign w:val="superscript"/>
      <w:lang w:val="ru-RU" w:eastAsia="ru-RU"/>
    </w:rPr>
  </w:style>
  <w:style w:type="character" w:customStyle="1" w:styleId="s13">
    <w:name w:val="s13"/>
    <w:rsid w:val="00745CC8"/>
  </w:style>
  <w:style w:type="paragraph" w:customStyle="1" w:styleId="PlainTable21">
    <w:name w:val="Plain Table 21"/>
    <w:hidden/>
    <w:uiPriority w:val="99"/>
    <w:semiHidden/>
    <w:rsid w:val="00EC5B43"/>
    <w:rPr>
      <w:rFonts w:cs="Angsana New"/>
      <w:sz w:val="22"/>
      <w:szCs w:val="24"/>
      <w:lang w:val="ru-RU" w:eastAsia="ru-RU"/>
    </w:rPr>
  </w:style>
  <w:style w:type="paragraph" w:customStyle="1" w:styleId="PlainTable22">
    <w:name w:val="Plain Table 22"/>
    <w:hidden/>
    <w:uiPriority w:val="99"/>
    <w:semiHidden/>
    <w:rsid w:val="00023D05"/>
    <w:rPr>
      <w:rFonts w:cs="Angsana New"/>
      <w:sz w:val="22"/>
      <w:szCs w:val="24"/>
      <w:lang w:val="ru-RU" w:eastAsia="ru-RU"/>
    </w:rPr>
  </w:style>
  <w:style w:type="paragraph" w:customStyle="1" w:styleId="PlainTable32">
    <w:name w:val="Plain Table 32"/>
    <w:basedOn w:val="Normal"/>
    <w:uiPriority w:val="34"/>
    <w:qFormat/>
    <w:rsid w:val="00914CF7"/>
    <w:pPr>
      <w:ind w:left="720"/>
    </w:pPr>
  </w:style>
  <w:style w:type="paragraph" w:customStyle="1" w:styleId="DarkList-Accent51">
    <w:name w:val="Dark List - Accent 51"/>
    <w:basedOn w:val="Normal"/>
    <w:uiPriority w:val="34"/>
    <w:qFormat/>
    <w:rsid w:val="009252DF"/>
    <w:pPr>
      <w:ind w:left="720"/>
    </w:pPr>
  </w:style>
  <w:style w:type="paragraph" w:customStyle="1" w:styleId="LightList-Accent31">
    <w:name w:val="Light List - Accent 31"/>
    <w:hidden/>
    <w:uiPriority w:val="99"/>
    <w:semiHidden/>
    <w:rsid w:val="0011508D"/>
    <w:rPr>
      <w:rFonts w:cs="Angsana New"/>
      <w:sz w:val="22"/>
      <w:szCs w:val="24"/>
      <w:lang w:val="ru-RU" w:eastAsia="ru-RU"/>
    </w:rPr>
  </w:style>
  <w:style w:type="character" w:customStyle="1" w:styleId="CommentTextChar">
    <w:name w:val="Comment Text Char"/>
    <w:link w:val="CommentText"/>
    <w:uiPriority w:val="99"/>
    <w:semiHidden/>
    <w:rsid w:val="00D706A4"/>
    <w:rPr>
      <w:rFonts w:cs="Angsana New"/>
      <w:szCs w:val="24"/>
      <w:lang w:val="ru-RU" w:eastAsia="ru-RU"/>
    </w:rPr>
  </w:style>
  <w:style w:type="character" w:customStyle="1" w:styleId="EndnoteTextChar">
    <w:name w:val="Endnote Text Char"/>
    <w:link w:val="EndnoteText"/>
    <w:uiPriority w:val="99"/>
    <w:rsid w:val="00D706A4"/>
    <w:rPr>
      <w:rFonts w:ascii="Courier New" w:hAnsi="Courier New" w:cs="Angsana New"/>
      <w:sz w:val="22"/>
      <w:szCs w:val="24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2F4C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3/cop-13-dec-01-ru.pdf" TargetMode="External"/><Relationship Id="rId18" Type="http://schemas.openxmlformats.org/officeDocument/2006/relationships/hyperlink" Target="https://www.cbd.int/doc/decisions/cop-12/cop-12-dec-02-ru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09/cop-09-dec-09-ru.pdf" TargetMode="External"/><Relationship Id="rId17" Type="http://schemas.openxmlformats.org/officeDocument/2006/relationships/hyperlink" Target="https://www.cbd.int/doc/decisions/cop-11/cop-11-dec-03-ru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recommendations/sbi-01/sbi-01-rec-01-ru.pdf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cbd.int/doc/decisions/cop-10/cop-10-dec-10-ru.pdf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www.cbd.int/doc/decisions/cop-10/cop-10-dec-02-ru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bd.int/doc/decisions/cop-11/cop-11-dec-02-ru.pdf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nbsap/targets/default.shtml" TargetMode="External"/><Relationship Id="rId2" Type="http://schemas.openxmlformats.org/officeDocument/2006/relationships/hyperlink" Target="https://www.cbd.int/doc/meetings/cop/cop-13/official/cop-13-08-add2-rev1-ru.pdf" TargetMode="External"/><Relationship Id="rId1" Type="http://schemas.openxmlformats.org/officeDocument/2006/relationships/hyperlink" Target="https://www.cbd.int/doc/c/6ada/4011/af94c4f5feeba81fc82c6db0/sbi-02-01-ru.pdf" TargetMode="External"/><Relationship Id="rId5" Type="http://schemas.openxmlformats.org/officeDocument/2006/relationships/hyperlink" Target="https://www.cbd.int/doc/meetings/cop/cop-13/official/cop-13-08-add2-rev1-ru.pdf" TargetMode="External"/><Relationship Id="rId4" Type="http://schemas.openxmlformats.org/officeDocument/2006/relationships/hyperlink" Target="https://www.cbd.int/doc/meetings/sbi/sbi-01/official/sbi-01-02-add2-r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138A-DD78-4AC0-B940-B9CE2603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9832</Words>
  <Characters>56043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65744</CharactersWithSpaces>
  <SharedDoc>false</SharedDoc>
  <HLinks>
    <vt:vector size="78" baseType="variant">
      <vt:variant>
        <vt:i4>1966165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https://www.cbd.int/doc/decisions/cop-10/cop-10-dec-02-ru.pdf</vt:lpwstr>
      </vt:variant>
      <vt:variant>
        <vt:lpwstr/>
      </vt:variant>
      <vt:variant>
        <vt:i4>1835095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https://www.cbd.int/doc/decisions/cop-12/cop-12-dec-02-ru.pdf</vt:lpwstr>
      </vt:variant>
      <vt:variant>
        <vt:lpwstr/>
      </vt:variant>
      <vt:variant>
        <vt:i4>1966164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https://www.cbd.int/doc/decisions/cop-11/cop-11-dec-03-ru.pdf</vt:lpwstr>
      </vt:variant>
      <vt:variant>
        <vt:lpwstr/>
      </vt:variant>
      <vt:variant>
        <vt:i4>8192058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https://www.cbd.int/doc/recommendations/sbi-01/sbi-01-rec-01-ru.pdf</vt:lpwstr>
      </vt:variant>
      <vt:variant>
        <vt:lpwstr/>
      </vt:variant>
      <vt:variant>
        <vt:i4>1835092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https://www.cbd.int/doc/decisions/cop-10/cop-10-dec-10-ru.pdf</vt:lpwstr>
      </vt:variant>
      <vt:variant>
        <vt:lpwstr/>
      </vt:variant>
      <vt:variant>
        <vt:i4>2031700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https://www.cbd.int/doc/decisions/cop-11/cop-11-dec-02-ru.pdf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https://www.cbd.int/doc/decisions/cop-13/cop-13-dec-01-ru.pdf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https://www.cbd.int/doc/decisions/cop-09/cop-09-dec-09-ru.pdf</vt:lpwstr>
      </vt:variant>
      <vt:variant>
        <vt:lpwstr/>
      </vt:variant>
      <vt:variant>
        <vt:i4>7209079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https://www.cbd.int/doc/meetings/cop/cop-13/official/cop-13-08-add2-rev1-ru.pdf</vt:lpwstr>
      </vt:variant>
      <vt:variant>
        <vt:lpwstr/>
      </vt:variant>
      <vt:variant>
        <vt:i4>6422638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https://www.cbd.int/doc/meetings/sbi/sbi-01/official/sbi-01-02-add2-ru.pdf</vt:lpwstr>
      </vt:variant>
      <vt:variant>
        <vt:lpwstr/>
      </vt:variant>
      <vt:variant>
        <vt:i4>7798819</vt:i4>
      </vt:variant>
      <vt:variant>
        <vt:i4>6</vt:i4>
      </vt:variant>
      <vt:variant>
        <vt:i4>0</vt:i4>
      </vt:variant>
      <vt:variant>
        <vt:i4>5</vt:i4>
      </vt:variant>
      <vt:variant>
        <vt:lpwstr>https://www.cbd.int/nbsap/targets/default.shtml</vt:lpwstr>
      </vt:variant>
      <vt:variant>
        <vt:lpwstr/>
      </vt:variant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https://www.cbd.int/doc/meetings/cop/cop-13/official/cop-13-08-add2-rev1-ru.pdf</vt:lpwstr>
      </vt:variant>
      <vt:variant>
        <vt:lpwstr/>
      </vt:variant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https://www.cbd.int/doc/c/6ada/4011/af94c4f5feeba81fc82c6db0/sbi-02-01-ru.pdf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2018-03-26T19:39:00Z</dcterms:created>
  <dcterms:modified xsi:type="dcterms:W3CDTF">2018-03-26T19:39:00Z</dcterms:modified>
</cp:coreProperties>
</file>