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DA5B09" w:rsidRPr="006924CD" w14:paraId="5E2D4125" w14:textId="77777777" w:rsidTr="00295BF6">
        <w:trPr>
          <w:trHeight w:val="709"/>
        </w:trPr>
        <w:tc>
          <w:tcPr>
            <w:tcW w:w="976" w:type="dxa"/>
            <w:tcBorders>
              <w:bottom w:val="single" w:sz="12" w:space="0" w:color="auto"/>
            </w:tcBorders>
          </w:tcPr>
          <w:p w14:paraId="0A3B55C7" w14:textId="77777777" w:rsidR="00DA5B09" w:rsidRPr="006924CD" w:rsidRDefault="00DA5B09" w:rsidP="00295BF6">
            <w:pPr>
              <w:rPr>
                <w:kern w:val="22"/>
              </w:rPr>
            </w:pPr>
            <w:r w:rsidRPr="006924CD">
              <w:rPr>
                <w:noProof/>
                <w:kern w:val="22"/>
                <w:lang w:val="fr-CA" w:eastAsia="fr-CA"/>
              </w:rPr>
              <w:drawing>
                <wp:inline distT="0" distB="0" distL="0" distR="0" wp14:anchorId="0F344EF1" wp14:editId="64C53A0E">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21566D37" w14:textId="77777777" w:rsidR="00DA5B09" w:rsidRPr="006924CD" w:rsidRDefault="00DA5B09" w:rsidP="00295BF6">
            <w:pPr>
              <w:rPr>
                <w:kern w:val="22"/>
              </w:rPr>
            </w:pPr>
            <w:r w:rsidRPr="006924CD">
              <w:rPr>
                <w:noProof/>
                <w:kern w:val="22"/>
                <w:lang w:val="fr-CA" w:eastAsia="fr-CA"/>
              </w:rPr>
              <w:drawing>
                <wp:inline distT="0" distB="0" distL="0" distR="0" wp14:anchorId="7D51285D" wp14:editId="2D866C9A">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0BA89A1F" w14:textId="77777777" w:rsidR="00DA5B09" w:rsidRPr="006924CD" w:rsidRDefault="00DA5B09" w:rsidP="00295BF6">
            <w:pPr>
              <w:jc w:val="right"/>
              <w:rPr>
                <w:rFonts w:ascii="Arial" w:hAnsi="Arial" w:cs="Arial"/>
                <w:b/>
                <w:kern w:val="22"/>
                <w:sz w:val="32"/>
                <w:szCs w:val="32"/>
              </w:rPr>
            </w:pPr>
            <w:r w:rsidRPr="006924CD">
              <w:rPr>
                <w:rFonts w:ascii="Arial" w:hAnsi="Arial" w:cs="Arial"/>
                <w:b/>
                <w:kern w:val="22"/>
                <w:sz w:val="32"/>
                <w:szCs w:val="32"/>
              </w:rPr>
              <w:t>CBD</w:t>
            </w:r>
          </w:p>
        </w:tc>
      </w:tr>
      <w:tr w:rsidR="00DA5B09" w:rsidRPr="00B33A50" w14:paraId="5CB3D892" w14:textId="77777777" w:rsidTr="00295BF6">
        <w:tc>
          <w:tcPr>
            <w:tcW w:w="6117" w:type="dxa"/>
            <w:gridSpan w:val="2"/>
            <w:tcBorders>
              <w:top w:val="single" w:sz="12" w:space="0" w:color="auto"/>
              <w:bottom w:val="single" w:sz="36" w:space="0" w:color="auto"/>
            </w:tcBorders>
            <w:vAlign w:val="center"/>
          </w:tcPr>
          <w:p w14:paraId="092916E4" w14:textId="4F9ECBCB" w:rsidR="00DA5B09" w:rsidRPr="00B33A50" w:rsidRDefault="004E3D57" w:rsidP="00295BF6">
            <w:pPr>
              <w:rPr>
                <w:kern w:val="22"/>
                <w:lang w:val="fr-CA"/>
              </w:rPr>
            </w:pPr>
            <w:r w:rsidRPr="00B33A50">
              <w:rPr>
                <w:bCs/>
                <w:noProof/>
                <w:szCs w:val="22"/>
                <w:lang w:val="fr-CA" w:eastAsia="fr-CA"/>
              </w:rPr>
              <w:drawing>
                <wp:inline distT="0" distB="0" distL="0" distR="0" wp14:anchorId="19FCFCF2" wp14:editId="19808D5C">
                  <wp:extent cx="2857500" cy="1076325"/>
                  <wp:effectExtent l="0" t="0" r="0" b="9525"/>
                  <wp:docPr id="7" name="Picture 7"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fr-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085FD244" w14:textId="77777777" w:rsidR="00DA5B09" w:rsidRPr="00B33A50" w:rsidRDefault="00DA5B09" w:rsidP="00295BF6">
            <w:pPr>
              <w:ind w:left="1666"/>
              <w:rPr>
                <w:rFonts w:ascii="Times New Roman" w:hAnsi="Times New Roman" w:cs="Times New Roman"/>
                <w:kern w:val="22"/>
                <w:szCs w:val="22"/>
                <w:lang w:val="fr-CA"/>
              </w:rPr>
            </w:pPr>
            <w:proofErr w:type="spellStart"/>
            <w:r w:rsidRPr="00B33A50">
              <w:rPr>
                <w:rFonts w:ascii="Times New Roman" w:hAnsi="Times New Roman" w:cs="Times New Roman"/>
                <w:kern w:val="22"/>
                <w:szCs w:val="22"/>
                <w:lang w:val="fr-CA"/>
              </w:rPr>
              <w:t>Distr</w:t>
            </w:r>
            <w:proofErr w:type="spellEnd"/>
            <w:r w:rsidRPr="00B33A50">
              <w:rPr>
                <w:rFonts w:ascii="Times New Roman" w:hAnsi="Times New Roman" w:cs="Times New Roman"/>
                <w:kern w:val="22"/>
                <w:szCs w:val="22"/>
                <w:lang w:val="fr-CA"/>
              </w:rPr>
              <w:t>.</w:t>
            </w:r>
          </w:p>
          <w:p w14:paraId="5F123F56" w14:textId="6D8AA039" w:rsidR="00DA5B09" w:rsidRPr="00B33A50" w:rsidRDefault="004E3D57" w:rsidP="00295BF6">
            <w:pPr>
              <w:ind w:left="1666"/>
              <w:rPr>
                <w:rFonts w:ascii="Times New Roman" w:hAnsi="Times New Roman" w:cs="Times New Roman"/>
                <w:kern w:val="22"/>
                <w:szCs w:val="22"/>
                <w:lang w:val="fr-CA"/>
              </w:rPr>
            </w:pPr>
            <w:r w:rsidRPr="00B33A50">
              <w:rPr>
                <w:rFonts w:ascii="Times New Roman" w:hAnsi="Times New Roman" w:cs="Times New Roman"/>
                <w:caps/>
                <w:kern w:val="22"/>
                <w:szCs w:val="22"/>
                <w:lang w:val="fr-CA"/>
              </w:rPr>
              <w:t>GÉNÉRALE</w:t>
            </w:r>
          </w:p>
          <w:p w14:paraId="5A14AEC4" w14:textId="77777777" w:rsidR="00DA5B09" w:rsidRPr="00B33A50" w:rsidRDefault="00DA5B09" w:rsidP="00295BF6">
            <w:pPr>
              <w:ind w:left="1666"/>
              <w:rPr>
                <w:rFonts w:ascii="Times New Roman" w:hAnsi="Times New Roman" w:cs="Times New Roman"/>
                <w:kern w:val="22"/>
                <w:szCs w:val="22"/>
                <w:lang w:val="fr-CA"/>
              </w:rPr>
            </w:pPr>
          </w:p>
          <w:p w14:paraId="66817DF3" w14:textId="3EA86A17" w:rsidR="00DA5B09" w:rsidRPr="00B33A50" w:rsidRDefault="00153DAB" w:rsidP="00295BF6">
            <w:pPr>
              <w:ind w:left="1666"/>
              <w:rPr>
                <w:rFonts w:ascii="Times New Roman" w:hAnsi="Times New Roman" w:cs="Times New Roman"/>
                <w:kern w:val="22"/>
                <w:szCs w:val="22"/>
                <w:lang w:val="fr-CA"/>
              </w:rPr>
            </w:pPr>
            <w:sdt>
              <w:sdtPr>
                <w:rPr>
                  <w:kern w:val="22"/>
                  <w:lang w:val="fr-CA"/>
                </w:rPr>
                <w:alias w:val="Subject"/>
                <w:tag w:val=""/>
                <w:id w:val="2137136483"/>
                <w:placeholder>
                  <w:docPart w:val="37C414E9BD9C4FB9AC6FD7C15648FEBB"/>
                </w:placeholder>
                <w:dataBinding w:prefixMappings="xmlns:ns0='http://purl.org/dc/elements/1.1/' xmlns:ns1='http://schemas.openxmlformats.org/package/2006/metadata/core-properties' " w:xpath="/ns1:coreProperties[1]/ns0:subject[1]" w:storeItemID="{6C3C8BC8-F283-45AE-878A-BAB7291924A1}"/>
                <w:text/>
              </w:sdtPr>
              <w:sdtEndPr/>
              <w:sdtContent>
                <w:r w:rsidR="009416E7" w:rsidRPr="00B33A50">
                  <w:rPr>
                    <w:rFonts w:ascii="Times New Roman" w:hAnsi="Times New Roman" w:cs="Times New Roman"/>
                    <w:kern w:val="22"/>
                    <w:lang w:val="fr-CA"/>
                  </w:rPr>
                  <w:t>CBD/</w:t>
                </w:r>
                <w:proofErr w:type="spellStart"/>
                <w:r w:rsidR="009416E7" w:rsidRPr="00B33A50">
                  <w:rPr>
                    <w:rFonts w:ascii="Times New Roman" w:hAnsi="Times New Roman" w:cs="Times New Roman"/>
                    <w:kern w:val="22"/>
                    <w:lang w:val="fr-CA"/>
                  </w:rPr>
                  <w:t>SBSTTA</w:t>
                </w:r>
                <w:proofErr w:type="spellEnd"/>
                <w:r w:rsidR="009416E7" w:rsidRPr="00B33A50">
                  <w:rPr>
                    <w:rFonts w:ascii="Times New Roman" w:hAnsi="Times New Roman" w:cs="Times New Roman"/>
                    <w:kern w:val="22"/>
                    <w:lang w:val="fr-CA"/>
                  </w:rPr>
                  <w:t>/23/3</w:t>
                </w:r>
              </w:sdtContent>
            </w:sdt>
          </w:p>
          <w:p w14:paraId="10C9D0EF" w14:textId="014C994C" w:rsidR="00DA5B09" w:rsidRPr="00B33A50" w:rsidRDefault="003429E2" w:rsidP="00295BF6">
            <w:pPr>
              <w:ind w:left="1666"/>
              <w:rPr>
                <w:rFonts w:ascii="Times New Roman" w:hAnsi="Times New Roman" w:cs="Times New Roman"/>
                <w:kern w:val="22"/>
                <w:szCs w:val="22"/>
                <w:lang w:val="fr-CA"/>
              </w:rPr>
            </w:pPr>
            <w:r w:rsidRPr="00B33A50">
              <w:rPr>
                <w:rFonts w:ascii="Times New Roman" w:hAnsi="Times New Roman" w:cs="Times New Roman"/>
                <w:kern w:val="22"/>
                <w:szCs w:val="22"/>
                <w:lang w:val="fr-CA"/>
              </w:rPr>
              <w:t xml:space="preserve">19 </w:t>
            </w:r>
            <w:r w:rsidR="004E3D57" w:rsidRPr="00B33A50">
              <w:rPr>
                <w:rFonts w:ascii="Times New Roman" w:hAnsi="Times New Roman" w:cs="Times New Roman"/>
                <w:kern w:val="22"/>
                <w:szCs w:val="22"/>
                <w:lang w:val="fr-CA"/>
              </w:rPr>
              <w:t>août</w:t>
            </w:r>
            <w:r w:rsidRPr="00B33A50">
              <w:rPr>
                <w:rFonts w:ascii="Times New Roman" w:hAnsi="Times New Roman" w:cs="Times New Roman"/>
                <w:kern w:val="22"/>
                <w:szCs w:val="22"/>
                <w:lang w:val="fr-CA"/>
              </w:rPr>
              <w:t xml:space="preserve"> 2019</w:t>
            </w:r>
          </w:p>
          <w:p w14:paraId="29612BC1" w14:textId="77777777" w:rsidR="00DA5B09" w:rsidRPr="00B33A50" w:rsidRDefault="00DA5B09" w:rsidP="00295BF6">
            <w:pPr>
              <w:ind w:left="1666"/>
              <w:rPr>
                <w:rFonts w:ascii="Times New Roman" w:hAnsi="Times New Roman" w:cs="Times New Roman"/>
                <w:kern w:val="22"/>
                <w:szCs w:val="22"/>
                <w:lang w:val="fr-CA"/>
              </w:rPr>
            </w:pPr>
          </w:p>
          <w:p w14:paraId="412B0475" w14:textId="77777777" w:rsidR="004E3D57" w:rsidRPr="00B33A50" w:rsidRDefault="004E3D57" w:rsidP="00295BF6">
            <w:pPr>
              <w:ind w:left="1666"/>
              <w:rPr>
                <w:rFonts w:ascii="Times New Roman" w:hAnsi="Times New Roman" w:cs="Times New Roman"/>
                <w:kern w:val="22"/>
                <w:szCs w:val="22"/>
                <w:lang w:val="fr-CA"/>
              </w:rPr>
            </w:pPr>
            <w:r w:rsidRPr="00B33A50">
              <w:rPr>
                <w:rFonts w:ascii="Times New Roman" w:hAnsi="Times New Roman" w:cs="Times New Roman"/>
                <w:kern w:val="22"/>
                <w:szCs w:val="22"/>
                <w:lang w:val="fr-CA"/>
              </w:rPr>
              <w:t>FRANÇAIS</w:t>
            </w:r>
          </w:p>
          <w:p w14:paraId="0FD8572B" w14:textId="77EBAE2E" w:rsidR="00DA5B09" w:rsidRPr="00B33A50" w:rsidRDefault="00DA5B09" w:rsidP="00295BF6">
            <w:pPr>
              <w:ind w:left="1666"/>
              <w:rPr>
                <w:rFonts w:ascii="Times New Roman" w:hAnsi="Times New Roman" w:cs="Times New Roman"/>
                <w:kern w:val="22"/>
                <w:szCs w:val="22"/>
                <w:lang w:val="fr-CA"/>
              </w:rPr>
            </w:pPr>
            <w:r w:rsidRPr="00B33A50">
              <w:rPr>
                <w:rFonts w:ascii="Times New Roman" w:hAnsi="Times New Roman" w:cs="Times New Roman"/>
                <w:kern w:val="22"/>
                <w:szCs w:val="22"/>
                <w:lang w:val="fr-CA"/>
              </w:rPr>
              <w:t>ORIGINAL</w:t>
            </w:r>
            <w:r w:rsidR="004E3D57" w:rsidRPr="00B33A50">
              <w:rPr>
                <w:rFonts w:ascii="Times New Roman" w:hAnsi="Times New Roman" w:cs="Times New Roman"/>
                <w:kern w:val="22"/>
                <w:szCs w:val="22"/>
                <w:lang w:val="fr-CA"/>
              </w:rPr>
              <w:t xml:space="preserve"> </w:t>
            </w:r>
            <w:r w:rsidRPr="00B33A50">
              <w:rPr>
                <w:rFonts w:ascii="Times New Roman" w:hAnsi="Times New Roman" w:cs="Times New Roman"/>
                <w:kern w:val="22"/>
                <w:szCs w:val="22"/>
                <w:lang w:val="fr-CA"/>
              </w:rPr>
              <w:t xml:space="preserve">: </w:t>
            </w:r>
            <w:r w:rsidR="004E3D57" w:rsidRPr="00B33A50">
              <w:rPr>
                <w:rFonts w:ascii="Times New Roman" w:hAnsi="Times New Roman" w:cs="Times New Roman"/>
                <w:kern w:val="22"/>
                <w:szCs w:val="22"/>
                <w:lang w:val="fr-CA"/>
              </w:rPr>
              <w:t>ANGLAIS</w:t>
            </w:r>
          </w:p>
          <w:p w14:paraId="7994CE1B" w14:textId="77777777" w:rsidR="00DA5B09" w:rsidRPr="00B33A50" w:rsidRDefault="00DA5B09" w:rsidP="00295BF6">
            <w:pPr>
              <w:rPr>
                <w:rFonts w:ascii="Times New Roman" w:hAnsi="Times New Roman" w:cs="Times New Roman"/>
                <w:kern w:val="22"/>
                <w:lang w:val="fr-CA"/>
              </w:rPr>
            </w:pPr>
          </w:p>
        </w:tc>
      </w:tr>
    </w:tbl>
    <w:p w14:paraId="7A882F21" w14:textId="45461954" w:rsidR="00DA5B09" w:rsidRPr="00B33A50" w:rsidRDefault="004E3D57" w:rsidP="006924CD">
      <w:pPr>
        <w:ind w:left="284" w:right="4540" w:hanging="284"/>
        <w:jc w:val="left"/>
        <w:rPr>
          <w:caps/>
          <w:kern w:val="22"/>
          <w:szCs w:val="22"/>
          <w:lang w:val="fr-CA"/>
        </w:rPr>
      </w:pPr>
      <w:r w:rsidRPr="00B33A50">
        <w:rPr>
          <w:caps/>
          <w:kern w:val="22"/>
          <w:szCs w:val="22"/>
          <w:lang w:val="fr-CA"/>
        </w:rPr>
        <w:t xml:space="preserve">ORGANE SUBSIDIAIRE CHARGÉ DE FOURNIR DES AVIS SCIENTIFIQUES, TECHNIQUES ET TECHNOLOGIQUES </w:t>
      </w:r>
    </w:p>
    <w:p w14:paraId="5584F9E0" w14:textId="60B84DFB" w:rsidR="00DA5B09" w:rsidRPr="00B33A50" w:rsidRDefault="004E3D57" w:rsidP="00DA5B09">
      <w:pPr>
        <w:ind w:left="284" w:hanging="284"/>
        <w:jc w:val="left"/>
        <w:rPr>
          <w:snapToGrid w:val="0"/>
          <w:kern w:val="22"/>
          <w:szCs w:val="22"/>
          <w:lang w:val="fr-CA" w:eastAsia="nb-NO"/>
        </w:rPr>
      </w:pPr>
      <w:r w:rsidRPr="00B33A50">
        <w:rPr>
          <w:snapToGrid w:val="0"/>
          <w:kern w:val="22"/>
          <w:szCs w:val="22"/>
          <w:lang w:val="fr-CA" w:eastAsia="nb-NO"/>
        </w:rPr>
        <w:t>Vingt-troisième réunion</w:t>
      </w:r>
    </w:p>
    <w:p w14:paraId="6972EE00" w14:textId="385C0B35" w:rsidR="00DA5B09" w:rsidRPr="00B33A50" w:rsidRDefault="004E3D57" w:rsidP="00DA5B09">
      <w:pPr>
        <w:ind w:left="284" w:hanging="284"/>
        <w:jc w:val="left"/>
        <w:rPr>
          <w:snapToGrid w:val="0"/>
          <w:kern w:val="22"/>
          <w:szCs w:val="22"/>
          <w:lang w:val="fr-CA" w:eastAsia="nb-NO"/>
        </w:rPr>
      </w:pPr>
      <w:r w:rsidRPr="00B33A50">
        <w:rPr>
          <w:snapToGrid w:val="0"/>
          <w:kern w:val="22"/>
          <w:szCs w:val="22"/>
          <w:lang w:val="fr-CA" w:eastAsia="nb-NO"/>
        </w:rPr>
        <w:t>Montré</w:t>
      </w:r>
      <w:r w:rsidR="00DA5B09" w:rsidRPr="00B33A50">
        <w:rPr>
          <w:snapToGrid w:val="0"/>
          <w:kern w:val="22"/>
          <w:szCs w:val="22"/>
          <w:lang w:val="fr-CA" w:eastAsia="nb-NO"/>
        </w:rPr>
        <w:t xml:space="preserve">al, Canada, 25-29 </w:t>
      </w:r>
      <w:r w:rsidRPr="00B33A50">
        <w:rPr>
          <w:snapToGrid w:val="0"/>
          <w:kern w:val="22"/>
          <w:szCs w:val="22"/>
          <w:lang w:val="fr-CA" w:eastAsia="nb-NO"/>
        </w:rPr>
        <w:t>novembre</w:t>
      </w:r>
      <w:r w:rsidR="00DA5B09" w:rsidRPr="00B33A50">
        <w:rPr>
          <w:snapToGrid w:val="0"/>
          <w:kern w:val="22"/>
          <w:szCs w:val="22"/>
          <w:lang w:val="fr-CA" w:eastAsia="nb-NO"/>
        </w:rPr>
        <w:t xml:space="preserve"> 2019</w:t>
      </w:r>
    </w:p>
    <w:p w14:paraId="39F53F8A" w14:textId="3804F4F0" w:rsidR="00CA6B87" w:rsidRPr="00B33A50" w:rsidRDefault="004E3D57" w:rsidP="004C76CC">
      <w:pPr>
        <w:suppressLineNumbers/>
        <w:suppressAutoHyphens/>
        <w:kinsoku w:val="0"/>
        <w:overflowPunct w:val="0"/>
        <w:autoSpaceDE w:val="0"/>
        <w:autoSpaceDN w:val="0"/>
        <w:rPr>
          <w:snapToGrid w:val="0"/>
          <w:kern w:val="22"/>
          <w:szCs w:val="22"/>
          <w:lang w:val="fr-CA" w:eastAsia="nb-NO"/>
        </w:rPr>
      </w:pPr>
      <w:r w:rsidRPr="00B33A50">
        <w:rPr>
          <w:snapToGrid w:val="0"/>
          <w:kern w:val="22"/>
          <w:szCs w:val="22"/>
          <w:lang w:val="fr-CA" w:eastAsia="nb-NO"/>
        </w:rPr>
        <w:t>Point 4 de l’ordre du jour provisoire</w:t>
      </w:r>
      <w:r w:rsidR="00D51069" w:rsidRPr="00B33A50">
        <w:rPr>
          <w:rStyle w:val="Appelnotedebasdep"/>
          <w:snapToGrid w:val="0"/>
          <w:kern w:val="22"/>
          <w:sz w:val="22"/>
          <w:szCs w:val="22"/>
          <w:u w:val="none"/>
          <w:lang w:val="fr-CA" w:eastAsia="nb-NO"/>
        </w:rPr>
        <w:footnoteReference w:customMarkFollows="1" w:id="1"/>
        <w:t>*</w:t>
      </w:r>
    </w:p>
    <w:p w14:paraId="10935552" w14:textId="6DD32C56" w:rsidR="00406BC6" w:rsidRPr="00B33A50" w:rsidRDefault="00153DAB" w:rsidP="004C76CC">
      <w:pPr>
        <w:pStyle w:val="Titre1"/>
        <w:suppressLineNumbers/>
        <w:tabs>
          <w:tab w:val="clear" w:pos="720"/>
        </w:tabs>
        <w:suppressAutoHyphens/>
        <w:kinsoku w:val="0"/>
        <w:overflowPunct w:val="0"/>
        <w:autoSpaceDE w:val="0"/>
        <w:autoSpaceDN w:val="0"/>
        <w:rPr>
          <w:snapToGrid w:val="0"/>
          <w:kern w:val="22"/>
          <w:szCs w:val="22"/>
          <w:lang w:val="fr-CA"/>
        </w:rPr>
      </w:pPr>
      <w:sdt>
        <w:sdtPr>
          <w:rPr>
            <w:bCs/>
            <w:snapToGrid w:val="0"/>
            <w:kern w:val="22"/>
            <w:szCs w:val="22"/>
            <w:lang w:val="fr-CA"/>
          </w:rPr>
          <w:alias w:val="Title"/>
          <w:tag w:val=""/>
          <w:id w:val="301582339"/>
          <w:placeholder>
            <w:docPart w:val="A79ABB9F55644AE3BB8290E8CB7F8968"/>
          </w:placeholder>
          <w:dataBinding w:prefixMappings="xmlns:ns0='http://purl.org/dc/elements/1.1/' xmlns:ns1='http://schemas.openxmlformats.org/package/2006/metadata/core-properties' " w:xpath="/ns1:coreProperties[1]/ns0:title[1]" w:storeItemID="{6C3C8BC8-F283-45AE-878A-BAB7291924A1}"/>
          <w:text/>
        </w:sdtPr>
        <w:sdtEndPr/>
        <w:sdtContent>
          <w:r w:rsidR="00B33A50">
            <w:rPr>
              <w:bCs/>
              <w:snapToGrid w:val="0"/>
              <w:kern w:val="22"/>
              <w:szCs w:val="22"/>
              <w:lang w:val="fr-CA"/>
            </w:rPr>
            <w:t>DIVERSITÉ BIOLOGIQUE ET CHANGEMENTS CLIMATIQUES</w:t>
          </w:r>
        </w:sdtContent>
      </w:sdt>
    </w:p>
    <w:p w14:paraId="7F3CE980" w14:textId="4D390BFD" w:rsidR="00915E00" w:rsidRPr="00B33A50" w:rsidRDefault="00B33A50" w:rsidP="00915E00">
      <w:pPr>
        <w:pStyle w:val="Titre2"/>
        <w:suppressLineNumbers/>
        <w:suppressAutoHyphens/>
        <w:kinsoku w:val="0"/>
        <w:overflowPunct w:val="0"/>
        <w:autoSpaceDE w:val="0"/>
        <w:autoSpaceDN w:val="0"/>
        <w:rPr>
          <w:b w:val="0"/>
          <w:i/>
          <w:snapToGrid w:val="0"/>
          <w:kern w:val="22"/>
          <w:szCs w:val="22"/>
          <w:lang w:val="fr-CA"/>
        </w:rPr>
      </w:pPr>
      <w:r>
        <w:rPr>
          <w:b w:val="0"/>
          <w:i/>
          <w:snapToGrid w:val="0"/>
          <w:kern w:val="22"/>
          <w:szCs w:val="22"/>
          <w:lang w:val="fr-CA"/>
        </w:rPr>
        <w:t>Note de la Secrétaire exécutive</w:t>
      </w:r>
    </w:p>
    <w:p w14:paraId="72B54FDC" w14:textId="2A9F905A" w:rsidR="00915E00" w:rsidRPr="00B33A50" w:rsidRDefault="00B33A50" w:rsidP="00915E00">
      <w:pPr>
        <w:pStyle w:val="Titre2"/>
        <w:suppressLineNumbers/>
        <w:suppressAutoHyphens/>
        <w:kinsoku w:val="0"/>
        <w:overflowPunct w:val="0"/>
        <w:autoSpaceDE w:val="0"/>
        <w:autoSpaceDN w:val="0"/>
        <w:rPr>
          <w:b w:val="0"/>
          <w:i/>
          <w:snapToGrid w:val="0"/>
          <w:kern w:val="22"/>
          <w:szCs w:val="22"/>
          <w:lang w:val="fr-CA"/>
        </w:rPr>
      </w:pPr>
      <w:r>
        <w:rPr>
          <w:caps/>
          <w:snapToGrid w:val="0"/>
          <w:kern w:val="22"/>
          <w:szCs w:val="22"/>
          <w:lang w:val="fr-CA"/>
        </w:rPr>
        <w:t>CONTEXTE</w:t>
      </w:r>
    </w:p>
    <w:p w14:paraId="30C5B158" w14:textId="7FE703DF" w:rsidR="00153ACA" w:rsidRPr="006F4DD6" w:rsidRDefault="001D60FB" w:rsidP="00BE58D1">
      <w:pPr>
        <w:pStyle w:val="Para10"/>
        <w:suppressLineNumbers/>
        <w:tabs>
          <w:tab w:val="clear" w:pos="360"/>
        </w:tabs>
        <w:suppressAutoHyphens/>
        <w:kinsoku w:val="0"/>
        <w:overflowPunct w:val="0"/>
        <w:autoSpaceDE w:val="0"/>
        <w:autoSpaceDN w:val="0"/>
        <w:rPr>
          <w:b/>
          <w:kern w:val="22"/>
          <w:szCs w:val="22"/>
          <w:lang w:val="fr-CA"/>
        </w:rPr>
      </w:pPr>
      <w:r w:rsidRPr="006F4DD6">
        <w:rPr>
          <w:kern w:val="22"/>
          <w:szCs w:val="22"/>
          <w:lang w:val="fr-CA"/>
        </w:rPr>
        <w:t>Au paragraphe 13 de la décision</w:t>
      </w:r>
      <w:r w:rsidR="00153ACA" w:rsidRPr="006F4DD6">
        <w:rPr>
          <w:kern w:val="22"/>
          <w:szCs w:val="22"/>
          <w:lang w:val="fr-CA"/>
        </w:rPr>
        <w:t xml:space="preserve"> </w:t>
      </w:r>
      <w:hyperlink r:id="rId11" w:history="1">
        <w:r w:rsidR="00153ACA" w:rsidRPr="006F4DD6">
          <w:rPr>
            <w:rStyle w:val="Lienhypertexte"/>
            <w:kern w:val="22"/>
            <w:szCs w:val="22"/>
            <w:lang w:val="fr-CA"/>
          </w:rPr>
          <w:t>14/5</w:t>
        </w:r>
      </w:hyperlink>
      <w:r w:rsidR="00BE58D1" w:rsidRPr="006F4DD6">
        <w:rPr>
          <w:kern w:val="22"/>
          <w:szCs w:val="22"/>
          <w:lang w:val="fr-CA"/>
        </w:rPr>
        <w:t xml:space="preserve">, </w:t>
      </w:r>
      <w:r w:rsidRPr="006F4DD6">
        <w:rPr>
          <w:kern w:val="22"/>
          <w:szCs w:val="22"/>
          <w:lang w:val="fr-CA"/>
        </w:rPr>
        <w:t xml:space="preserve">la Conférence des Parties prie la Secrétaire exécutive, </w:t>
      </w:r>
      <w:r w:rsidRPr="006F4DD6">
        <w:rPr>
          <w:lang w:val="fr-CA"/>
        </w:rPr>
        <w:t>en consultation avec le Groupe d</w:t>
      </w:r>
      <w:r w:rsidR="000B0632">
        <w:rPr>
          <w:lang w:val="fr-CA"/>
        </w:rPr>
        <w:t>’</w:t>
      </w:r>
      <w:r w:rsidRPr="006F4DD6">
        <w:rPr>
          <w:lang w:val="fr-CA"/>
        </w:rPr>
        <w:t>experts intergouvernemental sur l</w:t>
      </w:r>
      <w:r w:rsidR="000B0632">
        <w:rPr>
          <w:lang w:val="fr-CA"/>
        </w:rPr>
        <w:t>’</w:t>
      </w:r>
      <w:r w:rsidRPr="006F4DD6">
        <w:rPr>
          <w:lang w:val="fr-CA"/>
        </w:rPr>
        <w:t>évolution du climat, et dans la limite des ressourc</w:t>
      </w:r>
      <w:r w:rsidR="006F4DD6">
        <w:rPr>
          <w:lang w:val="fr-CA"/>
        </w:rPr>
        <w:t>es disponibles</w:t>
      </w:r>
      <w:r w:rsidR="000B0632">
        <w:rPr>
          <w:lang w:val="fr-CA"/>
        </w:rPr>
        <w:t> </w:t>
      </w:r>
      <w:r w:rsidR="00153ACA" w:rsidRPr="006F4DD6">
        <w:rPr>
          <w:kern w:val="22"/>
          <w:szCs w:val="22"/>
          <w:lang w:val="fr-CA"/>
        </w:rPr>
        <w:t>:</w:t>
      </w:r>
    </w:p>
    <w:p w14:paraId="2B3151B7" w14:textId="5FF3DD9F" w:rsidR="00153ACA" w:rsidRPr="006F4DD6" w:rsidRDefault="009D59FE" w:rsidP="002636C4">
      <w:pPr>
        <w:pStyle w:val="Para1"/>
        <w:numPr>
          <w:ilvl w:val="0"/>
          <w:numId w:val="34"/>
        </w:numPr>
        <w:suppressLineNumbers/>
        <w:suppressAutoHyphens/>
        <w:ind w:left="0" w:firstLine="720"/>
        <w:rPr>
          <w:rFonts w:cs="Times New Roman"/>
          <w:snapToGrid w:val="0"/>
          <w:kern w:val="22"/>
          <w:lang w:val="fr-CA"/>
        </w:rPr>
      </w:pPr>
      <w:r w:rsidRPr="006F4DD6">
        <w:rPr>
          <w:rFonts w:cs="Times New Roman"/>
          <w:lang w:val="fr-CA"/>
        </w:rPr>
        <w:t>D’e</w:t>
      </w:r>
      <w:r w:rsidR="001D60FB" w:rsidRPr="006F4DD6">
        <w:rPr>
          <w:rFonts w:cs="Times New Roman"/>
          <w:lang w:val="fr-CA"/>
        </w:rPr>
        <w:t>xaminer les nouvelles informations scientifiques et techniques, notamment en tenant compte des connaissances traditio</w:t>
      </w:r>
      <w:r w:rsidRPr="006F4DD6">
        <w:rPr>
          <w:rFonts w:cs="Times New Roman"/>
          <w:lang w:val="fr-CA"/>
        </w:rPr>
        <w:t xml:space="preserve">nnelles et des conclusions du </w:t>
      </w:r>
      <w:r w:rsidR="001D60FB" w:rsidRPr="006F4DD6">
        <w:rPr>
          <w:rFonts w:cs="Times New Roman"/>
          <w:lang w:val="fr-CA"/>
        </w:rPr>
        <w:t xml:space="preserve">rapport spécial du </w:t>
      </w:r>
      <w:proofErr w:type="spellStart"/>
      <w:r w:rsidR="001D60FB" w:rsidRPr="006F4DD6">
        <w:rPr>
          <w:rFonts w:cs="Times New Roman"/>
          <w:lang w:val="fr-CA"/>
        </w:rPr>
        <w:t>GIEC</w:t>
      </w:r>
      <w:proofErr w:type="spellEnd"/>
      <w:r w:rsidR="001D60FB" w:rsidRPr="006F4DD6">
        <w:rPr>
          <w:rFonts w:cs="Times New Roman"/>
          <w:lang w:val="fr-CA"/>
        </w:rPr>
        <w:t xml:space="preserve"> sur les effets du réchauffement planétaire de 1,5</w:t>
      </w:r>
      <w:r w:rsidR="00B72C78">
        <w:rPr>
          <w:rFonts w:cs="Times New Roman"/>
          <w:lang w:val="fr-CA"/>
        </w:rPr>
        <w:t>°C</w:t>
      </w:r>
      <w:r w:rsidR="001D60FB" w:rsidRPr="006F4DD6">
        <w:rPr>
          <w:rFonts w:cs="Times New Roman"/>
          <w:lang w:val="fr-CA"/>
        </w:rPr>
        <w:t xml:space="preserve"> au-dessus des niveaux préindustriels et les voies d</w:t>
      </w:r>
      <w:r w:rsidR="000B0632">
        <w:rPr>
          <w:rFonts w:cs="Times New Roman"/>
          <w:lang w:val="fr-CA"/>
        </w:rPr>
        <w:t>’</w:t>
      </w:r>
      <w:r w:rsidR="001D60FB" w:rsidRPr="006F4DD6">
        <w:rPr>
          <w:rFonts w:cs="Times New Roman"/>
          <w:lang w:val="fr-CA"/>
        </w:rPr>
        <w:t>émission de gaz à effet de serre connexes, dans le contexte du renforcement de la réponse mondiale à la menace du changement climatique, du développement durable et des effo</w:t>
      </w:r>
      <w:r w:rsidRPr="006F4DD6">
        <w:rPr>
          <w:rFonts w:cs="Times New Roman"/>
          <w:lang w:val="fr-CA"/>
        </w:rPr>
        <w:t>rts pour éradiquer la pauvreté,</w:t>
      </w:r>
      <w:r w:rsidR="001D60FB" w:rsidRPr="006F4DD6">
        <w:rPr>
          <w:rFonts w:cs="Times New Roman"/>
          <w:lang w:val="fr-CA"/>
        </w:rPr>
        <w:t xml:space="preserve"> concernant </w:t>
      </w:r>
      <w:r w:rsidR="00153ACA" w:rsidRPr="006F4DD6">
        <w:rPr>
          <w:rFonts w:cs="Times New Roman"/>
          <w:snapToGrid w:val="0"/>
          <w:kern w:val="22"/>
          <w:lang w:val="fr-CA"/>
        </w:rPr>
        <w:t>:</w:t>
      </w:r>
    </w:p>
    <w:p w14:paraId="1E189DAB" w14:textId="42CD9187" w:rsidR="00153ACA" w:rsidRPr="006F4DD6" w:rsidRDefault="001D60FB" w:rsidP="001D60FB">
      <w:pPr>
        <w:pStyle w:val="Para1"/>
        <w:numPr>
          <w:ilvl w:val="0"/>
          <w:numId w:val="11"/>
        </w:numPr>
        <w:suppressLineNumbers/>
        <w:suppressAutoHyphens/>
        <w:ind w:left="2160" w:hanging="720"/>
        <w:rPr>
          <w:rFonts w:cs="Times New Roman"/>
          <w:snapToGrid w:val="0"/>
          <w:kern w:val="22"/>
          <w:lang w:val="fr-CA"/>
        </w:rPr>
      </w:pPr>
      <w:r w:rsidRPr="006F4DD6">
        <w:rPr>
          <w:rFonts w:cs="Times New Roman"/>
          <w:lang w:val="fr-CA"/>
        </w:rPr>
        <w:t>les impacts des changements climatiques sur la diversité biologique</w:t>
      </w:r>
      <w:r w:rsidR="009D59FE" w:rsidRPr="006F4DD6">
        <w:rPr>
          <w:rFonts w:cs="Times New Roman"/>
          <w:lang w:val="fr-CA"/>
        </w:rPr>
        <w:t xml:space="preserve"> et les communautés qui dépendent des services et fonctions écosystémiques, notamment les peuples autochtones et les communautés locales</w:t>
      </w:r>
      <w:r w:rsidR="00D71FB2">
        <w:rPr>
          <w:rFonts w:cs="Times New Roman"/>
          <w:lang w:val="fr-CA"/>
        </w:rPr>
        <w:t>;</w:t>
      </w:r>
    </w:p>
    <w:p w14:paraId="316567D6" w14:textId="438544F5" w:rsidR="00153ACA" w:rsidRPr="006F4DD6" w:rsidRDefault="001D60FB" w:rsidP="001D60FB">
      <w:pPr>
        <w:pStyle w:val="Para1"/>
        <w:numPr>
          <w:ilvl w:val="0"/>
          <w:numId w:val="11"/>
        </w:numPr>
        <w:suppressLineNumbers/>
        <w:suppressAutoHyphens/>
        <w:ind w:left="2160" w:hanging="720"/>
        <w:rPr>
          <w:rFonts w:cs="Times New Roman"/>
          <w:snapToGrid w:val="0"/>
          <w:kern w:val="22"/>
          <w:lang w:val="fr-CA"/>
        </w:rPr>
      </w:pPr>
      <w:r w:rsidRPr="006F4DD6">
        <w:rPr>
          <w:rFonts w:cs="Times New Roman"/>
          <w:lang w:val="fr-CA"/>
        </w:rPr>
        <w:t xml:space="preserve">le rôle </w:t>
      </w:r>
      <w:r w:rsidR="002636C4" w:rsidRPr="006F4DD6">
        <w:rPr>
          <w:rFonts w:cs="Times New Roman"/>
          <w:lang w:val="fr-CA"/>
        </w:rPr>
        <w:t xml:space="preserve">et l’intégrité des </w:t>
      </w:r>
      <w:r w:rsidRPr="006F4DD6">
        <w:rPr>
          <w:rFonts w:cs="Times New Roman"/>
          <w:lang w:val="fr-CA"/>
        </w:rPr>
        <w:t xml:space="preserve">écosystèmes dans l’atténuation des changements climatiques </w:t>
      </w:r>
      <w:r w:rsidR="006F4DD6">
        <w:rPr>
          <w:rFonts w:cs="Times New Roman"/>
          <w:lang w:val="fr-CA"/>
        </w:rPr>
        <w:t xml:space="preserve">et l’adaptation à ceux-ci </w:t>
      </w:r>
      <w:r w:rsidRPr="006F4DD6">
        <w:rPr>
          <w:rFonts w:cs="Times New Roman"/>
          <w:lang w:val="fr-CA"/>
        </w:rPr>
        <w:t>et la réduction des risques de catastrophe, et la restauration des écosystèmes et la gestion durable des terres</w:t>
      </w:r>
      <w:r w:rsidR="00D71FB2">
        <w:rPr>
          <w:rFonts w:cs="Times New Roman"/>
          <w:lang w:val="fr-CA"/>
        </w:rPr>
        <w:t>;</w:t>
      </w:r>
    </w:p>
    <w:p w14:paraId="1A4D57DC" w14:textId="7AD4FF18" w:rsidR="00BE58D1" w:rsidRPr="006F4DD6" w:rsidRDefault="009D59FE" w:rsidP="002636C4">
      <w:pPr>
        <w:pStyle w:val="Para1"/>
        <w:numPr>
          <w:ilvl w:val="0"/>
          <w:numId w:val="34"/>
        </w:numPr>
        <w:suppressLineNumbers/>
        <w:suppressAutoHyphens/>
        <w:ind w:left="0" w:firstLine="720"/>
        <w:rPr>
          <w:rFonts w:cs="Times New Roman"/>
          <w:snapToGrid w:val="0"/>
          <w:kern w:val="22"/>
          <w:lang w:val="fr-CA"/>
        </w:rPr>
      </w:pPr>
      <w:r w:rsidRPr="006F4DD6">
        <w:rPr>
          <w:rFonts w:cs="Times New Roman"/>
          <w:lang w:val="fr-CA"/>
        </w:rPr>
        <w:t>D’é</w:t>
      </w:r>
      <w:r w:rsidR="001D60FB" w:rsidRPr="006F4DD6">
        <w:rPr>
          <w:rFonts w:cs="Times New Roman"/>
          <w:lang w:val="fr-CA"/>
        </w:rPr>
        <w:t>tablir un rapport sur les conséquences potentielles de ce qui précède pour les travaux de la Convention, aux fins d’examen par l’Organe subsidiaire chargé de fournir des avis scientifiques, techniques et technologiques à une réunion qui se tiendra avant la quinzième réunion de la Conférence des Partie</w:t>
      </w:r>
      <w:r w:rsidR="002636C4" w:rsidRPr="006F4DD6">
        <w:rPr>
          <w:rFonts w:cs="Times New Roman"/>
          <w:lang w:val="fr-CA"/>
        </w:rPr>
        <w:t>s</w:t>
      </w:r>
      <w:r w:rsidR="00D71FB2">
        <w:rPr>
          <w:rFonts w:cs="Times New Roman"/>
          <w:lang w:val="fr-CA"/>
        </w:rPr>
        <w:t>;</w:t>
      </w:r>
    </w:p>
    <w:p w14:paraId="2430419B" w14:textId="027B02B7" w:rsidR="00A838F3" w:rsidRPr="006F4DD6" w:rsidRDefault="009D59FE" w:rsidP="002636C4">
      <w:pPr>
        <w:pStyle w:val="Para1"/>
        <w:numPr>
          <w:ilvl w:val="0"/>
          <w:numId w:val="34"/>
        </w:numPr>
        <w:suppressLineNumbers/>
        <w:suppressAutoHyphens/>
        <w:ind w:left="0" w:firstLine="720"/>
        <w:rPr>
          <w:rFonts w:cs="Times New Roman"/>
          <w:snapToGrid w:val="0"/>
          <w:kern w:val="22"/>
          <w:lang w:val="fr-CA"/>
        </w:rPr>
      </w:pPr>
      <w:r w:rsidRPr="006F4DD6">
        <w:rPr>
          <w:rFonts w:cs="Times New Roman"/>
          <w:lang w:val="fr-CA"/>
        </w:rPr>
        <w:t>D’é</w:t>
      </w:r>
      <w:r w:rsidR="001D60FB" w:rsidRPr="006F4DD6">
        <w:rPr>
          <w:rFonts w:cs="Times New Roman"/>
          <w:lang w:val="fr-CA"/>
        </w:rPr>
        <w:t>laborer un message ciblé sur la façon dont l’intégrité, les fonctions et les services de la diversité biologique et des écosystèmes contribuent à relever les défis que posent les changements climatiques</w:t>
      </w:r>
      <w:r w:rsidR="00BE58D1" w:rsidRPr="006F4DD6">
        <w:rPr>
          <w:rFonts w:cs="Times New Roman"/>
          <w:snapToGrid w:val="0"/>
          <w:kern w:val="22"/>
          <w:lang w:val="fr-CA"/>
        </w:rPr>
        <w:t>.</w:t>
      </w:r>
    </w:p>
    <w:p w14:paraId="1C48900B" w14:textId="582F6728" w:rsidR="001011CD" w:rsidRPr="006F4DD6" w:rsidRDefault="002636C4" w:rsidP="00A838F3">
      <w:pPr>
        <w:pStyle w:val="Para10"/>
        <w:suppressLineNumbers/>
        <w:tabs>
          <w:tab w:val="clear" w:pos="360"/>
        </w:tabs>
        <w:suppressAutoHyphens/>
        <w:kinsoku w:val="0"/>
        <w:overflowPunct w:val="0"/>
        <w:autoSpaceDE w:val="0"/>
        <w:autoSpaceDN w:val="0"/>
        <w:rPr>
          <w:kern w:val="22"/>
          <w:szCs w:val="22"/>
          <w:lang w:val="fr-CA"/>
        </w:rPr>
      </w:pPr>
      <w:r w:rsidRPr="006F4DD6">
        <w:rPr>
          <w:kern w:val="22"/>
          <w:szCs w:val="22"/>
          <w:lang w:val="fr-CA"/>
        </w:rPr>
        <w:t>Le Secrétariat a préparé le présent rapport en réponse à cette demande. Il contient un sommaire des princip</w:t>
      </w:r>
      <w:r w:rsidR="00875673">
        <w:rPr>
          <w:kern w:val="22"/>
          <w:szCs w:val="22"/>
          <w:lang w:val="fr-CA"/>
        </w:rPr>
        <w:t>al</w:t>
      </w:r>
      <w:r w:rsidRPr="006F4DD6">
        <w:rPr>
          <w:kern w:val="22"/>
          <w:szCs w:val="22"/>
          <w:lang w:val="fr-CA"/>
        </w:rPr>
        <w:t>es conclusions de l’examen des nouveaux renseigneme</w:t>
      </w:r>
      <w:r w:rsidR="00535AE7" w:rsidRPr="006F4DD6">
        <w:rPr>
          <w:kern w:val="22"/>
          <w:szCs w:val="22"/>
          <w:lang w:val="fr-CA"/>
        </w:rPr>
        <w:t>nt</w:t>
      </w:r>
      <w:r w:rsidRPr="006F4DD6">
        <w:rPr>
          <w:kern w:val="22"/>
          <w:szCs w:val="22"/>
          <w:lang w:val="fr-CA"/>
        </w:rPr>
        <w:t xml:space="preserve">s scientifiques et techniques sur la diversité biologique et les changements climatiques, et de </w:t>
      </w:r>
      <w:r w:rsidR="002C7245">
        <w:rPr>
          <w:kern w:val="22"/>
          <w:szCs w:val="22"/>
          <w:lang w:val="fr-CA"/>
        </w:rPr>
        <w:t>leurs</w:t>
      </w:r>
      <w:r w:rsidRPr="006F4DD6">
        <w:rPr>
          <w:kern w:val="22"/>
          <w:szCs w:val="22"/>
          <w:lang w:val="fr-CA"/>
        </w:rPr>
        <w:t xml:space="preserve"> conséquences sur les travaux de la Convention. Une analyse plus détaillée faisa</w:t>
      </w:r>
      <w:r w:rsidR="00875673">
        <w:rPr>
          <w:kern w:val="22"/>
          <w:szCs w:val="22"/>
          <w:lang w:val="fr-CA"/>
        </w:rPr>
        <w:t xml:space="preserve">nt référence aux </w:t>
      </w:r>
      <w:r w:rsidRPr="006F4DD6">
        <w:rPr>
          <w:kern w:val="22"/>
          <w:szCs w:val="22"/>
          <w:lang w:val="fr-CA"/>
        </w:rPr>
        <w:t xml:space="preserve">évaluations et autres documents est présentée dans le document </w:t>
      </w:r>
      <w:r w:rsidR="00A838F3" w:rsidRPr="006F4DD6">
        <w:rPr>
          <w:kern w:val="22"/>
          <w:szCs w:val="22"/>
          <w:lang w:val="fr-CA"/>
        </w:rPr>
        <w:t>CBD/</w:t>
      </w:r>
      <w:proofErr w:type="spellStart"/>
      <w:r w:rsidR="00A838F3" w:rsidRPr="006F4DD6">
        <w:rPr>
          <w:kern w:val="22"/>
          <w:szCs w:val="22"/>
          <w:lang w:val="fr-CA"/>
        </w:rPr>
        <w:t>SBSTTA</w:t>
      </w:r>
      <w:proofErr w:type="spellEnd"/>
      <w:r w:rsidR="00A838F3" w:rsidRPr="006F4DD6">
        <w:rPr>
          <w:kern w:val="22"/>
          <w:szCs w:val="22"/>
          <w:lang w:val="fr-CA"/>
        </w:rPr>
        <w:t>/23/</w:t>
      </w:r>
      <w:proofErr w:type="spellStart"/>
      <w:r w:rsidR="00A838F3" w:rsidRPr="006F4DD6">
        <w:rPr>
          <w:kern w:val="22"/>
          <w:szCs w:val="22"/>
          <w:lang w:val="fr-CA"/>
        </w:rPr>
        <w:t>INF</w:t>
      </w:r>
      <w:proofErr w:type="spellEnd"/>
      <w:r w:rsidR="00A838F3" w:rsidRPr="006F4DD6">
        <w:rPr>
          <w:kern w:val="22"/>
          <w:szCs w:val="22"/>
          <w:lang w:val="fr-CA"/>
        </w:rPr>
        <w:t>/</w:t>
      </w:r>
      <w:r w:rsidR="00D211FF" w:rsidRPr="006F4DD6">
        <w:rPr>
          <w:kern w:val="22"/>
          <w:szCs w:val="22"/>
          <w:lang w:val="fr-CA"/>
        </w:rPr>
        <w:t>1</w:t>
      </w:r>
      <w:r w:rsidR="00A838F3" w:rsidRPr="006F4DD6">
        <w:rPr>
          <w:kern w:val="22"/>
          <w:szCs w:val="22"/>
          <w:lang w:val="fr-CA"/>
        </w:rPr>
        <w:t>.</w:t>
      </w:r>
    </w:p>
    <w:p w14:paraId="2C05BCD1" w14:textId="42D412F7" w:rsidR="00A61444" w:rsidRPr="006F4DD6" w:rsidRDefault="00535AE7" w:rsidP="00DB5313">
      <w:pPr>
        <w:pStyle w:val="Para10"/>
        <w:suppressLineNumbers/>
        <w:tabs>
          <w:tab w:val="clear" w:pos="360"/>
        </w:tabs>
        <w:suppressAutoHyphens/>
        <w:kinsoku w:val="0"/>
        <w:overflowPunct w:val="0"/>
        <w:autoSpaceDE w:val="0"/>
        <w:autoSpaceDN w:val="0"/>
        <w:rPr>
          <w:kern w:val="22"/>
          <w:szCs w:val="22"/>
          <w:lang w:val="fr-CA"/>
        </w:rPr>
      </w:pPr>
      <w:r w:rsidRPr="006F4DD6">
        <w:rPr>
          <w:kern w:val="22"/>
          <w:szCs w:val="22"/>
          <w:lang w:val="fr-CA"/>
        </w:rPr>
        <w:lastRenderedPageBreak/>
        <w:t xml:space="preserve">La première partie du présent rapport répond au paragraphe 13 a) de la décision 14/5 et présente d’importants messages de l’examen des nouveaux renseignements scientifiques et techniques. Les cinq principales évaluations récentes </w:t>
      </w:r>
      <w:r w:rsidR="00875673">
        <w:rPr>
          <w:kern w:val="22"/>
          <w:szCs w:val="22"/>
          <w:lang w:val="fr-CA"/>
        </w:rPr>
        <w:t>ci-dessous</w:t>
      </w:r>
      <w:r w:rsidRPr="006F4DD6">
        <w:rPr>
          <w:kern w:val="22"/>
          <w:szCs w:val="22"/>
          <w:lang w:val="fr-CA"/>
        </w:rPr>
        <w:t xml:space="preserve"> ont été analysées</w:t>
      </w:r>
      <w:r w:rsidR="000B0632">
        <w:rPr>
          <w:kern w:val="22"/>
          <w:szCs w:val="22"/>
          <w:lang w:val="fr-CA"/>
        </w:rPr>
        <w:t> </w:t>
      </w:r>
      <w:r w:rsidR="00F30E21" w:rsidRPr="006F4DD6">
        <w:rPr>
          <w:kern w:val="22"/>
          <w:szCs w:val="22"/>
          <w:lang w:val="fr-CA"/>
        </w:rPr>
        <w:t>:</w:t>
      </w:r>
    </w:p>
    <w:p w14:paraId="225BD682" w14:textId="3D95488C" w:rsidR="00BE66B1" w:rsidRPr="006F4DD6" w:rsidRDefault="00020134" w:rsidP="00535AE7">
      <w:pPr>
        <w:pStyle w:val="Notedebasdepage"/>
        <w:keepLines w:val="0"/>
        <w:numPr>
          <w:ilvl w:val="1"/>
          <w:numId w:val="12"/>
        </w:numPr>
        <w:spacing w:before="120" w:after="120"/>
        <w:rPr>
          <w:snapToGrid w:val="0"/>
          <w:kern w:val="22"/>
          <w:sz w:val="22"/>
          <w:szCs w:val="22"/>
          <w:lang w:val="fr-CA"/>
        </w:rPr>
      </w:pPr>
      <w:r w:rsidRPr="002B3ED7">
        <w:rPr>
          <w:i/>
          <w:sz w:val="22"/>
          <w:szCs w:val="22"/>
          <w:lang w:val="fr-CA"/>
        </w:rPr>
        <w:t xml:space="preserve">Rapport spécial du </w:t>
      </w:r>
      <w:proofErr w:type="spellStart"/>
      <w:r w:rsidRPr="002B3ED7">
        <w:rPr>
          <w:i/>
          <w:sz w:val="22"/>
          <w:szCs w:val="22"/>
          <w:lang w:val="fr-CA"/>
        </w:rPr>
        <w:t>GIEC</w:t>
      </w:r>
      <w:proofErr w:type="spellEnd"/>
      <w:r w:rsidRPr="002B3ED7">
        <w:rPr>
          <w:i/>
          <w:sz w:val="22"/>
          <w:szCs w:val="22"/>
          <w:lang w:val="fr-CA"/>
        </w:rPr>
        <w:t xml:space="preserve"> sur les effets du réchauffement planétaire de 1,5°C au-dessus des niveaux préindustriels et les voies d</w:t>
      </w:r>
      <w:r w:rsidR="000B0632">
        <w:rPr>
          <w:i/>
          <w:sz w:val="22"/>
          <w:szCs w:val="22"/>
          <w:lang w:val="fr-CA"/>
        </w:rPr>
        <w:t>’</w:t>
      </w:r>
      <w:r w:rsidRPr="002B3ED7">
        <w:rPr>
          <w:i/>
          <w:sz w:val="22"/>
          <w:szCs w:val="22"/>
          <w:lang w:val="fr-CA"/>
        </w:rPr>
        <w:t>émission de gaz à effet de serre connexes, dans le contexte du renforcement de la réponse mondiale à la menace du changement climatique, du développement durable et des efforts pour éradiquer la pauvreté</w:t>
      </w:r>
      <w:r w:rsidR="00BE66B1" w:rsidRPr="006F4DD6">
        <w:rPr>
          <w:kern w:val="22"/>
          <w:sz w:val="22"/>
          <w:szCs w:val="22"/>
          <w:lang w:val="fr-CA"/>
        </w:rPr>
        <w:t>.</w:t>
      </w:r>
      <w:r w:rsidR="002B3ED7" w:rsidRPr="002E22F1">
        <w:rPr>
          <w:rStyle w:val="Appelnotedebasdep"/>
          <w:kern w:val="22"/>
          <w:sz w:val="22"/>
          <w:szCs w:val="22"/>
          <w:u w:val="none"/>
          <w:vertAlign w:val="superscript"/>
        </w:rPr>
        <w:footnoteReference w:id="2"/>
      </w:r>
      <w:r w:rsidR="00BE66B1" w:rsidRPr="006F4DD6">
        <w:rPr>
          <w:kern w:val="22"/>
          <w:sz w:val="22"/>
          <w:szCs w:val="22"/>
          <w:lang w:val="fr-CA"/>
        </w:rPr>
        <w:t xml:space="preserve"> </w:t>
      </w:r>
      <w:r w:rsidRPr="006F4DD6">
        <w:rPr>
          <w:kern w:val="22"/>
          <w:sz w:val="22"/>
          <w:szCs w:val="22"/>
          <w:lang w:val="fr-CA"/>
        </w:rPr>
        <w:t xml:space="preserve">Le rapport fournit </w:t>
      </w:r>
      <w:r w:rsidR="002D5040">
        <w:rPr>
          <w:kern w:val="22"/>
          <w:sz w:val="22"/>
          <w:szCs w:val="22"/>
          <w:lang w:val="fr-CA"/>
        </w:rPr>
        <w:t>des renseignements</w:t>
      </w:r>
      <w:r w:rsidR="0064547B" w:rsidRPr="006F4DD6">
        <w:rPr>
          <w:kern w:val="22"/>
          <w:sz w:val="22"/>
          <w:szCs w:val="22"/>
          <w:lang w:val="fr-CA"/>
        </w:rPr>
        <w:t xml:space="preserve"> su</w:t>
      </w:r>
      <w:r w:rsidR="002D5040">
        <w:rPr>
          <w:kern w:val="22"/>
          <w:sz w:val="22"/>
          <w:szCs w:val="22"/>
          <w:lang w:val="fr-CA"/>
        </w:rPr>
        <w:t>r</w:t>
      </w:r>
      <w:r w:rsidRPr="006F4DD6">
        <w:rPr>
          <w:kern w:val="22"/>
          <w:sz w:val="22"/>
          <w:szCs w:val="22"/>
          <w:lang w:val="fr-CA"/>
        </w:rPr>
        <w:t xml:space="preserve"> les changements climatiques </w:t>
      </w:r>
      <w:r w:rsidR="0009179E">
        <w:rPr>
          <w:kern w:val="22"/>
          <w:sz w:val="22"/>
          <w:szCs w:val="22"/>
          <w:lang w:val="fr-CA"/>
        </w:rPr>
        <w:t>prévus</w:t>
      </w:r>
      <w:r w:rsidRPr="006F4DD6">
        <w:rPr>
          <w:kern w:val="22"/>
          <w:sz w:val="22"/>
          <w:szCs w:val="22"/>
          <w:lang w:val="fr-CA"/>
        </w:rPr>
        <w:t xml:space="preserve"> et les</w:t>
      </w:r>
      <w:r w:rsidR="0064547B" w:rsidRPr="006F4DD6">
        <w:rPr>
          <w:kern w:val="22"/>
          <w:sz w:val="22"/>
          <w:szCs w:val="22"/>
          <w:lang w:val="fr-CA"/>
        </w:rPr>
        <w:t xml:space="preserve"> </w:t>
      </w:r>
      <w:r w:rsidRPr="006F4DD6">
        <w:rPr>
          <w:kern w:val="22"/>
          <w:sz w:val="22"/>
          <w:szCs w:val="22"/>
          <w:lang w:val="fr-CA"/>
        </w:rPr>
        <w:t xml:space="preserve">impacts et </w:t>
      </w:r>
      <w:r w:rsidR="0064547B" w:rsidRPr="006F4DD6">
        <w:rPr>
          <w:kern w:val="22"/>
          <w:sz w:val="22"/>
          <w:szCs w:val="22"/>
          <w:lang w:val="fr-CA"/>
        </w:rPr>
        <w:t>d</w:t>
      </w:r>
      <w:r w:rsidRPr="006F4DD6">
        <w:rPr>
          <w:kern w:val="22"/>
          <w:sz w:val="22"/>
          <w:szCs w:val="22"/>
          <w:lang w:val="fr-CA"/>
        </w:rPr>
        <w:t>angers potentiel</w:t>
      </w:r>
      <w:r w:rsidR="000B0632">
        <w:rPr>
          <w:kern w:val="22"/>
          <w:sz w:val="22"/>
          <w:szCs w:val="22"/>
          <w:lang w:val="fr-CA"/>
        </w:rPr>
        <w:t>s</w:t>
      </w:r>
      <w:r w:rsidRPr="006F4DD6">
        <w:rPr>
          <w:kern w:val="22"/>
          <w:sz w:val="22"/>
          <w:szCs w:val="22"/>
          <w:lang w:val="fr-CA"/>
        </w:rPr>
        <w:t xml:space="preserve"> associés</w:t>
      </w:r>
      <w:r w:rsidR="00D71FB2">
        <w:rPr>
          <w:kern w:val="22"/>
          <w:sz w:val="22"/>
          <w:szCs w:val="22"/>
          <w:lang w:val="fr-CA"/>
        </w:rPr>
        <w:t>;</w:t>
      </w:r>
      <w:r w:rsidRPr="006F4DD6">
        <w:rPr>
          <w:kern w:val="22"/>
          <w:sz w:val="22"/>
          <w:szCs w:val="22"/>
          <w:lang w:val="fr-CA"/>
        </w:rPr>
        <w:t xml:space="preserve"> les voies d’</w:t>
      </w:r>
      <w:r w:rsidR="0064547B" w:rsidRPr="006F4DD6">
        <w:rPr>
          <w:kern w:val="22"/>
          <w:sz w:val="22"/>
          <w:szCs w:val="22"/>
          <w:lang w:val="fr-CA"/>
        </w:rPr>
        <w:t>émission et les transitions de</w:t>
      </w:r>
      <w:r w:rsidRPr="006F4DD6">
        <w:rPr>
          <w:kern w:val="22"/>
          <w:sz w:val="22"/>
          <w:szCs w:val="22"/>
          <w:lang w:val="fr-CA"/>
        </w:rPr>
        <w:t>s</w:t>
      </w:r>
      <w:r w:rsidR="0064547B" w:rsidRPr="006F4DD6">
        <w:rPr>
          <w:kern w:val="22"/>
          <w:sz w:val="22"/>
          <w:szCs w:val="22"/>
          <w:lang w:val="fr-CA"/>
        </w:rPr>
        <w:t xml:space="preserve"> </w:t>
      </w:r>
      <w:r w:rsidRPr="006F4DD6">
        <w:rPr>
          <w:kern w:val="22"/>
          <w:sz w:val="22"/>
          <w:szCs w:val="22"/>
          <w:lang w:val="fr-CA"/>
        </w:rPr>
        <w:t>systèmes correspondant</w:t>
      </w:r>
      <w:r w:rsidR="00D71FB2">
        <w:rPr>
          <w:kern w:val="22"/>
          <w:sz w:val="22"/>
          <w:szCs w:val="22"/>
          <w:lang w:val="fr-CA"/>
        </w:rPr>
        <w:t>s</w:t>
      </w:r>
      <w:r w:rsidRPr="006F4DD6">
        <w:rPr>
          <w:kern w:val="22"/>
          <w:sz w:val="22"/>
          <w:szCs w:val="22"/>
          <w:lang w:val="fr-CA"/>
        </w:rPr>
        <w:t xml:space="preserve"> à un réchauffement planétaire de 1,5</w:t>
      </w:r>
      <w:r w:rsidR="0064547B" w:rsidRPr="006F4DD6">
        <w:rPr>
          <w:kern w:val="22"/>
          <w:sz w:val="22"/>
          <w:szCs w:val="22"/>
          <w:lang w:val="fr-CA"/>
        </w:rPr>
        <w:t>°C, et sur le renforcement de la réponse mondiale dans un contexte de développement durable</w:t>
      </w:r>
      <w:r w:rsidR="002D5040">
        <w:rPr>
          <w:kern w:val="22"/>
          <w:sz w:val="22"/>
          <w:szCs w:val="22"/>
          <w:lang w:val="fr-CA"/>
        </w:rPr>
        <w:t xml:space="preserve"> et des efforts pour éradiquer la pauvreté</w:t>
      </w:r>
      <w:r w:rsidR="00D71FB2">
        <w:rPr>
          <w:kern w:val="22"/>
          <w:sz w:val="22"/>
          <w:szCs w:val="22"/>
          <w:lang w:val="fr-CA"/>
        </w:rPr>
        <w:t>;</w:t>
      </w:r>
    </w:p>
    <w:p w14:paraId="38410ECC" w14:textId="439218D9" w:rsidR="00BE66B1" w:rsidRPr="006F4DD6" w:rsidRDefault="005B383F" w:rsidP="006924CD">
      <w:pPr>
        <w:pStyle w:val="Notedebasdepage"/>
        <w:keepLines w:val="0"/>
        <w:numPr>
          <w:ilvl w:val="1"/>
          <w:numId w:val="12"/>
        </w:numPr>
        <w:spacing w:before="120" w:after="120"/>
        <w:rPr>
          <w:snapToGrid w:val="0"/>
          <w:kern w:val="22"/>
          <w:sz w:val="22"/>
          <w:szCs w:val="22"/>
          <w:lang w:val="fr-CA"/>
        </w:rPr>
      </w:pPr>
      <w:r w:rsidRPr="004E279F">
        <w:rPr>
          <w:i/>
          <w:kern w:val="22"/>
          <w:sz w:val="22"/>
          <w:szCs w:val="22"/>
          <w:lang w:val="fr-CA"/>
        </w:rPr>
        <w:t xml:space="preserve">Rapport spécial du </w:t>
      </w:r>
      <w:proofErr w:type="spellStart"/>
      <w:r w:rsidRPr="004E279F">
        <w:rPr>
          <w:i/>
          <w:kern w:val="22"/>
          <w:sz w:val="22"/>
          <w:szCs w:val="22"/>
          <w:lang w:val="fr-CA"/>
        </w:rPr>
        <w:t>GIEC</w:t>
      </w:r>
      <w:proofErr w:type="spellEnd"/>
      <w:r w:rsidRPr="004E279F">
        <w:rPr>
          <w:i/>
          <w:kern w:val="22"/>
          <w:sz w:val="22"/>
          <w:szCs w:val="22"/>
          <w:lang w:val="fr-CA"/>
        </w:rPr>
        <w:t xml:space="preserve"> Océan et </w:t>
      </w:r>
      <w:proofErr w:type="spellStart"/>
      <w:r w:rsidRPr="004E279F">
        <w:rPr>
          <w:i/>
          <w:kern w:val="22"/>
          <w:sz w:val="22"/>
          <w:szCs w:val="22"/>
          <w:lang w:val="fr-CA"/>
        </w:rPr>
        <w:t>cryosphère</w:t>
      </w:r>
      <w:proofErr w:type="spellEnd"/>
      <w:r w:rsidR="009A3421" w:rsidRPr="004E279F">
        <w:rPr>
          <w:i/>
          <w:kern w:val="22"/>
          <w:sz w:val="22"/>
          <w:szCs w:val="22"/>
          <w:lang w:val="fr-CA"/>
        </w:rPr>
        <w:t xml:space="preserve"> dans le contexte du changement climatique</w:t>
      </w:r>
      <w:r w:rsidR="00D211FF" w:rsidRPr="006F4DD6">
        <w:rPr>
          <w:b/>
          <w:kern w:val="22"/>
          <w:sz w:val="22"/>
          <w:szCs w:val="22"/>
          <w:lang w:val="fr-CA"/>
        </w:rPr>
        <w:t>.</w:t>
      </w:r>
      <w:r w:rsidR="00BE66B1" w:rsidRPr="006F4DD6">
        <w:rPr>
          <w:rStyle w:val="Appelnotedebasdep"/>
          <w:b/>
          <w:kern w:val="22"/>
          <w:szCs w:val="22"/>
          <w:u w:val="none"/>
          <w:vertAlign w:val="superscript"/>
          <w:lang w:val="fr-CA"/>
        </w:rPr>
        <w:footnoteReference w:id="3"/>
      </w:r>
      <w:r w:rsidR="00BE66B1" w:rsidRPr="006F4DD6">
        <w:rPr>
          <w:kern w:val="22"/>
          <w:sz w:val="22"/>
          <w:szCs w:val="22"/>
          <w:lang w:val="fr-CA"/>
        </w:rPr>
        <w:t xml:space="preserve"> </w:t>
      </w:r>
      <w:r w:rsidRPr="006F4DD6">
        <w:rPr>
          <w:kern w:val="22"/>
          <w:sz w:val="22"/>
          <w:szCs w:val="22"/>
          <w:lang w:val="fr-CA"/>
        </w:rPr>
        <w:t xml:space="preserve">Ce rapport fournit </w:t>
      </w:r>
      <w:r w:rsidR="002D5040">
        <w:rPr>
          <w:kern w:val="22"/>
          <w:sz w:val="22"/>
          <w:szCs w:val="22"/>
          <w:lang w:val="fr-CA"/>
        </w:rPr>
        <w:t>des renseignements</w:t>
      </w:r>
      <w:r w:rsidRPr="006F4DD6">
        <w:rPr>
          <w:kern w:val="22"/>
          <w:sz w:val="22"/>
          <w:szCs w:val="22"/>
          <w:lang w:val="fr-CA"/>
        </w:rPr>
        <w:t xml:space="preserve"> sur les aires de </w:t>
      </w:r>
      <w:r w:rsidR="009A3421" w:rsidRPr="006F4DD6">
        <w:rPr>
          <w:kern w:val="22"/>
          <w:sz w:val="22"/>
          <w:szCs w:val="22"/>
          <w:lang w:val="fr-CA"/>
        </w:rPr>
        <w:t>h</w:t>
      </w:r>
      <w:r w:rsidR="008F09B9" w:rsidRPr="006F4DD6">
        <w:rPr>
          <w:kern w:val="22"/>
          <w:sz w:val="22"/>
          <w:szCs w:val="22"/>
          <w:lang w:val="fr-CA"/>
        </w:rPr>
        <w:t>aute montagne, les régions polai</w:t>
      </w:r>
      <w:r w:rsidR="009A3421" w:rsidRPr="006F4DD6">
        <w:rPr>
          <w:kern w:val="22"/>
          <w:sz w:val="22"/>
          <w:szCs w:val="22"/>
          <w:lang w:val="fr-CA"/>
        </w:rPr>
        <w:t>res, l’élévation du niveau de la mer et les conséquences pour les zones de faible altitude, les côtes et les communautés, les écosyst</w:t>
      </w:r>
      <w:r w:rsidR="008F09B9" w:rsidRPr="006F4DD6">
        <w:rPr>
          <w:kern w:val="22"/>
          <w:sz w:val="22"/>
          <w:szCs w:val="22"/>
          <w:lang w:val="fr-CA"/>
        </w:rPr>
        <w:t>è</w:t>
      </w:r>
      <w:r w:rsidR="009A3421" w:rsidRPr="006F4DD6">
        <w:rPr>
          <w:kern w:val="22"/>
          <w:sz w:val="22"/>
          <w:szCs w:val="22"/>
          <w:lang w:val="fr-CA"/>
        </w:rPr>
        <w:t>mes océaniques et marin</w:t>
      </w:r>
      <w:r w:rsidR="0009179E">
        <w:rPr>
          <w:kern w:val="22"/>
          <w:sz w:val="22"/>
          <w:szCs w:val="22"/>
          <w:lang w:val="fr-CA"/>
        </w:rPr>
        <w:t>s</w:t>
      </w:r>
      <w:r w:rsidR="009A3421" w:rsidRPr="006F4DD6">
        <w:rPr>
          <w:kern w:val="22"/>
          <w:sz w:val="22"/>
          <w:szCs w:val="22"/>
          <w:lang w:val="fr-CA"/>
        </w:rPr>
        <w:t xml:space="preserve"> en évolution et les commu</w:t>
      </w:r>
      <w:r w:rsidR="008F09B9" w:rsidRPr="006F4DD6">
        <w:rPr>
          <w:kern w:val="22"/>
          <w:sz w:val="22"/>
          <w:szCs w:val="22"/>
          <w:lang w:val="fr-CA"/>
        </w:rPr>
        <w:t>n</w:t>
      </w:r>
      <w:r w:rsidR="009A3421" w:rsidRPr="006F4DD6">
        <w:rPr>
          <w:kern w:val="22"/>
          <w:sz w:val="22"/>
          <w:szCs w:val="22"/>
          <w:lang w:val="fr-CA"/>
        </w:rPr>
        <w:t xml:space="preserve">autés qui en dépendent, les changements soudains et extrêmes </w:t>
      </w:r>
      <w:r w:rsidR="00E20897">
        <w:rPr>
          <w:kern w:val="22"/>
          <w:sz w:val="22"/>
          <w:szCs w:val="22"/>
          <w:lang w:val="fr-CA"/>
        </w:rPr>
        <w:t>et</w:t>
      </w:r>
      <w:r w:rsidR="009A3421" w:rsidRPr="006F4DD6">
        <w:rPr>
          <w:kern w:val="22"/>
          <w:sz w:val="22"/>
          <w:szCs w:val="22"/>
          <w:lang w:val="fr-CA"/>
        </w:rPr>
        <w:t xml:space="preserve"> la gestion des risques</w:t>
      </w:r>
      <w:r w:rsidR="00D71FB2">
        <w:rPr>
          <w:kern w:val="22"/>
          <w:sz w:val="22"/>
          <w:szCs w:val="22"/>
          <w:lang w:val="fr-CA"/>
        </w:rPr>
        <w:t>;</w:t>
      </w:r>
    </w:p>
    <w:p w14:paraId="32E16C38" w14:textId="069B4653" w:rsidR="00BE66B1" w:rsidRPr="006F4DD6" w:rsidRDefault="0064547B" w:rsidP="008F09B9">
      <w:pPr>
        <w:pStyle w:val="Notedebasdepage"/>
        <w:keepLines w:val="0"/>
        <w:numPr>
          <w:ilvl w:val="1"/>
          <w:numId w:val="12"/>
        </w:numPr>
        <w:spacing w:before="120" w:after="120"/>
        <w:rPr>
          <w:bCs/>
          <w:kern w:val="22"/>
          <w:sz w:val="22"/>
          <w:szCs w:val="22"/>
          <w:lang w:val="fr-CA"/>
        </w:rPr>
      </w:pPr>
      <w:r w:rsidRPr="004E279F">
        <w:rPr>
          <w:i/>
          <w:kern w:val="22"/>
          <w:sz w:val="22"/>
          <w:szCs w:val="22"/>
          <w:lang w:val="fr-CA"/>
        </w:rPr>
        <w:t>Rap</w:t>
      </w:r>
      <w:r w:rsidR="005B383F" w:rsidRPr="004E279F">
        <w:rPr>
          <w:i/>
          <w:kern w:val="22"/>
          <w:sz w:val="22"/>
          <w:szCs w:val="22"/>
          <w:lang w:val="fr-CA"/>
        </w:rPr>
        <w:t>p</w:t>
      </w:r>
      <w:r w:rsidRPr="004E279F">
        <w:rPr>
          <w:i/>
          <w:kern w:val="22"/>
          <w:sz w:val="22"/>
          <w:szCs w:val="22"/>
          <w:lang w:val="fr-CA"/>
        </w:rPr>
        <w:t xml:space="preserve">ort spécial du </w:t>
      </w:r>
      <w:proofErr w:type="spellStart"/>
      <w:r w:rsidRPr="004E279F">
        <w:rPr>
          <w:i/>
          <w:kern w:val="22"/>
          <w:sz w:val="22"/>
          <w:szCs w:val="22"/>
          <w:lang w:val="fr-CA"/>
        </w:rPr>
        <w:t>GIEC</w:t>
      </w:r>
      <w:proofErr w:type="spellEnd"/>
      <w:r w:rsidRPr="004E279F">
        <w:rPr>
          <w:i/>
          <w:kern w:val="22"/>
          <w:sz w:val="22"/>
          <w:szCs w:val="22"/>
          <w:lang w:val="fr-CA"/>
        </w:rPr>
        <w:t xml:space="preserve"> sur les</w:t>
      </w:r>
      <w:r w:rsidR="008F09B9" w:rsidRPr="004E279F">
        <w:rPr>
          <w:i/>
          <w:kern w:val="22"/>
          <w:sz w:val="22"/>
          <w:szCs w:val="22"/>
          <w:lang w:val="fr-CA"/>
        </w:rPr>
        <w:t xml:space="preserve"> changements</w:t>
      </w:r>
      <w:r w:rsidRPr="004E279F">
        <w:rPr>
          <w:i/>
          <w:kern w:val="22"/>
          <w:sz w:val="22"/>
          <w:szCs w:val="22"/>
          <w:lang w:val="fr-CA"/>
        </w:rPr>
        <w:t xml:space="preserve"> climatiques, la désertification, la dégradation des terres, la gestion durable des terres, la sécurité alimentaire et les flux de gaz à effet de serre dans les écosystèmes terrestres</w:t>
      </w:r>
      <w:r w:rsidR="00BE66B1" w:rsidRPr="006F4DD6">
        <w:rPr>
          <w:kern w:val="22"/>
          <w:sz w:val="22"/>
          <w:szCs w:val="22"/>
          <w:lang w:val="fr-CA"/>
        </w:rPr>
        <w:t xml:space="preserve">. </w:t>
      </w:r>
      <w:r w:rsidR="008F09B9" w:rsidRPr="006F4DD6">
        <w:rPr>
          <w:kern w:val="22"/>
          <w:sz w:val="22"/>
          <w:szCs w:val="22"/>
          <w:lang w:val="fr-CA"/>
        </w:rPr>
        <w:t xml:space="preserve">Ce rapport fournit </w:t>
      </w:r>
      <w:r w:rsidR="00E20897">
        <w:rPr>
          <w:kern w:val="22"/>
          <w:sz w:val="22"/>
          <w:szCs w:val="22"/>
          <w:lang w:val="fr-CA"/>
        </w:rPr>
        <w:t>des renseignements sur</w:t>
      </w:r>
      <w:r w:rsidR="008F09B9" w:rsidRPr="006F4DD6">
        <w:rPr>
          <w:kern w:val="22"/>
          <w:sz w:val="22"/>
          <w:szCs w:val="22"/>
          <w:lang w:val="fr-CA"/>
        </w:rPr>
        <w:t xml:space="preserve"> les interactions terres-climat, la </w:t>
      </w:r>
      <w:r w:rsidR="00DD4AFB" w:rsidRPr="006F4DD6">
        <w:rPr>
          <w:kern w:val="22"/>
          <w:sz w:val="22"/>
          <w:szCs w:val="22"/>
          <w:lang w:val="fr-CA"/>
        </w:rPr>
        <w:t>désertification</w:t>
      </w:r>
      <w:r w:rsidR="008F09B9" w:rsidRPr="006F4DD6">
        <w:rPr>
          <w:kern w:val="22"/>
          <w:sz w:val="22"/>
          <w:szCs w:val="22"/>
          <w:lang w:val="fr-CA"/>
        </w:rPr>
        <w:t>, la dégradation des terres, la sécurité alimentaire, les liens d’interdé</w:t>
      </w:r>
      <w:r w:rsidR="00DD4AFB" w:rsidRPr="006F4DD6">
        <w:rPr>
          <w:kern w:val="22"/>
          <w:sz w:val="22"/>
          <w:szCs w:val="22"/>
          <w:lang w:val="fr-CA"/>
        </w:rPr>
        <w:t>pendance entre la désertificati</w:t>
      </w:r>
      <w:r w:rsidR="008F09B9" w:rsidRPr="006F4DD6">
        <w:rPr>
          <w:kern w:val="22"/>
          <w:sz w:val="22"/>
          <w:szCs w:val="22"/>
          <w:lang w:val="fr-CA"/>
        </w:rPr>
        <w:t xml:space="preserve">on, la </w:t>
      </w:r>
      <w:r w:rsidR="00DD4AFB" w:rsidRPr="006F4DD6">
        <w:rPr>
          <w:kern w:val="22"/>
          <w:sz w:val="22"/>
          <w:szCs w:val="22"/>
          <w:lang w:val="fr-CA"/>
        </w:rPr>
        <w:t>dégradation des sols, la sécuri</w:t>
      </w:r>
      <w:r w:rsidR="008F09B9" w:rsidRPr="006F4DD6">
        <w:rPr>
          <w:kern w:val="22"/>
          <w:sz w:val="22"/>
          <w:szCs w:val="22"/>
          <w:lang w:val="fr-CA"/>
        </w:rPr>
        <w:t>té alimentaire et les flux de gaz</w:t>
      </w:r>
      <w:r w:rsidR="00DD4AFB" w:rsidRPr="006F4DD6">
        <w:rPr>
          <w:kern w:val="22"/>
          <w:sz w:val="22"/>
          <w:szCs w:val="22"/>
          <w:lang w:val="fr-CA"/>
        </w:rPr>
        <w:t xml:space="preserve"> à effet de s</w:t>
      </w:r>
      <w:r w:rsidR="008F09B9" w:rsidRPr="006F4DD6">
        <w:rPr>
          <w:kern w:val="22"/>
          <w:sz w:val="22"/>
          <w:szCs w:val="22"/>
          <w:lang w:val="fr-CA"/>
        </w:rPr>
        <w:t>erre, y compris les synergies, les compromis et les choix de réponse intégrés, et la gestion des risques et la prise de décisions dans un contexte de développement durable</w:t>
      </w:r>
      <w:r w:rsidR="00D71FB2">
        <w:rPr>
          <w:kern w:val="22"/>
          <w:sz w:val="22"/>
          <w:szCs w:val="22"/>
          <w:lang w:val="fr-CA"/>
        </w:rPr>
        <w:t>;</w:t>
      </w:r>
    </w:p>
    <w:p w14:paraId="632AEA61" w14:textId="3D74E39D" w:rsidR="00BE66B1" w:rsidRPr="006F4DD6" w:rsidRDefault="00DD4AFB" w:rsidP="006924CD">
      <w:pPr>
        <w:pStyle w:val="Notedebasdepage"/>
        <w:keepLines w:val="0"/>
        <w:numPr>
          <w:ilvl w:val="1"/>
          <w:numId w:val="12"/>
        </w:numPr>
        <w:spacing w:before="120" w:after="120"/>
        <w:rPr>
          <w:bCs/>
          <w:kern w:val="22"/>
          <w:sz w:val="22"/>
          <w:szCs w:val="22"/>
          <w:lang w:val="fr-CA"/>
        </w:rPr>
      </w:pPr>
      <w:r w:rsidRPr="004E279F">
        <w:rPr>
          <w:i/>
          <w:kern w:val="22"/>
          <w:sz w:val="22"/>
          <w:szCs w:val="22"/>
          <w:lang w:val="fr-CA"/>
        </w:rPr>
        <w:t>Évaluation mondiale de la biodiversité et des services écosystémiques de la Plateforme intergouvernementale sur la biodiversité et les services écosystémiques (</w:t>
      </w:r>
      <w:proofErr w:type="spellStart"/>
      <w:r w:rsidRPr="004E279F">
        <w:rPr>
          <w:i/>
          <w:kern w:val="22"/>
          <w:sz w:val="22"/>
          <w:szCs w:val="22"/>
          <w:lang w:val="fr-CA"/>
        </w:rPr>
        <w:t>IPBES</w:t>
      </w:r>
      <w:proofErr w:type="spellEnd"/>
      <w:r w:rsidRPr="004E279F">
        <w:rPr>
          <w:i/>
          <w:kern w:val="22"/>
          <w:sz w:val="22"/>
          <w:szCs w:val="22"/>
          <w:lang w:val="fr-CA"/>
        </w:rPr>
        <w:t>)</w:t>
      </w:r>
      <w:r w:rsidR="00BE66B1" w:rsidRPr="006F4DD6">
        <w:rPr>
          <w:bCs/>
          <w:kern w:val="22"/>
          <w:sz w:val="22"/>
          <w:szCs w:val="22"/>
          <w:lang w:val="fr-CA"/>
        </w:rPr>
        <w:t xml:space="preserve">. </w:t>
      </w:r>
      <w:r w:rsidR="00E73198" w:rsidRPr="006F4DD6">
        <w:rPr>
          <w:bCs/>
          <w:kern w:val="22"/>
          <w:sz w:val="22"/>
          <w:szCs w:val="22"/>
          <w:lang w:val="fr-CA"/>
        </w:rPr>
        <w:t xml:space="preserve">Ce rapport évalue l’état et les tendances concernant la diversité biologique et les services écosystémiques, l’impact de la diversité biologique et des services écosystémiques sur le bien-être humain et l’efficacité des réponses, </w:t>
      </w:r>
      <w:r w:rsidR="00E20897">
        <w:rPr>
          <w:bCs/>
          <w:kern w:val="22"/>
          <w:sz w:val="22"/>
          <w:szCs w:val="22"/>
          <w:lang w:val="fr-CA"/>
        </w:rPr>
        <w:t>y compris le Plan stratégique pour la diversité biologique 2011-2020 et ses Objectifs d’Aichi pour la biodiversité</w:t>
      </w:r>
      <w:r w:rsidR="00D71FB2">
        <w:rPr>
          <w:bCs/>
          <w:kern w:val="22"/>
          <w:sz w:val="22"/>
          <w:szCs w:val="22"/>
          <w:lang w:val="fr-CA"/>
        </w:rPr>
        <w:t>;</w:t>
      </w:r>
    </w:p>
    <w:p w14:paraId="55BACB6D" w14:textId="610918FC" w:rsidR="007C21AC" w:rsidRPr="006F4DD6" w:rsidRDefault="00E73198" w:rsidP="006924CD">
      <w:pPr>
        <w:pStyle w:val="Notedebasdepage"/>
        <w:keepLines w:val="0"/>
        <w:numPr>
          <w:ilvl w:val="1"/>
          <w:numId w:val="12"/>
        </w:numPr>
        <w:spacing w:before="120" w:after="120"/>
        <w:rPr>
          <w:b/>
          <w:kern w:val="22"/>
          <w:sz w:val="22"/>
          <w:szCs w:val="22"/>
          <w:lang w:val="fr-CA"/>
        </w:rPr>
      </w:pPr>
      <w:r w:rsidRPr="004E279F">
        <w:rPr>
          <w:i/>
          <w:kern w:val="22"/>
          <w:sz w:val="22"/>
          <w:szCs w:val="22"/>
          <w:lang w:val="fr-CA"/>
        </w:rPr>
        <w:t>Rapport d’évaluation de l’</w:t>
      </w:r>
      <w:proofErr w:type="spellStart"/>
      <w:r w:rsidRPr="004E279F">
        <w:rPr>
          <w:i/>
          <w:kern w:val="22"/>
          <w:sz w:val="22"/>
          <w:szCs w:val="22"/>
          <w:lang w:val="fr-CA"/>
        </w:rPr>
        <w:t>IPBES</w:t>
      </w:r>
      <w:proofErr w:type="spellEnd"/>
      <w:r w:rsidRPr="004E279F">
        <w:rPr>
          <w:i/>
          <w:kern w:val="22"/>
          <w:sz w:val="22"/>
          <w:szCs w:val="22"/>
          <w:lang w:val="fr-CA"/>
        </w:rPr>
        <w:t xml:space="preserve"> sur la dégradation et la restauration des sols</w:t>
      </w:r>
      <w:r w:rsidR="00BE66B1" w:rsidRPr="004E279F">
        <w:rPr>
          <w:i/>
          <w:kern w:val="22"/>
          <w:sz w:val="22"/>
          <w:szCs w:val="22"/>
          <w:lang w:val="fr-CA"/>
        </w:rPr>
        <w:t>.</w:t>
      </w:r>
      <w:r w:rsidR="00BE66B1" w:rsidRPr="006F4DD6">
        <w:rPr>
          <w:b/>
          <w:kern w:val="22"/>
          <w:sz w:val="22"/>
          <w:szCs w:val="22"/>
          <w:lang w:val="fr-CA"/>
        </w:rPr>
        <w:t xml:space="preserve"> </w:t>
      </w:r>
      <w:r w:rsidR="00214CFF" w:rsidRPr="006F4DD6">
        <w:rPr>
          <w:kern w:val="22"/>
          <w:sz w:val="22"/>
          <w:szCs w:val="22"/>
          <w:lang w:val="fr-CA"/>
        </w:rPr>
        <w:t xml:space="preserve">Ce rapport présente une analyse de l’état des connaissances sur l’importance, les moteurs, l’état et les tendances </w:t>
      </w:r>
      <w:r w:rsidR="001F3BEA">
        <w:rPr>
          <w:kern w:val="22"/>
          <w:sz w:val="22"/>
          <w:szCs w:val="22"/>
          <w:lang w:val="fr-CA"/>
        </w:rPr>
        <w:t>des</w:t>
      </w:r>
      <w:r w:rsidR="00214CFF" w:rsidRPr="006F4DD6">
        <w:rPr>
          <w:kern w:val="22"/>
          <w:sz w:val="22"/>
          <w:szCs w:val="22"/>
          <w:lang w:val="fr-CA"/>
        </w:rPr>
        <w:t xml:space="preserve"> écosystèmes terrestres</w:t>
      </w:r>
      <w:r w:rsidR="00BE66B1" w:rsidRPr="006F4DD6">
        <w:rPr>
          <w:kern w:val="22"/>
          <w:sz w:val="22"/>
          <w:szCs w:val="22"/>
          <w:lang w:val="fr-CA"/>
        </w:rPr>
        <w:t>.</w:t>
      </w:r>
      <w:r w:rsidR="00214CFF" w:rsidRPr="006F4DD6">
        <w:rPr>
          <w:kern w:val="22"/>
          <w:sz w:val="22"/>
          <w:szCs w:val="22"/>
          <w:lang w:val="fr-CA"/>
        </w:rPr>
        <w:t xml:space="preserve"> Il met de l’avant des modes de gouvernance, des politiques et des pratiques de gestion pour réduire la dégradation des sols et réhabiliter et restaurer les terres dégradées.</w:t>
      </w:r>
    </w:p>
    <w:p w14:paraId="3D1C3E9E" w14:textId="5E4B58AF" w:rsidR="003D2859" w:rsidRPr="006F4DD6" w:rsidRDefault="00D71FB2" w:rsidP="001628D8">
      <w:pPr>
        <w:pStyle w:val="Para10"/>
        <w:suppressLineNumbers/>
        <w:tabs>
          <w:tab w:val="clear" w:pos="360"/>
        </w:tabs>
        <w:suppressAutoHyphens/>
        <w:kinsoku w:val="0"/>
        <w:overflowPunct w:val="0"/>
        <w:autoSpaceDE w:val="0"/>
        <w:autoSpaceDN w:val="0"/>
        <w:adjustRightInd w:val="0"/>
        <w:snapToGrid w:val="0"/>
        <w:rPr>
          <w:kern w:val="22"/>
          <w:szCs w:val="22"/>
          <w:lang w:val="fr-CA"/>
        </w:rPr>
      </w:pPr>
      <w:r>
        <w:rPr>
          <w:kern w:val="22"/>
          <w:szCs w:val="22"/>
          <w:lang w:val="fr-CA"/>
        </w:rPr>
        <w:t>Outre</w:t>
      </w:r>
      <w:r w:rsidR="00214CFF" w:rsidRPr="006F4DD6">
        <w:rPr>
          <w:kern w:val="22"/>
          <w:szCs w:val="22"/>
          <w:lang w:val="fr-CA"/>
        </w:rPr>
        <w:t xml:space="preserve"> ces évaluations, </w:t>
      </w:r>
      <w:r w:rsidR="001F3BEA">
        <w:rPr>
          <w:kern w:val="22"/>
          <w:szCs w:val="22"/>
          <w:lang w:val="fr-CA"/>
        </w:rPr>
        <w:t>des renseignements ont été tirés</w:t>
      </w:r>
      <w:r w:rsidR="00214CFF" w:rsidRPr="006F4DD6">
        <w:rPr>
          <w:kern w:val="22"/>
          <w:szCs w:val="22"/>
          <w:lang w:val="fr-CA"/>
        </w:rPr>
        <w:t xml:space="preserve"> des principaux messages de l’atelier sur la </w:t>
      </w:r>
      <w:r w:rsidR="0052196B" w:rsidRPr="006F4DD6">
        <w:rPr>
          <w:kern w:val="22"/>
          <w:szCs w:val="22"/>
          <w:lang w:val="fr-CA"/>
        </w:rPr>
        <w:t>Biodiversité et les changements climatiques : Science intégrée pour une politique cohérente</w:t>
      </w:r>
      <w:r w:rsidR="001F3BEA">
        <w:rPr>
          <w:kern w:val="22"/>
          <w:szCs w:val="22"/>
          <w:lang w:val="fr-CA"/>
        </w:rPr>
        <w:t>,</w:t>
      </w:r>
      <w:r w:rsidR="0052196B" w:rsidRPr="006F4DD6">
        <w:rPr>
          <w:kern w:val="22"/>
          <w:szCs w:val="22"/>
          <w:lang w:val="fr-CA"/>
        </w:rPr>
        <w:t xml:space="preserve"> organisé par le Secrétariat en collaboration avec l’</w:t>
      </w:r>
      <w:proofErr w:type="spellStart"/>
      <w:r w:rsidR="0052196B" w:rsidRPr="006F4DD6">
        <w:rPr>
          <w:kern w:val="22"/>
          <w:szCs w:val="22"/>
          <w:lang w:val="fr-CA"/>
        </w:rPr>
        <w:t>IPBES</w:t>
      </w:r>
      <w:proofErr w:type="spellEnd"/>
      <w:r w:rsidR="0052196B" w:rsidRPr="006F4DD6">
        <w:rPr>
          <w:kern w:val="22"/>
          <w:szCs w:val="22"/>
          <w:lang w:val="fr-CA"/>
        </w:rPr>
        <w:t xml:space="preserve"> et le </w:t>
      </w:r>
      <w:proofErr w:type="spellStart"/>
      <w:r w:rsidR="0052196B" w:rsidRPr="006F4DD6">
        <w:rPr>
          <w:kern w:val="22"/>
          <w:szCs w:val="22"/>
          <w:lang w:val="fr-CA"/>
        </w:rPr>
        <w:t>GIEC</w:t>
      </w:r>
      <w:proofErr w:type="spellEnd"/>
      <w:r w:rsidR="0052196B" w:rsidRPr="006F4DD6">
        <w:rPr>
          <w:kern w:val="22"/>
          <w:szCs w:val="22"/>
          <w:lang w:val="fr-CA"/>
        </w:rPr>
        <w:t>, ain</w:t>
      </w:r>
      <w:r w:rsidR="001F3BEA">
        <w:rPr>
          <w:kern w:val="22"/>
          <w:szCs w:val="22"/>
          <w:lang w:val="fr-CA"/>
        </w:rPr>
        <w:t xml:space="preserve">si que </w:t>
      </w:r>
      <w:r w:rsidR="004E279F">
        <w:rPr>
          <w:kern w:val="22"/>
          <w:szCs w:val="22"/>
          <w:lang w:val="fr-CA"/>
        </w:rPr>
        <w:t xml:space="preserve">le Secrétariat de </w:t>
      </w:r>
      <w:r w:rsidR="001F3BEA">
        <w:rPr>
          <w:kern w:val="22"/>
          <w:szCs w:val="22"/>
          <w:lang w:val="fr-CA"/>
        </w:rPr>
        <w:t>la Convention-cadre des N</w:t>
      </w:r>
      <w:r w:rsidR="0052196B" w:rsidRPr="006F4DD6">
        <w:rPr>
          <w:kern w:val="22"/>
          <w:szCs w:val="22"/>
          <w:lang w:val="fr-CA"/>
        </w:rPr>
        <w:t>ations</w:t>
      </w:r>
      <w:r w:rsidR="001F3BEA">
        <w:rPr>
          <w:kern w:val="22"/>
          <w:szCs w:val="22"/>
          <w:lang w:val="fr-CA"/>
        </w:rPr>
        <w:t xml:space="preserve"> Unies</w:t>
      </w:r>
      <w:r w:rsidR="0052196B" w:rsidRPr="006F4DD6">
        <w:rPr>
          <w:kern w:val="22"/>
          <w:szCs w:val="22"/>
          <w:lang w:val="fr-CA"/>
        </w:rPr>
        <w:t xml:space="preserve"> sur les changements climatiques</w:t>
      </w:r>
      <w:r w:rsidR="001F3BEA">
        <w:rPr>
          <w:kern w:val="22"/>
          <w:szCs w:val="22"/>
          <w:lang w:val="fr-CA"/>
        </w:rPr>
        <w:t xml:space="preserve">, </w:t>
      </w:r>
      <w:r w:rsidR="0009179E">
        <w:rPr>
          <w:kern w:val="22"/>
          <w:szCs w:val="22"/>
          <w:lang w:val="fr-CA"/>
        </w:rPr>
        <w:t xml:space="preserve">présenté </w:t>
      </w:r>
      <w:r w:rsidR="0052196B" w:rsidRPr="006F4DD6">
        <w:rPr>
          <w:kern w:val="22"/>
          <w:szCs w:val="22"/>
          <w:lang w:val="fr-CA"/>
        </w:rPr>
        <w:t>à Paris, le 18 octobre 2018</w:t>
      </w:r>
      <w:r w:rsidR="007F5444" w:rsidRPr="006F4DD6">
        <w:rPr>
          <w:kern w:val="22"/>
          <w:szCs w:val="22"/>
          <w:lang w:val="fr-CA"/>
        </w:rPr>
        <w:t>.</w:t>
      </w:r>
      <w:r w:rsidR="003D2859" w:rsidRPr="006F4DD6">
        <w:rPr>
          <w:rStyle w:val="Appelnotedebasdep"/>
          <w:kern w:val="22"/>
          <w:sz w:val="22"/>
          <w:szCs w:val="22"/>
          <w:u w:val="none"/>
          <w:vertAlign w:val="superscript"/>
          <w:lang w:val="fr-CA"/>
        </w:rPr>
        <w:footnoteReference w:id="4"/>
      </w:r>
    </w:p>
    <w:p w14:paraId="274A763F" w14:textId="6773E679" w:rsidR="007C21AC" w:rsidRPr="006F4DD6" w:rsidRDefault="00917E52" w:rsidP="00FA327B">
      <w:pPr>
        <w:pStyle w:val="Para10"/>
        <w:tabs>
          <w:tab w:val="clear" w:pos="360"/>
          <w:tab w:val="num" w:pos="720"/>
        </w:tabs>
        <w:rPr>
          <w:bCs/>
          <w:kern w:val="22"/>
          <w:szCs w:val="22"/>
          <w:lang w:val="fr-CA"/>
        </w:rPr>
      </w:pPr>
      <w:r w:rsidRPr="006F4DD6">
        <w:rPr>
          <w:kern w:val="22"/>
          <w:szCs w:val="22"/>
          <w:lang w:val="fr-CA"/>
        </w:rPr>
        <w:t xml:space="preserve">Une analyse </w:t>
      </w:r>
      <w:r w:rsidR="002C7FBF">
        <w:rPr>
          <w:kern w:val="22"/>
          <w:szCs w:val="22"/>
          <w:lang w:val="fr-CA"/>
        </w:rPr>
        <w:t>d</w:t>
      </w:r>
      <w:r w:rsidRPr="006F4DD6">
        <w:rPr>
          <w:kern w:val="22"/>
          <w:szCs w:val="22"/>
          <w:lang w:val="fr-CA"/>
        </w:rPr>
        <w:t>es documents pertinents publiés apr</w:t>
      </w:r>
      <w:r w:rsidR="002C7FBF">
        <w:rPr>
          <w:kern w:val="22"/>
          <w:szCs w:val="22"/>
          <w:lang w:val="fr-CA"/>
        </w:rPr>
        <w:t>ès l’émission d</w:t>
      </w:r>
      <w:r w:rsidRPr="006F4DD6">
        <w:rPr>
          <w:kern w:val="22"/>
          <w:szCs w:val="22"/>
          <w:lang w:val="fr-CA"/>
        </w:rPr>
        <w:t xml:space="preserve">u </w:t>
      </w:r>
      <w:r w:rsidR="002C7FBF" w:rsidRPr="002C7FBF">
        <w:rPr>
          <w:szCs w:val="22"/>
          <w:lang w:val="fr-CA"/>
        </w:rPr>
        <w:t xml:space="preserve">Rapport spécial du </w:t>
      </w:r>
      <w:proofErr w:type="spellStart"/>
      <w:r w:rsidR="002C7FBF" w:rsidRPr="002C7FBF">
        <w:rPr>
          <w:szCs w:val="22"/>
          <w:lang w:val="fr-CA"/>
        </w:rPr>
        <w:t>GIEC</w:t>
      </w:r>
      <w:proofErr w:type="spellEnd"/>
      <w:r w:rsidR="002C7FBF" w:rsidRPr="002C7FBF">
        <w:rPr>
          <w:szCs w:val="22"/>
          <w:lang w:val="fr-CA"/>
        </w:rPr>
        <w:t xml:space="preserve"> sur les effets du réchauffement planétaire de 1,5°C au-dessus des niveaux préindustriels et les voies d</w:t>
      </w:r>
      <w:r w:rsidR="000B0632">
        <w:rPr>
          <w:szCs w:val="22"/>
          <w:lang w:val="fr-CA"/>
        </w:rPr>
        <w:t>’</w:t>
      </w:r>
      <w:r w:rsidR="002C7FBF" w:rsidRPr="002C7FBF">
        <w:rPr>
          <w:szCs w:val="22"/>
          <w:lang w:val="fr-CA"/>
        </w:rPr>
        <w:t>émission de gaz à effet de serre connexes, dans le contexte du renforcement de la réponse mondiale à la menace du changement climatique, du développement durable et des efforts pour éradiquer la pauvreté</w:t>
      </w:r>
      <w:r w:rsidR="002C7FBF">
        <w:rPr>
          <w:szCs w:val="22"/>
          <w:lang w:val="fr-CA"/>
        </w:rPr>
        <w:t>,</w:t>
      </w:r>
      <w:r w:rsidR="002C7FBF">
        <w:rPr>
          <w:kern w:val="22"/>
          <w:szCs w:val="22"/>
          <w:lang w:val="fr-CA"/>
        </w:rPr>
        <w:t xml:space="preserve"> a aussi été réalisée</w:t>
      </w:r>
      <w:r w:rsidRPr="006F4DD6">
        <w:rPr>
          <w:kern w:val="22"/>
          <w:szCs w:val="22"/>
          <w:lang w:val="fr-CA"/>
        </w:rPr>
        <w:t xml:space="preserve">. </w:t>
      </w:r>
      <w:r w:rsidR="002C7FBF">
        <w:rPr>
          <w:kern w:val="22"/>
          <w:szCs w:val="22"/>
          <w:lang w:val="fr-CA"/>
        </w:rPr>
        <w:t>Elle a</w:t>
      </w:r>
      <w:r w:rsidRPr="006F4DD6">
        <w:rPr>
          <w:kern w:val="22"/>
          <w:szCs w:val="22"/>
          <w:lang w:val="fr-CA"/>
        </w:rPr>
        <w:t xml:space="preserve"> porté sur les principaux articles présentant </w:t>
      </w:r>
      <w:r w:rsidR="002C7FBF">
        <w:rPr>
          <w:kern w:val="22"/>
          <w:szCs w:val="22"/>
          <w:lang w:val="fr-CA"/>
        </w:rPr>
        <w:t>des renseignements</w:t>
      </w:r>
      <w:r w:rsidRPr="006F4DD6">
        <w:rPr>
          <w:kern w:val="22"/>
          <w:szCs w:val="22"/>
          <w:lang w:val="fr-CA"/>
        </w:rPr>
        <w:t xml:space="preserve"> scientifique</w:t>
      </w:r>
      <w:r w:rsidR="002C7FBF">
        <w:rPr>
          <w:kern w:val="22"/>
          <w:szCs w:val="22"/>
          <w:lang w:val="fr-CA"/>
        </w:rPr>
        <w:t>s</w:t>
      </w:r>
      <w:r w:rsidRPr="006F4DD6">
        <w:rPr>
          <w:kern w:val="22"/>
          <w:szCs w:val="22"/>
          <w:lang w:val="fr-CA"/>
        </w:rPr>
        <w:t xml:space="preserve"> et technique</w:t>
      </w:r>
      <w:r w:rsidR="002C7FBF">
        <w:rPr>
          <w:kern w:val="22"/>
          <w:szCs w:val="22"/>
          <w:lang w:val="fr-CA"/>
        </w:rPr>
        <w:t>s</w:t>
      </w:r>
      <w:r w:rsidRPr="006F4DD6">
        <w:rPr>
          <w:kern w:val="22"/>
          <w:szCs w:val="22"/>
          <w:lang w:val="fr-CA"/>
        </w:rPr>
        <w:t xml:space="preserve"> </w:t>
      </w:r>
      <w:r w:rsidR="002C7FBF">
        <w:rPr>
          <w:kern w:val="22"/>
          <w:szCs w:val="22"/>
          <w:lang w:val="fr-CA"/>
        </w:rPr>
        <w:t>pertinents</w:t>
      </w:r>
      <w:r w:rsidRPr="006F4DD6">
        <w:rPr>
          <w:kern w:val="22"/>
          <w:szCs w:val="22"/>
          <w:lang w:val="fr-CA"/>
        </w:rPr>
        <w:t xml:space="preserve">. Le document informatif </w:t>
      </w:r>
      <w:r w:rsidR="007C21AC" w:rsidRPr="006F4DD6">
        <w:rPr>
          <w:kern w:val="22"/>
          <w:szCs w:val="22"/>
          <w:lang w:val="fr-CA"/>
        </w:rPr>
        <w:t>CBD/</w:t>
      </w:r>
      <w:proofErr w:type="spellStart"/>
      <w:r w:rsidR="007C21AC" w:rsidRPr="006F4DD6">
        <w:rPr>
          <w:kern w:val="22"/>
          <w:szCs w:val="22"/>
          <w:lang w:val="fr-CA"/>
        </w:rPr>
        <w:t>SBSTTA</w:t>
      </w:r>
      <w:proofErr w:type="spellEnd"/>
      <w:r w:rsidR="007C21AC" w:rsidRPr="006F4DD6">
        <w:rPr>
          <w:kern w:val="22"/>
          <w:szCs w:val="22"/>
          <w:lang w:val="fr-CA"/>
        </w:rPr>
        <w:t>/23/</w:t>
      </w:r>
      <w:proofErr w:type="spellStart"/>
      <w:r w:rsidR="007C21AC" w:rsidRPr="006F4DD6">
        <w:rPr>
          <w:kern w:val="22"/>
          <w:szCs w:val="22"/>
          <w:lang w:val="fr-CA"/>
        </w:rPr>
        <w:t>INF</w:t>
      </w:r>
      <w:proofErr w:type="spellEnd"/>
      <w:r w:rsidR="007C21AC" w:rsidRPr="006F4DD6">
        <w:rPr>
          <w:kern w:val="22"/>
          <w:szCs w:val="22"/>
          <w:lang w:val="fr-CA"/>
        </w:rPr>
        <w:t>/</w:t>
      </w:r>
      <w:r w:rsidR="00D211FF" w:rsidRPr="006F4DD6">
        <w:rPr>
          <w:kern w:val="22"/>
          <w:szCs w:val="22"/>
          <w:lang w:val="fr-CA"/>
        </w:rPr>
        <w:t xml:space="preserve">1 </w:t>
      </w:r>
      <w:r w:rsidRPr="006F4DD6">
        <w:rPr>
          <w:kern w:val="22"/>
          <w:szCs w:val="22"/>
          <w:lang w:val="fr-CA"/>
        </w:rPr>
        <w:t>contient une liste complète des références et des sources d’information pour chaque énoncé</w:t>
      </w:r>
      <w:r w:rsidR="007C21AC" w:rsidRPr="006F4DD6">
        <w:rPr>
          <w:kern w:val="22"/>
          <w:szCs w:val="22"/>
          <w:lang w:val="fr-CA"/>
        </w:rPr>
        <w:t>.</w:t>
      </w:r>
    </w:p>
    <w:p w14:paraId="59587820" w14:textId="7A81F396" w:rsidR="00530BD7" w:rsidRPr="006F4DD6" w:rsidRDefault="00F73702" w:rsidP="00530BD7">
      <w:pPr>
        <w:pStyle w:val="Para10"/>
        <w:suppressLineNumbers/>
        <w:tabs>
          <w:tab w:val="clear" w:pos="360"/>
        </w:tabs>
        <w:suppressAutoHyphens/>
        <w:kinsoku w:val="0"/>
        <w:overflowPunct w:val="0"/>
        <w:autoSpaceDE w:val="0"/>
        <w:autoSpaceDN w:val="0"/>
        <w:rPr>
          <w:bCs/>
          <w:kern w:val="22"/>
          <w:szCs w:val="22"/>
          <w:lang w:val="fr-CA"/>
        </w:rPr>
      </w:pPr>
      <w:r w:rsidRPr="006F4DD6">
        <w:rPr>
          <w:kern w:val="22"/>
          <w:szCs w:val="22"/>
          <w:lang w:val="fr-CA"/>
        </w:rPr>
        <w:lastRenderedPageBreak/>
        <w:t xml:space="preserve">La deuxième partie du rapport répond au paragraphe 13 b) de la décision 14/5 et débat des conséquences possibles des </w:t>
      </w:r>
      <w:r w:rsidR="003A57AF">
        <w:rPr>
          <w:kern w:val="22"/>
          <w:szCs w:val="22"/>
          <w:lang w:val="fr-CA"/>
        </w:rPr>
        <w:t>nouveaux renseignements</w:t>
      </w:r>
      <w:r w:rsidRPr="006F4DD6">
        <w:rPr>
          <w:kern w:val="22"/>
          <w:szCs w:val="22"/>
          <w:lang w:val="fr-CA"/>
        </w:rPr>
        <w:t xml:space="preserve"> scien</w:t>
      </w:r>
      <w:r w:rsidR="003A57AF">
        <w:rPr>
          <w:kern w:val="22"/>
          <w:szCs w:val="22"/>
          <w:lang w:val="fr-CA"/>
        </w:rPr>
        <w:t>tifiques et techniques présenté</w:t>
      </w:r>
      <w:r w:rsidRPr="006F4DD6">
        <w:rPr>
          <w:kern w:val="22"/>
          <w:szCs w:val="22"/>
          <w:lang w:val="fr-CA"/>
        </w:rPr>
        <w:t>s dans la première partie</w:t>
      </w:r>
      <w:r w:rsidR="00530BD7" w:rsidRPr="006F4DD6">
        <w:rPr>
          <w:kern w:val="22"/>
          <w:szCs w:val="22"/>
          <w:lang w:val="fr-CA"/>
        </w:rPr>
        <w:t>.</w:t>
      </w:r>
    </w:p>
    <w:p w14:paraId="32054FD3" w14:textId="1A0D9ABB" w:rsidR="00530BD7" w:rsidRPr="006F4DD6" w:rsidRDefault="004E279F" w:rsidP="00530BD7">
      <w:pPr>
        <w:pStyle w:val="Para10"/>
        <w:suppressLineNumbers/>
        <w:tabs>
          <w:tab w:val="clear" w:pos="360"/>
        </w:tabs>
        <w:suppressAutoHyphens/>
        <w:kinsoku w:val="0"/>
        <w:overflowPunct w:val="0"/>
        <w:autoSpaceDE w:val="0"/>
        <w:autoSpaceDN w:val="0"/>
        <w:rPr>
          <w:bCs/>
          <w:kern w:val="22"/>
          <w:szCs w:val="22"/>
          <w:lang w:val="fr-CA"/>
        </w:rPr>
      </w:pPr>
      <w:r>
        <w:rPr>
          <w:kern w:val="22"/>
          <w:szCs w:val="22"/>
          <w:lang w:val="fr-CA"/>
        </w:rPr>
        <w:t>La</w:t>
      </w:r>
      <w:r w:rsidR="00F73702" w:rsidRPr="006F4DD6">
        <w:rPr>
          <w:kern w:val="22"/>
          <w:szCs w:val="22"/>
          <w:lang w:val="fr-CA"/>
        </w:rPr>
        <w:t xml:space="preserve"> troisième partie présente les recommandations proposées</w:t>
      </w:r>
      <w:r w:rsidR="00530BD7" w:rsidRPr="006F4DD6">
        <w:rPr>
          <w:kern w:val="22"/>
          <w:szCs w:val="22"/>
          <w:lang w:val="fr-CA"/>
        </w:rPr>
        <w:t>.</w:t>
      </w:r>
    </w:p>
    <w:p w14:paraId="7CB9F282" w14:textId="3BD587CA" w:rsidR="00915E00" w:rsidRPr="006F4DD6" w:rsidRDefault="003F0798" w:rsidP="006924CD">
      <w:pPr>
        <w:pStyle w:val="Titre1"/>
        <w:numPr>
          <w:ilvl w:val="0"/>
          <w:numId w:val="33"/>
        </w:numPr>
        <w:tabs>
          <w:tab w:val="clear" w:pos="720"/>
          <w:tab w:val="left" w:pos="1134"/>
        </w:tabs>
        <w:ind w:left="1134"/>
        <w:jc w:val="left"/>
        <w:rPr>
          <w:kern w:val="22"/>
          <w:lang w:val="fr-CA"/>
        </w:rPr>
      </w:pPr>
      <w:r w:rsidRPr="006F4DD6">
        <w:rPr>
          <w:kern w:val="22"/>
          <w:lang w:val="fr-CA"/>
        </w:rPr>
        <w:t xml:space="preserve">PRINCIPAUX MESSAGES DE L’ANALYSE </w:t>
      </w:r>
      <w:r w:rsidR="003A57AF">
        <w:rPr>
          <w:kern w:val="22"/>
          <w:lang w:val="fr-CA"/>
        </w:rPr>
        <w:t>DES NOUVEAUX RENSEIGNEMENTS SCIENTIFIQUES ET</w:t>
      </w:r>
      <w:r w:rsidRPr="006F4DD6">
        <w:rPr>
          <w:kern w:val="22"/>
          <w:lang w:val="fr-CA"/>
        </w:rPr>
        <w:t xml:space="preserve"> TECHNIQUES SUR LA BIODIVERSITÉ ET LES CHANGEMENTS CLIMATIQUES</w:t>
      </w:r>
      <w:r w:rsidRPr="006F4DD6">
        <w:rPr>
          <w:kern w:val="22"/>
          <w:lang w:val="fr-CA"/>
        </w:rPr>
        <w:tab/>
      </w:r>
    </w:p>
    <w:p w14:paraId="60AE84EC" w14:textId="624195D2" w:rsidR="001129F0" w:rsidRPr="006F4DD6" w:rsidRDefault="003F0798" w:rsidP="00FA327B">
      <w:pPr>
        <w:pStyle w:val="Para10"/>
        <w:suppressLineNumbers/>
        <w:tabs>
          <w:tab w:val="clear" w:pos="360"/>
        </w:tabs>
        <w:suppressAutoHyphens/>
        <w:kinsoku w:val="0"/>
        <w:overflowPunct w:val="0"/>
        <w:autoSpaceDE w:val="0"/>
        <w:autoSpaceDN w:val="0"/>
        <w:rPr>
          <w:kern w:val="22"/>
          <w:lang w:val="fr-CA"/>
        </w:rPr>
      </w:pPr>
      <w:r w:rsidRPr="004E279F">
        <w:rPr>
          <w:i/>
          <w:kern w:val="22"/>
          <w:lang w:val="fr-CA"/>
        </w:rPr>
        <w:t xml:space="preserve">Les changements climatiques et l’appauvrissement de la diversité biologique sont des menaces </w:t>
      </w:r>
      <w:r w:rsidR="003A57AF" w:rsidRPr="004E279F">
        <w:rPr>
          <w:i/>
          <w:kern w:val="22"/>
          <w:lang w:val="fr-CA"/>
        </w:rPr>
        <w:t>intimement lié</w:t>
      </w:r>
      <w:r w:rsidR="00A34326" w:rsidRPr="004E279F">
        <w:rPr>
          <w:i/>
          <w:kern w:val="22"/>
          <w:lang w:val="fr-CA"/>
        </w:rPr>
        <w:t>e</w:t>
      </w:r>
      <w:r w:rsidR="003A57AF" w:rsidRPr="004E279F">
        <w:rPr>
          <w:i/>
          <w:kern w:val="22"/>
          <w:lang w:val="fr-CA"/>
        </w:rPr>
        <w:t>s</w:t>
      </w:r>
      <w:r w:rsidRPr="004E279F">
        <w:rPr>
          <w:i/>
          <w:kern w:val="22"/>
          <w:lang w:val="fr-CA"/>
        </w:rPr>
        <w:t xml:space="preserve"> pour le genre humain et doivent être abordés ensemble</w:t>
      </w:r>
      <w:r w:rsidR="001129F0" w:rsidRPr="004E279F">
        <w:rPr>
          <w:i/>
          <w:kern w:val="22"/>
          <w:lang w:val="fr-CA"/>
        </w:rPr>
        <w:t>.</w:t>
      </w:r>
      <w:r w:rsidR="001129F0" w:rsidRPr="006F4DD6">
        <w:rPr>
          <w:kern w:val="22"/>
          <w:lang w:val="fr-CA"/>
        </w:rPr>
        <w:t xml:space="preserve"> </w:t>
      </w:r>
      <w:r w:rsidRPr="006F4DD6">
        <w:rPr>
          <w:kern w:val="22"/>
          <w:lang w:val="fr-CA"/>
        </w:rPr>
        <w:t xml:space="preserve">La diversité biologique et les changements climatiques sont </w:t>
      </w:r>
      <w:r w:rsidR="003A57AF">
        <w:rPr>
          <w:kern w:val="22"/>
          <w:lang w:val="fr-CA"/>
        </w:rPr>
        <w:t>interreliés</w:t>
      </w:r>
      <w:r w:rsidRPr="006F4DD6">
        <w:rPr>
          <w:kern w:val="22"/>
          <w:lang w:val="fr-CA"/>
        </w:rPr>
        <w:t xml:space="preserve"> de </w:t>
      </w:r>
      <w:r w:rsidR="003A57AF">
        <w:rPr>
          <w:kern w:val="22"/>
          <w:lang w:val="fr-CA"/>
        </w:rPr>
        <w:t>plusieurs</w:t>
      </w:r>
      <w:r w:rsidRPr="006F4DD6">
        <w:rPr>
          <w:kern w:val="22"/>
          <w:lang w:val="fr-CA"/>
        </w:rPr>
        <w:t xml:space="preserve"> façons</w:t>
      </w:r>
      <w:r w:rsidR="00E620E9" w:rsidRPr="006F4DD6">
        <w:rPr>
          <w:kern w:val="22"/>
          <w:lang w:val="fr-CA"/>
        </w:rPr>
        <w:t>. D’une part, la diversité biologique est fortement influencée par les changements climatiques, ce qui a des conséquences négatives sur le bien-être humain et la stabilité à long terme des écosystèmes critiques. D’autre part, la conservation de la diversité biologique, par l’entremise des services écosyst</w:t>
      </w:r>
      <w:r w:rsidR="007514E4">
        <w:rPr>
          <w:kern w:val="22"/>
          <w:lang w:val="fr-CA"/>
        </w:rPr>
        <w:t>émiques</w:t>
      </w:r>
      <w:r w:rsidR="00E620E9" w:rsidRPr="006F4DD6">
        <w:rPr>
          <w:kern w:val="22"/>
          <w:lang w:val="fr-CA"/>
        </w:rPr>
        <w:t xml:space="preserve"> qu’elle soutient, apporte une contribution indispensable pour lutter contre les changements climatiques</w:t>
      </w:r>
      <w:r w:rsidR="00153214" w:rsidRPr="006F4DD6">
        <w:rPr>
          <w:kern w:val="22"/>
          <w:lang w:val="fr-CA"/>
        </w:rPr>
        <w:t>.</w:t>
      </w:r>
    </w:p>
    <w:p w14:paraId="0D644BFE" w14:textId="6AA0AD0C" w:rsidR="001129F0" w:rsidRPr="006F4DD6" w:rsidRDefault="00E620E9" w:rsidP="00222F2C">
      <w:pPr>
        <w:pStyle w:val="Para10"/>
        <w:tabs>
          <w:tab w:val="clear" w:pos="360"/>
          <w:tab w:val="num" w:pos="720"/>
        </w:tabs>
        <w:rPr>
          <w:kern w:val="22"/>
          <w:lang w:val="fr-CA"/>
        </w:rPr>
      </w:pPr>
      <w:r w:rsidRPr="001A2092">
        <w:rPr>
          <w:i/>
          <w:kern w:val="22"/>
          <w:lang w:val="fr-CA"/>
        </w:rPr>
        <w:t>La diversité biologique et les écosystèmes jouent un rôle important dans le renforcement de la réponse mondiale aux changements climatiques tout en offrant de nombreux bienfaits</w:t>
      </w:r>
      <w:r w:rsidR="00F75A62" w:rsidRPr="001A2092">
        <w:rPr>
          <w:i/>
          <w:kern w:val="22"/>
          <w:lang w:val="fr-CA"/>
        </w:rPr>
        <w:t>.</w:t>
      </w:r>
      <w:r w:rsidR="00F75A62" w:rsidRPr="006F4DD6">
        <w:rPr>
          <w:b/>
          <w:kern w:val="22"/>
          <w:lang w:val="fr-CA"/>
        </w:rPr>
        <w:t xml:space="preserve"> </w:t>
      </w:r>
      <w:r w:rsidR="009151C8">
        <w:rPr>
          <w:kern w:val="22"/>
          <w:lang w:val="fr-CA"/>
        </w:rPr>
        <w:t>La</w:t>
      </w:r>
      <w:r w:rsidR="00194D0C" w:rsidRPr="006F4DD6">
        <w:rPr>
          <w:kern w:val="22"/>
          <w:lang w:val="fr-CA"/>
        </w:rPr>
        <w:t xml:space="preserve"> protection, </w:t>
      </w:r>
      <w:r w:rsidR="00AD0696">
        <w:rPr>
          <w:kern w:val="22"/>
          <w:lang w:val="fr-CA"/>
        </w:rPr>
        <w:t xml:space="preserve">la </w:t>
      </w:r>
      <w:r w:rsidR="00194D0C" w:rsidRPr="006F4DD6">
        <w:rPr>
          <w:kern w:val="22"/>
          <w:lang w:val="fr-CA"/>
        </w:rPr>
        <w:t xml:space="preserve">gestion et </w:t>
      </w:r>
      <w:r w:rsidR="00AD0696">
        <w:rPr>
          <w:kern w:val="22"/>
          <w:lang w:val="fr-CA"/>
        </w:rPr>
        <w:t xml:space="preserve">la </w:t>
      </w:r>
      <w:r w:rsidR="00194D0C" w:rsidRPr="006F4DD6">
        <w:rPr>
          <w:kern w:val="22"/>
          <w:lang w:val="fr-CA"/>
        </w:rPr>
        <w:t>restauration</w:t>
      </w:r>
      <w:r w:rsidR="00C56DF1" w:rsidRPr="006F4DD6">
        <w:rPr>
          <w:kern w:val="22"/>
          <w:lang w:val="fr-CA"/>
        </w:rPr>
        <w:t xml:space="preserve"> </w:t>
      </w:r>
      <w:r w:rsidR="009151C8">
        <w:rPr>
          <w:kern w:val="22"/>
          <w:lang w:val="fr-CA"/>
        </w:rPr>
        <w:t xml:space="preserve">améliorées </w:t>
      </w:r>
      <w:r w:rsidR="00C56DF1" w:rsidRPr="006F4DD6">
        <w:rPr>
          <w:kern w:val="22"/>
          <w:lang w:val="fr-CA"/>
        </w:rPr>
        <w:t>des écosystè</w:t>
      </w:r>
      <w:r w:rsidR="00194D0C" w:rsidRPr="006F4DD6">
        <w:rPr>
          <w:kern w:val="22"/>
          <w:lang w:val="fr-CA"/>
        </w:rPr>
        <w:t>mes naturels et gérés peu</w:t>
      </w:r>
      <w:r w:rsidR="009151C8">
        <w:rPr>
          <w:kern w:val="22"/>
          <w:lang w:val="fr-CA"/>
        </w:rPr>
        <w:t xml:space="preserve">vent apporter une contribution importante à l’atténuation des </w:t>
      </w:r>
      <w:r w:rsidR="00C56DF1" w:rsidRPr="006F4DD6">
        <w:rPr>
          <w:kern w:val="22"/>
          <w:lang w:val="fr-CA"/>
        </w:rPr>
        <w:t xml:space="preserve">changements </w:t>
      </w:r>
      <w:r w:rsidR="00194D0C" w:rsidRPr="006F4DD6">
        <w:rPr>
          <w:kern w:val="22"/>
          <w:lang w:val="fr-CA"/>
        </w:rPr>
        <w:t xml:space="preserve">climatiques causés par l’homme. Les approches fondées sur les écosystèmes peuvent aussi </w:t>
      </w:r>
      <w:r w:rsidR="009151C8">
        <w:rPr>
          <w:kern w:val="22"/>
          <w:lang w:val="fr-CA"/>
        </w:rPr>
        <w:t>être un élément significatif de</w:t>
      </w:r>
      <w:r w:rsidR="00194D0C" w:rsidRPr="006F4DD6">
        <w:rPr>
          <w:kern w:val="22"/>
          <w:lang w:val="fr-CA"/>
        </w:rPr>
        <w:t xml:space="preserve"> l’adaptation aux</w:t>
      </w:r>
      <w:r w:rsidR="00C56DF1" w:rsidRPr="006F4DD6">
        <w:rPr>
          <w:kern w:val="22"/>
          <w:lang w:val="fr-CA"/>
        </w:rPr>
        <w:t xml:space="preserve"> changements </w:t>
      </w:r>
      <w:r w:rsidR="00194D0C" w:rsidRPr="006F4DD6">
        <w:rPr>
          <w:kern w:val="22"/>
          <w:lang w:val="fr-CA"/>
        </w:rPr>
        <w:t xml:space="preserve">climatiques et </w:t>
      </w:r>
      <w:r w:rsidR="009151C8">
        <w:rPr>
          <w:kern w:val="22"/>
          <w:lang w:val="fr-CA"/>
        </w:rPr>
        <w:t>de</w:t>
      </w:r>
      <w:r w:rsidR="00C56DF1" w:rsidRPr="006F4DD6">
        <w:rPr>
          <w:kern w:val="22"/>
          <w:lang w:val="fr-CA"/>
        </w:rPr>
        <w:t xml:space="preserve"> </w:t>
      </w:r>
      <w:r w:rsidR="00194D0C" w:rsidRPr="006F4DD6">
        <w:rPr>
          <w:kern w:val="22"/>
          <w:lang w:val="fr-CA"/>
        </w:rPr>
        <w:t>la réduction des risques de catastrophes</w:t>
      </w:r>
      <w:r w:rsidR="00C56DF1" w:rsidRPr="006F4DD6">
        <w:rPr>
          <w:kern w:val="22"/>
          <w:lang w:val="fr-CA"/>
        </w:rPr>
        <w:t>,</w:t>
      </w:r>
      <w:r w:rsidR="00194D0C" w:rsidRPr="006F4DD6">
        <w:rPr>
          <w:kern w:val="22"/>
          <w:lang w:val="fr-CA"/>
        </w:rPr>
        <w:t xml:space="preserve"> et ainsi réduire la vulnérabilité </w:t>
      </w:r>
      <w:r w:rsidR="00AD0696">
        <w:rPr>
          <w:kern w:val="22"/>
          <w:lang w:val="fr-CA"/>
        </w:rPr>
        <w:t xml:space="preserve">aux changements climatiques </w:t>
      </w:r>
      <w:r w:rsidR="00194D0C" w:rsidRPr="006F4DD6">
        <w:rPr>
          <w:kern w:val="22"/>
          <w:lang w:val="fr-CA"/>
        </w:rPr>
        <w:t xml:space="preserve">des populations, surtout des peuples autochtones </w:t>
      </w:r>
      <w:r w:rsidR="00C56DF1" w:rsidRPr="006F4DD6">
        <w:rPr>
          <w:kern w:val="22"/>
          <w:lang w:val="fr-CA"/>
        </w:rPr>
        <w:t>et des communautés locales, et d</w:t>
      </w:r>
      <w:r w:rsidR="00341702">
        <w:rPr>
          <w:kern w:val="22"/>
          <w:lang w:val="fr-CA"/>
        </w:rPr>
        <w:t>es populations subissant l</w:t>
      </w:r>
      <w:r w:rsidR="00194D0C" w:rsidRPr="006F4DD6">
        <w:rPr>
          <w:kern w:val="22"/>
          <w:lang w:val="fr-CA"/>
        </w:rPr>
        <w:t>es conséquences de mani</w:t>
      </w:r>
      <w:r w:rsidR="00C56DF1" w:rsidRPr="006F4DD6">
        <w:rPr>
          <w:kern w:val="22"/>
          <w:lang w:val="fr-CA"/>
        </w:rPr>
        <w:t xml:space="preserve">ère disproportionnée, </w:t>
      </w:r>
      <w:r w:rsidR="00AD0696">
        <w:rPr>
          <w:kern w:val="22"/>
          <w:lang w:val="fr-CA"/>
        </w:rPr>
        <w:t>de même</w:t>
      </w:r>
      <w:r w:rsidR="00C56DF1" w:rsidRPr="006F4DD6">
        <w:rPr>
          <w:kern w:val="22"/>
          <w:lang w:val="fr-CA"/>
        </w:rPr>
        <w:t xml:space="preserve"> que des é</w:t>
      </w:r>
      <w:r w:rsidR="00194D0C" w:rsidRPr="006F4DD6">
        <w:rPr>
          <w:kern w:val="22"/>
          <w:lang w:val="fr-CA"/>
        </w:rPr>
        <w:t>cosyst</w:t>
      </w:r>
      <w:r w:rsidR="00C56DF1" w:rsidRPr="006F4DD6">
        <w:rPr>
          <w:kern w:val="22"/>
          <w:lang w:val="fr-CA"/>
        </w:rPr>
        <w:t>èmes desquels elles dépend</w:t>
      </w:r>
      <w:r w:rsidR="00AD0696">
        <w:rPr>
          <w:kern w:val="22"/>
          <w:lang w:val="fr-CA"/>
        </w:rPr>
        <w:t>ent</w:t>
      </w:r>
      <w:r w:rsidR="001129F0" w:rsidRPr="006F4DD6">
        <w:rPr>
          <w:kern w:val="22"/>
          <w:lang w:val="fr-CA"/>
        </w:rPr>
        <w:t>.</w:t>
      </w:r>
    </w:p>
    <w:p w14:paraId="04995B2B" w14:textId="793906B1" w:rsidR="006A1808" w:rsidRPr="006F4DD6" w:rsidRDefault="000017F0" w:rsidP="006924CD">
      <w:pPr>
        <w:pStyle w:val="Titre2"/>
        <w:ind w:left="1560" w:hanging="567"/>
        <w:jc w:val="left"/>
        <w:rPr>
          <w:snapToGrid w:val="0"/>
          <w:kern w:val="22"/>
          <w:lang w:val="fr-CA"/>
        </w:rPr>
      </w:pPr>
      <w:r w:rsidRPr="006F4DD6">
        <w:rPr>
          <w:kern w:val="22"/>
          <w:lang w:val="fr-CA"/>
        </w:rPr>
        <w:t>A.</w:t>
      </w:r>
      <w:r w:rsidRPr="006F4DD6">
        <w:rPr>
          <w:kern w:val="22"/>
          <w:lang w:val="fr-CA"/>
        </w:rPr>
        <w:tab/>
      </w:r>
      <w:r w:rsidR="00C56DF1" w:rsidRPr="006F4DD6">
        <w:rPr>
          <w:kern w:val="22"/>
          <w:lang w:val="fr-CA"/>
        </w:rPr>
        <w:t>Conséquences des changements climatiques sur la diversité biologique et les communautés qui dépendent des services et des fonctions écosystémiques, notamment les peuples autochtones et les communautés locales</w:t>
      </w:r>
    </w:p>
    <w:p w14:paraId="4EA5BFC5" w14:textId="311B82DF" w:rsidR="0014370D" w:rsidRPr="006F4DD6" w:rsidRDefault="00F34375" w:rsidP="00222F2C">
      <w:pPr>
        <w:pStyle w:val="Para10"/>
        <w:tabs>
          <w:tab w:val="clear" w:pos="360"/>
        </w:tabs>
        <w:rPr>
          <w:kern w:val="22"/>
          <w:szCs w:val="22"/>
          <w:lang w:val="fr-CA"/>
        </w:rPr>
      </w:pPr>
      <w:r w:rsidRPr="001A2092">
        <w:rPr>
          <w:i/>
          <w:kern w:val="22"/>
          <w:lang w:val="fr-CA"/>
        </w:rPr>
        <w:t xml:space="preserve">Les systèmes naturels et humains courent un risque beaucoup plus grand dans un monde où le réchauffement climatique atteint 2°C comparativement à 1,5°C </w:t>
      </w:r>
      <w:r w:rsidR="00404168" w:rsidRPr="001A2092">
        <w:rPr>
          <w:i/>
          <w:kern w:val="22"/>
          <w:lang w:val="fr-CA"/>
        </w:rPr>
        <w:t>au-dessus des niveaux préindustriels</w:t>
      </w:r>
      <w:r w:rsidR="00AD0696">
        <w:rPr>
          <w:i/>
          <w:kern w:val="22"/>
          <w:lang w:val="fr-CA"/>
        </w:rPr>
        <w:t>,</w:t>
      </w:r>
      <w:r w:rsidRPr="001A2092">
        <w:rPr>
          <w:i/>
          <w:kern w:val="22"/>
          <w:lang w:val="fr-CA"/>
        </w:rPr>
        <w:t xml:space="preserve"> et ce</w:t>
      </w:r>
      <w:r w:rsidR="00404168" w:rsidRPr="001A2092">
        <w:rPr>
          <w:i/>
          <w:kern w:val="22"/>
          <w:lang w:val="fr-CA"/>
        </w:rPr>
        <w:t>s risques s</w:t>
      </w:r>
      <w:r w:rsidRPr="001A2092">
        <w:rPr>
          <w:i/>
          <w:kern w:val="22"/>
          <w:lang w:val="fr-CA"/>
        </w:rPr>
        <w:t xml:space="preserve">ont déjà apparents </w:t>
      </w:r>
      <w:r w:rsidR="00D5463D" w:rsidRPr="001A2092">
        <w:rPr>
          <w:i/>
          <w:kern w:val="22"/>
          <w:lang w:val="fr-CA"/>
        </w:rPr>
        <w:t>(</w:t>
      </w:r>
      <w:r w:rsidRPr="001A2092">
        <w:rPr>
          <w:i/>
          <w:kern w:val="22"/>
          <w:lang w:val="fr-CA"/>
        </w:rPr>
        <w:t xml:space="preserve">à 1°C de plus que les températures </w:t>
      </w:r>
      <w:r w:rsidR="00404168" w:rsidRPr="001A2092">
        <w:rPr>
          <w:i/>
          <w:kern w:val="22"/>
          <w:lang w:val="fr-CA"/>
        </w:rPr>
        <w:t>des niveaux préindustriels</w:t>
      </w:r>
      <w:r w:rsidR="00F87462" w:rsidRPr="001A2092">
        <w:rPr>
          <w:i/>
          <w:kern w:val="22"/>
          <w:lang w:val="fr-CA"/>
        </w:rPr>
        <w:t>).</w:t>
      </w:r>
      <w:r w:rsidR="00F87462" w:rsidRPr="006F4DD6">
        <w:rPr>
          <w:b/>
          <w:kern w:val="22"/>
          <w:lang w:val="fr-CA"/>
        </w:rPr>
        <w:t xml:space="preserve"> </w:t>
      </w:r>
      <w:r w:rsidR="00404168" w:rsidRPr="006F4DD6">
        <w:rPr>
          <w:kern w:val="22"/>
          <w:lang w:val="fr-CA"/>
        </w:rPr>
        <w:t>Les projections de certains indicateurs révèlent que l’appauvrissement de la diversité biologique</w:t>
      </w:r>
      <w:r w:rsidR="00D5463D">
        <w:rPr>
          <w:kern w:val="22"/>
          <w:lang w:val="fr-CA"/>
        </w:rPr>
        <w:t xml:space="preserve"> peut être deux fois plus élevé</w:t>
      </w:r>
      <w:r w:rsidR="00404168" w:rsidRPr="006F4DD6">
        <w:rPr>
          <w:kern w:val="22"/>
          <w:lang w:val="fr-CA"/>
        </w:rPr>
        <w:t xml:space="preserve"> et </w:t>
      </w:r>
      <w:r w:rsidR="00D5463D">
        <w:rPr>
          <w:kern w:val="22"/>
          <w:lang w:val="fr-CA"/>
        </w:rPr>
        <w:t xml:space="preserve">même </w:t>
      </w:r>
      <w:r w:rsidR="00404168" w:rsidRPr="006F4DD6">
        <w:rPr>
          <w:kern w:val="22"/>
          <w:lang w:val="fr-CA"/>
        </w:rPr>
        <w:t xml:space="preserve">plus lorsque le réchauffement climatique atteint 2°C </w:t>
      </w:r>
      <w:r w:rsidR="00D5463D">
        <w:rPr>
          <w:kern w:val="22"/>
          <w:lang w:val="fr-CA"/>
        </w:rPr>
        <w:t>au lieu de</w:t>
      </w:r>
      <w:r w:rsidR="00404168" w:rsidRPr="006F4DD6">
        <w:rPr>
          <w:kern w:val="22"/>
          <w:lang w:val="fr-CA"/>
        </w:rPr>
        <w:t xml:space="preserve"> 1,5°C</w:t>
      </w:r>
      <w:r w:rsidR="009B1F73" w:rsidRPr="006F4DD6">
        <w:rPr>
          <w:kern w:val="22"/>
          <w:lang w:val="fr-CA"/>
        </w:rPr>
        <w:t>.</w:t>
      </w:r>
    </w:p>
    <w:p w14:paraId="6575A249" w14:textId="18206433" w:rsidR="0014370D" w:rsidRPr="006F4DD6" w:rsidRDefault="008659A6" w:rsidP="00222F2C">
      <w:pPr>
        <w:pStyle w:val="Para10"/>
        <w:tabs>
          <w:tab w:val="clear" w:pos="360"/>
        </w:tabs>
        <w:rPr>
          <w:bCs/>
          <w:kern w:val="22"/>
          <w:lang w:val="fr-CA"/>
        </w:rPr>
      </w:pPr>
      <w:r w:rsidRPr="006F4DD6">
        <w:rPr>
          <w:bCs/>
          <w:kern w:val="22"/>
          <w:lang w:val="fr-CA"/>
        </w:rPr>
        <w:t xml:space="preserve">Les </w:t>
      </w:r>
      <w:r w:rsidR="001242E5" w:rsidRPr="006F4DD6">
        <w:rPr>
          <w:bCs/>
          <w:kern w:val="22"/>
          <w:lang w:val="fr-CA"/>
        </w:rPr>
        <w:t xml:space="preserve">changements climatiques </w:t>
      </w:r>
      <w:r w:rsidRPr="006F4DD6">
        <w:rPr>
          <w:bCs/>
          <w:kern w:val="22"/>
          <w:lang w:val="fr-CA"/>
        </w:rPr>
        <w:t xml:space="preserve">pourraient avoir les impacts suivants </w:t>
      </w:r>
      <w:r w:rsidR="001242E5" w:rsidRPr="006F4DD6">
        <w:rPr>
          <w:bCs/>
          <w:kern w:val="22"/>
          <w:lang w:val="fr-CA"/>
        </w:rPr>
        <w:t>sur l</w:t>
      </w:r>
      <w:r w:rsidR="00D5463D">
        <w:rPr>
          <w:bCs/>
          <w:kern w:val="22"/>
          <w:lang w:val="fr-CA"/>
        </w:rPr>
        <w:t>es</w:t>
      </w:r>
      <w:r w:rsidR="001242E5" w:rsidRPr="006F4DD6">
        <w:rPr>
          <w:bCs/>
          <w:kern w:val="22"/>
          <w:lang w:val="fr-CA"/>
        </w:rPr>
        <w:t xml:space="preserve"> fonction</w:t>
      </w:r>
      <w:r w:rsidR="00D5463D">
        <w:rPr>
          <w:bCs/>
          <w:kern w:val="22"/>
          <w:lang w:val="fr-CA"/>
        </w:rPr>
        <w:t>s</w:t>
      </w:r>
      <w:r w:rsidR="001242E5" w:rsidRPr="006F4DD6">
        <w:rPr>
          <w:bCs/>
          <w:kern w:val="22"/>
          <w:lang w:val="fr-CA"/>
        </w:rPr>
        <w:t xml:space="preserve"> et les services écosystémiques </w:t>
      </w:r>
      <w:r w:rsidR="0014370D" w:rsidRPr="006F4DD6">
        <w:rPr>
          <w:bCs/>
          <w:kern w:val="22"/>
          <w:lang w:val="fr-CA"/>
        </w:rPr>
        <w:t>:</w:t>
      </w:r>
    </w:p>
    <w:p w14:paraId="03CDED5C" w14:textId="47A096EF" w:rsidR="009B1F73" w:rsidRPr="006F4DD6" w:rsidRDefault="00D5463D" w:rsidP="00C61BAC">
      <w:pPr>
        <w:pStyle w:val="Para10"/>
        <w:numPr>
          <w:ilvl w:val="1"/>
          <w:numId w:val="12"/>
        </w:numPr>
        <w:suppressLineNumbers/>
        <w:suppressAutoHyphens/>
        <w:kinsoku w:val="0"/>
        <w:overflowPunct w:val="0"/>
        <w:autoSpaceDE w:val="0"/>
        <w:autoSpaceDN w:val="0"/>
        <w:snapToGrid w:val="0"/>
        <w:rPr>
          <w:kern w:val="22"/>
          <w:szCs w:val="22"/>
          <w:lang w:val="fr-CA"/>
        </w:rPr>
      </w:pPr>
      <w:r>
        <w:rPr>
          <w:kern w:val="22"/>
          <w:lang w:val="fr-CA"/>
        </w:rPr>
        <w:t>L</w:t>
      </w:r>
      <w:r w:rsidR="001242E5" w:rsidRPr="006F4DD6">
        <w:rPr>
          <w:kern w:val="22"/>
          <w:lang w:val="fr-CA"/>
        </w:rPr>
        <w:t xml:space="preserve">a zone terrestre de la Terre subirait une transformation des écosystèmes deux fois plus importante </w:t>
      </w:r>
      <w:r w:rsidR="000313BD">
        <w:rPr>
          <w:kern w:val="22"/>
          <w:lang w:val="fr-CA"/>
        </w:rPr>
        <w:t xml:space="preserve">à un niveau de réchauffement climatique de 2°C comparativement à une </w:t>
      </w:r>
      <w:r w:rsidR="001242E5" w:rsidRPr="006F4DD6">
        <w:rPr>
          <w:kern w:val="22"/>
          <w:lang w:val="fr-CA"/>
        </w:rPr>
        <w:t>augmentation de 1,5°C. Les conséquences sur la répa</w:t>
      </w:r>
      <w:r w:rsidR="00EC633F" w:rsidRPr="006F4DD6">
        <w:rPr>
          <w:kern w:val="22"/>
          <w:lang w:val="fr-CA"/>
        </w:rPr>
        <w:t>r</w:t>
      </w:r>
      <w:r w:rsidR="001242E5" w:rsidRPr="006F4DD6">
        <w:rPr>
          <w:kern w:val="22"/>
          <w:lang w:val="fr-CA"/>
        </w:rPr>
        <w:t xml:space="preserve">tition géographique des espèces à 2°C </w:t>
      </w:r>
      <w:r w:rsidR="00EC633F" w:rsidRPr="006F4DD6">
        <w:rPr>
          <w:kern w:val="22"/>
          <w:lang w:val="fr-CA"/>
        </w:rPr>
        <w:t>d’augmentation serai</w:t>
      </w:r>
      <w:r w:rsidR="000313BD">
        <w:rPr>
          <w:kern w:val="22"/>
          <w:lang w:val="fr-CA"/>
        </w:rPr>
        <w:t>en</w:t>
      </w:r>
      <w:r w:rsidR="00EC633F" w:rsidRPr="006F4DD6">
        <w:rPr>
          <w:kern w:val="22"/>
          <w:lang w:val="fr-CA"/>
        </w:rPr>
        <w:t>t au moins deux fois plus importante</w:t>
      </w:r>
      <w:r w:rsidR="000313BD">
        <w:rPr>
          <w:kern w:val="22"/>
          <w:lang w:val="fr-CA"/>
        </w:rPr>
        <w:t>s que les conséquences à 1,5°C. Six </w:t>
      </w:r>
      <w:r w:rsidR="00EC633F" w:rsidRPr="006F4DD6">
        <w:rPr>
          <w:kern w:val="22"/>
          <w:lang w:val="fr-CA"/>
        </w:rPr>
        <w:t>pour cent des insectes, 4 pour cent des vertébrés et 8 pour cent des esp</w:t>
      </w:r>
      <w:r w:rsidR="00CB3BAF" w:rsidRPr="006F4DD6">
        <w:rPr>
          <w:kern w:val="22"/>
          <w:lang w:val="fr-CA"/>
        </w:rPr>
        <w:t>èces de végétau</w:t>
      </w:r>
      <w:r w:rsidR="00EC633F" w:rsidRPr="006F4DD6">
        <w:rPr>
          <w:kern w:val="22"/>
          <w:lang w:val="fr-CA"/>
        </w:rPr>
        <w:t xml:space="preserve">x perdront près </w:t>
      </w:r>
      <w:r w:rsidR="000313BD">
        <w:rPr>
          <w:kern w:val="22"/>
          <w:lang w:val="fr-CA"/>
        </w:rPr>
        <w:t>d</w:t>
      </w:r>
      <w:r w:rsidR="00EC633F" w:rsidRPr="006F4DD6">
        <w:rPr>
          <w:kern w:val="22"/>
          <w:lang w:val="fr-CA"/>
        </w:rPr>
        <w:t>e la moitié de leur répa</w:t>
      </w:r>
      <w:r w:rsidR="00CB3BAF" w:rsidRPr="006F4DD6">
        <w:rPr>
          <w:kern w:val="22"/>
          <w:lang w:val="fr-CA"/>
        </w:rPr>
        <w:t>rtition géographique déterm</w:t>
      </w:r>
      <w:r w:rsidR="00EC633F" w:rsidRPr="006F4DD6">
        <w:rPr>
          <w:kern w:val="22"/>
          <w:lang w:val="fr-CA"/>
        </w:rPr>
        <w:t>inée p</w:t>
      </w:r>
      <w:r w:rsidR="00CB3BAF" w:rsidRPr="006F4DD6">
        <w:rPr>
          <w:kern w:val="22"/>
          <w:lang w:val="fr-CA"/>
        </w:rPr>
        <w:t>ar le climat</w:t>
      </w:r>
      <w:r w:rsidR="000313BD">
        <w:rPr>
          <w:kern w:val="22"/>
          <w:lang w:val="fr-CA"/>
        </w:rPr>
        <w:t xml:space="preserve"> à</w:t>
      </w:r>
      <w:r w:rsidR="000313BD" w:rsidRPr="006F4DD6">
        <w:rPr>
          <w:kern w:val="22"/>
          <w:lang w:val="fr-CA"/>
        </w:rPr>
        <w:t xml:space="preserve"> un niveau de récha</w:t>
      </w:r>
      <w:r w:rsidR="000313BD">
        <w:rPr>
          <w:kern w:val="22"/>
          <w:lang w:val="fr-CA"/>
        </w:rPr>
        <w:t>uffement climatique de 1</w:t>
      </w:r>
      <w:r w:rsidR="000B0632">
        <w:rPr>
          <w:kern w:val="22"/>
          <w:lang w:val="fr-CA"/>
        </w:rPr>
        <w:t>,5</w:t>
      </w:r>
      <w:r w:rsidR="00B72C78">
        <w:rPr>
          <w:kern w:val="22"/>
          <w:lang w:val="fr-CA"/>
        </w:rPr>
        <w:t>°C</w:t>
      </w:r>
      <w:r w:rsidR="000313BD">
        <w:rPr>
          <w:kern w:val="22"/>
          <w:lang w:val="fr-CA"/>
        </w:rPr>
        <w:t xml:space="preserve">, </w:t>
      </w:r>
      <w:r w:rsidR="00CB3BAF" w:rsidRPr="006F4DD6">
        <w:rPr>
          <w:kern w:val="22"/>
          <w:lang w:val="fr-CA"/>
        </w:rPr>
        <w:t>compa</w:t>
      </w:r>
      <w:r w:rsidR="00EC633F" w:rsidRPr="006F4DD6">
        <w:rPr>
          <w:kern w:val="22"/>
          <w:lang w:val="fr-CA"/>
        </w:rPr>
        <w:t xml:space="preserve">rativement à 18 pour cent des </w:t>
      </w:r>
      <w:r w:rsidR="00CB3BAF" w:rsidRPr="006F4DD6">
        <w:rPr>
          <w:kern w:val="22"/>
          <w:lang w:val="fr-CA"/>
        </w:rPr>
        <w:t>i</w:t>
      </w:r>
      <w:r w:rsidR="00EC633F" w:rsidRPr="006F4DD6">
        <w:rPr>
          <w:kern w:val="22"/>
          <w:lang w:val="fr-CA"/>
        </w:rPr>
        <w:t xml:space="preserve">nsectes, </w:t>
      </w:r>
      <w:r w:rsidR="001A2092">
        <w:rPr>
          <w:kern w:val="22"/>
          <w:lang w:val="fr-CA"/>
        </w:rPr>
        <w:t xml:space="preserve">8 pour cent des vertébrés et </w:t>
      </w:r>
      <w:r w:rsidR="00EC633F" w:rsidRPr="006F4DD6">
        <w:rPr>
          <w:kern w:val="22"/>
          <w:lang w:val="fr-CA"/>
        </w:rPr>
        <w:t>16 pour cent des végétaux à un niveau de réchauffement climatique de 2°C</w:t>
      </w:r>
      <w:r w:rsidR="00D71FB2">
        <w:rPr>
          <w:kern w:val="22"/>
          <w:lang w:val="fr-CA"/>
        </w:rPr>
        <w:t>;</w:t>
      </w:r>
    </w:p>
    <w:p w14:paraId="5B43C87F" w14:textId="6B59AE20" w:rsidR="0014370D" w:rsidRPr="006F4DD6" w:rsidRDefault="00CB3BAF" w:rsidP="0014370D">
      <w:pPr>
        <w:pStyle w:val="Para10"/>
        <w:numPr>
          <w:ilvl w:val="1"/>
          <w:numId w:val="12"/>
        </w:numPr>
        <w:suppressLineNumbers/>
        <w:suppressAutoHyphens/>
        <w:kinsoku w:val="0"/>
        <w:overflowPunct w:val="0"/>
        <w:autoSpaceDE w:val="0"/>
        <w:autoSpaceDN w:val="0"/>
        <w:snapToGrid w:val="0"/>
        <w:rPr>
          <w:kern w:val="22"/>
          <w:szCs w:val="22"/>
          <w:lang w:val="fr-CA"/>
        </w:rPr>
      </w:pPr>
      <w:r w:rsidRPr="006F4DD6">
        <w:rPr>
          <w:kern w:val="22"/>
          <w:szCs w:val="22"/>
          <w:lang w:val="fr-CA"/>
        </w:rPr>
        <w:t xml:space="preserve">Les risques pour la fonctionnalité des écosystèmes, le mésappariement </w:t>
      </w:r>
      <w:proofErr w:type="spellStart"/>
      <w:r w:rsidRPr="006F4DD6">
        <w:rPr>
          <w:kern w:val="22"/>
          <w:szCs w:val="22"/>
          <w:lang w:val="fr-CA"/>
        </w:rPr>
        <w:t>phénologique</w:t>
      </w:r>
      <w:proofErr w:type="spellEnd"/>
      <w:r w:rsidRPr="006F4DD6">
        <w:rPr>
          <w:kern w:val="22"/>
          <w:szCs w:val="22"/>
          <w:lang w:val="fr-CA"/>
        </w:rPr>
        <w:t xml:space="preserve"> et les étendues géographiques des principaux insectes pollinisateur</w:t>
      </w:r>
      <w:r w:rsidR="000313BD">
        <w:rPr>
          <w:kern w:val="22"/>
          <w:szCs w:val="22"/>
          <w:lang w:val="fr-CA"/>
        </w:rPr>
        <w:t>s</w:t>
      </w:r>
      <w:r w:rsidRPr="006F4DD6">
        <w:rPr>
          <w:kern w:val="22"/>
          <w:szCs w:val="22"/>
          <w:lang w:val="fr-CA"/>
        </w:rPr>
        <w:t xml:space="preserve"> de </w:t>
      </w:r>
      <w:r w:rsidR="008F501C" w:rsidRPr="006F4DD6">
        <w:rPr>
          <w:kern w:val="22"/>
          <w:szCs w:val="22"/>
          <w:lang w:val="fr-CA"/>
        </w:rPr>
        <w:t>cultures</w:t>
      </w:r>
      <w:r w:rsidRPr="006F4DD6">
        <w:rPr>
          <w:kern w:val="22"/>
          <w:szCs w:val="22"/>
          <w:lang w:val="fr-CA"/>
        </w:rPr>
        <w:t xml:space="preserve"> sont </w:t>
      </w:r>
      <w:r w:rsidR="008F501C" w:rsidRPr="006F4DD6">
        <w:rPr>
          <w:kern w:val="22"/>
          <w:szCs w:val="22"/>
          <w:lang w:val="fr-CA"/>
        </w:rPr>
        <w:t>moins élevés</w:t>
      </w:r>
      <w:r w:rsidRPr="006F4DD6">
        <w:rPr>
          <w:kern w:val="22"/>
          <w:szCs w:val="22"/>
          <w:lang w:val="fr-CA"/>
        </w:rPr>
        <w:t xml:space="preserve"> à un niveau de récha</w:t>
      </w:r>
      <w:r w:rsidR="008F501C" w:rsidRPr="006F4DD6">
        <w:rPr>
          <w:kern w:val="22"/>
          <w:szCs w:val="22"/>
          <w:lang w:val="fr-CA"/>
        </w:rPr>
        <w:t>uffement climatique de 1,5</w:t>
      </w:r>
      <w:r w:rsidR="00B72C78">
        <w:rPr>
          <w:kern w:val="22"/>
          <w:szCs w:val="22"/>
          <w:lang w:val="fr-CA"/>
        </w:rPr>
        <w:t>°C</w:t>
      </w:r>
      <w:r w:rsidR="008F501C" w:rsidRPr="006F4DD6">
        <w:rPr>
          <w:kern w:val="22"/>
          <w:szCs w:val="22"/>
          <w:lang w:val="fr-CA"/>
        </w:rPr>
        <w:t xml:space="preserve"> qu’</w:t>
      </w:r>
      <w:r w:rsidRPr="006F4DD6">
        <w:rPr>
          <w:kern w:val="22"/>
          <w:szCs w:val="22"/>
          <w:lang w:val="fr-CA"/>
        </w:rPr>
        <w:t xml:space="preserve">à un niveau </w:t>
      </w:r>
      <w:r w:rsidR="008F501C" w:rsidRPr="006F4DD6">
        <w:rPr>
          <w:kern w:val="22"/>
          <w:szCs w:val="22"/>
          <w:lang w:val="fr-CA"/>
        </w:rPr>
        <w:t xml:space="preserve">de réchauffement climatique </w:t>
      </w:r>
      <w:r w:rsidRPr="006F4DD6">
        <w:rPr>
          <w:kern w:val="22"/>
          <w:szCs w:val="22"/>
          <w:lang w:val="fr-CA"/>
        </w:rPr>
        <w:t>de 2</w:t>
      </w:r>
      <w:r w:rsidR="00B72C78">
        <w:rPr>
          <w:kern w:val="22"/>
          <w:szCs w:val="22"/>
          <w:lang w:val="fr-CA"/>
        </w:rPr>
        <w:t>°C</w:t>
      </w:r>
      <w:r w:rsidRPr="006F4DD6">
        <w:rPr>
          <w:kern w:val="22"/>
          <w:szCs w:val="22"/>
          <w:lang w:val="fr-CA"/>
        </w:rPr>
        <w:t xml:space="preserve"> ou plus</w:t>
      </w:r>
      <w:r w:rsidR="00D71FB2">
        <w:rPr>
          <w:kern w:val="22"/>
          <w:szCs w:val="22"/>
          <w:lang w:val="fr-CA"/>
        </w:rPr>
        <w:t>;</w:t>
      </w:r>
    </w:p>
    <w:p w14:paraId="526F9D9B" w14:textId="63438F2D" w:rsidR="0014370D" w:rsidRPr="006F4DD6" w:rsidRDefault="008F501C" w:rsidP="0014370D">
      <w:pPr>
        <w:pStyle w:val="Para10"/>
        <w:numPr>
          <w:ilvl w:val="1"/>
          <w:numId w:val="12"/>
        </w:numPr>
        <w:snapToGrid w:val="0"/>
        <w:spacing w:after="0"/>
        <w:rPr>
          <w:kern w:val="22"/>
          <w:szCs w:val="22"/>
          <w:lang w:val="fr-CA"/>
        </w:rPr>
      </w:pPr>
      <w:r w:rsidRPr="006F4DD6">
        <w:rPr>
          <w:kern w:val="22"/>
          <w:szCs w:val="22"/>
          <w:lang w:val="fr-CA"/>
        </w:rPr>
        <w:t>Les occasions de propagation des espèces envahissantes et les risques qui s’y rapportent sont généralement inférieurs à un niveau de réchauffement climatique de</w:t>
      </w:r>
      <w:r w:rsidR="000313BD">
        <w:rPr>
          <w:kern w:val="22"/>
          <w:szCs w:val="22"/>
          <w:lang w:val="fr-CA"/>
        </w:rPr>
        <w:t xml:space="preserve"> </w:t>
      </w:r>
      <w:r w:rsidRPr="006F4DD6">
        <w:rPr>
          <w:kern w:val="22"/>
          <w:szCs w:val="22"/>
          <w:lang w:val="fr-CA"/>
        </w:rPr>
        <w:t>1,5</w:t>
      </w:r>
      <w:r w:rsidR="00B72C78">
        <w:rPr>
          <w:kern w:val="22"/>
          <w:szCs w:val="22"/>
          <w:lang w:val="fr-CA"/>
        </w:rPr>
        <w:t>°C</w:t>
      </w:r>
      <w:r w:rsidRPr="006F4DD6">
        <w:rPr>
          <w:kern w:val="22"/>
          <w:szCs w:val="22"/>
          <w:lang w:val="fr-CA"/>
        </w:rPr>
        <w:t xml:space="preserve"> </w:t>
      </w:r>
      <w:r w:rsidR="000313BD">
        <w:rPr>
          <w:kern w:val="22"/>
          <w:szCs w:val="22"/>
          <w:lang w:val="fr-CA"/>
        </w:rPr>
        <w:t>par rapport à un niveau de</w:t>
      </w:r>
      <w:r w:rsidRPr="006F4DD6">
        <w:rPr>
          <w:kern w:val="22"/>
          <w:szCs w:val="22"/>
          <w:lang w:val="fr-CA"/>
        </w:rPr>
        <w:t xml:space="preserve"> 2</w:t>
      </w:r>
      <w:r w:rsidR="00B72C78">
        <w:rPr>
          <w:kern w:val="22"/>
          <w:szCs w:val="22"/>
          <w:lang w:val="fr-CA"/>
        </w:rPr>
        <w:t>°C</w:t>
      </w:r>
      <w:r w:rsidR="00D71FB2">
        <w:rPr>
          <w:kern w:val="22"/>
          <w:szCs w:val="22"/>
          <w:lang w:val="fr-CA"/>
        </w:rPr>
        <w:t>;</w:t>
      </w:r>
    </w:p>
    <w:p w14:paraId="1EFE2B9C" w14:textId="1464E383" w:rsidR="0014370D" w:rsidRPr="006F4DD6" w:rsidRDefault="004A00B0" w:rsidP="0014370D">
      <w:pPr>
        <w:pStyle w:val="Para10"/>
        <w:numPr>
          <w:ilvl w:val="1"/>
          <w:numId w:val="12"/>
        </w:numPr>
        <w:suppressLineNumbers/>
        <w:suppressAutoHyphens/>
        <w:kinsoku w:val="0"/>
        <w:overflowPunct w:val="0"/>
        <w:autoSpaceDE w:val="0"/>
        <w:autoSpaceDN w:val="0"/>
        <w:snapToGrid w:val="0"/>
        <w:rPr>
          <w:kern w:val="22"/>
          <w:szCs w:val="22"/>
          <w:lang w:val="fr-CA"/>
        </w:rPr>
      </w:pPr>
      <w:r w:rsidRPr="006F4DD6">
        <w:rPr>
          <w:kern w:val="22"/>
          <w:szCs w:val="22"/>
          <w:lang w:val="fr-CA"/>
        </w:rPr>
        <w:lastRenderedPageBreak/>
        <w:t xml:space="preserve">Les écosystèmes forestiers, leur diversité biologique, leurs fonctions et leurs services courront des risques accrus </w:t>
      </w:r>
      <w:r w:rsidR="00725CB8">
        <w:rPr>
          <w:kern w:val="22"/>
          <w:szCs w:val="22"/>
          <w:lang w:val="fr-CA"/>
        </w:rPr>
        <w:t xml:space="preserve">tels que des incendies </w:t>
      </w:r>
      <w:r w:rsidRPr="006F4DD6">
        <w:rPr>
          <w:kern w:val="22"/>
          <w:szCs w:val="22"/>
          <w:lang w:val="fr-CA"/>
        </w:rPr>
        <w:t>de forêt, d</w:t>
      </w:r>
      <w:r w:rsidR="00725CB8">
        <w:rPr>
          <w:kern w:val="22"/>
          <w:szCs w:val="22"/>
          <w:lang w:val="fr-CA"/>
        </w:rPr>
        <w:t xml:space="preserve">es </w:t>
      </w:r>
      <w:r w:rsidRPr="006F4DD6">
        <w:rPr>
          <w:kern w:val="22"/>
          <w:szCs w:val="22"/>
          <w:lang w:val="fr-CA"/>
        </w:rPr>
        <w:t xml:space="preserve">événements météorologiques extrêmes et </w:t>
      </w:r>
      <w:r w:rsidR="00725CB8">
        <w:rPr>
          <w:kern w:val="22"/>
          <w:szCs w:val="22"/>
          <w:lang w:val="fr-CA"/>
        </w:rPr>
        <w:t>la propagation d’</w:t>
      </w:r>
      <w:r w:rsidRPr="006F4DD6">
        <w:rPr>
          <w:kern w:val="22"/>
          <w:szCs w:val="22"/>
          <w:lang w:val="fr-CA"/>
        </w:rPr>
        <w:t>espèces envahissantes, de parasites et de maladie</w:t>
      </w:r>
      <w:r w:rsidR="00725CB8">
        <w:rPr>
          <w:kern w:val="22"/>
          <w:szCs w:val="22"/>
          <w:lang w:val="fr-CA"/>
        </w:rPr>
        <w:t>s</w:t>
      </w:r>
      <w:r w:rsidRPr="006F4DD6">
        <w:rPr>
          <w:kern w:val="22"/>
          <w:szCs w:val="22"/>
          <w:lang w:val="fr-CA"/>
        </w:rPr>
        <w:t xml:space="preserve"> à </w:t>
      </w:r>
      <w:r w:rsidR="00E7023F">
        <w:rPr>
          <w:kern w:val="22"/>
          <w:szCs w:val="22"/>
          <w:lang w:val="fr-CA"/>
        </w:rPr>
        <w:t xml:space="preserve">un niveau de réchauffement climatique de </w:t>
      </w:r>
      <w:r w:rsidRPr="006F4DD6">
        <w:rPr>
          <w:kern w:val="22"/>
          <w:szCs w:val="22"/>
          <w:lang w:val="fr-CA"/>
        </w:rPr>
        <w:t>2</w:t>
      </w:r>
      <w:r w:rsidR="00B72C78">
        <w:rPr>
          <w:kern w:val="22"/>
          <w:szCs w:val="22"/>
          <w:lang w:val="fr-CA"/>
        </w:rPr>
        <w:t>°C</w:t>
      </w:r>
      <w:r w:rsidRPr="006F4DD6">
        <w:rPr>
          <w:kern w:val="22"/>
          <w:szCs w:val="22"/>
          <w:lang w:val="fr-CA"/>
        </w:rPr>
        <w:t xml:space="preserve"> comparativement à </w:t>
      </w:r>
      <w:r w:rsidR="00E7023F">
        <w:rPr>
          <w:kern w:val="22"/>
          <w:szCs w:val="22"/>
          <w:lang w:val="fr-CA"/>
        </w:rPr>
        <w:t xml:space="preserve">un niveau de </w:t>
      </w:r>
      <w:r w:rsidRPr="006F4DD6">
        <w:rPr>
          <w:kern w:val="22"/>
          <w:szCs w:val="22"/>
          <w:lang w:val="fr-CA"/>
        </w:rPr>
        <w:t>1,5</w:t>
      </w:r>
      <w:r w:rsidR="00B72C78">
        <w:rPr>
          <w:kern w:val="22"/>
          <w:szCs w:val="22"/>
          <w:lang w:val="fr-CA"/>
        </w:rPr>
        <w:t>°C</w:t>
      </w:r>
      <w:r w:rsidR="00D71FB2">
        <w:rPr>
          <w:kern w:val="22"/>
          <w:szCs w:val="22"/>
          <w:lang w:val="fr-CA"/>
        </w:rPr>
        <w:t>;</w:t>
      </w:r>
    </w:p>
    <w:p w14:paraId="17DBD385" w14:textId="2DB0C57A" w:rsidR="0014370D" w:rsidRPr="006F4DD6" w:rsidRDefault="00E7023F" w:rsidP="0014370D">
      <w:pPr>
        <w:pStyle w:val="Para10"/>
        <w:numPr>
          <w:ilvl w:val="1"/>
          <w:numId w:val="12"/>
        </w:numPr>
        <w:suppressLineNumbers/>
        <w:suppressAutoHyphens/>
        <w:kinsoku w:val="0"/>
        <w:overflowPunct w:val="0"/>
        <w:autoSpaceDE w:val="0"/>
        <w:autoSpaceDN w:val="0"/>
        <w:snapToGrid w:val="0"/>
        <w:rPr>
          <w:kern w:val="22"/>
          <w:szCs w:val="22"/>
          <w:lang w:val="fr-CA"/>
        </w:rPr>
      </w:pPr>
      <w:r>
        <w:rPr>
          <w:kern w:val="22"/>
          <w:szCs w:val="22"/>
          <w:lang w:val="fr-CA"/>
        </w:rPr>
        <w:t>L</w:t>
      </w:r>
      <w:r w:rsidR="00164778" w:rsidRPr="006F4DD6">
        <w:rPr>
          <w:kern w:val="22"/>
          <w:szCs w:val="22"/>
          <w:lang w:val="fr-CA"/>
        </w:rPr>
        <w:t xml:space="preserve">’augmentation de la température des océans, l’acidification des océans et l’affaiblissement des parcours </w:t>
      </w:r>
      <w:r w:rsidR="004E3D5C" w:rsidRPr="006F4DD6">
        <w:rPr>
          <w:kern w:val="22"/>
          <w:szCs w:val="22"/>
          <w:lang w:val="fr-CA"/>
        </w:rPr>
        <w:t xml:space="preserve">et des mouvements </w:t>
      </w:r>
      <w:r w:rsidR="00164778" w:rsidRPr="006F4DD6">
        <w:rPr>
          <w:kern w:val="22"/>
          <w:szCs w:val="22"/>
          <w:lang w:val="fr-CA"/>
        </w:rPr>
        <w:t>de circulation</w:t>
      </w:r>
      <w:r>
        <w:rPr>
          <w:kern w:val="22"/>
          <w:szCs w:val="22"/>
          <w:lang w:val="fr-CA"/>
        </w:rPr>
        <w:t xml:space="preserve"> </w:t>
      </w:r>
      <w:r w:rsidR="00894F04">
        <w:rPr>
          <w:kern w:val="22"/>
          <w:szCs w:val="22"/>
          <w:lang w:val="fr-CA"/>
        </w:rPr>
        <w:t xml:space="preserve">des océans </w:t>
      </w:r>
      <w:r>
        <w:rPr>
          <w:kern w:val="22"/>
          <w:szCs w:val="22"/>
          <w:lang w:val="fr-CA"/>
        </w:rPr>
        <w:t xml:space="preserve">ont entraîné des changements géographiques et </w:t>
      </w:r>
      <w:r w:rsidRPr="006F4DD6">
        <w:rPr>
          <w:kern w:val="22"/>
          <w:szCs w:val="22"/>
          <w:lang w:val="fr-CA"/>
        </w:rPr>
        <w:t xml:space="preserve">des impacts en cascade </w:t>
      </w:r>
      <w:r>
        <w:rPr>
          <w:kern w:val="22"/>
          <w:szCs w:val="22"/>
          <w:lang w:val="fr-CA"/>
        </w:rPr>
        <w:t>pour</w:t>
      </w:r>
      <w:r w:rsidRPr="006F4DD6">
        <w:rPr>
          <w:kern w:val="22"/>
          <w:szCs w:val="22"/>
          <w:lang w:val="fr-CA"/>
        </w:rPr>
        <w:t xml:space="preserve"> les espèces marines</w:t>
      </w:r>
      <w:r w:rsidR="00D71FB2">
        <w:rPr>
          <w:kern w:val="22"/>
          <w:szCs w:val="22"/>
          <w:lang w:val="fr-CA"/>
        </w:rPr>
        <w:t>;</w:t>
      </w:r>
    </w:p>
    <w:p w14:paraId="674E529B" w14:textId="6C9C4C40" w:rsidR="0014370D" w:rsidRPr="006F4DD6" w:rsidRDefault="004E3D5C" w:rsidP="004E5FB2">
      <w:pPr>
        <w:pStyle w:val="Para10"/>
        <w:numPr>
          <w:ilvl w:val="1"/>
          <w:numId w:val="12"/>
        </w:numPr>
        <w:suppressLineNumbers/>
        <w:suppressAutoHyphens/>
        <w:kinsoku w:val="0"/>
        <w:overflowPunct w:val="0"/>
        <w:autoSpaceDE w:val="0"/>
        <w:autoSpaceDN w:val="0"/>
        <w:snapToGrid w:val="0"/>
        <w:rPr>
          <w:kern w:val="22"/>
          <w:szCs w:val="22"/>
          <w:lang w:val="fr-CA"/>
        </w:rPr>
      </w:pPr>
      <w:r w:rsidRPr="006F4DD6">
        <w:rPr>
          <w:kern w:val="22"/>
          <w:szCs w:val="22"/>
          <w:lang w:val="fr-CA"/>
        </w:rPr>
        <w:t>Les écosystèmes côtiers ont subi la même dégradation que les écosyst</w:t>
      </w:r>
      <w:r w:rsidR="004E5FB2" w:rsidRPr="006F4DD6">
        <w:rPr>
          <w:kern w:val="22"/>
          <w:szCs w:val="22"/>
          <w:lang w:val="fr-CA"/>
        </w:rPr>
        <w:t>èm</w:t>
      </w:r>
      <w:r w:rsidRPr="006F4DD6">
        <w:rPr>
          <w:kern w:val="22"/>
          <w:szCs w:val="22"/>
          <w:lang w:val="fr-CA"/>
        </w:rPr>
        <w:t xml:space="preserve">es océaniques à cause de la pression accrue exercée par l’élévation du </w:t>
      </w:r>
      <w:r w:rsidR="004E5FB2" w:rsidRPr="006F4DD6">
        <w:rPr>
          <w:kern w:val="22"/>
          <w:szCs w:val="22"/>
          <w:lang w:val="fr-CA"/>
        </w:rPr>
        <w:t>niveau</w:t>
      </w:r>
      <w:r w:rsidRPr="006F4DD6">
        <w:rPr>
          <w:kern w:val="22"/>
          <w:szCs w:val="22"/>
          <w:lang w:val="fr-CA"/>
        </w:rPr>
        <w:t xml:space="preserve"> de la mer, l’érosion des berges causée par les orages, l’</w:t>
      </w:r>
      <w:r w:rsidR="00BD3D35">
        <w:rPr>
          <w:kern w:val="22"/>
          <w:szCs w:val="22"/>
          <w:lang w:val="fr-CA"/>
        </w:rPr>
        <w:t>eutrophis</w:t>
      </w:r>
      <w:r w:rsidR="004E5FB2" w:rsidRPr="006F4DD6">
        <w:rPr>
          <w:kern w:val="22"/>
          <w:szCs w:val="22"/>
          <w:lang w:val="fr-CA"/>
        </w:rPr>
        <w:t>ati</w:t>
      </w:r>
      <w:r w:rsidRPr="006F4DD6">
        <w:rPr>
          <w:kern w:val="22"/>
          <w:szCs w:val="22"/>
          <w:lang w:val="fr-CA"/>
        </w:rPr>
        <w:t xml:space="preserve">on et un </w:t>
      </w:r>
      <w:r w:rsidR="004E5FB2" w:rsidRPr="006F4DD6">
        <w:rPr>
          <w:kern w:val="22"/>
          <w:szCs w:val="22"/>
          <w:lang w:val="fr-CA"/>
        </w:rPr>
        <w:t>niveau</w:t>
      </w:r>
      <w:r w:rsidRPr="006F4DD6">
        <w:rPr>
          <w:kern w:val="22"/>
          <w:szCs w:val="22"/>
          <w:lang w:val="fr-CA"/>
        </w:rPr>
        <w:t xml:space="preserve"> plus élevé de l’activit</w:t>
      </w:r>
      <w:r w:rsidR="004E5FB2" w:rsidRPr="006F4DD6">
        <w:rPr>
          <w:kern w:val="22"/>
          <w:szCs w:val="22"/>
          <w:lang w:val="fr-CA"/>
        </w:rPr>
        <w:t>é hum</w:t>
      </w:r>
      <w:r w:rsidRPr="006F4DD6">
        <w:rPr>
          <w:kern w:val="22"/>
          <w:szCs w:val="22"/>
          <w:lang w:val="fr-CA"/>
        </w:rPr>
        <w:t xml:space="preserve">aine destructive. </w:t>
      </w:r>
      <w:r w:rsidR="004E5FB2" w:rsidRPr="006F4DD6">
        <w:rPr>
          <w:kern w:val="22"/>
          <w:szCs w:val="22"/>
          <w:lang w:val="fr-CA"/>
        </w:rPr>
        <w:t>Ces causes de la dégradation des écosystèmes côtiers ont des conséquences sur les principaux organismes marins tels que les herbiers de phanérogames, les forêts de mangroves et les récifs cora</w:t>
      </w:r>
      <w:r w:rsidR="003B3EAB" w:rsidRPr="006F4DD6">
        <w:rPr>
          <w:kern w:val="22"/>
          <w:szCs w:val="22"/>
          <w:lang w:val="fr-CA"/>
        </w:rPr>
        <w:t>l</w:t>
      </w:r>
      <w:r w:rsidR="004E5FB2" w:rsidRPr="006F4DD6">
        <w:rPr>
          <w:kern w:val="22"/>
          <w:szCs w:val="22"/>
          <w:lang w:val="fr-CA"/>
        </w:rPr>
        <w:t>liens</w:t>
      </w:r>
      <w:r w:rsidR="0014370D" w:rsidRPr="006F4DD6">
        <w:rPr>
          <w:kern w:val="22"/>
          <w:szCs w:val="22"/>
          <w:lang w:val="fr-CA"/>
        </w:rPr>
        <w:t xml:space="preserve"> (</w:t>
      </w:r>
      <w:r w:rsidR="004E5FB2" w:rsidRPr="006F4DD6">
        <w:rPr>
          <w:kern w:val="22"/>
          <w:szCs w:val="22"/>
          <w:lang w:val="fr-CA"/>
        </w:rPr>
        <w:t>voir la</w:t>
      </w:r>
      <w:r w:rsidR="0014370D" w:rsidRPr="006F4DD6">
        <w:rPr>
          <w:kern w:val="22"/>
          <w:szCs w:val="22"/>
          <w:lang w:val="fr-CA"/>
        </w:rPr>
        <w:t xml:space="preserve"> figure 1)</w:t>
      </w:r>
      <w:r w:rsidR="00D71FB2">
        <w:rPr>
          <w:kern w:val="22"/>
          <w:szCs w:val="22"/>
          <w:lang w:val="fr-CA"/>
        </w:rPr>
        <w:t>;</w:t>
      </w:r>
    </w:p>
    <w:p w14:paraId="42C3F47A" w14:textId="2B74D039" w:rsidR="0014370D" w:rsidRPr="006F4DD6" w:rsidRDefault="003B3EAB" w:rsidP="0014370D">
      <w:pPr>
        <w:pStyle w:val="Para10"/>
        <w:numPr>
          <w:ilvl w:val="1"/>
          <w:numId w:val="12"/>
        </w:numPr>
        <w:suppressLineNumbers/>
        <w:suppressAutoHyphens/>
        <w:kinsoku w:val="0"/>
        <w:overflowPunct w:val="0"/>
        <w:autoSpaceDE w:val="0"/>
        <w:autoSpaceDN w:val="0"/>
        <w:snapToGrid w:val="0"/>
        <w:rPr>
          <w:kern w:val="22"/>
          <w:szCs w:val="22"/>
          <w:lang w:val="fr-CA"/>
        </w:rPr>
      </w:pPr>
      <w:r w:rsidRPr="006F4DD6">
        <w:rPr>
          <w:kern w:val="22"/>
          <w:szCs w:val="22"/>
          <w:lang w:val="fr-CA"/>
        </w:rPr>
        <w:t>La répartition et l’abondance des récifs coralliens ont diminué d’env</w:t>
      </w:r>
      <w:r w:rsidR="00894F04">
        <w:rPr>
          <w:kern w:val="22"/>
          <w:szCs w:val="22"/>
          <w:lang w:val="fr-CA"/>
        </w:rPr>
        <w:t>iron 50 pour cent au cours des 3</w:t>
      </w:r>
      <w:r w:rsidRPr="006F4DD6">
        <w:rPr>
          <w:kern w:val="22"/>
          <w:szCs w:val="22"/>
          <w:lang w:val="fr-CA"/>
        </w:rPr>
        <w:t xml:space="preserve">0 dernières années. Les </w:t>
      </w:r>
      <w:r w:rsidR="00894F04">
        <w:rPr>
          <w:kern w:val="22"/>
          <w:szCs w:val="22"/>
          <w:lang w:val="fr-CA"/>
        </w:rPr>
        <w:t>impacts</w:t>
      </w:r>
      <w:r w:rsidRPr="006F4DD6">
        <w:rPr>
          <w:kern w:val="22"/>
          <w:szCs w:val="22"/>
          <w:lang w:val="fr-CA"/>
        </w:rPr>
        <w:t xml:space="preserve"> sur les récifs coralliens devraient atteindre une ampleur beaucoup plus importante dans un </w:t>
      </w:r>
      <w:r w:rsidR="00894F04">
        <w:rPr>
          <w:kern w:val="22"/>
          <w:szCs w:val="22"/>
          <w:lang w:val="fr-CA"/>
        </w:rPr>
        <w:t xml:space="preserve">milieu </w:t>
      </w:r>
      <w:r w:rsidR="00F86781">
        <w:rPr>
          <w:kern w:val="22"/>
          <w:szCs w:val="22"/>
          <w:lang w:val="fr-CA"/>
        </w:rPr>
        <w:t>dont le réchauffement atteint un niveau de</w:t>
      </w:r>
      <w:r w:rsidRPr="006F4DD6">
        <w:rPr>
          <w:kern w:val="22"/>
          <w:szCs w:val="22"/>
          <w:lang w:val="fr-CA"/>
        </w:rPr>
        <w:t xml:space="preserve"> 2</w:t>
      </w:r>
      <w:r w:rsidR="00B72C78">
        <w:rPr>
          <w:kern w:val="22"/>
          <w:szCs w:val="22"/>
          <w:lang w:val="fr-CA"/>
        </w:rPr>
        <w:t>°C</w:t>
      </w:r>
      <w:r w:rsidRPr="006F4DD6">
        <w:rPr>
          <w:kern w:val="22"/>
          <w:szCs w:val="22"/>
          <w:lang w:val="fr-CA"/>
        </w:rPr>
        <w:t xml:space="preserve"> </w:t>
      </w:r>
      <w:r w:rsidR="00F86781">
        <w:rPr>
          <w:kern w:val="22"/>
          <w:szCs w:val="22"/>
          <w:lang w:val="fr-CA"/>
        </w:rPr>
        <w:t>par rapport à un niveau de</w:t>
      </w:r>
      <w:r w:rsidRPr="006F4DD6">
        <w:rPr>
          <w:kern w:val="22"/>
          <w:szCs w:val="22"/>
          <w:lang w:val="fr-CA"/>
        </w:rPr>
        <w:t xml:space="preserve"> </w:t>
      </w:r>
      <w:r w:rsidR="00F86781">
        <w:rPr>
          <w:kern w:val="22"/>
          <w:szCs w:val="22"/>
          <w:lang w:val="fr-CA"/>
        </w:rPr>
        <w:t>1,5</w:t>
      </w:r>
      <w:r w:rsidR="00B72C78">
        <w:rPr>
          <w:kern w:val="22"/>
          <w:szCs w:val="22"/>
          <w:lang w:val="fr-CA"/>
        </w:rPr>
        <w:t>°C</w:t>
      </w:r>
      <w:r w:rsidRPr="006F4DD6">
        <w:rPr>
          <w:kern w:val="22"/>
          <w:szCs w:val="22"/>
          <w:lang w:val="fr-CA"/>
        </w:rPr>
        <w:t>. De récentes éva</w:t>
      </w:r>
      <w:r w:rsidR="00377BF3" w:rsidRPr="006F4DD6">
        <w:rPr>
          <w:kern w:val="22"/>
          <w:szCs w:val="22"/>
          <w:lang w:val="fr-CA"/>
        </w:rPr>
        <w:t xml:space="preserve">luations indiquent avec </w:t>
      </w:r>
      <w:r w:rsidR="00A9449F">
        <w:rPr>
          <w:kern w:val="22"/>
          <w:szCs w:val="22"/>
          <w:lang w:val="fr-CA"/>
        </w:rPr>
        <w:t>certitude</w:t>
      </w:r>
      <w:r w:rsidRPr="006F4DD6">
        <w:rPr>
          <w:kern w:val="22"/>
          <w:szCs w:val="22"/>
          <w:lang w:val="fr-CA"/>
        </w:rPr>
        <w:t xml:space="preserve"> que les récifs coralliens diminueraient de 70 à 90 pour cent </w:t>
      </w:r>
      <w:r w:rsidR="00377BF3" w:rsidRPr="006F4DD6">
        <w:rPr>
          <w:kern w:val="22"/>
          <w:szCs w:val="22"/>
          <w:lang w:val="fr-CA"/>
        </w:rPr>
        <w:t xml:space="preserve">à un niveau de </w:t>
      </w:r>
      <w:r w:rsidR="00F86781">
        <w:rPr>
          <w:kern w:val="22"/>
          <w:szCs w:val="22"/>
          <w:lang w:val="fr-CA"/>
        </w:rPr>
        <w:t>réchauffement atteignant</w:t>
      </w:r>
      <w:r w:rsidRPr="006F4DD6">
        <w:rPr>
          <w:kern w:val="22"/>
          <w:szCs w:val="22"/>
          <w:lang w:val="fr-CA"/>
        </w:rPr>
        <w:t xml:space="preserve"> 1,5</w:t>
      </w:r>
      <w:r w:rsidR="00B72C78">
        <w:rPr>
          <w:kern w:val="22"/>
          <w:szCs w:val="22"/>
          <w:lang w:val="fr-CA"/>
        </w:rPr>
        <w:t>°C</w:t>
      </w:r>
      <w:r w:rsidRPr="006F4DD6">
        <w:rPr>
          <w:kern w:val="22"/>
          <w:szCs w:val="22"/>
          <w:lang w:val="fr-CA"/>
        </w:rPr>
        <w:t xml:space="preserve"> et de </w:t>
      </w:r>
      <w:r w:rsidR="00377BF3" w:rsidRPr="006F4DD6">
        <w:rPr>
          <w:kern w:val="22"/>
          <w:szCs w:val="22"/>
          <w:lang w:val="fr-CA"/>
        </w:rPr>
        <w:t xml:space="preserve">plus de </w:t>
      </w:r>
      <w:r w:rsidRPr="006F4DD6">
        <w:rPr>
          <w:kern w:val="22"/>
          <w:szCs w:val="22"/>
          <w:lang w:val="fr-CA"/>
        </w:rPr>
        <w:t>99 pour cent à</w:t>
      </w:r>
      <w:r w:rsidR="00F86781">
        <w:rPr>
          <w:kern w:val="22"/>
          <w:szCs w:val="22"/>
          <w:lang w:val="fr-CA"/>
        </w:rPr>
        <w:t xml:space="preserve"> un niveau de réchauffement atteignant</w:t>
      </w:r>
      <w:r w:rsidRPr="006F4DD6">
        <w:rPr>
          <w:kern w:val="22"/>
          <w:szCs w:val="22"/>
          <w:lang w:val="fr-CA"/>
        </w:rPr>
        <w:t xml:space="preserve"> 2</w:t>
      </w:r>
      <w:r w:rsidR="00B72C78">
        <w:rPr>
          <w:kern w:val="22"/>
          <w:szCs w:val="22"/>
          <w:lang w:val="fr-CA"/>
        </w:rPr>
        <w:t>°C</w:t>
      </w:r>
      <w:r w:rsidR="00377BF3" w:rsidRPr="006F4DD6">
        <w:rPr>
          <w:kern w:val="22"/>
          <w:szCs w:val="22"/>
          <w:lang w:val="fr-CA"/>
        </w:rPr>
        <w:t>. Ainsi, bien que certains récifs coralliens puis</w:t>
      </w:r>
      <w:r w:rsidR="00F86781">
        <w:rPr>
          <w:kern w:val="22"/>
          <w:szCs w:val="22"/>
          <w:lang w:val="fr-CA"/>
        </w:rPr>
        <w:t>s</w:t>
      </w:r>
      <w:r w:rsidR="00377BF3" w:rsidRPr="006F4DD6">
        <w:rPr>
          <w:kern w:val="22"/>
          <w:szCs w:val="22"/>
          <w:lang w:val="fr-CA"/>
        </w:rPr>
        <w:t>ent survivre dans un contexte de réchauffement climatique de 1,5</w:t>
      </w:r>
      <w:r w:rsidR="00B72C78">
        <w:rPr>
          <w:kern w:val="22"/>
          <w:szCs w:val="22"/>
          <w:lang w:val="fr-CA"/>
        </w:rPr>
        <w:t>°C</w:t>
      </w:r>
      <w:r w:rsidR="00377BF3" w:rsidRPr="006F4DD6">
        <w:rPr>
          <w:kern w:val="22"/>
          <w:szCs w:val="22"/>
          <w:lang w:val="fr-CA"/>
        </w:rPr>
        <w:t xml:space="preserve"> de plus, il</w:t>
      </w:r>
      <w:r w:rsidR="006851CE">
        <w:rPr>
          <w:kern w:val="22"/>
          <w:szCs w:val="22"/>
          <w:lang w:val="fr-CA"/>
        </w:rPr>
        <w:t>s</w:t>
      </w:r>
      <w:r w:rsidR="00377BF3" w:rsidRPr="006F4DD6">
        <w:rPr>
          <w:kern w:val="22"/>
          <w:szCs w:val="22"/>
          <w:lang w:val="fr-CA"/>
        </w:rPr>
        <w:t xml:space="preserve"> disparaîtront presque tous à un niveau de réchauffement de 2</w:t>
      </w:r>
      <w:r w:rsidR="00B72C78">
        <w:rPr>
          <w:kern w:val="22"/>
          <w:szCs w:val="22"/>
          <w:lang w:val="fr-CA"/>
        </w:rPr>
        <w:t>°C</w:t>
      </w:r>
      <w:r w:rsidR="0014370D" w:rsidRPr="006F4DD6">
        <w:rPr>
          <w:kern w:val="22"/>
          <w:szCs w:val="22"/>
          <w:lang w:val="fr-CA"/>
        </w:rPr>
        <w:t xml:space="preserve"> (</w:t>
      </w:r>
      <w:r w:rsidR="00377BF3" w:rsidRPr="006F4DD6">
        <w:rPr>
          <w:kern w:val="22"/>
          <w:szCs w:val="22"/>
          <w:lang w:val="fr-CA"/>
        </w:rPr>
        <w:t>voir la</w:t>
      </w:r>
      <w:r w:rsidR="0014370D" w:rsidRPr="006F4DD6">
        <w:rPr>
          <w:kern w:val="22"/>
          <w:szCs w:val="22"/>
          <w:lang w:val="fr-CA"/>
        </w:rPr>
        <w:t xml:space="preserve"> figure 1).</w:t>
      </w:r>
    </w:p>
    <w:p w14:paraId="7286C2EF" w14:textId="77777777" w:rsidR="0014370D" w:rsidRPr="006F4DD6" w:rsidRDefault="0014370D" w:rsidP="0014370D">
      <w:pPr>
        <w:pStyle w:val="Para10"/>
        <w:keepNext/>
        <w:numPr>
          <w:ilvl w:val="0"/>
          <w:numId w:val="0"/>
        </w:numPr>
        <w:suppressLineNumbers/>
        <w:suppressAutoHyphens/>
        <w:kinsoku w:val="0"/>
        <w:overflowPunct w:val="0"/>
        <w:autoSpaceDE w:val="0"/>
        <w:autoSpaceDN w:val="0"/>
        <w:spacing w:after="0"/>
        <w:jc w:val="center"/>
        <w:rPr>
          <w:kern w:val="22"/>
          <w:lang w:val="fr-CA"/>
        </w:rPr>
      </w:pPr>
      <w:r w:rsidRPr="006F4DD6">
        <w:rPr>
          <w:noProof/>
          <w:kern w:val="22"/>
          <w:lang w:val="fr-CA" w:eastAsia="fr-CA"/>
        </w:rPr>
        <w:drawing>
          <wp:inline distT="0" distB="0" distL="0" distR="0" wp14:anchorId="283CC32D" wp14:editId="3E186F30">
            <wp:extent cx="5866790" cy="2476813"/>
            <wp:effectExtent l="19050" t="19050" r="19685" b="190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6401" t="35886" r="35873" b="20788"/>
                    <a:stretch/>
                  </pic:blipFill>
                  <pic:spPr bwMode="auto">
                    <a:xfrm>
                      <a:off x="0" y="0"/>
                      <a:ext cx="5871360" cy="2478742"/>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3D800625" w14:textId="77ED807C" w:rsidR="001A2092" w:rsidRDefault="0014370D" w:rsidP="001A2092">
      <w:pPr>
        <w:pStyle w:val="Lgende"/>
        <w:spacing w:after="0"/>
        <w:ind w:left="1620" w:right="720" w:hanging="900"/>
        <w:contextualSpacing/>
        <w:jc w:val="both"/>
        <w:rPr>
          <w:rFonts w:ascii="Times New Roman" w:hAnsi="Times New Roman" w:cs="Times New Roman"/>
          <w:b w:val="0"/>
          <w:color w:val="auto"/>
          <w:kern w:val="22"/>
          <w:lang w:val="fr-CA"/>
        </w:rPr>
      </w:pPr>
      <w:r w:rsidRPr="006F4DD6">
        <w:rPr>
          <w:rFonts w:ascii="Times New Roman" w:hAnsi="Times New Roman" w:cs="Times New Roman"/>
          <w:color w:val="auto"/>
          <w:kern w:val="22"/>
          <w:lang w:val="fr-CA"/>
        </w:rPr>
        <w:t xml:space="preserve">Figure </w:t>
      </w:r>
      <w:r w:rsidRPr="006F4DD6">
        <w:rPr>
          <w:rFonts w:ascii="Times New Roman" w:hAnsi="Times New Roman" w:cs="Times New Roman"/>
          <w:color w:val="auto"/>
          <w:kern w:val="22"/>
          <w:lang w:val="fr-CA"/>
        </w:rPr>
        <w:fldChar w:fldCharType="begin"/>
      </w:r>
      <w:r w:rsidRPr="006F4DD6">
        <w:rPr>
          <w:rFonts w:ascii="Times New Roman" w:hAnsi="Times New Roman" w:cs="Times New Roman"/>
          <w:color w:val="auto"/>
          <w:kern w:val="22"/>
          <w:lang w:val="fr-CA"/>
        </w:rPr>
        <w:instrText xml:space="preserve"> SEQ Figure \* ARABIC </w:instrText>
      </w:r>
      <w:r w:rsidRPr="006F4DD6">
        <w:rPr>
          <w:rFonts w:ascii="Times New Roman" w:hAnsi="Times New Roman" w:cs="Times New Roman"/>
          <w:color w:val="auto"/>
          <w:kern w:val="22"/>
          <w:lang w:val="fr-CA"/>
        </w:rPr>
        <w:fldChar w:fldCharType="separate"/>
      </w:r>
      <w:r w:rsidR="004472E6">
        <w:rPr>
          <w:rFonts w:ascii="Times New Roman" w:hAnsi="Times New Roman" w:cs="Times New Roman"/>
          <w:noProof/>
          <w:color w:val="auto"/>
          <w:kern w:val="22"/>
          <w:lang w:val="fr-CA"/>
        </w:rPr>
        <w:t>1</w:t>
      </w:r>
      <w:r w:rsidRPr="006F4DD6">
        <w:rPr>
          <w:rFonts w:ascii="Times New Roman" w:hAnsi="Times New Roman" w:cs="Times New Roman"/>
          <w:color w:val="auto"/>
          <w:kern w:val="22"/>
          <w:lang w:val="fr-CA"/>
        </w:rPr>
        <w:fldChar w:fldCharType="end"/>
      </w:r>
      <w:r w:rsidR="000B0632">
        <w:rPr>
          <w:rFonts w:ascii="Times New Roman" w:hAnsi="Times New Roman" w:cs="Times New Roman"/>
          <w:color w:val="auto"/>
          <w:kern w:val="22"/>
          <w:lang w:val="fr-CA"/>
        </w:rPr>
        <w:t> </w:t>
      </w:r>
      <w:r w:rsidRPr="006F4DD6">
        <w:rPr>
          <w:rFonts w:ascii="Times New Roman" w:hAnsi="Times New Roman" w:cs="Times New Roman"/>
          <w:color w:val="auto"/>
          <w:kern w:val="22"/>
          <w:lang w:val="fr-CA"/>
        </w:rPr>
        <w:t>:</w:t>
      </w:r>
      <w:r w:rsidRPr="006F4DD6">
        <w:rPr>
          <w:rFonts w:ascii="Times New Roman" w:hAnsi="Times New Roman" w:cs="Times New Roman"/>
          <w:b w:val="0"/>
          <w:color w:val="auto"/>
          <w:kern w:val="22"/>
          <w:lang w:val="fr-CA"/>
        </w:rPr>
        <w:t xml:space="preserve"> </w:t>
      </w:r>
      <w:r w:rsidR="001A2092">
        <w:rPr>
          <w:rFonts w:ascii="Times New Roman" w:hAnsi="Times New Roman" w:cs="Times New Roman"/>
          <w:b w:val="0"/>
          <w:color w:val="auto"/>
          <w:kern w:val="22"/>
          <w:lang w:val="fr-CA"/>
        </w:rPr>
        <w:tab/>
      </w:r>
      <w:r w:rsidR="00377BF3" w:rsidRPr="001A2092">
        <w:rPr>
          <w:rFonts w:ascii="Times New Roman" w:hAnsi="Times New Roman" w:cs="Times New Roman"/>
          <w:color w:val="auto"/>
          <w:kern w:val="22"/>
          <w:lang w:val="fr-CA"/>
        </w:rPr>
        <w:t>Conséquences du niveau de réchauffement de la planète sur les impacts et les risques pour certains système</w:t>
      </w:r>
      <w:r w:rsidR="00F86781" w:rsidRPr="001A2092">
        <w:rPr>
          <w:rFonts w:ascii="Times New Roman" w:hAnsi="Times New Roman" w:cs="Times New Roman"/>
          <w:color w:val="auto"/>
          <w:kern w:val="22"/>
          <w:lang w:val="fr-CA"/>
        </w:rPr>
        <w:t>s naturels, gérés et humains.</w:t>
      </w:r>
    </w:p>
    <w:p w14:paraId="36F14A21" w14:textId="6D6702F7" w:rsidR="0014370D" w:rsidRPr="006F4DD6" w:rsidRDefault="00F86781" w:rsidP="0014370D">
      <w:pPr>
        <w:pStyle w:val="Lgende"/>
        <w:spacing w:after="0"/>
        <w:ind w:left="720" w:right="720"/>
        <w:contextualSpacing/>
        <w:jc w:val="both"/>
        <w:rPr>
          <w:rFonts w:ascii="Times New Roman" w:hAnsi="Times New Roman" w:cs="Times New Roman"/>
          <w:b w:val="0"/>
          <w:color w:val="auto"/>
          <w:kern w:val="22"/>
          <w:lang w:val="fr-CA"/>
        </w:rPr>
      </w:pPr>
      <w:r>
        <w:rPr>
          <w:rFonts w:ascii="Times New Roman" w:hAnsi="Times New Roman" w:cs="Times New Roman"/>
          <w:b w:val="0"/>
          <w:color w:val="auto"/>
          <w:kern w:val="22"/>
          <w:lang w:val="fr-CA"/>
        </w:rPr>
        <w:t>La couleur</w:t>
      </w:r>
      <w:r w:rsidR="00377BF3" w:rsidRPr="006F4DD6">
        <w:rPr>
          <w:rFonts w:ascii="Times New Roman" w:hAnsi="Times New Roman" w:cs="Times New Roman"/>
          <w:b w:val="0"/>
          <w:color w:val="auto"/>
          <w:kern w:val="22"/>
          <w:lang w:val="fr-CA"/>
        </w:rPr>
        <w:t xml:space="preserve"> mauve indique </w:t>
      </w:r>
      <w:r w:rsidR="001B1DC2" w:rsidRPr="006F4DD6">
        <w:rPr>
          <w:rFonts w:ascii="Times New Roman" w:hAnsi="Times New Roman" w:cs="Times New Roman"/>
          <w:b w:val="0"/>
          <w:color w:val="auto"/>
          <w:kern w:val="22"/>
          <w:lang w:val="fr-CA"/>
        </w:rPr>
        <w:t>la possibilité d’</w:t>
      </w:r>
      <w:r w:rsidR="00377BF3" w:rsidRPr="006F4DD6">
        <w:rPr>
          <w:rFonts w:ascii="Times New Roman" w:hAnsi="Times New Roman" w:cs="Times New Roman"/>
          <w:b w:val="0"/>
          <w:color w:val="auto"/>
          <w:kern w:val="22"/>
          <w:lang w:val="fr-CA"/>
        </w:rPr>
        <w:t xml:space="preserve">un </w:t>
      </w:r>
      <w:r w:rsidR="001B1DC2" w:rsidRPr="006F4DD6">
        <w:rPr>
          <w:rFonts w:ascii="Times New Roman" w:hAnsi="Times New Roman" w:cs="Times New Roman"/>
          <w:b w:val="0"/>
          <w:color w:val="auto"/>
          <w:kern w:val="22"/>
          <w:lang w:val="fr-CA"/>
        </w:rPr>
        <w:t>niveau</w:t>
      </w:r>
      <w:r w:rsidR="00377BF3" w:rsidRPr="006F4DD6">
        <w:rPr>
          <w:rFonts w:ascii="Times New Roman" w:hAnsi="Times New Roman" w:cs="Times New Roman"/>
          <w:b w:val="0"/>
          <w:color w:val="auto"/>
          <w:kern w:val="22"/>
          <w:lang w:val="fr-CA"/>
        </w:rPr>
        <w:t xml:space="preserve"> très élevé </w:t>
      </w:r>
      <w:r w:rsidR="001B1DC2" w:rsidRPr="006F4DD6">
        <w:rPr>
          <w:rFonts w:ascii="Times New Roman" w:hAnsi="Times New Roman" w:cs="Times New Roman"/>
          <w:b w:val="0"/>
          <w:color w:val="auto"/>
          <w:kern w:val="22"/>
          <w:lang w:val="fr-CA"/>
        </w:rPr>
        <w:t>d’impact</w:t>
      </w:r>
      <w:r w:rsidR="00247226">
        <w:rPr>
          <w:rFonts w:ascii="Times New Roman" w:hAnsi="Times New Roman" w:cs="Times New Roman"/>
          <w:b w:val="0"/>
          <w:color w:val="auto"/>
          <w:kern w:val="22"/>
          <w:lang w:val="fr-CA"/>
        </w:rPr>
        <w:t xml:space="preserve"> ou de </w:t>
      </w:r>
      <w:r w:rsidR="00377BF3" w:rsidRPr="006F4DD6">
        <w:rPr>
          <w:rFonts w:ascii="Times New Roman" w:hAnsi="Times New Roman" w:cs="Times New Roman"/>
          <w:b w:val="0"/>
          <w:color w:val="auto"/>
          <w:kern w:val="22"/>
          <w:lang w:val="fr-CA"/>
        </w:rPr>
        <w:t xml:space="preserve">risques </w:t>
      </w:r>
      <w:r w:rsidR="000A4671" w:rsidRPr="006F4DD6">
        <w:rPr>
          <w:rFonts w:ascii="Times New Roman" w:hAnsi="Times New Roman" w:cs="Times New Roman"/>
          <w:b w:val="0"/>
          <w:color w:val="auto"/>
          <w:kern w:val="22"/>
          <w:lang w:val="fr-CA"/>
        </w:rPr>
        <w:t>graves et un risque important d’irréversibilité</w:t>
      </w:r>
      <w:r w:rsidR="00247226">
        <w:rPr>
          <w:rFonts w:ascii="Times New Roman" w:hAnsi="Times New Roman" w:cs="Times New Roman"/>
          <w:b w:val="0"/>
          <w:color w:val="auto"/>
          <w:kern w:val="22"/>
          <w:lang w:val="fr-CA"/>
        </w:rPr>
        <w:t>,</w:t>
      </w:r>
      <w:r w:rsidR="000A4671" w:rsidRPr="006F4DD6">
        <w:rPr>
          <w:rFonts w:ascii="Times New Roman" w:hAnsi="Times New Roman" w:cs="Times New Roman"/>
          <w:b w:val="0"/>
          <w:color w:val="auto"/>
          <w:kern w:val="22"/>
          <w:lang w:val="fr-CA"/>
        </w:rPr>
        <w:t xml:space="preserve"> ou de persistance des dangers en lien avec le climat, jumelés à une capacité d’a</w:t>
      </w:r>
      <w:r w:rsidR="001B1DC2" w:rsidRPr="006F4DD6">
        <w:rPr>
          <w:rFonts w:ascii="Times New Roman" w:hAnsi="Times New Roman" w:cs="Times New Roman"/>
          <w:b w:val="0"/>
          <w:color w:val="auto"/>
          <w:kern w:val="22"/>
          <w:lang w:val="fr-CA"/>
        </w:rPr>
        <w:t>daptation limitée</w:t>
      </w:r>
      <w:r w:rsidR="000A4671" w:rsidRPr="006F4DD6">
        <w:rPr>
          <w:rFonts w:ascii="Times New Roman" w:hAnsi="Times New Roman" w:cs="Times New Roman"/>
          <w:b w:val="0"/>
          <w:color w:val="auto"/>
          <w:kern w:val="22"/>
          <w:lang w:val="fr-CA"/>
        </w:rPr>
        <w:t xml:space="preserve"> à cause de la nature du danger ou de l’impact/risque</w:t>
      </w:r>
      <w:r w:rsidR="0014370D" w:rsidRPr="006F4DD6">
        <w:rPr>
          <w:rFonts w:ascii="Times New Roman" w:hAnsi="Times New Roman" w:cs="Times New Roman"/>
          <w:b w:val="0"/>
          <w:color w:val="auto"/>
          <w:kern w:val="22"/>
          <w:lang w:val="fr-CA"/>
        </w:rPr>
        <w:t>.</w:t>
      </w:r>
      <w:r w:rsidR="000A4671" w:rsidRPr="006F4DD6">
        <w:rPr>
          <w:rFonts w:ascii="Times New Roman" w:hAnsi="Times New Roman" w:cs="Times New Roman"/>
          <w:b w:val="0"/>
          <w:color w:val="auto"/>
          <w:kern w:val="22"/>
          <w:lang w:val="fr-CA"/>
        </w:rPr>
        <w:t xml:space="preserve"> Le rouge indique des impacts/risques graves et répandus, le jaune indique que les impacts/risques sont détectables et attribuables aux changements climatiques</w:t>
      </w:r>
      <w:r w:rsidR="001B1DC2" w:rsidRPr="006F4DD6">
        <w:rPr>
          <w:rFonts w:ascii="Times New Roman" w:hAnsi="Times New Roman" w:cs="Times New Roman"/>
          <w:b w:val="0"/>
          <w:color w:val="auto"/>
          <w:kern w:val="22"/>
          <w:lang w:val="fr-CA"/>
        </w:rPr>
        <w:t>, avec un niveau de certitude moyen, et le blanc indique qu’aucun impact n’est détectable ni attribuable aux</w:t>
      </w:r>
      <w:r w:rsidR="008659A6" w:rsidRPr="006F4DD6">
        <w:rPr>
          <w:rFonts w:ascii="Times New Roman" w:hAnsi="Times New Roman" w:cs="Times New Roman"/>
          <w:b w:val="0"/>
          <w:color w:val="auto"/>
          <w:kern w:val="22"/>
          <w:lang w:val="fr-CA"/>
        </w:rPr>
        <w:t xml:space="preserve"> changements </w:t>
      </w:r>
      <w:r w:rsidR="001B1DC2" w:rsidRPr="006F4DD6">
        <w:rPr>
          <w:rFonts w:ascii="Times New Roman" w:hAnsi="Times New Roman" w:cs="Times New Roman"/>
          <w:b w:val="0"/>
          <w:color w:val="auto"/>
          <w:kern w:val="22"/>
          <w:lang w:val="fr-CA"/>
        </w:rPr>
        <w:t>climatiques.</w:t>
      </w:r>
    </w:p>
    <w:p w14:paraId="0F9B898E" w14:textId="4F177E23" w:rsidR="0014370D" w:rsidRPr="006F4DD6" w:rsidRDefault="008659A6" w:rsidP="00222F2C">
      <w:pPr>
        <w:pStyle w:val="Para10"/>
        <w:tabs>
          <w:tab w:val="clear" w:pos="360"/>
          <w:tab w:val="num" w:pos="720"/>
        </w:tabs>
        <w:rPr>
          <w:b/>
          <w:kern w:val="22"/>
          <w:lang w:val="fr-CA"/>
        </w:rPr>
      </w:pPr>
      <w:r w:rsidRPr="006F4DD6">
        <w:rPr>
          <w:b/>
          <w:kern w:val="22"/>
          <w:lang w:val="fr-CA"/>
        </w:rPr>
        <w:t>Les changements climatiques pourraient avoir les impacts suivants sur les communautés et l</w:t>
      </w:r>
      <w:r w:rsidR="00247226">
        <w:rPr>
          <w:b/>
          <w:kern w:val="22"/>
          <w:lang w:val="fr-CA"/>
        </w:rPr>
        <w:t>es modes de</w:t>
      </w:r>
      <w:r w:rsidRPr="006F4DD6">
        <w:rPr>
          <w:b/>
          <w:kern w:val="22"/>
          <w:lang w:val="fr-CA"/>
        </w:rPr>
        <w:t xml:space="preserve"> subsistance qui dépendent de la diversité biologique et des fonctions et services </w:t>
      </w:r>
      <w:r w:rsidR="00247226">
        <w:rPr>
          <w:b/>
          <w:kern w:val="22"/>
          <w:lang w:val="fr-CA"/>
        </w:rPr>
        <w:t>écosystémiques</w:t>
      </w:r>
      <w:r w:rsidR="000B0632">
        <w:rPr>
          <w:b/>
          <w:kern w:val="22"/>
          <w:lang w:val="fr-CA"/>
        </w:rPr>
        <w:t> </w:t>
      </w:r>
      <w:r w:rsidR="0014370D" w:rsidRPr="006F4DD6">
        <w:rPr>
          <w:b/>
          <w:kern w:val="22"/>
          <w:lang w:val="fr-CA"/>
        </w:rPr>
        <w:t>:</w:t>
      </w:r>
    </w:p>
    <w:p w14:paraId="5CF8D231" w14:textId="2A3D8A26" w:rsidR="0014370D" w:rsidRPr="006F4DD6" w:rsidRDefault="008659A6" w:rsidP="0014370D">
      <w:pPr>
        <w:pStyle w:val="Para10"/>
        <w:numPr>
          <w:ilvl w:val="1"/>
          <w:numId w:val="12"/>
        </w:numPr>
        <w:snapToGrid w:val="0"/>
        <w:rPr>
          <w:kern w:val="22"/>
          <w:szCs w:val="22"/>
          <w:lang w:val="fr-CA"/>
        </w:rPr>
      </w:pPr>
      <w:r w:rsidRPr="001A2092">
        <w:rPr>
          <w:i/>
          <w:kern w:val="22"/>
          <w:szCs w:val="22"/>
          <w:lang w:val="fr-CA"/>
        </w:rPr>
        <w:t xml:space="preserve">La concurrence pour l’utilisation des terres et la production alimentaire peut avoir un impact négatif et exacerber les changements </w:t>
      </w:r>
      <w:r w:rsidR="006B7041" w:rsidRPr="001A2092">
        <w:rPr>
          <w:i/>
          <w:kern w:val="22"/>
          <w:szCs w:val="22"/>
          <w:lang w:val="fr-CA"/>
        </w:rPr>
        <w:t>dans le</w:t>
      </w:r>
      <w:r w:rsidR="006B5318" w:rsidRPr="001A2092">
        <w:rPr>
          <w:i/>
          <w:kern w:val="22"/>
          <w:szCs w:val="22"/>
          <w:lang w:val="fr-CA"/>
        </w:rPr>
        <w:t xml:space="preserve"> rendement des cultures et la sécurité alimentaire à long terme</w:t>
      </w:r>
      <w:r w:rsidR="006B7041" w:rsidRPr="001A2092">
        <w:rPr>
          <w:i/>
          <w:kern w:val="22"/>
          <w:szCs w:val="22"/>
          <w:lang w:val="fr-CA"/>
        </w:rPr>
        <w:t xml:space="preserve"> </w:t>
      </w:r>
      <w:r w:rsidRPr="001A2092">
        <w:rPr>
          <w:i/>
          <w:kern w:val="22"/>
          <w:szCs w:val="22"/>
          <w:lang w:val="fr-CA"/>
        </w:rPr>
        <w:t>attribuables aux changements climatiques</w:t>
      </w:r>
      <w:r w:rsidR="0014370D" w:rsidRPr="00E02EA8">
        <w:rPr>
          <w:kern w:val="22"/>
          <w:szCs w:val="22"/>
          <w:lang w:val="fr-CA"/>
        </w:rPr>
        <w:t>.</w:t>
      </w:r>
      <w:r w:rsidR="0014370D" w:rsidRPr="006F4DD6">
        <w:rPr>
          <w:kern w:val="22"/>
          <w:szCs w:val="22"/>
          <w:lang w:val="fr-CA"/>
        </w:rPr>
        <w:t xml:space="preserve"> </w:t>
      </w:r>
      <w:r w:rsidR="006058F0" w:rsidRPr="006F4DD6">
        <w:rPr>
          <w:kern w:val="22"/>
          <w:szCs w:val="22"/>
          <w:lang w:val="fr-CA"/>
        </w:rPr>
        <w:t>La réduction du rendement des cultures mondiales et de la nutrition mondiale sera plus importante à un niveau de réchauffement climatique de 2</w:t>
      </w:r>
      <w:r w:rsidR="00B72C78">
        <w:rPr>
          <w:kern w:val="22"/>
          <w:szCs w:val="22"/>
          <w:lang w:val="fr-CA"/>
        </w:rPr>
        <w:t>°C</w:t>
      </w:r>
      <w:r w:rsidR="006058F0" w:rsidRPr="006F4DD6">
        <w:rPr>
          <w:kern w:val="22"/>
          <w:szCs w:val="22"/>
          <w:lang w:val="fr-CA"/>
        </w:rPr>
        <w:t xml:space="preserve"> par rapport à un niveau de 1,5</w:t>
      </w:r>
      <w:r w:rsidR="00B72C78">
        <w:rPr>
          <w:kern w:val="22"/>
          <w:szCs w:val="22"/>
          <w:lang w:val="fr-CA"/>
        </w:rPr>
        <w:t>°C</w:t>
      </w:r>
      <w:r w:rsidR="006058F0" w:rsidRPr="006F4DD6">
        <w:rPr>
          <w:kern w:val="22"/>
          <w:szCs w:val="22"/>
          <w:lang w:val="fr-CA"/>
        </w:rPr>
        <w:t xml:space="preserve">. Les changements climatiques devraient aussi avoir des conséquences indirectes sur </w:t>
      </w:r>
      <w:r w:rsidR="006058F0" w:rsidRPr="006F4DD6">
        <w:rPr>
          <w:kern w:val="22"/>
          <w:szCs w:val="22"/>
          <w:lang w:val="fr-CA"/>
        </w:rPr>
        <w:lastRenderedPageBreak/>
        <w:t>le bétail, à cause des changements dans la qualité des aliments pour les animaux, la propagation des parasites et des maladies, et des cha</w:t>
      </w:r>
      <w:r w:rsidR="006B7041">
        <w:rPr>
          <w:kern w:val="22"/>
          <w:szCs w:val="22"/>
          <w:lang w:val="fr-CA"/>
        </w:rPr>
        <w:t>ngements dans</w:t>
      </w:r>
      <w:r w:rsidR="006058F0" w:rsidRPr="006F4DD6">
        <w:rPr>
          <w:kern w:val="22"/>
          <w:szCs w:val="22"/>
          <w:lang w:val="fr-CA"/>
        </w:rPr>
        <w:t xml:space="preserve"> la disponibilité des ressources en eau</w:t>
      </w:r>
      <w:r w:rsidR="00D71FB2">
        <w:rPr>
          <w:kern w:val="22"/>
          <w:szCs w:val="22"/>
          <w:lang w:val="fr-CA"/>
        </w:rPr>
        <w:t>;</w:t>
      </w:r>
    </w:p>
    <w:p w14:paraId="50A49830" w14:textId="3FD44ED5" w:rsidR="0014370D" w:rsidRPr="006F4DD6" w:rsidRDefault="006568D4" w:rsidP="0014370D">
      <w:pPr>
        <w:pStyle w:val="Para10"/>
        <w:numPr>
          <w:ilvl w:val="1"/>
          <w:numId w:val="12"/>
        </w:numPr>
        <w:snapToGrid w:val="0"/>
        <w:rPr>
          <w:kern w:val="22"/>
          <w:szCs w:val="22"/>
          <w:lang w:val="fr-CA"/>
        </w:rPr>
      </w:pPr>
      <w:r w:rsidRPr="00911F7C">
        <w:rPr>
          <w:i/>
          <w:kern w:val="22"/>
          <w:lang w:val="fr-CA"/>
        </w:rPr>
        <w:t>Les changements dans les parcours de circulation des océans causés par le réchauffement de la surface de l’eau peu</w:t>
      </w:r>
      <w:r w:rsidR="006B7041" w:rsidRPr="00911F7C">
        <w:rPr>
          <w:i/>
          <w:kern w:val="22"/>
          <w:lang w:val="fr-CA"/>
        </w:rPr>
        <w:t>ven</w:t>
      </w:r>
      <w:r w:rsidRPr="00911F7C">
        <w:rPr>
          <w:i/>
          <w:kern w:val="22"/>
          <w:lang w:val="fr-CA"/>
        </w:rPr>
        <w:t>t avoir des conséquences importantes pour les industries et les personnes qui dépendent de la pêche pour leur alimentation et leur subsistance, notamment les peuples autochtones et les communautés locales</w:t>
      </w:r>
      <w:r w:rsidR="009B1F73" w:rsidRPr="00911F7C">
        <w:rPr>
          <w:i/>
          <w:kern w:val="22"/>
          <w:lang w:val="fr-CA"/>
        </w:rPr>
        <w:t>.</w:t>
      </w:r>
      <w:r w:rsidR="009B1F73" w:rsidRPr="006F4DD6">
        <w:rPr>
          <w:b/>
          <w:kern w:val="22"/>
          <w:lang w:val="fr-CA"/>
        </w:rPr>
        <w:t xml:space="preserve"> </w:t>
      </w:r>
      <w:r w:rsidR="00E07249" w:rsidRPr="006F4DD6">
        <w:rPr>
          <w:kern w:val="22"/>
          <w:lang w:val="fr-CA"/>
        </w:rPr>
        <w:t>Limiter le réchauffement climatique à 1,5</w:t>
      </w:r>
      <w:r w:rsidR="00B72C78">
        <w:rPr>
          <w:kern w:val="22"/>
          <w:lang w:val="fr-CA"/>
        </w:rPr>
        <w:t>°C</w:t>
      </w:r>
      <w:r w:rsidR="00E07249" w:rsidRPr="006F4DD6">
        <w:rPr>
          <w:kern w:val="22"/>
          <w:lang w:val="fr-CA"/>
        </w:rPr>
        <w:t xml:space="preserve"> devrait atténuer les risques pour la biodiversité biologique et les écosystèmes marins, ainsi que leurs fonctions et services pour les humains, comparativement à un réchauffement climatique de 2</w:t>
      </w:r>
      <w:r w:rsidR="00B72C78">
        <w:rPr>
          <w:kern w:val="22"/>
          <w:lang w:val="fr-CA"/>
        </w:rPr>
        <w:t>°C</w:t>
      </w:r>
      <w:r w:rsidR="00E07249" w:rsidRPr="006F4DD6">
        <w:rPr>
          <w:kern w:val="22"/>
          <w:lang w:val="fr-CA"/>
        </w:rPr>
        <w:t>. Les changements climatiques devraient réduire la production primaire nette des océans de 3 à 10 pour cent</w:t>
      </w:r>
      <w:r w:rsidR="00724A7D" w:rsidRPr="006F4DD6">
        <w:rPr>
          <w:kern w:val="22"/>
          <w:lang w:val="fr-CA"/>
        </w:rPr>
        <w:t xml:space="preserve"> et la </w:t>
      </w:r>
      <w:r w:rsidR="00E07249" w:rsidRPr="006F4DD6">
        <w:rPr>
          <w:kern w:val="22"/>
          <w:lang w:val="fr-CA"/>
        </w:rPr>
        <w:t>biomasse de poissons</w:t>
      </w:r>
      <w:r w:rsidR="00724A7D" w:rsidRPr="006F4DD6">
        <w:rPr>
          <w:kern w:val="22"/>
          <w:lang w:val="fr-CA"/>
        </w:rPr>
        <w:t xml:space="preserve"> de 3 à 25 pour cent d’ici la fin du siècle. Les changements climatiques devraient également avoir un impact négatif sur la sécurité des fruits de mer, ce qui augmenterait le risque pour la santé nutritionnelle des communautés qui consomment de grandes quantités de fruits de mer, telles que les peuples indigènes et les communautés locales vivant sur les côtes</w:t>
      </w:r>
      <w:r w:rsidR="00D71FB2">
        <w:rPr>
          <w:kern w:val="22"/>
          <w:lang w:val="fr-CA"/>
        </w:rPr>
        <w:t>;</w:t>
      </w:r>
    </w:p>
    <w:p w14:paraId="556F42FA" w14:textId="096B500A" w:rsidR="0014370D" w:rsidRPr="006F4DD6" w:rsidRDefault="00724A7D" w:rsidP="0014370D">
      <w:pPr>
        <w:pStyle w:val="Para10"/>
        <w:numPr>
          <w:ilvl w:val="1"/>
          <w:numId w:val="12"/>
        </w:numPr>
        <w:snapToGrid w:val="0"/>
        <w:rPr>
          <w:kern w:val="22"/>
          <w:szCs w:val="22"/>
          <w:lang w:val="fr-CA"/>
        </w:rPr>
      </w:pPr>
      <w:r w:rsidRPr="00911F7C">
        <w:rPr>
          <w:i/>
          <w:kern w:val="22"/>
          <w:szCs w:val="22"/>
          <w:lang w:val="fr-CA"/>
        </w:rPr>
        <w:t>Les changements climatiques devraient avoir des impacts sur plusieurs indices de la qualité de l’eau dans les lacs et les bassins</w:t>
      </w:r>
      <w:r w:rsidR="006851CE">
        <w:rPr>
          <w:i/>
          <w:kern w:val="22"/>
          <w:szCs w:val="22"/>
          <w:lang w:val="fr-CA"/>
        </w:rPr>
        <w:t>-</w:t>
      </w:r>
      <w:r w:rsidRPr="00911F7C">
        <w:rPr>
          <w:i/>
          <w:kern w:val="22"/>
          <w:szCs w:val="22"/>
          <w:lang w:val="fr-CA"/>
        </w:rPr>
        <w:t>versants</w:t>
      </w:r>
      <w:r w:rsidR="0014370D" w:rsidRPr="006F4DD6">
        <w:rPr>
          <w:kern w:val="22"/>
          <w:szCs w:val="22"/>
          <w:lang w:val="fr-CA"/>
        </w:rPr>
        <w:t xml:space="preserve"> </w:t>
      </w:r>
      <w:r w:rsidRPr="006F4DD6">
        <w:rPr>
          <w:kern w:val="22"/>
          <w:szCs w:val="22"/>
          <w:lang w:val="fr-CA"/>
        </w:rPr>
        <w:t>tels que les niveaux de chlorure dans l’eau</w:t>
      </w:r>
      <w:r w:rsidR="007C53F7" w:rsidRPr="006F4DD6">
        <w:rPr>
          <w:kern w:val="22"/>
          <w:szCs w:val="22"/>
          <w:lang w:val="fr-CA"/>
        </w:rPr>
        <w:t xml:space="preserve"> potable, les concentrations en oxygène et en éléments nutritifs, les impacts associés aux changements dans l’utilisation des terres, et la production annuelle d’azote et de phosphore, pour lesquels les conséquences négatives </w:t>
      </w:r>
      <w:r w:rsidR="00E02EA8">
        <w:rPr>
          <w:kern w:val="22"/>
          <w:szCs w:val="22"/>
          <w:lang w:val="fr-CA"/>
        </w:rPr>
        <w:t>pour</w:t>
      </w:r>
      <w:r w:rsidR="007C53F7" w:rsidRPr="006F4DD6">
        <w:rPr>
          <w:kern w:val="22"/>
          <w:szCs w:val="22"/>
          <w:lang w:val="fr-CA"/>
        </w:rPr>
        <w:t xml:space="preserve"> </w:t>
      </w:r>
      <w:r w:rsidR="00A95162">
        <w:rPr>
          <w:kern w:val="22"/>
          <w:szCs w:val="22"/>
          <w:lang w:val="fr-CA"/>
        </w:rPr>
        <w:t>chacun</w:t>
      </w:r>
      <w:r w:rsidR="007C53F7" w:rsidRPr="006F4DD6">
        <w:rPr>
          <w:kern w:val="22"/>
          <w:szCs w:val="22"/>
          <w:lang w:val="fr-CA"/>
        </w:rPr>
        <w:t xml:space="preserve"> sont supérieur</w:t>
      </w:r>
      <w:r w:rsidR="00A95162">
        <w:rPr>
          <w:kern w:val="22"/>
          <w:szCs w:val="22"/>
          <w:lang w:val="fr-CA"/>
        </w:rPr>
        <w:t>e</w:t>
      </w:r>
      <w:r w:rsidR="007C53F7" w:rsidRPr="006F4DD6">
        <w:rPr>
          <w:kern w:val="22"/>
          <w:szCs w:val="22"/>
          <w:lang w:val="fr-CA"/>
        </w:rPr>
        <w:t>s à un niveau de réchauffement de 2</w:t>
      </w:r>
      <w:r w:rsidR="00B72C78">
        <w:rPr>
          <w:kern w:val="22"/>
          <w:szCs w:val="22"/>
          <w:lang w:val="fr-CA"/>
        </w:rPr>
        <w:t>°C</w:t>
      </w:r>
      <w:r w:rsidR="007C53F7" w:rsidRPr="006F4DD6">
        <w:rPr>
          <w:kern w:val="22"/>
          <w:szCs w:val="22"/>
          <w:lang w:val="fr-CA"/>
        </w:rPr>
        <w:t xml:space="preserve"> qu’à un niveau de 1,5</w:t>
      </w:r>
      <w:r w:rsidR="00B72C78">
        <w:rPr>
          <w:kern w:val="22"/>
          <w:szCs w:val="22"/>
          <w:lang w:val="fr-CA"/>
        </w:rPr>
        <w:t>°C</w:t>
      </w:r>
      <w:r w:rsidR="002F36E1" w:rsidRPr="006F4DD6">
        <w:rPr>
          <w:kern w:val="22"/>
          <w:szCs w:val="22"/>
          <w:lang w:val="fr-CA"/>
        </w:rPr>
        <w:t>. Toute augmentation d’un degré du réchauffement climatique peut aussi entraîner l’expansion de la surface terrestre globale</w:t>
      </w:r>
      <w:r w:rsidR="00A95162">
        <w:rPr>
          <w:kern w:val="22"/>
          <w:szCs w:val="22"/>
          <w:lang w:val="fr-CA"/>
        </w:rPr>
        <w:t>, ce qui entraînera</w:t>
      </w:r>
      <w:r w:rsidR="002F36E1" w:rsidRPr="006F4DD6">
        <w:rPr>
          <w:kern w:val="22"/>
          <w:szCs w:val="22"/>
          <w:lang w:val="fr-CA"/>
        </w:rPr>
        <w:t xml:space="preserve"> une augmentation marquée des risques de ruissellement et d’inondation, </w:t>
      </w:r>
      <w:r w:rsidR="00B52713">
        <w:rPr>
          <w:kern w:val="22"/>
          <w:szCs w:val="22"/>
          <w:lang w:val="fr-CA"/>
        </w:rPr>
        <w:t>accroissant</w:t>
      </w:r>
      <w:r w:rsidR="002F36E1" w:rsidRPr="006F4DD6">
        <w:rPr>
          <w:kern w:val="22"/>
          <w:szCs w:val="22"/>
          <w:lang w:val="fr-CA"/>
        </w:rPr>
        <w:t xml:space="preserve"> ainsi l</w:t>
      </w:r>
      <w:r w:rsidR="00B52713">
        <w:rPr>
          <w:kern w:val="22"/>
          <w:szCs w:val="22"/>
          <w:lang w:val="fr-CA"/>
        </w:rPr>
        <w:t>e niveau d</w:t>
      </w:r>
      <w:r w:rsidR="002F36E1" w:rsidRPr="006F4DD6">
        <w:rPr>
          <w:kern w:val="22"/>
          <w:szCs w:val="22"/>
          <w:lang w:val="fr-CA"/>
        </w:rPr>
        <w:t>’exposition des communautés et des écosystèmes</w:t>
      </w:r>
      <w:r w:rsidR="00A95162">
        <w:rPr>
          <w:kern w:val="22"/>
          <w:szCs w:val="22"/>
          <w:lang w:val="fr-CA"/>
        </w:rPr>
        <w:t>,</w:t>
      </w:r>
      <w:r w:rsidR="002F36E1" w:rsidRPr="006F4DD6">
        <w:rPr>
          <w:kern w:val="22"/>
          <w:szCs w:val="22"/>
          <w:lang w:val="fr-CA"/>
        </w:rPr>
        <w:t xml:space="preserve"> et des communautés vulnérables telles que les petites îles et les zone</w:t>
      </w:r>
      <w:r w:rsidR="000E3643">
        <w:rPr>
          <w:kern w:val="22"/>
          <w:szCs w:val="22"/>
          <w:lang w:val="fr-CA"/>
        </w:rPr>
        <w:t>s</w:t>
      </w:r>
      <w:r w:rsidR="002F36E1" w:rsidRPr="006F4DD6">
        <w:rPr>
          <w:kern w:val="22"/>
          <w:szCs w:val="22"/>
          <w:lang w:val="fr-CA"/>
        </w:rPr>
        <w:t xml:space="preserve"> côtières de faible altitude, y compris les peuples autochtones</w:t>
      </w:r>
      <w:r w:rsidR="00D71FB2">
        <w:rPr>
          <w:kern w:val="22"/>
          <w:szCs w:val="22"/>
          <w:lang w:val="fr-CA"/>
        </w:rPr>
        <w:t>;</w:t>
      </w:r>
    </w:p>
    <w:p w14:paraId="7701D45A" w14:textId="55CE3D26" w:rsidR="007F768D" w:rsidRPr="006F4DD6" w:rsidRDefault="002F36E1" w:rsidP="0014370D">
      <w:pPr>
        <w:pStyle w:val="Paragraphedeliste"/>
        <w:numPr>
          <w:ilvl w:val="1"/>
          <w:numId w:val="12"/>
        </w:numPr>
        <w:spacing w:before="120" w:after="120"/>
        <w:contextualSpacing w:val="0"/>
        <w:rPr>
          <w:kern w:val="22"/>
          <w:lang w:val="fr-CA"/>
        </w:rPr>
      </w:pPr>
      <w:r w:rsidRPr="00911F7C">
        <w:rPr>
          <w:bCs/>
          <w:i/>
          <w:kern w:val="22"/>
          <w:lang w:val="fr-CA"/>
        </w:rPr>
        <w:t>Les changements climatiques</w:t>
      </w:r>
      <w:r w:rsidR="000E3643" w:rsidRPr="00911F7C">
        <w:rPr>
          <w:bCs/>
          <w:i/>
          <w:kern w:val="22"/>
          <w:lang w:val="fr-CA"/>
        </w:rPr>
        <w:t xml:space="preserve"> menacent les écosystèmes et la</w:t>
      </w:r>
      <w:r w:rsidRPr="00911F7C">
        <w:rPr>
          <w:bCs/>
          <w:i/>
          <w:kern w:val="22"/>
          <w:lang w:val="fr-CA"/>
        </w:rPr>
        <w:t xml:space="preserve"> diversité biologique sur lesquels reposent toutes les dimensions de la santé humaine.</w:t>
      </w:r>
      <w:r w:rsidR="007F768D" w:rsidRPr="006F4DD6">
        <w:rPr>
          <w:kern w:val="22"/>
          <w:lang w:val="fr-CA"/>
        </w:rPr>
        <w:t xml:space="preserve"> </w:t>
      </w:r>
      <w:r w:rsidR="003A27BC" w:rsidRPr="006F4DD6">
        <w:rPr>
          <w:kern w:val="22"/>
          <w:lang w:val="fr-CA"/>
        </w:rPr>
        <w:t>Les fonctions et les services écosystémiques module</w:t>
      </w:r>
      <w:r w:rsidR="00B52713">
        <w:rPr>
          <w:kern w:val="22"/>
          <w:lang w:val="fr-CA"/>
        </w:rPr>
        <w:t>nt</w:t>
      </w:r>
      <w:r w:rsidR="003A27BC" w:rsidRPr="006F4DD6">
        <w:rPr>
          <w:kern w:val="22"/>
          <w:lang w:val="fr-CA"/>
        </w:rPr>
        <w:t xml:space="preserve"> la santé physique et psychologique, tandis que la diversité biologique, par la diversité de ses espèces et des gènes, </w:t>
      </w:r>
      <w:r w:rsidR="00B52713">
        <w:rPr>
          <w:kern w:val="22"/>
          <w:lang w:val="fr-CA"/>
        </w:rPr>
        <w:t>procure</w:t>
      </w:r>
      <w:r w:rsidR="003A27BC" w:rsidRPr="006F4DD6">
        <w:rPr>
          <w:kern w:val="22"/>
          <w:lang w:val="fr-CA"/>
        </w:rPr>
        <w:t xml:space="preserve"> des choix pour l’alimentation et les médicaments </w:t>
      </w:r>
      <w:r w:rsidR="00B52713">
        <w:rPr>
          <w:kern w:val="22"/>
          <w:lang w:val="fr-CA"/>
        </w:rPr>
        <w:t xml:space="preserve">aux humains </w:t>
      </w:r>
      <w:r w:rsidR="003A27BC" w:rsidRPr="006F4DD6">
        <w:rPr>
          <w:kern w:val="22"/>
          <w:lang w:val="fr-CA"/>
        </w:rPr>
        <w:t xml:space="preserve">qui font face à un avenir incertain. Les changements climatiques peuvent compromettre ces fonctions et services aux humains en </w:t>
      </w:r>
      <w:r w:rsidR="00B52713">
        <w:rPr>
          <w:kern w:val="22"/>
          <w:lang w:val="fr-CA"/>
        </w:rPr>
        <w:t>les rendant plus vulnérables</w:t>
      </w:r>
      <w:r w:rsidR="00922C1C">
        <w:rPr>
          <w:kern w:val="22"/>
          <w:lang w:val="fr-CA"/>
        </w:rPr>
        <w:t xml:space="preserve"> au</w:t>
      </w:r>
      <w:r w:rsidR="003A27BC" w:rsidRPr="006F4DD6">
        <w:rPr>
          <w:kern w:val="22"/>
          <w:lang w:val="fr-CA"/>
        </w:rPr>
        <w:t xml:space="preserve"> stress lié au </w:t>
      </w:r>
      <w:r w:rsidR="000F6126" w:rsidRPr="006F4DD6">
        <w:rPr>
          <w:kern w:val="22"/>
          <w:lang w:val="fr-CA"/>
        </w:rPr>
        <w:t>climat</w:t>
      </w:r>
      <w:r w:rsidR="003A27BC" w:rsidRPr="006F4DD6">
        <w:rPr>
          <w:kern w:val="22"/>
          <w:lang w:val="fr-CA"/>
        </w:rPr>
        <w:t>, tel que</w:t>
      </w:r>
      <w:r w:rsidR="000F6126" w:rsidRPr="006F4DD6">
        <w:rPr>
          <w:kern w:val="22"/>
          <w:lang w:val="fr-CA"/>
        </w:rPr>
        <w:t xml:space="preserve"> l’étendue, le caractère saisonnier et l’intensité des maladies infectieuses liées au climat</w:t>
      </w:r>
      <w:r w:rsidR="00D71FB2">
        <w:rPr>
          <w:kern w:val="22"/>
          <w:lang w:val="fr-CA"/>
        </w:rPr>
        <w:t>;</w:t>
      </w:r>
    </w:p>
    <w:p w14:paraId="6ABB230E" w14:textId="1378B6CE" w:rsidR="0014370D" w:rsidRPr="006F4DD6" w:rsidRDefault="000F6126" w:rsidP="002B3D63">
      <w:pPr>
        <w:pStyle w:val="Paragraphedeliste"/>
        <w:numPr>
          <w:ilvl w:val="1"/>
          <w:numId w:val="12"/>
        </w:numPr>
        <w:spacing w:before="120" w:after="120"/>
        <w:contextualSpacing w:val="0"/>
        <w:rPr>
          <w:kern w:val="22"/>
          <w:lang w:val="fr-CA"/>
        </w:rPr>
      </w:pPr>
      <w:r w:rsidRPr="00911F7C">
        <w:rPr>
          <w:i/>
          <w:kern w:val="22"/>
          <w:lang w:val="fr-CA"/>
        </w:rPr>
        <w:t>Tous les pays subissent les impacts des changements climatiques, mais les pauvres, les personnes vulnérables et les personnes les moins responsables du problème sont touchés de façon disproportionnée</w:t>
      </w:r>
      <w:r w:rsidR="0014370D" w:rsidRPr="00911F7C">
        <w:rPr>
          <w:i/>
          <w:kern w:val="22"/>
          <w:lang w:val="fr-CA"/>
        </w:rPr>
        <w:t>.</w:t>
      </w:r>
      <w:r w:rsidR="0014370D" w:rsidRPr="006F4DD6">
        <w:rPr>
          <w:kern w:val="22"/>
          <w:lang w:val="fr-CA"/>
        </w:rPr>
        <w:t xml:space="preserve"> </w:t>
      </w:r>
      <w:r w:rsidR="00840BB3" w:rsidRPr="006F4DD6">
        <w:rPr>
          <w:kern w:val="22"/>
          <w:lang w:val="fr-CA"/>
        </w:rPr>
        <w:t xml:space="preserve">Les impacts négatifs des changements climatiques sont souvent répartis de façon disproportionnée, notamment auprès de vastes populations de peuples autochtones et des communautés les plus pauvres du </w:t>
      </w:r>
      <w:r w:rsidR="006D2536" w:rsidRPr="006F4DD6">
        <w:rPr>
          <w:kern w:val="22"/>
          <w:lang w:val="fr-CA"/>
        </w:rPr>
        <w:t>m</w:t>
      </w:r>
      <w:r w:rsidR="00840BB3" w:rsidRPr="006F4DD6">
        <w:rPr>
          <w:kern w:val="22"/>
          <w:lang w:val="fr-CA"/>
        </w:rPr>
        <w:t>onde qui dépendent des fo</w:t>
      </w:r>
      <w:r w:rsidR="006D2536" w:rsidRPr="006F4DD6">
        <w:rPr>
          <w:kern w:val="22"/>
          <w:lang w:val="fr-CA"/>
        </w:rPr>
        <w:t>n</w:t>
      </w:r>
      <w:r w:rsidR="00840BB3" w:rsidRPr="006F4DD6">
        <w:rPr>
          <w:kern w:val="22"/>
          <w:lang w:val="fr-CA"/>
        </w:rPr>
        <w:t>ctions et des services des écosystèmes pour leur subsistance, leur existence et leur santé, et peuvent intensifier les inégalités, surtout che</w:t>
      </w:r>
      <w:r w:rsidR="006D2536" w:rsidRPr="006F4DD6">
        <w:rPr>
          <w:kern w:val="22"/>
          <w:lang w:val="fr-CA"/>
        </w:rPr>
        <w:t>z</w:t>
      </w:r>
      <w:r w:rsidR="00840BB3" w:rsidRPr="006F4DD6">
        <w:rPr>
          <w:kern w:val="22"/>
          <w:lang w:val="fr-CA"/>
        </w:rPr>
        <w:t xml:space="preserve"> les peuples marginalisés en raison de leur sexe, de leur âge</w:t>
      </w:r>
      <w:r w:rsidR="006D2536" w:rsidRPr="006F4DD6">
        <w:rPr>
          <w:kern w:val="22"/>
          <w:lang w:val="fr-CA"/>
        </w:rPr>
        <w:t>,</w:t>
      </w:r>
      <w:r w:rsidR="00840BB3" w:rsidRPr="006F4DD6">
        <w:rPr>
          <w:kern w:val="22"/>
          <w:lang w:val="fr-CA"/>
        </w:rPr>
        <w:t xml:space="preserve"> de leur race, de leur classe, de leur caste</w:t>
      </w:r>
      <w:r w:rsidR="006D2536" w:rsidRPr="006F4DD6">
        <w:rPr>
          <w:kern w:val="22"/>
          <w:lang w:val="fr-CA"/>
        </w:rPr>
        <w:t>,</w:t>
      </w:r>
      <w:r w:rsidR="00840BB3" w:rsidRPr="006F4DD6">
        <w:rPr>
          <w:kern w:val="22"/>
          <w:lang w:val="fr-CA"/>
        </w:rPr>
        <w:t xml:space="preserve"> de leur </w:t>
      </w:r>
      <w:r w:rsidR="006D2536" w:rsidRPr="006F4DD6">
        <w:rPr>
          <w:kern w:val="22"/>
          <w:lang w:val="fr-CA"/>
        </w:rPr>
        <w:t>caractère autochtone et de leur situation de handicap</w:t>
      </w:r>
      <w:r w:rsidR="004B4A50" w:rsidRPr="006F4DD6">
        <w:rPr>
          <w:kern w:val="22"/>
          <w:lang w:val="fr-CA"/>
        </w:rPr>
        <w:t>.</w:t>
      </w:r>
    </w:p>
    <w:p w14:paraId="44B6D147" w14:textId="781EF0DD" w:rsidR="00A96AA6" w:rsidRPr="006F4DD6" w:rsidRDefault="000017F0" w:rsidP="006924CD">
      <w:pPr>
        <w:pStyle w:val="Titre2"/>
        <w:ind w:left="1418" w:right="429" w:hanging="708"/>
        <w:jc w:val="left"/>
        <w:rPr>
          <w:snapToGrid w:val="0"/>
          <w:kern w:val="22"/>
          <w:szCs w:val="22"/>
          <w:lang w:val="fr-CA"/>
        </w:rPr>
      </w:pPr>
      <w:r w:rsidRPr="006F4DD6">
        <w:rPr>
          <w:kern w:val="22"/>
          <w:lang w:val="fr-CA"/>
        </w:rPr>
        <w:t>B.</w:t>
      </w:r>
      <w:r w:rsidRPr="006F4DD6">
        <w:rPr>
          <w:kern w:val="22"/>
          <w:lang w:val="fr-CA"/>
        </w:rPr>
        <w:tab/>
      </w:r>
      <w:r w:rsidR="0043094D">
        <w:rPr>
          <w:lang w:val="fr-CA"/>
        </w:rPr>
        <w:t xml:space="preserve">Rôle et </w:t>
      </w:r>
      <w:r w:rsidR="00ED5DAE" w:rsidRPr="006F4DD6">
        <w:rPr>
          <w:lang w:val="fr-CA"/>
        </w:rPr>
        <w:t xml:space="preserve">intégrité des écosystèmes </w:t>
      </w:r>
      <w:r w:rsidR="0007325F">
        <w:rPr>
          <w:lang w:val="fr-CA"/>
        </w:rPr>
        <w:t xml:space="preserve">en qui concerne </w:t>
      </w:r>
      <w:r w:rsidR="00ED5DAE" w:rsidRPr="006F4DD6">
        <w:rPr>
          <w:lang w:val="fr-CA"/>
        </w:rPr>
        <w:t xml:space="preserve">l’atténuation des changements climatiques </w:t>
      </w:r>
      <w:r w:rsidR="0007325F">
        <w:rPr>
          <w:lang w:val="fr-CA"/>
        </w:rPr>
        <w:t>et l’adaptation à ceux-ci,</w:t>
      </w:r>
      <w:r w:rsidR="00ED5DAE" w:rsidRPr="006F4DD6">
        <w:rPr>
          <w:lang w:val="fr-CA"/>
        </w:rPr>
        <w:t xml:space="preserve"> la réduction des risques de catastrophe, la restauration des écosystèmes et la gestion durable des terres</w:t>
      </w:r>
    </w:p>
    <w:p w14:paraId="42720520" w14:textId="71803F17" w:rsidR="0014370D" w:rsidRPr="006F4DD6" w:rsidRDefault="00ED5DAE" w:rsidP="00222F2C">
      <w:pPr>
        <w:pStyle w:val="Para10"/>
        <w:tabs>
          <w:tab w:val="clear" w:pos="360"/>
          <w:tab w:val="num" w:pos="720"/>
        </w:tabs>
        <w:rPr>
          <w:kern w:val="22"/>
          <w:lang w:val="fr-CA"/>
        </w:rPr>
      </w:pPr>
      <w:r w:rsidRPr="00911F7C">
        <w:rPr>
          <w:i/>
          <w:kern w:val="22"/>
          <w:lang w:val="fr-CA"/>
        </w:rPr>
        <w:t xml:space="preserve">La protection et la conservation de la diversité </w:t>
      </w:r>
      <w:r w:rsidR="00701FF9" w:rsidRPr="00911F7C">
        <w:rPr>
          <w:i/>
          <w:kern w:val="22"/>
          <w:lang w:val="fr-CA"/>
        </w:rPr>
        <w:t xml:space="preserve">biologique </w:t>
      </w:r>
      <w:r w:rsidRPr="00911F7C">
        <w:rPr>
          <w:i/>
          <w:kern w:val="22"/>
          <w:lang w:val="fr-CA"/>
        </w:rPr>
        <w:t>et des écosystèmes sont essentielles afin de conserver et d’accro</w:t>
      </w:r>
      <w:r w:rsidR="00DB0122" w:rsidRPr="00911F7C">
        <w:rPr>
          <w:i/>
          <w:kern w:val="22"/>
          <w:lang w:val="fr-CA"/>
        </w:rPr>
        <w:t>ître la résilience et de réduire la vulnérabilité des écosystèmes et des gens aux effets nuisibles des changements climatiques, et maintenir la capacité des écosystèmes d’emmagasiner le carbone</w:t>
      </w:r>
      <w:r w:rsidR="0014370D" w:rsidRPr="00911F7C">
        <w:rPr>
          <w:i/>
          <w:kern w:val="22"/>
          <w:lang w:val="fr-CA"/>
        </w:rPr>
        <w:t>.</w:t>
      </w:r>
      <w:r w:rsidR="0014370D" w:rsidRPr="006F4DD6">
        <w:rPr>
          <w:kern w:val="22"/>
          <w:lang w:val="fr-CA"/>
        </w:rPr>
        <w:t xml:space="preserve"> </w:t>
      </w:r>
      <w:r w:rsidR="00DB0122" w:rsidRPr="006F4DD6">
        <w:rPr>
          <w:kern w:val="22"/>
          <w:lang w:val="fr-CA"/>
        </w:rPr>
        <w:t xml:space="preserve">Les écosystèmes diversifiés, fonctionnant bien et résilients sont mieux en mesure de fournir aux populations des services et des bienfaits </w:t>
      </w:r>
      <w:r w:rsidR="00701FF9">
        <w:rPr>
          <w:kern w:val="22"/>
          <w:lang w:val="fr-CA"/>
        </w:rPr>
        <w:t>plus facilement adaptables aux</w:t>
      </w:r>
      <w:r w:rsidR="00DB0122" w:rsidRPr="006F4DD6">
        <w:rPr>
          <w:kern w:val="22"/>
          <w:lang w:val="fr-CA"/>
        </w:rPr>
        <w:t xml:space="preserve"> changements climatiques et </w:t>
      </w:r>
      <w:r w:rsidR="00D24947">
        <w:rPr>
          <w:kern w:val="22"/>
          <w:lang w:val="fr-CA"/>
        </w:rPr>
        <w:t xml:space="preserve">à </w:t>
      </w:r>
      <w:r w:rsidR="00DB0122" w:rsidRPr="006F4DD6">
        <w:rPr>
          <w:kern w:val="22"/>
          <w:lang w:val="fr-CA"/>
        </w:rPr>
        <w:t>la réduction des risques de catastrophes, et de contribuer à atténuer les changements climatiques</w:t>
      </w:r>
      <w:r w:rsidR="00477A3A" w:rsidRPr="006F4DD6">
        <w:rPr>
          <w:kern w:val="22"/>
          <w:lang w:val="fr-CA"/>
        </w:rPr>
        <w:t xml:space="preserve">. </w:t>
      </w:r>
      <w:r w:rsidR="002C487F" w:rsidRPr="006F4DD6">
        <w:rPr>
          <w:kern w:val="22"/>
          <w:lang w:val="fr-CA"/>
        </w:rPr>
        <w:t>Comme</w:t>
      </w:r>
      <w:r w:rsidR="00477A3A" w:rsidRPr="006F4DD6">
        <w:rPr>
          <w:kern w:val="22"/>
          <w:lang w:val="fr-CA"/>
        </w:rPr>
        <w:t xml:space="preserve"> les besoins d’adaptation seront réduits à un niveau de réchauffement climatique de 1,5</w:t>
      </w:r>
      <w:r w:rsidR="00B72C78">
        <w:rPr>
          <w:kern w:val="22"/>
          <w:lang w:val="fr-CA"/>
        </w:rPr>
        <w:t>°C</w:t>
      </w:r>
      <w:r w:rsidR="00477A3A" w:rsidRPr="006F4DD6">
        <w:rPr>
          <w:kern w:val="22"/>
          <w:lang w:val="fr-CA"/>
        </w:rPr>
        <w:t>, l’</w:t>
      </w:r>
      <w:r w:rsidR="002C487F" w:rsidRPr="006F4DD6">
        <w:rPr>
          <w:kern w:val="22"/>
          <w:lang w:val="fr-CA"/>
        </w:rPr>
        <w:t>appau</w:t>
      </w:r>
      <w:r w:rsidR="00477A3A" w:rsidRPr="006F4DD6">
        <w:rPr>
          <w:kern w:val="22"/>
          <w:lang w:val="fr-CA"/>
        </w:rPr>
        <w:t>vrissement de la</w:t>
      </w:r>
      <w:r w:rsidR="002C487F" w:rsidRPr="006F4DD6">
        <w:rPr>
          <w:kern w:val="22"/>
          <w:lang w:val="fr-CA"/>
        </w:rPr>
        <w:t xml:space="preserve"> diversité biologique et la dég</w:t>
      </w:r>
      <w:r w:rsidR="00477A3A" w:rsidRPr="006F4DD6">
        <w:rPr>
          <w:kern w:val="22"/>
          <w:lang w:val="fr-CA"/>
        </w:rPr>
        <w:t>radation des écosystèmes réduisent substantiellement leur résistance et mine</w:t>
      </w:r>
      <w:r w:rsidR="002C487F" w:rsidRPr="006F4DD6">
        <w:rPr>
          <w:kern w:val="22"/>
          <w:lang w:val="fr-CA"/>
        </w:rPr>
        <w:t>nt</w:t>
      </w:r>
      <w:r w:rsidR="00477A3A" w:rsidRPr="006F4DD6">
        <w:rPr>
          <w:kern w:val="22"/>
          <w:lang w:val="fr-CA"/>
        </w:rPr>
        <w:t xml:space="preserve"> leur capacité d’emmagasiner et de séqu</w:t>
      </w:r>
      <w:r w:rsidR="002C487F" w:rsidRPr="006F4DD6">
        <w:rPr>
          <w:kern w:val="22"/>
          <w:lang w:val="fr-CA"/>
        </w:rPr>
        <w:t>e</w:t>
      </w:r>
      <w:r w:rsidR="00477A3A" w:rsidRPr="006F4DD6">
        <w:rPr>
          <w:kern w:val="22"/>
          <w:lang w:val="fr-CA"/>
        </w:rPr>
        <w:t>st</w:t>
      </w:r>
      <w:r w:rsidR="002C487F" w:rsidRPr="006F4DD6">
        <w:rPr>
          <w:kern w:val="22"/>
          <w:lang w:val="fr-CA"/>
        </w:rPr>
        <w:t>r</w:t>
      </w:r>
      <w:r w:rsidR="00477A3A" w:rsidRPr="006F4DD6">
        <w:rPr>
          <w:kern w:val="22"/>
          <w:lang w:val="fr-CA"/>
        </w:rPr>
        <w:t xml:space="preserve">er le carbone, </w:t>
      </w:r>
      <w:r w:rsidR="002C487F" w:rsidRPr="006F4DD6">
        <w:rPr>
          <w:kern w:val="22"/>
          <w:lang w:val="fr-CA"/>
        </w:rPr>
        <w:t>ce qui pourrait entraîner</w:t>
      </w:r>
      <w:r w:rsidR="00477A3A" w:rsidRPr="006F4DD6">
        <w:rPr>
          <w:kern w:val="22"/>
          <w:lang w:val="fr-CA"/>
        </w:rPr>
        <w:t xml:space="preserve"> une augmentation des émissions de gaz à effet de serre. Les aires protégées et autres mesures de conservation </w:t>
      </w:r>
      <w:r w:rsidR="00D24947">
        <w:rPr>
          <w:kern w:val="22"/>
          <w:lang w:val="fr-CA"/>
        </w:rPr>
        <w:t>de zones</w:t>
      </w:r>
      <w:r w:rsidR="00477A3A" w:rsidRPr="006F4DD6">
        <w:rPr>
          <w:kern w:val="22"/>
          <w:lang w:val="fr-CA"/>
        </w:rPr>
        <w:t xml:space="preserve">, ainsi </w:t>
      </w:r>
      <w:r w:rsidR="00477A3A" w:rsidRPr="006F4DD6">
        <w:rPr>
          <w:kern w:val="22"/>
          <w:lang w:val="fr-CA"/>
        </w:rPr>
        <w:lastRenderedPageBreak/>
        <w:t>q</w:t>
      </w:r>
      <w:r w:rsidR="002C487F" w:rsidRPr="006F4DD6">
        <w:rPr>
          <w:kern w:val="22"/>
          <w:lang w:val="fr-CA"/>
        </w:rPr>
        <w:t>ue la restauration des écosystèmes sont d</w:t>
      </w:r>
      <w:r w:rsidR="00477A3A" w:rsidRPr="006F4DD6">
        <w:rPr>
          <w:kern w:val="22"/>
          <w:lang w:val="fr-CA"/>
        </w:rPr>
        <w:t>’</w:t>
      </w:r>
      <w:r w:rsidR="002C487F" w:rsidRPr="006F4DD6">
        <w:rPr>
          <w:kern w:val="22"/>
          <w:lang w:val="fr-CA"/>
        </w:rPr>
        <w:t>im</w:t>
      </w:r>
      <w:r w:rsidR="00477A3A" w:rsidRPr="006F4DD6">
        <w:rPr>
          <w:kern w:val="22"/>
          <w:lang w:val="fr-CA"/>
        </w:rPr>
        <w:t xml:space="preserve">portants outils </w:t>
      </w:r>
      <w:r w:rsidR="002C487F" w:rsidRPr="006F4DD6">
        <w:rPr>
          <w:kern w:val="22"/>
          <w:lang w:val="fr-CA"/>
        </w:rPr>
        <w:t>d</w:t>
      </w:r>
      <w:r w:rsidR="00D24947">
        <w:rPr>
          <w:kern w:val="22"/>
          <w:lang w:val="fr-CA"/>
        </w:rPr>
        <w:t xml:space="preserve">’atténuation des changements climatiques </w:t>
      </w:r>
      <w:r w:rsidR="00D4554E">
        <w:rPr>
          <w:kern w:val="22"/>
          <w:lang w:val="fr-CA"/>
        </w:rPr>
        <w:t xml:space="preserve">et </w:t>
      </w:r>
      <w:r w:rsidR="00D24947">
        <w:rPr>
          <w:kern w:val="22"/>
          <w:lang w:val="fr-CA"/>
        </w:rPr>
        <w:t xml:space="preserve">d’adaptation à </w:t>
      </w:r>
      <w:r w:rsidR="00477A3A" w:rsidRPr="006F4DD6">
        <w:rPr>
          <w:kern w:val="22"/>
          <w:lang w:val="fr-CA"/>
        </w:rPr>
        <w:t>ceux-ci</w:t>
      </w:r>
      <w:r w:rsidR="002C487F" w:rsidRPr="006F4DD6">
        <w:rPr>
          <w:kern w:val="22"/>
          <w:lang w:val="fr-CA"/>
        </w:rPr>
        <w:t>,</w:t>
      </w:r>
      <w:r w:rsidR="00477A3A" w:rsidRPr="006F4DD6">
        <w:rPr>
          <w:kern w:val="22"/>
          <w:lang w:val="fr-CA"/>
        </w:rPr>
        <w:t xml:space="preserve"> car </w:t>
      </w:r>
      <w:r w:rsidR="00D24947">
        <w:rPr>
          <w:kern w:val="22"/>
          <w:lang w:val="fr-CA"/>
        </w:rPr>
        <w:t>elles</w:t>
      </w:r>
      <w:r w:rsidR="00477A3A" w:rsidRPr="006F4DD6">
        <w:rPr>
          <w:kern w:val="22"/>
          <w:lang w:val="fr-CA"/>
        </w:rPr>
        <w:t xml:space="preserve"> conservent la diver</w:t>
      </w:r>
      <w:r w:rsidR="002C487F" w:rsidRPr="006F4DD6">
        <w:rPr>
          <w:kern w:val="22"/>
          <w:lang w:val="fr-CA"/>
        </w:rPr>
        <w:t>sité biologique et les écosystè</w:t>
      </w:r>
      <w:r w:rsidR="00477A3A" w:rsidRPr="006F4DD6">
        <w:rPr>
          <w:kern w:val="22"/>
          <w:lang w:val="fr-CA"/>
        </w:rPr>
        <w:t>mes, de même que leurs fonction</w:t>
      </w:r>
      <w:r w:rsidR="002C487F" w:rsidRPr="006F4DD6">
        <w:rPr>
          <w:kern w:val="22"/>
          <w:lang w:val="fr-CA"/>
        </w:rPr>
        <w:t>s</w:t>
      </w:r>
      <w:r w:rsidR="00477A3A" w:rsidRPr="006F4DD6">
        <w:rPr>
          <w:kern w:val="22"/>
          <w:lang w:val="fr-CA"/>
        </w:rPr>
        <w:t xml:space="preserve"> et services</w:t>
      </w:r>
      <w:r w:rsidR="0014370D" w:rsidRPr="006F4DD6">
        <w:rPr>
          <w:kern w:val="22"/>
          <w:lang w:val="fr-CA"/>
        </w:rPr>
        <w:t>.</w:t>
      </w:r>
    </w:p>
    <w:p w14:paraId="20DB2052" w14:textId="3C3C4686" w:rsidR="0014370D" w:rsidRPr="006F4DD6" w:rsidRDefault="00F62BE0" w:rsidP="00222F2C">
      <w:pPr>
        <w:pStyle w:val="Para10"/>
        <w:tabs>
          <w:tab w:val="clear" w:pos="360"/>
          <w:tab w:val="num" w:pos="720"/>
        </w:tabs>
        <w:rPr>
          <w:kern w:val="22"/>
          <w:lang w:val="fr-CA"/>
        </w:rPr>
      </w:pPr>
      <w:r w:rsidRPr="00911F7C">
        <w:rPr>
          <w:i/>
          <w:kern w:val="22"/>
          <w:lang w:val="fr-CA"/>
        </w:rPr>
        <w:t xml:space="preserve">Des mesures robustes sont nécessaires </w:t>
      </w:r>
      <w:r w:rsidR="0078601E" w:rsidRPr="00911F7C">
        <w:rPr>
          <w:i/>
          <w:kern w:val="22"/>
          <w:lang w:val="fr-CA"/>
        </w:rPr>
        <w:t>afin de protéger et d’améliorer les puits de carbone terrestres et océaniques et ainsi freiner le réchauffement climatique sous les 2</w:t>
      </w:r>
      <w:r w:rsidR="00B72C78">
        <w:rPr>
          <w:i/>
          <w:kern w:val="22"/>
          <w:lang w:val="fr-CA"/>
        </w:rPr>
        <w:t>°C</w:t>
      </w:r>
      <w:r w:rsidR="0078601E" w:rsidRPr="00911F7C">
        <w:rPr>
          <w:i/>
          <w:kern w:val="22"/>
          <w:lang w:val="fr-CA"/>
        </w:rPr>
        <w:t xml:space="preserve"> et plus près du 1,5</w:t>
      </w:r>
      <w:r w:rsidR="00B72C78">
        <w:rPr>
          <w:i/>
          <w:kern w:val="22"/>
          <w:lang w:val="fr-CA"/>
        </w:rPr>
        <w:t>°C</w:t>
      </w:r>
      <w:r w:rsidR="0078601E" w:rsidRPr="00911F7C">
        <w:rPr>
          <w:i/>
          <w:kern w:val="22"/>
          <w:lang w:val="fr-CA"/>
        </w:rPr>
        <w:t xml:space="preserve"> au-dessus des niveaux préindustriels</w:t>
      </w:r>
      <w:r w:rsidRPr="00911F7C">
        <w:rPr>
          <w:i/>
          <w:kern w:val="22"/>
          <w:lang w:val="fr-CA"/>
        </w:rPr>
        <w:t xml:space="preserve"> </w:t>
      </w:r>
      <w:r w:rsidR="0078601E" w:rsidRPr="00911F7C">
        <w:rPr>
          <w:i/>
          <w:kern w:val="22"/>
          <w:lang w:val="fr-CA"/>
        </w:rPr>
        <w:t>en appliqua</w:t>
      </w:r>
      <w:r w:rsidRPr="00911F7C">
        <w:rPr>
          <w:i/>
          <w:kern w:val="22"/>
          <w:lang w:val="fr-CA"/>
        </w:rPr>
        <w:t>nt des approches fondées sur les écosystèmes</w:t>
      </w:r>
      <w:r w:rsidR="00505BA8" w:rsidRPr="00911F7C">
        <w:rPr>
          <w:i/>
          <w:kern w:val="22"/>
          <w:lang w:val="fr-CA"/>
        </w:rPr>
        <w:t>,</w:t>
      </w:r>
      <w:r w:rsidRPr="00911F7C">
        <w:rPr>
          <w:i/>
          <w:kern w:val="22"/>
          <w:lang w:val="fr-CA"/>
        </w:rPr>
        <w:t xml:space="preserve"> </w:t>
      </w:r>
      <w:r w:rsidR="0078601E" w:rsidRPr="00911F7C">
        <w:rPr>
          <w:i/>
          <w:kern w:val="22"/>
          <w:lang w:val="fr-CA"/>
        </w:rPr>
        <w:t>et</w:t>
      </w:r>
      <w:r w:rsidRPr="00911F7C">
        <w:rPr>
          <w:i/>
          <w:kern w:val="22"/>
          <w:lang w:val="fr-CA"/>
        </w:rPr>
        <w:t xml:space="preserve"> réduire les émissions de gaz à effet de </w:t>
      </w:r>
      <w:r w:rsidR="0078601E" w:rsidRPr="00911F7C">
        <w:rPr>
          <w:i/>
          <w:kern w:val="22"/>
          <w:lang w:val="fr-CA"/>
        </w:rPr>
        <w:t>serre</w:t>
      </w:r>
      <w:r w:rsidRPr="00911F7C">
        <w:rPr>
          <w:i/>
          <w:kern w:val="22"/>
          <w:lang w:val="fr-CA"/>
        </w:rPr>
        <w:t xml:space="preserve"> provenant de la </w:t>
      </w:r>
      <w:r w:rsidR="0078601E" w:rsidRPr="00911F7C">
        <w:rPr>
          <w:i/>
          <w:kern w:val="22"/>
          <w:lang w:val="fr-CA"/>
        </w:rPr>
        <w:t>consommati</w:t>
      </w:r>
      <w:r w:rsidRPr="00911F7C">
        <w:rPr>
          <w:i/>
          <w:kern w:val="22"/>
          <w:lang w:val="fr-CA"/>
        </w:rPr>
        <w:t>on de co</w:t>
      </w:r>
      <w:r w:rsidR="0078601E" w:rsidRPr="00911F7C">
        <w:rPr>
          <w:i/>
          <w:kern w:val="22"/>
          <w:lang w:val="fr-CA"/>
        </w:rPr>
        <w:t>m</w:t>
      </w:r>
      <w:r w:rsidRPr="00911F7C">
        <w:rPr>
          <w:i/>
          <w:kern w:val="22"/>
          <w:lang w:val="fr-CA"/>
        </w:rPr>
        <w:t>bustibles fossiles et autres activités industrielles et agricoles</w:t>
      </w:r>
      <w:r w:rsidR="0014370D" w:rsidRPr="00911F7C">
        <w:rPr>
          <w:i/>
          <w:kern w:val="22"/>
          <w:lang w:val="fr-CA"/>
        </w:rPr>
        <w:t>.</w:t>
      </w:r>
      <w:r w:rsidR="0014370D" w:rsidRPr="006F4DD6">
        <w:rPr>
          <w:kern w:val="22"/>
          <w:lang w:val="fr-CA"/>
        </w:rPr>
        <w:t xml:space="preserve"> </w:t>
      </w:r>
      <w:r w:rsidR="0078601E" w:rsidRPr="006F4DD6">
        <w:rPr>
          <w:kern w:val="22"/>
          <w:lang w:val="fr-CA"/>
        </w:rPr>
        <w:t xml:space="preserve">Aucune mesure ne peut à elle seule </w:t>
      </w:r>
      <w:r w:rsidR="00EE28FB" w:rsidRPr="006F4DD6">
        <w:rPr>
          <w:kern w:val="22"/>
          <w:lang w:val="fr-CA"/>
        </w:rPr>
        <w:t>réaliser la réduction des concentrations de gaz à effet de serre dans l’atmosphère nécessaire pour limiter le niveau de réchauffement climatique à 1,5</w:t>
      </w:r>
      <w:r w:rsidR="00B72C78">
        <w:rPr>
          <w:kern w:val="22"/>
          <w:lang w:val="fr-CA"/>
        </w:rPr>
        <w:t>°C</w:t>
      </w:r>
      <w:r w:rsidR="00EE28FB" w:rsidRPr="006F4DD6">
        <w:rPr>
          <w:kern w:val="22"/>
          <w:lang w:val="fr-CA"/>
        </w:rPr>
        <w:t xml:space="preserve">. Les approches fondées sur les écosystèmes pour </w:t>
      </w:r>
      <w:r w:rsidR="00505BA8">
        <w:rPr>
          <w:kern w:val="22"/>
          <w:lang w:val="fr-CA"/>
        </w:rPr>
        <w:t>l’atténuation des</w:t>
      </w:r>
      <w:r w:rsidR="00501A98" w:rsidRPr="006F4DD6">
        <w:rPr>
          <w:kern w:val="22"/>
          <w:lang w:val="fr-CA"/>
        </w:rPr>
        <w:t xml:space="preserve"> </w:t>
      </w:r>
      <w:r w:rsidR="00EE28FB" w:rsidRPr="006F4DD6">
        <w:rPr>
          <w:kern w:val="22"/>
          <w:lang w:val="fr-CA"/>
        </w:rPr>
        <w:t>changements climatiques et l’</w:t>
      </w:r>
      <w:r w:rsidR="00505BA8">
        <w:rPr>
          <w:kern w:val="22"/>
          <w:lang w:val="fr-CA"/>
        </w:rPr>
        <w:t>adaptation à</w:t>
      </w:r>
      <w:r w:rsidR="00EE28FB" w:rsidRPr="006F4DD6">
        <w:rPr>
          <w:kern w:val="22"/>
          <w:lang w:val="fr-CA"/>
        </w:rPr>
        <w:t xml:space="preserve"> ceux-ci, dont la conservation de la diversité biologique, la réduction de la dégradation des écosyst</w:t>
      </w:r>
      <w:r w:rsidR="00501A98" w:rsidRPr="006F4DD6">
        <w:rPr>
          <w:kern w:val="22"/>
          <w:lang w:val="fr-CA"/>
        </w:rPr>
        <w:t>èmes, la restaurati</w:t>
      </w:r>
      <w:r w:rsidR="00EE28FB" w:rsidRPr="006F4DD6">
        <w:rPr>
          <w:kern w:val="22"/>
          <w:lang w:val="fr-CA"/>
        </w:rPr>
        <w:t>on des écosystèmes et la gestion durable des sols (</w:t>
      </w:r>
      <w:r w:rsidR="00BD3D35">
        <w:rPr>
          <w:kern w:val="22"/>
          <w:lang w:val="fr-CA"/>
        </w:rPr>
        <w:t>«</w:t>
      </w:r>
      <w:r w:rsidR="00EE28FB" w:rsidRPr="006F4DD6">
        <w:rPr>
          <w:kern w:val="22"/>
          <w:lang w:val="fr-CA"/>
        </w:rPr>
        <w:t xml:space="preserve"> solutions naturelles ou solutions climatiques </w:t>
      </w:r>
      <w:r w:rsidR="00501A98" w:rsidRPr="006F4DD6">
        <w:rPr>
          <w:kern w:val="22"/>
          <w:lang w:val="fr-CA"/>
        </w:rPr>
        <w:t>naturelles ») pourraient permettre de réaliser</w:t>
      </w:r>
      <w:r w:rsidR="00EE28FB" w:rsidRPr="006F4DD6">
        <w:rPr>
          <w:kern w:val="22"/>
          <w:lang w:val="fr-CA"/>
        </w:rPr>
        <w:t xml:space="preserve"> un tiers de l’atténuation ab</w:t>
      </w:r>
      <w:r w:rsidR="00501A98" w:rsidRPr="006F4DD6">
        <w:rPr>
          <w:kern w:val="22"/>
          <w:lang w:val="fr-CA"/>
        </w:rPr>
        <w:t>o</w:t>
      </w:r>
      <w:r w:rsidR="00EE28FB" w:rsidRPr="006F4DD6">
        <w:rPr>
          <w:kern w:val="22"/>
          <w:lang w:val="fr-CA"/>
        </w:rPr>
        <w:t>rdable du CO</w:t>
      </w:r>
      <w:r w:rsidR="00EE28FB" w:rsidRPr="006F4DD6">
        <w:rPr>
          <w:kern w:val="22"/>
          <w:vertAlign w:val="subscript"/>
          <w:lang w:val="fr-CA"/>
        </w:rPr>
        <w:t>2</w:t>
      </w:r>
      <w:r w:rsidR="00EE28FB" w:rsidRPr="006F4DD6">
        <w:rPr>
          <w:kern w:val="22"/>
          <w:lang w:val="fr-CA"/>
        </w:rPr>
        <w:t xml:space="preserve"> d’ici à </w:t>
      </w:r>
      <w:r w:rsidR="00505BA8">
        <w:rPr>
          <w:kern w:val="22"/>
          <w:lang w:val="fr-CA"/>
        </w:rPr>
        <w:t xml:space="preserve">2030 </w:t>
      </w:r>
      <w:r w:rsidR="00501A98" w:rsidRPr="006F4DD6">
        <w:rPr>
          <w:kern w:val="22"/>
          <w:lang w:val="fr-CA"/>
        </w:rPr>
        <w:t>et ainsi procurer</w:t>
      </w:r>
      <w:r w:rsidR="0013266D" w:rsidRPr="006F4DD6">
        <w:rPr>
          <w:kern w:val="22"/>
          <w:lang w:val="fr-CA"/>
        </w:rPr>
        <w:t xml:space="preserve"> </w:t>
      </w:r>
      <w:r w:rsidR="00FA7583">
        <w:rPr>
          <w:kern w:val="22"/>
          <w:lang w:val="fr-CA"/>
        </w:rPr>
        <w:t xml:space="preserve">plus de </w:t>
      </w:r>
      <w:r w:rsidR="0013266D" w:rsidRPr="006F4DD6">
        <w:rPr>
          <w:kern w:val="22"/>
          <w:lang w:val="fr-CA"/>
        </w:rPr>
        <w:t>66 pour ce</w:t>
      </w:r>
      <w:r w:rsidR="00501A98" w:rsidRPr="006F4DD6">
        <w:rPr>
          <w:kern w:val="22"/>
          <w:lang w:val="fr-CA"/>
        </w:rPr>
        <w:t>n</w:t>
      </w:r>
      <w:r w:rsidR="0013266D" w:rsidRPr="006F4DD6">
        <w:rPr>
          <w:kern w:val="22"/>
          <w:lang w:val="fr-CA"/>
        </w:rPr>
        <w:t>t de chances de maintenir le réchauffement sous les 2</w:t>
      </w:r>
      <w:r w:rsidR="00B72C78">
        <w:rPr>
          <w:kern w:val="22"/>
          <w:lang w:val="fr-CA"/>
        </w:rPr>
        <w:t>°C</w:t>
      </w:r>
      <w:r w:rsidR="00FA7583">
        <w:rPr>
          <w:kern w:val="22"/>
          <w:lang w:val="fr-CA"/>
        </w:rPr>
        <w:t>.</w:t>
      </w:r>
      <w:r w:rsidR="0013266D" w:rsidRPr="006F4DD6">
        <w:rPr>
          <w:kern w:val="22"/>
          <w:lang w:val="fr-CA"/>
        </w:rPr>
        <w:t xml:space="preserve"> Ces approches, lorsqu’elles sont bien con</w:t>
      </w:r>
      <w:r w:rsidR="00501A98" w:rsidRPr="006F4DD6">
        <w:rPr>
          <w:kern w:val="22"/>
          <w:lang w:val="fr-CA"/>
        </w:rPr>
        <w:t xml:space="preserve">çues et gérées, peuvent aussi </w:t>
      </w:r>
      <w:r w:rsidR="0013266D" w:rsidRPr="006F4DD6">
        <w:rPr>
          <w:kern w:val="22"/>
          <w:lang w:val="fr-CA"/>
        </w:rPr>
        <w:t xml:space="preserve">offrir des bienfaits pour la diversité biologique et la subsistance. </w:t>
      </w:r>
      <w:r w:rsidR="00501A98" w:rsidRPr="006F4DD6">
        <w:rPr>
          <w:kern w:val="22"/>
          <w:lang w:val="fr-CA"/>
        </w:rPr>
        <w:t>Ces mesures sont habituellement</w:t>
      </w:r>
      <w:r w:rsidR="0013266D" w:rsidRPr="006F4DD6">
        <w:rPr>
          <w:kern w:val="22"/>
          <w:lang w:val="fr-CA"/>
        </w:rPr>
        <w:t xml:space="preserve"> plus rentables et immédiatement accessibles, et peuvent donc être mise</w:t>
      </w:r>
      <w:r w:rsidR="00501A98" w:rsidRPr="006F4DD6">
        <w:rPr>
          <w:kern w:val="22"/>
          <w:lang w:val="fr-CA"/>
        </w:rPr>
        <w:t>s</w:t>
      </w:r>
      <w:r w:rsidR="0013266D" w:rsidRPr="006F4DD6">
        <w:rPr>
          <w:kern w:val="22"/>
          <w:lang w:val="fr-CA"/>
        </w:rPr>
        <w:t xml:space="preserve"> en œuvre en </w:t>
      </w:r>
      <w:r w:rsidR="00501A98" w:rsidRPr="006F4DD6">
        <w:rPr>
          <w:kern w:val="22"/>
          <w:lang w:val="fr-CA"/>
        </w:rPr>
        <w:t>priorité et «</w:t>
      </w:r>
      <w:r w:rsidR="006851CE">
        <w:rPr>
          <w:kern w:val="22"/>
          <w:lang w:val="fr-CA"/>
        </w:rPr>
        <w:t> </w:t>
      </w:r>
      <w:r w:rsidR="00501A98" w:rsidRPr="006F4DD6">
        <w:rPr>
          <w:kern w:val="22"/>
          <w:lang w:val="fr-CA"/>
        </w:rPr>
        <w:t>san</w:t>
      </w:r>
      <w:r w:rsidR="0013266D" w:rsidRPr="006F4DD6">
        <w:rPr>
          <w:kern w:val="22"/>
          <w:lang w:val="fr-CA"/>
        </w:rPr>
        <w:t xml:space="preserve">s regret ». Les mesures </w:t>
      </w:r>
      <w:r w:rsidR="00501A98" w:rsidRPr="006F4DD6">
        <w:rPr>
          <w:kern w:val="22"/>
          <w:lang w:val="fr-CA"/>
        </w:rPr>
        <w:t>fondées sur les terres ne pourro</w:t>
      </w:r>
      <w:r w:rsidR="0013266D" w:rsidRPr="006F4DD6">
        <w:rPr>
          <w:kern w:val="22"/>
          <w:lang w:val="fr-CA"/>
        </w:rPr>
        <w:t xml:space="preserve">nt pas à elles seules permettre </w:t>
      </w:r>
      <w:r w:rsidR="00501A98" w:rsidRPr="006F4DD6">
        <w:rPr>
          <w:kern w:val="22"/>
          <w:lang w:val="fr-CA"/>
        </w:rPr>
        <w:t>d’atteindre l</w:t>
      </w:r>
      <w:r w:rsidR="0013266D" w:rsidRPr="006F4DD6">
        <w:rPr>
          <w:kern w:val="22"/>
          <w:lang w:val="fr-CA"/>
        </w:rPr>
        <w:t>es objectifs pou</w:t>
      </w:r>
      <w:r w:rsidR="00501A98" w:rsidRPr="006F4DD6">
        <w:rPr>
          <w:kern w:val="22"/>
          <w:lang w:val="fr-CA"/>
        </w:rPr>
        <w:t xml:space="preserve">r le climat, mais elles </w:t>
      </w:r>
      <w:r w:rsidR="00FA7583">
        <w:rPr>
          <w:kern w:val="22"/>
          <w:lang w:val="fr-CA"/>
        </w:rPr>
        <w:t>demeurent</w:t>
      </w:r>
      <w:r w:rsidR="00501A98" w:rsidRPr="006F4DD6">
        <w:rPr>
          <w:kern w:val="22"/>
          <w:lang w:val="fr-CA"/>
        </w:rPr>
        <w:t xml:space="preserve"> un élément </w:t>
      </w:r>
      <w:r w:rsidR="0013266D" w:rsidRPr="006F4DD6">
        <w:rPr>
          <w:kern w:val="22"/>
          <w:lang w:val="fr-CA"/>
        </w:rPr>
        <w:t>important d’un effort collectif.</w:t>
      </w:r>
    </w:p>
    <w:p w14:paraId="1173BA7D" w14:textId="5E7A8B57" w:rsidR="0014370D" w:rsidRPr="006F4DD6" w:rsidRDefault="00D4554E" w:rsidP="00222F2C">
      <w:pPr>
        <w:pStyle w:val="Para10"/>
        <w:tabs>
          <w:tab w:val="clear" w:pos="360"/>
          <w:tab w:val="num" w:pos="720"/>
        </w:tabs>
        <w:rPr>
          <w:kern w:val="22"/>
          <w:lang w:val="fr-CA"/>
        </w:rPr>
      </w:pPr>
      <w:r w:rsidRPr="00911F7C">
        <w:rPr>
          <w:i/>
          <w:kern w:val="22"/>
          <w:lang w:val="fr-CA"/>
        </w:rPr>
        <w:t>L</w:t>
      </w:r>
      <w:r w:rsidR="001877D0" w:rsidRPr="00911F7C">
        <w:rPr>
          <w:i/>
          <w:kern w:val="22"/>
          <w:lang w:val="fr-CA"/>
        </w:rPr>
        <w:t xml:space="preserve">es ambitions nationales </w:t>
      </w:r>
      <w:r w:rsidR="00FA7583" w:rsidRPr="00911F7C">
        <w:rPr>
          <w:i/>
          <w:kern w:val="22"/>
          <w:lang w:val="fr-CA"/>
        </w:rPr>
        <w:t>cumulatives</w:t>
      </w:r>
      <w:r w:rsidR="001877D0" w:rsidRPr="00911F7C">
        <w:rPr>
          <w:i/>
          <w:kern w:val="22"/>
          <w:lang w:val="fr-CA"/>
        </w:rPr>
        <w:t xml:space="preserve"> découlant des contributions nationales déterminées ne permettent pas</w:t>
      </w:r>
      <w:r w:rsidRPr="00911F7C">
        <w:rPr>
          <w:i/>
          <w:kern w:val="22"/>
          <w:lang w:val="fr-CA"/>
        </w:rPr>
        <w:t>, d</w:t>
      </w:r>
      <w:r w:rsidR="00911F7C" w:rsidRPr="00911F7C">
        <w:rPr>
          <w:i/>
          <w:kern w:val="22"/>
          <w:lang w:val="fr-CA"/>
        </w:rPr>
        <w:t>a</w:t>
      </w:r>
      <w:r w:rsidRPr="00911F7C">
        <w:rPr>
          <w:i/>
          <w:kern w:val="22"/>
          <w:lang w:val="fr-CA"/>
        </w:rPr>
        <w:t>ns leur situation actuelle,</w:t>
      </w:r>
      <w:r w:rsidR="001877D0" w:rsidRPr="00911F7C">
        <w:rPr>
          <w:i/>
          <w:kern w:val="22"/>
          <w:lang w:val="fr-CA"/>
        </w:rPr>
        <w:t xml:space="preserve"> d’atteindre les cibles de l’Accord de Paris</w:t>
      </w:r>
      <w:r w:rsidR="0014370D" w:rsidRPr="00911F7C">
        <w:rPr>
          <w:i/>
          <w:kern w:val="22"/>
          <w:lang w:val="fr-CA"/>
        </w:rPr>
        <w:t>.</w:t>
      </w:r>
      <w:r w:rsidR="0014370D" w:rsidRPr="006F4DD6">
        <w:rPr>
          <w:kern w:val="22"/>
          <w:lang w:val="fr-CA"/>
        </w:rPr>
        <w:t xml:space="preserve"> </w:t>
      </w:r>
      <w:r w:rsidR="001877D0" w:rsidRPr="006F4DD6">
        <w:rPr>
          <w:kern w:val="22"/>
          <w:lang w:val="fr-CA"/>
        </w:rPr>
        <w:t>Les ambitions doivent être considérablement accrues pour atteindre l’objectif de réchauffement de la planète de 1,5</w:t>
      </w:r>
      <w:r w:rsidR="00B72C78">
        <w:rPr>
          <w:kern w:val="22"/>
          <w:lang w:val="fr-CA"/>
        </w:rPr>
        <w:t>°C</w:t>
      </w:r>
      <w:r w:rsidR="001877D0" w:rsidRPr="006F4DD6">
        <w:rPr>
          <w:kern w:val="22"/>
          <w:lang w:val="fr-CA"/>
        </w:rPr>
        <w:t>. Les mesures d’atténuation naturelles ou fondées sur les écosyst</w:t>
      </w:r>
      <w:r w:rsidR="00435201" w:rsidRPr="006F4DD6">
        <w:rPr>
          <w:kern w:val="22"/>
          <w:lang w:val="fr-CA"/>
        </w:rPr>
        <w:t xml:space="preserve">èmes pourraient contribuer à </w:t>
      </w:r>
      <w:r w:rsidR="001877D0" w:rsidRPr="006F4DD6">
        <w:rPr>
          <w:kern w:val="22"/>
          <w:lang w:val="fr-CA"/>
        </w:rPr>
        <w:t>élever les ambitions</w:t>
      </w:r>
      <w:r w:rsidR="00435201" w:rsidRPr="006F4DD6">
        <w:rPr>
          <w:kern w:val="22"/>
          <w:lang w:val="fr-CA"/>
        </w:rPr>
        <w:t xml:space="preserve">, et à réduire les compromis et favoriser la synergie des mesures en lien avec les changements climatiques, la conservation et l’utilisation durable de la diversité biologique et les Objectifs de développement durable. La façon de gérer les stocks de carbone peut jouer un rôle important dans les efforts </w:t>
      </w:r>
      <w:r w:rsidR="00FA7583">
        <w:rPr>
          <w:kern w:val="22"/>
          <w:lang w:val="fr-CA"/>
        </w:rPr>
        <w:t>d’atténuation des</w:t>
      </w:r>
      <w:r w:rsidR="00B02BDC" w:rsidRPr="006F4DD6">
        <w:rPr>
          <w:kern w:val="22"/>
          <w:lang w:val="fr-CA"/>
        </w:rPr>
        <w:t xml:space="preserve"> changements climatiques et </w:t>
      </w:r>
      <w:r w:rsidR="00FA7583">
        <w:rPr>
          <w:kern w:val="22"/>
          <w:lang w:val="fr-CA"/>
        </w:rPr>
        <w:t>d’adaptation à</w:t>
      </w:r>
      <w:r w:rsidR="00B02BDC" w:rsidRPr="006F4DD6">
        <w:rPr>
          <w:kern w:val="22"/>
          <w:lang w:val="fr-CA"/>
        </w:rPr>
        <w:t xml:space="preserve"> ceux-ci, </w:t>
      </w:r>
      <w:r w:rsidR="00FA7583">
        <w:rPr>
          <w:kern w:val="22"/>
          <w:lang w:val="fr-CA"/>
        </w:rPr>
        <w:t>et</w:t>
      </w:r>
      <w:r w:rsidR="00B02BDC" w:rsidRPr="006F4DD6">
        <w:rPr>
          <w:kern w:val="22"/>
          <w:lang w:val="fr-CA"/>
        </w:rPr>
        <w:t xml:space="preserve"> aussi renverser l’appauvrissement de la diversité biologique et la dégradation des terres et des écosystèmes. Investir simultanément dans la restauration des écosystèmes, la réhabilitation des pâturages et des terres agricoles, et des moyens d’améliorer de manière durab</w:t>
      </w:r>
      <w:r w:rsidR="0000514A">
        <w:rPr>
          <w:kern w:val="22"/>
          <w:lang w:val="fr-CA"/>
        </w:rPr>
        <w:t>le la productivité agricole peu</w:t>
      </w:r>
      <w:r w:rsidR="00B02BDC" w:rsidRPr="006F4DD6">
        <w:rPr>
          <w:kern w:val="22"/>
          <w:lang w:val="fr-CA"/>
        </w:rPr>
        <w:t xml:space="preserve">t contribuer à la fois </w:t>
      </w:r>
      <w:r w:rsidR="0000514A">
        <w:rPr>
          <w:kern w:val="22"/>
          <w:lang w:val="fr-CA"/>
        </w:rPr>
        <w:t xml:space="preserve">à lutter </w:t>
      </w:r>
      <w:r w:rsidR="00B02BDC" w:rsidRPr="006F4DD6">
        <w:rPr>
          <w:kern w:val="22"/>
          <w:lang w:val="fr-CA"/>
        </w:rPr>
        <w:t xml:space="preserve">contre les changements climatiques, la dégradation des sol et l’appauvrissement de la diversité biologique, et </w:t>
      </w:r>
      <w:r w:rsidR="0000514A">
        <w:rPr>
          <w:kern w:val="22"/>
          <w:lang w:val="fr-CA"/>
        </w:rPr>
        <w:t xml:space="preserve">à </w:t>
      </w:r>
      <w:r w:rsidR="00B02BDC" w:rsidRPr="006F4DD6">
        <w:rPr>
          <w:kern w:val="22"/>
          <w:lang w:val="fr-CA"/>
        </w:rPr>
        <w:t>améliorer la sécurité alimentaire</w:t>
      </w:r>
      <w:r w:rsidR="0014370D" w:rsidRPr="006F4DD6">
        <w:rPr>
          <w:kern w:val="22"/>
          <w:lang w:val="fr-CA"/>
        </w:rPr>
        <w:t>.</w:t>
      </w:r>
    </w:p>
    <w:p w14:paraId="1FC618F1" w14:textId="6BEE693C" w:rsidR="0014370D" w:rsidRPr="006F4DD6" w:rsidRDefault="00B02BDC" w:rsidP="006924CD">
      <w:pPr>
        <w:pStyle w:val="Para10"/>
        <w:tabs>
          <w:tab w:val="clear" w:pos="360"/>
        </w:tabs>
        <w:rPr>
          <w:kern w:val="22"/>
          <w:lang w:val="fr-CA"/>
        </w:rPr>
      </w:pPr>
      <w:r w:rsidRPr="00911F7C">
        <w:rPr>
          <w:i/>
          <w:kern w:val="22"/>
          <w:lang w:val="fr-CA"/>
        </w:rPr>
        <w:t>Le boisement et les mesures bioénergétique</w:t>
      </w:r>
      <w:r w:rsidR="0000514A" w:rsidRPr="00911F7C">
        <w:rPr>
          <w:i/>
          <w:kern w:val="22"/>
          <w:lang w:val="fr-CA"/>
        </w:rPr>
        <w:t>s</w:t>
      </w:r>
      <w:r w:rsidR="00286893" w:rsidRPr="00911F7C">
        <w:rPr>
          <w:i/>
          <w:kern w:val="22"/>
          <w:lang w:val="fr-CA"/>
        </w:rPr>
        <w:t xml:space="preserve"> peuvent avoir des incidences négatives importantes sur les systèmes alimentaires et agricoles, la diversité biologique et les autres fonctions et services </w:t>
      </w:r>
      <w:r w:rsidR="0000514A" w:rsidRPr="00911F7C">
        <w:rPr>
          <w:i/>
          <w:kern w:val="22"/>
          <w:lang w:val="fr-CA"/>
        </w:rPr>
        <w:t>écosystémiques</w:t>
      </w:r>
      <w:r w:rsidR="0014370D" w:rsidRPr="00911F7C">
        <w:rPr>
          <w:i/>
          <w:kern w:val="22"/>
          <w:lang w:val="fr-CA"/>
        </w:rPr>
        <w:t>.</w:t>
      </w:r>
      <w:r w:rsidR="0014370D" w:rsidRPr="006F4DD6">
        <w:rPr>
          <w:b/>
          <w:kern w:val="22"/>
          <w:lang w:val="fr-CA"/>
        </w:rPr>
        <w:t xml:space="preserve"> </w:t>
      </w:r>
      <w:r w:rsidR="00286893" w:rsidRPr="006F4DD6">
        <w:rPr>
          <w:kern w:val="22"/>
          <w:lang w:val="fr-CA"/>
        </w:rPr>
        <w:t>Le déploiement de la bio</w:t>
      </w:r>
      <w:r w:rsidR="0000514A">
        <w:rPr>
          <w:kern w:val="22"/>
          <w:lang w:val="fr-CA"/>
        </w:rPr>
        <w:t>énergie</w:t>
      </w:r>
      <w:r w:rsidR="00286893" w:rsidRPr="006F4DD6">
        <w:rPr>
          <w:kern w:val="22"/>
          <w:lang w:val="fr-CA"/>
        </w:rPr>
        <w:t xml:space="preserve"> </w:t>
      </w:r>
      <w:r w:rsidR="0000514A" w:rsidRPr="006F4DD6">
        <w:rPr>
          <w:kern w:val="22"/>
          <w:lang w:val="fr-CA"/>
        </w:rPr>
        <w:t>à très grande échelle</w:t>
      </w:r>
      <w:r w:rsidR="0000514A">
        <w:rPr>
          <w:kern w:val="22"/>
          <w:lang w:val="fr-CA"/>
        </w:rPr>
        <w:t xml:space="preserve">, </w:t>
      </w:r>
      <w:r w:rsidR="00286893" w:rsidRPr="006F4DD6">
        <w:rPr>
          <w:kern w:val="22"/>
          <w:lang w:val="fr-CA"/>
        </w:rPr>
        <w:t>qui comprend la capture et le stockage du CO</w:t>
      </w:r>
      <w:r w:rsidR="00286893" w:rsidRPr="0000514A">
        <w:rPr>
          <w:kern w:val="22"/>
          <w:vertAlign w:val="subscript"/>
          <w:lang w:val="fr-CA"/>
        </w:rPr>
        <w:t>2</w:t>
      </w:r>
      <w:r w:rsidR="00286893" w:rsidRPr="006F4DD6">
        <w:rPr>
          <w:kern w:val="22"/>
          <w:lang w:val="fr-CA"/>
        </w:rPr>
        <w:t xml:space="preserve">, envisagé dans certains scénarios d’atténuation, </w:t>
      </w:r>
      <w:r w:rsidR="00AA15E7" w:rsidRPr="006F4DD6">
        <w:rPr>
          <w:kern w:val="22"/>
          <w:lang w:val="fr-CA"/>
        </w:rPr>
        <w:t>pourrait avoir d’importantes incidences négatives sur la diversité biologique et la sécurité alimentaire en raison des changements dans l’utilisation des terres. Il faut s’attarder aux conséquences directes et indirectes des changements dans l’utilisation des terres, notamment en ce qui concerne les émissions de gaz à effet de serre, l’eau, les contraintes</w:t>
      </w:r>
      <w:r w:rsidR="006C1500" w:rsidRPr="006F4DD6">
        <w:rPr>
          <w:kern w:val="22"/>
          <w:lang w:val="fr-CA"/>
        </w:rPr>
        <w:t xml:space="preserve"> </w:t>
      </w:r>
      <w:r w:rsidR="00AA15E7" w:rsidRPr="006F4DD6">
        <w:rPr>
          <w:kern w:val="22"/>
          <w:lang w:val="fr-CA"/>
        </w:rPr>
        <w:t xml:space="preserve">en matière de </w:t>
      </w:r>
      <w:r w:rsidR="00AE2442" w:rsidRPr="006F4DD6">
        <w:rPr>
          <w:kern w:val="22"/>
          <w:lang w:val="fr-CA"/>
        </w:rPr>
        <w:t>nutriments</w:t>
      </w:r>
      <w:r w:rsidR="00AA15E7" w:rsidRPr="006F4DD6">
        <w:rPr>
          <w:kern w:val="22"/>
          <w:lang w:val="fr-CA"/>
        </w:rPr>
        <w:t xml:space="preserve"> et les changements dans l’albédo</w:t>
      </w:r>
      <w:r w:rsidR="00AE2442" w:rsidRPr="006F4DD6">
        <w:rPr>
          <w:kern w:val="22"/>
          <w:lang w:val="fr-CA"/>
        </w:rPr>
        <w:t xml:space="preserve">, lorsque des </w:t>
      </w:r>
      <w:r w:rsidR="00AA15E7" w:rsidRPr="006F4DD6">
        <w:rPr>
          <w:kern w:val="22"/>
          <w:lang w:val="fr-CA"/>
        </w:rPr>
        <w:t>m</w:t>
      </w:r>
      <w:r w:rsidR="00AE2442" w:rsidRPr="006F4DD6">
        <w:rPr>
          <w:kern w:val="22"/>
          <w:lang w:val="fr-CA"/>
        </w:rPr>
        <w:t>e</w:t>
      </w:r>
      <w:r w:rsidR="00AA15E7" w:rsidRPr="006F4DD6">
        <w:rPr>
          <w:kern w:val="22"/>
          <w:lang w:val="fr-CA"/>
        </w:rPr>
        <w:t xml:space="preserve">sures bioénergétiques </w:t>
      </w:r>
      <w:r w:rsidR="00AE2442" w:rsidRPr="006F4DD6">
        <w:rPr>
          <w:kern w:val="22"/>
          <w:lang w:val="fr-CA"/>
        </w:rPr>
        <w:t>et fondées sur la biomasse sont envisagées, afin de s’assurer que ces mesures contribuent à atténuer les changements</w:t>
      </w:r>
      <w:r w:rsidR="006C1500" w:rsidRPr="006F4DD6">
        <w:rPr>
          <w:kern w:val="22"/>
          <w:lang w:val="fr-CA"/>
        </w:rPr>
        <w:t xml:space="preserve"> climatiques s</w:t>
      </w:r>
      <w:r w:rsidR="0000514A">
        <w:rPr>
          <w:kern w:val="22"/>
          <w:lang w:val="fr-CA"/>
        </w:rPr>
        <w:t>ans compromettre indû</w:t>
      </w:r>
      <w:r w:rsidR="00AE2442" w:rsidRPr="006F4DD6">
        <w:rPr>
          <w:kern w:val="22"/>
          <w:lang w:val="fr-CA"/>
        </w:rPr>
        <w:t>ment la diversité biologique, la sécurité alimentaire, la résistance des écosystèmes et l’adaptation aux changements</w:t>
      </w:r>
      <w:r w:rsidR="00D26DE0">
        <w:rPr>
          <w:kern w:val="22"/>
          <w:lang w:val="fr-CA"/>
        </w:rPr>
        <w:t xml:space="preserve"> climatiques. D</w:t>
      </w:r>
      <w:r w:rsidR="00AE2442" w:rsidRPr="006F4DD6">
        <w:rPr>
          <w:kern w:val="22"/>
          <w:lang w:val="fr-CA"/>
        </w:rPr>
        <w:t>es mesures de protection écologiques doivent être mises en place afin d’éviter des pertes potentiellement dévastatrices et à long terme pour la diversité biologique et les écosystèmes, leur résilience et leur intégrité</w:t>
      </w:r>
      <w:r w:rsidR="0014370D" w:rsidRPr="006F4DD6">
        <w:rPr>
          <w:kern w:val="22"/>
          <w:lang w:val="fr-CA"/>
        </w:rPr>
        <w:t>.</w:t>
      </w:r>
    </w:p>
    <w:p w14:paraId="6A0A9069" w14:textId="5A4A3395" w:rsidR="00DD3809" w:rsidRPr="006F4DD6" w:rsidRDefault="0014370D" w:rsidP="00DD3809">
      <w:pPr>
        <w:pStyle w:val="Para10"/>
        <w:rPr>
          <w:kern w:val="22"/>
          <w:lang w:val="fr-CA"/>
        </w:rPr>
      </w:pPr>
      <w:r w:rsidRPr="006F4DD6" w:rsidDel="00CA1FFD">
        <w:rPr>
          <w:kern w:val="22"/>
          <w:lang w:val="fr-CA"/>
        </w:rPr>
        <w:tab/>
      </w:r>
      <w:r w:rsidR="00323C70" w:rsidRPr="00911F7C">
        <w:rPr>
          <w:i/>
          <w:kern w:val="22"/>
          <w:lang w:val="fr-CA"/>
        </w:rPr>
        <w:t>La séquestration du carbone dans le sol est un mode d’élimination du dioxyde de carbone posant peu de risques pour l’utilisation des terres et de l’eau et peut avoir des impacts positifs pour l’atténuation des changements climatiques et l’adaptation à ceux-ci, la réduction de l’appauvrissement de la diversité biologique et le renversement de la dégradation des sols</w:t>
      </w:r>
      <w:r w:rsidRPr="00911F7C" w:rsidDel="00CA1FFD">
        <w:rPr>
          <w:i/>
          <w:kern w:val="22"/>
          <w:lang w:val="fr-CA"/>
        </w:rPr>
        <w:t>.</w:t>
      </w:r>
      <w:r w:rsidRPr="006F4DD6" w:rsidDel="00CA1FFD">
        <w:rPr>
          <w:kern w:val="22"/>
          <w:lang w:val="fr-CA"/>
        </w:rPr>
        <w:t xml:space="preserve"> </w:t>
      </w:r>
      <w:r w:rsidR="00323C70" w:rsidRPr="006F4DD6">
        <w:rPr>
          <w:kern w:val="22"/>
          <w:lang w:val="fr-CA"/>
        </w:rPr>
        <w:t>Améliorer la séquestration du carbone dans le sol par la gestion durable des terres, et la conservation et la restauration des écosystèmes</w:t>
      </w:r>
      <w:r w:rsidR="00AB7348">
        <w:rPr>
          <w:kern w:val="22"/>
          <w:lang w:val="fr-CA"/>
        </w:rPr>
        <w:t>,</w:t>
      </w:r>
      <w:r w:rsidR="00323C70" w:rsidRPr="006F4DD6">
        <w:rPr>
          <w:kern w:val="22"/>
          <w:lang w:val="fr-CA"/>
        </w:rPr>
        <w:t xml:space="preserve"> peut aussi améliorer le taux de nutriments dans le sol, la fertilité des sols et la sécurité alimentaire</w:t>
      </w:r>
      <w:r w:rsidRPr="006F4DD6" w:rsidDel="00CA1FFD">
        <w:rPr>
          <w:kern w:val="22"/>
          <w:lang w:val="fr-CA"/>
        </w:rPr>
        <w:t>.</w:t>
      </w:r>
    </w:p>
    <w:p w14:paraId="27862920" w14:textId="34D3E4A9" w:rsidR="0014370D" w:rsidRPr="006F4DD6" w:rsidRDefault="00C64E43" w:rsidP="006924CD">
      <w:pPr>
        <w:pStyle w:val="Para10"/>
        <w:tabs>
          <w:tab w:val="clear" w:pos="360"/>
        </w:tabs>
        <w:rPr>
          <w:kern w:val="22"/>
          <w:lang w:val="fr-CA"/>
        </w:rPr>
      </w:pPr>
      <w:r w:rsidRPr="00911F7C">
        <w:rPr>
          <w:i/>
          <w:kern w:val="22"/>
          <w:lang w:val="fr-CA"/>
        </w:rPr>
        <w:lastRenderedPageBreak/>
        <w:t>Les besoins d’adaptation seront moins élevés à un niveau de réchauffement climatique de 1,5</w:t>
      </w:r>
      <w:r w:rsidR="00B72C78">
        <w:rPr>
          <w:i/>
          <w:kern w:val="22"/>
          <w:lang w:val="fr-CA"/>
        </w:rPr>
        <w:t>°C</w:t>
      </w:r>
      <w:r w:rsidRPr="00911F7C">
        <w:rPr>
          <w:i/>
          <w:kern w:val="22"/>
          <w:lang w:val="fr-CA"/>
        </w:rPr>
        <w:t xml:space="preserve"> qu’à un niveau de 2</w:t>
      </w:r>
      <w:r w:rsidR="00B72C78">
        <w:rPr>
          <w:i/>
          <w:kern w:val="22"/>
          <w:lang w:val="fr-CA"/>
        </w:rPr>
        <w:t>°C</w:t>
      </w:r>
      <w:r w:rsidR="0014370D" w:rsidRPr="00911F7C">
        <w:rPr>
          <w:i/>
          <w:kern w:val="22"/>
          <w:lang w:val="fr-CA"/>
        </w:rPr>
        <w:t>.</w:t>
      </w:r>
      <w:r w:rsidR="0014370D" w:rsidRPr="006F4DD6">
        <w:rPr>
          <w:kern w:val="22"/>
          <w:lang w:val="fr-CA"/>
        </w:rPr>
        <w:t xml:space="preserve"> </w:t>
      </w:r>
      <w:r w:rsidRPr="006F4DD6">
        <w:rPr>
          <w:kern w:val="22"/>
          <w:lang w:val="fr-CA"/>
        </w:rPr>
        <w:t xml:space="preserve">Les écosystèmes, et les systèmes alimentaires et de santé feront face à un moins grand nombre de </w:t>
      </w:r>
      <w:r w:rsidR="00AB7348">
        <w:rPr>
          <w:kern w:val="22"/>
          <w:lang w:val="fr-CA"/>
        </w:rPr>
        <w:t>difficultés</w:t>
      </w:r>
      <w:r w:rsidRPr="006F4DD6">
        <w:rPr>
          <w:kern w:val="22"/>
          <w:lang w:val="fr-CA"/>
        </w:rPr>
        <w:t xml:space="preserve"> à s’adapter aux changements climatiques à un nive</w:t>
      </w:r>
      <w:r w:rsidR="00EB5437" w:rsidRPr="006F4DD6">
        <w:rPr>
          <w:kern w:val="22"/>
          <w:lang w:val="fr-CA"/>
        </w:rPr>
        <w:t>a</w:t>
      </w:r>
      <w:r w:rsidRPr="006F4DD6">
        <w:rPr>
          <w:kern w:val="22"/>
          <w:lang w:val="fr-CA"/>
        </w:rPr>
        <w:t>u de réchauffement climatique de 1,5</w:t>
      </w:r>
      <w:r w:rsidR="00B72C78">
        <w:rPr>
          <w:kern w:val="22"/>
          <w:lang w:val="fr-CA"/>
        </w:rPr>
        <w:t>°C</w:t>
      </w:r>
      <w:r w:rsidRPr="006F4DD6">
        <w:rPr>
          <w:kern w:val="22"/>
          <w:lang w:val="fr-CA"/>
        </w:rPr>
        <w:t xml:space="preserve"> qu’</w:t>
      </w:r>
      <w:r w:rsidR="00EB5437" w:rsidRPr="006F4DD6">
        <w:rPr>
          <w:kern w:val="22"/>
          <w:lang w:val="fr-CA"/>
        </w:rPr>
        <w:t>à un niveau d</w:t>
      </w:r>
      <w:r w:rsidRPr="006F4DD6">
        <w:rPr>
          <w:kern w:val="22"/>
          <w:lang w:val="fr-CA"/>
        </w:rPr>
        <w:t>e 2</w:t>
      </w:r>
      <w:r w:rsidR="00B72C78">
        <w:rPr>
          <w:kern w:val="22"/>
          <w:lang w:val="fr-CA"/>
        </w:rPr>
        <w:t>°C</w:t>
      </w:r>
      <w:r w:rsidRPr="006F4DD6">
        <w:rPr>
          <w:kern w:val="22"/>
          <w:lang w:val="fr-CA"/>
        </w:rPr>
        <w:t>, et l’intégrité et la capacité d’</w:t>
      </w:r>
      <w:r w:rsidR="00EB5437" w:rsidRPr="006F4DD6">
        <w:rPr>
          <w:kern w:val="22"/>
          <w:lang w:val="fr-CA"/>
        </w:rPr>
        <w:t>a</w:t>
      </w:r>
      <w:r w:rsidRPr="006F4DD6">
        <w:rPr>
          <w:kern w:val="22"/>
          <w:lang w:val="fr-CA"/>
        </w:rPr>
        <w:t>daptation des écosystèmes seront compromises dans des scénarios d’émissions élevées. La capacité de la diversité biologique et des écosystèmes de s’adapter aux conséquences des changements climatiques dépendra largement</w:t>
      </w:r>
      <w:r w:rsidR="00EB5437" w:rsidRPr="006F4DD6">
        <w:rPr>
          <w:kern w:val="22"/>
          <w:lang w:val="fr-CA"/>
        </w:rPr>
        <w:t xml:space="preserve"> du niveau d’engagement de tous les joueurs du monde à réduire leurs émissions</w:t>
      </w:r>
      <w:r w:rsidR="0014370D" w:rsidRPr="006F4DD6">
        <w:rPr>
          <w:kern w:val="22"/>
          <w:lang w:val="fr-CA"/>
        </w:rPr>
        <w:t>.</w:t>
      </w:r>
      <w:r w:rsidR="00EB5437" w:rsidRPr="006F4DD6">
        <w:rPr>
          <w:kern w:val="22"/>
          <w:lang w:val="fr-CA"/>
        </w:rPr>
        <w:t xml:space="preserve"> De fortes ambitions en matière de réduction des émissions mondiales aident les écosystèmes à améliorer davantage l’atténuation des changements climatiques et l’adaptation à ceux-ci.</w:t>
      </w:r>
    </w:p>
    <w:p w14:paraId="6201A236" w14:textId="76A818B4" w:rsidR="001C3C7E" w:rsidRPr="006F4DD6" w:rsidRDefault="000017F0" w:rsidP="006924CD">
      <w:pPr>
        <w:pStyle w:val="Titre2"/>
        <w:rPr>
          <w:caps/>
          <w:snapToGrid w:val="0"/>
          <w:kern w:val="22"/>
          <w:szCs w:val="22"/>
          <w:lang w:val="fr-CA"/>
        </w:rPr>
      </w:pPr>
      <w:r w:rsidRPr="006F4DD6">
        <w:rPr>
          <w:kern w:val="22"/>
          <w:lang w:val="fr-CA"/>
        </w:rPr>
        <w:t>C.</w:t>
      </w:r>
      <w:r w:rsidRPr="006F4DD6">
        <w:rPr>
          <w:kern w:val="22"/>
          <w:lang w:val="fr-CA"/>
        </w:rPr>
        <w:tab/>
      </w:r>
      <w:r w:rsidR="00EB5437" w:rsidRPr="006F4DD6">
        <w:rPr>
          <w:kern w:val="22"/>
          <w:lang w:val="fr-CA"/>
        </w:rPr>
        <w:t xml:space="preserve">Lutter contre les moteurs communs sous-jacents des changements climatiques </w:t>
      </w:r>
      <w:r w:rsidR="007E4706">
        <w:rPr>
          <w:kern w:val="22"/>
          <w:lang w:val="fr-CA"/>
        </w:rPr>
        <w:t>et</w:t>
      </w:r>
      <w:r w:rsidR="00EB5437" w:rsidRPr="006F4DD6">
        <w:rPr>
          <w:kern w:val="22"/>
          <w:lang w:val="fr-CA"/>
        </w:rPr>
        <w:t xml:space="preserve"> de l’appauvrissement de la diversité biologique</w:t>
      </w:r>
    </w:p>
    <w:p w14:paraId="1BF8A7FD" w14:textId="142A9929" w:rsidR="00653E40" w:rsidRPr="006F4DD6" w:rsidRDefault="005B08D8" w:rsidP="00653E40">
      <w:pPr>
        <w:pStyle w:val="Para10"/>
        <w:tabs>
          <w:tab w:val="clear" w:pos="360"/>
          <w:tab w:val="num" w:pos="720"/>
        </w:tabs>
        <w:rPr>
          <w:kern w:val="22"/>
          <w:lang w:val="fr-CA"/>
        </w:rPr>
      </w:pPr>
      <w:r w:rsidRPr="00911F7C">
        <w:rPr>
          <w:i/>
          <w:kern w:val="22"/>
          <w:lang w:val="fr-CA"/>
        </w:rPr>
        <w:t>Les changements climatiques peuvent exacerber les pressions exercées sur les systèmes naturels en interagissant avec les moteurs de l’appauvrissement de la diversité biologique tels que les changements dans l’utilisation des terres et les espèces exotiques envahissantes</w:t>
      </w:r>
      <w:r w:rsidR="00653E40" w:rsidRPr="00911F7C">
        <w:rPr>
          <w:i/>
          <w:kern w:val="22"/>
          <w:lang w:val="fr-CA"/>
        </w:rPr>
        <w:t>.</w:t>
      </w:r>
      <w:r w:rsidR="00653E40" w:rsidRPr="006F4DD6">
        <w:rPr>
          <w:kern w:val="22"/>
          <w:lang w:val="fr-CA"/>
        </w:rPr>
        <w:t xml:space="preserve"> </w:t>
      </w:r>
      <w:r w:rsidRPr="006F4DD6">
        <w:rPr>
          <w:kern w:val="22"/>
          <w:lang w:val="fr-CA"/>
        </w:rPr>
        <w:t>I</w:t>
      </w:r>
      <w:r w:rsidR="00710A3C" w:rsidRPr="006F4DD6">
        <w:rPr>
          <w:kern w:val="22"/>
          <w:lang w:val="fr-CA"/>
        </w:rPr>
        <w:t>l</w:t>
      </w:r>
      <w:r w:rsidRPr="006F4DD6">
        <w:rPr>
          <w:kern w:val="22"/>
          <w:lang w:val="fr-CA"/>
        </w:rPr>
        <w:t xml:space="preserve"> est important </w:t>
      </w:r>
      <w:r w:rsidR="00710A3C" w:rsidRPr="006F4DD6">
        <w:rPr>
          <w:kern w:val="22"/>
          <w:lang w:val="fr-CA"/>
        </w:rPr>
        <w:t xml:space="preserve">d’aborder la question des </w:t>
      </w:r>
      <w:r w:rsidR="00AF5457">
        <w:rPr>
          <w:kern w:val="22"/>
          <w:lang w:val="fr-CA"/>
        </w:rPr>
        <w:t>impacts</w:t>
      </w:r>
      <w:r w:rsidR="00710A3C" w:rsidRPr="006F4DD6">
        <w:rPr>
          <w:kern w:val="22"/>
          <w:lang w:val="fr-CA"/>
        </w:rPr>
        <w:t xml:space="preserve"> des changements climatiques dans le contexte de l’interaction avec les moteurs de l’appauvrissement de la diversité biologique et de la dégradation des écosystèmes, et de leur résilience et leur capacité de répondre aux </w:t>
      </w:r>
      <w:r w:rsidR="00AF5457">
        <w:rPr>
          <w:kern w:val="22"/>
          <w:lang w:val="fr-CA"/>
        </w:rPr>
        <w:t>impacts</w:t>
      </w:r>
      <w:r w:rsidR="00710A3C" w:rsidRPr="006F4DD6">
        <w:rPr>
          <w:kern w:val="22"/>
          <w:lang w:val="fr-CA"/>
        </w:rPr>
        <w:t xml:space="preserve"> des changements climatiques</w:t>
      </w:r>
      <w:r w:rsidR="00653E40" w:rsidRPr="006F4DD6">
        <w:rPr>
          <w:kern w:val="22"/>
          <w:lang w:val="fr-CA"/>
        </w:rPr>
        <w:t>.</w:t>
      </w:r>
    </w:p>
    <w:p w14:paraId="2D515905" w14:textId="48F9F619" w:rsidR="00653E40" w:rsidRPr="006F4DD6" w:rsidRDefault="00710A3C" w:rsidP="00653E40">
      <w:pPr>
        <w:pStyle w:val="Para10"/>
        <w:tabs>
          <w:tab w:val="clear" w:pos="360"/>
          <w:tab w:val="num" w:pos="720"/>
        </w:tabs>
        <w:rPr>
          <w:kern w:val="22"/>
          <w:lang w:val="fr-CA"/>
        </w:rPr>
      </w:pPr>
      <w:r w:rsidRPr="00911F7C">
        <w:rPr>
          <w:bCs/>
          <w:i/>
          <w:kern w:val="22"/>
          <w:lang w:val="fr-CA"/>
        </w:rPr>
        <w:t>Plusieurs moteurs directs (p. ex., les changements dans l’utilisation des terres et de la mer) et la plupart des moteurs indirects (p. ex., la consommation d’aliments, de matières et d’énergie) de l’</w:t>
      </w:r>
      <w:r w:rsidR="00AF5A4B" w:rsidRPr="00911F7C">
        <w:rPr>
          <w:bCs/>
          <w:i/>
          <w:kern w:val="22"/>
          <w:lang w:val="fr-CA"/>
        </w:rPr>
        <w:t>appa</w:t>
      </w:r>
      <w:r w:rsidRPr="00911F7C">
        <w:rPr>
          <w:bCs/>
          <w:i/>
          <w:kern w:val="22"/>
          <w:lang w:val="fr-CA"/>
        </w:rPr>
        <w:t>uvrissement de la diversité biologique et des changements climatiques sont les mêmes</w:t>
      </w:r>
      <w:r w:rsidR="00AF5A4B" w:rsidRPr="00911F7C">
        <w:rPr>
          <w:bCs/>
          <w:i/>
          <w:kern w:val="22"/>
          <w:lang w:val="fr-CA"/>
        </w:rPr>
        <w:t xml:space="preserve">. Lutter contre ces moteurs communs doit </w:t>
      </w:r>
      <w:r w:rsidR="00AF5457" w:rsidRPr="00911F7C">
        <w:rPr>
          <w:bCs/>
          <w:i/>
          <w:kern w:val="22"/>
          <w:lang w:val="fr-CA"/>
        </w:rPr>
        <w:t>faire</w:t>
      </w:r>
      <w:r w:rsidR="00AF5A4B" w:rsidRPr="00911F7C">
        <w:rPr>
          <w:bCs/>
          <w:i/>
          <w:kern w:val="22"/>
          <w:lang w:val="fr-CA"/>
        </w:rPr>
        <w:t xml:space="preserve"> partie intégrante des efforts pour relever ces deux défis</w:t>
      </w:r>
      <w:r w:rsidR="00653E40" w:rsidRPr="00911F7C">
        <w:rPr>
          <w:bCs/>
          <w:i/>
          <w:kern w:val="22"/>
          <w:lang w:val="fr-CA"/>
        </w:rPr>
        <w:t>.</w:t>
      </w:r>
      <w:r w:rsidR="00653E40" w:rsidRPr="006F4DD6">
        <w:rPr>
          <w:kern w:val="22"/>
          <w:lang w:val="fr-CA"/>
        </w:rPr>
        <w:t xml:space="preserve"> </w:t>
      </w:r>
      <w:r w:rsidR="00AF5A4B" w:rsidRPr="006F4DD6">
        <w:rPr>
          <w:kern w:val="22"/>
          <w:lang w:val="fr-CA"/>
        </w:rPr>
        <w:t>Les changements dans l’utilisation des terres peuvent entraîner une augmentation des gaz à effet de serre, la réduction du potentiel de séquestration, l’appauvrissement de la diversité biologique et une réduction de la ré</w:t>
      </w:r>
      <w:r w:rsidR="008E44E1" w:rsidRPr="006F4DD6">
        <w:rPr>
          <w:kern w:val="22"/>
          <w:lang w:val="fr-CA"/>
        </w:rPr>
        <w:t>si</w:t>
      </w:r>
      <w:r w:rsidR="00AF5A4B" w:rsidRPr="006F4DD6">
        <w:rPr>
          <w:kern w:val="22"/>
          <w:lang w:val="fr-CA"/>
        </w:rPr>
        <w:t>lience des écosystèmes, et compromettre leur capacité d’adaptation. Trouver une solution aux changements de comportement et aux habitudes de consommation, telles qu’</w:t>
      </w:r>
      <w:r w:rsidR="008E44E1" w:rsidRPr="006F4DD6">
        <w:rPr>
          <w:kern w:val="22"/>
          <w:lang w:val="fr-CA"/>
        </w:rPr>
        <w:t>une consommation excessive de viande, pourrait réd</w:t>
      </w:r>
      <w:r w:rsidR="00AF5A4B" w:rsidRPr="006F4DD6">
        <w:rPr>
          <w:kern w:val="22"/>
          <w:lang w:val="fr-CA"/>
        </w:rPr>
        <w:t>uire la pression exercée sur la diversité biologique et les changements climatiques</w:t>
      </w:r>
      <w:r w:rsidR="00653E40" w:rsidRPr="006F4DD6">
        <w:rPr>
          <w:kern w:val="22"/>
          <w:lang w:val="fr-CA"/>
        </w:rPr>
        <w:t>.</w:t>
      </w:r>
    </w:p>
    <w:p w14:paraId="24D0F2EE" w14:textId="36537000" w:rsidR="00653E40" w:rsidRPr="006F4DD6" w:rsidRDefault="008E44E1" w:rsidP="009908FB">
      <w:pPr>
        <w:pStyle w:val="Para10"/>
        <w:tabs>
          <w:tab w:val="clear" w:pos="360"/>
          <w:tab w:val="num" w:pos="720"/>
        </w:tabs>
        <w:rPr>
          <w:kern w:val="22"/>
          <w:lang w:val="fr-CA"/>
        </w:rPr>
      </w:pPr>
      <w:r w:rsidRPr="00911F7C">
        <w:rPr>
          <w:bCs/>
          <w:i/>
          <w:kern w:val="22"/>
          <w:lang w:val="fr-CA"/>
        </w:rPr>
        <w:t xml:space="preserve">Les mesures de réponse aux changements climatiques qui augmentent la diversification au sein des systèmes alimentaires, telles qu’une consommation et une production durables, la réduction </w:t>
      </w:r>
      <w:r w:rsidR="00567DBA" w:rsidRPr="00911F7C">
        <w:rPr>
          <w:bCs/>
          <w:i/>
          <w:kern w:val="22"/>
          <w:lang w:val="fr-CA"/>
        </w:rPr>
        <w:t xml:space="preserve">de la perte et </w:t>
      </w:r>
      <w:r w:rsidRPr="00911F7C">
        <w:rPr>
          <w:bCs/>
          <w:i/>
          <w:kern w:val="22"/>
          <w:lang w:val="fr-CA"/>
        </w:rPr>
        <w:t xml:space="preserve">du gaspillage d’aliments et les changements alimentaires, peuvent servir à apporter de nombreux bienfaits à la diversité biologique, </w:t>
      </w:r>
      <w:r w:rsidR="00AF5457" w:rsidRPr="00911F7C">
        <w:rPr>
          <w:bCs/>
          <w:i/>
          <w:kern w:val="22"/>
          <w:lang w:val="fr-CA"/>
        </w:rPr>
        <w:t xml:space="preserve">pour </w:t>
      </w:r>
      <w:r w:rsidRPr="00911F7C">
        <w:rPr>
          <w:bCs/>
          <w:i/>
          <w:kern w:val="22"/>
          <w:lang w:val="fr-CA"/>
        </w:rPr>
        <w:t>les changements climatiques, la restauration des sols, la sécurité de l’eau et alimentaire, et la santé humaine</w:t>
      </w:r>
      <w:r w:rsidR="00653E40" w:rsidRPr="00911F7C">
        <w:rPr>
          <w:bCs/>
          <w:i/>
          <w:kern w:val="22"/>
          <w:lang w:val="fr-CA"/>
        </w:rPr>
        <w:t>.</w:t>
      </w:r>
      <w:r w:rsidR="00653E40" w:rsidRPr="006F4DD6">
        <w:rPr>
          <w:b/>
          <w:bCs/>
          <w:kern w:val="22"/>
          <w:lang w:val="fr-CA"/>
        </w:rPr>
        <w:t xml:space="preserve"> </w:t>
      </w:r>
      <w:r w:rsidR="00567DBA" w:rsidRPr="006F4DD6">
        <w:rPr>
          <w:kern w:val="22"/>
          <w:lang w:val="fr-CA"/>
        </w:rPr>
        <w:t xml:space="preserve">Les changements alimentaires et la réduction de la perte et du gaspillage d’aliments peuvent faciliter la transition vers des systèmes alimentaires à faibles émissions de gaz à effet de serre en réduisant la pression exercée </w:t>
      </w:r>
      <w:r w:rsidR="00AF5457">
        <w:rPr>
          <w:kern w:val="22"/>
          <w:lang w:val="fr-CA"/>
        </w:rPr>
        <w:t>sur</w:t>
      </w:r>
      <w:r w:rsidR="00567DBA" w:rsidRPr="006F4DD6">
        <w:rPr>
          <w:kern w:val="22"/>
          <w:lang w:val="fr-CA"/>
        </w:rPr>
        <w:t xml:space="preserve"> les terres. Des choix alimentaires plus durables, qui com</w:t>
      </w:r>
      <w:r w:rsidR="009908FB" w:rsidRPr="006F4DD6">
        <w:rPr>
          <w:kern w:val="22"/>
          <w:lang w:val="fr-CA"/>
        </w:rPr>
        <w:t>prennent une alimentati</w:t>
      </w:r>
      <w:r w:rsidR="00567DBA" w:rsidRPr="006F4DD6">
        <w:rPr>
          <w:kern w:val="22"/>
          <w:lang w:val="fr-CA"/>
        </w:rPr>
        <w:t>on mieux équilibrée et des aliment</w:t>
      </w:r>
      <w:r w:rsidR="009908FB" w:rsidRPr="006F4DD6">
        <w:rPr>
          <w:kern w:val="22"/>
          <w:lang w:val="fr-CA"/>
        </w:rPr>
        <w:t>s</w:t>
      </w:r>
      <w:r w:rsidR="00567DBA" w:rsidRPr="006F4DD6">
        <w:rPr>
          <w:kern w:val="22"/>
          <w:lang w:val="fr-CA"/>
        </w:rPr>
        <w:t xml:space="preserve"> à base de végétaux, peuvent réduire la demande de reconversion des terres, ce qui réduirait l’appauvrissement de la diversité biologique et créerait</w:t>
      </w:r>
      <w:r w:rsidR="009908FB" w:rsidRPr="006F4DD6">
        <w:rPr>
          <w:kern w:val="22"/>
          <w:lang w:val="fr-CA"/>
        </w:rPr>
        <w:t xml:space="preserve"> davantage d’occasions de prendre d’autres mesures pour les terres qui auraient des bienfaits pour la diversité biologique, l’atténuation des changements climatiques et l’adaptation à ceux-ci.</w:t>
      </w:r>
    </w:p>
    <w:p w14:paraId="5A60572B" w14:textId="6E3AE756" w:rsidR="00915E00" w:rsidRPr="006F4DD6" w:rsidRDefault="000017F0" w:rsidP="006924CD">
      <w:pPr>
        <w:pStyle w:val="Titre1"/>
        <w:rPr>
          <w:snapToGrid w:val="0"/>
          <w:kern w:val="22"/>
          <w:lang w:val="fr-CA"/>
        </w:rPr>
      </w:pPr>
      <w:r w:rsidRPr="006F4DD6">
        <w:rPr>
          <w:snapToGrid w:val="0"/>
          <w:kern w:val="22"/>
          <w:lang w:val="fr-CA"/>
        </w:rPr>
        <w:t>II.</w:t>
      </w:r>
      <w:r w:rsidRPr="006F4DD6">
        <w:rPr>
          <w:snapToGrid w:val="0"/>
          <w:kern w:val="22"/>
          <w:lang w:val="fr-CA"/>
        </w:rPr>
        <w:tab/>
      </w:r>
      <w:r w:rsidR="009908FB" w:rsidRPr="006F4DD6">
        <w:rPr>
          <w:snapToGrid w:val="0"/>
          <w:kern w:val="22"/>
          <w:lang w:val="fr-CA"/>
        </w:rPr>
        <w:t>CONSÉQUENCES SUR LES TRAVAUX DE LA CONVENTION</w:t>
      </w:r>
    </w:p>
    <w:p w14:paraId="1C2822EA" w14:textId="2FA681F0" w:rsidR="00AF72D1" w:rsidRPr="006F4DD6" w:rsidRDefault="00414E44" w:rsidP="001628D8">
      <w:pPr>
        <w:pStyle w:val="Para10"/>
        <w:suppressLineNumbers/>
        <w:tabs>
          <w:tab w:val="clear" w:pos="360"/>
        </w:tabs>
        <w:suppressAutoHyphens/>
        <w:kinsoku w:val="0"/>
        <w:overflowPunct w:val="0"/>
        <w:autoSpaceDE w:val="0"/>
        <w:autoSpaceDN w:val="0"/>
        <w:adjustRightInd w:val="0"/>
        <w:snapToGrid w:val="0"/>
        <w:rPr>
          <w:kern w:val="22"/>
          <w:szCs w:val="22"/>
          <w:lang w:val="fr-CA"/>
        </w:rPr>
      </w:pPr>
      <w:r w:rsidRPr="006F4DD6">
        <w:rPr>
          <w:kern w:val="22"/>
          <w:szCs w:val="22"/>
          <w:lang w:val="fr-CA"/>
        </w:rPr>
        <w:t xml:space="preserve">L’examen </w:t>
      </w:r>
      <w:r w:rsidR="005D3861">
        <w:rPr>
          <w:kern w:val="22"/>
          <w:szCs w:val="22"/>
          <w:lang w:val="fr-CA"/>
        </w:rPr>
        <w:t>des renseignements fournis</w:t>
      </w:r>
      <w:r w:rsidRPr="006F4DD6">
        <w:rPr>
          <w:kern w:val="22"/>
          <w:szCs w:val="22"/>
          <w:lang w:val="fr-CA"/>
        </w:rPr>
        <w:t xml:space="preserve"> dans la première partie de ce rapport met en évidence les </w:t>
      </w:r>
      <w:r w:rsidR="00600039" w:rsidRPr="006F4DD6">
        <w:rPr>
          <w:kern w:val="22"/>
          <w:szCs w:val="22"/>
          <w:lang w:val="fr-CA"/>
        </w:rPr>
        <w:t xml:space="preserve">principaux </w:t>
      </w:r>
      <w:r w:rsidRPr="006F4DD6">
        <w:rPr>
          <w:kern w:val="22"/>
          <w:szCs w:val="22"/>
          <w:lang w:val="fr-CA"/>
        </w:rPr>
        <w:t>points suivants</w:t>
      </w:r>
      <w:r w:rsidR="006851CE">
        <w:rPr>
          <w:kern w:val="22"/>
          <w:szCs w:val="22"/>
          <w:lang w:val="fr-CA"/>
        </w:rPr>
        <w:t> </w:t>
      </w:r>
      <w:r w:rsidR="00AF72D1" w:rsidRPr="006F4DD6">
        <w:rPr>
          <w:kern w:val="22"/>
          <w:szCs w:val="22"/>
          <w:lang w:val="fr-CA"/>
        </w:rPr>
        <w:t>:</w:t>
      </w:r>
    </w:p>
    <w:p w14:paraId="6B5213FA" w14:textId="585DD9E3" w:rsidR="00AF72D1" w:rsidRPr="006F4DD6" w:rsidRDefault="00600039" w:rsidP="00AF72D1">
      <w:pPr>
        <w:pStyle w:val="Para10"/>
        <w:numPr>
          <w:ilvl w:val="1"/>
          <w:numId w:val="12"/>
        </w:numPr>
        <w:suppressLineNumbers/>
        <w:suppressAutoHyphens/>
        <w:kinsoku w:val="0"/>
        <w:overflowPunct w:val="0"/>
        <w:autoSpaceDE w:val="0"/>
        <w:autoSpaceDN w:val="0"/>
        <w:adjustRightInd w:val="0"/>
        <w:snapToGrid w:val="0"/>
        <w:rPr>
          <w:kern w:val="22"/>
          <w:szCs w:val="22"/>
          <w:lang w:val="fr-CA"/>
        </w:rPr>
      </w:pPr>
      <w:r w:rsidRPr="006F4DD6">
        <w:rPr>
          <w:kern w:val="22"/>
          <w:szCs w:val="22"/>
          <w:lang w:val="fr-CA"/>
        </w:rPr>
        <w:t xml:space="preserve">Des mesures urgentes et d’envergure pour lutter contre les changements climatiques et leurs </w:t>
      </w:r>
      <w:r w:rsidR="005D3861">
        <w:rPr>
          <w:kern w:val="22"/>
          <w:szCs w:val="22"/>
          <w:lang w:val="fr-CA"/>
        </w:rPr>
        <w:t>impacts</w:t>
      </w:r>
      <w:r w:rsidRPr="006F4DD6">
        <w:rPr>
          <w:kern w:val="22"/>
          <w:szCs w:val="22"/>
          <w:lang w:val="fr-CA"/>
        </w:rPr>
        <w:t xml:space="preserve"> sur la diversité biologique et les communautés s’imposent afin de réaliser</w:t>
      </w:r>
      <w:r w:rsidR="00613580" w:rsidRPr="006F4DD6">
        <w:rPr>
          <w:kern w:val="22"/>
          <w:szCs w:val="22"/>
          <w:lang w:val="fr-CA"/>
        </w:rPr>
        <w:t xml:space="preserve"> </w:t>
      </w:r>
      <w:r w:rsidRPr="006F4DD6">
        <w:rPr>
          <w:kern w:val="22"/>
          <w:szCs w:val="22"/>
          <w:lang w:val="fr-CA"/>
        </w:rPr>
        <w:t xml:space="preserve">la Vision 2050 pour la </w:t>
      </w:r>
      <w:r w:rsidR="00613580" w:rsidRPr="006F4DD6">
        <w:rPr>
          <w:kern w:val="22"/>
          <w:szCs w:val="22"/>
          <w:lang w:val="fr-CA"/>
        </w:rPr>
        <w:t>biodiversité</w:t>
      </w:r>
      <w:r w:rsidR="00D71FB2">
        <w:rPr>
          <w:kern w:val="22"/>
          <w:szCs w:val="22"/>
          <w:lang w:val="fr-CA"/>
        </w:rPr>
        <w:t>;</w:t>
      </w:r>
    </w:p>
    <w:p w14:paraId="11D42E0B" w14:textId="01A14CE4" w:rsidR="00AF72D1" w:rsidRPr="006F4DD6" w:rsidRDefault="00613580" w:rsidP="00AF72D1">
      <w:pPr>
        <w:pStyle w:val="Para10"/>
        <w:numPr>
          <w:ilvl w:val="1"/>
          <w:numId w:val="12"/>
        </w:numPr>
        <w:suppressLineNumbers/>
        <w:suppressAutoHyphens/>
        <w:kinsoku w:val="0"/>
        <w:overflowPunct w:val="0"/>
        <w:autoSpaceDE w:val="0"/>
        <w:autoSpaceDN w:val="0"/>
        <w:adjustRightInd w:val="0"/>
        <w:snapToGrid w:val="0"/>
        <w:rPr>
          <w:kern w:val="22"/>
          <w:szCs w:val="22"/>
          <w:lang w:val="fr-CA"/>
        </w:rPr>
      </w:pPr>
      <w:r w:rsidRPr="006F4DD6">
        <w:rPr>
          <w:rFonts w:eastAsiaTheme="majorEastAsia"/>
          <w:kern w:val="22"/>
          <w:lang w:val="fr-CA"/>
        </w:rPr>
        <w:t>Il faut se pencher sur les nombreux moteurs de l’appauvrissement de la diversité biologique afin d’accroître la résistance des écosystèmes aux changements climatiques</w:t>
      </w:r>
      <w:r w:rsidR="00D71FB2">
        <w:rPr>
          <w:rFonts w:eastAsiaTheme="majorEastAsia"/>
          <w:kern w:val="22"/>
          <w:lang w:val="fr-CA"/>
        </w:rPr>
        <w:t>;</w:t>
      </w:r>
    </w:p>
    <w:p w14:paraId="05AF4A26" w14:textId="020A460C" w:rsidR="00AF72D1" w:rsidRPr="006F4DD6" w:rsidRDefault="00613580" w:rsidP="00AF72D1">
      <w:pPr>
        <w:pStyle w:val="Para10"/>
        <w:numPr>
          <w:ilvl w:val="1"/>
          <w:numId w:val="12"/>
        </w:numPr>
        <w:suppressLineNumbers/>
        <w:suppressAutoHyphens/>
        <w:kinsoku w:val="0"/>
        <w:overflowPunct w:val="0"/>
        <w:autoSpaceDE w:val="0"/>
        <w:autoSpaceDN w:val="0"/>
        <w:adjustRightInd w:val="0"/>
        <w:snapToGrid w:val="0"/>
        <w:rPr>
          <w:kern w:val="22"/>
          <w:szCs w:val="22"/>
          <w:lang w:val="fr-CA"/>
        </w:rPr>
      </w:pPr>
      <w:bookmarkStart w:id="0" w:name="_Toc14703609"/>
      <w:r w:rsidRPr="006F4DD6">
        <w:rPr>
          <w:kern w:val="22"/>
          <w:szCs w:val="22"/>
          <w:lang w:val="fr-CA"/>
        </w:rPr>
        <w:t>Les facteurs en lien avec les changements climatiques doivent être intégrés à la conception et la gestion des aires protégées et autres mesures de conservation et d’utilisation durable de la diversité biologique</w:t>
      </w:r>
      <w:r w:rsidR="00D71FB2">
        <w:rPr>
          <w:kern w:val="22"/>
          <w:szCs w:val="22"/>
          <w:lang w:val="fr-CA"/>
        </w:rPr>
        <w:t>;</w:t>
      </w:r>
    </w:p>
    <w:bookmarkEnd w:id="0"/>
    <w:p w14:paraId="64532F40" w14:textId="6603870A" w:rsidR="00FA0445" w:rsidRPr="006F4DD6" w:rsidRDefault="005D3861" w:rsidP="00DB5313">
      <w:pPr>
        <w:pStyle w:val="Para10"/>
        <w:numPr>
          <w:ilvl w:val="1"/>
          <w:numId w:val="12"/>
        </w:numPr>
        <w:suppressLineNumbers/>
        <w:suppressAutoHyphens/>
        <w:kinsoku w:val="0"/>
        <w:overflowPunct w:val="0"/>
        <w:autoSpaceDE w:val="0"/>
        <w:autoSpaceDN w:val="0"/>
        <w:adjustRightInd w:val="0"/>
        <w:snapToGrid w:val="0"/>
        <w:rPr>
          <w:kern w:val="22"/>
          <w:szCs w:val="22"/>
          <w:lang w:val="fr-CA"/>
        </w:rPr>
      </w:pPr>
      <w:r>
        <w:rPr>
          <w:kern w:val="22"/>
          <w:lang w:val="fr-CA"/>
        </w:rPr>
        <w:lastRenderedPageBreak/>
        <w:t>Les</w:t>
      </w:r>
      <w:r w:rsidR="002504FB" w:rsidRPr="006F4DD6">
        <w:rPr>
          <w:kern w:val="22"/>
          <w:lang w:val="fr-CA"/>
        </w:rPr>
        <w:t xml:space="preserve"> solutions naturelles </w:t>
      </w:r>
      <w:r w:rsidR="005B56A0">
        <w:rPr>
          <w:kern w:val="22"/>
          <w:lang w:val="fr-CA"/>
        </w:rPr>
        <w:t>ont un v</w:t>
      </w:r>
      <w:r>
        <w:rPr>
          <w:kern w:val="22"/>
          <w:lang w:val="fr-CA"/>
        </w:rPr>
        <w:t xml:space="preserve">aste potentiel de contribution </w:t>
      </w:r>
      <w:r w:rsidR="002504FB" w:rsidRPr="006F4DD6">
        <w:rPr>
          <w:kern w:val="22"/>
          <w:lang w:val="fr-CA"/>
        </w:rPr>
        <w:t>à l’atténuation des changements climatiques et l’adaptation à ceux-ci et à la réduction du risque de catastrophes</w:t>
      </w:r>
      <w:r w:rsidR="00D71FB2">
        <w:rPr>
          <w:kern w:val="22"/>
          <w:lang w:val="fr-CA"/>
        </w:rPr>
        <w:t>;</w:t>
      </w:r>
    </w:p>
    <w:p w14:paraId="51C51600" w14:textId="7D09A6FB" w:rsidR="00A2794D" w:rsidRPr="006F4DD6" w:rsidRDefault="002504FB" w:rsidP="00A2794D">
      <w:pPr>
        <w:pStyle w:val="Para10"/>
        <w:numPr>
          <w:ilvl w:val="1"/>
          <w:numId w:val="12"/>
        </w:numPr>
        <w:suppressLineNumbers/>
        <w:suppressAutoHyphens/>
        <w:kinsoku w:val="0"/>
        <w:overflowPunct w:val="0"/>
        <w:autoSpaceDE w:val="0"/>
        <w:autoSpaceDN w:val="0"/>
        <w:adjustRightInd w:val="0"/>
        <w:snapToGrid w:val="0"/>
        <w:rPr>
          <w:kern w:val="22"/>
          <w:szCs w:val="22"/>
          <w:lang w:val="fr-CA"/>
        </w:rPr>
      </w:pPr>
      <w:r w:rsidRPr="006F4DD6">
        <w:rPr>
          <w:kern w:val="22"/>
          <w:lang w:val="fr-CA"/>
        </w:rPr>
        <w:t>Il est important de tenir compte des impacts possibles des mesures de réponse aux changements climatiques sur la diversité biologique</w:t>
      </w:r>
      <w:r w:rsidR="00D71FB2">
        <w:rPr>
          <w:kern w:val="22"/>
          <w:lang w:val="fr-CA"/>
        </w:rPr>
        <w:t>;</w:t>
      </w:r>
    </w:p>
    <w:p w14:paraId="6A640D52" w14:textId="1B1355E7" w:rsidR="00AF72D1" w:rsidRPr="006F4DD6" w:rsidRDefault="002504FB" w:rsidP="00A2794D">
      <w:pPr>
        <w:pStyle w:val="Para10"/>
        <w:numPr>
          <w:ilvl w:val="1"/>
          <w:numId w:val="12"/>
        </w:numPr>
        <w:suppressLineNumbers/>
        <w:suppressAutoHyphens/>
        <w:kinsoku w:val="0"/>
        <w:overflowPunct w:val="0"/>
        <w:autoSpaceDE w:val="0"/>
        <w:autoSpaceDN w:val="0"/>
        <w:adjustRightInd w:val="0"/>
        <w:snapToGrid w:val="0"/>
        <w:rPr>
          <w:kern w:val="22"/>
          <w:szCs w:val="22"/>
          <w:lang w:val="fr-CA"/>
        </w:rPr>
      </w:pPr>
      <w:r w:rsidRPr="006F4DD6">
        <w:rPr>
          <w:kern w:val="22"/>
          <w:lang w:val="fr-CA"/>
        </w:rPr>
        <w:t xml:space="preserve">Plusieurs moteurs sous-jacents de l’appauvrissement de la diversité biologique sont communs et la </w:t>
      </w:r>
      <w:r w:rsidR="005D3861">
        <w:rPr>
          <w:kern w:val="22"/>
          <w:lang w:val="fr-CA"/>
        </w:rPr>
        <w:t>lutte contre ces derniers doi</w:t>
      </w:r>
      <w:r w:rsidRPr="006F4DD6">
        <w:rPr>
          <w:kern w:val="22"/>
          <w:lang w:val="fr-CA"/>
        </w:rPr>
        <w:t>t faire partie intégrante des efforts pour relever les deux défis</w:t>
      </w:r>
      <w:r w:rsidR="00A2794D" w:rsidRPr="006F4DD6">
        <w:rPr>
          <w:kern w:val="22"/>
          <w:lang w:val="fr-CA"/>
        </w:rPr>
        <w:t>.</w:t>
      </w:r>
    </w:p>
    <w:p w14:paraId="43101E98" w14:textId="49ACF621" w:rsidR="001D31D6" w:rsidRPr="006F4DD6" w:rsidRDefault="002504FB" w:rsidP="00FA327B">
      <w:pPr>
        <w:pStyle w:val="Para10"/>
        <w:numPr>
          <w:ilvl w:val="0"/>
          <w:numId w:val="0"/>
        </w:numPr>
        <w:suppressLineNumbers/>
        <w:suppressAutoHyphens/>
        <w:kinsoku w:val="0"/>
        <w:overflowPunct w:val="0"/>
        <w:autoSpaceDE w:val="0"/>
        <w:autoSpaceDN w:val="0"/>
        <w:adjustRightInd w:val="0"/>
        <w:snapToGrid w:val="0"/>
        <w:rPr>
          <w:kern w:val="22"/>
          <w:szCs w:val="22"/>
          <w:lang w:val="fr-CA"/>
        </w:rPr>
      </w:pPr>
      <w:r w:rsidRPr="006F4DD6">
        <w:rPr>
          <w:kern w:val="22"/>
          <w:lang w:val="fr-CA"/>
        </w:rPr>
        <w:t xml:space="preserve">Ces points seront abordés dans les sous-parties B à F ci-dessous. Certains points </w:t>
      </w:r>
      <w:r w:rsidR="00DA5060">
        <w:rPr>
          <w:kern w:val="22"/>
          <w:lang w:val="fr-CA"/>
        </w:rPr>
        <w:t>d’ordre général</w:t>
      </w:r>
      <w:r w:rsidRPr="006F4DD6">
        <w:rPr>
          <w:kern w:val="22"/>
          <w:lang w:val="fr-CA"/>
        </w:rPr>
        <w:t xml:space="preserve"> sont abordés dans la sous-partie A</w:t>
      </w:r>
      <w:r w:rsidR="00306F6C" w:rsidRPr="006F4DD6">
        <w:rPr>
          <w:kern w:val="22"/>
          <w:szCs w:val="22"/>
          <w:lang w:val="fr-CA"/>
        </w:rPr>
        <w:t>.</w:t>
      </w:r>
      <w:r w:rsidRPr="006F4DD6">
        <w:rPr>
          <w:kern w:val="22"/>
          <w:szCs w:val="22"/>
          <w:lang w:val="fr-CA"/>
        </w:rPr>
        <w:t xml:space="preserve"> </w:t>
      </w:r>
      <w:r w:rsidR="00F97191" w:rsidRPr="006F4DD6">
        <w:rPr>
          <w:kern w:val="22"/>
          <w:szCs w:val="22"/>
          <w:lang w:val="fr-CA"/>
        </w:rPr>
        <w:t>Les résultats concernant le Cadre mondial de la biodiversité pour l’après-2020 et la réalisation de la Vision 2050 «</w:t>
      </w:r>
      <w:r w:rsidR="006851CE">
        <w:rPr>
          <w:kern w:val="22"/>
          <w:szCs w:val="22"/>
          <w:lang w:val="fr-CA"/>
        </w:rPr>
        <w:t> </w:t>
      </w:r>
      <w:r w:rsidR="00F97191" w:rsidRPr="006F4DD6">
        <w:rPr>
          <w:kern w:val="22"/>
          <w:szCs w:val="22"/>
          <w:lang w:val="fr-CA"/>
        </w:rPr>
        <w:t>Vivre en harmonie avec la nature » sont abordés dans la partie G</w:t>
      </w:r>
      <w:r w:rsidR="00DA5060">
        <w:rPr>
          <w:kern w:val="22"/>
          <w:szCs w:val="22"/>
          <w:lang w:val="fr-CA"/>
        </w:rPr>
        <w:t>,</w:t>
      </w:r>
      <w:r w:rsidR="00F97191" w:rsidRPr="006F4DD6">
        <w:rPr>
          <w:kern w:val="22"/>
          <w:szCs w:val="22"/>
          <w:lang w:val="fr-CA"/>
        </w:rPr>
        <w:t xml:space="preserve"> et la partie H présente des occasions de synergie en matière de financement et de mobilisation des ressources.</w:t>
      </w:r>
    </w:p>
    <w:p w14:paraId="1A3235EC" w14:textId="0B6B1C7E" w:rsidR="001F483E" w:rsidRPr="006F4DD6" w:rsidRDefault="004B3A27" w:rsidP="001F483E">
      <w:pPr>
        <w:pStyle w:val="Para10"/>
        <w:suppressLineNumbers/>
        <w:tabs>
          <w:tab w:val="clear" w:pos="360"/>
        </w:tabs>
        <w:suppressAutoHyphens/>
        <w:kinsoku w:val="0"/>
        <w:overflowPunct w:val="0"/>
        <w:autoSpaceDE w:val="0"/>
        <w:autoSpaceDN w:val="0"/>
        <w:adjustRightInd w:val="0"/>
        <w:snapToGrid w:val="0"/>
        <w:rPr>
          <w:kern w:val="22"/>
          <w:szCs w:val="22"/>
          <w:lang w:val="fr-CA"/>
        </w:rPr>
      </w:pPr>
      <w:r>
        <w:rPr>
          <w:kern w:val="22"/>
          <w:szCs w:val="22"/>
          <w:lang w:val="fr-CA"/>
        </w:rPr>
        <w:t>Une multitude</w:t>
      </w:r>
      <w:r w:rsidR="00F97191" w:rsidRPr="006F4DD6">
        <w:rPr>
          <w:kern w:val="22"/>
          <w:szCs w:val="22"/>
          <w:lang w:val="fr-CA"/>
        </w:rPr>
        <w:t xml:space="preserve"> de renseignements pertinents </w:t>
      </w:r>
      <w:r w:rsidR="00DA5060">
        <w:rPr>
          <w:kern w:val="22"/>
          <w:szCs w:val="22"/>
          <w:lang w:val="fr-CA"/>
        </w:rPr>
        <w:t xml:space="preserve">sur ces questions </w:t>
      </w:r>
      <w:r>
        <w:rPr>
          <w:kern w:val="22"/>
          <w:szCs w:val="22"/>
          <w:lang w:val="fr-CA"/>
        </w:rPr>
        <w:t>ont</w:t>
      </w:r>
      <w:r w:rsidR="00F97191" w:rsidRPr="006F4DD6">
        <w:rPr>
          <w:kern w:val="22"/>
          <w:szCs w:val="22"/>
          <w:lang w:val="fr-CA"/>
        </w:rPr>
        <w:t xml:space="preserve"> déjà été élaboré</w:t>
      </w:r>
      <w:r>
        <w:rPr>
          <w:kern w:val="22"/>
          <w:szCs w:val="22"/>
          <w:lang w:val="fr-CA"/>
        </w:rPr>
        <w:t>s</w:t>
      </w:r>
      <w:r w:rsidR="00F97191" w:rsidRPr="006F4DD6">
        <w:rPr>
          <w:kern w:val="22"/>
          <w:szCs w:val="22"/>
          <w:lang w:val="fr-CA"/>
        </w:rPr>
        <w:t xml:space="preserve"> au titre de la Convention et ceux-c</w:t>
      </w:r>
      <w:r w:rsidR="00BA583C" w:rsidRPr="006F4DD6">
        <w:rPr>
          <w:kern w:val="22"/>
          <w:szCs w:val="22"/>
          <w:lang w:val="fr-CA"/>
        </w:rPr>
        <w:t>i doivent entrer en ligne de co</w:t>
      </w:r>
      <w:r w:rsidR="00F97191" w:rsidRPr="006F4DD6">
        <w:rPr>
          <w:kern w:val="22"/>
          <w:szCs w:val="22"/>
          <w:lang w:val="fr-CA"/>
        </w:rPr>
        <w:t xml:space="preserve">mpte au même titre que l’expérience des Parties dans la mise en œuvre de la </w:t>
      </w:r>
      <w:r w:rsidR="00BA583C" w:rsidRPr="006F4DD6">
        <w:rPr>
          <w:kern w:val="22"/>
          <w:szCs w:val="22"/>
          <w:lang w:val="fr-CA"/>
        </w:rPr>
        <w:t xml:space="preserve">Convention. Cette partie présente un aperçu et une analyse des travaux passés et actuels sur les liens d’interdépendance entre la diversité biologique et les changements climatiques au titre de la Convention par rapport aux récents résultats présentés dans la partie I, </w:t>
      </w:r>
      <w:r>
        <w:rPr>
          <w:kern w:val="22"/>
          <w:szCs w:val="22"/>
          <w:lang w:val="fr-CA"/>
        </w:rPr>
        <w:t>qui ont pour but</w:t>
      </w:r>
      <w:r w:rsidR="00BA583C" w:rsidRPr="006F4DD6">
        <w:rPr>
          <w:kern w:val="22"/>
          <w:szCs w:val="22"/>
          <w:lang w:val="fr-CA"/>
        </w:rPr>
        <w:t xml:space="preserve"> de définir les </w:t>
      </w:r>
      <w:r w:rsidR="00362FAA">
        <w:rPr>
          <w:kern w:val="22"/>
          <w:szCs w:val="22"/>
          <w:lang w:val="fr-CA"/>
        </w:rPr>
        <w:t>répercussions</w:t>
      </w:r>
      <w:r w:rsidR="00BA583C" w:rsidRPr="006F4DD6">
        <w:rPr>
          <w:kern w:val="22"/>
          <w:szCs w:val="22"/>
          <w:lang w:val="fr-CA"/>
        </w:rPr>
        <w:t xml:space="preserve"> et de cerner les lacunes possibles</w:t>
      </w:r>
      <w:r w:rsidR="001F483E" w:rsidRPr="006F4DD6">
        <w:rPr>
          <w:kern w:val="22"/>
          <w:szCs w:val="22"/>
          <w:lang w:val="fr-CA"/>
        </w:rPr>
        <w:t>.</w:t>
      </w:r>
    </w:p>
    <w:p w14:paraId="69D922C0" w14:textId="125FB985" w:rsidR="00306F6C" w:rsidRPr="006F4DD6" w:rsidRDefault="00BA583C" w:rsidP="00306F6C">
      <w:pPr>
        <w:pStyle w:val="Para10"/>
        <w:tabs>
          <w:tab w:val="clear" w:pos="360"/>
          <w:tab w:val="num" w:pos="709"/>
        </w:tabs>
        <w:rPr>
          <w:kern w:val="22"/>
          <w:lang w:val="fr-CA"/>
        </w:rPr>
      </w:pPr>
      <w:r w:rsidRPr="006F4DD6">
        <w:rPr>
          <w:kern w:val="22"/>
          <w:lang w:val="fr-CA"/>
        </w:rPr>
        <w:t xml:space="preserve">La Conférence des Parties a adopté, </w:t>
      </w:r>
      <w:r w:rsidR="00150433" w:rsidRPr="006F4DD6">
        <w:rPr>
          <w:kern w:val="22"/>
          <w:lang w:val="fr-CA"/>
        </w:rPr>
        <w:t>à sa dixiè</w:t>
      </w:r>
      <w:r w:rsidRPr="006F4DD6">
        <w:rPr>
          <w:kern w:val="22"/>
          <w:lang w:val="fr-CA"/>
        </w:rPr>
        <w:t>me réunion</w:t>
      </w:r>
      <w:r w:rsidR="00150433" w:rsidRPr="006F4DD6">
        <w:rPr>
          <w:kern w:val="22"/>
          <w:lang w:val="fr-CA"/>
        </w:rPr>
        <w:t>,</w:t>
      </w:r>
      <w:r w:rsidRPr="006F4DD6">
        <w:rPr>
          <w:kern w:val="22"/>
          <w:lang w:val="fr-CA"/>
        </w:rPr>
        <w:t xml:space="preserve"> une décis</w:t>
      </w:r>
      <w:r w:rsidR="00150433" w:rsidRPr="006F4DD6">
        <w:rPr>
          <w:kern w:val="22"/>
          <w:lang w:val="fr-CA"/>
        </w:rPr>
        <w:t>ion exhaustive</w:t>
      </w:r>
      <w:r w:rsidRPr="006F4DD6">
        <w:rPr>
          <w:kern w:val="22"/>
          <w:lang w:val="fr-CA"/>
        </w:rPr>
        <w:t xml:space="preserve"> sur la diversité biologique et les changements climatiques (dé</w:t>
      </w:r>
      <w:r w:rsidR="00306F6C" w:rsidRPr="006F4DD6">
        <w:rPr>
          <w:kern w:val="22"/>
          <w:lang w:val="fr-CA"/>
        </w:rPr>
        <w:t xml:space="preserve">cision </w:t>
      </w:r>
      <w:hyperlink r:id="rId13" w:history="1">
        <w:r w:rsidR="00306F6C" w:rsidRPr="006F4DD6">
          <w:rPr>
            <w:rStyle w:val="Lienhypertexte"/>
            <w:kern w:val="22"/>
            <w:lang w:val="fr-CA"/>
          </w:rPr>
          <w:t>X/33</w:t>
        </w:r>
      </w:hyperlink>
      <w:r w:rsidR="00306F6C" w:rsidRPr="006F4DD6">
        <w:rPr>
          <w:kern w:val="22"/>
          <w:lang w:val="fr-CA"/>
        </w:rPr>
        <w:t xml:space="preserve">), </w:t>
      </w:r>
      <w:r w:rsidRPr="006F4DD6">
        <w:rPr>
          <w:kern w:val="22"/>
          <w:lang w:val="fr-CA"/>
        </w:rPr>
        <w:t>qui offre aux P</w:t>
      </w:r>
      <w:r w:rsidR="00150433" w:rsidRPr="006F4DD6">
        <w:rPr>
          <w:kern w:val="22"/>
          <w:lang w:val="fr-CA"/>
        </w:rPr>
        <w:t xml:space="preserve">arties une orientation sur les </w:t>
      </w:r>
      <w:r w:rsidRPr="006F4DD6">
        <w:rPr>
          <w:kern w:val="22"/>
          <w:lang w:val="fr-CA"/>
        </w:rPr>
        <w:t xml:space="preserve">moyens de conserver, </w:t>
      </w:r>
      <w:r w:rsidR="00362FAA">
        <w:rPr>
          <w:kern w:val="22"/>
          <w:lang w:val="fr-CA"/>
        </w:rPr>
        <w:t>d’utiliser de façon durable</w:t>
      </w:r>
      <w:r w:rsidRPr="006F4DD6">
        <w:rPr>
          <w:kern w:val="22"/>
          <w:lang w:val="fr-CA"/>
        </w:rPr>
        <w:t xml:space="preserve"> et de restaurer la diversité biologique et les services écosystémiques tout en contribuant à </w:t>
      </w:r>
      <w:r w:rsidR="00362FAA">
        <w:rPr>
          <w:kern w:val="22"/>
          <w:lang w:val="fr-CA"/>
        </w:rPr>
        <w:t>l’atténuation d</w:t>
      </w:r>
      <w:r w:rsidRPr="006F4DD6">
        <w:rPr>
          <w:kern w:val="22"/>
          <w:lang w:val="fr-CA"/>
        </w:rPr>
        <w:t>es changements climatiques et l’adaptation à ceux-ci</w:t>
      </w:r>
      <w:r w:rsidR="00150433" w:rsidRPr="006F4DD6">
        <w:rPr>
          <w:kern w:val="22"/>
          <w:lang w:val="fr-CA"/>
        </w:rPr>
        <w:t>. L’orie</w:t>
      </w:r>
      <w:r w:rsidR="008E665B">
        <w:rPr>
          <w:kern w:val="22"/>
          <w:lang w:val="fr-CA"/>
        </w:rPr>
        <w:t>ntation découle des travaux du Deuxième g</w:t>
      </w:r>
      <w:r w:rsidR="00150433" w:rsidRPr="006F4DD6">
        <w:rPr>
          <w:kern w:val="22"/>
          <w:lang w:val="fr-CA"/>
        </w:rPr>
        <w:t>roupe spécial d’experts techniques sur la diversité biologique et les changements climatiques</w:t>
      </w:r>
      <w:r w:rsidR="000017F0" w:rsidRPr="006F4DD6">
        <w:rPr>
          <w:kern w:val="22"/>
          <w:lang w:val="fr-CA"/>
        </w:rPr>
        <w:t>.</w:t>
      </w:r>
      <w:r w:rsidR="00306F6C" w:rsidRPr="006F4DD6">
        <w:rPr>
          <w:rStyle w:val="Appelnotedebasdep"/>
          <w:kern w:val="22"/>
          <w:sz w:val="22"/>
          <w:szCs w:val="22"/>
          <w:u w:val="none"/>
          <w:shd w:val="clear" w:color="auto" w:fill="FFFFFF"/>
          <w:vertAlign w:val="superscript"/>
          <w:lang w:val="fr-CA"/>
        </w:rPr>
        <w:footnoteReference w:id="5"/>
      </w:r>
    </w:p>
    <w:p w14:paraId="4A170354" w14:textId="2730D2B6" w:rsidR="00306F6C" w:rsidRPr="006F4DD6" w:rsidRDefault="00257C9A" w:rsidP="006924CD">
      <w:pPr>
        <w:pStyle w:val="Para10"/>
        <w:tabs>
          <w:tab w:val="clear" w:pos="360"/>
        </w:tabs>
        <w:rPr>
          <w:kern w:val="22"/>
          <w:lang w:val="fr-CA"/>
        </w:rPr>
      </w:pPr>
      <w:r w:rsidRPr="006F4DD6">
        <w:rPr>
          <w:kern w:val="22"/>
          <w:lang w:val="fr-CA"/>
        </w:rPr>
        <w:t>Bien qu’elle ait été adoptée en 2010, l’orientation donnée au paragraphe 8 de la décision X/33</w:t>
      </w:r>
      <w:r w:rsidR="00AD09BE" w:rsidRPr="006F4DD6">
        <w:rPr>
          <w:kern w:val="22"/>
          <w:lang w:val="fr-CA"/>
        </w:rPr>
        <w:t xml:space="preserve"> dem</w:t>
      </w:r>
      <w:r w:rsidRPr="006F4DD6">
        <w:rPr>
          <w:kern w:val="22"/>
          <w:lang w:val="fr-CA"/>
        </w:rPr>
        <w:t>eure perti</w:t>
      </w:r>
      <w:r w:rsidR="00AD09BE" w:rsidRPr="006F4DD6">
        <w:rPr>
          <w:kern w:val="22"/>
          <w:lang w:val="fr-CA"/>
        </w:rPr>
        <w:t>nente dans le contexte</w:t>
      </w:r>
      <w:r w:rsidRPr="006F4DD6">
        <w:rPr>
          <w:kern w:val="22"/>
          <w:lang w:val="fr-CA"/>
        </w:rPr>
        <w:t xml:space="preserve"> des</w:t>
      </w:r>
      <w:r w:rsidR="00AD09BE" w:rsidRPr="006F4DD6">
        <w:rPr>
          <w:kern w:val="22"/>
          <w:lang w:val="fr-CA"/>
        </w:rPr>
        <w:t xml:space="preserve"> nouveaux renseignement</w:t>
      </w:r>
      <w:r w:rsidRPr="006F4DD6">
        <w:rPr>
          <w:kern w:val="22"/>
          <w:lang w:val="fr-CA"/>
        </w:rPr>
        <w:t>s scientifiques et techniques. L’</w:t>
      </w:r>
      <w:r w:rsidR="00AD09BE" w:rsidRPr="006F4DD6">
        <w:rPr>
          <w:kern w:val="22"/>
          <w:lang w:val="fr-CA"/>
        </w:rPr>
        <w:t>o</w:t>
      </w:r>
      <w:r w:rsidRPr="006F4DD6">
        <w:rPr>
          <w:kern w:val="22"/>
          <w:lang w:val="fr-CA"/>
        </w:rPr>
        <w:t xml:space="preserve">rientation porte sur les considérations essentielles de l’évaluation des impacts des changements climatiques sur la </w:t>
      </w:r>
      <w:r w:rsidR="00AD09BE" w:rsidRPr="006F4DD6">
        <w:rPr>
          <w:kern w:val="22"/>
          <w:lang w:val="fr-CA"/>
        </w:rPr>
        <w:t>diversité biologique, la réducti</w:t>
      </w:r>
      <w:r w:rsidRPr="006F4DD6">
        <w:rPr>
          <w:kern w:val="22"/>
          <w:lang w:val="fr-CA"/>
        </w:rPr>
        <w:t xml:space="preserve">on des impacts des changements climatiques sur la diversité biologique et la subsistance fondée sur la diversité </w:t>
      </w:r>
      <w:r w:rsidR="00AD09BE" w:rsidRPr="006F4DD6">
        <w:rPr>
          <w:kern w:val="22"/>
          <w:lang w:val="fr-CA"/>
        </w:rPr>
        <w:t>biologique</w:t>
      </w:r>
      <w:r w:rsidRPr="006F4DD6">
        <w:rPr>
          <w:kern w:val="22"/>
          <w:lang w:val="fr-CA"/>
        </w:rPr>
        <w:t>, les approches fondées sur les écosyst</w:t>
      </w:r>
      <w:r w:rsidR="00AD09BE" w:rsidRPr="006F4DD6">
        <w:rPr>
          <w:kern w:val="22"/>
          <w:lang w:val="fr-CA"/>
        </w:rPr>
        <w:t>èm</w:t>
      </w:r>
      <w:r w:rsidRPr="006F4DD6">
        <w:rPr>
          <w:kern w:val="22"/>
          <w:lang w:val="fr-CA"/>
        </w:rPr>
        <w:t>es</w:t>
      </w:r>
      <w:r w:rsidR="00AD09BE" w:rsidRPr="006F4DD6">
        <w:rPr>
          <w:kern w:val="22"/>
          <w:lang w:val="fr-CA"/>
        </w:rPr>
        <w:t xml:space="preserve"> comme mesure </w:t>
      </w:r>
      <w:r w:rsidRPr="006F4DD6">
        <w:rPr>
          <w:kern w:val="22"/>
          <w:lang w:val="fr-CA"/>
        </w:rPr>
        <w:t>d’atténuation</w:t>
      </w:r>
      <w:r w:rsidR="007B3A57">
        <w:rPr>
          <w:kern w:val="22"/>
          <w:lang w:val="fr-CA"/>
        </w:rPr>
        <w:t xml:space="preserve"> et d’adaptation</w:t>
      </w:r>
      <w:r w:rsidRPr="006F4DD6">
        <w:rPr>
          <w:kern w:val="22"/>
          <w:lang w:val="fr-CA"/>
        </w:rPr>
        <w:t xml:space="preserve">, la réduction des impacts </w:t>
      </w:r>
      <w:r w:rsidR="00AD09BE" w:rsidRPr="006F4DD6">
        <w:rPr>
          <w:kern w:val="22"/>
          <w:lang w:val="fr-CA"/>
        </w:rPr>
        <w:t xml:space="preserve">des mesures d’atténuation </w:t>
      </w:r>
      <w:r w:rsidR="007B3A57">
        <w:rPr>
          <w:kern w:val="22"/>
          <w:lang w:val="fr-CA"/>
        </w:rPr>
        <w:t>des</w:t>
      </w:r>
      <w:r w:rsidR="00AD09BE" w:rsidRPr="006F4DD6">
        <w:rPr>
          <w:kern w:val="22"/>
          <w:lang w:val="fr-CA"/>
        </w:rPr>
        <w:t xml:space="preserve"> changements climat</w:t>
      </w:r>
      <w:r w:rsidR="002E7896" w:rsidRPr="006F4DD6">
        <w:rPr>
          <w:kern w:val="22"/>
          <w:lang w:val="fr-CA"/>
        </w:rPr>
        <w:t>i</w:t>
      </w:r>
      <w:r w:rsidR="00AD09BE" w:rsidRPr="006F4DD6">
        <w:rPr>
          <w:kern w:val="22"/>
          <w:lang w:val="fr-CA"/>
        </w:rPr>
        <w:t>ques et d’adaptation à ceux-ci, et l’</w:t>
      </w:r>
      <w:r w:rsidR="002E7896" w:rsidRPr="006F4DD6">
        <w:rPr>
          <w:kern w:val="22"/>
          <w:lang w:val="fr-CA"/>
        </w:rPr>
        <w:t>établissement des valeurs et le</w:t>
      </w:r>
      <w:r w:rsidR="00AD09BE" w:rsidRPr="006F4DD6">
        <w:rPr>
          <w:kern w:val="22"/>
          <w:lang w:val="fr-CA"/>
        </w:rPr>
        <w:t>s</w:t>
      </w:r>
      <w:r w:rsidR="002E7896" w:rsidRPr="006F4DD6">
        <w:rPr>
          <w:kern w:val="22"/>
          <w:lang w:val="fr-CA"/>
        </w:rPr>
        <w:t xml:space="preserve"> </w:t>
      </w:r>
      <w:r w:rsidR="00AD09BE" w:rsidRPr="006F4DD6">
        <w:rPr>
          <w:kern w:val="22"/>
          <w:lang w:val="fr-CA"/>
        </w:rPr>
        <w:t>mesures d’encouragement.</w:t>
      </w:r>
    </w:p>
    <w:p w14:paraId="3E843812" w14:textId="669EE8A5" w:rsidR="007314C3" w:rsidRPr="006F4DD6" w:rsidRDefault="002E7896" w:rsidP="006924CD">
      <w:pPr>
        <w:pStyle w:val="Para10"/>
        <w:tabs>
          <w:tab w:val="clear" w:pos="360"/>
        </w:tabs>
        <w:rPr>
          <w:kern w:val="22"/>
          <w:lang w:val="fr-CA"/>
        </w:rPr>
      </w:pPr>
      <w:r w:rsidRPr="006F4DD6">
        <w:rPr>
          <w:kern w:val="22"/>
          <w:lang w:val="fr-CA"/>
        </w:rPr>
        <w:t>Les changements climatiques sont aussi un facteur dans d’autres programmes de travail de la Convention. L’Étude détaillée des questions intersectorielles sur la biodiversité et les changements climatiques</w:t>
      </w:r>
      <w:r w:rsidR="00306F6C" w:rsidRPr="006F4DD6">
        <w:rPr>
          <w:rStyle w:val="Appelnotedebasdep"/>
          <w:snapToGrid/>
          <w:kern w:val="22"/>
          <w:szCs w:val="24"/>
          <w:u w:val="none"/>
          <w:vertAlign w:val="superscript"/>
          <w:lang w:val="fr-CA"/>
        </w:rPr>
        <w:footnoteReference w:id="6"/>
      </w:r>
      <w:r w:rsidR="00306F6C" w:rsidRPr="006F4DD6">
        <w:rPr>
          <w:kern w:val="22"/>
          <w:lang w:val="fr-CA"/>
        </w:rPr>
        <w:t xml:space="preserve"> </w:t>
      </w:r>
      <w:r w:rsidRPr="006F4DD6">
        <w:rPr>
          <w:kern w:val="22"/>
          <w:lang w:val="fr-CA"/>
        </w:rPr>
        <w:t>entreprise en 2010 a cerné plusieurs éléments des changements climatiques et orientations dans d’autres programmes de travail de la Convention. Une mise à jour est fournie dans le document</w:t>
      </w:r>
      <w:r w:rsidR="00306F6C" w:rsidRPr="006F4DD6">
        <w:rPr>
          <w:kern w:val="22"/>
          <w:lang w:val="fr-CA"/>
        </w:rPr>
        <w:t xml:space="preserve"> CBD/</w:t>
      </w:r>
      <w:proofErr w:type="spellStart"/>
      <w:r w:rsidR="00306F6C" w:rsidRPr="006F4DD6">
        <w:rPr>
          <w:kern w:val="22"/>
          <w:lang w:val="fr-CA"/>
        </w:rPr>
        <w:t>SBSTTA</w:t>
      </w:r>
      <w:proofErr w:type="spellEnd"/>
      <w:r w:rsidR="00306F6C" w:rsidRPr="006F4DD6">
        <w:rPr>
          <w:kern w:val="22"/>
          <w:lang w:val="fr-CA"/>
        </w:rPr>
        <w:t>/23/</w:t>
      </w:r>
      <w:proofErr w:type="spellStart"/>
      <w:r w:rsidR="00306F6C" w:rsidRPr="006F4DD6">
        <w:rPr>
          <w:kern w:val="22"/>
          <w:lang w:val="fr-CA"/>
        </w:rPr>
        <w:t>INF</w:t>
      </w:r>
      <w:proofErr w:type="spellEnd"/>
      <w:r w:rsidR="00306F6C" w:rsidRPr="006F4DD6">
        <w:rPr>
          <w:kern w:val="22"/>
          <w:lang w:val="fr-CA"/>
        </w:rPr>
        <w:t>/</w:t>
      </w:r>
      <w:r w:rsidR="0014429A" w:rsidRPr="006F4DD6">
        <w:rPr>
          <w:kern w:val="22"/>
          <w:lang w:val="fr-CA"/>
        </w:rPr>
        <w:t>1</w:t>
      </w:r>
      <w:r w:rsidR="00306F6C" w:rsidRPr="006F4DD6">
        <w:rPr>
          <w:kern w:val="22"/>
          <w:lang w:val="fr-CA"/>
        </w:rPr>
        <w:t xml:space="preserve">. </w:t>
      </w:r>
      <w:r w:rsidRPr="006F4DD6">
        <w:rPr>
          <w:kern w:val="22"/>
          <w:lang w:val="fr-CA"/>
        </w:rPr>
        <w:t>L’étude révèle que la majorité des programmes contiennent certaines références aux c</w:t>
      </w:r>
      <w:r w:rsidR="00544455" w:rsidRPr="006F4DD6">
        <w:rPr>
          <w:kern w:val="22"/>
          <w:lang w:val="fr-CA"/>
        </w:rPr>
        <w:t>hangements climatiques, mais rares sont ceux qui fournissent des renseignements sur les activités précises visant à intégrer les changements climatiques</w:t>
      </w:r>
      <w:r w:rsidR="00306F6C" w:rsidRPr="006F4DD6">
        <w:rPr>
          <w:kern w:val="22"/>
          <w:lang w:val="fr-CA"/>
        </w:rPr>
        <w:t>.</w:t>
      </w:r>
    </w:p>
    <w:p w14:paraId="6FE796B6" w14:textId="1555EF3F" w:rsidR="00306F6C" w:rsidRPr="006F4DD6" w:rsidRDefault="00544455" w:rsidP="006924CD">
      <w:pPr>
        <w:pStyle w:val="Para10"/>
        <w:tabs>
          <w:tab w:val="clear" w:pos="360"/>
        </w:tabs>
        <w:rPr>
          <w:kern w:val="22"/>
          <w:lang w:val="fr-CA"/>
        </w:rPr>
      </w:pPr>
      <w:r w:rsidRPr="006F4DD6">
        <w:rPr>
          <w:kern w:val="22"/>
          <w:lang w:val="fr-CA"/>
        </w:rPr>
        <w:t>Outre les programmes de travail adoptés dans des décisions, plusieurs initiatives, questions intersectorielles, plans et stratégies relevant de la Convention font référence aux changements climatiques (p. ex., l’approche par écosystèmes, les espèces ex</w:t>
      </w:r>
      <w:r w:rsidR="004F38CF" w:rsidRPr="006F4DD6">
        <w:rPr>
          <w:kern w:val="22"/>
          <w:lang w:val="fr-CA"/>
        </w:rPr>
        <w:t>otiques envahissantes, la stratégie mondiale pour la cons</w:t>
      </w:r>
      <w:r w:rsidRPr="006F4DD6">
        <w:rPr>
          <w:kern w:val="22"/>
          <w:lang w:val="fr-CA"/>
        </w:rPr>
        <w:t>ervation des</w:t>
      </w:r>
      <w:r w:rsidR="004F38CF" w:rsidRPr="006F4DD6">
        <w:rPr>
          <w:kern w:val="22"/>
          <w:lang w:val="fr-CA"/>
        </w:rPr>
        <w:t xml:space="preserve"> plantes et le plan d’</w:t>
      </w:r>
      <w:r w:rsidRPr="006F4DD6">
        <w:rPr>
          <w:kern w:val="22"/>
          <w:lang w:val="fr-CA"/>
        </w:rPr>
        <w:t>action à court terme p</w:t>
      </w:r>
      <w:r w:rsidR="004F38CF" w:rsidRPr="006F4DD6">
        <w:rPr>
          <w:kern w:val="22"/>
          <w:lang w:val="fr-CA"/>
        </w:rPr>
        <w:t>o</w:t>
      </w:r>
      <w:r w:rsidRPr="006F4DD6">
        <w:rPr>
          <w:kern w:val="22"/>
          <w:lang w:val="fr-CA"/>
        </w:rPr>
        <w:t>ur la restauration des écosystèmes)</w:t>
      </w:r>
      <w:r w:rsidR="00306F6C" w:rsidRPr="006F4DD6">
        <w:rPr>
          <w:kern w:val="22"/>
          <w:lang w:val="fr-CA"/>
        </w:rPr>
        <w:t>.</w:t>
      </w:r>
    </w:p>
    <w:p w14:paraId="228DC539" w14:textId="08BCCB7D" w:rsidR="00306F6C" w:rsidRPr="006F4DD6" w:rsidRDefault="00CD46FB" w:rsidP="006924CD">
      <w:pPr>
        <w:pStyle w:val="Para10"/>
        <w:tabs>
          <w:tab w:val="clear" w:pos="360"/>
        </w:tabs>
        <w:rPr>
          <w:kern w:val="22"/>
          <w:lang w:val="fr-CA"/>
        </w:rPr>
      </w:pPr>
      <w:r w:rsidRPr="006F4DD6">
        <w:rPr>
          <w:kern w:val="22"/>
          <w:lang w:val="fr-CA"/>
        </w:rPr>
        <w:t xml:space="preserve">Les changements sont également abordés explicitement dans l’Objectif 10 d’Aichi </w:t>
      </w:r>
      <w:r w:rsidR="00196331">
        <w:rPr>
          <w:kern w:val="22"/>
          <w:lang w:val="fr-CA"/>
        </w:rPr>
        <w:t>pour la biodiversité</w:t>
      </w:r>
      <w:r w:rsidRPr="006F4DD6">
        <w:rPr>
          <w:kern w:val="22"/>
          <w:lang w:val="fr-CA"/>
        </w:rPr>
        <w:t xml:space="preserve"> sur la réduction des pressions exercées sur les récifs coralliens et autres écosystèmes vulnérables subissant les conséquences des change</w:t>
      </w:r>
      <w:r w:rsidR="0053457D" w:rsidRPr="006F4DD6">
        <w:rPr>
          <w:kern w:val="22"/>
          <w:lang w:val="fr-CA"/>
        </w:rPr>
        <w:t xml:space="preserve">ments climatiques. L’urgence d’agir est reflétée dans la </w:t>
      </w:r>
      <w:r w:rsidR="0053457D" w:rsidRPr="006F4DD6">
        <w:rPr>
          <w:kern w:val="22"/>
          <w:lang w:val="fr-CA"/>
        </w:rPr>
        <w:lastRenderedPageBreak/>
        <w:t xml:space="preserve">décision, qui fixe </w:t>
      </w:r>
      <w:r w:rsidR="007D6581">
        <w:rPr>
          <w:kern w:val="22"/>
          <w:lang w:val="fr-CA"/>
        </w:rPr>
        <w:t>à 2015, au lieu de 2020</w:t>
      </w:r>
      <w:r w:rsidR="004756CB" w:rsidRPr="006F4DD6">
        <w:rPr>
          <w:kern w:val="22"/>
          <w:lang w:val="fr-CA"/>
        </w:rPr>
        <w:t xml:space="preserve"> </w:t>
      </w:r>
      <w:r w:rsidR="0053457D" w:rsidRPr="006F4DD6">
        <w:rPr>
          <w:kern w:val="22"/>
          <w:lang w:val="fr-CA"/>
        </w:rPr>
        <w:t>comme pour la plupart des autres objectifs</w:t>
      </w:r>
      <w:r w:rsidR="004756CB" w:rsidRPr="006F4DD6">
        <w:rPr>
          <w:kern w:val="22"/>
          <w:lang w:val="fr-CA"/>
        </w:rPr>
        <w:t>, la date limite pour la réalisation de l’Objectif 10</w:t>
      </w:r>
      <w:r w:rsidR="0053457D" w:rsidRPr="006F4DD6">
        <w:rPr>
          <w:kern w:val="22"/>
          <w:lang w:val="fr-CA"/>
        </w:rPr>
        <w:t>. L’évaluation mondiale de l’</w:t>
      </w:r>
      <w:proofErr w:type="spellStart"/>
      <w:r w:rsidR="0053457D" w:rsidRPr="006F4DD6">
        <w:rPr>
          <w:kern w:val="22"/>
          <w:lang w:val="fr-CA"/>
        </w:rPr>
        <w:t>IPBES</w:t>
      </w:r>
      <w:proofErr w:type="spellEnd"/>
      <w:r w:rsidR="0053457D" w:rsidRPr="006F4DD6">
        <w:rPr>
          <w:kern w:val="22"/>
          <w:lang w:val="fr-CA"/>
        </w:rPr>
        <w:t xml:space="preserve"> a révélé que cet objectif n’a pas été atteint en 2015 et </w:t>
      </w:r>
      <w:r w:rsidR="004756CB" w:rsidRPr="006F4DD6">
        <w:rPr>
          <w:kern w:val="22"/>
          <w:lang w:val="fr-CA"/>
        </w:rPr>
        <w:t>que c’est</w:t>
      </w:r>
      <w:r w:rsidR="0053457D" w:rsidRPr="006F4DD6">
        <w:rPr>
          <w:kern w:val="22"/>
          <w:lang w:val="fr-CA"/>
        </w:rPr>
        <w:t xml:space="preserve"> l’objectif pour lequel le moins de progrès a été accompli, car les nombreuses pressions exercées sur les récifs</w:t>
      </w:r>
      <w:r w:rsidR="004756CB" w:rsidRPr="006F4DD6">
        <w:rPr>
          <w:kern w:val="22"/>
          <w:lang w:val="fr-CA"/>
        </w:rPr>
        <w:t xml:space="preserve"> coralliens, dont les pressions ex</w:t>
      </w:r>
      <w:r w:rsidR="0053457D" w:rsidRPr="006F4DD6">
        <w:rPr>
          <w:kern w:val="22"/>
          <w:lang w:val="fr-CA"/>
        </w:rPr>
        <w:t xml:space="preserve">ercées par les activités terrestres et </w:t>
      </w:r>
      <w:r w:rsidR="004756CB" w:rsidRPr="006F4DD6">
        <w:rPr>
          <w:kern w:val="22"/>
          <w:lang w:val="fr-CA"/>
        </w:rPr>
        <w:t xml:space="preserve">les activités </w:t>
      </w:r>
      <w:r w:rsidR="0053457D" w:rsidRPr="006F4DD6">
        <w:rPr>
          <w:kern w:val="22"/>
          <w:lang w:val="fr-CA"/>
        </w:rPr>
        <w:t>marine</w:t>
      </w:r>
      <w:r w:rsidR="004756CB" w:rsidRPr="006F4DD6">
        <w:rPr>
          <w:kern w:val="22"/>
          <w:lang w:val="fr-CA"/>
        </w:rPr>
        <w:t>s</w:t>
      </w:r>
      <w:r w:rsidR="0053457D" w:rsidRPr="006F4DD6">
        <w:rPr>
          <w:kern w:val="22"/>
          <w:lang w:val="fr-CA"/>
        </w:rPr>
        <w:t>,</w:t>
      </w:r>
      <w:r w:rsidR="004756CB" w:rsidRPr="006F4DD6">
        <w:rPr>
          <w:kern w:val="22"/>
          <w:lang w:val="fr-CA"/>
        </w:rPr>
        <w:t xml:space="preserve"> </w:t>
      </w:r>
      <w:r w:rsidR="00196331">
        <w:rPr>
          <w:kern w:val="22"/>
          <w:lang w:val="fr-CA"/>
        </w:rPr>
        <w:t>sont</w:t>
      </w:r>
      <w:r w:rsidR="00952372" w:rsidRPr="006F4DD6">
        <w:rPr>
          <w:kern w:val="22"/>
          <w:lang w:val="fr-CA"/>
        </w:rPr>
        <w:t xml:space="preserve"> toujours </w:t>
      </w:r>
      <w:r w:rsidR="00196331">
        <w:rPr>
          <w:kern w:val="22"/>
          <w:lang w:val="fr-CA"/>
        </w:rPr>
        <w:t>en</w:t>
      </w:r>
      <w:r w:rsidR="00952372" w:rsidRPr="006F4DD6">
        <w:rPr>
          <w:kern w:val="22"/>
          <w:lang w:val="fr-CA"/>
        </w:rPr>
        <w:t xml:space="preserve"> forte augmentation</w:t>
      </w:r>
      <w:r w:rsidR="004756CB" w:rsidRPr="006F4DD6">
        <w:rPr>
          <w:kern w:val="22"/>
          <w:lang w:val="fr-CA"/>
        </w:rPr>
        <w:t>. Les conclusions sur l’état des récifs coralliens et autres écosystèmes vulnérables, abordées dans la partie I</w:t>
      </w:r>
      <w:r w:rsidR="00196331">
        <w:rPr>
          <w:kern w:val="22"/>
          <w:lang w:val="fr-CA"/>
        </w:rPr>
        <w:t xml:space="preserve"> </w:t>
      </w:r>
      <w:r w:rsidR="004756CB" w:rsidRPr="006F4DD6">
        <w:rPr>
          <w:kern w:val="22"/>
          <w:lang w:val="fr-CA"/>
        </w:rPr>
        <w:t xml:space="preserve">A, </w:t>
      </w:r>
      <w:r w:rsidR="00816DF7">
        <w:rPr>
          <w:kern w:val="22"/>
          <w:lang w:val="fr-CA"/>
        </w:rPr>
        <w:t xml:space="preserve">ci-dessus, </w:t>
      </w:r>
      <w:r w:rsidR="004756CB" w:rsidRPr="006F4DD6">
        <w:rPr>
          <w:kern w:val="22"/>
          <w:lang w:val="fr-CA"/>
        </w:rPr>
        <w:t>soulignent l’urgence d’</w:t>
      </w:r>
      <w:r w:rsidR="00952372" w:rsidRPr="006F4DD6">
        <w:rPr>
          <w:kern w:val="22"/>
          <w:lang w:val="fr-CA"/>
        </w:rPr>
        <w:t>agir, de réduire consid</w:t>
      </w:r>
      <w:r w:rsidR="004756CB" w:rsidRPr="006F4DD6">
        <w:rPr>
          <w:kern w:val="22"/>
          <w:lang w:val="fr-CA"/>
        </w:rPr>
        <w:t>érablement les pressions directes exercées sur la diversité biologique et de promouvoir l’utilisation durable.</w:t>
      </w:r>
    </w:p>
    <w:p w14:paraId="33D3CDFC" w14:textId="2D0E24F7" w:rsidR="00306F6C" w:rsidRPr="006F4DD6" w:rsidRDefault="00952372" w:rsidP="006924CD">
      <w:pPr>
        <w:pStyle w:val="Para10"/>
        <w:tabs>
          <w:tab w:val="clear" w:pos="360"/>
        </w:tabs>
        <w:rPr>
          <w:kern w:val="22"/>
          <w:lang w:val="fr-CA"/>
        </w:rPr>
      </w:pPr>
      <w:r w:rsidRPr="006F4DD6">
        <w:rPr>
          <w:kern w:val="22"/>
          <w:lang w:val="fr-CA"/>
        </w:rPr>
        <w:t xml:space="preserve">L’Objectif 15, sur l’augmentation de la résilience des écosystèmes et la contribution de la diversité biologique aux stocks de carbone par la conservation et la restauration, ainsi </w:t>
      </w:r>
      <w:r w:rsidR="007D6581">
        <w:rPr>
          <w:kern w:val="22"/>
          <w:lang w:val="fr-CA"/>
        </w:rPr>
        <w:t>que la</w:t>
      </w:r>
      <w:r w:rsidR="00196331">
        <w:rPr>
          <w:kern w:val="22"/>
          <w:lang w:val="fr-CA"/>
        </w:rPr>
        <w:t xml:space="preserve"> contribution</w:t>
      </w:r>
      <w:r w:rsidRPr="006F4DD6">
        <w:rPr>
          <w:kern w:val="22"/>
          <w:lang w:val="fr-CA"/>
        </w:rPr>
        <w:t xml:space="preserve"> à l’atténuation des changements climatiques et à l’adaptation, et à la lutte contre la désertification, fait aussi explicitement référence aux changements climatiques</w:t>
      </w:r>
      <w:r w:rsidR="00306F6C" w:rsidRPr="006F4DD6">
        <w:rPr>
          <w:kern w:val="22"/>
          <w:lang w:val="fr-CA"/>
        </w:rPr>
        <w:t>.</w:t>
      </w:r>
    </w:p>
    <w:p w14:paraId="01C24D88" w14:textId="4DD72AE3" w:rsidR="00306F6C" w:rsidRPr="006F4DD6" w:rsidRDefault="00952372" w:rsidP="006924CD">
      <w:pPr>
        <w:pStyle w:val="Para10"/>
        <w:tabs>
          <w:tab w:val="clear" w:pos="360"/>
        </w:tabs>
        <w:rPr>
          <w:kern w:val="22"/>
          <w:lang w:val="fr-CA"/>
        </w:rPr>
      </w:pPr>
      <w:r w:rsidRPr="006F4DD6">
        <w:rPr>
          <w:kern w:val="22"/>
          <w:lang w:val="fr-CA"/>
        </w:rPr>
        <w:t>De récentes conclusions mettent en évidence le rôle important de la restauration des écosystèmes pour atténuer les changements climatique</w:t>
      </w:r>
      <w:r w:rsidR="00196331">
        <w:rPr>
          <w:kern w:val="22"/>
          <w:lang w:val="fr-CA"/>
        </w:rPr>
        <w:t>s</w:t>
      </w:r>
      <w:r w:rsidRPr="006F4DD6">
        <w:rPr>
          <w:kern w:val="22"/>
          <w:lang w:val="fr-CA"/>
        </w:rPr>
        <w:t xml:space="preserve"> et s’adapter à ceux-ci, ainsi que de nombreux autres bienfaits, justifiant ainsi l’intérêt accru pour la restauration des écosystèmes</w:t>
      </w:r>
      <w:r w:rsidR="00306F6C" w:rsidRPr="006F4DD6">
        <w:rPr>
          <w:kern w:val="22"/>
          <w:lang w:val="fr-CA"/>
        </w:rPr>
        <w:t>.</w:t>
      </w:r>
    </w:p>
    <w:p w14:paraId="1624FC47" w14:textId="74FEEE65" w:rsidR="00306F6C" w:rsidRPr="006F4DD6" w:rsidRDefault="00952372" w:rsidP="006924CD">
      <w:pPr>
        <w:pStyle w:val="Para10"/>
        <w:tabs>
          <w:tab w:val="clear" w:pos="360"/>
        </w:tabs>
        <w:rPr>
          <w:kern w:val="22"/>
          <w:lang w:val="fr-CA"/>
        </w:rPr>
      </w:pPr>
      <w:r w:rsidRPr="006F4DD6">
        <w:rPr>
          <w:kern w:val="22"/>
          <w:lang w:val="fr-CA"/>
        </w:rPr>
        <w:t>D’</w:t>
      </w:r>
      <w:r w:rsidR="00783098" w:rsidRPr="006F4DD6">
        <w:rPr>
          <w:kern w:val="22"/>
          <w:lang w:val="fr-CA"/>
        </w:rPr>
        <w:t>autres o</w:t>
      </w:r>
      <w:r w:rsidRPr="006F4DD6">
        <w:rPr>
          <w:kern w:val="22"/>
          <w:lang w:val="fr-CA"/>
        </w:rPr>
        <w:t>bjectifs d’A</w:t>
      </w:r>
      <w:r w:rsidR="00783098" w:rsidRPr="006F4DD6">
        <w:rPr>
          <w:kern w:val="22"/>
          <w:lang w:val="fr-CA"/>
        </w:rPr>
        <w:t>i</w:t>
      </w:r>
      <w:r w:rsidRPr="006F4DD6">
        <w:rPr>
          <w:kern w:val="22"/>
          <w:lang w:val="fr-CA"/>
        </w:rPr>
        <w:t xml:space="preserve">chi </w:t>
      </w:r>
      <w:r w:rsidR="008B349F">
        <w:rPr>
          <w:kern w:val="22"/>
          <w:lang w:val="fr-CA"/>
        </w:rPr>
        <w:t xml:space="preserve">pour la biodiversité </w:t>
      </w:r>
      <w:r w:rsidRPr="006F4DD6">
        <w:rPr>
          <w:kern w:val="22"/>
          <w:lang w:val="fr-CA"/>
        </w:rPr>
        <w:t xml:space="preserve">sont aussi liés aux changements climatiques. Le document informatif </w:t>
      </w:r>
      <w:r w:rsidR="00306F6C" w:rsidRPr="006F4DD6">
        <w:rPr>
          <w:kern w:val="22"/>
          <w:lang w:val="fr-CA"/>
        </w:rPr>
        <w:t>CBD/</w:t>
      </w:r>
      <w:proofErr w:type="spellStart"/>
      <w:r w:rsidR="00306F6C" w:rsidRPr="006F4DD6">
        <w:rPr>
          <w:kern w:val="22"/>
          <w:lang w:val="fr-CA"/>
        </w:rPr>
        <w:t>SBSTTA</w:t>
      </w:r>
      <w:proofErr w:type="spellEnd"/>
      <w:r w:rsidR="00306F6C" w:rsidRPr="006F4DD6">
        <w:rPr>
          <w:kern w:val="22"/>
          <w:lang w:val="fr-CA"/>
        </w:rPr>
        <w:t>/23/</w:t>
      </w:r>
      <w:proofErr w:type="spellStart"/>
      <w:r w:rsidR="00306F6C" w:rsidRPr="006F4DD6">
        <w:rPr>
          <w:kern w:val="22"/>
          <w:lang w:val="fr-CA"/>
        </w:rPr>
        <w:t>INF</w:t>
      </w:r>
      <w:proofErr w:type="spellEnd"/>
      <w:r w:rsidR="00306F6C" w:rsidRPr="006F4DD6">
        <w:rPr>
          <w:kern w:val="22"/>
          <w:lang w:val="fr-CA"/>
        </w:rPr>
        <w:t>/</w:t>
      </w:r>
      <w:r w:rsidR="007E36DC" w:rsidRPr="006F4DD6">
        <w:rPr>
          <w:kern w:val="22"/>
          <w:lang w:val="fr-CA"/>
        </w:rPr>
        <w:t xml:space="preserve">1 </w:t>
      </w:r>
      <w:r w:rsidRPr="006F4DD6">
        <w:rPr>
          <w:kern w:val="22"/>
          <w:lang w:val="fr-CA"/>
        </w:rPr>
        <w:t xml:space="preserve">présente une analyse des 20 objectifs et met en </w:t>
      </w:r>
      <w:r w:rsidR="00783098" w:rsidRPr="006F4DD6">
        <w:rPr>
          <w:kern w:val="22"/>
          <w:lang w:val="fr-CA"/>
        </w:rPr>
        <w:t>é</w:t>
      </w:r>
      <w:r w:rsidRPr="006F4DD6">
        <w:rPr>
          <w:kern w:val="22"/>
          <w:lang w:val="fr-CA"/>
        </w:rPr>
        <w:t xml:space="preserve">vidence les liens avec les changements climatiques et les </w:t>
      </w:r>
      <w:r w:rsidR="00783098" w:rsidRPr="006F4DD6">
        <w:rPr>
          <w:kern w:val="22"/>
          <w:lang w:val="fr-CA"/>
        </w:rPr>
        <w:t>consé</w:t>
      </w:r>
      <w:r w:rsidRPr="006F4DD6">
        <w:rPr>
          <w:kern w:val="22"/>
          <w:lang w:val="fr-CA"/>
        </w:rPr>
        <w:t>quences des récentes conclusions</w:t>
      </w:r>
      <w:r w:rsidR="00306F6C" w:rsidRPr="006F4DD6">
        <w:rPr>
          <w:kern w:val="22"/>
          <w:lang w:val="fr-CA"/>
        </w:rPr>
        <w:t>.</w:t>
      </w:r>
    </w:p>
    <w:p w14:paraId="04FC8C33" w14:textId="77883817" w:rsidR="00930B99" w:rsidRPr="006F4DD6" w:rsidRDefault="00783098" w:rsidP="007314C3">
      <w:pPr>
        <w:pStyle w:val="Para10"/>
        <w:suppressLineNumbers/>
        <w:tabs>
          <w:tab w:val="clear" w:pos="360"/>
        </w:tabs>
        <w:suppressAutoHyphens/>
        <w:kinsoku w:val="0"/>
        <w:overflowPunct w:val="0"/>
        <w:autoSpaceDE w:val="0"/>
        <w:autoSpaceDN w:val="0"/>
        <w:adjustRightInd w:val="0"/>
        <w:snapToGrid w:val="0"/>
        <w:rPr>
          <w:kern w:val="22"/>
          <w:szCs w:val="22"/>
          <w:lang w:val="fr-CA"/>
        </w:rPr>
      </w:pPr>
      <w:r w:rsidRPr="006F4DD6">
        <w:rPr>
          <w:kern w:val="22"/>
          <w:szCs w:val="22"/>
          <w:lang w:val="fr-CA"/>
        </w:rPr>
        <w:t xml:space="preserve">Un important message </w:t>
      </w:r>
      <w:r w:rsidR="008B349F">
        <w:rPr>
          <w:kern w:val="22"/>
          <w:szCs w:val="22"/>
          <w:lang w:val="fr-CA"/>
        </w:rPr>
        <w:t>est issu</w:t>
      </w:r>
      <w:r w:rsidRPr="006F4DD6">
        <w:rPr>
          <w:kern w:val="22"/>
          <w:szCs w:val="22"/>
          <w:lang w:val="fr-CA"/>
        </w:rPr>
        <w:t xml:space="preserve"> de</w:t>
      </w:r>
      <w:r w:rsidR="008B349F">
        <w:rPr>
          <w:kern w:val="22"/>
          <w:szCs w:val="22"/>
          <w:lang w:val="fr-CA"/>
        </w:rPr>
        <w:t>s</w:t>
      </w:r>
      <w:r w:rsidRPr="006F4DD6">
        <w:rPr>
          <w:kern w:val="22"/>
          <w:szCs w:val="22"/>
          <w:lang w:val="fr-CA"/>
        </w:rPr>
        <w:t xml:space="preserve"> récentes évaluations, à savoir le rôle </w:t>
      </w:r>
      <w:r w:rsidR="007D6581">
        <w:rPr>
          <w:kern w:val="22"/>
          <w:szCs w:val="22"/>
          <w:lang w:val="fr-CA"/>
        </w:rPr>
        <w:t>déterminant</w:t>
      </w:r>
      <w:r w:rsidRPr="006F4DD6">
        <w:rPr>
          <w:kern w:val="22"/>
          <w:szCs w:val="22"/>
          <w:lang w:val="fr-CA"/>
        </w:rPr>
        <w:t xml:space="preserve"> que la diversité biologique et les écosystèmes peuvent jouer pour réduire les changements climatiques. Ainsi, améliorer l’application de la Convention sur la diversité biologique en général pourrait avoir des avantages pour les deux enjeux</w:t>
      </w:r>
      <w:r w:rsidR="00930B99" w:rsidRPr="006F4DD6">
        <w:rPr>
          <w:kern w:val="22"/>
          <w:szCs w:val="22"/>
          <w:lang w:val="fr-CA"/>
        </w:rPr>
        <w:t>.</w:t>
      </w:r>
    </w:p>
    <w:p w14:paraId="7357A908" w14:textId="557238E8" w:rsidR="00930B99" w:rsidRPr="006F4DD6" w:rsidRDefault="00783098" w:rsidP="001628D8">
      <w:pPr>
        <w:pStyle w:val="Para10"/>
        <w:suppressLineNumbers/>
        <w:tabs>
          <w:tab w:val="clear" w:pos="360"/>
        </w:tabs>
        <w:suppressAutoHyphens/>
        <w:kinsoku w:val="0"/>
        <w:overflowPunct w:val="0"/>
        <w:autoSpaceDE w:val="0"/>
        <w:autoSpaceDN w:val="0"/>
        <w:adjustRightInd w:val="0"/>
        <w:snapToGrid w:val="0"/>
        <w:rPr>
          <w:kern w:val="22"/>
          <w:szCs w:val="22"/>
          <w:lang w:val="fr-CA"/>
        </w:rPr>
      </w:pPr>
      <w:r w:rsidRPr="006F4DD6">
        <w:rPr>
          <w:kern w:val="22"/>
          <w:szCs w:val="22"/>
          <w:lang w:val="fr-CA"/>
        </w:rPr>
        <w:t xml:space="preserve">L’orientation offerte au titre de la Convention pourrait être amendée afin d’aborder </w:t>
      </w:r>
      <w:r w:rsidR="008B349F">
        <w:rPr>
          <w:kern w:val="22"/>
          <w:szCs w:val="22"/>
          <w:lang w:val="fr-CA"/>
        </w:rPr>
        <w:t xml:space="preserve">plus explicitement </w:t>
      </w:r>
      <w:r w:rsidRPr="006F4DD6">
        <w:rPr>
          <w:kern w:val="22"/>
          <w:szCs w:val="22"/>
          <w:lang w:val="fr-CA"/>
        </w:rPr>
        <w:t>les liens entre la diversité biologique et les changem</w:t>
      </w:r>
      <w:r w:rsidR="008B349F">
        <w:rPr>
          <w:kern w:val="22"/>
          <w:szCs w:val="22"/>
          <w:lang w:val="fr-CA"/>
        </w:rPr>
        <w:t>ents climatiques</w:t>
      </w:r>
      <w:r w:rsidRPr="006F4DD6">
        <w:rPr>
          <w:kern w:val="22"/>
          <w:szCs w:val="22"/>
          <w:lang w:val="fr-CA"/>
        </w:rPr>
        <w:t>, mais il est important de souligner qu’améliorer l’application de ces décisions existantes contribuerait de façon importante à réduire les impacts des changements climatiques sur la biodiversité et les communautés.</w:t>
      </w:r>
    </w:p>
    <w:p w14:paraId="69549D44" w14:textId="74F98803" w:rsidR="00D667D0" w:rsidRPr="006F4DD6" w:rsidRDefault="00CE4CFB" w:rsidP="006924CD">
      <w:pPr>
        <w:pStyle w:val="Titre2"/>
        <w:rPr>
          <w:kern w:val="22"/>
          <w:lang w:val="fr-CA"/>
        </w:rPr>
      </w:pPr>
      <w:r w:rsidRPr="006F4DD6">
        <w:rPr>
          <w:kern w:val="22"/>
          <w:lang w:val="fr-CA"/>
        </w:rPr>
        <w:t xml:space="preserve">A. </w:t>
      </w:r>
      <w:r w:rsidR="000017F0" w:rsidRPr="006F4DD6">
        <w:rPr>
          <w:kern w:val="22"/>
          <w:lang w:val="fr-CA"/>
        </w:rPr>
        <w:tab/>
      </w:r>
      <w:r w:rsidR="00DA3ECF" w:rsidRPr="006F4DD6">
        <w:rPr>
          <w:kern w:val="22"/>
          <w:lang w:val="fr-CA"/>
        </w:rPr>
        <w:t>Lutte contre les changements climatiques et leurs impacts sur la diversité biologique et les communautés</w:t>
      </w:r>
    </w:p>
    <w:p w14:paraId="5222EDD8" w14:textId="5295344F" w:rsidR="00306F6C" w:rsidRPr="006F4DD6" w:rsidRDefault="00DA3ECF" w:rsidP="001628D8">
      <w:pPr>
        <w:pStyle w:val="Para10"/>
        <w:suppressLineNumbers/>
        <w:tabs>
          <w:tab w:val="clear" w:pos="360"/>
        </w:tabs>
        <w:suppressAutoHyphens/>
        <w:kinsoku w:val="0"/>
        <w:overflowPunct w:val="0"/>
        <w:autoSpaceDE w:val="0"/>
        <w:autoSpaceDN w:val="0"/>
        <w:adjustRightInd w:val="0"/>
        <w:snapToGrid w:val="0"/>
        <w:rPr>
          <w:kern w:val="22"/>
          <w:szCs w:val="22"/>
          <w:lang w:val="fr-CA"/>
        </w:rPr>
      </w:pPr>
      <w:r w:rsidRPr="006F4DD6">
        <w:rPr>
          <w:kern w:val="22"/>
          <w:szCs w:val="22"/>
          <w:lang w:val="fr-CA"/>
        </w:rPr>
        <w:t>Il existe désormais une mine de renseignements sur les impacts observés et prévus des changements climatiques sur la diversité biologique et les communautés (comme indiqué dans la partie I</w:t>
      </w:r>
      <w:r w:rsidR="00067B1E">
        <w:rPr>
          <w:kern w:val="22"/>
          <w:szCs w:val="22"/>
          <w:lang w:val="fr-CA"/>
        </w:rPr>
        <w:t xml:space="preserve"> </w:t>
      </w:r>
      <w:r w:rsidRPr="006F4DD6">
        <w:rPr>
          <w:kern w:val="22"/>
          <w:szCs w:val="22"/>
          <w:lang w:val="fr-CA"/>
        </w:rPr>
        <w:t>A</w:t>
      </w:r>
      <w:r w:rsidR="00067B1E">
        <w:rPr>
          <w:kern w:val="22"/>
          <w:szCs w:val="22"/>
          <w:lang w:val="fr-CA"/>
        </w:rPr>
        <w:t>)</w:t>
      </w:r>
      <w:r w:rsidR="00306F6C" w:rsidRPr="006F4DD6">
        <w:rPr>
          <w:kern w:val="22"/>
          <w:szCs w:val="22"/>
          <w:lang w:val="fr-CA"/>
        </w:rPr>
        <w:t>.</w:t>
      </w:r>
      <w:r w:rsidRPr="006F4DD6">
        <w:rPr>
          <w:kern w:val="22"/>
          <w:szCs w:val="22"/>
          <w:lang w:val="fr-CA"/>
        </w:rPr>
        <w:t xml:space="preserve"> Les récentes évaluations des changements climatiques ont permis de dégager un message important, à savoir que tout réchauffement, aussi faible soit-il, </w:t>
      </w:r>
      <w:r w:rsidR="00DB1AFA" w:rsidRPr="006F4DD6">
        <w:rPr>
          <w:kern w:val="22"/>
          <w:szCs w:val="22"/>
          <w:lang w:val="fr-CA"/>
        </w:rPr>
        <w:t>exacerbe les impacts sur la diversité biologique, les écosystèmes et le bien-être humain. Cela signifie qu’il est critique et plus urgent que j</w:t>
      </w:r>
      <w:r w:rsidR="00067B1E">
        <w:rPr>
          <w:kern w:val="22"/>
          <w:szCs w:val="22"/>
          <w:lang w:val="fr-CA"/>
        </w:rPr>
        <w:t>amais de répondre aux conséquenc</w:t>
      </w:r>
      <w:r w:rsidR="00DB1AFA" w:rsidRPr="006F4DD6">
        <w:rPr>
          <w:kern w:val="22"/>
          <w:szCs w:val="22"/>
          <w:lang w:val="fr-CA"/>
        </w:rPr>
        <w:t>es des changements climatiques sur la diversité biologique pour que les écosystèmes puissent maintenir leur capacité de fournir des services essentiels au bien-être humain, et ainsi accroître leur capacité de réduire la vulnérabilité aux changements climatiques</w:t>
      </w:r>
    </w:p>
    <w:p w14:paraId="01727EC6" w14:textId="41049F7A" w:rsidR="000741E4" w:rsidRPr="006F4DD6" w:rsidRDefault="00DB1AFA" w:rsidP="001628D8">
      <w:pPr>
        <w:pStyle w:val="Para10"/>
        <w:suppressLineNumbers/>
        <w:tabs>
          <w:tab w:val="clear" w:pos="360"/>
        </w:tabs>
        <w:suppressAutoHyphens/>
        <w:kinsoku w:val="0"/>
        <w:overflowPunct w:val="0"/>
        <w:autoSpaceDE w:val="0"/>
        <w:autoSpaceDN w:val="0"/>
        <w:adjustRightInd w:val="0"/>
        <w:snapToGrid w:val="0"/>
        <w:rPr>
          <w:kern w:val="22"/>
          <w:szCs w:val="22"/>
          <w:lang w:val="fr-CA"/>
        </w:rPr>
      </w:pPr>
      <w:r w:rsidRPr="006F4DD6">
        <w:rPr>
          <w:kern w:val="22"/>
          <w:szCs w:val="22"/>
          <w:lang w:val="fr-CA"/>
        </w:rPr>
        <w:t>Plusieurs décisions de la Conférence des Parties abordent les impacts des changements climatiques sur la diversité biologique et offrent une orientation sur les moyens de réduire ces impacts (notamment les décisions</w:t>
      </w:r>
      <w:r w:rsidR="000C6615" w:rsidRPr="006F4DD6">
        <w:rPr>
          <w:kern w:val="22"/>
          <w:szCs w:val="22"/>
          <w:lang w:val="fr-CA"/>
        </w:rPr>
        <w:t xml:space="preserve"> </w:t>
      </w:r>
      <w:hyperlink r:id="rId14" w:history="1">
        <w:r w:rsidR="000C6615" w:rsidRPr="006F4DD6">
          <w:rPr>
            <w:rStyle w:val="Lienhypertexte"/>
            <w:kern w:val="22"/>
            <w:szCs w:val="22"/>
            <w:lang w:val="fr-CA"/>
          </w:rPr>
          <w:t>IX/16</w:t>
        </w:r>
      </w:hyperlink>
      <w:r w:rsidR="00FB73F9">
        <w:rPr>
          <w:kern w:val="22"/>
          <w:szCs w:val="22"/>
          <w:lang w:val="fr-CA"/>
        </w:rPr>
        <w:t>,</w:t>
      </w:r>
      <w:r w:rsidR="00FB73F9" w:rsidRPr="00FB73F9">
        <w:rPr>
          <w:kern w:val="22"/>
          <w:szCs w:val="22"/>
          <w:lang w:val="fr-CA"/>
        </w:rPr>
        <w:t xml:space="preserve"> </w:t>
      </w:r>
      <w:hyperlink r:id="rId15" w:history="1">
        <w:r w:rsidR="00FB73F9" w:rsidRPr="00FB73F9">
          <w:rPr>
            <w:rStyle w:val="Lienhypertexte"/>
            <w:szCs w:val="22"/>
            <w:lang w:val="fr-CA"/>
          </w:rPr>
          <w:t>X/33</w:t>
        </w:r>
      </w:hyperlink>
      <w:r w:rsidR="000C6615" w:rsidRPr="006F4DD6">
        <w:rPr>
          <w:kern w:val="22"/>
          <w:szCs w:val="22"/>
          <w:lang w:val="fr-CA"/>
        </w:rPr>
        <w:t xml:space="preserve">, </w:t>
      </w:r>
      <w:hyperlink r:id="rId16" w:history="1">
        <w:r w:rsidR="000C6615" w:rsidRPr="006F4DD6">
          <w:rPr>
            <w:rStyle w:val="Lienhypertexte"/>
            <w:kern w:val="22"/>
            <w:szCs w:val="22"/>
            <w:lang w:val="fr-CA"/>
          </w:rPr>
          <w:t>XI/21</w:t>
        </w:r>
      </w:hyperlink>
      <w:r w:rsidR="000C6615" w:rsidRPr="006F4DD6">
        <w:rPr>
          <w:kern w:val="22"/>
          <w:szCs w:val="22"/>
          <w:lang w:val="fr-CA"/>
        </w:rPr>
        <w:t xml:space="preserve">, </w:t>
      </w:r>
      <w:hyperlink r:id="rId17" w:history="1">
        <w:r w:rsidR="000C6615" w:rsidRPr="006F4DD6">
          <w:rPr>
            <w:rStyle w:val="Lienhypertexte"/>
            <w:kern w:val="22"/>
            <w:szCs w:val="22"/>
            <w:lang w:val="fr-CA"/>
          </w:rPr>
          <w:t>XIII/4</w:t>
        </w:r>
      </w:hyperlink>
      <w:r w:rsidRPr="006F4DD6">
        <w:rPr>
          <w:kern w:val="22"/>
          <w:szCs w:val="22"/>
          <w:lang w:val="fr-CA"/>
        </w:rPr>
        <w:t xml:space="preserve"> et</w:t>
      </w:r>
      <w:r w:rsidR="000C6615" w:rsidRPr="006F4DD6">
        <w:rPr>
          <w:kern w:val="22"/>
          <w:szCs w:val="22"/>
          <w:lang w:val="fr-CA"/>
        </w:rPr>
        <w:t xml:space="preserve"> </w:t>
      </w:r>
      <w:hyperlink r:id="rId18" w:history="1">
        <w:r w:rsidR="00FB73F9" w:rsidRPr="00FB73F9">
          <w:rPr>
            <w:rStyle w:val="Lienhypertexte"/>
            <w:szCs w:val="22"/>
            <w:lang w:val="fr-CA"/>
          </w:rPr>
          <w:t>14/5</w:t>
        </w:r>
      </w:hyperlink>
      <w:r w:rsidR="000C6615" w:rsidRPr="006F4DD6">
        <w:rPr>
          <w:kern w:val="22"/>
          <w:szCs w:val="22"/>
          <w:lang w:val="fr-CA"/>
        </w:rPr>
        <w:t>)</w:t>
      </w:r>
      <w:r w:rsidR="006A48E8" w:rsidRPr="006F4DD6">
        <w:rPr>
          <w:kern w:val="22"/>
          <w:szCs w:val="22"/>
          <w:lang w:val="fr-CA"/>
        </w:rPr>
        <w:t>.</w:t>
      </w:r>
    </w:p>
    <w:p w14:paraId="4829734E" w14:textId="411AE530" w:rsidR="004857D3" w:rsidRPr="006F4DD6" w:rsidRDefault="00295BF6" w:rsidP="006924CD">
      <w:pPr>
        <w:pStyle w:val="Titre2"/>
        <w:rPr>
          <w:kern w:val="22"/>
          <w:lang w:val="fr-CA"/>
        </w:rPr>
      </w:pPr>
      <w:r w:rsidRPr="006F4DD6">
        <w:rPr>
          <w:kern w:val="22"/>
          <w:lang w:val="fr-CA"/>
        </w:rPr>
        <w:t xml:space="preserve">B. </w:t>
      </w:r>
      <w:r w:rsidR="000017F0" w:rsidRPr="006F4DD6">
        <w:rPr>
          <w:kern w:val="22"/>
          <w:lang w:val="fr-CA"/>
        </w:rPr>
        <w:tab/>
      </w:r>
      <w:r w:rsidR="00FD45FC" w:rsidRPr="006F4DD6">
        <w:rPr>
          <w:kern w:val="22"/>
          <w:lang w:val="fr-CA"/>
        </w:rPr>
        <w:t>Lutte contre les nombreux moteurs de l’appauvrissement de la diversité biologique afin d’accroître la résistance aux changements climatiques</w:t>
      </w:r>
    </w:p>
    <w:p w14:paraId="40C47E51" w14:textId="00B265B8" w:rsidR="00295BF6" w:rsidRPr="006F4DD6" w:rsidRDefault="00595C95" w:rsidP="00735C6E">
      <w:pPr>
        <w:pStyle w:val="Para10"/>
        <w:numPr>
          <w:ilvl w:val="0"/>
          <w:numId w:val="2"/>
        </w:numPr>
        <w:suppressLineNumbers/>
        <w:tabs>
          <w:tab w:val="clear" w:pos="360"/>
        </w:tabs>
        <w:suppressAutoHyphens/>
        <w:kinsoku w:val="0"/>
        <w:overflowPunct w:val="0"/>
        <w:autoSpaceDE w:val="0"/>
        <w:autoSpaceDN w:val="0"/>
        <w:adjustRightInd w:val="0"/>
        <w:snapToGrid w:val="0"/>
        <w:rPr>
          <w:kern w:val="22"/>
          <w:szCs w:val="22"/>
          <w:lang w:val="fr-CA"/>
        </w:rPr>
      </w:pPr>
      <w:r>
        <w:rPr>
          <w:kern w:val="22"/>
          <w:szCs w:val="22"/>
          <w:lang w:val="fr-CA"/>
        </w:rPr>
        <w:t>Le Deuxième g</w:t>
      </w:r>
      <w:r w:rsidR="00FD45FC" w:rsidRPr="006F4DD6">
        <w:rPr>
          <w:kern w:val="22"/>
          <w:szCs w:val="22"/>
          <w:lang w:val="fr-CA"/>
        </w:rPr>
        <w:t>roupe spécial d’experts sur la diversité biologique et les changements climatiques</w:t>
      </w:r>
      <w:r w:rsidR="00203374" w:rsidRPr="006F4DD6">
        <w:rPr>
          <w:rStyle w:val="Appelnotedebasdep"/>
          <w:kern w:val="22"/>
          <w:sz w:val="22"/>
          <w:szCs w:val="22"/>
          <w:u w:val="none"/>
          <w:vertAlign w:val="superscript"/>
          <w:lang w:val="fr-CA"/>
        </w:rPr>
        <w:footnoteReference w:id="7"/>
      </w:r>
      <w:r w:rsidR="00203374" w:rsidRPr="006F4DD6">
        <w:rPr>
          <w:kern w:val="22"/>
          <w:szCs w:val="22"/>
          <w:lang w:val="fr-CA"/>
        </w:rPr>
        <w:t xml:space="preserve"> </w:t>
      </w:r>
      <w:r w:rsidR="00FD45FC" w:rsidRPr="006F4DD6">
        <w:rPr>
          <w:kern w:val="22"/>
          <w:szCs w:val="22"/>
          <w:lang w:val="fr-CA"/>
        </w:rPr>
        <w:t xml:space="preserve">a démontré que les changements climatiques interagissent avec les autres pressions </w:t>
      </w:r>
      <w:r w:rsidR="008B349F">
        <w:rPr>
          <w:kern w:val="22"/>
          <w:szCs w:val="22"/>
          <w:lang w:val="fr-CA"/>
        </w:rPr>
        <w:t>telles que</w:t>
      </w:r>
      <w:r w:rsidR="00FD45FC" w:rsidRPr="006F4DD6">
        <w:rPr>
          <w:kern w:val="22"/>
          <w:szCs w:val="22"/>
          <w:lang w:val="fr-CA"/>
        </w:rPr>
        <w:t xml:space="preserve"> les changements dans l’utilisation des terres et les pertes d’habitats qui en découlent, les espèces exotiques </w:t>
      </w:r>
      <w:r w:rsidR="00FD45FC" w:rsidRPr="006F4DD6">
        <w:rPr>
          <w:kern w:val="22"/>
          <w:szCs w:val="22"/>
          <w:lang w:val="fr-CA"/>
        </w:rPr>
        <w:lastRenderedPageBreak/>
        <w:t>envahissantes et le dérangement causé par les incendies</w:t>
      </w:r>
      <w:r w:rsidR="009B0FEA" w:rsidRPr="006F4DD6">
        <w:rPr>
          <w:kern w:val="22"/>
          <w:lang w:val="fr-CA"/>
        </w:rPr>
        <w:t>.</w:t>
      </w:r>
      <w:r w:rsidR="00FD45FC" w:rsidRPr="006F4DD6">
        <w:rPr>
          <w:kern w:val="22"/>
          <w:lang w:val="fr-CA"/>
        </w:rPr>
        <w:t xml:space="preserve"> Par exemple, les changements climatiques sont très susceptibles de faciliter la propagation et l’établissement des espèces exotiques envahissantes et </w:t>
      </w:r>
      <w:r w:rsidR="00AF585E" w:rsidRPr="006F4DD6">
        <w:rPr>
          <w:kern w:val="22"/>
          <w:lang w:val="fr-CA"/>
        </w:rPr>
        <w:t>d’influencer</w:t>
      </w:r>
      <w:r w:rsidR="00FD45FC" w:rsidRPr="006F4DD6">
        <w:rPr>
          <w:kern w:val="22"/>
          <w:lang w:val="fr-CA"/>
        </w:rPr>
        <w:t xml:space="preserve"> l’incidence d’incendies. Ces pressions peuvent </w:t>
      </w:r>
      <w:r w:rsidR="00AF585E" w:rsidRPr="006F4DD6">
        <w:rPr>
          <w:kern w:val="22"/>
          <w:lang w:val="fr-CA"/>
        </w:rPr>
        <w:t>à leur tour</w:t>
      </w:r>
      <w:r w:rsidR="00FD45FC" w:rsidRPr="006F4DD6">
        <w:rPr>
          <w:kern w:val="22"/>
          <w:lang w:val="fr-CA"/>
        </w:rPr>
        <w:t xml:space="preserve"> amplifier les impacts des changements climatiques en entraînant la fragmentation et la dégradation des écosystèmes. Il est donc essentiel d’examiner les conséquences des changements</w:t>
      </w:r>
      <w:r w:rsidR="00AF585E" w:rsidRPr="006F4DD6">
        <w:rPr>
          <w:kern w:val="22"/>
          <w:lang w:val="fr-CA"/>
        </w:rPr>
        <w:t xml:space="preserve"> climatiques dans le contexte d</w:t>
      </w:r>
      <w:r w:rsidR="00FD45FC" w:rsidRPr="006F4DD6">
        <w:rPr>
          <w:kern w:val="22"/>
          <w:lang w:val="fr-CA"/>
        </w:rPr>
        <w:t>es pressions inter</w:t>
      </w:r>
      <w:r w:rsidR="00AF585E" w:rsidRPr="006F4DD6">
        <w:rPr>
          <w:kern w:val="22"/>
          <w:lang w:val="fr-CA"/>
        </w:rPr>
        <w:t>dépendantes et des effets cumulatifs des moteurs.</w:t>
      </w:r>
    </w:p>
    <w:p w14:paraId="586E235A" w14:textId="23C0A32A" w:rsidR="007D6EA4" w:rsidRPr="006F4DD6" w:rsidRDefault="00AF585E" w:rsidP="001628D8">
      <w:pPr>
        <w:pStyle w:val="Para10"/>
        <w:suppressLineNumbers/>
        <w:tabs>
          <w:tab w:val="clear" w:pos="360"/>
        </w:tabs>
        <w:suppressAutoHyphens/>
        <w:kinsoku w:val="0"/>
        <w:overflowPunct w:val="0"/>
        <w:autoSpaceDE w:val="0"/>
        <w:autoSpaceDN w:val="0"/>
        <w:adjustRightInd w:val="0"/>
        <w:snapToGrid w:val="0"/>
        <w:rPr>
          <w:kern w:val="22"/>
          <w:szCs w:val="22"/>
          <w:lang w:val="fr-CA"/>
        </w:rPr>
      </w:pPr>
      <w:r w:rsidRPr="006F4DD6">
        <w:rPr>
          <w:kern w:val="22"/>
          <w:szCs w:val="22"/>
          <w:lang w:val="fr-CA"/>
        </w:rPr>
        <w:t xml:space="preserve">Les Objectifs d’Aichi </w:t>
      </w:r>
      <w:r w:rsidR="002A106C">
        <w:rPr>
          <w:kern w:val="22"/>
          <w:szCs w:val="22"/>
          <w:lang w:val="fr-CA"/>
        </w:rPr>
        <w:t>pour la biodiversité</w:t>
      </w:r>
      <w:r w:rsidRPr="006F4DD6">
        <w:rPr>
          <w:kern w:val="22"/>
          <w:szCs w:val="22"/>
          <w:lang w:val="fr-CA"/>
        </w:rPr>
        <w:t xml:space="preserve"> classés sous le but stratégique B du plan stratégique </w:t>
      </w:r>
      <w:r w:rsidR="007B264B" w:rsidRPr="006F4DD6">
        <w:rPr>
          <w:kern w:val="22"/>
          <w:szCs w:val="22"/>
          <w:lang w:val="fr-CA"/>
        </w:rPr>
        <w:t>visant à réduire</w:t>
      </w:r>
      <w:r w:rsidRPr="006F4DD6">
        <w:rPr>
          <w:kern w:val="22"/>
          <w:szCs w:val="22"/>
          <w:lang w:val="fr-CA"/>
        </w:rPr>
        <w:t xml:space="preserve"> les pressions directes exercées sur la diversité biologique et </w:t>
      </w:r>
      <w:r w:rsidR="007B264B" w:rsidRPr="006F4DD6">
        <w:rPr>
          <w:kern w:val="22"/>
          <w:szCs w:val="22"/>
          <w:lang w:val="fr-CA"/>
        </w:rPr>
        <w:t xml:space="preserve">favoriser l’utilisation durable contribuent directement à réduire les pressions non liées au climat afin d’accroître la résistance des écosystèmes aux </w:t>
      </w:r>
      <w:r w:rsidR="002A106C">
        <w:rPr>
          <w:kern w:val="22"/>
          <w:szCs w:val="22"/>
          <w:lang w:val="fr-CA"/>
        </w:rPr>
        <w:t>impacts</w:t>
      </w:r>
      <w:r w:rsidR="007B264B" w:rsidRPr="006F4DD6">
        <w:rPr>
          <w:kern w:val="22"/>
          <w:szCs w:val="22"/>
          <w:lang w:val="fr-CA"/>
        </w:rPr>
        <w:t xml:space="preserve"> des changements climatiques : L’Objectif 5 porte sur </w:t>
      </w:r>
      <w:r w:rsidR="00D15697">
        <w:rPr>
          <w:kern w:val="22"/>
          <w:szCs w:val="22"/>
          <w:lang w:val="fr-CA"/>
        </w:rPr>
        <w:t>la perte d’habitats;</w:t>
      </w:r>
      <w:r w:rsidR="002A106C">
        <w:rPr>
          <w:kern w:val="22"/>
          <w:szCs w:val="22"/>
          <w:lang w:val="fr-CA"/>
        </w:rPr>
        <w:t xml:space="preserve"> l’Objectif </w:t>
      </w:r>
      <w:r w:rsidR="007B264B" w:rsidRPr="006F4DD6">
        <w:rPr>
          <w:kern w:val="22"/>
          <w:szCs w:val="22"/>
          <w:lang w:val="fr-CA"/>
        </w:rPr>
        <w:t>6 demande la gestion durable de la pêche</w:t>
      </w:r>
      <w:r w:rsidR="00D15697">
        <w:rPr>
          <w:kern w:val="22"/>
          <w:szCs w:val="22"/>
          <w:lang w:val="fr-CA"/>
        </w:rPr>
        <w:t>;</w:t>
      </w:r>
      <w:r w:rsidR="007B264B" w:rsidRPr="006F4DD6">
        <w:rPr>
          <w:kern w:val="22"/>
          <w:szCs w:val="22"/>
          <w:lang w:val="fr-CA"/>
        </w:rPr>
        <w:t xml:space="preserve"> l’Objectif 7 demande une agriculture, une aquaculture et une e</w:t>
      </w:r>
      <w:r w:rsidR="00D15697">
        <w:rPr>
          <w:kern w:val="22"/>
          <w:szCs w:val="22"/>
          <w:lang w:val="fr-CA"/>
        </w:rPr>
        <w:t>xploitation forestière durables;</w:t>
      </w:r>
      <w:r w:rsidR="007B264B" w:rsidRPr="006F4DD6">
        <w:rPr>
          <w:kern w:val="22"/>
          <w:szCs w:val="22"/>
          <w:lang w:val="fr-CA"/>
        </w:rPr>
        <w:t xml:space="preserve"> l’Objectif 8 vise à réduire la pollution</w:t>
      </w:r>
      <w:r w:rsidR="00D15697">
        <w:rPr>
          <w:kern w:val="22"/>
          <w:szCs w:val="22"/>
          <w:lang w:val="fr-CA"/>
        </w:rPr>
        <w:t>;</w:t>
      </w:r>
      <w:r w:rsidR="007B264B" w:rsidRPr="006F4DD6">
        <w:rPr>
          <w:kern w:val="22"/>
          <w:szCs w:val="22"/>
          <w:lang w:val="fr-CA"/>
        </w:rPr>
        <w:t xml:space="preserve"> l’Objectif 9 aborde les espèces exotiques envahissantes</w:t>
      </w:r>
      <w:r w:rsidR="00F661F6">
        <w:rPr>
          <w:kern w:val="22"/>
          <w:szCs w:val="22"/>
          <w:lang w:val="fr-CA"/>
        </w:rPr>
        <w:t xml:space="preserve"> et l</w:t>
      </w:r>
      <w:r w:rsidR="007B264B" w:rsidRPr="006F4DD6">
        <w:rPr>
          <w:kern w:val="22"/>
          <w:szCs w:val="22"/>
          <w:lang w:val="fr-CA"/>
        </w:rPr>
        <w:t>’Objectif</w:t>
      </w:r>
      <w:r w:rsidR="00A33CBC" w:rsidRPr="006F4DD6">
        <w:rPr>
          <w:kern w:val="22"/>
          <w:szCs w:val="22"/>
          <w:lang w:val="fr-CA"/>
        </w:rPr>
        <w:t xml:space="preserve"> 10</w:t>
      </w:r>
      <w:r w:rsidR="002A106C">
        <w:rPr>
          <w:kern w:val="22"/>
          <w:szCs w:val="22"/>
          <w:lang w:val="fr-CA"/>
        </w:rPr>
        <w:t xml:space="preserve"> </w:t>
      </w:r>
      <w:r w:rsidR="00A33CBC" w:rsidRPr="006F4DD6">
        <w:rPr>
          <w:kern w:val="22"/>
          <w:szCs w:val="22"/>
          <w:lang w:val="fr-CA"/>
        </w:rPr>
        <w:t xml:space="preserve">porte </w:t>
      </w:r>
      <w:r w:rsidR="002A106C">
        <w:rPr>
          <w:kern w:val="22"/>
          <w:szCs w:val="22"/>
          <w:lang w:val="fr-CA"/>
        </w:rPr>
        <w:t xml:space="preserve">plus particulièrement </w:t>
      </w:r>
      <w:r w:rsidR="00A33CBC" w:rsidRPr="006F4DD6">
        <w:rPr>
          <w:kern w:val="22"/>
          <w:szCs w:val="22"/>
          <w:lang w:val="fr-CA"/>
        </w:rPr>
        <w:t>sur les nombreuses pressions anthropiques exercées sur les récifs coralliens et autres écosystèmes vulnérables touchés par les changements climatiques et l’acidification des océans</w:t>
      </w:r>
      <w:r w:rsidR="007D6EA4" w:rsidRPr="006F4DD6">
        <w:rPr>
          <w:kern w:val="22"/>
          <w:szCs w:val="22"/>
          <w:lang w:val="fr-CA"/>
        </w:rPr>
        <w:t>.</w:t>
      </w:r>
    </w:p>
    <w:p w14:paraId="1A08D800" w14:textId="2D357344" w:rsidR="006B0D3E" w:rsidRPr="006F4DD6" w:rsidRDefault="00A33CBC" w:rsidP="00222F2C">
      <w:pPr>
        <w:pStyle w:val="Para10"/>
        <w:tabs>
          <w:tab w:val="clear" w:pos="360"/>
          <w:tab w:val="num" w:pos="720"/>
        </w:tabs>
        <w:overflowPunct w:val="0"/>
        <w:autoSpaceDE w:val="0"/>
        <w:autoSpaceDN w:val="0"/>
        <w:rPr>
          <w:kern w:val="22"/>
          <w:szCs w:val="22"/>
          <w:lang w:val="fr-CA"/>
        </w:rPr>
      </w:pPr>
      <w:r w:rsidRPr="006F4DD6">
        <w:rPr>
          <w:kern w:val="22"/>
          <w:szCs w:val="22"/>
          <w:lang w:val="fr-CA"/>
        </w:rPr>
        <w:t>Les récifs coralliens sont considérés comme un des écosystèmes subissant le plus de pressions à l’échelle mondiale et sont les plus vulnérables aux changements climatiques, comme indiqué ci-dessus. La quatri</w:t>
      </w:r>
      <w:r w:rsidR="00E12C01" w:rsidRPr="006F4DD6">
        <w:rPr>
          <w:kern w:val="22"/>
          <w:szCs w:val="22"/>
          <w:lang w:val="fr-CA"/>
        </w:rPr>
        <w:t>ème édi</w:t>
      </w:r>
      <w:r w:rsidRPr="006F4DD6">
        <w:rPr>
          <w:kern w:val="22"/>
          <w:szCs w:val="22"/>
          <w:lang w:val="fr-CA"/>
        </w:rPr>
        <w:t xml:space="preserve">tion des </w:t>
      </w:r>
      <w:r w:rsidRPr="006F4DD6">
        <w:rPr>
          <w:i/>
          <w:kern w:val="22"/>
          <w:szCs w:val="22"/>
          <w:lang w:val="fr-CA"/>
        </w:rPr>
        <w:t>Perspectives mondiales de la diversité biologique</w:t>
      </w:r>
      <w:r w:rsidRPr="006F4DD6">
        <w:rPr>
          <w:kern w:val="22"/>
          <w:szCs w:val="22"/>
          <w:lang w:val="fr-CA"/>
        </w:rPr>
        <w:t xml:space="preserve">, publiée en 2014, révèle que selon les éléments probants existants, </w:t>
      </w:r>
      <w:r w:rsidR="00E12C01" w:rsidRPr="006F4DD6">
        <w:rPr>
          <w:kern w:val="22"/>
          <w:szCs w:val="22"/>
          <w:lang w:val="fr-CA"/>
        </w:rPr>
        <w:t xml:space="preserve">l’intérêt pour la réalisation de l’Objectif 10 a été détourné et que des mesures accélérées importantes sont nécessaires pour renverser cette </w:t>
      </w:r>
      <w:r w:rsidR="00C4081A">
        <w:rPr>
          <w:kern w:val="22"/>
          <w:szCs w:val="22"/>
          <w:lang w:val="fr-CA"/>
        </w:rPr>
        <w:t>situation. Ainsi, d</w:t>
      </w:r>
      <w:r w:rsidR="00E12C01" w:rsidRPr="006F4DD6">
        <w:rPr>
          <w:kern w:val="22"/>
          <w:szCs w:val="22"/>
          <w:lang w:val="fr-CA"/>
        </w:rPr>
        <w:t>ans sa décision</w:t>
      </w:r>
      <w:r w:rsidR="006B0D3E" w:rsidRPr="006F4DD6">
        <w:rPr>
          <w:kern w:val="22"/>
          <w:szCs w:val="22"/>
          <w:lang w:val="fr-CA"/>
        </w:rPr>
        <w:t xml:space="preserve"> </w:t>
      </w:r>
      <w:hyperlink r:id="rId19" w:history="1">
        <w:r w:rsidR="006B0D3E" w:rsidRPr="006F4DD6">
          <w:rPr>
            <w:rStyle w:val="Lienhypertexte"/>
            <w:kern w:val="22"/>
            <w:szCs w:val="22"/>
            <w:lang w:val="fr-CA"/>
          </w:rPr>
          <w:t>XII/23</w:t>
        </w:r>
      </w:hyperlink>
      <w:r w:rsidR="006B0D3E" w:rsidRPr="006F4DD6">
        <w:rPr>
          <w:kern w:val="22"/>
          <w:szCs w:val="22"/>
          <w:lang w:val="fr-CA"/>
        </w:rPr>
        <w:t xml:space="preserve">, </w:t>
      </w:r>
      <w:r w:rsidR="00E12C01" w:rsidRPr="006F4DD6">
        <w:rPr>
          <w:kern w:val="22"/>
          <w:szCs w:val="22"/>
          <w:lang w:val="fr-CA"/>
        </w:rPr>
        <w:t>la Conférence des Parties a adopté une série d’actions prioritaires</w:t>
      </w:r>
      <w:r w:rsidR="00FB1A90" w:rsidRPr="006F4DD6">
        <w:rPr>
          <w:rStyle w:val="Appelnotedebasdep"/>
          <w:kern w:val="22"/>
          <w:sz w:val="22"/>
          <w:szCs w:val="22"/>
          <w:u w:val="none"/>
          <w:vertAlign w:val="superscript"/>
          <w:lang w:val="fr-CA"/>
        </w:rPr>
        <w:footnoteReference w:id="8"/>
      </w:r>
      <w:r w:rsidR="006B0D3E" w:rsidRPr="006F4DD6">
        <w:rPr>
          <w:kern w:val="22"/>
          <w:szCs w:val="22"/>
          <w:lang w:val="fr-CA"/>
        </w:rPr>
        <w:t xml:space="preserve"> </w:t>
      </w:r>
      <w:r w:rsidR="00E12C01" w:rsidRPr="006F4DD6">
        <w:rPr>
          <w:kern w:val="22"/>
          <w:szCs w:val="22"/>
          <w:lang w:val="fr-CA"/>
        </w:rPr>
        <w:t>pour atteindre l’objectif 10 d’Aichi</w:t>
      </w:r>
      <w:r w:rsidR="00D51FA2" w:rsidRPr="006F4DD6">
        <w:rPr>
          <w:kern w:val="22"/>
          <w:szCs w:val="22"/>
          <w:lang w:val="fr-CA"/>
        </w:rPr>
        <w:t xml:space="preserve"> pour les récifs coralliens et les écosystèmes étroitement associés. Ces actions prioritaires actualisent la version antérieure du plan de travail spécifique sur le blanchiment corallien </w:t>
      </w:r>
      <w:r w:rsidR="006B0D3E" w:rsidRPr="006F4DD6">
        <w:rPr>
          <w:kern w:val="22"/>
          <w:szCs w:val="22"/>
          <w:lang w:val="fr-CA"/>
        </w:rPr>
        <w:t>(</w:t>
      </w:r>
      <w:r w:rsidR="00D51FA2" w:rsidRPr="006F4DD6">
        <w:rPr>
          <w:kern w:val="22"/>
          <w:szCs w:val="22"/>
          <w:lang w:val="fr-CA"/>
        </w:rPr>
        <w:t>appendice à l’annexe I de la dé</w:t>
      </w:r>
      <w:r w:rsidR="006B0D3E" w:rsidRPr="006F4DD6">
        <w:rPr>
          <w:kern w:val="22"/>
          <w:szCs w:val="22"/>
          <w:lang w:val="fr-CA"/>
        </w:rPr>
        <w:t>cision</w:t>
      </w:r>
      <w:r w:rsidR="0074134B" w:rsidRPr="006F4DD6">
        <w:rPr>
          <w:kern w:val="22"/>
          <w:szCs w:val="22"/>
          <w:lang w:val="fr-CA"/>
        </w:rPr>
        <w:t xml:space="preserve"> VII/5</w:t>
      </w:r>
      <w:r w:rsidR="006B0D3E" w:rsidRPr="006F4DD6">
        <w:rPr>
          <w:kern w:val="22"/>
          <w:szCs w:val="22"/>
          <w:lang w:val="fr-CA"/>
        </w:rPr>
        <w:t xml:space="preserve">) </w:t>
      </w:r>
      <w:r w:rsidR="00D51FA2" w:rsidRPr="006F4DD6">
        <w:rPr>
          <w:kern w:val="22"/>
          <w:szCs w:val="22"/>
          <w:lang w:val="fr-CA"/>
        </w:rPr>
        <w:t>et ont pour but de soutenir la gestion des récifs coralliens et des écosystèmes apparentés en tant que systèmes socioécologiques en transformation à cause des conséquences interactives de diverses sources de stress. L’</w:t>
      </w:r>
      <w:r w:rsidR="0074134B" w:rsidRPr="006F4DD6">
        <w:rPr>
          <w:kern w:val="22"/>
          <w:szCs w:val="22"/>
          <w:lang w:val="fr-CA"/>
        </w:rPr>
        <w:t>applicati</w:t>
      </w:r>
      <w:r w:rsidR="00D51FA2" w:rsidRPr="006F4DD6">
        <w:rPr>
          <w:kern w:val="22"/>
          <w:szCs w:val="22"/>
          <w:lang w:val="fr-CA"/>
        </w:rPr>
        <w:t>on accrue de ces actions est plus urgente que jamais</w:t>
      </w:r>
      <w:r w:rsidR="00906218" w:rsidRPr="006F4DD6">
        <w:rPr>
          <w:kern w:val="22"/>
          <w:szCs w:val="22"/>
          <w:lang w:val="fr-CA"/>
        </w:rPr>
        <w:t>.</w:t>
      </w:r>
    </w:p>
    <w:p w14:paraId="6053439A" w14:textId="6B788B9B" w:rsidR="006B0D3E" w:rsidRPr="006F4DD6" w:rsidRDefault="00551A94" w:rsidP="00222F2C">
      <w:pPr>
        <w:pStyle w:val="Para10"/>
        <w:tabs>
          <w:tab w:val="clear" w:pos="360"/>
          <w:tab w:val="num" w:pos="720"/>
        </w:tabs>
        <w:overflowPunct w:val="0"/>
        <w:autoSpaceDE w:val="0"/>
        <w:autoSpaceDN w:val="0"/>
        <w:rPr>
          <w:kern w:val="22"/>
          <w:szCs w:val="22"/>
          <w:lang w:val="fr-CA"/>
        </w:rPr>
      </w:pPr>
      <w:r w:rsidRPr="006F4DD6">
        <w:rPr>
          <w:kern w:val="22"/>
          <w:szCs w:val="22"/>
          <w:lang w:val="fr-CA"/>
        </w:rPr>
        <w:t xml:space="preserve">Une orientation semblable pourrait être développée pour lutter contre les menaces </w:t>
      </w:r>
      <w:r w:rsidR="00C4081A">
        <w:rPr>
          <w:kern w:val="22"/>
          <w:szCs w:val="22"/>
          <w:lang w:val="fr-CA"/>
        </w:rPr>
        <w:t>que subissent</w:t>
      </w:r>
      <w:r w:rsidRPr="006F4DD6">
        <w:rPr>
          <w:kern w:val="22"/>
          <w:szCs w:val="22"/>
          <w:lang w:val="fr-CA"/>
        </w:rPr>
        <w:t xml:space="preserve"> d’autres écosystèmes vulnérables recensés dans les récentes évaluations, tels que les écosystèmes </w:t>
      </w:r>
      <w:r w:rsidR="00493207" w:rsidRPr="006F4DD6">
        <w:rPr>
          <w:kern w:val="22"/>
          <w:szCs w:val="22"/>
          <w:lang w:val="fr-CA"/>
        </w:rPr>
        <w:t>de régions montagnardes</w:t>
      </w:r>
      <w:r w:rsidRPr="006F4DD6">
        <w:rPr>
          <w:kern w:val="22"/>
          <w:szCs w:val="22"/>
          <w:lang w:val="fr-CA"/>
        </w:rPr>
        <w:t xml:space="preserve"> et polaires, et autres écosystèmes côtiers et marins, surtout les mangroves, les herbiers et les forêts de varech. Cette orientation pourrait aussi comprendre la prise en compte des interactions entre les divers moteurs, ainsi que des facteurs aggravants</w:t>
      </w:r>
      <w:r w:rsidR="00203374" w:rsidRPr="006F4DD6">
        <w:rPr>
          <w:kern w:val="22"/>
          <w:szCs w:val="22"/>
          <w:lang w:val="fr-CA"/>
        </w:rPr>
        <w:t>.</w:t>
      </w:r>
    </w:p>
    <w:p w14:paraId="10933077" w14:textId="318194D4" w:rsidR="004857D3" w:rsidRPr="006F4DD6" w:rsidRDefault="00203374" w:rsidP="006924CD">
      <w:pPr>
        <w:pStyle w:val="Titre2"/>
        <w:rPr>
          <w:i/>
          <w:kern w:val="22"/>
          <w:szCs w:val="22"/>
          <w:lang w:val="fr-CA"/>
        </w:rPr>
      </w:pPr>
      <w:r w:rsidRPr="006F4DD6">
        <w:rPr>
          <w:kern w:val="22"/>
          <w:lang w:val="fr-CA"/>
        </w:rPr>
        <w:t xml:space="preserve">C. </w:t>
      </w:r>
      <w:r w:rsidR="000017F0" w:rsidRPr="006F4DD6">
        <w:rPr>
          <w:kern w:val="22"/>
          <w:lang w:val="fr-CA"/>
        </w:rPr>
        <w:tab/>
      </w:r>
      <w:r w:rsidR="002E4C3E" w:rsidRPr="006F4DD6">
        <w:rPr>
          <w:kern w:val="22"/>
          <w:lang w:val="fr-CA"/>
        </w:rPr>
        <w:t>Réseaux et conception des aires protégées</w:t>
      </w:r>
    </w:p>
    <w:p w14:paraId="2D0A1E9E" w14:textId="355DFB64" w:rsidR="00FB1A90" w:rsidRPr="006F4DD6" w:rsidRDefault="005F69E6" w:rsidP="00527DAB">
      <w:pPr>
        <w:pStyle w:val="Para10"/>
        <w:suppressLineNumbers/>
        <w:tabs>
          <w:tab w:val="clear" w:pos="360"/>
        </w:tabs>
        <w:suppressAutoHyphens/>
        <w:kinsoku w:val="0"/>
        <w:overflowPunct w:val="0"/>
        <w:autoSpaceDE w:val="0"/>
        <w:autoSpaceDN w:val="0"/>
        <w:adjustRightInd w:val="0"/>
        <w:snapToGrid w:val="0"/>
        <w:rPr>
          <w:kern w:val="22"/>
          <w:szCs w:val="22"/>
          <w:lang w:val="fr-CA"/>
        </w:rPr>
      </w:pPr>
      <w:bookmarkStart w:id="1" w:name="_Hlk13748780"/>
      <w:r w:rsidRPr="006F4DD6">
        <w:rPr>
          <w:kern w:val="22"/>
          <w:szCs w:val="22"/>
          <w:lang w:val="fr-CA"/>
        </w:rPr>
        <w:t xml:space="preserve">La conservation par zones est une des mesures de politique les plus efficaces pour protéger l’intégrité des écosystèmes, </w:t>
      </w:r>
      <w:r w:rsidR="00E91979">
        <w:rPr>
          <w:kern w:val="22"/>
          <w:szCs w:val="22"/>
          <w:lang w:val="fr-CA"/>
        </w:rPr>
        <w:t>réduisant ainsi</w:t>
      </w:r>
      <w:r w:rsidRPr="006F4DD6">
        <w:rPr>
          <w:kern w:val="22"/>
          <w:szCs w:val="22"/>
          <w:lang w:val="fr-CA"/>
        </w:rPr>
        <w:t xml:space="preserve"> les impacts des changements climatiques sur la diversité biologique. Les aires protégées ont un potentiel d’atténuation grâce </w:t>
      </w:r>
      <w:r w:rsidR="00F95A40" w:rsidRPr="006F4DD6">
        <w:rPr>
          <w:kern w:val="22"/>
          <w:szCs w:val="22"/>
          <w:lang w:val="fr-CA"/>
        </w:rPr>
        <w:t>à leur capacité</w:t>
      </w:r>
      <w:r w:rsidRPr="006F4DD6">
        <w:rPr>
          <w:kern w:val="22"/>
          <w:szCs w:val="22"/>
          <w:lang w:val="fr-CA"/>
        </w:rPr>
        <w:t xml:space="preserve"> de sto</w:t>
      </w:r>
      <w:r w:rsidR="00527DAB" w:rsidRPr="006F4DD6">
        <w:rPr>
          <w:kern w:val="22"/>
          <w:szCs w:val="22"/>
          <w:lang w:val="fr-CA"/>
        </w:rPr>
        <w:t xml:space="preserve">ckage du carbone, </w:t>
      </w:r>
      <w:r w:rsidR="00F95A40" w:rsidRPr="006F4DD6">
        <w:rPr>
          <w:kern w:val="22"/>
          <w:szCs w:val="22"/>
          <w:lang w:val="fr-CA"/>
        </w:rPr>
        <w:t>qui leur permet de stocker</w:t>
      </w:r>
      <w:r w:rsidRPr="006F4DD6">
        <w:rPr>
          <w:kern w:val="22"/>
          <w:szCs w:val="22"/>
          <w:lang w:val="fr-CA"/>
        </w:rPr>
        <w:t xml:space="preserve"> </w:t>
      </w:r>
      <w:r w:rsidR="00527DAB" w:rsidRPr="006F4DD6">
        <w:rPr>
          <w:kern w:val="22"/>
          <w:szCs w:val="22"/>
          <w:lang w:val="fr-CA"/>
        </w:rPr>
        <w:t>le carbone contenu dans les</w:t>
      </w:r>
      <w:r w:rsidRPr="006F4DD6">
        <w:rPr>
          <w:kern w:val="22"/>
          <w:szCs w:val="22"/>
          <w:lang w:val="fr-CA"/>
        </w:rPr>
        <w:t xml:space="preserve"> végétaux et </w:t>
      </w:r>
      <w:r w:rsidR="00527DAB" w:rsidRPr="006F4DD6">
        <w:rPr>
          <w:kern w:val="22"/>
          <w:szCs w:val="22"/>
          <w:lang w:val="fr-CA"/>
        </w:rPr>
        <w:t>le</w:t>
      </w:r>
      <w:r w:rsidRPr="006F4DD6">
        <w:rPr>
          <w:kern w:val="22"/>
          <w:szCs w:val="22"/>
          <w:lang w:val="fr-CA"/>
        </w:rPr>
        <w:t xml:space="preserve"> sol</w:t>
      </w:r>
      <w:r w:rsidR="00527DAB" w:rsidRPr="006F4DD6">
        <w:rPr>
          <w:kern w:val="22"/>
          <w:szCs w:val="22"/>
          <w:lang w:val="fr-CA"/>
        </w:rPr>
        <w:t>, et de séquestration du carbone qui se retrouve dans les écosystèmes naturels, ainsi qu’un rôle d’adaptation que leur confère</w:t>
      </w:r>
      <w:r w:rsidR="006851CE">
        <w:rPr>
          <w:kern w:val="22"/>
          <w:szCs w:val="22"/>
          <w:lang w:val="fr-CA"/>
        </w:rPr>
        <w:t>nt</w:t>
      </w:r>
      <w:r w:rsidR="00527DAB" w:rsidRPr="006F4DD6">
        <w:rPr>
          <w:kern w:val="22"/>
          <w:szCs w:val="22"/>
          <w:lang w:val="fr-CA"/>
        </w:rPr>
        <w:t xml:space="preserve"> la protection et le maintien des écosystèmes, l’atténuation des conséquences locales des changements climatiques, </w:t>
      </w:r>
      <w:r w:rsidR="00C532F2">
        <w:rPr>
          <w:kern w:val="22"/>
          <w:szCs w:val="22"/>
          <w:lang w:val="fr-CA"/>
        </w:rPr>
        <w:t xml:space="preserve">et </w:t>
      </w:r>
      <w:r w:rsidR="00527DAB" w:rsidRPr="006F4DD6">
        <w:rPr>
          <w:kern w:val="22"/>
          <w:szCs w:val="22"/>
          <w:lang w:val="fr-CA"/>
        </w:rPr>
        <w:t>la réduction des risques et des impacts des événements extrêmes tels les orages, la sécheresse et l’élévation du niveau de la mer</w:t>
      </w:r>
      <w:r w:rsidR="00FB1A90" w:rsidRPr="006F4DD6">
        <w:rPr>
          <w:kern w:val="22"/>
          <w:szCs w:val="22"/>
          <w:lang w:val="fr-CA"/>
        </w:rPr>
        <w:t>.</w:t>
      </w:r>
    </w:p>
    <w:p w14:paraId="6E66AC14" w14:textId="7693AFE5" w:rsidR="0087674B" w:rsidRPr="006F4DD6" w:rsidRDefault="00F95A40">
      <w:pPr>
        <w:pStyle w:val="Para10"/>
        <w:suppressLineNumbers/>
        <w:tabs>
          <w:tab w:val="clear" w:pos="360"/>
        </w:tabs>
        <w:suppressAutoHyphens/>
        <w:kinsoku w:val="0"/>
        <w:overflowPunct w:val="0"/>
        <w:autoSpaceDE w:val="0"/>
        <w:autoSpaceDN w:val="0"/>
        <w:adjustRightInd w:val="0"/>
        <w:snapToGrid w:val="0"/>
        <w:rPr>
          <w:kern w:val="22"/>
          <w:szCs w:val="22"/>
          <w:lang w:val="fr-CA"/>
        </w:rPr>
      </w:pPr>
      <w:r w:rsidRPr="006F4DD6">
        <w:rPr>
          <w:kern w:val="22"/>
          <w:szCs w:val="22"/>
          <w:lang w:val="fr-CA"/>
        </w:rPr>
        <w:t xml:space="preserve">L’objectif 11 d’Aichi </w:t>
      </w:r>
      <w:r w:rsidR="00085C59">
        <w:rPr>
          <w:kern w:val="22"/>
          <w:szCs w:val="22"/>
          <w:lang w:val="fr-CA"/>
        </w:rPr>
        <w:t>pour la biodiversité</w:t>
      </w:r>
      <w:r w:rsidRPr="006F4DD6">
        <w:rPr>
          <w:kern w:val="22"/>
          <w:szCs w:val="22"/>
          <w:lang w:val="fr-CA"/>
        </w:rPr>
        <w:t xml:space="preserve"> vise à conserver au </w:t>
      </w:r>
      <w:r w:rsidR="0003400D" w:rsidRPr="006F4DD6">
        <w:rPr>
          <w:kern w:val="22"/>
          <w:szCs w:val="22"/>
          <w:lang w:val="fr-CA"/>
        </w:rPr>
        <w:t xml:space="preserve">moins </w:t>
      </w:r>
      <w:r w:rsidRPr="006F4DD6">
        <w:rPr>
          <w:kern w:val="22"/>
          <w:szCs w:val="22"/>
          <w:lang w:val="fr-CA"/>
        </w:rPr>
        <w:t>17 pour cent des eaux terrestres et intérieures, et 10 pour cent des aires marines et côti</w:t>
      </w:r>
      <w:r w:rsidR="0003400D" w:rsidRPr="006F4DD6">
        <w:rPr>
          <w:kern w:val="22"/>
          <w:szCs w:val="22"/>
          <w:lang w:val="fr-CA"/>
        </w:rPr>
        <w:t>ères, surtout d</w:t>
      </w:r>
      <w:r w:rsidRPr="006F4DD6">
        <w:rPr>
          <w:kern w:val="22"/>
          <w:szCs w:val="22"/>
          <w:lang w:val="fr-CA"/>
        </w:rPr>
        <w:t xml:space="preserve">es aires d’importance pour la diversité biologique et les services écosystémiques, </w:t>
      </w:r>
      <w:r w:rsidR="00AD70C8" w:rsidRPr="006F4DD6">
        <w:rPr>
          <w:kern w:val="22"/>
          <w:szCs w:val="22"/>
          <w:lang w:val="fr-CA"/>
        </w:rPr>
        <w:t>au moyen de réseaux d’aires protégées bien reliés, gérés efficacement et équitablement et représentati</w:t>
      </w:r>
      <w:r w:rsidR="0003400D" w:rsidRPr="006F4DD6">
        <w:rPr>
          <w:kern w:val="22"/>
          <w:szCs w:val="22"/>
          <w:lang w:val="fr-CA"/>
        </w:rPr>
        <w:t>fs sur le</w:t>
      </w:r>
      <w:r w:rsidR="00AD70C8" w:rsidRPr="006F4DD6">
        <w:rPr>
          <w:kern w:val="22"/>
          <w:szCs w:val="22"/>
          <w:lang w:val="fr-CA"/>
        </w:rPr>
        <w:t xml:space="preserve"> plan écologique, et autres mesures de conservation des terres effi</w:t>
      </w:r>
      <w:r w:rsidR="0003400D" w:rsidRPr="006F4DD6">
        <w:rPr>
          <w:kern w:val="22"/>
          <w:szCs w:val="22"/>
          <w:lang w:val="fr-CA"/>
        </w:rPr>
        <w:t>c</w:t>
      </w:r>
      <w:r w:rsidR="009A0806" w:rsidRPr="006F4DD6">
        <w:rPr>
          <w:kern w:val="22"/>
          <w:szCs w:val="22"/>
          <w:lang w:val="fr-CA"/>
        </w:rPr>
        <w:t>ace</w:t>
      </w:r>
      <w:r w:rsidR="00AD70C8" w:rsidRPr="006F4DD6">
        <w:rPr>
          <w:kern w:val="22"/>
          <w:szCs w:val="22"/>
          <w:lang w:val="fr-CA"/>
        </w:rPr>
        <w:t>s, et de les intégrer à des paysages terrestres et marin</w:t>
      </w:r>
      <w:r w:rsidR="0003400D" w:rsidRPr="006F4DD6">
        <w:rPr>
          <w:kern w:val="22"/>
          <w:szCs w:val="22"/>
          <w:lang w:val="fr-CA"/>
        </w:rPr>
        <w:t>s</w:t>
      </w:r>
      <w:r w:rsidR="00AD70C8" w:rsidRPr="006F4DD6">
        <w:rPr>
          <w:kern w:val="22"/>
          <w:szCs w:val="22"/>
          <w:lang w:val="fr-CA"/>
        </w:rPr>
        <w:t xml:space="preserve"> plus vastes d’ici à 2020</w:t>
      </w:r>
      <w:r w:rsidR="0003400D" w:rsidRPr="006F4DD6">
        <w:rPr>
          <w:kern w:val="22"/>
          <w:szCs w:val="22"/>
          <w:lang w:val="fr-CA"/>
        </w:rPr>
        <w:t xml:space="preserve">. Bien que </w:t>
      </w:r>
      <w:r w:rsidR="0003400D" w:rsidRPr="006F4DD6">
        <w:rPr>
          <w:kern w:val="22"/>
          <w:szCs w:val="22"/>
          <w:lang w:val="fr-CA"/>
        </w:rPr>
        <w:lastRenderedPageBreak/>
        <w:t xml:space="preserve">le volet quantitatif de l’objectif 11 d’étendre les aires protégées terrestres et marines </w:t>
      </w:r>
      <w:r w:rsidR="00085C59">
        <w:rPr>
          <w:kern w:val="22"/>
          <w:szCs w:val="22"/>
          <w:lang w:val="fr-CA"/>
        </w:rPr>
        <w:t>soit</w:t>
      </w:r>
      <w:r w:rsidR="0003400D" w:rsidRPr="006F4DD6">
        <w:rPr>
          <w:kern w:val="22"/>
          <w:szCs w:val="22"/>
          <w:lang w:val="fr-CA"/>
        </w:rPr>
        <w:t xml:space="preserve"> sur la bonne voie et sera sans doute atteint, plusieurs autres éléments nécessitent encore beaucoup d’attention</w:t>
      </w:r>
      <w:r w:rsidR="00FB1A90" w:rsidRPr="006F4DD6">
        <w:rPr>
          <w:kern w:val="22"/>
          <w:szCs w:val="22"/>
          <w:lang w:val="fr-CA"/>
        </w:rPr>
        <w:t>.</w:t>
      </w:r>
    </w:p>
    <w:bookmarkEnd w:id="1"/>
    <w:p w14:paraId="090494D9" w14:textId="3F653BA7" w:rsidR="00B40A7A" w:rsidRPr="006F4DD6" w:rsidRDefault="0003400D">
      <w:pPr>
        <w:pStyle w:val="Para10"/>
        <w:tabs>
          <w:tab w:val="clear" w:pos="360"/>
          <w:tab w:val="num" w:pos="709"/>
        </w:tabs>
        <w:rPr>
          <w:kern w:val="22"/>
          <w:szCs w:val="22"/>
          <w:lang w:val="fr-CA"/>
        </w:rPr>
      </w:pPr>
      <w:r w:rsidRPr="006F4DD6">
        <w:rPr>
          <w:kern w:val="22"/>
          <w:szCs w:val="22"/>
          <w:lang w:val="fr-CA"/>
        </w:rPr>
        <w:t xml:space="preserve">Les </w:t>
      </w:r>
      <w:r w:rsidR="002B0D10" w:rsidRPr="006F4DD6">
        <w:rPr>
          <w:kern w:val="22"/>
          <w:szCs w:val="22"/>
          <w:lang w:val="fr-CA"/>
        </w:rPr>
        <w:t>systè</w:t>
      </w:r>
      <w:r w:rsidRPr="006F4DD6">
        <w:rPr>
          <w:kern w:val="22"/>
          <w:szCs w:val="22"/>
          <w:lang w:val="fr-CA"/>
        </w:rPr>
        <w:t>mes d’aires protégées doivent intégrer les enjeux des</w:t>
      </w:r>
      <w:r w:rsidR="002B0D10" w:rsidRPr="006F4DD6">
        <w:rPr>
          <w:kern w:val="22"/>
          <w:szCs w:val="22"/>
          <w:lang w:val="fr-CA"/>
        </w:rPr>
        <w:t xml:space="preserve"> </w:t>
      </w:r>
      <w:r w:rsidRPr="006F4DD6">
        <w:rPr>
          <w:kern w:val="22"/>
          <w:szCs w:val="22"/>
          <w:lang w:val="fr-CA"/>
        </w:rPr>
        <w:t>changements climatiques à la gestion et la conception, af</w:t>
      </w:r>
      <w:r w:rsidR="002B0D10" w:rsidRPr="006F4DD6">
        <w:rPr>
          <w:kern w:val="22"/>
          <w:szCs w:val="22"/>
          <w:lang w:val="fr-CA"/>
        </w:rPr>
        <w:t>i</w:t>
      </w:r>
      <w:r w:rsidRPr="006F4DD6">
        <w:rPr>
          <w:kern w:val="22"/>
          <w:szCs w:val="22"/>
          <w:lang w:val="fr-CA"/>
        </w:rPr>
        <w:t>n</w:t>
      </w:r>
      <w:r w:rsidR="002B0D10" w:rsidRPr="006F4DD6">
        <w:rPr>
          <w:kern w:val="22"/>
          <w:szCs w:val="22"/>
          <w:lang w:val="fr-CA"/>
        </w:rPr>
        <w:t xml:space="preserve"> </w:t>
      </w:r>
      <w:r w:rsidR="00085C59">
        <w:rPr>
          <w:kern w:val="22"/>
          <w:szCs w:val="22"/>
          <w:lang w:val="fr-CA"/>
        </w:rPr>
        <w:t>qu’ils atteignent</w:t>
      </w:r>
      <w:r w:rsidRPr="006F4DD6">
        <w:rPr>
          <w:kern w:val="22"/>
          <w:szCs w:val="22"/>
          <w:lang w:val="fr-CA"/>
        </w:rPr>
        <w:t xml:space="preserve"> leurs objectifs de conservation. Par exemple, </w:t>
      </w:r>
      <w:r w:rsidR="002B0D10" w:rsidRPr="006F4DD6">
        <w:rPr>
          <w:kern w:val="22"/>
          <w:szCs w:val="22"/>
          <w:lang w:val="fr-CA"/>
        </w:rPr>
        <w:t xml:space="preserve">la prise en compte des changements d’habitats attribuables aux changements climatiques </w:t>
      </w:r>
      <w:r w:rsidR="006C522B" w:rsidRPr="006F4DD6">
        <w:rPr>
          <w:kern w:val="22"/>
          <w:szCs w:val="22"/>
          <w:lang w:val="fr-CA"/>
        </w:rPr>
        <w:t>p</w:t>
      </w:r>
      <w:r w:rsidR="002B0D10" w:rsidRPr="006F4DD6">
        <w:rPr>
          <w:kern w:val="22"/>
          <w:szCs w:val="22"/>
          <w:lang w:val="fr-CA"/>
        </w:rPr>
        <w:t>eut modifier substan</w:t>
      </w:r>
      <w:r w:rsidR="006C522B" w:rsidRPr="006F4DD6">
        <w:rPr>
          <w:kern w:val="22"/>
          <w:szCs w:val="22"/>
          <w:lang w:val="fr-CA"/>
        </w:rPr>
        <w:t>t</w:t>
      </w:r>
      <w:r w:rsidR="002B0D10" w:rsidRPr="006F4DD6">
        <w:rPr>
          <w:kern w:val="22"/>
          <w:szCs w:val="22"/>
          <w:lang w:val="fr-CA"/>
        </w:rPr>
        <w:t xml:space="preserve">iellement les aires protégées de diversité biologique indigène. Les chercheurs </w:t>
      </w:r>
      <w:r w:rsidR="006C522B" w:rsidRPr="006F4DD6">
        <w:rPr>
          <w:kern w:val="22"/>
          <w:szCs w:val="22"/>
          <w:lang w:val="fr-CA"/>
        </w:rPr>
        <w:t>son</w:t>
      </w:r>
      <w:r w:rsidR="002B0D10" w:rsidRPr="006F4DD6">
        <w:rPr>
          <w:kern w:val="22"/>
          <w:szCs w:val="22"/>
          <w:lang w:val="fr-CA"/>
        </w:rPr>
        <w:t>t</w:t>
      </w:r>
      <w:r w:rsidR="006C522B" w:rsidRPr="006F4DD6">
        <w:rPr>
          <w:kern w:val="22"/>
          <w:szCs w:val="22"/>
          <w:lang w:val="fr-CA"/>
        </w:rPr>
        <w:t xml:space="preserve"> </w:t>
      </w:r>
      <w:r w:rsidR="002B0D10" w:rsidRPr="006F4DD6">
        <w:rPr>
          <w:kern w:val="22"/>
          <w:szCs w:val="22"/>
          <w:lang w:val="fr-CA"/>
        </w:rPr>
        <w:t xml:space="preserve">en voie de </w:t>
      </w:r>
      <w:r w:rsidR="006C522B" w:rsidRPr="006F4DD6">
        <w:rPr>
          <w:kern w:val="22"/>
          <w:szCs w:val="22"/>
          <w:lang w:val="fr-CA"/>
        </w:rPr>
        <w:t>dé</w:t>
      </w:r>
      <w:r w:rsidR="002B0D10" w:rsidRPr="006F4DD6">
        <w:rPr>
          <w:kern w:val="22"/>
          <w:szCs w:val="22"/>
          <w:lang w:val="fr-CA"/>
        </w:rPr>
        <w:t>velo</w:t>
      </w:r>
      <w:r w:rsidR="006C522B" w:rsidRPr="006F4DD6">
        <w:rPr>
          <w:kern w:val="22"/>
          <w:szCs w:val="22"/>
          <w:lang w:val="fr-CA"/>
        </w:rPr>
        <w:t>p</w:t>
      </w:r>
      <w:r w:rsidR="002B0D10" w:rsidRPr="006F4DD6">
        <w:rPr>
          <w:kern w:val="22"/>
          <w:szCs w:val="22"/>
          <w:lang w:val="fr-CA"/>
        </w:rPr>
        <w:t>per des bases de données et des outils de visualisation à haute résoluti</w:t>
      </w:r>
      <w:r w:rsidR="00306288">
        <w:rPr>
          <w:kern w:val="22"/>
          <w:szCs w:val="22"/>
          <w:lang w:val="fr-CA"/>
        </w:rPr>
        <w:t>on qui cartographient les menac</w:t>
      </w:r>
      <w:r w:rsidR="002B0D10" w:rsidRPr="006F4DD6">
        <w:rPr>
          <w:kern w:val="22"/>
          <w:szCs w:val="22"/>
          <w:lang w:val="fr-CA"/>
        </w:rPr>
        <w:t xml:space="preserve">es liées au climat </w:t>
      </w:r>
      <w:r w:rsidR="006C522B" w:rsidRPr="006F4DD6">
        <w:rPr>
          <w:kern w:val="22"/>
          <w:szCs w:val="22"/>
          <w:lang w:val="fr-CA"/>
        </w:rPr>
        <w:t>qui guettent</w:t>
      </w:r>
      <w:r w:rsidR="002B0D10" w:rsidRPr="006F4DD6">
        <w:rPr>
          <w:kern w:val="22"/>
          <w:szCs w:val="22"/>
          <w:lang w:val="fr-CA"/>
        </w:rPr>
        <w:t xml:space="preserve"> la biodiver</w:t>
      </w:r>
      <w:r w:rsidR="006C522B" w:rsidRPr="006F4DD6">
        <w:rPr>
          <w:kern w:val="22"/>
          <w:szCs w:val="22"/>
          <w:lang w:val="fr-CA"/>
        </w:rPr>
        <w:t>s</w:t>
      </w:r>
      <w:r w:rsidR="002B0D10" w:rsidRPr="006F4DD6">
        <w:rPr>
          <w:kern w:val="22"/>
          <w:szCs w:val="22"/>
          <w:lang w:val="fr-CA"/>
        </w:rPr>
        <w:t>ité régionale</w:t>
      </w:r>
      <w:r w:rsidR="000017F0" w:rsidRPr="006F4DD6">
        <w:rPr>
          <w:kern w:val="22"/>
          <w:szCs w:val="22"/>
          <w:lang w:val="fr-CA"/>
        </w:rPr>
        <w:t>.</w:t>
      </w:r>
      <w:r w:rsidR="008C2BF0" w:rsidRPr="006F4DD6">
        <w:rPr>
          <w:rStyle w:val="Appelnotedebasdep"/>
          <w:kern w:val="22"/>
          <w:sz w:val="22"/>
          <w:szCs w:val="22"/>
          <w:u w:val="none"/>
          <w:vertAlign w:val="superscript"/>
          <w:lang w:val="fr-CA"/>
        </w:rPr>
        <w:footnoteReference w:id="9"/>
      </w:r>
      <w:r w:rsidR="008C2BF0" w:rsidRPr="006F4DD6">
        <w:rPr>
          <w:kern w:val="22"/>
          <w:szCs w:val="22"/>
          <w:lang w:val="fr-CA"/>
        </w:rPr>
        <w:t xml:space="preserve"> </w:t>
      </w:r>
      <w:r w:rsidR="006C522B" w:rsidRPr="006F4DD6">
        <w:rPr>
          <w:kern w:val="22"/>
          <w:szCs w:val="22"/>
          <w:lang w:val="fr-CA"/>
        </w:rPr>
        <w:t>Les récentes évaluations révèlent que les changements de biome devraient toucher des aires deux fois plus vastes à un niveau de réchauffement climatique de 2</w:t>
      </w:r>
      <w:r w:rsidR="00B72C78">
        <w:rPr>
          <w:kern w:val="22"/>
          <w:szCs w:val="22"/>
          <w:lang w:val="fr-CA"/>
        </w:rPr>
        <w:t>°C</w:t>
      </w:r>
      <w:r w:rsidR="006C522B" w:rsidRPr="006F4DD6">
        <w:rPr>
          <w:kern w:val="22"/>
          <w:szCs w:val="22"/>
          <w:lang w:val="fr-CA"/>
        </w:rPr>
        <w:t xml:space="preserve"> </w:t>
      </w:r>
      <w:r w:rsidR="00107222">
        <w:rPr>
          <w:kern w:val="22"/>
          <w:szCs w:val="22"/>
          <w:lang w:val="fr-CA"/>
        </w:rPr>
        <w:t>qu’</w:t>
      </w:r>
      <w:r w:rsidR="006C522B" w:rsidRPr="006F4DD6">
        <w:rPr>
          <w:kern w:val="22"/>
          <w:szCs w:val="22"/>
          <w:lang w:val="fr-CA"/>
        </w:rPr>
        <w:t>à un niveau de 1,5</w:t>
      </w:r>
      <w:r w:rsidR="00B72C78">
        <w:rPr>
          <w:kern w:val="22"/>
          <w:szCs w:val="22"/>
          <w:lang w:val="fr-CA"/>
        </w:rPr>
        <w:t>°C</w:t>
      </w:r>
      <w:r w:rsidR="007447B3" w:rsidRPr="006F4DD6">
        <w:rPr>
          <w:kern w:val="22"/>
          <w:szCs w:val="22"/>
          <w:lang w:val="fr-CA"/>
        </w:rPr>
        <w:t>.</w:t>
      </w:r>
    </w:p>
    <w:p w14:paraId="48AD6831" w14:textId="1ACFED3D" w:rsidR="00D80EFB" w:rsidRPr="006F4DD6" w:rsidRDefault="006C522B" w:rsidP="00BD2D2C">
      <w:pPr>
        <w:pStyle w:val="Para10"/>
        <w:tabs>
          <w:tab w:val="clear" w:pos="360"/>
          <w:tab w:val="num" w:pos="709"/>
        </w:tabs>
        <w:rPr>
          <w:kern w:val="22"/>
          <w:szCs w:val="22"/>
          <w:lang w:val="fr-CA"/>
        </w:rPr>
      </w:pPr>
      <w:r w:rsidRPr="006F4DD6">
        <w:rPr>
          <w:kern w:val="22"/>
          <w:szCs w:val="22"/>
          <w:lang w:val="fr-CA"/>
        </w:rPr>
        <w:t>Des efforts supplémentaires pou</w:t>
      </w:r>
      <w:r w:rsidR="009A0806" w:rsidRPr="006F4DD6">
        <w:rPr>
          <w:kern w:val="22"/>
          <w:szCs w:val="22"/>
          <w:lang w:val="fr-CA"/>
        </w:rPr>
        <w:t>r</w:t>
      </w:r>
      <w:r w:rsidRPr="006F4DD6">
        <w:rPr>
          <w:kern w:val="22"/>
          <w:szCs w:val="22"/>
          <w:lang w:val="fr-CA"/>
        </w:rPr>
        <w:t>raient cibler la prise en compte des</w:t>
      </w:r>
      <w:r w:rsidR="009A0806" w:rsidRPr="006F4DD6">
        <w:rPr>
          <w:kern w:val="22"/>
          <w:szCs w:val="22"/>
          <w:lang w:val="fr-CA"/>
        </w:rPr>
        <w:t xml:space="preserve"> </w:t>
      </w:r>
      <w:r w:rsidRPr="006F4DD6">
        <w:rPr>
          <w:kern w:val="22"/>
          <w:szCs w:val="22"/>
          <w:lang w:val="fr-CA"/>
        </w:rPr>
        <w:t>changements climatiques</w:t>
      </w:r>
      <w:r w:rsidR="009A0806" w:rsidRPr="006F4DD6">
        <w:rPr>
          <w:kern w:val="22"/>
          <w:szCs w:val="22"/>
          <w:lang w:val="fr-CA"/>
        </w:rPr>
        <w:t xml:space="preserve"> dans l’identification des aires d’importance, dont les aires marines protégées, afin de veiller à ce que les aires protégées soient représentatives écologiquement, bien reliées et intégrées, et gérées efficacement et équitablement. La cartographie des modèles mondiaux de la diversité biologique a débuté et ils seront intégrés dans des outils interactifs qui éclaireront les décisions</w:t>
      </w:r>
      <w:r w:rsidR="000017F0" w:rsidRPr="006F4DD6">
        <w:rPr>
          <w:kern w:val="22"/>
          <w:szCs w:val="22"/>
          <w:lang w:val="fr-CA"/>
        </w:rPr>
        <w:t>.</w:t>
      </w:r>
      <w:r w:rsidR="00393E4C" w:rsidRPr="006F4DD6">
        <w:rPr>
          <w:rStyle w:val="Appelnotedebasdep"/>
          <w:kern w:val="22"/>
          <w:sz w:val="22"/>
          <w:szCs w:val="22"/>
          <w:u w:val="none"/>
          <w:vertAlign w:val="superscript"/>
          <w:lang w:val="fr-CA"/>
        </w:rPr>
        <w:footnoteReference w:id="10"/>
      </w:r>
    </w:p>
    <w:p w14:paraId="36AD9B0A" w14:textId="0D2AC699" w:rsidR="004B33F7" w:rsidRPr="006F4DD6" w:rsidRDefault="009A0806" w:rsidP="00BD2D2C">
      <w:pPr>
        <w:pStyle w:val="Para10"/>
        <w:tabs>
          <w:tab w:val="clear" w:pos="360"/>
          <w:tab w:val="num" w:pos="709"/>
        </w:tabs>
        <w:rPr>
          <w:kern w:val="22"/>
          <w:szCs w:val="22"/>
          <w:lang w:val="fr-CA"/>
        </w:rPr>
      </w:pPr>
      <w:r w:rsidRPr="006F4DD6">
        <w:rPr>
          <w:kern w:val="22"/>
          <w:szCs w:val="22"/>
          <w:lang w:val="fr-CA"/>
        </w:rPr>
        <w:t>Les aires de conservation indigènes peuvent elles aussi jouer un rôle important dans la séquestration du carbone tout en renforçant la connectivité et la résistance des écosystèmes, en maintenant les services écosystémiques essentiels et en supportant les modes de subsistance fondés sur la diversité biologique.</w:t>
      </w:r>
    </w:p>
    <w:p w14:paraId="474A3788" w14:textId="35CCF92E" w:rsidR="009766DE" w:rsidRPr="006F4DD6" w:rsidRDefault="00443BDB" w:rsidP="006924CD">
      <w:pPr>
        <w:pStyle w:val="Titre2"/>
        <w:rPr>
          <w:kern w:val="22"/>
          <w:lang w:val="fr-CA"/>
        </w:rPr>
      </w:pPr>
      <w:bookmarkStart w:id="2" w:name="_Hlk12004515"/>
      <w:r w:rsidRPr="006F4DD6">
        <w:rPr>
          <w:kern w:val="22"/>
          <w:lang w:val="fr-CA"/>
        </w:rPr>
        <w:t>D</w:t>
      </w:r>
      <w:r w:rsidR="009766DE" w:rsidRPr="006F4DD6">
        <w:rPr>
          <w:kern w:val="22"/>
          <w:lang w:val="fr-CA"/>
        </w:rPr>
        <w:t xml:space="preserve">. </w:t>
      </w:r>
      <w:r w:rsidR="00BE365A" w:rsidRPr="006F4DD6">
        <w:rPr>
          <w:kern w:val="22"/>
          <w:lang w:val="fr-CA"/>
        </w:rPr>
        <w:t xml:space="preserve">Solutions naturelles pour l’atténuation des changements climatiques </w:t>
      </w:r>
      <w:r w:rsidR="00291DCD">
        <w:rPr>
          <w:kern w:val="22"/>
          <w:lang w:val="fr-CA"/>
        </w:rPr>
        <w:br/>
      </w:r>
      <w:r w:rsidR="00BE365A" w:rsidRPr="006F4DD6">
        <w:rPr>
          <w:kern w:val="22"/>
          <w:lang w:val="fr-CA"/>
        </w:rPr>
        <w:t xml:space="preserve">et l’adaptation </w:t>
      </w:r>
      <w:r w:rsidR="00734EC5" w:rsidRPr="006F4DD6">
        <w:rPr>
          <w:kern w:val="22"/>
          <w:lang w:val="fr-CA"/>
        </w:rPr>
        <w:t>à</w:t>
      </w:r>
      <w:r w:rsidR="00BE365A" w:rsidRPr="006F4DD6">
        <w:rPr>
          <w:kern w:val="22"/>
          <w:lang w:val="fr-CA"/>
        </w:rPr>
        <w:t xml:space="preserve"> ceux-ci, et la réduction des risques de catastrophes</w:t>
      </w:r>
    </w:p>
    <w:p w14:paraId="05412E75" w14:textId="1340C405" w:rsidR="009766DE" w:rsidRPr="006F4DD6" w:rsidRDefault="00734EC5" w:rsidP="009766DE">
      <w:pPr>
        <w:pStyle w:val="Para10"/>
        <w:suppressLineNumbers/>
        <w:tabs>
          <w:tab w:val="clear" w:pos="360"/>
        </w:tabs>
        <w:suppressAutoHyphens/>
        <w:kinsoku w:val="0"/>
        <w:overflowPunct w:val="0"/>
        <w:autoSpaceDE w:val="0"/>
        <w:autoSpaceDN w:val="0"/>
        <w:adjustRightInd w:val="0"/>
        <w:snapToGrid w:val="0"/>
        <w:rPr>
          <w:kern w:val="22"/>
          <w:szCs w:val="22"/>
          <w:lang w:val="fr-CA"/>
        </w:rPr>
      </w:pPr>
      <w:r w:rsidRPr="006F4DD6">
        <w:rPr>
          <w:kern w:val="22"/>
          <w:szCs w:val="22"/>
          <w:lang w:val="fr-CA"/>
        </w:rPr>
        <w:t xml:space="preserve">Les preuves et la reconnaissance du rôle de la diversité biologique et des écosystèmes pour satisfaire aux divers objectifs </w:t>
      </w:r>
      <w:r w:rsidR="002E1F4A">
        <w:rPr>
          <w:kern w:val="22"/>
          <w:szCs w:val="22"/>
          <w:lang w:val="fr-CA"/>
        </w:rPr>
        <w:t>augmentent</w:t>
      </w:r>
      <w:r w:rsidRPr="006F4DD6">
        <w:rPr>
          <w:kern w:val="22"/>
          <w:szCs w:val="22"/>
          <w:lang w:val="fr-CA"/>
        </w:rPr>
        <w:t xml:space="preserve">, comme en témoignent les récentes évaluations scientifiques du </w:t>
      </w:r>
      <w:proofErr w:type="spellStart"/>
      <w:r w:rsidRPr="006F4DD6">
        <w:rPr>
          <w:kern w:val="22"/>
          <w:szCs w:val="22"/>
          <w:lang w:val="fr-CA"/>
        </w:rPr>
        <w:t>GIEC</w:t>
      </w:r>
      <w:proofErr w:type="spellEnd"/>
      <w:r w:rsidRPr="006F4DD6">
        <w:rPr>
          <w:kern w:val="22"/>
          <w:szCs w:val="22"/>
          <w:lang w:val="fr-CA"/>
        </w:rPr>
        <w:t xml:space="preserve"> et de l’</w:t>
      </w:r>
      <w:proofErr w:type="spellStart"/>
      <w:r w:rsidRPr="006F4DD6">
        <w:rPr>
          <w:kern w:val="22"/>
          <w:szCs w:val="22"/>
          <w:lang w:val="fr-CA"/>
        </w:rPr>
        <w:t>IPBES</w:t>
      </w:r>
      <w:proofErr w:type="spellEnd"/>
      <w:r w:rsidR="009766DE" w:rsidRPr="006F4DD6">
        <w:rPr>
          <w:kern w:val="22"/>
          <w:szCs w:val="22"/>
          <w:lang w:val="fr-CA"/>
        </w:rPr>
        <w:t>.</w:t>
      </w:r>
    </w:p>
    <w:p w14:paraId="309FEE02" w14:textId="53A817BD" w:rsidR="009766DE" w:rsidRPr="006F4DD6" w:rsidRDefault="00734EC5" w:rsidP="009766DE">
      <w:pPr>
        <w:pStyle w:val="Para10"/>
        <w:tabs>
          <w:tab w:val="clear" w:pos="360"/>
          <w:tab w:val="num" w:pos="720"/>
        </w:tabs>
        <w:rPr>
          <w:kern w:val="22"/>
          <w:szCs w:val="22"/>
          <w:lang w:val="fr-CA"/>
        </w:rPr>
      </w:pPr>
      <w:r w:rsidRPr="006F4DD6">
        <w:rPr>
          <w:kern w:val="22"/>
          <w:szCs w:val="22"/>
          <w:lang w:val="fr-CA"/>
        </w:rPr>
        <w:t xml:space="preserve">La décision X/33 décrit l’adaptation fondée sur les écosystèmes comme étant l’utilisation de la diversité biologique et des services écosystémiques en tant que composants d’une stratégie d’adaptation globale afin d’aider les gens à s’adapter aux </w:t>
      </w:r>
      <w:r w:rsidR="002E1F4A">
        <w:rPr>
          <w:kern w:val="22"/>
          <w:szCs w:val="22"/>
          <w:lang w:val="fr-CA"/>
        </w:rPr>
        <w:t>conséquences</w:t>
      </w:r>
      <w:r w:rsidRPr="006F4DD6">
        <w:rPr>
          <w:kern w:val="22"/>
          <w:szCs w:val="22"/>
          <w:lang w:val="fr-CA"/>
        </w:rPr>
        <w:t xml:space="preserve"> néfastes des changements climatiques. </w:t>
      </w:r>
      <w:r w:rsidR="001C73CD" w:rsidRPr="006F4DD6">
        <w:rPr>
          <w:kern w:val="22"/>
          <w:szCs w:val="22"/>
          <w:lang w:val="fr-CA"/>
        </w:rPr>
        <w:t xml:space="preserve">Elle a pour but de maintenir et d’accroître la résistance et de réduire la vulnérabilité des écosystèmes et des personnes aux </w:t>
      </w:r>
      <w:r w:rsidR="002E1F4A">
        <w:rPr>
          <w:kern w:val="22"/>
          <w:szCs w:val="22"/>
          <w:lang w:val="fr-CA"/>
        </w:rPr>
        <w:t>conséquences</w:t>
      </w:r>
      <w:r w:rsidR="001C73CD" w:rsidRPr="006F4DD6">
        <w:rPr>
          <w:kern w:val="22"/>
          <w:szCs w:val="22"/>
          <w:lang w:val="fr-CA"/>
        </w:rPr>
        <w:t xml:space="preserve"> néfastes des changements climatiques. La Conférence des Parties, dans cette même décision, invite les Parties à mettre en œuvre des approches fondées sur les écosystèmes pour favoriser l’adaptation</w:t>
      </w:r>
      <w:r w:rsidR="009766DE" w:rsidRPr="006F4DD6">
        <w:rPr>
          <w:kern w:val="22"/>
          <w:szCs w:val="22"/>
          <w:lang w:val="fr-CA"/>
        </w:rPr>
        <w:t>.</w:t>
      </w:r>
    </w:p>
    <w:p w14:paraId="027AA2B7" w14:textId="54A59A84" w:rsidR="009766DE" w:rsidRPr="006F4DD6" w:rsidRDefault="001C73CD" w:rsidP="009766DE">
      <w:pPr>
        <w:pStyle w:val="Para10"/>
        <w:tabs>
          <w:tab w:val="clear" w:pos="360"/>
          <w:tab w:val="num" w:pos="720"/>
        </w:tabs>
        <w:rPr>
          <w:kern w:val="22"/>
          <w:szCs w:val="22"/>
          <w:lang w:val="fr-CA"/>
        </w:rPr>
      </w:pPr>
      <w:r w:rsidRPr="006F4DD6">
        <w:rPr>
          <w:kern w:val="22"/>
          <w:szCs w:val="22"/>
          <w:lang w:val="fr-CA"/>
        </w:rPr>
        <w:t>L’adaptation fondée sur les écosystèmes gagne en popularité à l’échelle mondiale, alors que de plus en plus d’études de cas et autres documents révèlent que l’adaptation fondée sur les écosystèmes est une méthode souple, économique et applicable à grande échelle de réduire les impacts des changements climatiques, tout en offrant de nombreux bienfaits, tels que la conservation de la diversité biologique, la réduction de la pauvreté, le développement durable, l’atténuation des changements climatiques et la gestion des risques de catastrophes</w:t>
      </w:r>
      <w:r w:rsidR="009766DE" w:rsidRPr="006F4DD6">
        <w:rPr>
          <w:kern w:val="22"/>
          <w:szCs w:val="22"/>
          <w:lang w:val="fr-CA"/>
        </w:rPr>
        <w:t>.</w:t>
      </w:r>
    </w:p>
    <w:p w14:paraId="35C0EDBE" w14:textId="1382D958" w:rsidR="009766DE" w:rsidRPr="006F4DD6" w:rsidRDefault="000C1FAE" w:rsidP="009766DE">
      <w:pPr>
        <w:pStyle w:val="Para10"/>
        <w:tabs>
          <w:tab w:val="clear" w:pos="360"/>
          <w:tab w:val="num" w:pos="720"/>
        </w:tabs>
        <w:rPr>
          <w:kern w:val="22"/>
          <w:szCs w:val="22"/>
          <w:lang w:val="fr-CA"/>
        </w:rPr>
      </w:pPr>
      <w:r w:rsidRPr="006F4DD6">
        <w:rPr>
          <w:color w:val="000000"/>
          <w:kern w:val="22"/>
          <w:szCs w:val="22"/>
          <w:lang w:val="fr-CA"/>
        </w:rPr>
        <w:t xml:space="preserve">De plus, </w:t>
      </w:r>
      <w:r w:rsidR="00003842">
        <w:rPr>
          <w:color w:val="000000"/>
          <w:kern w:val="22"/>
          <w:szCs w:val="22"/>
          <w:lang w:val="fr-CA"/>
        </w:rPr>
        <w:t>certaines</w:t>
      </w:r>
      <w:r w:rsidRPr="006F4DD6">
        <w:rPr>
          <w:color w:val="000000"/>
          <w:kern w:val="22"/>
          <w:szCs w:val="22"/>
          <w:lang w:val="fr-CA"/>
        </w:rPr>
        <w:t xml:space="preserve"> preuves soutiennent l’hypothèse </w:t>
      </w:r>
      <w:r w:rsidR="00003842">
        <w:rPr>
          <w:color w:val="000000"/>
          <w:kern w:val="22"/>
          <w:szCs w:val="22"/>
          <w:lang w:val="fr-CA"/>
        </w:rPr>
        <w:t>de l’existence d’</w:t>
      </w:r>
      <w:r w:rsidRPr="006F4DD6">
        <w:rPr>
          <w:color w:val="000000"/>
          <w:kern w:val="22"/>
          <w:szCs w:val="22"/>
          <w:lang w:val="fr-CA"/>
        </w:rPr>
        <w:t>un lien entre un niveau élevé de diversité des espèces et un nive</w:t>
      </w:r>
      <w:r w:rsidR="000A03EF">
        <w:rPr>
          <w:color w:val="000000"/>
          <w:kern w:val="22"/>
          <w:szCs w:val="22"/>
          <w:lang w:val="fr-CA"/>
        </w:rPr>
        <w:t>a</w:t>
      </w:r>
      <w:r w:rsidRPr="006F4DD6">
        <w:rPr>
          <w:color w:val="000000"/>
          <w:kern w:val="22"/>
          <w:szCs w:val="22"/>
          <w:lang w:val="fr-CA"/>
        </w:rPr>
        <w:t xml:space="preserve">u plus élevé de séquestration du carbone, et une plus grande diversité biologique peut accroître la résilience des écosystèmes et </w:t>
      </w:r>
      <w:r w:rsidRPr="00C5358E">
        <w:rPr>
          <w:color w:val="000000"/>
          <w:kern w:val="22"/>
          <w:szCs w:val="22"/>
          <w:lang w:val="fr-CA"/>
        </w:rPr>
        <w:t>leurs stocks de carbone associés aux dérangements</w:t>
      </w:r>
      <w:r w:rsidR="009766DE" w:rsidRPr="006F4DD6">
        <w:rPr>
          <w:color w:val="000000"/>
          <w:kern w:val="22"/>
          <w:szCs w:val="22"/>
          <w:lang w:val="fr-CA"/>
        </w:rPr>
        <w:t>.</w:t>
      </w:r>
      <w:r w:rsidRPr="006F4DD6">
        <w:rPr>
          <w:color w:val="000000"/>
          <w:kern w:val="22"/>
          <w:szCs w:val="22"/>
          <w:lang w:val="fr-CA"/>
        </w:rPr>
        <w:t xml:space="preserve"> Les méthodes de gestion qui maintiennent ou restaurent la diversité biologique peuvent soutenir l’efficacité des effor</w:t>
      </w:r>
      <w:r w:rsidR="000A03EF">
        <w:rPr>
          <w:color w:val="000000"/>
          <w:kern w:val="22"/>
          <w:szCs w:val="22"/>
          <w:lang w:val="fr-CA"/>
        </w:rPr>
        <w:t xml:space="preserve">ts fondés sur les écosystèmes pour </w:t>
      </w:r>
      <w:r w:rsidRPr="006F4DD6">
        <w:rPr>
          <w:color w:val="000000"/>
          <w:kern w:val="22"/>
          <w:szCs w:val="22"/>
          <w:lang w:val="fr-CA"/>
        </w:rPr>
        <w:t>atténuer les changements climatiques.</w:t>
      </w:r>
      <w:r w:rsidR="009766DE" w:rsidRPr="006F4DD6">
        <w:rPr>
          <w:rStyle w:val="Appelnotedebasdep"/>
          <w:color w:val="000000"/>
          <w:kern w:val="22"/>
          <w:sz w:val="22"/>
          <w:szCs w:val="22"/>
          <w:u w:val="none"/>
          <w:vertAlign w:val="superscript"/>
          <w:lang w:val="fr-CA"/>
        </w:rPr>
        <w:footnoteReference w:id="11"/>
      </w:r>
    </w:p>
    <w:p w14:paraId="456D72C2" w14:textId="13802026" w:rsidR="009766DE" w:rsidRPr="006F4DD6" w:rsidRDefault="003B2A9D" w:rsidP="009766DE">
      <w:pPr>
        <w:pStyle w:val="Para10"/>
        <w:tabs>
          <w:tab w:val="clear" w:pos="360"/>
          <w:tab w:val="num" w:pos="720"/>
        </w:tabs>
        <w:rPr>
          <w:kern w:val="22"/>
          <w:szCs w:val="22"/>
          <w:lang w:val="fr-CA"/>
        </w:rPr>
      </w:pPr>
      <w:r w:rsidRPr="0074096F">
        <w:rPr>
          <w:kern w:val="22"/>
          <w:szCs w:val="22"/>
          <w:lang w:val="fr-CA"/>
        </w:rPr>
        <w:lastRenderedPageBreak/>
        <w:t>Les travaux entrepris</w:t>
      </w:r>
      <w:r w:rsidRPr="006F4DD6">
        <w:rPr>
          <w:kern w:val="22"/>
          <w:szCs w:val="22"/>
          <w:lang w:val="fr-CA"/>
        </w:rPr>
        <w:t xml:space="preserve"> au titre de la Convention accordent beaucoup d’importance à la mise en évidence du rôle de la diversité biologique et des écosystèmes pour </w:t>
      </w:r>
      <w:r w:rsidR="00291DCD">
        <w:rPr>
          <w:kern w:val="22"/>
          <w:szCs w:val="22"/>
          <w:lang w:val="fr-CA"/>
        </w:rPr>
        <w:t>atténuer les changements climatiques, s’adapter</w:t>
      </w:r>
      <w:r w:rsidRPr="006F4DD6">
        <w:rPr>
          <w:kern w:val="22"/>
          <w:szCs w:val="22"/>
          <w:lang w:val="fr-CA"/>
        </w:rPr>
        <w:t xml:space="preserve"> à ceux-ci et </w:t>
      </w:r>
      <w:r w:rsidR="00291DCD">
        <w:rPr>
          <w:kern w:val="22"/>
          <w:szCs w:val="22"/>
          <w:lang w:val="fr-CA"/>
        </w:rPr>
        <w:t>réduire les risques</w:t>
      </w:r>
      <w:r w:rsidRPr="006F4DD6">
        <w:rPr>
          <w:kern w:val="22"/>
          <w:szCs w:val="22"/>
          <w:lang w:val="fr-CA"/>
        </w:rPr>
        <w:t xml:space="preserve"> de catastrophes. Le Secrétariat continue à collaborer étroitement avec les partenaires concernés afin de soutenir la conception et la mise en œuvre d’approches fondées sur les écosystèmes</w:t>
      </w:r>
      <w:r w:rsidR="009766DE" w:rsidRPr="006F4DD6">
        <w:rPr>
          <w:kern w:val="22"/>
          <w:szCs w:val="22"/>
          <w:lang w:val="fr-CA"/>
        </w:rPr>
        <w:t>.</w:t>
      </w:r>
    </w:p>
    <w:p w14:paraId="2A4255AD" w14:textId="563E5D26" w:rsidR="007314C3" w:rsidRPr="006F4DD6" w:rsidRDefault="003B2A9D" w:rsidP="006924CD">
      <w:pPr>
        <w:pStyle w:val="Para10"/>
        <w:tabs>
          <w:tab w:val="clear" w:pos="360"/>
        </w:tabs>
        <w:rPr>
          <w:kern w:val="22"/>
          <w:lang w:val="fr-CA"/>
        </w:rPr>
      </w:pPr>
      <w:r w:rsidRPr="006F4DD6">
        <w:rPr>
          <w:kern w:val="22"/>
          <w:lang w:val="fr-CA"/>
        </w:rPr>
        <w:t xml:space="preserve">Les processus de planification efficaces d’adaptation aux changements climatiques doivent prendre en compte </w:t>
      </w:r>
      <w:r w:rsidR="00E92F5A" w:rsidRPr="006F4DD6">
        <w:rPr>
          <w:kern w:val="22"/>
          <w:lang w:val="fr-CA"/>
        </w:rPr>
        <w:t>les renseignements sur la diversité biologique et leur intégration aux processus de planification pertinents</w:t>
      </w:r>
      <w:r w:rsidR="007314C3" w:rsidRPr="006F4DD6">
        <w:rPr>
          <w:kern w:val="22"/>
          <w:lang w:val="fr-CA"/>
        </w:rPr>
        <w:t xml:space="preserve">. </w:t>
      </w:r>
      <w:r w:rsidR="00E92F5A" w:rsidRPr="006F4DD6">
        <w:rPr>
          <w:kern w:val="22"/>
          <w:lang w:val="fr-CA"/>
        </w:rPr>
        <w:t xml:space="preserve">Les Parties à la Convention-cadre des Nations Unies sur les changements climatiques se sont engagées à élaborer des plans d’adaptation nationaux et autres processus de planification de l’adaptation. </w:t>
      </w:r>
      <w:r w:rsidR="005B714E">
        <w:rPr>
          <w:kern w:val="22"/>
          <w:lang w:val="fr-CA"/>
        </w:rPr>
        <w:t>L</w:t>
      </w:r>
      <w:r w:rsidR="00683EE8">
        <w:rPr>
          <w:kern w:val="22"/>
          <w:lang w:val="fr-CA"/>
        </w:rPr>
        <w:t>’évaluation de l</w:t>
      </w:r>
      <w:r w:rsidR="005B714E">
        <w:rPr>
          <w:kern w:val="22"/>
          <w:lang w:val="fr-CA"/>
        </w:rPr>
        <w:t xml:space="preserve">a vulnérabilité et des risques fondés sur la science est une étape importante de la formulation des processus de planification. </w:t>
      </w:r>
      <w:r w:rsidR="00E92F5A" w:rsidRPr="006F4DD6">
        <w:rPr>
          <w:kern w:val="22"/>
          <w:lang w:val="fr-CA"/>
        </w:rPr>
        <w:t xml:space="preserve">La prise en compte des informations sur la diversité biologique et les services écosystémiques </w:t>
      </w:r>
      <w:r w:rsidR="009F6151">
        <w:rPr>
          <w:kern w:val="22"/>
          <w:lang w:val="fr-CA"/>
        </w:rPr>
        <w:t>est</w:t>
      </w:r>
      <w:r w:rsidR="00BA1230">
        <w:rPr>
          <w:kern w:val="22"/>
          <w:lang w:val="fr-CA"/>
        </w:rPr>
        <w:t xml:space="preserve"> essentielle</w:t>
      </w:r>
      <w:r w:rsidR="00E92F5A" w:rsidRPr="006F4DD6">
        <w:rPr>
          <w:kern w:val="22"/>
          <w:lang w:val="fr-CA"/>
        </w:rPr>
        <w:t xml:space="preserve"> </w:t>
      </w:r>
      <w:r w:rsidR="009F6151">
        <w:rPr>
          <w:kern w:val="22"/>
          <w:lang w:val="fr-CA"/>
        </w:rPr>
        <w:t>afin de</w:t>
      </w:r>
      <w:r w:rsidR="00E92F5A" w:rsidRPr="006F4DD6">
        <w:rPr>
          <w:kern w:val="22"/>
          <w:lang w:val="fr-CA"/>
        </w:rPr>
        <w:t xml:space="preserve"> </w:t>
      </w:r>
      <w:r w:rsidR="008F340E" w:rsidRPr="006F4DD6">
        <w:rPr>
          <w:kern w:val="22"/>
          <w:lang w:val="fr-CA"/>
        </w:rPr>
        <w:t xml:space="preserve">connaître à fond les </w:t>
      </w:r>
      <w:r w:rsidR="00E92F5A" w:rsidRPr="006F4DD6">
        <w:rPr>
          <w:kern w:val="22"/>
          <w:lang w:val="fr-CA"/>
        </w:rPr>
        <w:t>moteurs</w:t>
      </w:r>
      <w:r w:rsidR="008F340E" w:rsidRPr="006F4DD6">
        <w:rPr>
          <w:kern w:val="22"/>
          <w:lang w:val="fr-CA"/>
        </w:rPr>
        <w:t xml:space="preserve"> et</w:t>
      </w:r>
      <w:r w:rsidR="005744A3" w:rsidRPr="006F4DD6">
        <w:rPr>
          <w:kern w:val="22"/>
          <w:lang w:val="fr-CA"/>
        </w:rPr>
        <w:t xml:space="preserve"> les impacts des changements cl</w:t>
      </w:r>
      <w:r w:rsidR="008F340E" w:rsidRPr="006F4DD6">
        <w:rPr>
          <w:kern w:val="22"/>
          <w:lang w:val="fr-CA"/>
        </w:rPr>
        <w:t>imatiques qui influencent la vulnérabilité aux changements climatiques et les risques. De plus, les approc</w:t>
      </w:r>
      <w:r w:rsidR="00BA1230">
        <w:rPr>
          <w:kern w:val="22"/>
          <w:lang w:val="fr-CA"/>
        </w:rPr>
        <w:t>hes fondées sur les écosystèmes</w:t>
      </w:r>
      <w:r w:rsidR="008F340E" w:rsidRPr="006F4DD6">
        <w:rPr>
          <w:kern w:val="22"/>
          <w:lang w:val="fr-CA"/>
        </w:rPr>
        <w:t xml:space="preserve"> présentent souvent des solutions économiques pour l’</w:t>
      </w:r>
      <w:r w:rsidR="005744A3" w:rsidRPr="006F4DD6">
        <w:rPr>
          <w:kern w:val="22"/>
          <w:lang w:val="fr-CA"/>
        </w:rPr>
        <w:t>a</w:t>
      </w:r>
      <w:r w:rsidR="008F340E" w:rsidRPr="006F4DD6">
        <w:rPr>
          <w:kern w:val="22"/>
          <w:lang w:val="fr-CA"/>
        </w:rPr>
        <w:t>daptation aux changements climatiques qui devraient être prises en ligne de compte dans un pro</w:t>
      </w:r>
      <w:r w:rsidR="005744A3" w:rsidRPr="006F4DD6">
        <w:rPr>
          <w:kern w:val="22"/>
          <w:lang w:val="fr-CA"/>
        </w:rPr>
        <w:t>cessus de planificati</w:t>
      </w:r>
      <w:r w:rsidR="008F340E" w:rsidRPr="006F4DD6">
        <w:rPr>
          <w:kern w:val="22"/>
          <w:lang w:val="fr-CA"/>
        </w:rPr>
        <w:t>on à l’adaptation intégr</w:t>
      </w:r>
      <w:r w:rsidR="005744A3" w:rsidRPr="006F4DD6">
        <w:rPr>
          <w:kern w:val="22"/>
          <w:lang w:val="fr-CA"/>
        </w:rPr>
        <w:t>é</w:t>
      </w:r>
      <w:r w:rsidR="008F340E" w:rsidRPr="006F4DD6">
        <w:rPr>
          <w:kern w:val="22"/>
          <w:lang w:val="fr-CA"/>
        </w:rPr>
        <w:t xml:space="preserve">. </w:t>
      </w:r>
      <w:r w:rsidR="005744A3" w:rsidRPr="006F4DD6">
        <w:rPr>
          <w:kern w:val="22"/>
          <w:lang w:val="fr-CA"/>
        </w:rPr>
        <w:t xml:space="preserve">L’obtention </w:t>
      </w:r>
      <w:r w:rsidR="008F340E" w:rsidRPr="006F4DD6">
        <w:rPr>
          <w:kern w:val="22"/>
          <w:lang w:val="fr-CA"/>
        </w:rPr>
        <w:t xml:space="preserve">de ces liens logiques exige une coordination systématique </w:t>
      </w:r>
      <w:r w:rsidR="005744A3" w:rsidRPr="006F4DD6">
        <w:rPr>
          <w:kern w:val="22"/>
          <w:lang w:val="fr-CA"/>
        </w:rPr>
        <w:t xml:space="preserve">des processus de planification </w:t>
      </w:r>
      <w:r w:rsidR="008F340E" w:rsidRPr="006F4DD6">
        <w:rPr>
          <w:kern w:val="22"/>
          <w:lang w:val="fr-CA"/>
        </w:rPr>
        <w:t>qui</w:t>
      </w:r>
      <w:r w:rsidR="005744A3" w:rsidRPr="006F4DD6">
        <w:rPr>
          <w:kern w:val="22"/>
          <w:lang w:val="fr-CA"/>
        </w:rPr>
        <w:t>,</w:t>
      </w:r>
      <w:r w:rsidR="008F340E" w:rsidRPr="006F4DD6">
        <w:rPr>
          <w:kern w:val="22"/>
          <w:lang w:val="fr-CA"/>
        </w:rPr>
        <w:t xml:space="preserve"> malh</w:t>
      </w:r>
      <w:r w:rsidR="005744A3" w:rsidRPr="006F4DD6">
        <w:rPr>
          <w:kern w:val="22"/>
          <w:lang w:val="fr-CA"/>
        </w:rPr>
        <w:t>eu</w:t>
      </w:r>
      <w:r w:rsidR="008F340E" w:rsidRPr="006F4DD6">
        <w:rPr>
          <w:kern w:val="22"/>
          <w:lang w:val="fr-CA"/>
        </w:rPr>
        <w:t>reusement, sont souvent gérés e</w:t>
      </w:r>
      <w:r w:rsidR="005A47F9">
        <w:rPr>
          <w:kern w:val="22"/>
          <w:lang w:val="fr-CA"/>
        </w:rPr>
        <w:t>n tant que processus parallèles</w:t>
      </w:r>
      <w:r w:rsidR="008F340E" w:rsidRPr="006F4DD6">
        <w:rPr>
          <w:kern w:val="22"/>
          <w:lang w:val="fr-CA"/>
        </w:rPr>
        <w:t xml:space="preserve"> et </w:t>
      </w:r>
      <w:r w:rsidR="005A47F9">
        <w:rPr>
          <w:kern w:val="22"/>
          <w:lang w:val="fr-CA"/>
        </w:rPr>
        <w:t>de ce fait, ratent des o</w:t>
      </w:r>
      <w:r w:rsidR="008F340E" w:rsidRPr="006F4DD6">
        <w:rPr>
          <w:kern w:val="22"/>
          <w:lang w:val="fr-CA"/>
        </w:rPr>
        <w:t>c</w:t>
      </w:r>
      <w:r w:rsidR="006851CE">
        <w:rPr>
          <w:kern w:val="22"/>
          <w:lang w:val="fr-CA"/>
        </w:rPr>
        <w:t>c</w:t>
      </w:r>
      <w:r w:rsidR="008F340E" w:rsidRPr="006F4DD6">
        <w:rPr>
          <w:kern w:val="22"/>
          <w:lang w:val="fr-CA"/>
        </w:rPr>
        <w:t>asions utiles d’accroître l’efficacité et l’impact.</w:t>
      </w:r>
    </w:p>
    <w:p w14:paraId="12D85A11" w14:textId="54D97E7C" w:rsidR="009766DE" w:rsidRPr="006F4DD6" w:rsidRDefault="004F21F5" w:rsidP="009766DE">
      <w:pPr>
        <w:pStyle w:val="Para10"/>
        <w:suppressLineNumbers/>
        <w:tabs>
          <w:tab w:val="clear" w:pos="360"/>
        </w:tabs>
        <w:suppressAutoHyphens/>
        <w:kinsoku w:val="0"/>
        <w:overflowPunct w:val="0"/>
        <w:autoSpaceDE w:val="0"/>
        <w:autoSpaceDN w:val="0"/>
        <w:adjustRightInd w:val="0"/>
        <w:snapToGrid w:val="0"/>
        <w:rPr>
          <w:i/>
          <w:kern w:val="22"/>
          <w:szCs w:val="22"/>
          <w:lang w:val="fr-CA"/>
        </w:rPr>
      </w:pPr>
      <w:r w:rsidRPr="006F4DD6">
        <w:rPr>
          <w:kern w:val="22"/>
          <w:szCs w:val="22"/>
          <w:lang w:val="fr-CA"/>
        </w:rPr>
        <w:t xml:space="preserve">L’adaptation fondée sur les écosystèmes, tout comme les autres activités d’adaptation, comporte </w:t>
      </w:r>
      <w:r w:rsidR="00BA1230">
        <w:rPr>
          <w:kern w:val="22"/>
          <w:szCs w:val="22"/>
          <w:lang w:val="fr-CA"/>
        </w:rPr>
        <w:t>sa</w:t>
      </w:r>
      <w:r w:rsidRPr="006F4DD6">
        <w:rPr>
          <w:kern w:val="22"/>
          <w:szCs w:val="22"/>
          <w:lang w:val="fr-CA"/>
        </w:rPr>
        <w:t xml:space="preserve"> part de complexité, d’incertitude et de risque. La Conférence des Parties, dans sa décision XIII/4, demande l’élaboration de lignes directrices facultatives pour la conception et l’application efficace d’approches fondées sur le climat pour l’adaptation aux changements climatiques et la réduction d</w:t>
      </w:r>
      <w:r w:rsidR="006851CE">
        <w:rPr>
          <w:kern w:val="22"/>
          <w:szCs w:val="22"/>
          <w:lang w:val="fr-CA"/>
        </w:rPr>
        <w:t>es</w:t>
      </w:r>
      <w:r w:rsidRPr="006F4DD6">
        <w:rPr>
          <w:kern w:val="22"/>
          <w:szCs w:val="22"/>
          <w:lang w:val="fr-CA"/>
        </w:rPr>
        <w:t xml:space="preserve"> risque</w:t>
      </w:r>
      <w:r w:rsidR="00C56C30" w:rsidRPr="006F4DD6">
        <w:rPr>
          <w:kern w:val="22"/>
          <w:szCs w:val="22"/>
          <w:lang w:val="fr-CA"/>
        </w:rPr>
        <w:t>s</w:t>
      </w:r>
      <w:r w:rsidRPr="006F4DD6">
        <w:rPr>
          <w:kern w:val="22"/>
          <w:szCs w:val="22"/>
          <w:lang w:val="fr-CA"/>
        </w:rPr>
        <w:t xml:space="preserve"> de catastrophes. Ces lignes directrices facultatives ont été ad</w:t>
      </w:r>
      <w:r w:rsidR="009F6151">
        <w:rPr>
          <w:kern w:val="22"/>
          <w:szCs w:val="22"/>
          <w:lang w:val="fr-CA"/>
        </w:rPr>
        <w:t>optées par la Conférence des P</w:t>
      </w:r>
      <w:r w:rsidRPr="006F4DD6">
        <w:rPr>
          <w:kern w:val="22"/>
          <w:szCs w:val="22"/>
          <w:lang w:val="fr-CA"/>
        </w:rPr>
        <w:t>arties à sa quatorzième réunion et publiées dans le Cahier technique n</w:t>
      </w:r>
      <w:r w:rsidRPr="006F4DD6">
        <w:rPr>
          <w:kern w:val="22"/>
          <w:szCs w:val="22"/>
          <w:vertAlign w:val="superscript"/>
          <w:lang w:val="fr-CA"/>
        </w:rPr>
        <w:t>o</w:t>
      </w:r>
      <w:r w:rsidRPr="006F4DD6">
        <w:rPr>
          <w:kern w:val="22"/>
          <w:szCs w:val="22"/>
          <w:lang w:val="fr-CA"/>
        </w:rPr>
        <w:t xml:space="preserve"> 93 de la CDB</w:t>
      </w:r>
      <w:r w:rsidR="000017F0" w:rsidRPr="006F4DD6">
        <w:rPr>
          <w:kern w:val="22"/>
          <w:szCs w:val="22"/>
          <w:lang w:val="fr-CA"/>
        </w:rPr>
        <w:t>.</w:t>
      </w:r>
      <w:r w:rsidR="00C17C31" w:rsidRPr="006F4DD6">
        <w:rPr>
          <w:rStyle w:val="Appelnotedebasdep"/>
          <w:kern w:val="22"/>
          <w:szCs w:val="22"/>
          <w:u w:val="none"/>
          <w:vertAlign w:val="superscript"/>
          <w:lang w:val="fr-CA"/>
        </w:rPr>
        <w:footnoteReference w:id="12"/>
      </w:r>
      <w:r w:rsidR="009766DE" w:rsidRPr="006F4DD6">
        <w:rPr>
          <w:kern w:val="22"/>
          <w:szCs w:val="22"/>
          <w:lang w:val="fr-CA"/>
        </w:rPr>
        <w:t xml:space="preserve"> </w:t>
      </w:r>
      <w:r w:rsidR="00A44EC6" w:rsidRPr="006F4DD6">
        <w:rPr>
          <w:kern w:val="22"/>
          <w:szCs w:val="22"/>
          <w:lang w:val="fr-CA"/>
        </w:rPr>
        <w:t>L</w:t>
      </w:r>
      <w:r w:rsidR="00C56C30" w:rsidRPr="006F4DD6">
        <w:rPr>
          <w:kern w:val="22"/>
          <w:szCs w:val="22"/>
          <w:lang w:val="fr-CA"/>
        </w:rPr>
        <w:t>e rapport développe les travau</w:t>
      </w:r>
      <w:r w:rsidR="00A44EC6" w:rsidRPr="006F4DD6">
        <w:rPr>
          <w:kern w:val="22"/>
          <w:szCs w:val="22"/>
          <w:lang w:val="fr-CA"/>
        </w:rPr>
        <w:t>x relatifs aux approches par écosystèmes pour l’adaptation a</w:t>
      </w:r>
      <w:r w:rsidR="002A50CA" w:rsidRPr="006F4DD6">
        <w:rPr>
          <w:kern w:val="22"/>
          <w:szCs w:val="22"/>
          <w:lang w:val="fr-CA"/>
        </w:rPr>
        <w:t>ux</w:t>
      </w:r>
      <w:r w:rsidR="00A44EC6" w:rsidRPr="006F4DD6">
        <w:rPr>
          <w:kern w:val="22"/>
          <w:szCs w:val="22"/>
          <w:lang w:val="fr-CA"/>
        </w:rPr>
        <w:t xml:space="preserve"> changements climatiques et la </w:t>
      </w:r>
      <w:r w:rsidR="00C56C30" w:rsidRPr="006F4DD6">
        <w:rPr>
          <w:kern w:val="22"/>
          <w:szCs w:val="22"/>
          <w:lang w:val="fr-CA"/>
        </w:rPr>
        <w:t>ré</w:t>
      </w:r>
      <w:r w:rsidR="00A44EC6" w:rsidRPr="006F4DD6">
        <w:rPr>
          <w:kern w:val="22"/>
          <w:szCs w:val="22"/>
          <w:lang w:val="fr-CA"/>
        </w:rPr>
        <w:t xml:space="preserve">duction des risques de catastrophes réalisés au cours des dernières années, dont un rapport de synthèse sur les expériences associées aux approches fondées sur les écosystèmes pour l’adaptation aux changements climatiques et </w:t>
      </w:r>
      <w:r w:rsidR="00C56C30" w:rsidRPr="006F4DD6">
        <w:rPr>
          <w:kern w:val="22"/>
          <w:szCs w:val="22"/>
          <w:lang w:val="fr-CA"/>
        </w:rPr>
        <w:t>la réduction des risques de cat</w:t>
      </w:r>
      <w:r w:rsidR="00A44EC6" w:rsidRPr="006F4DD6">
        <w:rPr>
          <w:kern w:val="22"/>
          <w:szCs w:val="22"/>
          <w:lang w:val="fr-CA"/>
        </w:rPr>
        <w:t>astrophes</w:t>
      </w:r>
      <w:r w:rsidR="002A50CA" w:rsidRPr="006F4DD6">
        <w:rPr>
          <w:kern w:val="22"/>
          <w:szCs w:val="22"/>
          <w:lang w:val="fr-CA"/>
        </w:rPr>
        <w:t xml:space="preserve"> (Cahier technique n</w:t>
      </w:r>
      <w:r w:rsidR="002A50CA" w:rsidRPr="00BA1230">
        <w:rPr>
          <w:kern w:val="22"/>
          <w:szCs w:val="22"/>
          <w:vertAlign w:val="superscript"/>
          <w:lang w:val="fr-CA"/>
        </w:rPr>
        <w:t>o</w:t>
      </w:r>
      <w:r w:rsidR="002A50CA" w:rsidRPr="006F4DD6">
        <w:rPr>
          <w:kern w:val="22"/>
          <w:szCs w:val="22"/>
          <w:lang w:val="fr-CA"/>
        </w:rPr>
        <w:t xml:space="preserve"> 85 de la CDB</w:t>
      </w:r>
      <w:r w:rsidR="00A44EC6" w:rsidRPr="006F4DD6">
        <w:rPr>
          <w:kern w:val="22"/>
          <w:szCs w:val="22"/>
          <w:lang w:val="fr-CA"/>
        </w:rPr>
        <w:t>)</w:t>
      </w:r>
      <w:r w:rsidR="00C17C31" w:rsidRPr="006F4DD6">
        <w:rPr>
          <w:rStyle w:val="Appelnotedebasdep"/>
          <w:kern w:val="22"/>
          <w:szCs w:val="22"/>
          <w:u w:val="none"/>
          <w:vertAlign w:val="superscript"/>
          <w:lang w:val="fr-CA"/>
        </w:rPr>
        <w:footnoteReference w:id="13"/>
      </w:r>
      <w:r w:rsidR="009766DE" w:rsidRPr="006F4DD6">
        <w:rPr>
          <w:kern w:val="22"/>
          <w:szCs w:val="22"/>
          <w:lang w:val="fr-CA"/>
        </w:rPr>
        <w:t xml:space="preserve"> </w:t>
      </w:r>
      <w:r w:rsidR="00A44EC6" w:rsidRPr="006F4DD6">
        <w:rPr>
          <w:kern w:val="22"/>
          <w:szCs w:val="22"/>
          <w:lang w:val="fr-CA"/>
        </w:rPr>
        <w:t xml:space="preserve">élaboré en réponse à la décision </w:t>
      </w:r>
      <w:hyperlink r:id="rId20" w:history="1">
        <w:r w:rsidR="00C5358E" w:rsidRPr="00C5358E">
          <w:rPr>
            <w:rStyle w:val="Lienhypertexte"/>
            <w:kern w:val="22"/>
            <w:szCs w:val="22"/>
            <w:lang w:val="fr-CA"/>
          </w:rPr>
          <w:t>XII/20</w:t>
        </w:r>
      </w:hyperlink>
      <w:r w:rsidR="00A44EC6" w:rsidRPr="006F4DD6">
        <w:rPr>
          <w:kern w:val="22"/>
          <w:szCs w:val="22"/>
          <w:lang w:val="fr-CA"/>
        </w:rPr>
        <w:t>, qui cerne les enseignemen</w:t>
      </w:r>
      <w:r w:rsidR="00C56C30" w:rsidRPr="006F4DD6">
        <w:rPr>
          <w:kern w:val="22"/>
          <w:szCs w:val="22"/>
          <w:lang w:val="fr-CA"/>
        </w:rPr>
        <w:t>t</w:t>
      </w:r>
      <w:r w:rsidR="00A44EC6" w:rsidRPr="006F4DD6">
        <w:rPr>
          <w:kern w:val="22"/>
          <w:szCs w:val="22"/>
          <w:lang w:val="fr-CA"/>
        </w:rPr>
        <w:t>s tirés ainsi que les la</w:t>
      </w:r>
      <w:r w:rsidR="00C56C30" w:rsidRPr="006F4DD6">
        <w:rPr>
          <w:kern w:val="22"/>
          <w:szCs w:val="22"/>
          <w:lang w:val="fr-CA"/>
        </w:rPr>
        <w:t xml:space="preserve">cunes et les </w:t>
      </w:r>
      <w:r w:rsidR="002A50CA" w:rsidRPr="006F4DD6">
        <w:rPr>
          <w:kern w:val="22"/>
          <w:szCs w:val="22"/>
          <w:lang w:val="fr-CA"/>
        </w:rPr>
        <w:t>difficultés</w:t>
      </w:r>
      <w:r w:rsidR="00A44EC6" w:rsidRPr="006F4DD6">
        <w:rPr>
          <w:kern w:val="22"/>
          <w:szCs w:val="22"/>
          <w:lang w:val="fr-CA"/>
        </w:rPr>
        <w:t xml:space="preserve"> de la mise en </w:t>
      </w:r>
      <w:r w:rsidR="00C56C30" w:rsidRPr="006F4DD6">
        <w:rPr>
          <w:kern w:val="22"/>
          <w:szCs w:val="22"/>
          <w:lang w:val="fr-CA"/>
        </w:rPr>
        <w:t xml:space="preserve">œuvre </w:t>
      </w:r>
      <w:r w:rsidR="00A44EC6" w:rsidRPr="006F4DD6">
        <w:rPr>
          <w:kern w:val="22"/>
          <w:szCs w:val="22"/>
          <w:lang w:val="fr-CA"/>
        </w:rPr>
        <w:t>d’app</w:t>
      </w:r>
      <w:r w:rsidR="00C56C30" w:rsidRPr="006F4DD6">
        <w:rPr>
          <w:kern w:val="22"/>
          <w:szCs w:val="22"/>
          <w:lang w:val="fr-CA"/>
        </w:rPr>
        <w:t>roches fondées sur les écosystè</w:t>
      </w:r>
      <w:r w:rsidR="00A44EC6" w:rsidRPr="006F4DD6">
        <w:rPr>
          <w:kern w:val="22"/>
          <w:szCs w:val="22"/>
          <w:lang w:val="fr-CA"/>
        </w:rPr>
        <w:t>mes pour l’</w:t>
      </w:r>
      <w:r w:rsidR="00C56C30" w:rsidRPr="006F4DD6">
        <w:rPr>
          <w:kern w:val="22"/>
          <w:szCs w:val="22"/>
          <w:lang w:val="fr-CA"/>
        </w:rPr>
        <w:t>a</w:t>
      </w:r>
      <w:r w:rsidR="00A44EC6" w:rsidRPr="006F4DD6">
        <w:rPr>
          <w:kern w:val="22"/>
          <w:szCs w:val="22"/>
          <w:lang w:val="fr-CA"/>
        </w:rPr>
        <w:t>daptation aux changements climatiques et la réduction des risques de catastrophes. Les rapports fou</w:t>
      </w:r>
      <w:r w:rsidR="002A50CA" w:rsidRPr="006F4DD6">
        <w:rPr>
          <w:kern w:val="22"/>
          <w:szCs w:val="22"/>
          <w:lang w:val="fr-CA"/>
        </w:rPr>
        <w:t>r</w:t>
      </w:r>
      <w:r w:rsidR="00A44EC6" w:rsidRPr="006F4DD6">
        <w:rPr>
          <w:kern w:val="22"/>
          <w:szCs w:val="22"/>
          <w:lang w:val="fr-CA"/>
        </w:rPr>
        <w:t xml:space="preserve">nissent </w:t>
      </w:r>
      <w:r w:rsidR="008F4EA2">
        <w:rPr>
          <w:kern w:val="22"/>
          <w:szCs w:val="22"/>
          <w:lang w:val="fr-CA"/>
        </w:rPr>
        <w:t>des renseignements</w:t>
      </w:r>
      <w:r w:rsidR="00C56C30" w:rsidRPr="006F4DD6">
        <w:rPr>
          <w:kern w:val="22"/>
          <w:szCs w:val="22"/>
          <w:lang w:val="fr-CA"/>
        </w:rPr>
        <w:t xml:space="preserve"> sur</w:t>
      </w:r>
      <w:r w:rsidR="008F4EA2">
        <w:rPr>
          <w:kern w:val="22"/>
          <w:szCs w:val="22"/>
          <w:lang w:val="fr-CA"/>
        </w:rPr>
        <w:t xml:space="preserve"> les principes, les protections et</w:t>
      </w:r>
      <w:r w:rsidR="00C56C30" w:rsidRPr="006F4DD6">
        <w:rPr>
          <w:kern w:val="22"/>
          <w:szCs w:val="22"/>
          <w:lang w:val="fr-CA"/>
        </w:rPr>
        <w:t xml:space="preserve"> les outils</w:t>
      </w:r>
      <w:r w:rsidR="008F4EA2">
        <w:rPr>
          <w:kern w:val="22"/>
          <w:szCs w:val="22"/>
          <w:lang w:val="fr-CA"/>
        </w:rPr>
        <w:t>, ainsi qu’un</w:t>
      </w:r>
      <w:r w:rsidR="00C56C30" w:rsidRPr="006F4DD6">
        <w:rPr>
          <w:kern w:val="22"/>
          <w:szCs w:val="22"/>
          <w:lang w:val="fr-CA"/>
        </w:rPr>
        <w:t xml:space="preserve"> cadre de tr</w:t>
      </w:r>
      <w:r w:rsidR="002A50CA" w:rsidRPr="006F4DD6">
        <w:rPr>
          <w:kern w:val="22"/>
          <w:szCs w:val="22"/>
          <w:lang w:val="fr-CA"/>
        </w:rPr>
        <w:t>avail souple pour la planificati</w:t>
      </w:r>
      <w:r w:rsidR="00C56C30" w:rsidRPr="006F4DD6">
        <w:rPr>
          <w:kern w:val="22"/>
          <w:szCs w:val="22"/>
          <w:lang w:val="fr-CA"/>
        </w:rPr>
        <w:t xml:space="preserve">on et la mise en œuvre d’approches fondées sur les écosystèmes, </w:t>
      </w:r>
      <w:r w:rsidR="005A47F9">
        <w:rPr>
          <w:kern w:val="22"/>
          <w:szCs w:val="22"/>
          <w:lang w:val="fr-CA"/>
        </w:rPr>
        <w:t>afin d’</w:t>
      </w:r>
      <w:r w:rsidR="008F4EA2">
        <w:rPr>
          <w:kern w:val="22"/>
          <w:szCs w:val="22"/>
          <w:lang w:val="fr-CA"/>
        </w:rPr>
        <w:t>aider</w:t>
      </w:r>
      <w:r w:rsidR="00C56C30" w:rsidRPr="006F4DD6">
        <w:rPr>
          <w:kern w:val="22"/>
          <w:szCs w:val="22"/>
          <w:lang w:val="fr-CA"/>
        </w:rPr>
        <w:t xml:space="preserve"> les pays à intégrer les approches fondées sur les écosystèmes dans leurs stratégies et plans d’action nationaux pour la biodiversité, et aussi dans d’autres politiques sectorielles</w:t>
      </w:r>
      <w:r w:rsidR="009766DE" w:rsidRPr="006F4DD6">
        <w:rPr>
          <w:kern w:val="22"/>
          <w:szCs w:val="22"/>
          <w:lang w:val="fr-CA"/>
        </w:rPr>
        <w:t>.</w:t>
      </w:r>
    </w:p>
    <w:p w14:paraId="1103ECA2" w14:textId="3BB9B9C3" w:rsidR="009766DE" w:rsidRPr="006F4DD6" w:rsidRDefault="00C94A47" w:rsidP="009766DE">
      <w:pPr>
        <w:pStyle w:val="Para10"/>
        <w:suppressLineNumbers/>
        <w:tabs>
          <w:tab w:val="clear" w:pos="360"/>
        </w:tabs>
        <w:suppressAutoHyphens/>
        <w:kinsoku w:val="0"/>
        <w:overflowPunct w:val="0"/>
        <w:autoSpaceDE w:val="0"/>
        <w:autoSpaceDN w:val="0"/>
        <w:adjustRightInd w:val="0"/>
        <w:snapToGrid w:val="0"/>
        <w:rPr>
          <w:kern w:val="22"/>
          <w:szCs w:val="22"/>
          <w:lang w:val="fr-CA"/>
        </w:rPr>
      </w:pPr>
      <w:r w:rsidRPr="006F4DD6">
        <w:rPr>
          <w:kern w:val="22"/>
          <w:szCs w:val="22"/>
          <w:lang w:val="fr-CA"/>
        </w:rPr>
        <w:t xml:space="preserve">Bien que les solutions </w:t>
      </w:r>
      <w:r w:rsidR="008F4EA2">
        <w:rPr>
          <w:kern w:val="22"/>
          <w:szCs w:val="22"/>
          <w:lang w:val="fr-CA"/>
        </w:rPr>
        <w:t>naturelles</w:t>
      </w:r>
      <w:r w:rsidRPr="006F4DD6">
        <w:rPr>
          <w:kern w:val="22"/>
          <w:szCs w:val="22"/>
          <w:lang w:val="fr-CA"/>
        </w:rPr>
        <w:t xml:space="preserve"> pour lutter contre les changements climatiques aient retenu énormément d’attention au cours des dernières années et </w:t>
      </w:r>
      <w:r w:rsidR="008F4EA2">
        <w:rPr>
          <w:kern w:val="22"/>
          <w:szCs w:val="22"/>
          <w:lang w:val="fr-CA"/>
        </w:rPr>
        <w:t>s</w:t>
      </w:r>
      <w:r w:rsidRPr="006F4DD6">
        <w:rPr>
          <w:kern w:val="22"/>
          <w:szCs w:val="22"/>
          <w:lang w:val="fr-CA"/>
        </w:rPr>
        <w:t xml:space="preserve">ont de plus en plus intégrées aux stratégies et plans d’action nationaux, plusieurs lacunes et défis subsistent. Une analyse des solutions </w:t>
      </w:r>
      <w:r w:rsidR="008F4EA2">
        <w:rPr>
          <w:kern w:val="22"/>
          <w:szCs w:val="22"/>
          <w:lang w:val="fr-CA"/>
        </w:rPr>
        <w:t>naturelles</w:t>
      </w:r>
      <w:r w:rsidRPr="006F4DD6">
        <w:rPr>
          <w:kern w:val="22"/>
          <w:szCs w:val="22"/>
          <w:lang w:val="fr-CA"/>
        </w:rPr>
        <w:t xml:space="preserve"> dans un contexte de contributions déterminées au niveau national </w:t>
      </w:r>
      <w:r w:rsidR="006C462F" w:rsidRPr="006F4DD6">
        <w:rPr>
          <w:kern w:val="22"/>
          <w:szCs w:val="22"/>
          <w:lang w:val="fr-CA"/>
        </w:rPr>
        <w:t xml:space="preserve">révèle que 130 signataires de l’Accord de Paris (66 pour cent) ont inclus des solutions </w:t>
      </w:r>
      <w:r w:rsidR="008F4EA2">
        <w:rPr>
          <w:kern w:val="22"/>
          <w:szCs w:val="22"/>
          <w:lang w:val="fr-CA"/>
        </w:rPr>
        <w:t>naturelles</w:t>
      </w:r>
      <w:r w:rsidR="006C462F" w:rsidRPr="006F4DD6">
        <w:rPr>
          <w:kern w:val="22"/>
          <w:szCs w:val="22"/>
          <w:lang w:val="fr-CA"/>
        </w:rPr>
        <w:t xml:space="preserve"> dans leurs </w:t>
      </w:r>
      <w:r w:rsidR="000222BC" w:rsidRPr="006F4DD6">
        <w:rPr>
          <w:kern w:val="22"/>
          <w:szCs w:val="22"/>
          <w:lang w:val="fr-CA"/>
        </w:rPr>
        <w:t>contributions</w:t>
      </w:r>
      <w:r w:rsidR="000222BC">
        <w:rPr>
          <w:kern w:val="22"/>
          <w:szCs w:val="22"/>
          <w:lang w:val="fr-CA"/>
        </w:rPr>
        <w:t xml:space="preserve"> déterminées au niveau national</w:t>
      </w:r>
      <w:r w:rsidR="006C462F" w:rsidRPr="006F4DD6">
        <w:rPr>
          <w:kern w:val="22"/>
          <w:szCs w:val="22"/>
          <w:lang w:val="fr-CA"/>
        </w:rPr>
        <w:t>. Cent trois signataires ont inclu</w:t>
      </w:r>
      <w:r w:rsidR="007A23B9" w:rsidRPr="006F4DD6">
        <w:rPr>
          <w:kern w:val="22"/>
          <w:szCs w:val="22"/>
          <w:lang w:val="fr-CA"/>
        </w:rPr>
        <w:t xml:space="preserve">s des solutions </w:t>
      </w:r>
      <w:r w:rsidR="008F4EA2">
        <w:rPr>
          <w:kern w:val="22"/>
          <w:szCs w:val="22"/>
          <w:lang w:val="fr-CA"/>
        </w:rPr>
        <w:t>naturelles</w:t>
      </w:r>
      <w:r w:rsidR="006C462F" w:rsidRPr="006F4DD6">
        <w:rPr>
          <w:kern w:val="22"/>
          <w:szCs w:val="22"/>
          <w:lang w:val="fr-CA"/>
        </w:rPr>
        <w:t xml:space="preserve"> en tant qu’outil d’</w:t>
      </w:r>
      <w:r w:rsidR="007A23B9" w:rsidRPr="006F4DD6">
        <w:rPr>
          <w:kern w:val="22"/>
          <w:szCs w:val="22"/>
          <w:lang w:val="fr-CA"/>
        </w:rPr>
        <w:t>a</w:t>
      </w:r>
      <w:r w:rsidR="006C462F" w:rsidRPr="006F4DD6">
        <w:rPr>
          <w:kern w:val="22"/>
          <w:szCs w:val="22"/>
          <w:lang w:val="fr-CA"/>
        </w:rPr>
        <w:t>daptation et 27 les ont incluses en tant que stratégie d’</w:t>
      </w:r>
      <w:r w:rsidR="007A23B9" w:rsidRPr="006F4DD6">
        <w:rPr>
          <w:kern w:val="22"/>
          <w:szCs w:val="22"/>
          <w:lang w:val="fr-CA"/>
        </w:rPr>
        <w:t>atténuation des changement</w:t>
      </w:r>
      <w:r w:rsidR="006C462F" w:rsidRPr="006F4DD6">
        <w:rPr>
          <w:kern w:val="22"/>
          <w:szCs w:val="22"/>
          <w:lang w:val="fr-CA"/>
        </w:rPr>
        <w:t>s climatiques. L</w:t>
      </w:r>
      <w:r w:rsidR="007A23B9" w:rsidRPr="006F4DD6">
        <w:rPr>
          <w:kern w:val="22"/>
          <w:szCs w:val="22"/>
          <w:lang w:val="fr-CA"/>
        </w:rPr>
        <w:t>a protection, la restau</w:t>
      </w:r>
      <w:r w:rsidR="006C462F" w:rsidRPr="006F4DD6">
        <w:rPr>
          <w:kern w:val="22"/>
          <w:szCs w:val="22"/>
          <w:lang w:val="fr-CA"/>
        </w:rPr>
        <w:t>ration ou le boisement des forêts terrestres, les écosystèmes côtiers et marins et les bassins</w:t>
      </w:r>
      <w:r w:rsidR="006851CE">
        <w:rPr>
          <w:kern w:val="22"/>
          <w:szCs w:val="22"/>
          <w:lang w:val="fr-CA"/>
        </w:rPr>
        <w:t>-</w:t>
      </w:r>
      <w:r w:rsidR="007A23B9" w:rsidRPr="006F4DD6">
        <w:rPr>
          <w:kern w:val="22"/>
          <w:szCs w:val="22"/>
          <w:lang w:val="fr-CA"/>
        </w:rPr>
        <w:t>versa</w:t>
      </w:r>
      <w:r w:rsidR="008F4EA2">
        <w:rPr>
          <w:kern w:val="22"/>
          <w:szCs w:val="22"/>
          <w:lang w:val="fr-CA"/>
        </w:rPr>
        <w:t>nts, dont les terres humid</w:t>
      </w:r>
      <w:r w:rsidR="006C462F" w:rsidRPr="006F4DD6">
        <w:rPr>
          <w:kern w:val="22"/>
          <w:szCs w:val="22"/>
          <w:lang w:val="fr-CA"/>
        </w:rPr>
        <w:t xml:space="preserve">es, </w:t>
      </w:r>
      <w:r w:rsidR="000D3FC5">
        <w:rPr>
          <w:kern w:val="22"/>
          <w:szCs w:val="22"/>
          <w:lang w:val="fr-CA"/>
        </w:rPr>
        <w:t>surtout</w:t>
      </w:r>
      <w:r w:rsidR="006C462F" w:rsidRPr="006F4DD6">
        <w:rPr>
          <w:kern w:val="22"/>
          <w:szCs w:val="22"/>
          <w:lang w:val="fr-CA"/>
        </w:rPr>
        <w:t xml:space="preserve"> les forêts, sont les stratégies d’adaptation </w:t>
      </w:r>
      <w:r w:rsidR="008F4EA2">
        <w:rPr>
          <w:kern w:val="22"/>
          <w:szCs w:val="22"/>
          <w:lang w:val="fr-CA"/>
        </w:rPr>
        <w:t>naturelles</w:t>
      </w:r>
      <w:r w:rsidR="00A34F32" w:rsidRPr="006F4DD6">
        <w:rPr>
          <w:kern w:val="22"/>
          <w:szCs w:val="22"/>
          <w:lang w:val="fr-CA"/>
        </w:rPr>
        <w:t xml:space="preserve"> </w:t>
      </w:r>
      <w:r w:rsidR="007A23B9" w:rsidRPr="006F4DD6">
        <w:rPr>
          <w:kern w:val="22"/>
          <w:szCs w:val="22"/>
          <w:lang w:val="fr-CA"/>
        </w:rPr>
        <w:t>les plus cou</w:t>
      </w:r>
      <w:r w:rsidR="00A34F32" w:rsidRPr="006F4DD6">
        <w:rPr>
          <w:kern w:val="22"/>
          <w:szCs w:val="22"/>
          <w:lang w:val="fr-CA"/>
        </w:rPr>
        <w:t>ramment mises en œuvre ou planifiées. Les écosystèmes des montagnes, des prairies et des pâturages ont été mentio</w:t>
      </w:r>
      <w:r w:rsidR="007A23B9" w:rsidRPr="006F4DD6">
        <w:rPr>
          <w:kern w:val="22"/>
          <w:szCs w:val="22"/>
          <w:lang w:val="fr-CA"/>
        </w:rPr>
        <w:t>n</w:t>
      </w:r>
      <w:r w:rsidR="00A34F32" w:rsidRPr="006F4DD6">
        <w:rPr>
          <w:kern w:val="22"/>
          <w:szCs w:val="22"/>
          <w:lang w:val="fr-CA"/>
        </w:rPr>
        <w:t xml:space="preserve">nés beaucoup </w:t>
      </w:r>
      <w:r w:rsidR="00A34F32" w:rsidRPr="006F4DD6">
        <w:rPr>
          <w:kern w:val="22"/>
          <w:szCs w:val="22"/>
          <w:lang w:val="fr-CA"/>
        </w:rPr>
        <w:lastRenderedPageBreak/>
        <w:t>moins souvent, malgré leur imp</w:t>
      </w:r>
      <w:r w:rsidR="007A23B9" w:rsidRPr="006F4DD6">
        <w:rPr>
          <w:kern w:val="22"/>
          <w:szCs w:val="22"/>
          <w:lang w:val="fr-CA"/>
        </w:rPr>
        <w:t>o</w:t>
      </w:r>
      <w:r w:rsidR="00A34F32" w:rsidRPr="006F4DD6">
        <w:rPr>
          <w:kern w:val="22"/>
          <w:szCs w:val="22"/>
          <w:lang w:val="fr-CA"/>
        </w:rPr>
        <w:t xml:space="preserve">rtance pour le stockage du carbone et autres services écosystémiques. </w:t>
      </w:r>
      <w:r w:rsidR="007A23B9" w:rsidRPr="006F4DD6">
        <w:rPr>
          <w:kern w:val="22"/>
          <w:szCs w:val="22"/>
          <w:lang w:val="fr-CA"/>
        </w:rPr>
        <w:t xml:space="preserve">Bien que plusieurs </w:t>
      </w:r>
      <w:r w:rsidR="000222BC" w:rsidRPr="006F4DD6">
        <w:rPr>
          <w:kern w:val="22"/>
          <w:szCs w:val="22"/>
          <w:lang w:val="fr-CA"/>
        </w:rPr>
        <w:t xml:space="preserve">contributions déterminées au niveau national </w:t>
      </w:r>
      <w:r w:rsidR="007A23B9" w:rsidRPr="006F4DD6">
        <w:rPr>
          <w:kern w:val="22"/>
          <w:szCs w:val="22"/>
          <w:lang w:val="fr-CA"/>
        </w:rPr>
        <w:t xml:space="preserve">aient présenté une vision bien formulée pour </w:t>
      </w:r>
      <w:r w:rsidR="008F656B">
        <w:rPr>
          <w:kern w:val="22"/>
          <w:szCs w:val="22"/>
          <w:lang w:val="fr-CA"/>
        </w:rPr>
        <w:t>une adaptation naturelle</w:t>
      </w:r>
      <w:r w:rsidR="007A23B9" w:rsidRPr="006F4DD6">
        <w:rPr>
          <w:kern w:val="22"/>
          <w:szCs w:val="22"/>
          <w:lang w:val="fr-CA"/>
        </w:rPr>
        <w:t xml:space="preserve">, moins de sept pour cent des </w:t>
      </w:r>
      <w:r w:rsidR="000222BC" w:rsidRPr="006F4DD6">
        <w:rPr>
          <w:kern w:val="22"/>
          <w:szCs w:val="22"/>
          <w:lang w:val="fr-CA"/>
        </w:rPr>
        <w:t xml:space="preserve">contributions déterminées au niveau national </w:t>
      </w:r>
      <w:r w:rsidR="007A23B9" w:rsidRPr="006F4DD6">
        <w:rPr>
          <w:kern w:val="22"/>
          <w:szCs w:val="22"/>
          <w:lang w:val="fr-CA"/>
        </w:rPr>
        <w:t xml:space="preserve">ayant mis de l’avant des solutions </w:t>
      </w:r>
      <w:r w:rsidR="008F656B">
        <w:rPr>
          <w:kern w:val="22"/>
          <w:szCs w:val="22"/>
          <w:lang w:val="fr-CA"/>
        </w:rPr>
        <w:t>naturelles</w:t>
      </w:r>
      <w:r w:rsidR="007A23B9" w:rsidRPr="006F4DD6">
        <w:rPr>
          <w:kern w:val="22"/>
          <w:szCs w:val="22"/>
          <w:lang w:val="fr-CA"/>
        </w:rPr>
        <w:t xml:space="preserve"> en tant qu’outil d’adaptation ont proposé des cibles mesurables d’adaptation. L’absence de ces cibles met en péril la capacité d’évaluer les progrès dans l</w:t>
      </w:r>
      <w:r w:rsidR="0015768C">
        <w:rPr>
          <w:kern w:val="22"/>
          <w:szCs w:val="22"/>
          <w:lang w:val="fr-CA"/>
        </w:rPr>
        <w:t xml:space="preserve">’atteinte </w:t>
      </w:r>
      <w:r w:rsidR="007A23B9" w:rsidRPr="006F4DD6">
        <w:rPr>
          <w:kern w:val="22"/>
          <w:szCs w:val="22"/>
          <w:lang w:val="fr-CA"/>
        </w:rPr>
        <w:t>des cibles d’adaptation</w:t>
      </w:r>
      <w:r w:rsidR="009766DE" w:rsidRPr="006F4DD6">
        <w:rPr>
          <w:kern w:val="22"/>
          <w:lang w:val="fr-CA"/>
        </w:rPr>
        <w:t>.</w:t>
      </w:r>
    </w:p>
    <w:p w14:paraId="5E99CE01" w14:textId="4C359277" w:rsidR="009766DE" w:rsidRPr="006F4DD6" w:rsidRDefault="0074096F" w:rsidP="009766DE">
      <w:pPr>
        <w:pStyle w:val="Para10"/>
        <w:suppressLineNumbers/>
        <w:tabs>
          <w:tab w:val="clear" w:pos="360"/>
        </w:tabs>
        <w:suppressAutoHyphens/>
        <w:kinsoku w:val="0"/>
        <w:overflowPunct w:val="0"/>
        <w:autoSpaceDE w:val="0"/>
        <w:autoSpaceDN w:val="0"/>
        <w:adjustRightInd w:val="0"/>
        <w:snapToGrid w:val="0"/>
        <w:rPr>
          <w:kern w:val="22"/>
          <w:szCs w:val="22"/>
          <w:lang w:val="fr-CA"/>
        </w:rPr>
      </w:pPr>
      <w:r>
        <w:rPr>
          <w:kern w:val="22"/>
          <w:szCs w:val="22"/>
          <w:lang w:val="fr-CA"/>
        </w:rPr>
        <w:t>Le temps est venu</w:t>
      </w:r>
      <w:r w:rsidR="007E3CFE" w:rsidRPr="006F4DD6">
        <w:rPr>
          <w:kern w:val="22"/>
          <w:szCs w:val="22"/>
          <w:lang w:val="fr-CA"/>
        </w:rPr>
        <w:t xml:space="preserve"> d’aller au-delà de la théorie et des principes, et de créer des outils concrets pour prendre des décisions et mettre en </w:t>
      </w:r>
      <w:r w:rsidR="00F557A6" w:rsidRPr="006F4DD6">
        <w:rPr>
          <w:kern w:val="22"/>
          <w:szCs w:val="22"/>
          <w:lang w:val="fr-CA"/>
        </w:rPr>
        <w:t xml:space="preserve">œuvre </w:t>
      </w:r>
      <w:r w:rsidR="007E3CFE" w:rsidRPr="006F4DD6">
        <w:rPr>
          <w:kern w:val="22"/>
          <w:szCs w:val="22"/>
          <w:lang w:val="fr-CA"/>
        </w:rPr>
        <w:t xml:space="preserve">des solutions </w:t>
      </w:r>
      <w:r w:rsidR="008F656B">
        <w:rPr>
          <w:kern w:val="22"/>
          <w:szCs w:val="22"/>
          <w:lang w:val="fr-CA"/>
        </w:rPr>
        <w:t>naturelles</w:t>
      </w:r>
      <w:r w:rsidR="007E3CFE" w:rsidRPr="006F4DD6">
        <w:rPr>
          <w:kern w:val="22"/>
          <w:szCs w:val="22"/>
          <w:lang w:val="fr-CA"/>
        </w:rPr>
        <w:t>. Accroître les travaux pour étendre le bas</w:t>
      </w:r>
      <w:r>
        <w:rPr>
          <w:kern w:val="22"/>
          <w:szCs w:val="22"/>
          <w:lang w:val="fr-CA"/>
        </w:rPr>
        <w:t>s</w:t>
      </w:r>
      <w:r w:rsidR="007E3CFE" w:rsidRPr="006F4DD6">
        <w:rPr>
          <w:kern w:val="22"/>
          <w:szCs w:val="22"/>
          <w:lang w:val="fr-CA"/>
        </w:rPr>
        <w:t xml:space="preserve">in d’éléments probants des approches fondées sur les écosystèmes, dont la quantification de l’efficacité, et l’élaboration de cibles pour mesurer les progrès, </w:t>
      </w:r>
      <w:r w:rsidR="00F557A6" w:rsidRPr="006F4DD6">
        <w:rPr>
          <w:kern w:val="22"/>
          <w:szCs w:val="22"/>
          <w:lang w:val="fr-CA"/>
        </w:rPr>
        <w:t>contribuerait à justifier l’intégration des solu</w:t>
      </w:r>
      <w:r w:rsidR="003759DF" w:rsidRPr="006F4DD6">
        <w:rPr>
          <w:kern w:val="22"/>
          <w:szCs w:val="22"/>
          <w:lang w:val="fr-CA"/>
        </w:rPr>
        <w:t>tio</w:t>
      </w:r>
      <w:r w:rsidR="00F557A6" w:rsidRPr="006F4DD6">
        <w:rPr>
          <w:kern w:val="22"/>
          <w:szCs w:val="22"/>
          <w:lang w:val="fr-CA"/>
        </w:rPr>
        <w:t xml:space="preserve">ns </w:t>
      </w:r>
      <w:r w:rsidR="008F656B">
        <w:rPr>
          <w:kern w:val="22"/>
          <w:szCs w:val="22"/>
          <w:lang w:val="fr-CA"/>
        </w:rPr>
        <w:t>naturelles</w:t>
      </w:r>
      <w:r w:rsidR="00F557A6" w:rsidRPr="006F4DD6">
        <w:rPr>
          <w:kern w:val="22"/>
          <w:szCs w:val="22"/>
          <w:lang w:val="fr-CA"/>
        </w:rPr>
        <w:t xml:space="preserve"> dans les plans et les politiques, et améliorer la mise en œuvre. Les données et l’expérience sur le terrain pour</w:t>
      </w:r>
      <w:r w:rsidR="003759DF" w:rsidRPr="006F4DD6">
        <w:rPr>
          <w:kern w:val="22"/>
          <w:szCs w:val="22"/>
          <w:lang w:val="fr-CA"/>
        </w:rPr>
        <w:t>r</w:t>
      </w:r>
      <w:r w:rsidR="00F557A6" w:rsidRPr="006F4DD6">
        <w:rPr>
          <w:kern w:val="22"/>
          <w:szCs w:val="22"/>
          <w:lang w:val="fr-CA"/>
        </w:rPr>
        <w:t>aient contribuer à valider la rentabilité et à établir des principes et des normes pour faciliter l’intégration dans les instruments de politiqu</w:t>
      </w:r>
      <w:r w:rsidR="003759DF" w:rsidRPr="006F4DD6">
        <w:rPr>
          <w:kern w:val="22"/>
          <w:szCs w:val="22"/>
          <w:lang w:val="fr-CA"/>
        </w:rPr>
        <w:t>e</w:t>
      </w:r>
      <w:r w:rsidR="00F557A6" w:rsidRPr="006F4DD6">
        <w:rPr>
          <w:kern w:val="22"/>
          <w:szCs w:val="22"/>
          <w:lang w:val="fr-CA"/>
        </w:rPr>
        <w:t>s d’adaptation internationales et les polit</w:t>
      </w:r>
      <w:r w:rsidR="007255F6">
        <w:rPr>
          <w:kern w:val="22"/>
          <w:szCs w:val="22"/>
          <w:lang w:val="fr-CA"/>
        </w:rPr>
        <w:t>iques nationales d’adaptation. D</w:t>
      </w:r>
      <w:r w:rsidR="00F557A6" w:rsidRPr="006F4DD6">
        <w:rPr>
          <w:kern w:val="22"/>
          <w:szCs w:val="22"/>
          <w:lang w:val="fr-CA"/>
        </w:rPr>
        <w:t>es travaux dirigés par l’Union international</w:t>
      </w:r>
      <w:r w:rsidR="007255F6">
        <w:rPr>
          <w:kern w:val="22"/>
          <w:szCs w:val="22"/>
          <w:lang w:val="fr-CA"/>
        </w:rPr>
        <w:t>e</w:t>
      </w:r>
      <w:r w:rsidR="00F557A6" w:rsidRPr="006F4DD6">
        <w:rPr>
          <w:kern w:val="22"/>
          <w:szCs w:val="22"/>
          <w:lang w:val="fr-CA"/>
        </w:rPr>
        <w:t xml:space="preserve"> pour la conservation de la nature (UICN) sont en cours afin de fixer une norme mondiale de conception et de vérification des solutions </w:t>
      </w:r>
      <w:r w:rsidR="008F656B">
        <w:rPr>
          <w:kern w:val="22"/>
          <w:szCs w:val="22"/>
          <w:lang w:val="fr-CA"/>
        </w:rPr>
        <w:t>naturelles</w:t>
      </w:r>
      <w:r w:rsidR="000017F0" w:rsidRPr="006F4DD6">
        <w:rPr>
          <w:kern w:val="22"/>
          <w:szCs w:val="22"/>
          <w:lang w:val="fr-CA"/>
        </w:rPr>
        <w:t>.</w:t>
      </w:r>
      <w:r w:rsidR="009766DE" w:rsidRPr="006F4DD6">
        <w:rPr>
          <w:rStyle w:val="Appelnotedebasdep"/>
          <w:snapToGrid/>
          <w:kern w:val="22"/>
          <w:szCs w:val="24"/>
          <w:u w:val="none"/>
          <w:vertAlign w:val="superscript"/>
          <w:lang w:val="fr-CA"/>
        </w:rPr>
        <w:footnoteReference w:id="14"/>
      </w:r>
      <w:r w:rsidR="009766DE" w:rsidRPr="006F4DD6">
        <w:rPr>
          <w:kern w:val="22"/>
          <w:szCs w:val="22"/>
          <w:lang w:val="fr-CA"/>
        </w:rPr>
        <w:t xml:space="preserve"> </w:t>
      </w:r>
      <w:r w:rsidR="003759DF" w:rsidRPr="006F4DD6">
        <w:rPr>
          <w:kern w:val="22"/>
          <w:szCs w:val="22"/>
          <w:lang w:val="fr-CA"/>
        </w:rPr>
        <w:t xml:space="preserve">Cet exercice a pour but de créer une compréhension commune et un consensus de ce qui constitue une bonne solution </w:t>
      </w:r>
      <w:r w:rsidR="007255F6">
        <w:rPr>
          <w:kern w:val="22"/>
          <w:szCs w:val="22"/>
          <w:lang w:val="fr-CA"/>
        </w:rPr>
        <w:t>naturelle</w:t>
      </w:r>
      <w:r w:rsidR="003759DF" w:rsidRPr="006F4DD6">
        <w:rPr>
          <w:kern w:val="22"/>
          <w:szCs w:val="22"/>
          <w:lang w:val="fr-CA"/>
        </w:rPr>
        <w:t xml:space="preserve"> afin de garantir la qualité, la crédibilité et l’efficacité des solutions </w:t>
      </w:r>
      <w:r w:rsidR="008F656B">
        <w:rPr>
          <w:kern w:val="22"/>
          <w:szCs w:val="22"/>
          <w:lang w:val="fr-CA"/>
        </w:rPr>
        <w:t>naturelles</w:t>
      </w:r>
      <w:r w:rsidR="009766DE" w:rsidRPr="006F4DD6">
        <w:rPr>
          <w:kern w:val="22"/>
          <w:szCs w:val="22"/>
          <w:lang w:val="fr-CA"/>
        </w:rPr>
        <w:t>.</w:t>
      </w:r>
    </w:p>
    <w:p w14:paraId="4D80DD52" w14:textId="78328345" w:rsidR="009766DE" w:rsidRPr="006F4DD6" w:rsidRDefault="003759DF" w:rsidP="009766DE">
      <w:pPr>
        <w:pStyle w:val="Para10"/>
        <w:suppressLineNumbers/>
        <w:tabs>
          <w:tab w:val="clear" w:pos="360"/>
        </w:tabs>
        <w:suppressAutoHyphens/>
        <w:kinsoku w:val="0"/>
        <w:overflowPunct w:val="0"/>
        <w:autoSpaceDE w:val="0"/>
        <w:autoSpaceDN w:val="0"/>
        <w:adjustRightInd w:val="0"/>
        <w:snapToGrid w:val="0"/>
        <w:rPr>
          <w:kern w:val="22"/>
          <w:szCs w:val="22"/>
          <w:lang w:val="fr-CA"/>
        </w:rPr>
      </w:pPr>
      <w:r w:rsidRPr="006F4DD6">
        <w:rPr>
          <w:kern w:val="22"/>
          <w:szCs w:val="22"/>
          <w:lang w:val="fr-CA"/>
        </w:rPr>
        <w:t xml:space="preserve">Les nouvelles évaluations scientifiques démontrent clairement que réduire la dégradation des sols et restaurer les terres dégradées est une solution </w:t>
      </w:r>
      <w:r w:rsidR="007255F6">
        <w:rPr>
          <w:kern w:val="22"/>
          <w:szCs w:val="22"/>
          <w:lang w:val="fr-CA"/>
        </w:rPr>
        <w:t>appréciable</w:t>
      </w:r>
      <w:r w:rsidRPr="006F4DD6">
        <w:rPr>
          <w:kern w:val="22"/>
          <w:szCs w:val="22"/>
          <w:lang w:val="fr-CA"/>
        </w:rPr>
        <w:t xml:space="preserve"> à de nombreux défis. En appliquant </w:t>
      </w:r>
      <w:r w:rsidR="008703DB" w:rsidRPr="006F4DD6">
        <w:rPr>
          <w:kern w:val="22"/>
          <w:szCs w:val="22"/>
          <w:lang w:val="fr-CA"/>
        </w:rPr>
        <w:t>d</w:t>
      </w:r>
      <w:r w:rsidRPr="006F4DD6">
        <w:rPr>
          <w:kern w:val="22"/>
          <w:szCs w:val="22"/>
          <w:lang w:val="fr-CA"/>
        </w:rPr>
        <w:t xml:space="preserve">es mesures de protection </w:t>
      </w:r>
      <w:r w:rsidR="008703DB" w:rsidRPr="006F4DD6">
        <w:rPr>
          <w:kern w:val="22"/>
          <w:szCs w:val="22"/>
          <w:lang w:val="fr-CA"/>
        </w:rPr>
        <w:t xml:space="preserve">adéquates, l’augmentation de la restauration des écosystèmes pourrait représenter une </w:t>
      </w:r>
      <w:r w:rsidR="006B674C" w:rsidRPr="006F4DD6">
        <w:rPr>
          <w:kern w:val="22"/>
          <w:szCs w:val="22"/>
          <w:lang w:val="fr-CA"/>
        </w:rPr>
        <w:t>participation</w:t>
      </w:r>
      <w:r w:rsidR="008703DB" w:rsidRPr="006F4DD6">
        <w:rPr>
          <w:kern w:val="22"/>
          <w:szCs w:val="22"/>
          <w:lang w:val="fr-CA"/>
        </w:rPr>
        <w:t xml:space="preserve"> importante à l’atténuation des changements climatiques tout en contribuant aux objectifs de diversité biologique, à la sécurité alimentaire et autres objectifs de développement durable</w:t>
      </w:r>
      <w:r w:rsidR="009766DE" w:rsidRPr="006F4DD6">
        <w:rPr>
          <w:kern w:val="22"/>
          <w:szCs w:val="22"/>
          <w:lang w:val="fr-CA"/>
        </w:rPr>
        <w:t>.</w:t>
      </w:r>
    </w:p>
    <w:p w14:paraId="63B76E46" w14:textId="6198AA2C" w:rsidR="009766DE" w:rsidRPr="006F4DD6" w:rsidRDefault="006B674C" w:rsidP="009766DE">
      <w:pPr>
        <w:pStyle w:val="Para10"/>
        <w:tabs>
          <w:tab w:val="clear" w:pos="360"/>
          <w:tab w:val="num" w:pos="720"/>
        </w:tabs>
        <w:rPr>
          <w:kern w:val="22"/>
          <w:szCs w:val="22"/>
          <w:lang w:val="fr-CA"/>
        </w:rPr>
      </w:pPr>
      <w:r w:rsidRPr="006F4DD6">
        <w:rPr>
          <w:kern w:val="22"/>
          <w:szCs w:val="22"/>
          <w:lang w:val="fr-CA"/>
        </w:rPr>
        <w:t>Dans sa décision XIII/5, la Conférence des Parties a adopté un plan d’action à court terme sur la restauration des écosystème</w:t>
      </w:r>
      <w:r w:rsidR="006851CE">
        <w:rPr>
          <w:kern w:val="22"/>
          <w:szCs w:val="22"/>
          <w:lang w:val="fr-CA"/>
        </w:rPr>
        <w:t>s</w:t>
      </w:r>
      <w:r w:rsidRPr="006F4DD6">
        <w:rPr>
          <w:kern w:val="22"/>
          <w:szCs w:val="22"/>
          <w:lang w:val="fr-CA"/>
        </w:rPr>
        <w:t xml:space="preserve"> en tant que cadre de travail souple pour des mesures immédiates pour la réalisation des Objectifs d’Aichi pour la biodiversité, </w:t>
      </w:r>
      <w:r w:rsidR="00666C4D">
        <w:rPr>
          <w:kern w:val="22"/>
          <w:szCs w:val="22"/>
          <w:lang w:val="fr-CA"/>
        </w:rPr>
        <w:t xml:space="preserve">de </w:t>
      </w:r>
      <w:r w:rsidRPr="006F4DD6">
        <w:rPr>
          <w:kern w:val="22"/>
          <w:szCs w:val="22"/>
          <w:lang w:val="fr-CA"/>
        </w:rPr>
        <w:t xml:space="preserve">la Stratégie mondiale pour la conservation des plantes et </w:t>
      </w:r>
      <w:r w:rsidR="00666C4D">
        <w:rPr>
          <w:kern w:val="22"/>
          <w:szCs w:val="22"/>
          <w:lang w:val="fr-CA"/>
        </w:rPr>
        <w:t>d’</w:t>
      </w:r>
      <w:r w:rsidRPr="006F4DD6">
        <w:rPr>
          <w:kern w:val="22"/>
          <w:szCs w:val="22"/>
          <w:lang w:val="fr-CA"/>
        </w:rPr>
        <w:t>autres cib</w:t>
      </w:r>
      <w:r w:rsidR="00BB23A2" w:rsidRPr="006F4DD6">
        <w:rPr>
          <w:kern w:val="22"/>
          <w:szCs w:val="22"/>
          <w:lang w:val="fr-CA"/>
        </w:rPr>
        <w:t>le</w:t>
      </w:r>
      <w:r w:rsidRPr="006F4DD6">
        <w:rPr>
          <w:kern w:val="22"/>
          <w:szCs w:val="22"/>
          <w:lang w:val="fr-CA"/>
        </w:rPr>
        <w:t>s et objectifs internationaux convenus. Les éléments clés pour o</w:t>
      </w:r>
      <w:r w:rsidR="00BB23A2" w:rsidRPr="006F4DD6">
        <w:rPr>
          <w:kern w:val="22"/>
          <w:szCs w:val="22"/>
          <w:lang w:val="fr-CA"/>
        </w:rPr>
        <w:t>p</w:t>
      </w:r>
      <w:r w:rsidRPr="006F4DD6">
        <w:rPr>
          <w:kern w:val="22"/>
          <w:szCs w:val="22"/>
          <w:lang w:val="fr-CA"/>
        </w:rPr>
        <w:t xml:space="preserve">timiser les bienfaits et minimiser les impacts négatifs </w:t>
      </w:r>
      <w:r w:rsidR="00BB23A2" w:rsidRPr="006F4DD6">
        <w:rPr>
          <w:kern w:val="22"/>
          <w:szCs w:val="22"/>
          <w:lang w:val="fr-CA"/>
        </w:rPr>
        <w:t>de la restauration des écosystèmes sur la diversité biologique, tels qu’éviter le boisement des prairies et des écosystèmes constitués naturellement d’arbres de fa</w:t>
      </w:r>
      <w:r w:rsidR="00EA0CF2" w:rsidRPr="006F4DD6">
        <w:rPr>
          <w:kern w:val="22"/>
          <w:szCs w:val="22"/>
          <w:lang w:val="fr-CA"/>
        </w:rPr>
        <w:t>ible hauteur et prévenir l’intr</w:t>
      </w:r>
      <w:r w:rsidR="00BB23A2" w:rsidRPr="006F4DD6">
        <w:rPr>
          <w:kern w:val="22"/>
          <w:szCs w:val="22"/>
          <w:lang w:val="fr-CA"/>
        </w:rPr>
        <w:t xml:space="preserve">oduction d’espèces exotiques envahissantes, sont présentés en annexe </w:t>
      </w:r>
      <w:r w:rsidR="000222BC">
        <w:rPr>
          <w:kern w:val="22"/>
          <w:szCs w:val="22"/>
          <w:lang w:val="fr-CA"/>
        </w:rPr>
        <w:t>à la note de la Secrétaire exécutive sur les aires protégées et la restauration des écosystèmes</w:t>
      </w:r>
      <w:r w:rsidR="009766DE" w:rsidRPr="006F4DD6">
        <w:rPr>
          <w:kern w:val="22"/>
          <w:szCs w:val="22"/>
          <w:lang w:val="fr-CA"/>
        </w:rPr>
        <w:t xml:space="preserve"> </w:t>
      </w:r>
      <w:hyperlink r:id="rId21" w:history="1">
        <w:r w:rsidR="009766DE" w:rsidRPr="00E520C4">
          <w:rPr>
            <w:rStyle w:val="Lienhypertexte"/>
            <w:kern w:val="22"/>
            <w:szCs w:val="22"/>
            <w:lang w:val="fr-CA"/>
          </w:rPr>
          <w:t>UNEP/CBD/</w:t>
        </w:r>
        <w:proofErr w:type="spellStart"/>
        <w:r w:rsidR="009766DE" w:rsidRPr="00E520C4">
          <w:rPr>
            <w:rStyle w:val="Lienhypertexte"/>
            <w:kern w:val="22"/>
            <w:szCs w:val="22"/>
            <w:lang w:val="fr-CA"/>
          </w:rPr>
          <w:t>SBSTTA</w:t>
        </w:r>
        <w:proofErr w:type="spellEnd"/>
        <w:r w:rsidR="009766DE" w:rsidRPr="00E520C4">
          <w:rPr>
            <w:rStyle w:val="Lienhypertexte"/>
            <w:kern w:val="22"/>
            <w:szCs w:val="22"/>
            <w:lang w:val="fr-CA"/>
          </w:rPr>
          <w:t>/20/12</w:t>
        </w:r>
      </w:hyperlink>
      <w:r w:rsidR="009766DE" w:rsidRPr="006F4DD6">
        <w:rPr>
          <w:kern w:val="22"/>
          <w:szCs w:val="22"/>
          <w:lang w:val="fr-CA"/>
        </w:rPr>
        <w:t xml:space="preserve">. </w:t>
      </w:r>
      <w:r w:rsidR="00EA0CF2" w:rsidRPr="006F4DD6">
        <w:rPr>
          <w:kern w:val="22"/>
          <w:szCs w:val="22"/>
          <w:lang w:val="fr-CA"/>
        </w:rPr>
        <w:t>Des orientations supplémenta</w:t>
      </w:r>
      <w:r w:rsidR="00925679" w:rsidRPr="006F4DD6">
        <w:rPr>
          <w:kern w:val="22"/>
          <w:szCs w:val="22"/>
          <w:lang w:val="fr-CA"/>
        </w:rPr>
        <w:t>ires et des outils de restaurati</w:t>
      </w:r>
      <w:r w:rsidR="00EA0CF2" w:rsidRPr="006F4DD6">
        <w:rPr>
          <w:kern w:val="22"/>
          <w:szCs w:val="22"/>
          <w:lang w:val="fr-CA"/>
        </w:rPr>
        <w:t xml:space="preserve">on des écosystèmes développés au titre de la Convention et par des organisations et des </w:t>
      </w:r>
      <w:r w:rsidR="00925679" w:rsidRPr="006F4DD6">
        <w:rPr>
          <w:kern w:val="22"/>
          <w:szCs w:val="22"/>
          <w:lang w:val="fr-CA"/>
        </w:rPr>
        <w:t>initiatives</w:t>
      </w:r>
      <w:r w:rsidR="00EA0CF2" w:rsidRPr="006F4DD6">
        <w:rPr>
          <w:kern w:val="22"/>
          <w:szCs w:val="22"/>
          <w:lang w:val="fr-CA"/>
        </w:rPr>
        <w:t xml:space="preserve"> partenaires</w:t>
      </w:r>
      <w:r w:rsidR="00925679" w:rsidRPr="006F4DD6">
        <w:rPr>
          <w:kern w:val="22"/>
          <w:szCs w:val="22"/>
          <w:lang w:val="fr-CA"/>
        </w:rPr>
        <w:t xml:space="preserve"> sont présenté</w:t>
      </w:r>
      <w:r w:rsidR="00A07370">
        <w:rPr>
          <w:kern w:val="22"/>
          <w:szCs w:val="22"/>
          <w:lang w:val="fr-CA"/>
        </w:rPr>
        <w:t>e</w:t>
      </w:r>
      <w:r w:rsidR="00925679" w:rsidRPr="006F4DD6">
        <w:rPr>
          <w:kern w:val="22"/>
          <w:szCs w:val="22"/>
          <w:lang w:val="fr-CA"/>
        </w:rPr>
        <w:t>s dans l</w:t>
      </w:r>
      <w:r w:rsidR="00EA0CF2" w:rsidRPr="006F4DD6">
        <w:rPr>
          <w:kern w:val="22"/>
          <w:szCs w:val="22"/>
          <w:lang w:val="fr-CA"/>
        </w:rPr>
        <w:t>es documents informatifs</w:t>
      </w:r>
      <w:r w:rsidR="009766DE" w:rsidRPr="006F4DD6">
        <w:rPr>
          <w:kern w:val="22"/>
          <w:szCs w:val="22"/>
          <w:lang w:val="fr-CA"/>
        </w:rPr>
        <w:t xml:space="preserve"> UNEP/CBD/</w:t>
      </w:r>
      <w:proofErr w:type="spellStart"/>
      <w:r w:rsidR="009766DE" w:rsidRPr="006F4DD6">
        <w:rPr>
          <w:kern w:val="22"/>
          <w:szCs w:val="22"/>
          <w:lang w:val="fr-CA"/>
        </w:rPr>
        <w:t>SBSTTA</w:t>
      </w:r>
      <w:proofErr w:type="spellEnd"/>
      <w:r w:rsidR="009766DE" w:rsidRPr="006F4DD6">
        <w:rPr>
          <w:kern w:val="22"/>
          <w:szCs w:val="22"/>
          <w:lang w:val="fr-CA"/>
        </w:rPr>
        <w:t>/20/</w:t>
      </w:r>
      <w:proofErr w:type="spellStart"/>
      <w:r w:rsidR="009766DE" w:rsidRPr="006F4DD6">
        <w:rPr>
          <w:kern w:val="22"/>
          <w:szCs w:val="22"/>
          <w:lang w:val="fr-CA"/>
        </w:rPr>
        <w:t>INF</w:t>
      </w:r>
      <w:proofErr w:type="spellEnd"/>
      <w:r w:rsidR="009766DE" w:rsidRPr="006F4DD6">
        <w:rPr>
          <w:kern w:val="22"/>
          <w:szCs w:val="22"/>
          <w:lang w:val="fr-CA"/>
        </w:rPr>
        <w:t xml:space="preserve">/35 </w:t>
      </w:r>
      <w:r w:rsidR="00925679" w:rsidRPr="006F4DD6">
        <w:rPr>
          <w:kern w:val="22"/>
          <w:szCs w:val="22"/>
          <w:lang w:val="fr-CA"/>
        </w:rPr>
        <w:t>et</w:t>
      </w:r>
      <w:r w:rsidR="009766DE" w:rsidRPr="006F4DD6">
        <w:rPr>
          <w:kern w:val="22"/>
          <w:szCs w:val="22"/>
          <w:lang w:val="fr-CA"/>
        </w:rPr>
        <w:t xml:space="preserve"> UNEP/CBD/</w:t>
      </w:r>
      <w:proofErr w:type="spellStart"/>
      <w:r w:rsidR="009766DE" w:rsidRPr="006F4DD6">
        <w:rPr>
          <w:kern w:val="22"/>
          <w:szCs w:val="22"/>
          <w:lang w:val="fr-CA"/>
        </w:rPr>
        <w:t>SBSTTA</w:t>
      </w:r>
      <w:proofErr w:type="spellEnd"/>
      <w:r w:rsidR="009766DE" w:rsidRPr="006F4DD6">
        <w:rPr>
          <w:kern w:val="22"/>
          <w:szCs w:val="22"/>
          <w:lang w:val="fr-CA"/>
        </w:rPr>
        <w:t>/20/</w:t>
      </w:r>
      <w:proofErr w:type="spellStart"/>
      <w:r w:rsidR="009766DE" w:rsidRPr="006F4DD6">
        <w:rPr>
          <w:kern w:val="22"/>
          <w:szCs w:val="22"/>
          <w:lang w:val="fr-CA"/>
        </w:rPr>
        <w:t>INF</w:t>
      </w:r>
      <w:proofErr w:type="spellEnd"/>
      <w:r w:rsidR="009766DE" w:rsidRPr="006F4DD6">
        <w:rPr>
          <w:kern w:val="22"/>
          <w:szCs w:val="22"/>
          <w:lang w:val="fr-CA"/>
        </w:rPr>
        <w:t xml:space="preserve">/36. </w:t>
      </w:r>
      <w:r w:rsidR="00A07370">
        <w:rPr>
          <w:kern w:val="22"/>
          <w:szCs w:val="22"/>
          <w:lang w:val="fr-CA"/>
        </w:rPr>
        <w:t>D’autres orientations</w:t>
      </w:r>
      <w:r w:rsidR="00925679" w:rsidRPr="006F4DD6">
        <w:rPr>
          <w:kern w:val="22"/>
          <w:szCs w:val="22"/>
          <w:lang w:val="fr-CA"/>
        </w:rPr>
        <w:t xml:space="preserve"> sur la restauration des écosystèmes sont fournies dans les décisions</w:t>
      </w:r>
      <w:r w:rsidR="009766DE" w:rsidRPr="006F4DD6">
        <w:rPr>
          <w:kern w:val="22"/>
          <w:szCs w:val="22"/>
          <w:lang w:val="fr-CA"/>
        </w:rPr>
        <w:t xml:space="preserve"> </w:t>
      </w:r>
      <w:hyperlink r:id="rId22" w:history="1">
        <w:r w:rsidR="0065212C" w:rsidRPr="0065212C">
          <w:rPr>
            <w:rStyle w:val="Lienhypertexte"/>
            <w:szCs w:val="22"/>
            <w:lang w:val="fr-CA"/>
          </w:rPr>
          <w:t>XI/16</w:t>
        </w:r>
      </w:hyperlink>
      <w:r w:rsidR="009766DE" w:rsidRPr="006F4DD6">
        <w:rPr>
          <w:kern w:val="22"/>
          <w:szCs w:val="22"/>
          <w:lang w:val="fr-CA"/>
        </w:rPr>
        <w:t xml:space="preserve"> </w:t>
      </w:r>
      <w:r w:rsidR="00925679" w:rsidRPr="006F4DD6">
        <w:rPr>
          <w:kern w:val="22"/>
          <w:szCs w:val="22"/>
          <w:lang w:val="fr-CA"/>
        </w:rPr>
        <w:t>et</w:t>
      </w:r>
      <w:r w:rsidR="009766DE" w:rsidRPr="006F4DD6">
        <w:rPr>
          <w:kern w:val="22"/>
          <w:szCs w:val="22"/>
          <w:lang w:val="fr-CA"/>
        </w:rPr>
        <w:t xml:space="preserve"> </w:t>
      </w:r>
      <w:hyperlink r:id="rId23" w:history="1">
        <w:r w:rsidR="0065212C" w:rsidRPr="0065212C">
          <w:rPr>
            <w:rStyle w:val="Lienhypertexte"/>
            <w:szCs w:val="22"/>
            <w:lang w:val="fr-CA"/>
          </w:rPr>
          <w:t>XII/19</w:t>
        </w:r>
      </w:hyperlink>
      <w:r w:rsidR="009766DE" w:rsidRPr="006F4DD6">
        <w:rPr>
          <w:kern w:val="22"/>
          <w:szCs w:val="22"/>
          <w:lang w:val="fr-CA"/>
        </w:rPr>
        <w:t>.</w:t>
      </w:r>
    </w:p>
    <w:p w14:paraId="0F0E6B51" w14:textId="37DC5125" w:rsidR="009766DE" w:rsidRPr="006F4DD6" w:rsidRDefault="00925679" w:rsidP="009766DE">
      <w:pPr>
        <w:pStyle w:val="Para10"/>
        <w:tabs>
          <w:tab w:val="clear" w:pos="360"/>
          <w:tab w:val="num" w:pos="720"/>
        </w:tabs>
        <w:rPr>
          <w:kern w:val="22"/>
          <w:szCs w:val="22"/>
          <w:lang w:val="fr-CA"/>
        </w:rPr>
      </w:pPr>
      <w:r w:rsidRPr="006F4DD6">
        <w:rPr>
          <w:kern w:val="22"/>
          <w:szCs w:val="22"/>
          <w:lang w:val="fr-CA"/>
        </w:rPr>
        <w:t>Bien qu</w:t>
      </w:r>
      <w:r w:rsidR="0065212C">
        <w:rPr>
          <w:kern w:val="22"/>
          <w:szCs w:val="22"/>
          <w:lang w:val="fr-CA"/>
        </w:rPr>
        <w:t xml:space="preserve">e </w:t>
      </w:r>
      <w:r w:rsidR="0065212C" w:rsidRPr="006F4DD6">
        <w:rPr>
          <w:kern w:val="22"/>
          <w:szCs w:val="22"/>
          <w:lang w:val="fr-CA"/>
        </w:rPr>
        <w:t>la restauration des écosystèmes dégradés</w:t>
      </w:r>
      <w:r w:rsidR="0065212C">
        <w:rPr>
          <w:kern w:val="22"/>
          <w:szCs w:val="22"/>
          <w:lang w:val="fr-CA"/>
        </w:rPr>
        <w:t xml:space="preserve"> soit mentionnée à l’</w:t>
      </w:r>
      <w:r w:rsidR="00AA4ED3">
        <w:rPr>
          <w:kern w:val="22"/>
          <w:szCs w:val="22"/>
          <w:lang w:val="fr-CA"/>
        </w:rPr>
        <w:t xml:space="preserve">article 8 f)) </w:t>
      </w:r>
      <w:r w:rsidR="0065212C">
        <w:rPr>
          <w:kern w:val="22"/>
          <w:szCs w:val="22"/>
          <w:lang w:val="fr-CA"/>
        </w:rPr>
        <w:t xml:space="preserve">de la Convention, </w:t>
      </w:r>
      <w:r w:rsidRPr="006F4DD6">
        <w:rPr>
          <w:kern w:val="22"/>
          <w:szCs w:val="22"/>
          <w:lang w:val="fr-CA"/>
        </w:rPr>
        <w:t>le sujet n’a été abordé qu</w:t>
      </w:r>
      <w:r w:rsidR="00301845" w:rsidRPr="006F4DD6">
        <w:rPr>
          <w:kern w:val="22"/>
          <w:szCs w:val="22"/>
          <w:lang w:val="fr-CA"/>
        </w:rPr>
        <w:t>e tout récemment comme</w:t>
      </w:r>
      <w:r w:rsidRPr="006F4DD6">
        <w:rPr>
          <w:kern w:val="22"/>
          <w:szCs w:val="22"/>
          <w:lang w:val="fr-CA"/>
        </w:rPr>
        <w:t xml:space="preserve"> programme </w:t>
      </w:r>
      <w:r w:rsidR="00301845" w:rsidRPr="006F4DD6">
        <w:rPr>
          <w:kern w:val="22"/>
          <w:szCs w:val="22"/>
          <w:lang w:val="fr-CA"/>
        </w:rPr>
        <w:t xml:space="preserve">indépendant </w:t>
      </w:r>
      <w:r w:rsidRPr="006F4DD6">
        <w:rPr>
          <w:kern w:val="22"/>
          <w:szCs w:val="22"/>
          <w:lang w:val="fr-CA"/>
        </w:rPr>
        <w:t>au titre de la Convention. Comme il est devenu urgent d’utiliser tout un éventail de méthodes pour atteindre les objecti</w:t>
      </w:r>
      <w:r w:rsidR="00301845" w:rsidRPr="006F4DD6">
        <w:rPr>
          <w:kern w:val="22"/>
          <w:szCs w:val="22"/>
          <w:lang w:val="fr-CA"/>
        </w:rPr>
        <w:t xml:space="preserve">fs </w:t>
      </w:r>
      <w:r w:rsidR="009B1C1E">
        <w:rPr>
          <w:kern w:val="22"/>
          <w:szCs w:val="22"/>
          <w:lang w:val="fr-CA"/>
        </w:rPr>
        <w:t>sur les</w:t>
      </w:r>
      <w:r w:rsidR="00301845" w:rsidRPr="006F4DD6">
        <w:rPr>
          <w:kern w:val="22"/>
          <w:szCs w:val="22"/>
          <w:lang w:val="fr-CA"/>
        </w:rPr>
        <w:t xml:space="preserve"> changements climatiques, d</w:t>
      </w:r>
      <w:r w:rsidRPr="006F4DD6">
        <w:rPr>
          <w:kern w:val="22"/>
          <w:szCs w:val="22"/>
          <w:lang w:val="fr-CA"/>
        </w:rPr>
        <w:t>ont la restauration de vastes aires de terres dégradées, des travaux supplémentaires pourraient être entrepris pour aider les pays à</w:t>
      </w:r>
      <w:r w:rsidR="00F658B2" w:rsidRPr="006F4DD6">
        <w:rPr>
          <w:kern w:val="22"/>
          <w:szCs w:val="22"/>
          <w:lang w:val="fr-CA"/>
        </w:rPr>
        <w:t xml:space="preserve"> profiter </w:t>
      </w:r>
      <w:r w:rsidR="00AA4ED3">
        <w:rPr>
          <w:kern w:val="22"/>
          <w:szCs w:val="22"/>
          <w:lang w:val="fr-CA"/>
        </w:rPr>
        <w:t>de tous les</w:t>
      </w:r>
      <w:r w:rsidR="00301845" w:rsidRPr="006F4DD6">
        <w:rPr>
          <w:kern w:val="22"/>
          <w:szCs w:val="22"/>
          <w:lang w:val="fr-CA"/>
        </w:rPr>
        <w:t xml:space="preserve"> nombreux bienfaits des mesures de restaurati</w:t>
      </w:r>
      <w:r w:rsidR="00F658B2" w:rsidRPr="006F4DD6">
        <w:rPr>
          <w:kern w:val="22"/>
          <w:szCs w:val="22"/>
          <w:lang w:val="fr-CA"/>
        </w:rPr>
        <w:t xml:space="preserve">on. La </w:t>
      </w:r>
      <w:r w:rsidR="00C86EA4">
        <w:rPr>
          <w:kern w:val="22"/>
          <w:szCs w:val="22"/>
          <w:lang w:val="fr-CA"/>
        </w:rPr>
        <w:t>proclamation</w:t>
      </w:r>
      <w:r w:rsidR="00301845" w:rsidRPr="006F4DD6">
        <w:rPr>
          <w:kern w:val="22"/>
          <w:szCs w:val="22"/>
          <w:lang w:val="fr-CA"/>
        </w:rPr>
        <w:t xml:space="preserve"> de l’Assemblée générale des Nations Unies de faire de 2021-2030 la </w:t>
      </w:r>
      <w:r w:rsidR="00F658B2" w:rsidRPr="006F4DD6">
        <w:rPr>
          <w:kern w:val="22"/>
          <w:szCs w:val="22"/>
          <w:lang w:val="fr-CA"/>
        </w:rPr>
        <w:t>Décennie des Nations Unies sur la restauration des écosystèmes</w:t>
      </w:r>
      <w:r w:rsidR="00C86EA4" w:rsidRPr="002E22F1">
        <w:rPr>
          <w:rStyle w:val="Appelnotedebasdep"/>
          <w:kern w:val="22"/>
          <w:sz w:val="22"/>
          <w:szCs w:val="22"/>
          <w:u w:val="none"/>
          <w:vertAlign w:val="superscript"/>
        </w:rPr>
        <w:footnoteReference w:id="15"/>
      </w:r>
      <w:r w:rsidR="00F658B2" w:rsidRPr="006F4DD6">
        <w:rPr>
          <w:kern w:val="22"/>
          <w:szCs w:val="22"/>
          <w:lang w:val="fr-CA"/>
        </w:rPr>
        <w:t xml:space="preserve"> devrait accroître le soutien politique, la recherche scientifique et le financement, </w:t>
      </w:r>
      <w:r w:rsidR="00AA4ED3">
        <w:rPr>
          <w:kern w:val="22"/>
          <w:szCs w:val="22"/>
          <w:lang w:val="fr-CA"/>
        </w:rPr>
        <w:t>et ainsi augmenter</w:t>
      </w:r>
      <w:r w:rsidR="00F658B2" w:rsidRPr="006F4DD6">
        <w:rPr>
          <w:kern w:val="22"/>
          <w:szCs w:val="22"/>
          <w:lang w:val="fr-CA"/>
        </w:rPr>
        <w:t xml:space="preserve"> considérablement la restauration des écosystèmes. Il sera important de </w:t>
      </w:r>
      <w:r w:rsidR="00764B3B">
        <w:rPr>
          <w:kern w:val="22"/>
          <w:szCs w:val="22"/>
          <w:lang w:val="fr-CA"/>
        </w:rPr>
        <w:t>veiller à ce</w:t>
      </w:r>
      <w:r w:rsidR="00F658B2" w:rsidRPr="006F4DD6">
        <w:rPr>
          <w:kern w:val="22"/>
          <w:szCs w:val="22"/>
          <w:lang w:val="fr-CA"/>
        </w:rPr>
        <w:t xml:space="preserve"> que la diversité biologique soit au programme des conversations</w:t>
      </w:r>
      <w:r w:rsidR="009766DE" w:rsidRPr="006F4DD6">
        <w:rPr>
          <w:kern w:val="22"/>
          <w:szCs w:val="22"/>
          <w:lang w:val="fr-CA"/>
        </w:rPr>
        <w:t>.</w:t>
      </w:r>
    </w:p>
    <w:p w14:paraId="46CE05A6" w14:textId="3E4381B1" w:rsidR="00C33803" w:rsidRPr="006F4DD6" w:rsidRDefault="00443BDB" w:rsidP="006924CD">
      <w:pPr>
        <w:pStyle w:val="Titre2"/>
        <w:rPr>
          <w:kern w:val="22"/>
          <w:lang w:val="fr-CA"/>
        </w:rPr>
      </w:pPr>
      <w:r w:rsidRPr="006F4DD6">
        <w:rPr>
          <w:kern w:val="22"/>
          <w:lang w:val="fr-CA"/>
        </w:rPr>
        <w:lastRenderedPageBreak/>
        <w:t>E</w:t>
      </w:r>
      <w:r w:rsidR="00203374" w:rsidRPr="006F4DD6">
        <w:rPr>
          <w:kern w:val="22"/>
          <w:lang w:val="fr-CA"/>
        </w:rPr>
        <w:t xml:space="preserve">. </w:t>
      </w:r>
      <w:r w:rsidR="000017F0" w:rsidRPr="006F4DD6">
        <w:rPr>
          <w:kern w:val="22"/>
          <w:lang w:val="fr-CA"/>
        </w:rPr>
        <w:tab/>
      </w:r>
      <w:r w:rsidR="00A525A9" w:rsidRPr="006F4DD6">
        <w:rPr>
          <w:kern w:val="22"/>
          <w:lang w:val="fr-CA"/>
        </w:rPr>
        <w:t>Impacts possibles des mesures de réponse aux changements climatiques sur la diversité biologique</w:t>
      </w:r>
    </w:p>
    <w:bookmarkEnd w:id="2"/>
    <w:p w14:paraId="3123DAD1" w14:textId="1E8C0725" w:rsidR="00FB04A5" w:rsidRPr="006F4DD6" w:rsidRDefault="00335DFE" w:rsidP="001628D8">
      <w:pPr>
        <w:pStyle w:val="Para10"/>
        <w:suppressLineNumbers/>
        <w:tabs>
          <w:tab w:val="clear" w:pos="360"/>
        </w:tabs>
        <w:suppressAutoHyphens/>
        <w:kinsoku w:val="0"/>
        <w:overflowPunct w:val="0"/>
        <w:autoSpaceDE w:val="0"/>
        <w:autoSpaceDN w:val="0"/>
        <w:adjustRightInd w:val="0"/>
        <w:snapToGrid w:val="0"/>
        <w:rPr>
          <w:kern w:val="22"/>
          <w:szCs w:val="22"/>
          <w:lang w:val="fr-CA"/>
        </w:rPr>
      </w:pPr>
      <w:r>
        <w:rPr>
          <w:kern w:val="22"/>
          <w:szCs w:val="22"/>
          <w:lang w:val="fr-CA"/>
        </w:rPr>
        <w:t>Le</w:t>
      </w:r>
      <w:r w:rsidR="00A525A9" w:rsidRPr="006F4DD6">
        <w:rPr>
          <w:kern w:val="22"/>
          <w:szCs w:val="22"/>
          <w:lang w:val="fr-CA"/>
        </w:rPr>
        <w:t xml:space="preserve"> réchauffement climatique </w:t>
      </w:r>
      <w:r>
        <w:rPr>
          <w:kern w:val="22"/>
          <w:szCs w:val="22"/>
          <w:lang w:val="fr-CA"/>
        </w:rPr>
        <w:t xml:space="preserve">peut être limité </w:t>
      </w:r>
      <w:r w:rsidR="00A525A9" w:rsidRPr="006F4DD6">
        <w:rPr>
          <w:kern w:val="22"/>
          <w:szCs w:val="22"/>
          <w:lang w:val="fr-CA"/>
        </w:rPr>
        <w:t>à 1,5</w:t>
      </w:r>
      <w:r w:rsidR="00B72C78">
        <w:rPr>
          <w:kern w:val="22"/>
          <w:szCs w:val="22"/>
          <w:lang w:val="fr-CA"/>
        </w:rPr>
        <w:t>°C</w:t>
      </w:r>
      <w:r w:rsidR="00A525A9" w:rsidRPr="006F4DD6">
        <w:rPr>
          <w:kern w:val="22"/>
          <w:szCs w:val="22"/>
          <w:lang w:val="fr-CA"/>
        </w:rPr>
        <w:t xml:space="preserve"> au-dessus des n</w:t>
      </w:r>
      <w:r>
        <w:rPr>
          <w:kern w:val="22"/>
          <w:szCs w:val="22"/>
          <w:lang w:val="fr-CA"/>
        </w:rPr>
        <w:t>iveaux préindustriels, mais cette réalisation</w:t>
      </w:r>
      <w:r w:rsidR="00A525A9" w:rsidRPr="006F4DD6">
        <w:rPr>
          <w:kern w:val="22"/>
          <w:szCs w:val="22"/>
          <w:lang w:val="fr-CA"/>
        </w:rPr>
        <w:t xml:space="preserve"> exigera des transitions sans précédent dans tous les aspects de la société et l’application de tout un éventail de mesures. Sans une planification soignée et des évaluations adéquates, certaines de ces mesures pourraient avoir des conséquences négative</w:t>
      </w:r>
      <w:r>
        <w:rPr>
          <w:kern w:val="22"/>
          <w:szCs w:val="22"/>
          <w:lang w:val="fr-CA"/>
        </w:rPr>
        <w:t>s</w:t>
      </w:r>
      <w:r w:rsidR="00A525A9" w:rsidRPr="006F4DD6">
        <w:rPr>
          <w:kern w:val="22"/>
          <w:szCs w:val="22"/>
          <w:lang w:val="fr-CA"/>
        </w:rPr>
        <w:t xml:space="preserve"> involontaires sur la diversité biologique</w:t>
      </w:r>
      <w:r w:rsidR="00F90360" w:rsidRPr="006F4DD6">
        <w:rPr>
          <w:kern w:val="22"/>
          <w:szCs w:val="22"/>
          <w:lang w:val="fr-CA"/>
        </w:rPr>
        <w:t xml:space="preserve">. </w:t>
      </w:r>
      <w:r w:rsidR="00041365" w:rsidRPr="006F4DD6">
        <w:rPr>
          <w:kern w:val="22"/>
          <w:szCs w:val="22"/>
          <w:lang w:val="fr-CA"/>
        </w:rPr>
        <w:t>Par contre, elles offrent la possibilité de lutter contre les changements climatiques tout contribuant de façon positive aux objectifs pour la diversité biologique, et vice versa.</w:t>
      </w:r>
    </w:p>
    <w:p w14:paraId="50DAE2D0" w14:textId="688C1AD9" w:rsidR="009766DE" w:rsidRPr="006F4DD6" w:rsidRDefault="00927A2B" w:rsidP="001628D8">
      <w:pPr>
        <w:pStyle w:val="Para10"/>
        <w:suppressLineNumbers/>
        <w:tabs>
          <w:tab w:val="clear" w:pos="360"/>
        </w:tabs>
        <w:suppressAutoHyphens/>
        <w:kinsoku w:val="0"/>
        <w:overflowPunct w:val="0"/>
        <w:autoSpaceDE w:val="0"/>
        <w:autoSpaceDN w:val="0"/>
        <w:adjustRightInd w:val="0"/>
        <w:snapToGrid w:val="0"/>
        <w:rPr>
          <w:kern w:val="22"/>
          <w:szCs w:val="22"/>
          <w:lang w:val="fr-CA"/>
        </w:rPr>
      </w:pPr>
      <w:r w:rsidRPr="006F4DD6">
        <w:rPr>
          <w:kern w:val="22"/>
          <w:szCs w:val="22"/>
          <w:lang w:val="fr-CA"/>
        </w:rPr>
        <w:t>De récentes évaluations ont révélé que certaines mesures visant à atténuer les changements climatiques pourraient avoir d</w:t>
      </w:r>
      <w:r w:rsidR="00335DFE">
        <w:rPr>
          <w:kern w:val="22"/>
          <w:szCs w:val="22"/>
          <w:lang w:val="fr-CA"/>
        </w:rPr>
        <w:t>es</w:t>
      </w:r>
      <w:r w:rsidRPr="006F4DD6">
        <w:rPr>
          <w:kern w:val="22"/>
          <w:szCs w:val="22"/>
          <w:lang w:val="fr-CA"/>
        </w:rPr>
        <w:t xml:space="preserve"> conséquences négatives </w:t>
      </w:r>
      <w:r w:rsidR="00335DFE">
        <w:rPr>
          <w:kern w:val="22"/>
          <w:szCs w:val="22"/>
          <w:lang w:val="fr-CA"/>
        </w:rPr>
        <w:t xml:space="preserve">graves </w:t>
      </w:r>
      <w:r w:rsidR="006C1500" w:rsidRPr="006F4DD6">
        <w:rPr>
          <w:kern w:val="22"/>
          <w:szCs w:val="22"/>
          <w:lang w:val="fr-CA"/>
        </w:rPr>
        <w:t>sur la diversité biologique et m</w:t>
      </w:r>
      <w:r w:rsidRPr="006F4DD6">
        <w:rPr>
          <w:kern w:val="22"/>
          <w:szCs w:val="22"/>
          <w:lang w:val="fr-CA"/>
        </w:rPr>
        <w:t xml:space="preserve">ême sur les émissions de gaz à effet de serre. </w:t>
      </w:r>
      <w:r w:rsidR="009D03A5" w:rsidRPr="006F4DD6">
        <w:rPr>
          <w:kern w:val="22"/>
          <w:lang w:val="fr-CA"/>
        </w:rPr>
        <w:t xml:space="preserve">Il faut s’attarder aux conséquences directes et indirectes des changements </w:t>
      </w:r>
      <w:r w:rsidR="00AA074B">
        <w:rPr>
          <w:kern w:val="22"/>
          <w:lang w:val="fr-CA"/>
        </w:rPr>
        <w:t>dans</w:t>
      </w:r>
      <w:r w:rsidR="009D03A5" w:rsidRPr="006F4DD6">
        <w:rPr>
          <w:kern w:val="22"/>
          <w:lang w:val="fr-CA"/>
        </w:rPr>
        <w:t xml:space="preserve"> l’utilisation des terres, notamment les émissions de gaz à effet de serre, l’eau, les contraintes en matière de nutriments et les changements dans l’albédo, lorsque des mesures bioénergétiques et fondées sur la biomasse sont envisagées, afin de s’assurer que ces mesures contribuent à atténuer les changements cl</w:t>
      </w:r>
      <w:r w:rsidR="00AE11DA">
        <w:rPr>
          <w:kern w:val="22"/>
          <w:lang w:val="fr-CA"/>
        </w:rPr>
        <w:t>imatiques sans compromettre indû</w:t>
      </w:r>
      <w:r w:rsidR="009D03A5" w:rsidRPr="006F4DD6">
        <w:rPr>
          <w:kern w:val="22"/>
          <w:lang w:val="fr-CA"/>
        </w:rPr>
        <w:t>ment la diversité biologique, la sécurité alimentaire, la résistance des écosystèmes et l’adaptation aux changements climatiques</w:t>
      </w:r>
      <w:r w:rsidR="00194E49" w:rsidRPr="006F4DD6">
        <w:rPr>
          <w:kern w:val="22"/>
          <w:szCs w:val="22"/>
          <w:lang w:val="fr-CA"/>
        </w:rPr>
        <w:t>.</w:t>
      </w:r>
    </w:p>
    <w:p w14:paraId="6B290855" w14:textId="2141B03D" w:rsidR="00CB2204" w:rsidRPr="006F4DD6" w:rsidRDefault="009D03A5" w:rsidP="00DD3809">
      <w:pPr>
        <w:pStyle w:val="Para10"/>
        <w:suppressLineNumbers/>
        <w:tabs>
          <w:tab w:val="clear" w:pos="360"/>
        </w:tabs>
        <w:suppressAutoHyphens/>
        <w:kinsoku w:val="0"/>
        <w:overflowPunct w:val="0"/>
        <w:autoSpaceDE w:val="0"/>
        <w:autoSpaceDN w:val="0"/>
        <w:adjustRightInd w:val="0"/>
        <w:snapToGrid w:val="0"/>
        <w:rPr>
          <w:kern w:val="22"/>
          <w:szCs w:val="22"/>
          <w:lang w:val="fr-CA" w:eastAsia="en-CA"/>
        </w:rPr>
      </w:pPr>
      <w:r w:rsidRPr="006F4DD6">
        <w:rPr>
          <w:kern w:val="22"/>
          <w:szCs w:val="22"/>
          <w:lang w:val="fr-CA"/>
        </w:rPr>
        <w:t>Les analyses reposant sur des scénarios développés à partir de modèles d’évaluation intégrés peuvent fournir une perspective importante sur les synergies et les compromis entre les différentes approches pour atténuer les changements climatiques</w:t>
      </w:r>
      <w:r w:rsidR="00DA64B0" w:rsidRPr="006F4DD6">
        <w:rPr>
          <w:kern w:val="22"/>
          <w:szCs w:val="22"/>
          <w:lang w:val="fr-CA"/>
        </w:rPr>
        <w:t xml:space="preserve"> ca</w:t>
      </w:r>
      <w:r w:rsidR="00CC4E05">
        <w:rPr>
          <w:kern w:val="22"/>
          <w:szCs w:val="22"/>
          <w:lang w:val="fr-CA"/>
        </w:rPr>
        <w:t>r elles modélisent et représente</w:t>
      </w:r>
      <w:r w:rsidR="00DA64B0" w:rsidRPr="006F4DD6">
        <w:rPr>
          <w:kern w:val="22"/>
          <w:szCs w:val="22"/>
          <w:lang w:val="fr-CA"/>
        </w:rPr>
        <w:t>nt plusieurs interactions complexes entre les différents éléments du système terrestre</w:t>
      </w:r>
      <w:r w:rsidR="00464292" w:rsidRPr="006F4DD6">
        <w:rPr>
          <w:kern w:val="22"/>
          <w:szCs w:val="22"/>
          <w:lang w:val="fr-CA"/>
        </w:rPr>
        <w:t>.</w:t>
      </w:r>
      <w:r w:rsidR="00464292" w:rsidRPr="006F4DD6">
        <w:rPr>
          <w:rStyle w:val="Appelnotedebasdep"/>
          <w:snapToGrid/>
          <w:kern w:val="22"/>
          <w:szCs w:val="24"/>
          <w:u w:val="none"/>
          <w:vertAlign w:val="superscript"/>
          <w:lang w:val="fr-CA"/>
        </w:rPr>
        <w:footnoteReference w:id="16"/>
      </w:r>
    </w:p>
    <w:p w14:paraId="5424D794" w14:textId="095C3BB1" w:rsidR="000A5586" w:rsidRPr="006F4DD6" w:rsidRDefault="00DA64B0" w:rsidP="009922C1">
      <w:pPr>
        <w:pStyle w:val="Para10"/>
        <w:suppressLineNumbers/>
        <w:tabs>
          <w:tab w:val="clear" w:pos="360"/>
        </w:tabs>
        <w:suppressAutoHyphens/>
        <w:kinsoku w:val="0"/>
        <w:overflowPunct w:val="0"/>
        <w:autoSpaceDE w:val="0"/>
        <w:autoSpaceDN w:val="0"/>
        <w:adjustRightInd w:val="0"/>
        <w:snapToGrid w:val="0"/>
        <w:rPr>
          <w:kern w:val="22"/>
          <w:szCs w:val="22"/>
          <w:lang w:val="fr-CA"/>
        </w:rPr>
      </w:pPr>
      <w:r w:rsidRPr="006F4DD6">
        <w:rPr>
          <w:kern w:val="22"/>
          <w:szCs w:val="22"/>
          <w:lang w:val="fr-CA"/>
        </w:rPr>
        <w:t>Plusieurs décisions prises au titre de la Convention reconnaissent la nécessité d’accroître les conséquences positives et de réduire les conséquences négatives des mesures d’atténuation des changements climatiques et des mesures d’adaptation de la diversité biologiqu</w:t>
      </w:r>
      <w:r w:rsidR="00D62255" w:rsidRPr="006F4DD6">
        <w:rPr>
          <w:kern w:val="22"/>
          <w:szCs w:val="22"/>
          <w:lang w:val="fr-CA"/>
        </w:rPr>
        <w:t>e. Une orie</w:t>
      </w:r>
      <w:r w:rsidR="002030FF" w:rsidRPr="006F4DD6">
        <w:rPr>
          <w:kern w:val="22"/>
          <w:szCs w:val="22"/>
          <w:lang w:val="fr-CA"/>
        </w:rPr>
        <w:t xml:space="preserve">ntation a notamment été élaborée </w:t>
      </w:r>
      <w:r w:rsidR="00D62255" w:rsidRPr="006F4DD6">
        <w:rPr>
          <w:kern w:val="22"/>
          <w:szCs w:val="22"/>
          <w:lang w:val="fr-CA"/>
        </w:rPr>
        <w:t>sur l’augmentation des conséquenc</w:t>
      </w:r>
      <w:r w:rsidR="002030FF" w:rsidRPr="006F4DD6">
        <w:rPr>
          <w:kern w:val="22"/>
          <w:szCs w:val="22"/>
          <w:lang w:val="fr-CA"/>
        </w:rPr>
        <w:t xml:space="preserve">es </w:t>
      </w:r>
      <w:r w:rsidR="004F0F4D">
        <w:rPr>
          <w:kern w:val="22"/>
          <w:szCs w:val="22"/>
          <w:lang w:val="fr-CA"/>
        </w:rPr>
        <w:t>positives</w:t>
      </w:r>
      <w:r w:rsidR="002030FF" w:rsidRPr="006F4DD6">
        <w:rPr>
          <w:kern w:val="22"/>
          <w:szCs w:val="22"/>
          <w:lang w:val="fr-CA"/>
        </w:rPr>
        <w:t xml:space="preserve"> et la diminution des conséquences négatives des activités d’atténuation des changements climatiqu</w:t>
      </w:r>
      <w:r w:rsidR="00D62255" w:rsidRPr="006F4DD6">
        <w:rPr>
          <w:kern w:val="22"/>
          <w:szCs w:val="22"/>
          <w:lang w:val="fr-CA"/>
        </w:rPr>
        <w:t>e</w:t>
      </w:r>
      <w:r w:rsidR="002030FF" w:rsidRPr="006F4DD6">
        <w:rPr>
          <w:kern w:val="22"/>
          <w:szCs w:val="22"/>
          <w:lang w:val="fr-CA"/>
        </w:rPr>
        <w:t xml:space="preserve">s et </w:t>
      </w:r>
      <w:r w:rsidR="00D62255" w:rsidRPr="006F4DD6">
        <w:rPr>
          <w:kern w:val="22"/>
          <w:szCs w:val="22"/>
          <w:lang w:val="fr-CA"/>
        </w:rPr>
        <w:t>d’a</w:t>
      </w:r>
      <w:r w:rsidR="002030FF" w:rsidRPr="006F4DD6">
        <w:rPr>
          <w:kern w:val="22"/>
          <w:szCs w:val="22"/>
          <w:lang w:val="fr-CA"/>
        </w:rPr>
        <w:t xml:space="preserve">daptation </w:t>
      </w:r>
      <w:r w:rsidR="00451C08">
        <w:rPr>
          <w:kern w:val="22"/>
          <w:szCs w:val="22"/>
          <w:lang w:val="fr-CA"/>
        </w:rPr>
        <w:t>à ceux-</w:t>
      </w:r>
      <w:r w:rsidR="002030FF" w:rsidRPr="006F4DD6">
        <w:rPr>
          <w:kern w:val="22"/>
          <w:szCs w:val="22"/>
          <w:lang w:val="fr-CA"/>
        </w:rPr>
        <w:t>ci en réponse au paragraphe 7</w:t>
      </w:r>
      <w:r w:rsidR="003E402F">
        <w:rPr>
          <w:kern w:val="22"/>
          <w:szCs w:val="22"/>
          <w:lang w:val="fr-CA"/>
        </w:rPr>
        <w:t xml:space="preserve"> </w:t>
      </w:r>
      <w:r w:rsidR="002030FF" w:rsidRPr="006F4DD6">
        <w:rPr>
          <w:kern w:val="22"/>
          <w:szCs w:val="22"/>
          <w:lang w:val="fr-CA"/>
        </w:rPr>
        <w:t>d) de la décision XII/20, qui recommande l’application de l’approche par écosystème, la prise en compte des connaissances traditionnelles et l</w:t>
      </w:r>
      <w:r w:rsidR="00451C08">
        <w:rPr>
          <w:kern w:val="22"/>
          <w:szCs w:val="22"/>
          <w:lang w:val="fr-CA"/>
        </w:rPr>
        <w:t>a</w:t>
      </w:r>
      <w:r w:rsidR="002030FF" w:rsidRPr="006F4DD6">
        <w:rPr>
          <w:kern w:val="22"/>
          <w:szCs w:val="22"/>
          <w:lang w:val="fr-CA"/>
        </w:rPr>
        <w:t xml:space="preserve"> pleine participation des peuples autochtones et des communautés locales, ainsi que des autres parties prenantes, la réalisatio</w:t>
      </w:r>
      <w:r w:rsidR="00D62255" w:rsidRPr="006F4DD6">
        <w:rPr>
          <w:kern w:val="22"/>
          <w:szCs w:val="22"/>
          <w:lang w:val="fr-CA"/>
        </w:rPr>
        <w:t>n d’évaluations stratégiques env</w:t>
      </w:r>
      <w:r w:rsidR="002030FF" w:rsidRPr="006F4DD6">
        <w:rPr>
          <w:kern w:val="22"/>
          <w:szCs w:val="22"/>
          <w:lang w:val="fr-CA"/>
        </w:rPr>
        <w:t>ironnement</w:t>
      </w:r>
      <w:r w:rsidR="00451C08">
        <w:rPr>
          <w:kern w:val="22"/>
          <w:szCs w:val="22"/>
          <w:lang w:val="fr-CA"/>
        </w:rPr>
        <w:t>ale</w:t>
      </w:r>
      <w:r w:rsidR="002030FF" w:rsidRPr="006F4DD6">
        <w:rPr>
          <w:kern w:val="22"/>
          <w:szCs w:val="22"/>
          <w:lang w:val="fr-CA"/>
        </w:rPr>
        <w:t>s et d’études</w:t>
      </w:r>
      <w:r w:rsidR="00D62255" w:rsidRPr="006F4DD6">
        <w:rPr>
          <w:kern w:val="22"/>
          <w:szCs w:val="22"/>
          <w:lang w:val="fr-CA"/>
        </w:rPr>
        <w:t xml:space="preserve"> d’impact sur l’environnement, l’intégration de la valeur de la diversité biologique et des services écosystémiques au processus décisionnel</w:t>
      </w:r>
      <w:r w:rsidR="00451C08">
        <w:rPr>
          <w:kern w:val="22"/>
          <w:szCs w:val="22"/>
          <w:lang w:val="fr-CA"/>
        </w:rPr>
        <w:t xml:space="preserve">, sans oublier le suivi et l’évaluation, et </w:t>
      </w:r>
      <w:r w:rsidR="00D62255" w:rsidRPr="006F4DD6">
        <w:rPr>
          <w:kern w:val="22"/>
          <w:szCs w:val="22"/>
          <w:lang w:val="fr-CA"/>
        </w:rPr>
        <w:t>la gestion adaptative</w:t>
      </w:r>
      <w:r w:rsidR="000017F0" w:rsidRPr="006F4DD6">
        <w:rPr>
          <w:kern w:val="22"/>
          <w:szCs w:val="22"/>
          <w:lang w:val="fr-CA"/>
        </w:rPr>
        <w:t>.</w:t>
      </w:r>
      <w:r w:rsidR="000A5586" w:rsidRPr="006F4DD6">
        <w:rPr>
          <w:rStyle w:val="Appelnotedebasdep"/>
          <w:snapToGrid/>
          <w:kern w:val="22"/>
          <w:szCs w:val="24"/>
          <w:u w:val="none"/>
          <w:vertAlign w:val="superscript"/>
          <w:lang w:val="fr-CA"/>
        </w:rPr>
        <w:footnoteReference w:id="17"/>
      </w:r>
    </w:p>
    <w:p w14:paraId="0507E5D9" w14:textId="75551F18" w:rsidR="00464292" w:rsidRPr="006F4DD6" w:rsidRDefault="00891B4B" w:rsidP="00222F2C">
      <w:pPr>
        <w:pStyle w:val="Para10"/>
        <w:tabs>
          <w:tab w:val="clear" w:pos="360"/>
          <w:tab w:val="num" w:pos="720"/>
        </w:tabs>
        <w:rPr>
          <w:kern w:val="22"/>
          <w:szCs w:val="22"/>
          <w:lang w:val="fr-CA"/>
        </w:rPr>
      </w:pPr>
      <w:r w:rsidRPr="006F4DD6">
        <w:rPr>
          <w:kern w:val="22"/>
          <w:szCs w:val="22"/>
          <w:lang w:val="fr-CA"/>
        </w:rPr>
        <w:t xml:space="preserve">Il existe tout un éventail de mesures en lien avec les forêts pouvant potentiellement offrir d’importants bienfaits pour la conservation, notamment la réduction des émissions associées au déboisement et </w:t>
      </w:r>
      <w:r w:rsidR="009A62B7">
        <w:rPr>
          <w:kern w:val="22"/>
          <w:szCs w:val="22"/>
          <w:lang w:val="fr-CA"/>
        </w:rPr>
        <w:t xml:space="preserve">à </w:t>
      </w:r>
      <w:r w:rsidRPr="006F4DD6">
        <w:rPr>
          <w:kern w:val="22"/>
          <w:szCs w:val="22"/>
          <w:lang w:val="fr-CA"/>
        </w:rPr>
        <w:t xml:space="preserve">la dégradation des forêts, la conservation des forêts, la gestion durable des forêts et l’augmentation des stocks de carbone </w:t>
      </w:r>
      <w:r w:rsidR="003E402F">
        <w:rPr>
          <w:kern w:val="22"/>
          <w:szCs w:val="22"/>
          <w:lang w:val="fr-CA"/>
        </w:rPr>
        <w:t>forestier</w:t>
      </w:r>
      <w:r w:rsidRPr="006F4DD6">
        <w:rPr>
          <w:kern w:val="22"/>
          <w:szCs w:val="22"/>
          <w:lang w:val="fr-CA"/>
        </w:rPr>
        <w:t xml:space="preserve">. La mesure dans laquelle ces activités offrent ces bienfaits dépend de la façon et de l’endroit où elles sont appliquées. Par exemple, des activités fondées sur les forêts qui ne visent qu’à </w:t>
      </w:r>
      <w:r w:rsidR="003B70B1" w:rsidRPr="006F4DD6">
        <w:rPr>
          <w:kern w:val="22"/>
          <w:szCs w:val="22"/>
          <w:lang w:val="fr-CA"/>
        </w:rPr>
        <w:t>atténuer les changements climatiques, telles que la plant</w:t>
      </w:r>
      <w:r w:rsidR="007B7D91" w:rsidRPr="006F4DD6">
        <w:rPr>
          <w:kern w:val="22"/>
          <w:szCs w:val="22"/>
          <w:lang w:val="fr-CA"/>
        </w:rPr>
        <w:t>a</w:t>
      </w:r>
      <w:r w:rsidR="003B70B1" w:rsidRPr="006F4DD6">
        <w:rPr>
          <w:kern w:val="22"/>
          <w:szCs w:val="22"/>
          <w:lang w:val="fr-CA"/>
        </w:rPr>
        <w:t>tion de monocultures d’espèces d’arbres exotiques à croissance rapide, pourraient compromettre la diversité biologique et le bien-être humain, et même le potentiel de stockage à long terme du carbone en dim</w:t>
      </w:r>
      <w:r w:rsidR="007B7D91" w:rsidRPr="006F4DD6">
        <w:rPr>
          <w:kern w:val="22"/>
          <w:szCs w:val="22"/>
          <w:lang w:val="fr-CA"/>
        </w:rPr>
        <w:t>in</w:t>
      </w:r>
      <w:r w:rsidR="003B70B1" w:rsidRPr="006F4DD6">
        <w:rPr>
          <w:kern w:val="22"/>
          <w:szCs w:val="22"/>
          <w:lang w:val="fr-CA"/>
        </w:rPr>
        <w:t xml:space="preserve">uant </w:t>
      </w:r>
      <w:r w:rsidR="009A62B7">
        <w:rPr>
          <w:kern w:val="22"/>
          <w:szCs w:val="22"/>
          <w:lang w:val="fr-CA"/>
        </w:rPr>
        <w:t>la résilience</w:t>
      </w:r>
      <w:r w:rsidR="003B70B1" w:rsidRPr="006F4DD6">
        <w:rPr>
          <w:kern w:val="22"/>
          <w:szCs w:val="22"/>
          <w:lang w:val="fr-CA"/>
        </w:rPr>
        <w:t>. Le Secrétariat s’est penché sur les liens entre les for</w:t>
      </w:r>
      <w:r w:rsidR="009A62B7">
        <w:rPr>
          <w:kern w:val="22"/>
          <w:szCs w:val="22"/>
          <w:lang w:val="fr-CA"/>
        </w:rPr>
        <w:t>ê</w:t>
      </w:r>
      <w:r w:rsidR="003B70B1" w:rsidRPr="006F4DD6">
        <w:rPr>
          <w:kern w:val="22"/>
          <w:szCs w:val="22"/>
          <w:lang w:val="fr-CA"/>
        </w:rPr>
        <w:t>ts et les activités de réponse aux changements climatiques, notamment le lien entre la résilience des forêts, la diversité biologique et les changements climatiques dans le</w:t>
      </w:r>
      <w:r w:rsidR="007B7D91" w:rsidRPr="006F4DD6">
        <w:rPr>
          <w:kern w:val="22"/>
          <w:szCs w:val="22"/>
          <w:lang w:val="fr-CA"/>
        </w:rPr>
        <w:t xml:space="preserve"> Cahier technique n</w:t>
      </w:r>
      <w:r w:rsidR="007B7D91" w:rsidRPr="009A62B7">
        <w:rPr>
          <w:kern w:val="22"/>
          <w:szCs w:val="22"/>
          <w:vertAlign w:val="superscript"/>
          <w:lang w:val="fr-CA"/>
        </w:rPr>
        <w:t>o</w:t>
      </w:r>
      <w:r w:rsidR="007B7D91" w:rsidRPr="006F4DD6">
        <w:rPr>
          <w:kern w:val="22"/>
          <w:szCs w:val="22"/>
          <w:lang w:val="fr-CA"/>
        </w:rPr>
        <w:t xml:space="preserve"> 43 de la CDB</w:t>
      </w:r>
      <w:r w:rsidR="00464292" w:rsidRPr="006F4DD6">
        <w:rPr>
          <w:kern w:val="22"/>
          <w:szCs w:val="22"/>
          <w:lang w:val="fr-CA"/>
        </w:rPr>
        <w:t>,</w:t>
      </w:r>
      <w:r w:rsidR="00464292" w:rsidRPr="006F4DD6">
        <w:rPr>
          <w:rStyle w:val="Appelnotedebasdep"/>
          <w:bCs/>
          <w:kern w:val="22"/>
          <w:sz w:val="22"/>
          <w:szCs w:val="22"/>
          <w:u w:val="none"/>
          <w:vertAlign w:val="superscript"/>
          <w:lang w:val="fr-CA"/>
        </w:rPr>
        <w:footnoteReference w:id="18"/>
      </w:r>
      <w:r w:rsidR="00464292" w:rsidRPr="006F4DD6">
        <w:rPr>
          <w:kern w:val="22"/>
          <w:szCs w:val="22"/>
          <w:lang w:val="fr-CA"/>
        </w:rPr>
        <w:t xml:space="preserve"> </w:t>
      </w:r>
      <w:r w:rsidR="007B7D91" w:rsidRPr="006F4DD6">
        <w:rPr>
          <w:kern w:val="22"/>
          <w:szCs w:val="22"/>
          <w:lang w:val="fr-CA"/>
        </w:rPr>
        <w:t xml:space="preserve">et dans le contexte de la réduction des émissions associées au déboisement et à la dégradation des forêts, la conservation des stocks de carbone des forêts, la gestion durable des forêts et </w:t>
      </w:r>
      <w:r w:rsidR="007B7D91" w:rsidRPr="006F4DD6">
        <w:rPr>
          <w:kern w:val="22"/>
          <w:szCs w:val="22"/>
          <w:lang w:val="fr-CA"/>
        </w:rPr>
        <w:lastRenderedPageBreak/>
        <w:t>l’amélioration des stocks de carbone forestier dans les pays en développement dans le Cahier technique n</w:t>
      </w:r>
      <w:r w:rsidR="007B7D91" w:rsidRPr="009A62B7">
        <w:rPr>
          <w:kern w:val="22"/>
          <w:szCs w:val="22"/>
          <w:vertAlign w:val="superscript"/>
          <w:lang w:val="fr-CA"/>
        </w:rPr>
        <w:t>o</w:t>
      </w:r>
      <w:r w:rsidR="00735D05">
        <w:rPr>
          <w:kern w:val="22"/>
          <w:szCs w:val="22"/>
          <w:lang w:val="fr-CA"/>
        </w:rPr>
        <w:t> </w:t>
      </w:r>
      <w:r w:rsidR="00464292" w:rsidRPr="006F4DD6">
        <w:rPr>
          <w:kern w:val="22"/>
          <w:szCs w:val="22"/>
          <w:lang w:val="fr-CA"/>
        </w:rPr>
        <w:t>59</w:t>
      </w:r>
      <w:r w:rsidR="007B7D91" w:rsidRPr="006F4DD6">
        <w:rPr>
          <w:kern w:val="22"/>
          <w:szCs w:val="22"/>
          <w:lang w:val="fr-CA"/>
        </w:rPr>
        <w:t xml:space="preserve"> de la CDB</w:t>
      </w:r>
      <w:r w:rsidR="00464292" w:rsidRPr="006F4DD6">
        <w:rPr>
          <w:kern w:val="22"/>
          <w:szCs w:val="22"/>
          <w:lang w:val="fr-CA"/>
        </w:rPr>
        <w:t>.</w:t>
      </w:r>
      <w:r w:rsidR="00464292" w:rsidRPr="006F4DD6">
        <w:rPr>
          <w:rStyle w:val="Appelnotedebasdep"/>
          <w:snapToGrid/>
          <w:kern w:val="22"/>
          <w:szCs w:val="24"/>
          <w:u w:val="none"/>
          <w:vertAlign w:val="superscript"/>
          <w:lang w:val="fr-CA"/>
        </w:rPr>
        <w:footnoteReference w:id="19"/>
      </w:r>
      <w:r w:rsidR="00464292" w:rsidRPr="006F4DD6">
        <w:rPr>
          <w:kern w:val="22"/>
          <w:szCs w:val="22"/>
          <w:lang w:val="fr-CA"/>
        </w:rPr>
        <w:t xml:space="preserve"> </w:t>
      </w:r>
      <w:r w:rsidR="007B7D91" w:rsidRPr="006F4DD6">
        <w:rPr>
          <w:kern w:val="22"/>
          <w:szCs w:val="22"/>
          <w:lang w:val="fr-CA"/>
        </w:rPr>
        <w:t xml:space="preserve">Ces liens sont aussi abordés dans plusieurs </w:t>
      </w:r>
      <w:r w:rsidR="00D06303" w:rsidRPr="006F4DD6">
        <w:rPr>
          <w:kern w:val="22"/>
          <w:szCs w:val="22"/>
          <w:lang w:val="fr-CA"/>
        </w:rPr>
        <w:t>dé</w:t>
      </w:r>
      <w:r w:rsidR="00A452D8">
        <w:rPr>
          <w:kern w:val="22"/>
          <w:szCs w:val="22"/>
          <w:lang w:val="fr-CA"/>
        </w:rPr>
        <w:t>cisions de la Conférence des Parties</w:t>
      </w:r>
      <w:r w:rsidR="00464292" w:rsidRPr="006F4DD6">
        <w:rPr>
          <w:kern w:val="22"/>
          <w:szCs w:val="22"/>
          <w:lang w:val="fr-CA"/>
        </w:rPr>
        <w:t xml:space="preserve"> (</w:t>
      </w:r>
      <w:r w:rsidR="007B7D91" w:rsidRPr="006F4DD6">
        <w:rPr>
          <w:kern w:val="22"/>
          <w:szCs w:val="22"/>
          <w:lang w:val="fr-CA"/>
        </w:rPr>
        <w:t>dont les dé</w:t>
      </w:r>
      <w:r w:rsidR="00464292" w:rsidRPr="006F4DD6">
        <w:rPr>
          <w:kern w:val="22"/>
          <w:szCs w:val="22"/>
          <w:lang w:val="fr-CA"/>
        </w:rPr>
        <w:t xml:space="preserve">cisions </w:t>
      </w:r>
      <w:hyperlink r:id="rId24" w:history="1">
        <w:r w:rsidR="00A452D8" w:rsidRPr="00A452D8">
          <w:rPr>
            <w:rStyle w:val="Lienhypertexte"/>
            <w:szCs w:val="22"/>
            <w:lang w:val="fr-CA"/>
          </w:rPr>
          <w:t>XI/19</w:t>
        </w:r>
      </w:hyperlink>
      <w:r w:rsidR="00464292" w:rsidRPr="006F4DD6">
        <w:rPr>
          <w:kern w:val="22"/>
          <w:szCs w:val="22"/>
          <w:lang w:val="fr-CA"/>
        </w:rPr>
        <w:t>, X/33</w:t>
      </w:r>
      <w:r w:rsidR="007B7D91" w:rsidRPr="006F4DD6">
        <w:rPr>
          <w:kern w:val="22"/>
          <w:szCs w:val="22"/>
          <w:lang w:val="fr-CA"/>
        </w:rPr>
        <w:t xml:space="preserve"> et</w:t>
      </w:r>
      <w:r w:rsidR="00464292" w:rsidRPr="006F4DD6">
        <w:rPr>
          <w:kern w:val="22"/>
          <w:szCs w:val="22"/>
          <w:lang w:val="fr-CA"/>
        </w:rPr>
        <w:t xml:space="preserve"> </w:t>
      </w:r>
      <w:hyperlink r:id="rId25" w:history="1">
        <w:r w:rsidR="00A452D8" w:rsidRPr="00A452D8">
          <w:rPr>
            <w:rStyle w:val="Lienhypertexte"/>
            <w:szCs w:val="22"/>
            <w:lang w:val="fr-CA"/>
          </w:rPr>
          <w:t>IX/5</w:t>
        </w:r>
      </w:hyperlink>
      <w:r w:rsidR="00464292" w:rsidRPr="006F4DD6">
        <w:rPr>
          <w:kern w:val="22"/>
          <w:szCs w:val="22"/>
          <w:lang w:val="fr-CA"/>
        </w:rPr>
        <w:t>).</w:t>
      </w:r>
    </w:p>
    <w:p w14:paraId="3E619612" w14:textId="0CEB9EC1" w:rsidR="00464292" w:rsidRPr="006F4DD6" w:rsidRDefault="00D06303" w:rsidP="00BB2F18">
      <w:pPr>
        <w:pStyle w:val="Para10"/>
        <w:tabs>
          <w:tab w:val="clear" w:pos="360"/>
          <w:tab w:val="num" w:pos="720"/>
        </w:tabs>
        <w:rPr>
          <w:kern w:val="22"/>
          <w:szCs w:val="22"/>
          <w:lang w:val="fr-CA"/>
        </w:rPr>
      </w:pPr>
      <w:r w:rsidRPr="006F4DD6">
        <w:rPr>
          <w:kern w:val="22"/>
          <w:szCs w:val="22"/>
          <w:lang w:val="fr-CA"/>
        </w:rPr>
        <w:t>E</w:t>
      </w:r>
      <w:r w:rsidR="00BB2F18" w:rsidRPr="006F4DD6">
        <w:rPr>
          <w:kern w:val="22"/>
          <w:szCs w:val="22"/>
          <w:lang w:val="fr-CA"/>
        </w:rPr>
        <w:t>n</w:t>
      </w:r>
      <w:r w:rsidRPr="006F4DD6">
        <w:rPr>
          <w:kern w:val="22"/>
          <w:szCs w:val="22"/>
          <w:lang w:val="fr-CA"/>
        </w:rPr>
        <w:t xml:space="preserve"> ce qui concerne l’utilisation de </w:t>
      </w:r>
      <w:r w:rsidR="00062AA0">
        <w:rPr>
          <w:kern w:val="22"/>
          <w:szCs w:val="22"/>
          <w:lang w:val="fr-CA"/>
        </w:rPr>
        <w:t>biocombustibles</w:t>
      </w:r>
      <w:r w:rsidRPr="006F4DD6">
        <w:rPr>
          <w:kern w:val="22"/>
          <w:szCs w:val="22"/>
          <w:lang w:val="fr-CA"/>
        </w:rPr>
        <w:t>, la Conférence des Parties, dans sa décision</w:t>
      </w:r>
      <w:r w:rsidR="00230F0D">
        <w:rPr>
          <w:kern w:val="22"/>
          <w:szCs w:val="22"/>
          <w:lang w:val="fr-CA"/>
        </w:rPr>
        <w:t> </w:t>
      </w:r>
      <w:hyperlink r:id="rId26" w:history="1">
        <w:r w:rsidR="00464292" w:rsidRPr="006F4DD6">
          <w:rPr>
            <w:rStyle w:val="Lienhypertexte"/>
            <w:kern w:val="22"/>
            <w:szCs w:val="22"/>
            <w:lang w:val="fr-CA"/>
          </w:rPr>
          <w:t>IX/2</w:t>
        </w:r>
      </w:hyperlink>
      <w:r w:rsidR="00464292" w:rsidRPr="006F4DD6">
        <w:rPr>
          <w:kern w:val="22"/>
          <w:szCs w:val="22"/>
          <w:lang w:val="fr-CA"/>
        </w:rPr>
        <w:t xml:space="preserve">, </w:t>
      </w:r>
      <w:r w:rsidRPr="006F4DD6">
        <w:rPr>
          <w:kern w:val="22"/>
          <w:szCs w:val="22"/>
          <w:lang w:val="fr-CA"/>
        </w:rPr>
        <w:t>e</w:t>
      </w:r>
      <w:r w:rsidR="00BB2F18" w:rsidRPr="006F4DD6">
        <w:rPr>
          <w:kern w:val="22"/>
          <w:szCs w:val="22"/>
          <w:lang w:val="fr-CA"/>
        </w:rPr>
        <w:t>xhorte les Parties de prom</w:t>
      </w:r>
      <w:r w:rsidRPr="006F4DD6">
        <w:rPr>
          <w:kern w:val="22"/>
          <w:szCs w:val="22"/>
          <w:lang w:val="fr-CA"/>
        </w:rPr>
        <w:t xml:space="preserve">ouvoir les </w:t>
      </w:r>
      <w:r w:rsidR="00BB2F18" w:rsidRPr="006F4DD6">
        <w:rPr>
          <w:kern w:val="22"/>
          <w:szCs w:val="22"/>
          <w:lang w:val="fr-CA"/>
        </w:rPr>
        <w:t>consé</w:t>
      </w:r>
      <w:r w:rsidRPr="006F4DD6">
        <w:rPr>
          <w:kern w:val="22"/>
          <w:szCs w:val="22"/>
          <w:lang w:val="fr-CA"/>
        </w:rPr>
        <w:t xml:space="preserve">quences positives et de minimiser les </w:t>
      </w:r>
      <w:r w:rsidR="00BB2F18" w:rsidRPr="006F4DD6">
        <w:rPr>
          <w:kern w:val="22"/>
          <w:szCs w:val="22"/>
          <w:lang w:val="fr-CA"/>
        </w:rPr>
        <w:t>consé</w:t>
      </w:r>
      <w:r w:rsidRPr="006F4DD6">
        <w:rPr>
          <w:kern w:val="22"/>
          <w:szCs w:val="22"/>
          <w:lang w:val="fr-CA"/>
        </w:rPr>
        <w:t xml:space="preserve">quences </w:t>
      </w:r>
      <w:r w:rsidR="00BB2F18" w:rsidRPr="006F4DD6">
        <w:rPr>
          <w:kern w:val="22"/>
          <w:szCs w:val="22"/>
          <w:lang w:val="fr-CA"/>
        </w:rPr>
        <w:t>négatives de la prod</w:t>
      </w:r>
      <w:r w:rsidRPr="006F4DD6">
        <w:rPr>
          <w:kern w:val="22"/>
          <w:szCs w:val="22"/>
          <w:lang w:val="fr-CA"/>
        </w:rPr>
        <w:t>u</w:t>
      </w:r>
      <w:r w:rsidR="00BB2F18" w:rsidRPr="006F4DD6">
        <w:rPr>
          <w:kern w:val="22"/>
          <w:szCs w:val="22"/>
          <w:lang w:val="fr-CA"/>
        </w:rPr>
        <w:t>c</w:t>
      </w:r>
      <w:r w:rsidRPr="006F4DD6">
        <w:rPr>
          <w:kern w:val="22"/>
          <w:szCs w:val="22"/>
          <w:lang w:val="fr-CA"/>
        </w:rPr>
        <w:t xml:space="preserve">tion de </w:t>
      </w:r>
      <w:r w:rsidR="00BB2F18" w:rsidRPr="006F4DD6">
        <w:rPr>
          <w:kern w:val="22"/>
          <w:szCs w:val="22"/>
          <w:lang w:val="fr-CA"/>
        </w:rPr>
        <w:t>biocombustibles</w:t>
      </w:r>
      <w:r w:rsidRPr="006F4DD6">
        <w:rPr>
          <w:kern w:val="22"/>
          <w:szCs w:val="22"/>
          <w:lang w:val="fr-CA"/>
        </w:rPr>
        <w:t xml:space="preserve"> et</w:t>
      </w:r>
      <w:r w:rsidR="00062AA0">
        <w:rPr>
          <w:kern w:val="22"/>
          <w:szCs w:val="22"/>
          <w:lang w:val="fr-CA"/>
        </w:rPr>
        <w:t xml:space="preserve"> de</w:t>
      </w:r>
      <w:r w:rsidRPr="006F4DD6">
        <w:rPr>
          <w:kern w:val="22"/>
          <w:szCs w:val="22"/>
          <w:lang w:val="fr-CA"/>
        </w:rPr>
        <w:t xml:space="preserve"> </w:t>
      </w:r>
      <w:r w:rsidR="00062AA0">
        <w:rPr>
          <w:kern w:val="22"/>
          <w:szCs w:val="22"/>
          <w:lang w:val="fr-CA"/>
        </w:rPr>
        <w:t>leur</w:t>
      </w:r>
      <w:r w:rsidRPr="006F4DD6">
        <w:rPr>
          <w:kern w:val="22"/>
          <w:szCs w:val="22"/>
          <w:lang w:val="fr-CA"/>
        </w:rPr>
        <w:t xml:space="preserve"> utilisation sur la </w:t>
      </w:r>
      <w:r w:rsidR="00BB2F18" w:rsidRPr="006F4DD6">
        <w:rPr>
          <w:kern w:val="22"/>
          <w:szCs w:val="22"/>
          <w:lang w:val="fr-CA"/>
        </w:rPr>
        <w:t>diversité biologique et la subs</w:t>
      </w:r>
      <w:r w:rsidRPr="006F4DD6">
        <w:rPr>
          <w:kern w:val="22"/>
          <w:szCs w:val="22"/>
          <w:lang w:val="fr-CA"/>
        </w:rPr>
        <w:t>i</w:t>
      </w:r>
      <w:r w:rsidR="00BB2F18" w:rsidRPr="006F4DD6">
        <w:rPr>
          <w:kern w:val="22"/>
          <w:szCs w:val="22"/>
          <w:lang w:val="fr-CA"/>
        </w:rPr>
        <w:t>s</w:t>
      </w:r>
      <w:r w:rsidRPr="006F4DD6">
        <w:rPr>
          <w:kern w:val="22"/>
          <w:szCs w:val="22"/>
          <w:lang w:val="fr-CA"/>
        </w:rPr>
        <w:t>tance des pe</w:t>
      </w:r>
      <w:r w:rsidR="006851CE">
        <w:rPr>
          <w:kern w:val="22"/>
          <w:szCs w:val="22"/>
          <w:lang w:val="fr-CA"/>
        </w:rPr>
        <w:t>u</w:t>
      </w:r>
      <w:r w:rsidRPr="006F4DD6">
        <w:rPr>
          <w:kern w:val="22"/>
          <w:szCs w:val="22"/>
          <w:lang w:val="fr-CA"/>
        </w:rPr>
        <w:t xml:space="preserve">ples </w:t>
      </w:r>
      <w:r w:rsidR="00BB2F18" w:rsidRPr="006F4DD6">
        <w:rPr>
          <w:kern w:val="22"/>
          <w:szCs w:val="22"/>
          <w:lang w:val="fr-CA"/>
        </w:rPr>
        <w:t>autochtones et des communaut</w:t>
      </w:r>
      <w:r w:rsidRPr="006F4DD6">
        <w:rPr>
          <w:kern w:val="22"/>
          <w:szCs w:val="22"/>
          <w:lang w:val="fr-CA"/>
        </w:rPr>
        <w:t>és locales, et dans sa décision</w:t>
      </w:r>
      <w:r w:rsidR="00464292" w:rsidRPr="006F4DD6">
        <w:rPr>
          <w:kern w:val="22"/>
          <w:szCs w:val="22"/>
          <w:lang w:val="fr-CA"/>
        </w:rPr>
        <w:t xml:space="preserve"> </w:t>
      </w:r>
      <w:hyperlink r:id="rId27" w:history="1">
        <w:r w:rsidR="00464292" w:rsidRPr="006F4DD6">
          <w:rPr>
            <w:rStyle w:val="Lienhypertexte"/>
            <w:kern w:val="22"/>
            <w:szCs w:val="22"/>
            <w:lang w:val="fr-CA"/>
          </w:rPr>
          <w:t>X/37</w:t>
        </w:r>
      </w:hyperlink>
      <w:r w:rsidR="00062AA0">
        <w:rPr>
          <w:kern w:val="22"/>
          <w:szCs w:val="22"/>
          <w:lang w:val="fr-CA"/>
        </w:rPr>
        <w:t xml:space="preserve">, </w:t>
      </w:r>
      <w:r w:rsidRPr="006F4DD6">
        <w:rPr>
          <w:kern w:val="22"/>
          <w:szCs w:val="22"/>
          <w:lang w:val="fr-CA"/>
        </w:rPr>
        <w:t>prie l</w:t>
      </w:r>
      <w:r w:rsidR="00813164">
        <w:rPr>
          <w:kern w:val="22"/>
          <w:szCs w:val="22"/>
          <w:lang w:val="fr-CA"/>
        </w:rPr>
        <w:t>a</w:t>
      </w:r>
      <w:r w:rsidRPr="006F4DD6">
        <w:rPr>
          <w:kern w:val="22"/>
          <w:szCs w:val="22"/>
          <w:lang w:val="fr-CA"/>
        </w:rPr>
        <w:t xml:space="preserve"> </w:t>
      </w:r>
      <w:r w:rsidR="00813164">
        <w:rPr>
          <w:kern w:val="22"/>
          <w:szCs w:val="22"/>
          <w:lang w:val="fr-CA"/>
        </w:rPr>
        <w:t>Secrétaire exécutive</w:t>
      </w:r>
      <w:r w:rsidRPr="006F4DD6">
        <w:rPr>
          <w:kern w:val="22"/>
          <w:szCs w:val="22"/>
          <w:lang w:val="fr-CA"/>
        </w:rPr>
        <w:t xml:space="preserve"> d’exam</w:t>
      </w:r>
      <w:r w:rsidR="00BB2F18" w:rsidRPr="006F4DD6">
        <w:rPr>
          <w:kern w:val="22"/>
          <w:szCs w:val="22"/>
          <w:lang w:val="fr-CA"/>
        </w:rPr>
        <w:t>iner les outils et les approche</w:t>
      </w:r>
      <w:r w:rsidRPr="006F4DD6">
        <w:rPr>
          <w:kern w:val="22"/>
          <w:szCs w:val="22"/>
          <w:lang w:val="fr-CA"/>
        </w:rPr>
        <w:t>s, ain</w:t>
      </w:r>
      <w:r w:rsidR="00BB2F18" w:rsidRPr="006F4DD6">
        <w:rPr>
          <w:kern w:val="22"/>
          <w:szCs w:val="22"/>
          <w:lang w:val="fr-CA"/>
        </w:rPr>
        <w:t>si que les lacunes dans la produ</w:t>
      </w:r>
      <w:r w:rsidRPr="006F4DD6">
        <w:rPr>
          <w:kern w:val="22"/>
          <w:szCs w:val="22"/>
          <w:lang w:val="fr-CA"/>
        </w:rPr>
        <w:t>ction durable de</w:t>
      </w:r>
      <w:r w:rsidR="00BB2F18" w:rsidRPr="006F4DD6">
        <w:rPr>
          <w:kern w:val="22"/>
          <w:szCs w:val="22"/>
          <w:lang w:val="fr-CA"/>
        </w:rPr>
        <w:t>s</w:t>
      </w:r>
      <w:r w:rsidRPr="006F4DD6">
        <w:rPr>
          <w:kern w:val="22"/>
          <w:szCs w:val="22"/>
          <w:lang w:val="fr-CA"/>
        </w:rPr>
        <w:t xml:space="preserve"> </w:t>
      </w:r>
      <w:r w:rsidR="00062AA0">
        <w:rPr>
          <w:kern w:val="22"/>
          <w:szCs w:val="22"/>
          <w:lang w:val="fr-CA"/>
        </w:rPr>
        <w:t>biocombustibles</w:t>
      </w:r>
      <w:r w:rsidRPr="006F4DD6">
        <w:rPr>
          <w:kern w:val="22"/>
          <w:szCs w:val="22"/>
          <w:lang w:val="fr-CA"/>
        </w:rPr>
        <w:t xml:space="preserve">. </w:t>
      </w:r>
      <w:r w:rsidR="00BB2F18" w:rsidRPr="006F4DD6">
        <w:rPr>
          <w:kern w:val="22"/>
          <w:szCs w:val="22"/>
          <w:lang w:val="fr-CA"/>
        </w:rPr>
        <w:t>Cette informati</w:t>
      </w:r>
      <w:r w:rsidRPr="006F4DD6">
        <w:rPr>
          <w:kern w:val="22"/>
          <w:szCs w:val="22"/>
          <w:lang w:val="fr-CA"/>
        </w:rPr>
        <w:t>on est présentée dans</w:t>
      </w:r>
      <w:r w:rsidR="00BB2F18" w:rsidRPr="006F4DD6">
        <w:rPr>
          <w:kern w:val="22"/>
          <w:szCs w:val="22"/>
          <w:lang w:val="fr-CA"/>
        </w:rPr>
        <w:t xml:space="preserve"> </w:t>
      </w:r>
      <w:r w:rsidRPr="006F4DD6">
        <w:rPr>
          <w:kern w:val="22"/>
          <w:szCs w:val="22"/>
          <w:lang w:val="fr-CA"/>
        </w:rPr>
        <w:t>le Cahier technique n</w:t>
      </w:r>
      <w:r w:rsidRPr="006F4DD6">
        <w:rPr>
          <w:kern w:val="22"/>
          <w:szCs w:val="22"/>
          <w:vertAlign w:val="superscript"/>
          <w:lang w:val="fr-CA"/>
        </w:rPr>
        <w:t>o</w:t>
      </w:r>
      <w:r w:rsidRPr="006F4DD6">
        <w:rPr>
          <w:kern w:val="22"/>
          <w:szCs w:val="22"/>
          <w:lang w:val="fr-CA"/>
        </w:rPr>
        <w:t xml:space="preserve"> 65 de la CDB.</w:t>
      </w:r>
      <w:r w:rsidR="00464292" w:rsidRPr="006F4DD6">
        <w:rPr>
          <w:rStyle w:val="Appelnotedebasdep"/>
          <w:snapToGrid/>
          <w:kern w:val="22"/>
          <w:szCs w:val="24"/>
          <w:u w:val="none"/>
          <w:vertAlign w:val="superscript"/>
          <w:lang w:val="fr-CA"/>
        </w:rPr>
        <w:footnoteReference w:id="20"/>
      </w:r>
    </w:p>
    <w:p w14:paraId="34ADED16" w14:textId="4636030B" w:rsidR="00906BB7" w:rsidRPr="006F4DD6" w:rsidRDefault="00AF305B" w:rsidP="00222F2C">
      <w:pPr>
        <w:pStyle w:val="Para10"/>
        <w:tabs>
          <w:tab w:val="clear" w:pos="360"/>
          <w:tab w:val="num" w:pos="720"/>
        </w:tabs>
        <w:rPr>
          <w:kern w:val="22"/>
          <w:lang w:val="fr-CA"/>
        </w:rPr>
      </w:pPr>
      <w:r w:rsidRPr="006F4DD6">
        <w:rPr>
          <w:kern w:val="22"/>
          <w:lang w:val="fr-CA"/>
        </w:rPr>
        <w:t>Les mesures plus spéculatives pour atténuer les changements climatiques, telles que la géoingéni</w:t>
      </w:r>
      <w:r w:rsidR="00004D98" w:rsidRPr="006F4DD6">
        <w:rPr>
          <w:kern w:val="22"/>
          <w:lang w:val="fr-CA"/>
        </w:rPr>
        <w:t>erie</w:t>
      </w:r>
      <w:r w:rsidRPr="006F4DD6">
        <w:rPr>
          <w:kern w:val="22"/>
          <w:lang w:val="fr-CA"/>
        </w:rPr>
        <w:t xml:space="preserve"> liée au climat, retiennent de plus en plus d’attention depuis quelque temps. Les conséquences possibles des techniques de géoingénierie sur la diversité biologique</w:t>
      </w:r>
      <w:r w:rsidR="00712CE2">
        <w:rPr>
          <w:kern w:val="22"/>
          <w:lang w:val="fr-CA"/>
        </w:rPr>
        <w:t>,</w:t>
      </w:r>
      <w:r w:rsidRPr="006F4DD6">
        <w:rPr>
          <w:kern w:val="22"/>
          <w:lang w:val="fr-CA"/>
        </w:rPr>
        <w:t xml:space="preserve"> et les facteurs sociaux, économiques et culturels connexes, ainsi que les mécanismes de réglementation de la géoingénierie liée au climat, o</w:t>
      </w:r>
      <w:r w:rsidR="00004D98" w:rsidRPr="006F4DD6">
        <w:rPr>
          <w:kern w:val="22"/>
          <w:lang w:val="fr-CA"/>
        </w:rPr>
        <w:t>nt f</w:t>
      </w:r>
      <w:r w:rsidRPr="006F4DD6">
        <w:rPr>
          <w:kern w:val="22"/>
          <w:lang w:val="fr-CA"/>
        </w:rPr>
        <w:t>ait l’objet d’études détaillées en réponse à la décision X/</w:t>
      </w:r>
      <w:r w:rsidR="00004D98" w:rsidRPr="006F4DD6">
        <w:rPr>
          <w:kern w:val="22"/>
          <w:lang w:val="fr-CA"/>
        </w:rPr>
        <w:t>33</w:t>
      </w:r>
      <w:r w:rsidR="00712CE2">
        <w:rPr>
          <w:kern w:val="22"/>
          <w:lang w:val="fr-CA"/>
        </w:rPr>
        <w:t>,</w:t>
      </w:r>
      <w:r w:rsidRPr="006F4DD6">
        <w:rPr>
          <w:kern w:val="22"/>
          <w:lang w:val="fr-CA"/>
        </w:rPr>
        <w:t xml:space="preserve"> et les </w:t>
      </w:r>
      <w:r w:rsidR="00712CE2">
        <w:rPr>
          <w:kern w:val="22"/>
          <w:lang w:val="fr-CA"/>
        </w:rPr>
        <w:t>conclusions</w:t>
      </w:r>
      <w:r w:rsidRPr="006F4DD6">
        <w:rPr>
          <w:kern w:val="22"/>
          <w:lang w:val="fr-CA"/>
        </w:rPr>
        <w:t xml:space="preserve"> de ces </w:t>
      </w:r>
      <w:r w:rsidR="00004D98" w:rsidRPr="006F4DD6">
        <w:rPr>
          <w:kern w:val="22"/>
          <w:lang w:val="fr-CA"/>
        </w:rPr>
        <w:t>études</w:t>
      </w:r>
      <w:r w:rsidR="00712CE2">
        <w:rPr>
          <w:kern w:val="22"/>
          <w:lang w:val="fr-CA"/>
        </w:rPr>
        <w:t xml:space="preserve"> ont été publiée</w:t>
      </w:r>
      <w:r w:rsidRPr="006F4DD6">
        <w:rPr>
          <w:kern w:val="22"/>
          <w:lang w:val="fr-CA"/>
        </w:rPr>
        <w:t xml:space="preserve">s dans le Cahier </w:t>
      </w:r>
      <w:r w:rsidR="00004D98" w:rsidRPr="006F4DD6">
        <w:rPr>
          <w:kern w:val="22"/>
          <w:lang w:val="fr-CA"/>
        </w:rPr>
        <w:t>technique</w:t>
      </w:r>
      <w:r w:rsidRPr="006F4DD6">
        <w:rPr>
          <w:kern w:val="22"/>
          <w:lang w:val="fr-CA"/>
        </w:rPr>
        <w:t xml:space="preserve"> n</w:t>
      </w:r>
      <w:r w:rsidRPr="006F4DD6">
        <w:rPr>
          <w:kern w:val="22"/>
          <w:vertAlign w:val="superscript"/>
          <w:lang w:val="fr-CA"/>
        </w:rPr>
        <w:t>o</w:t>
      </w:r>
      <w:r w:rsidRPr="006F4DD6">
        <w:rPr>
          <w:kern w:val="22"/>
          <w:lang w:val="fr-CA"/>
        </w:rPr>
        <w:t xml:space="preserve"> 66 de la CDB</w:t>
      </w:r>
      <w:r w:rsidR="00464292" w:rsidRPr="006F4DD6">
        <w:rPr>
          <w:kern w:val="22"/>
          <w:lang w:val="fr-CA"/>
        </w:rPr>
        <w:t>.</w:t>
      </w:r>
      <w:r w:rsidR="00464292" w:rsidRPr="006F4DD6">
        <w:rPr>
          <w:rStyle w:val="Appelnotedebasdep"/>
          <w:snapToGrid/>
          <w:kern w:val="22"/>
          <w:szCs w:val="24"/>
          <w:u w:val="none"/>
          <w:vertAlign w:val="superscript"/>
          <w:lang w:val="fr-CA"/>
        </w:rPr>
        <w:footnoteReference w:id="21"/>
      </w:r>
      <w:r w:rsidR="00464292" w:rsidRPr="006F4DD6">
        <w:rPr>
          <w:kern w:val="22"/>
          <w:lang w:val="fr-CA"/>
        </w:rPr>
        <w:t xml:space="preserve"> </w:t>
      </w:r>
      <w:r w:rsidR="00004D98" w:rsidRPr="006F4DD6">
        <w:rPr>
          <w:kern w:val="22"/>
          <w:lang w:val="fr-CA"/>
        </w:rPr>
        <w:t>Un rapport actualisé</w:t>
      </w:r>
      <w:r w:rsidR="00464292" w:rsidRPr="006F4DD6">
        <w:rPr>
          <w:rStyle w:val="Appelnotedebasdep"/>
          <w:snapToGrid/>
          <w:kern w:val="22"/>
          <w:szCs w:val="24"/>
          <w:u w:val="none"/>
          <w:vertAlign w:val="superscript"/>
          <w:lang w:val="fr-CA"/>
        </w:rPr>
        <w:footnoteReference w:id="22"/>
      </w:r>
      <w:r w:rsidR="00464292" w:rsidRPr="006F4DD6">
        <w:rPr>
          <w:kern w:val="22"/>
          <w:lang w:val="fr-CA"/>
        </w:rPr>
        <w:t xml:space="preserve"> </w:t>
      </w:r>
      <w:r w:rsidR="00004D98" w:rsidRPr="006F4DD6">
        <w:rPr>
          <w:kern w:val="22"/>
          <w:lang w:val="fr-CA"/>
        </w:rPr>
        <w:t xml:space="preserve">fondé sur les rapports scientifiques pertinents tels que le cinquième rapport d’évaluation du Groupe d’experts intergouvernementaux sur l’évolution du climat a aussi été préparé en réponse à la décision </w:t>
      </w:r>
      <w:hyperlink r:id="rId28" w:history="1">
        <w:r w:rsidR="00464292" w:rsidRPr="006F4DD6">
          <w:rPr>
            <w:rStyle w:val="Lienhypertexte"/>
            <w:kern w:val="22"/>
            <w:lang w:val="fr-CA"/>
          </w:rPr>
          <w:t>XI/20</w:t>
        </w:r>
      </w:hyperlink>
      <w:r w:rsidR="00464292" w:rsidRPr="006F4DD6">
        <w:rPr>
          <w:kern w:val="22"/>
          <w:lang w:val="fr-CA"/>
        </w:rPr>
        <w:t>.</w:t>
      </w:r>
    </w:p>
    <w:p w14:paraId="74D34F25" w14:textId="1078D919" w:rsidR="00906BB7" w:rsidRPr="006F4DD6" w:rsidRDefault="006126D5" w:rsidP="00222F2C">
      <w:pPr>
        <w:pStyle w:val="Para10"/>
        <w:tabs>
          <w:tab w:val="clear" w:pos="360"/>
          <w:tab w:val="num" w:pos="720"/>
        </w:tabs>
        <w:rPr>
          <w:kern w:val="22"/>
          <w:lang w:val="fr-CA"/>
        </w:rPr>
      </w:pPr>
      <w:r w:rsidRPr="006F4DD6">
        <w:rPr>
          <w:kern w:val="22"/>
          <w:lang w:val="fr-CA"/>
        </w:rPr>
        <w:t xml:space="preserve">Les activités d’adaptation doivent être </w:t>
      </w:r>
      <w:r w:rsidR="00735D05">
        <w:rPr>
          <w:kern w:val="22"/>
          <w:lang w:val="fr-CA"/>
        </w:rPr>
        <w:t>accompagnées</w:t>
      </w:r>
      <w:r w:rsidRPr="006F4DD6">
        <w:rPr>
          <w:kern w:val="22"/>
          <w:lang w:val="fr-CA"/>
        </w:rPr>
        <w:t xml:space="preserve"> de mesure</w:t>
      </w:r>
      <w:r w:rsidR="00DF2602">
        <w:rPr>
          <w:kern w:val="22"/>
          <w:lang w:val="fr-CA"/>
        </w:rPr>
        <w:t>s</w:t>
      </w:r>
      <w:r w:rsidRPr="006F4DD6">
        <w:rPr>
          <w:kern w:val="22"/>
          <w:lang w:val="fr-CA"/>
        </w:rPr>
        <w:t xml:space="preserve"> de sauvegarde car elles peuvent représenter une menace directe, par la destruction d’</w:t>
      </w:r>
      <w:r w:rsidR="005E2823" w:rsidRPr="006F4DD6">
        <w:rPr>
          <w:kern w:val="22"/>
          <w:lang w:val="fr-CA"/>
        </w:rPr>
        <w:t>habita</w:t>
      </w:r>
      <w:r w:rsidRPr="006F4DD6">
        <w:rPr>
          <w:kern w:val="22"/>
          <w:lang w:val="fr-CA"/>
        </w:rPr>
        <w:t xml:space="preserve">ts, </w:t>
      </w:r>
      <w:r w:rsidR="00DF2602">
        <w:rPr>
          <w:kern w:val="22"/>
          <w:lang w:val="fr-CA"/>
        </w:rPr>
        <w:t xml:space="preserve">comme dans le cas de </w:t>
      </w:r>
      <w:r w:rsidRPr="006F4DD6">
        <w:rPr>
          <w:kern w:val="22"/>
          <w:lang w:val="fr-CA"/>
        </w:rPr>
        <w:t xml:space="preserve">l’érection de murs </w:t>
      </w:r>
      <w:r w:rsidR="005E2823" w:rsidRPr="006F4DD6">
        <w:rPr>
          <w:kern w:val="22"/>
          <w:lang w:val="fr-CA"/>
        </w:rPr>
        <w:t>de protection</w:t>
      </w:r>
      <w:r w:rsidRPr="006F4DD6">
        <w:rPr>
          <w:kern w:val="22"/>
          <w:lang w:val="fr-CA"/>
        </w:rPr>
        <w:t>, ce qui peut voir des cons</w:t>
      </w:r>
      <w:r w:rsidR="005E2823" w:rsidRPr="006F4DD6">
        <w:rPr>
          <w:kern w:val="22"/>
          <w:lang w:val="fr-CA"/>
        </w:rPr>
        <w:t>équences</w:t>
      </w:r>
      <w:r w:rsidRPr="006F4DD6">
        <w:rPr>
          <w:kern w:val="22"/>
          <w:lang w:val="fr-CA"/>
        </w:rPr>
        <w:t xml:space="preserve"> sur</w:t>
      </w:r>
      <w:r w:rsidR="005E2823" w:rsidRPr="006F4DD6">
        <w:rPr>
          <w:kern w:val="22"/>
          <w:lang w:val="fr-CA"/>
        </w:rPr>
        <w:t xml:space="preserve"> </w:t>
      </w:r>
      <w:r w:rsidRPr="006F4DD6">
        <w:rPr>
          <w:kern w:val="22"/>
          <w:lang w:val="fr-CA"/>
        </w:rPr>
        <w:t>les écosystèmes</w:t>
      </w:r>
      <w:r w:rsidR="00DF2602">
        <w:rPr>
          <w:kern w:val="22"/>
          <w:lang w:val="fr-CA"/>
        </w:rPr>
        <w:t>. La menace peut aussi être indirecte</w:t>
      </w:r>
      <w:r w:rsidRPr="006F4DD6">
        <w:rPr>
          <w:kern w:val="22"/>
          <w:lang w:val="fr-CA"/>
        </w:rPr>
        <w:t>, par l’</w:t>
      </w:r>
      <w:r w:rsidR="005E2823" w:rsidRPr="006F4DD6">
        <w:rPr>
          <w:kern w:val="22"/>
          <w:lang w:val="fr-CA"/>
        </w:rPr>
        <w:t>introd</w:t>
      </w:r>
      <w:r w:rsidRPr="006F4DD6">
        <w:rPr>
          <w:kern w:val="22"/>
          <w:lang w:val="fr-CA"/>
        </w:rPr>
        <w:t>uction de nouvelle</w:t>
      </w:r>
      <w:r w:rsidR="005E2823" w:rsidRPr="006F4DD6">
        <w:rPr>
          <w:kern w:val="22"/>
          <w:lang w:val="fr-CA"/>
        </w:rPr>
        <w:t>s</w:t>
      </w:r>
      <w:r w:rsidRPr="006F4DD6">
        <w:rPr>
          <w:kern w:val="22"/>
          <w:lang w:val="fr-CA"/>
        </w:rPr>
        <w:t xml:space="preserve"> esp</w:t>
      </w:r>
      <w:r w:rsidR="005E2823" w:rsidRPr="006F4DD6">
        <w:rPr>
          <w:kern w:val="22"/>
          <w:lang w:val="fr-CA"/>
        </w:rPr>
        <w:t>è</w:t>
      </w:r>
      <w:r w:rsidRPr="006F4DD6">
        <w:rPr>
          <w:kern w:val="22"/>
          <w:lang w:val="fr-CA"/>
        </w:rPr>
        <w:t xml:space="preserve">ces, </w:t>
      </w:r>
      <w:r w:rsidR="00DF2602">
        <w:rPr>
          <w:kern w:val="22"/>
          <w:lang w:val="fr-CA"/>
        </w:rPr>
        <w:t>comme dans le cas de</w:t>
      </w:r>
      <w:r w:rsidRPr="006F4DD6">
        <w:rPr>
          <w:kern w:val="22"/>
          <w:lang w:val="fr-CA"/>
        </w:rPr>
        <w:t xml:space="preserve"> la mariculture ou l’aquaculture. </w:t>
      </w:r>
      <w:r w:rsidR="00DF2602">
        <w:rPr>
          <w:kern w:val="22"/>
          <w:lang w:val="fr-CA"/>
        </w:rPr>
        <w:t xml:space="preserve">Les </w:t>
      </w:r>
      <w:r w:rsidR="005E2823" w:rsidRPr="006F4DD6">
        <w:rPr>
          <w:kern w:val="22"/>
          <w:lang w:val="fr-CA"/>
        </w:rPr>
        <w:t>lignes di</w:t>
      </w:r>
      <w:r w:rsidRPr="006F4DD6">
        <w:rPr>
          <w:kern w:val="22"/>
          <w:lang w:val="fr-CA"/>
        </w:rPr>
        <w:t>rectrices facul</w:t>
      </w:r>
      <w:r w:rsidR="00C669E8">
        <w:rPr>
          <w:kern w:val="22"/>
          <w:lang w:val="fr-CA"/>
        </w:rPr>
        <w:t>tatives pour la conception et l</w:t>
      </w:r>
      <w:r w:rsidRPr="006F4DD6">
        <w:rPr>
          <w:kern w:val="22"/>
          <w:lang w:val="fr-CA"/>
        </w:rPr>
        <w:t xml:space="preserve">a mise en œuvre efficace des mesures fondées </w:t>
      </w:r>
      <w:r w:rsidR="005E2823" w:rsidRPr="006F4DD6">
        <w:rPr>
          <w:kern w:val="22"/>
          <w:lang w:val="fr-CA"/>
        </w:rPr>
        <w:t>sur les écosystèmes</w:t>
      </w:r>
      <w:r w:rsidRPr="006F4DD6">
        <w:rPr>
          <w:kern w:val="22"/>
          <w:lang w:val="fr-CA"/>
        </w:rPr>
        <w:t xml:space="preserve"> pour l’</w:t>
      </w:r>
      <w:r w:rsidR="005E2823" w:rsidRPr="006F4DD6">
        <w:rPr>
          <w:kern w:val="22"/>
          <w:lang w:val="fr-CA"/>
        </w:rPr>
        <w:t>adaptation au climat et la réd</w:t>
      </w:r>
      <w:r w:rsidRPr="006F4DD6">
        <w:rPr>
          <w:kern w:val="22"/>
          <w:lang w:val="fr-CA"/>
        </w:rPr>
        <w:t>u</w:t>
      </w:r>
      <w:r w:rsidR="00844CEA">
        <w:rPr>
          <w:kern w:val="22"/>
          <w:lang w:val="fr-CA"/>
        </w:rPr>
        <w:t>ction des</w:t>
      </w:r>
      <w:r w:rsidR="005E2823" w:rsidRPr="006F4DD6">
        <w:rPr>
          <w:kern w:val="22"/>
          <w:lang w:val="fr-CA"/>
        </w:rPr>
        <w:t xml:space="preserve"> risqu</w:t>
      </w:r>
      <w:r w:rsidRPr="006F4DD6">
        <w:rPr>
          <w:kern w:val="22"/>
          <w:lang w:val="fr-CA"/>
        </w:rPr>
        <w:t>e</w:t>
      </w:r>
      <w:r w:rsidR="00844CEA">
        <w:rPr>
          <w:kern w:val="22"/>
          <w:lang w:val="fr-CA"/>
        </w:rPr>
        <w:t>s</w:t>
      </w:r>
      <w:r w:rsidRPr="006F4DD6">
        <w:rPr>
          <w:kern w:val="22"/>
          <w:lang w:val="fr-CA"/>
        </w:rPr>
        <w:t xml:space="preserve"> de cata</w:t>
      </w:r>
      <w:r w:rsidR="005E2823" w:rsidRPr="006F4DD6">
        <w:rPr>
          <w:kern w:val="22"/>
          <w:lang w:val="fr-CA"/>
        </w:rPr>
        <w:t>s</w:t>
      </w:r>
      <w:r w:rsidRPr="006F4DD6">
        <w:rPr>
          <w:kern w:val="22"/>
          <w:lang w:val="fr-CA"/>
        </w:rPr>
        <w:t>trophes adoptées par les Parties dans la décision 14/5 (abordées de façon plus détaillée dans la partie II</w:t>
      </w:r>
      <w:r w:rsidR="005E2823" w:rsidRPr="006F4DD6">
        <w:rPr>
          <w:kern w:val="22"/>
          <w:lang w:val="fr-CA"/>
        </w:rPr>
        <w:t xml:space="preserve"> </w:t>
      </w:r>
      <w:r w:rsidRPr="006F4DD6">
        <w:rPr>
          <w:kern w:val="22"/>
          <w:lang w:val="fr-CA"/>
        </w:rPr>
        <w:t>D ci-dessus</w:t>
      </w:r>
      <w:r w:rsidR="00906BB7" w:rsidRPr="006F4DD6">
        <w:rPr>
          <w:kern w:val="22"/>
          <w:lang w:val="fr-CA"/>
        </w:rPr>
        <w:t>)</w:t>
      </w:r>
      <w:r w:rsidR="00C669E8">
        <w:rPr>
          <w:kern w:val="22"/>
          <w:lang w:val="fr-CA"/>
        </w:rPr>
        <w:t xml:space="preserve"> contiennent d</w:t>
      </w:r>
      <w:r w:rsidR="00C669E8" w:rsidRPr="006F4DD6">
        <w:rPr>
          <w:kern w:val="22"/>
          <w:lang w:val="fr-CA"/>
        </w:rPr>
        <w:t xml:space="preserve">es principes et mesures </w:t>
      </w:r>
      <w:r w:rsidR="00C669E8">
        <w:rPr>
          <w:kern w:val="22"/>
          <w:lang w:val="fr-CA"/>
        </w:rPr>
        <w:t>de protection pertinents</w:t>
      </w:r>
      <w:r w:rsidR="00906BB7" w:rsidRPr="006F4DD6">
        <w:rPr>
          <w:kern w:val="22"/>
          <w:lang w:val="fr-CA"/>
        </w:rPr>
        <w:t>.</w:t>
      </w:r>
    </w:p>
    <w:p w14:paraId="34EEC07E" w14:textId="65387CB1" w:rsidR="00211F11" w:rsidRPr="006F4DD6" w:rsidRDefault="00D108A5" w:rsidP="001628D8">
      <w:pPr>
        <w:pStyle w:val="Para10"/>
        <w:suppressLineNumbers/>
        <w:tabs>
          <w:tab w:val="clear" w:pos="360"/>
        </w:tabs>
        <w:suppressAutoHyphens/>
        <w:kinsoku w:val="0"/>
        <w:overflowPunct w:val="0"/>
        <w:autoSpaceDE w:val="0"/>
        <w:autoSpaceDN w:val="0"/>
        <w:adjustRightInd w:val="0"/>
        <w:snapToGrid w:val="0"/>
        <w:rPr>
          <w:kern w:val="22"/>
          <w:szCs w:val="22"/>
          <w:lang w:val="fr-CA"/>
        </w:rPr>
      </w:pPr>
      <w:r w:rsidRPr="006F4DD6">
        <w:rPr>
          <w:kern w:val="22"/>
          <w:szCs w:val="22"/>
          <w:lang w:val="fr-CA"/>
        </w:rPr>
        <w:t xml:space="preserve">Les politiques entourant les mesures d’atténuation et d’adaptation doivent tenir compte des besoins des gens, de la diversité biologique, </w:t>
      </w:r>
      <w:r w:rsidR="00C669E8">
        <w:rPr>
          <w:kern w:val="22"/>
          <w:szCs w:val="22"/>
          <w:lang w:val="fr-CA"/>
        </w:rPr>
        <w:t>de l</w:t>
      </w:r>
      <w:r w:rsidR="003317B9" w:rsidRPr="006F4DD6">
        <w:rPr>
          <w:kern w:val="22"/>
          <w:szCs w:val="22"/>
          <w:lang w:val="fr-CA"/>
        </w:rPr>
        <w:t xml:space="preserve">a production alimentaire et de la concurrence avec les autres services écosystémiques et l’utilisation des terres par les communautés locales, et </w:t>
      </w:r>
      <w:r w:rsidR="00C669E8">
        <w:rPr>
          <w:kern w:val="22"/>
          <w:szCs w:val="22"/>
          <w:lang w:val="fr-CA"/>
        </w:rPr>
        <w:t>appliquer</w:t>
      </w:r>
      <w:r w:rsidR="003317B9" w:rsidRPr="006F4DD6">
        <w:rPr>
          <w:kern w:val="22"/>
          <w:szCs w:val="22"/>
          <w:lang w:val="fr-CA"/>
        </w:rPr>
        <w:t xml:space="preserve"> les principes de bonnes pratiques, </w:t>
      </w:r>
      <w:r w:rsidR="00C669E8">
        <w:rPr>
          <w:kern w:val="22"/>
          <w:szCs w:val="22"/>
          <w:lang w:val="fr-CA"/>
        </w:rPr>
        <w:t xml:space="preserve">les outils et les </w:t>
      </w:r>
      <w:r w:rsidR="003317B9" w:rsidRPr="006F4DD6">
        <w:rPr>
          <w:kern w:val="22"/>
          <w:szCs w:val="22"/>
          <w:lang w:val="fr-CA"/>
        </w:rPr>
        <w:t>orientation</w:t>
      </w:r>
      <w:r w:rsidR="00C669E8">
        <w:rPr>
          <w:kern w:val="22"/>
          <w:szCs w:val="22"/>
          <w:lang w:val="fr-CA"/>
        </w:rPr>
        <w:t>s</w:t>
      </w:r>
      <w:r w:rsidR="003317B9" w:rsidRPr="006F4DD6">
        <w:rPr>
          <w:kern w:val="22"/>
          <w:szCs w:val="22"/>
          <w:lang w:val="fr-CA"/>
        </w:rPr>
        <w:t>, surtout pour repérer les compromis et les conséquences potentielles et involontaires des mesures</w:t>
      </w:r>
      <w:r w:rsidR="00045A19" w:rsidRPr="006F4DD6">
        <w:rPr>
          <w:kern w:val="22"/>
          <w:szCs w:val="22"/>
          <w:lang w:val="fr-CA"/>
        </w:rPr>
        <w:t>.</w:t>
      </w:r>
    </w:p>
    <w:p w14:paraId="7837A032" w14:textId="7C7FE320" w:rsidR="00DE55E9" w:rsidRPr="006F4DD6" w:rsidRDefault="00DE55E9" w:rsidP="006924CD">
      <w:pPr>
        <w:pStyle w:val="Titre2"/>
        <w:rPr>
          <w:kern w:val="22"/>
          <w:lang w:val="fr-CA"/>
        </w:rPr>
      </w:pPr>
      <w:r w:rsidRPr="006F4DD6">
        <w:rPr>
          <w:kern w:val="22"/>
          <w:lang w:val="fr-CA"/>
        </w:rPr>
        <w:t xml:space="preserve">F. </w:t>
      </w:r>
      <w:r w:rsidR="000017F0" w:rsidRPr="006F4DD6">
        <w:rPr>
          <w:kern w:val="22"/>
          <w:lang w:val="fr-CA"/>
        </w:rPr>
        <w:tab/>
      </w:r>
      <w:r w:rsidR="009D4F49" w:rsidRPr="006F4DD6">
        <w:rPr>
          <w:kern w:val="22"/>
          <w:lang w:val="fr-CA"/>
        </w:rPr>
        <w:t>Lutte contre les moteurs communs sous-jacents de l’appauvrissement de la diversité biologique et des changements climatiques</w:t>
      </w:r>
    </w:p>
    <w:p w14:paraId="0974CDB6" w14:textId="4FE0FB77" w:rsidR="00EC50E2" w:rsidRPr="006F4DD6" w:rsidRDefault="009D4F49" w:rsidP="006924CD">
      <w:pPr>
        <w:pStyle w:val="Para10"/>
        <w:tabs>
          <w:tab w:val="clear" w:pos="360"/>
        </w:tabs>
        <w:rPr>
          <w:kern w:val="22"/>
          <w:szCs w:val="22"/>
          <w:lang w:val="fr-CA"/>
        </w:rPr>
      </w:pPr>
      <w:r w:rsidRPr="006F4DD6">
        <w:rPr>
          <w:kern w:val="22"/>
          <w:lang w:val="fr-CA"/>
        </w:rPr>
        <w:t>La diversité biologique a subi des changements sans précédent au cours des 50 dernières années</w:t>
      </w:r>
      <w:r w:rsidR="00EC50E2" w:rsidRPr="006F4DD6">
        <w:rPr>
          <w:kern w:val="22"/>
          <w:lang w:val="fr-CA"/>
        </w:rPr>
        <w:t>.</w:t>
      </w:r>
      <w:r w:rsidRPr="006F4DD6">
        <w:rPr>
          <w:kern w:val="22"/>
          <w:lang w:val="fr-CA"/>
        </w:rPr>
        <w:t xml:space="preserve"> </w:t>
      </w:r>
      <w:r w:rsidR="00667622" w:rsidRPr="006F4DD6">
        <w:rPr>
          <w:kern w:val="22"/>
          <w:lang w:val="fr-CA"/>
        </w:rPr>
        <w:t>Ces changements sont le résultat de facteurs directs</w:t>
      </w:r>
      <w:r w:rsidR="00215B8F" w:rsidRPr="006F4DD6">
        <w:rPr>
          <w:kern w:val="22"/>
          <w:lang w:val="fr-CA"/>
        </w:rPr>
        <w:t>, t</w:t>
      </w:r>
      <w:r w:rsidR="00667622" w:rsidRPr="006F4DD6">
        <w:rPr>
          <w:kern w:val="22"/>
          <w:lang w:val="fr-CA"/>
        </w:rPr>
        <w:t xml:space="preserve">els que les changements dans l’utilisation des terres et de la mer, </w:t>
      </w:r>
      <w:r w:rsidR="00215B8F" w:rsidRPr="006F4DD6">
        <w:rPr>
          <w:kern w:val="22"/>
          <w:lang w:val="fr-CA"/>
        </w:rPr>
        <w:t>l’exploitation, les changements climatiques, la pollution et les espèces exotiques envahissantes, et de facteurs indirects</w:t>
      </w:r>
      <w:r w:rsidR="00C669E8">
        <w:rPr>
          <w:kern w:val="22"/>
          <w:lang w:val="fr-CA"/>
        </w:rPr>
        <w:t xml:space="preserve"> </w:t>
      </w:r>
      <w:r w:rsidR="00215B8F" w:rsidRPr="006F4DD6">
        <w:rPr>
          <w:kern w:val="22"/>
          <w:lang w:val="fr-CA"/>
        </w:rPr>
        <w:t>ancrés dans les valeurs sociétales et les co</w:t>
      </w:r>
      <w:r w:rsidR="00CD4EB4" w:rsidRPr="006F4DD6">
        <w:rPr>
          <w:kern w:val="22"/>
          <w:lang w:val="fr-CA"/>
        </w:rPr>
        <w:t>mportements, notamment les habitudes de producti</w:t>
      </w:r>
      <w:r w:rsidR="00215B8F" w:rsidRPr="006F4DD6">
        <w:rPr>
          <w:kern w:val="22"/>
          <w:lang w:val="fr-CA"/>
        </w:rPr>
        <w:t xml:space="preserve">on </w:t>
      </w:r>
      <w:r w:rsidR="00CD4EB4" w:rsidRPr="006F4DD6">
        <w:rPr>
          <w:kern w:val="22"/>
          <w:lang w:val="fr-CA"/>
        </w:rPr>
        <w:t xml:space="preserve">et de </w:t>
      </w:r>
      <w:r w:rsidR="00215B8F" w:rsidRPr="006F4DD6">
        <w:rPr>
          <w:kern w:val="22"/>
          <w:lang w:val="fr-CA"/>
        </w:rPr>
        <w:t>consommation, les tendances de la population humaine et le commerce. Bien que le taux de changement varie d’une région à</w:t>
      </w:r>
      <w:r w:rsidR="00CD4EB4" w:rsidRPr="006F4DD6">
        <w:rPr>
          <w:kern w:val="22"/>
          <w:lang w:val="fr-CA"/>
        </w:rPr>
        <w:t xml:space="preserve"> </w:t>
      </w:r>
      <w:r w:rsidR="00215B8F" w:rsidRPr="006F4DD6">
        <w:rPr>
          <w:kern w:val="22"/>
          <w:lang w:val="fr-CA"/>
        </w:rPr>
        <w:t xml:space="preserve">l’autre, le résultat net a été ressenti à l’échelle mondiale, car la diversité biologique fait face à une </w:t>
      </w:r>
      <w:r w:rsidR="00CD4EB4" w:rsidRPr="006F4DD6">
        <w:rPr>
          <w:kern w:val="22"/>
          <w:lang w:val="fr-CA"/>
        </w:rPr>
        <w:t>menace</w:t>
      </w:r>
      <w:r w:rsidR="00215B8F" w:rsidRPr="006F4DD6">
        <w:rPr>
          <w:kern w:val="22"/>
          <w:lang w:val="fr-CA"/>
        </w:rPr>
        <w:t xml:space="preserve"> d’une ampleur </w:t>
      </w:r>
      <w:r w:rsidR="00CD4EB4" w:rsidRPr="006F4DD6">
        <w:rPr>
          <w:kern w:val="22"/>
          <w:lang w:val="fr-CA"/>
        </w:rPr>
        <w:t>sans précédent</w:t>
      </w:r>
      <w:r w:rsidR="00215B8F" w:rsidRPr="006F4DD6">
        <w:rPr>
          <w:kern w:val="22"/>
          <w:lang w:val="fr-CA"/>
        </w:rPr>
        <w:t>. La tendance négative des fonctions de</w:t>
      </w:r>
      <w:r w:rsidR="00CD4EB4" w:rsidRPr="006F4DD6">
        <w:rPr>
          <w:kern w:val="22"/>
          <w:lang w:val="fr-CA"/>
        </w:rPr>
        <w:t xml:space="preserve"> </w:t>
      </w:r>
      <w:r w:rsidR="00215B8F" w:rsidRPr="006F4DD6">
        <w:rPr>
          <w:kern w:val="22"/>
          <w:lang w:val="fr-CA"/>
        </w:rPr>
        <w:t xml:space="preserve">la </w:t>
      </w:r>
      <w:r w:rsidR="00215B8F" w:rsidRPr="006F4DD6">
        <w:rPr>
          <w:kern w:val="22"/>
          <w:lang w:val="fr-CA"/>
        </w:rPr>
        <w:lastRenderedPageBreak/>
        <w:t xml:space="preserve">diversité biologique et des services écosystémiques devrait se poursuivre ou même </w:t>
      </w:r>
      <w:r w:rsidR="00CD4EB4" w:rsidRPr="006F4DD6">
        <w:rPr>
          <w:kern w:val="22"/>
          <w:lang w:val="fr-CA"/>
        </w:rPr>
        <w:t>s’accentuer dans de nombreux scé</w:t>
      </w:r>
      <w:r w:rsidR="00215B8F" w:rsidRPr="006F4DD6">
        <w:rPr>
          <w:kern w:val="22"/>
          <w:lang w:val="fr-CA"/>
        </w:rPr>
        <w:t>narios en réponse à ces moteurs indirects.</w:t>
      </w:r>
    </w:p>
    <w:p w14:paraId="63EC0BF9" w14:textId="3730B7A8" w:rsidR="00B02F08" w:rsidRPr="006F4DD6" w:rsidRDefault="00CD4EB4" w:rsidP="006924CD">
      <w:pPr>
        <w:pStyle w:val="Para10"/>
        <w:tabs>
          <w:tab w:val="clear" w:pos="360"/>
        </w:tabs>
        <w:rPr>
          <w:kern w:val="22"/>
          <w:lang w:val="fr-CA"/>
        </w:rPr>
      </w:pPr>
      <w:r w:rsidRPr="006F4DD6">
        <w:rPr>
          <w:kern w:val="22"/>
          <w:lang w:val="fr-CA"/>
        </w:rPr>
        <w:t>En plus de créer un taux de consommation plus élevé, la croissance d</w:t>
      </w:r>
      <w:r w:rsidR="004C397B">
        <w:rPr>
          <w:kern w:val="22"/>
          <w:lang w:val="fr-CA"/>
        </w:rPr>
        <w:t>e la population mondiale a donné lieu à</w:t>
      </w:r>
      <w:r w:rsidRPr="006F4DD6">
        <w:rPr>
          <w:kern w:val="22"/>
          <w:lang w:val="fr-CA"/>
        </w:rPr>
        <w:t xml:space="preserve"> des taux d’ut</w:t>
      </w:r>
      <w:r w:rsidR="001C2F29" w:rsidRPr="006F4DD6">
        <w:rPr>
          <w:kern w:val="22"/>
          <w:lang w:val="fr-CA"/>
        </w:rPr>
        <w:t>i</w:t>
      </w:r>
      <w:r w:rsidRPr="006F4DD6">
        <w:rPr>
          <w:kern w:val="22"/>
          <w:lang w:val="fr-CA"/>
        </w:rPr>
        <w:t xml:space="preserve">lisation de l’eau douce et des terres sans précédent, </w:t>
      </w:r>
      <w:r w:rsidR="00E35DDA">
        <w:rPr>
          <w:kern w:val="22"/>
          <w:lang w:val="fr-CA"/>
        </w:rPr>
        <w:t xml:space="preserve">surtout </w:t>
      </w:r>
      <w:r w:rsidRPr="006F4DD6">
        <w:rPr>
          <w:kern w:val="22"/>
          <w:lang w:val="fr-CA"/>
        </w:rPr>
        <w:t xml:space="preserve">au détriment des forêts, des </w:t>
      </w:r>
      <w:r w:rsidR="001C2F29" w:rsidRPr="006F4DD6">
        <w:rPr>
          <w:kern w:val="22"/>
          <w:lang w:val="fr-CA"/>
        </w:rPr>
        <w:t>zones</w:t>
      </w:r>
      <w:r w:rsidRPr="006F4DD6">
        <w:rPr>
          <w:kern w:val="22"/>
          <w:lang w:val="fr-CA"/>
        </w:rPr>
        <w:t xml:space="preserve"> humides et des prair</w:t>
      </w:r>
      <w:r w:rsidR="001C2F29" w:rsidRPr="006F4DD6">
        <w:rPr>
          <w:kern w:val="22"/>
          <w:lang w:val="fr-CA"/>
        </w:rPr>
        <w:t>i</w:t>
      </w:r>
      <w:r w:rsidRPr="006F4DD6">
        <w:rPr>
          <w:kern w:val="22"/>
          <w:lang w:val="fr-CA"/>
        </w:rPr>
        <w:t>es de la planète.</w:t>
      </w:r>
      <w:r w:rsidR="001C2F29" w:rsidRPr="006F4DD6">
        <w:rPr>
          <w:kern w:val="22"/>
          <w:lang w:val="fr-CA"/>
        </w:rPr>
        <w:t xml:space="preserve"> L’expansion des activités agricoles et de la production agricole a réussi à soutenir l’augmentation de la population mondiale, </w:t>
      </w:r>
      <w:r w:rsidR="00B01BCD">
        <w:rPr>
          <w:kern w:val="22"/>
          <w:lang w:val="fr-CA"/>
        </w:rPr>
        <w:t xml:space="preserve">mais </w:t>
      </w:r>
      <w:r w:rsidR="001C2F29" w:rsidRPr="006F4DD6">
        <w:rPr>
          <w:kern w:val="22"/>
          <w:lang w:val="fr-CA"/>
        </w:rPr>
        <w:t>ces changements ont contribu</w:t>
      </w:r>
      <w:r w:rsidR="00B01BCD">
        <w:rPr>
          <w:kern w:val="22"/>
          <w:lang w:val="fr-CA"/>
        </w:rPr>
        <w:t>é</w:t>
      </w:r>
      <w:r w:rsidR="001C2F29" w:rsidRPr="006F4DD6">
        <w:rPr>
          <w:kern w:val="22"/>
          <w:lang w:val="fr-CA"/>
        </w:rPr>
        <w:t xml:space="preserve"> à augmenter les émissions de gaz à effet de serre et </w:t>
      </w:r>
      <w:r w:rsidR="00B01BCD">
        <w:rPr>
          <w:kern w:val="22"/>
          <w:lang w:val="fr-CA"/>
        </w:rPr>
        <w:t>à appauvrir la diversité biologique et l</w:t>
      </w:r>
      <w:r w:rsidR="001C2F29" w:rsidRPr="006F4DD6">
        <w:rPr>
          <w:kern w:val="22"/>
          <w:lang w:val="fr-CA"/>
        </w:rPr>
        <w:t>es services écosyst</w:t>
      </w:r>
      <w:r w:rsidR="00B01BCD">
        <w:rPr>
          <w:kern w:val="22"/>
          <w:lang w:val="fr-CA"/>
        </w:rPr>
        <w:t>émiques</w:t>
      </w:r>
      <w:r w:rsidR="001C2F29" w:rsidRPr="006F4DD6">
        <w:rPr>
          <w:kern w:val="22"/>
          <w:lang w:val="fr-CA"/>
        </w:rPr>
        <w:t>, à part quelques variantes régionales. Le niveau de consommation varie d’un pays à l’autre, mais les conséquences sont ressenties mondialement</w:t>
      </w:r>
      <w:r w:rsidR="00B02F08" w:rsidRPr="006F4DD6">
        <w:rPr>
          <w:kern w:val="22"/>
          <w:lang w:val="fr-CA"/>
        </w:rPr>
        <w:t>.</w:t>
      </w:r>
    </w:p>
    <w:p w14:paraId="6CF9E2B5" w14:textId="3C26CDC9" w:rsidR="00EC50E2" w:rsidRPr="006F4DD6" w:rsidRDefault="001C2F29" w:rsidP="006924CD">
      <w:pPr>
        <w:pStyle w:val="Para10"/>
        <w:tabs>
          <w:tab w:val="clear" w:pos="360"/>
        </w:tabs>
        <w:rPr>
          <w:kern w:val="22"/>
          <w:lang w:val="fr-CA"/>
        </w:rPr>
      </w:pPr>
      <w:r w:rsidRPr="006F4DD6">
        <w:rPr>
          <w:kern w:val="22"/>
          <w:lang w:val="fr-CA"/>
        </w:rPr>
        <w:t xml:space="preserve">Les choix de consommation ont aussi </w:t>
      </w:r>
      <w:r w:rsidR="00B01BCD">
        <w:rPr>
          <w:kern w:val="22"/>
          <w:lang w:val="fr-CA"/>
        </w:rPr>
        <w:t>des</w:t>
      </w:r>
      <w:r w:rsidRPr="006F4DD6">
        <w:rPr>
          <w:kern w:val="22"/>
          <w:lang w:val="fr-CA"/>
        </w:rPr>
        <w:t xml:space="preserve"> conséquences </w:t>
      </w:r>
      <w:r w:rsidR="00B01BCD">
        <w:rPr>
          <w:kern w:val="22"/>
          <w:lang w:val="fr-CA"/>
        </w:rPr>
        <w:t xml:space="preserve">déterminantes </w:t>
      </w:r>
      <w:r w:rsidRPr="006F4DD6">
        <w:rPr>
          <w:kern w:val="22"/>
          <w:lang w:val="fr-CA"/>
        </w:rPr>
        <w:t>sur la diversité biologique et les changements climatiques</w:t>
      </w:r>
      <w:r w:rsidR="00EC50E2" w:rsidRPr="006F4DD6">
        <w:rPr>
          <w:kern w:val="22"/>
          <w:lang w:val="fr-CA"/>
        </w:rPr>
        <w:t xml:space="preserve">. </w:t>
      </w:r>
      <w:r w:rsidR="00667622" w:rsidRPr="006F4DD6">
        <w:rPr>
          <w:kern w:val="22"/>
          <w:lang w:val="fr-CA"/>
        </w:rPr>
        <w:t>Les changements alimentaires favorisant les aliments créant moins d’émissions et exigeant moins de terres, tels que ceux favorisant les céréales secondaires, les fruits et légumes, et les protéines animales produit</w:t>
      </w:r>
      <w:r w:rsidR="00531D55" w:rsidRPr="006F4DD6">
        <w:rPr>
          <w:kern w:val="22"/>
          <w:lang w:val="fr-CA"/>
        </w:rPr>
        <w:t>e</w:t>
      </w:r>
      <w:r w:rsidR="00667622" w:rsidRPr="006F4DD6">
        <w:rPr>
          <w:kern w:val="22"/>
          <w:lang w:val="fr-CA"/>
        </w:rPr>
        <w:t>s dans des systèmes durables à faibles émissions de gaz à effet de serre, offrent des possibilité</w:t>
      </w:r>
      <w:r w:rsidR="00B01BCD">
        <w:rPr>
          <w:kern w:val="22"/>
          <w:lang w:val="fr-CA"/>
        </w:rPr>
        <w:t>s</w:t>
      </w:r>
      <w:r w:rsidR="00667622" w:rsidRPr="006F4DD6">
        <w:rPr>
          <w:kern w:val="22"/>
          <w:lang w:val="fr-CA"/>
        </w:rPr>
        <w:t xml:space="preserve"> </w:t>
      </w:r>
      <w:r w:rsidR="00B01BCD">
        <w:rPr>
          <w:kern w:val="22"/>
          <w:lang w:val="fr-CA"/>
        </w:rPr>
        <w:t>substantielles</w:t>
      </w:r>
      <w:r w:rsidR="00667622" w:rsidRPr="006F4DD6">
        <w:rPr>
          <w:kern w:val="22"/>
          <w:lang w:val="fr-CA"/>
        </w:rPr>
        <w:t xml:space="preserve"> </w:t>
      </w:r>
      <w:r w:rsidR="00531D55" w:rsidRPr="006F4DD6">
        <w:rPr>
          <w:kern w:val="22"/>
          <w:lang w:val="fr-CA"/>
        </w:rPr>
        <w:t>au</w:t>
      </w:r>
      <w:r w:rsidR="00667622" w:rsidRPr="006F4DD6">
        <w:rPr>
          <w:kern w:val="22"/>
          <w:lang w:val="fr-CA"/>
        </w:rPr>
        <w:t xml:space="preserve">tant pour l’atténuation des changements climatiques </w:t>
      </w:r>
      <w:r w:rsidR="00531D55" w:rsidRPr="006F4DD6">
        <w:rPr>
          <w:kern w:val="22"/>
          <w:lang w:val="fr-CA"/>
        </w:rPr>
        <w:t>que</w:t>
      </w:r>
      <w:r w:rsidR="00667622" w:rsidRPr="006F4DD6">
        <w:rPr>
          <w:kern w:val="22"/>
          <w:lang w:val="fr-CA"/>
        </w:rPr>
        <w:t xml:space="preserve"> l’adaptation à ceux-ci, tout en ayant d’importants bienfaits connexes pour la santé et la diversité biologique. Les changements alimentaires</w:t>
      </w:r>
      <w:r w:rsidR="00531D55" w:rsidRPr="006F4DD6">
        <w:rPr>
          <w:kern w:val="22"/>
          <w:lang w:val="fr-CA"/>
        </w:rPr>
        <w:t xml:space="preserve"> pourraient à eux seuls contribuer à un cinquième des besoins d’atténuation nécessaires pour limiter le réchauffement climatique à 2</w:t>
      </w:r>
      <w:r w:rsidR="00B72C78">
        <w:rPr>
          <w:kern w:val="22"/>
          <w:lang w:val="fr-CA"/>
        </w:rPr>
        <w:t>°C</w:t>
      </w:r>
      <w:r w:rsidR="00531D55" w:rsidRPr="006F4DD6">
        <w:rPr>
          <w:kern w:val="22"/>
          <w:lang w:val="fr-CA"/>
        </w:rPr>
        <w:t xml:space="preserve"> à une fraction du coût, et allégeraient les pressions sur l’utilisation des terres</w:t>
      </w:r>
      <w:r w:rsidR="000017F0" w:rsidRPr="006F4DD6">
        <w:rPr>
          <w:kern w:val="22"/>
          <w:lang w:val="fr-CA"/>
        </w:rPr>
        <w:t>.</w:t>
      </w:r>
      <w:r w:rsidR="00EC50E2" w:rsidRPr="006F4DD6">
        <w:rPr>
          <w:rStyle w:val="Appelnotedebasdep"/>
          <w:snapToGrid/>
          <w:kern w:val="22"/>
          <w:szCs w:val="24"/>
          <w:u w:val="none"/>
          <w:vertAlign w:val="superscript"/>
          <w:lang w:val="fr-CA"/>
        </w:rPr>
        <w:footnoteReference w:id="23"/>
      </w:r>
    </w:p>
    <w:p w14:paraId="155D3558" w14:textId="115C1B3B" w:rsidR="00EC50E2" w:rsidRPr="006F4DD6" w:rsidRDefault="00531D55" w:rsidP="006924CD">
      <w:pPr>
        <w:pStyle w:val="Para10"/>
        <w:tabs>
          <w:tab w:val="clear" w:pos="360"/>
        </w:tabs>
        <w:rPr>
          <w:kern w:val="22"/>
          <w:lang w:val="fr-CA"/>
        </w:rPr>
      </w:pPr>
      <w:r w:rsidRPr="006F4DD6">
        <w:rPr>
          <w:kern w:val="22"/>
          <w:lang w:val="fr-CA"/>
        </w:rPr>
        <w:t>Les solutions pour lutter à la fois contre les moteurs directs et indirects de l’appauvrissement de la diversité biologique et les changements climatiques offrent plusieurs synergies. Les voies pour limiter le réchauffement climatique à 1,5</w:t>
      </w:r>
      <w:r w:rsidR="00B72C78">
        <w:rPr>
          <w:kern w:val="22"/>
          <w:lang w:val="fr-CA"/>
        </w:rPr>
        <w:t>°C</w:t>
      </w:r>
      <w:r w:rsidRPr="006F4DD6">
        <w:rPr>
          <w:kern w:val="22"/>
          <w:lang w:val="fr-CA"/>
        </w:rPr>
        <w:t xml:space="preserve"> </w:t>
      </w:r>
      <w:r w:rsidR="002208D9">
        <w:rPr>
          <w:kern w:val="22"/>
          <w:lang w:val="fr-CA"/>
        </w:rPr>
        <w:t>caractérisées par une</w:t>
      </w:r>
      <w:r w:rsidRPr="006F4DD6">
        <w:rPr>
          <w:kern w:val="22"/>
          <w:lang w:val="fr-CA"/>
        </w:rPr>
        <w:t xml:space="preserve"> faible demande énergétique</w:t>
      </w:r>
      <w:r w:rsidR="001A30B1" w:rsidRPr="006F4DD6">
        <w:rPr>
          <w:kern w:val="22"/>
          <w:lang w:val="fr-CA"/>
        </w:rPr>
        <w:t>, une faible consommation de matières et des préférences favorisant fortement des habitudes alimentaires à faible</w:t>
      </w:r>
      <w:r w:rsidR="006851CE">
        <w:rPr>
          <w:kern w:val="22"/>
          <w:lang w:val="fr-CA"/>
        </w:rPr>
        <w:t>s</w:t>
      </w:r>
      <w:r w:rsidR="001A30B1" w:rsidRPr="006F4DD6">
        <w:rPr>
          <w:kern w:val="22"/>
          <w:lang w:val="fr-CA"/>
        </w:rPr>
        <w:t xml:space="preserve"> émissions de gaz à effet de serre</w:t>
      </w:r>
      <w:r w:rsidR="00A22904">
        <w:rPr>
          <w:kern w:val="22"/>
          <w:lang w:val="fr-CA"/>
        </w:rPr>
        <w:t>,</w:t>
      </w:r>
      <w:r w:rsidR="001A30B1" w:rsidRPr="006F4DD6">
        <w:rPr>
          <w:kern w:val="22"/>
          <w:lang w:val="fr-CA"/>
        </w:rPr>
        <w:t xml:space="preserve"> offrent le plus de synergies et exigent le moins de compromis en matière de développement durable. Les changements alimentaires, les rendements plus abondants et la réduction du gaspillage alimentaire </w:t>
      </w:r>
      <w:r w:rsidR="005F1DC1" w:rsidRPr="006F4DD6">
        <w:rPr>
          <w:kern w:val="22"/>
          <w:lang w:val="fr-CA"/>
        </w:rPr>
        <w:t>peuvent aider à éviter les changements dans l’utilisation des terres aux fins d’agriculture</w:t>
      </w:r>
      <w:r w:rsidR="002208D9">
        <w:rPr>
          <w:kern w:val="22"/>
          <w:lang w:val="fr-CA"/>
        </w:rPr>
        <w:t>,</w:t>
      </w:r>
      <w:r w:rsidR="005F1DC1" w:rsidRPr="006F4DD6">
        <w:rPr>
          <w:kern w:val="22"/>
          <w:lang w:val="fr-CA"/>
        </w:rPr>
        <w:t xml:space="preserve"> et les terres ainsi épargnées pourraient être restaurées en habitats naturels</w:t>
      </w:r>
      <w:r w:rsidR="00EC50E2" w:rsidRPr="006F4DD6">
        <w:rPr>
          <w:kern w:val="22"/>
          <w:lang w:val="fr-CA"/>
        </w:rPr>
        <w:t>.</w:t>
      </w:r>
      <w:r w:rsidR="005F1DC1" w:rsidRPr="006F4DD6">
        <w:rPr>
          <w:kern w:val="22"/>
          <w:lang w:val="fr-CA"/>
        </w:rPr>
        <w:t xml:space="preserve"> Ces changements exigeraient </w:t>
      </w:r>
      <w:r w:rsidR="00A22904">
        <w:rPr>
          <w:kern w:val="22"/>
          <w:lang w:val="fr-CA"/>
        </w:rPr>
        <w:t>d’immenses modifications</w:t>
      </w:r>
      <w:r w:rsidR="005F1DC1" w:rsidRPr="006F4DD6">
        <w:rPr>
          <w:kern w:val="22"/>
          <w:lang w:val="fr-CA"/>
        </w:rPr>
        <w:t xml:space="preserve"> de comportement </w:t>
      </w:r>
      <w:r w:rsidR="002208D9">
        <w:rPr>
          <w:kern w:val="22"/>
          <w:lang w:val="fr-CA"/>
        </w:rPr>
        <w:t>favorisant des modes de vie à</w:t>
      </w:r>
      <w:r w:rsidR="005F1DC1" w:rsidRPr="006F4DD6">
        <w:rPr>
          <w:kern w:val="22"/>
          <w:lang w:val="fr-CA"/>
        </w:rPr>
        <w:t xml:space="preserve"> consommation réduite</w:t>
      </w:r>
      <w:r w:rsidR="002208D9">
        <w:rPr>
          <w:kern w:val="22"/>
          <w:lang w:val="fr-CA"/>
        </w:rPr>
        <w:t xml:space="preserve">, conformes </w:t>
      </w:r>
      <w:r w:rsidR="005F1DC1" w:rsidRPr="006F4DD6">
        <w:rPr>
          <w:kern w:val="22"/>
          <w:lang w:val="fr-CA"/>
        </w:rPr>
        <w:t xml:space="preserve">aux objectifs de développement et </w:t>
      </w:r>
      <w:r w:rsidR="00B50D85">
        <w:rPr>
          <w:kern w:val="22"/>
          <w:lang w:val="fr-CA"/>
        </w:rPr>
        <w:t>de</w:t>
      </w:r>
      <w:r w:rsidR="005F1DC1" w:rsidRPr="006F4DD6">
        <w:rPr>
          <w:kern w:val="22"/>
          <w:lang w:val="fr-CA"/>
        </w:rPr>
        <w:t xml:space="preserve"> bien-être équitable.</w:t>
      </w:r>
    </w:p>
    <w:p w14:paraId="0CEF11A1" w14:textId="462FCFC2" w:rsidR="00CC408C" w:rsidRPr="006F4DD6" w:rsidRDefault="00443BDB" w:rsidP="006924CD">
      <w:pPr>
        <w:pStyle w:val="Titre2"/>
        <w:rPr>
          <w:kern w:val="22"/>
          <w:lang w:val="fr-CA"/>
        </w:rPr>
      </w:pPr>
      <w:r w:rsidRPr="006F4DD6">
        <w:rPr>
          <w:kern w:val="22"/>
          <w:lang w:val="fr-CA"/>
        </w:rPr>
        <w:t>G</w:t>
      </w:r>
      <w:r w:rsidR="00843020" w:rsidRPr="006F4DD6">
        <w:rPr>
          <w:kern w:val="22"/>
          <w:lang w:val="fr-CA"/>
        </w:rPr>
        <w:t xml:space="preserve">. </w:t>
      </w:r>
      <w:r w:rsidR="00AB1F11">
        <w:rPr>
          <w:kern w:val="22"/>
          <w:lang w:val="fr-CA"/>
        </w:rPr>
        <w:t xml:space="preserve">Le </w:t>
      </w:r>
      <w:r w:rsidR="005A0718" w:rsidRPr="006F4DD6">
        <w:rPr>
          <w:kern w:val="22"/>
          <w:lang w:val="fr-CA"/>
        </w:rPr>
        <w:t xml:space="preserve">Cadre mondial de la biodiversité pour l’après-2020 </w:t>
      </w:r>
      <w:r w:rsidR="00AB1F11">
        <w:rPr>
          <w:kern w:val="22"/>
          <w:lang w:val="fr-CA"/>
        </w:rPr>
        <w:br/>
      </w:r>
      <w:r w:rsidR="005A0718" w:rsidRPr="006F4DD6">
        <w:rPr>
          <w:kern w:val="22"/>
          <w:lang w:val="fr-CA"/>
        </w:rPr>
        <w:t xml:space="preserve">et </w:t>
      </w:r>
      <w:r w:rsidR="00AB1F11">
        <w:rPr>
          <w:kern w:val="22"/>
          <w:lang w:val="fr-CA"/>
        </w:rPr>
        <w:t xml:space="preserve">la </w:t>
      </w:r>
      <w:r w:rsidR="005A0718" w:rsidRPr="006F4DD6">
        <w:rPr>
          <w:kern w:val="22"/>
          <w:lang w:val="fr-CA"/>
        </w:rPr>
        <w:t>Vision 2050 « Vivre en harmonie avec la nature »</w:t>
      </w:r>
    </w:p>
    <w:p w14:paraId="0FC08ADE" w14:textId="67C5EA88" w:rsidR="00D34C2A" w:rsidRPr="006F4DD6" w:rsidRDefault="005A0718" w:rsidP="00D34C2A">
      <w:pPr>
        <w:pStyle w:val="Para10"/>
        <w:tabs>
          <w:tab w:val="clear" w:pos="360"/>
          <w:tab w:val="num" w:pos="720"/>
        </w:tabs>
        <w:rPr>
          <w:kern w:val="22"/>
          <w:szCs w:val="22"/>
          <w:lang w:val="fr-CA"/>
        </w:rPr>
      </w:pPr>
      <w:r w:rsidRPr="006F4DD6">
        <w:rPr>
          <w:kern w:val="22"/>
          <w:szCs w:val="22"/>
          <w:lang w:val="fr-CA"/>
        </w:rPr>
        <w:t>Les tendan</w:t>
      </w:r>
      <w:r w:rsidR="00AB1F11">
        <w:rPr>
          <w:kern w:val="22"/>
          <w:szCs w:val="22"/>
          <w:lang w:val="fr-CA"/>
        </w:rPr>
        <w:t>ces négatives accablantes pour l</w:t>
      </w:r>
      <w:r w:rsidRPr="006F4DD6">
        <w:rPr>
          <w:kern w:val="22"/>
          <w:szCs w:val="22"/>
          <w:lang w:val="fr-CA"/>
        </w:rPr>
        <w:t>a diversité biologique associé</w:t>
      </w:r>
      <w:r w:rsidR="00AB1F11">
        <w:rPr>
          <w:kern w:val="22"/>
          <w:szCs w:val="22"/>
          <w:lang w:val="fr-CA"/>
        </w:rPr>
        <w:t>e</w:t>
      </w:r>
      <w:r w:rsidRPr="006F4DD6">
        <w:rPr>
          <w:kern w:val="22"/>
          <w:szCs w:val="22"/>
          <w:lang w:val="fr-CA"/>
        </w:rPr>
        <w:t>s aux scénarios des changements climatiques pour l’avenir sont telles que la Vision 2050 de « Vivre en harmonie avec la nature » ne pourr</w:t>
      </w:r>
      <w:r w:rsidR="00AB1F11">
        <w:rPr>
          <w:kern w:val="22"/>
          <w:szCs w:val="22"/>
          <w:lang w:val="fr-CA"/>
        </w:rPr>
        <w:t>a être réalisée</w:t>
      </w:r>
      <w:r w:rsidRPr="006F4DD6">
        <w:rPr>
          <w:kern w:val="22"/>
          <w:szCs w:val="22"/>
          <w:lang w:val="fr-CA"/>
        </w:rPr>
        <w:t xml:space="preserve"> que si le</w:t>
      </w:r>
      <w:r w:rsidR="00BB0E61" w:rsidRPr="006F4DD6">
        <w:rPr>
          <w:kern w:val="22"/>
          <w:szCs w:val="22"/>
          <w:lang w:val="fr-CA"/>
        </w:rPr>
        <w:t xml:space="preserve"> réchauffement climatique est ma</w:t>
      </w:r>
      <w:r w:rsidRPr="006F4DD6">
        <w:rPr>
          <w:kern w:val="22"/>
          <w:szCs w:val="22"/>
          <w:lang w:val="fr-CA"/>
        </w:rPr>
        <w:t xml:space="preserve">intenu sous les 2°C et </w:t>
      </w:r>
      <w:r w:rsidR="00AB1F11">
        <w:rPr>
          <w:kern w:val="22"/>
          <w:szCs w:val="22"/>
          <w:lang w:val="fr-CA"/>
        </w:rPr>
        <w:t xml:space="preserve">même </w:t>
      </w:r>
      <w:r w:rsidRPr="006F4DD6">
        <w:rPr>
          <w:kern w:val="22"/>
          <w:szCs w:val="22"/>
          <w:lang w:val="fr-CA"/>
        </w:rPr>
        <w:t>plus pr</w:t>
      </w:r>
      <w:r w:rsidR="00BB0E61" w:rsidRPr="006F4DD6">
        <w:rPr>
          <w:kern w:val="22"/>
          <w:szCs w:val="22"/>
          <w:lang w:val="fr-CA"/>
        </w:rPr>
        <w:t>ès du 1,5</w:t>
      </w:r>
      <w:r w:rsidRPr="006F4DD6">
        <w:rPr>
          <w:kern w:val="22"/>
          <w:szCs w:val="22"/>
          <w:lang w:val="fr-CA"/>
        </w:rPr>
        <w:t>°C</w:t>
      </w:r>
      <w:r w:rsidR="00BB0E61" w:rsidRPr="006F4DD6">
        <w:rPr>
          <w:kern w:val="22"/>
          <w:szCs w:val="22"/>
          <w:lang w:val="fr-CA"/>
        </w:rPr>
        <w:t xml:space="preserve"> au-dessus</w:t>
      </w:r>
      <w:r w:rsidR="00AB1F11">
        <w:rPr>
          <w:kern w:val="22"/>
          <w:szCs w:val="22"/>
          <w:lang w:val="fr-CA"/>
        </w:rPr>
        <w:t xml:space="preserve"> des niveaux préindustriels, fau</w:t>
      </w:r>
      <w:r w:rsidR="00BB0E61" w:rsidRPr="006F4DD6">
        <w:rPr>
          <w:kern w:val="22"/>
          <w:szCs w:val="22"/>
          <w:lang w:val="fr-CA"/>
        </w:rPr>
        <w:t>te de quoi les objectifs pour la diversité biologique ne seront pas atteints ce qui nuira à la réalisation de plusieurs Objectifs de développement durable</w:t>
      </w:r>
      <w:r w:rsidR="00D34C2A" w:rsidRPr="006F4DD6">
        <w:rPr>
          <w:kern w:val="22"/>
          <w:szCs w:val="22"/>
          <w:lang w:val="fr-CA"/>
        </w:rPr>
        <w:t>.</w:t>
      </w:r>
    </w:p>
    <w:p w14:paraId="59128A79" w14:textId="64301451" w:rsidR="00D34C2A" w:rsidRPr="006F4DD6" w:rsidRDefault="00BB0E61" w:rsidP="00222F2C">
      <w:pPr>
        <w:pStyle w:val="Para10"/>
        <w:tabs>
          <w:tab w:val="clear" w:pos="360"/>
          <w:tab w:val="num" w:pos="720"/>
        </w:tabs>
        <w:rPr>
          <w:kern w:val="22"/>
          <w:szCs w:val="22"/>
          <w:lang w:val="fr-CA"/>
        </w:rPr>
      </w:pPr>
      <w:r w:rsidRPr="006F4DD6">
        <w:rPr>
          <w:kern w:val="22"/>
          <w:szCs w:val="22"/>
          <w:lang w:val="fr-CA"/>
        </w:rPr>
        <w:t>Les récentes éva</w:t>
      </w:r>
      <w:r w:rsidR="00FA5CED" w:rsidRPr="006F4DD6">
        <w:rPr>
          <w:kern w:val="22"/>
          <w:szCs w:val="22"/>
          <w:lang w:val="fr-CA"/>
        </w:rPr>
        <w:t>l</w:t>
      </w:r>
      <w:r w:rsidRPr="006F4DD6">
        <w:rPr>
          <w:kern w:val="22"/>
          <w:szCs w:val="22"/>
          <w:lang w:val="fr-CA"/>
        </w:rPr>
        <w:t xml:space="preserve">uation du </w:t>
      </w:r>
      <w:proofErr w:type="spellStart"/>
      <w:r w:rsidRPr="006F4DD6">
        <w:rPr>
          <w:kern w:val="22"/>
          <w:szCs w:val="22"/>
          <w:lang w:val="fr-CA"/>
        </w:rPr>
        <w:t>GIEC</w:t>
      </w:r>
      <w:proofErr w:type="spellEnd"/>
      <w:r w:rsidRPr="006F4DD6">
        <w:rPr>
          <w:kern w:val="22"/>
          <w:szCs w:val="22"/>
          <w:lang w:val="fr-CA"/>
        </w:rPr>
        <w:t xml:space="preserve"> et de l’</w:t>
      </w:r>
      <w:proofErr w:type="spellStart"/>
      <w:r w:rsidRPr="006F4DD6">
        <w:rPr>
          <w:kern w:val="22"/>
          <w:szCs w:val="22"/>
          <w:lang w:val="fr-CA"/>
        </w:rPr>
        <w:t>IPBES</w:t>
      </w:r>
      <w:proofErr w:type="spellEnd"/>
      <w:r w:rsidRPr="006F4DD6">
        <w:rPr>
          <w:kern w:val="22"/>
          <w:szCs w:val="22"/>
          <w:lang w:val="fr-CA"/>
        </w:rPr>
        <w:t xml:space="preserve"> renforcent fortement le rôle critique </w:t>
      </w:r>
      <w:r w:rsidR="00FA5CED" w:rsidRPr="006F4DD6">
        <w:rPr>
          <w:kern w:val="22"/>
          <w:szCs w:val="22"/>
          <w:lang w:val="fr-CA"/>
        </w:rPr>
        <w:t xml:space="preserve">de la diversité biologique </w:t>
      </w:r>
      <w:r w:rsidR="00AB1F11">
        <w:rPr>
          <w:kern w:val="22"/>
          <w:szCs w:val="22"/>
          <w:lang w:val="fr-CA"/>
        </w:rPr>
        <w:t>dans</w:t>
      </w:r>
      <w:r w:rsidR="00FA5CED" w:rsidRPr="006F4DD6">
        <w:rPr>
          <w:kern w:val="22"/>
          <w:szCs w:val="22"/>
          <w:lang w:val="fr-CA"/>
        </w:rPr>
        <w:t xml:space="preserve"> la réalisation des objectifs de changements climatiques, de la neutralité de </w:t>
      </w:r>
      <w:r w:rsidR="00AB1F11">
        <w:rPr>
          <w:kern w:val="22"/>
          <w:szCs w:val="22"/>
          <w:lang w:val="fr-CA"/>
        </w:rPr>
        <w:t xml:space="preserve">la </w:t>
      </w:r>
      <w:r w:rsidR="00FA5CED" w:rsidRPr="006F4DD6">
        <w:rPr>
          <w:kern w:val="22"/>
          <w:szCs w:val="22"/>
          <w:lang w:val="fr-CA"/>
        </w:rPr>
        <w:t>dégradation des sols et du développement durable</w:t>
      </w:r>
      <w:r w:rsidR="0024569D" w:rsidRPr="006F4DD6">
        <w:rPr>
          <w:kern w:val="22"/>
          <w:szCs w:val="22"/>
          <w:lang w:val="fr-CA"/>
        </w:rPr>
        <w:t>.</w:t>
      </w:r>
      <w:r w:rsidR="00D34C2A" w:rsidRPr="006F4DD6">
        <w:rPr>
          <w:kern w:val="22"/>
          <w:szCs w:val="22"/>
          <w:lang w:val="fr-CA"/>
        </w:rPr>
        <w:t xml:space="preserve"> </w:t>
      </w:r>
      <w:r w:rsidR="00FA5CED" w:rsidRPr="006F4DD6">
        <w:rPr>
          <w:kern w:val="22"/>
          <w:szCs w:val="22"/>
          <w:lang w:val="fr-CA"/>
        </w:rPr>
        <w:t>Plusieurs mesures prévues pour le développement et les changements climatiques sont les mêmes que celles nécessaires au sou</w:t>
      </w:r>
      <w:r w:rsidR="00AB1F11">
        <w:rPr>
          <w:kern w:val="22"/>
          <w:szCs w:val="22"/>
          <w:lang w:val="fr-CA"/>
        </w:rPr>
        <w:t>tien de la diversité biologique</w:t>
      </w:r>
      <w:r w:rsidR="00272CC4">
        <w:rPr>
          <w:kern w:val="22"/>
          <w:szCs w:val="22"/>
          <w:lang w:val="fr-CA"/>
        </w:rPr>
        <w:t xml:space="preserve">. Elles offrent des occasions </w:t>
      </w:r>
      <w:r w:rsidR="00FA5CED" w:rsidRPr="006F4DD6">
        <w:rPr>
          <w:kern w:val="22"/>
          <w:szCs w:val="22"/>
          <w:lang w:val="fr-CA"/>
        </w:rPr>
        <w:t>de promouvoir la conservation, l’utilisation durable et la restauration des écosystèmes.</w:t>
      </w:r>
    </w:p>
    <w:p w14:paraId="7812041B" w14:textId="4F20A814" w:rsidR="00D80EFB" w:rsidRPr="006F4DD6" w:rsidRDefault="00FA5CED" w:rsidP="00CF1C0C">
      <w:pPr>
        <w:pStyle w:val="Para10"/>
        <w:suppressLineNumbers/>
        <w:tabs>
          <w:tab w:val="clear" w:pos="360"/>
        </w:tabs>
        <w:suppressAutoHyphens/>
        <w:kinsoku w:val="0"/>
        <w:overflowPunct w:val="0"/>
        <w:autoSpaceDE w:val="0"/>
        <w:autoSpaceDN w:val="0"/>
        <w:adjustRightInd w:val="0"/>
        <w:snapToGrid w:val="0"/>
        <w:rPr>
          <w:kern w:val="22"/>
          <w:szCs w:val="22"/>
          <w:lang w:val="fr-CA"/>
        </w:rPr>
      </w:pPr>
      <w:r w:rsidRPr="006F4DD6">
        <w:rPr>
          <w:kern w:val="22"/>
          <w:szCs w:val="22"/>
          <w:lang w:val="fr-CA"/>
        </w:rPr>
        <w:t xml:space="preserve">Les voies de réalisation de la Vision 2050 devront </w:t>
      </w:r>
      <w:r w:rsidR="00272CC4">
        <w:rPr>
          <w:kern w:val="22"/>
          <w:szCs w:val="22"/>
          <w:lang w:val="fr-CA"/>
        </w:rPr>
        <w:t>comporter</w:t>
      </w:r>
      <w:r w:rsidRPr="006F4DD6">
        <w:rPr>
          <w:kern w:val="22"/>
          <w:szCs w:val="22"/>
          <w:lang w:val="fr-CA"/>
        </w:rPr>
        <w:t xml:space="preserve"> d’importantes mesures d’atténuation des changements climatiques. </w:t>
      </w:r>
      <w:r w:rsidR="00B32166" w:rsidRPr="006F4DD6">
        <w:rPr>
          <w:kern w:val="22"/>
          <w:szCs w:val="22"/>
          <w:lang w:val="fr-CA"/>
        </w:rPr>
        <w:t xml:space="preserve">Les voies qui évitent ou limitent l’application de mesures pouvant avoir des conséquences potentiellement négatives sur la diversité biologique doivent devenir prioritaires. Ces voies </w:t>
      </w:r>
      <w:r w:rsidR="00BD6287" w:rsidRPr="006F4DD6">
        <w:rPr>
          <w:kern w:val="22"/>
          <w:szCs w:val="22"/>
          <w:lang w:val="fr-CA"/>
        </w:rPr>
        <w:t>p</w:t>
      </w:r>
      <w:r w:rsidR="00B32166" w:rsidRPr="006F4DD6">
        <w:rPr>
          <w:kern w:val="22"/>
          <w:szCs w:val="22"/>
          <w:lang w:val="fr-CA"/>
        </w:rPr>
        <w:t>ourraient reposer sur des changements de comportement ou de mode de vie, dont des régimes alimentaires exigeant moins d</w:t>
      </w:r>
      <w:r w:rsidR="00BD6287" w:rsidRPr="006F4DD6">
        <w:rPr>
          <w:kern w:val="22"/>
          <w:szCs w:val="22"/>
          <w:lang w:val="fr-CA"/>
        </w:rPr>
        <w:t>e ressour</w:t>
      </w:r>
      <w:r w:rsidR="00B32166" w:rsidRPr="006F4DD6">
        <w:rPr>
          <w:kern w:val="22"/>
          <w:szCs w:val="22"/>
          <w:lang w:val="fr-CA"/>
        </w:rPr>
        <w:t xml:space="preserve">ces et réduisant le gaspillage alimentaire et </w:t>
      </w:r>
      <w:r w:rsidR="00272CC4">
        <w:rPr>
          <w:kern w:val="22"/>
          <w:szCs w:val="22"/>
          <w:lang w:val="fr-CA"/>
        </w:rPr>
        <w:t>comprendre</w:t>
      </w:r>
      <w:r w:rsidR="00B32166" w:rsidRPr="006F4DD6">
        <w:rPr>
          <w:kern w:val="22"/>
          <w:szCs w:val="22"/>
          <w:lang w:val="fr-CA"/>
        </w:rPr>
        <w:t xml:space="preserve"> une réduction rapide </w:t>
      </w:r>
      <w:r w:rsidR="00BD6287" w:rsidRPr="006F4DD6">
        <w:rPr>
          <w:kern w:val="22"/>
          <w:szCs w:val="22"/>
          <w:lang w:val="fr-CA"/>
        </w:rPr>
        <w:t>d</w:t>
      </w:r>
      <w:r w:rsidR="00871670">
        <w:rPr>
          <w:kern w:val="22"/>
          <w:szCs w:val="22"/>
          <w:lang w:val="fr-CA"/>
        </w:rPr>
        <w:t xml:space="preserve">es </w:t>
      </w:r>
      <w:r w:rsidR="00BD6287" w:rsidRPr="006F4DD6">
        <w:rPr>
          <w:kern w:val="22"/>
          <w:szCs w:val="22"/>
          <w:lang w:val="fr-CA"/>
        </w:rPr>
        <w:t>émissions</w:t>
      </w:r>
      <w:r w:rsidR="00B32166" w:rsidRPr="006F4DD6">
        <w:rPr>
          <w:kern w:val="22"/>
          <w:szCs w:val="22"/>
          <w:lang w:val="fr-CA"/>
        </w:rPr>
        <w:t xml:space="preserve"> de gaz à effet</w:t>
      </w:r>
      <w:r w:rsidR="00BD6287" w:rsidRPr="006F4DD6">
        <w:rPr>
          <w:kern w:val="22"/>
          <w:szCs w:val="22"/>
          <w:lang w:val="fr-CA"/>
        </w:rPr>
        <w:t xml:space="preserve"> </w:t>
      </w:r>
      <w:r w:rsidR="00B32166" w:rsidRPr="006F4DD6">
        <w:rPr>
          <w:kern w:val="22"/>
          <w:szCs w:val="22"/>
          <w:lang w:val="fr-CA"/>
        </w:rPr>
        <w:t>de serre dans d’autres secteurs. L’évaluation mondiale de l’</w:t>
      </w:r>
      <w:proofErr w:type="spellStart"/>
      <w:r w:rsidR="00B32166" w:rsidRPr="006F4DD6">
        <w:rPr>
          <w:kern w:val="22"/>
          <w:szCs w:val="22"/>
          <w:lang w:val="fr-CA"/>
        </w:rPr>
        <w:t>IPBES</w:t>
      </w:r>
      <w:proofErr w:type="spellEnd"/>
      <w:r w:rsidR="00B32166" w:rsidRPr="006F4DD6">
        <w:rPr>
          <w:kern w:val="22"/>
          <w:szCs w:val="22"/>
          <w:lang w:val="fr-CA"/>
        </w:rPr>
        <w:t xml:space="preserve"> et la cinquième </w:t>
      </w:r>
      <w:r w:rsidR="00B32166" w:rsidRPr="006F4DD6">
        <w:rPr>
          <w:kern w:val="22"/>
          <w:szCs w:val="22"/>
          <w:lang w:val="fr-CA"/>
        </w:rPr>
        <w:lastRenderedPageBreak/>
        <w:t xml:space="preserve">édition des </w:t>
      </w:r>
      <w:r w:rsidR="00B32166" w:rsidRPr="00871670">
        <w:rPr>
          <w:i/>
          <w:kern w:val="22"/>
          <w:szCs w:val="22"/>
          <w:lang w:val="fr-CA"/>
        </w:rPr>
        <w:t>Perspectives mondiales de la diversité biologique</w:t>
      </w:r>
      <w:r w:rsidR="00B32166" w:rsidRPr="006F4DD6">
        <w:rPr>
          <w:kern w:val="22"/>
          <w:szCs w:val="22"/>
          <w:lang w:val="fr-CA"/>
        </w:rPr>
        <w:t xml:space="preserve"> </w:t>
      </w:r>
      <w:r w:rsidR="00BD6287" w:rsidRPr="006F4DD6">
        <w:rPr>
          <w:kern w:val="22"/>
          <w:szCs w:val="22"/>
          <w:lang w:val="fr-CA"/>
        </w:rPr>
        <w:t>abordent les moyens possibles de réaliser la Vision 2050</w:t>
      </w:r>
      <w:r w:rsidR="00CF1C0C" w:rsidRPr="006F4DD6">
        <w:rPr>
          <w:kern w:val="22"/>
          <w:szCs w:val="22"/>
          <w:lang w:val="fr-CA"/>
        </w:rPr>
        <w:t>.</w:t>
      </w:r>
    </w:p>
    <w:p w14:paraId="11A09957" w14:textId="415C162E" w:rsidR="00B72E32" w:rsidRPr="006F4DD6" w:rsidRDefault="00BD6287" w:rsidP="00222F2C">
      <w:pPr>
        <w:pStyle w:val="Para10"/>
        <w:tabs>
          <w:tab w:val="clear" w:pos="360"/>
          <w:tab w:val="num" w:pos="720"/>
        </w:tabs>
        <w:rPr>
          <w:kern w:val="22"/>
          <w:szCs w:val="22"/>
          <w:lang w:val="fr-CA" w:eastAsia="en-CA"/>
        </w:rPr>
      </w:pPr>
      <w:r w:rsidRPr="006F4DD6">
        <w:rPr>
          <w:kern w:val="22"/>
          <w:szCs w:val="22"/>
          <w:lang w:val="fr-CA"/>
        </w:rPr>
        <w:t>Dans sa décision</w:t>
      </w:r>
      <w:r w:rsidR="00905355" w:rsidRPr="006F4DD6">
        <w:rPr>
          <w:kern w:val="22"/>
          <w:szCs w:val="22"/>
          <w:lang w:val="fr-CA"/>
        </w:rPr>
        <w:t xml:space="preserve"> </w:t>
      </w:r>
      <w:r w:rsidRPr="006F4DD6">
        <w:rPr>
          <w:kern w:val="22"/>
          <w:szCs w:val="22"/>
          <w:lang w:val="fr-CA"/>
        </w:rPr>
        <w:t>14/5, la Conférence des Parties demande à la Secrétaire exécutive d’examiner les liens et l’interdépendance entre la diversité biologique et les changements climatiques dans le contexte de la préparation</w:t>
      </w:r>
      <w:r w:rsidR="0091745B" w:rsidRPr="006F4DD6">
        <w:rPr>
          <w:kern w:val="22"/>
          <w:szCs w:val="22"/>
          <w:lang w:val="fr-CA"/>
        </w:rPr>
        <w:t xml:space="preserve"> du Cadre mondial de l</w:t>
      </w:r>
      <w:r w:rsidR="00871670">
        <w:rPr>
          <w:kern w:val="22"/>
          <w:szCs w:val="22"/>
          <w:lang w:val="fr-CA"/>
        </w:rPr>
        <w:t>a biodiversité pour l’après-2020</w:t>
      </w:r>
      <w:r w:rsidR="0091745B" w:rsidRPr="006F4DD6">
        <w:rPr>
          <w:kern w:val="22"/>
          <w:szCs w:val="22"/>
          <w:lang w:val="fr-CA"/>
        </w:rPr>
        <w:t xml:space="preserve">, </w:t>
      </w:r>
      <w:r w:rsidR="00871670">
        <w:rPr>
          <w:kern w:val="22"/>
          <w:szCs w:val="22"/>
          <w:lang w:val="fr-CA"/>
        </w:rPr>
        <w:t>en se fondant</w:t>
      </w:r>
      <w:r w:rsidR="0091745B" w:rsidRPr="006F4DD6">
        <w:rPr>
          <w:kern w:val="22"/>
          <w:szCs w:val="22"/>
          <w:lang w:val="fr-CA"/>
        </w:rPr>
        <w:t xml:space="preserve"> sur les rapports et les évaluations du </w:t>
      </w:r>
      <w:proofErr w:type="spellStart"/>
      <w:r w:rsidR="0091745B" w:rsidRPr="006F4DD6">
        <w:rPr>
          <w:kern w:val="22"/>
          <w:szCs w:val="22"/>
          <w:lang w:val="fr-CA"/>
        </w:rPr>
        <w:t>GIEC</w:t>
      </w:r>
      <w:proofErr w:type="spellEnd"/>
      <w:r w:rsidR="0091745B" w:rsidRPr="006F4DD6">
        <w:rPr>
          <w:kern w:val="22"/>
          <w:szCs w:val="22"/>
          <w:lang w:val="fr-CA"/>
        </w:rPr>
        <w:t xml:space="preserve"> et de l’</w:t>
      </w:r>
      <w:proofErr w:type="spellStart"/>
      <w:r w:rsidR="0091745B" w:rsidRPr="006F4DD6">
        <w:rPr>
          <w:kern w:val="22"/>
          <w:szCs w:val="22"/>
          <w:lang w:val="fr-CA"/>
        </w:rPr>
        <w:t>IPBES</w:t>
      </w:r>
      <w:proofErr w:type="spellEnd"/>
      <w:r w:rsidR="0091745B" w:rsidRPr="006F4DD6">
        <w:rPr>
          <w:kern w:val="22"/>
          <w:szCs w:val="22"/>
          <w:lang w:val="fr-CA"/>
        </w:rPr>
        <w:t>. L</w:t>
      </w:r>
      <w:r w:rsidR="00871670">
        <w:rPr>
          <w:kern w:val="22"/>
          <w:szCs w:val="22"/>
          <w:lang w:val="fr-CA"/>
        </w:rPr>
        <w:t>es renseignements</w:t>
      </w:r>
      <w:r w:rsidR="0091745B" w:rsidRPr="006F4DD6">
        <w:rPr>
          <w:kern w:val="22"/>
          <w:szCs w:val="22"/>
          <w:lang w:val="fr-CA"/>
        </w:rPr>
        <w:t xml:space="preserve"> contenu</w:t>
      </w:r>
      <w:r w:rsidR="00871670">
        <w:rPr>
          <w:kern w:val="22"/>
          <w:szCs w:val="22"/>
          <w:lang w:val="fr-CA"/>
        </w:rPr>
        <w:t>s</w:t>
      </w:r>
      <w:r w:rsidR="0091745B" w:rsidRPr="006F4DD6">
        <w:rPr>
          <w:kern w:val="22"/>
          <w:szCs w:val="22"/>
          <w:lang w:val="fr-CA"/>
        </w:rPr>
        <w:t xml:space="preserve"> dans ce rapport pourrai</w:t>
      </w:r>
      <w:r w:rsidR="00871670">
        <w:rPr>
          <w:kern w:val="22"/>
          <w:szCs w:val="22"/>
          <w:lang w:val="fr-CA"/>
        </w:rPr>
        <w:t>en</w:t>
      </w:r>
      <w:r w:rsidR="0091745B" w:rsidRPr="006F4DD6">
        <w:rPr>
          <w:kern w:val="22"/>
          <w:szCs w:val="22"/>
          <w:lang w:val="fr-CA"/>
        </w:rPr>
        <w:t>t servir de source d’information pour le processus, no</w:t>
      </w:r>
      <w:r w:rsidR="0013406B" w:rsidRPr="006F4DD6">
        <w:rPr>
          <w:kern w:val="22"/>
          <w:szCs w:val="22"/>
          <w:lang w:val="fr-CA"/>
        </w:rPr>
        <w:t>tamment en soulignant la nécessité</w:t>
      </w:r>
      <w:r w:rsidR="0091745B" w:rsidRPr="006F4DD6">
        <w:rPr>
          <w:kern w:val="22"/>
          <w:szCs w:val="22"/>
          <w:lang w:val="fr-CA"/>
        </w:rPr>
        <w:t xml:space="preserve"> d’apporter des changements rapides, </w:t>
      </w:r>
      <w:r w:rsidR="00B554A6" w:rsidRPr="006F4DD6">
        <w:rPr>
          <w:kern w:val="22"/>
          <w:szCs w:val="22"/>
          <w:lang w:val="fr-CA"/>
        </w:rPr>
        <w:t>de très grande envergure</w:t>
      </w:r>
      <w:r w:rsidR="0091745B" w:rsidRPr="006F4DD6">
        <w:rPr>
          <w:kern w:val="22"/>
          <w:szCs w:val="22"/>
          <w:lang w:val="fr-CA"/>
        </w:rPr>
        <w:t xml:space="preserve"> et sans précédent dans tous les aspects de la société afin d’atteindre les objectifs pour le climat</w:t>
      </w:r>
      <w:r w:rsidR="00326DAF">
        <w:rPr>
          <w:kern w:val="22"/>
          <w:szCs w:val="22"/>
          <w:lang w:val="fr-CA"/>
        </w:rPr>
        <w:t>,</w:t>
      </w:r>
      <w:r w:rsidR="0091745B" w:rsidRPr="006F4DD6">
        <w:rPr>
          <w:kern w:val="22"/>
          <w:szCs w:val="22"/>
          <w:lang w:val="fr-CA"/>
        </w:rPr>
        <w:t xml:space="preserve"> et </w:t>
      </w:r>
      <w:r w:rsidR="00326DAF">
        <w:rPr>
          <w:kern w:val="22"/>
          <w:szCs w:val="22"/>
          <w:lang w:val="fr-CA"/>
        </w:rPr>
        <w:t>en mettant</w:t>
      </w:r>
      <w:r w:rsidR="0091745B" w:rsidRPr="006F4DD6">
        <w:rPr>
          <w:kern w:val="22"/>
          <w:szCs w:val="22"/>
          <w:lang w:val="fr-CA"/>
        </w:rPr>
        <w:t xml:space="preserve"> en évidence les synergies possibles entre les divers objectifs internationaux et l’importance de minimiser les compromis</w:t>
      </w:r>
      <w:r w:rsidR="00D80EFB" w:rsidRPr="006F4DD6">
        <w:rPr>
          <w:kern w:val="22"/>
          <w:szCs w:val="22"/>
          <w:lang w:val="fr-CA"/>
        </w:rPr>
        <w:t>.</w:t>
      </w:r>
    </w:p>
    <w:p w14:paraId="6B83D18C" w14:textId="065DEDA1" w:rsidR="002E5D90" w:rsidRPr="006F4DD6" w:rsidRDefault="00443BDB" w:rsidP="006924CD">
      <w:pPr>
        <w:pStyle w:val="Titre2"/>
        <w:rPr>
          <w:kern w:val="22"/>
          <w:lang w:val="fr-CA"/>
        </w:rPr>
      </w:pPr>
      <w:r w:rsidRPr="006F4DD6">
        <w:rPr>
          <w:kern w:val="22"/>
          <w:lang w:val="fr-CA"/>
        </w:rPr>
        <w:t>H</w:t>
      </w:r>
      <w:r w:rsidR="00843020" w:rsidRPr="006F4DD6">
        <w:rPr>
          <w:kern w:val="22"/>
          <w:lang w:val="fr-CA"/>
        </w:rPr>
        <w:t xml:space="preserve">. </w:t>
      </w:r>
      <w:r w:rsidR="003429E2" w:rsidRPr="006F4DD6">
        <w:rPr>
          <w:kern w:val="22"/>
          <w:lang w:val="fr-CA"/>
        </w:rPr>
        <w:tab/>
      </w:r>
      <w:r w:rsidR="0013406B" w:rsidRPr="006F4DD6">
        <w:rPr>
          <w:kern w:val="22"/>
          <w:lang w:val="fr-CA"/>
        </w:rPr>
        <w:t>Synergies pour le financement et la mobilisation des ressources</w:t>
      </w:r>
    </w:p>
    <w:p w14:paraId="7AF5A04C" w14:textId="011BBE29" w:rsidR="00FF74EC" w:rsidRPr="006F4DD6" w:rsidRDefault="0013406B" w:rsidP="00580A46">
      <w:pPr>
        <w:pStyle w:val="Para10"/>
        <w:suppressLineNumbers/>
        <w:tabs>
          <w:tab w:val="clear" w:pos="360"/>
        </w:tabs>
        <w:suppressAutoHyphens/>
        <w:kinsoku w:val="0"/>
        <w:overflowPunct w:val="0"/>
        <w:autoSpaceDE w:val="0"/>
        <w:autoSpaceDN w:val="0"/>
        <w:adjustRightInd w:val="0"/>
        <w:snapToGrid w:val="0"/>
        <w:rPr>
          <w:kern w:val="22"/>
          <w:szCs w:val="22"/>
          <w:lang w:val="fr-CA"/>
        </w:rPr>
      </w:pPr>
      <w:r w:rsidRPr="006F4DD6">
        <w:rPr>
          <w:color w:val="000000"/>
          <w:kern w:val="22"/>
          <w:szCs w:val="22"/>
          <w:lang w:val="fr-CA"/>
        </w:rPr>
        <w:t>Le secteur des terres est responsable de près du quart des émissions mondiales de gaz à effet serre</w:t>
      </w:r>
      <w:r w:rsidR="003429E2" w:rsidRPr="006F4DD6">
        <w:rPr>
          <w:color w:val="000000"/>
          <w:kern w:val="22"/>
          <w:szCs w:val="22"/>
          <w:lang w:val="fr-CA"/>
        </w:rPr>
        <w:t>.</w:t>
      </w:r>
      <w:r w:rsidR="003874C3" w:rsidRPr="006F4DD6">
        <w:rPr>
          <w:rStyle w:val="Appelnotedebasdep"/>
          <w:snapToGrid/>
          <w:kern w:val="22"/>
          <w:szCs w:val="24"/>
          <w:u w:val="none"/>
          <w:vertAlign w:val="superscript"/>
          <w:lang w:val="fr-CA"/>
        </w:rPr>
        <w:footnoteReference w:id="24"/>
      </w:r>
      <w:r w:rsidR="003874C3" w:rsidRPr="006F4DD6">
        <w:rPr>
          <w:color w:val="000000"/>
          <w:kern w:val="22"/>
          <w:szCs w:val="22"/>
          <w:lang w:val="fr-CA"/>
        </w:rPr>
        <w:t xml:space="preserve"> </w:t>
      </w:r>
      <w:r w:rsidR="00985F2F" w:rsidRPr="006F4DD6">
        <w:rPr>
          <w:color w:val="000000"/>
          <w:kern w:val="22"/>
          <w:szCs w:val="22"/>
          <w:lang w:val="fr-CA"/>
        </w:rPr>
        <w:t>On estime que l</w:t>
      </w:r>
      <w:r w:rsidRPr="006F4DD6">
        <w:rPr>
          <w:color w:val="000000"/>
          <w:kern w:val="22"/>
          <w:szCs w:val="22"/>
          <w:lang w:val="fr-CA"/>
        </w:rPr>
        <w:t>es solutions naturelles fondées sur le climat, telles que la conservation, la restauration et la gestion améliorée des terres</w:t>
      </w:r>
      <w:r w:rsidR="00934875">
        <w:rPr>
          <w:color w:val="000000"/>
          <w:kern w:val="22"/>
          <w:szCs w:val="22"/>
          <w:lang w:val="fr-CA"/>
        </w:rPr>
        <w:t>,</w:t>
      </w:r>
      <w:r w:rsidRPr="006F4DD6">
        <w:rPr>
          <w:color w:val="000000"/>
          <w:kern w:val="22"/>
          <w:szCs w:val="22"/>
          <w:lang w:val="fr-CA"/>
        </w:rPr>
        <w:t xml:space="preserve"> qui augmentent le stockage du carbone et/ou évitent les émis</w:t>
      </w:r>
      <w:r w:rsidR="00985F2F" w:rsidRPr="006F4DD6">
        <w:rPr>
          <w:color w:val="000000"/>
          <w:kern w:val="22"/>
          <w:szCs w:val="22"/>
          <w:lang w:val="fr-CA"/>
        </w:rPr>
        <w:t>si</w:t>
      </w:r>
      <w:r w:rsidRPr="006F4DD6">
        <w:rPr>
          <w:color w:val="000000"/>
          <w:kern w:val="22"/>
          <w:szCs w:val="22"/>
          <w:lang w:val="fr-CA"/>
        </w:rPr>
        <w:t xml:space="preserve">ons de gaz à effet de serre dans les forêts, les terres humides, les prairies et les terres agricoles, </w:t>
      </w:r>
      <w:r w:rsidR="00985F2F" w:rsidRPr="006F4DD6">
        <w:rPr>
          <w:color w:val="000000"/>
          <w:kern w:val="22"/>
          <w:szCs w:val="22"/>
          <w:lang w:val="fr-CA"/>
        </w:rPr>
        <w:t>contribueraient à un tiers de l’atténuation des changements climatiques</w:t>
      </w:r>
      <w:r w:rsidR="003429E2" w:rsidRPr="006F4DD6">
        <w:rPr>
          <w:kern w:val="22"/>
          <w:lang w:val="fr-CA"/>
        </w:rPr>
        <w:t>.</w:t>
      </w:r>
      <w:r w:rsidR="00C829AB" w:rsidRPr="006F4DD6">
        <w:rPr>
          <w:rStyle w:val="Appelnotedebasdep"/>
          <w:snapToGrid/>
          <w:kern w:val="22"/>
          <w:szCs w:val="24"/>
          <w:u w:val="none"/>
          <w:vertAlign w:val="superscript"/>
          <w:lang w:val="fr-CA"/>
        </w:rPr>
        <w:footnoteReference w:id="25"/>
      </w:r>
      <w:r w:rsidR="00FF74EC" w:rsidRPr="006F4DD6">
        <w:rPr>
          <w:kern w:val="22"/>
          <w:lang w:val="fr-CA"/>
        </w:rPr>
        <w:t xml:space="preserve"> </w:t>
      </w:r>
      <w:bookmarkStart w:id="3" w:name="_Hlk16841017"/>
      <w:r w:rsidR="00985F2F" w:rsidRPr="006F4DD6">
        <w:rPr>
          <w:kern w:val="22"/>
          <w:lang w:val="fr-CA"/>
        </w:rPr>
        <w:t xml:space="preserve">Cependant, malgré cette contribution potentielle élevée, les efforts de séquestration des terres ne reçoivent que </w:t>
      </w:r>
      <w:r w:rsidR="00934875">
        <w:rPr>
          <w:kern w:val="22"/>
          <w:lang w:val="fr-CA"/>
        </w:rPr>
        <w:t xml:space="preserve">moins de </w:t>
      </w:r>
      <w:r w:rsidR="00326DAF">
        <w:rPr>
          <w:kern w:val="22"/>
          <w:lang w:val="fr-CA"/>
        </w:rPr>
        <w:t>3</w:t>
      </w:r>
      <w:r w:rsidR="00985F2F" w:rsidRPr="006F4DD6">
        <w:rPr>
          <w:kern w:val="22"/>
          <w:lang w:val="fr-CA"/>
        </w:rPr>
        <w:t xml:space="preserve"> pour cent des sommes destinées au climat</w:t>
      </w:r>
      <w:r w:rsidR="003429E2" w:rsidRPr="006F4DD6">
        <w:rPr>
          <w:kern w:val="22"/>
          <w:lang w:val="fr-CA"/>
        </w:rPr>
        <w:t>.</w:t>
      </w:r>
      <w:r w:rsidR="0072464E" w:rsidRPr="006F4DD6">
        <w:rPr>
          <w:rStyle w:val="Appelnotedebasdep"/>
          <w:snapToGrid/>
          <w:kern w:val="22"/>
          <w:szCs w:val="24"/>
          <w:u w:val="none"/>
          <w:vertAlign w:val="superscript"/>
          <w:lang w:val="fr-CA"/>
        </w:rPr>
        <w:footnoteReference w:id="26"/>
      </w:r>
      <w:bookmarkEnd w:id="3"/>
    </w:p>
    <w:p w14:paraId="3CF07EE2" w14:textId="7B4EB5E7" w:rsidR="003874C3" w:rsidRPr="006F4DD6" w:rsidRDefault="009E37F8" w:rsidP="00580A46">
      <w:pPr>
        <w:pStyle w:val="Para10"/>
        <w:suppressLineNumbers/>
        <w:tabs>
          <w:tab w:val="clear" w:pos="360"/>
        </w:tabs>
        <w:suppressAutoHyphens/>
        <w:kinsoku w:val="0"/>
        <w:overflowPunct w:val="0"/>
        <w:autoSpaceDE w:val="0"/>
        <w:autoSpaceDN w:val="0"/>
        <w:adjustRightInd w:val="0"/>
        <w:snapToGrid w:val="0"/>
        <w:rPr>
          <w:kern w:val="22"/>
          <w:szCs w:val="22"/>
          <w:lang w:val="fr-CA"/>
        </w:rPr>
      </w:pPr>
      <w:r w:rsidRPr="006F4DD6">
        <w:rPr>
          <w:color w:val="000000"/>
          <w:kern w:val="22"/>
          <w:szCs w:val="22"/>
          <w:lang w:val="fr-CA"/>
        </w:rPr>
        <w:t xml:space="preserve">Les projets qui maximisent les </w:t>
      </w:r>
      <w:r w:rsidR="00F01A45" w:rsidRPr="006F4DD6">
        <w:rPr>
          <w:color w:val="000000"/>
          <w:kern w:val="22"/>
          <w:szCs w:val="22"/>
          <w:lang w:val="fr-CA"/>
        </w:rPr>
        <w:t>retombées posit</w:t>
      </w:r>
      <w:r w:rsidRPr="006F4DD6">
        <w:rPr>
          <w:color w:val="000000"/>
          <w:kern w:val="22"/>
          <w:szCs w:val="22"/>
          <w:lang w:val="fr-CA"/>
        </w:rPr>
        <w:t xml:space="preserve">ives pour la conservation de la biodiversité, la </w:t>
      </w:r>
      <w:r w:rsidR="00F01A45" w:rsidRPr="006F4DD6">
        <w:rPr>
          <w:color w:val="000000"/>
          <w:kern w:val="22"/>
          <w:szCs w:val="22"/>
          <w:lang w:val="fr-CA"/>
        </w:rPr>
        <w:t>restauration</w:t>
      </w:r>
      <w:r w:rsidRPr="006F4DD6">
        <w:rPr>
          <w:color w:val="000000"/>
          <w:kern w:val="22"/>
          <w:szCs w:val="22"/>
          <w:lang w:val="fr-CA"/>
        </w:rPr>
        <w:t xml:space="preserve"> des écosystèmes et l’</w:t>
      </w:r>
      <w:r w:rsidR="00F01A45" w:rsidRPr="006F4DD6">
        <w:rPr>
          <w:color w:val="000000"/>
          <w:kern w:val="22"/>
          <w:szCs w:val="22"/>
          <w:lang w:val="fr-CA"/>
        </w:rPr>
        <w:t>atténuati</w:t>
      </w:r>
      <w:r w:rsidRPr="006F4DD6">
        <w:rPr>
          <w:color w:val="000000"/>
          <w:kern w:val="22"/>
          <w:szCs w:val="22"/>
          <w:lang w:val="fr-CA"/>
        </w:rPr>
        <w:t>on des changements climatiques et l’</w:t>
      </w:r>
      <w:r w:rsidR="00F01A45" w:rsidRPr="006F4DD6">
        <w:rPr>
          <w:color w:val="000000"/>
          <w:kern w:val="22"/>
          <w:szCs w:val="22"/>
          <w:lang w:val="fr-CA"/>
        </w:rPr>
        <w:t>adapt</w:t>
      </w:r>
      <w:r w:rsidRPr="006F4DD6">
        <w:rPr>
          <w:color w:val="000000"/>
          <w:kern w:val="22"/>
          <w:szCs w:val="22"/>
          <w:lang w:val="fr-CA"/>
        </w:rPr>
        <w:t>ation à ceux-ci peuvent obtenir un soutien financier de plusieurs sources</w:t>
      </w:r>
      <w:r w:rsidR="00BA0635">
        <w:rPr>
          <w:color w:val="000000"/>
          <w:kern w:val="22"/>
          <w:szCs w:val="22"/>
          <w:lang w:val="fr-CA"/>
        </w:rPr>
        <w:t xml:space="preserve"> et</w:t>
      </w:r>
      <w:r w:rsidR="00F01A45" w:rsidRPr="006F4DD6">
        <w:rPr>
          <w:color w:val="000000"/>
          <w:kern w:val="22"/>
          <w:szCs w:val="22"/>
          <w:lang w:val="fr-CA"/>
        </w:rPr>
        <w:t xml:space="preserve"> accroître les investissements</w:t>
      </w:r>
      <w:r w:rsidR="00BA0635">
        <w:rPr>
          <w:color w:val="000000"/>
          <w:kern w:val="22"/>
          <w:szCs w:val="22"/>
          <w:lang w:val="fr-CA"/>
        </w:rPr>
        <w:t>,</w:t>
      </w:r>
      <w:r w:rsidR="00F01A45" w:rsidRPr="006F4DD6">
        <w:rPr>
          <w:color w:val="000000"/>
          <w:kern w:val="22"/>
          <w:szCs w:val="22"/>
          <w:lang w:val="fr-CA"/>
        </w:rPr>
        <w:t xml:space="preserve"> et mobiliser les mécanismes de financement</w:t>
      </w:r>
      <w:r w:rsidR="003874C3" w:rsidRPr="006F4DD6">
        <w:rPr>
          <w:color w:val="000000"/>
          <w:kern w:val="22"/>
          <w:szCs w:val="22"/>
          <w:lang w:val="fr-CA"/>
        </w:rPr>
        <w:t>.</w:t>
      </w:r>
    </w:p>
    <w:p w14:paraId="2877B915" w14:textId="79102AB0" w:rsidR="00154CD0" w:rsidRPr="006F4DD6" w:rsidRDefault="00F01A45" w:rsidP="00580A46">
      <w:pPr>
        <w:pStyle w:val="Para10"/>
        <w:suppressLineNumbers/>
        <w:tabs>
          <w:tab w:val="clear" w:pos="360"/>
        </w:tabs>
        <w:suppressAutoHyphens/>
        <w:kinsoku w:val="0"/>
        <w:overflowPunct w:val="0"/>
        <w:autoSpaceDE w:val="0"/>
        <w:autoSpaceDN w:val="0"/>
        <w:adjustRightInd w:val="0"/>
        <w:snapToGrid w:val="0"/>
        <w:rPr>
          <w:kern w:val="22"/>
          <w:szCs w:val="22"/>
          <w:lang w:val="fr-CA"/>
        </w:rPr>
      </w:pPr>
      <w:r w:rsidRPr="006F4DD6">
        <w:rPr>
          <w:kern w:val="22"/>
          <w:lang w:val="fr-CA"/>
        </w:rPr>
        <w:t>Le</w:t>
      </w:r>
      <w:r w:rsidR="00BA0635">
        <w:rPr>
          <w:kern w:val="22"/>
          <w:lang w:val="fr-CA"/>
        </w:rPr>
        <w:t>s mécanismes de financement lié</w:t>
      </w:r>
      <w:r w:rsidRPr="006F4DD6">
        <w:rPr>
          <w:kern w:val="22"/>
          <w:lang w:val="fr-CA"/>
        </w:rPr>
        <w:t xml:space="preserve">s au climat offrent des occasions d’investir dans des solutions </w:t>
      </w:r>
      <w:r w:rsidR="008F656B">
        <w:rPr>
          <w:kern w:val="22"/>
          <w:lang w:val="fr-CA"/>
        </w:rPr>
        <w:t>naturelles</w:t>
      </w:r>
      <w:r w:rsidRPr="006F4DD6">
        <w:rPr>
          <w:kern w:val="22"/>
          <w:lang w:val="fr-CA"/>
        </w:rPr>
        <w:t>. Une coordination</w:t>
      </w:r>
      <w:r w:rsidR="00BA0635">
        <w:rPr>
          <w:kern w:val="22"/>
          <w:lang w:val="fr-CA"/>
        </w:rPr>
        <w:t xml:space="preserve"> accrue</w:t>
      </w:r>
      <w:r w:rsidRPr="006F4DD6">
        <w:rPr>
          <w:kern w:val="22"/>
          <w:lang w:val="fr-CA"/>
        </w:rPr>
        <w:t xml:space="preserve"> des différents mécanismes de financement pourrait mobiliser ce potentiel plus efficacement. </w:t>
      </w:r>
      <w:r w:rsidR="00594503" w:rsidRPr="006F4DD6">
        <w:rPr>
          <w:kern w:val="22"/>
          <w:lang w:val="fr-CA"/>
        </w:rPr>
        <w:t>Le Fonds pour l’environnement mondial (FEM), le Fonds vert pour le climat (</w:t>
      </w:r>
      <w:proofErr w:type="spellStart"/>
      <w:r w:rsidR="00594503" w:rsidRPr="006F4DD6">
        <w:rPr>
          <w:kern w:val="22"/>
          <w:lang w:val="fr-CA"/>
        </w:rPr>
        <w:t>FVC</w:t>
      </w:r>
      <w:proofErr w:type="spellEnd"/>
      <w:r w:rsidR="00594503" w:rsidRPr="006F4DD6">
        <w:rPr>
          <w:kern w:val="22"/>
          <w:lang w:val="fr-CA"/>
        </w:rPr>
        <w:t xml:space="preserve">) et le Fonds d’adaptation au titre du Protocole de Kyoto de la </w:t>
      </w:r>
      <w:proofErr w:type="spellStart"/>
      <w:r w:rsidR="00594503" w:rsidRPr="006F4DD6">
        <w:rPr>
          <w:kern w:val="22"/>
          <w:lang w:val="fr-CA"/>
        </w:rPr>
        <w:t>CCNUCC</w:t>
      </w:r>
      <w:proofErr w:type="spellEnd"/>
      <w:r w:rsidR="00594503" w:rsidRPr="006F4DD6">
        <w:rPr>
          <w:kern w:val="22"/>
          <w:lang w:val="fr-CA"/>
        </w:rPr>
        <w:t>, entre autres, offrent des possibilités de financement avec les mécanismes en lien avec le climat</w:t>
      </w:r>
      <w:r w:rsidR="00154CD0" w:rsidRPr="006F4DD6">
        <w:rPr>
          <w:kern w:val="22"/>
          <w:lang w:val="fr-CA"/>
        </w:rPr>
        <w:t>.</w:t>
      </w:r>
    </w:p>
    <w:p w14:paraId="3A232080" w14:textId="10178311" w:rsidR="00A64741" w:rsidRPr="006F4DD6" w:rsidRDefault="00594503" w:rsidP="00580A46">
      <w:pPr>
        <w:pStyle w:val="Para10"/>
        <w:suppressLineNumbers/>
        <w:tabs>
          <w:tab w:val="clear" w:pos="360"/>
        </w:tabs>
        <w:suppressAutoHyphens/>
        <w:kinsoku w:val="0"/>
        <w:overflowPunct w:val="0"/>
        <w:autoSpaceDE w:val="0"/>
        <w:autoSpaceDN w:val="0"/>
        <w:adjustRightInd w:val="0"/>
        <w:snapToGrid w:val="0"/>
        <w:rPr>
          <w:kern w:val="22"/>
          <w:szCs w:val="22"/>
          <w:lang w:val="fr-CA"/>
        </w:rPr>
      </w:pPr>
      <w:r w:rsidRPr="006F4DD6">
        <w:rPr>
          <w:kern w:val="22"/>
          <w:szCs w:val="22"/>
          <w:lang w:val="fr-CA"/>
        </w:rPr>
        <w:t>L’Accord de Paris</w:t>
      </w:r>
      <w:r w:rsidR="00BC5502">
        <w:rPr>
          <w:kern w:val="22"/>
          <w:szCs w:val="22"/>
          <w:lang w:val="fr-CA"/>
        </w:rPr>
        <w:t xml:space="preserve"> a désigné le Fonds vert pour le</w:t>
      </w:r>
      <w:r w:rsidRPr="006F4DD6">
        <w:rPr>
          <w:kern w:val="22"/>
          <w:szCs w:val="22"/>
          <w:lang w:val="fr-CA"/>
        </w:rPr>
        <w:t xml:space="preserve"> climat </w:t>
      </w:r>
      <w:r w:rsidR="0087009E" w:rsidRPr="006F4DD6">
        <w:rPr>
          <w:kern w:val="22"/>
          <w:szCs w:val="22"/>
          <w:lang w:val="fr-CA"/>
        </w:rPr>
        <w:t>principal fournisseur de ress</w:t>
      </w:r>
      <w:r w:rsidR="009B0A25" w:rsidRPr="006F4DD6">
        <w:rPr>
          <w:kern w:val="22"/>
          <w:szCs w:val="22"/>
          <w:lang w:val="fr-CA"/>
        </w:rPr>
        <w:t>ou</w:t>
      </w:r>
      <w:r w:rsidR="0087009E" w:rsidRPr="006F4DD6">
        <w:rPr>
          <w:kern w:val="22"/>
          <w:szCs w:val="22"/>
          <w:lang w:val="fr-CA"/>
        </w:rPr>
        <w:t>r</w:t>
      </w:r>
      <w:r w:rsidR="009B0A25" w:rsidRPr="006F4DD6">
        <w:rPr>
          <w:kern w:val="22"/>
          <w:szCs w:val="22"/>
          <w:lang w:val="fr-CA"/>
        </w:rPr>
        <w:t xml:space="preserve">ces financières prévisibles et </w:t>
      </w:r>
      <w:r w:rsidR="00326DAF">
        <w:rPr>
          <w:kern w:val="22"/>
          <w:szCs w:val="22"/>
          <w:lang w:val="fr-CA"/>
        </w:rPr>
        <w:t>la Conférence des Parties à la Convention</w:t>
      </w:r>
      <w:r w:rsidR="0016596B">
        <w:rPr>
          <w:kern w:val="22"/>
          <w:szCs w:val="22"/>
          <w:lang w:val="fr-CA"/>
        </w:rPr>
        <w:t>-</w:t>
      </w:r>
      <w:r w:rsidR="00326DAF">
        <w:rPr>
          <w:kern w:val="22"/>
          <w:szCs w:val="22"/>
          <w:lang w:val="fr-CA"/>
        </w:rPr>
        <w:t xml:space="preserve">cadre des Nations Unies sur les changements climatiques </w:t>
      </w:r>
      <w:r w:rsidR="009B0A25" w:rsidRPr="006F4DD6">
        <w:rPr>
          <w:kern w:val="22"/>
          <w:szCs w:val="22"/>
          <w:lang w:val="fr-CA"/>
        </w:rPr>
        <w:t>a demandé au FEM de soutenir les pays dan</w:t>
      </w:r>
      <w:r w:rsidR="0087009E" w:rsidRPr="006F4DD6">
        <w:rPr>
          <w:kern w:val="22"/>
          <w:szCs w:val="22"/>
          <w:lang w:val="fr-CA"/>
        </w:rPr>
        <w:t xml:space="preserve">s la formulation et la mise en œuvre </w:t>
      </w:r>
      <w:r w:rsidR="009B0A25" w:rsidRPr="006F4DD6">
        <w:rPr>
          <w:kern w:val="22"/>
          <w:szCs w:val="22"/>
          <w:lang w:val="fr-CA"/>
        </w:rPr>
        <w:t xml:space="preserve">de contributions nationales déterminées et de plans nationaux d’adaptation. Le Secrétariat </w:t>
      </w:r>
      <w:r w:rsidR="00326DAF">
        <w:rPr>
          <w:kern w:val="22"/>
          <w:szCs w:val="22"/>
          <w:lang w:val="fr-CA"/>
        </w:rPr>
        <w:t xml:space="preserve">de la Convention </w:t>
      </w:r>
      <w:r w:rsidR="00D32CAE">
        <w:rPr>
          <w:kern w:val="22"/>
          <w:szCs w:val="22"/>
          <w:lang w:val="fr-CA"/>
        </w:rPr>
        <w:t>sur l</w:t>
      </w:r>
      <w:r w:rsidR="00326DAF">
        <w:rPr>
          <w:kern w:val="22"/>
          <w:szCs w:val="22"/>
          <w:lang w:val="fr-CA"/>
        </w:rPr>
        <w:t xml:space="preserve">a diversité biologique </w:t>
      </w:r>
      <w:r w:rsidR="009B0A25" w:rsidRPr="006F4DD6">
        <w:rPr>
          <w:kern w:val="22"/>
          <w:szCs w:val="22"/>
          <w:lang w:val="fr-CA"/>
        </w:rPr>
        <w:t>a émis une notification</w:t>
      </w:r>
      <w:r w:rsidR="00905355" w:rsidRPr="006F4DD6">
        <w:rPr>
          <w:rStyle w:val="Appelnotedebasdep"/>
          <w:snapToGrid/>
          <w:kern w:val="22"/>
          <w:szCs w:val="24"/>
          <w:u w:val="none"/>
          <w:vertAlign w:val="superscript"/>
          <w:lang w:val="fr-CA"/>
        </w:rPr>
        <w:footnoteReference w:id="27"/>
      </w:r>
      <w:r w:rsidR="00905355" w:rsidRPr="006F4DD6">
        <w:rPr>
          <w:kern w:val="22"/>
          <w:szCs w:val="22"/>
          <w:lang w:val="fr-CA"/>
        </w:rPr>
        <w:t xml:space="preserve"> </w:t>
      </w:r>
      <w:r w:rsidR="009B0A25" w:rsidRPr="006F4DD6">
        <w:rPr>
          <w:kern w:val="22"/>
          <w:szCs w:val="22"/>
          <w:lang w:val="fr-CA"/>
        </w:rPr>
        <w:t>en 2017 offrant aux correspondants nationaux</w:t>
      </w:r>
      <w:r w:rsidR="0087009E" w:rsidRPr="006F4DD6">
        <w:rPr>
          <w:kern w:val="22"/>
          <w:szCs w:val="22"/>
          <w:lang w:val="fr-CA"/>
        </w:rPr>
        <w:t xml:space="preserve"> </w:t>
      </w:r>
      <w:r w:rsidR="009B0A25" w:rsidRPr="006F4DD6">
        <w:rPr>
          <w:kern w:val="22"/>
          <w:szCs w:val="22"/>
          <w:lang w:val="fr-CA"/>
        </w:rPr>
        <w:t>de la Convention de l’informatio</w:t>
      </w:r>
      <w:r w:rsidR="0087009E" w:rsidRPr="006F4DD6">
        <w:rPr>
          <w:kern w:val="22"/>
          <w:szCs w:val="22"/>
          <w:lang w:val="fr-CA"/>
        </w:rPr>
        <w:t>n</w:t>
      </w:r>
      <w:r w:rsidR="009B0A25" w:rsidRPr="006F4DD6">
        <w:rPr>
          <w:kern w:val="22"/>
          <w:szCs w:val="22"/>
          <w:lang w:val="fr-CA"/>
        </w:rPr>
        <w:t xml:space="preserve"> sur les occasions offert</w:t>
      </w:r>
      <w:r w:rsidR="0087009E" w:rsidRPr="006F4DD6">
        <w:rPr>
          <w:kern w:val="22"/>
          <w:szCs w:val="22"/>
          <w:lang w:val="fr-CA"/>
        </w:rPr>
        <w:t xml:space="preserve">es au titre du </w:t>
      </w:r>
      <w:proofErr w:type="spellStart"/>
      <w:r w:rsidR="0087009E" w:rsidRPr="006F4DD6">
        <w:rPr>
          <w:kern w:val="22"/>
          <w:szCs w:val="22"/>
          <w:lang w:val="fr-CA"/>
        </w:rPr>
        <w:t>FVC</w:t>
      </w:r>
      <w:proofErr w:type="spellEnd"/>
      <w:r w:rsidR="0087009E" w:rsidRPr="006F4DD6">
        <w:rPr>
          <w:kern w:val="22"/>
          <w:szCs w:val="22"/>
          <w:lang w:val="fr-CA"/>
        </w:rPr>
        <w:t xml:space="preserve">, </w:t>
      </w:r>
      <w:r w:rsidR="009B0A25" w:rsidRPr="006F4DD6">
        <w:rPr>
          <w:kern w:val="22"/>
          <w:szCs w:val="22"/>
          <w:lang w:val="fr-CA"/>
        </w:rPr>
        <w:t xml:space="preserve">dont </w:t>
      </w:r>
      <w:r w:rsidR="00BA0635">
        <w:rPr>
          <w:kern w:val="22"/>
          <w:szCs w:val="22"/>
          <w:lang w:val="fr-CA"/>
        </w:rPr>
        <w:t>des renseignements</w:t>
      </w:r>
      <w:r w:rsidR="009B0A25" w:rsidRPr="006F4DD6">
        <w:rPr>
          <w:kern w:val="22"/>
          <w:szCs w:val="22"/>
          <w:lang w:val="fr-CA"/>
        </w:rPr>
        <w:t xml:space="preserve"> sur les </w:t>
      </w:r>
      <w:r w:rsidR="0087009E" w:rsidRPr="006F4DD6">
        <w:rPr>
          <w:kern w:val="22"/>
          <w:szCs w:val="22"/>
          <w:lang w:val="fr-CA"/>
        </w:rPr>
        <w:t>moyens possibles d’obtenir</w:t>
      </w:r>
      <w:r w:rsidR="009B0A25" w:rsidRPr="006F4DD6">
        <w:rPr>
          <w:kern w:val="22"/>
          <w:szCs w:val="22"/>
          <w:lang w:val="fr-CA"/>
        </w:rPr>
        <w:t xml:space="preserve"> l’engagem</w:t>
      </w:r>
      <w:r w:rsidR="006227A9" w:rsidRPr="006F4DD6">
        <w:rPr>
          <w:kern w:val="22"/>
          <w:szCs w:val="22"/>
          <w:lang w:val="fr-CA"/>
        </w:rPr>
        <w:t xml:space="preserve">ent du </w:t>
      </w:r>
      <w:proofErr w:type="spellStart"/>
      <w:r w:rsidR="006227A9" w:rsidRPr="006F4DD6">
        <w:rPr>
          <w:kern w:val="22"/>
          <w:szCs w:val="22"/>
          <w:lang w:val="fr-CA"/>
        </w:rPr>
        <w:t>FVC</w:t>
      </w:r>
      <w:proofErr w:type="spellEnd"/>
      <w:r w:rsidR="006227A9" w:rsidRPr="006F4DD6">
        <w:rPr>
          <w:kern w:val="22"/>
          <w:szCs w:val="22"/>
          <w:lang w:val="fr-CA"/>
        </w:rPr>
        <w:t xml:space="preserve">, et a encouragé la </w:t>
      </w:r>
      <w:r w:rsidR="009B0A25" w:rsidRPr="006F4DD6">
        <w:rPr>
          <w:kern w:val="22"/>
          <w:szCs w:val="22"/>
          <w:lang w:val="fr-CA"/>
        </w:rPr>
        <w:t>coord</w:t>
      </w:r>
      <w:r w:rsidR="006227A9" w:rsidRPr="006F4DD6">
        <w:rPr>
          <w:kern w:val="22"/>
          <w:szCs w:val="22"/>
          <w:lang w:val="fr-CA"/>
        </w:rPr>
        <w:t>ination avec les autorités nationales dési</w:t>
      </w:r>
      <w:r w:rsidR="009B0A25" w:rsidRPr="006F4DD6">
        <w:rPr>
          <w:kern w:val="22"/>
          <w:szCs w:val="22"/>
          <w:lang w:val="fr-CA"/>
        </w:rPr>
        <w:t>gné</w:t>
      </w:r>
      <w:r w:rsidR="00BA0635">
        <w:rPr>
          <w:kern w:val="22"/>
          <w:szCs w:val="22"/>
          <w:lang w:val="fr-CA"/>
        </w:rPr>
        <w:t xml:space="preserve">es du </w:t>
      </w:r>
      <w:proofErr w:type="spellStart"/>
      <w:r w:rsidR="00BA0635">
        <w:rPr>
          <w:kern w:val="22"/>
          <w:szCs w:val="22"/>
          <w:lang w:val="fr-CA"/>
        </w:rPr>
        <w:t>FVC</w:t>
      </w:r>
      <w:proofErr w:type="spellEnd"/>
      <w:r w:rsidR="00BA0635">
        <w:rPr>
          <w:kern w:val="22"/>
          <w:szCs w:val="22"/>
          <w:lang w:val="fr-CA"/>
        </w:rPr>
        <w:t xml:space="preserve"> ou les correspondants</w:t>
      </w:r>
      <w:r w:rsidR="009B0A25" w:rsidRPr="006F4DD6">
        <w:rPr>
          <w:kern w:val="22"/>
          <w:szCs w:val="22"/>
          <w:lang w:val="fr-CA"/>
        </w:rPr>
        <w:t>, afin de faciliter l’</w:t>
      </w:r>
      <w:r w:rsidR="006227A9" w:rsidRPr="006F4DD6">
        <w:rPr>
          <w:kern w:val="22"/>
          <w:szCs w:val="22"/>
          <w:lang w:val="fr-CA"/>
        </w:rPr>
        <w:t>intégra</w:t>
      </w:r>
      <w:r w:rsidR="009B0A25" w:rsidRPr="006F4DD6">
        <w:rPr>
          <w:kern w:val="22"/>
          <w:szCs w:val="22"/>
          <w:lang w:val="fr-CA"/>
        </w:rPr>
        <w:t>tion des app</w:t>
      </w:r>
      <w:r w:rsidR="006227A9" w:rsidRPr="006F4DD6">
        <w:rPr>
          <w:kern w:val="22"/>
          <w:szCs w:val="22"/>
          <w:lang w:val="fr-CA"/>
        </w:rPr>
        <w:t>roches fondées sur les écosystè</w:t>
      </w:r>
      <w:r w:rsidR="009B0A25" w:rsidRPr="006F4DD6">
        <w:rPr>
          <w:kern w:val="22"/>
          <w:szCs w:val="22"/>
          <w:lang w:val="fr-CA"/>
        </w:rPr>
        <w:t xml:space="preserve">mes dans les propositions de financement du </w:t>
      </w:r>
      <w:proofErr w:type="spellStart"/>
      <w:r w:rsidR="009B0A25" w:rsidRPr="006F4DD6">
        <w:rPr>
          <w:kern w:val="22"/>
          <w:szCs w:val="22"/>
          <w:lang w:val="fr-CA"/>
        </w:rPr>
        <w:t>FVC</w:t>
      </w:r>
      <w:proofErr w:type="spellEnd"/>
      <w:r w:rsidR="009B0A25" w:rsidRPr="006F4DD6">
        <w:rPr>
          <w:kern w:val="22"/>
          <w:szCs w:val="22"/>
          <w:lang w:val="fr-CA"/>
        </w:rPr>
        <w:t xml:space="preserve">. Les écosystèmes et les services écosystémiques sont des secteurs de résultats explicites pour le financement du </w:t>
      </w:r>
      <w:proofErr w:type="spellStart"/>
      <w:r w:rsidR="009B0A25" w:rsidRPr="006F4DD6">
        <w:rPr>
          <w:kern w:val="22"/>
          <w:szCs w:val="22"/>
          <w:lang w:val="fr-CA"/>
        </w:rPr>
        <w:t>FVC</w:t>
      </w:r>
      <w:proofErr w:type="spellEnd"/>
      <w:r w:rsidR="0087009E" w:rsidRPr="006F4DD6">
        <w:rPr>
          <w:kern w:val="22"/>
          <w:szCs w:val="22"/>
          <w:lang w:val="fr-CA"/>
        </w:rPr>
        <w:t>,</w:t>
      </w:r>
      <w:r w:rsidR="006227A9" w:rsidRPr="006F4DD6">
        <w:rPr>
          <w:kern w:val="22"/>
          <w:szCs w:val="22"/>
          <w:lang w:val="fr-CA"/>
        </w:rPr>
        <w:t xml:space="preserve"> et un v</w:t>
      </w:r>
      <w:r w:rsidR="0087009E" w:rsidRPr="006F4DD6">
        <w:rPr>
          <w:kern w:val="22"/>
          <w:szCs w:val="22"/>
          <w:lang w:val="fr-CA"/>
        </w:rPr>
        <w:t>olume croissant d’</w:t>
      </w:r>
      <w:r w:rsidR="006227A9" w:rsidRPr="006F4DD6">
        <w:rPr>
          <w:kern w:val="22"/>
          <w:szCs w:val="22"/>
          <w:lang w:val="fr-CA"/>
        </w:rPr>
        <w:t>in</w:t>
      </w:r>
      <w:r w:rsidR="0087009E" w:rsidRPr="006F4DD6">
        <w:rPr>
          <w:kern w:val="22"/>
          <w:szCs w:val="22"/>
          <w:lang w:val="fr-CA"/>
        </w:rPr>
        <w:t xml:space="preserve">vestissements </w:t>
      </w:r>
      <w:r w:rsidR="006227A9" w:rsidRPr="006F4DD6">
        <w:rPr>
          <w:kern w:val="22"/>
          <w:szCs w:val="22"/>
          <w:lang w:val="fr-CA"/>
        </w:rPr>
        <w:t>sont destinés a</w:t>
      </w:r>
      <w:r w:rsidR="0087009E" w:rsidRPr="006F4DD6">
        <w:rPr>
          <w:kern w:val="22"/>
          <w:szCs w:val="22"/>
          <w:lang w:val="fr-CA"/>
        </w:rPr>
        <w:t xml:space="preserve">ux </w:t>
      </w:r>
      <w:r w:rsidR="006227A9" w:rsidRPr="006F4DD6">
        <w:rPr>
          <w:kern w:val="22"/>
          <w:szCs w:val="22"/>
          <w:lang w:val="fr-CA"/>
        </w:rPr>
        <w:t>résultats transformatif</w:t>
      </w:r>
      <w:r w:rsidR="0087009E" w:rsidRPr="006F4DD6">
        <w:rPr>
          <w:kern w:val="22"/>
          <w:szCs w:val="22"/>
          <w:lang w:val="fr-CA"/>
        </w:rPr>
        <w:t xml:space="preserve">s à cet égard. De plus, un des six critères </w:t>
      </w:r>
      <w:r w:rsidR="0087009E" w:rsidRPr="006F4DD6">
        <w:rPr>
          <w:kern w:val="22"/>
          <w:szCs w:val="22"/>
          <w:lang w:val="fr-CA"/>
        </w:rPr>
        <w:lastRenderedPageBreak/>
        <w:t xml:space="preserve">d’investissement du </w:t>
      </w:r>
      <w:proofErr w:type="spellStart"/>
      <w:r w:rsidR="0087009E" w:rsidRPr="006F4DD6">
        <w:rPr>
          <w:kern w:val="22"/>
          <w:szCs w:val="22"/>
          <w:lang w:val="fr-CA"/>
        </w:rPr>
        <w:t>FVC</w:t>
      </w:r>
      <w:proofErr w:type="spellEnd"/>
      <w:r w:rsidR="0087009E" w:rsidRPr="006F4DD6">
        <w:rPr>
          <w:kern w:val="22"/>
          <w:szCs w:val="22"/>
          <w:lang w:val="fr-CA"/>
        </w:rPr>
        <w:t xml:space="preserve"> porte sur la</w:t>
      </w:r>
      <w:r w:rsidR="006227A9" w:rsidRPr="006F4DD6">
        <w:rPr>
          <w:kern w:val="22"/>
          <w:szCs w:val="22"/>
          <w:lang w:val="fr-CA"/>
        </w:rPr>
        <w:t xml:space="preserve"> </w:t>
      </w:r>
      <w:r w:rsidR="0087009E" w:rsidRPr="006F4DD6">
        <w:rPr>
          <w:kern w:val="22"/>
          <w:szCs w:val="22"/>
          <w:lang w:val="fr-CA"/>
        </w:rPr>
        <w:t>durabilité de l’environnement, qui exige des synergies avec la diversité biologique</w:t>
      </w:r>
      <w:r w:rsidR="00570AB5" w:rsidRPr="006F4DD6">
        <w:rPr>
          <w:kern w:val="22"/>
          <w:szCs w:val="22"/>
          <w:lang w:val="fr-CA"/>
        </w:rPr>
        <w:t>.</w:t>
      </w:r>
    </w:p>
    <w:p w14:paraId="184EB365" w14:textId="4A834468" w:rsidR="00A32086" w:rsidRPr="006F4DD6" w:rsidRDefault="006227A9" w:rsidP="00580A46">
      <w:pPr>
        <w:pStyle w:val="Para10"/>
        <w:suppressLineNumbers/>
        <w:tabs>
          <w:tab w:val="clear" w:pos="360"/>
        </w:tabs>
        <w:suppressAutoHyphens/>
        <w:kinsoku w:val="0"/>
        <w:overflowPunct w:val="0"/>
        <w:autoSpaceDE w:val="0"/>
        <w:autoSpaceDN w:val="0"/>
        <w:adjustRightInd w:val="0"/>
        <w:snapToGrid w:val="0"/>
        <w:rPr>
          <w:kern w:val="22"/>
          <w:szCs w:val="22"/>
          <w:lang w:val="fr-CA"/>
        </w:rPr>
      </w:pPr>
      <w:r w:rsidRPr="006F4DD6">
        <w:rPr>
          <w:kern w:val="22"/>
          <w:szCs w:val="22"/>
          <w:lang w:val="fr-CA"/>
        </w:rPr>
        <w:t xml:space="preserve">Faciliter le flux d’information pour la coordination nationale </w:t>
      </w:r>
      <w:r w:rsidR="004E7220" w:rsidRPr="006F4DD6">
        <w:rPr>
          <w:kern w:val="22"/>
          <w:szCs w:val="22"/>
          <w:lang w:val="fr-CA"/>
        </w:rPr>
        <w:t>de la mine d’information que</w:t>
      </w:r>
      <w:r w:rsidRPr="006F4DD6">
        <w:rPr>
          <w:kern w:val="22"/>
          <w:szCs w:val="22"/>
          <w:lang w:val="fr-CA"/>
        </w:rPr>
        <w:t xml:space="preserve"> contiennent les stratégies et plan</w:t>
      </w:r>
      <w:r w:rsidR="00212CD3">
        <w:rPr>
          <w:kern w:val="22"/>
          <w:szCs w:val="22"/>
          <w:lang w:val="fr-CA"/>
        </w:rPr>
        <w:t>s</w:t>
      </w:r>
      <w:r w:rsidRPr="006F4DD6">
        <w:rPr>
          <w:kern w:val="22"/>
          <w:szCs w:val="22"/>
          <w:lang w:val="fr-CA"/>
        </w:rPr>
        <w:t xml:space="preserve"> d’action natio</w:t>
      </w:r>
      <w:r w:rsidR="004E7220" w:rsidRPr="006F4DD6">
        <w:rPr>
          <w:kern w:val="22"/>
          <w:szCs w:val="22"/>
          <w:lang w:val="fr-CA"/>
        </w:rPr>
        <w:t>n</w:t>
      </w:r>
      <w:r w:rsidRPr="006F4DD6">
        <w:rPr>
          <w:kern w:val="22"/>
          <w:szCs w:val="22"/>
          <w:lang w:val="fr-CA"/>
        </w:rPr>
        <w:t xml:space="preserve">aux sur la biodiversité, </w:t>
      </w:r>
      <w:r w:rsidR="00D32CAE">
        <w:rPr>
          <w:kern w:val="22"/>
          <w:szCs w:val="22"/>
          <w:lang w:val="fr-CA"/>
        </w:rPr>
        <w:t>la</w:t>
      </w:r>
      <w:r w:rsidRPr="006F4DD6">
        <w:rPr>
          <w:kern w:val="22"/>
          <w:szCs w:val="22"/>
          <w:lang w:val="fr-CA"/>
        </w:rPr>
        <w:t xml:space="preserve"> pertinence </w:t>
      </w:r>
      <w:r w:rsidR="00D32CAE">
        <w:rPr>
          <w:kern w:val="22"/>
          <w:szCs w:val="22"/>
          <w:lang w:val="fr-CA"/>
        </w:rPr>
        <w:t xml:space="preserve">de cette information </w:t>
      </w:r>
      <w:r w:rsidR="004E7220" w:rsidRPr="006F4DD6">
        <w:rPr>
          <w:kern w:val="22"/>
          <w:szCs w:val="22"/>
          <w:lang w:val="fr-CA"/>
        </w:rPr>
        <w:t>en matière d’</w:t>
      </w:r>
      <w:r w:rsidRPr="006F4DD6">
        <w:rPr>
          <w:kern w:val="22"/>
          <w:szCs w:val="22"/>
          <w:lang w:val="fr-CA"/>
        </w:rPr>
        <w:t>attén</w:t>
      </w:r>
      <w:r w:rsidR="004E7220" w:rsidRPr="006F4DD6">
        <w:rPr>
          <w:kern w:val="22"/>
          <w:szCs w:val="22"/>
          <w:lang w:val="fr-CA"/>
        </w:rPr>
        <w:t>u</w:t>
      </w:r>
      <w:r w:rsidRPr="006F4DD6">
        <w:rPr>
          <w:kern w:val="22"/>
          <w:szCs w:val="22"/>
          <w:lang w:val="fr-CA"/>
        </w:rPr>
        <w:t>ation des changeme</w:t>
      </w:r>
      <w:r w:rsidR="004E7220" w:rsidRPr="006F4DD6">
        <w:rPr>
          <w:kern w:val="22"/>
          <w:szCs w:val="22"/>
          <w:lang w:val="fr-CA"/>
        </w:rPr>
        <w:t>nts</w:t>
      </w:r>
      <w:r w:rsidRPr="006F4DD6">
        <w:rPr>
          <w:kern w:val="22"/>
          <w:szCs w:val="22"/>
          <w:lang w:val="fr-CA"/>
        </w:rPr>
        <w:t xml:space="preserve"> climatiques et l’adaptation </w:t>
      </w:r>
      <w:r w:rsidR="004E7220" w:rsidRPr="006F4DD6">
        <w:rPr>
          <w:kern w:val="22"/>
          <w:szCs w:val="22"/>
          <w:lang w:val="fr-CA"/>
        </w:rPr>
        <w:t>à ceux-</w:t>
      </w:r>
      <w:r w:rsidRPr="006F4DD6">
        <w:rPr>
          <w:kern w:val="22"/>
          <w:szCs w:val="22"/>
          <w:lang w:val="fr-CA"/>
        </w:rPr>
        <w:t>ci et l</w:t>
      </w:r>
      <w:r w:rsidR="004E7220" w:rsidRPr="006F4DD6">
        <w:rPr>
          <w:kern w:val="22"/>
          <w:szCs w:val="22"/>
          <w:lang w:val="fr-CA"/>
        </w:rPr>
        <w:t>es synergi</w:t>
      </w:r>
      <w:r w:rsidRPr="006F4DD6">
        <w:rPr>
          <w:kern w:val="22"/>
          <w:szCs w:val="22"/>
          <w:lang w:val="fr-CA"/>
        </w:rPr>
        <w:t>es possibles avec les p</w:t>
      </w:r>
      <w:r w:rsidR="004E7220" w:rsidRPr="006F4DD6">
        <w:rPr>
          <w:kern w:val="22"/>
          <w:szCs w:val="22"/>
          <w:lang w:val="fr-CA"/>
        </w:rPr>
        <w:t>lans nationa</w:t>
      </w:r>
      <w:r w:rsidRPr="006F4DD6">
        <w:rPr>
          <w:kern w:val="22"/>
          <w:szCs w:val="22"/>
          <w:lang w:val="fr-CA"/>
        </w:rPr>
        <w:t>ux d’</w:t>
      </w:r>
      <w:r w:rsidR="004E7220" w:rsidRPr="006F4DD6">
        <w:rPr>
          <w:kern w:val="22"/>
          <w:szCs w:val="22"/>
          <w:lang w:val="fr-CA"/>
        </w:rPr>
        <w:t>a</w:t>
      </w:r>
      <w:r w:rsidRPr="006F4DD6">
        <w:rPr>
          <w:kern w:val="22"/>
          <w:szCs w:val="22"/>
          <w:lang w:val="fr-CA"/>
        </w:rPr>
        <w:t>daptatio</w:t>
      </w:r>
      <w:r w:rsidR="004E7220" w:rsidRPr="006F4DD6">
        <w:rPr>
          <w:kern w:val="22"/>
          <w:szCs w:val="22"/>
          <w:lang w:val="fr-CA"/>
        </w:rPr>
        <w:t xml:space="preserve">n et les programmes de préparation de projets du </w:t>
      </w:r>
      <w:proofErr w:type="spellStart"/>
      <w:r w:rsidR="004E7220" w:rsidRPr="006F4DD6">
        <w:rPr>
          <w:kern w:val="22"/>
          <w:szCs w:val="22"/>
          <w:lang w:val="fr-CA"/>
        </w:rPr>
        <w:t>FVC</w:t>
      </w:r>
      <w:proofErr w:type="spellEnd"/>
      <w:r w:rsidRPr="006F4DD6">
        <w:rPr>
          <w:kern w:val="22"/>
          <w:szCs w:val="22"/>
          <w:lang w:val="fr-CA"/>
        </w:rPr>
        <w:t xml:space="preserve"> </w:t>
      </w:r>
      <w:r w:rsidR="004E7220" w:rsidRPr="006F4DD6">
        <w:rPr>
          <w:kern w:val="22"/>
          <w:szCs w:val="22"/>
          <w:lang w:val="fr-CA"/>
        </w:rPr>
        <w:t>est un des moyens</w:t>
      </w:r>
      <w:r w:rsidRPr="006F4DD6">
        <w:rPr>
          <w:kern w:val="22"/>
          <w:szCs w:val="22"/>
          <w:lang w:val="fr-CA"/>
        </w:rPr>
        <w:t xml:space="preserve"> de renforcer les liens entre les travaux de la </w:t>
      </w:r>
      <w:r w:rsidR="004E7220" w:rsidRPr="006F4DD6">
        <w:rPr>
          <w:kern w:val="22"/>
          <w:szCs w:val="22"/>
          <w:lang w:val="fr-CA"/>
        </w:rPr>
        <w:t>Convention</w:t>
      </w:r>
      <w:r w:rsidRPr="006F4DD6">
        <w:rPr>
          <w:kern w:val="22"/>
          <w:szCs w:val="22"/>
          <w:lang w:val="fr-CA"/>
        </w:rPr>
        <w:t xml:space="preserve"> et le </w:t>
      </w:r>
      <w:proofErr w:type="spellStart"/>
      <w:r w:rsidRPr="006F4DD6">
        <w:rPr>
          <w:kern w:val="22"/>
          <w:szCs w:val="22"/>
          <w:lang w:val="fr-CA"/>
        </w:rPr>
        <w:t>FVC</w:t>
      </w:r>
      <w:proofErr w:type="spellEnd"/>
      <w:r w:rsidRPr="006F4DD6">
        <w:rPr>
          <w:kern w:val="22"/>
          <w:szCs w:val="22"/>
          <w:lang w:val="fr-CA"/>
        </w:rPr>
        <w:t>.</w:t>
      </w:r>
    </w:p>
    <w:p w14:paraId="78123074" w14:textId="6A7CEDCB" w:rsidR="00A32086" w:rsidRPr="006F4DD6" w:rsidRDefault="00710C2C" w:rsidP="006924CD">
      <w:pPr>
        <w:pStyle w:val="Para10"/>
        <w:tabs>
          <w:tab w:val="clear" w:pos="360"/>
        </w:tabs>
        <w:rPr>
          <w:kern w:val="22"/>
          <w:lang w:val="fr-CA"/>
        </w:rPr>
      </w:pPr>
      <w:r w:rsidRPr="006F4DD6">
        <w:rPr>
          <w:kern w:val="22"/>
          <w:lang w:val="fr-CA"/>
        </w:rPr>
        <w:t xml:space="preserve">Une collaboration accrue avec le </w:t>
      </w:r>
      <w:proofErr w:type="spellStart"/>
      <w:r w:rsidRPr="006F4DD6">
        <w:rPr>
          <w:kern w:val="22"/>
          <w:lang w:val="fr-CA"/>
        </w:rPr>
        <w:t>FVC</w:t>
      </w:r>
      <w:proofErr w:type="spellEnd"/>
      <w:r w:rsidRPr="006F4DD6">
        <w:rPr>
          <w:kern w:val="22"/>
          <w:lang w:val="fr-CA"/>
        </w:rPr>
        <w:t xml:space="preserve"> pourrait aussi comprendre une collaboration avec le mécanisme de financement de la préparation des projets pour soutenir les entités accréditées (</w:t>
      </w:r>
      <w:proofErr w:type="spellStart"/>
      <w:r w:rsidRPr="006F4DD6">
        <w:rPr>
          <w:kern w:val="22"/>
          <w:lang w:val="fr-CA"/>
        </w:rPr>
        <w:t>EA</w:t>
      </w:r>
      <w:proofErr w:type="spellEnd"/>
      <w:r w:rsidRPr="006F4DD6">
        <w:rPr>
          <w:kern w:val="22"/>
          <w:lang w:val="fr-CA"/>
        </w:rPr>
        <w:t xml:space="preserve">), surtout les </w:t>
      </w:r>
      <w:proofErr w:type="spellStart"/>
      <w:r w:rsidR="00DA0674" w:rsidRPr="006F4DD6">
        <w:rPr>
          <w:kern w:val="22"/>
          <w:lang w:val="fr-CA"/>
        </w:rPr>
        <w:t>EA</w:t>
      </w:r>
      <w:proofErr w:type="spellEnd"/>
      <w:r w:rsidRPr="006F4DD6">
        <w:rPr>
          <w:kern w:val="22"/>
          <w:lang w:val="fr-CA"/>
        </w:rPr>
        <w:t xml:space="preserve"> </w:t>
      </w:r>
      <w:r w:rsidR="00DA0674" w:rsidRPr="006F4DD6">
        <w:rPr>
          <w:kern w:val="22"/>
          <w:lang w:val="fr-CA"/>
        </w:rPr>
        <w:t xml:space="preserve">offrant un </w:t>
      </w:r>
      <w:r w:rsidRPr="006F4DD6">
        <w:rPr>
          <w:kern w:val="22"/>
          <w:lang w:val="fr-CA"/>
        </w:rPr>
        <w:t>accès direct</w:t>
      </w:r>
      <w:r w:rsidR="00DA0674" w:rsidRPr="006F4DD6">
        <w:rPr>
          <w:kern w:val="22"/>
          <w:lang w:val="fr-CA"/>
        </w:rPr>
        <w:t xml:space="preserve">, et autres pour la préparation des concepts du projet fondés sur le secteur des résultats </w:t>
      </w:r>
      <w:r w:rsidR="00727565">
        <w:rPr>
          <w:kern w:val="22"/>
          <w:lang w:val="fr-CA"/>
        </w:rPr>
        <w:t>des</w:t>
      </w:r>
      <w:r w:rsidR="00DA0674" w:rsidRPr="006F4DD6">
        <w:rPr>
          <w:kern w:val="22"/>
          <w:lang w:val="fr-CA"/>
        </w:rPr>
        <w:t xml:space="preserve"> écosystèmes et </w:t>
      </w:r>
      <w:r w:rsidR="00727565">
        <w:rPr>
          <w:kern w:val="22"/>
          <w:lang w:val="fr-CA"/>
        </w:rPr>
        <w:t>des</w:t>
      </w:r>
      <w:r w:rsidR="00DA0674" w:rsidRPr="006F4DD6">
        <w:rPr>
          <w:kern w:val="22"/>
          <w:lang w:val="fr-CA"/>
        </w:rPr>
        <w:t xml:space="preserve"> services écosystémiques</w:t>
      </w:r>
      <w:r w:rsidR="00ED5303">
        <w:rPr>
          <w:kern w:val="22"/>
          <w:lang w:val="fr-CA"/>
        </w:rPr>
        <w:t xml:space="preserve"> du </w:t>
      </w:r>
      <w:proofErr w:type="spellStart"/>
      <w:r w:rsidR="00ED5303">
        <w:rPr>
          <w:kern w:val="22"/>
          <w:lang w:val="fr-CA"/>
        </w:rPr>
        <w:t>FVC</w:t>
      </w:r>
      <w:proofErr w:type="spellEnd"/>
      <w:r w:rsidR="00DA0674" w:rsidRPr="006F4DD6">
        <w:rPr>
          <w:kern w:val="22"/>
          <w:lang w:val="fr-CA"/>
        </w:rPr>
        <w:t xml:space="preserve">. Cette collaboration renforcerait les capacités des pays et des </w:t>
      </w:r>
      <w:proofErr w:type="spellStart"/>
      <w:r w:rsidR="00DA0674" w:rsidRPr="006F4DD6">
        <w:rPr>
          <w:kern w:val="22"/>
          <w:lang w:val="fr-CA"/>
        </w:rPr>
        <w:t>EA</w:t>
      </w:r>
      <w:proofErr w:type="spellEnd"/>
      <w:r w:rsidR="00DA0674" w:rsidRPr="006F4DD6">
        <w:rPr>
          <w:kern w:val="22"/>
          <w:lang w:val="fr-CA"/>
        </w:rPr>
        <w:t xml:space="preserve"> (surtout les </w:t>
      </w:r>
      <w:proofErr w:type="spellStart"/>
      <w:r w:rsidR="00DA0674" w:rsidRPr="006F4DD6">
        <w:rPr>
          <w:kern w:val="22"/>
          <w:lang w:val="fr-CA"/>
        </w:rPr>
        <w:t>EA</w:t>
      </w:r>
      <w:proofErr w:type="spellEnd"/>
      <w:r w:rsidR="00DA0674" w:rsidRPr="006F4DD6">
        <w:rPr>
          <w:kern w:val="22"/>
          <w:lang w:val="fr-CA"/>
        </w:rPr>
        <w:t xml:space="preserve"> offrant un accès direct) à préparer les concepts des projet</w:t>
      </w:r>
      <w:r w:rsidR="00727565">
        <w:rPr>
          <w:kern w:val="22"/>
          <w:lang w:val="fr-CA"/>
        </w:rPr>
        <w:t>s</w:t>
      </w:r>
      <w:r w:rsidR="00DA0674" w:rsidRPr="006F4DD6">
        <w:rPr>
          <w:kern w:val="22"/>
          <w:lang w:val="fr-CA"/>
        </w:rPr>
        <w:t xml:space="preserve"> portant sur les principaux éléments requis pour obtenir l’accès aux ressources du </w:t>
      </w:r>
      <w:proofErr w:type="spellStart"/>
      <w:r w:rsidR="00DA0674" w:rsidRPr="006F4DD6">
        <w:rPr>
          <w:kern w:val="22"/>
          <w:lang w:val="fr-CA"/>
        </w:rPr>
        <w:t>FVC</w:t>
      </w:r>
      <w:proofErr w:type="spellEnd"/>
      <w:r w:rsidR="00DA0674" w:rsidRPr="006F4DD6">
        <w:rPr>
          <w:kern w:val="22"/>
          <w:lang w:val="fr-CA"/>
        </w:rPr>
        <w:t xml:space="preserve"> tout en aidant le </w:t>
      </w:r>
      <w:proofErr w:type="spellStart"/>
      <w:r w:rsidR="00DA0674" w:rsidRPr="006F4DD6">
        <w:rPr>
          <w:kern w:val="22"/>
          <w:lang w:val="fr-CA"/>
        </w:rPr>
        <w:t>FVC</w:t>
      </w:r>
      <w:proofErr w:type="spellEnd"/>
      <w:r w:rsidR="00DA0674" w:rsidRPr="006F4DD6">
        <w:rPr>
          <w:kern w:val="22"/>
          <w:lang w:val="fr-CA"/>
        </w:rPr>
        <w:t xml:space="preserve"> à atteindre ses objectifs</w:t>
      </w:r>
      <w:r w:rsidR="00A32086" w:rsidRPr="006F4DD6">
        <w:rPr>
          <w:kern w:val="22"/>
          <w:lang w:val="fr-CA"/>
        </w:rPr>
        <w:t>.</w:t>
      </w:r>
    </w:p>
    <w:p w14:paraId="736E6A9F" w14:textId="1944031D" w:rsidR="00CF1C0C" w:rsidRPr="006F4DD6" w:rsidRDefault="00DA0674" w:rsidP="00222F2C">
      <w:pPr>
        <w:pStyle w:val="Para10"/>
        <w:tabs>
          <w:tab w:val="clear" w:pos="360"/>
          <w:tab w:val="num" w:pos="720"/>
        </w:tabs>
        <w:rPr>
          <w:kern w:val="22"/>
          <w:szCs w:val="22"/>
          <w:lang w:val="fr-CA"/>
        </w:rPr>
      </w:pPr>
      <w:r w:rsidRPr="006F4DD6">
        <w:rPr>
          <w:kern w:val="22"/>
          <w:lang w:val="fr-CA"/>
        </w:rPr>
        <w:t xml:space="preserve">Le soutien financier provenant de sources nationales </w:t>
      </w:r>
      <w:r w:rsidR="002857E8" w:rsidRPr="006F4DD6">
        <w:rPr>
          <w:kern w:val="22"/>
          <w:lang w:val="fr-CA"/>
        </w:rPr>
        <w:t xml:space="preserve">peut être plus régulier et offrir plus de souplesse dans les conditions d’allocation, mais les capacités de financement du secteur public sont souvent trop insuffisantes pour être efficaces. Les projets de coopération régionale et internationale peuvent aider à obtenir une mobilisation des ressources et des investissements plus efficaces </w:t>
      </w:r>
      <w:r w:rsidR="008F6E86">
        <w:rPr>
          <w:kern w:val="22"/>
          <w:lang w:val="fr-CA"/>
        </w:rPr>
        <w:t>pour les</w:t>
      </w:r>
      <w:r w:rsidR="002857E8" w:rsidRPr="006F4DD6">
        <w:rPr>
          <w:kern w:val="22"/>
          <w:lang w:val="fr-CA"/>
        </w:rPr>
        <w:t xml:space="preserve"> approches fondées sur les écosystèmes. Par exemple, l’Initiative internationale pour le climat du ministère fédéral de l’Environn</w:t>
      </w:r>
      <w:r w:rsidR="004B7A2C" w:rsidRPr="006F4DD6">
        <w:rPr>
          <w:kern w:val="22"/>
          <w:lang w:val="fr-CA"/>
        </w:rPr>
        <w:t>ement, de la Conservation de la nature et de la Sécurité nucléaire de l’Allemagne finance des projets pilotes sur le climat et la diversité biologique qui aident à intégrer l’</w:t>
      </w:r>
      <w:r w:rsidR="00194EC4" w:rsidRPr="006F4DD6">
        <w:rPr>
          <w:kern w:val="22"/>
          <w:lang w:val="fr-CA"/>
        </w:rPr>
        <w:t>adaptation fondée sur les éc</w:t>
      </w:r>
      <w:r w:rsidR="004B7A2C" w:rsidRPr="006F4DD6">
        <w:rPr>
          <w:kern w:val="22"/>
          <w:lang w:val="fr-CA"/>
        </w:rPr>
        <w:t>osyst</w:t>
      </w:r>
      <w:r w:rsidR="00194EC4" w:rsidRPr="006F4DD6">
        <w:rPr>
          <w:kern w:val="22"/>
          <w:lang w:val="fr-CA"/>
        </w:rPr>
        <w:t>èm</w:t>
      </w:r>
      <w:r w:rsidR="004B7A2C" w:rsidRPr="006F4DD6">
        <w:rPr>
          <w:kern w:val="22"/>
          <w:lang w:val="fr-CA"/>
        </w:rPr>
        <w:t>es dans les politiques et stratégies. D</w:t>
      </w:r>
      <w:r w:rsidR="00194EC4" w:rsidRPr="006F4DD6">
        <w:rPr>
          <w:kern w:val="22"/>
          <w:lang w:val="fr-CA"/>
        </w:rPr>
        <w:t>e telle</w:t>
      </w:r>
      <w:r w:rsidR="004B7A2C" w:rsidRPr="006F4DD6">
        <w:rPr>
          <w:kern w:val="22"/>
          <w:lang w:val="fr-CA"/>
        </w:rPr>
        <w:t>s</w:t>
      </w:r>
      <w:r w:rsidR="00194EC4" w:rsidRPr="006F4DD6">
        <w:rPr>
          <w:kern w:val="22"/>
          <w:lang w:val="fr-CA"/>
        </w:rPr>
        <w:t xml:space="preserve"> possibilités existent également au niv</w:t>
      </w:r>
      <w:r w:rsidR="004B7A2C" w:rsidRPr="006F4DD6">
        <w:rPr>
          <w:kern w:val="22"/>
          <w:lang w:val="fr-CA"/>
        </w:rPr>
        <w:t>eau régional, notamment par l’</w:t>
      </w:r>
      <w:r w:rsidR="00194EC4" w:rsidRPr="006F4DD6">
        <w:rPr>
          <w:kern w:val="22"/>
          <w:lang w:val="fr-CA"/>
        </w:rPr>
        <w:t>entre</w:t>
      </w:r>
      <w:r w:rsidR="004B7A2C" w:rsidRPr="006F4DD6">
        <w:rPr>
          <w:kern w:val="22"/>
          <w:lang w:val="fr-CA"/>
        </w:rPr>
        <w:t xml:space="preserve">mise du Fonds pour la </w:t>
      </w:r>
      <w:r w:rsidR="00194EC4" w:rsidRPr="006F4DD6">
        <w:rPr>
          <w:kern w:val="22"/>
          <w:lang w:val="fr-CA"/>
        </w:rPr>
        <w:t>diversité</w:t>
      </w:r>
      <w:r w:rsidR="004B7A2C" w:rsidRPr="006F4DD6">
        <w:rPr>
          <w:kern w:val="22"/>
          <w:lang w:val="fr-CA"/>
        </w:rPr>
        <w:t xml:space="preserve"> biologique des Cara</w:t>
      </w:r>
      <w:r w:rsidR="00194EC4" w:rsidRPr="006F4DD6">
        <w:rPr>
          <w:kern w:val="22"/>
          <w:lang w:val="fr-CA"/>
        </w:rPr>
        <w:t>ïbes et son « mécanisme de financement</w:t>
      </w:r>
      <w:r w:rsidR="004B7A2C" w:rsidRPr="006F4DD6">
        <w:rPr>
          <w:kern w:val="22"/>
          <w:lang w:val="fr-CA"/>
        </w:rPr>
        <w:t xml:space="preserve"> </w:t>
      </w:r>
      <w:r w:rsidR="0039255F">
        <w:rPr>
          <w:kern w:val="22"/>
          <w:lang w:val="fr-CA"/>
        </w:rPr>
        <w:t>de l’adaptation fondée sur les écosystèmes</w:t>
      </w:r>
      <w:r w:rsidR="008F6E86">
        <w:rPr>
          <w:kern w:val="22"/>
          <w:lang w:val="fr-CA"/>
        </w:rPr>
        <w:t xml:space="preserve">. Elles </w:t>
      </w:r>
      <w:r w:rsidR="00194EC4" w:rsidRPr="006F4DD6">
        <w:rPr>
          <w:kern w:val="22"/>
          <w:lang w:val="fr-CA"/>
        </w:rPr>
        <w:t>offrent</w:t>
      </w:r>
      <w:r w:rsidR="004B7A2C" w:rsidRPr="006F4DD6">
        <w:rPr>
          <w:kern w:val="22"/>
          <w:lang w:val="fr-CA"/>
        </w:rPr>
        <w:t xml:space="preserve"> directement des ressources à</w:t>
      </w:r>
      <w:r w:rsidR="00194EC4" w:rsidRPr="006F4DD6">
        <w:rPr>
          <w:kern w:val="22"/>
          <w:lang w:val="fr-CA"/>
        </w:rPr>
        <w:t xml:space="preserve"> certains projet</w:t>
      </w:r>
      <w:r w:rsidR="001B0085">
        <w:rPr>
          <w:kern w:val="22"/>
          <w:lang w:val="fr-CA"/>
        </w:rPr>
        <w:t>s</w:t>
      </w:r>
      <w:r w:rsidR="00194EC4" w:rsidRPr="006F4DD6">
        <w:rPr>
          <w:kern w:val="22"/>
          <w:lang w:val="fr-CA"/>
        </w:rPr>
        <w:t xml:space="preserve"> d’adaptation nati</w:t>
      </w:r>
      <w:r w:rsidR="004B7A2C" w:rsidRPr="006F4DD6">
        <w:rPr>
          <w:kern w:val="22"/>
          <w:lang w:val="fr-CA"/>
        </w:rPr>
        <w:t>onaux et régionaux</w:t>
      </w:r>
      <w:r w:rsidR="00194EC4" w:rsidRPr="006F4DD6">
        <w:rPr>
          <w:kern w:val="22"/>
          <w:lang w:val="fr-CA"/>
        </w:rPr>
        <w:t xml:space="preserve"> fondés sur les écosystèmes dans les Caraïbes</w:t>
      </w:r>
      <w:r w:rsidR="00854BA5" w:rsidRPr="006F4DD6">
        <w:rPr>
          <w:kern w:val="22"/>
          <w:lang w:val="fr-CA"/>
        </w:rPr>
        <w:t>.</w:t>
      </w:r>
    </w:p>
    <w:p w14:paraId="3D748420" w14:textId="5E251DCF" w:rsidR="00854BA5" w:rsidRPr="006F4DD6" w:rsidRDefault="00194EC4" w:rsidP="00222F2C">
      <w:pPr>
        <w:pStyle w:val="Para10"/>
        <w:tabs>
          <w:tab w:val="clear" w:pos="360"/>
          <w:tab w:val="num" w:pos="720"/>
        </w:tabs>
        <w:rPr>
          <w:kern w:val="22"/>
          <w:szCs w:val="22"/>
          <w:lang w:val="fr-CA"/>
        </w:rPr>
      </w:pPr>
      <w:r w:rsidRPr="006F4DD6">
        <w:rPr>
          <w:kern w:val="22"/>
          <w:lang w:val="fr-CA"/>
        </w:rPr>
        <w:t xml:space="preserve">L’intégration des approches fondées sur les écosystèmes au financement climatique est souvent limitée par le </w:t>
      </w:r>
      <w:r w:rsidR="005E3290">
        <w:rPr>
          <w:kern w:val="22"/>
          <w:lang w:val="fr-CA"/>
        </w:rPr>
        <w:t xml:space="preserve">peu de connaissances </w:t>
      </w:r>
      <w:r w:rsidR="008F6E86">
        <w:rPr>
          <w:kern w:val="22"/>
          <w:lang w:val="fr-CA"/>
        </w:rPr>
        <w:t>des</w:t>
      </w:r>
      <w:r w:rsidR="008F6E86" w:rsidRPr="006F4DD6">
        <w:rPr>
          <w:kern w:val="22"/>
          <w:lang w:val="fr-CA"/>
        </w:rPr>
        <w:t xml:space="preserve"> approc</w:t>
      </w:r>
      <w:r w:rsidR="008F6E86">
        <w:rPr>
          <w:kern w:val="22"/>
          <w:lang w:val="fr-CA"/>
        </w:rPr>
        <w:t>hes fondées sur les écosystèmes que possèdent</w:t>
      </w:r>
      <w:r w:rsidR="005E3290">
        <w:rPr>
          <w:kern w:val="22"/>
          <w:lang w:val="fr-CA"/>
        </w:rPr>
        <w:t xml:space="preserve"> les parties prenantes, dont </w:t>
      </w:r>
      <w:r w:rsidR="008F6E86">
        <w:rPr>
          <w:kern w:val="22"/>
          <w:lang w:val="fr-CA"/>
        </w:rPr>
        <w:t xml:space="preserve">les entités accréditées du </w:t>
      </w:r>
      <w:proofErr w:type="spellStart"/>
      <w:r w:rsidR="008F6E86">
        <w:rPr>
          <w:kern w:val="22"/>
          <w:lang w:val="fr-CA"/>
        </w:rPr>
        <w:t>FVC</w:t>
      </w:r>
      <w:proofErr w:type="spellEnd"/>
      <w:r w:rsidR="00854BA5" w:rsidRPr="006F4DD6">
        <w:rPr>
          <w:kern w:val="22"/>
          <w:lang w:val="fr-CA"/>
        </w:rPr>
        <w:t>.</w:t>
      </w:r>
      <w:r w:rsidRPr="006F4DD6">
        <w:rPr>
          <w:kern w:val="22"/>
          <w:lang w:val="fr-CA"/>
        </w:rPr>
        <w:t xml:space="preserve"> Le Secrétariat pourrait soutenir le renforcement des capacités afin de hausser le niveau de sensibilisation et de </w:t>
      </w:r>
      <w:r w:rsidR="005E3290">
        <w:rPr>
          <w:kern w:val="22"/>
          <w:lang w:val="fr-CA"/>
        </w:rPr>
        <w:t>connaissance</w:t>
      </w:r>
      <w:r w:rsidRPr="006F4DD6">
        <w:rPr>
          <w:kern w:val="22"/>
          <w:lang w:val="fr-CA"/>
        </w:rPr>
        <w:t xml:space="preserve">, et </w:t>
      </w:r>
      <w:r w:rsidR="005E3290">
        <w:rPr>
          <w:kern w:val="22"/>
          <w:lang w:val="fr-CA"/>
        </w:rPr>
        <w:t>d’</w:t>
      </w:r>
      <w:r w:rsidRPr="006F4DD6">
        <w:rPr>
          <w:kern w:val="22"/>
          <w:lang w:val="fr-CA"/>
        </w:rPr>
        <w:t xml:space="preserve">aider à </w:t>
      </w:r>
      <w:r w:rsidR="0039255F">
        <w:rPr>
          <w:kern w:val="22"/>
          <w:lang w:val="fr-CA"/>
        </w:rPr>
        <w:t>repérer</w:t>
      </w:r>
      <w:r w:rsidRPr="006F4DD6">
        <w:rPr>
          <w:kern w:val="22"/>
          <w:lang w:val="fr-CA"/>
        </w:rPr>
        <w:t xml:space="preserve"> les possibilités de financement</w:t>
      </w:r>
      <w:r w:rsidR="0039255F">
        <w:rPr>
          <w:kern w:val="22"/>
          <w:lang w:val="fr-CA"/>
        </w:rPr>
        <w:t>.</w:t>
      </w:r>
    </w:p>
    <w:p w14:paraId="7DA79B40" w14:textId="01BE24A9" w:rsidR="000359AA" w:rsidRPr="006F4DD6" w:rsidRDefault="00715A06" w:rsidP="006924CD">
      <w:pPr>
        <w:pStyle w:val="Para10"/>
        <w:tabs>
          <w:tab w:val="clear" w:pos="360"/>
          <w:tab w:val="num" w:pos="720"/>
        </w:tabs>
        <w:rPr>
          <w:kern w:val="22"/>
          <w:szCs w:val="22"/>
          <w:lang w:val="fr-CA"/>
        </w:rPr>
      </w:pPr>
      <w:r w:rsidRPr="006F4DD6">
        <w:rPr>
          <w:kern w:val="22"/>
          <w:lang w:val="fr-CA"/>
        </w:rPr>
        <w:t xml:space="preserve">L’offre de mesures d’encouragement positives pour mettre en œuvre des solutions </w:t>
      </w:r>
      <w:r w:rsidR="008F656B">
        <w:rPr>
          <w:kern w:val="22"/>
          <w:lang w:val="fr-CA"/>
        </w:rPr>
        <w:t xml:space="preserve">naturelles et </w:t>
      </w:r>
      <w:r w:rsidR="005E3290">
        <w:rPr>
          <w:kern w:val="22"/>
          <w:lang w:val="fr-CA"/>
        </w:rPr>
        <w:t>éliminer le</w:t>
      </w:r>
      <w:r w:rsidRPr="006F4DD6">
        <w:rPr>
          <w:kern w:val="22"/>
          <w:lang w:val="fr-CA"/>
        </w:rPr>
        <w:t xml:space="preserve">s subventions nuisibles </w:t>
      </w:r>
      <w:r w:rsidR="00C7401E">
        <w:rPr>
          <w:kern w:val="22"/>
          <w:lang w:val="fr-CA"/>
        </w:rPr>
        <w:t>es</w:t>
      </w:r>
      <w:r w:rsidRPr="006F4DD6">
        <w:rPr>
          <w:kern w:val="22"/>
          <w:lang w:val="fr-CA"/>
        </w:rPr>
        <w:t xml:space="preserve">t </w:t>
      </w:r>
      <w:r w:rsidR="00C7401E">
        <w:rPr>
          <w:kern w:val="22"/>
          <w:lang w:val="fr-CA"/>
        </w:rPr>
        <w:t>une autre mesure</w:t>
      </w:r>
      <w:r w:rsidRPr="006F4DD6">
        <w:rPr>
          <w:kern w:val="22"/>
          <w:lang w:val="fr-CA"/>
        </w:rPr>
        <w:t xml:space="preserve"> rentable qui mérite d’être examinée</w:t>
      </w:r>
      <w:r w:rsidR="000359AA" w:rsidRPr="006F4DD6">
        <w:rPr>
          <w:kern w:val="22"/>
          <w:lang w:val="fr-CA"/>
        </w:rPr>
        <w:t>.</w:t>
      </w:r>
    </w:p>
    <w:p w14:paraId="2AF730D6" w14:textId="0FA07023" w:rsidR="00E829C7" w:rsidRPr="006F4DD6" w:rsidRDefault="00BA0694" w:rsidP="006924CD">
      <w:pPr>
        <w:pStyle w:val="Titre1"/>
        <w:rPr>
          <w:snapToGrid w:val="0"/>
          <w:kern w:val="22"/>
          <w:lang w:val="fr-CA"/>
        </w:rPr>
      </w:pPr>
      <w:r w:rsidRPr="006F4DD6">
        <w:rPr>
          <w:snapToGrid w:val="0"/>
          <w:kern w:val="22"/>
          <w:lang w:val="fr-CA"/>
        </w:rPr>
        <w:t>III.</w:t>
      </w:r>
      <w:r w:rsidRPr="006F4DD6">
        <w:rPr>
          <w:snapToGrid w:val="0"/>
          <w:kern w:val="22"/>
          <w:lang w:val="fr-CA"/>
        </w:rPr>
        <w:tab/>
      </w:r>
      <w:r w:rsidR="00715A06" w:rsidRPr="006F4DD6">
        <w:rPr>
          <w:snapToGrid w:val="0"/>
          <w:kern w:val="22"/>
          <w:lang w:val="fr-CA"/>
        </w:rPr>
        <w:t>RECOMMANDATION SUGGÉRÉE</w:t>
      </w:r>
    </w:p>
    <w:p w14:paraId="395ECFC6" w14:textId="1C602C4C" w:rsidR="00B928CF" w:rsidRPr="006F4DD6" w:rsidRDefault="00715A06" w:rsidP="007C3D55">
      <w:pPr>
        <w:pStyle w:val="Para10"/>
        <w:tabs>
          <w:tab w:val="clear" w:pos="360"/>
        </w:tabs>
        <w:rPr>
          <w:lang w:val="fr-CA"/>
        </w:rPr>
      </w:pPr>
      <w:r w:rsidRPr="006F4DD6">
        <w:rPr>
          <w:lang w:val="fr-CA"/>
        </w:rPr>
        <w:t xml:space="preserve">L’Organe subsidiaire chargé de fournir des avis scientifiques, techniques et technologiques pourrait souhaiter </w:t>
      </w:r>
      <w:r w:rsidR="005E3290">
        <w:rPr>
          <w:lang w:val="fr-CA"/>
        </w:rPr>
        <w:t xml:space="preserve">adopter </w:t>
      </w:r>
      <w:r w:rsidRPr="006F4DD6">
        <w:rPr>
          <w:lang w:val="fr-CA"/>
        </w:rPr>
        <w:t>des conclusions qui ressemblent à ce qui suit</w:t>
      </w:r>
      <w:r w:rsidR="006851CE">
        <w:rPr>
          <w:lang w:val="fr-CA"/>
        </w:rPr>
        <w:t> </w:t>
      </w:r>
      <w:r w:rsidR="00B928CF" w:rsidRPr="006F4DD6">
        <w:rPr>
          <w:lang w:val="fr-CA"/>
        </w:rPr>
        <w:t>:</w:t>
      </w:r>
    </w:p>
    <w:p w14:paraId="2B738103" w14:textId="237AF62E" w:rsidR="00B928CF" w:rsidRPr="006F4DD6" w:rsidRDefault="00715A06" w:rsidP="00F11EA8">
      <w:pPr>
        <w:pStyle w:val="Para10"/>
        <w:numPr>
          <w:ilvl w:val="0"/>
          <w:numId w:val="0"/>
        </w:numPr>
        <w:suppressLineNumbers/>
        <w:suppressAutoHyphens/>
        <w:kinsoku w:val="0"/>
        <w:overflowPunct w:val="0"/>
        <w:autoSpaceDE w:val="0"/>
        <w:autoSpaceDN w:val="0"/>
        <w:adjustRightInd w:val="0"/>
        <w:snapToGrid w:val="0"/>
        <w:ind w:left="1440"/>
        <w:rPr>
          <w:i/>
          <w:kern w:val="22"/>
          <w:lang w:val="fr-CA"/>
        </w:rPr>
      </w:pPr>
      <w:r w:rsidRPr="006F4DD6">
        <w:rPr>
          <w:i/>
          <w:kern w:val="22"/>
          <w:lang w:val="fr-CA"/>
        </w:rPr>
        <w:t>L’Organe subsidiaire chargé de fournir des avis scientifiques, techniques et technologiques</w:t>
      </w:r>
    </w:p>
    <w:p w14:paraId="3BA4C084" w14:textId="16A7755B" w:rsidR="00443BDB" w:rsidRPr="00D15BC3" w:rsidRDefault="00C154FF" w:rsidP="00F11EA8">
      <w:pPr>
        <w:pStyle w:val="Para10"/>
        <w:numPr>
          <w:ilvl w:val="6"/>
          <w:numId w:val="13"/>
        </w:numPr>
        <w:suppressLineNumbers/>
        <w:tabs>
          <w:tab w:val="clear" w:pos="2520"/>
        </w:tabs>
        <w:suppressAutoHyphens/>
        <w:kinsoku w:val="0"/>
        <w:overflowPunct w:val="0"/>
        <w:autoSpaceDE w:val="0"/>
        <w:autoSpaceDN w:val="0"/>
        <w:adjustRightInd w:val="0"/>
        <w:snapToGrid w:val="0"/>
        <w:ind w:left="720" w:firstLine="720"/>
        <w:rPr>
          <w:kern w:val="22"/>
          <w:szCs w:val="22"/>
          <w:lang w:val="fr-CA"/>
        </w:rPr>
      </w:pPr>
      <w:r>
        <w:rPr>
          <w:i/>
          <w:kern w:val="22"/>
          <w:szCs w:val="22"/>
          <w:lang w:val="fr-CA"/>
        </w:rPr>
        <w:t>Se réjouit</w:t>
      </w:r>
      <w:r w:rsidR="00715A06" w:rsidRPr="006F4DD6">
        <w:rPr>
          <w:i/>
          <w:kern w:val="22"/>
          <w:szCs w:val="22"/>
          <w:lang w:val="fr-CA"/>
        </w:rPr>
        <w:t xml:space="preserve"> </w:t>
      </w:r>
      <w:r>
        <w:rPr>
          <w:kern w:val="22"/>
          <w:szCs w:val="22"/>
          <w:lang w:val="fr-CA"/>
        </w:rPr>
        <w:t xml:space="preserve">de </w:t>
      </w:r>
      <w:r w:rsidR="00715A06" w:rsidRPr="00D15BC3">
        <w:rPr>
          <w:kern w:val="22"/>
          <w:szCs w:val="22"/>
          <w:lang w:val="fr-CA"/>
        </w:rPr>
        <w:t xml:space="preserve">l’examen des </w:t>
      </w:r>
      <w:r w:rsidR="005E3290" w:rsidRPr="00D15BC3">
        <w:rPr>
          <w:kern w:val="22"/>
          <w:szCs w:val="22"/>
          <w:lang w:val="fr-CA"/>
        </w:rPr>
        <w:t>nouveaux renseignements</w:t>
      </w:r>
      <w:r w:rsidR="00715A06" w:rsidRPr="00D15BC3">
        <w:rPr>
          <w:kern w:val="22"/>
          <w:szCs w:val="22"/>
          <w:lang w:val="fr-CA"/>
        </w:rPr>
        <w:t xml:space="preserve"> scientifiques et techniques sur la biodiversité et les changements </w:t>
      </w:r>
      <w:r w:rsidR="006B70BF" w:rsidRPr="00D15BC3">
        <w:rPr>
          <w:kern w:val="22"/>
          <w:szCs w:val="22"/>
          <w:lang w:val="fr-CA"/>
        </w:rPr>
        <w:t xml:space="preserve">climatiques et de </w:t>
      </w:r>
      <w:r w:rsidR="00D32CAE">
        <w:rPr>
          <w:kern w:val="22"/>
          <w:szCs w:val="22"/>
          <w:lang w:val="fr-CA"/>
        </w:rPr>
        <w:t>ses</w:t>
      </w:r>
      <w:r w:rsidR="00715A06" w:rsidRPr="00D15BC3">
        <w:rPr>
          <w:kern w:val="22"/>
          <w:szCs w:val="22"/>
          <w:lang w:val="fr-CA"/>
        </w:rPr>
        <w:t xml:space="preserve"> conséquences pour les travaux de la Convention, présenté </w:t>
      </w:r>
      <w:r w:rsidR="00D32CAE">
        <w:rPr>
          <w:kern w:val="22"/>
          <w:szCs w:val="22"/>
          <w:lang w:val="fr-CA"/>
        </w:rPr>
        <w:t>dans la note de la Secrétaire exé</w:t>
      </w:r>
      <w:r w:rsidR="007C3D55">
        <w:rPr>
          <w:kern w:val="22"/>
          <w:szCs w:val="22"/>
          <w:lang w:val="fr-CA"/>
        </w:rPr>
        <w:t>cutive</w:t>
      </w:r>
      <w:r w:rsidR="007C3D55" w:rsidRPr="002E22F1">
        <w:rPr>
          <w:rStyle w:val="Appelnotedebasdep"/>
          <w:kern w:val="22"/>
          <w:sz w:val="22"/>
          <w:szCs w:val="22"/>
          <w:u w:val="none"/>
          <w:vertAlign w:val="superscript"/>
        </w:rPr>
        <w:footnoteReference w:id="28"/>
      </w:r>
      <w:r w:rsidR="007C3D55">
        <w:rPr>
          <w:kern w:val="22"/>
          <w:szCs w:val="22"/>
          <w:lang w:val="fr-CA"/>
        </w:rPr>
        <w:t xml:space="preserve"> et le document d’information qui s’y rapporte</w:t>
      </w:r>
      <w:r w:rsidR="00D71FB2">
        <w:rPr>
          <w:kern w:val="22"/>
          <w:szCs w:val="22"/>
          <w:lang w:val="fr-CA"/>
        </w:rPr>
        <w:t>;</w:t>
      </w:r>
      <w:r w:rsidR="007C3D55" w:rsidRPr="002E22F1">
        <w:rPr>
          <w:rStyle w:val="Appelnotedebasdep"/>
          <w:kern w:val="22"/>
          <w:sz w:val="22"/>
          <w:szCs w:val="22"/>
          <w:u w:val="none"/>
          <w:vertAlign w:val="superscript"/>
        </w:rPr>
        <w:footnoteReference w:id="29"/>
      </w:r>
    </w:p>
    <w:p w14:paraId="7CECD1AF" w14:textId="3A2ED736" w:rsidR="0085221E" w:rsidRPr="006F4DD6" w:rsidRDefault="00715A06" w:rsidP="00F11EA8">
      <w:pPr>
        <w:pStyle w:val="Para10"/>
        <w:numPr>
          <w:ilvl w:val="6"/>
          <w:numId w:val="13"/>
        </w:numPr>
        <w:suppressLineNumbers/>
        <w:tabs>
          <w:tab w:val="clear" w:pos="2520"/>
        </w:tabs>
        <w:suppressAutoHyphens/>
        <w:kinsoku w:val="0"/>
        <w:overflowPunct w:val="0"/>
        <w:autoSpaceDE w:val="0"/>
        <w:autoSpaceDN w:val="0"/>
        <w:adjustRightInd w:val="0"/>
        <w:snapToGrid w:val="0"/>
        <w:ind w:left="720" w:firstLine="720"/>
        <w:rPr>
          <w:kern w:val="22"/>
          <w:szCs w:val="22"/>
          <w:lang w:val="fr-CA"/>
        </w:rPr>
      </w:pPr>
      <w:r w:rsidRPr="006F4DD6">
        <w:rPr>
          <w:i/>
          <w:kern w:val="22"/>
          <w:szCs w:val="22"/>
          <w:lang w:val="fr-CA"/>
        </w:rPr>
        <w:t xml:space="preserve">Recommande </w:t>
      </w:r>
      <w:r w:rsidRPr="006F4DD6">
        <w:rPr>
          <w:kern w:val="22"/>
          <w:szCs w:val="22"/>
          <w:lang w:val="fr-CA"/>
        </w:rPr>
        <w:t>que le Groupe de travail à composition non limitée sur le Cadre mondial de la biodiversité pour l’après-2020 tienne compte des renseignements contenus dans ces documents</w:t>
      </w:r>
      <w:r w:rsidR="00D71FB2">
        <w:rPr>
          <w:kern w:val="22"/>
          <w:szCs w:val="22"/>
          <w:lang w:val="fr-CA"/>
        </w:rPr>
        <w:t>;</w:t>
      </w:r>
    </w:p>
    <w:p w14:paraId="193979C4" w14:textId="3CFB6EAD" w:rsidR="00222F2C" w:rsidRPr="00F11EA8" w:rsidRDefault="00715A06" w:rsidP="00F11EA8">
      <w:pPr>
        <w:pStyle w:val="Para10"/>
        <w:numPr>
          <w:ilvl w:val="6"/>
          <w:numId w:val="13"/>
        </w:numPr>
        <w:suppressLineNumbers/>
        <w:tabs>
          <w:tab w:val="clear" w:pos="2520"/>
        </w:tabs>
        <w:suppressAutoHyphens/>
        <w:kinsoku w:val="0"/>
        <w:overflowPunct w:val="0"/>
        <w:autoSpaceDE w:val="0"/>
        <w:autoSpaceDN w:val="0"/>
        <w:adjustRightInd w:val="0"/>
        <w:snapToGrid w:val="0"/>
        <w:ind w:left="720" w:firstLine="720"/>
        <w:rPr>
          <w:kern w:val="22"/>
          <w:szCs w:val="22"/>
          <w:lang w:val="fr-CA"/>
        </w:rPr>
      </w:pPr>
      <w:r w:rsidRPr="006F4DD6">
        <w:rPr>
          <w:i/>
          <w:kern w:val="22"/>
          <w:szCs w:val="22"/>
          <w:lang w:val="fr-CA"/>
        </w:rPr>
        <w:lastRenderedPageBreak/>
        <w:t xml:space="preserve">Recommande également </w:t>
      </w:r>
      <w:r w:rsidRPr="006F4DD6">
        <w:rPr>
          <w:kern w:val="22"/>
          <w:szCs w:val="22"/>
          <w:lang w:val="fr-CA"/>
        </w:rPr>
        <w:t xml:space="preserve">que le Groupe de travail </w:t>
      </w:r>
      <w:r w:rsidR="00E525AA">
        <w:rPr>
          <w:kern w:val="22"/>
          <w:szCs w:val="22"/>
          <w:lang w:val="fr-CA"/>
        </w:rPr>
        <w:t xml:space="preserve">à composition non limitée </w:t>
      </w:r>
      <w:bookmarkStart w:id="4" w:name="_GoBack"/>
      <w:bookmarkEnd w:id="4"/>
      <w:r w:rsidRPr="006F4DD6">
        <w:rPr>
          <w:kern w:val="22"/>
          <w:szCs w:val="22"/>
          <w:lang w:val="fr-CA"/>
        </w:rPr>
        <w:t>sur le Cadre mondial de la biodiversité po</w:t>
      </w:r>
      <w:r w:rsidR="0089239D">
        <w:rPr>
          <w:kern w:val="22"/>
          <w:szCs w:val="22"/>
          <w:lang w:val="fr-CA"/>
        </w:rPr>
        <w:t>ur l’après-2020 et l’Organe subs</w:t>
      </w:r>
      <w:r w:rsidRPr="006F4DD6">
        <w:rPr>
          <w:kern w:val="22"/>
          <w:szCs w:val="22"/>
          <w:lang w:val="fr-CA"/>
        </w:rPr>
        <w:t xml:space="preserve">idiaire chargé de l’application examinent des possibilités de financer des projets sur le climat afin de contribuer </w:t>
      </w:r>
      <w:r w:rsidR="0089239D">
        <w:rPr>
          <w:kern w:val="22"/>
          <w:szCs w:val="22"/>
          <w:lang w:val="fr-CA"/>
        </w:rPr>
        <w:t>au soutien de</w:t>
      </w:r>
      <w:r w:rsidR="00FD627B" w:rsidRPr="006F4DD6">
        <w:rPr>
          <w:kern w:val="22"/>
          <w:szCs w:val="22"/>
          <w:lang w:val="fr-CA"/>
        </w:rPr>
        <w:t xml:space="preserve"> l’application du Cadre mondial de la biodiversité pour l’après-2020</w:t>
      </w:r>
      <w:r w:rsidR="00443BDB" w:rsidRPr="006F4DD6">
        <w:rPr>
          <w:kern w:val="22"/>
          <w:lang w:val="fr-CA"/>
        </w:rPr>
        <w:t>.</w:t>
      </w:r>
    </w:p>
    <w:p w14:paraId="2154A2AC" w14:textId="44E8D6B1" w:rsidR="008B7243" w:rsidRPr="007C3D55" w:rsidRDefault="00FD627B" w:rsidP="00C154FF">
      <w:pPr>
        <w:pStyle w:val="Para10"/>
        <w:tabs>
          <w:tab w:val="clear" w:pos="360"/>
        </w:tabs>
        <w:rPr>
          <w:lang w:val="fr-CA"/>
        </w:rPr>
      </w:pPr>
      <w:r w:rsidRPr="007C3D55">
        <w:rPr>
          <w:lang w:val="fr-CA"/>
        </w:rPr>
        <w:t>L’Organe subsidiaire chargé de fournir des avis scientifiques, techniques et technologiques pourrait souhaiter recommander que la Conférence des Parties, à sa quinzième réunion, adopte une décision qui ressemble à ce qui suit</w:t>
      </w:r>
      <w:r w:rsidR="006851CE">
        <w:rPr>
          <w:lang w:val="fr-CA"/>
        </w:rPr>
        <w:t> </w:t>
      </w:r>
      <w:r w:rsidR="008B7243" w:rsidRPr="007C3D55">
        <w:rPr>
          <w:lang w:val="fr-CA"/>
        </w:rPr>
        <w:t>:</w:t>
      </w:r>
    </w:p>
    <w:p w14:paraId="46F16FC2" w14:textId="67754C72" w:rsidR="008B7243" w:rsidRPr="006F4DD6" w:rsidRDefault="00FD627B" w:rsidP="006924CD">
      <w:pPr>
        <w:pStyle w:val="Para1"/>
        <w:numPr>
          <w:ilvl w:val="0"/>
          <w:numId w:val="0"/>
        </w:numPr>
        <w:suppressLineNumbers/>
        <w:tabs>
          <w:tab w:val="left" w:pos="720"/>
        </w:tabs>
        <w:suppressAutoHyphens/>
        <w:kinsoku w:val="0"/>
        <w:overflowPunct w:val="0"/>
        <w:autoSpaceDE w:val="0"/>
        <w:autoSpaceDN w:val="0"/>
        <w:adjustRightInd w:val="0"/>
        <w:snapToGrid w:val="0"/>
        <w:ind w:left="709" w:firstLine="851"/>
        <w:rPr>
          <w:rFonts w:cs="Times New Roman"/>
          <w:i/>
          <w:snapToGrid w:val="0"/>
          <w:kern w:val="22"/>
          <w:lang w:val="fr-CA"/>
        </w:rPr>
      </w:pPr>
      <w:r w:rsidRPr="006F4DD6">
        <w:rPr>
          <w:rFonts w:cs="Times New Roman"/>
          <w:i/>
          <w:snapToGrid w:val="0"/>
          <w:kern w:val="22"/>
          <w:lang w:val="fr-CA"/>
        </w:rPr>
        <w:t>La Conférence des Parties</w:t>
      </w:r>
      <w:r w:rsidR="00BA0694" w:rsidRPr="006F4DD6">
        <w:rPr>
          <w:rFonts w:cs="Times New Roman"/>
          <w:i/>
          <w:snapToGrid w:val="0"/>
          <w:kern w:val="22"/>
          <w:lang w:val="fr-CA"/>
        </w:rPr>
        <w:t>,</w:t>
      </w:r>
    </w:p>
    <w:p w14:paraId="0D06A8C4" w14:textId="694A5392" w:rsidR="00AF5114" w:rsidRPr="006F4DD6" w:rsidRDefault="00FD627B" w:rsidP="006924CD">
      <w:pPr>
        <w:pStyle w:val="Para1"/>
        <w:numPr>
          <w:ilvl w:val="0"/>
          <w:numId w:val="0"/>
        </w:numPr>
        <w:suppressLineNumbers/>
        <w:tabs>
          <w:tab w:val="left" w:pos="720"/>
        </w:tabs>
        <w:suppressAutoHyphens/>
        <w:kinsoku w:val="0"/>
        <w:overflowPunct w:val="0"/>
        <w:autoSpaceDE w:val="0"/>
        <w:autoSpaceDN w:val="0"/>
        <w:adjustRightInd w:val="0"/>
        <w:snapToGrid w:val="0"/>
        <w:ind w:left="709" w:firstLine="851"/>
        <w:rPr>
          <w:rFonts w:eastAsia="Times New Roman" w:cs="Times New Roman"/>
          <w:bCs w:val="0"/>
          <w:snapToGrid w:val="0"/>
          <w:kern w:val="22"/>
          <w:lang w:val="fr-CA"/>
        </w:rPr>
      </w:pPr>
      <w:r w:rsidRPr="006F4DD6">
        <w:rPr>
          <w:rFonts w:cs="Times New Roman"/>
          <w:i/>
          <w:snapToGrid w:val="0"/>
          <w:kern w:val="22"/>
          <w:lang w:val="fr-CA"/>
        </w:rPr>
        <w:t xml:space="preserve">Reconnaissant </w:t>
      </w:r>
      <w:r w:rsidRPr="006F4DD6">
        <w:rPr>
          <w:rFonts w:cs="Times New Roman"/>
          <w:snapToGrid w:val="0"/>
          <w:kern w:val="22"/>
          <w:lang w:val="fr-CA"/>
        </w:rPr>
        <w:t xml:space="preserve">que les changements climatiques et l’appauvrissement de la diversité biologique sont des défis </w:t>
      </w:r>
      <w:r w:rsidR="0089239D">
        <w:rPr>
          <w:rFonts w:cs="Times New Roman"/>
          <w:snapToGrid w:val="0"/>
          <w:kern w:val="22"/>
          <w:lang w:val="fr-CA"/>
        </w:rPr>
        <w:t>intimement liés</w:t>
      </w:r>
      <w:r w:rsidRPr="006F4DD6">
        <w:rPr>
          <w:rFonts w:cs="Times New Roman"/>
          <w:snapToGrid w:val="0"/>
          <w:kern w:val="22"/>
          <w:lang w:val="fr-CA"/>
        </w:rPr>
        <w:t xml:space="preserve"> d’une gravité sans précédent qu’</w:t>
      </w:r>
      <w:r w:rsidR="00DB59DF" w:rsidRPr="006F4DD6">
        <w:rPr>
          <w:rFonts w:cs="Times New Roman"/>
          <w:snapToGrid w:val="0"/>
          <w:kern w:val="22"/>
          <w:lang w:val="fr-CA"/>
        </w:rPr>
        <w:t>il faut relever comme un tout afin de réaliser les Objectifs de développement durable</w:t>
      </w:r>
      <w:r w:rsidR="008E2419" w:rsidRPr="006F4DD6">
        <w:rPr>
          <w:rFonts w:eastAsia="Times New Roman" w:cs="Times New Roman"/>
          <w:bCs w:val="0"/>
          <w:snapToGrid w:val="0"/>
          <w:kern w:val="22"/>
          <w:lang w:val="fr-CA"/>
        </w:rPr>
        <w:t>,</w:t>
      </w:r>
    </w:p>
    <w:p w14:paraId="404CDC87" w14:textId="363621E4" w:rsidR="00856248" w:rsidRPr="006F4DD6" w:rsidRDefault="00DB59DF" w:rsidP="006924CD">
      <w:pPr>
        <w:pStyle w:val="Para1"/>
        <w:numPr>
          <w:ilvl w:val="0"/>
          <w:numId w:val="0"/>
        </w:numPr>
        <w:suppressLineNumbers/>
        <w:tabs>
          <w:tab w:val="left" w:pos="720"/>
        </w:tabs>
        <w:suppressAutoHyphens/>
        <w:kinsoku w:val="0"/>
        <w:overflowPunct w:val="0"/>
        <w:autoSpaceDE w:val="0"/>
        <w:autoSpaceDN w:val="0"/>
        <w:adjustRightInd w:val="0"/>
        <w:snapToGrid w:val="0"/>
        <w:ind w:left="709" w:firstLine="851"/>
        <w:rPr>
          <w:rFonts w:cs="Times New Roman"/>
          <w:i/>
          <w:kern w:val="22"/>
          <w:lang w:val="fr-CA"/>
        </w:rPr>
      </w:pPr>
      <w:r w:rsidRPr="006F4DD6">
        <w:rPr>
          <w:rFonts w:cs="Times New Roman"/>
          <w:bCs w:val="0"/>
          <w:i/>
          <w:snapToGrid w:val="0"/>
          <w:kern w:val="22"/>
          <w:lang w:val="fr-CA"/>
        </w:rPr>
        <w:t xml:space="preserve">Prenant note </w:t>
      </w:r>
      <w:r w:rsidRPr="006F4DD6">
        <w:rPr>
          <w:rFonts w:cs="Times New Roman"/>
          <w:bCs w:val="0"/>
          <w:snapToGrid w:val="0"/>
          <w:kern w:val="22"/>
          <w:lang w:val="fr-CA"/>
        </w:rPr>
        <w:t>de la nécessité de maintenir la température mondiale moyenne bien en</w:t>
      </w:r>
      <w:r w:rsidR="00C7401E">
        <w:rPr>
          <w:rFonts w:cs="Times New Roman"/>
          <w:bCs w:val="0"/>
          <w:snapToGrid w:val="0"/>
          <w:kern w:val="22"/>
          <w:lang w:val="fr-CA"/>
        </w:rPr>
        <w:t xml:space="preserve"> </w:t>
      </w:r>
      <w:r w:rsidRPr="006F4DD6">
        <w:rPr>
          <w:rFonts w:cs="Times New Roman"/>
          <w:bCs w:val="0"/>
          <w:snapToGrid w:val="0"/>
          <w:kern w:val="22"/>
          <w:lang w:val="fr-CA"/>
        </w:rPr>
        <w:t>deçà de 2</w:t>
      </w:r>
      <w:r w:rsidR="00B72C78">
        <w:rPr>
          <w:rFonts w:cs="Times New Roman"/>
          <w:bCs w:val="0"/>
          <w:snapToGrid w:val="0"/>
          <w:kern w:val="22"/>
          <w:lang w:val="fr-CA"/>
        </w:rPr>
        <w:t>°C</w:t>
      </w:r>
      <w:r w:rsidRPr="006F4DD6">
        <w:rPr>
          <w:rFonts w:cs="Times New Roman"/>
          <w:bCs w:val="0"/>
          <w:snapToGrid w:val="0"/>
          <w:kern w:val="22"/>
          <w:lang w:val="fr-CA"/>
        </w:rPr>
        <w:t xml:space="preserve"> au-dessus des niveaux préindustriels et de poursuivre les efforts pour limiter l’augmentation de la température à 1,5</w:t>
      </w:r>
      <w:r w:rsidR="00B72C78">
        <w:rPr>
          <w:rFonts w:cs="Times New Roman"/>
          <w:bCs w:val="0"/>
          <w:snapToGrid w:val="0"/>
          <w:kern w:val="22"/>
          <w:lang w:val="fr-CA"/>
        </w:rPr>
        <w:t>°C</w:t>
      </w:r>
      <w:r w:rsidRPr="006F4DD6">
        <w:rPr>
          <w:rFonts w:cs="Times New Roman"/>
          <w:bCs w:val="0"/>
          <w:snapToGrid w:val="0"/>
          <w:kern w:val="22"/>
          <w:lang w:val="fr-CA"/>
        </w:rPr>
        <w:t xml:space="preserve"> au-dessus des niveaux préindustriels</w:t>
      </w:r>
      <w:r w:rsidR="00B554A6" w:rsidRPr="006F4DD6">
        <w:rPr>
          <w:rFonts w:cs="Times New Roman"/>
          <w:bCs w:val="0"/>
          <w:snapToGrid w:val="0"/>
          <w:kern w:val="22"/>
          <w:lang w:val="fr-CA"/>
        </w:rPr>
        <w:t xml:space="preserve"> afin de réduire l’appauvrissement de la diversité biologique et réaliser la Vision 2050 pour la biodiversité</w:t>
      </w:r>
      <w:r w:rsidR="0089239D">
        <w:rPr>
          <w:rFonts w:cs="Times New Roman"/>
          <w:bCs w:val="0"/>
          <w:snapToGrid w:val="0"/>
          <w:kern w:val="22"/>
          <w:lang w:val="fr-CA"/>
        </w:rPr>
        <w:t>,</w:t>
      </w:r>
      <w:r w:rsidR="00B554A6" w:rsidRPr="006F4DD6">
        <w:rPr>
          <w:rFonts w:cs="Times New Roman"/>
          <w:bCs w:val="0"/>
          <w:snapToGrid w:val="0"/>
          <w:kern w:val="22"/>
          <w:lang w:val="fr-CA"/>
        </w:rPr>
        <w:t xml:space="preserve"> et que </w:t>
      </w:r>
      <w:r w:rsidR="0089239D">
        <w:rPr>
          <w:rFonts w:cs="Times New Roman"/>
          <w:bCs w:val="0"/>
          <w:snapToGrid w:val="0"/>
          <w:kern w:val="22"/>
          <w:lang w:val="fr-CA"/>
        </w:rPr>
        <w:t>ceci</w:t>
      </w:r>
      <w:r w:rsidR="00B554A6" w:rsidRPr="006F4DD6">
        <w:rPr>
          <w:rFonts w:cs="Times New Roman"/>
          <w:bCs w:val="0"/>
          <w:snapToGrid w:val="0"/>
          <w:kern w:val="22"/>
          <w:lang w:val="fr-CA"/>
        </w:rPr>
        <w:t xml:space="preserve"> exigera des changements rapides et de grande envergure dans tous les aspects de la société</w:t>
      </w:r>
      <w:r w:rsidR="00D71FB2">
        <w:rPr>
          <w:rFonts w:cs="Times New Roman"/>
          <w:bCs w:val="0"/>
          <w:snapToGrid w:val="0"/>
          <w:kern w:val="22"/>
          <w:lang w:val="fr-CA"/>
        </w:rPr>
        <w:t>;</w:t>
      </w:r>
    </w:p>
    <w:p w14:paraId="42B9CA7C" w14:textId="7E0BDE9D" w:rsidR="00B60649" w:rsidRPr="006F4DD6" w:rsidRDefault="00B554A6" w:rsidP="006924CD">
      <w:pPr>
        <w:pStyle w:val="Para1"/>
        <w:numPr>
          <w:ilvl w:val="0"/>
          <w:numId w:val="0"/>
        </w:numPr>
        <w:suppressLineNumbers/>
        <w:tabs>
          <w:tab w:val="left" w:pos="720"/>
        </w:tabs>
        <w:suppressAutoHyphens/>
        <w:kinsoku w:val="0"/>
        <w:overflowPunct w:val="0"/>
        <w:autoSpaceDE w:val="0"/>
        <w:autoSpaceDN w:val="0"/>
        <w:adjustRightInd w:val="0"/>
        <w:snapToGrid w:val="0"/>
        <w:ind w:left="709" w:firstLine="851"/>
        <w:rPr>
          <w:rFonts w:cs="Times New Roman"/>
          <w:i/>
          <w:kern w:val="22"/>
          <w:lang w:val="fr-CA"/>
        </w:rPr>
      </w:pPr>
      <w:r w:rsidRPr="006F4DD6">
        <w:rPr>
          <w:rFonts w:cs="Times New Roman"/>
          <w:i/>
          <w:snapToGrid w:val="0"/>
          <w:kern w:val="22"/>
          <w:lang w:val="fr-CA"/>
        </w:rPr>
        <w:t xml:space="preserve">Soulignant </w:t>
      </w:r>
      <w:r w:rsidRPr="006F4DD6">
        <w:rPr>
          <w:rFonts w:cs="Times New Roman"/>
          <w:snapToGrid w:val="0"/>
          <w:kern w:val="22"/>
          <w:lang w:val="fr-CA"/>
        </w:rPr>
        <w:t>qu’il faut d’abord lutter contre les changements climatiques en rédui</w:t>
      </w:r>
      <w:r w:rsidR="00950B8E" w:rsidRPr="006F4DD6">
        <w:rPr>
          <w:rFonts w:cs="Times New Roman"/>
          <w:snapToGrid w:val="0"/>
          <w:kern w:val="22"/>
          <w:lang w:val="fr-CA"/>
        </w:rPr>
        <w:t>s</w:t>
      </w:r>
      <w:r w:rsidRPr="006F4DD6">
        <w:rPr>
          <w:rFonts w:cs="Times New Roman"/>
          <w:snapToGrid w:val="0"/>
          <w:kern w:val="22"/>
          <w:lang w:val="fr-CA"/>
        </w:rPr>
        <w:t>ant</w:t>
      </w:r>
      <w:r w:rsidR="0089239D">
        <w:rPr>
          <w:rFonts w:cs="Times New Roman"/>
          <w:snapToGrid w:val="0"/>
          <w:kern w:val="22"/>
          <w:lang w:val="fr-CA"/>
        </w:rPr>
        <w:t xml:space="preserve"> les émissions anthropiques et</w:t>
      </w:r>
      <w:r w:rsidR="00950B8E" w:rsidRPr="006F4DD6">
        <w:rPr>
          <w:rFonts w:cs="Times New Roman"/>
          <w:snapToGrid w:val="0"/>
          <w:kern w:val="22"/>
          <w:lang w:val="fr-CA"/>
        </w:rPr>
        <w:t xml:space="preserve"> utiliser des </w:t>
      </w:r>
      <w:r w:rsidRPr="006F4DD6">
        <w:rPr>
          <w:rFonts w:cs="Times New Roman"/>
          <w:snapToGrid w:val="0"/>
          <w:kern w:val="22"/>
          <w:lang w:val="fr-CA"/>
        </w:rPr>
        <w:t>approches fondées sur</w:t>
      </w:r>
      <w:r w:rsidR="00950B8E" w:rsidRPr="006F4DD6">
        <w:rPr>
          <w:rFonts w:cs="Times New Roman"/>
          <w:snapToGrid w:val="0"/>
          <w:kern w:val="22"/>
          <w:lang w:val="fr-CA"/>
        </w:rPr>
        <w:t xml:space="preserve"> </w:t>
      </w:r>
      <w:r w:rsidRPr="006F4DD6">
        <w:rPr>
          <w:rFonts w:cs="Times New Roman"/>
          <w:snapToGrid w:val="0"/>
          <w:kern w:val="22"/>
          <w:lang w:val="fr-CA"/>
        </w:rPr>
        <w:t>les écosystèmes pour atténuer les changements climatiques et réduire le risque de catastrophes</w:t>
      </w:r>
      <w:r w:rsidR="00C97928" w:rsidRPr="006F4DD6">
        <w:rPr>
          <w:rFonts w:cs="Times New Roman"/>
          <w:bCs w:val="0"/>
          <w:snapToGrid w:val="0"/>
          <w:kern w:val="22"/>
          <w:lang w:val="fr-CA"/>
        </w:rPr>
        <w:t>,</w:t>
      </w:r>
    </w:p>
    <w:p w14:paraId="51C6F406" w14:textId="28068975" w:rsidR="00B60649" w:rsidRPr="006F4DD6" w:rsidRDefault="00950B8E" w:rsidP="006924CD">
      <w:pPr>
        <w:pStyle w:val="Para1"/>
        <w:numPr>
          <w:ilvl w:val="0"/>
          <w:numId w:val="0"/>
        </w:numPr>
        <w:suppressLineNumbers/>
        <w:tabs>
          <w:tab w:val="left" w:pos="720"/>
        </w:tabs>
        <w:suppressAutoHyphens/>
        <w:kinsoku w:val="0"/>
        <w:overflowPunct w:val="0"/>
        <w:autoSpaceDE w:val="0"/>
        <w:autoSpaceDN w:val="0"/>
        <w:adjustRightInd w:val="0"/>
        <w:snapToGrid w:val="0"/>
        <w:ind w:left="709" w:firstLine="851"/>
        <w:rPr>
          <w:rFonts w:cs="Times New Roman"/>
          <w:bCs w:val="0"/>
          <w:snapToGrid w:val="0"/>
          <w:kern w:val="22"/>
          <w:lang w:val="fr-CA"/>
        </w:rPr>
      </w:pPr>
      <w:r w:rsidRPr="006F4DD6">
        <w:rPr>
          <w:rFonts w:cs="Times New Roman"/>
          <w:i/>
          <w:kern w:val="22"/>
          <w:lang w:val="fr-CA"/>
        </w:rPr>
        <w:t xml:space="preserve">Rappelant </w:t>
      </w:r>
      <w:r w:rsidRPr="006F4DD6">
        <w:rPr>
          <w:rFonts w:cs="Times New Roman"/>
          <w:kern w:val="22"/>
          <w:lang w:val="fr-CA"/>
        </w:rPr>
        <w:t>les décisions</w:t>
      </w:r>
      <w:r w:rsidR="00B60649" w:rsidRPr="006F4DD6">
        <w:rPr>
          <w:rFonts w:cs="Times New Roman"/>
          <w:kern w:val="22"/>
          <w:lang w:val="fr-CA"/>
        </w:rPr>
        <w:t xml:space="preserve"> </w:t>
      </w:r>
      <w:hyperlink r:id="rId29" w:history="1">
        <w:r w:rsidR="00B60649" w:rsidRPr="006F4DD6">
          <w:rPr>
            <w:rStyle w:val="Lienhypertexte"/>
            <w:rFonts w:cs="Times New Roman"/>
            <w:kern w:val="22"/>
            <w:lang w:val="fr-CA"/>
          </w:rPr>
          <w:t>IX/16</w:t>
        </w:r>
      </w:hyperlink>
      <w:r w:rsidR="00B60649" w:rsidRPr="006F4DD6">
        <w:rPr>
          <w:rFonts w:cs="Times New Roman"/>
          <w:kern w:val="22"/>
          <w:lang w:val="fr-CA"/>
        </w:rPr>
        <w:t xml:space="preserve">, </w:t>
      </w:r>
      <w:hyperlink r:id="rId30" w:history="1">
        <w:r w:rsidR="00B60649" w:rsidRPr="006F4DD6">
          <w:rPr>
            <w:rStyle w:val="Lienhypertexte"/>
            <w:rFonts w:cs="Times New Roman"/>
            <w:kern w:val="22"/>
            <w:lang w:val="fr-CA"/>
          </w:rPr>
          <w:t>X/33</w:t>
        </w:r>
      </w:hyperlink>
      <w:r w:rsidR="00B60649" w:rsidRPr="006F4DD6">
        <w:rPr>
          <w:rFonts w:cs="Times New Roman"/>
          <w:kern w:val="22"/>
          <w:lang w:val="fr-CA"/>
        </w:rPr>
        <w:t>,</w:t>
      </w:r>
      <w:hyperlink r:id="rId31" w:history="1">
        <w:r w:rsidR="00B60649" w:rsidRPr="006F4DD6">
          <w:rPr>
            <w:rStyle w:val="Lienhypertexte"/>
            <w:rFonts w:cs="Times New Roman"/>
            <w:kern w:val="22"/>
            <w:lang w:val="fr-CA"/>
          </w:rPr>
          <w:t xml:space="preserve"> XIII/4</w:t>
        </w:r>
      </w:hyperlink>
      <w:r w:rsidR="00B60649" w:rsidRPr="006F4DD6">
        <w:rPr>
          <w:rFonts w:cs="Times New Roman"/>
          <w:kern w:val="22"/>
          <w:lang w:val="fr-CA"/>
        </w:rPr>
        <w:t xml:space="preserve"> </w:t>
      </w:r>
      <w:r w:rsidR="006B70BF" w:rsidRPr="006F4DD6">
        <w:rPr>
          <w:rFonts w:cs="Times New Roman"/>
          <w:kern w:val="22"/>
          <w:lang w:val="fr-CA"/>
        </w:rPr>
        <w:t>et</w:t>
      </w:r>
      <w:r w:rsidR="00B60649" w:rsidRPr="006F4DD6">
        <w:rPr>
          <w:rStyle w:val="Lienhypertexte"/>
          <w:rFonts w:cs="Times New Roman"/>
          <w:kern w:val="22"/>
          <w:lang w:val="fr-CA"/>
        </w:rPr>
        <w:t xml:space="preserve"> </w:t>
      </w:r>
      <w:hyperlink r:id="rId32" w:history="1">
        <w:r w:rsidR="00B60649" w:rsidRPr="006F4DD6">
          <w:rPr>
            <w:rStyle w:val="Lienhypertexte"/>
            <w:rFonts w:cs="Times New Roman"/>
            <w:kern w:val="22"/>
            <w:lang w:val="fr-CA"/>
          </w:rPr>
          <w:t>14/5</w:t>
        </w:r>
      </w:hyperlink>
      <w:r w:rsidR="00B60649" w:rsidRPr="006F4DD6">
        <w:rPr>
          <w:rFonts w:eastAsia="Times New Roman" w:cs="Times New Roman"/>
          <w:bCs w:val="0"/>
          <w:snapToGrid w:val="0"/>
          <w:kern w:val="22"/>
          <w:lang w:val="fr-CA"/>
        </w:rPr>
        <w:t>,</w:t>
      </w:r>
      <w:r w:rsidR="00B60649" w:rsidRPr="006F4DD6">
        <w:rPr>
          <w:rFonts w:cs="Times New Roman"/>
          <w:kern w:val="22"/>
          <w:lang w:val="fr-CA"/>
        </w:rPr>
        <w:t xml:space="preserve"> </w:t>
      </w:r>
      <w:r w:rsidRPr="006F4DD6">
        <w:rPr>
          <w:rFonts w:cs="Times New Roman"/>
          <w:kern w:val="22"/>
          <w:lang w:val="fr-CA"/>
        </w:rPr>
        <w:t xml:space="preserve">et plus particulièrement le rôle critique de la diversité biologique et des fonctions et services des écosystèmes </w:t>
      </w:r>
      <w:r w:rsidR="006B70BF" w:rsidRPr="006F4DD6">
        <w:rPr>
          <w:rFonts w:cs="Times New Roman"/>
          <w:kern w:val="22"/>
          <w:lang w:val="fr-CA"/>
        </w:rPr>
        <w:t>dans l’atténuation des changements climatiques et l’adaptation à ceux-ci, et la réduction des risques de catastrophes</w:t>
      </w:r>
      <w:r w:rsidR="00B60649" w:rsidRPr="006F4DD6">
        <w:rPr>
          <w:rFonts w:cs="Times New Roman"/>
          <w:kern w:val="22"/>
          <w:lang w:val="fr-CA"/>
        </w:rPr>
        <w:t>,</w:t>
      </w:r>
    </w:p>
    <w:p w14:paraId="30FCADD0" w14:textId="17A4FD5A" w:rsidR="008B7243" w:rsidRPr="006F4DD6" w:rsidRDefault="006B70BF" w:rsidP="006924CD">
      <w:pPr>
        <w:pStyle w:val="Para10"/>
        <w:numPr>
          <w:ilvl w:val="0"/>
          <w:numId w:val="23"/>
        </w:numPr>
        <w:suppressLineNumbers/>
        <w:tabs>
          <w:tab w:val="clear" w:pos="360"/>
          <w:tab w:val="num" w:pos="720"/>
        </w:tabs>
        <w:suppressAutoHyphens/>
        <w:kinsoku w:val="0"/>
        <w:overflowPunct w:val="0"/>
        <w:autoSpaceDE w:val="0"/>
        <w:autoSpaceDN w:val="0"/>
        <w:adjustRightInd w:val="0"/>
        <w:snapToGrid w:val="0"/>
        <w:ind w:left="709" w:firstLine="851"/>
        <w:rPr>
          <w:kern w:val="22"/>
          <w:szCs w:val="22"/>
          <w:lang w:val="fr-CA"/>
        </w:rPr>
      </w:pPr>
      <w:r w:rsidRPr="006F4DD6">
        <w:rPr>
          <w:i/>
          <w:kern w:val="22"/>
          <w:szCs w:val="22"/>
          <w:lang w:val="fr-CA"/>
        </w:rPr>
        <w:t xml:space="preserve">Prend note </w:t>
      </w:r>
      <w:r w:rsidRPr="006F4DD6">
        <w:rPr>
          <w:kern w:val="22"/>
          <w:szCs w:val="22"/>
          <w:lang w:val="fr-CA"/>
        </w:rPr>
        <w:t xml:space="preserve">de l’examen des </w:t>
      </w:r>
      <w:r w:rsidR="00C44A34">
        <w:rPr>
          <w:kern w:val="22"/>
          <w:szCs w:val="22"/>
          <w:lang w:val="fr-CA"/>
        </w:rPr>
        <w:t>nouveaux renseignements</w:t>
      </w:r>
      <w:r w:rsidRPr="006F4DD6">
        <w:rPr>
          <w:kern w:val="22"/>
          <w:szCs w:val="22"/>
          <w:lang w:val="fr-CA"/>
        </w:rPr>
        <w:t xml:space="preserve"> scientifiques et techniques sur la </w:t>
      </w:r>
      <w:r w:rsidR="00BF400F" w:rsidRPr="006F4DD6">
        <w:rPr>
          <w:kern w:val="22"/>
          <w:szCs w:val="22"/>
          <w:lang w:val="fr-CA"/>
        </w:rPr>
        <w:t>bio</w:t>
      </w:r>
      <w:r w:rsidRPr="006F4DD6">
        <w:rPr>
          <w:kern w:val="22"/>
          <w:szCs w:val="22"/>
          <w:lang w:val="fr-CA"/>
        </w:rPr>
        <w:t>diversité et les changements climatiques</w:t>
      </w:r>
      <w:r w:rsidR="00BF400F" w:rsidRPr="006F4DD6">
        <w:rPr>
          <w:kern w:val="22"/>
          <w:szCs w:val="22"/>
          <w:lang w:val="fr-CA"/>
        </w:rPr>
        <w:t xml:space="preserve"> et de leurs </w:t>
      </w:r>
      <w:r w:rsidRPr="006F4DD6">
        <w:rPr>
          <w:kern w:val="22"/>
          <w:szCs w:val="22"/>
          <w:lang w:val="fr-CA"/>
        </w:rPr>
        <w:t xml:space="preserve">conséquences sur les travaux de la Convention présenté </w:t>
      </w:r>
      <w:r w:rsidR="00F11EA8">
        <w:rPr>
          <w:kern w:val="22"/>
          <w:szCs w:val="22"/>
          <w:lang w:val="fr-CA"/>
        </w:rPr>
        <w:t>dans la note de la Secrétaire exécutive</w:t>
      </w:r>
      <w:r w:rsidR="00F11EA8" w:rsidRPr="002E22F1">
        <w:rPr>
          <w:rStyle w:val="Appelnotedebasdep"/>
          <w:kern w:val="22"/>
          <w:sz w:val="22"/>
          <w:szCs w:val="22"/>
          <w:u w:val="none"/>
          <w:vertAlign w:val="superscript"/>
        </w:rPr>
        <w:footnoteReference w:id="30"/>
      </w:r>
      <w:r w:rsidR="00F11EA8">
        <w:rPr>
          <w:kern w:val="22"/>
          <w:szCs w:val="22"/>
          <w:lang w:val="fr-CA"/>
        </w:rPr>
        <w:t xml:space="preserve"> et le document d’information qui s’y rapporte</w:t>
      </w:r>
      <w:r w:rsidR="00D71FB2">
        <w:rPr>
          <w:kern w:val="22"/>
          <w:szCs w:val="22"/>
          <w:lang w:val="fr-CA"/>
        </w:rPr>
        <w:t>;</w:t>
      </w:r>
      <w:r w:rsidR="00F11EA8" w:rsidRPr="002E22F1">
        <w:rPr>
          <w:rStyle w:val="Appelnotedebasdep"/>
          <w:kern w:val="22"/>
          <w:sz w:val="22"/>
          <w:szCs w:val="22"/>
          <w:u w:val="none"/>
          <w:vertAlign w:val="superscript"/>
        </w:rPr>
        <w:footnoteReference w:id="31"/>
      </w:r>
    </w:p>
    <w:p w14:paraId="7D543EB6" w14:textId="51534CA3" w:rsidR="00A32086" w:rsidRPr="006F4DD6" w:rsidRDefault="00BF400F" w:rsidP="006924CD">
      <w:pPr>
        <w:pStyle w:val="Para10"/>
        <w:numPr>
          <w:ilvl w:val="0"/>
          <w:numId w:val="23"/>
        </w:numPr>
        <w:suppressLineNumbers/>
        <w:tabs>
          <w:tab w:val="clear" w:pos="360"/>
          <w:tab w:val="num" w:pos="720"/>
        </w:tabs>
        <w:suppressAutoHyphens/>
        <w:kinsoku w:val="0"/>
        <w:overflowPunct w:val="0"/>
        <w:autoSpaceDE w:val="0"/>
        <w:autoSpaceDN w:val="0"/>
        <w:adjustRightInd w:val="0"/>
        <w:snapToGrid w:val="0"/>
        <w:ind w:left="709" w:firstLine="851"/>
        <w:rPr>
          <w:kern w:val="22"/>
          <w:szCs w:val="22"/>
          <w:lang w:val="fr-CA"/>
        </w:rPr>
      </w:pPr>
      <w:r w:rsidRPr="006F4DD6">
        <w:rPr>
          <w:i/>
          <w:kern w:val="22"/>
          <w:lang w:val="fr-CA"/>
        </w:rPr>
        <w:t xml:space="preserve">Confirme </w:t>
      </w:r>
      <w:r w:rsidRPr="006F4DD6">
        <w:rPr>
          <w:kern w:val="22"/>
          <w:lang w:val="fr-CA"/>
        </w:rPr>
        <w:t xml:space="preserve">son encouragement aux Parties de promouvoir l’utilisation d’approches fondées sur les écosystèmes (« solutions naturelles ») pour </w:t>
      </w:r>
      <w:r w:rsidR="00C154FF">
        <w:rPr>
          <w:kern w:val="22"/>
          <w:lang w:val="fr-CA"/>
        </w:rPr>
        <w:t>atténuer les</w:t>
      </w:r>
      <w:r w:rsidRPr="006F4DD6">
        <w:rPr>
          <w:kern w:val="22"/>
          <w:lang w:val="fr-CA"/>
        </w:rPr>
        <w:t xml:space="preserve"> changements clima</w:t>
      </w:r>
      <w:r w:rsidR="00C154FF">
        <w:rPr>
          <w:kern w:val="22"/>
          <w:lang w:val="fr-CA"/>
        </w:rPr>
        <w:t>tiques et s’adapter</w:t>
      </w:r>
      <w:r w:rsidRPr="006F4DD6">
        <w:rPr>
          <w:kern w:val="22"/>
          <w:lang w:val="fr-CA"/>
        </w:rPr>
        <w:t xml:space="preserve"> à ceux-ci, et </w:t>
      </w:r>
      <w:r w:rsidR="009D348D">
        <w:rPr>
          <w:kern w:val="22"/>
          <w:lang w:val="fr-CA"/>
        </w:rPr>
        <w:t>réduire les r</w:t>
      </w:r>
      <w:r w:rsidRPr="006F4DD6">
        <w:rPr>
          <w:kern w:val="22"/>
          <w:lang w:val="fr-CA"/>
        </w:rPr>
        <w:t>isque</w:t>
      </w:r>
      <w:r w:rsidR="009D348D">
        <w:rPr>
          <w:kern w:val="22"/>
          <w:lang w:val="fr-CA"/>
        </w:rPr>
        <w:t>s</w:t>
      </w:r>
      <w:r w:rsidRPr="006F4DD6">
        <w:rPr>
          <w:kern w:val="22"/>
          <w:lang w:val="fr-CA"/>
        </w:rPr>
        <w:t xml:space="preserve"> de catastrophes</w:t>
      </w:r>
      <w:r w:rsidR="00D71FB2">
        <w:rPr>
          <w:kern w:val="22"/>
          <w:lang w:val="fr-CA"/>
        </w:rPr>
        <w:t>;</w:t>
      </w:r>
    </w:p>
    <w:p w14:paraId="7F4E1E55" w14:textId="41D5FE12" w:rsidR="00431BCA" w:rsidRPr="006F4DD6" w:rsidRDefault="00BF400F" w:rsidP="006924CD">
      <w:pPr>
        <w:pStyle w:val="Para10"/>
        <w:suppressLineNumbers/>
        <w:tabs>
          <w:tab w:val="clear" w:pos="360"/>
        </w:tabs>
        <w:suppressAutoHyphens/>
        <w:kinsoku w:val="0"/>
        <w:overflowPunct w:val="0"/>
        <w:autoSpaceDE w:val="0"/>
        <w:autoSpaceDN w:val="0"/>
        <w:adjustRightInd w:val="0"/>
        <w:snapToGrid w:val="0"/>
        <w:ind w:left="709" w:firstLine="851"/>
        <w:rPr>
          <w:color w:val="000000"/>
          <w:kern w:val="22"/>
          <w:szCs w:val="22"/>
          <w:lang w:val="fr-CA"/>
        </w:rPr>
      </w:pPr>
      <w:r w:rsidRPr="006F4DD6">
        <w:rPr>
          <w:i/>
          <w:kern w:val="22"/>
          <w:szCs w:val="22"/>
          <w:lang w:val="fr-CA"/>
        </w:rPr>
        <w:t xml:space="preserve">Invite </w:t>
      </w:r>
      <w:r w:rsidRPr="006F4DD6">
        <w:rPr>
          <w:kern w:val="22"/>
          <w:szCs w:val="22"/>
          <w:lang w:val="fr-CA"/>
        </w:rPr>
        <w:t xml:space="preserve">les Parties à </w:t>
      </w:r>
      <w:r w:rsidR="00C44A34">
        <w:rPr>
          <w:kern w:val="22"/>
          <w:szCs w:val="22"/>
          <w:lang w:val="fr-CA"/>
        </w:rPr>
        <w:t xml:space="preserve">redoubler d’effort </w:t>
      </w:r>
      <w:r w:rsidRPr="006F4DD6">
        <w:rPr>
          <w:kern w:val="22"/>
          <w:szCs w:val="22"/>
          <w:lang w:val="fr-CA"/>
        </w:rPr>
        <w:t xml:space="preserve">pour </w:t>
      </w:r>
      <w:r w:rsidR="008D4A85" w:rsidRPr="006F4DD6">
        <w:rPr>
          <w:kern w:val="22"/>
          <w:szCs w:val="22"/>
          <w:lang w:val="fr-CA"/>
        </w:rPr>
        <w:t>intégrer</w:t>
      </w:r>
      <w:r w:rsidRPr="006F4DD6">
        <w:rPr>
          <w:kern w:val="22"/>
          <w:szCs w:val="22"/>
          <w:lang w:val="fr-CA"/>
        </w:rPr>
        <w:t xml:space="preserve"> des approches fondées sur les écosystèmes dans les </w:t>
      </w:r>
      <w:r w:rsidR="008D4A85" w:rsidRPr="006F4DD6">
        <w:rPr>
          <w:kern w:val="22"/>
          <w:szCs w:val="22"/>
          <w:lang w:val="fr-CA"/>
        </w:rPr>
        <w:t>contributions nationales déterminées nouvelles et mises à jour, selon qu’il convient, et lors de l’implantation de mesures nationales au titre de l’Accord de Paris,</w:t>
      </w:r>
      <w:r w:rsidR="008D4A85" w:rsidRPr="006F4DD6">
        <w:rPr>
          <w:rStyle w:val="Appelnotedebasdep"/>
          <w:kern w:val="22"/>
          <w:szCs w:val="22"/>
          <w:u w:val="none"/>
          <w:vertAlign w:val="superscript"/>
        </w:rPr>
        <w:footnoteReference w:id="32"/>
      </w:r>
      <w:r w:rsidR="008D4A85" w:rsidRPr="006F4DD6">
        <w:rPr>
          <w:kern w:val="22"/>
          <w:szCs w:val="22"/>
          <w:vertAlign w:val="superscript"/>
          <w:lang w:val="fr-CA"/>
        </w:rPr>
        <w:t xml:space="preserve"> </w:t>
      </w:r>
      <w:r w:rsidR="008D4A85" w:rsidRPr="006F4DD6">
        <w:rPr>
          <w:kern w:val="22"/>
          <w:szCs w:val="22"/>
          <w:lang w:val="fr-CA"/>
        </w:rPr>
        <w:t>y compris les plans nationaux d’adaptation et</w:t>
      </w:r>
      <w:r w:rsidR="00AB5CF8" w:rsidRPr="006F4DD6">
        <w:rPr>
          <w:kern w:val="22"/>
          <w:szCs w:val="22"/>
          <w:lang w:val="fr-CA"/>
        </w:rPr>
        <w:t xml:space="preserve"> autres processus de planificati</w:t>
      </w:r>
      <w:r w:rsidR="008D4A85" w:rsidRPr="006F4DD6">
        <w:rPr>
          <w:kern w:val="22"/>
          <w:szCs w:val="22"/>
          <w:lang w:val="fr-CA"/>
        </w:rPr>
        <w:t>on</w:t>
      </w:r>
      <w:r w:rsidR="00D71FB2">
        <w:rPr>
          <w:kern w:val="22"/>
          <w:szCs w:val="22"/>
          <w:lang w:val="fr-CA"/>
        </w:rPr>
        <w:t>;</w:t>
      </w:r>
    </w:p>
    <w:p w14:paraId="4067C249" w14:textId="6CDA5301" w:rsidR="00C74ADA" w:rsidRPr="006F4DD6" w:rsidRDefault="00AB5CF8" w:rsidP="006924CD">
      <w:pPr>
        <w:pStyle w:val="Para10"/>
        <w:suppressLineNumbers/>
        <w:tabs>
          <w:tab w:val="clear" w:pos="360"/>
        </w:tabs>
        <w:suppressAutoHyphens/>
        <w:kinsoku w:val="0"/>
        <w:overflowPunct w:val="0"/>
        <w:autoSpaceDE w:val="0"/>
        <w:autoSpaceDN w:val="0"/>
        <w:adjustRightInd w:val="0"/>
        <w:snapToGrid w:val="0"/>
        <w:ind w:left="709" w:firstLine="851"/>
        <w:rPr>
          <w:color w:val="000000"/>
          <w:kern w:val="22"/>
          <w:szCs w:val="22"/>
          <w:lang w:val="fr-CA"/>
        </w:rPr>
      </w:pPr>
      <w:r w:rsidRPr="006F4DD6">
        <w:rPr>
          <w:i/>
          <w:kern w:val="22"/>
          <w:szCs w:val="22"/>
          <w:lang w:val="fr-CA"/>
        </w:rPr>
        <w:t xml:space="preserve">Encourage </w:t>
      </w:r>
      <w:r w:rsidRPr="006F4DD6">
        <w:rPr>
          <w:kern w:val="22"/>
          <w:szCs w:val="22"/>
          <w:lang w:val="fr-CA"/>
        </w:rPr>
        <w:t>les Parties, les autres gouvernements et les organisations compétentes à recenser et à réduire au minimum les risques potentiels et les compromis lors de la conception et de la mise en œuvre de mesures d’atténuation des changements climatiques et d’adaptation à ceux-ci, et à améliorer les synergies pour la diversité biologique en utilisant les outi</w:t>
      </w:r>
      <w:r w:rsidR="00C44A34">
        <w:rPr>
          <w:kern w:val="22"/>
          <w:szCs w:val="22"/>
          <w:lang w:val="fr-CA"/>
        </w:rPr>
        <w:t>ls et les orientations existant</w:t>
      </w:r>
      <w:r w:rsidRPr="006F4DD6">
        <w:rPr>
          <w:kern w:val="22"/>
          <w:szCs w:val="22"/>
          <w:lang w:val="fr-CA"/>
        </w:rPr>
        <w:t>s élaborés au titre de la Convention sur la diversité biologique</w:t>
      </w:r>
      <w:r w:rsidR="00D71FB2">
        <w:rPr>
          <w:kern w:val="22"/>
          <w:szCs w:val="22"/>
          <w:lang w:val="fr-CA"/>
        </w:rPr>
        <w:t>;</w:t>
      </w:r>
    </w:p>
    <w:p w14:paraId="511D933D" w14:textId="7481F964" w:rsidR="00C97928" w:rsidRPr="006F4DD6" w:rsidRDefault="00AB5CF8" w:rsidP="006924CD">
      <w:pPr>
        <w:pStyle w:val="Para10"/>
        <w:suppressLineNumbers/>
        <w:tabs>
          <w:tab w:val="clear" w:pos="360"/>
        </w:tabs>
        <w:suppressAutoHyphens/>
        <w:kinsoku w:val="0"/>
        <w:overflowPunct w:val="0"/>
        <w:autoSpaceDE w:val="0"/>
        <w:autoSpaceDN w:val="0"/>
        <w:adjustRightInd w:val="0"/>
        <w:snapToGrid w:val="0"/>
        <w:ind w:left="709" w:firstLine="851"/>
        <w:rPr>
          <w:color w:val="000000"/>
          <w:kern w:val="22"/>
          <w:szCs w:val="22"/>
          <w:lang w:val="fr-CA"/>
        </w:rPr>
      </w:pPr>
      <w:r w:rsidRPr="006F4DD6">
        <w:rPr>
          <w:i/>
          <w:kern w:val="22"/>
          <w:szCs w:val="22"/>
          <w:lang w:val="fr-CA"/>
        </w:rPr>
        <w:t xml:space="preserve">Encourage </w:t>
      </w:r>
      <w:r w:rsidRPr="006F4DD6">
        <w:rPr>
          <w:kern w:val="22"/>
          <w:szCs w:val="22"/>
          <w:lang w:val="fr-CA"/>
        </w:rPr>
        <w:t xml:space="preserve">les Parties, les autres gouvernements, les agences de financement et le secteur privé à augmenter à l’échelle leurs investissements dans les approches fondées sur les écosystèmes pour </w:t>
      </w:r>
      <w:r w:rsidR="00D647AE">
        <w:rPr>
          <w:kern w:val="22"/>
          <w:szCs w:val="22"/>
          <w:lang w:val="fr-CA"/>
        </w:rPr>
        <w:t>atténuer les changements climatiques et s’adapter</w:t>
      </w:r>
      <w:r w:rsidRPr="006F4DD6">
        <w:rPr>
          <w:kern w:val="22"/>
          <w:szCs w:val="22"/>
          <w:lang w:val="fr-CA"/>
        </w:rPr>
        <w:t xml:space="preserve"> à ceux-ci, et </w:t>
      </w:r>
      <w:r w:rsidR="00D647AE">
        <w:rPr>
          <w:kern w:val="22"/>
          <w:szCs w:val="22"/>
          <w:lang w:val="fr-CA"/>
        </w:rPr>
        <w:t>réduire les</w:t>
      </w:r>
      <w:r w:rsidRPr="006F4DD6">
        <w:rPr>
          <w:kern w:val="22"/>
          <w:szCs w:val="22"/>
          <w:lang w:val="fr-CA"/>
        </w:rPr>
        <w:t xml:space="preserve"> risques de catastrophes</w:t>
      </w:r>
      <w:r w:rsidR="003530F6" w:rsidRPr="006F4DD6">
        <w:rPr>
          <w:kern w:val="22"/>
          <w:szCs w:val="22"/>
          <w:lang w:val="fr-CA"/>
        </w:rPr>
        <w:t>, dont la restauration des écosystèmes, et de profiter des occasions de synergie entre les mécanismes de financement de la diversité biologique et des changements climatiques</w:t>
      </w:r>
      <w:r w:rsidR="00D71FB2">
        <w:rPr>
          <w:kern w:val="22"/>
          <w:szCs w:val="22"/>
          <w:lang w:val="fr-CA"/>
        </w:rPr>
        <w:t>;</w:t>
      </w:r>
    </w:p>
    <w:p w14:paraId="6C6DC12D" w14:textId="2F125C07" w:rsidR="00854BA5" w:rsidRPr="006F4DD6" w:rsidRDefault="003530F6" w:rsidP="006924CD">
      <w:pPr>
        <w:pStyle w:val="Para10"/>
        <w:suppressLineNumbers/>
        <w:tabs>
          <w:tab w:val="clear" w:pos="360"/>
        </w:tabs>
        <w:suppressAutoHyphens/>
        <w:kinsoku w:val="0"/>
        <w:overflowPunct w:val="0"/>
        <w:autoSpaceDE w:val="0"/>
        <w:autoSpaceDN w:val="0"/>
        <w:adjustRightInd w:val="0"/>
        <w:snapToGrid w:val="0"/>
        <w:ind w:left="709" w:firstLine="851"/>
        <w:rPr>
          <w:color w:val="000000"/>
          <w:kern w:val="22"/>
          <w:szCs w:val="22"/>
          <w:lang w:val="fr-CA"/>
        </w:rPr>
      </w:pPr>
      <w:r w:rsidRPr="006F4DD6">
        <w:rPr>
          <w:i/>
          <w:kern w:val="22"/>
          <w:szCs w:val="22"/>
          <w:lang w:val="fr-CA"/>
        </w:rPr>
        <w:lastRenderedPageBreak/>
        <w:t xml:space="preserve">Demande </w:t>
      </w:r>
      <w:r w:rsidRPr="006F4DD6">
        <w:rPr>
          <w:kern w:val="22"/>
          <w:szCs w:val="22"/>
          <w:lang w:val="fr-CA"/>
        </w:rPr>
        <w:t>à la Secrétaire exécutive, selon la disponibilité des ressources</w:t>
      </w:r>
      <w:r w:rsidR="00D647AE">
        <w:rPr>
          <w:kern w:val="22"/>
          <w:szCs w:val="22"/>
          <w:lang w:val="fr-CA"/>
        </w:rPr>
        <w:t xml:space="preserve"> et en collaboration avec les organisations pertinentes</w:t>
      </w:r>
      <w:r w:rsidR="00C7401E">
        <w:rPr>
          <w:kern w:val="22"/>
          <w:szCs w:val="22"/>
          <w:lang w:val="fr-CA"/>
        </w:rPr>
        <w:t> </w:t>
      </w:r>
      <w:r w:rsidR="00854BA5" w:rsidRPr="006F4DD6">
        <w:rPr>
          <w:kern w:val="22"/>
          <w:szCs w:val="22"/>
          <w:lang w:val="fr-CA"/>
        </w:rPr>
        <w:t>:</w:t>
      </w:r>
    </w:p>
    <w:p w14:paraId="671E92DB" w14:textId="4F817827" w:rsidR="00054842" w:rsidRPr="006F4DD6" w:rsidRDefault="003530F6" w:rsidP="006924CD">
      <w:pPr>
        <w:pStyle w:val="Para10"/>
        <w:numPr>
          <w:ilvl w:val="1"/>
          <w:numId w:val="13"/>
        </w:numPr>
        <w:suppressLineNumbers/>
        <w:suppressAutoHyphens/>
        <w:kinsoku w:val="0"/>
        <w:overflowPunct w:val="0"/>
        <w:autoSpaceDE w:val="0"/>
        <w:autoSpaceDN w:val="0"/>
        <w:adjustRightInd w:val="0"/>
        <w:snapToGrid w:val="0"/>
        <w:ind w:left="709" w:firstLine="851"/>
        <w:rPr>
          <w:color w:val="000000"/>
          <w:kern w:val="22"/>
          <w:szCs w:val="22"/>
          <w:lang w:val="fr-CA"/>
        </w:rPr>
      </w:pPr>
      <w:r w:rsidRPr="006F4DD6">
        <w:rPr>
          <w:kern w:val="22"/>
          <w:szCs w:val="22"/>
          <w:lang w:val="fr-CA"/>
        </w:rPr>
        <w:t xml:space="preserve">D’offrir une orientation sur les moyens de lutter contre les menaces </w:t>
      </w:r>
      <w:r w:rsidR="00D647AE">
        <w:rPr>
          <w:kern w:val="22"/>
          <w:szCs w:val="22"/>
          <w:lang w:val="fr-CA"/>
        </w:rPr>
        <w:t>qui pèsent sur</w:t>
      </w:r>
      <w:r w:rsidRPr="006F4DD6">
        <w:rPr>
          <w:kern w:val="22"/>
          <w:szCs w:val="22"/>
          <w:lang w:val="fr-CA"/>
        </w:rPr>
        <w:t xml:space="preserve"> les écosystèmes </w:t>
      </w:r>
      <w:r w:rsidR="00D647AE">
        <w:rPr>
          <w:kern w:val="22"/>
          <w:szCs w:val="22"/>
          <w:lang w:val="fr-CA"/>
        </w:rPr>
        <w:t xml:space="preserve">vulnérables </w:t>
      </w:r>
      <w:r w:rsidRPr="006F4DD6">
        <w:rPr>
          <w:kern w:val="22"/>
          <w:szCs w:val="22"/>
          <w:lang w:val="fr-CA"/>
        </w:rPr>
        <w:t>touchés par les changements climatiques et les communautés qui dépendent des services et fonction</w:t>
      </w:r>
      <w:r w:rsidR="00493207" w:rsidRPr="006F4DD6">
        <w:rPr>
          <w:kern w:val="22"/>
          <w:szCs w:val="22"/>
          <w:lang w:val="fr-CA"/>
        </w:rPr>
        <w:t>s</w:t>
      </w:r>
      <w:r w:rsidRPr="006F4DD6">
        <w:rPr>
          <w:kern w:val="22"/>
          <w:szCs w:val="22"/>
          <w:lang w:val="fr-CA"/>
        </w:rPr>
        <w:t xml:space="preserve"> des écosystèmes, dont cer</w:t>
      </w:r>
      <w:r w:rsidR="00493207" w:rsidRPr="006F4DD6">
        <w:rPr>
          <w:kern w:val="22"/>
          <w:szCs w:val="22"/>
          <w:lang w:val="fr-CA"/>
        </w:rPr>
        <w:t>t</w:t>
      </w:r>
      <w:r w:rsidRPr="006F4DD6">
        <w:rPr>
          <w:kern w:val="22"/>
          <w:szCs w:val="22"/>
          <w:lang w:val="fr-CA"/>
        </w:rPr>
        <w:t>aines régions montagnardes</w:t>
      </w:r>
      <w:r w:rsidR="00493207" w:rsidRPr="006F4DD6">
        <w:rPr>
          <w:kern w:val="22"/>
          <w:szCs w:val="22"/>
          <w:lang w:val="fr-CA"/>
        </w:rPr>
        <w:t>, écosystèmes polaires, îles de faible altitude, côtes et communautés</w:t>
      </w:r>
      <w:r w:rsidR="00D71FB2">
        <w:rPr>
          <w:kern w:val="22"/>
          <w:szCs w:val="22"/>
          <w:lang w:val="fr-CA"/>
        </w:rPr>
        <w:t>;</w:t>
      </w:r>
    </w:p>
    <w:p w14:paraId="0F97BD75" w14:textId="69DE904E" w:rsidR="003C714B" w:rsidRPr="006F4DD6" w:rsidRDefault="00493207" w:rsidP="003429E2">
      <w:pPr>
        <w:pStyle w:val="Para10"/>
        <w:numPr>
          <w:ilvl w:val="1"/>
          <w:numId w:val="13"/>
        </w:numPr>
        <w:suppressLineNumbers/>
        <w:suppressAutoHyphens/>
        <w:kinsoku w:val="0"/>
        <w:overflowPunct w:val="0"/>
        <w:autoSpaceDE w:val="0"/>
        <w:autoSpaceDN w:val="0"/>
        <w:adjustRightInd w:val="0"/>
        <w:snapToGrid w:val="0"/>
        <w:ind w:left="709" w:firstLine="851"/>
        <w:rPr>
          <w:color w:val="000000"/>
          <w:kern w:val="22"/>
          <w:szCs w:val="22"/>
          <w:lang w:val="fr-CA"/>
        </w:rPr>
      </w:pPr>
      <w:r w:rsidRPr="006F4DD6">
        <w:rPr>
          <w:kern w:val="22"/>
          <w:szCs w:val="22"/>
          <w:lang w:val="fr-CA"/>
        </w:rPr>
        <w:t xml:space="preserve">D’aider les Parties à </w:t>
      </w:r>
      <w:r w:rsidR="00D647AE">
        <w:rPr>
          <w:kern w:val="22"/>
          <w:szCs w:val="22"/>
          <w:lang w:val="fr-CA"/>
        </w:rPr>
        <w:t>repérer</w:t>
      </w:r>
      <w:r w:rsidRPr="006F4DD6">
        <w:rPr>
          <w:kern w:val="22"/>
          <w:szCs w:val="22"/>
          <w:lang w:val="fr-CA"/>
        </w:rPr>
        <w:t xml:space="preserve"> les </w:t>
      </w:r>
      <w:r w:rsidR="00D647AE">
        <w:rPr>
          <w:kern w:val="22"/>
          <w:szCs w:val="22"/>
          <w:lang w:val="fr-CA"/>
        </w:rPr>
        <w:t>occasions</w:t>
      </w:r>
      <w:r w:rsidRPr="006F4DD6">
        <w:rPr>
          <w:kern w:val="22"/>
          <w:szCs w:val="22"/>
          <w:lang w:val="fr-CA"/>
        </w:rPr>
        <w:t xml:space="preserve"> de financement des approches fondées sur les écosystèmes pour </w:t>
      </w:r>
      <w:r w:rsidR="00D647AE">
        <w:rPr>
          <w:kern w:val="22"/>
          <w:szCs w:val="22"/>
          <w:lang w:val="fr-CA"/>
        </w:rPr>
        <w:t>atténuer les</w:t>
      </w:r>
      <w:r w:rsidRPr="006F4DD6">
        <w:rPr>
          <w:kern w:val="22"/>
          <w:szCs w:val="22"/>
          <w:lang w:val="fr-CA"/>
        </w:rPr>
        <w:t xml:space="preserve"> changements climatiques et </w:t>
      </w:r>
      <w:r w:rsidR="00D647AE">
        <w:rPr>
          <w:kern w:val="22"/>
          <w:szCs w:val="22"/>
          <w:lang w:val="fr-CA"/>
        </w:rPr>
        <w:t>s</w:t>
      </w:r>
      <w:r w:rsidRPr="006F4DD6">
        <w:rPr>
          <w:kern w:val="22"/>
          <w:szCs w:val="22"/>
          <w:lang w:val="fr-CA"/>
        </w:rPr>
        <w:t>’adapt</w:t>
      </w:r>
      <w:r w:rsidR="00D647AE">
        <w:rPr>
          <w:kern w:val="22"/>
          <w:szCs w:val="22"/>
          <w:lang w:val="fr-CA"/>
        </w:rPr>
        <w:t>er</w:t>
      </w:r>
      <w:r w:rsidRPr="006F4DD6">
        <w:rPr>
          <w:kern w:val="22"/>
          <w:szCs w:val="22"/>
          <w:lang w:val="fr-CA"/>
        </w:rPr>
        <w:t xml:space="preserve"> à ceux-ci, et </w:t>
      </w:r>
      <w:r w:rsidR="00D647AE">
        <w:rPr>
          <w:kern w:val="22"/>
          <w:szCs w:val="22"/>
          <w:lang w:val="fr-CA"/>
        </w:rPr>
        <w:t>réduire</w:t>
      </w:r>
      <w:r w:rsidRPr="006F4DD6">
        <w:rPr>
          <w:kern w:val="22"/>
          <w:szCs w:val="22"/>
          <w:lang w:val="fr-CA"/>
        </w:rPr>
        <w:t xml:space="preserve"> </w:t>
      </w:r>
      <w:r w:rsidR="00D647AE">
        <w:rPr>
          <w:kern w:val="22"/>
          <w:szCs w:val="22"/>
          <w:lang w:val="fr-CA"/>
        </w:rPr>
        <w:t>l</w:t>
      </w:r>
      <w:r w:rsidRPr="006F4DD6">
        <w:rPr>
          <w:kern w:val="22"/>
          <w:szCs w:val="22"/>
          <w:lang w:val="fr-CA"/>
        </w:rPr>
        <w:t>es risques de catastrophes</w:t>
      </w:r>
      <w:r w:rsidR="00A61444" w:rsidRPr="006F4DD6">
        <w:rPr>
          <w:color w:val="000000"/>
          <w:kern w:val="22"/>
          <w:szCs w:val="22"/>
          <w:lang w:val="fr-CA"/>
        </w:rPr>
        <w:t>.</w:t>
      </w:r>
    </w:p>
    <w:p w14:paraId="783B837F" w14:textId="1B5784CC" w:rsidR="003429E2" w:rsidRPr="006924CD" w:rsidRDefault="003429E2" w:rsidP="006924CD">
      <w:pPr>
        <w:pStyle w:val="Para10"/>
        <w:numPr>
          <w:ilvl w:val="0"/>
          <w:numId w:val="0"/>
        </w:numPr>
        <w:suppressLineNumbers/>
        <w:suppressAutoHyphens/>
        <w:kinsoku w:val="0"/>
        <w:overflowPunct w:val="0"/>
        <w:autoSpaceDE w:val="0"/>
        <w:autoSpaceDN w:val="0"/>
        <w:adjustRightInd w:val="0"/>
        <w:snapToGrid w:val="0"/>
        <w:jc w:val="center"/>
        <w:rPr>
          <w:color w:val="000000"/>
          <w:kern w:val="22"/>
          <w:szCs w:val="22"/>
          <w:lang w:val="en-US"/>
        </w:rPr>
      </w:pPr>
      <w:r w:rsidRPr="006924CD">
        <w:rPr>
          <w:kern w:val="22"/>
          <w:szCs w:val="22"/>
        </w:rPr>
        <w:t>__________</w:t>
      </w:r>
    </w:p>
    <w:sectPr w:rsidR="003429E2" w:rsidRPr="006924CD" w:rsidSect="00CA1572">
      <w:headerReference w:type="even" r:id="rId33"/>
      <w:headerReference w:type="default" r:id="rId34"/>
      <w:footerReference w:type="even" r:id="rId35"/>
      <w:footerReference w:type="default" r:id="rId36"/>
      <w:headerReference w:type="first" r:id="rId37"/>
      <w:footerReference w:type="first" r:id="rId38"/>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FC6E9D" w14:textId="77777777" w:rsidR="00153DAB" w:rsidRDefault="00153DAB">
      <w:r>
        <w:separator/>
      </w:r>
    </w:p>
  </w:endnote>
  <w:endnote w:type="continuationSeparator" w:id="0">
    <w:p w14:paraId="4FBF2B10" w14:textId="77777777" w:rsidR="00153DAB" w:rsidRDefault="00153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imes New Roman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panose1 w:val="020B0603020202030204"/>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 Pro">
    <w:altName w:val="Cambria"/>
    <w:panose1 w:val="00000000000000000000"/>
    <w:charset w:val="00"/>
    <w:family w:val="roman"/>
    <w:notTrueType/>
    <w:pitch w:val="default"/>
    <w:sig w:usb0="00000003" w:usb1="08070000" w:usb2="00000010" w:usb3="00000000" w:csb0="0002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5CFF3" w14:textId="77777777" w:rsidR="006851CE" w:rsidRDefault="006851CE" w:rsidP="004C76CC">
    <w:pPr>
      <w:pStyle w:val="Pieddepage"/>
      <w:tabs>
        <w:tab w:val="clear" w:pos="4320"/>
        <w:tab w:val="clear" w:pos="8640"/>
      </w:tabs>
      <w:kinsoku w:val="0"/>
      <w:overflowPunct w:val="0"/>
      <w:autoSpaceDE w:val="0"/>
      <w:autoSpaceDN w:val="0"/>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2E5C0" w14:textId="77777777" w:rsidR="006851CE" w:rsidRDefault="006851CE" w:rsidP="004C76CC">
    <w:pPr>
      <w:pStyle w:val="Pieddepage"/>
      <w:tabs>
        <w:tab w:val="clear" w:pos="4320"/>
        <w:tab w:val="clear" w:pos="8640"/>
      </w:tabs>
      <w:kinsoku w:val="0"/>
      <w:overflowPunct w:val="0"/>
      <w:autoSpaceDE w:val="0"/>
      <w:autoSpaceDN w:val="0"/>
      <w:ind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6184F" w14:textId="77777777" w:rsidR="006851CE" w:rsidRDefault="006851CE" w:rsidP="004C76CC">
    <w:pPr>
      <w:pStyle w:val="Pieddepage"/>
      <w:tabs>
        <w:tab w:val="clear" w:pos="4320"/>
        <w:tab w:val="clear" w:pos="8640"/>
      </w:tabs>
      <w:kinsoku w:val="0"/>
      <w:overflowPunct w:val="0"/>
      <w:autoSpaceDE w:val="0"/>
      <w:autoSpaceDN w:val="0"/>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360C41" w14:textId="77777777" w:rsidR="00153DAB" w:rsidRDefault="00153DAB">
      <w:r>
        <w:separator/>
      </w:r>
    </w:p>
  </w:footnote>
  <w:footnote w:type="continuationSeparator" w:id="0">
    <w:p w14:paraId="38960284" w14:textId="77777777" w:rsidR="00153DAB" w:rsidRDefault="00153DAB">
      <w:r>
        <w:continuationSeparator/>
      </w:r>
    </w:p>
  </w:footnote>
  <w:footnote w:id="1">
    <w:p w14:paraId="671B1AE3" w14:textId="11AC57FB" w:rsidR="006851CE" w:rsidRPr="00ED5DAE" w:rsidRDefault="00D741E0" w:rsidP="004C76CC">
      <w:pPr>
        <w:pStyle w:val="Notedebasdepage"/>
        <w:keepLines w:val="0"/>
        <w:kinsoku w:val="0"/>
        <w:overflowPunct w:val="0"/>
        <w:autoSpaceDE w:val="0"/>
        <w:autoSpaceDN w:val="0"/>
        <w:ind w:firstLine="0"/>
        <w:jc w:val="left"/>
        <w:rPr>
          <w:kern w:val="18"/>
          <w:szCs w:val="18"/>
          <w:lang w:val="fr-CA"/>
        </w:rPr>
      </w:pPr>
      <w:r>
        <w:rPr>
          <w:rStyle w:val="Appelnotedebasdep"/>
          <w:kern w:val="18"/>
          <w:szCs w:val="18"/>
          <w:u w:val="none"/>
          <w:lang w:val="fr-CA"/>
        </w:rPr>
        <w:fldChar w:fldCharType="begin"/>
      </w:r>
      <w:r>
        <w:rPr>
          <w:rStyle w:val="Appelnotedebasdep"/>
          <w:kern w:val="18"/>
          <w:szCs w:val="18"/>
          <w:u w:val="none"/>
          <w:lang w:val="fr-CA"/>
        </w:rPr>
        <w:instrText xml:space="preserve"> HYPERLINK "https://www.cbd.int/doc/c/54ef/5d9b/48cf0480599d5c41ced4bf5c/sbstta-23-01-fr.pdf" </w:instrText>
      </w:r>
      <w:r>
        <w:rPr>
          <w:rStyle w:val="Appelnotedebasdep"/>
          <w:kern w:val="18"/>
          <w:szCs w:val="18"/>
          <w:u w:val="none"/>
          <w:lang w:val="fr-CA"/>
        </w:rPr>
        <w:fldChar w:fldCharType="separate"/>
      </w:r>
      <w:r w:rsidR="006851CE" w:rsidRPr="00D741E0">
        <w:rPr>
          <w:rStyle w:val="Lienhypertexte"/>
          <w:kern w:val="18"/>
          <w:szCs w:val="18"/>
          <w:lang w:val="fr-CA"/>
        </w:rPr>
        <w:t>* CBD/</w:t>
      </w:r>
      <w:proofErr w:type="spellStart"/>
      <w:r w:rsidR="006851CE" w:rsidRPr="00D741E0">
        <w:rPr>
          <w:rStyle w:val="Lienhypertexte"/>
          <w:kern w:val="18"/>
          <w:szCs w:val="18"/>
          <w:lang w:val="fr-CA"/>
        </w:rPr>
        <w:t>SBSTTA</w:t>
      </w:r>
      <w:proofErr w:type="spellEnd"/>
      <w:r w:rsidR="006851CE" w:rsidRPr="00D741E0">
        <w:rPr>
          <w:rStyle w:val="Lienhypertexte"/>
          <w:kern w:val="18"/>
          <w:szCs w:val="18"/>
          <w:lang w:val="fr-CA"/>
        </w:rPr>
        <w:t>/23/1.</w:t>
      </w:r>
      <w:r>
        <w:rPr>
          <w:rStyle w:val="Appelnotedebasdep"/>
          <w:kern w:val="18"/>
          <w:szCs w:val="18"/>
          <w:u w:val="none"/>
          <w:lang w:val="fr-CA"/>
        </w:rPr>
        <w:fldChar w:fldCharType="end"/>
      </w:r>
    </w:p>
  </w:footnote>
  <w:footnote w:id="2">
    <w:p w14:paraId="7272E488" w14:textId="26873C6A" w:rsidR="006851CE" w:rsidRPr="004E279F" w:rsidRDefault="006851CE" w:rsidP="002B3ED7">
      <w:pPr>
        <w:pStyle w:val="Notedebasdepage"/>
        <w:suppressLineNumbers/>
        <w:suppressAutoHyphens/>
        <w:ind w:firstLine="0"/>
        <w:jc w:val="left"/>
        <w:rPr>
          <w:kern w:val="18"/>
          <w:szCs w:val="18"/>
          <w:lang w:val="fr-CA"/>
        </w:rPr>
      </w:pPr>
      <w:r w:rsidRPr="002E22F1">
        <w:rPr>
          <w:rStyle w:val="Appelnotedebasdep"/>
          <w:kern w:val="18"/>
          <w:szCs w:val="18"/>
          <w:u w:val="none"/>
          <w:vertAlign w:val="superscript"/>
        </w:rPr>
        <w:footnoteRef/>
      </w:r>
      <w:r w:rsidRPr="004E279F">
        <w:rPr>
          <w:kern w:val="18"/>
          <w:szCs w:val="18"/>
          <w:lang w:val="fr-CA"/>
        </w:rPr>
        <w:t xml:space="preserve"> Voir https://www.ipcc.ch/sr15/</w:t>
      </w:r>
    </w:p>
  </w:footnote>
  <w:footnote w:id="3">
    <w:p w14:paraId="081F001C" w14:textId="7175C3A3" w:rsidR="006851CE" w:rsidRPr="00535AE7" w:rsidRDefault="006851CE" w:rsidP="00DC4C9C">
      <w:pPr>
        <w:pStyle w:val="Notedebasdepage"/>
        <w:ind w:firstLine="0"/>
        <w:rPr>
          <w:lang w:val="fr-CA"/>
        </w:rPr>
      </w:pPr>
      <w:r w:rsidRPr="00535AE7">
        <w:rPr>
          <w:rStyle w:val="Appelnotedebasdep"/>
          <w:u w:val="none"/>
          <w:vertAlign w:val="superscript"/>
          <w:lang w:val="fr-CA"/>
        </w:rPr>
        <w:footnoteRef/>
      </w:r>
      <w:r w:rsidRPr="00535AE7">
        <w:rPr>
          <w:lang w:val="fr-CA"/>
        </w:rPr>
        <w:t xml:space="preserve"> </w:t>
      </w:r>
      <w:r>
        <w:rPr>
          <w:bCs/>
          <w:kern w:val="22"/>
          <w:szCs w:val="22"/>
          <w:lang w:val="fr-CA"/>
        </w:rPr>
        <w:t xml:space="preserve">Ce rapport sera examiné à la cinquante et unième session du </w:t>
      </w:r>
      <w:proofErr w:type="spellStart"/>
      <w:r>
        <w:rPr>
          <w:bCs/>
          <w:kern w:val="22"/>
          <w:szCs w:val="22"/>
          <w:lang w:val="fr-CA"/>
        </w:rPr>
        <w:t>GIEC</w:t>
      </w:r>
      <w:proofErr w:type="spellEnd"/>
      <w:r>
        <w:rPr>
          <w:bCs/>
          <w:kern w:val="22"/>
          <w:szCs w:val="22"/>
          <w:lang w:val="fr-CA"/>
        </w:rPr>
        <w:t xml:space="preserve"> (20-23 septembre 2019) aux fins d’approbation. Toute information extraite de ce rapport ne pourra être publiée par le Secrétariat qu’après l’approbation officielle </w:t>
      </w:r>
      <w:r w:rsidR="00237D95">
        <w:rPr>
          <w:bCs/>
          <w:kern w:val="22"/>
          <w:szCs w:val="22"/>
          <w:lang w:val="fr-CA"/>
        </w:rPr>
        <w:t>par le</w:t>
      </w:r>
      <w:r>
        <w:rPr>
          <w:bCs/>
          <w:kern w:val="22"/>
          <w:szCs w:val="22"/>
          <w:lang w:val="fr-CA"/>
        </w:rPr>
        <w:t xml:space="preserve"> </w:t>
      </w:r>
      <w:proofErr w:type="spellStart"/>
      <w:r>
        <w:rPr>
          <w:bCs/>
          <w:kern w:val="22"/>
          <w:szCs w:val="22"/>
          <w:lang w:val="fr-CA"/>
        </w:rPr>
        <w:t>GIEC</w:t>
      </w:r>
      <w:proofErr w:type="spellEnd"/>
      <w:r w:rsidRPr="00535AE7">
        <w:rPr>
          <w:bCs/>
          <w:kern w:val="22"/>
          <w:szCs w:val="22"/>
          <w:lang w:val="fr-CA"/>
        </w:rPr>
        <w:t>.</w:t>
      </w:r>
    </w:p>
  </w:footnote>
  <w:footnote w:id="4">
    <w:p w14:paraId="15E35481" w14:textId="2875FCC3" w:rsidR="006851CE" w:rsidRPr="00535AE7" w:rsidRDefault="006851CE" w:rsidP="00DC4C9C">
      <w:pPr>
        <w:pStyle w:val="Notedebasdepage"/>
        <w:ind w:firstLine="0"/>
        <w:rPr>
          <w:lang w:val="fr-CA"/>
        </w:rPr>
      </w:pPr>
      <w:r w:rsidRPr="00535AE7">
        <w:rPr>
          <w:rStyle w:val="Appelnotedebasdep"/>
          <w:u w:val="none"/>
          <w:vertAlign w:val="superscript"/>
          <w:lang w:val="fr-CA"/>
        </w:rPr>
        <w:footnoteRef/>
      </w:r>
      <w:r w:rsidRPr="00535AE7">
        <w:rPr>
          <w:lang w:val="fr-CA"/>
        </w:rPr>
        <w:t xml:space="preserve"> </w:t>
      </w:r>
      <w:r>
        <w:rPr>
          <w:lang w:val="fr-CA"/>
        </w:rPr>
        <w:t>Principaux messages de l’atelier sur la Biodiversité et les changements climatiques : Science intégrée pour une politique cohérente</w:t>
      </w:r>
      <w:r w:rsidRPr="00535AE7">
        <w:rPr>
          <w:lang w:val="fr-CA"/>
        </w:rPr>
        <w:t xml:space="preserve"> (CBD/COP/14/</w:t>
      </w:r>
      <w:proofErr w:type="spellStart"/>
      <w:r w:rsidRPr="00535AE7">
        <w:rPr>
          <w:lang w:val="fr-CA"/>
        </w:rPr>
        <w:t>INF</w:t>
      </w:r>
      <w:proofErr w:type="spellEnd"/>
      <w:r w:rsidRPr="00535AE7">
        <w:rPr>
          <w:lang w:val="fr-CA"/>
        </w:rPr>
        <w:t>/22).</w:t>
      </w:r>
    </w:p>
  </w:footnote>
  <w:footnote w:id="5">
    <w:p w14:paraId="1F273005" w14:textId="12B2469B" w:rsidR="006851CE" w:rsidRPr="007B3A57" w:rsidRDefault="006851CE" w:rsidP="006924CD">
      <w:pPr>
        <w:pStyle w:val="Notedebasdepage"/>
        <w:ind w:firstLine="0"/>
        <w:rPr>
          <w:lang w:val="fr-CA"/>
        </w:rPr>
      </w:pPr>
      <w:r w:rsidRPr="007B3A57">
        <w:rPr>
          <w:rStyle w:val="Appelnotedebasdep"/>
          <w:u w:val="none"/>
          <w:vertAlign w:val="superscript"/>
          <w:lang w:val="fr-CA"/>
        </w:rPr>
        <w:footnoteRef/>
      </w:r>
      <w:r w:rsidRPr="007B3A57">
        <w:rPr>
          <w:lang w:val="fr-CA"/>
        </w:rPr>
        <w:t xml:space="preserve"> Secrétariat de la Convention sur la diversité biologique (2009). </w:t>
      </w:r>
      <w:r w:rsidRPr="005B714E">
        <w:rPr>
          <w:lang w:val="en-US"/>
        </w:rPr>
        <w:t>Connecting Biodiversity and Climate Change Mitigation and Adaptation: Report of the Second Ad Hoc Technical Expert</w:t>
      </w:r>
      <w:r>
        <w:t xml:space="preserve"> Group on Biodiversity and Climate Change. </w:t>
      </w:r>
      <w:r w:rsidRPr="007B3A57">
        <w:rPr>
          <w:lang w:val="fr-CA"/>
        </w:rPr>
        <w:t>Montréal, Cahier technique n</w:t>
      </w:r>
      <w:r w:rsidRPr="007B3A57">
        <w:rPr>
          <w:vertAlign w:val="superscript"/>
          <w:lang w:val="fr-CA"/>
        </w:rPr>
        <w:t>o</w:t>
      </w:r>
      <w:r w:rsidRPr="007B3A57">
        <w:rPr>
          <w:lang w:val="fr-CA"/>
        </w:rPr>
        <w:t xml:space="preserve"> 41</w:t>
      </w:r>
      <w:r>
        <w:rPr>
          <w:lang w:val="fr-CA"/>
        </w:rPr>
        <w:t xml:space="preserve"> de la CDB</w:t>
      </w:r>
      <w:r w:rsidRPr="007B3A57">
        <w:rPr>
          <w:lang w:val="fr-CA"/>
        </w:rPr>
        <w:t xml:space="preserve">, 126 pages: https://www.cbd.int/doc/publications/cbd-ts-41-en.pdf  </w:t>
      </w:r>
    </w:p>
  </w:footnote>
  <w:footnote w:id="6">
    <w:p w14:paraId="3D69E9A9" w14:textId="515DF919" w:rsidR="006851CE" w:rsidRPr="00D87DE7" w:rsidRDefault="006851CE" w:rsidP="006924CD">
      <w:pPr>
        <w:pStyle w:val="Notedebasdepage"/>
        <w:ind w:firstLine="0"/>
        <w:rPr>
          <w:lang w:val="fr-CA"/>
        </w:rPr>
      </w:pPr>
      <w:r w:rsidRPr="006924CD">
        <w:rPr>
          <w:rStyle w:val="Appelnotedebasdep"/>
          <w:u w:val="none"/>
          <w:vertAlign w:val="superscript"/>
        </w:rPr>
        <w:footnoteRef/>
      </w:r>
      <w:r w:rsidRPr="00D87DE7">
        <w:rPr>
          <w:lang w:val="fr-CA"/>
        </w:rPr>
        <w:t xml:space="preserve"> UNEP/CBD/</w:t>
      </w:r>
      <w:proofErr w:type="spellStart"/>
      <w:r w:rsidRPr="00D87DE7">
        <w:rPr>
          <w:lang w:val="fr-CA"/>
        </w:rPr>
        <w:t>SBSTTA</w:t>
      </w:r>
      <w:proofErr w:type="spellEnd"/>
      <w:r w:rsidRPr="00D87DE7">
        <w:rPr>
          <w:lang w:val="fr-CA"/>
        </w:rPr>
        <w:t>/14/6</w:t>
      </w:r>
      <w:r>
        <w:rPr>
          <w:lang w:val="fr-CA"/>
        </w:rPr>
        <w:t>.</w:t>
      </w:r>
      <w:r w:rsidRPr="00D87DE7">
        <w:rPr>
          <w:lang w:val="fr-CA"/>
        </w:rPr>
        <w:t xml:space="preserve"> </w:t>
      </w:r>
    </w:p>
  </w:footnote>
  <w:footnote w:id="7">
    <w:p w14:paraId="37B58C13" w14:textId="2EA07B3E" w:rsidR="006851CE" w:rsidRPr="00E91979" w:rsidRDefault="006851CE" w:rsidP="006924CD">
      <w:pPr>
        <w:pStyle w:val="Notedebasdepage"/>
        <w:ind w:firstLine="0"/>
        <w:rPr>
          <w:lang w:val="fr-CA"/>
        </w:rPr>
      </w:pPr>
      <w:r w:rsidRPr="006924CD">
        <w:rPr>
          <w:rStyle w:val="Appelnotedebasdep"/>
          <w:sz w:val="22"/>
          <w:szCs w:val="22"/>
          <w:u w:val="none"/>
          <w:vertAlign w:val="superscript"/>
        </w:rPr>
        <w:footnoteRef/>
      </w:r>
      <w:r w:rsidRPr="00E91979">
        <w:rPr>
          <w:lang w:val="fr-CA"/>
        </w:rPr>
        <w:t xml:space="preserve"> </w:t>
      </w:r>
      <w:r>
        <w:rPr>
          <w:lang w:val="fr-CA"/>
        </w:rPr>
        <w:t xml:space="preserve">Voir : </w:t>
      </w:r>
      <w:r w:rsidRPr="00E91979">
        <w:rPr>
          <w:lang w:val="fr-CA"/>
        </w:rPr>
        <w:t xml:space="preserve">Secrétariat de la Convention sur la diversité biologique (2009). </w:t>
      </w:r>
      <w:r w:rsidRPr="00D741E0">
        <w:rPr>
          <w:lang w:val="en-US"/>
        </w:rPr>
        <w:t>Connecting Biodiversity and Climate Change Mitigation and Ad</w:t>
      </w:r>
      <w:proofErr w:type="spellStart"/>
      <w:r>
        <w:t>aptation</w:t>
      </w:r>
      <w:proofErr w:type="spellEnd"/>
      <w:r>
        <w:t xml:space="preserve">: Report of the Second Ad Hoc Technical Expert Group on Biodiversity and Climate Change. </w:t>
      </w:r>
      <w:r>
        <w:rPr>
          <w:lang w:val="fr-CA"/>
        </w:rPr>
        <w:t>Montréa</w:t>
      </w:r>
      <w:r w:rsidRPr="00E91979">
        <w:rPr>
          <w:lang w:val="fr-CA"/>
        </w:rPr>
        <w:t>l, Cahier technique n</w:t>
      </w:r>
      <w:r w:rsidRPr="00E91979">
        <w:rPr>
          <w:vertAlign w:val="superscript"/>
          <w:lang w:val="fr-CA"/>
        </w:rPr>
        <w:t>o</w:t>
      </w:r>
      <w:r w:rsidRPr="00E91979">
        <w:rPr>
          <w:lang w:val="fr-CA"/>
        </w:rPr>
        <w:t xml:space="preserve"> 41</w:t>
      </w:r>
      <w:r>
        <w:rPr>
          <w:lang w:val="fr-CA"/>
        </w:rPr>
        <w:t xml:space="preserve"> de la CDB</w:t>
      </w:r>
      <w:r w:rsidRPr="00E91979">
        <w:rPr>
          <w:lang w:val="fr-CA"/>
        </w:rPr>
        <w:t>, 126 pages:</w:t>
      </w:r>
      <w:r>
        <w:rPr>
          <w:lang w:val="fr-CA"/>
        </w:rPr>
        <w:t xml:space="preserve"> </w:t>
      </w:r>
      <w:r w:rsidRPr="00E91979">
        <w:rPr>
          <w:lang w:val="fr-CA"/>
        </w:rPr>
        <w:t>https://cbd,int/doc/publications/cbd-ts-41-en.pdf</w:t>
      </w:r>
      <w:r>
        <w:rPr>
          <w:rStyle w:val="Lienhypertexte"/>
          <w:lang w:val="fr-CA"/>
        </w:rPr>
        <w:t xml:space="preserve"> </w:t>
      </w:r>
    </w:p>
  </w:footnote>
  <w:footnote w:id="8">
    <w:p w14:paraId="77EB8CDD" w14:textId="603796A7" w:rsidR="006851CE" w:rsidRPr="009D04BD" w:rsidRDefault="006851CE" w:rsidP="006924CD">
      <w:pPr>
        <w:pStyle w:val="Para10"/>
        <w:numPr>
          <w:ilvl w:val="0"/>
          <w:numId w:val="0"/>
        </w:numPr>
        <w:suppressLineNumbers/>
        <w:suppressAutoHyphens/>
        <w:kinsoku w:val="0"/>
        <w:overflowPunct w:val="0"/>
        <w:autoSpaceDE w:val="0"/>
        <w:autoSpaceDN w:val="0"/>
        <w:adjustRightInd w:val="0"/>
        <w:snapToGrid w:val="0"/>
        <w:rPr>
          <w:szCs w:val="22"/>
          <w:lang w:val="fr-CA"/>
        </w:rPr>
      </w:pPr>
      <w:r w:rsidRPr="006924CD">
        <w:rPr>
          <w:rStyle w:val="Appelnotedebasdep"/>
          <w:u w:val="none"/>
          <w:vertAlign w:val="superscript"/>
        </w:rPr>
        <w:footnoteRef/>
      </w:r>
      <w:r w:rsidRPr="009D04BD">
        <w:rPr>
          <w:lang w:val="fr-CA"/>
        </w:rPr>
        <w:t xml:space="preserve"> </w:t>
      </w:r>
      <w:r>
        <w:rPr>
          <w:sz w:val="18"/>
          <w:lang w:val="fr-CA"/>
        </w:rPr>
        <w:t>Présentées</w:t>
      </w:r>
      <w:r w:rsidRPr="009D04BD">
        <w:rPr>
          <w:sz w:val="18"/>
          <w:lang w:val="fr-CA"/>
        </w:rPr>
        <w:t xml:space="preserve"> dans l’annexe à la décision XII/23, et aussi présenté</w:t>
      </w:r>
      <w:r>
        <w:rPr>
          <w:sz w:val="18"/>
          <w:lang w:val="fr-CA"/>
        </w:rPr>
        <w:t xml:space="preserve">es dans un livret </w:t>
      </w:r>
      <w:r w:rsidRPr="009D04BD">
        <w:rPr>
          <w:sz w:val="18"/>
          <w:lang w:val="fr-CA"/>
        </w:rPr>
        <w:t xml:space="preserve">: </w:t>
      </w:r>
      <w:r>
        <w:rPr>
          <w:sz w:val="18"/>
          <w:lang w:val="fr-CA"/>
        </w:rPr>
        <w:t>https://www.cbd.int/doc/publications/cbd-aichi-target-10-en.pdf</w:t>
      </w:r>
    </w:p>
  </w:footnote>
  <w:footnote w:id="9">
    <w:p w14:paraId="2EF278D0" w14:textId="42C244A3" w:rsidR="006851CE" w:rsidRPr="00291DCD" w:rsidRDefault="006851CE" w:rsidP="006924CD">
      <w:pPr>
        <w:pStyle w:val="Notedebasdepage"/>
        <w:ind w:firstLine="0"/>
        <w:rPr>
          <w:lang w:val="fr-CA"/>
        </w:rPr>
      </w:pPr>
      <w:r w:rsidRPr="006924CD">
        <w:rPr>
          <w:rStyle w:val="Appelnotedebasdep"/>
          <w:snapToGrid w:val="0"/>
          <w:szCs w:val="18"/>
          <w:u w:val="none"/>
          <w:vertAlign w:val="superscript"/>
        </w:rPr>
        <w:footnoteRef/>
      </w:r>
      <w:r w:rsidRPr="00CD653E">
        <w:rPr>
          <w:lang w:val="fr-CA"/>
        </w:rPr>
        <w:t xml:space="preserve"> </w:t>
      </w:r>
      <w:r w:rsidRPr="00291DCD">
        <w:rPr>
          <w:lang w:val="fr-CA"/>
        </w:rPr>
        <w:t>Tels qu’</w:t>
      </w:r>
      <w:proofErr w:type="spellStart"/>
      <w:r w:rsidRPr="00291DCD">
        <w:rPr>
          <w:lang w:val="fr-CA"/>
        </w:rPr>
        <w:t>AdaptWest</w:t>
      </w:r>
      <w:proofErr w:type="spellEnd"/>
      <w:r w:rsidRPr="00291DCD">
        <w:rPr>
          <w:lang w:val="fr-CA"/>
        </w:rPr>
        <w:t xml:space="preserve">, une base de données pour la planification de l’adaptation aux changements climatiques en Amérique du Nord,  https://adaptwast.databasin.org/  </w:t>
      </w:r>
    </w:p>
  </w:footnote>
  <w:footnote w:id="10">
    <w:p w14:paraId="367CD28C" w14:textId="046F090D" w:rsidR="006851CE" w:rsidRPr="00291DCD" w:rsidRDefault="006851CE" w:rsidP="006924CD">
      <w:pPr>
        <w:pStyle w:val="Notedebasdepage"/>
        <w:ind w:firstLine="0"/>
      </w:pPr>
      <w:r w:rsidRPr="00291DCD">
        <w:rPr>
          <w:rStyle w:val="Appelnotedebasdep"/>
          <w:snapToGrid w:val="0"/>
          <w:szCs w:val="18"/>
          <w:u w:val="none"/>
          <w:vertAlign w:val="superscript"/>
        </w:rPr>
        <w:footnoteRef/>
      </w:r>
      <w:r w:rsidRPr="00291DCD">
        <w:t xml:space="preserve"> </w:t>
      </w:r>
      <w:proofErr w:type="spellStart"/>
      <w:r w:rsidRPr="00291DCD">
        <w:t>Tels</w:t>
      </w:r>
      <w:proofErr w:type="spellEnd"/>
      <w:r w:rsidRPr="00291DCD">
        <w:t xml:space="preserve"> que « Map of Life » https:33mol.org/ </w:t>
      </w:r>
    </w:p>
  </w:footnote>
  <w:footnote w:id="11">
    <w:p w14:paraId="3737CDE1" w14:textId="48214831" w:rsidR="006851CE" w:rsidRPr="00BE365A" w:rsidRDefault="006851CE" w:rsidP="009766DE">
      <w:pPr>
        <w:pStyle w:val="Notedebasdepage"/>
        <w:ind w:firstLine="0"/>
        <w:rPr>
          <w:rFonts w:cs="Angsana New"/>
          <w:lang w:val="fr-CA"/>
        </w:rPr>
      </w:pPr>
      <w:r w:rsidRPr="006924CD">
        <w:rPr>
          <w:rStyle w:val="Appelnotedebasdep"/>
          <w:u w:val="none"/>
          <w:vertAlign w:val="superscript"/>
        </w:rPr>
        <w:footnoteRef/>
      </w:r>
      <w:r w:rsidRPr="00BE365A">
        <w:rPr>
          <w:lang w:val="fr-CA"/>
        </w:rPr>
        <w:t xml:space="preserve"> Gestion des écosystèmes dans le contexte de l’atténuation des changements climatiques : Analyse des connaissances actuelles et </w:t>
      </w:r>
      <w:r>
        <w:rPr>
          <w:lang w:val="fr-CA"/>
        </w:rPr>
        <w:t xml:space="preserve">des recommandations en soutien à l’atténuation fondée sur les écosystèmes qui s’étendent au-delà des forêts terrestres </w:t>
      </w:r>
      <w:r w:rsidRPr="00BE365A">
        <w:rPr>
          <w:lang w:val="fr-CA"/>
        </w:rPr>
        <w:t>(UNEP/CBD/</w:t>
      </w:r>
      <w:proofErr w:type="spellStart"/>
      <w:r w:rsidRPr="00BE365A">
        <w:rPr>
          <w:lang w:val="fr-CA"/>
        </w:rPr>
        <w:t>SBSTTA</w:t>
      </w:r>
      <w:proofErr w:type="spellEnd"/>
      <w:r w:rsidRPr="00BE365A">
        <w:rPr>
          <w:lang w:val="fr-CA"/>
        </w:rPr>
        <w:t>/20/</w:t>
      </w:r>
      <w:proofErr w:type="spellStart"/>
      <w:r w:rsidRPr="00BE365A">
        <w:rPr>
          <w:lang w:val="fr-CA"/>
        </w:rPr>
        <w:t>INF</w:t>
      </w:r>
      <w:proofErr w:type="spellEnd"/>
      <w:r w:rsidRPr="00BE365A">
        <w:rPr>
          <w:lang w:val="fr-CA"/>
        </w:rPr>
        <w:t>/3).</w:t>
      </w:r>
    </w:p>
  </w:footnote>
  <w:footnote w:id="12">
    <w:p w14:paraId="0BFE1963" w14:textId="3C7C6E39" w:rsidR="006851CE" w:rsidRPr="002A50CA" w:rsidRDefault="006851CE" w:rsidP="006924CD">
      <w:pPr>
        <w:pStyle w:val="Notedebasdepage"/>
        <w:ind w:firstLine="0"/>
        <w:rPr>
          <w:lang w:val="fr-CA"/>
        </w:rPr>
      </w:pPr>
      <w:r w:rsidRPr="006924CD">
        <w:rPr>
          <w:rStyle w:val="Appelnotedebasdep"/>
          <w:u w:val="none"/>
          <w:vertAlign w:val="superscript"/>
        </w:rPr>
        <w:footnoteRef/>
      </w:r>
      <w:r w:rsidRPr="002A50CA">
        <w:rPr>
          <w:lang w:val="fr-CA"/>
        </w:rPr>
        <w:t xml:space="preserve"> Secr</w:t>
      </w:r>
      <w:r>
        <w:rPr>
          <w:lang w:val="fr-CA"/>
        </w:rPr>
        <w:t>é</w:t>
      </w:r>
      <w:r w:rsidRPr="002A50CA">
        <w:rPr>
          <w:lang w:val="fr-CA"/>
        </w:rPr>
        <w:t xml:space="preserve">tariat de la Convention sur la diversité biologique (2019). </w:t>
      </w:r>
      <w:r w:rsidRPr="00045511">
        <w:rPr>
          <w:i/>
        </w:rPr>
        <w:t>Voluntary guidelines for the design and effective implementation of ecosystem-based approaches to climate change adaptation and disaster risk reduction and supplementary information</w:t>
      </w:r>
      <w:r>
        <w:t xml:space="preserve">. </w:t>
      </w:r>
      <w:r w:rsidRPr="002A50CA">
        <w:rPr>
          <w:lang w:val="fr-CA"/>
        </w:rPr>
        <w:t>Cahier technique n</w:t>
      </w:r>
      <w:r w:rsidRPr="002A50CA">
        <w:rPr>
          <w:vertAlign w:val="superscript"/>
          <w:lang w:val="fr-CA"/>
        </w:rPr>
        <w:t>o</w:t>
      </w:r>
      <w:r>
        <w:rPr>
          <w:lang w:val="fr-CA"/>
        </w:rPr>
        <w:t xml:space="preserve"> 93 de la CDB. Montré</w:t>
      </w:r>
      <w:r w:rsidRPr="002A50CA">
        <w:rPr>
          <w:lang w:val="fr-CA"/>
        </w:rPr>
        <w:t xml:space="preserve">al, 156 pages. Publié sur le site </w:t>
      </w:r>
      <w:r>
        <w:rPr>
          <w:lang w:val="fr-CA"/>
        </w:rPr>
        <w:t xml:space="preserve">https://www.cbd.int/doc/publications/cbd-ts-93-en.pdf </w:t>
      </w:r>
    </w:p>
  </w:footnote>
  <w:footnote w:id="13">
    <w:p w14:paraId="0B931E63" w14:textId="0C9D5D06" w:rsidR="006851CE" w:rsidRPr="002A50CA" w:rsidRDefault="006851CE" w:rsidP="006924CD">
      <w:pPr>
        <w:pStyle w:val="Notedebasdepage"/>
        <w:ind w:firstLine="0"/>
        <w:rPr>
          <w:lang w:val="fr-CA"/>
        </w:rPr>
      </w:pPr>
      <w:r w:rsidRPr="006924CD">
        <w:rPr>
          <w:rStyle w:val="Appelnotedebasdep"/>
          <w:u w:val="none"/>
          <w:vertAlign w:val="superscript"/>
        </w:rPr>
        <w:footnoteRef/>
      </w:r>
      <w:r w:rsidRPr="00A525A9">
        <w:rPr>
          <w:lang w:val="en-US"/>
        </w:rPr>
        <w:t xml:space="preserve"> Lo, V. (2016). </w:t>
      </w:r>
      <w:r w:rsidRPr="00045511">
        <w:rPr>
          <w:i/>
          <w:lang w:val="en-US"/>
        </w:rPr>
        <w:t xml:space="preserve">Synthesis report on experiences with ecosystem-based approaches to climate change adaptation and disaster </w:t>
      </w:r>
      <w:r w:rsidRPr="00045511">
        <w:rPr>
          <w:i/>
        </w:rPr>
        <w:t>risk reduction</w:t>
      </w:r>
      <w:r>
        <w:t xml:space="preserve">. </w:t>
      </w:r>
      <w:r w:rsidRPr="002A50CA">
        <w:rPr>
          <w:lang w:val="fr-CA"/>
        </w:rPr>
        <w:t>Cahier technique n</w:t>
      </w:r>
      <w:r w:rsidRPr="002A50CA">
        <w:rPr>
          <w:vertAlign w:val="superscript"/>
          <w:lang w:val="fr-CA"/>
        </w:rPr>
        <w:t>o</w:t>
      </w:r>
      <w:r w:rsidRPr="002A50CA">
        <w:rPr>
          <w:lang w:val="fr-CA"/>
        </w:rPr>
        <w:t xml:space="preserve"> 85</w:t>
      </w:r>
      <w:r>
        <w:rPr>
          <w:lang w:val="fr-CA"/>
        </w:rPr>
        <w:t xml:space="preserve"> de la CDB</w:t>
      </w:r>
      <w:r w:rsidRPr="002A50CA">
        <w:rPr>
          <w:lang w:val="fr-CA"/>
        </w:rPr>
        <w:t>. Secr</w:t>
      </w:r>
      <w:r>
        <w:rPr>
          <w:lang w:val="fr-CA"/>
        </w:rPr>
        <w:t>é</w:t>
      </w:r>
      <w:r w:rsidRPr="002A50CA">
        <w:rPr>
          <w:lang w:val="fr-CA"/>
        </w:rPr>
        <w:t xml:space="preserve">tariat de la </w:t>
      </w:r>
      <w:r>
        <w:rPr>
          <w:lang w:val="fr-CA"/>
        </w:rPr>
        <w:t>Convention</w:t>
      </w:r>
      <w:r w:rsidRPr="002A50CA">
        <w:rPr>
          <w:lang w:val="fr-CA"/>
        </w:rPr>
        <w:t xml:space="preserve"> sur la diversité biologique, Mon</w:t>
      </w:r>
      <w:r>
        <w:rPr>
          <w:lang w:val="fr-CA"/>
        </w:rPr>
        <w:t>tré</w:t>
      </w:r>
      <w:r w:rsidRPr="002A50CA">
        <w:rPr>
          <w:lang w:val="fr-CA"/>
        </w:rPr>
        <w:t>al, 106 pages. Publ</w:t>
      </w:r>
      <w:r>
        <w:rPr>
          <w:lang w:val="fr-CA"/>
        </w:rPr>
        <w:t>i</w:t>
      </w:r>
      <w:r w:rsidRPr="002A50CA">
        <w:rPr>
          <w:lang w:val="fr-CA"/>
        </w:rPr>
        <w:t xml:space="preserve">é sur le site : </w:t>
      </w:r>
      <w:r>
        <w:rPr>
          <w:lang w:val="fr-CA"/>
        </w:rPr>
        <w:t xml:space="preserve">https://www.cbd.int/doc/publications/cbd-ts-85-en.pdf </w:t>
      </w:r>
    </w:p>
  </w:footnote>
  <w:footnote w:id="14">
    <w:p w14:paraId="72E20734" w14:textId="740B1956" w:rsidR="006851CE" w:rsidRPr="00A525A9" w:rsidRDefault="006851CE" w:rsidP="006924CD">
      <w:pPr>
        <w:pStyle w:val="Notedebasdepage"/>
        <w:ind w:firstLine="0"/>
        <w:rPr>
          <w:lang w:val="fr-CA"/>
        </w:rPr>
      </w:pPr>
      <w:r w:rsidRPr="006924CD">
        <w:rPr>
          <w:rStyle w:val="Appelnotedebasdep"/>
          <w:u w:val="none"/>
          <w:vertAlign w:val="superscript"/>
        </w:rPr>
        <w:footnoteRef/>
      </w:r>
      <w:r w:rsidRPr="00A07370">
        <w:rPr>
          <w:lang w:val="fr-CA"/>
        </w:rPr>
        <w:t xml:space="preserve"> </w:t>
      </w:r>
      <w:r w:rsidRPr="00AA4ED3">
        <w:rPr>
          <w:lang w:val="fr-CA"/>
        </w:rPr>
        <w:t>https://www.iucn.org/theme/ecosystem-management/about/our-work/a-global-standard-nature-based-solutions</w:t>
      </w:r>
    </w:p>
  </w:footnote>
  <w:footnote w:id="15">
    <w:p w14:paraId="1A21CCBD" w14:textId="5125102B" w:rsidR="006851CE" w:rsidRPr="00C86EA4" w:rsidRDefault="006851CE" w:rsidP="00C86EA4">
      <w:pPr>
        <w:pStyle w:val="Notedebasdepage"/>
        <w:suppressLineNumbers/>
        <w:suppressAutoHyphens/>
        <w:ind w:firstLine="0"/>
        <w:jc w:val="left"/>
        <w:rPr>
          <w:kern w:val="18"/>
          <w:lang w:val="fr-CA"/>
        </w:rPr>
      </w:pPr>
      <w:r w:rsidRPr="002E22F1">
        <w:rPr>
          <w:rStyle w:val="Appelnotedebasdep"/>
          <w:kern w:val="18"/>
          <w:u w:val="none"/>
          <w:vertAlign w:val="superscript"/>
        </w:rPr>
        <w:footnoteRef/>
      </w:r>
      <w:r w:rsidRPr="00C86EA4">
        <w:rPr>
          <w:kern w:val="18"/>
          <w:lang w:val="fr-CA"/>
        </w:rPr>
        <w:t xml:space="preserve"> Voir la résolution </w:t>
      </w:r>
      <w:hyperlink r:id="rId1" w:history="1">
        <w:r w:rsidRPr="00C86EA4">
          <w:rPr>
            <w:rStyle w:val="Lienhypertexte"/>
            <w:kern w:val="18"/>
            <w:lang w:val="fr-CA"/>
          </w:rPr>
          <w:t>73/284</w:t>
        </w:r>
      </w:hyperlink>
      <w:r w:rsidRPr="00C86EA4">
        <w:rPr>
          <w:rStyle w:val="Lienhypertexte"/>
          <w:kern w:val="18"/>
          <w:lang w:val="fr-CA"/>
        </w:rPr>
        <w:t>,</w:t>
      </w:r>
      <w:r w:rsidRPr="00C86EA4">
        <w:rPr>
          <w:kern w:val="18"/>
          <w:lang w:val="fr-CA"/>
        </w:rPr>
        <w:t xml:space="preserve"> </w:t>
      </w:r>
      <w:r>
        <w:rPr>
          <w:kern w:val="18"/>
          <w:lang w:val="fr-CA"/>
        </w:rPr>
        <w:t>datée du 1</w:t>
      </w:r>
      <w:r w:rsidRPr="00C86EA4">
        <w:rPr>
          <w:kern w:val="18"/>
          <w:vertAlign w:val="superscript"/>
          <w:lang w:val="fr-CA"/>
        </w:rPr>
        <w:t>er</w:t>
      </w:r>
      <w:r>
        <w:rPr>
          <w:kern w:val="18"/>
          <w:lang w:val="fr-CA"/>
        </w:rPr>
        <w:t xml:space="preserve"> mars</w:t>
      </w:r>
      <w:r w:rsidRPr="00C86EA4">
        <w:rPr>
          <w:kern w:val="18"/>
          <w:lang w:val="fr-CA"/>
        </w:rPr>
        <w:t xml:space="preserve"> 2019</w:t>
      </w:r>
      <w:r>
        <w:rPr>
          <w:kern w:val="18"/>
          <w:lang w:val="fr-CA"/>
        </w:rPr>
        <w:t>, de l’Assemblée générale</w:t>
      </w:r>
      <w:r w:rsidRPr="00C86EA4">
        <w:rPr>
          <w:kern w:val="18"/>
          <w:lang w:val="fr-CA"/>
        </w:rPr>
        <w:t>.</w:t>
      </w:r>
    </w:p>
  </w:footnote>
  <w:footnote w:id="16">
    <w:p w14:paraId="596DFE96" w14:textId="24362FFC" w:rsidR="006851CE" w:rsidRPr="00DA64B0" w:rsidRDefault="006851CE" w:rsidP="006924CD">
      <w:pPr>
        <w:pStyle w:val="Notedebasdepage"/>
        <w:keepLines w:val="0"/>
        <w:ind w:firstLine="0"/>
        <w:jc w:val="left"/>
        <w:rPr>
          <w:kern w:val="18"/>
          <w:szCs w:val="18"/>
          <w:lang w:val="fr-CA"/>
        </w:rPr>
      </w:pPr>
      <w:r w:rsidRPr="006924CD">
        <w:rPr>
          <w:rStyle w:val="Appelnotedebasdep"/>
          <w:u w:val="none"/>
          <w:vertAlign w:val="superscript"/>
        </w:rPr>
        <w:footnoteRef/>
      </w:r>
      <w:r w:rsidRPr="00DA64B0">
        <w:rPr>
          <w:kern w:val="18"/>
          <w:szCs w:val="18"/>
          <w:lang w:val="fr-CA"/>
        </w:rPr>
        <w:t xml:space="preserve"> L’évaluation des </w:t>
      </w:r>
      <w:r>
        <w:rPr>
          <w:kern w:val="18"/>
          <w:szCs w:val="18"/>
          <w:lang w:val="fr-CA"/>
        </w:rPr>
        <w:t>méthodologies d’analyse des scé</w:t>
      </w:r>
      <w:r w:rsidRPr="00DA64B0">
        <w:rPr>
          <w:kern w:val="18"/>
          <w:szCs w:val="18"/>
          <w:lang w:val="fr-CA"/>
        </w:rPr>
        <w:t xml:space="preserve">narios et </w:t>
      </w:r>
      <w:r>
        <w:rPr>
          <w:kern w:val="18"/>
          <w:szCs w:val="18"/>
          <w:lang w:val="fr-CA"/>
        </w:rPr>
        <w:t xml:space="preserve">de </w:t>
      </w:r>
      <w:r w:rsidRPr="00DA64B0">
        <w:rPr>
          <w:kern w:val="18"/>
          <w:szCs w:val="18"/>
          <w:lang w:val="fr-CA"/>
        </w:rPr>
        <w:t xml:space="preserve">la modélisation de </w:t>
      </w:r>
      <w:r>
        <w:rPr>
          <w:kern w:val="18"/>
          <w:szCs w:val="18"/>
          <w:lang w:val="fr-CA"/>
        </w:rPr>
        <w:t xml:space="preserve">la </w:t>
      </w:r>
      <w:r w:rsidRPr="00DA64B0">
        <w:rPr>
          <w:kern w:val="18"/>
          <w:szCs w:val="18"/>
          <w:lang w:val="fr-CA"/>
        </w:rPr>
        <w:t>diversité biologique et des services écosyst</w:t>
      </w:r>
      <w:r>
        <w:rPr>
          <w:kern w:val="18"/>
          <w:szCs w:val="18"/>
          <w:lang w:val="fr-CA"/>
        </w:rPr>
        <w:t>émiques de l’</w:t>
      </w:r>
      <w:proofErr w:type="spellStart"/>
      <w:r>
        <w:rPr>
          <w:kern w:val="18"/>
          <w:szCs w:val="18"/>
          <w:lang w:val="fr-CA"/>
        </w:rPr>
        <w:t>IPBES</w:t>
      </w:r>
      <w:proofErr w:type="spellEnd"/>
      <w:r>
        <w:rPr>
          <w:kern w:val="18"/>
          <w:szCs w:val="18"/>
          <w:lang w:val="fr-CA"/>
        </w:rPr>
        <w:t xml:space="preserve"> est pertinente à cet égard</w:t>
      </w:r>
      <w:r w:rsidRPr="00DA64B0">
        <w:rPr>
          <w:kern w:val="18"/>
          <w:szCs w:val="18"/>
          <w:lang w:val="fr-CA"/>
        </w:rPr>
        <w:t>.</w:t>
      </w:r>
    </w:p>
  </w:footnote>
  <w:footnote w:id="17">
    <w:p w14:paraId="7BA237DA" w14:textId="69D9D46B" w:rsidR="006851CE" w:rsidRPr="00D62255" w:rsidRDefault="006851CE" w:rsidP="006924CD">
      <w:pPr>
        <w:pStyle w:val="Notedebasdepage"/>
        <w:ind w:firstLine="0"/>
        <w:rPr>
          <w:lang w:val="fr-CA"/>
        </w:rPr>
      </w:pPr>
      <w:r w:rsidRPr="006924CD">
        <w:rPr>
          <w:rStyle w:val="Appelnotedebasdep"/>
          <w:u w:val="none"/>
          <w:vertAlign w:val="superscript"/>
        </w:rPr>
        <w:footnoteRef/>
      </w:r>
      <w:r w:rsidRPr="00D62255">
        <w:rPr>
          <w:lang w:val="fr-CA"/>
        </w:rPr>
        <w:t xml:space="preserve"> Orientations pour améliorer les </w:t>
      </w:r>
      <w:r>
        <w:rPr>
          <w:lang w:val="fr-CA"/>
        </w:rPr>
        <w:t>consé</w:t>
      </w:r>
      <w:r w:rsidRPr="00D62255">
        <w:rPr>
          <w:lang w:val="fr-CA"/>
        </w:rPr>
        <w:t>quences positives et d</w:t>
      </w:r>
      <w:r>
        <w:rPr>
          <w:lang w:val="fr-CA"/>
        </w:rPr>
        <w:t>i</w:t>
      </w:r>
      <w:r w:rsidRPr="00D62255">
        <w:rPr>
          <w:lang w:val="fr-CA"/>
        </w:rPr>
        <w:t>minuer les cons</w:t>
      </w:r>
      <w:r>
        <w:rPr>
          <w:lang w:val="fr-CA"/>
        </w:rPr>
        <w:t>é</w:t>
      </w:r>
      <w:r w:rsidRPr="00D62255">
        <w:rPr>
          <w:lang w:val="fr-CA"/>
        </w:rPr>
        <w:t>quences n</w:t>
      </w:r>
      <w:r>
        <w:rPr>
          <w:lang w:val="fr-CA"/>
        </w:rPr>
        <w:t>é</w:t>
      </w:r>
      <w:r w:rsidRPr="00D62255">
        <w:rPr>
          <w:lang w:val="fr-CA"/>
        </w:rPr>
        <w:t>gatives des activités d’</w:t>
      </w:r>
      <w:r>
        <w:rPr>
          <w:lang w:val="fr-CA"/>
        </w:rPr>
        <w:t>a</w:t>
      </w:r>
      <w:r w:rsidRPr="00D62255">
        <w:rPr>
          <w:lang w:val="fr-CA"/>
        </w:rPr>
        <w:t>daptation aux changements climatiques sur la diversité biologique</w:t>
      </w:r>
      <w:r>
        <w:rPr>
          <w:lang w:val="fr-CA"/>
        </w:rPr>
        <w:t xml:space="preserve"> (</w:t>
      </w:r>
      <w:r w:rsidRPr="00D62255">
        <w:rPr>
          <w:lang w:val="fr-CA"/>
        </w:rPr>
        <w:t>UNEP/CBD/</w:t>
      </w:r>
      <w:proofErr w:type="spellStart"/>
      <w:r w:rsidRPr="00D62255">
        <w:rPr>
          <w:lang w:val="fr-CA"/>
        </w:rPr>
        <w:t>SBSTTA</w:t>
      </w:r>
      <w:proofErr w:type="spellEnd"/>
      <w:r w:rsidRPr="00D62255">
        <w:rPr>
          <w:lang w:val="fr-CA"/>
        </w:rPr>
        <w:t>/20/</w:t>
      </w:r>
      <w:proofErr w:type="spellStart"/>
      <w:r w:rsidRPr="00D62255">
        <w:rPr>
          <w:lang w:val="fr-CA"/>
        </w:rPr>
        <w:t>INF</w:t>
      </w:r>
      <w:proofErr w:type="spellEnd"/>
      <w:r w:rsidRPr="00D62255">
        <w:rPr>
          <w:lang w:val="fr-CA"/>
        </w:rPr>
        <w:t>/1</w:t>
      </w:r>
      <w:r>
        <w:rPr>
          <w:lang w:val="fr-CA"/>
        </w:rPr>
        <w:t>)</w:t>
      </w:r>
    </w:p>
  </w:footnote>
  <w:footnote w:id="18">
    <w:p w14:paraId="2367ED1C" w14:textId="5C4D238B" w:rsidR="006851CE" w:rsidRPr="00A35413" w:rsidRDefault="006851CE" w:rsidP="006924CD">
      <w:pPr>
        <w:pStyle w:val="Notedebasdepage"/>
        <w:ind w:firstLine="0"/>
        <w:rPr>
          <w:rFonts w:cs="Angsana New"/>
          <w:lang w:val="fr-CA"/>
        </w:rPr>
      </w:pPr>
      <w:r w:rsidRPr="006924CD">
        <w:rPr>
          <w:rStyle w:val="Appelnotedebasdep"/>
          <w:u w:val="none"/>
          <w:vertAlign w:val="superscript"/>
        </w:rPr>
        <w:footnoteRef/>
      </w:r>
      <w:r>
        <w:t xml:space="preserve"> </w:t>
      </w:r>
      <w:r>
        <w:rPr>
          <w:szCs w:val="18"/>
          <w:lang w:val="en-US"/>
        </w:rPr>
        <w:t xml:space="preserve">Thompson, I., Mackey, B., McNulty, S., </w:t>
      </w:r>
      <w:proofErr w:type="spellStart"/>
      <w:r>
        <w:rPr>
          <w:szCs w:val="18"/>
          <w:lang w:val="en-US"/>
        </w:rPr>
        <w:t>Mosseler</w:t>
      </w:r>
      <w:proofErr w:type="spellEnd"/>
      <w:r w:rsidRPr="004E279F">
        <w:rPr>
          <w:szCs w:val="18"/>
          <w:lang w:val="en-US"/>
        </w:rPr>
        <w:t xml:space="preserve">, A. (2009). </w:t>
      </w:r>
      <w:r w:rsidRPr="004E279F">
        <w:rPr>
          <w:i/>
          <w:szCs w:val="18"/>
          <w:lang w:val="en-US"/>
        </w:rPr>
        <w:t>Forest Resilience, Biodiversity, and Climate Change. A synthesis of the biodiversity/resilience/stability relationship in forest ecosystems</w:t>
      </w:r>
      <w:r w:rsidRPr="004E279F">
        <w:rPr>
          <w:szCs w:val="18"/>
          <w:lang w:val="en-US"/>
        </w:rPr>
        <w:t xml:space="preserve">. </w:t>
      </w:r>
      <w:r w:rsidRPr="00A35413">
        <w:rPr>
          <w:szCs w:val="18"/>
          <w:lang w:val="fr-CA"/>
        </w:rPr>
        <w:t>Secrétariat de la Convention sur la diversité biologique, Montréal. Cahier technique n</w:t>
      </w:r>
      <w:r w:rsidRPr="00A35413">
        <w:rPr>
          <w:szCs w:val="18"/>
          <w:vertAlign w:val="superscript"/>
          <w:lang w:val="fr-CA"/>
        </w:rPr>
        <w:t>o</w:t>
      </w:r>
      <w:r w:rsidRPr="00A35413">
        <w:rPr>
          <w:szCs w:val="18"/>
          <w:lang w:val="fr-CA"/>
        </w:rPr>
        <w:t xml:space="preserve"> 43 de la CDB, 67 pages.</w:t>
      </w:r>
      <w:r w:rsidRPr="00A35413">
        <w:rPr>
          <w:lang w:val="fr-CA"/>
        </w:rPr>
        <w:t xml:space="preserve"> https://www.cbd.int/doc/publications/cbd-ts-43-en.pdf</w:t>
      </w:r>
    </w:p>
  </w:footnote>
  <w:footnote w:id="19">
    <w:p w14:paraId="65001E91" w14:textId="16596F74" w:rsidR="006851CE" w:rsidRPr="00A35413" w:rsidRDefault="006851CE" w:rsidP="006924CD">
      <w:pPr>
        <w:pStyle w:val="Notedebasdepage"/>
        <w:ind w:firstLine="0"/>
        <w:rPr>
          <w:lang w:val="fr-CA"/>
        </w:rPr>
      </w:pPr>
      <w:r w:rsidRPr="006924CD">
        <w:rPr>
          <w:rStyle w:val="Appelnotedebasdep"/>
          <w:u w:val="none"/>
          <w:vertAlign w:val="superscript"/>
        </w:rPr>
        <w:footnoteRef/>
      </w:r>
      <w:r w:rsidRPr="00C47E64">
        <w:rPr>
          <w:lang w:val="fr-CA"/>
        </w:rPr>
        <w:t xml:space="preserve"> </w:t>
      </w:r>
      <w:r w:rsidRPr="00C47E64">
        <w:rPr>
          <w:szCs w:val="18"/>
          <w:lang w:val="fr-CA"/>
        </w:rPr>
        <w:t xml:space="preserve">Secrétariat de la Convention sur la diversité biologique (2011). </w:t>
      </w:r>
      <w:proofErr w:type="spellStart"/>
      <w:r w:rsidRPr="004E279F">
        <w:rPr>
          <w:i/>
          <w:szCs w:val="18"/>
          <w:lang w:val="fr-CA"/>
        </w:rPr>
        <w:t>REDD</w:t>
      </w:r>
      <w:proofErr w:type="spellEnd"/>
      <w:r w:rsidRPr="004E279F">
        <w:rPr>
          <w:i/>
          <w:szCs w:val="18"/>
          <w:lang w:val="fr-CA"/>
        </w:rPr>
        <w:t xml:space="preserve">-plus and </w:t>
      </w:r>
      <w:proofErr w:type="spellStart"/>
      <w:r w:rsidRPr="004E279F">
        <w:rPr>
          <w:i/>
          <w:szCs w:val="18"/>
          <w:lang w:val="fr-CA"/>
        </w:rPr>
        <w:t>Biodiversity</w:t>
      </w:r>
      <w:proofErr w:type="spellEnd"/>
      <w:r w:rsidRPr="004E279F">
        <w:rPr>
          <w:szCs w:val="18"/>
          <w:lang w:val="fr-CA"/>
        </w:rPr>
        <w:t xml:space="preserve">. </w:t>
      </w:r>
      <w:r w:rsidRPr="00A35413">
        <w:rPr>
          <w:szCs w:val="18"/>
          <w:lang w:val="fr-CA"/>
        </w:rPr>
        <w:t>Montréal, Cahier technique n</w:t>
      </w:r>
      <w:r w:rsidRPr="00A35413">
        <w:rPr>
          <w:szCs w:val="18"/>
          <w:vertAlign w:val="superscript"/>
          <w:lang w:val="fr-CA"/>
        </w:rPr>
        <w:t>o</w:t>
      </w:r>
      <w:r w:rsidRPr="00A35413">
        <w:rPr>
          <w:szCs w:val="18"/>
          <w:lang w:val="fr-CA"/>
        </w:rPr>
        <w:t xml:space="preserve"> 59 de la CDB, 68 pages.</w:t>
      </w:r>
      <w:r w:rsidRPr="00A35413">
        <w:rPr>
          <w:lang w:val="fr-CA"/>
        </w:rPr>
        <w:t xml:space="preserve"> https://www.cbd.int/doc/publications/cbd-ts-59-en.pdf</w:t>
      </w:r>
      <w:r w:rsidRPr="00A35413">
        <w:rPr>
          <w:szCs w:val="18"/>
          <w:lang w:val="fr-CA"/>
        </w:rPr>
        <w:t xml:space="preserve">. </w:t>
      </w:r>
    </w:p>
  </w:footnote>
  <w:footnote w:id="20">
    <w:p w14:paraId="2C95D78E" w14:textId="1AF65E75" w:rsidR="006851CE" w:rsidRPr="00AF305B" w:rsidRDefault="006851CE" w:rsidP="006924CD">
      <w:pPr>
        <w:autoSpaceDE w:val="0"/>
        <w:autoSpaceDN w:val="0"/>
        <w:adjustRightInd w:val="0"/>
        <w:spacing w:after="60"/>
        <w:jc w:val="left"/>
        <w:rPr>
          <w:rFonts w:cs="Angsana New"/>
          <w:lang w:val="fr-CA"/>
        </w:rPr>
      </w:pPr>
      <w:r w:rsidRPr="006924CD">
        <w:rPr>
          <w:rStyle w:val="Appelnotedebasdep"/>
          <w:u w:val="none"/>
          <w:vertAlign w:val="superscript"/>
        </w:rPr>
        <w:footnoteRef/>
      </w:r>
      <w:r>
        <w:t xml:space="preserve"> </w:t>
      </w:r>
      <w:r>
        <w:rPr>
          <w:sz w:val="18"/>
          <w:szCs w:val="18"/>
          <w:lang w:val="en-US"/>
        </w:rPr>
        <w:t xml:space="preserve">Webb, A. and D. Coates (2012). </w:t>
      </w:r>
      <w:proofErr w:type="spellStart"/>
      <w:r w:rsidRPr="004E279F">
        <w:rPr>
          <w:i/>
          <w:iCs/>
          <w:sz w:val="18"/>
          <w:szCs w:val="18"/>
          <w:lang w:val="fr-CA"/>
        </w:rPr>
        <w:t>Biofuels</w:t>
      </w:r>
      <w:proofErr w:type="spellEnd"/>
      <w:r w:rsidRPr="004E279F">
        <w:rPr>
          <w:i/>
          <w:iCs/>
          <w:sz w:val="18"/>
          <w:szCs w:val="18"/>
          <w:lang w:val="fr-CA"/>
        </w:rPr>
        <w:t xml:space="preserve"> and </w:t>
      </w:r>
      <w:proofErr w:type="spellStart"/>
      <w:r w:rsidRPr="004E279F">
        <w:rPr>
          <w:i/>
          <w:iCs/>
          <w:sz w:val="18"/>
          <w:szCs w:val="18"/>
          <w:lang w:val="fr-CA"/>
        </w:rPr>
        <w:t>Biodiversity</w:t>
      </w:r>
      <w:proofErr w:type="spellEnd"/>
      <w:r w:rsidRPr="004E279F">
        <w:rPr>
          <w:sz w:val="18"/>
          <w:szCs w:val="18"/>
          <w:lang w:val="fr-CA"/>
        </w:rPr>
        <w:t xml:space="preserve">. </w:t>
      </w:r>
      <w:r w:rsidRPr="00A35413">
        <w:rPr>
          <w:sz w:val="18"/>
          <w:szCs w:val="18"/>
          <w:lang w:val="fr-CA"/>
        </w:rPr>
        <w:t xml:space="preserve">Secrétariat de la Convention sur la diversité biologique . </w:t>
      </w:r>
      <w:r>
        <w:rPr>
          <w:sz w:val="18"/>
          <w:szCs w:val="18"/>
          <w:lang w:val="fr-CA"/>
        </w:rPr>
        <w:t>Montré</w:t>
      </w:r>
      <w:r w:rsidRPr="00AF305B">
        <w:rPr>
          <w:sz w:val="18"/>
          <w:szCs w:val="18"/>
          <w:lang w:val="fr-CA"/>
        </w:rPr>
        <w:t>al, Cahier technique n</w:t>
      </w:r>
      <w:r w:rsidRPr="00AF305B">
        <w:rPr>
          <w:sz w:val="18"/>
          <w:szCs w:val="18"/>
          <w:vertAlign w:val="superscript"/>
          <w:lang w:val="fr-CA"/>
        </w:rPr>
        <w:t>o</w:t>
      </w:r>
      <w:r w:rsidRPr="00AF305B">
        <w:rPr>
          <w:sz w:val="18"/>
          <w:szCs w:val="18"/>
          <w:lang w:val="fr-CA"/>
        </w:rPr>
        <w:t xml:space="preserve"> 65</w:t>
      </w:r>
      <w:r>
        <w:rPr>
          <w:sz w:val="18"/>
          <w:szCs w:val="18"/>
          <w:lang w:val="fr-CA"/>
        </w:rPr>
        <w:t xml:space="preserve"> de la CDB</w:t>
      </w:r>
      <w:r w:rsidRPr="00AF305B">
        <w:rPr>
          <w:sz w:val="18"/>
          <w:szCs w:val="18"/>
          <w:lang w:val="fr-CA"/>
        </w:rPr>
        <w:t xml:space="preserve">, 69 pages. </w:t>
      </w:r>
      <w:r w:rsidRPr="00AF305B">
        <w:rPr>
          <w:sz w:val="18"/>
          <w:lang w:val="fr-CA"/>
        </w:rPr>
        <w:t>https://www.cbd.int/doc/publications/cbd-ts-65-en.pdf</w:t>
      </w:r>
      <w:r w:rsidRPr="00AF305B">
        <w:rPr>
          <w:sz w:val="14"/>
          <w:szCs w:val="18"/>
          <w:lang w:val="fr-CA"/>
        </w:rPr>
        <w:t xml:space="preserve"> </w:t>
      </w:r>
    </w:p>
  </w:footnote>
  <w:footnote w:id="21">
    <w:p w14:paraId="0B7B1A90" w14:textId="78926A98" w:rsidR="006851CE" w:rsidRPr="007331BD" w:rsidRDefault="006851CE" w:rsidP="006924CD">
      <w:pPr>
        <w:pStyle w:val="Notedebasdepage"/>
        <w:ind w:firstLine="0"/>
      </w:pPr>
      <w:r w:rsidRPr="006924CD">
        <w:rPr>
          <w:rStyle w:val="Appelnotedebasdep"/>
          <w:u w:val="none"/>
          <w:vertAlign w:val="superscript"/>
        </w:rPr>
        <w:footnoteRef/>
      </w:r>
      <w:r w:rsidRPr="007331BD">
        <w:rPr>
          <w:lang w:val="fr-CA"/>
        </w:rPr>
        <w:t xml:space="preserve"> </w:t>
      </w:r>
      <w:r w:rsidRPr="007331BD">
        <w:rPr>
          <w:rFonts w:cs="Minion Pro"/>
          <w:color w:val="000000"/>
          <w:szCs w:val="18"/>
          <w:lang w:val="fr-CA"/>
        </w:rPr>
        <w:t xml:space="preserve">Secrétariat de la Convention sur la diversité biologique (2012). </w:t>
      </w:r>
      <w:r>
        <w:rPr>
          <w:rFonts w:cs="Minion Pro"/>
          <w:i/>
          <w:iCs/>
          <w:color w:val="000000"/>
          <w:szCs w:val="18"/>
        </w:rPr>
        <w:t>Geoengineering in Relation to the Convention on Biological Diversity: Technical and Regulatory Matters</w:t>
      </w:r>
      <w:r>
        <w:rPr>
          <w:rFonts w:cs="Minion Pro"/>
          <w:color w:val="000000"/>
          <w:szCs w:val="18"/>
        </w:rPr>
        <w:t>, Montréal, Cahier technique n</w:t>
      </w:r>
      <w:r w:rsidRPr="007331BD">
        <w:rPr>
          <w:rFonts w:cs="Minion Pro"/>
          <w:color w:val="000000"/>
          <w:szCs w:val="18"/>
          <w:vertAlign w:val="superscript"/>
        </w:rPr>
        <w:t>o</w:t>
      </w:r>
      <w:r>
        <w:rPr>
          <w:rFonts w:cs="Minion Pro"/>
          <w:color w:val="000000"/>
          <w:szCs w:val="18"/>
        </w:rPr>
        <w:t xml:space="preserve"> 66 de la </w:t>
      </w:r>
      <w:proofErr w:type="spellStart"/>
      <w:r>
        <w:rPr>
          <w:rFonts w:cs="Minion Pro"/>
          <w:color w:val="000000"/>
          <w:szCs w:val="18"/>
        </w:rPr>
        <w:t>CDB</w:t>
      </w:r>
      <w:proofErr w:type="spellEnd"/>
      <w:r>
        <w:rPr>
          <w:rFonts w:cs="Minion Pro"/>
          <w:color w:val="000000"/>
          <w:szCs w:val="18"/>
        </w:rPr>
        <w:t xml:space="preserve">, 152 pages. </w:t>
      </w:r>
      <w:r w:rsidRPr="007331BD">
        <w:rPr>
          <w:lang w:val="en-US"/>
        </w:rPr>
        <w:t>https://www.cbd.int/doc/publications/cbd-t</w:t>
      </w:r>
      <w:r>
        <w:rPr>
          <w:lang w:val="en-US"/>
        </w:rPr>
        <w:t>s-66</w:t>
      </w:r>
      <w:r w:rsidRPr="007331BD">
        <w:rPr>
          <w:lang w:val="en-US"/>
        </w:rPr>
        <w:t xml:space="preserve">-en.pdf </w:t>
      </w:r>
    </w:p>
  </w:footnote>
  <w:footnote w:id="22">
    <w:p w14:paraId="0CB6ADBA" w14:textId="7FD31891" w:rsidR="006851CE" w:rsidRPr="007331BD" w:rsidRDefault="006851CE" w:rsidP="006924CD">
      <w:pPr>
        <w:pStyle w:val="Notedebasdepage"/>
        <w:ind w:firstLine="0"/>
        <w:rPr>
          <w:lang w:val="fr-CA"/>
        </w:rPr>
      </w:pPr>
      <w:r w:rsidRPr="006924CD">
        <w:rPr>
          <w:rStyle w:val="Appelnotedebasdep"/>
          <w:u w:val="none"/>
          <w:vertAlign w:val="superscript"/>
        </w:rPr>
        <w:footnoteRef/>
      </w:r>
      <w:r>
        <w:t xml:space="preserve"> Williamson, P., and </w:t>
      </w:r>
      <w:proofErr w:type="spellStart"/>
      <w:r>
        <w:t>Bodle</w:t>
      </w:r>
      <w:proofErr w:type="spellEnd"/>
      <w:r>
        <w:t xml:space="preserve">, R. (2016). Update on Climate Geoengineering in Relation to the Convention on Biological Diversity: Potential Impacts and Regulatory Framework. </w:t>
      </w:r>
      <w:r w:rsidRPr="007331BD">
        <w:rPr>
          <w:lang w:val="fr-CA"/>
        </w:rPr>
        <w:t>Cahier technique n</w:t>
      </w:r>
      <w:r w:rsidRPr="007331BD">
        <w:rPr>
          <w:vertAlign w:val="superscript"/>
          <w:lang w:val="fr-CA"/>
        </w:rPr>
        <w:t>o</w:t>
      </w:r>
      <w:r w:rsidRPr="007331BD">
        <w:rPr>
          <w:lang w:val="fr-CA"/>
        </w:rPr>
        <w:t xml:space="preserve"> 84</w:t>
      </w:r>
      <w:r>
        <w:rPr>
          <w:lang w:val="fr-CA"/>
        </w:rPr>
        <w:t xml:space="preserve"> de la CDB</w:t>
      </w:r>
      <w:r w:rsidRPr="007331BD">
        <w:rPr>
          <w:lang w:val="fr-CA"/>
        </w:rPr>
        <w:t>. Secrétariat de la Convention sur la diversité biologique, Montr</w:t>
      </w:r>
      <w:r>
        <w:rPr>
          <w:lang w:val="fr-CA"/>
        </w:rPr>
        <w:t>é</w:t>
      </w:r>
      <w:r w:rsidRPr="007331BD">
        <w:rPr>
          <w:lang w:val="fr-CA"/>
        </w:rPr>
        <w:t>al, 158 pages.</w:t>
      </w:r>
      <w:r>
        <w:rPr>
          <w:lang w:val="fr-CA"/>
        </w:rPr>
        <w:t xml:space="preserve"> </w:t>
      </w:r>
      <w:r w:rsidRPr="00C47E64">
        <w:rPr>
          <w:lang w:val="fr-CA"/>
        </w:rPr>
        <w:t>h</w:t>
      </w:r>
      <w:r>
        <w:rPr>
          <w:lang w:val="fr-CA"/>
        </w:rPr>
        <w:t>ttps://www.cbd.int/doc/publications/cbd-ts-84-en.pdf</w:t>
      </w:r>
      <w:r w:rsidRPr="007331BD">
        <w:rPr>
          <w:lang w:val="fr-CA"/>
        </w:rPr>
        <w:t xml:space="preserve"> </w:t>
      </w:r>
    </w:p>
  </w:footnote>
  <w:footnote w:id="23">
    <w:p w14:paraId="12885770" w14:textId="5125FEC4" w:rsidR="006851CE" w:rsidRPr="00EC50E2" w:rsidRDefault="006851CE" w:rsidP="006924CD">
      <w:pPr>
        <w:pStyle w:val="Notedebasdepage"/>
        <w:ind w:firstLine="0"/>
      </w:pPr>
      <w:r w:rsidRPr="006924CD">
        <w:rPr>
          <w:rStyle w:val="Appelnotedebasdep"/>
          <w:u w:val="none"/>
          <w:vertAlign w:val="superscript"/>
        </w:rPr>
        <w:footnoteRef/>
      </w:r>
      <w:r w:rsidRPr="00CB1EBB">
        <w:t xml:space="preserve"> </w:t>
      </w:r>
      <w:proofErr w:type="spellStart"/>
      <w:r w:rsidRPr="00CB1EBB">
        <w:rPr>
          <w:lang w:val="en-US"/>
        </w:rPr>
        <w:t>Griscom</w:t>
      </w:r>
      <w:proofErr w:type="spellEnd"/>
      <w:r w:rsidRPr="00CB1EBB">
        <w:rPr>
          <w:lang w:val="en-US"/>
        </w:rPr>
        <w:t xml:space="preserve">, </w:t>
      </w:r>
      <w:proofErr w:type="spellStart"/>
      <w:r w:rsidRPr="00CB1EBB">
        <w:rPr>
          <w:lang w:val="en-US"/>
        </w:rPr>
        <w:t>B.W</w:t>
      </w:r>
      <w:proofErr w:type="spellEnd"/>
      <w:r w:rsidRPr="00CB1EBB">
        <w:rPr>
          <w:lang w:val="en-US"/>
        </w:rPr>
        <w:t>. et al., 2017: Natural climate solutions. Proceedings of the National Academy of Sciences, 114(44), 11645–11650, doi:10.1073/pnas.1710465114.</w:t>
      </w:r>
    </w:p>
  </w:footnote>
  <w:footnote w:id="24">
    <w:p w14:paraId="53A20769" w14:textId="176DCB48" w:rsidR="006851CE" w:rsidRPr="00985F2F" w:rsidRDefault="006851CE" w:rsidP="006924CD">
      <w:pPr>
        <w:pStyle w:val="Notedebasdepage"/>
        <w:ind w:firstLine="0"/>
        <w:rPr>
          <w:lang w:val="fr-CA"/>
        </w:rPr>
      </w:pPr>
      <w:r w:rsidRPr="006924CD">
        <w:rPr>
          <w:rStyle w:val="Appelnotedebasdep"/>
          <w:u w:val="none"/>
          <w:vertAlign w:val="superscript"/>
        </w:rPr>
        <w:footnoteRef/>
      </w:r>
      <w:r w:rsidRPr="00BD2D2C">
        <w:rPr>
          <w:lang w:val="en-CA"/>
        </w:rPr>
        <w:t xml:space="preserve"> </w:t>
      </w:r>
      <w:r>
        <w:t xml:space="preserve">Smith P., M. Bustamante, H. </w:t>
      </w:r>
      <w:proofErr w:type="spellStart"/>
      <w:r>
        <w:t>Ahammad</w:t>
      </w:r>
      <w:proofErr w:type="spellEnd"/>
      <w:r>
        <w:t xml:space="preserve">, H. Clark, H. Dong, </w:t>
      </w:r>
      <w:proofErr w:type="spellStart"/>
      <w:r>
        <w:t>E.A</w:t>
      </w:r>
      <w:proofErr w:type="spellEnd"/>
      <w:r>
        <w:t xml:space="preserve">. </w:t>
      </w:r>
      <w:proofErr w:type="spellStart"/>
      <w:r>
        <w:t>Elsiddig</w:t>
      </w:r>
      <w:proofErr w:type="spellEnd"/>
      <w:r>
        <w:t xml:space="preserve">, H. Haberl, R. Harper, J. House, M. Jafari, O. </w:t>
      </w:r>
      <w:proofErr w:type="spellStart"/>
      <w:r>
        <w:t>Masera</w:t>
      </w:r>
      <w:proofErr w:type="spellEnd"/>
      <w:r>
        <w:t xml:space="preserve">, C. </w:t>
      </w:r>
      <w:proofErr w:type="spellStart"/>
      <w:r>
        <w:t>Mbow</w:t>
      </w:r>
      <w:proofErr w:type="spellEnd"/>
      <w:r>
        <w:t xml:space="preserve">, </w:t>
      </w:r>
      <w:proofErr w:type="spellStart"/>
      <w:r>
        <w:t>N.H</w:t>
      </w:r>
      <w:proofErr w:type="spellEnd"/>
      <w:r>
        <w:t xml:space="preserve">. </w:t>
      </w:r>
      <w:proofErr w:type="spellStart"/>
      <w:r>
        <w:t>Ravindranath</w:t>
      </w:r>
      <w:proofErr w:type="spellEnd"/>
      <w:r>
        <w:t xml:space="preserve">, </w:t>
      </w:r>
      <w:proofErr w:type="spellStart"/>
      <w:r>
        <w:t>C.W</w:t>
      </w:r>
      <w:proofErr w:type="spellEnd"/>
      <w:r>
        <w:t xml:space="preserve">. Rice, C. Robledo Abad, A. </w:t>
      </w:r>
      <w:proofErr w:type="spellStart"/>
      <w:r>
        <w:t>Romanovskaya</w:t>
      </w:r>
      <w:proofErr w:type="spellEnd"/>
      <w:r>
        <w:t xml:space="preserve">, F. Sperling, and F. </w:t>
      </w:r>
      <w:proofErr w:type="spellStart"/>
      <w:r>
        <w:t>Tubiello</w:t>
      </w:r>
      <w:proofErr w:type="spellEnd"/>
      <w:r>
        <w:t xml:space="preserve">, 2014: Agriculture, </w:t>
      </w:r>
      <w:r w:rsidRPr="00985F2F">
        <w:t xml:space="preserve">Forestry and Other Land Use (AFOLU). </w:t>
      </w:r>
      <w:proofErr w:type="spellStart"/>
      <w:r w:rsidRPr="00985F2F">
        <w:t>Tiré</w:t>
      </w:r>
      <w:proofErr w:type="spellEnd"/>
      <w:r w:rsidRPr="00985F2F">
        <w:t xml:space="preserve"> de : Climate Change 2014: Mitigation of Climate Change. Contribution of Working Group III to the Fifth Assessment Report of the Intergovernmental Panel on Climate Change [Edenhofer, O., R. </w:t>
      </w:r>
      <w:proofErr w:type="spellStart"/>
      <w:r w:rsidRPr="00985F2F">
        <w:t>Pichs-Madruga</w:t>
      </w:r>
      <w:proofErr w:type="spellEnd"/>
      <w:r w:rsidRPr="00985F2F">
        <w:t xml:space="preserve">, Y. Sokona, E. Farahani, S. </w:t>
      </w:r>
      <w:proofErr w:type="spellStart"/>
      <w:r w:rsidRPr="00985F2F">
        <w:t>Kadner</w:t>
      </w:r>
      <w:proofErr w:type="spellEnd"/>
      <w:r w:rsidRPr="00985F2F">
        <w:t xml:space="preserve">, K. </w:t>
      </w:r>
      <w:proofErr w:type="spellStart"/>
      <w:r w:rsidRPr="00985F2F">
        <w:t>Seyboth</w:t>
      </w:r>
      <w:proofErr w:type="spellEnd"/>
      <w:r w:rsidRPr="00985F2F">
        <w:t xml:space="preserve">, A. Adler, I. Baum, S. Brunner, P. </w:t>
      </w:r>
      <w:proofErr w:type="spellStart"/>
      <w:r w:rsidRPr="00985F2F">
        <w:t>Eickemeier</w:t>
      </w:r>
      <w:proofErr w:type="spellEnd"/>
      <w:r w:rsidRPr="00985F2F">
        <w:t xml:space="preserve">, B. </w:t>
      </w:r>
      <w:proofErr w:type="spellStart"/>
      <w:r w:rsidRPr="00985F2F">
        <w:t>Kriemann</w:t>
      </w:r>
      <w:proofErr w:type="spellEnd"/>
      <w:r w:rsidRPr="00985F2F">
        <w:t xml:space="preserve">, J. </w:t>
      </w:r>
      <w:proofErr w:type="spellStart"/>
      <w:r w:rsidRPr="00985F2F">
        <w:t>Savolainen</w:t>
      </w:r>
      <w:proofErr w:type="spellEnd"/>
      <w:r w:rsidRPr="00985F2F">
        <w:t xml:space="preserve">, S. </w:t>
      </w:r>
      <w:proofErr w:type="spellStart"/>
      <w:r w:rsidRPr="00985F2F">
        <w:t>Schlömer</w:t>
      </w:r>
      <w:proofErr w:type="spellEnd"/>
      <w:r w:rsidRPr="00985F2F">
        <w:t xml:space="preserve">, C. von </w:t>
      </w:r>
      <w:proofErr w:type="spellStart"/>
      <w:r w:rsidRPr="00985F2F">
        <w:t>Stechow</w:t>
      </w:r>
      <w:proofErr w:type="spellEnd"/>
      <w:r w:rsidRPr="00985F2F">
        <w:t xml:space="preserve">, T. </w:t>
      </w:r>
      <w:proofErr w:type="spellStart"/>
      <w:r w:rsidRPr="00985F2F">
        <w:t>Zwickel</w:t>
      </w:r>
      <w:proofErr w:type="spellEnd"/>
      <w:r w:rsidRPr="00985F2F">
        <w:t xml:space="preserve"> and J.C. Minx (eds.)]. </w:t>
      </w:r>
      <w:r w:rsidRPr="00985F2F">
        <w:rPr>
          <w:lang w:val="fr-CA"/>
        </w:rPr>
        <w:t xml:space="preserve">Cambridge </w:t>
      </w:r>
      <w:proofErr w:type="spellStart"/>
      <w:r w:rsidRPr="00985F2F">
        <w:rPr>
          <w:lang w:val="fr-CA"/>
        </w:rPr>
        <w:t>University</w:t>
      </w:r>
      <w:proofErr w:type="spellEnd"/>
      <w:r w:rsidRPr="00985F2F">
        <w:rPr>
          <w:lang w:val="fr-CA"/>
        </w:rPr>
        <w:t xml:space="preserve"> </w:t>
      </w:r>
      <w:proofErr w:type="spellStart"/>
      <w:r w:rsidRPr="00985F2F">
        <w:rPr>
          <w:lang w:val="fr-CA"/>
        </w:rPr>
        <w:t>Press</w:t>
      </w:r>
      <w:proofErr w:type="spellEnd"/>
      <w:r w:rsidRPr="00985F2F">
        <w:rPr>
          <w:lang w:val="fr-CA"/>
        </w:rPr>
        <w:t xml:space="preserve">, Cambridge, Royaume-Uni et New York, </w:t>
      </w:r>
      <w:proofErr w:type="spellStart"/>
      <w:r w:rsidRPr="00985F2F">
        <w:rPr>
          <w:lang w:val="fr-CA"/>
        </w:rPr>
        <w:t>NY</w:t>
      </w:r>
      <w:proofErr w:type="spellEnd"/>
      <w:r w:rsidRPr="00985F2F">
        <w:rPr>
          <w:lang w:val="fr-CA"/>
        </w:rPr>
        <w:t>, États-Unis d’Amérique.</w:t>
      </w:r>
    </w:p>
  </w:footnote>
  <w:footnote w:id="25">
    <w:p w14:paraId="552C3D1D" w14:textId="3C5B8C90" w:rsidR="006851CE" w:rsidRPr="00D5245E" w:rsidRDefault="006851CE" w:rsidP="006924CD">
      <w:pPr>
        <w:pStyle w:val="Notedebasdepage"/>
        <w:ind w:firstLine="0"/>
        <w:rPr>
          <w:lang w:val="fr-CA"/>
        </w:rPr>
      </w:pPr>
      <w:r w:rsidRPr="006924CD">
        <w:rPr>
          <w:rStyle w:val="Appelnotedebasdep"/>
          <w:u w:val="none"/>
          <w:vertAlign w:val="superscript"/>
        </w:rPr>
        <w:footnoteRef/>
      </w:r>
      <w:r w:rsidRPr="00D5245E">
        <w:rPr>
          <w:lang w:val="fr-CA"/>
        </w:rPr>
        <w:t xml:space="preserve"> Selon </w:t>
      </w:r>
      <w:proofErr w:type="spellStart"/>
      <w:r w:rsidRPr="00D5245E">
        <w:rPr>
          <w:lang w:val="fr-CA"/>
        </w:rPr>
        <w:t>Griscom</w:t>
      </w:r>
      <w:proofErr w:type="spellEnd"/>
      <w:r w:rsidRPr="00D5245E">
        <w:rPr>
          <w:lang w:val="fr-CA"/>
        </w:rPr>
        <w:t xml:space="preserve"> et al. (2017), les solutions naturelles fondées sur le climat peuvent fournir 37 pour cent de </w:t>
      </w:r>
      <w:r>
        <w:rPr>
          <w:lang w:val="fr-CA"/>
        </w:rPr>
        <w:t>l’atténuation</w:t>
      </w:r>
      <w:r w:rsidRPr="00D5245E">
        <w:rPr>
          <w:lang w:val="fr-CA"/>
        </w:rPr>
        <w:t xml:space="preserve"> rentable des CO</w:t>
      </w:r>
      <w:r w:rsidRPr="00D5245E">
        <w:rPr>
          <w:vertAlign w:val="subscript"/>
          <w:lang w:val="fr-CA"/>
        </w:rPr>
        <w:t>2</w:t>
      </w:r>
      <w:r>
        <w:rPr>
          <w:lang w:val="fr-CA"/>
        </w:rPr>
        <w:t xml:space="preserve"> nécessaire</w:t>
      </w:r>
      <w:r w:rsidRPr="00D5245E">
        <w:rPr>
          <w:lang w:val="fr-CA"/>
        </w:rPr>
        <w:t xml:space="preserve"> d’ici </w:t>
      </w:r>
      <w:r>
        <w:rPr>
          <w:lang w:val="fr-CA"/>
        </w:rPr>
        <w:t>à 2030, et ainsi créer plus de 66 pour cent de chances de limiter le réchauffement climatique sous les 2°C.</w:t>
      </w:r>
    </w:p>
  </w:footnote>
  <w:footnote w:id="26">
    <w:p w14:paraId="6D2EBB1D" w14:textId="188089E2" w:rsidR="006851CE" w:rsidRPr="00DD3809" w:rsidRDefault="006851CE" w:rsidP="006924CD">
      <w:pPr>
        <w:pStyle w:val="Notedebasdepage"/>
        <w:ind w:firstLine="0"/>
        <w:rPr>
          <w:b/>
          <w:lang w:val="en-CA"/>
        </w:rPr>
      </w:pPr>
      <w:r w:rsidRPr="006924CD">
        <w:rPr>
          <w:rStyle w:val="Appelnotedebasdep"/>
          <w:u w:val="none"/>
          <w:vertAlign w:val="superscript"/>
        </w:rPr>
        <w:footnoteRef/>
      </w:r>
      <w:r w:rsidRPr="00CB1EBB">
        <w:rPr>
          <w:lang w:val="en-CA"/>
        </w:rPr>
        <w:t xml:space="preserve"> </w:t>
      </w:r>
      <w:proofErr w:type="spellStart"/>
      <w:r w:rsidRPr="00CB1EBB">
        <w:rPr>
          <w:lang w:val="en-US"/>
        </w:rPr>
        <w:t>Griscom</w:t>
      </w:r>
      <w:proofErr w:type="spellEnd"/>
      <w:r w:rsidRPr="00CB1EBB">
        <w:rPr>
          <w:lang w:val="en-US"/>
        </w:rPr>
        <w:t xml:space="preserve">, </w:t>
      </w:r>
      <w:proofErr w:type="spellStart"/>
      <w:r w:rsidRPr="00CB1EBB">
        <w:rPr>
          <w:lang w:val="en-US"/>
        </w:rPr>
        <w:t>B.W</w:t>
      </w:r>
      <w:proofErr w:type="spellEnd"/>
      <w:r w:rsidRPr="00CB1EBB">
        <w:rPr>
          <w:lang w:val="en-US"/>
        </w:rPr>
        <w:t>. et al., 2017: Natural climate solutions. Proceedings of the National Academy of Sciences, 114(44), 11645–11650, doi:10.1073/pnas.1710465114.</w:t>
      </w:r>
    </w:p>
  </w:footnote>
  <w:footnote w:id="27">
    <w:p w14:paraId="2E5C7734" w14:textId="7D909517" w:rsidR="006851CE" w:rsidRPr="00E402B1" w:rsidRDefault="006851CE" w:rsidP="006924CD">
      <w:pPr>
        <w:pStyle w:val="Notedebasdepage"/>
        <w:ind w:firstLine="0"/>
        <w:rPr>
          <w:lang w:val="en-CA"/>
        </w:rPr>
      </w:pPr>
      <w:r w:rsidRPr="006924CD">
        <w:rPr>
          <w:rStyle w:val="Appelnotedebasdep"/>
          <w:u w:val="none"/>
          <w:vertAlign w:val="superscript"/>
        </w:rPr>
        <w:footnoteRef/>
      </w:r>
      <w:r w:rsidRPr="00DD3809">
        <w:rPr>
          <w:lang w:val="en-CA"/>
        </w:rPr>
        <w:t xml:space="preserve"> </w:t>
      </w:r>
      <w:r w:rsidRPr="00D5245E">
        <w:rPr>
          <w:lang w:val="en-CA"/>
        </w:rPr>
        <w:t>ht</w:t>
      </w:r>
      <w:r>
        <w:rPr>
          <w:lang w:val="en-CA"/>
        </w:rPr>
        <w:t>tps://www.cbd.int/doc/notificati</w:t>
      </w:r>
      <w:r w:rsidRPr="00D5245E">
        <w:rPr>
          <w:lang w:val="en-CA"/>
        </w:rPr>
        <w:t>ons</w:t>
      </w:r>
      <w:r>
        <w:rPr>
          <w:lang w:val="en-CA"/>
        </w:rPr>
        <w:t xml:space="preserve">/2017/ntf-2017-077-cc-en.pdf </w:t>
      </w:r>
    </w:p>
  </w:footnote>
  <w:footnote w:id="28">
    <w:p w14:paraId="2D641A84" w14:textId="77777777" w:rsidR="006851CE" w:rsidRPr="00D741E0" w:rsidRDefault="006851CE" w:rsidP="007C3D55">
      <w:pPr>
        <w:pStyle w:val="Notedebasdepage"/>
        <w:suppressLineNumbers/>
        <w:suppressAutoHyphens/>
        <w:ind w:firstLine="0"/>
        <w:jc w:val="left"/>
        <w:rPr>
          <w:kern w:val="18"/>
          <w:szCs w:val="18"/>
          <w:lang w:val="en-CA"/>
        </w:rPr>
      </w:pPr>
      <w:r w:rsidRPr="002E22F1">
        <w:rPr>
          <w:rStyle w:val="Appelnotedebasdep"/>
          <w:kern w:val="18"/>
          <w:szCs w:val="18"/>
          <w:u w:val="none"/>
          <w:vertAlign w:val="superscript"/>
        </w:rPr>
        <w:footnoteRef/>
      </w:r>
      <w:r w:rsidRPr="00D741E0">
        <w:rPr>
          <w:kern w:val="18"/>
          <w:szCs w:val="18"/>
          <w:lang w:val="en-CA"/>
        </w:rPr>
        <w:t xml:space="preserve"> CBD/</w:t>
      </w:r>
      <w:proofErr w:type="spellStart"/>
      <w:r w:rsidRPr="00D741E0">
        <w:rPr>
          <w:kern w:val="18"/>
          <w:szCs w:val="18"/>
          <w:lang w:val="en-CA"/>
        </w:rPr>
        <w:t>SBSTTA</w:t>
      </w:r>
      <w:proofErr w:type="spellEnd"/>
      <w:r w:rsidRPr="00D741E0">
        <w:rPr>
          <w:kern w:val="18"/>
          <w:szCs w:val="18"/>
          <w:lang w:val="en-CA"/>
        </w:rPr>
        <w:t>/23/3.</w:t>
      </w:r>
    </w:p>
  </w:footnote>
  <w:footnote w:id="29">
    <w:p w14:paraId="263984DF" w14:textId="77777777" w:rsidR="006851CE" w:rsidRPr="00D741E0" w:rsidRDefault="006851CE" w:rsidP="007C3D55">
      <w:pPr>
        <w:pStyle w:val="Notedebasdepage"/>
        <w:suppressLineNumbers/>
        <w:suppressAutoHyphens/>
        <w:ind w:firstLine="0"/>
        <w:jc w:val="left"/>
        <w:rPr>
          <w:kern w:val="18"/>
          <w:szCs w:val="18"/>
          <w:lang w:val="en-CA"/>
        </w:rPr>
      </w:pPr>
      <w:r w:rsidRPr="002E22F1">
        <w:rPr>
          <w:rStyle w:val="Appelnotedebasdep"/>
          <w:kern w:val="18"/>
          <w:szCs w:val="18"/>
          <w:u w:val="none"/>
          <w:vertAlign w:val="superscript"/>
        </w:rPr>
        <w:footnoteRef/>
      </w:r>
      <w:r w:rsidRPr="00D741E0">
        <w:rPr>
          <w:kern w:val="18"/>
          <w:szCs w:val="18"/>
          <w:lang w:val="en-CA"/>
        </w:rPr>
        <w:t xml:space="preserve"> CBD/</w:t>
      </w:r>
      <w:proofErr w:type="spellStart"/>
      <w:r w:rsidRPr="00D741E0">
        <w:rPr>
          <w:kern w:val="18"/>
          <w:szCs w:val="18"/>
          <w:lang w:val="en-CA"/>
        </w:rPr>
        <w:t>SBSTTA</w:t>
      </w:r>
      <w:proofErr w:type="spellEnd"/>
      <w:r w:rsidRPr="00D741E0">
        <w:rPr>
          <w:kern w:val="18"/>
          <w:szCs w:val="18"/>
          <w:lang w:val="en-CA"/>
        </w:rPr>
        <w:t>/23/INF/1.</w:t>
      </w:r>
    </w:p>
  </w:footnote>
  <w:footnote w:id="30">
    <w:p w14:paraId="0C0197D7" w14:textId="77777777" w:rsidR="006851CE" w:rsidRPr="00D741E0" w:rsidRDefault="006851CE" w:rsidP="00F11EA8">
      <w:pPr>
        <w:pStyle w:val="Notedebasdepage"/>
        <w:suppressLineNumbers/>
        <w:suppressAutoHyphens/>
        <w:ind w:firstLine="0"/>
        <w:jc w:val="left"/>
        <w:rPr>
          <w:kern w:val="18"/>
          <w:szCs w:val="18"/>
          <w:lang w:val="en-CA"/>
        </w:rPr>
      </w:pPr>
      <w:r w:rsidRPr="002E22F1">
        <w:rPr>
          <w:rStyle w:val="Appelnotedebasdep"/>
          <w:kern w:val="18"/>
          <w:szCs w:val="18"/>
          <w:u w:val="none"/>
          <w:vertAlign w:val="superscript"/>
        </w:rPr>
        <w:footnoteRef/>
      </w:r>
      <w:r w:rsidRPr="00D741E0">
        <w:rPr>
          <w:kern w:val="18"/>
          <w:szCs w:val="18"/>
          <w:lang w:val="en-CA"/>
        </w:rPr>
        <w:t xml:space="preserve"> CBD/</w:t>
      </w:r>
      <w:proofErr w:type="spellStart"/>
      <w:r w:rsidRPr="00D741E0">
        <w:rPr>
          <w:kern w:val="18"/>
          <w:szCs w:val="18"/>
          <w:lang w:val="en-CA"/>
        </w:rPr>
        <w:t>SBSTTA</w:t>
      </w:r>
      <w:proofErr w:type="spellEnd"/>
      <w:r w:rsidRPr="00D741E0">
        <w:rPr>
          <w:kern w:val="18"/>
          <w:szCs w:val="18"/>
          <w:lang w:val="en-CA"/>
        </w:rPr>
        <w:t>/23/3.</w:t>
      </w:r>
    </w:p>
  </w:footnote>
  <w:footnote w:id="31">
    <w:p w14:paraId="342AD74B" w14:textId="77777777" w:rsidR="006851CE" w:rsidRPr="00D741E0" w:rsidRDefault="006851CE" w:rsidP="00F11EA8">
      <w:pPr>
        <w:pStyle w:val="Notedebasdepage"/>
        <w:suppressLineNumbers/>
        <w:suppressAutoHyphens/>
        <w:ind w:firstLine="0"/>
        <w:jc w:val="left"/>
        <w:rPr>
          <w:kern w:val="18"/>
          <w:szCs w:val="18"/>
          <w:lang w:val="en-CA"/>
        </w:rPr>
      </w:pPr>
      <w:r w:rsidRPr="002E22F1">
        <w:rPr>
          <w:rStyle w:val="Appelnotedebasdep"/>
          <w:kern w:val="18"/>
          <w:szCs w:val="18"/>
          <w:u w:val="none"/>
          <w:vertAlign w:val="superscript"/>
        </w:rPr>
        <w:footnoteRef/>
      </w:r>
      <w:r w:rsidRPr="00D741E0">
        <w:rPr>
          <w:kern w:val="18"/>
          <w:szCs w:val="18"/>
          <w:lang w:val="en-CA"/>
        </w:rPr>
        <w:t xml:space="preserve"> CBD/</w:t>
      </w:r>
      <w:proofErr w:type="spellStart"/>
      <w:r w:rsidRPr="00D741E0">
        <w:rPr>
          <w:kern w:val="18"/>
          <w:szCs w:val="18"/>
          <w:lang w:val="en-CA"/>
        </w:rPr>
        <w:t>SBSTTA</w:t>
      </w:r>
      <w:proofErr w:type="spellEnd"/>
      <w:r w:rsidRPr="00D741E0">
        <w:rPr>
          <w:kern w:val="18"/>
          <w:szCs w:val="18"/>
          <w:lang w:val="en-CA"/>
        </w:rPr>
        <w:t>/23/INF/1.</w:t>
      </w:r>
    </w:p>
  </w:footnote>
  <w:footnote w:id="32">
    <w:p w14:paraId="58DCED1E" w14:textId="08E0B19C" w:rsidR="006851CE" w:rsidRPr="008D4A85" w:rsidRDefault="006851CE" w:rsidP="008D4A85">
      <w:pPr>
        <w:pStyle w:val="Notedebasdepage"/>
        <w:ind w:firstLine="0"/>
        <w:rPr>
          <w:lang w:val="fr-CA"/>
        </w:rPr>
      </w:pPr>
      <w:r w:rsidRPr="006924CD">
        <w:rPr>
          <w:rStyle w:val="Appelnotedebasdep"/>
          <w:u w:val="none"/>
          <w:vertAlign w:val="superscript"/>
        </w:rPr>
        <w:footnoteRef/>
      </w:r>
      <w:r w:rsidRPr="008D4A85">
        <w:rPr>
          <w:lang w:val="fr-CA"/>
        </w:rPr>
        <w:t xml:space="preserve"> </w:t>
      </w:r>
      <w:r w:rsidRPr="008D4A85">
        <w:rPr>
          <w:rFonts w:cs="Calibri"/>
          <w:lang w:val="fr-CA"/>
        </w:rPr>
        <w:t>Nation</w:t>
      </w:r>
      <w:r>
        <w:rPr>
          <w:rFonts w:cs="Calibri"/>
          <w:lang w:val="fr-CA"/>
        </w:rPr>
        <w:t>s</w:t>
      </w:r>
      <w:r w:rsidRPr="008D4A85">
        <w:rPr>
          <w:rFonts w:cs="Calibri"/>
          <w:lang w:val="fr-CA"/>
        </w:rPr>
        <w:t xml:space="preserve"> Unies, Recueil des traités, n</w:t>
      </w:r>
      <w:r w:rsidRPr="008D4A85">
        <w:rPr>
          <w:rFonts w:cs="Calibri"/>
          <w:vertAlign w:val="superscript"/>
          <w:lang w:val="fr-CA"/>
        </w:rPr>
        <w:t>o</w:t>
      </w:r>
      <w:r w:rsidRPr="008D4A85">
        <w:rPr>
          <w:rFonts w:cs="Calibri"/>
          <w:lang w:val="fr-CA"/>
        </w:rPr>
        <w:t xml:space="preserve"> d’enregistrement I-54113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kern w:val="22"/>
      </w:rPr>
      <w:alias w:val="Subject"/>
      <w:tag w:val=""/>
      <w:id w:val="435956939"/>
      <w:placeholder>
        <w:docPart w:val="08FEC8C29D174239824F43788765B8AB"/>
      </w:placeholder>
      <w:dataBinding w:prefixMappings="xmlns:ns0='http://purl.org/dc/elements/1.1/' xmlns:ns1='http://schemas.openxmlformats.org/package/2006/metadata/core-properties' " w:xpath="/ns1:coreProperties[1]/ns0:subject[1]" w:storeItemID="{6C3C8BC8-F283-45AE-878A-BAB7291924A1}"/>
      <w:text/>
    </w:sdtPr>
    <w:sdtEndPr/>
    <w:sdtContent>
      <w:p w14:paraId="1100DB27" w14:textId="3E233B6F" w:rsidR="006851CE" w:rsidRDefault="006851CE" w:rsidP="004C76CC">
        <w:pPr>
          <w:pStyle w:val="En-tte"/>
          <w:tabs>
            <w:tab w:val="clear" w:pos="4320"/>
            <w:tab w:val="clear" w:pos="8640"/>
          </w:tabs>
          <w:kinsoku w:val="0"/>
          <w:overflowPunct w:val="0"/>
          <w:autoSpaceDE w:val="0"/>
          <w:autoSpaceDN w:val="0"/>
          <w:jc w:val="left"/>
          <w:rPr>
            <w:noProof/>
            <w:kern w:val="22"/>
          </w:rPr>
        </w:pPr>
        <w:r>
          <w:rPr>
            <w:noProof/>
            <w:kern w:val="22"/>
          </w:rPr>
          <w:t>CBD/SBSTTA/23/3</w:t>
        </w:r>
      </w:p>
    </w:sdtContent>
  </w:sdt>
  <w:p w14:paraId="68E432FE" w14:textId="77777777" w:rsidR="006851CE" w:rsidRPr="005440A6" w:rsidRDefault="006851CE" w:rsidP="004C76CC">
    <w:pPr>
      <w:pStyle w:val="En-tte"/>
      <w:tabs>
        <w:tab w:val="clear" w:pos="4320"/>
        <w:tab w:val="clear" w:pos="8640"/>
      </w:tabs>
      <w:kinsoku w:val="0"/>
      <w:overflowPunct w:val="0"/>
      <w:autoSpaceDE w:val="0"/>
      <w:autoSpaceDN w:val="0"/>
      <w:jc w:val="lef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sidR="00E525AA">
      <w:rPr>
        <w:noProof/>
        <w:kern w:val="22"/>
      </w:rPr>
      <w:t>20</w:t>
    </w:r>
    <w:r w:rsidRPr="005440A6">
      <w:rPr>
        <w:noProof/>
        <w:kern w:val="22"/>
      </w:rPr>
      <w:fldChar w:fldCharType="end"/>
    </w:r>
  </w:p>
  <w:p w14:paraId="15853396" w14:textId="77777777" w:rsidR="006851CE" w:rsidRPr="005440A6" w:rsidRDefault="006851CE" w:rsidP="004C76CC">
    <w:pPr>
      <w:pStyle w:val="En-tte"/>
      <w:tabs>
        <w:tab w:val="clear" w:pos="4320"/>
        <w:tab w:val="clear" w:pos="8640"/>
      </w:tabs>
      <w:kinsoku w:val="0"/>
      <w:overflowPunct w:val="0"/>
      <w:autoSpaceDE w:val="0"/>
      <w:autoSpaceDN w:val="0"/>
      <w:jc w:val="left"/>
      <w:rPr>
        <w:noProof/>
        <w:kern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kern w:val="22"/>
      </w:rPr>
      <w:alias w:val="Subject"/>
      <w:tag w:val=""/>
      <w:id w:val="599458323"/>
      <w:placeholder>
        <w:docPart w:val="6A8193A12B42491F9EFE82214EBC85A8"/>
      </w:placeholder>
      <w:dataBinding w:prefixMappings="xmlns:ns0='http://purl.org/dc/elements/1.1/' xmlns:ns1='http://schemas.openxmlformats.org/package/2006/metadata/core-properties' " w:xpath="/ns1:coreProperties[1]/ns0:subject[1]" w:storeItemID="{6C3C8BC8-F283-45AE-878A-BAB7291924A1}"/>
      <w:text/>
    </w:sdtPr>
    <w:sdtEndPr/>
    <w:sdtContent>
      <w:p w14:paraId="79537AB8" w14:textId="68ABDF2C" w:rsidR="006851CE" w:rsidRPr="005440A6" w:rsidRDefault="006851CE" w:rsidP="004C76CC">
        <w:pPr>
          <w:pStyle w:val="En-tte"/>
          <w:tabs>
            <w:tab w:val="clear" w:pos="4320"/>
            <w:tab w:val="clear" w:pos="8640"/>
          </w:tabs>
          <w:kinsoku w:val="0"/>
          <w:overflowPunct w:val="0"/>
          <w:autoSpaceDE w:val="0"/>
          <w:autoSpaceDN w:val="0"/>
          <w:jc w:val="right"/>
          <w:rPr>
            <w:noProof/>
            <w:kern w:val="22"/>
          </w:rPr>
        </w:pPr>
        <w:r>
          <w:rPr>
            <w:noProof/>
            <w:kern w:val="22"/>
          </w:rPr>
          <w:t>CBD/SBSTTA/23/3</w:t>
        </w:r>
      </w:p>
    </w:sdtContent>
  </w:sdt>
  <w:p w14:paraId="1297DD55" w14:textId="77777777" w:rsidR="006851CE" w:rsidRPr="005440A6" w:rsidRDefault="006851CE" w:rsidP="004C76CC">
    <w:pPr>
      <w:pStyle w:val="En-tte"/>
      <w:tabs>
        <w:tab w:val="clear" w:pos="4320"/>
        <w:tab w:val="clear" w:pos="8640"/>
      </w:tabs>
      <w:kinsoku w:val="0"/>
      <w:overflowPunct w:val="0"/>
      <w:autoSpaceDE w:val="0"/>
      <w:autoSpaceDN w:val="0"/>
      <w:jc w:val="righ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sidR="00E525AA">
      <w:rPr>
        <w:noProof/>
        <w:kern w:val="22"/>
      </w:rPr>
      <w:t>19</w:t>
    </w:r>
    <w:r w:rsidRPr="005440A6">
      <w:rPr>
        <w:noProof/>
        <w:kern w:val="22"/>
      </w:rPr>
      <w:fldChar w:fldCharType="end"/>
    </w:r>
  </w:p>
  <w:p w14:paraId="6712BC5A" w14:textId="77777777" w:rsidR="006851CE" w:rsidRPr="005440A6" w:rsidRDefault="006851CE" w:rsidP="004C76CC">
    <w:pPr>
      <w:pStyle w:val="En-tte"/>
      <w:tabs>
        <w:tab w:val="clear" w:pos="4320"/>
        <w:tab w:val="clear" w:pos="8640"/>
      </w:tabs>
      <w:kinsoku w:val="0"/>
      <w:overflowPunct w:val="0"/>
      <w:autoSpaceDE w:val="0"/>
      <w:autoSpaceDN w:val="0"/>
      <w:jc w:val="right"/>
      <w:rPr>
        <w:noProof/>
        <w:kern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30F30" w14:textId="77777777" w:rsidR="006851CE" w:rsidRDefault="006851C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86E32"/>
    <w:multiLevelType w:val="hybridMultilevel"/>
    <w:tmpl w:val="1C56760C"/>
    <w:lvl w:ilvl="0" w:tplc="4FD8814A">
      <w:start w:val="1"/>
      <w:numFmt w:val="upperLetter"/>
      <w:lvlText w:val="%1."/>
      <w:lvlJc w:val="left"/>
      <w:pPr>
        <w:ind w:left="786" w:hanging="360"/>
      </w:pPr>
      <w:rPr>
        <w:rFonts w:hint="default"/>
        <w:b/>
      </w:rPr>
    </w:lvl>
    <w:lvl w:ilvl="1" w:tplc="10090019">
      <w:start w:val="1"/>
      <w:numFmt w:val="lowerLetter"/>
      <w:lvlText w:val="%2."/>
      <w:lvlJc w:val="left"/>
      <w:pPr>
        <w:ind w:left="1506" w:hanging="360"/>
      </w:pPr>
    </w:lvl>
    <w:lvl w:ilvl="2" w:tplc="1009001B">
      <w:start w:val="1"/>
      <w:numFmt w:val="lowerRoman"/>
      <w:lvlText w:val="%3."/>
      <w:lvlJc w:val="right"/>
      <w:pPr>
        <w:ind w:left="2226" w:hanging="180"/>
      </w:pPr>
    </w:lvl>
    <w:lvl w:ilvl="3" w:tplc="1009000F">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 w15:restartNumberingAfterBreak="0">
    <w:nsid w:val="07AB4A46"/>
    <w:multiLevelType w:val="hybridMultilevel"/>
    <w:tmpl w:val="4D9488EA"/>
    <w:lvl w:ilvl="0" w:tplc="0C0C000F">
      <w:start w:val="1"/>
      <w:numFmt w:val="decimal"/>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 w15:restartNumberingAfterBreak="0">
    <w:nsid w:val="0ADE0BEE"/>
    <w:multiLevelType w:val="hybridMultilevel"/>
    <w:tmpl w:val="38E4D354"/>
    <w:lvl w:ilvl="0" w:tplc="72F6EC4C">
      <w:start w:val="1"/>
      <w:numFmt w:val="decimal"/>
      <w:lvlText w:val="%1."/>
      <w:lvlJc w:val="left"/>
      <w:pPr>
        <w:ind w:left="720" w:hanging="360"/>
      </w:pPr>
    </w:lvl>
    <w:lvl w:ilvl="1" w:tplc="CAB40D4C">
      <w:start w:val="1"/>
      <w:numFmt w:val="lowerLetter"/>
      <w:lvlText w:val="(%2)"/>
      <w:lvlJc w:val="left"/>
      <w:pPr>
        <w:ind w:left="1440" w:hanging="360"/>
      </w:pPr>
      <w:rPr>
        <w:rFonts w:hint="default"/>
        <w:b w:val="0"/>
      </w:rPr>
    </w:lvl>
    <w:lvl w:ilvl="2" w:tplc="F4C6E1BA">
      <w:start w:val="1"/>
      <w:numFmt w:val="upperLetter"/>
      <w:lvlText w:val="%3."/>
      <w:lvlJc w:val="left"/>
      <w:pPr>
        <w:ind w:left="2340" w:hanging="360"/>
      </w:pPr>
      <w:rPr>
        <w:rFonts w:hint="default"/>
      </w:rPr>
    </w:lvl>
    <w:lvl w:ilvl="3" w:tplc="0409000F">
      <w:start w:val="1"/>
      <w:numFmt w:val="decimal"/>
      <w:lvlText w:val="%4."/>
      <w:lvlJc w:val="left"/>
      <w:pPr>
        <w:ind w:left="2880" w:hanging="360"/>
      </w:pPr>
    </w:lvl>
    <w:lvl w:ilvl="4" w:tplc="9C42208A">
      <w:start w:val="1"/>
      <w:numFmt w:val="lowerLetter"/>
      <w:lvlText w:val="(%5)"/>
      <w:lvlJc w:val="left"/>
      <w:pPr>
        <w:ind w:left="3600" w:hanging="360"/>
      </w:pPr>
      <w:rPr>
        <w:rFonts w:ascii="Times New Roman" w:eastAsia="Times New Roman" w:hAnsi="Times New Roman" w:cs="Times New Roman"/>
      </w:rPr>
    </w:lvl>
    <w:lvl w:ilvl="5" w:tplc="A5124AA4">
      <w:start w:val="1"/>
      <w:numFmt w:val="lowerRoman"/>
      <w:lvlText w:val="(%6)"/>
      <w:lvlJc w:val="right"/>
      <w:pPr>
        <w:ind w:left="4320" w:hanging="180"/>
      </w:pPr>
      <w:rPr>
        <w:rFonts w:ascii="Times New Roman" w:eastAsia="Times New Roman" w:hAnsi="Times New Roman" w:cs="Times New Roman"/>
      </w:rPr>
    </w:lvl>
    <w:lvl w:ilvl="6" w:tplc="129E9EB0">
      <w:start w:val="1"/>
      <w:numFmt w:val="bullet"/>
      <w:lvlText w:val=""/>
      <w:lvlJc w:val="left"/>
      <w:pPr>
        <w:ind w:left="5040" w:hanging="360"/>
      </w:pPr>
      <w:rPr>
        <w:rFonts w:ascii="Wingdings" w:eastAsiaTheme="minorEastAsia" w:hAnsi="Wingdings" w:cs="Times New Roman" w:hint="default"/>
      </w:rPr>
    </w:lvl>
    <w:lvl w:ilvl="7" w:tplc="B7FE12D0">
      <w:start w:val="1"/>
      <w:numFmt w:val="bullet"/>
      <w:lvlText w:val="-"/>
      <w:lvlJc w:val="left"/>
      <w:pPr>
        <w:ind w:left="5760" w:hanging="360"/>
      </w:pPr>
      <w:rPr>
        <w:rFonts w:ascii="Times New Roman" w:eastAsiaTheme="minorEastAsia" w:hAnsi="Times New Roman" w:cs="Times New Roman" w:hint="default"/>
      </w:rPr>
    </w:lvl>
    <w:lvl w:ilvl="8" w:tplc="0409001B" w:tentative="1">
      <w:start w:val="1"/>
      <w:numFmt w:val="lowerRoman"/>
      <w:lvlText w:val="%9."/>
      <w:lvlJc w:val="right"/>
      <w:pPr>
        <w:ind w:left="6480" w:hanging="180"/>
      </w:pPr>
    </w:lvl>
  </w:abstractNum>
  <w:abstractNum w:abstractNumId="3" w15:restartNumberingAfterBreak="0">
    <w:nsid w:val="12255102"/>
    <w:multiLevelType w:val="hybridMultilevel"/>
    <w:tmpl w:val="CBBC85B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7443C97"/>
    <w:multiLevelType w:val="multilevel"/>
    <w:tmpl w:val="3496C2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E12E32"/>
    <w:multiLevelType w:val="hybridMultilevel"/>
    <w:tmpl w:val="AB4ABA76"/>
    <w:lvl w:ilvl="0" w:tplc="D6A07B3A">
      <w:start w:val="1"/>
      <w:numFmt w:val="decimal"/>
      <w:pStyle w:val="Para1"/>
      <w:lvlText w:val="%1."/>
      <w:lvlJc w:val="left"/>
      <w:pPr>
        <w:ind w:left="720" w:hanging="360"/>
      </w:pPr>
      <w:rPr>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8C7131"/>
    <w:multiLevelType w:val="hybridMultilevel"/>
    <w:tmpl w:val="0D281464"/>
    <w:lvl w:ilvl="0" w:tplc="10090015">
      <w:start w:val="9"/>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3EF34160"/>
    <w:multiLevelType w:val="hybridMultilevel"/>
    <w:tmpl w:val="1D92BAAA"/>
    <w:lvl w:ilvl="0" w:tplc="A21CB102">
      <w:start w:val="1"/>
      <w:numFmt w:val="lowerRoman"/>
      <w:lvlText w:val="%1)"/>
      <w:lvlJc w:val="left"/>
      <w:pPr>
        <w:ind w:left="1440" w:hanging="360"/>
      </w:pPr>
      <w:rPr>
        <w:rFonts w:ascii="Times New Roman" w:eastAsia="MS Mincho"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B47BB1"/>
    <w:multiLevelType w:val="hybridMultilevel"/>
    <w:tmpl w:val="0F4056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A2835ED"/>
    <w:multiLevelType w:val="hybridMultilevel"/>
    <w:tmpl w:val="1122BA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A974E18"/>
    <w:multiLevelType w:val="multilevel"/>
    <w:tmpl w:val="7B5E4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E0442B4"/>
    <w:multiLevelType w:val="multilevel"/>
    <w:tmpl w:val="D1D0B62A"/>
    <w:lvl w:ilvl="0">
      <w:start w:val="1"/>
      <w:numFmt w:val="decimal"/>
      <w:pStyle w:val="Para10"/>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ascii="Times New Roman" w:eastAsia="Times New Roman" w:hAnsi="Times New Roman" w:cs="Times New Roman"/>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1A02711"/>
    <w:multiLevelType w:val="hybridMultilevel"/>
    <w:tmpl w:val="E632B23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9420B7E"/>
    <w:multiLevelType w:val="hybridMultilevel"/>
    <w:tmpl w:val="455E7E32"/>
    <w:lvl w:ilvl="0" w:tplc="A1DC13C2">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9B712F1"/>
    <w:multiLevelType w:val="hybridMultilevel"/>
    <w:tmpl w:val="1E74A3BA"/>
    <w:lvl w:ilvl="0" w:tplc="C9B4A038">
      <w:start w:val="1"/>
      <w:numFmt w:val="lowerLetter"/>
      <w:lvlText w:val="%1)"/>
      <w:lvlJc w:val="left"/>
      <w:pPr>
        <w:ind w:left="1080" w:hanging="360"/>
      </w:pPr>
      <w:rPr>
        <w:rFonts w:cs="Angsana New" w:hint="default"/>
      </w:rPr>
    </w:lvl>
    <w:lvl w:ilvl="1" w:tplc="0C0C0019">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8" w15:restartNumberingAfterBreak="0">
    <w:nsid w:val="5FDD59E6"/>
    <w:multiLevelType w:val="hybridMultilevel"/>
    <w:tmpl w:val="8B12A88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ADB09C4"/>
    <w:multiLevelType w:val="multilevel"/>
    <w:tmpl w:val="BD446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4"/>
  </w:num>
  <w:num w:numId="3">
    <w:abstractNumId w:val="10"/>
  </w:num>
  <w:num w:numId="4">
    <w:abstractNumId w:val="14"/>
  </w:num>
  <w:num w:numId="5">
    <w:abstractNumId w:val="11"/>
  </w:num>
  <w:num w:numId="6">
    <w:abstractNumId w:val="16"/>
  </w:num>
  <w:num w:numId="7">
    <w:abstractNumId w:val="3"/>
  </w:num>
  <w:num w:numId="8">
    <w:abstractNumId w:val="2"/>
  </w:num>
  <w:num w:numId="9">
    <w:abstractNumId w:val="0"/>
  </w:num>
  <w:num w:numId="10">
    <w:abstractNumId w:val="5"/>
  </w:num>
  <w:num w:numId="11">
    <w:abstractNumId w:val="8"/>
  </w:num>
  <w:num w:numId="12">
    <w:abstractNumId w:val="14"/>
  </w:num>
  <w:num w:numId="13">
    <w:abstractNumId w:val="14"/>
  </w:num>
  <w:num w:numId="14">
    <w:abstractNumId w:val="9"/>
  </w:num>
  <w:num w:numId="15">
    <w:abstractNumId w:val="4"/>
  </w:num>
  <w:num w:numId="16">
    <w:abstractNumId w:val="18"/>
  </w:num>
  <w:num w:numId="17">
    <w:abstractNumId w:val="13"/>
  </w:num>
  <w:num w:numId="18">
    <w:abstractNumId w:val="14"/>
  </w:num>
  <w:num w:numId="19">
    <w:abstractNumId w:val="14"/>
  </w:num>
  <w:num w:numId="20">
    <w:abstractNumId w:val="14"/>
  </w:num>
  <w:num w:numId="21">
    <w:abstractNumId w:val="15"/>
  </w:num>
  <w:num w:numId="22">
    <w:abstractNumId w:val="14"/>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4"/>
  </w:num>
  <w:num w:numId="26">
    <w:abstractNumId w:val="12"/>
  </w:num>
  <w:num w:numId="27">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4"/>
  </w:num>
  <w:num w:numId="32">
    <w:abstractNumId w:val="19"/>
  </w:num>
  <w:num w:numId="33">
    <w:abstractNumId w:val="6"/>
  </w:num>
  <w:num w:numId="34">
    <w:abstractNumId w:val="17"/>
  </w:num>
  <w:num w:numId="35">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B3B"/>
    <w:rsid w:val="00000DA2"/>
    <w:rsid w:val="000011CD"/>
    <w:rsid w:val="000017F0"/>
    <w:rsid w:val="00002540"/>
    <w:rsid w:val="00003842"/>
    <w:rsid w:val="00003B00"/>
    <w:rsid w:val="00004D98"/>
    <w:rsid w:val="0000514A"/>
    <w:rsid w:val="00005CAC"/>
    <w:rsid w:val="000065CB"/>
    <w:rsid w:val="000174D0"/>
    <w:rsid w:val="00020134"/>
    <w:rsid w:val="000219AC"/>
    <w:rsid w:val="00021E92"/>
    <w:rsid w:val="000222BC"/>
    <w:rsid w:val="000313BD"/>
    <w:rsid w:val="00031D24"/>
    <w:rsid w:val="00033E78"/>
    <w:rsid w:val="0003400D"/>
    <w:rsid w:val="000359AA"/>
    <w:rsid w:val="00037873"/>
    <w:rsid w:val="00041365"/>
    <w:rsid w:val="00045511"/>
    <w:rsid w:val="00045A19"/>
    <w:rsid w:val="000508AA"/>
    <w:rsid w:val="00050D5C"/>
    <w:rsid w:val="00054381"/>
    <w:rsid w:val="00054842"/>
    <w:rsid w:val="00062AA0"/>
    <w:rsid w:val="00067449"/>
    <w:rsid w:val="00067B1E"/>
    <w:rsid w:val="000711E1"/>
    <w:rsid w:val="00071FC9"/>
    <w:rsid w:val="0007325F"/>
    <w:rsid w:val="00073708"/>
    <w:rsid w:val="000741E4"/>
    <w:rsid w:val="00076E62"/>
    <w:rsid w:val="00077CF6"/>
    <w:rsid w:val="00084DF9"/>
    <w:rsid w:val="00085C59"/>
    <w:rsid w:val="00090F58"/>
    <w:rsid w:val="0009179E"/>
    <w:rsid w:val="000942BB"/>
    <w:rsid w:val="000A03EF"/>
    <w:rsid w:val="000A4671"/>
    <w:rsid w:val="000A5586"/>
    <w:rsid w:val="000B0632"/>
    <w:rsid w:val="000B2634"/>
    <w:rsid w:val="000B31D1"/>
    <w:rsid w:val="000B4E1F"/>
    <w:rsid w:val="000C1FAE"/>
    <w:rsid w:val="000C46F6"/>
    <w:rsid w:val="000C6615"/>
    <w:rsid w:val="000C7636"/>
    <w:rsid w:val="000D3FC5"/>
    <w:rsid w:val="000E01C0"/>
    <w:rsid w:val="000E0439"/>
    <w:rsid w:val="000E3643"/>
    <w:rsid w:val="000E3EA0"/>
    <w:rsid w:val="000E5B7A"/>
    <w:rsid w:val="000E637D"/>
    <w:rsid w:val="000E7E6A"/>
    <w:rsid w:val="000F302C"/>
    <w:rsid w:val="000F6126"/>
    <w:rsid w:val="000F632E"/>
    <w:rsid w:val="000F63AB"/>
    <w:rsid w:val="001011CD"/>
    <w:rsid w:val="00104438"/>
    <w:rsid w:val="00104616"/>
    <w:rsid w:val="00107222"/>
    <w:rsid w:val="001129F0"/>
    <w:rsid w:val="0012030B"/>
    <w:rsid w:val="0012214B"/>
    <w:rsid w:val="001242E5"/>
    <w:rsid w:val="00131100"/>
    <w:rsid w:val="0013266D"/>
    <w:rsid w:val="0013406B"/>
    <w:rsid w:val="00140FC6"/>
    <w:rsid w:val="0014370D"/>
    <w:rsid w:val="00143A24"/>
    <w:rsid w:val="0014429A"/>
    <w:rsid w:val="00145214"/>
    <w:rsid w:val="0014581F"/>
    <w:rsid w:val="00150433"/>
    <w:rsid w:val="00150F4F"/>
    <w:rsid w:val="00152321"/>
    <w:rsid w:val="00153214"/>
    <w:rsid w:val="00153ACA"/>
    <w:rsid w:val="00153AE9"/>
    <w:rsid w:val="00153DAB"/>
    <w:rsid w:val="00154CAE"/>
    <w:rsid w:val="00154CD0"/>
    <w:rsid w:val="001574F2"/>
    <w:rsid w:val="0015768C"/>
    <w:rsid w:val="001628D8"/>
    <w:rsid w:val="00164778"/>
    <w:rsid w:val="0016596B"/>
    <w:rsid w:val="00166367"/>
    <w:rsid w:val="001709C8"/>
    <w:rsid w:val="00172EBB"/>
    <w:rsid w:val="001747EF"/>
    <w:rsid w:val="00175547"/>
    <w:rsid w:val="00176B88"/>
    <w:rsid w:val="00177BED"/>
    <w:rsid w:val="001808F4"/>
    <w:rsid w:val="00182FD6"/>
    <w:rsid w:val="001869AE"/>
    <w:rsid w:val="001877D0"/>
    <w:rsid w:val="00191BA9"/>
    <w:rsid w:val="00192E06"/>
    <w:rsid w:val="00194D0C"/>
    <w:rsid w:val="00194E49"/>
    <w:rsid w:val="00194EC4"/>
    <w:rsid w:val="00196331"/>
    <w:rsid w:val="001971F7"/>
    <w:rsid w:val="001A2092"/>
    <w:rsid w:val="001A30B1"/>
    <w:rsid w:val="001A5072"/>
    <w:rsid w:val="001A5C40"/>
    <w:rsid w:val="001B0085"/>
    <w:rsid w:val="001B1DC2"/>
    <w:rsid w:val="001B34B5"/>
    <w:rsid w:val="001C2F29"/>
    <w:rsid w:val="001C3C7E"/>
    <w:rsid w:val="001C434A"/>
    <w:rsid w:val="001C4AEF"/>
    <w:rsid w:val="001C73CD"/>
    <w:rsid w:val="001D31D6"/>
    <w:rsid w:val="001D60FB"/>
    <w:rsid w:val="001D6794"/>
    <w:rsid w:val="001E1ED4"/>
    <w:rsid w:val="001F3BEA"/>
    <w:rsid w:val="001F483E"/>
    <w:rsid w:val="001F5DE6"/>
    <w:rsid w:val="001F6379"/>
    <w:rsid w:val="00201010"/>
    <w:rsid w:val="00201B10"/>
    <w:rsid w:val="002030FF"/>
    <w:rsid w:val="00203374"/>
    <w:rsid w:val="00204415"/>
    <w:rsid w:val="002045B7"/>
    <w:rsid w:val="00204C06"/>
    <w:rsid w:val="002054A3"/>
    <w:rsid w:val="00207A6E"/>
    <w:rsid w:val="00207E57"/>
    <w:rsid w:val="00211F11"/>
    <w:rsid w:val="00212CD3"/>
    <w:rsid w:val="00213105"/>
    <w:rsid w:val="00214CFF"/>
    <w:rsid w:val="00215B8F"/>
    <w:rsid w:val="00216124"/>
    <w:rsid w:val="002203F1"/>
    <w:rsid w:val="002208D9"/>
    <w:rsid w:val="0022242F"/>
    <w:rsid w:val="00222F2C"/>
    <w:rsid w:val="00224B92"/>
    <w:rsid w:val="002275B0"/>
    <w:rsid w:val="00230F0D"/>
    <w:rsid w:val="002340A9"/>
    <w:rsid w:val="002357E1"/>
    <w:rsid w:val="00236E12"/>
    <w:rsid w:val="00237D95"/>
    <w:rsid w:val="00243839"/>
    <w:rsid w:val="0024569D"/>
    <w:rsid w:val="00247226"/>
    <w:rsid w:val="002504FB"/>
    <w:rsid w:val="00252554"/>
    <w:rsid w:val="00252897"/>
    <w:rsid w:val="00256D20"/>
    <w:rsid w:val="00257C9A"/>
    <w:rsid w:val="002602A2"/>
    <w:rsid w:val="002636C4"/>
    <w:rsid w:val="00264069"/>
    <w:rsid w:val="00272CC4"/>
    <w:rsid w:val="002742FF"/>
    <w:rsid w:val="00275100"/>
    <w:rsid w:val="00276EA1"/>
    <w:rsid w:val="002831CB"/>
    <w:rsid w:val="002857E8"/>
    <w:rsid w:val="00286893"/>
    <w:rsid w:val="00287635"/>
    <w:rsid w:val="00291DCD"/>
    <w:rsid w:val="00295BF6"/>
    <w:rsid w:val="002A106C"/>
    <w:rsid w:val="002A2A6E"/>
    <w:rsid w:val="002A50CA"/>
    <w:rsid w:val="002B0942"/>
    <w:rsid w:val="002B0D10"/>
    <w:rsid w:val="002B2A87"/>
    <w:rsid w:val="002B3D63"/>
    <w:rsid w:val="002B3ED7"/>
    <w:rsid w:val="002C0BA7"/>
    <w:rsid w:val="002C487F"/>
    <w:rsid w:val="002C7245"/>
    <w:rsid w:val="002C7FBF"/>
    <w:rsid w:val="002D142B"/>
    <w:rsid w:val="002D3B33"/>
    <w:rsid w:val="002D5040"/>
    <w:rsid w:val="002D6D4C"/>
    <w:rsid w:val="002E0B87"/>
    <w:rsid w:val="002E1F4A"/>
    <w:rsid w:val="002E4C3E"/>
    <w:rsid w:val="002E5D90"/>
    <w:rsid w:val="002E670B"/>
    <w:rsid w:val="002E7896"/>
    <w:rsid w:val="002E79DC"/>
    <w:rsid w:val="002F2B3C"/>
    <w:rsid w:val="002F36E1"/>
    <w:rsid w:val="002F5F77"/>
    <w:rsid w:val="002F62A3"/>
    <w:rsid w:val="002F6A8D"/>
    <w:rsid w:val="002F73BF"/>
    <w:rsid w:val="00301845"/>
    <w:rsid w:val="00304A3E"/>
    <w:rsid w:val="00306288"/>
    <w:rsid w:val="00306F6C"/>
    <w:rsid w:val="003141F4"/>
    <w:rsid w:val="00314648"/>
    <w:rsid w:val="003210FF"/>
    <w:rsid w:val="00321936"/>
    <w:rsid w:val="00323979"/>
    <w:rsid w:val="00323C70"/>
    <w:rsid w:val="00325DE3"/>
    <w:rsid w:val="00326DAF"/>
    <w:rsid w:val="003317B9"/>
    <w:rsid w:val="00331DE5"/>
    <w:rsid w:val="0033536B"/>
    <w:rsid w:val="00335DFE"/>
    <w:rsid w:val="00336766"/>
    <w:rsid w:val="003403E2"/>
    <w:rsid w:val="0034131F"/>
    <w:rsid w:val="00341702"/>
    <w:rsid w:val="003429E2"/>
    <w:rsid w:val="00343D11"/>
    <w:rsid w:val="003530F6"/>
    <w:rsid w:val="003605E1"/>
    <w:rsid w:val="003628BC"/>
    <w:rsid w:val="00362FAA"/>
    <w:rsid w:val="00364234"/>
    <w:rsid w:val="003662DE"/>
    <w:rsid w:val="0036733C"/>
    <w:rsid w:val="003746AF"/>
    <w:rsid w:val="00374FC9"/>
    <w:rsid w:val="00375305"/>
    <w:rsid w:val="003759DF"/>
    <w:rsid w:val="00377BF3"/>
    <w:rsid w:val="003862F7"/>
    <w:rsid w:val="003874C3"/>
    <w:rsid w:val="0039068A"/>
    <w:rsid w:val="0039255F"/>
    <w:rsid w:val="00392671"/>
    <w:rsid w:val="00393E4C"/>
    <w:rsid w:val="003A062D"/>
    <w:rsid w:val="003A1681"/>
    <w:rsid w:val="003A27BC"/>
    <w:rsid w:val="003A3C9E"/>
    <w:rsid w:val="003A57AF"/>
    <w:rsid w:val="003B10B9"/>
    <w:rsid w:val="003B2A9D"/>
    <w:rsid w:val="003B3EAB"/>
    <w:rsid w:val="003B500F"/>
    <w:rsid w:val="003B70B1"/>
    <w:rsid w:val="003B71A5"/>
    <w:rsid w:val="003C113F"/>
    <w:rsid w:val="003C23DD"/>
    <w:rsid w:val="003C4B09"/>
    <w:rsid w:val="003C714B"/>
    <w:rsid w:val="003D2859"/>
    <w:rsid w:val="003E2722"/>
    <w:rsid w:val="003E2DAE"/>
    <w:rsid w:val="003E402F"/>
    <w:rsid w:val="003E427E"/>
    <w:rsid w:val="003F0798"/>
    <w:rsid w:val="003F2689"/>
    <w:rsid w:val="003F4508"/>
    <w:rsid w:val="003F6E44"/>
    <w:rsid w:val="003F7DF1"/>
    <w:rsid w:val="00403A50"/>
    <w:rsid w:val="00404168"/>
    <w:rsid w:val="00406BC6"/>
    <w:rsid w:val="00414E44"/>
    <w:rsid w:val="00416DCA"/>
    <w:rsid w:val="00416F14"/>
    <w:rsid w:val="00420BD2"/>
    <w:rsid w:val="00420C7C"/>
    <w:rsid w:val="00421243"/>
    <w:rsid w:val="00425CEC"/>
    <w:rsid w:val="0043094D"/>
    <w:rsid w:val="00431BCA"/>
    <w:rsid w:val="004325F2"/>
    <w:rsid w:val="00435201"/>
    <w:rsid w:val="004357CE"/>
    <w:rsid w:val="004408D1"/>
    <w:rsid w:val="00443BDB"/>
    <w:rsid w:val="0044424E"/>
    <w:rsid w:val="004472E6"/>
    <w:rsid w:val="004514EF"/>
    <w:rsid w:val="00451C08"/>
    <w:rsid w:val="0045332C"/>
    <w:rsid w:val="004611DF"/>
    <w:rsid w:val="00462E75"/>
    <w:rsid w:val="00464292"/>
    <w:rsid w:val="00466F46"/>
    <w:rsid w:val="00473F8C"/>
    <w:rsid w:val="00474F8C"/>
    <w:rsid w:val="004756CB"/>
    <w:rsid w:val="00477A3A"/>
    <w:rsid w:val="00482674"/>
    <w:rsid w:val="004857D3"/>
    <w:rsid w:val="00493207"/>
    <w:rsid w:val="00494ADC"/>
    <w:rsid w:val="004A00B0"/>
    <w:rsid w:val="004A0FAE"/>
    <w:rsid w:val="004B00A6"/>
    <w:rsid w:val="004B33F7"/>
    <w:rsid w:val="004B3A27"/>
    <w:rsid w:val="004B4A50"/>
    <w:rsid w:val="004B597A"/>
    <w:rsid w:val="004B7A2C"/>
    <w:rsid w:val="004C1A12"/>
    <w:rsid w:val="004C397B"/>
    <w:rsid w:val="004C76CC"/>
    <w:rsid w:val="004D7987"/>
    <w:rsid w:val="004E0B5B"/>
    <w:rsid w:val="004E279F"/>
    <w:rsid w:val="004E29E6"/>
    <w:rsid w:val="004E3D57"/>
    <w:rsid w:val="004E3D5C"/>
    <w:rsid w:val="004E5FB2"/>
    <w:rsid w:val="004E7220"/>
    <w:rsid w:val="004F0F4D"/>
    <w:rsid w:val="004F21F5"/>
    <w:rsid w:val="004F38CF"/>
    <w:rsid w:val="004F7643"/>
    <w:rsid w:val="004F7BE5"/>
    <w:rsid w:val="00500116"/>
    <w:rsid w:val="00500530"/>
    <w:rsid w:val="005015BA"/>
    <w:rsid w:val="00501A98"/>
    <w:rsid w:val="005032C9"/>
    <w:rsid w:val="00505BA8"/>
    <w:rsid w:val="005101B9"/>
    <w:rsid w:val="00512896"/>
    <w:rsid w:val="00516C26"/>
    <w:rsid w:val="00520201"/>
    <w:rsid w:val="0052196B"/>
    <w:rsid w:val="0052400C"/>
    <w:rsid w:val="005271EC"/>
    <w:rsid w:val="00527DAB"/>
    <w:rsid w:val="00530BD7"/>
    <w:rsid w:val="00531936"/>
    <w:rsid w:val="00531D55"/>
    <w:rsid w:val="0053457D"/>
    <w:rsid w:val="00535AE7"/>
    <w:rsid w:val="005440A6"/>
    <w:rsid w:val="00544455"/>
    <w:rsid w:val="005450E9"/>
    <w:rsid w:val="005471F3"/>
    <w:rsid w:val="00551A94"/>
    <w:rsid w:val="005546CE"/>
    <w:rsid w:val="005663B0"/>
    <w:rsid w:val="00567DBA"/>
    <w:rsid w:val="005706C4"/>
    <w:rsid w:val="00570AB5"/>
    <w:rsid w:val="00571520"/>
    <w:rsid w:val="005744A3"/>
    <w:rsid w:val="00574915"/>
    <w:rsid w:val="00576E17"/>
    <w:rsid w:val="005770F9"/>
    <w:rsid w:val="00580A46"/>
    <w:rsid w:val="0059074C"/>
    <w:rsid w:val="00592BEB"/>
    <w:rsid w:val="005934E7"/>
    <w:rsid w:val="00593C0B"/>
    <w:rsid w:val="00594503"/>
    <w:rsid w:val="0059463B"/>
    <w:rsid w:val="005955D2"/>
    <w:rsid w:val="00595BF5"/>
    <w:rsid w:val="00595C95"/>
    <w:rsid w:val="00596496"/>
    <w:rsid w:val="00596C42"/>
    <w:rsid w:val="00596DBC"/>
    <w:rsid w:val="005A0718"/>
    <w:rsid w:val="005A119A"/>
    <w:rsid w:val="005A4284"/>
    <w:rsid w:val="005A46A5"/>
    <w:rsid w:val="005A47F9"/>
    <w:rsid w:val="005A51D9"/>
    <w:rsid w:val="005A785B"/>
    <w:rsid w:val="005B08D8"/>
    <w:rsid w:val="005B383F"/>
    <w:rsid w:val="005B56A0"/>
    <w:rsid w:val="005B5748"/>
    <w:rsid w:val="005B6D2A"/>
    <w:rsid w:val="005B714E"/>
    <w:rsid w:val="005C24C5"/>
    <w:rsid w:val="005D0A45"/>
    <w:rsid w:val="005D139C"/>
    <w:rsid w:val="005D2529"/>
    <w:rsid w:val="005D3861"/>
    <w:rsid w:val="005D76B4"/>
    <w:rsid w:val="005E2823"/>
    <w:rsid w:val="005E2D4C"/>
    <w:rsid w:val="005E3290"/>
    <w:rsid w:val="005F13A9"/>
    <w:rsid w:val="005F1DC1"/>
    <w:rsid w:val="005F3518"/>
    <w:rsid w:val="005F4C74"/>
    <w:rsid w:val="005F69E6"/>
    <w:rsid w:val="005F7127"/>
    <w:rsid w:val="005F75AB"/>
    <w:rsid w:val="00600039"/>
    <w:rsid w:val="00600F1B"/>
    <w:rsid w:val="006058F0"/>
    <w:rsid w:val="006126D5"/>
    <w:rsid w:val="006132F9"/>
    <w:rsid w:val="00613580"/>
    <w:rsid w:val="00616B3D"/>
    <w:rsid w:val="006227A9"/>
    <w:rsid w:val="00622FCF"/>
    <w:rsid w:val="00624643"/>
    <w:rsid w:val="006260D5"/>
    <w:rsid w:val="00636A7E"/>
    <w:rsid w:val="006402F1"/>
    <w:rsid w:val="00641A34"/>
    <w:rsid w:val="006420C4"/>
    <w:rsid w:val="006446B8"/>
    <w:rsid w:val="00644FF3"/>
    <w:rsid w:val="0064547B"/>
    <w:rsid w:val="006507F2"/>
    <w:rsid w:val="00650F9B"/>
    <w:rsid w:val="0065212C"/>
    <w:rsid w:val="00653E40"/>
    <w:rsid w:val="0065684B"/>
    <w:rsid w:val="006568D4"/>
    <w:rsid w:val="00657C17"/>
    <w:rsid w:val="0066199D"/>
    <w:rsid w:val="00661CC0"/>
    <w:rsid w:val="00666C4D"/>
    <w:rsid w:val="00667622"/>
    <w:rsid w:val="00672A24"/>
    <w:rsid w:val="00683760"/>
    <w:rsid w:val="00683EE8"/>
    <w:rsid w:val="006851CE"/>
    <w:rsid w:val="00690847"/>
    <w:rsid w:val="00690B64"/>
    <w:rsid w:val="0069228E"/>
    <w:rsid w:val="006924CD"/>
    <w:rsid w:val="006937A5"/>
    <w:rsid w:val="006A1808"/>
    <w:rsid w:val="006A48E8"/>
    <w:rsid w:val="006A6805"/>
    <w:rsid w:val="006B074E"/>
    <w:rsid w:val="006B0D3E"/>
    <w:rsid w:val="006B2BD5"/>
    <w:rsid w:val="006B5318"/>
    <w:rsid w:val="006B663A"/>
    <w:rsid w:val="006B674C"/>
    <w:rsid w:val="006B7041"/>
    <w:rsid w:val="006B70BF"/>
    <w:rsid w:val="006C09F9"/>
    <w:rsid w:val="006C1500"/>
    <w:rsid w:val="006C3F99"/>
    <w:rsid w:val="006C462F"/>
    <w:rsid w:val="006C522B"/>
    <w:rsid w:val="006D0E3D"/>
    <w:rsid w:val="006D2536"/>
    <w:rsid w:val="006D3F56"/>
    <w:rsid w:val="006D42EB"/>
    <w:rsid w:val="006D450F"/>
    <w:rsid w:val="006E148C"/>
    <w:rsid w:val="006E1532"/>
    <w:rsid w:val="006F06B1"/>
    <w:rsid w:val="006F284C"/>
    <w:rsid w:val="006F4DD6"/>
    <w:rsid w:val="006F7227"/>
    <w:rsid w:val="00701308"/>
    <w:rsid w:val="00701FF0"/>
    <w:rsid w:val="00701FF9"/>
    <w:rsid w:val="00702366"/>
    <w:rsid w:val="00704185"/>
    <w:rsid w:val="007050CC"/>
    <w:rsid w:val="00710A3C"/>
    <w:rsid w:val="00710C2C"/>
    <w:rsid w:val="00712CE2"/>
    <w:rsid w:val="00715A06"/>
    <w:rsid w:val="007163BC"/>
    <w:rsid w:val="0071700A"/>
    <w:rsid w:val="00717F27"/>
    <w:rsid w:val="00721152"/>
    <w:rsid w:val="00722392"/>
    <w:rsid w:val="00722DB0"/>
    <w:rsid w:val="0072464E"/>
    <w:rsid w:val="00724A7D"/>
    <w:rsid w:val="00724F89"/>
    <w:rsid w:val="007255F6"/>
    <w:rsid w:val="00725CB8"/>
    <w:rsid w:val="00727565"/>
    <w:rsid w:val="00730AE3"/>
    <w:rsid w:val="007314C3"/>
    <w:rsid w:val="007331BD"/>
    <w:rsid w:val="00734EC5"/>
    <w:rsid w:val="007355C1"/>
    <w:rsid w:val="007356DE"/>
    <w:rsid w:val="00735C6E"/>
    <w:rsid w:val="00735D05"/>
    <w:rsid w:val="00736BC2"/>
    <w:rsid w:val="0074096F"/>
    <w:rsid w:val="0074134B"/>
    <w:rsid w:val="007447B3"/>
    <w:rsid w:val="007514E4"/>
    <w:rsid w:val="00755EBD"/>
    <w:rsid w:val="00764B3B"/>
    <w:rsid w:val="007713C9"/>
    <w:rsid w:val="0077480C"/>
    <w:rsid w:val="00783098"/>
    <w:rsid w:val="0078601E"/>
    <w:rsid w:val="0079325E"/>
    <w:rsid w:val="00793ACC"/>
    <w:rsid w:val="007940CE"/>
    <w:rsid w:val="007A0025"/>
    <w:rsid w:val="007A0366"/>
    <w:rsid w:val="007A0590"/>
    <w:rsid w:val="007A2054"/>
    <w:rsid w:val="007A23B9"/>
    <w:rsid w:val="007A4DEB"/>
    <w:rsid w:val="007A69B8"/>
    <w:rsid w:val="007B1587"/>
    <w:rsid w:val="007B264B"/>
    <w:rsid w:val="007B3A57"/>
    <w:rsid w:val="007B7D91"/>
    <w:rsid w:val="007C21AC"/>
    <w:rsid w:val="007C2B56"/>
    <w:rsid w:val="007C3A6E"/>
    <w:rsid w:val="007C3D55"/>
    <w:rsid w:val="007C5285"/>
    <w:rsid w:val="007C53F7"/>
    <w:rsid w:val="007C633B"/>
    <w:rsid w:val="007D2495"/>
    <w:rsid w:val="007D3182"/>
    <w:rsid w:val="007D3978"/>
    <w:rsid w:val="007D6581"/>
    <w:rsid w:val="007D6EA4"/>
    <w:rsid w:val="007E36DC"/>
    <w:rsid w:val="007E3CFE"/>
    <w:rsid w:val="007E4706"/>
    <w:rsid w:val="007F4F10"/>
    <w:rsid w:val="007F5444"/>
    <w:rsid w:val="007F73FB"/>
    <w:rsid w:val="007F768D"/>
    <w:rsid w:val="0080056D"/>
    <w:rsid w:val="00801352"/>
    <w:rsid w:val="00813164"/>
    <w:rsid w:val="00814F23"/>
    <w:rsid w:val="00816389"/>
    <w:rsid w:val="00816DF7"/>
    <w:rsid w:val="0082257C"/>
    <w:rsid w:val="00823A7C"/>
    <w:rsid w:val="00825524"/>
    <w:rsid w:val="0083211E"/>
    <w:rsid w:val="00836DDB"/>
    <w:rsid w:val="00840BB3"/>
    <w:rsid w:val="00843020"/>
    <w:rsid w:val="00844CEA"/>
    <w:rsid w:val="00845FAE"/>
    <w:rsid w:val="0085169D"/>
    <w:rsid w:val="0085221E"/>
    <w:rsid w:val="00854BA5"/>
    <w:rsid w:val="00855CEC"/>
    <w:rsid w:val="00856248"/>
    <w:rsid w:val="008567CA"/>
    <w:rsid w:val="0086045F"/>
    <w:rsid w:val="008659A6"/>
    <w:rsid w:val="0087009E"/>
    <w:rsid w:val="008703DB"/>
    <w:rsid w:val="00870D40"/>
    <w:rsid w:val="00871670"/>
    <w:rsid w:val="00874585"/>
    <w:rsid w:val="00875673"/>
    <w:rsid w:val="0087674B"/>
    <w:rsid w:val="00880DA9"/>
    <w:rsid w:val="00882DF1"/>
    <w:rsid w:val="00884B6A"/>
    <w:rsid w:val="00890816"/>
    <w:rsid w:val="00891B4B"/>
    <w:rsid w:val="0089239D"/>
    <w:rsid w:val="00894F04"/>
    <w:rsid w:val="00897A13"/>
    <w:rsid w:val="00897C5C"/>
    <w:rsid w:val="008B349F"/>
    <w:rsid w:val="008B7243"/>
    <w:rsid w:val="008C013C"/>
    <w:rsid w:val="008C12D5"/>
    <w:rsid w:val="008C1E35"/>
    <w:rsid w:val="008C2BF0"/>
    <w:rsid w:val="008C7BD8"/>
    <w:rsid w:val="008D1105"/>
    <w:rsid w:val="008D4A85"/>
    <w:rsid w:val="008D5AA2"/>
    <w:rsid w:val="008E2419"/>
    <w:rsid w:val="008E4048"/>
    <w:rsid w:val="008E44E1"/>
    <w:rsid w:val="008E5F84"/>
    <w:rsid w:val="008E665B"/>
    <w:rsid w:val="008E7500"/>
    <w:rsid w:val="008F09B9"/>
    <w:rsid w:val="008F10D1"/>
    <w:rsid w:val="008F2B4C"/>
    <w:rsid w:val="008F340E"/>
    <w:rsid w:val="008F4EA2"/>
    <w:rsid w:val="008F501C"/>
    <w:rsid w:val="008F656B"/>
    <w:rsid w:val="008F6E86"/>
    <w:rsid w:val="008F77AC"/>
    <w:rsid w:val="00905355"/>
    <w:rsid w:val="009057A1"/>
    <w:rsid w:val="00906218"/>
    <w:rsid w:val="009067F8"/>
    <w:rsid w:val="00906BB7"/>
    <w:rsid w:val="009106C6"/>
    <w:rsid w:val="009113B1"/>
    <w:rsid w:val="00911F7C"/>
    <w:rsid w:val="009151C8"/>
    <w:rsid w:val="00915E00"/>
    <w:rsid w:val="0091745B"/>
    <w:rsid w:val="00917E52"/>
    <w:rsid w:val="0092123A"/>
    <w:rsid w:val="00922C1C"/>
    <w:rsid w:val="00922EAD"/>
    <w:rsid w:val="00925679"/>
    <w:rsid w:val="0092794B"/>
    <w:rsid w:val="00927A2B"/>
    <w:rsid w:val="00930B99"/>
    <w:rsid w:val="00930E07"/>
    <w:rsid w:val="0093119B"/>
    <w:rsid w:val="00934875"/>
    <w:rsid w:val="0093576E"/>
    <w:rsid w:val="00937BBD"/>
    <w:rsid w:val="00940759"/>
    <w:rsid w:val="009416E7"/>
    <w:rsid w:val="009432AB"/>
    <w:rsid w:val="00950B8E"/>
    <w:rsid w:val="00951A0B"/>
    <w:rsid w:val="00952372"/>
    <w:rsid w:val="00953856"/>
    <w:rsid w:val="00955061"/>
    <w:rsid w:val="009554D5"/>
    <w:rsid w:val="009620C3"/>
    <w:rsid w:val="00964305"/>
    <w:rsid w:val="00966D30"/>
    <w:rsid w:val="00972CD7"/>
    <w:rsid w:val="009766DE"/>
    <w:rsid w:val="00983137"/>
    <w:rsid w:val="0098590D"/>
    <w:rsid w:val="00985ABE"/>
    <w:rsid w:val="00985F2F"/>
    <w:rsid w:val="009908FB"/>
    <w:rsid w:val="009922C1"/>
    <w:rsid w:val="009A0806"/>
    <w:rsid w:val="009A3421"/>
    <w:rsid w:val="009A3737"/>
    <w:rsid w:val="009A3D0C"/>
    <w:rsid w:val="009A3FA3"/>
    <w:rsid w:val="009A62B7"/>
    <w:rsid w:val="009B0A25"/>
    <w:rsid w:val="009B0FEA"/>
    <w:rsid w:val="009B1B18"/>
    <w:rsid w:val="009B1C1E"/>
    <w:rsid w:val="009B1CC0"/>
    <w:rsid w:val="009B1F73"/>
    <w:rsid w:val="009B5E1D"/>
    <w:rsid w:val="009C1302"/>
    <w:rsid w:val="009C43C7"/>
    <w:rsid w:val="009D03A5"/>
    <w:rsid w:val="009D04BD"/>
    <w:rsid w:val="009D2889"/>
    <w:rsid w:val="009D2F92"/>
    <w:rsid w:val="009D348D"/>
    <w:rsid w:val="009D4F49"/>
    <w:rsid w:val="009D4F56"/>
    <w:rsid w:val="009D59FE"/>
    <w:rsid w:val="009D714D"/>
    <w:rsid w:val="009E2B79"/>
    <w:rsid w:val="009E37F8"/>
    <w:rsid w:val="009E5BBE"/>
    <w:rsid w:val="009F4367"/>
    <w:rsid w:val="009F6151"/>
    <w:rsid w:val="00A02EB5"/>
    <w:rsid w:val="00A07110"/>
    <w:rsid w:val="00A07370"/>
    <w:rsid w:val="00A10051"/>
    <w:rsid w:val="00A20F36"/>
    <w:rsid w:val="00A22904"/>
    <w:rsid w:val="00A229DE"/>
    <w:rsid w:val="00A2794D"/>
    <w:rsid w:val="00A30DAD"/>
    <w:rsid w:val="00A32086"/>
    <w:rsid w:val="00A33CBC"/>
    <w:rsid w:val="00A34326"/>
    <w:rsid w:val="00A34F32"/>
    <w:rsid w:val="00A35413"/>
    <w:rsid w:val="00A41323"/>
    <w:rsid w:val="00A41352"/>
    <w:rsid w:val="00A42FA0"/>
    <w:rsid w:val="00A44EC6"/>
    <w:rsid w:val="00A452D8"/>
    <w:rsid w:val="00A525A9"/>
    <w:rsid w:val="00A5402C"/>
    <w:rsid w:val="00A54AE8"/>
    <w:rsid w:val="00A60818"/>
    <w:rsid w:val="00A61444"/>
    <w:rsid w:val="00A63A99"/>
    <w:rsid w:val="00A64741"/>
    <w:rsid w:val="00A65972"/>
    <w:rsid w:val="00A72225"/>
    <w:rsid w:val="00A73E49"/>
    <w:rsid w:val="00A77F83"/>
    <w:rsid w:val="00A81657"/>
    <w:rsid w:val="00A82D68"/>
    <w:rsid w:val="00A838F3"/>
    <w:rsid w:val="00A906EB"/>
    <w:rsid w:val="00A907D3"/>
    <w:rsid w:val="00A91F19"/>
    <w:rsid w:val="00A9449F"/>
    <w:rsid w:val="00A95162"/>
    <w:rsid w:val="00A96AA6"/>
    <w:rsid w:val="00A97878"/>
    <w:rsid w:val="00AA014E"/>
    <w:rsid w:val="00AA074B"/>
    <w:rsid w:val="00AA15E7"/>
    <w:rsid w:val="00AA1B7C"/>
    <w:rsid w:val="00AA4ED3"/>
    <w:rsid w:val="00AB1F11"/>
    <w:rsid w:val="00AB2DFA"/>
    <w:rsid w:val="00AB3B2F"/>
    <w:rsid w:val="00AB5CF8"/>
    <w:rsid w:val="00AB695E"/>
    <w:rsid w:val="00AB7348"/>
    <w:rsid w:val="00AC0D97"/>
    <w:rsid w:val="00AC1E69"/>
    <w:rsid w:val="00AD0696"/>
    <w:rsid w:val="00AD09BE"/>
    <w:rsid w:val="00AD420E"/>
    <w:rsid w:val="00AD70C8"/>
    <w:rsid w:val="00AE11DA"/>
    <w:rsid w:val="00AE2442"/>
    <w:rsid w:val="00AE4D45"/>
    <w:rsid w:val="00AF305B"/>
    <w:rsid w:val="00AF5114"/>
    <w:rsid w:val="00AF5457"/>
    <w:rsid w:val="00AF585E"/>
    <w:rsid w:val="00AF5A4B"/>
    <w:rsid w:val="00AF72D1"/>
    <w:rsid w:val="00B01BCD"/>
    <w:rsid w:val="00B02BDC"/>
    <w:rsid w:val="00B02F08"/>
    <w:rsid w:val="00B07C10"/>
    <w:rsid w:val="00B17098"/>
    <w:rsid w:val="00B271A0"/>
    <w:rsid w:val="00B30043"/>
    <w:rsid w:val="00B305F3"/>
    <w:rsid w:val="00B32166"/>
    <w:rsid w:val="00B32251"/>
    <w:rsid w:val="00B3299A"/>
    <w:rsid w:val="00B33A50"/>
    <w:rsid w:val="00B343BE"/>
    <w:rsid w:val="00B40A7A"/>
    <w:rsid w:val="00B430FA"/>
    <w:rsid w:val="00B4417E"/>
    <w:rsid w:val="00B50D85"/>
    <w:rsid w:val="00B52713"/>
    <w:rsid w:val="00B554A6"/>
    <w:rsid w:val="00B56B11"/>
    <w:rsid w:val="00B60649"/>
    <w:rsid w:val="00B61E3E"/>
    <w:rsid w:val="00B72C78"/>
    <w:rsid w:val="00B72E32"/>
    <w:rsid w:val="00B76D54"/>
    <w:rsid w:val="00B84C6C"/>
    <w:rsid w:val="00B85807"/>
    <w:rsid w:val="00B85F9B"/>
    <w:rsid w:val="00B91521"/>
    <w:rsid w:val="00B928CF"/>
    <w:rsid w:val="00B93A4C"/>
    <w:rsid w:val="00B93F3C"/>
    <w:rsid w:val="00B943FE"/>
    <w:rsid w:val="00B9627C"/>
    <w:rsid w:val="00B96D81"/>
    <w:rsid w:val="00B97931"/>
    <w:rsid w:val="00BA0635"/>
    <w:rsid w:val="00BA0694"/>
    <w:rsid w:val="00BA1230"/>
    <w:rsid w:val="00BA1498"/>
    <w:rsid w:val="00BA3233"/>
    <w:rsid w:val="00BA583C"/>
    <w:rsid w:val="00BB0E61"/>
    <w:rsid w:val="00BB23A2"/>
    <w:rsid w:val="00BB2F18"/>
    <w:rsid w:val="00BB577F"/>
    <w:rsid w:val="00BB5AC4"/>
    <w:rsid w:val="00BB669C"/>
    <w:rsid w:val="00BC0133"/>
    <w:rsid w:val="00BC307C"/>
    <w:rsid w:val="00BC5502"/>
    <w:rsid w:val="00BC7C0A"/>
    <w:rsid w:val="00BD2D2C"/>
    <w:rsid w:val="00BD3456"/>
    <w:rsid w:val="00BD3D35"/>
    <w:rsid w:val="00BD46BF"/>
    <w:rsid w:val="00BD6287"/>
    <w:rsid w:val="00BE1717"/>
    <w:rsid w:val="00BE365A"/>
    <w:rsid w:val="00BE37A4"/>
    <w:rsid w:val="00BE45DE"/>
    <w:rsid w:val="00BE58D1"/>
    <w:rsid w:val="00BE66B1"/>
    <w:rsid w:val="00BE7C50"/>
    <w:rsid w:val="00BF400F"/>
    <w:rsid w:val="00BF77F8"/>
    <w:rsid w:val="00C0511D"/>
    <w:rsid w:val="00C05456"/>
    <w:rsid w:val="00C076A9"/>
    <w:rsid w:val="00C109D8"/>
    <w:rsid w:val="00C154FF"/>
    <w:rsid w:val="00C15BBB"/>
    <w:rsid w:val="00C17C31"/>
    <w:rsid w:val="00C20C62"/>
    <w:rsid w:val="00C221DE"/>
    <w:rsid w:val="00C24983"/>
    <w:rsid w:val="00C26B2D"/>
    <w:rsid w:val="00C30E2F"/>
    <w:rsid w:val="00C31FC0"/>
    <w:rsid w:val="00C33803"/>
    <w:rsid w:val="00C37FF1"/>
    <w:rsid w:val="00C4081A"/>
    <w:rsid w:val="00C44473"/>
    <w:rsid w:val="00C44A34"/>
    <w:rsid w:val="00C46E94"/>
    <w:rsid w:val="00C46F0B"/>
    <w:rsid w:val="00C47527"/>
    <w:rsid w:val="00C47E64"/>
    <w:rsid w:val="00C507CD"/>
    <w:rsid w:val="00C532F2"/>
    <w:rsid w:val="00C5358E"/>
    <w:rsid w:val="00C56C30"/>
    <w:rsid w:val="00C56DF1"/>
    <w:rsid w:val="00C61BAC"/>
    <w:rsid w:val="00C64E43"/>
    <w:rsid w:val="00C669E8"/>
    <w:rsid w:val="00C73302"/>
    <w:rsid w:val="00C7401E"/>
    <w:rsid w:val="00C74ADA"/>
    <w:rsid w:val="00C829AB"/>
    <w:rsid w:val="00C82CB2"/>
    <w:rsid w:val="00C830BF"/>
    <w:rsid w:val="00C846E6"/>
    <w:rsid w:val="00C85EA4"/>
    <w:rsid w:val="00C8696D"/>
    <w:rsid w:val="00C86EA4"/>
    <w:rsid w:val="00C912FE"/>
    <w:rsid w:val="00C91FE1"/>
    <w:rsid w:val="00C94A47"/>
    <w:rsid w:val="00C97928"/>
    <w:rsid w:val="00CA02BB"/>
    <w:rsid w:val="00CA1572"/>
    <w:rsid w:val="00CA1FFD"/>
    <w:rsid w:val="00CA6B87"/>
    <w:rsid w:val="00CB1EBB"/>
    <w:rsid w:val="00CB2204"/>
    <w:rsid w:val="00CB3BAF"/>
    <w:rsid w:val="00CB562E"/>
    <w:rsid w:val="00CC2031"/>
    <w:rsid w:val="00CC408C"/>
    <w:rsid w:val="00CC4E05"/>
    <w:rsid w:val="00CC71ED"/>
    <w:rsid w:val="00CC7E8A"/>
    <w:rsid w:val="00CD29A1"/>
    <w:rsid w:val="00CD46FB"/>
    <w:rsid w:val="00CD4EB4"/>
    <w:rsid w:val="00CD653E"/>
    <w:rsid w:val="00CE1DF0"/>
    <w:rsid w:val="00CE44EA"/>
    <w:rsid w:val="00CE4CFB"/>
    <w:rsid w:val="00CE4F05"/>
    <w:rsid w:val="00CE51C3"/>
    <w:rsid w:val="00CE67EC"/>
    <w:rsid w:val="00CF1C0C"/>
    <w:rsid w:val="00CF4F69"/>
    <w:rsid w:val="00D01920"/>
    <w:rsid w:val="00D01E3D"/>
    <w:rsid w:val="00D02960"/>
    <w:rsid w:val="00D06303"/>
    <w:rsid w:val="00D06AE6"/>
    <w:rsid w:val="00D108A5"/>
    <w:rsid w:val="00D15589"/>
    <w:rsid w:val="00D15697"/>
    <w:rsid w:val="00D15BC3"/>
    <w:rsid w:val="00D211FF"/>
    <w:rsid w:val="00D22AE8"/>
    <w:rsid w:val="00D24947"/>
    <w:rsid w:val="00D26DE0"/>
    <w:rsid w:val="00D32CAE"/>
    <w:rsid w:val="00D34C2A"/>
    <w:rsid w:val="00D42508"/>
    <w:rsid w:val="00D432AD"/>
    <w:rsid w:val="00D43D31"/>
    <w:rsid w:val="00D4554E"/>
    <w:rsid w:val="00D51069"/>
    <w:rsid w:val="00D51E57"/>
    <w:rsid w:val="00D51FA2"/>
    <w:rsid w:val="00D5245E"/>
    <w:rsid w:val="00D534D0"/>
    <w:rsid w:val="00D5463D"/>
    <w:rsid w:val="00D564FE"/>
    <w:rsid w:val="00D57436"/>
    <w:rsid w:val="00D60F7D"/>
    <w:rsid w:val="00D614EB"/>
    <w:rsid w:val="00D62255"/>
    <w:rsid w:val="00D647AE"/>
    <w:rsid w:val="00D667D0"/>
    <w:rsid w:val="00D71FB2"/>
    <w:rsid w:val="00D73EBA"/>
    <w:rsid w:val="00D741E0"/>
    <w:rsid w:val="00D80EFB"/>
    <w:rsid w:val="00D838B1"/>
    <w:rsid w:val="00D87DE7"/>
    <w:rsid w:val="00D9250F"/>
    <w:rsid w:val="00D95076"/>
    <w:rsid w:val="00D9537D"/>
    <w:rsid w:val="00D96866"/>
    <w:rsid w:val="00DA0674"/>
    <w:rsid w:val="00DA3ECF"/>
    <w:rsid w:val="00DA5060"/>
    <w:rsid w:val="00DA5B09"/>
    <w:rsid w:val="00DA5B5C"/>
    <w:rsid w:val="00DA64B0"/>
    <w:rsid w:val="00DB0122"/>
    <w:rsid w:val="00DB0182"/>
    <w:rsid w:val="00DB1AFA"/>
    <w:rsid w:val="00DB29F6"/>
    <w:rsid w:val="00DB5313"/>
    <w:rsid w:val="00DB59DF"/>
    <w:rsid w:val="00DC0718"/>
    <w:rsid w:val="00DC4C9C"/>
    <w:rsid w:val="00DC4FF9"/>
    <w:rsid w:val="00DC548D"/>
    <w:rsid w:val="00DC558E"/>
    <w:rsid w:val="00DD3809"/>
    <w:rsid w:val="00DD4AFB"/>
    <w:rsid w:val="00DD52CC"/>
    <w:rsid w:val="00DD5826"/>
    <w:rsid w:val="00DE308B"/>
    <w:rsid w:val="00DE3B67"/>
    <w:rsid w:val="00DE55E9"/>
    <w:rsid w:val="00DE754C"/>
    <w:rsid w:val="00DE79C1"/>
    <w:rsid w:val="00DF1F67"/>
    <w:rsid w:val="00DF2602"/>
    <w:rsid w:val="00DF760B"/>
    <w:rsid w:val="00E023B1"/>
    <w:rsid w:val="00E0269B"/>
    <w:rsid w:val="00E02EA8"/>
    <w:rsid w:val="00E07249"/>
    <w:rsid w:val="00E10765"/>
    <w:rsid w:val="00E12C01"/>
    <w:rsid w:val="00E14E49"/>
    <w:rsid w:val="00E20897"/>
    <w:rsid w:val="00E221B1"/>
    <w:rsid w:val="00E2283C"/>
    <w:rsid w:val="00E230AA"/>
    <w:rsid w:val="00E34216"/>
    <w:rsid w:val="00E35DDA"/>
    <w:rsid w:val="00E37A7A"/>
    <w:rsid w:val="00E40039"/>
    <w:rsid w:val="00E402B1"/>
    <w:rsid w:val="00E40AC5"/>
    <w:rsid w:val="00E47630"/>
    <w:rsid w:val="00E520C4"/>
    <w:rsid w:val="00E525AA"/>
    <w:rsid w:val="00E525DC"/>
    <w:rsid w:val="00E5404F"/>
    <w:rsid w:val="00E55B3B"/>
    <w:rsid w:val="00E55E91"/>
    <w:rsid w:val="00E620E9"/>
    <w:rsid w:val="00E67C28"/>
    <w:rsid w:val="00E7023F"/>
    <w:rsid w:val="00E73198"/>
    <w:rsid w:val="00E7323A"/>
    <w:rsid w:val="00E829C7"/>
    <w:rsid w:val="00E9029A"/>
    <w:rsid w:val="00E90B3F"/>
    <w:rsid w:val="00E91979"/>
    <w:rsid w:val="00E9298C"/>
    <w:rsid w:val="00E92F5A"/>
    <w:rsid w:val="00E9593E"/>
    <w:rsid w:val="00EA0CF2"/>
    <w:rsid w:val="00EA5882"/>
    <w:rsid w:val="00EA7525"/>
    <w:rsid w:val="00EB5437"/>
    <w:rsid w:val="00EC0891"/>
    <w:rsid w:val="00EC50E2"/>
    <w:rsid w:val="00EC633F"/>
    <w:rsid w:val="00ED01E4"/>
    <w:rsid w:val="00ED2D3D"/>
    <w:rsid w:val="00ED5303"/>
    <w:rsid w:val="00ED5DAE"/>
    <w:rsid w:val="00EE21D3"/>
    <w:rsid w:val="00EE28FB"/>
    <w:rsid w:val="00EE51DB"/>
    <w:rsid w:val="00EF0B94"/>
    <w:rsid w:val="00EF2914"/>
    <w:rsid w:val="00EF38CB"/>
    <w:rsid w:val="00F003EE"/>
    <w:rsid w:val="00F01A45"/>
    <w:rsid w:val="00F0601C"/>
    <w:rsid w:val="00F11421"/>
    <w:rsid w:val="00F11EA6"/>
    <w:rsid w:val="00F11EA8"/>
    <w:rsid w:val="00F13DC0"/>
    <w:rsid w:val="00F14485"/>
    <w:rsid w:val="00F16F02"/>
    <w:rsid w:val="00F218D2"/>
    <w:rsid w:val="00F2468B"/>
    <w:rsid w:val="00F26A06"/>
    <w:rsid w:val="00F26A60"/>
    <w:rsid w:val="00F30E21"/>
    <w:rsid w:val="00F34375"/>
    <w:rsid w:val="00F37826"/>
    <w:rsid w:val="00F43AD0"/>
    <w:rsid w:val="00F465B6"/>
    <w:rsid w:val="00F557A6"/>
    <w:rsid w:val="00F62BE0"/>
    <w:rsid w:val="00F64CB9"/>
    <w:rsid w:val="00F658B2"/>
    <w:rsid w:val="00F661F6"/>
    <w:rsid w:val="00F67181"/>
    <w:rsid w:val="00F675BB"/>
    <w:rsid w:val="00F73702"/>
    <w:rsid w:val="00F75A62"/>
    <w:rsid w:val="00F77628"/>
    <w:rsid w:val="00F77BE7"/>
    <w:rsid w:val="00F838DD"/>
    <w:rsid w:val="00F83CB5"/>
    <w:rsid w:val="00F8428A"/>
    <w:rsid w:val="00F85C38"/>
    <w:rsid w:val="00F86781"/>
    <w:rsid w:val="00F87462"/>
    <w:rsid w:val="00F90360"/>
    <w:rsid w:val="00F90D9A"/>
    <w:rsid w:val="00F94AC9"/>
    <w:rsid w:val="00F95473"/>
    <w:rsid w:val="00F95A40"/>
    <w:rsid w:val="00F97191"/>
    <w:rsid w:val="00F97932"/>
    <w:rsid w:val="00FA0445"/>
    <w:rsid w:val="00FA327B"/>
    <w:rsid w:val="00FA3500"/>
    <w:rsid w:val="00FA4316"/>
    <w:rsid w:val="00FA5CED"/>
    <w:rsid w:val="00FA7583"/>
    <w:rsid w:val="00FB04A5"/>
    <w:rsid w:val="00FB1A90"/>
    <w:rsid w:val="00FB305C"/>
    <w:rsid w:val="00FB3B70"/>
    <w:rsid w:val="00FB7367"/>
    <w:rsid w:val="00FB73F9"/>
    <w:rsid w:val="00FC2F1B"/>
    <w:rsid w:val="00FC5455"/>
    <w:rsid w:val="00FC6159"/>
    <w:rsid w:val="00FD061C"/>
    <w:rsid w:val="00FD2EE5"/>
    <w:rsid w:val="00FD45B3"/>
    <w:rsid w:val="00FD45FC"/>
    <w:rsid w:val="00FD627B"/>
    <w:rsid w:val="00FE27B9"/>
    <w:rsid w:val="00FF2194"/>
    <w:rsid w:val="00FF2765"/>
    <w:rsid w:val="00FF54A9"/>
    <w:rsid w:val="00FF74EC"/>
    <w:rsid w:val="00FF7806"/>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6487A"/>
  <w15:docId w15:val="{D8C8E83D-3950-4BD0-ABB8-2699AA33A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498"/>
    <w:pPr>
      <w:jc w:val="both"/>
    </w:pPr>
    <w:rPr>
      <w:sz w:val="22"/>
      <w:szCs w:val="24"/>
      <w:lang w:val="en-GB"/>
    </w:rPr>
  </w:style>
  <w:style w:type="paragraph" w:styleId="Titre1">
    <w:name w:val="heading 1"/>
    <w:basedOn w:val="Normal"/>
    <w:next w:val="Titre2"/>
    <w:qFormat/>
    <w:pPr>
      <w:keepNext/>
      <w:tabs>
        <w:tab w:val="left" w:pos="720"/>
      </w:tabs>
      <w:spacing w:before="240" w:after="120"/>
      <w:jc w:val="center"/>
      <w:outlineLvl w:val="0"/>
    </w:pPr>
    <w:rPr>
      <w:b/>
      <w:caps/>
    </w:rPr>
  </w:style>
  <w:style w:type="paragraph" w:styleId="Titre2">
    <w:name w:val="heading 2"/>
    <w:basedOn w:val="Normal"/>
    <w:next w:val="Normal"/>
    <w:qFormat/>
    <w:rsid w:val="00E55B3B"/>
    <w:pPr>
      <w:keepNext/>
      <w:tabs>
        <w:tab w:val="left" w:pos="720"/>
      </w:tabs>
      <w:spacing w:before="120" w:after="120"/>
      <w:jc w:val="center"/>
      <w:outlineLvl w:val="1"/>
    </w:pPr>
    <w:rPr>
      <w:b/>
      <w:bCs/>
      <w:iCs/>
    </w:rPr>
  </w:style>
  <w:style w:type="paragraph" w:styleId="Titre3">
    <w:name w:val="heading 3"/>
    <w:basedOn w:val="Normal"/>
    <w:next w:val="Normal"/>
    <w:qFormat/>
    <w:pPr>
      <w:keepNext/>
      <w:tabs>
        <w:tab w:val="left" w:pos="567"/>
      </w:tabs>
      <w:spacing w:before="120" w:after="120"/>
      <w:jc w:val="center"/>
      <w:outlineLvl w:val="2"/>
    </w:pPr>
    <w:rPr>
      <w:i/>
      <w:iCs/>
    </w:rPr>
  </w:style>
  <w:style w:type="paragraph" w:styleId="Titre4">
    <w:name w:val="heading 4"/>
    <w:basedOn w:val="Normal"/>
    <w:qFormat/>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qFormat/>
    <w:pPr>
      <w:keepNext/>
      <w:numPr>
        <w:ilvl w:val="4"/>
        <w:numId w:val="1"/>
      </w:numPr>
      <w:spacing w:before="120" w:after="120"/>
      <w:jc w:val="left"/>
      <w:outlineLvl w:val="4"/>
    </w:pPr>
    <w:rPr>
      <w:bCs/>
      <w:i/>
      <w:szCs w:val="26"/>
      <w:lang w:val="en-CA"/>
    </w:rPr>
  </w:style>
  <w:style w:type="paragraph" w:styleId="Titre6">
    <w:name w:val="heading 6"/>
    <w:basedOn w:val="Normal"/>
    <w:next w:val="Normal"/>
    <w:qFormat/>
    <w:pPr>
      <w:keepNext/>
      <w:spacing w:after="240" w:line="240" w:lineRule="exact"/>
      <w:ind w:left="720"/>
      <w:outlineLvl w:val="5"/>
    </w:pPr>
    <w:rPr>
      <w:u w:val="single"/>
    </w:rPr>
  </w:style>
  <w:style w:type="paragraph" w:styleId="Titre7">
    <w:name w:val="heading 7"/>
    <w:basedOn w:val="Normal"/>
    <w:next w:val="Normal"/>
    <w:qFormat/>
    <w:pPr>
      <w:keepNext/>
      <w:jc w:val="right"/>
      <w:outlineLvl w:val="6"/>
    </w:pPr>
    <w:rPr>
      <w:rFonts w:ascii="Univers" w:hAnsi="Univers"/>
      <w:b/>
      <w:sz w:val="28"/>
    </w:rPr>
  </w:style>
  <w:style w:type="paragraph" w:styleId="Titre8">
    <w:name w:val="heading 8"/>
    <w:basedOn w:val="Normal"/>
    <w:next w:val="Normal"/>
    <w:qFormat/>
    <w:pPr>
      <w:keepNext/>
      <w:jc w:val="right"/>
      <w:outlineLvl w:val="7"/>
    </w:pPr>
    <w:rPr>
      <w:rFonts w:ascii="Univers" w:hAnsi="Univers"/>
      <w:b/>
      <w:sz w:val="32"/>
    </w:rPr>
  </w:style>
  <w:style w:type="paragraph" w:styleId="Titre9">
    <w:name w:val="heading 9"/>
    <w:basedOn w:val="Normal"/>
    <w:next w:val="Normal"/>
    <w:qFormat/>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ind w:firstLine="720"/>
      <w:jc w:val="right"/>
    </w:pPr>
  </w:style>
  <w:style w:type="paragraph" w:customStyle="1" w:styleId="Para10">
    <w:name w:val="Para1"/>
    <w:basedOn w:val="Normal"/>
    <w:link w:val="Para1Char"/>
    <w:rsid w:val="00F13DC0"/>
    <w:pPr>
      <w:numPr>
        <w:numId w:val="13"/>
      </w:numPr>
      <w:spacing w:before="120" w:after="120"/>
    </w:pPr>
    <w:rPr>
      <w:snapToGrid w:val="0"/>
      <w:szCs w:val="18"/>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qFormat/>
    <w:pPr>
      <w:keepLines/>
      <w:spacing w:after="60"/>
      <w:ind w:firstLine="720"/>
    </w:pPr>
    <w:rPr>
      <w:sz w:val="18"/>
    </w:rPr>
  </w:style>
  <w:style w:type="paragraph" w:styleId="Corpsdetexte">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Titre2"/>
    <w:qFormat/>
    <w:rsid w:val="006507F2"/>
  </w:style>
  <w:style w:type="character" w:styleId="Marquedecommentaire">
    <w:name w:val="annotation reference"/>
    <w:semiHidden/>
    <w:rPr>
      <w:sz w:val="16"/>
    </w:rPr>
  </w:style>
  <w:style w:type="paragraph" w:styleId="Commentaire">
    <w:name w:val="annotation text"/>
    <w:basedOn w:val="Normal"/>
    <w:link w:val="CommentaireCar"/>
    <w:semiHidden/>
    <w:pPr>
      <w:spacing w:after="120" w:line="240" w:lineRule="exact"/>
    </w:p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uiPriority w:val="99"/>
    <w:qFormat/>
    <w:rPr>
      <w:sz w:val="18"/>
      <w:u w:val="single"/>
      <w:vertAlign w:val="baseline"/>
    </w:rPr>
  </w:style>
  <w:style w:type="paragraph" w:styleId="Retraitcorpsdetexte">
    <w:name w:val="Body Text Indent"/>
    <w:basedOn w:val="Normal"/>
    <w:pPr>
      <w:spacing w:before="120" w:after="120"/>
      <w:ind w:left="1440" w:hanging="720"/>
      <w:jc w:val="left"/>
    </w:pPr>
  </w:style>
  <w:style w:type="character" w:styleId="Numrodepage">
    <w:name w:val="page number"/>
    <w:rPr>
      <w:rFonts w:ascii="Times New Roman" w:hAnsi="Times New Roman"/>
      <w:sz w:val="22"/>
    </w:rPr>
  </w:style>
  <w:style w:type="paragraph" w:customStyle="1" w:styleId="HEADING">
    <w:name w:val="HEADING"/>
    <w:basedOn w:val="Normal"/>
    <w:link w:val="HEADINGChar"/>
    <w:pPr>
      <w:keepNext/>
      <w:spacing w:before="240" w:after="120"/>
      <w:jc w:val="center"/>
    </w:pPr>
    <w:rPr>
      <w:b/>
      <w:bCs/>
      <w:caps/>
    </w:rPr>
  </w:style>
  <w:style w:type="paragraph" w:customStyle="1" w:styleId="para4">
    <w:name w:val="para4"/>
    <w:basedOn w:val="Normal"/>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Titre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13"/>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Titre2"/>
    <w:qFormat/>
    <w:rsid w:val="000F63AB"/>
    <w:pPr>
      <w:jc w:val="left"/>
      <w:outlineLvl w:val="9"/>
    </w:pPr>
  </w:style>
  <w:style w:type="paragraph" w:styleId="TitreTR">
    <w:name w:val="toa heading"/>
    <w:basedOn w:val="Normal"/>
    <w:next w:val="Normal"/>
    <w:semiHidden/>
    <w:pPr>
      <w:spacing w:before="120"/>
    </w:pPr>
    <w:rPr>
      <w:rFonts w:cs="Arial"/>
      <w:b/>
      <w:bCs/>
      <w:sz w:val="24"/>
    </w:rPr>
  </w:style>
  <w:style w:type="paragraph" w:styleId="TM9">
    <w:name w:val="toc 9"/>
    <w:basedOn w:val="Normal"/>
    <w:next w:val="Normal"/>
    <w:autoRedefine/>
    <w:semiHidden/>
    <w:pPr>
      <w:spacing w:before="120" w:after="120"/>
      <w:ind w:left="1760"/>
      <w:jc w:val="left"/>
    </w:pPr>
  </w:style>
  <w:style w:type="paragraph" w:styleId="TM1">
    <w:name w:val="toc 1"/>
    <w:basedOn w:val="Normal"/>
    <w:next w:val="Normal"/>
    <w:autoRedefine/>
    <w:semiHidden/>
    <w:pPr>
      <w:ind w:left="720" w:hanging="720"/>
    </w:pPr>
    <w:rPr>
      <w:caps/>
    </w:rPr>
  </w:style>
  <w:style w:type="paragraph" w:styleId="TM2">
    <w:name w:val="toc 2"/>
    <w:basedOn w:val="Normal"/>
    <w:next w:val="Normal"/>
    <w:autoRedefine/>
    <w:semiHidden/>
    <w:pPr>
      <w:tabs>
        <w:tab w:val="right" w:leader="dot" w:pos="9356"/>
      </w:tabs>
      <w:ind w:left="1440" w:hanging="720"/>
    </w:pPr>
    <w:rPr>
      <w:noProof/>
      <w:szCs w:val="22"/>
    </w:rPr>
  </w:style>
  <w:style w:type="paragraph" w:styleId="TM3">
    <w:name w:val="toc 3"/>
    <w:basedOn w:val="Normal"/>
    <w:next w:val="Normal"/>
    <w:autoRedefine/>
    <w:semiHidden/>
    <w:pPr>
      <w:ind w:left="2160" w:hanging="720"/>
    </w:pPr>
  </w:style>
  <w:style w:type="paragraph" w:styleId="TM4">
    <w:name w:val="toc 4"/>
    <w:basedOn w:val="Normal"/>
    <w:next w:val="Normal"/>
    <w:autoRedefine/>
    <w:semiHidden/>
    <w:pPr>
      <w:spacing w:before="120" w:after="120"/>
      <w:ind w:left="660"/>
      <w:jc w:val="left"/>
    </w:pPr>
  </w:style>
  <w:style w:type="paragraph" w:styleId="TM5">
    <w:name w:val="toc 5"/>
    <w:basedOn w:val="Normal"/>
    <w:next w:val="Normal"/>
    <w:autoRedefine/>
    <w:semiHidden/>
    <w:pPr>
      <w:spacing w:before="120" w:after="120"/>
      <w:ind w:left="880"/>
      <w:jc w:val="left"/>
    </w:pPr>
  </w:style>
  <w:style w:type="paragraph" w:styleId="TM6">
    <w:name w:val="toc 6"/>
    <w:basedOn w:val="Normal"/>
    <w:next w:val="Normal"/>
    <w:autoRedefine/>
    <w:semiHidden/>
    <w:pPr>
      <w:spacing w:before="120" w:after="120"/>
      <w:ind w:left="1100"/>
      <w:jc w:val="left"/>
    </w:pPr>
  </w:style>
  <w:style w:type="paragraph" w:styleId="TM7">
    <w:name w:val="toc 7"/>
    <w:basedOn w:val="Normal"/>
    <w:next w:val="Normal"/>
    <w:autoRedefine/>
    <w:semiHidden/>
    <w:pPr>
      <w:spacing w:before="120" w:after="120"/>
      <w:ind w:left="1320"/>
      <w:jc w:val="left"/>
    </w:pPr>
  </w:style>
  <w:style w:type="paragraph" w:styleId="TM8">
    <w:name w:val="toc 8"/>
    <w:basedOn w:val="Normal"/>
    <w:next w:val="Normal"/>
    <w:autoRedefine/>
    <w:semiHidden/>
    <w:pPr>
      <w:spacing w:before="120" w:after="120"/>
      <w:ind w:left="1540"/>
      <w:jc w:val="left"/>
    </w:pPr>
  </w:style>
  <w:style w:type="paragraph" w:customStyle="1" w:styleId="reference">
    <w:name w:val="reference"/>
    <w:basedOn w:val="Titre9"/>
    <w:qFormat/>
    <w:rsid w:val="000F63AB"/>
    <w:rPr>
      <w:i w:val="0"/>
      <w:sz w:val="18"/>
    </w:rPr>
  </w:style>
  <w:style w:type="character" w:styleId="Lienhypertextesuivivisit">
    <w:name w:val="FollowedHyperlink"/>
    <w:rPr>
      <w:color w:val="800080"/>
      <w:u w:val="single"/>
    </w:rPr>
  </w:style>
  <w:style w:type="paragraph" w:customStyle="1" w:styleId="Style1">
    <w:name w:val="Style1"/>
    <w:basedOn w:val="Titre2"/>
    <w:qFormat/>
    <w:rsid w:val="00CA6B87"/>
    <w:rPr>
      <w:i/>
    </w:rPr>
  </w:style>
  <w:style w:type="paragraph" w:customStyle="1" w:styleId="Para2">
    <w:name w:val="Para2"/>
    <w:basedOn w:val="Para10"/>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Lienhypertexte">
    <w:name w:val="Hyperlink"/>
    <w:uiPriority w:val="99"/>
    <w:unhideWhenUsed/>
    <w:rsid w:val="00406BC6"/>
    <w:rPr>
      <w:color w:val="0000FF"/>
      <w:u w:val="single"/>
    </w:rPr>
  </w:style>
  <w:style w:type="character" w:styleId="Appeldenotedefin">
    <w:name w:val="endnote reference"/>
    <w:semiHidden/>
    <w:rPr>
      <w:vertAlign w:val="superscript"/>
    </w:rPr>
  </w:style>
  <w:style w:type="paragraph" w:styleId="Notedefin">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Titre1"/>
    <w:pPr>
      <w:ind w:left="1843" w:hanging="1134"/>
      <w:jc w:val="left"/>
    </w:pPr>
  </w:style>
  <w:style w:type="paragraph" w:customStyle="1" w:styleId="Heading1multiline">
    <w:name w:val="Heading 1 (multiline)"/>
    <w:basedOn w:val="Titre1"/>
    <w:pPr>
      <w:ind w:left="1843" w:right="996" w:hanging="567"/>
      <w:jc w:val="left"/>
    </w:pPr>
  </w:style>
  <w:style w:type="paragraph" w:customStyle="1" w:styleId="Heading2multiline">
    <w:name w:val="Heading 2 (multiline)"/>
    <w:basedOn w:val="Titre1"/>
    <w:next w:val="Para10"/>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Titre3"/>
    <w:next w:val="Para10"/>
    <w:pPr>
      <w:ind w:left="1418" w:hanging="425"/>
      <w:jc w:val="left"/>
    </w:pPr>
  </w:style>
  <w:style w:type="paragraph" w:customStyle="1" w:styleId="heading2notforTOC">
    <w:name w:val="heading 2 not for TOC"/>
    <w:basedOn w:val="Titre3"/>
    <w:rsid w:val="00A71706"/>
  </w:style>
  <w:style w:type="paragraph" w:customStyle="1" w:styleId="HEADINGNOTFORTOC">
    <w:name w:val="HEADING (NOT FOR TOC)"/>
    <w:basedOn w:val="Titre1"/>
    <w:next w:val="Titre2"/>
    <w:rsid w:val="00BB5903"/>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link w:val="Notedebasdepage"/>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Textedebulles">
    <w:name w:val="Balloon Text"/>
    <w:basedOn w:val="Normal"/>
    <w:link w:val="TextedebullesCar"/>
    <w:uiPriority w:val="99"/>
    <w:semiHidden/>
    <w:unhideWhenUsed/>
    <w:rsid w:val="00406BC6"/>
    <w:rPr>
      <w:rFonts w:ascii="Tahoma" w:hAnsi="Tahoma" w:cs="Tahoma"/>
      <w:sz w:val="16"/>
      <w:szCs w:val="16"/>
    </w:rPr>
  </w:style>
  <w:style w:type="character" w:customStyle="1" w:styleId="TextedebullesCar">
    <w:name w:val="Texte de bulles Car"/>
    <w:link w:val="Textedebulles"/>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Objetducommentaire">
    <w:name w:val="annotation subject"/>
    <w:basedOn w:val="Commentaire"/>
    <w:next w:val="Commentaire"/>
    <w:link w:val="ObjetducommentaireCar"/>
    <w:uiPriority w:val="99"/>
    <w:semiHidden/>
    <w:unhideWhenUsed/>
    <w:rsid w:val="00D9537D"/>
    <w:pPr>
      <w:spacing w:after="0" w:line="240" w:lineRule="auto"/>
    </w:pPr>
    <w:rPr>
      <w:b/>
      <w:bCs/>
      <w:sz w:val="20"/>
      <w:szCs w:val="20"/>
    </w:rPr>
  </w:style>
  <w:style w:type="character" w:customStyle="1" w:styleId="CommentaireCar">
    <w:name w:val="Commentaire Car"/>
    <w:link w:val="Commentaire"/>
    <w:semiHidden/>
    <w:rsid w:val="00D9537D"/>
    <w:rPr>
      <w:sz w:val="22"/>
      <w:szCs w:val="24"/>
      <w:lang w:val="en-GB"/>
    </w:rPr>
  </w:style>
  <w:style w:type="character" w:customStyle="1" w:styleId="ObjetducommentaireCar">
    <w:name w:val="Objet du commentaire Car"/>
    <w:link w:val="Objetducommentaire"/>
    <w:uiPriority w:val="99"/>
    <w:semiHidden/>
    <w:rsid w:val="00D9537D"/>
    <w:rPr>
      <w:b/>
      <w:bCs/>
      <w:sz w:val="22"/>
      <w:szCs w:val="24"/>
      <w:lang w:val="en-GB"/>
    </w:rPr>
  </w:style>
  <w:style w:type="paragraph" w:styleId="Rvision">
    <w:name w:val="Revision"/>
    <w:hidden/>
    <w:uiPriority w:val="99"/>
    <w:semiHidden/>
    <w:rsid w:val="00D9537D"/>
    <w:rPr>
      <w:sz w:val="22"/>
      <w:szCs w:val="24"/>
      <w:lang w:val="en-GB"/>
    </w:rPr>
  </w:style>
  <w:style w:type="character" w:styleId="Textedelespacerserv">
    <w:name w:val="Placeholder Text"/>
    <w:basedOn w:val="Policepardfaut"/>
    <w:uiPriority w:val="99"/>
    <w:rsid w:val="00073708"/>
    <w:rPr>
      <w:color w:val="808080"/>
    </w:rPr>
  </w:style>
  <w:style w:type="paragraph" w:styleId="Paragraphedeliste">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Grilledutableau">
    <w:name w:val="Table Grid"/>
    <w:basedOn w:val="Tableau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Policepardfaut"/>
    <w:uiPriority w:val="99"/>
    <w:semiHidden/>
    <w:unhideWhenUsed/>
    <w:rsid w:val="0022242F"/>
    <w:rPr>
      <w:color w:val="808080"/>
      <w:shd w:val="clear" w:color="auto" w:fill="E6E6E6"/>
    </w:rPr>
  </w:style>
  <w:style w:type="character" w:customStyle="1" w:styleId="StyleFootnoteReferencenumberFootnoteReferenceSuperscript-EF">
    <w:name w:val="Style Footnote ReferencenumberFootnote Reference Superscript-E F..."/>
    <w:basedOn w:val="Appelnotedebasdep"/>
    <w:rsid w:val="00AB3B2F"/>
    <w:rPr>
      <w:kern w:val="22"/>
      <w:sz w:val="22"/>
      <w:u w:val="none"/>
      <w:vertAlign w:val="superscript"/>
    </w:rPr>
  </w:style>
  <w:style w:type="paragraph" w:customStyle="1" w:styleId="Para1">
    <w:name w:val="Para 1"/>
    <w:basedOn w:val="Corpsdetexte"/>
    <w:rsid w:val="00153ACA"/>
    <w:pPr>
      <w:numPr>
        <w:numId w:val="10"/>
      </w:numPr>
    </w:pPr>
    <w:rPr>
      <w:rFonts w:eastAsia="MS Mincho" w:cs="Angsana New"/>
      <w:bCs/>
      <w:iCs w:val="0"/>
      <w:szCs w:val="22"/>
    </w:rPr>
  </w:style>
  <w:style w:type="character" w:customStyle="1" w:styleId="Para1Char">
    <w:name w:val="Para1 Char"/>
    <w:link w:val="Para10"/>
    <w:locked/>
    <w:rsid w:val="003D2859"/>
    <w:rPr>
      <w:snapToGrid w:val="0"/>
      <w:sz w:val="22"/>
      <w:szCs w:val="18"/>
      <w:lang w:val="en-GB"/>
    </w:rPr>
  </w:style>
  <w:style w:type="character" w:customStyle="1" w:styleId="ng-binding">
    <w:name w:val="ng-binding"/>
    <w:basedOn w:val="Policepardfaut"/>
    <w:rsid w:val="00C26B2D"/>
  </w:style>
  <w:style w:type="character" w:customStyle="1" w:styleId="UnresolvedMention2">
    <w:name w:val="Unresolved Mention2"/>
    <w:basedOn w:val="Policepardfaut"/>
    <w:uiPriority w:val="99"/>
    <w:semiHidden/>
    <w:unhideWhenUsed/>
    <w:rsid w:val="00520201"/>
    <w:rPr>
      <w:color w:val="605E5C"/>
      <w:shd w:val="clear" w:color="auto" w:fill="E1DFDD"/>
    </w:rPr>
  </w:style>
  <w:style w:type="paragraph" w:customStyle="1" w:styleId="Default">
    <w:name w:val="Default"/>
    <w:rsid w:val="0087674B"/>
    <w:pPr>
      <w:autoSpaceDE w:val="0"/>
      <w:autoSpaceDN w:val="0"/>
      <w:adjustRightInd w:val="0"/>
    </w:pPr>
    <w:rPr>
      <w:color w:val="000000"/>
      <w:sz w:val="24"/>
      <w:szCs w:val="24"/>
    </w:rPr>
  </w:style>
  <w:style w:type="paragraph" w:styleId="NormalWeb">
    <w:name w:val="Normal (Web)"/>
    <w:basedOn w:val="Normal"/>
    <w:uiPriority w:val="99"/>
    <w:semiHidden/>
    <w:unhideWhenUsed/>
    <w:rsid w:val="005934E7"/>
    <w:pPr>
      <w:spacing w:before="100" w:beforeAutospacing="1" w:after="100" w:afterAutospacing="1"/>
      <w:jc w:val="left"/>
    </w:pPr>
    <w:rPr>
      <w:sz w:val="24"/>
      <w:lang w:val="en-CA" w:eastAsia="en-CA"/>
    </w:rPr>
  </w:style>
  <w:style w:type="character" w:customStyle="1" w:styleId="HEADINGChar">
    <w:name w:val="HEADING Char"/>
    <w:basedOn w:val="Policepardfaut"/>
    <w:link w:val="HEADING"/>
    <w:locked/>
    <w:rsid w:val="005934E7"/>
    <w:rPr>
      <w:b/>
      <w:bCs/>
      <w:caps/>
      <w:sz w:val="22"/>
      <w:szCs w:val="24"/>
      <w:lang w:val="en-GB"/>
    </w:rPr>
  </w:style>
  <w:style w:type="paragraph" w:customStyle="1" w:styleId="Heading-plainitalic">
    <w:name w:val="Heading-plain italic"/>
    <w:basedOn w:val="Normal"/>
    <w:uiPriority w:val="99"/>
    <w:rsid w:val="005934E7"/>
    <w:pPr>
      <w:spacing w:before="120" w:after="120"/>
      <w:jc w:val="center"/>
    </w:pPr>
    <w:rPr>
      <w:rFonts w:cs="Angsana New"/>
      <w:i/>
    </w:rPr>
  </w:style>
  <w:style w:type="character" w:customStyle="1" w:styleId="wimminoabbrelement">
    <w:name w:val="wimminoabbrelement"/>
    <w:basedOn w:val="Policepardfaut"/>
    <w:rsid w:val="00C46E94"/>
  </w:style>
  <w:style w:type="character" w:customStyle="1" w:styleId="UnresolvedMention3">
    <w:name w:val="Unresolved Mention3"/>
    <w:basedOn w:val="Policepardfaut"/>
    <w:uiPriority w:val="99"/>
    <w:semiHidden/>
    <w:unhideWhenUsed/>
    <w:rsid w:val="00C109D8"/>
    <w:rPr>
      <w:color w:val="605E5C"/>
      <w:shd w:val="clear" w:color="auto" w:fill="E1DFDD"/>
    </w:rPr>
  </w:style>
  <w:style w:type="character" w:customStyle="1" w:styleId="cit-auth">
    <w:name w:val="cit-auth"/>
    <w:basedOn w:val="Policepardfaut"/>
    <w:rsid w:val="000B2634"/>
  </w:style>
  <w:style w:type="character" w:customStyle="1" w:styleId="cit-name-surname">
    <w:name w:val="cit-name-surname"/>
    <w:basedOn w:val="Policepardfaut"/>
    <w:rsid w:val="000B2634"/>
  </w:style>
  <w:style w:type="character" w:customStyle="1" w:styleId="cit-name-given-names">
    <w:name w:val="cit-name-given-names"/>
    <w:basedOn w:val="Policepardfaut"/>
    <w:rsid w:val="000B2634"/>
  </w:style>
  <w:style w:type="character" w:customStyle="1" w:styleId="cit-etal">
    <w:name w:val="cit-etal"/>
    <w:basedOn w:val="Policepardfaut"/>
    <w:rsid w:val="000B2634"/>
  </w:style>
  <w:style w:type="character" w:styleId="CitationHTML">
    <w:name w:val="HTML Cite"/>
    <w:basedOn w:val="Policepardfaut"/>
    <w:uiPriority w:val="99"/>
    <w:semiHidden/>
    <w:unhideWhenUsed/>
    <w:rsid w:val="000B2634"/>
    <w:rPr>
      <w:i/>
      <w:iCs/>
    </w:rPr>
  </w:style>
  <w:style w:type="character" w:customStyle="1" w:styleId="cit-pub-date">
    <w:name w:val="cit-pub-date"/>
    <w:basedOn w:val="Policepardfaut"/>
    <w:rsid w:val="000B2634"/>
  </w:style>
  <w:style w:type="character" w:customStyle="1" w:styleId="cit-comment">
    <w:name w:val="cit-comment"/>
    <w:basedOn w:val="Policepardfaut"/>
    <w:rsid w:val="000B2634"/>
  </w:style>
  <w:style w:type="paragraph" w:styleId="Lgende">
    <w:name w:val="caption"/>
    <w:basedOn w:val="Normal"/>
    <w:next w:val="Normal"/>
    <w:uiPriority w:val="35"/>
    <w:unhideWhenUsed/>
    <w:qFormat/>
    <w:rsid w:val="0014370D"/>
    <w:pPr>
      <w:spacing w:after="200"/>
      <w:jc w:val="left"/>
    </w:pPr>
    <w:rPr>
      <w:rFonts w:asciiTheme="minorHAnsi" w:eastAsiaTheme="minorHAnsi" w:hAnsiTheme="minorHAnsi" w:cstheme="minorBidi"/>
      <w:b/>
      <w:bCs/>
      <w:color w:val="4F81BD" w:themeColor="accent1"/>
      <w:sz w:val="18"/>
      <w:szCs w:val="18"/>
      <w:lang w:val="en-US"/>
    </w:rPr>
  </w:style>
  <w:style w:type="character" w:customStyle="1" w:styleId="UnresolvedMention">
    <w:name w:val="Unresolved Mention"/>
    <w:basedOn w:val="Policepardfaut"/>
    <w:uiPriority w:val="99"/>
    <w:semiHidden/>
    <w:unhideWhenUsed/>
    <w:rsid w:val="009416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75896">
      <w:bodyDiv w:val="1"/>
      <w:marLeft w:val="0"/>
      <w:marRight w:val="0"/>
      <w:marTop w:val="0"/>
      <w:marBottom w:val="0"/>
      <w:divBdr>
        <w:top w:val="none" w:sz="0" w:space="0" w:color="auto"/>
        <w:left w:val="none" w:sz="0" w:space="0" w:color="auto"/>
        <w:bottom w:val="none" w:sz="0" w:space="0" w:color="auto"/>
        <w:right w:val="none" w:sz="0" w:space="0" w:color="auto"/>
      </w:divBdr>
    </w:div>
    <w:div w:id="132795759">
      <w:bodyDiv w:val="1"/>
      <w:marLeft w:val="0"/>
      <w:marRight w:val="0"/>
      <w:marTop w:val="0"/>
      <w:marBottom w:val="0"/>
      <w:divBdr>
        <w:top w:val="none" w:sz="0" w:space="0" w:color="auto"/>
        <w:left w:val="none" w:sz="0" w:space="0" w:color="auto"/>
        <w:bottom w:val="none" w:sz="0" w:space="0" w:color="auto"/>
        <w:right w:val="none" w:sz="0" w:space="0" w:color="auto"/>
      </w:divBdr>
    </w:div>
    <w:div w:id="166098494">
      <w:bodyDiv w:val="1"/>
      <w:marLeft w:val="0"/>
      <w:marRight w:val="0"/>
      <w:marTop w:val="0"/>
      <w:marBottom w:val="0"/>
      <w:divBdr>
        <w:top w:val="none" w:sz="0" w:space="0" w:color="auto"/>
        <w:left w:val="none" w:sz="0" w:space="0" w:color="auto"/>
        <w:bottom w:val="none" w:sz="0" w:space="0" w:color="auto"/>
        <w:right w:val="none" w:sz="0" w:space="0" w:color="auto"/>
      </w:divBdr>
    </w:div>
    <w:div w:id="226843068">
      <w:bodyDiv w:val="1"/>
      <w:marLeft w:val="0"/>
      <w:marRight w:val="0"/>
      <w:marTop w:val="0"/>
      <w:marBottom w:val="0"/>
      <w:divBdr>
        <w:top w:val="none" w:sz="0" w:space="0" w:color="auto"/>
        <w:left w:val="none" w:sz="0" w:space="0" w:color="auto"/>
        <w:bottom w:val="none" w:sz="0" w:space="0" w:color="auto"/>
        <w:right w:val="none" w:sz="0" w:space="0" w:color="auto"/>
      </w:divBdr>
    </w:div>
    <w:div w:id="262303174">
      <w:bodyDiv w:val="1"/>
      <w:marLeft w:val="0"/>
      <w:marRight w:val="0"/>
      <w:marTop w:val="0"/>
      <w:marBottom w:val="0"/>
      <w:divBdr>
        <w:top w:val="none" w:sz="0" w:space="0" w:color="auto"/>
        <w:left w:val="none" w:sz="0" w:space="0" w:color="auto"/>
        <w:bottom w:val="none" w:sz="0" w:space="0" w:color="auto"/>
        <w:right w:val="none" w:sz="0" w:space="0" w:color="auto"/>
      </w:divBdr>
    </w:div>
    <w:div w:id="286666987">
      <w:bodyDiv w:val="1"/>
      <w:marLeft w:val="0"/>
      <w:marRight w:val="0"/>
      <w:marTop w:val="0"/>
      <w:marBottom w:val="0"/>
      <w:divBdr>
        <w:top w:val="none" w:sz="0" w:space="0" w:color="auto"/>
        <w:left w:val="none" w:sz="0" w:space="0" w:color="auto"/>
        <w:bottom w:val="none" w:sz="0" w:space="0" w:color="auto"/>
        <w:right w:val="none" w:sz="0" w:space="0" w:color="auto"/>
      </w:divBdr>
    </w:div>
    <w:div w:id="364212863">
      <w:bodyDiv w:val="1"/>
      <w:marLeft w:val="0"/>
      <w:marRight w:val="0"/>
      <w:marTop w:val="0"/>
      <w:marBottom w:val="0"/>
      <w:divBdr>
        <w:top w:val="none" w:sz="0" w:space="0" w:color="auto"/>
        <w:left w:val="none" w:sz="0" w:space="0" w:color="auto"/>
        <w:bottom w:val="none" w:sz="0" w:space="0" w:color="auto"/>
        <w:right w:val="none" w:sz="0" w:space="0" w:color="auto"/>
      </w:divBdr>
    </w:div>
    <w:div w:id="390731302">
      <w:bodyDiv w:val="1"/>
      <w:marLeft w:val="0"/>
      <w:marRight w:val="0"/>
      <w:marTop w:val="0"/>
      <w:marBottom w:val="0"/>
      <w:divBdr>
        <w:top w:val="none" w:sz="0" w:space="0" w:color="auto"/>
        <w:left w:val="none" w:sz="0" w:space="0" w:color="auto"/>
        <w:bottom w:val="none" w:sz="0" w:space="0" w:color="auto"/>
        <w:right w:val="none" w:sz="0" w:space="0" w:color="auto"/>
      </w:divBdr>
    </w:div>
    <w:div w:id="509024915">
      <w:bodyDiv w:val="1"/>
      <w:marLeft w:val="0"/>
      <w:marRight w:val="0"/>
      <w:marTop w:val="0"/>
      <w:marBottom w:val="0"/>
      <w:divBdr>
        <w:top w:val="none" w:sz="0" w:space="0" w:color="auto"/>
        <w:left w:val="none" w:sz="0" w:space="0" w:color="auto"/>
        <w:bottom w:val="none" w:sz="0" w:space="0" w:color="auto"/>
        <w:right w:val="none" w:sz="0" w:space="0" w:color="auto"/>
      </w:divBdr>
    </w:div>
    <w:div w:id="563755393">
      <w:bodyDiv w:val="1"/>
      <w:marLeft w:val="0"/>
      <w:marRight w:val="0"/>
      <w:marTop w:val="0"/>
      <w:marBottom w:val="0"/>
      <w:divBdr>
        <w:top w:val="none" w:sz="0" w:space="0" w:color="auto"/>
        <w:left w:val="none" w:sz="0" w:space="0" w:color="auto"/>
        <w:bottom w:val="none" w:sz="0" w:space="0" w:color="auto"/>
        <w:right w:val="none" w:sz="0" w:space="0" w:color="auto"/>
      </w:divBdr>
    </w:div>
    <w:div w:id="637999673">
      <w:bodyDiv w:val="1"/>
      <w:marLeft w:val="0"/>
      <w:marRight w:val="0"/>
      <w:marTop w:val="0"/>
      <w:marBottom w:val="0"/>
      <w:divBdr>
        <w:top w:val="none" w:sz="0" w:space="0" w:color="auto"/>
        <w:left w:val="none" w:sz="0" w:space="0" w:color="auto"/>
        <w:bottom w:val="none" w:sz="0" w:space="0" w:color="auto"/>
        <w:right w:val="none" w:sz="0" w:space="0" w:color="auto"/>
      </w:divBdr>
    </w:div>
    <w:div w:id="670521343">
      <w:bodyDiv w:val="1"/>
      <w:marLeft w:val="0"/>
      <w:marRight w:val="0"/>
      <w:marTop w:val="0"/>
      <w:marBottom w:val="0"/>
      <w:divBdr>
        <w:top w:val="none" w:sz="0" w:space="0" w:color="auto"/>
        <w:left w:val="none" w:sz="0" w:space="0" w:color="auto"/>
        <w:bottom w:val="none" w:sz="0" w:space="0" w:color="auto"/>
        <w:right w:val="none" w:sz="0" w:space="0" w:color="auto"/>
      </w:divBdr>
    </w:div>
    <w:div w:id="1134372801">
      <w:bodyDiv w:val="1"/>
      <w:marLeft w:val="0"/>
      <w:marRight w:val="0"/>
      <w:marTop w:val="0"/>
      <w:marBottom w:val="0"/>
      <w:divBdr>
        <w:top w:val="none" w:sz="0" w:space="0" w:color="auto"/>
        <w:left w:val="none" w:sz="0" w:space="0" w:color="auto"/>
        <w:bottom w:val="none" w:sz="0" w:space="0" w:color="auto"/>
        <w:right w:val="none" w:sz="0" w:space="0" w:color="auto"/>
      </w:divBdr>
    </w:div>
    <w:div w:id="1136948941">
      <w:bodyDiv w:val="1"/>
      <w:marLeft w:val="0"/>
      <w:marRight w:val="0"/>
      <w:marTop w:val="0"/>
      <w:marBottom w:val="0"/>
      <w:divBdr>
        <w:top w:val="none" w:sz="0" w:space="0" w:color="auto"/>
        <w:left w:val="none" w:sz="0" w:space="0" w:color="auto"/>
        <w:bottom w:val="none" w:sz="0" w:space="0" w:color="auto"/>
        <w:right w:val="none" w:sz="0" w:space="0" w:color="auto"/>
      </w:divBdr>
    </w:div>
    <w:div w:id="1260792463">
      <w:bodyDiv w:val="1"/>
      <w:marLeft w:val="0"/>
      <w:marRight w:val="0"/>
      <w:marTop w:val="0"/>
      <w:marBottom w:val="0"/>
      <w:divBdr>
        <w:top w:val="none" w:sz="0" w:space="0" w:color="auto"/>
        <w:left w:val="none" w:sz="0" w:space="0" w:color="auto"/>
        <w:bottom w:val="none" w:sz="0" w:space="0" w:color="auto"/>
        <w:right w:val="none" w:sz="0" w:space="0" w:color="auto"/>
      </w:divBdr>
    </w:div>
    <w:div w:id="1312712365">
      <w:bodyDiv w:val="1"/>
      <w:marLeft w:val="0"/>
      <w:marRight w:val="0"/>
      <w:marTop w:val="0"/>
      <w:marBottom w:val="0"/>
      <w:divBdr>
        <w:top w:val="none" w:sz="0" w:space="0" w:color="auto"/>
        <w:left w:val="none" w:sz="0" w:space="0" w:color="auto"/>
        <w:bottom w:val="none" w:sz="0" w:space="0" w:color="auto"/>
        <w:right w:val="none" w:sz="0" w:space="0" w:color="auto"/>
      </w:divBdr>
      <w:divsChild>
        <w:div w:id="644816470">
          <w:marLeft w:val="0"/>
          <w:marRight w:val="0"/>
          <w:marTop w:val="0"/>
          <w:marBottom w:val="0"/>
          <w:divBdr>
            <w:top w:val="none" w:sz="0" w:space="0" w:color="auto"/>
            <w:left w:val="none" w:sz="0" w:space="0" w:color="auto"/>
            <w:bottom w:val="none" w:sz="0" w:space="0" w:color="auto"/>
            <w:right w:val="none" w:sz="0" w:space="0" w:color="auto"/>
          </w:divBdr>
        </w:div>
      </w:divsChild>
    </w:div>
    <w:div w:id="1343584819">
      <w:bodyDiv w:val="1"/>
      <w:marLeft w:val="0"/>
      <w:marRight w:val="0"/>
      <w:marTop w:val="0"/>
      <w:marBottom w:val="0"/>
      <w:divBdr>
        <w:top w:val="none" w:sz="0" w:space="0" w:color="auto"/>
        <w:left w:val="none" w:sz="0" w:space="0" w:color="auto"/>
        <w:bottom w:val="none" w:sz="0" w:space="0" w:color="auto"/>
        <w:right w:val="none" w:sz="0" w:space="0" w:color="auto"/>
      </w:divBdr>
    </w:div>
    <w:div w:id="1345403962">
      <w:bodyDiv w:val="1"/>
      <w:marLeft w:val="0"/>
      <w:marRight w:val="0"/>
      <w:marTop w:val="0"/>
      <w:marBottom w:val="0"/>
      <w:divBdr>
        <w:top w:val="none" w:sz="0" w:space="0" w:color="auto"/>
        <w:left w:val="none" w:sz="0" w:space="0" w:color="auto"/>
        <w:bottom w:val="none" w:sz="0" w:space="0" w:color="auto"/>
        <w:right w:val="none" w:sz="0" w:space="0" w:color="auto"/>
      </w:divBdr>
    </w:div>
    <w:div w:id="1367215207">
      <w:bodyDiv w:val="1"/>
      <w:marLeft w:val="0"/>
      <w:marRight w:val="0"/>
      <w:marTop w:val="0"/>
      <w:marBottom w:val="0"/>
      <w:divBdr>
        <w:top w:val="none" w:sz="0" w:space="0" w:color="auto"/>
        <w:left w:val="none" w:sz="0" w:space="0" w:color="auto"/>
        <w:bottom w:val="none" w:sz="0" w:space="0" w:color="auto"/>
        <w:right w:val="none" w:sz="0" w:space="0" w:color="auto"/>
      </w:divBdr>
    </w:div>
    <w:div w:id="1449425779">
      <w:bodyDiv w:val="1"/>
      <w:marLeft w:val="0"/>
      <w:marRight w:val="0"/>
      <w:marTop w:val="0"/>
      <w:marBottom w:val="0"/>
      <w:divBdr>
        <w:top w:val="none" w:sz="0" w:space="0" w:color="auto"/>
        <w:left w:val="none" w:sz="0" w:space="0" w:color="auto"/>
        <w:bottom w:val="none" w:sz="0" w:space="0" w:color="auto"/>
        <w:right w:val="none" w:sz="0" w:space="0" w:color="auto"/>
      </w:divBdr>
    </w:div>
    <w:div w:id="1456871881">
      <w:bodyDiv w:val="1"/>
      <w:marLeft w:val="0"/>
      <w:marRight w:val="0"/>
      <w:marTop w:val="0"/>
      <w:marBottom w:val="0"/>
      <w:divBdr>
        <w:top w:val="none" w:sz="0" w:space="0" w:color="auto"/>
        <w:left w:val="none" w:sz="0" w:space="0" w:color="auto"/>
        <w:bottom w:val="none" w:sz="0" w:space="0" w:color="auto"/>
        <w:right w:val="none" w:sz="0" w:space="0" w:color="auto"/>
      </w:divBdr>
      <w:divsChild>
        <w:div w:id="691226831">
          <w:marLeft w:val="0"/>
          <w:marRight w:val="0"/>
          <w:marTop w:val="0"/>
          <w:marBottom w:val="0"/>
          <w:divBdr>
            <w:top w:val="none" w:sz="0" w:space="0" w:color="auto"/>
            <w:left w:val="none" w:sz="0" w:space="0" w:color="auto"/>
            <w:bottom w:val="none" w:sz="0" w:space="0" w:color="auto"/>
            <w:right w:val="none" w:sz="0" w:space="0" w:color="auto"/>
          </w:divBdr>
          <w:divsChild>
            <w:div w:id="380330202">
              <w:marLeft w:val="0"/>
              <w:marRight w:val="0"/>
              <w:marTop w:val="0"/>
              <w:marBottom w:val="0"/>
              <w:divBdr>
                <w:top w:val="none" w:sz="0" w:space="0" w:color="auto"/>
                <w:left w:val="none" w:sz="0" w:space="0" w:color="auto"/>
                <w:bottom w:val="none" w:sz="0" w:space="0" w:color="auto"/>
                <w:right w:val="none" w:sz="0" w:space="0" w:color="auto"/>
              </w:divBdr>
              <w:divsChild>
                <w:div w:id="196399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981285">
      <w:bodyDiv w:val="1"/>
      <w:marLeft w:val="0"/>
      <w:marRight w:val="0"/>
      <w:marTop w:val="0"/>
      <w:marBottom w:val="0"/>
      <w:divBdr>
        <w:top w:val="none" w:sz="0" w:space="0" w:color="auto"/>
        <w:left w:val="none" w:sz="0" w:space="0" w:color="auto"/>
        <w:bottom w:val="none" w:sz="0" w:space="0" w:color="auto"/>
        <w:right w:val="none" w:sz="0" w:space="0" w:color="auto"/>
      </w:divBdr>
    </w:div>
    <w:div w:id="1864593634">
      <w:bodyDiv w:val="1"/>
      <w:marLeft w:val="0"/>
      <w:marRight w:val="0"/>
      <w:marTop w:val="0"/>
      <w:marBottom w:val="0"/>
      <w:divBdr>
        <w:top w:val="none" w:sz="0" w:space="0" w:color="auto"/>
        <w:left w:val="none" w:sz="0" w:space="0" w:color="auto"/>
        <w:bottom w:val="none" w:sz="0" w:space="0" w:color="auto"/>
        <w:right w:val="none" w:sz="0" w:space="0" w:color="auto"/>
      </w:divBdr>
    </w:div>
    <w:div w:id="2016226942">
      <w:bodyDiv w:val="1"/>
      <w:marLeft w:val="0"/>
      <w:marRight w:val="0"/>
      <w:marTop w:val="0"/>
      <w:marBottom w:val="0"/>
      <w:divBdr>
        <w:top w:val="none" w:sz="0" w:space="0" w:color="auto"/>
        <w:left w:val="none" w:sz="0" w:space="0" w:color="auto"/>
        <w:bottom w:val="none" w:sz="0" w:space="0" w:color="auto"/>
        <w:right w:val="none" w:sz="0" w:space="0" w:color="auto"/>
      </w:divBdr>
    </w:div>
    <w:div w:id="20758557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oc/decisions/cop-10/cop-10-dec-33-fr.pdf" TargetMode="External"/><Relationship Id="rId18" Type="http://schemas.openxmlformats.org/officeDocument/2006/relationships/hyperlink" Target="https://www.cbd.int/doc/decisions/cop-14/cop-14-dec-05-fr.pdf" TargetMode="External"/><Relationship Id="rId26" Type="http://schemas.openxmlformats.org/officeDocument/2006/relationships/hyperlink" Target="https://www.cbd.int/doc/decisions/cop-09/cop-09-dec-02-fr.pdf"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cbd.int/doc/meetings/sbstta/sbstta-20/official/sbstta-20-12-fr.pdf"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www.cbd.int/doc/decisions/cop-13/cop-13-dec-04-fr.pdf" TargetMode="External"/><Relationship Id="rId25" Type="http://schemas.openxmlformats.org/officeDocument/2006/relationships/hyperlink" Target="https://www.cbd.int/doc/decisions/cop-09/cop-09-dec-05-fr.pdf"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cbd.int/doc/decisions/cop-11/cop-11-dec-21-fr.pdf" TargetMode="External"/><Relationship Id="rId20" Type="http://schemas.openxmlformats.org/officeDocument/2006/relationships/hyperlink" Target="https://www.cbd.int/doc/decisions/cop-12/cop-12-dec-20-fr.pdf" TargetMode="External"/><Relationship Id="rId29" Type="http://schemas.openxmlformats.org/officeDocument/2006/relationships/hyperlink" Target="https://www.cbd.int/doc/decisions/cop-09/cop-09-dec-16-fr.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4/cop-14-dec-05-fr.pdf" TargetMode="External"/><Relationship Id="rId24" Type="http://schemas.openxmlformats.org/officeDocument/2006/relationships/hyperlink" Target="https://www.cbd.int/doc/decisions/cop-11/cop-11-dec-19-fr.pdf" TargetMode="External"/><Relationship Id="rId32" Type="http://schemas.openxmlformats.org/officeDocument/2006/relationships/hyperlink" Target="https://www.cbd.int/doc/decisions/cop-14/cop-14-dec-05-fr.pdf" TargetMode="External"/><Relationship Id="rId37" Type="http://schemas.openxmlformats.org/officeDocument/2006/relationships/header" Target="header3.xml"/><Relationship Id="rId40"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cbd.int/doc/decisions/cop-10/cop-10-dec-33-fr.pdf" TargetMode="External"/><Relationship Id="rId23" Type="http://schemas.openxmlformats.org/officeDocument/2006/relationships/hyperlink" Target="https://www.cbd.int/doc/decisions/cop-12/cop-12-dec-19-fr.pdf" TargetMode="External"/><Relationship Id="rId28" Type="http://schemas.openxmlformats.org/officeDocument/2006/relationships/hyperlink" Target="https://www.cbd.int/doc/decisions/cop-11/cop-11-dec-20-fr.pdf" TargetMode="External"/><Relationship Id="rId36"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s://www.cbd.int/doc/decisions/cop-12/cop-12-dec-23-fr.pdf" TargetMode="External"/><Relationship Id="rId31" Type="http://schemas.openxmlformats.org/officeDocument/2006/relationships/hyperlink" Target="https://www.cbd.int/doc/decisions/cop-13/cop-13-dec-04-fr.pdf"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cbd.int/doc/decisions/cop-09/cop-09-dec-16-fr.pdf" TargetMode="External"/><Relationship Id="rId22" Type="http://schemas.openxmlformats.org/officeDocument/2006/relationships/hyperlink" Target="https://www.cbd.int/doc/decisions/cop-11/cop-11-dec-16-fr.pdf" TargetMode="External"/><Relationship Id="rId27" Type="http://schemas.openxmlformats.org/officeDocument/2006/relationships/hyperlink" Target="https://www.cbd.int/doc/decisions/cop-10/cop-10-dec-37-fr.pdf" TargetMode="External"/><Relationship Id="rId30" Type="http://schemas.openxmlformats.org/officeDocument/2006/relationships/hyperlink" Target="https://www.cbd.int/doc/decisions/cop-10/cop-10-dec-33-fr.pdf" TargetMode="External"/><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documents-dds-ny.un.org/doc/UNDOC/GEN/N19/060/16/pdf/N1906016.pdf?OpenElem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79ABB9F55644AE3BB8290E8CB7F8968"/>
        <w:category>
          <w:name w:val="General"/>
          <w:gallery w:val="placeholder"/>
        </w:category>
        <w:types>
          <w:type w:val="bbPlcHdr"/>
        </w:types>
        <w:behaviors>
          <w:behavior w:val="content"/>
        </w:behaviors>
        <w:guid w:val="{148D9D33-A538-4B93-A316-BD0AD88243B2}"/>
      </w:docPartPr>
      <w:docPartBody>
        <w:p w:rsidR="0037757D" w:rsidRDefault="001B29AF">
          <w:r w:rsidRPr="00B903A7">
            <w:rPr>
              <w:rStyle w:val="Textedelespacerserv"/>
            </w:rPr>
            <w:t>[Title]</w:t>
          </w:r>
        </w:p>
      </w:docPartBody>
    </w:docPart>
    <w:docPart>
      <w:docPartPr>
        <w:name w:val="08FEC8C29D174239824F43788765B8AB"/>
        <w:category>
          <w:name w:val="General"/>
          <w:gallery w:val="placeholder"/>
        </w:category>
        <w:types>
          <w:type w:val="bbPlcHdr"/>
        </w:types>
        <w:behaviors>
          <w:behavior w:val="content"/>
        </w:behaviors>
        <w:guid w:val="{80CC4612-40C0-4246-90BA-6D2E8D2F7AC7}"/>
      </w:docPartPr>
      <w:docPartBody>
        <w:p w:rsidR="0037757D" w:rsidRDefault="001B29AF">
          <w:r w:rsidRPr="00B903A7">
            <w:rPr>
              <w:rStyle w:val="Textedelespacerserv"/>
            </w:rPr>
            <w:t>[Subject]</w:t>
          </w:r>
        </w:p>
      </w:docPartBody>
    </w:docPart>
    <w:docPart>
      <w:docPartPr>
        <w:name w:val="6A8193A12B42491F9EFE82214EBC85A8"/>
        <w:category>
          <w:name w:val="General"/>
          <w:gallery w:val="placeholder"/>
        </w:category>
        <w:types>
          <w:type w:val="bbPlcHdr"/>
        </w:types>
        <w:behaviors>
          <w:behavior w:val="content"/>
        </w:behaviors>
        <w:guid w:val="{D3911701-6623-448F-813C-00DCE7EA9334}"/>
      </w:docPartPr>
      <w:docPartBody>
        <w:p w:rsidR="0037757D" w:rsidRDefault="001B29AF">
          <w:r w:rsidRPr="00B903A7">
            <w:rPr>
              <w:rStyle w:val="Textedelespacerserv"/>
            </w:rPr>
            <w:t>[Subject]</w:t>
          </w:r>
        </w:p>
      </w:docPartBody>
    </w:docPart>
    <w:docPart>
      <w:docPartPr>
        <w:name w:val="37C414E9BD9C4FB9AC6FD7C15648FEBB"/>
        <w:category>
          <w:name w:val="General"/>
          <w:gallery w:val="placeholder"/>
        </w:category>
        <w:types>
          <w:type w:val="bbPlcHdr"/>
        </w:types>
        <w:behaviors>
          <w:behavior w:val="content"/>
        </w:behaviors>
        <w:guid w:val="{195BC728-938C-4768-8B05-BFAD2BB7E4BF}"/>
      </w:docPartPr>
      <w:docPartBody>
        <w:p w:rsidR="00AD69C9" w:rsidRDefault="00AD69C9" w:rsidP="00AD69C9">
          <w:pPr>
            <w:pStyle w:val="37C414E9BD9C4FB9AC6FD7C15648FEBB"/>
          </w:pPr>
          <w:r w:rsidRPr="007E02EB">
            <w:rPr>
              <w:rStyle w:val="Textedelespacerserv"/>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imes New Roman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panose1 w:val="020B0603020202030204"/>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 Pro">
    <w:altName w:val="Cambria"/>
    <w:panose1 w:val="00000000000000000000"/>
    <w:charset w:val="00"/>
    <w:family w:val="roman"/>
    <w:notTrueType/>
    <w:pitch w:val="default"/>
    <w:sig w:usb0="00000003" w:usb1="08070000" w:usb2="00000010" w:usb3="00000000" w:csb0="0002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9AF"/>
    <w:rsid w:val="00001D41"/>
    <w:rsid w:val="00012F15"/>
    <w:rsid w:val="00015BC6"/>
    <w:rsid w:val="0005234B"/>
    <w:rsid w:val="000D050E"/>
    <w:rsid w:val="00163149"/>
    <w:rsid w:val="001B29AF"/>
    <w:rsid w:val="00240721"/>
    <w:rsid w:val="002C2821"/>
    <w:rsid w:val="0037757D"/>
    <w:rsid w:val="004A69EC"/>
    <w:rsid w:val="0064295D"/>
    <w:rsid w:val="00673F5F"/>
    <w:rsid w:val="006B7466"/>
    <w:rsid w:val="00773C48"/>
    <w:rsid w:val="007E501A"/>
    <w:rsid w:val="0083264A"/>
    <w:rsid w:val="00864B7C"/>
    <w:rsid w:val="008712AB"/>
    <w:rsid w:val="009E7563"/>
    <w:rsid w:val="00A27574"/>
    <w:rsid w:val="00A46355"/>
    <w:rsid w:val="00A6534E"/>
    <w:rsid w:val="00AD69C9"/>
    <w:rsid w:val="00B36C7B"/>
    <w:rsid w:val="00B61FEC"/>
    <w:rsid w:val="00BB2CFE"/>
    <w:rsid w:val="00C04081"/>
    <w:rsid w:val="00D5481D"/>
    <w:rsid w:val="00D71873"/>
    <w:rsid w:val="00D7423A"/>
    <w:rsid w:val="00E7719C"/>
    <w:rsid w:val="00EC17B5"/>
    <w:rsid w:val="00F237B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AD69C9"/>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 w:type="paragraph" w:customStyle="1" w:styleId="61F7A84A2615824B9662755CEA96E5B8">
    <w:name w:val="61F7A84A2615824B9662755CEA96E5B8"/>
    <w:rsid w:val="00864B7C"/>
    <w:pPr>
      <w:spacing w:after="0" w:line="240" w:lineRule="auto"/>
    </w:pPr>
    <w:rPr>
      <w:sz w:val="24"/>
      <w:szCs w:val="24"/>
      <w:lang w:val="en-CA"/>
    </w:rPr>
  </w:style>
  <w:style w:type="paragraph" w:customStyle="1" w:styleId="2F58F4FD1B964793B81ED8F8A9EBB4C0">
    <w:name w:val="2F58F4FD1B964793B81ED8F8A9EBB4C0"/>
    <w:rsid w:val="00AD69C9"/>
    <w:pPr>
      <w:spacing w:after="160" w:line="259" w:lineRule="auto"/>
    </w:pPr>
    <w:rPr>
      <w:lang w:val="en-CA" w:eastAsia="en-CA"/>
    </w:rPr>
  </w:style>
  <w:style w:type="paragraph" w:customStyle="1" w:styleId="1110D02955AD4EDEA30DC9BBFEEE4E26">
    <w:name w:val="1110D02955AD4EDEA30DC9BBFEEE4E26"/>
    <w:rsid w:val="00AD69C9"/>
    <w:pPr>
      <w:spacing w:after="160" w:line="259" w:lineRule="auto"/>
    </w:pPr>
    <w:rPr>
      <w:lang w:val="en-CA" w:eastAsia="en-CA"/>
    </w:rPr>
  </w:style>
  <w:style w:type="paragraph" w:customStyle="1" w:styleId="790554CD2FB244E78DCD659124446347">
    <w:name w:val="790554CD2FB244E78DCD659124446347"/>
    <w:rsid w:val="00AD69C9"/>
    <w:pPr>
      <w:spacing w:after="160" w:line="259" w:lineRule="auto"/>
    </w:pPr>
    <w:rPr>
      <w:lang w:val="en-CA" w:eastAsia="en-CA"/>
    </w:rPr>
  </w:style>
  <w:style w:type="paragraph" w:customStyle="1" w:styleId="37C414E9BD9C4FB9AC6FD7C15648FEBB">
    <w:name w:val="37C414E9BD9C4FB9AC6FD7C15648FEBB"/>
    <w:rsid w:val="00AD69C9"/>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C2807-D115-4AAE-9190-D95318FD3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2</TotalTime>
  <Pages>20</Pages>
  <Words>12160</Words>
  <Characters>66884</Characters>
  <Application>Microsoft Office Word</Application>
  <DocSecurity>0</DocSecurity>
  <Lines>557</Lines>
  <Paragraphs>157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DIVERSITÉ BIOLOGIQUE ET CHANGEMENTS CLIMATIQUES</vt:lpstr>
      <vt:lpstr>biodiversity and climate change</vt:lpstr>
    </vt:vector>
  </TitlesOfParts>
  <Company>Biodiversity</Company>
  <LinksUpToDate>false</LinksUpToDate>
  <CharactersWithSpaces>78887</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DIVERSITÉ BIOLOGIQUE ET CHANGEMENTS CLIMATIQUES</dc:title>
  <dc:subject>CBD/SBSTTA/23/3</dc:subject>
  <dc:creator>SCBD</dc:creator>
  <cp:keywords>Subsidiary Body on Scientific, Technical and Technological Advice, Twenty-third meeting, Montreal, Canada, 25-29 November 2019</cp:keywords>
  <cp:lastModifiedBy>Louise</cp:lastModifiedBy>
  <cp:revision>4</cp:revision>
  <cp:lastPrinted>2019-09-12T13:26:00Z</cp:lastPrinted>
  <dcterms:created xsi:type="dcterms:W3CDTF">2019-09-12T15:25:00Z</dcterms:created>
  <dcterms:modified xsi:type="dcterms:W3CDTF">2019-09-17T11:41:00Z</dcterms:modified>
  <cp:contentStatus>ENERA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SUBSIDIARY BODY ON SCIENTIFIC, TECHNICAL AND TECHNOLOGICAL ADVICE</vt:lpwstr>
  </property>
</Properties>
</file>