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Borders>
          <w:bottom w:val="single" w:sz="36" w:space="0" w:color="000000"/>
        </w:tblBorders>
        <w:tblLayout w:type="fixed"/>
        <w:tblLook w:val="0000" w:firstRow="0" w:lastRow="0" w:firstColumn="0" w:lastColumn="0" w:noHBand="0" w:noVBand="0"/>
      </w:tblPr>
      <w:tblGrid>
        <w:gridCol w:w="852"/>
        <w:gridCol w:w="2614"/>
        <w:gridCol w:w="2620"/>
        <w:gridCol w:w="1144"/>
        <w:gridCol w:w="2977"/>
      </w:tblGrid>
      <w:tr w:rsidR="005E3082">
        <w:tc>
          <w:tcPr>
            <w:tcW w:w="852" w:type="dxa"/>
            <w:tcBorders>
              <w:top w:val="nil"/>
              <w:bottom w:val="single" w:sz="12" w:space="0" w:color="000000"/>
              <w:right w:val="nil"/>
            </w:tcBorders>
          </w:tcPr>
          <w:p w:rsidR="005E3082" w:rsidRDefault="00AA0A55">
            <w:pPr>
              <w:pStyle w:val="BodyText2"/>
              <w:suppressLineNumbers/>
              <w:suppressAutoHyphens/>
              <w:kinsoku w:val="0"/>
              <w:overflowPunct w:val="0"/>
              <w:autoSpaceDE w:val="0"/>
              <w:autoSpaceDN w:val="0"/>
              <w:adjustRightInd w:val="0"/>
              <w:snapToGrid w:val="0"/>
              <w:spacing w:after="120"/>
              <w:rPr>
                <w:rFonts w:eastAsia="Times New Roman" w:cs="Times New Roman"/>
                <w:b/>
                <w:iCs w:val="0"/>
                <w:kern w:val="22"/>
              </w:rPr>
            </w:pPr>
            <w:r>
              <w:rPr>
                <w:rFonts w:eastAsia="Times New Roman" w:cs="Times New Roman"/>
                <w:b/>
                <w:iCs w:val="0"/>
                <w:ker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4.5pt;height:28.5pt;visibility:visible">
                  <v:imagedata r:id="rId7" o:title=""/>
                </v:shape>
              </w:pict>
            </w:r>
          </w:p>
        </w:tc>
        <w:tc>
          <w:tcPr>
            <w:tcW w:w="2614" w:type="dxa"/>
            <w:tcBorders>
              <w:top w:val="nil"/>
              <w:left w:val="nil"/>
              <w:bottom w:val="single" w:sz="12" w:space="0" w:color="000000"/>
              <w:right w:val="nil"/>
            </w:tcBorders>
          </w:tcPr>
          <w:p w:rsidR="005E3082" w:rsidRDefault="00AA0A55">
            <w:pPr>
              <w:suppressLineNumbers/>
              <w:suppressAutoHyphens/>
              <w:kinsoku w:val="0"/>
              <w:overflowPunct w:val="0"/>
              <w:autoSpaceDE w:val="0"/>
              <w:autoSpaceDN w:val="0"/>
              <w:adjustRightInd w:val="0"/>
              <w:snapToGrid w:val="0"/>
              <w:spacing w:after="120"/>
              <w:rPr>
                <w:rFonts w:eastAsia="Times New Roman" w:cs="Times New Roman"/>
                <w:kern w:val="22"/>
              </w:rPr>
            </w:pPr>
            <w:r>
              <w:rPr>
                <w:rFonts w:eastAsia="Times New Roman" w:cs="Times New Roman"/>
                <w:kern w:val="22"/>
              </w:rPr>
              <w:pict>
                <v:shape id="Picture 3" o:spid="_x0000_i1026" type="#_x0000_t75" alt="Macintosh HD:Users:bilodeau:Desktop:logos:template 2017:unep-old.emf" style="width:24.75pt;height:29.25pt;visibility:visible">
                  <v:imagedata r:id="rId8" o:title=""/>
                </v:shape>
              </w:pict>
            </w:r>
          </w:p>
        </w:tc>
        <w:tc>
          <w:tcPr>
            <w:tcW w:w="6741" w:type="dxa"/>
            <w:gridSpan w:val="3"/>
            <w:tcBorders>
              <w:top w:val="nil"/>
              <w:left w:val="nil"/>
              <w:bottom w:val="single" w:sz="12" w:space="0" w:color="000000"/>
            </w:tcBorders>
          </w:tcPr>
          <w:p w:rsidR="005E3082" w:rsidRDefault="005E3082">
            <w:pPr>
              <w:suppressLineNumbers/>
              <w:suppressAutoHyphens/>
              <w:kinsoku w:val="0"/>
              <w:overflowPunct w:val="0"/>
              <w:autoSpaceDE w:val="0"/>
              <w:autoSpaceDN w:val="0"/>
              <w:adjustRightInd w:val="0"/>
              <w:snapToGrid w:val="0"/>
              <w:spacing w:after="120"/>
              <w:jc w:val="right"/>
              <w:rPr>
                <w:rFonts w:ascii="Univers" w:hAnsi="Univers" w:cs="Times New Roman"/>
                <w:b/>
                <w:kern w:val="22"/>
                <w:sz w:val="32"/>
              </w:rPr>
            </w:pPr>
            <w:r>
              <w:rPr>
                <w:rFonts w:ascii="Univers" w:hAnsi="Univers" w:cs="Times New Roman"/>
                <w:b/>
                <w:noProof/>
                <w:kern w:val="22"/>
                <w:sz w:val="32"/>
              </w:rPr>
              <w:t>CBD</w:t>
            </w:r>
          </w:p>
        </w:tc>
      </w:tr>
      <w:tr w:rsidR="005E3082">
        <w:trPr>
          <w:trHeight w:val="1693"/>
        </w:trPr>
        <w:tc>
          <w:tcPr>
            <w:tcW w:w="6086" w:type="dxa"/>
            <w:gridSpan w:val="3"/>
            <w:tcBorders>
              <w:top w:val="nil"/>
              <w:bottom w:val="single" w:sz="36" w:space="0" w:color="000000"/>
            </w:tcBorders>
          </w:tcPr>
          <w:p w:rsidR="005E3082" w:rsidRDefault="005E3082">
            <w:pPr>
              <w:suppressLineNumbers/>
              <w:suppressAutoHyphens/>
              <w:kinsoku w:val="0"/>
              <w:overflowPunct w:val="0"/>
              <w:autoSpaceDE w:val="0"/>
              <w:autoSpaceDN w:val="0"/>
              <w:adjustRightInd w:val="0"/>
              <w:snapToGrid w:val="0"/>
              <w:spacing w:after="120"/>
              <w:rPr>
                <w:rFonts w:eastAsia="Times New Roman" w:cs="Times New Roman"/>
                <w:kern w:val="22"/>
              </w:rPr>
            </w:pPr>
          </w:p>
          <w:p w:rsidR="005E3082" w:rsidRDefault="00AA0A55">
            <w:pPr>
              <w:suppressLineNumbers/>
              <w:suppressAutoHyphens/>
              <w:kinsoku w:val="0"/>
              <w:overflowPunct w:val="0"/>
              <w:autoSpaceDE w:val="0"/>
              <w:autoSpaceDN w:val="0"/>
              <w:adjustRightInd w:val="0"/>
              <w:snapToGrid w:val="0"/>
              <w:spacing w:after="120"/>
              <w:rPr>
                <w:rFonts w:eastAsia="Times New Roman" w:cs="Times New Roman"/>
                <w:kern w:val="22"/>
              </w:rPr>
            </w:pPr>
            <w:r>
              <w:rPr>
                <w:b/>
                <w:noProof/>
                <w:lang w:val="en-US" w:bidi="th-TH"/>
              </w:rPr>
              <w:pict>
                <v:shape id="_x0000_i1027" type="#_x0000_t75" alt="Description: CBD_logo_ch-CMYK-black [Converted]" style="width:222pt;height:83.25pt;visibility:visible">
                  <v:imagedata r:id="rId9" o:title=""/>
                </v:shape>
              </w:pict>
            </w:r>
          </w:p>
          <w:p w:rsidR="005E3082" w:rsidRDefault="005E3082">
            <w:pPr>
              <w:suppressLineNumbers/>
              <w:suppressAutoHyphens/>
              <w:kinsoku w:val="0"/>
              <w:overflowPunct w:val="0"/>
              <w:autoSpaceDE w:val="0"/>
              <w:autoSpaceDN w:val="0"/>
              <w:adjustRightInd w:val="0"/>
              <w:snapToGrid w:val="0"/>
              <w:spacing w:after="120"/>
              <w:rPr>
                <w:rFonts w:ascii="Univers" w:hAnsi="Univers" w:cs="Times New Roman"/>
                <w:kern w:val="22"/>
                <w:sz w:val="24"/>
              </w:rPr>
            </w:pPr>
          </w:p>
        </w:tc>
        <w:tc>
          <w:tcPr>
            <w:tcW w:w="1144" w:type="dxa"/>
            <w:tcBorders>
              <w:top w:val="nil"/>
              <w:bottom w:val="single" w:sz="36" w:space="0" w:color="000000"/>
            </w:tcBorders>
          </w:tcPr>
          <w:p w:rsidR="005E3082" w:rsidRDefault="005E3082">
            <w:pPr>
              <w:pStyle w:val="Header"/>
              <w:suppressLineNumbers/>
              <w:tabs>
                <w:tab w:val="clear" w:pos="4320"/>
                <w:tab w:val="clear" w:pos="8640"/>
              </w:tabs>
              <w:suppressAutoHyphens/>
              <w:kinsoku w:val="0"/>
              <w:overflowPunct w:val="0"/>
              <w:autoSpaceDE w:val="0"/>
              <w:autoSpaceDN w:val="0"/>
              <w:adjustRightInd w:val="0"/>
              <w:snapToGrid w:val="0"/>
              <w:spacing w:after="120"/>
              <w:rPr>
                <w:rFonts w:eastAsia="Times New Roman"/>
                <w:b/>
                <w:kern w:val="22"/>
                <w:sz w:val="32"/>
              </w:rPr>
            </w:pPr>
          </w:p>
        </w:tc>
        <w:tc>
          <w:tcPr>
            <w:tcW w:w="2977" w:type="dxa"/>
            <w:tcBorders>
              <w:top w:val="nil"/>
              <w:bottom w:val="single" w:sz="36" w:space="0" w:color="000000"/>
            </w:tcBorders>
          </w:tcPr>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r>
              <w:rPr>
                <w:rFonts w:eastAsia="Times New Roman" w:cs="Times New Roman"/>
                <w:noProof/>
                <w:kern w:val="22"/>
              </w:rPr>
              <w:t>Distr.</w:t>
            </w: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r>
              <w:rPr>
                <w:rFonts w:eastAsia="Times New Roman" w:cs="Times New Roman"/>
                <w:noProof/>
                <w:kern w:val="22"/>
              </w:rPr>
              <w:t>GENERAL</w:t>
            </w: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r>
              <w:rPr>
                <w:rFonts w:eastAsia="Times New Roman" w:cs="Times New Roman"/>
                <w:noProof/>
                <w:kern w:val="22"/>
              </w:rPr>
              <w:t>CBD/SBI/2/8</w:t>
            </w: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r>
              <w:rPr>
                <w:rFonts w:eastAsia="Times New Roman" w:cs="Times New Roman"/>
                <w:noProof/>
                <w:kern w:val="22"/>
              </w:rPr>
              <w:t>31 May 2018</w:t>
            </w: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rPr>
            </w:pPr>
          </w:p>
          <w:p w:rsidR="005E3082" w:rsidRDefault="005E3082">
            <w:pPr>
              <w:suppressLineNumbers/>
              <w:suppressAutoHyphens/>
              <w:kinsoku w:val="0"/>
              <w:overflowPunct w:val="0"/>
              <w:autoSpaceDE w:val="0"/>
              <w:autoSpaceDN w:val="0"/>
              <w:adjustRightInd w:val="0"/>
              <w:snapToGrid w:val="0"/>
              <w:ind w:left="317"/>
              <w:rPr>
                <w:rFonts w:cs="Times New Roman"/>
                <w:noProof/>
                <w:kern w:val="22"/>
              </w:rPr>
            </w:pPr>
            <w:r>
              <w:rPr>
                <w:rFonts w:cs="Times New Roman"/>
                <w:noProof/>
                <w:kern w:val="22"/>
              </w:rPr>
              <w:t>CHINESE</w:t>
            </w:r>
          </w:p>
          <w:p w:rsidR="005E3082" w:rsidRDefault="005E3082">
            <w:pPr>
              <w:suppressLineNumbers/>
              <w:suppressAutoHyphens/>
              <w:kinsoku w:val="0"/>
              <w:overflowPunct w:val="0"/>
              <w:autoSpaceDE w:val="0"/>
              <w:autoSpaceDN w:val="0"/>
              <w:adjustRightInd w:val="0"/>
              <w:snapToGrid w:val="0"/>
              <w:ind w:left="317"/>
              <w:rPr>
                <w:rFonts w:eastAsia="Times New Roman" w:cs="Times New Roman"/>
                <w:kern w:val="22"/>
                <w:u w:val="single"/>
              </w:rPr>
            </w:pPr>
            <w:r>
              <w:rPr>
                <w:rFonts w:eastAsia="Times New Roman" w:cs="Times New Roman"/>
                <w:noProof/>
                <w:kern w:val="22"/>
              </w:rPr>
              <w:t>ORIGINAL:</w:t>
            </w:r>
            <w:r>
              <w:rPr>
                <w:rFonts w:eastAsia="Times New Roman" w:cs="Times New Roman"/>
                <w:kern w:val="22"/>
              </w:rPr>
              <w:t xml:space="preserve">  </w:t>
            </w:r>
            <w:r>
              <w:rPr>
                <w:rFonts w:eastAsia="Times New Roman" w:cs="Times New Roman"/>
                <w:noProof/>
                <w:kern w:val="22"/>
              </w:rPr>
              <w:t>ENGLISH</w:t>
            </w:r>
          </w:p>
        </w:tc>
      </w:tr>
    </w:tbl>
    <w:p w:rsidR="0067767F" w:rsidRPr="000169EA" w:rsidRDefault="005E3082" w:rsidP="0067767F">
      <w:pPr>
        <w:pStyle w:val="meetingname"/>
        <w:suppressLineNumbers/>
        <w:suppressAutoHyphens/>
        <w:adjustRightInd w:val="0"/>
        <w:snapToGrid w:val="0"/>
        <w:ind w:left="-180" w:right="4398" w:firstLine="0"/>
        <w:rPr>
          <w:rFonts w:ascii="SimSun" w:eastAsia="SimSun" w:hAnsi="SimSun"/>
          <w:kern w:val="22"/>
          <w:sz w:val="24"/>
          <w:lang w:val="zh-CN"/>
        </w:rPr>
      </w:pPr>
      <w:bookmarkStart w:id="0" w:name="Meeting"/>
      <w:r w:rsidRPr="000169EA">
        <w:rPr>
          <w:rFonts w:ascii="SimSun" w:eastAsia="SimSun" w:hAnsi="SimSun" w:hint="eastAsia"/>
          <w:kern w:val="22"/>
          <w:sz w:val="24"/>
          <w:lang w:val="zh-CN"/>
        </w:rPr>
        <w:t>执行问题附属机构</w:t>
      </w:r>
      <w:bookmarkEnd w:id="0"/>
    </w:p>
    <w:p w:rsidR="0067767F" w:rsidRPr="000169EA" w:rsidRDefault="005E3082" w:rsidP="0067767F">
      <w:pPr>
        <w:pStyle w:val="meetingname"/>
        <w:suppressLineNumbers/>
        <w:suppressAutoHyphens/>
        <w:adjustRightInd w:val="0"/>
        <w:snapToGrid w:val="0"/>
        <w:ind w:left="-180" w:right="4398" w:firstLine="0"/>
        <w:rPr>
          <w:rFonts w:ascii="SimSun" w:eastAsia="SimSun" w:hAnsi="SimSun" w:cs="Microsoft YaHei"/>
          <w:kern w:val="22"/>
          <w:sz w:val="24"/>
          <w:lang w:val="zh-CN"/>
        </w:rPr>
      </w:pPr>
      <w:r w:rsidRPr="000169EA">
        <w:rPr>
          <w:rFonts w:ascii="SimSun" w:eastAsia="SimSun" w:hAnsi="SimSun" w:hint="eastAsia"/>
          <w:kern w:val="22"/>
          <w:sz w:val="24"/>
          <w:lang w:val="zh-CN"/>
        </w:rPr>
        <w:t>第二次</w:t>
      </w:r>
      <w:r w:rsidRPr="000169EA">
        <w:rPr>
          <w:rFonts w:ascii="SimSun" w:eastAsia="SimSun" w:hAnsi="SimSun" w:cs="Microsoft YaHei" w:hint="eastAsia"/>
          <w:kern w:val="22"/>
          <w:sz w:val="24"/>
          <w:lang w:val="zh-CN"/>
        </w:rPr>
        <w:t>会议</w:t>
      </w:r>
      <w:smartTag w:uri="urn:schemas-microsoft-com:office:smarttags" w:element="chsdate">
        <w:smartTagPr>
          <w:attr w:name="Year" w:val="2018"/>
          <w:attr w:name="Month" w:val="7"/>
          <w:attr w:name="Day" w:val="9"/>
          <w:attr w:name="IsLunarDate" w:val="False"/>
          <w:attr w:name="IsROCDate" w:val="False"/>
        </w:smartTagPr>
      </w:smartTag>
    </w:p>
    <w:p w:rsidR="0067767F" w:rsidRPr="000169EA" w:rsidRDefault="005E3082" w:rsidP="0067767F">
      <w:pPr>
        <w:pStyle w:val="meetingname"/>
        <w:suppressLineNumbers/>
        <w:suppressAutoHyphens/>
        <w:adjustRightInd w:val="0"/>
        <w:snapToGrid w:val="0"/>
        <w:ind w:left="-180" w:right="4398" w:firstLine="0"/>
        <w:rPr>
          <w:rFonts w:ascii="SimSun" w:eastAsia="SimSun" w:hAnsi="SimSun"/>
          <w:kern w:val="22"/>
          <w:sz w:val="24"/>
          <w:lang w:val="zh-CN"/>
        </w:rPr>
      </w:pPr>
      <w:r w:rsidRPr="000169EA">
        <w:rPr>
          <w:rFonts w:ascii="SimSun" w:eastAsia="SimSun" w:hAnsi="SimSun"/>
          <w:kern w:val="22"/>
          <w:sz w:val="24"/>
          <w:lang w:val="zh-CN"/>
        </w:rPr>
        <w:t>2018</w:t>
      </w:r>
      <w:r w:rsidRPr="000169EA">
        <w:rPr>
          <w:rFonts w:ascii="SimSun" w:eastAsia="SimSun" w:hAnsi="SimSun" w:hint="eastAsia"/>
          <w:kern w:val="22"/>
          <w:sz w:val="24"/>
          <w:lang w:val="zh-CN"/>
        </w:rPr>
        <w:t>年</w:t>
      </w:r>
      <w:r w:rsidRPr="000169EA">
        <w:rPr>
          <w:rFonts w:ascii="SimSun" w:eastAsia="SimSun" w:hAnsi="SimSun"/>
          <w:kern w:val="22"/>
          <w:sz w:val="24"/>
          <w:lang w:val="zh-CN"/>
        </w:rPr>
        <w:t>7</w:t>
      </w:r>
      <w:r w:rsidRPr="000169EA">
        <w:rPr>
          <w:rFonts w:ascii="SimSun" w:eastAsia="SimSun" w:hAnsi="SimSun" w:hint="eastAsia"/>
          <w:kern w:val="22"/>
          <w:sz w:val="24"/>
          <w:lang w:val="zh-CN"/>
        </w:rPr>
        <w:t>月</w:t>
      </w:r>
      <w:r w:rsidRPr="000169EA">
        <w:rPr>
          <w:rFonts w:ascii="SimSun" w:eastAsia="SimSun" w:hAnsi="SimSun"/>
          <w:kern w:val="22"/>
          <w:sz w:val="24"/>
          <w:lang w:val="zh-CN"/>
        </w:rPr>
        <w:t>9</w:t>
      </w:r>
      <w:r w:rsidRPr="000169EA">
        <w:rPr>
          <w:rFonts w:ascii="SimSun" w:eastAsia="SimSun" w:hAnsi="SimSun" w:hint="eastAsia"/>
          <w:kern w:val="22"/>
          <w:sz w:val="24"/>
          <w:lang w:val="zh-CN"/>
        </w:rPr>
        <w:t>日至</w:t>
      </w:r>
      <w:r w:rsidRPr="000169EA">
        <w:rPr>
          <w:rFonts w:ascii="SimSun" w:eastAsia="SimSun" w:hAnsi="SimSun"/>
          <w:kern w:val="22"/>
          <w:sz w:val="24"/>
          <w:lang w:val="zh-CN"/>
        </w:rPr>
        <w:t>13</w:t>
      </w:r>
      <w:r w:rsidRPr="000169EA">
        <w:rPr>
          <w:rFonts w:ascii="SimSun" w:eastAsia="SimSun" w:hAnsi="SimSun" w:hint="eastAsia"/>
          <w:kern w:val="22"/>
          <w:sz w:val="24"/>
          <w:lang w:val="zh-CN"/>
        </w:rPr>
        <w:t>日，加拿大蒙特利尔</w:t>
      </w:r>
    </w:p>
    <w:p w:rsidR="005E3082" w:rsidRPr="000169EA" w:rsidRDefault="005E3082" w:rsidP="0067767F">
      <w:pPr>
        <w:pStyle w:val="meetingname"/>
        <w:suppressLineNumbers/>
        <w:suppressAutoHyphens/>
        <w:adjustRightInd w:val="0"/>
        <w:snapToGrid w:val="0"/>
        <w:ind w:left="-180" w:right="4398" w:firstLine="0"/>
        <w:rPr>
          <w:rFonts w:ascii="SimSun" w:eastAsia="SimSun" w:hAnsi="SimSun"/>
          <w:kern w:val="22"/>
          <w:sz w:val="24"/>
        </w:rPr>
      </w:pPr>
      <w:r w:rsidRPr="000169EA">
        <w:rPr>
          <w:rFonts w:ascii="SimSun" w:eastAsia="SimSun" w:hAnsi="SimSun" w:cs="Microsoft YaHei" w:hint="eastAsia"/>
          <w:kern w:val="22"/>
          <w:sz w:val="24"/>
          <w:lang w:val="zh-CN"/>
        </w:rPr>
        <w:t>临时议</w:t>
      </w:r>
      <w:r w:rsidRPr="000169EA">
        <w:rPr>
          <w:rFonts w:ascii="SimSun" w:eastAsia="SimSun" w:hAnsi="SimSun" w:cs="Malgun Gothic" w:hint="eastAsia"/>
          <w:kern w:val="22"/>
          <w:sz w:val="24"/>
          <w:lang w:val="zh-CN"/>
        </w:rPr>
        <w:t>程</w:t>
      </w:r>
      <w:r w:rsidRPr="000169EA">
        <w:rPr>
          <w:rFonts w:ascii="SimSun" w:eastAsia="SimSun" w:hAnsi="SimSun" w:cs="Microsoft YaHei" w:hint="eastAsia"/>
          <w:kern w:val="22"/>
          <w:sz w:val="24"/>
          <w:lang w:val="zh-CN"/>
        </w:rPr>
        <w:t>项</w:t>
      </w:r>
      <w:r w:rsidRPr="000169EA">
        <w:rPr>
          <w:rFonts w:ascii="SimSun" w:eastAsia="SimSun" w:hAnsi="SimSun" w:cs="Malgun Gothic" w:hint="eastAsia"/>
          <w:kern w:val="22"/>
          <w:sz w:val="24"/>
          <w:lang w:val="zh-CN"/>
        </w:rPr>
        <w:t>目</w:t>
      </w:r>
      <w:r w:rsidRPr="000169EA">
        <w:rPr>
          <w:rFonts w:ascii="SimSun" w:eastAsia="SimSun" w:hAnsi="SimSun"/>
          <w:kern w:val="22"/>
          <w:sz w:val="24"/>
          <w:lang w:val="zh-CN"/>
        </w:rPr>
        <w:t>8</w:t>
      </w:r>
    </w:p>
    <w:p w:rsidR="005E3082" w:rsidRPr="0067767F" w:rsidRDefault="005E3082">
      <w:pPr>
        <w:pStyle w:val="Heading1"/>
        <w:keepNext w:val="0"/>
        <w:suppressLineNumbers/>
        <w:tabs>
          <w:tab w:val="clear" w:pos="720"/>
        </w:tabs>
        <w:suppressAutoHyphens/>
        <w:adjustRightInd w:val="0"/>
        <w:snapToGrid w:val="0"/>
        <w:spacing w:before="120"/>
        <w:rPr>
          <w:rFonts w:ascii="SimHei" w:eastAsia="SimHei" w:hAnsi="SimHei" w:cs="Times New Roman"/>
          <w:b w:val="0"/>
          <w:caps w:val="0"/>
          <w:kern w:val="22"/>
          <w:sz w:val="28"/>
          <w:szCs w:val="28"/>
        </w:rPr>
      </w:pPr>
      <w:r w:rsidRPr="0067767F">
        <w:rPr>
          <w:rFonts w:ascii="SimHei" w:eastAsia="SimHei" w:hAnsi="SimHei" w:cs="Times New Roman" w:hint="eastAsia"/>
          <w:b w:val="0"/>
          <w:kern w:val="22"/>
          <w:sz w:val="28"/>
          <w:szCs w:val="28"/>
          <w:lang w:val="zh-CN"/>
        </w:rPr>
        <w:t>财务机制（第</w:t>
      </w:r>
      <w:r w:rsidRPr="0067767F">
        <w:rPr>
          <w:rFonts w:ascii="SimHei" w:eastAsia="SimHei" w:hAnsi="SimHei" w:cs="Times New Roman"/>
          <w:b w:val="0"/>
          <w:kern w:val="22"/>
          <w:sz w:val="28"/>
          <w:szCs w:val="28"/>
          <w:lang w:val="zh-CN"/>
        </w:rPr>
        <w:t>21</w:t>
      </w:r>
      <w:r w:rsidRPr="0067767F">
        <w:rPr>
          <w:rFonts w:ascii="SimHei" w:eastAsia="SimHei" w:hAnsi="SimHei" w:cs="Times New Roman" w:hint="eastAsia"/>
          <w:b w:val="0"/>
          <w:kern w:val="22"/>
          <w:sz w:val="28"/>
          <w:szCs w:val="28"/>
          <w:lang w:val="zh-CN"/>
        </w:rPr>
        <w:t>条）</w:t>
      </w:r>
    </w:p>
    <w:p w:rsidR="005E3082" w:rsidRPr="00977953" w:rsidRDefault="005E3082">
      <w:pPr>
        <w:pStyle w:val="Heading1"/>
        <w:suppressLineNumbers/>
        <w:tabs>
          <w:tab w:val="clear" w:pos="720"/>
        </w:tabs>
        <w:suppressAutoHyphens/>
        <w:adjustRightInd w:val="0"/>
        <w:snapToGrid w:val="0"/>
        <w:spacing w:before="120"/>
        <w:rPr>
          <w:rFonts w:cs="Times New Roman"/>
          <w:i/>
          <w:caps w:val="0"/>
          <w:kern w:val="22"/>
          <w:sz w:val="24"/>
        </w:rPr>
      </w:pPr>
      <w:r w:rsidRPr="00977953">
        <w:rPr>
          <w:rFonts w:cs="Times New Roman" w:hint="eastAsia"/>
          <w:kern w:val="22"/>
          <w:sz w:val="24"/>
          <w:lang w:val="zh-CN"/>
        </w:rPr>
        <w:t>导言</w:t>
      </w:r>
    </w:p>
    <w:p w:rsidR="005E3082" w:rsidRPr="00977953" w:rsidRDefault="005E3082">
      <w:pPr>
        <w:pStyle w:val="Para1"/>
        <w:numPr>
          <w:ilvl w:val="0"/>
          <w:numId w:val="18"/>
        </w:numPr>
        <w:suppressLineNumbers/>
        <w:tabs>
          <w:tab w:val="num" w:pos="720"/>
        </w:tabs>
        <w:suppressAutoHyphens/>
        <w:adjustRightInd w:val="0"/>
        <w:snapToGrid w:val="0"/>
        <w:spacing w:before="120"/>
        <w:ind w:left="0" w:firstLine="0"/>
        <w:rPr>
          <w:rFonts w:cs="Times New Roman"/>
          <w:kern w:val="22"/>
          <w:sz w:val="24"/>
          <w:szCs w:val="24"/>
        </w:rPr>
      </w:pPr>
      <w:r w:rsidRPr="00977953">
        <w:rPr>
          <w:rFonts w:cs="Times New Roman"/>
          <w:kern w:val="22"/>
          <w:sz w:val="24"/>
          <w:szCs w:val="24"/>
        </w:rPr>
        <w:t>1.</w:t>
      </w:r>
      <w:r w:rsidRPr="00977953">
        <w:rPr>
          <w:rFonts w:cs="Times New Roman" w:hint="eastAsia"/>
          <w:kern w:val="22"/>
          <w:sz w:val="24"/>
          <w:szCs w:val="24"/>
          <w:lang w:val="zh-CN"/>
        </w:rPr>
        <w:t>自缔约方大会第十三届会议以来</w:t>
      </w:r>
      <w:r w:rsidRPr="00977953">
        <w:rPr>
          <w:rFonts w:cs="Times New Roman" w:hint="eastAsia"/>
          <w:kern w:val="22"/>
          <w:sz w:val="24"/>
          <w:szCs w:val="24"/>
        </w:rPr>
        <w:t>，</w:t>
      </w:r>
      <w:r w:rsidRPr="00977953">
        <w:rPr>
          <w:rFonts w:cs="Times New Roman" w:hint="eastAsia"/>
          <w:kern w:val="22"/>
          <w:sz w:val="24"/>
          <w:szCs w:val="24"/>
          <w:lang w:val="zh-CN"/>
        </w:rPr>
        <w:t>《公约》的财务机制出现两大发展。首先</w:t>
      </w:r>
      <w:r w:rsidRPr="00977953">
        <w:rPr>
          <w:rFonts w:cs="Times New Roman" w:hint="eastAsia"/>
          <w:kern w:val="22"/>
          <w:sz w:val="24"/>
          <w:szCs w:val="24"/>
          <w:lang w:val="en-US"/>
        </w:rPr>
        <w:t>，</w:t>
      </w:r>
      <w:r w:rsidRPr="00977953">
        <w:rPr>
          <w:rFonts w:cs="Times New Roman" w:hint="eastAsia"/>
          <w:kern w:val="22"/>
          <w:sz w:val="24"/>
          <w:szCs w:val="24"/>
          <w:lang w:val="zh-CN"/>
        </w:rPr>
        <w:t>全球环境基金的第六次全面研究</w:t>
      </w:r>
      <w:r>
        <w:rPr>
          <w:rFonts w:cs="Times New Roman" w:hint="eastAsia"/>
          <w:kern w:val="22"/>
          <w:sz w:val="24"/>
          <w:szCs w:val="24"/>
          <w:lang w:val="zh-CN"/>
        </w:rPr>
        <w:t>报告</w:t>
      </w:r>
      <w:r w:rsidRPr="00977953">
        <w:rPr>
          <w:rFonts w:cs="Times New Roman" w:hint="eastAsia"/>
          <w:kern w:val="22"/>
          <w:sz w:val="24"/>
          <w:szCs w:val="24"/>
          <w:lang w:val="zh-CN"/>
        </w:rPr>
        <w:t>已于</w:t>
      </w:r>
      <w:r w:rsidRPr="00977953">
        <w:rPr>
          <w:rFonts w:cs="Times New Roman"/>
          <w:kern w:val="22"/>
          <w:sz w:val="24"/>
          <w:szCs w:val="24"/>
          <w:lang w:val="en-US"/>
        </w:rPr>
        <w:t>2017</w:t>
      </w:r>
      <w:r w:rsidRPr="00977953">
        <w:rPr>
          <w:rFonts w:cs="Times New Roman" w:hint="eastAsia"/>
          <w:kern w:val="22"/>
          <w:sz w:val="24"/>
          <w:szCs w:val="24"/>
          <w:lang w:val="zh-CN"/>
        </w:rPr>
        <w:t>年</w:t>
      </w:r>
      <w:r w:rsidRPr="00977953">
        <w:rPr>
          <w:rFonts w:cs="Times New Roman"/>
          <w:kern w:val="22"/>
          <w:sz w:val="24"/>
          <w:szCs w:val="24"/>
          <w:lang w:val="en-US"/>
        </w:rPr>
        <w:t>12</w:t>
      </w:r>
      <w:r w:rsidRPr="00977953">
        <w:rPr>
          <w:rFonts w:cs="Times New Roman" w:hint="eastAsia"/>
          <w:kern w:val="22"/>
          <w:sz w:val="24"/>
          <w:szCs w:val="24"/>
          <w:lang w:val="zh-CN"/>
        </w:rPr>
        <w:t>月由全环基金独立评价办公室完成。其次，全球环境基金信托基金的第七次充资谈判已于</w:t>
      </w:r>
      <w:r w:rsidRPr="00977953">
        <w:rPr>
          <w:rFonts w:cs="Times New Roman"/>
          <w:kern w:val="22"/>
          <w:sz w:val="24"/>
          <w:szCs w:val="24"/>
          <w:lang w:val="zh-CN"/>
        </w:rPr>
        <w:t>2018</w:t>
      </w:r>
      <w:r w:rsidRPr="00977953">
        <w:rPr>
          <w:rFonts w:cs="Times New Roman" w:hint="eastAsia"/>
          <w:kern w:val="22"/>
          <w:sz w:val="24"/>
          <w:szCs w:val="24"/>
          <w:lang w:val="zh-CN"/>
        </w:rPr>
        <w:t>年</w:t>
      </w:r>
      <w:r w:rsidRPr="00977953">
        <w:rPr>
          <w:rFonts w:cs="Times New Roman"/>
          <w:kern w:val="22"/>
          <w:sz w:val="24"/>
          <w:szCs w:val="24"/>
          <w:lang w:val="zh-CN"/>
        </w:rPr>
        <w:t>4</w:t>
      </w:r>
      <w:r w:rsidRPr="00977953">
        <w:rPr>
          <w:rFonts w:cs="Times New Roman" w:hint="eastAsia"/>
          <w:kern w:val="22"/>
          <w:sz w:val="24"/>
          <w:szCs w:val="24"/>
          <w:lang w:val="zh-CN"/>
        </w:rPr>
        <w:t>月</w:t>
      </w:r>
      <w:r>
        <w:rPr>
          <w:rFonts w:cs="Times New Roman" w:hint="eastAsia"/>
          <w:kern w:val="22"/>
          <w:sz w:val="24"/>
          <w:szCs w:val="24"/>
          <w:lang w:val="zh-CN"/>
        </w:rPr>
        <w:t>结束</w:t>
      </w:r>
      <w:r w:rsidRPr="00977953">
        <w:rPr>
          <w:rFonts w:cs="Times New Roman" w:hint="eastAsia"/>
          <w:kern w:val="22"/>
          <w:sz w:val="24"/>
          <w:szCs w:val="24"/>
          <w:lang w:val="zh-CN"/>
        </w:rPr>
        <w:t>，宣布认捐</w:t>
      </w:r>
      <w:r w:rsidRPr="00977953">
        <w:rPr>
          <w:rFonts w:cs="Times New Roman"/>
          <w:kern w:val="22"/>
          <w:sz w:val="24"/>
          <w:szCs w:val="24"/>
          <w:lang w:val="zh-CN"/>
        </w:rPr>
        <w:t>41</w:t>
      </w:r>
      <w:r w:rsidRPr="00977953">
        <w:rPr>
          <w:rFonts w:cs="Times New Roman" w:hint="eastAsia"/>
          <w:kern w:val="22"/>
          <w:sz w:val="24"/>
          <w:szCs w:val="24"/>
          <w:lang w:val="zh-CN"/>
        </w:rPr>
        <w:t>亿美元。</w:t>
      </w:r>
      <w:r w:rsidRPr="00977953">
        <w:rPr>
          <w:rFonts w:cs="Times New Roman"/>
          <w:sz w:val="24"/>
          <w:szCs w:val="24"/>
          <w:lang w:val="zh-CN"/>
        </w:rPr>
        <w:t xml:space="preserve"> </w:t>
      </w:r>
      <w:r w:rsidRPr="00977953">
        <w:rPr>
          <w:rFonts w:cs="Times New Roman" w:hint="eastAsia"/>
          <w:sz w:val="24"/>
          <w:szCs w:val="24"/>
          <w:lang w:val="zh-CN"/>
        </w:rPr>
        <w:t>充资方案包括全环基金第七次充资的政策建议、全环基金第七次充资的方案编制</w:t>
      </w:r>
      <w:r>
        <w:rPr>
          <w:rFonts w:cs="Times New Roman" w:hint="eastAsia"/>
          <w:sz w:val="24"/>
          <w:szCs w:val="24"/>
          <w:lang w:val="zh-CN"/>
        </w:rPr>
        <w:t>指导意见</w:t>
      </w:r>
      <w:r w:rsidRPr="00977953">
        <w:rPr>
          <w:rFonts w:cs="Times New Roman" w:hint="eastAsia"/>
          <w:sz w:val="24"/>
          <w:szCs w:val="24"/>
          <w:lang w:val="zh-CN"/>
        </w:rPr>
        <w:t>以及全环基金第七次充资的资源分配和目标，同时明确考虑到缔约方大会</w:t>
      </w:r>
      <w:hyperlink r:id="rId10" w:history="1">
        <w:r w:rsidRPr="00844A98">
          <w:rPr>
            <w:rStyle w:val="Hyperlink"/>
            <w:rFonts w:hint="eastAsia"/>
            <w:sz w:val="24"/>
            <w:szCs w:val="24"/>
            <w:lang w:val="zh-CN"/>
          </w:rPr>
          <w:t>第</w:t>
        </w:r>
        <w:r w:rsidRPr="00844A98">
          <w:rPr>
            <w:rStyle w:val="Hyperlink"/>
            <w:kern w:val="22"/>
            <w:sz w:val="24"/>
            <w:szCs w:val="24"/>
            <w:lang w:val="zh-CN"/>
          </w:rPr>
          <w:t>XIII/21</w:t>
        </w:r>
        <w:r w:rsidRPr="00844A98">
          <w:rPr>
            <w:rStyle w:val="Hyperlink"/>
            <w:rFonts w:hint="eastAsia"/>
            <w:sz w:val="24"/>
            <w:szCs w:val="24"/>
            <w:lang w:val="zh-CN"/>
          </w:rPr>
          <w:t>号决定</w:t>
        </w:r>
      </w:hyperlink>
      <w:r w:rsidRPr="00977953">
        <w:rPr>
          <w:rFonts w:cs="Times New Roman" w:hint="eastAsia"/>
          <w:sz w:val="24"/>
          <w:szCs w:val="24"/>
          <w:lang w:val="zh-CN"/>
        </w:rPr>
        <w:t>提供的指导意见以及全面评估全球环境基金第七次充资期间执行《公约》及其《议定书》所需资金数额的报告。</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bookmarkStart w:id="1" w:name="_Hlt515909717"/>
      <w:bookmarkStart w:id="2" w:name="_Hlt515909702"/>
      <w:bookmarkStart w:id="3" w:name="_Hlt515909703"/>
      <w:r w:rsidRPr="00977953">
        <w:rPr>
          <w:rFonts w:cs="Times New Roman" w:hint="eastAsia"/>
          <w:sz w:val="24"/>
          <w:szCs w:val="24"/>
          <w:lang w:val="zh-CN"/>
        </w:rPr>
        <w:t>根据生物多样性公约缔约方大会与全球环境基金理事会在第</w:t>
      </w:r>
      <w:r w:rsidRPr="00AA0A55">
        <w:rPr>
          <w:rStyle w:val="Hyperlink"/>
          <w:color w:val="000000"/>
          <w:kern w:val="22"/>
          <w:sz w:val="24"/>
          <w:szCs w:val="24"/>
          <w:u w:val="none"/>
        </w:rPr>
        <w:t>III/</w:t>
      </w:r>
      <w:bookmarkStart w:id="4" w:name="_GoBack"/>
      <w:bookmarkEnd w:id="4"/>
      <w:r w:rsidRPr="00AA0A55">
        <w:rPr>
          <w:rStyle w:val="Hyperlink"/>
          <w:color w:val="000000"/>
          <w:kern w:val="22"/>
          <w:sz w:val="24"/>
          <w:szCs w:val="24"/>
          <w:u w:val="none"/>
        </w:rPr>
        <w:t>8</w:t>
      </w:r>
      <w:r w:rsidRPr="00977953">
        <w:rPr>
          <w:rFonts w:cs="Times New Roman" w:hint="eastAsia"/>
          <w:sz w:val="24"/>
          <w:szCs w:val="24"/>
          <w:lang w:val="zh-CN"/>
        </w:rPr>
        <w:t>号决定中商定的谅解备忘录的结构要素</w:t>
      </w:r>
      <w:r w:rsidRPr="00977953">
        <w:rPr>
          <w:rFonts w:cs="Times New Roman" w:hint="eastAsia"/>
          <w:sz w:val="24"/>
          <w:szCs w:val="24"/>
        </w:rPr>
        <w:t>，</w:t>
      </w:r>
      <w:r w:rsidRPr="00977953">
        <w:rPr>
          <w:rFonts w:cs="Times New Roman" w:hint="eastAsia"/>
          <w:sz w:val="24"/>
          <w:szCs w:val="24"/>
          <w:lang w:val="zh-CN"/>
        </w:rPr>
        <w:t>本文件的编制旨在提供第</w:t>
      </w:r>
      <w:r w:rsidRPr="00977953">
        <w:rPr>
          <w:rFonts w:cs="Times New Roman"/>
          <w:kern w:val="22"/>
          <w:sz w:val="24"/>
          <w:szCs w:val="24"/>
        </w:rPr>
        <w:t>XIII/21</w:t>
      </w:r>
      <w:r w:rsidRPr="00977953">
        <w:rPr>
          <w:rFonts w:cs="Times New Roman" w:hint="eastAsia"/>
          <w:sz w:val="24"/>
          <w:szCs w:val="24"/>
          <w:lang w:val="zh-CN"/>
        </w:rPr>
        <w:t>号决定的最新执行情况。</w:t>
      </w:r>
      <w:r w:rsidRPr="00977953">
        <w:rPr>
          <w:rFonts w:cs="Times New Roman" w:hint="eastAsia"/>
          <w:kern w:val="22"/>
          <w:sz w:val="24"/>
          <w:szCs w:val="24"/>
          <w:lang w:val="zh-CN"/>
        </w:rPr>
        <w:t>以下四节</w:t>
      </w:r>
      <w:r>
        <w:rPr>
          <w:rFonts w:cs="Times New Roman" w:hint="eastAsia"/>
          <w:kern w:val="22"/>
          <w:sz w:val="24"/>
          <w:szCs w:val="24"/>
          <w:lang w:val="zh-CN"/>
        </w:rPr>
        <w:t>分别讨论</w:t>
      </w:r>
      <w:r w:rsidRPr="00977953">
        <w:rPr>
          <w:rFonts w:cs="Times New Roman" w:hint="eastAsia"/>
          <w:kern w:val="22"/>
          <w:sz w:val="24"/>
          <w:szCs w:val="24"/>
          <w:lang w:val="en-US"/>
        </w:rPr>
        <w:t>：</w:t>
      </w:r>
      <w:r w:rsidRPr="00977953">
        <w:rPr>
          <w:rFonts w:cs="Times New Roman"/>
          <w:kern w:val="22"/>
          <w:sz w:val="24"/>
          <w:szCs w:val="24"/>
          <w:lang w:val="en-US"/>
        </w:rPr>
        <w:t xml:space="preserve">(a) </w:t>
      </w:r>
      <w:r w:rsidRPr="00977953">
        <w:rPr>
          <w:rFonts w:cs="Times New Roman" w:hint="eastAsia"/>
          <w:kern w:val="22"/>
          <w:sz w:val="24"/>
          <w:szCs w:val="24"/>
          <w:lang w:val="zh-CN"/>
        </w:rPr>
        <w:t>缔约方大会的指导</w:t>
      </w:r>
      <w:r w:rsidRPr="00977953">
        <w:rPr>
          <w:rFonts w:cs="Times New Roman" w:hint="eastAsia"/>
          <w:kern w:val="22"/>
          <w:sz w:val="24"/>
          <w:szCs w:val="24"/>
          <w:lang w:val="en-US"/>
        </w:rPr>
        <w:t>；</w:t>
      </w:r>
      <w:r w:rsidRPr="00977953">
        <w:rPr>
          <w:rFonts w:cs="Times New Roman"/>
          <w:kern w:val="22"/>
          <w:sz w:val="24"/>
          <w:szCs w:val="24"/>
          <w:lang w:val="en-US"/>
        </w:rPr>
        <w:t xml:space="preserve">(b) </w:t>
      </w:r>
      <w:r w:rsidRPr="00977953">
        <w:rPr>
          <w:rFonts w:cs="Times New Roman" w:hint="eastAsia"/>
          <w:kern w:val="22"/>
          <w:sz w:val="24"/>
          <w:szCs w:val="24"/>
          <w:lang w:val="zh-CN"/>
        </w:rPr>
        <w:t>提交报告</w:t>
      </w:r>
      <w:r w:rsidRPr="00977953">
        <w:rPr>
          <w:rFonts w:cs="Times New Roman" w:hint="eastAsia"/>
          <w:kern w:val="22"/>
          <w:sz w:val="24"/>
          <w:szCs w:val="24"/>
          <w:lang w:val="en-US"/>
        </w:rPr>
        <w:t>；</w:t>
      </w:r>
      <w:r w:rsidRPr="00977953">
        <w:rPr>
          <w:rFonts w:cs="Times New Roman"/>
          <w:kern w:val="22"/>
          <w:sz w:val="24"/>
          <w:szCs w:val="24"/>
          <w:lang w:val="en-US"/>
        </w:rPr>
        <w:t xml:space="preserve">(c) </w:t>
      </w:r>
      <w:r w:rsidRPr="00977953">
        <w:rPr>
          <w:rFonts w:cs="Times New Roman" w:hint="eastAsia"/>
          <w:kern w:val="22"/>
          <w:sz w:val="24"/>
          <w:szCs w:val="24"/>
          <w:lang w:val="zh-CN"/>
        </w:rPr>
        <w:t>监测和评价</w:t>
      </w:r>
      <w:r w:rsidRPr="00977953">
        <w:rPr>
          <w:rFonts w:cs="Times New Roman" w:hint="eastAsia"/>
          <w:kern w:val="22"/>
          <w:sz w:val="24"/>
          <w:szCs w:val="24"/>
          <w:lang w:val="en-US"/>
        </w:rPr>
        <w:t>；</w:t>
      </w:r>
      <w:r w:rsidRPr="00977953">
        <w:rPr>
          <w:rFonts w:cs="Times New Roman" w:hint="eastAsia"/>
          <w:kern w:val="22"/>
          <w:sz w:val="24"/>
          <w:szCs w:val="24"/>
          <w:lang w:val="zh-CN"/>
        </w:rPr>
        <w:t>和</w:t>
      </w:r>
      <w:r w:rsidRPr="00977953">
        <w:rPr>
          <w:rFonts w:cs="Times New Roman"/>
          <w:kern w:val="22"/>
          <w:sz w:val="24"/>
          <w:szCs w:val="24"/>
          <w:lang w:val="en-US"/>
        </w:rPr>
        <w:t xml:space="preserve"> (d) </w:t>
      </w:r>
      <w:r w:rsidRPr="00977953">
        <w:rPr>
          <w:rFonts w:cs="Times New Roman" w:hint="eastAsia"/>
          <w:kern w:val="22"/>
          <w:sz w:val="24"/>
          <w:szCs w:val="24"/>
          <w:lang w:val="zh-CN"/>
        </w:rPr>
        <w:t>决定资金需求。</w:t>
      </w:r>
    </w:p>
    <w:bookmarkEnd w:id="1"/>
    <w:bookmarkEnd w:id="2"/>
    <w:bookmarkEnd w:id="3"/>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kern w:val="22"/>
          <w:sz w:val="24"/>
          <w:szCs w:val="24"/>
          <w:lang w:val="zh-CN"/>
        </w:rPr>
        <w:t>此外</w:t>
      </w:r>
      <w:r w:rsidRPr="00977953">
        <w:rPr>
          <w:rFonts w:cs="Times New Roman" w:hint="eastAsia"/>
          <w:kern w:val="22"/>
          <w:sz w:val="24"/>
          <w:szCs w:val="24"/>
        </w:rPr>
        <w:t>，</w:t>
      </w:r>
      <w:r w:rsidRPr="00977953">
        <w:rPr>
          <w:rFonts w:cs="Times New Roman" w:hint="eastAsia"/>
          <w:kern w:val="22"/>
          <w:sz w:val="24"/>
          <w:szCs w:val="24"/>
          <w:lang w:val="zh-CN"/>
        </w:rPr>
        <w:t>由于《</w:t>
      </w:r>
      <w:r w:rsidRPr="00977953">
        <w:rPr>
          <w:rFonts w:cs="Times New Roman"/>
          <w:kern w:val="22"/>
          <w:sz w:val="24"/>
          <w:szCs w:val="24"/>
        </w:rPr>
        <w:t>2011-2020</w:t>
      </w:r>
      <w:r w:rsidRPr="00977953">
        <w:rPr>
          <w:rFonts w:cs="Times New Roman" w:hint="eastAsia"/>
          <w:kern w:val="22"/>
          <w:sz w:val="24"/>
          <w:szCs w:val="24"/>
          <w:lang w:val="zh-CN"/>
        </w:rPr>
        <w:t>年生物多样性战略计划》即将结束</w:t>
      </w:r>
      <w:r w:rsidRPr="00977953">
        <w:rPr>
          <w:rFonts w:cs="Times New Roman" w:hint="eastAsia"/>
          <w:kern w:val="22"/>
          <w:sz w:val="24"/>
          <w:szCs w:val="24"/>
        </w:rPr>
        <w:t>，</w:t>
      </w:r>
      <w:r w:rsidRPr="00977953">
        <w:rPr>
          <w:rFonts w:cs="Times New Roman" w:hint="eastAsia"/>
          <w:kern w:val="22"/>
          <w:sz w:val="24"/>
          <w:szCs w:val="24"/>
          <w:lang w:val="zh-CN"/>
        </w:rPr>
        <w:t>应开始考虑</w:t>
      </w:r>
      <w:r w:rsidRPr="00977953">
        <w:rPr>
          <w:rFonts w:cs="Times New Roman"/>
          <w:kern w:val="22"/>
          <w:sz w:val="24"/>
          <w:szCs w:val="24"/>
        </w:rPr>
        <w:t>2020</w:t>
      </w:r>
      <w:r w:rsidRPr="00977953">
        <w:rPr>
          <w:rFonts w:cs="Times New Roman" w:hint="eastAsia"/>
          <w:kern w:val="22"/>
          <w:sz w:val="24"/>
          <w:szCs w:val="24"/>
          <w:lang w:val="zh-CN"/>
        </w:rPr>
        <w:t>年后财务机制的作用。《</w:t>
      </w:r>
      <w:r w:rsidRPr="00977953">
        <w:rPr>
          <w:rFonts w:cs="Times New Roman"/>
          <w:kern w:val="22"/>
          <w:sz w:val="24"/>
          <w:szCs w:val="24"/>
          <w:lang w:val="en-US"/>
        </w:rPr>
        <w:t>2011-2020</w:t>
      </w:r>
      <w:r w:rsidRPr="00977953">
        <w:rPr>
          <w:rFonts w:cs="Times New Roman" w:hint="eastAsia"/>
          <w:kern w:val="22"/>
          <w:sz w:val="24"/>
          <w:szCs w:val="24"/>
          <w:lang w:val="zh-CN"/>
        </w:rPr>
        <w:t>年生物多样性战略计划》的后续进程将由执行问题附属机构在议程项目</w:t>
      </w:r>
      <w:r w:rsidRPr="00977953">
        <w:rPr>
          <w:rFonts w:cs="Times New Roman"/>
          <w:kern w:val="22"/>
          <w:sz w:val="24"/>
          <w:szCs w:val="24"/>
          <w:lang w:val="en-US"/>
        </w:rPr>
        <w:t>3</w:t>
      </w:r>
      <w:r w:rsidRPr="00977953">
        <w:rPr>
          <w:rFonts w:cs="Times New Roman" w:hint="eastAsia"/>
          <w:kern w:val="22"/>
          <w:sz w:val="24"/>
          <w:szCs w:val="24"/>
          <w:lang w:val="zh-CN"/>
        </w:rPr>
        <w:t>下审议。本文件第五节</w:t>
      </w:r>
      <w:r>
        <w:rPr>
          <w:rFonts w:cs="Times New Roman" w:hint="eastAsia"/>
          <w:kern w:val="22"/>
          <w:sz w:val="24"/>
          <w:szCs w:val="24"/>
          <w:lang w:val="zh-CN"/>
        </w:rPr>
        <w:t>阐述</w:t>
      </w:r>
      <w:r w:rsidRPr="00977953">
        <w:rPr>
          <w:rFonts w:cs="Times New Roman" w:hint="eastAsia"/>
          <w:kern w:val="22"/>
          <w:sz w:val="24"/>
          <w:szCs w:val="24"/>
          <w:lang w:val="zh-CN"/>
        </w:rPr>
        <w:t>可在这个背景下加以探索的问题。</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kern w:val="22"/>
          <w:sz w:val="24"/>
          <w:szCs w:val="24"/>
        </w:rPr>
      </w:pPr>
      <w:r w:rsidRPr="00977953">
        <w:rPr>
          <w:rFonts w:cs="Times New Roman" w:hint="eastAsia"/>
          <w:kern w:val="22"/>
          <w:sz w:val="24"/>
          <w:szCs w:val="24"/>
          <w:lang w:val="zh-CN"/>
        </w:rPr>
        <w:t>本文件最后一节载有供执行问题附属机构审议的一组建议。</w:t>
      </w:r>
    </w:p>
    <w:p w:rsidR="005E3082" w:rsidRPr="00977953" w:rsidRDefault="005E3082" w:rsidP="00844A98">
      <w:pPr>
        <w:pStyle w:val="Heading1"/>
        <w:numPr>
          <w:ilvl w:val="0"/>
          <w:numId w:val="34"/>
        </w:numPr>
        <w:suppressLineNumbers/>
        <w:tabs>
          <w:tab w:val="clear" w:pos="720"/>
          <w:tab w:val="left" w:pos="360"/>
        </w:tabs>
        <w:suppressAutoHyphens/>
        <w:adjustRightInd w:val="0"/>
        <w:snapToGrid w:val="0"/>
        <w:spacing w:before="120"/>
        <w:rPr>
          <w:rFonts w:cs="Times New Roman"/>
          <w:sz w:val="24"/>
        </w:rPr>
      </w:pPr>
      <w:r w:rsidRPr="00977953">
        <w:rPr>
          <w:rFonts w:cs="Times New Roman" w:hint="eastAsia"/>
          <w:kern w:val="22"/>
          <w:sz w:val="24"/>
          <w:lang w:val="zh-CN"/>
        </w:rPr>
        <w:t>缔约方大会的指导</w:t>
      </w:r>
    </w:p>
    <w:p w:rsidR="005E3082" w:rsidRPr="00977953" w:rsidRDefault="005E3082">
      <w:pPr>
        <w:pStyle w:val="Para1"/>
        <w:numPr>
          <w:ilvl w:val="0"/>
          <w:numId w:val="18"/>
        </w:numPr>
        <w:suppressLineNumbers/>
        <w:suppressAutoHyphens/>
        <w:adjustRightInd w:val="0"/>
        <w:snapToGrid w:val="0"/>
        <w:spacing w:before="120"/>
        <w:ind w:left="0" w:firstLine="0"/>
        <w:rPr>
          <w:rFonts w:cs="Times New Roman"/>
          <w:sz w:val="24"/>
          <w:szCs w:val="24"/>
        </w:rPr>
      </w:pPr>
      <w:bookmarkStart w:id="5" w:name="_Ref513550450"/>
      <w:r w:rsidRPr="00977953">
        <w:rPr>
          <w:rFonts w:cs="Times New Roman" w:hint="eastAsia"/>
          <w:kern w:val="22"/>
          <w:sz w:val="24"/>
          <w:szCs w:val="24"/>
          <w:lang w:val="zh-CN"/>
        </w:rPr>
        <w:t>继第</w:t>
      </w:r>
      <w:r w:rsidRPr="00977953">
        <w:rPr>
          <w:rFonts w:cs="Times New Roman"/>
          <w:kern w:val="22"/>
          <w:sz w:val="24"/>
          <w:szCs w:val="24"/>
          <w:lang w:val="zh-CN"/>
        </w:rPr>
        <w:t>21</w:t>
      </w:r>
      <w:r w:rsidRPr="00977953">
        <w:rPr>
          <w:rFonts w:cs="Times New Roman" w:hint="eastAsia"/>
          <w:kern w:val="22"/>
          <w:sz w:val="24"/>
          <w:szCs w:val="24"/>
          <w:lang w:val="zh-CN"/>
        </w:rPr>
        <w:t>条第</w:t>
      </w:r>
      <w:r w:rsidRPr="00977953">
        <w:rPr>
          <w:rFonts w:cs="Times New Roman"/>
          <w:kern w:val="22"/>
          <w:sz w:val="24"/>
          <w:szCs w:val="24"/>
          <w:lang w:val="zh-CN"/>
        </w:rPr>
        <w:t>1</w:t>
      </w:r>
      <w:r w:rsidRPr="00977953">
        <w:rPr>
          <w:rFonts w:cs="Times New Roman" w:hint="eastAsia"/>
          <w:kern w:val="22"/>
          <w:sz w:val="24"/>
          <w:szCs w:val="24"/>
          <w:lang w:val="zh-CN"/>
        </w:rPr>
        <w:t>款以及缔约方大会第</w:t>
      </w:r>
      <w:r w:rsidRPr="00977953">
        <w:rPr>
          <w:rFonts w:cs="Times New Roman"/>
          <w:kern w:val="22"/>
          <w:sz w:val="24"/>
          <w:szCs w:val="24"/>
          <w:lang w:val="zh-CN"/>
        </w:rPr>
        <w:t>III/8</w:t>
      </w:r>
      <w:r w:rsidRPr="00977953">
        <w:rPr>
          <w:rFonts w:cs="Times New Roman" w:hint="eastAsia"/>
          <w:kern w:val="22"/>
          <w:sz w:val="24"/>
          <w:szCs w:val="24"/>
          <w:lang w:val="zh-CN"/>
        </w:rPr>
        <w:t>号决定通过的谅解备忘录之后，缔约方大会第十届会议决定对财务机制的指导在具体充资期间包括一份指明向哪些事项提供资助的方案优先事项的综合清单和一个注重成果的框架，同时考虑到《</w:t>
      </w:r>
      <w:r w:rsidRPr="00977953">
        <w:rPr>
          <w:rFonts w:cs="Times New Roman"/>
          <w:kern w:val="22"/>
          <w:sz w:val="24"/>
          <w:szCs w:val="24"/>
          <w:lang w:val="zh-CN"/>
        </w:rPr>
        <w:t>2011-2020</w:t>
      </w:r>
      <w:r w:rsidRPr="00977953">
        <w:rPr>
          <w:rFonts w:cs="Times New Roman" w:hint="eastAsia"/>
          <w:kern w:val="22"/>
          <w:sz w:val="24"/>
          <w:szCs w:val="24"/>
          <w:lang w:val="zh-CN"/>
        </w:rPr>
        <w:t>年生物多样性战略计划》，包括其爱知生物多样性指标和相关指标数（第</w:t>
      </w:r>
      <w:r w:rsidRPr="00977953">
        <w:rPr>
          <w:rFonts w:cs="Times New Roman"/>
          <w:kern w:val="22"/>
          <w:sz w:val="24"/>
          <w:szCs w:val="24"/>
          <w:lang w:val="zh-CN"/>
        </w:rPr>
        <w:t>X/24</w:t>
      </w:r>
      <w:r w:rsidRPr="00977953">
        <w:rPr>
          <w:rFonts w:cs="Times New Roman" w:hint="eastAsia"/>
          <w:kern w:val="22"/>
          <w:sz w:val="24"/>
          <w:szCs w:val="24"/>
          <w:lang w:val="zh-CN"/>
        </w:rPr>
        <w:t>号决定第</w:t>
      </w:r>
      <w:r w:rsidRPr="00977953">
        <w:rPr>
          <w:rFonts w:cs="Times New Roman"/>
          <w:kern w:val="22"/>
          <w:sz w:val="24"/>
          <w:szCs w:val="24"/>
          <w:lang w:val="zh-CN"/>
        </w:rPr>
        <w:t>4</w:t>
      </w:r>
      <w:r w:rsidRPr="00977953">
        <w:rPr>
          <w:rFonts w:cs="Times New Roman" w:hint="eastAsia"/>
          <w:kern w:val="22"/>
          <w:sz w:val="24"/>
          <w:szCs w:val="24"/>
          <w:lang w:val="zh-CN"/>
        </w:rPr>
        <w:t>段）。继本决定之后</w:t>
      </w:r>
      <w:r w:rsidRPr="00977953">
        <w:rPr>
          <w:rFonts w:cs="Times New Roman" w:hint="eastAsia"/>
          <w:kern w:val="22"/>
          <w:sz w:val="24"/>
          <w:szCs w:val="24"/>
          <w:lang w:val="en-US"/>
        </w:rPr>
        <w:t>，</w:t>
      </w:r>
      <w:r w:rsidRPr="00977953">
        <w:rPr>
          <w:rFonts w:cs="Times New Roman" w:hint="eastAsia"/>
          <w:kern w:val="22"/>
          <w:sz w:val="24"/>
          <w:szCs w:val="24"/>
          <w:lang w:val="zh-CN"/>
        </w:rPr>
        <w:t>缔约方大会第十三届会议在第</w:t>
      </w:r>
      <w:r w:rsidRPr="00977953">
        <w:rPr>
          <w:rFonts w:cs="Times New Roman"/>
          <w:kern w:val="22"/>
          <w:sz w:val="24"/>
          <w:szCs w:val="24"/>
          <w:lang w:val="en-US"/>
        </w:rPr>
        <w:t>XIII/21</w:t>
      </w:r>
      <w:r w:rsidRPr="00977953">
        <w:rPr>
          <w:rFonts w:cs="Times New Roman" w:hint="eastAsia"/>
          <w:kern w:val="22"/>
          <w:sz w:val="24"/>
          <w:szCs w:val="24"/>
          <w:lang w:val="zh-CN"/>
        </w:rPr>
        <w:t>号决定中通过了综合指导意见</w:t>
      </w:r>
      <w:r w:rsidRPr="00977953">
        <w:rPr>
          <w:rFonts w:cs="Times New Roman" w:hint="eastAsia"/>
          <w:kern w:val="22"/>
          <w:sz w:val="24"/>
          <w:szCs w:val="24"/>
          <w:lang w:val="en-US"/>
        </w:rPr>
        <w:t>，</w:t>
      </w:r>
      <w:r w:rsidRPr="00977953">
        <w:rPr>
          <w:rFonts w:cs="Times New Roman" w:hint="eastAsia"/>
          <w:kern w:val="22"/>
          <w:sz w:val="24"/>
          <w:szCs w:val="24"/>
          <w:lang w:val="zh-CN"/>
        </w:rPr>
        <w:t>包括全球环境基金信托基金第七次充资的四年期方案优先事项框架</w:t>
      </w:r>
      <w:r w:rsidRPr="00977953">
        <w:rPr>
          <w:rFonts w:cs="Times New Roman" w:hint="eastAsia"/>
          <w:kern w:val="22"/>
          <w:sz w:val="24"/>
          <w:szCs w:val="24"/>
          <w:lang w:val="en-US"/>
        </w:rPr>
        <w:t>（</w:t>
      </w:r>
      <w:r w:rsidRPr="00977953">
        <w:rPr>
          <w:rFonts w:cs="Times New Roman"/>
          <w:kern w:val="22"/>
          <w:sz w:val="24"/>
          <w:szCs w:val="24"/>
          <w:lang w:val="en-US"/>
        </w:rPr>
        <w:t>2018-2022</w:t>
      </w:r>
      <w:r w:rsidRPr="00977953">
        <w:rPr>
          <w:rFonts w:cs="Times New Roman" w:hint="eastAsia"/>
          <w:kern w:val="22"/>
          <w:sz w:val="24"/>
          <w:szCs w:val="24"/>
          <w:lang w:val="zh-CN"/>
        </w:rPr>
        <w:t>年</w:t>
      </w:r>
      <w:r w:rsidRPr="00977953">
        <w:rPr>
          <w:rFonts w:cs="Times New Roman" w:hint="eastAsia"/>
          <w:kern w:val="22"/>
          <w:sz w:val="24"/>
          <w:szCs w:val="24"/>
          <w:lang w:val="en-US"/>
        </w:rPr>
        <w:t>）</w:t>
      </w:r>
      <w:r w:rsidRPr="00977953">
        <w:rPr>
          <w:rFonts w:cs="Times New Roman" w:hint="eastAsia"/>
          <w:kern w:val="22"/>
          <w:sz w:val="24"/>
          <w:szCs w:val="24"/>
          <w:lang w:val="zh-CN"/>
        </w:rPr>
        <w:t>。在同一决定中，缔约方大会还在其对财务机制的指导意见中要求考虑与生物多样性有关的公约之间在方案工作中的协同增效问题。</w:t>
      </w:r>
    </w:p>
    <w:bookmarkEnd w:id="5"/>
    <w:p w:rsidR="005E3082" w:rsidRPr="007D79DA" w:rsidRDefault="005E3082">
      <w:pPr>
        <w:pStyle w:val="Heading2"/>
        <w:suppressLineNumbers/>
        <w:tabs>
          <w:tab w:val="clear" w:pos="720"/>
          <w:tab w:val="left" w:pos="360"/>
        </w:tabs>
        <w:suppressAutoHyphens/>
        <w:adjustRightInd w:val="0"/>
        <w:snapToGrid w:val="0"/>
        <w:rPr>
          <w:rFonts w:cs="Times New Roman"/>
          <w:bCs w:val="0"/>
          <w:iCs w:val="0"/>
          <w:sz w:val="24"/>
        </w:rPr>
      </w:pPr>
      <w:r w:rsidRPr="00977953">
        <w:rPr>
          <w:rFonts w:cs="Times New Roman"/>
          <w:b w:val="0"/>
          <w:bCs w:val="0"/>
          <w:iCs w:val="0"/>
          <w:noProof/>
          <w:kern w:val="22"/>
          <w:sz w:val="24"/>
        </w:rPr>
        <w:lastRenderedPageBreak/>
        <w:t>A.</w:t>
      </w:r>
      <w:r w:rsidRPr="00977953">
        <w:rPr>
          <w:rFonts w:cs="Times New Roman"/>
          <w:b w:val="0"/>
          <w:bCs w:val="0"/>
          <w:iCs w:val="0"/>
          <w:kern w:val="22"/>
          <w:sz w:val="24"/>
        </w:rPr>
        <w:tab/>
      </w:r>
      <w:r w:rsidRPr="007D79DA">
        <w:rPr>
          <w:rFonts w:cs="Times New Roman" w:hint="eastAsia"/>
          <w:bCs w:val="0"/>
          <w:iCs w:val="0"/>
          <w:kern w:val="22"/>
          <w:sz w:val="24"/>
          <w:lang w:val="zh-CN"/>
        </w:rPr>
        <w:t>对缔约方大会第十三届会议提出的指导意见所采取的行动</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kern w:val="22"/>
          <w:sz w:val="24"/>
          <w:szCs w:val="24"/>
          <w:lang w:val="zh-CN"/>
        </w:rPr>
        <w:t>依照谅解备忘录的规定</w:t>
      </w:r>
      <w:r w:rsidRPr="00977953">
        <w:rPr>
          <w:rFonts w:cs="Times New Roman" w:hint="eastAsia"/>
          <w:kern w:val="22"/>
          <w:sz w:val="24"/>
          <w:szCs w:val="24"/>
        </w:rPr>
        <w:t>，</w:t>
      </w:r>
      <w:r w:rsidRPr="00977953">
        <w:rPr>
          <w:rFonts w:cs="Times New Roman" w:hint="eastAsia"/>
          <w:kern w:val="22"/>
          <w:sz w:val="24"/>
          <w:szCs w:val="24"/>
          <w:lang w:val="zh-CN"/>
        </w:rPr>
        <w:t>全环基金向缔约方大会提交的报告包括全环基金理事会、其秘书处及其实施和执行机构如何应用这项指导和执行缔约方大会决定的政策、战略、方案优先事项和资格标准以及缔约方大会根据《公约》第</w:t>
      </w:r>
      <w:r w:rsidRPr="00977953">
        <w:rPr>
          <w:rFonts w:cs="Times New Roman"/>
          <w:kern w:val="22"/>
          <w:sz w:val="24"/>
          <w:szCs w:val="24"/>
        </w:rPr>
        <w:t>21</w:t>
      </w:r>
      <w:r w:rsidRPr="00977953">
        <w:rPr>
          <w:rFonts w:cs="Times New Roman" w:hint="eastAsia"/>
          <w:kern w:val="22"/>
          <w:sz w:val="24"/>
          <w:szCs w:val="24"/>
          <w:lang w:val="zh-CN"/>
        </w:rPr>
        <w:t>条交由全环基金执行的任何其他决定的具体信息。</w:t>
      </w:r>
      <w:r w:rsidRPr="00977953">
        <w:rPr>
          <w:rFonts w:cs="Times New Roman" w:hint="eastAsia"/>
          <w:sz w:val="24"/>
          <w:szCs w:val="24"/>
          <w:lang w:val="zh-CN"/>
        </w:rPr>
        <w:t>理事会还报告其关于生物多样性重点领域项目的监测和评估活动。因此</w:t>
      </w:r>
      <w:r w:rsidRPr="00977953">
        <w:rPr>
          <w:rFonts w:cs="Times New Roman" w:hint="eastAsia"/>
          <w:sz w:val="24"/>
          <w:szCs w:val="24"/>
          <w:lang w:val="en-US"/>
        </w:rPr>
        <w:t>，</w:t>
      </w:r>
      <w:r w:rsidRPr="00977953">
        <w:rPr>
          <w:rFonts w:cs="Times New Roman" w:hint="eastAsia"/>
          <w:sz w:val="24"/>
          <w:szCs w:val="24"/>
          <w:lang w:val="zh-CN"/>
        </w:rPr>
        <w:t>第三节所述的全环基金初步报告</w:t>
      </w:r>
      <w:r w:rsidRPr="00977953">
        <w:rPr>
          <w:rFonts w:cs="Times New Roman" w:hint="eastAsia"/>
          <w:sz w:val="24"/>
          <w:szCs w:val="24"/>
          <w:lang w:val="en-US"/>
        </w:rPr>
        <w:t>，</w:t>
      </w:r>
      <w:r w:rsidRPr="00977953">
        <w:rPr>
          <w:rFonts w:cs="Times New Roman" w:hint="eastAsia"/>
          <w:sz w:val="24"/>
          <w:szCs w:val="24"/>
          <w:lang w:val="zh-CN"/>
        </w:rPr>
        <w:t>包括全环基金独立评估办公室的评估报告</w:t>
      </w:r>
      <w:r w:rsidRPr="00977953">
        <w:rPr>
          <w:rFonts w:cs="Times New Roman" w:hint="eastAsia"/>
          <w:sz w:val="24"/>
          <w:szCs w:val="24"/>
          <w:lang w:val="en-US"/>
        </w:rPr>
        <w:t>，</w:t>
      </w:r>
      <w:r w:rsidRPr="00977953">
        <w:rPr>
          <w:rFonts w:cs="Times New Roman" w:hint="eastAsia"/>
          <w:sz w:val="24"/>
          <w:szCs w:val="24"/>
          <w:lang w:val="zh-CN"/>
        </w:rPr>
        <w:t>提供了全环基金如何应用和实施缔约方大会为全环基金第六次充资期间提供的指导</w:t>
      </w:r>
      <w:r>
        <w:rPr>
          <w:rFonts w:cs="Times New Roman" w:hint="eastAsia"/>
          <w:sz w:val="24"/>
          <w:szCs w:val="24"/>
          <w:lang w:val="zh-CN"/>
        </w:rPr>
        <w:t>意见</w:t>
      </w:r>
      <w:r w:rsidRPr="00977953">
        <w:rPr>
          <w:rFonts w:cs="Times New Roman" w:hint="eastAsia"/>
          <w:sz w:val="24"/>
          <w:szCs w:val="24"/>
          <w:lang w:val="zh-CN"/>
        </w:rPr>
        <w:t>的信息。本节则侧重介绍缔约方大会第十三届会议提供的最新指导意见</w:t>
      </w:r>
      <w:r w:rsidRPr="00977953">
        <w:rPr>
          <w:rFonts w:cs="Times New Roman" w:hint="eastAsia"/>
          <w:kern w:val="22"/>
          <w:sz w:val="24"/>
          <w:szCs w:val="24"/>
          <w:lang w:val="zh-CN"/>
        </w:rPr>
        <w:t>。</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sz w:val="24"/>
          <w:szCs w:val="24"/>
          <w:lang w:val="zh-CN"/>
        </w:rPr>
        <w:t>在上一个两年期中</w:t>
      </w:r>
      <w:r w:rsidRPr="00977953">
        <w:rPr>
          <w:rFonts w:cs="Times New Roman" w:hint="eastAsia"/>
          <w:sz w:val="24"/>
          <w:szCs w:val="24"/>
        </w:rPr>
        <w:t>，</w:t>
      </w:r>
      <w:r w:rsidRPr="00977953">
        <w:rPr>
          <w:rFonts w:cs="Times New Roman" w:hint="eastAsia"/>
          <w:sz w:val="24"/>
          <w:szCs w:val="24"/>
          <w:lang w:val="zh-CN"/>
        </w:rPr>
        <w:t>生物多样性公约和全球环境基金秘书处在编制全环基金第七次充资期间的方案编制指导文件</w:t>
      </w:r>
      <w:r w:rsidRPr="00977953">
        <w:rPr>
          <w:rFonts w:cs="Times New Roman" w:hint="eastAsia"/>
          <w:sz w:val="24"/>
          <w:szCs w:val="24"/>
        </w:rPr>
        <w:t>（</w:t>
      </w:r>
      <w:r w:rsidRPr="00977953">
        <w:rPr>
          <w:rFonts w:cs="Times New Roman"/>
          <w:kern w:val="22"/>
          <w:sz w:val="24"/>
          <w:szCs w:val="24"/>
        </w:rPr>
        <w:t>GEF/R.7/19</w:t>
      </w:r>
      <w:r w:rsidRPr="00977953">
        <w:rPr>
          <w:rFonts w:cs="Times New Roman" w:hint="eastAsia"/>
          <w:kern w:val="22"/>
          <w:sz w:val="24"/>
          <w:szCs w:val="24"/>
        </w:rPr>
        <w:t>，</w:t>
      </w:r>
      <w:smartTag w:uri="urn:schemas-microsoft-com:office:smarttags" w:element="chsdate">
        <w:smartTagPr>
          <w:attr w:name="Year" w:val="2018"/>
          <w:attr w:name="Month" w:val="4"/>
          <w:attr w:name="Day" w:val="2"/>
          <w:attr w:name="IsLunarDate" w:val="False"/>
          <w:attr w:name="IsROCDate" w:val="False"/>
        </w:smartTagPr>
        <w:r w:rsidRPr="00977953">
          <w:rPr>
            <w:rFonts w:cs="Times New Roman"/>
            <w:sz w:val="24"/>
            <w:szCs w:val="24"/>
          </w:rPr>
          <w:t>2018</w:t>
        </w:r>
        <w:r w:rsidRPr="00977953">
          <w:rPr>
            <w:rFonts w:cs="Times New Roman" w:hint="eastAsia"/>
            <w:sz w:val="24"/>
            <w:szCs w:val="24"/>
            <w:lang w:val="zh-CN"/>
          </w:rPr>
          <w:t>年</w:t>
        </w:r>
        <w:r w:rsidRPr="00977953">
          <w:rPr>
            <w:rFonts w:cs="Times New Roman"/>
            <w:sz w:val="24"/>
            <w:szCs w:val="24"/>
          </w:rPr>
          <w:t>4</w:t>
        </w:r>
        <w:r w:rsidRPr="00977953">
          <w:rPr>
            <w:rFonts w:cs="Times New Roman" w:hint="eastAsia"/>
            <w:sz w:val="24"/>
            <w:szCs w:val="24"/>
            <w:lang w:val="zh-CN"/>
          </w:rPr>
          <w:t>月</w:t>
        </w:r>
        <w:r w:rsidRPr="00977953">
          <w:rPr>
            <w:rFonts w:cs="Times New Roman"/>
            <w:sz w:val="24"/>
            <w:szCs w:val="24"/>
          </w:rPr>
          <w:t>2</w:t>
        </w:r>
        <w:r w:rsidRPr="00977953">
          <w:rPr>
            <w:rFonts w:cs="Times New Roman" w:hint="eastAsia"/>
            <w:sz w:val="24"/>
            <w:szCs w:val="24"/>
            <w:lang w:val="zh-CN"/>
          </w:rPr>
          <w:t>日</w:t>
        </w:r>
      </w:smartTag>
      <w:r w:rsidRPr="00977953">
        <w:rPr>
          <w:rFonts w:cs="Times New Roman" w:hint="eastAsia"/>
          <w:sz w:val="24"/>
          <w:szCs w:val="24"/>
        </w:rPr>
        <w:t>）</w:t>
      </w:r>
      <w:r w:rsidRPr="00977953">
        <w:rPr>
          <w:rFonts w:cs="Times New Roman" w:hint="eastAsia"/>
          <w:sz w:val="24"/>
          <w:szCs w:val="24"/>
          <w:lang w:val="zh-CN"/>
        </w:rPr>
        <w:t>时</w:t>
      </w:r>
      <w:r w:rsidRPr="00977953">
        <w:rPr>
          <w:rFonts w:cs="Times New Roman" w:hint="eastAsia"/>
          <w:sz w:val="24"/>
          <w:szCs w:val="24"/>
        </w:rPr>
        <w:t>，</w:t>
      </w:r>
      <w:r w:rsidRPr="00977953">
        <w:rPr>
          <w:rFonts w:cs="Times New Roman" w:hint="eastAsia"/>
          <w:sz w:val="24"/>
          <w:szCs w:val="24"/>
          <w:lang w:val="zh-CN"/>
        </w:rPr>
        <w:t>进行了广泛磋商</w:t>
      </w:r>
      <w:r w:rsidRPr="00977953">
        <w:rPr>
          <w:rFonts w:cs="Times New Roman" w:hint="eastAsia"/>
          <w:sz w:val="24"/>
          <w:szCs w:val="24"/>
        </w:rPr>
        <w:t>，</w:t>
      </w:r>
      <w:r w:rsidRPr="00977953">
        <w:rPr>
          <w:rFonts w:cs="Times New Roman" w:hint="eastAsia"/>
          <w:sz w:val="24"/>
          <w:szCs w:val="24"/>
          <w:lang w:val="zh-CN"/>
        </w:rPr>
        <w:t>因为它是执行包括全球环境基金信托基金第七次充资的四年期方案优先事项框架</w:t>
      </w:r>
      <w:r w:rsidRPr="00977953">
        <w:rPr>
          <w:rFonts w:cs="Times New Roman" w:hint="eastAsia"/>
          <w:sz w:val="24"/>
          <w:szCs w:val="24"/>
        </w:rPr>
        <w:t>（</w:t>
      </w:r>
      <w:r w:rsidRPr="00977953">
        <w:rPr>
          <w:rFonts w:cs="Times New Roman"/>
          <w:sz w:val="24"/>
          <w:szCs w:val="24"/>
        </w:rPr>
        <w:t>2018-2022</w:t>
      </w:r>
      <w:r w:rsidRPr="00977953">
        <w:rPr>
          <w:rFonts w:cs="Times New Roman" w:hint="eastAsia"/>
          <w:sz w:val="24"/>
          <w:szCs w:val="24"/>
          <w:lang w:val="zh-CN"/>
        </w:rPr>
        <w:t>年</w:t>
      </w:r>
      <w:r w:rsidRPr="00977953">
        <w:rPr>
          <w:rFonts w:cs="Times New Roman" w:hint="eastAsia"/>
          <w:sz w:val="24"/>
          <w:szCs w:val="24"/>
        </w:rPr>
        <w:t>）</w:t>
      </w:r>
      <w:r w:rsidRPr="00977953">
        <w:rPr>
          <w:rFonts w:cs="Times New Roman" w:hint="eastAsia"/>
          <w:sz w:val="24"/>
          <w:szCs w:val="24"/>
          <w:lang w:val="zh-CN"/>
        </w:rPr>
        <w:t>在内的综合指导意见以及第</w:t>
      </w:r>
      <w:r w:rsidRPr="00977953">
        <w:rPr>
          <w:rFonts w:cs="Times New Roman"/>
          <w:sz w:val="24"/>
          <w:szCs w:val="24"/>
        </w:rPr>
        <w:t>XIII/21</w:t>
      </w:r>
      <w:r w:rsidRPr="00977953">
        <w:rPr>
          <w:rFonts w:cs="Times New Roman" w:hint="eastAsia"/>
          <w:sz w:val="24"/>
          <w:szCs w:val="24"/>
          <w:lang w:val="zh-CN"/>
        </w:rPr>
        <w:t>号决定</w:t>
      </w:r>
      <w:r w:rsidRPr="00977953">
        <w:rPr>
          <w:rFonts w:cs="Times New Roman"/>
          <w:sz w:val="24"/>
          <w:szCs w:val="24"/>
        </w:rPr>
        <w:t>A</w:t>
      </w:r>
      <w:r w:rsidRPr="00977953">
        <w:rPr>
          <w:rFonts w:cs="Times New Roman" w:hint="eastAsia"/>
          <w:sz w:val="24"/>
          <w:szCs w:val="24"/>
          <w:lang w:val="zh-CN"/>
        </w:rPr>
        <w:t>和</w:t>
      </w:r>
      <w:r w:rsidRPr="00977953">
        <w:rPr>
          <w:rFonts w:cs="Times New Roman"/>
          <w:sz w:val="24"/>
          <w:szCs w:val="24"/>
        </w:rPr>
        <w:t>E</w:t>
      </w:r>
      <w:r w:rsidRPr="00977953">
        <w:rPr>
          <w:rFonts w:cs="Times New Roman" w:hint="eastAsia"/>
          <w:sz w:val="24"/>
          <w:szCs w:val="24"/>
          <w:lang w:val="zh-CN"/>
        </w:rPr>
        <w:t>节所载进一步指导意见的起点。</w:t>
      </w:r>
      <w:r w:rsidRPr="00977953">
        <w:rPr>
          <w:rFonts w:cs="Times New Roman" w:hint="eastAsia"/>
          <w:kern w:val="22"/>
          <w:sz w:val="24"/>
          <w:szCs w:val="24"/>
          <w:lang w:val="zh-CN"/>
        </w:rPr>
        <w:t>在全环基金第七次充资期间的方案编制指导文件中</w:t>
      </w:r>
      <w:r w:rsidRPr="00977953">
        <w:rPr>
          <w:rFonts w:cs="Times New Roman" w:hint="eastAsia"/>
          <w:kern w:val="22"/>
          <w:sz w:val="24"/>
          <w:szCs w:val="24"/>
          <w:lang w:val="en-US"/>
        </w:rPr>
        <w:t>，</w:t>
      </w:r>
      <w:r w:rsidRPr="00977953">
        <w:rPr>
          <w:rFonts w:cs="Times New Roman" w:hint="eastAsia"/>
          <w:kern w:val="22"/>
          <w:sz w:val="24"/>
          <w:szCs w:val="24"/>
          <w:lang w:val="zh-CN"/>
        </w:rPr>
        <w:t>生物多样性重点领域战略建立在实现四年期方案优先事项框架</w:t>
      </w:r>
      <w:r w:rsidRPr="00977953">
        <w:rPr>
          <w:rFonts w:cs="Times New Roman" w:hint="eastAsia"/>
          <w:kern w:val="22"/>
          <w:sz w:val="24"/>
          <w:szCs w:val="24"/>
          <w:lang w:val="en-US"/>
        </w:rPr>
        <w:t>（</w:t>
      </w:r>
      <w:r w:rsidRPr="00977953">
        <w:rPr>
          <w:rFonts w:cs="Times New Roman"/>
          <w:kern w:val="22"/>
          <w:sz w:val="24"/>
          <w:szCs w:val="24"/>
          <w:lang w:val="en-US"/>
        </w:rPr>
        <w:t>2018-2022</w:t>
      </w:r>
      <w:r w:rsidRPr="00977953">
        <w:rPr>
          <w:rFonts w:cs="Times New Roman" w:hint="eastAsia"/>
          <w:kern w:val="22"/>
          <w:sz w:val="24"/>
          <w:szCs w:val="24"/>
          <w:lang w:val="zh-CN"/>
        </w:rPr>
        <w:t>年</w:t>
      </w:r>
      <w:r w:rsidRPr="00977953">
        <w:rPr>
          <w:rFonts w:cs="Times New Roman" w:hint="eastAsia"/>
          <w:kern w:val="22"/>
          <w:sz w:val="24"/>
          <w:szCs w:val="24"/>
          <w:lang w:val="en-US"/>
        </w:rPr>
        <w:t>）</w:t>
      </w:r>
      <w:r w:rsidRPr="00977953">
        <w:rPr>
          <w:rFonts w:cs="Times New Roman" w:hint="eastAsia"/>
          <w:kern w:val="22"/>
          <w:sz w:val="24"/>
          <w:szCs w:val="24"/>
          <w:lang w:val="zh-CN"/>
        </w:rPr>
        <w:t>的三个优先组合之上</w:t>
      </w:r>
      <w:r w:rsidRPr="00977953">
        <w:rPr>
          <w:rFonts w:cs="Times New Roman" w:hint="eastAsia"/>
          <w:kern w:val="22"/>
          <w:sz w:val="24"/>
          <w:szCs w:val="24"/>
          <w:lang w:val="en-US"/>
        </w:rPr>
        <w:t>：</w:t>
      </w:r>
      <w:r w:rsidRPr="00977953">
        <w:rPr>
          <w:rFonts w:cs="Times New Roman"/>
          <w:kern w:val="22"/>
          <w:sz w:val="24"/>
          <w:szCs w:val="24"/>
          <w:lang w:val="en-US"/>
        </w:rPr>
        <w:t xml:space="preserve">(a) </w:t>
      </w:r>
      <w:r w:rsidRPr="00977953">
        <w:rPr>
          <w:rFonts w:cs="Times New Roman" w:hint="eastAsia"/>
          <w:kern w:val="22"/>
          <w:sz w:val="24"/>
          <w:szCs w:val="24"/>
          <w:lang w:val="zh-CN"/>
        </w:rPr>
        <w:t>将生物多样性作为各部门以及陆地景观和海洋景观的主流</w:t>
      </w:r>
      <w:r w:rsidRPr="00977953">
        <w:rPr>
          <w:rFonts w:cs="Times New Roman" w:hint="eastAsia"/>
          <w:kern w:val="22"/>
          <w:sz w:val="24"/>
          <w:szCs w:val="24"/>
          <w:lang w:val="en-US"/>
        </w:rPr>
        <w:t>；</w:t>
      </w:r>
      <w:r w:rsidRPr="00977953">
        <w:rPr>
          <w:rFonts w:cs="Times New Roman"/>
          <w:kern w:val="22"/>
          <w:sz w:val="24"/>
          <w:szCs w:val="24"/>
          <w:lang w:val="en-US"/>
        </w:rPr>
        <w:t xml:space="preserve">(b) </w:t>
      </w:r>
      <w:r w:rsidRPr="00977953">
        <w:rPr>
          <w:rFonts w:cs="Times New Roman" w:hint="eastAsia"/>
          <w:kern w:val="22"/>
          <w:sz w:val="24"/>
          <w:szCs w:val="24"/>
          <w:lang w:val="zh-CN"/>
        </w:rPr>
        <w:t>运用保护生境和物种的直接驱动因素</w:t>
      </w:r>
      <w:r w:rsidRPr="00977953">
        <w:rPr>
          <w:rFonts w:cs="Times New Roman" w:hint="eastAsia"/>
          <w:kern w:val="22"/>
          <w:sz w:val="24"/>
          <w:szCs w:val="24"/>
          <w:lang w:val="en-US"/>
        </w:rPr>
        <w:t>；</w:t>
      </w:r>
      <w:r w:rsidRPr="00977953">
        <w:rPr>
          <w:rFonts w:cs="Times New Roman" w:hint="eastAsia"/>
          <w:kern w:val="22"/>
          <w:sz w:val="24"/>
          <w:szCs w:val="24"/>
          <w:lang w:val="zh-CN"/>
        </w:rPr>
        <w:t>和</w:t>
      </w:r>
      <w:r w:rsidRPr="00977953">
        <w:rPr>
          <w:rFonts w:cs="Times New Roman"/>
          <w:kern w:val="22"/>
          <w:sz w:val="24"/>
          <w:szCs w:val="24"/>
          <w:lang w:val="en-US"/>
        </w:rPr>
        <w:t xml:space="preserve"> (c) </w:t>
      </w:r>
      <w:r w:rsidRPr="00977953">
        <w:rPr>
          <w:rFonts w:cs="Times New Roman" w:hint="eastAsia"/>
          <w:kern w:val="22"/>
          <w:sz w:val="24"/>
          <w:szCs w:val="24"/>
          <w:lang w:val="zh-CN"/>
        </w:rPr>
        <w:t>进一步制订生物多样性政策和体制框架。</w:t>
      </w:r>
      <w:r w:rsidRPr="00977953">
        <w:rPr>
          <w:rFonts w:cs="Times New Roman" w:hint="eastAsia"/>
          <w:sz w:val="24"/>
          <w:szCs w:val="24"/>
          <w:lang w:val="zh-CN"/>
        </w:rPr>
        <w:t>该文件在其附件二中进一步列出各国可用的方案编制办法</w:t>
      </w:r>
      <w:r w:rsidRPr="00977953">
        <w:rPr>
          <w:rFonts w:cs="Times New Roman" w:hint="eastAsia"/>
          <w:sz w:val="24"/>
          <w:szCs w:val="24"/>
          <w:lang w:val="en-US"/>
        </w:rPr>
        <w:t>，</w:t>
      </w:r>
      <w:r w:rsidRPr="00977953">
        <w:rPr>
          <w:rFonts w:cs="Times New Roman" w:hint="eastAsia"/>
          <w:sz w:val="24"/>
          <w:szCs w:val="24"/>
          <w:lang w:val="zh-CN"/>
        </w:rPr>
        <w:t>在四年期框架的每一优先事项组合下</w:t>
      </w:r>
      <w:r w:rsidRPr="00977953">
        <w:rPr>
          <w:rFonts w:cs="Times New Roman" w:hint="eastAsia"/>
          <w:sz w:val="24"/>
          <w:szCs w:val="24"/>
          <w:lang w:val="en-US"/>
        </w:rPr>
        <w:t>，</w:t>
      </w:r>
      <w:r w:rsidRPr="00977953">
        <w:rPr>
          <w:rFonts w:cs="Times New Roman" w:hint="eastAsia"/>
          <w:sz w:val="24"/>
          <w:szCs w:val="24"/>
          <w:lang w:val="zh-CN"/>
        </w:rPr>
        <w:t>根据个别优先事项和预期成果</w:t>
      </w:r>
      <w:r w:rsidRPr="00977953">
        <w:rPr>
          <w:rFonts w:cs="Times New Roman" w:hint="eastAsia"/>
          <w:sz w:val="24"/>
          <w:szCs w:val="24"/>
          <w:lang w:val="en-US"/>
        </w:rPr>
        <w:t>，</w:t>
      </w:r>
      <w:r w:rsidRPr="00977953">
        <w:rPr>
          <w:rFonts w:cs="Times New Roman" w:hint="eastAsia"/>
          <w:sz w:val="24"/>
          <w:szCs w:val="24"/>
          <w:lang w:val="zh-CN"/>
        </w:rPr>
        <w:t>列出生物多样性重点领域投资、影响方案和其他重点领域。</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sz w:val="24"/>
          <w:szCs w:val="24"/>
          <w:lang w:val="zh-CN"/>
        </w:rPr>
        <w:t>缔约方大会在</w:t>
      </w:r>
      <w:hyperlink r:id="rId11" w:history="1">
        <w:r w:rsidRPr="00844A98">
          <w:rPr>
            <w:rStyle w:val="Hyperlink"/>
            <w:rFonts w:hint="eastAsia"/>
            <w:sz w:val="24"/>
            <w:szCs w:val="24"/>
            <w:lang w:val="zh-CN"/>
          </w:rPr>
          <w:t>第</w:t>
        </w:r>
        <w:r w:rsidRPr="00844A98">
          <w:rPr>
            <w:rStyle w:val="Hyperlink"/>
            <w:sz w:val="24"/>
            <w:szCs w:val="24"/>
          </w:rPr>
          <w:t>XIII/21</w:t>
        </w:r>
        <w:r w:rsidRPr="00844A98">
          <w:rPr>
            <w:rStyle w:val="Hyperlink"/>
            <w:rFonts w:hint="eastAsia"/>
            <w:sz w:val="24"/>
            <w:szCs w:val="24"/>
            <w:lang w:val="zh-CN"/>
          </w:rPr>
          <w:t>号决定</w:t>
        </w:r>
      </w:hyperlink>
      <w:r w:rsidRPr="00977953">
        <w:rPr>
          <w:rFonts w:cs="Times New Roman" w:hint="eastAsia"/>
          <w:sz w:val="24"/>
          <w:szCs w:val="24"/>
          <w:lang w:val="zh-CN"/>
        </w:rPr>
        <w:t>第</w:t>
      </w:r>
      <w:r w:rsidRPr="00977953">
        <w:rPr>
          <w:rFonts w:cs="Times New Roman"/>
          <w:sz w:val="24"/>
          <w:szCs w:val="24"/>
        </w:rPr>
        <w:t>3</w:t>
      </w:r>
      <w:r w:rsidRPr="00977953">
        <w:rPr>
          <w:rFonts w:cs="Times New Roman" w:hint="eastAsia"/>
          <w:sz w:val="24"/>
          <w:szCs w:val="24"/>
          <w:lang w:val="zh-CN"/>
        </w:rPr>
        <w:t>段中鼓励全球环境基金继续并进一步加强综合方案编制工作</w:t>
      </w:r>
      <w:r w:rsidRPr="00977953">
        <w:rPr>
          <w:rFonts w:cs="Times New Roman" w:hint="eastAsia"/>
          <w:sz w:val="24"/>
          <w:szCs w:val="24"/>
        </w:rPr>
        <w:t>，</w:t>
      </w:r>
      <w:r w:rsidRPr="00977953">
        <w:rPr>
          <w:rFonts w:cs="Times New Roman" w:hint="eastAsia"/>
          <w:sz w:val="24"/>
          <w:szCs w:val="24"/>
          <w:lang w:val="zh-CN"/>
        </w:rPr>
        <w:t>将其作为运用协同增效作用的机会。</w:t>
      </w:r>
      <w:r w:rsidRPr="00977953">
        <w:rPr>
          <w:rFonts w:cs="Times New Roman" w:hint="eastAsia"/>
          <w:kern w:val="22"/>
          <w:sz w:val="24"/>
          <w:szCs w:val="24"/>
          <w:lang w:val="zh-CN"/>
        </w:rPr>
        <w:t>依照全环基金第七次充资期间的方案编制指导文件</w:t>
      </w:r>
      <w:r w:rsidRPr="00977953">
        <w:rPr>
          <w:rFonts w:cs="Times New Roman" w:hint="eastAsia"/>
          <w:kern w:val="22"/>
          <w:sz w:val="24"/>
          <w:szCs w:val="24"/>
          <w:lang w:val="en-US"/>
        </w:rPr>
        <w:t>，</w:t>
      </w:r>
      <w:r w:rsidRPr="00977953">
        <w:rPr>
          <w:rFonts w:cs="Times New Roman" w:hint="eastAsia"/>
          <w:kern w:val="22"/>
          <w:sz w:val="24"/>
          <w:szCs w:val="24"/>
          <w:lang w:val="zh-CN"/>
        </w:rPr>
        <w:t>通过特定影响方案提供了综合方案编制机会</w:t>
      </w:r>
      <w:r w:rsidRPr="00977953">
        <w:rPr>
          <w:rFonts w:cs="Times New Roman" w:hint="eastAsia"/>
          <w:kern w:val="22"/>
          <w:sz w:val="24"/>
          <w:szCs w:val="24"/>
          <w:lang w:val="en-US"/>
        </w:rPr>
        <w:t>，</w:t>
      </w:r>
      <w:r w:rsidRPr="00977953">
        <w:rPr>
          <w:rFonts w:cs="Times New Roman" w:hint="eastAsia"/>
          <w:kern w:val="22"/>
          <w:sz w:val="24"/>
          <w:szCs w:val="24"/>
          <w:lang w:val="zh-CN"/>
        </w:rPr>
        <w:t>这些方案侧重于</w:t>
      </w:r>
      <w:r w:rsidRPr="00977953">
        <w:rPr>
          <w:rFonts w:cs="Times New Roman" w:hint="eastAsia"/>
          <w:kern w:val="22"/>
          <w:sz w:val="24"/>
          <w:szCs w:val="24"/>
          <w:lang w:val="en-US"/>
        </w:rPr>
        <w:t>：</w:t>
      </w:r>
      <w:r w:rsidRPr="00977953">
        <w:rPr>
          <w:rFonts w:cs="Times New Roman"/>
          <w:kern w:val="22"/>
          <w:sz w:val="24"/>
          <w:szCs w:val="24"/>
          <w:lang w:val="en-US"/>
        </w:rPr>
        <w:t xml:space="preserve">(a) </w:t>
      </w:r>
      <w:r w:rsidRPr="00977953">
        <w:rPr>
          <w:rFonts w:cs="Times New Roman" w:hint="eastAsia"/>
          <w:kern w:val="22"/>
          <w:sz w:val="24"/>
          <w:szCs w:val="24"/>
          <w:lang w:val="zh-CN"/>
        </w:rPr>
        <w:t>粮食系统、土地使用和恢复</w:t>
      </w:r>
      <w:r w:rsidRPr="00977953">
        <w:rPr>
          <w:rFonts w:cs="Times New Roman" w:hint="eastAsia"/>
          <w:kern w:val="22"/>
          <w:sz w:val="24"/>
          <w:szCs w:val="24"/>
          <w:lang w:val="en-US"/>
        </w:rPr>
        <w:t>；</w:t>
      </w:r>
      <w:r w:rsidRPr="00977953">
        <w:rPr>
          <w:rFonts w:cs="Times New Roman"/>
          <w:kern w:val="22"/>
          <w:sz w:val="24"/>
          <w:szCs w:val="24"/>
          <w:lang w:val="en-US"/>
        </w:rPr>
        <w:t xml:space="preserve">(b) </w:t>
      </w:r>
      <w:r w:rsidRPr="00977953">
        <w:rPr>
          <w:rFonts w:cs="Times New Roman" w:hint="eastAsia"/>
          <w:kern w:val="22"/>
          <w:sz w:val="24"/>
          <w:szCs w:val="24"/>
          <w:lang w:val="zh-CN"/>
        </w:rPr>
        <w:t>可持续城市</w:t>
      </w:r>
      <w:r w:rsidRPr="00977953">
        <w:rPr>
          <w:rFonts w:cs="Times New Roman" w:hint="eastAsia"/>
          <w:kern w:val="22"/>
          <w:sz w:val="24"/>
          <w:szCs w:val="24"/>
          <w:lang w:val="en-US"/>
        </w:rPr>
        <w:t>；</w:t>
      </w:r>
      <w:r w:rsidRPr="00977953">
        <w:rPr>
          <w:rFonts w:cs="Times New Roman" w:hint="eastAsia"/>
          <w:kern w:val="22"/>
          <w:sz w:val="24"/>
          <w:szCs w:val="24"/>
          <w:lang w:val="zh-CN"/>
        </w:rPr>
        <w:t>和</w:t>
      </w:r>
      <w:r w:rsidRPr="00977953">
        <w:rPr>
          <w:rFonts w:cs="Times New Roman"/>
          <w:kern w:val="22"/>
          <w:sz w:val="24"/>
          <w:szCs w:val="24"/>
          <w:lang w:val="en-US"/>
        </w:rPr>
        <w:t xml:space="preserve"> (c) </w:t>
      </w:r>
      <w:r w:rsidRPr="00977953">
        <w:rPr>
          <w:rFonts w:cs="Times New Roman" w:hint="eastAsia"/>
          <w:kern w:val="22"/>
          <w:sz w:val="24"/>
          <w:szCs w:val="24"/>
          <w:lang w:val="zh-CN"/>
        </w:rPr>
        <w:t>可持续森林管理。</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kern w:val="22"/>
          <w:sz w:val="24"/>
          <w:szCs w:val="24"/>
          <w:lang w:val="zh-CN"/>
        </w:rPr>
        <w:t>缔约方大会在第</w:t>
      </w:r>
      <w:r w:rsidRPr="00977953">
        <w:rPr>
          <w:rFonts w:cs="Times New Roman"/>
          <w:kern w:val="22"/>
          <w:sz w:val="24"/>
          <w:szCs w:val="24"/>
        </w:rPr>
        <w:t>XIII/21</w:t>
      </w:r>
      <w:r w:rsidRPr="00977953">
        <w:rPr>
          <w:rFonts w:cs="Times New Roman" w:hint="eastAsia"/>
          <w:kern w:val="22"/>
          <w:sz w:val="24"/>
          <w:szCs w:val="24"/>
          <w:lang w:val="zh-CN"/>
        </w:rPr>
        <w:t>号决定第</w:t>
      </w:r>
      <w:r w:rsidRPr="00977953">
        <w:rPr>
          <w:rFonts w:cs="Times New Roman"/>
          <w:kern w:val="22"/>
          <w:sz w:val="24"/>
          <w:szCs w:val="24"/>
        </w:rPr>
        <w:t>7</w:t>
      </w:r>
      <w:r w:rsidRPr="00977953">
        <w:rPr>
          <w:rFonts w:cs="Times New Roman" w:hint="eastAsia"/>
          <w:kern w:val="22"/>
          <w:sz w:val="24"/>
          <w:szCs w:val="24"/>
          <w:lang w:val="zh-CN"/>
        </w:rPr>
        <w:t>段和第</w:t>
      </w:r>
      <w:r w:rsidRPr="00977953">
        <w:rPr>
          <w:rFonts w:cs="Times New Roman"/>
          <w:kern w:val="22"/>
          <w:sz w:val="24"/>
          <w:szCs w:val="24"/>
        </w:rPr>
        <w:t>8</w:t>
      </w:r>
      <w:r w:rsidRPr="00977953">
        <w:rPr>
          <w:rFonts w:cs="Times New Roman" w:hint="eastAsia"/>
          <w:kern w:val="22"/>
          <w:sz w:val="24"/>
          <w:szCs w:val="24"/>
          <w:lang w:val="zh-CN"/>
        </w:rPr>
        <w:t>段中赞赏地注意到其他与生物多样性有关的公约提供的咨询意见和投入</w:t>
      </w:r>
      <w:r w:rsidRPr="00977953">
        <w:rPr>
          <w:rFonts w:cs="Times New Roman" w:hint="eastAsia"/>
          <w:kern w:val="22"/>
          <w:sz w:val="24"/>
          <w:szCs w:val="24"/>
        </w:rPr>
        <w:t>，</w:t>
      </w:r>
      <w:r w:rsidRPr="00977953">
        <w:rPr>
          <w:rFonts w:cs="Times New Roman" w:hint="eastAsia"/>
          <w:kern w:val="22"/>
          <w:sz w:val="24"/>
          <w:szCs w:val="24"/>
          <w:lang w:val="zh-CN"/>
        </w:rPr>
        <w:t>并注意到在战略层面属于全球环境基金任务范围的要素和投入都反映在四年期方案优先事项框架内</w:t>
      </w:r>
      <w:r w:rsidRPr="00977953">
        <w:rPr>
          <w:rFonts w:cs="Times New Roman" w:hint="eastAsia"/>
          <w:kern w:val="22"/>
          <w:sz w:val="24"/>
          <w:szCs w:val="24"/>
        </w:rPr>
        <w:t>，</w:t>
      </w:r>
      <w:r w:rsidRPr="00977953">
        <w:rPr>
          <w:rFonts w:cs="Times New Roman" w:hint="eastAsia"/>
          <w:kern w:val="22"/>
          <w:sz w:val="24"/>
          <w:szCs w:val="24"/>
          <w:lang w:val="zh-CN"/>
        </w:rPr>
        <w:t>认为这将进一步加强各项与生物多样性有关的公约之间的方案协同增效作用。全环基金第七次充资期间的方案编制指导文件指出</w:t>
      </w:r>
      <w:r w:rsidRPr="00977953">
        <w:rPr>
          <w:rFonts w:cs="Times New Roman" w:hint="eastAsia"/>
          <w:kern w:val="22"/>
          <w:sz w:val="24"/>
          <w:szCs w:val="24"/>
          <w:lang w:val="en-US"/>
        </w:rPr>
        <w:t>：</w:t>
      </w:r>
      <w:r w:rsidRPr="00977953">
        <w:rPr>
          <w:rFonts w:cs="Times New Roman"/>
          <w:kern w:val="22"/>
          <w:sz w:val="24"/>
          <w:szCs w:val="24"/>
          <w:lang w:val="en-US"/>
        </w:rPr>
        <w:t>“</w:t>
      </w:r>
      <w:r w:rsidRPr="00977953">
        <w:rPr>
          <w:rFonts w:cs="Times New Roman" w:hint="eastAsia"/>
          <w:kern w:val="22"/>
          <w:sz w:val="24"/>
          <w:szCs w:val="24"/>
          <w:lang w:val="zh-CN"/>
        </w:rPr>
        <w:t>全环基金第七次充资期间的生物多样性重点领域投资和方案编制战略充分体现出实现保护生物多样性和可持续利用四年期框架的成果并同时以协同增效的方式支持落实所有与生物多样性有关的公约的综合办法</w:t>
      </w:r>
      <w:r w:rsidRPr="00977953">
        <w:rPr>
          <w:rFonts w:cs="Times New Roman"/>
          <w:kern w:val="22"/>
          <w:sz w:val="24"/>
          <w:szCs w:val="24"/>
          <w:lang w:val="en-US"/>
        </w:rPr>
        <w:t>”</w:t>
      </w:r>
      <w:r w:rsidRPr="00977953">
        <w:rPr>
          <w:rFonts w:cs="Times New Roman" w:hint="eastAsia"/>
          <w:kern w:val="22"/>
          <w:sz w:val="24"/>
          <w:szCs w:val="24"/>
          <w:lang w:val="zh-CN"/>
        </w:rPr>
        <w:t>。尽管该文件没有明确提及与生物多样性有关的所有公约</w:t>
      </w:r>
      <w:r w:rsidRPr="00977953">
        <w:rPr>
          <w:rFonts w:cs="Times New Roman" w:hint="eastAsia"/>
          <w:kern w:val="22"/>
          <w:sz w:val="24"/>
          <w:szCs w:val="24"/>
          <w:lang w:val="en-US"/>
        </w:rPr>
        <w:t>，</w:t>
      </w:r>
      <w:r w:rsidRPr="00977953">
        <w:rPr>
          <w:rFonts w:cs="Times New Roman" w:hint="eastAsia"/>
          <w:kern w:val="22"/>
          <w:sz w:val="24"/>
          <w:szCs w:val="24"/>
          <w:lang w:val="zh-CN"/>
        </w:rPr>
        <w:t>但在若干重点领域投资和影响方案能看到与其有关的相关项目</w:t>
      </w:r>
      <w:r w:rsidRPr="00977953">
        <w:rPr>
          <w:rFonts w:cs="Times New Roman" w:hint="eastAsia"/>
          <w:kern w:val="22"/>
          <w:sz w:val="24"/>
          <w:szCs w:val="24"/>
          <w:lang w:val="en-US"/>
        </w:rPr>
        <w:t>：</w:t>
      </w:r>
    </w:p>
    <w:p w:rsidR="005E3082" w:rsidRPr="00977953" w:rsidRDefault="005E3082">
      <w:pPr>
        <w:pStyle w:val="Para1"/>
        <w:numPr>
          <w:ilvl w:val="0"/>
          <w:numId w:val="29"/>
        </w:numPr>
        <w:suppressLineNumbers/>
        <w:suppressAutoHyphens/>
        <w:adjustRightInd w:val="0"/>
        <w:snapToGrid w:val="0"/>
        <w:ind w:left="0" w:firstLine="709"/>
        <w:rPr>
          <w:rFonts w:cs="Times New Roman"/>
          <w:sz w:val="24"/>
          <w:szCs w:val="24"/>
        </w:rPr>
      </w:pPr>
      <w:r w:rsidRPr="00977953">
        <w:rPr>
          <w:rFonts w:cs="Times New Roman" w:hint="eastAsia"/>
          <w:kern w:val="22"/>
          <w:sz w:val="24"/>
          <w:szCs w:val="24"/>
          <w:lang w:val="zh-CN"/>
        </w:rPr>
        <w:t>《世界遗产公约》和</w:t>
      </w:r>
      <w:r w:rsidRPr="00977953">
        <w:rPr>
          <w:rFonts w:cs="Times New Roman" w:hint="eastAsia"/>
          <w:sz w:val="24"/>
          <w:szCs w:val="24"/>
          <w:lang w:val="zh-CN"/>
        </w:rPr>
        <w:t>《拉姆萨尔湿地公约》</w:t>
      </w:r>
      <w:r w:rsidRPr="00977953">
        <w:rPr>
          <w:rFonts w:cs="Times New Roman" w:hint="eastAsia"/>
          <w:sz w:val="24"/>
          <w:szCs w:val="24"/>
        </w:rPr>
        <w:t>：</w:t>
      </w:r>
      <w:r w:rsidRPr="00977953">
        <w:rPr>
          <w:rFonts w:cs="Times New Roman" w:hint="eastAsia"/>
          <w:kern w:val="22"/>
          <w:sz w:val="24"/>
          <w:szCs w:val="24"/>
          <w:lang w:val="zh-CN"/>
        </w:rPr>
        <w:t>全球保护区面积、可持续森林管理影响方案、包容性养护</w:t>
      </w:r>
      <w:r w:rsidRPr="00977953">
        <w:rPr>
          <w:rFonts w:cs="Times New Roman" w:hint="eastAsia"/>
          <w:kern w:val="22"/>
          <w:sz w:val="24"/>
          <w:szCs w:val="24"/>
        </w:rPr>
        <w:t>；</w:t>
      </w:r>
    </w:p>
    <w:p w:rsidR="005E3082" w:rsidRPr="00977953" w:rsidRDefault="005E3082">
      <w:pPr>
        <w:pStyle w:val="Para1"/>
        <w:numPr>
          <w:ilvl w:val="0"/>
          <w:numId w:val="29"/>
        </w:numPr>
        <w:suppressLineNumbers/>
        <w:suppressAutoHyphens/>
        <w:adjustRightInd w:val="0"/>
        <w:snapToGrid w:val="0"/>
        <w:ind w:left="0" w:firstLine="709"/>
        <w:rPr>
          <w:rFonts w:cs="Times New Roman"/>
          <w:sz w:val="24"/>
          <w:szCs w:val="24"/>
        </w:rPr>
      </w:pPr>
      <w:r w:rsidRPr="00977953">
        <w:rPr>
          <w:rFonts w:cs="Times New Roman" w:hint="eastAsia"/>
          <w:kern w:val="22"/>
          <w:sz w:val="24"/>
          <w:szCs w:val="24"/>
          <w:lang w:val="zh-CN"/>
        </w:rPr>
        <w:t>《濒危野生动物和植物物种国际贸易公约》</w:t>
      </w:r>
      <w:r w:rsidRPr="00977953">
        <w:rPr>
          <w:rFonts w:cs="Times New Roman" w:hint="eastAsia"/>
          <w:kern w:val="22"/>
          <w:sz w:val="24"/>
          <w:szCs w:val="24"/>
        </w:rPr>
        <w:t>：</w:t>
      </w:r>
      <w:r w:rsidRPr="00977953">
        <w:rPr>
          <w:rFonts w:cs="Times New Roman" w:hint="eastAsia"/>
          <w:kern w:val="22"/>
          <w:sz w:val="24"/>
          <w:szCs w:val="24"/>
          <w:lang w:val="zh-CN"/>
        </w:rPr>
        <w:t>全球野生动植物方案</w:t>
      </w:r>
      <w:r w:rsidRPr="00977953">
        <w:rPr>
          <w:rFonts w:cs="Times New Roman" w:hint="eastAsia"/>
          <w:kern w:val="22"/>
          <w:sz w:val="24"/>
          <w:szCs w:val="24"/>
        </w:rPr>
        <w:t>；</w:t>
      </w:r>
    </w:p>
    <w:p w:rsidR="005E3082" w:rsidRPr="00977953" w:rsidRDefault="005E3082">
      <w:pPr>
        <w:pStyle w:val="Para1"/>
        <w:numPr>
          <w:ilvl w:val="0"/>
          <w:numId w:val="29"/>
        </w:numPr>
        <w:suppressLineNumbers/>
        <w:suppressAutoHyphens/>
        <w:adjustRightInd w:val="0"/>
        <w:snapToGrid w:val="0"/>
        <w:ind w:left="0" w:firstLine="709"/>
        <w:rPr>
          <w:rFonts w:cs="Times New Roman"/>
          <w:sz w:val="24"/>
          <w:szCs w:val="24"/>
        </w:rPr>
      </w:pPr>
      <w:r w:rsidRPr="00977953">
        <w:rPr>
          <w:rFonts w:cs="Times New Roman" w:hint="eastAsia"/>
          <w:kern w:val="22"/>
          <w:sz w:val="24"/>
          <w:szCs w:val="24"/>
          <w:lang w:val="zh-CN"/>
        </w:rPr>
        <w:t>《国际植物保护公约》</w:t>
      </w:r>
      <w:r w:rsidRPr="00977953">
        <w:rPr>
          <w:rFonts w:cs="Times New Roman" w:hint="eastAsia"/>
          <w:kern w:val="22"/>
          <w:sz w:val="24"/>
          <w:szCs w:val="24"/>
        </w:rPr>
        <w:t>：</w:t>
      </w:r>
      <w:r w:rsidRPr="00977953">
        <w:rPr>
          <w:rFonts w:cs="Times New Roman" w:hint="eastAsia"/>
          <w:kern w:val="22"/>
          <w:sz w:val="24"/>
          <w:szCs w:val="24"/>
          <w:lang w:val="zh-CN"/>
        </w:rPr>
        <w:t>可持续利用植物和动物遗传资源、可持续森林管理影响方案</w:t>
      </w:r>
      <w:r w:rsidRPr="00977953">
        <w:rPr>
          <w:rFonts w:cs="Times New Roman" w:hint="eastAsia"/>
          <w:kern w:val="22"/>
          <w:sz w:val="24"/>
          <w:szCs w:val="24"/>
        </w:rPr>
        <w:t>；</w:t>
      </w:r>
    </w:p>
    <w:p w:rsidR="005E3082" w:rsidRPr="00977953" w:rsidRDefault="005E3082">
      <w:pPr>
        <w:pStyle w:val="Para1"/>
        <w:numPr>
          <w:ilvl w:val="0"/>
          <w:numId w:val="29"/>
        </w:numPr>
        <w:suppressLineNumbers/>
        <w:suppressAutoHyphens/>
        <w:adjustRightInd w:val="0"/>
        <w:snapToGrid w:val="0"/>
        <w:ind w:left="0" w:firstLine="709"/>
        <w:rPr>
          <w:rFonts w:cs="Times New Roman"/>
          <w:sz w:val="24"/>
          <w:szCs w:val="24"/>
        </w:rPr>
      </w:pPr>
      <w:r w:rsidRPr="00977953">
        <w:rPr>
          <w:rFonts w:cs="Times New Roman" w:hint="eastAsia"/>
          <w:kern w:val="22"/>
          <w:sz w:val="24"/>
          <w:szCs w:val="24"/>
          <w:lang w:val="zh-CN"/>
        </w:rPr>
        <w:t>《养护野生动物移栖物种公约》</w:t>
      </w:r>
      <w:r w:rsidRPr="00977953">
        <w:rPr>
          <w:rFonts w:cs="Times New Roman" w:hint="eastAsia"/>
          <w:kern w:val="22"/>
          <w:sz w:val="24"/>
          <w:szCs w:val="24"/>
        </w:rPr>
        <w:t>：</w:t>
      </w:r>
      <w:r w:rsidRPr="00977953">
        <w:rPr>
          <w:rFonts w:cs="Times New Roman" w:hint="eastAsia"/>
          <w:kern w:val="22"/>
          <w:sz w:val="24"/>
          <w:szCs w:val="24"/>
          <w:lang w:val="zh-CN"/>
        </w:rPr>
        <w:t>全球保护区面积、全球野生动植物方案、包容性养护</w:t>
      </w:r>
      <w:r w:rsidRPr="00977953">
        <w:rPr>
          <w:rFonts w:cs="Times New Roman" w:hint="eastAsia"/>
          <w:kern w:val="22"/>
          <w:sz w:val="24"/>
          <w:szCs w:val="24"/>
        </w:rPr>
        <w:t>；</w:t>
      </w:r>
    </w:p>
    <w:p w:rsidR="005E3082" w:rsidRPr="00977953" w:rsidRDefault="005E3082">
      <w:pPr>
        <w:pStyle w:val="Para1"/>
        <w:numPr>
          <w:ilvl w:val="0"/>
          <w:numId w:val="29"/>
        </w:numPr>
        <w:suppressLineNumbers/>
        <w:suppressAutoHyphens/>
        <w:adjustRightInd w:val="0"/>
        <w:snapToGrid w:val="0"/>
        <w:ind w:left="0" w:firstLine="709"/>
        <w:rPr>
          <w:rFonts w:cs="Times New Roman"/>
          <w:sz w:val="24"/>
          <w:szCs w:val="24"/>
        </w:rPr>
      </w:pPr>
      <w:r w:rsidRPr="00977953">
        <w:rPr>
          <w:rFonts w:cs="Times New Roman" w:hint="eastAsia"/>
          <w:kern w:val="22"/>
          <w:sz w:val="24"/>
          <w:szCs w:val="24"/>
          <w:lang w:val="zh-CN"/>
        </w:rPr>
        <w:t>《粮食和农业植物遗传资源国际条约》</w:t>
      </w:r>
      <w:r w:rsidRPr="00977953">
        <w:rPr>
          <w:rFonts w:cs="Times New Roman" w:hint="eastAsia"/>
          <w:kern w:val="22"/>
          <w:sz w:val="24"/>
          <w:szCs w:val="24"/>
        </w:rPr>
        <w:t>：</w:t>
      </w:r>
      <w:r w:rsidRPr="00977953">
        <w:rPr>
          <w:rFonts w:cs="Times New Roman" w:hint="eastAsia"/>
          <w:kern w:val="22"/>
          <w:sz w:val="24"/>
          <w:szCs w:val="24"/>
          <w:lang w:val="zh-CN"/>
        </w:rPr>
        <w:t>可持续利用植物和动物遗传资源、执行《关于获取和惠益分享的名古屋议定书》、粮食系统、土地利用和恢复影响方案。</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kern w:val="22"/>
          <w:sz w:val="24"/>
          <w:szCs w:val="24"/>
          <w:lang w:val="zh-CN"/>
        </w:rPr>
        <w:lastRenderedPageBreak/>
        <w:t>第</w:t>
      </w:r>
      <w:r w:rsidRPr="00977953">
        <w:rPr>
          <w:rFonts w:cs="Times New Roman"/>
          <w:kern w:val="22"/>
          <w:sz w:val="24"/>
          <w:szCs w:val="24"/>
        </w:rPr>
        <w:t>XIII/21</w:t>
      </w:r>
      <w:r w:rsidRPr="00977953">
        <w:rPr>
          <w:rFonts w:cs="Times New Roman" w:hint="eastAsia"/>
          <w:kern w:val="22"/>
          <w:sz w:val="24"/>
          <w:szCs w:val="24"/>
          <w:lang w:val="zh-CN"/>
        </w:rPr>
        <w:t>号决定还载有对财务机制中有关恢复生态系统、《</w:t>
      </w:r>
      <w:r w:rsidRPr="00977953">
        <w:rPr>
          <w:rFonts w:cs="Times New Roman"/>
          <w:kern w:val="22"/>
          <w:sz w:val="24"/>
          <w:szCs w:val="24"/>
        </w:rPr>
        <w:t>2011-2020</w:t>
      </w:r>
      <w:r w:rsidRPr="00977953">
        <w:rPr>
          <w:rFonts w:cs="Times New Roman" w:hint="eastAsia"/>
          <w:kern w:val="22"/>
          <w:sz w:val="24"/>
          <w:szCs w:val="24"/>
          <w:lang w:val="zh-CN"/>
        </w:rPr>
        <w:t>年生物多样性战略计划》、爱知生物多样性指标</w:t>
      </w:r>
      <w:r w:rsidRPr="00977953">
        <w:rPr>
          <w:rFonts w:cs="Times New Roman"/>
          <w:kern w:val="22"/>
          <w:sz w:val="24"/>
          <w:szCs w:val="24"/>
        </w:rPr>
        <w:t>11</w:t>
      </w:r>
      <w:r w:rsidRPr="00977953">
        <w:rPr>
          <w:rFonts w:cs="Times New Roman" w:hint="eastAsia"/>
          <w:kern w:val="22"/>
          <w:sz w:val="24"/>
          <w:szCs w:val="24"/>
          <w:lang w:val="zh-CN"/>
        </w:rPr>
        <w:t>和</w:t>
      </w:r>
      <w:r w:rsidRPr="00977953">
        <w:rPr>
          <w:rFonts w:cs="Times New Roman"/>
          <w:kern w:val="22"/>
          <w:sz w:val="24"/>
          <w:szCs w:val="24"/>
        </w:rPr>
        <w:t>12</w:t>
      </w:r>
      <w:r w:rsidRPr="00977953">
        <w:rPr>
          <w:rFonts w:cs="Times New Roman" w:hint="eastAsia"/>
          <w:kern w:val="22"/>
          <w:sz w:val="24"/>
          <w:szCs w:val="24"/>
          <w:lang w:val="zh-CN"/>
        </w:rPr>
        <w:t>、第六次国家报告、跨部门主流化、传统知识、《卡塔赫纳生物安全议定书》和《关于获取和惠益分享的名古屋议定书》的进一步指导意见。全环基金第七次充资期间的方案编制指导文件提议的交付机制提出了这些主题领域的各种项目供资机会</w:t>
      </w:r>
      <w:r w:rsidRPr="00977953">
        <w:rPr>
          <w:rFonts w:cs="Times New Roman" w:hint="eastAsia"/>
          <w:kern w:val="22"/>
          <w:sz w:val="24"/>
          <w:szCs w:val="24"/>
          <w:lang w:val="en-US"/>
        </w:rPr>
        <w:t>，</w:t>
      </w:r>
      <w:r w:rsidRPr="00977953">
        <w:rPr>
          <w:rFonts w:cs="Times New Roman" w:hint="eastAsia"/>
          <w:kern w:val="22"/>
          <w:sz w:val="24"/>
          <w:szCs w:val="24"/>
          <w:lang w:val="zh-CN"/>
        </w:rPr>
        <w:t>例如</w:t>
      </w:r>
      <w:r w:rsidRPr="00977953">
        <w:rPr>
          <w:rFonts w:cs="Times New Roman" w:hint="eastAsia"/>
          <w:kern w:val="22"/>
          <w:sz w:val="24"/>
          <w:szCs w:val="24"/>
          <w:lang w:val="en-US"/>
        </w:rPr>
        <w:t>：</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恢复生态系统：粮食系统、土地使用和恢复影响方案：</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战略计划：扶持活动；</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爱知指标</w:t>
      </w:r>
      <w:r w:rsidRPr="00977953">
        <w:rPr>
          <w:rFonts w:cs="Times New Roman"/>
          <w:kern w:val="22"/>
          <w:sz w:val="24"/>
          <w:szCs w:val="24"/>
          <w:lang w:val="zh-CN"/>
        </w:rPr>
        <w:t>11</w:t>
      </w:r>
      <w:r w:rsidRPr="00977953">
        <w:rPr>
          <w:rFonts w:cs="Times New Roman" w:hint="eastAsia"/>
          <w:kern w:val="22"/>
          <w:sz w:val="24"/>
          <w:szCs w:val="24"/>
          <w:lang w:val="zh-CN"/>
        </w:rPr>
        <w:t>和</w:t>
      </w:r>
      <w:r w:rsidRPr="00977953">
        <w:rPr>
          <w:rFonts w:cs="Times New Roman"/>
          <w:kern w:val="22"/>
          <w:sz w:val="24"/>
          <w:szCs w:val="24"/>
          <w:lang w:val="zh-CN"/>
        </w:rPr>
        <w:t>12</w:t>
      </w:r>
      <w:r w:rsidRPr="00977953">
        <w:rPr>
          <w:rFonts w:cs="Times New Roman" w:hint="eastAsia"/>
          <w:kern w:val="22"/>
          <w:sz w:val="24"/>
          <w:szCs w:val="24"/>
          <w:lang w:val="zh-CN"/>
        </w:rPr>
        <w:t>：全球保护区面积、全球野生动植物方案；</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第六次国家报告：扶持活动；</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跨部门主流化：在优先部门、影响方案和自然资本中将生物多样性主流化；</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传统知识：包容性养护；</w:t>
      </w:r>
    </w:p>
    <w:p w:rsidR="005E3082" w:rsidRPr="00977953" w:rsidRDefault="005E3082">
      <w:pPr>
        <w:pStyle w:val="Para1"/>
        <w:numPr>
          <w:ilvl w:val="0"/>
          <w:numId w:val="23"/>
        </w:numPr>
        <w:suppressLineNumbers/>
        <w:suppressAutoHyphens/>
        <w:adjustRightInd w:val="0"/>
        <w:snapToGrid w:val="0"/>
        <w:spacing w:after="0"/>
        <w:ind w:left="1080"/>
        <w:rPr>
          <w:rFonts w:cs="Times New Roman"/>
          <w:sz w:val="24"/>
          <w:szCs w:val="24"/>
        </w:rPr>
      </w:pPr>
      <w:r w:rsidRPr="00977953">
        <w:rPr>
          <w:rFonts w:cs="Times New Roman" w:hint="eastAsia"/>
          <w:kern w:val="22"/>
          <w:sz w:val="24"/>
          <w:szCs w:val="24"/>
          <w:lang w:val="zh-CN"/>
        </w:rPr>
        <w:t>《卡塔赫纳生物安全议定书》：执行方案；</w:t>
      </w:r>
    </w:p>
    <w:p w:rsidR="005E3082" w:rsidRPr="00977953" w:rsidRDefault="005E3082">
      <w:pPr>
        <w:pStyle w:val="Para1"/>
        <w:numPr>
          <w:ilvl w:val="0"/>
          <w:numId w:val="23"/>
        </w:numPr>
        <w:suppressLineNumbers/>
        <w:suppressAutoHyphens/>
        <w:adjustRightInd w:val="0"/>
        <w:snapToGrid w:val="0"/>
        <w:ind w:left="1080"/>
        <w:rPr>
          <w:rFonts w:cs="Times New Roman"/>
          <w:sz w:val="24"/>
          <w:szCs w:val="24"/>
        </w:rPr>
      </w:pPr>
      <w:r w:rsidRPr="00977953">
        <w:rPr>
          <w:rFonts w:cs="Times New Roman" w:hint="eastAsia"/>
          <w:kern w:val="22"/>
          <w:sz w:val="24"/>
          <w:szCs w:val="24"/>
          <w:lang w:val="zh-CN"/>
        </w:rPr>
        <w:t>《关于获取和惠益分享的名古屋议定书》：执行方案</w:t>
      </w:r>
      <w:r w:rsidR="00844A98">
        <w:rPr>
          <w:rFonts w:cs="Times New Roman" w:hint="eastAsia"/>
          <w:kern w:val="22"/>
          <w:sz w:val="24"/>
          <w:szCs w:val="24"/>
          <w:lang w:val="zh-CN"/>
        </w:rPr>
        <w:t>。</w:t>
      </w:r>
    </w:p>
    <w:p w:rsidR="005E3082" w:rsidRPr="00844A98" w:rsidRDefault="005E3082">
      <w:pPr>
        <w:pStyle w:val="Heading2"/>
        <w:suppressLineNumbers/>
        <w:suppressAutoHyphens/>
        <w:adjustRightInd w:val="0"/>
        <w:snapToGrid w:val="0"/>
        <w:rPr>
          <w:rFonts w:cs="Times New Roman"/>
          <w:bCs w:val="0"/>
          <w:iCs w:val="0"/>
          <w:sz w:val="24"/>
        </w:rPr>
      </w:pPr>
      <w:r w:rsidRPr="00844A98">
        <w:rPr>
          <w:rFonts w:cs="Times New Roman"/>
          <w:bCs w:val="0"/>
          <w:iCs w:val="0"/>
          <w:noProof/>
          <w:kern w:val="22"/>
          <w:sz w:val="24"/>
        </w:rPr>
        <w:t>B.</w:t>
      </w:r>
      <w:r w:rsidR="00844A98">
        <w:rPr>
          <w:rFonts w:cs="Times New Roman"/>
          <w:bCs w:val="0"/>
          <w:iCs w:val="0"/>
          <w:noProof/>
          <w:kern w:val="22"/>
          <w:sz w:val="24"/>
        </w:rPr>
        <w:t xml:space="preserve"> </w:t>
      </w:r>
      <w:r w:rsidRPr="00844A98">
        <w:rPr>
          <w:rFonts w:cs="Times New Roman" w:hint="eastAsia"/>
          <w:bCs w:val="0"/>
          <w:iCs w:val="0"/>
          <w:kern w:val="22"/>
          <w:sz w:val="24"/>
          <w:lang w:val="zh-CN"/>
        </w:rPr>
        <w:t>未来编制指导意见</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kern w:val="22"/>
          <w:sz w:val="24"/>
          <w:szCs w:val="24"/>
          <w:lang w:val="zh-CN"/>
        </w:rPr>
        <w:t>缔约方大会的指导意见由整合现有进一步指导意见和相应全环基金信托基金充资周期的四年期方案优先事项框架而成。在</w:t>
      </w:r>
      <w:r w:rsidRPr="00977953">
        <w:rPr>
          <w:rFonts w:cs="Times New Roman"/>
          <w:kern w:val="22"/>
          <w:sz w:val="24"/>
          <w:szCs w:val="24"/>
          <w:lang w:val="en-US"/>
        </w:rPr>
        <w:t>2010</w:t>
      </w:r>
      <w:r w:rsidRPr="00977953">
        <w:rPr>
          <w:rFonts w:cs="Times New Roman" w:hint="eastAsia"/>
          <w:kern w:val="22"/>
          <w:sz w:val="24"/>
          <w:szCs w:val="24"/>
          <w:lang w:val="zh-CN"/>
        </w:rPr>
        <w:t>年通过《</w:t>
      </w:r>
      <w:r w:rsidRPr="00977953">
        <w:rPr>
          <w:rFonts w:cs="Times New Roman"/>
          <w:kern w:val="22"/>
          <w:sz w:val="24"/>
          <w:szCs w:val="24"/>
          <w:lang w:val="en-US"/>
        </w:rPr>
        <w:t>2011-2020</w:t>
      </w:r>
      <w:r w:rsidRPr="00977953">
        <w:rPr>
          <w:rFonts w:cs="Times New Roman" w:hint="eastAsia"/>
          <w:kern w:val="22"/>
          <w:sz w:val="24"/>
          <w:szCs w:val="24"/>
          <w:lang w:val="zh-CN"/>
        </w:rPr>
        <w:t>年生物多样性战略计划》之前制定了涵盖全环基金第五次充资期间</w:t>
      </w:r>
      <w:r w:rsidRPr="00977953">
        <w:rPr>
          <w:rFonts w:cs="Times New Roman" w:hint="eastAsia"/>
          <w:kern w:val="22"/>
          <w:sz w:val="24"/>
          <w:szCs w:val="24"/>
          <w:lang w:val="en-US"/>
        </w:rPr>
        <w:t>（</w:t>
      </w:r>
      <w:r w:rsidRPr="00977953">
        <w:rPr>
          <w:rFonts w:cs="Times New Roman"/>
          <w:kern w:val="22"/>
          <w:sz w:val="24"/>
          <w:szCs w:val="24"/>
          <w:lang w:val="en-US"/>
        </w:rPr>
        <w:t>2010-2014</w:t>
      </w:r>
      <w:r w:rsidRPr="00977953">
        <w:rPr>
          <w:rFonts w:cs="Times New Roman" w:hint="eastAsia"/>
          <w:kern w:val="22"/>
          <w:sz w:val="24"/>
          <w:szCs w:val="24"/>
          <w:lang w:val="zh-CN"/>
        </w:rPr>
        <w:t>年</w:t>
      </w:r>
      <w:r w:rsidRPr="00977953">
        <w:rPr>
          <w:rFonts w:cs="Times New Roman" w:hint="eastAsia"/>
          <w:kern w:val="22"/>
          <w:sz w:val="24"/>
          <w:szCs w:val="24"/>
          <w:lang w:val="en-US"/>
        </w:rPr>
        <w:t>）</w:t>
      </w:r>
      <w:r w:rsidRPr="00977953">
        <w:rPr>
          <w:rFonts w:cs="Times New Roman" w:hint="eastAsia"/>
          <w:kern w:val="22"/>
          <w:sz w:val="24"/>
          <w:szCs w:val="24"/>
          <w:lang w:val="zh-CN"/>
        </w:rPr>
        <w:t>的第一个四年期以结果为导向的方案优先事项框架之后</w:t>
      </w:r>
      <w:r w:rsidRPr="00977953">
        <w:rPr>
          <w:rFonts w:cs="Times New Roman" w:hint="eastAsia"/>
          <w:kern w:val="22"/>
          <w:sz w:val="24"/>
          <w:szCs w:val="24"/>
          <w:lang w:val="en-US"/>
        </w:rPr>
        <w:t>，</w:t>
      </w:r>
      <w:r w:rsidRPr="00977953">
        <w:rPr>
          <w:rFonts w:cs="Times New Roman" w:hint="eastAsia"/>
          <w:kern w:val="22"/>
          <w:sz w:val="24"/>
          <w:szCs w:val="24"/>
          <w:lang w:val="zh-CN"/>
        </w:rPr>
        <w:t>随后通过的两个四年期框架都采用一种顺理成章的做法</w:t>
      </w:r>
      <w:r w:rsidRPr="00977953">
        <w:rPr>
          <w:rFonts w:cs="Times New Roman" w:hint="eastAsia"/>
          <w:kern w:val="22"/>
          <w:sz w:val="24"/>
          <w:szCs w:val="24"/>
          <w:lang w:val="en-US"/>
        </w:rPr>
        <w:t>，</w:t>
      </w:r>
      <w:r w:rsidRPr="00977953">
        <w:rPr>
          <w:rFonts w:cs="Times New Roman" w:hint="eastAsia"/>
          <w:kern w:val="22"/>
          <w:sz w:val="24"/>
          <w:szCs w:val="24"/>
          <w:lang w:val="zh-CN"/>
        </w:rPr>
        <w:t>其中全环基金第六次充资期间的四年期以结果为导向的方案优先事项框架为执行根据《公约》和《卡塔赫纳议定书》通过的最新战略计划以及根据《名古屋议定书》制定的具体指导意见提供了广泛的指导意见</w:t>
      </w:r>
      <w:r w:rsidRPr="00977953">
        <w:rPr>
          <w:rFonts w:cs="Times New Roman" w:hint="eastAsia"/>
          <w:kern w:val="22"/>
          <w:sz w:val="24"/>
          <w:szCs w:val="24"/>
          <w:lang w:val="en-US"/>
        </w:rPr>
        <w:t>，</w:t>
      </w:r>
      <w:r w:rsidRPr="00977953">
        <w:rPr>
          <w:rFonts w:cs="Times New Roman" w:hint="eastAsia"/>
          <w:kern w:val="22"/>
          <w:sz w:val="24"/>
          <w:szCs w:val="24"/>
          <w:lang w:val="zh-CN"/>
        </w:rPr>
        <w:t>而全环基金第七次充资期间的四年期以结果为导向的方案优先事项框架指明了全环基金将对实现剩余年份中的现有战略计划增供必要资金的领域以及对主要扶持活动特别是那些将在</w:t>
      </w:r>
      <w:r w:rsidRPr="00977953">
        <w:rPr>
          <w:rFonts w:cs="Times New Roman"/>
          <w:kern w:val="22"/>
          <w:sz w:val="24"/>
          <w:szCs w:val="24"/>
          <w:lang w:val="en-US"/>
        </w:rPr>
        <w:t>2020</w:t>
      </w:r>
      <w:r w:rsidRPr="00977953">
        <w:rPr>
          <w:rFonts w:cs="Times New Roman" w:hint="eastAsia"/>
          <w:kern w:val="22"/>
          <w:sz w:val="24"/>
          <w:szCs w:val="24"/>
          <w:lang w:val="zh-CN"/>
        </w:rPr>
        <w:t>年后变得重要的扶持活动优先给予支持的领域。不过</w:t>
      </w:r>
      <w:r w:rsidRPr="00977953">
        <w:rPr>
          <w:rFonts w:cs="Times New Roman" w:hint="eastAsia"/>
          <w:kern w:val="22"/>
          <w:sz w:val="24"/>
          <w:szCs w:val="24"/>
          <w:lang w:val="en-US"/>
        </w:rPr>
        <w:t>，</w:t>
      </w:r>
      <w:r w:rsidRPr="00977953">
        <w:rPr>
          <w:rFonts w:cs="Times New Roman" w:hint="eastAsia"/>
          <w:kern w:val="22"/>
          <w:sz w:val="24"/>
          <w:szCs w:val="24"/>
          <w:lang w:val="zh-CN"/>
        </w:rPr>
        <w:t>这两个框架是各自独立制定的</w:t>
      </w:r>
      <w:r w:rsidRPr="00977953">
        <w:rPr>
          <w:rFonts w:cs="Times New Roman" w:hint="eastAsia"/>
          <w:kern w:val="22"/>
          <w:sz w:val="24"/>
          <w:szCs w:val="24"/>
          <w:lang w:val="en-US"/>
        </w:rPr>
        <w:t>，</w:t>
      </w:r>
      <w:r w:rsidRPr="00977953">
        <w:rPr>
          <w:rFonts w:cs="Times New Roman" w:hint="eastAsia"/>
          <w:kern w:val="22"/>
          <w:sz w:val="24"/>
          <w:szCs w:val="24"/>
          <w:lang w:val="zh-CN"/>
        </w:rPr>
        <w:t>因此</w:t>
      </w:r>
      <w:r w:rsidRPr="00977953">
        <w:rPr>
          <w:rFonts w:cs="Times New Roman" w:hint="eastAsia"/>
          <w:kern w:val="22"/>
          <w:sz w:val="24"/>
          <w:szCs w:val="24"/>
          <w:lang w:val="en-US"/>
        </w:rPr>
        <w:t>，</w:t>
      </w:r>
      <w:r w:rsidRPr="00977953">
        <w:rPr>
          <w:rFonts w:cs="Times New Roman" w:hint="eastAsia"/>
          <w:kern w:val="22"/>
          <w:sz w:val="24"/>
          <w:szCs w:val="24"/>
          <w:lang w:val="zh-CN"/>
        </w:rPr>
        <w:t>从这个观点来说</w:t>
      </w:r>
      <w:r w:rsidRPr="00977953">
        <w:rPr>
          <w:rFonts w:cs="Times New Roman" w:hint="eastAsia"/>
          <w:kern w:val="22"/>
          <w:sz w:val="24"/>
          <w:szCs w:val="24"/>
          <w:lang w:val="en-US"/>
        </w:rPr>
        <w:t>，</w:t>
      </w:r>
      <w:r w:rsidRPr="00977953">
        <w:rPr>
          <w:rFonts w:cs="Times New Roman" w:hint="eastAsia"/>
          <w:kern w:val="22"/>
          <w:sz w:val="24"/>
          <w:szCs w:val="24"/>
          <w:lang w:val="zh-CN"/>
        </w:rPr>
        <w:t>这种战略上顺理成章的做法可根据对目前的战略计划达成的后续协议进一步得到加强和整合</w:t>
      </w:r>
      <w:r w:rsidRPr="00977953">
        <w:rPr>
          <w:rFonts w:cs="Times New Roman" w:hint="eastAsia"/>
          <w:kern w:val="22"/>
          <w:sz w:val="24"/>
          <w:szCs w:val="24"/>
          <w:lang w:val="en-US"/>
        </w:rPr>
        <w:t>，</w:t>
      </w:r>
      <w:r w:rsidRPr="00977953">
        <w:rPr>
          <w:rFonts w:cs="Times New Roman" w:hint="eastAsia"/>
          <w:kern w:val="22"/>
          <w:sz w:val="24"/>
          <w:szCs w:val="24"/>
          <w:lang w:val="zh-CN"/>
        </w:rPr>
        <w:t>而理想状况是为落实未来十年后续框架设定提供资金的路线图。在此同时</w:t>
      </w:r>
      <w:r w:rsidRPr="00977953">
        <w:rPr>
          <w:rFonts w:cs="Times New Roman" w:hint="eastAsia"/>
          <w:kern w:val="22"/>
          <w:sz w:val="24"/>
          <w:szCs w:val="24"/>
          <w:lang w:val="en-US"/>
        </w:rPr>
        <w:t>，</w:t>
      </w:r>
      <w:r w:rsidRPr="00977953">
        <w:rPr>
          <w:rFonts w:cs="Times New Roman" w:hint="eastAsia"/>
          <w:kern w:val="22"/>
          <w:sz w:val="24"/>
          <w:szCs w:val="24"/>
          <w:lang w:val="zh-CN"/>
        </w:rPr>
        <w:t>可探索进一步改善设计四年期方案优先事项框架的机会。</w:t>
      </w:r>
    </w:p>
    <w:p w:rsidR="005E3082" w:rsidRPr="00977953" w:rsidRDefault="005E3082">
      <w:pPr>
        <w:pStyle w:val="Heading1"/>
        <w:suppressLineNumbers/>
        <w:tabs>
          <w:tab w:val="clear" w:pos="720"/>
          <w:tab w:val="left" w:pos="360"/>
        </w:tabs>
        <w:suppressAutoHyphens/>
        <w:adjustRightInd w:val="0"/>
        <w:snapToGrid w:val="0"/>
        <w:spacing w:before="120"/>
        <w:rPr>
          <w:rFonts w:cs="Times New Roman"/>
          <w:sz w:val="24"/>
        </w:rPr>
      </w:pPr>
      <w:r w:rsidRPr="00977953">
        <w:rPr>
          <w:rFonts w:cs="Times New Roman" w:hint="eastAsia"/>
          <w:kern w:val="22"/>
          <w:sz w:val="24"/>
          <w:lang w:val="zh-CN"/>
        </w:rPr>
        <w:t>二</w:t>
      </w:r>
      <w:r w:rsidRPr="00977953">
        <w:rPr>
          <w:rFonts w:cs="Times New Roman" w:hint="eastAsia"/>
          <w:kern w:val="22"/>
          <w:sz w:val="24"/>
          <w:lang w:val="en-US"/>
        </w:rPr>
        <w:t>．</w:t>
      </w:r>
      <w:r w:rsidRPr="00977953">
        <w:rPr>
          <w:rFonts w:cs="Times New Roman"/>
          <w:kern w:val="22"/>
          <w:sz w:val="24"/>
        </w:rPr>
        <w:tab/>
      </w:r>
      <w:r w:rsidRPr="00977953">
        <w:rPr>
          <w:rFonts w:cs="Times New Roman" w:hint="eastAsia"/>
          <w:kern w:val="22"/>
          <w:sz w:val="24"/>
          <w:lang w:val="zh-CN"/>
        </w:rPr>
        <w:t>全球环境基金理事会提交的报告</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t>第</w:t>
      </w:r>
      <w:r w:rsidRPr="00977953">
        <w:rPr>
          <w:rFonts w:cs="Times New Roman"/>
          <w:sz w:val="24"/>
          <w:szCs w:val="24"/>
        </w:rPr>
        <w:t>III/8</w:t>
      </w:r>
      <w:r w:rsidRPr="00977953">
        <w:rPr>
          <w:rFonts w:cs="Times New Roman" w:hint="eastAsia"/>
          <w:sz w:val="24"/>
          <w:szCs w:val="24"/>
          <w:lang w:val="zh-CN"/>
        </w:rPr>
        <w:t>号决定通过的谅解备忘录指出</w:t>
      </w:r>
      <w:r w:rsidRPr="00977953">
        <w:rPr>
          <w:rFonts w:cs="Times New Roman" w:hint="eastAsia"/>
          <w:sz w:val="24"/>
          <w:szCs w:val="24"/>
        </w:rPr>
        <w:t>，</w:t>
      </w:r>
      <w:r w:rsidRPr="00977953">
        <w:rPr>
          <w:rFonts w:cs="Times New Roman" w:hint="eastAsia"/>
          <w:sz w:val="24"/>
          <w:szCs w:val="24"/>
          <w:lang w:val="zh-CN"/>
        </w:rPr>
        <w:t>这些报告应包括全环基金理事会、其秘书处及其实施和执行机构如何应用指导意见和执行缔约方大会确定的政策、战略、方案优先事项和资格标准以及缔约方大会根据《公约》第</w:t>
      </w:r>
      <w:r w:rsidRPr="00977953">
        <w:rPr>
          <w:rFonts w:cs="Times New Roman"/>
          <w:sz w:val="24"/>
          <w:szCs w:val="24"/>
        </w:rPr>
        <w:t>21</w:t>
      </w:r>
      <w:r w:rsidRPr="00977953">
        <w:rPr>
          <w:rFonts w:cs="Times New Roman" w:hint="eastAsia"/>
          <w:sz w:val="24"/>
          <w:szCs w:val="24"/>
          <w:lang w:val="zh-CN"/>
        </w:rPr>
        <w:t>条通知全环基金的任何其他决定的具体信息。</w:t>
      </w:r>
      <w:r w:rsidRPr="00977953">
        <w:rPr>
          <w:rFonts w:cs="Times New Roman" w:hint="eastAsia"/>
          <w:kern w:val="22"/>
          <w:sz w:val="24"/>
          <w:szCs w:val="24"/>
          <w:lang w:val="zh-CN"/>
        </w:rPr>
        <w:t>全环基金理事会还应报告在生物多样性重点领域项目的监测和评估活动。在第</w:t>
      </w:r>
      <w:r w:rsidRPr="00977953">
        <w:rPr>
          <w:rFonts w:cs="Times New Roman"/>
          <w:kern w:val="22"/>
          <w:sz w:val="24"/>
          <w:szCs w:val="24"/>
          <w:lang w:val="en-US"/>
        </w:rPr>
        <w:t>XII/30</w:t>
      </w:r>
      <w:r w:rsidRPr="00977953">
        <w:rPr>
          <w:rFonts w:cs="Times New Roman" w:hint="eastAsia"/>
          <w:kern w:val="22"/>
          <w:sz w:val="24"/>
          <w:szCs w:val="24"/>
          <w:lang w:val="zh-CN"/>
        </w:rPr>
        <w:t>号决定中</w:t>
      </w:r>
      <w:r w:rsidRPr="00977953">
        <w:rPr>
          <w:rFonts w:cs="Times New Roman" w:hint="eastAsia"/>
          <w:kern w:val="22"/>
          <w:sz w:val="24"/>
          <w:szCs w:val="24"/>
          <w:lang w:val="en-US"/>
        </w:rPr>
        <w:t>，</w:t>
      </w:r>
      <w:r w:rsidRPr="00977953">
        <w:rPr>
          <w:rFonts w:cs="Times New Roman" w:hint="eastAsia"/>
          <w:kern w:val="22"/>
          <w:sz w:val="24"/>
          <w:szCs w:val="24"/>
          <w:lang w:val="zh-CN"/>
        </w:rPr>
        <w:t>缔约方大会决定全球环境基金应</w:t>
      </w:r>
      <w:r w:rsidRPr="00977953">
        <w:rPr>
          <w:rFonts w:cs="Times New Roman" w:hint="eastAsia"/>
          <w:color w:val="000000"/>
          <w:kern w:val="22"/>
          <w:sz w:val="24"/>
          <w:szCs w:val="24"/>
          <w:lang w:val="zh-CN"/>
        </w:rPr>
        <w:t>在缔约方大会将要正式审议全球环境基金报告的那届会议之前的一次会议上</w:t>
      </w:r>
      <w:r w:rsidRPr="00977953">
        <w:rPr>
          <w:rFonts w:cs="Times New Roman" w:hint="eastAsia"/>
          <w:color w:val="000000"/>
          <w:kern w:val="22"/>
          <w:sz w:val="24"/>
          <w:szCs w:val="24"/>
          <w:lang w:val="en-US"/>
        </w:rPr>
        <w:t>，</w:t>
      </w:r>
      <w:r w:rsidRPr="00977953">
        <w:rPr>
          <w:rFonts w:cs="Times New Roman" w:hint="eastAsia"/>
          <w:color w:val="000000"/>
          <w:kern w:val="22"/>
          <w:sz w:val="24"/>
          <w:szCs w:val="24"/>
          <w:lang w:val="zh-CN"/>
        </w:rPr>
        <w:t>向执行问题附属机构提交其给缔约方大会报告的初稿</w:t>
      </w:r>
      <w:r w:rsidRPr="00977953">
        <w:rPr>
          <w:rFonts w:cs="Times New Roman" w:hint="eastAsia"/>
          <w:color w:val="000000"/>
          <w:kern w:val="22"/>
          <w:sz w:val="24"/>
          <w:szCs w:val="24"/>
          <w:lang w:val="en-US"/>
        </w:rPr>
        <w:t>，</w:t>
      </w:r>
      <w:r w:rsidRPr="00977953">
        <w:rPr>
          <w:rFonts w:cs="Times New Roman" w:hint="eastAsia"/>
          <w:color w:val="000000"/>
          <w:kern w:val="22"/>
          <w:sz w:val="24"/>
          <w:szCs w:val="24"/>
          <w:lang w:val="zh-CN"/>
        </w:rPr>
        <w:t>尤其将重点放在全球环境基金对缔约方大会提出的的指导意见所采取的行动上</w:t>
      </w:r>
      <w:r w:rsidRPr="00977953">
        <w:rPr>
          <w:rFonts w:cs="Times New Roman" w:hint="eastAsia"/>
          <w:color w:val="000000"/>
          <w:kern w:val="22"/>
          <w:sz w:val="24"/>
          <w:szCs w:val="24"/>
          <w:lang w:val="en-US"/>
        </w:rPr>
        <w:t>，</w:t>
      </w:r>
      <w:r w:rsidRPr="00977953">
        <w:rPr>
          <w:rFonts w:cs="Times New Roman" w:hint="eastAsia"/>
          <w:color w:val="000000"/>
          <w:kern w:val="22"/>
          <w:sz w:val="24"/>
          <w:szCs w:val="24"/>
          <w:lang w:val="zh-CN"/>
        </w:rPr>
        <w:t>以期促进有效和及时地审议报告中提供的信息</w:t>
      </w:r>
      <w:r w:rsidRPr="00977953">
        <w:rPr>
          <w:rFonts w:cs="Times New Roman" w:hint="eastAsia"/>
          <w:kern w:val="22"/>
          <w:sz w:val="24"/>
          <w:szCs w:val="24"/>
          <w:lang w:val="zh-CN"/>
        </w:rPr>
        <w:t>。</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kern w:val="22"/>
          <w:sz w:val="24"/>
          <w:szCs w:val="24"/>
          <w:lang w:val="zh-CN"/>
        </w:rPr>
        <w:t>第</w:t>
      </w:r>
      <w:r w:rsidRPr="00977953">
        <w:rPr>
          <w:rFonts w:cs="Times New Roman"/>
          <w:kern w:val="22"/>
          <w:sz w:val="24"/>
          <w:szCs w:val="24"/>
        </w:rPr>
        <w:t>XIII/21</w:t>
      </w:r>
      <w:r w:rsidRPr="00977953">
        <w:rPr>
          <w:rFonts w:cs="Times New Roman" w:hint="eastAsia"/>
          <w:kern w:val="22"/>
          <w:sz w:val="24"/>
          <w:szCs w:val="24"/>
          <w:lang w:val="zh-CN"/>
        </w:rPr>
        <w:t>号决定附件二综合了全环基金理事会报告提出的各项要求</w:t>
      </w:r>
      <w:r w:rsidRPr="00977953">
        <w:rPr>
          <w:rFonts w:cs="Times New Roman" w:hint="eastAsia"/>
          <w:kern w:val="22"/>
          <w:sz w:val="24"/>
          <w:szCs w:val="24"/>
        </w:rPr>
        <w:t>，</w:t>
      </w:r>
      <w:r w:rsidRPr="00977953">
        <w:rPr>
          <w:rFonts w:cs="Times New Roman" w:hint="eastAsia"/>
          <w:kern w:val="22"/>
          <w:sz w:val="24"/>
          <w:szCs w:val="24"/>
          <w:lang w:val="zh-CN"/>
        </w:rPr>
        <w:t>其中包括</w:t>
      </w:r>
      <w:r w:rsidRPr="00977953">
        <w:rPr>
          <w:rFonts w:cs="Times New Roman" w:hint="eastAsia"/>
          <w:kern w:val="22"/>
          <w:sz w:val="24"/>
          <w:szCs w:val="24"/>
        </w:rPr>
        <w:t>：（</w:t>
      </w:r>
      <w:r w:rsidRPr="00977953">
        <w:rPr>
          <w:rFonts w:cs="Times New Roman"/>
          <w:kern w:val="22"/>
          <w:sz w:val="24"/>
          <w:szCs w:val="24"/>
        </w:rPr>
        <w:t>a</w:t>
      </w:r>
      <w:r w:rsidRPr="00977953">
        <w:rPr>
          <w:rFonts w:cs="Times New Roman" w:hint="eastAsia"/>
          <w:kern w:val="22"/>
          <w:sz w:val="24"/>
          <w:szCs w:val="24"/>
        </w:rPr>
        <w:t>）</w:t>
      </w:r>
      <w:r w:rsidRPr="00977953">
        <w:rPr>
          <w:rFonts w:cs="Times New Roman" w:hint="eastAsia"/>
          <w:kern w:val="22"/>
          <w:sz w:val="24"/>
          <w:szCs w:val="24"/>
          <w:lang w:val="zh-CN"/>
        </w:rPr>
        <w:t>向执行问题附属机构提交报告初稿</w:t>
      </w:r>
      <w:r w:rsidRPr="00977953">
        <w:rPr>
          <w:rFonts w:cs="Times New Roman" w:hint="eastAsia"/>
          <w:kern w:val="22"/>
          <w:sz w:val="24"/>
          <w:szCs w:val="24"/>
        </w:rPr>
        <w:t>，</w:t>
      </w:r>
      <w:r w:rsidRPr="00977953">
        <w:rPr>
          <w:rFonts w:cs="Times New Roman" w:hint="eastAsia"/>
          <w:kern w:val="22"/>
          <w:sz w:val="24"/>
          <w:szCs w:val="24"/>
          <w:lang w:val="zh-CN"/>
        </w:rPr>
        <w:t>其中特别侧重于全球环境基金对缔约方大会以前提出的指导意见所采取的活动</w:t>
      </w:r>
      <w:r w:rsidRPr="00977953">
        <w:rPr>
          <w:rFonts w:cs="Times New Roman" w:hint="eastAsia"/>
          <w:kern w:val="22"/>
          <w:sz w:val="24"/>
          <w:szCs w:val="24"/>
        </w:rPr>
        <w:t>；（</w:t>
      </w:r>
      <w:r w:rsidRPr="00977953">
        <w:rPr>
          <w:rFonts w:cs="Times New Roman"/>
          <w:kern w:val="22"/>
          <w:sz w:val="24"/>
          <w:szCs w:val="24"/>
        </w:rPr>
        <w:t>b</w:t>
      </w:r>
      <w:r w:rsidRPr="00977953">
        <w:rPr>
          <w:rFonts w:cs="Times New Roman" w:hint="eastAsia"/>
          <w:kern w:val="22"/>
          <w:sz w:val="24"/>
          <w:szCs w:val="24"/>
        </w:rPr>
        <w:t>）</w:t>
      </w:r>
      <w:r w:rsidRPr="00977953">
        <w:rPr>
          <w:rFonts w:cs="Times New Roman" w:hint="eastAsia"/>
          <w:kern w:val="22"/>
          <w:sz w:val="24"/>
          <w:szCs w:val="24"/>
          <w:lang w:val="zh-CN"/>
        </w:rPr>
        <w:t>关于四年期以成果为导向的方案优先事项框架的执行情况以及它如何应对个别因素的信息</w:t>
      </w:r>
      <w:r w:rsidRPr="00977953">
        <w:rPr>
          <w:rFonts w:cs="Times New Roman" w:hint="eastAsia"/>
          <w:kern w:val="22"/>
          <w:sz w:val="24"/>
          <w:szCs w:val="24"/>
        </w:rPr>
        <w:t>；（</w:t>
      </w:r>
      <w:r w:rsidRPr="00977953">
        <w:rPr>
          <w:rFonts w:cs="Times New Roman"/>
          <w:kern w:val="22"/>
          <w:sz w:val="24"/>
          <w:szCs w:val="24"/>
        </w:rPr>
        <w:t>c</w:t>
      </w:r>
      <w:r w:rsidRPr="00977953">
        <w:rPr>
          <w:rFonts w:cs="Times New Roman" w:hint="eastAsia"/>
          <w:kern w:val="22"/>
          <w:sz w:val="24"/>
          <w:szCs w:val="24"/>
        </w:rPr>
        <w:t>）</w:t>
      </w:r>
      <w:r w:rsidRPr="00977953">
        <w:rPr>
          <w:rFonts w:cs="Times New Roman" w:hint="eastAsia"/>
          <w:kern w:val="22"/>
          <w:sz w:val="24"/>
          <w:szCs w:val="24"/>
          <w:lang w:val="zh-CN"/>
        </w:rPr>
        <w:t>计划回应确定资金需求的报告。第</w:t>
      </w:r>
      <w:r w:rsidRPr="00977953">
        <w:rPr>
          <w:rFonts w:cs="Times New Roman"/>
          <w:kern w:val="22"/>
          <w:sz w:val="24"/>
          <w:szCs w:val="24"/>
          <w:lang w:val="en-US"/>
        </w:rPr>
        <w:lastRenderedPageBreak/>
        <w:t>XIII/21</w:t>
      </w:r>
      <w:r w:rsidRPr="00977953">
        <w:rPr>
          <w:rFonts w:cs="Times New Roman" w:hint="eastAsia"/>
          <w:kern w:val="22"/>
          <w:sz w:val="24"/>
          <w:szCs w:val="24"/>
          <w:lang w:val="zh-CN"/>
        </w:rPr>
        <w:t>号决定还载有一些对全环基金提供具体指导意见的段落</w:t>
      </w:r>
      <w:r w:rsidRPr="00977953">
        <w:rPr>
          <w:rFonts w:cs="Times New Roman" w:hint="eastAsia"/>
          <w:kern w:val="22"/>
          <w:sz w:val="24"/>
          <w:szCs w:val="24"/>
          <w:lang w:val="en-US"/>
        </w:rPr>
        <w:t>，</w:t>
      </w:r>
      <w:r w:rsidRPr="00977953">
        <w:rPr>
          <w:rFonts w:cs="Times New Roman" w:hint="eastAsia"/>
          <w:kern w:val="22"/>
          <w:sz w:val="24"/>
          <w:szCs w:val="24"/>
          <w:lang w:val="zh-CN"/>
        </w:rPr>
        <w:t>包括在报告中列入提供具体信息的要求。</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kern w:val="22"/>
          <w:sz w:val="24"/>
          <w:szCs w:val="24"/>
          <w:lang w:val="zh-CN"/>
        </w:rPr>
        <w:t>全球环境基金提交缔约方大会第十四届会议的报告初稿载于</w:t>
      </w:r>
      <w:r w:rsidRPr="00977953">
        <w:rPr>
          <w:rFonts w:cs="Times New Roman"/>
          <w:kern w:val="22"/>
          <w:sz w:val="24"/>
          <w:szCs w:val="24"/>
        </w:rPr>
        <w:t>CBD/SBI/2/8/Add.1</w:t>
      </w:r>
      <w:r w:rsidRPr="00977953">
        <w:rPr>
          <w:rFonts w:cs="Times New Roman" w:hint="eastAsia"/>
          <w:kern w:val="22"/>
          <w:sz w:val="24"/>
          <w:szCs w:val="24"/>
          <w:lang w:val="zh-CN"/>
        </w:rPr>
        <w:t>号文件</w:t>
      </w:r>
      <w:r w:rsidRPr="00977953">
        <w:rPr>
          <w:rFonts w:cs="Times New Roman" w:hint="eastAsia"/>
          <w:kern w:val="22"/>
          <w:sz w:val="24"/>
          <w:szCs w:val="24"/>
        </w:rPr>
        <w:t>，</w:t>
      </w:r>
      <w:r w:rsidRPr="00977953">
        <w:rPr>
          <w:rFonts w:cs="Times New Roman" w:hint="eastAsia"/>
          <w:kern w:val="22"/>
          <w:sz w:val="24"/>
          <w:szCs w:val="24"/>
          <w:lang w:val="zh-CN"/>
        </w:rPr>
        <w:t>供附属机构审议。全环基金理事会对载于第</w:t>
      </w:r>
      <w:r w:rsidRPr="00977953">
        <w:rPr>
          <w:rFonts w:cs="Times New Roman"/>
          <w:kern w:val="22"/>
          <w:sz w:val="24"/>
          <w:szCs w:val="24"/>
          <w:lang w:val="en-US"/>
        </w:rPr>
        <w:t>XIII/21</w:t>
      </w:r>
      <w:r w:rsidRPr="00977953">
        <w:rPr>
          <w:rFonts w:cs="Times New Roman" w:hint="eastAsia"/>
          <w:kern w:val="22"/>
          <w:sz w:val="24"/>
          <w:szCs w:val="24"/>
          <w:lang w:val="zh-CN"/>
        </w:rPr>
        <w:t>号决定的指导意见所采取的行动列于其报告表</w:t>
      </w:r>
      <w:r w:rsidRPr="00977953">
        <w:rPr>
          <w:rFonts w:cs="Times New Roman"/>
          <w:kern w:val="22"/>
          <w:sz w:val="24"/>
          <w:szCs w:val="24"/>
          <w:lang w:val="en-US"/>
        </w:rPr>
        <w:t>1</w:t>
      </w:r>
      <w:r w:rsidRPr="00977953">
        <w:rPr>
          <w:rFonts w:cs="Times New Roman" w:hint="eastAsia"/>
          <w:kern w:val="22"/>
          <w:sz w:val="24"/>
          <w:szCs w:val="24"/>
          <w:lang w:val="zh-CN"/>
        </w:rPr>
        <w:t>。</w:t>
      </w:r>
    </w:p>
    <w:p w:rsidR="005E3082" w:rsidRPr="00977953" w:rsidRDefault="005E3082">
      <w:pPr>
        <w:pStyle w:val="Heading1"/>
        <w:suppressLineNumbers/>
        <w:tabs>
          <w:tab w:val="clear" w:pos="720"/>
          <w:tab w:val="left" w:pos="450"/>
        </w:tabs>
        <w:suppressAutoHyphens/>
        <w:adjustRightInd w:val="0"/>
        <w:snapToGrid w:val="0"/>
        <w:spacing w:before="120"/>
        <w:rPr>
          <w:rFonts w:cs="Times New Roman"/>
          <w:sz w:val="24"/>
        </w:rPr>
      </w:pPr>
      <w:r w:rsidRPr="00977953">
        <w:rPr>
          <w:rFonts w:cs="Times New Roman" w:hint="eastAsia"/>
          <w:kern w:val="22"/>
          <w:sz w:val="24"/>
          <w:lang w:val="zh-CN"/>
        </w:rPr>
        <w:t>三</w:t>
      </w:r>
      <w:r w:rsidRPr="00977953">
        <w:rPr>
          <w:rFonts w:cs="Times New Roman"/>
          <w:kern w:val="22"/>
          <w:sz w:val="24"/>
          <w:lang w:val="zh-CN"/>
        </w:rPr>
        <w:t>.</w:t>
      </w:r>
      <w:r w:rsidRPr="00977953">
        <w:rPr>
          <w:rFonts w:cs="Times New Roman"/>
          <w:kern w:val="22"/>
          <w:sz w:val="24"/>
        </w:rPr>
        <w:tab/>
      </w:r>
      <w:r w:rsidRPr="00977953">
        <w:rPr>
          <w:rFonts w:cs="Times New Roman" w:hint="eastAsia"/>
          <w:kern w:val="22"/>
          <w:sz w:val="24"/>
          <w:lang w:val="zh-CN"/>
        </w:rPr>
        <w:t>监测和评估</w:t>
      </w:r>
    </w:p>
    <w:p w:rsidR="005E3082" w:rsidRPr="00844A98" w:rsidRDefault="005E3082">
      <w:pPr>
        <w:pStyle w:val="Heading2"/>
        <w:numPr>
          <w:ilvl w:val="0"/>
          <w:numId w:val="27"/>
        </w:numPr>
        <w:suppressLineNumbers/>
        <w:tabs>
          <w:tab w:val="clear" w:pos="720"/>
          <w:tab w:val="left" w:pos="360"/>
        </w:tabs>
        <w:suppressAutoHyphens/>
        <w:adjustRightInd w:val="0"/>
        <w:snapToGrid w:val="0"/>
        <w:ind w:left="0" w:firstLine="0"/>
        <w:rPr>
          <w:rFonts w:cs="Times New Roman"/>
          <w:bCs w:val="0"/>
          <w:iCs w:val="0"/>
          <w:kern w:val="22"/>
          <w:sz w:val="24"/>
        </w:rPr>
      </w:pPr>
      <w:r w:rsidRPr="00844A98">
        <w:rPr>
          <w:rFonts w:cs="Times New Roman" w:hint="eastAsia"/>
          <w:bCs w:val="0"/>
          <w:iCs w:val="0"/>
          <w:kern w:val="22"/>
          <w:sz w:val="24"/>
          <w:lang w:val="zh-CN"/>
        </w:rPr>
        <w:t>对财务机制成效的第五次审查</w:t>
      </w:r>
    </w:p>
    <w:p w:rsidR="005E3082" w:rsidRPr="00977953" w:rsidRDefault="005E3082">
      <w:pPr>
        <w:numPr>
          <w:ilvl w:val="0"/>
          <w:numId w:val="18"/>
        </w:numPr>
        <w:suppressLineNumbers/>
        <w:suppressAutoHyphens/>
        <w:adjustRightInd w:val="0"/>
        <w:snapToGrid w:val="0"/>
        <w:spacing w:after="120"/>
        <w:ind w:left="0" w:firstLine="0"/>
        <w:rPr>
          <w:rFonts w:cs="Times New Roman"/>
          <w:sz w:val="24"/>
        </w:rPr>
      </w:pPr>
      <w:r w:rsidRPr="00977953">
        <w:rPr>
          <w:rFonts w:cs="Times New Roman" w:hint="eastAsia"/>
          <w:kern w:val="22"/>
          <w:sz w:val="24"/>
          <w:lang w:val="zh-CN"/>
        </w:rPr>
        <w:t>缔约方大会在第</w:t>
      </w:r>
      <w:r w:rsidRPr="00977953">
        <w:rPr>
          <w:rFonts w:cs="Times New Roman"/>
          <w:kern w:val="22"/>
          <w:sz w:val="24"/>
          <w:lang w:val="en-US"/>
        </w:rPr>
        <w:t>XIII/21</w:t>
      </w:r>
      <w:r w:rsidRPr="00977953">
        <w:rPr>
          <w:rFonts w:cs="Times New Roman" w:hint="eastAsia"/>
          <w:kern w:val="22"/>
          <w:sz w:val="24"/>
          <w:lang w:val="zh-CN"/>
        </w:rPr>
        <w:t>号决定中请执行秘书务必依照职权范围对财务机制的成效进行第五次审查</w:t>
      </w:r>
      <w:r w:rsidRPr="00977953">
        <w:rPr>
          <w:rFonts w:cs="Times New Roman" w:hint="eastAsia"/>
          <w:kern w:val="22"/>
          <w:sz w:val="24"/>
          <w:lang w:val="en-US"/>
        </w:rPr>
        <w:t>（</w:t>
      </w:r>
      <w:r w:rsidRPr="00977953">
        <w:rPr>
          <w:rFonts w:cs="Times New Roman" w:hint="eastAsia"/>
          <w:kern w:val="22"/>
          <w:sz w:val="24"/>
          <w:lang w:val="zh-CN"/>
        </w:rPr>
        <w:t>第</w:t>
      </w:r>
      <w:r w:rsidRPr="00977953">
        <w:rPr>
          <w:rFonts w:cs="Times New Roman"/>
          <w:kern w:val="22"/>
          <w:sz w:val="24"/>
          <w:lang w:val="en-US"/>
        </w:rPr>
        <w:t>12</w:t>
      </w:r>
      <w:r w:rsidRPr="00977953">
        <w:rPr>
          <w:rFonts w:cs="Times New Roman" w:hint="eastAsia"/>
          <w:kern w:val="22"/>
          <w:sz w:val="24"/>
          <w:lang w:val="zh-CN"/>
        </w:rPr>
        <w:t>段</w:t>
      </w:r>
      <w:r w:rsidRPr="00977953">
        <w:rPr>
          <w:rFonts w:cs="Times New Roman" w:hint="eastAsia"/>
          <w:kern w:val="22"/>
          <w:sz w:val="24"/>
          <w:lang w:val="en-US"/>
        </w:rPr>
        <w:t>），</w:t>
      </w:r>
      <w:r w:rsidRPr="00977953">
        <w:rPr>
          <w:rFonts w:cs="Times New Roman" w:hint="eastAsia"/>
          <w:kern w:val="22"/>
          <w:sz w:val="24"/>
          <w:lang w:val="zh-CN"/>
        </w:rPr>
        <w:t>包括将审查结果送交执行问题附属机构第二次会议审议。由于没有自愿捐款</w:t>
      </w:r>
      <w:r w:rsidRPr="00977953">
        <w:rPr>
          <w:rFonts w:cs="Times New Roman" w:hint="eastAsia"/>
          <w:kern w:val="22"/>
          <w:sz w:val="24"/>
          <w:lang w:val="en-US"/>
        </w:rPr>
        <w:t>，</w:t>
      </w:r>
      <w:r w:rsidRPr="00977953">
        <w:rPr>
          <w:rFonts w:cs="Times New Roman" w:hint="eastAsia"/>
          <w:kern w:val="22"/>
          <w:sz w:val="24"/>
          <w:lang w:val="zh-CN"/>
        </w:rPr>
        <w:t>在财务上无法根据第</w:t>
      </w:r>
      <w:r w:rsidRPr="00977953">
        <w:rPr>
          <w:rFonts w:cs="Times New Roman"/>
          <w:kern w:val="22"/>
          <w:sz w:val="24"/>
          <w:lang w:val="en-US"/>
        </w:rPr>
        <w:t>XIII/21</w:t>
      </w:r>
      <w:r w:rsidRPr="00977953">
        <w:rPr>
          <w:rFonts w:cs="Times New Roman" w:hint="eastAsia"/>
          <w:kern w:val="22"/>
          <w:sz w:val="24"/>
          <w:lang w:val="zh-CN"/>
        </w:rPr>
        <w:t>号决定附件三所载职权范围所设定的目标、方法和标准聘请有经验的独立评估人员进行审查。</w:t>
      </w:r>
      <w:r w:rsidRPr="00977953">
        <w:rPr>
          <w:rFonts w:cs="Times New Roman" w:hint="eastAsia"/>
          <w:sz w:val="24"/>
          <w:lang w:val="zh-CN"/>
        </w:rPr>
        <w:t>由于第</w:t>
      </w:r>
      <w:r w:rsidRPr="00977953">
        <w:rPr>
          <w:rFonts w:cs="Times New Roman"/>
          <w:sz w:val="24"/>
          <w:lang w:val="en-US"/>
        </w:rPr>
        <w:t>XIII / 21</w:t>
      </w:r>
      <w:r w:rsidRPr="00977953">
        <w:rPr>
          <w:rFonts w:cs="Times New Roman" w:hint="eastAsia"/>
          <w:sz w:val="24"/>
          <w:lang w:val="zh-CN"/>
        </w:rPr>
        <w:t>号决定要求全环基金独立评估办公室</w:t>
      </w:r>
      <w:r w:rsidRPr="00977953">
        <w:rPr>
          <w:rFonts w:cs="Times New Roman" w:hint="eastAsia"/>
          <w:sz w:val="24"/>
          <w:lang w:val="en-US"/>
        </w:rPr>
        <w:t>（</w:t>
      </w:r>
      <w:r w:rsidRPr="00977953">
        <w:rPr>
          <w:rFonts w:cs="Times New Roman" w:hint="eastAsia"/>
          <w:sz w:val="24"/>
          <w:lang w:val="zh-CN"/>
        </w:rPr>
        <w:t>全环基金</w:t>
      </w:r>
      <w:r w:rsidRPr="00977953">
        <w:rPr>
          <w:rFonts w:cs="Times New Roman"/>
          <w:sz w:val="24"/>
          <w:lang w:val="en-US"/>
        </w:rPr>
        <w:t>/</w:t>
      </w:r>
      <w:r w:rsidRPr="00977953">
        <w:rPr>
          <w:rFonts w:cs="Times New Roman" w:hint="eastAsia"/>
          <w:sz w:val="24"/>
          <w:lang w:val="zh-CN"/>
        </w:rPr>
        <w:t>独立评估办公室</w:t>
      </w:r>
      <w:r w:rsidRPr="00977953">
        <w:rPr>
          <w:rFonts w:cs="Times New Roman" w:hint="eastAsia"/>
          <w:sz w:val="24"/>
          <w:lang w:val="en-US"/>
        </w:rPr>
        <w:t>）</w:t>
      </w:r>
      <w:r w:rsidRPr="00977953">
        <w:rPr>
          <w:rFonts w:cs="Times New Roman" w:hint="eastAsia"/>
          <w:sz w:val="24"/>
          <w:lang w:val="zh-CN"/>
        </w:rPr>
        <w:t>审议全环基金在财务机制框架内有关生物多样性活动的报告</w:t>
      </w:r>
      <w:r w:rsidRPr="00977953">
        <w:rPr>
          <w:rFonts w:cs="Times New Roman" w:hint="eastAsia"/>
          <w:sz w:val="24"/>
          <w:lang w:val="en-US"/>
        </w:rPr>
        <w:t>，</w:t>
      </w:r>
      <w:r w:rsidRPr="00977953">
        <w:rPr>
          <w:rFonts w:cs="Times New Roman" w:hint="eastAsia"/>
          <w:sz w:val="24"/>
          <w:lang w:val="zh-CN"/>
        </w:rPr>
        <w:t>包括全环基金第六次综合评估报告</w:t>
      </w:r>
      <w:r w:rsidRPr="00977953">
        <w:rPr>
          <w:rFonts w:cs="Times New Roman" w:hint="eastAsia"/>
          <w:sz w:val="24"/>
          <w:lang w:val="en-US"/>
        </w:rPr>
        <w:t>，</w:t>
      </w:r>
      <w:r w:rsidRPr="00977953">
        <w:rPr>
          <w:rFonts w:cs="Times New Roman" w:hint="eastAsia"/>
          <w:sz w:val="24"/>
          <w:lang w:val="zh-CN"/>
        </w:rPr>
        <w:t>本节简要地概述了全环基金独立评估办公室已提供的相关评估信息</w:t>
      </w:r>
      <w:r w:rsidRPr="00977953">
        <w:rPr>
          <w:rFonts w:cs="Times New Roman" w:hint="eastAsia"/>
          <w:sz w:val="24"/>
          <w:lang w:val="en-US"/>
        </w:rPr>
        <w:t>，</w:t>
      </w:r>
      <w:r w:rsidRPr="00977953">
        <w:rPr>
          <w:rFonts w:cs="Times New Roman" w:hint="eastAsia"/>
          <w:sz w:val="24"/>
          <w:lang w:val="zh-CN"/>
        </w:rPr>
        <w:t>以便便利执行问题附属机构第二次会议对财务机制的成效进行第五次审查。</w:t>
      </w:r>
      <w:r w:rsidRPr="00977953">
        <w:rPr>
          <w:rFonts w:cs="Times New Roman" w:hint="eastAsia"/>
          <w:kern w:val="22"/>
          <w:sz w:val="24"/>
          <w:lang w:val="zh-CN"/>
        </w:rPr>
        <w:t>这项信息的全面总结</w:t>
      </w:r>
      <w:r w:rsidRPr="00977953">
        <w:rPr>
          <w:rFonts w:cs="Times New Roman" w:hint="eastAsia"/>
          <w:kern w:val="22"/>
          <w:sz w:val="24"/>
          <w:lang w:val="en-US"/>
        </w:rPr>
        <w:t>，</w:t>
      </w:r>
      <w:r w:rsidRPr="00977953">
        <w:rPr>
          <w:rFonts w:cs="Times New Roman" w:hint="eastAsia"/>
          <w:kern w:val="22"/>
          <w:sz w:val="24"/>
          <w:lang w:val="zh-CN"/>
        </w:rPr>
        <w:t>包括</w:t>
      </w:r>
      <w:r w:rsidRPr="00977953">
        <w:rPr>
          <w:rFonts w:cs="Times New Roman" w:hint="eastAsia"/>
          <w:sz w:val="24"/>
          <w:lang w:val="zh-CN"/>
        </w:rPr>
        <w:t>全环基金</w:t>
      </w:r>
      <w:r w:rsidRPr="00977953">
        <w:rPr>
          <w:rFonts w:cs="Times New Roman"/>
          <w:sz w:val="24"/>
          <w:lang w:val="en-US"/>
        </w:rPr>
        <w:t>/</w:t>
      </w:r>
      <w:r w:rsidRPr="00977953">
        <w:rPr>
          <w:rFonts w:cs="Times New Roman" w:hint="eastAsia"/>
          <w:sz w:val="24"/>
          <w:lang w:val="zh-CN"/>
        </w:rPr>
        <w:t>独立评估办公室的结论</w:t>
      </w:r>
      <w:r w:rsidRPr="00977953">
        <w:rPr>
          <w:rFonts w:cs="Times New Roman" w:hint="eastAsia"/>
          <w:sz w:val="24"/>
          <w:lang w:val="en-US"/>
        </w:rPr>
        <w:t>，</w:t>
      </w:r>
      <w:r w:rsidRPr="00977953">
        <w:rPr>
          <w:rFonts w:cs="Times New Roman" w:hint="eastAsia"/>
          <w:sz w:val="24"/>
          <w:lang w:val="zh-CN"/>
        </w:rPr>
        <w:t>均载于</w:t>
      </w:r>
      <w:r w:rsidRPr="00977953">
        <w:rPr>
          <w:rFonts w:cs="Times New Roman"/>
          <w:kern w:val="22"/>
          <w:sz w:val="24"/>
          <w:lang w:val="en-US"/>
        </w:rPr>
        <w:t>CBD/SBI/2/INF/25</w:t>
      </w:r>
      <w:r w:rsidRPr="00977953">
        <w:rPr>
          <w:rFonts w:cs="Times New Roman" w:hint="eastAsia"/>
          <w:sz w:val="24"/>
          <w:lang w:val="zh-CN"/>
        </w:rPr>
        <w:t>号文件。</w:t>
      </w:r>
    </w:p>
    <w:p w:rsidR="005E3082" w:rsidRPr="00977953" w:rsidRDefault="005E3082">
      <w:pPr>
        <w:pStyle w:val="Para1"/>
        <w:numPr>
          <w:ilvl w:val="0"/>
          <w:numId w:val="18"/>
        </w:numPr>
        <w:suppressLineNumbers/>
        <w:tabs>
          <w:tab w:val="num" w:pos="720"/>
        </w:tabs>
        <w:suppressAutoHyphens/>
        <w:adjustRightInd w:val="0"/>
        <w:snapToGrid w:val="0"/>
        <w:spacing w:before="120" w:after="0"/>
        <w:ind w:left="0" w:firstLine="0"/>
        <w:rPr>
          <w:rFonts w:cs="Times New Roman"/>
          <w:sz w:val="24"/>
          <w:szCs w:val="24"/>
        </w:rPr>
      </w:pPr>
      <w:r w:rsidRPr="00977953">
        <w:rPr>
          <w:rFonts w:cs="Times New Roman" w:hint="eastAsia"/>
          <w:sz w:val="24"/>
          <w:szCs w:val="24"/>
          <w:lang w:val="zh-CN"/>
        </w:rPr>
        <w:t>全环基金</w:t>
      </w:r>
      <w:r w:rsidRPr="00977953">
        <w:rPr>
          <w:rFonts w:cs="Times New Roman"/>
          <w:sz w:val="24"/>
          <w:szCs w:val="24"/>
          <w:lang w:val="en-US"/>
        </w:rPr>
        <w:t>/</w:t>
      </w:r>
      <w:r w:rsidRPr="00977953">
        <w:rPr>
          <w:rFonts w:cs="Times New Roman" w:hint="eastAsia"/>
          <w:sz w:val="24"/>
          <w:szCs w:val="24"/>
          <w:lang w:val="zh-CN"/>
        </w:rPr>
        <w:t>独立评估办公室在前一个充资周期内进行了多次绩效评估、整体和国家评估及专题和影响评估以及重点领域评估</w:t>
      </w:r>
      <w:r w:rsidRPr="00977953">
        <w:rPr>
          <w:rFonts w:cs="Times New Roman" w:hint="eastAsia"/>
          <w:sz w:val="24"/>
          <w:szCs w:val="24"/>
          <w:lang w:val="en-US"/>
        </w:rPr>
        <w:t>，</w:t>
      </w:r>
      <w:r w:rsidRPr="00977953">
        <w:rPr>
          <w:rFonts w:cs="Times New Roman" w:hint="eastAsia"/>
          <w:sz w:val="24"/>
          <w:szCs w:val="24"/>
          <w:lang w:val="zh-CN"/>
        </w:rPr>
        <w:t>并于</w:t>
      </w:r>
      <w:r w:rsidRPr="00977953">
        <w:rPr>
          <w:rFonts w:cs="Times New Roman"/>
          <w:sz w:val="24"/>
          <w:szCs w:val="24"/>
          <w:lang w:val="en-US"/>
        </w:rPr>
        <w:t>2017</w:t>
      </w:r>
      <w:r w:rsidRPr="00977953">
        <w:rPr>
          <w:rFonts w:cs="Times New Roman" w:hint="eastAsia"/>
          <w:sz w:val="24"/>
          <w:szCs w:val="24"/>
          <w:lang w:val="zh-CN"/>
        </w:rPr>
        <w:t>年</w:t>
      </w:r>
      <w:r w:rsidRPr="00977953">
        <w:rPr>
          <w:rFonts w:cs="Times New Roman"/>
          <w:sz w:val="24"/>
          <w:szCs w:val="24"/>
          <w:lang w:val="en-US"/>
        </w:rPr>
        <w:t>12</w:t>
      </w:r>
      <w:r w:rsidRPr="00977953">
        <w:rPr>
          <w:rFonts w:cs="Times New Roman" w:hint="eastAsia"/>
          <w:sz w:val="24"/>
          <w:szCs w:val="24"/>
          <w:lang w:val="zh-CN"/>
        </w:rPr>
        <w:t>月发布了全环基金的第六次综合评估报告。在与生物多样性特别有关的方面</w:t>
      </w:r>
      <w:r w:rsidRPr="00977953">
        <w:rPr>
          <w:rFonts w:cs="Times New Roman" w:hint="eastAsia"/>
          <w:sz w:val="24"/>
          <w:szCs w:val="24"/>
          <w:lang w:val="en-US"/>
        </w:rPr>
        <w:t>，</w:t>
      </w:r>
      <w:r w:rsidRPr="00977953">
        <w:rPr>
          <w:rFonts w:cs="Times New Roman" w:hint="eastAsia"/>
          <w:sz w:val="24"/>
          <w:szCs w:val="24"/>
          <w:lang w:val="zh-CN"/>
        </w:rPr>
        <w:t>全环基金</w:t>
      </w:r>
      <w:r w:rsidRPr="00977953">
        <w:rPr>
          <w:rFonts w:cs="Times New Roman"/>
          <w:sz w:val="24"/>
          <w:szCs w:val="24"/>
          <w:lang w:val="en-US"/>
        </w:rPr>
        <w:t>/</w:t>
      </w:r>
      <w:r w:rsidRPr="00977953">
        <w:rPr>
          <w:rFonts w:cs="Times New Roman" w:hint="eastAsia"/>
          <w:sz w:val="24"/>
          <w:szCs w:val="24"/>
          <w:lang w:val="zh-CN"/>
        </w:rPr>
        <w:t>独立评估办公室编制了关于保护区系统</w:t>
      </w:r>
      <w:r w:rsidRPr="00977953">
        <w:rPr>
          <w:rFonts w:cs="Times New Roman" w:hint="eastAsia"/>
          <w:sz w:val="24"/>
          <w:szCs w:val="24"/>
          <w:lang w:val="en-US"/>
        </w:rPr>
        <w:t>（</w:t>
      </w:r>
      <w:r w:rsidRPr="00977953">
        <w:rPr>
          <w:rFonts w:cs="Times New Roman"/>
          <w:kern w:val="22"/>
          <w:sz w:val="24"/>
          <w:szCs w:val="24"/>
          <w:lang w:val="en-US"/>
        </w:rPr>
        <w:t>GEF/ME/C.49/Inf.02</w:t>
      </w:r>
      <w:r w:rsidRPr="00977953">
        <w:rPr>
          <w:rFonts w:cs="Times New Roman" w:hint="eastAsia"/>
          <w:sz w:val="24"/>
          <w:szCs w:val="24"/>
          <w:lang w:val="en-US"/>
        </w:rPr>
        <w:t>，</w:t>
      </w:r>
      <w:r w:rsidRPr="00977953">
        <w:rPr>
          <w:rFonts w:cs="Times New Roman"/>
          <w:sz w:val="24"/>
          <w:szCs w:val="24"/>
          <w:lang w:val="en-US"/>
        </w:rPr>
        <w:t>2015</w:t>
      </w:r>
      <w:r w:rsidRPr="00977953">
        <w:rPr>
          <w:rFonts w:cs="Times New Roman" w:hint="eastAsia"/>
          <w:sz w:val="24"/>
          <w:szCs w:val="24"/>
          <w:lang w:val="zh-CN"/>
        </w:rPr>
        <w:t>年</w:t>
      </w:r>
      <w:r w:rsidRPr="00977953">
        <w:rPr>
          <w:rFonts w:cs="Times New Roman"/>
          <w:sz w:val="24"/>
          <w:szCs w:val="24"/>
          <w:lang w:val="en-US"/>
        </w:rPr>
        <w:t>10</w:t>
      </w:r>
      <w:r w:rsidRPr="00977953">
        <w:rPr>
          <w:rFonts w:cs="Times New Roman" w:hint="eastAsia"/>
          <w:sz w:val="24"/>
          <w:szCs w:val="24"/>
          <w:lang w:val="zh-CN"/>
        </w:rPr>
        <w:t>月</w:t>
      </w:r>
      <w:r w:rsidRPr="00977953">
        <w:rPr>
          <w:rFonts w:cs="Times New Roman" w:hint="eastAsia"/>
          <w:sz w:val="24"/>
          <w:szCs w:val="24"/>
          <w:lang w:val="en-US"/>
        </w:rPr>
        <w:t>）</w:t>
      </w:r>
      <w:r w:rsidRPr="00977953">
        <w:rPr>
          <w:rFonts w:cs="Times New Roman" w:hint="eastAsia"/>
          <w:sz w:val="24"/>
          <w:szCs w:val="24"/>
          <w:lang w:val="zh-CN"/>
        </w:rPr>
        <w:t>、物种管理和获取和惠益分享以及《名古屋议定书》</w:t>
      </w:r>
      <w:r w:rsidRPr="00977953">
        <w:rPr>
          <w:rFonts w:cs="Times New Roman" w:hint="eastAsia"/>
          <w:sz w:val="24"/>
          <w:szCs w:val="24"/>
          <w:lang w:val="en-US"/>
        </w:rPr>
        <w:t>（</w:t>
      </w:r>
      <w:r w:rsidRPr="00977953">
        <w:rPr>
          <w:rFonts w:cs="Times New Roman"/>
          <w:kern w:val="22"/>
          <w:sz w:val="24"/>
          <w:szCs w:val="24"/>
          <w:lang w:val="en-US"/>
        </w:rPr>
        <w:t>GEF/ME/C.53/Inf.03</w:t>
      </w:r>
      <w:r w:rsidRPr="00977953">
        <w:rPr>
          <w:rFonts w:cs="Times New Roman" w:hint="eastAsia"/>
          <w:sz w:val="24"/>
          <w:szCs w:val="24"/>
          <w:lang w:val="en-US"/>
        </w:rPr>
        <w:t>，</w:t>
      </w:r>
      <w:r w:rsidRPr="00977953">
        <w:rPr>
          <w:rFonts w:cs="Times New Roman"/>
          <w:sz w:val="24"/>
          <w:szCs w:val="24"/>
          <w:lang w:val="en-US"/>
        </w:rPr>
        <w:t>2017</w:t>
      </w:r>
      <w:r w:rsidRPr="00977953">
        <w:rPr>
          <w:rFonts w:cs="Times New Roman" w:hint="eastAsia"/>
          <w:sz w:val="24"/>
          <w:szCs w:val="24"/>
          <w:lang w:val="zh-CN"/>
        </w:rPr>
        <w:t>年</w:t>
      </w:r>
      <w:r w:rsidRPr="00977953">
        <w:rPr>
          <w:rFonts w:cs="Times New Roman"/>
          <w:sz w:val="24"/>
          <w:szCs w:val="24"/>
          <w:lang w:val="en-US"/>
        </w:rPr>
        <w:t>11</w:t>
      </w:r>
      <w:r w:rsidRPr="00977953">
        <w:rPr>
          <w:rFonts w:cs="Times New Roman" w:hint="eastAsia"/>
          <w:sz w:val="24"/>
          <w:szCs w:val="24"/>
          <w:lang w:val="zh-CN"/>
        </w:rPr>
        <w:t>月</w:t>
      </w:r>
      <w:r w:rsidRPr="00977953">
        <w:rPr>
          <w:rFonts w:cs="Times New Roman" w:hint="eastAsia"/>
          <w:sz w:val="24"/>
          <w:szCs w:val="24"/>
          <w:lang w:val="en-US"/>
        </w:rPr>
        <w:t>）</w:t>
      </w:r>
      <w:r w:rsidRPr="00977953">
        <w:rPr>
          <w:rFonts w:cs="Times New Roman" w:hint="eastAsia"/>
          <w:sz w:val="24"/>
          <w:szCs w:val="24"/>
          <w:lang w:val="zh-CN"/>
        </w:rPr>
        <w:t>的评估报告。</w:t>
      </w:r>
      <w:r w:rsidRPr="00977953">
        <w:rPr>
          <w:rFonts w:cs="Times New Roman" w:hint="eastAsia"/>
          <w:kern w:val="22"/>
          <w:sz w:val="24"/>
          <w:szCs w:val="24"/>
          <w:lang w:val="zh-CN"/>
        </w:rPr>
        <w:t>全环基金对支持生物多样性主流化的评估报告将在</w:t>
      </w:r>
      <w:r w:rsidRPr="00977953">
        <w:rPr>
          <w:rFonts w:cs="Times New Roman"/>
          <w:kern w:val="22"/>
          <w:sz w:val="24"/>
          <w:szCs w:val="24"/>
          <w:lang w:val="zh-CN"/>
        </w:rPr>
        <w:t>2018</w:t>
      </w:r>
      <w:r w:rsidRPr="00977953">
        <w:rPr>
          <w:rFonts w:cs="Times New Roman" w:hint="eastAsia"/>
          <w:kern w:val="22"/>
          <w:sz w:val="24"/>
          <w:szCs w:val="24"/>
          <w:lang w:val="zh-CN"/>
        </w:rPr>
        <w:t>年</w:t>
      </w:r>
      <w:r w:rsidRPr="00977953">
        <w:rPr>
          <w:rFonts w:cs="Times New Roman"/>
          <w:kern w:val="22"/>
          <w:sz w:val="24"/>
          <w:szCs w:val="24"/>
          <w:lang w:val="zh-CN"/>
        </w:rPr>
        <w:t>6</w:t>
      </w:r>
      <w:r w:rsidRPr="00977953">
        <w:rPr>
          <w:rFonts w:cs="Times New Roman" w:hint="eastAsia"/>
          <w:kern w:val="22"/>
          <w:sz w:val="24"/>
          <w:szCs w:val="24"/>
          <w:lang w:val="zh-CN"/>
        </w:rPr>
        <w:t>月提供。</w:t>
      </w:r>
    </w:p>
    <w:p w:rsidR="005E3082" w:rsidRPr="00977953" w:rsidRDefault="005E3082">
      <w:pPr>
        <w:pStyle w:val="Para1"/>
        <w:numPr>
          <w:ilvl w:val="0"/>
          <w:numId w:val="18"/>
        </w:numPr>
        <w:suppressLineNumbers/>
        <w:tabs>
          <w:tab w:val="num" w:pos="720"/>
        </w:tabs>
        <w:suppressAutoHyphens/>
        <w:adjustRightInd w:val="0"/>
        <w:snapToGrid w:val="0"/>
        <w:spacing w:before="120"/>
        <w:ind w:left="0" w:firstLine="0"/>
        <w:rPr>
          <w:rFonts w:cs="Times New Roman"/>
          <w:kern w:val="22"/>
          <w:sz w:val="24"/>
          <w:szCs w:val="24"/>
        </w:rPr>
      </w:pPr>
      <w:r w:rsidRPr="00977953">
        <w:rPr>
          <w:rFonts w:cs="Times New Roman" w:hint="eastAsia"/>
          <w:sz w:val="24"/>
          <w:szCs w:val="24"/>
          <w:lang w:val="zh-CN"/>
        </w:rPr>
        <w:t>关于全球环境基金为进一步提高财务机制的效用所应采取的行动清单</w:t>
      </w:r>
      <w:r w:rsidRPr="00977953">
        <w:rPr>
          <w:rFonts w:cs="Times New Roman" w:hint="eastAsia"/>
          <w:sz w:val="24"/>
          <w:szCs w:val="24"/>
        </w:rPr>
        <w:t>，</w:t>
      </w:r>
      <w:r w:rsidRPr="00977953">
        <w:rPr>
          <w:rFonts w:cs="Times New Roman" w:hint="eastAsia"/>
          <w:sz w:val="24"/>
          <w:szCs w:val="24"/>
          <w:lang w:val="zh-CN"/>
        </w:rPr>
        <w:t>如第</w:t>
      </w:r>
      <w:r w:rsidRPr="00977953">
        <w:rPr>
          <w:rFonts w:cs="Times New Roman"/>
          <w:sz w:val="24"/>
          <w:szCs w:val="24"/>
        </w:rPr>
        <w:t>XIII/21</w:t>
      </w:r>
      <w:r w:rsidRPr="00977953">
        <w:rPr>
          <w:rFonts w:cs="Times New Roman" w:hint="eastAsia"/>
          <w:sz w:val="24"/>
          <w:szCs w:val="24"/>
          <w:lang w:val="zh-CN"/>
        </w:rPr>
        <w:t>号决定附件二第</w:t>
      </w:r>
      <w:r w:rsidRPr="00977953">
        <w:rPr>
          <w:rFonts w:cs="Times New Roman"/>
          <w:sz w:val="24"/>
          <w:szCs w:val="24"/>
        </w:rPr>
        <w:t>28</w:t>
      </w:r>
      <w:r w:rsidRPr="00977953">
        <w:rPr>
          <w:rFonts w:cs="Times New Roman" w:hint="eastAsia"/>
          <w:sz w:val="24"/>
          <w:szCs w:val="24"/>
          <w:lang w:val="zh-CN"/>
        </w:rPr>
        <w:t>段所述情况以及同一决定提供的进一步指导意见所载的其他行动</w:t>
      </w:r>
      <w:r w:rsidRPr="00977953">
        <w:rPr>
          <w:rFonts w:cs="Times New Roman" w:hint="eastAsia"/>
          <w:sz w:val="24"/>
          <w:szCs w:val="24"/>
        </w:rPr>
        <w:t>，</w:t>
      </w:r>
      <w:r w:rsidRPr="00977953">
        <w:rPr>
          <w:rFonts w:cs="Times New Roman" w:hint="eastAsia"/>
          <w:sz w:val="24"/>
          <w:szCs w:val="24"/>
          <w:lang w:val="zh-CN"/>
        </w:rPr>
        <w:t>全环基金</w:t>
      </w:r>
      <w:r w:rsidRPr="00977953">
        <w:rPr>
          <w:rFonts w:cs="Times New Roman"/>
          <w:sz w:val="24"/>
          <w:szCs w:val="24"/>
        </w:rPr>
        <w:t>/</w:t>
      </w:r>
      <w:r w:rsidRPr="00977953">
        <w:rPr>
          <w:rFonts w:cs="Times New Roman" w:hint="eastAsia"/>
          <w:sz w:val="24"/>
          <w:szCs w:val="24"/>
          <w:lang w:val="zh-CN"/>
        </w:rPr>
        <w:t>独立评估办公室还提供了以下信息</w:t>
      </w:r>
      <w:r w:rsidRPr="00977953">
        <w:rPr>
          <w:rFonts w:cs="Times New Roman" w:hint="eastAsia"/>
          <w:sz w:val="24"/>
          <w:szCs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将两性平等观点纳入生物多样性和生态系统服务的筹资工作</w:t>
      </w:r>
      <w:r w:rsidRPr="00977953">
        <w:rPr>
          <w:rFonts w:cs="Times New Roman" w:hint="eastAsia"/>
          <w:kern w:val="22"/>
          <w:sz w:val="24"/>
        </w:rPr>
        <w:t>：</w:t>
      </w:r>
      <w:r w:rsidRPr="00977953">
        <w:rPr>
          <w:rFonts w:cs="Times New Roman" w:hint="eastAsia"/>
          <w:kern w:val="22"/>
          <w:sz w:val="24"/>
          <w:lang w:val="zh-CN"/>
        </w:rPr>
        <w:t>评估全环基金两性平等主流化的工作</w:t>
      </w:r>
      <w:r w:rsidRPr="00977953">
        <w:rPr>
          <w:rFonts w:cs="Times New Roman" w:hint="eastAsia"/>
          <w:kern w:val="22"/>
          <w:sz w:val="24"/>
        </w:rPr>
        <w:t>（</w:t>
      </w:r>
      <w:r w:rsidRPr="00977953">
        <w:rPr>
          <w:rFonts w:cs="Times New Roman"/>
          <w:kern w:val="22"/>
          <w:sz w:val="24"/>
        </w:rPr>
        <w:t>GEF/ME/C.52/Inf.09</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5</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项目程序</w:t>
      </w:r>
      <w:r w:rsidRPr="00977953">
        <w:rPr>
          <w:rFonts w:cs="Times New Roman" w:hint="eastAsia"/>
          <w:kern w:val="22"/>
          <w:sz w:val="24"/>
        </w:rPr>
        <w:t>：</w:t>
      </w:r>
      <w:r w:rsidRPr="00977953">
        <w:rPr>
          <w:rFonts w:cs="Times New Roman" w:hint="eastAsia"/>
          <w:kern w:val="22"/>
          <w:sz w:val="24"/>
          <w:lang w:val="zh-CN"/>
        </w:rPr>
        <w:t>评估全环基金的方案办法</w:t>
      </w:r>
      <w:r w:rsidRPr="00977953">
        <w:rPr>
          <w:rFonts w:cs="Times New Roman" w:hint="eastAsia"/>
          <w:kern w:val="22"/>
          <w:sz w:val="24"/>
        </w:rPr>
        <w:t>（</w:t>
      </w:r>
      <w:r w:rsidRPr="00977953">
        <w:rPr>
          <w:rFonts w:cs="Times New Roman"/>
          <w:kern w:val="22"/>
          <w:sz w:val="24"/>
        </w:rPr>
        <w:t>GEF/ME/C.52/Inf.01/Rev.01</w:t>
      </w:r>
      <w:r w:rsidRPr="00977953">
        <w:rPr>
          <w:rFonts w:cs="Times New Roman" w:hint="eastAsia"/>
          <w:kern w:val="22"/>
          <w:sz w:val="24"/>
        </w:rPr>
        <w:t>）</w:t>
      </w:r>
      <w:r w:rsidRPr="00977953">
        <w:rPr>
          <w:rFonts w:cs="Times New Roman" w:hint="eastAsia"/>
          <w:kern w:val="22"/>
          <w:sz w:val="24"/>
          <w:lang w:val="zh-CN"/>
        </w:rPr>
        <w:t>、评估全环基金多重点领域组合的多重惠益</w:t>
      </w:r>
      <w:r w:rsidRPr="00977953">
        <w:rPr>
          <w:rFonts w:cs="Times New Roman" w:hint="eastAsia"/>
          <w:kern w:val="22"/>
          <w:sz w:val="24"/>
        </w:rPr>
        <w:t>（</w:t>
      </w:r>
      <w:r w:rsidRPr="00977953">
        <w:rPr>
          <w:rFonts w:cs="Times New Roman"/>
          <w:kern w:val="22"/>
          <w:sz w:val="24"/>
        </w:rPr>
        <w:t>GEF/ME/C.53/Inf.05</w:t>
      </w:r>
      <w:r w:rsidRPr="00977953">
        <w:rPr>
          <w:rFonts w:cs="Times New Roman" w:hint="eastAsia"/>
          <w:kern w:val="22"/>
          <w:sz w:val="24"/>
        </w:rPr>
        <w:t>）</w:t>
      </w:r>
      <w:r w:rsidRPr="00977953">
        <w:rPr>
          <w:rFonts w:cs="Times New Roman" w:hint="eastAsia"/>
          <w:kern w:val="22"/>
          <w:sz w:val="24"/>
          <w:lang w:val="zh-CN"/>
        </w:rPr>
        <w:t>、综合办法试点项目的形式审查</w:t>
      </w:r>
      <w:r w:rsidRPr="00977953">
        <w:rPr>
          <w:rFonts w:cs="Times New Roman" w:hint="eastAsia"/>
          <w:kern w:val="22"/>
          <w:sz w:val="24"/>
        </w:rPr>
        <w:t>（</w:t>
      </w:r>
      <w:r w:rsidRPr="00977953">
        <w:rPr>
          <w:rFonts w:cs="Times New Roman"/>
          <w:kern w:val="22"/>
          <w:sz w:val="24"/>
        </w:rPr>
        <w:t>GEF/ME/C.53/Inf.04</w:t>
      </w:r>
      <w:r w:rsidRPr="00977953">
        <w:rPr>
          <w:rFonts w:cs="Times New Roman" w:hint="eastAsia"/>
          <w:kern w:val="22"/>
          <w:sz w:val="24"/>
        </w:rPr>
        <w:t>）</w:t>
      </w:r>
      <w:r w:rsidRPr="00977953">
        <w:rPr>
          <w:rFonts w:cs="Times New Roman" w:hint="eastAsia"/>
          <w:kern w:val="22"/>
          <w:sz w:val="24"/>
          <w:lang w:val="zh-CN"/>
        </w:rPr>
        <w:t>、审查全环基金对变革性改变的支持</w:t>
      </w:r>
      <w:r w:rsidRPr="00977953">
        <w:rPr>
          <w:rFonts w:cs="Times New Roman" w:hint="eastAsia"/>
          <w:kern w:val="22"/>
          <w:sz w:val="24"/>
        </w:rPr>
        <w:t>（</w:t>
      </w:r>
      <w:r w:rsidRPr="00977953">
        <w:rPr>
          <w:rFonts w:cs="Times New Roman"/>
          <w:kern w:val="22"/>
          <w:sz w:val="24"/>
        </w:rPr>
        <w:t>GEF/ME/C.52/Inf.06</w:t>
      </w:r>
      <w:r w:rsidRPr="00977953">
        <w:rPr>
          <w:rFonts w:cs="Times New Roman" w:hint="eastAsia"/>
          <w:kern w:val="22"/>
          <w:sz w:val="24"/>
        </w:rPr>
        <w:t>）</w:t>
      </w:r>
      <w:r w:rsidRPr="00977953">
        <w:rPr>
          <w:rFonts w:cs="Times New Roman" w:hint="eastAsia"/>
          <w:kern w:val="22"/>
          <w:sz w:val="24"/>
          <w:lang w:val="zh-CN"/>
        </w:rPr>
        <w:t>、全环基金支持国家环境法律和政策的影响</w:t>
      </w:r>
      <w:r w:rsidRPr="00977953">
        <w:rPr>
          <w:rFonts w:cs="Times New Roman" w:hint="eastAsia"/>
          <w:kern w:val="22"/>
          <w:sz w:val="24"/>
        </w:rPr>
        <w:t>（</w:t>
      </w:r>
      <w:r w:rsidRPr="00977953">
        <w:rPr>
          <w:rFonts w:cs="Times New Roman"/>
          <w:kern w:val="22"/>
          <w:sz w:val="24"/>
        </w:rPr>
        <w:t>GEF/ME/C.52/Inf.05</w:t>
      </w:r>
      <w:r w:rsidRPr="00977953">
        <w:rPr>
          <w:rFonts w:cs="Times New Roman" w:hint="eastAsia"/>
          <w:kern w:val="22"/>
          <w:sz w:val="24"/>
        </w:rPr>
        <w:t>）</w:t>
      </w:r>
      <w:r w:rsidRPr="00977953">
        <w:rPr>
          <w:rFonts w:cs="Times New Roman" w:hint="eastAsia"/>
          <w:kern w:val="22"/>
          <w:sz w:val="24"/>
          <w:lang w:val="zh-CN"/>
        </w:rPr>
        <w:t>、知识管理需求评估</w:t>
      </w:r>
      <w:r w:rsidRPr="00977953">
        <w:rPr>
          <w:rFonts w:cs="Times New Roman" w:hint="eastAsia"/>
          <w:kern w:val="22"/>
          <w:sz w:val="24"/>
        </w:rPr>
        <w:t>（</w:t>
      </w:r>
      <w:r w:rsidRPr="00977953">
        <w:rPr>
          <w:rFonts w:cs="Times New Roman"/>
          <w:kern w:val="22"/>
          <w:sz w:val="24"/>
        </w:rPr>
        <w:t>GEF/ME/C.49/Inf.01</w:t>
      </w:r>
      <w:r w:rsidRPr="00977953">
        <w:rPr>
          <w:rFonts w:cs="Times New Roman" w:hint="eastAsia"/>
          <w:kern w:val="22"/>
          <w:sz w:val="24"/>
        </w:rPr>
        <w:t>）</w:t>
      </w:r>
      <w:r w:rsidRPr="00977953">
        <w:rPr>
          <w:rFonts w:cs="Times New Roman" w:hint="eastAsia"/>
          <w:kern w:val="22"/>
          <w:sz w:val="24"/>
          <w:lang w:val="zh-CN"/>
        </w:rPr>
        <w:t>、审查全环基金的知识管理</w:t>
      </w:r>
      <w:r w:rsidRPr="00977953">
        <w:rPr>
          <w:rFonts w:cs="Times New Roman" w:hint="eastAsia"/>
          <w:kern w:val="22"/>
          <w:sz w:val="24"/>
        </w:rPr>
        <w:t>（</w:t>
      </w:r>
      <w:r w:rsidRPr="00977953">
        <w:rPr>
          <w:rFonts w:cs="Times New Roman"/>
          <w:kern w:val="22"/>
          <w:sz w:val="24"/>
        </w:rPr>
        <w:t>GEF/ME/C.53/Inf.08</w:t>
      </w:r>
      <w:r w:rsidRPr="00977953">
        <w:rPr>
          <w:rFonts w:cs="Times New Roman" w:hint="eastAsia"/>
          <w:kern w:val="22"/>
          <w:sz w:val="24"/>
        </w:rPr>
        <w:t>）</w:t>
      </w:r>
      <w:r w:rsidRPr="00977953">
        <w:rPr>
          <w:rFonts w:cs="Times New Roman" w:hint="eastAsia"/>
          <w:kern w:val="22"/>
          <w:sz w:val="24"/>
          <w:lang w:val="zh-CN"/>
        </w:rPr>
        <w:t>、审查全环基金基于成果的管理</w:t>
      </w:r>
      <w:r w:rsidRPr="00977953">
        <w:rPr>
          <w:rFonts w:cs="Times New Roman" w:hint="eastAsia"/>
          <w:kern w:val="22"/>
          <w:sz w:val="24"/>
        </w:rPr>
        <w:t>（</w:t>
      </w:r>
      <w:r w:rsidRPr="00977953">
        <w:rPr>
          <w:rFonts w:cs="Times New Roman"/>
          <w:kern w:val="22"/>
          <w:sz w:val="24"/>
        </w:rPr>
        <w:t>GEF/ME/C.52/Inf.07</w:t>
      </w:r>
      <w:r w:rsidRPr="00977953">
        <w:rPr>
          <w:rFonts w:cs="Times New Roman" w:hint="eastAsia"/>
          <w:kern w:val="22"/>
          <w:sz w:val="24"/>
        </w:rPr>
        <w:t>）</w:t>
      </w:r>
      <w:r w:rsidRPr="00977953">
        <w:rPr>
          <w:rFonts w:cs="Times New Roman" w:hint="eastAsia"/>
          <w:kern w:val="22"/>
          <w:sz w:val="24"/>
          <w:lang w:val="zh-CN"/>
        </w:rPr>
        <w:t>、评估全环基金的项目周期</w:t>
      </w:r>
      <w:r w:rsidRPr="00977953">
        <w:rPr>
          <w:rFonts w:cs="Times New Roman" w:hint="eastAsia"/>
          <w:kern w:val="22"/>
          <w:sz w:val="24"/>
        </w:rPr>
        <w:t>（</w:t>
      </w:r>
      <w:r w:rsidRPr="00977953">
        <w:rPr>
          <w:rFonts w:cs="Times New Roman"/>
          <w:kern w:val="22"/>
          <w:sz w:val="24"/>
        </w:rPr>
        <w:t>OPS5 Technical Document #18</w:t>
      </w:r>
      <w:r w:rsidRPr="00977953">
        <w:rPr>
          <w:rFonts w:cs="Times New Roman" w:hint="eastAsia"/>
          <w:kern w:val="22"/>
          <w:sz w:val="24"/>
        </w:rPr>
        <w:t>，</w:t>
      </w:r>
      <w:r w:rsidRPr="00977953">
        <w:rPr>
          <w:rFonts w:cs="Times New Roman"/>
          <w:kern w:val="22"/>
          <w:sz w:val="24"/>
        </w:rPr>
        <w:t>2013</w:t>
      </w:r>
      <w:r w:rsidRPr="00977953">
        <w:rPr>
          <w:rFonts w:cs="Times New Roman" w:hint="eastAsia"/>
          <w:kern w:val="22"/>
          <w:sz w:val="24"/>
          <w:lang w:val="zh-CN"/>
        </w:rPr>
        <w:t>年</w:t>
      </w:r>
      <w:r w:rsidRPr="00977953">
        <w:rPr>
          <w:rFonts w:cs="Times New Roman"/>
          <w:kern w:val="22"/>
          <w:sz w:val="24"/>
        </w:rPr>
        <w:t>10</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eastAsia="KaiTi" w:cs="Times New Roman" w:hint="eastAsia"/>
          <w:kern w:val="22"/>
          <w:sz w:val="24"/>
          <w:lang w:val="zh-CN"/>
        </w:rPr>
        <w:t>催化作用和共同供资</w:t>
      </w:r>
      <w:r w:rsidRPr="00977953">
        <w:rPr>
          <w:rFonts w:eastAsia="KaiTi" w:cs="Times New Roman" w:hint="eastAsia"/>
          <w:kern w:val="22"/>
          <w:sz w:val="24"/>
        </w:rPr>
        <w:t>：</w:t>
      </w:r>
      <w:r w:rsidRPr="00977953">
        <w:rPr>
          <w:rFonts w:cs="Times New Roman"/>
          <w:kern w:val="22"/>
          <w:sz w:val="24"/>
        </w:rPr>
        <w:t xml:space="preserve"> </w:t>
      </w:r>
      <w:r w:rsidRPr="00977953">
        <w:rPr>
          <w:rFonts w:cs="Times New Roman" w:hint="eastAsia"/>
          <w:kern w:val="22"/>
          <w:sz w:val="24"/>
          <w:lang w:val="zh-CN"/>
        </w:rPr>
        <w:t>评估共同供资</w:t>
      </w:r>
      <w:r w:rsidRPr="00977953">
        <w:rPr>
          <w:rFonts w:cs="Times New Roman" w:hint="eastAsia"/>
          <w:kern w:val="22"/>
          <w:sz w:val="24"/>
        </w:rPr>
        <w:t>（</w:t>
      </w:r>
      <w:r w:rsidRPr="00977953">
        <w:rPr>
          <w:rFonts w:cs="Times New Roman"/>
          <w:kern w:val="22"/>
          <w:sz w:val="24"/>
        </w:rPr>
        <w:t>OPS5 Technical document #21</w:t>
      </w:r>
      <w:r w:rsidRPr="00977953">
        <w:rPr>
          <w:rFonts w:cs="Times New Roman" w:hint="eastAsia"/>
          <w:kern w:val="22"/>
          <w:sz w:val="24"/>
        </w:rPr>
        <w:t>，</w:t>
      </w:r>
      <w:r w:rsidRPr="00977953">
        <w:rPr>
          <w:rFonts w:cs="Times New Roman"/>
          <w:kern w:val="22"/>
          <w:sz w:val="24"/>
        </w:rPr>
        <w:t>2013</w:t>
      </w:r>
      <w:r w:rsidRPr="00977953">
        <w:rPr>
          <w:rFonts w:cs="Times New Roman" w:hint="eastAsia"/>
          <w:kern w:val="22"/>
          <w:sz w:val="24"/>
          <w:lang w:val="zh-CN"/>
        </w:rPr>
        <w:t>年</w:t>
      </w:r>
      <w:r w:rsidRPr="00977953">
        <w:rPr>
          <w:rFonts w:cs="Times New Roman"/>
          <w:kern w:val="22"/>
          <w:sz w:val="24"/>
        </w:rPr>
        <w:t>11</w:t>
      </w:r>
      <w:r w:rsidRPr="00977953">
        <w:rPr>
          <w:rFonts w:cs="Times New Roman" w:hint="eastAsia"/>
          <w:kern w:val="22"/>
          <w:sz w:val="24"/>
          <w:lang w:val="zh-CN"/>
        </w:rPr>
        <w:t>月</w:t>
      </w:r>
      <w:r w:rsidRPr="00977953">
        <w:rPr>
          <w:rFonts w:cs="Times New Roman" w:hint="eastAsia"/>
          <w:kern w:val="22"/>
          <w:sz w:val="24"/>
        </w:rPr>
        <w:t>）</w:t>
      </w:r>
      <w:r w:rsidRPr="00977953">
        <w:rPr>
          <w:rFonts w:cs="Times New Roman" w:hint="eastAsia"/>
          <w:kern w:val="22"/>
          <w:sz w:val="24"/>
          <w:lang w:val="zh-CN"/>
        </w:rPr>
        <w:t>、全环基金第六次全面评估报告</w:t>
      </w:r>
      <w:r w:rsidRPr="00977953">
        <w:rPr>
          <w:rFonts w:cs="Times New Roman" w:hint="eastAsia"/>
          <w:kern w:val="22"/>
          <w:sz w:val="24"/>
        </w:rPr>
        <w:t>（</w:t>
      </w:r>
      <w:r w:rsidRPr="00977953">
        <w:rPr>
          <w:rFonts w:cs="Times New Roman"/>
          <w:kern w:val="22"/>
          <w:sz w:val="24"/>
        </w:rPr>
        <w:t>GEF/R.7/Misc/OPS6-Final Report</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12</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lastRenderedPageBreak/>
        <w:t>增支费用</w:t>
      </w:r>
      <w:r w:rsidRPr="00977953">
        <w:rPr>
          <w:rFonts w:cs="Times New Roman" w:hint="eastAsia"/>
          <w:kern w:val="22"/>
          <w:sz w:val="24"/>
        </w:rPr>
        <w:t>：</w:t>
      </w:r>
      <w:r w:rsidRPr="00977953">
        <w:rPr>
          <w:rFonts w:cs="Times New Roman" w:hint="eastAsia"/>
          <w:kern w:val="22"/>
          <w:sz w:val="24"/>
          <w:lang w:val="zh-CN"/>
        </w:rPr>
        <w:t>对增支费用的评估</w:t>
      </w:r>
      <w:r w:rsidRPr="00977953">
        <w:rPr>
          <w:rFonts w:cs="Times New Roman" w:hint="eastAsia"/>
          <w:kern w:val="22"/>
          <w:sz w:val="24"/>
        </w:rPr>
        <w:t>（</w:t>
      </w:r>
      <w:r w:rsidRPr="00977953">
        <w:rPr>
          <w:rFonts w:cs="Times New Roman"/>
          <w:kern w:val="22"/>
          <w:sz w:val="24"/>
        </w:rPr>
        <w:t>GEF/ME/C.30/2</w:t>
      </w:r>
      <w:r w:rsidRPr="00977953">
        <w:rPr>
          <w:rFonts w:cs="Times New Roman" w:hint="eastAsia"/>
          <w:kern w:val="22"/>
          <w:sz w:val="24"/>
        </w:rPr>
        <w:t>，</w:t>
      </w:r>
      <w:smartTag w:uri="urn:schemas-microsoft-com:office:smarttags" w:element="chsdate">
        <w:smartTagPr>
          <w:attr w:name="Year" w:val="2006"/>
          <w:attr w:name="Month" w:val="11"/>
          <w:attr w:name="Day" w:val="2"/>
          <w:attr w:name="IsLunarDate" w:val="False"/>
          <w:attr w:name="IsROCDate" w:val="False"/>
        </w:smartTagPr>
        <w:r w:rsidRPr="00977953">
          <w:rPr>
            <w:rFonts w:cs="Times New Roman"/>
            <w:kern w:val="22"/>
            <w:sz w:val="24"/>
          </w:rPr>
          <w:t>2006</w:t>
        </w:r>
        <w:r w:rsidRPr="00977953">
          <w:rPr>
            <w:rFonts w:cs="Times New Roman" w:hint="eastAsia"/>
            <w:kern w:val="22"/>
            <w:sz w:val="24"/>
            <w:lang w:val="zh-CN"/>
          </w:rPr>
          <w:t>年</w:t>
        </w:r>
        <w:r w:rsidRPr="00977953">
          <w:rPr>
            <w:rFonts w:cs="Times New Roman"/>
            <w:kern w:val="22"/>
            <w:sz w:val="24"/>
          </w:rPr>
          <w:t>11</w:t>
        </w:r>
        <w:r w:rsidRPr="00977953">
          <w:rPr>
            <w:rFonts w:cs="Times New Roman" w:hint="eastAsia"/>
            <w:kern w:val="22"/>
            <w:sz w:val="24"/>
            <w:lang w:val="zh-CN"/>
          </w:rPr>
          <w:t>月</w:t>
        </w:r>
        <w:r w:rsidRPr="00977953">
          <w:rPr>
            <w:rFonts w:cs="Times New Roman"/>
            <w:kern w:val="22"/>
            <w:sz w:val="24"/>
          </w:rPr>
          <w:t>2</w:t>
        </w:r>
        <w:r w:rsidRPr="00977953">
          <w:rPr>
            <w:rFonts w:cs="Times New Roman" w:hint="eastAsia"/>
            <w:kern w:val="22"/>
            <w:sz w:val="24"/>
            <w:lang w:val="zh-CN"/>
          </w:rPr>
          <w:t>日</w:t>
        </w:r>
      </w:smartTag>
      <w:r w:rsidRPr="00977953">
        <w:rPr>
          <w:rFonts w:cs="Times New Roman" w:hint="eastAsia"/>
          <w:kern w:val="22"/>
          <w:sz w:val="24"/>
        </w:rPr>
        <w:t>）；</w:t>
      </w:r>
      <w:r w:rsidRPr="00977953">
        <w:rPr>
          <w:rFonts w:cs="Times New Roman" w:hint="eastAsia"/>
          <w:kern w:val="22"/>
          <w:sz w:val="24"/>
          <w:lang w:val="zh-CN"/>
        </w:rPr>
        <w:t>可持续性</w:t>
      </w:r>
      <w:r w:rsidRPr="00977953">
        <w:rPr>
          <w:rFonts w:cs="Times New Roman" w:hint="eastAsia"/>
          <w:kern w:val="22"/>
          <w:sz w:val="24"/>
        </w:rPr>
        <w:t>：</w:t>
      </w:r>
      <w:r w:rsidRPr="00977953">
        <w:rPr>
          <w:rFonts w:cs="Times New Roman" w:hint="eastAsia"/>
          <w:kern w:val="22"/>
          <w:sz w:val="24"/>
          <w:lang w:val="zh-CN"/>
        </w:rPr>
        <w:t>全环基金第六次全面评估报告</w:t>
      </w:r>
      <w:r w:rsidRPr="00977953">
        <w:rPr>
          <w:rFonts w:cs="Times New Roman" w:hint="eastAsia"/>
          <w:kern w:val="22"/>
          <w:sz w:val="24"/>
        </w:rPr>
        <w:t>（</w:t>
      </w:r>
      <w:r w:rsidRPr="00977953">
        <w:rPr>
          <w:rFonts w:cs="Times New Roman"/>
          <w:kern w:val="22"/>
          <w:sz w:val="24"/>
        </w:rPr>
        <w:t>GEF/R.7/Misc/OPS6-Final Report</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12</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国家自主性</w:t>
      </w:r>
      <w:r w:rsidRPr="00977953">
        <w:rPr>
          <w:rFonts w:cs="Times New Roman" w:hint="eastAsia"/>
          <w:kern w:val="22"/>
          <w:sz w:val="24"/>
        </w:rPr>
        <w:t>：</w:t>
      </w:r>
      <w:r w:rsidRPr="00977953">
        <w:rPr>
          <w:rFonts w:cs="Times New Roman" w:hint="eastAsia"/>
          <w:kern w:val="22"/>
          <w:sz w:val="24"/>
          <w:lang w:val="zh-CN"/>
        </w:rPr>
        <w:t>评估全环基金透明分配资源的系统</w:t>
      </w:r>
      <w:r w:rsidRPr="00977953">
        <w:rPr>
          <w:rFonts w:cs="Times New Roman" w:hint="eastAsia"/>
          <w:kern w:val="22"/>
          <w:sz w:val="24"/>
        </w:rPr>
        <w:t>（</w:t>
      </w:r>
      <w:r w:rsidRPr="00977953">
        <w:rPr>
          <w:rFonts w:cs="Times New Roman"/>
          <w:kern w:val="22"/>
          <w:sz w:val="24"/>
        </w:rPr>
        <w:t>GEF/ME/C.53/Inf.10</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11</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机构的合规和协作</w:t>
      </w:r>
      <w:r w:rsidRPr="00977953">
        <w:rPr>
          <w:rFonts w:cs="Times New Roman" w:hint="eastAsia"/>
          <w:kern w:val="22"/>
          <w:sz w:val="24"/>
        </w:rPr>
        <w:t>：</w:t>
      </w:r>
      <w:r w:rsidRPr="00977953">
        <w:rPr>
          <w:rFonts w:cs="Times New Roman" w:hint="eastAsia"/>
          <w:kern w:val="22"/>
          <w:sz w:val="24"/>
          <w:lang w:val="zh-CN"/>
        </w:rPr>
        <w:t>评估扩大全环基金伙伴关系的认证进程</w:t>
      </w:r>
      <w:r w:rsidRPr="00977953">
        <w:rPr>
          <w:rFonts w:cs="Times New Roman" w:hint="eastAsia"/>
          <w:kern w:val="22"/>
          <w:sz w:val="24"/>
        </w:rPr>
        <w:t>（</w:t>
      </w:r>
      <w:r w:rsidRPr="00977953">
        <w:rPr>
          <w:rFonts w:cs="Times New Roman"/>
          <w:kern w:val="22"/>
          <w:sz w:val="24"/>
        </w:rPr>
        <w:t>GEF/ME/C.48/Inf.03</w:t>
      </w:r>
      <w:r w:rsidRPr="00977953">
        <w:rPr>
          <w:rFonts w:cs="Times New Roman" w:hint="eastAsia"/>
          <w:kern w:val="22"/>
          <w:sz w:val="24"/>
        </w:rPr>
        <w:t>，</w:t>
      </w:r>
      <w:r w:rsidRPr="00977953">
        <w:rPr>
          <w:rFonts w:cs="Times New Roman"/>
          <w:kern w:val="22"/>
          <w:sz w:val="24"/>
        </w:rPr>
        <w:t>2015</w:t>
      </w:r>
      <w:r w:rsidRPr="00977953">
        <w:rPr>
          <w:rFonts w:cs="Times New Roman" w:hint="eastAsia"/>
          <w:kern w:val="22"/>
          <w:sz w:val="24"/>
          <w:lang w:val="zh-CN"/>
        </w:rPr>
        <w:t>年</w:t>
      </w:r>
      <w:r w:rsidRPr="00977953">
        <w:rPr>
          <w:rFonts w:cs="Times New Roman"/>
          <w:kern w:val="22"/>
          <w:sz w:val="24"/>
        </w:rPr>
        <w:t>6</w:t>
      </w:r>
      <w:r w:rsidRPr="00977953">
        <w:rPr>
          <w:rFonts w:cs="Times New Roman" w:hint="eastAsia"/>
          <w:kern w:val="22"/>
          <w:sz w:val="24"/>
          <w:lang w:val="zh-CN"/>
        </w:rPr>
        <w:t>月</w:t>
      </w:r>
      <w:r w:rsidRPr="00977953">
        <w:rPr>
          <w:rFonts w:cs="Times New Roman" w:hint="eastAsia"/>
          <w:kern w:val="22"/>
          <w:sz w:val="24"/>
        </w:rPr>
        <w:t>）</w:t>
      </w:r>
      <w:r w:rsidRPr="00977953">
        <w:rPr>
          <w:rFonts w:cs="Times New Roman" w:hint="eastAsia"/>
          <w:kern w:val="22"/>
          <w:sz w:val="24"/>
          <w:lang w:val="zh-CN"/>
        </w:rPr>
        <w:t>、评估扩大全环基金伙伴关系</w:t>
      </w:r>
      <w:r w:rsidRPr="00977953">
        <w:rPr>
          <w:rFonts w:cs="Times New Roman"/>
          <w:kern w:val="22"/>
          <w:sz w:val="24"/>
        </w:rPr>
        <w:t xml:space="preserve"> – </w:t>
      </w:r>
      <w:r w:rsidRPr="00977953">
        <w:rPr>
          <w:rFonts w:cs="Times New Roman" w:hint="eastAsia"/>
          <w:kern w:val="22"/>
          <w:sz w:val="24"/>
          <w:lang w:val="zh-CN"/>
        </w:rPr>
        <w:t>第一阶段</w:t>
      </w:r>
      <w:r w:rsidRPr="00977953">
        <w:rPr>
          <w:rFonts w:cs="Times New Roman" w:hint="eastAsia"/>
          <w:kern w:val="22"/>
          <w:sz w:val="24"/>
        </w:rPr>
        <w:t>（</w:t>
      </w:r>
      <w:r w:rsidRPr="00977953">
        <w:rPr>
          <w:rFonts w:cs="Times New Roman"/>
          <w:kern w:val="22"/>
          <w:sz w:val="24"/>
        </w:rPr>
        <w:t>GEF/ME/C.50/06</w:t>
      </w:r>
      <w:r w:rsidRPr="00977953">
        <w:rPr>
          <w:rFonts w:cs="Times New Roman" w:hint="eastAsia"/>
          <w:kern w:val="22"/>
          <w:sz w:val="24"/>
        </w:rPr>
        <w:t>，</w:t>
      </w:r>
      <w:r w:rsidRPr="00977953">
        <w:rPr>
          <w:rFonts w:cs="Times New Roman"/>
          <w:kern w:val="22"/>
          <w:sz w:val="24"/>
        </w:rPr>
        <w:t>2016</w:t>
      </w:r>
      <w:r w:rsidRPr="00977953">
        <w:rPr>
          <w:rFonts w:cs="Times New Roman" w:hint="eastAsia"/>
          <w:kern w:val="22"/>
          <w:sz w:val="24"/>
          <w:lang w:val="zh-CN"/>
        </w:rPr>
        <w:t>年</w:t>
      </w:r>
      <w:r w:rsidRPr="00977953">
        <w:rPr>
          <w:rFonts w:cs="Times New Roman"/>
          <w:kern w:val="22"/>
          <w:sz w:val="24"/>
        </w:rPr>
        <w:t>6</w:t>
      </w:r>
      <w:r w:rsidRPr="00977953">
        <w:rPr>
          <w:rFonts w:cs="Times New Roman" w:hint="eastAsia"/>
          <w:kern w:val="22"/>
          <w:sz w:val="24"/>
          <w:lang w:val="zh-CN"/>
        </w:rPr>
        <w:t>月</w:t>
      </w:r>
      <w:r w:rsidRPr="00977953">
        <w:rPr>
          <w:rFonts w:cs="Times New Roman" w:hint="eastAsia"/>
          <w:kern w:val="22"/>
          <w:sz w:val="24"/>
        </w:rPr>
        <w:t>）</w:t>
      </w:r>
      <w:r w:rsidRPr="00977953">
        <w:rPr>
          <w:rFonts w:cs="Times New Roman" w:hint="eastAsia"/>
          <w:kern w:val="22"/>
          <w:sz w:val="24"/>
          <w:lang w:val="zh-CN"/>
        </w:rPr>
        <w:t>、审查全环基金关于环境和社会保障机构最低标准的政策</w:t>
      </w:r>
      <w:r w:rsidRPr="00977953">
        <w:rPr>
          <w:rFonts w:cs="Times New Roman" w:hint="eastAsia"/>
          <w:kern w:val="22"/>
          <w:sz w:val="24"/>
        </w:rPr>
        <w:t>（</w:t>
      </w:r>
      <w:r w:rsidRPr="00977953">
        <w:rPr>
          <w:rFonts w:cs="Times New Roman"/>
          <w:kern w:val="22"/>
          <w:sz w:val="24"/>
        </w:rPr>
        <w:t>GEF/ME/C.52/Inf.08</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5</w:t>
      </w:r>
      <w:r w:rsidRPr="00977953">
        <w:rPr>
          <w:rFonts w:cs="Times New Roman" w:hint="eastAsia"/>
          <w:kern w:val="22"/>
          <w:sz w:val="24"/>
          <w:lang w:val="zh-CN"/>
        </w:rPr>
        <w:t>月</w:t>
      </w:r>
      <w:r w:rsidRPr="00977953">
        <w:rPr>
          <w:rFonts w:cs="Times New Roman" w:hint="eastAsia"/>
          <w:kern w:val="22"/>
          <w:sz w:val="24"/>
        </w:rPr>
        <w:t>）</w:t>
      </w:r>
      <w:r w:rsidRPr="00977953">
        <w:rPr>
          <w:rFonts w:cs="Times New Roman" w:hint="eastAsia"/>
          <w:kern w:val="22"/>
          <w:sz w:val="24"/>
          <w:lang w:val="zh-CN"/>
        </w:rPr>
        <w:t>和扩大后的全环基金伙伴关系和治理结构的相对优势、资金</w:t>
      </w:r>
      <w:r w:rsidRPr="00977953">
        <w:rPr>
          <w:rFonts w:cs="Times New Roman"/>
          <w:kern w:val="22"/>
          <w:sz w:val="24"/>
        </w:rPr>
        <w:t>/</w:t>
      </w:r>
      <w:r w:rsidRPr="00977953">
        <w:rPr>
          <w:rFonts w:cs="Times New Roman" w:hint="eastAsia"/>
          <w:kern w:val="22"/>
          <w:sz w:val="24"/>
          <w:lang w:val="zh-CN"/>
        </w:rPr>
        <w:t>供资充足程度和健全情况</w:t>
      </w:r>
      <w:r w:rsidRPr="00977953">
        <w:rPr>
          <w:rFonts w:cs="Times New Roman" w:hint="eastAsia"/>
          <w:kern w:val="22"/>
          <w:sz w:val="24"/>
        </w:rPr>
        <w:t>（</w:t>
      </w:r>
      <w:r w:rsidRPr="00977953">
        <w:rPr>
          <w:rFonts w:cs="Times New Roman"/>
          <w:kern w:val="22"/>
          <w:sz w:val="24"/>
        </w:rPr>
        <w:t>GEF/ME/C.53/Inf.09</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11</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监测和评估</w:t>
      </w:r>
      <w:r w:rsidRPr="00977953">
        <w:rPr>
          <w:rFonts w:cs="Times New Roman" w:hint="eastAsia"/>
          <w:kern w:val="22"/>
          <w:sz w:val="24"/>
        </w:rPr>
        <w:t>：</w:t>
      </w:r>
      <w:r w:rsidRPr="00977953">
        <w:rPr>
          <w:rFonts w:cs="Times New Roman" w:hint="eastAsia"/>
          <w:kern w:val="22"/>
          <w:sz w:val="24"/>
          <w:lang w:val="zh-CN"/>
        </w:rPr>
        <w:t>全环基金第六次全面评估报告</w:t>
      </w:r>
      <w:r w:rsidRPr="00977953">
        <w:rPr>
          <w:rFonts w:cs="Times New Roman" w:hint="eastAsia"/>
          <w:kern w:val="22"/>
          <w:sz w:val="24"/>
        </w:rPr>
        <w:t>（</w:t>
      </w:r>
      <w:r w:rsidRPr="00977953">
        <w:rPr>
          <w:rFonts w:cs="Times New Roman"/>
          <w:kern w:val="22"/>
          <w:sz w:val="24"/>
        </w:rPr>
        <w:t>GEF/R.7/Misc/OPS6-Final Report</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12</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小额赠款方案</w:t>
      </w:r>
      <w:r w:rsidRPr="00977953">
        <w:rPr>
          <w:rFonts w:cs="Times New Roman" w:hint="eastAsia"/>
          <w:kern w:val="22"/>
          <w:sz w:val="24"/>
        </w:rPr>
        <w:t>：</w:t>
      </w:r>
      <w:r w:rsidRPr="00977953">
        <w:rPr>
          <w:rFonts w:cs="Times New Roman" w:hint="eastAsia"/>
          <w:kern w:val="22"/>
          <w:sz w:val="24"/>
          <w:lang w:val="zh-CN"/>
        </w:rPr>
        <w:t>评估全环基金</w:t>
      </w:r>
      <w:r w:rsidRPr="00977953">
        <w:rPr>
          <w:rFonts w:cs="Times New Roman"/>
          <w:kern w:val="22"/>
          <w:sz w:val="24"/>
        </w:rPr>
        <w:t>/</w:t>
      </w:r>
      <w:r w:rsidRPr="00977953">
        <w:rPr>
          <w:rFonts w:cs="Times New Roman" w:hint="eastAsia"/>
          <w:kern w:val="22"/>
          <w:sz w:val="24"/>
          <w:lang w:val="zh-CN"/>
        </w:rPr>
        <w:t>开发计划署联合小额赠款方案</w:t>
      </w:r>
      <w:r w:rsidRPr="00977953">
        <w:rPr>
          <w:rFonts w:cs="Times New Roman" w:hint="eastAsia"/>
          <w:kern w:val="22"/>
          <w:sz w:val="24"/>
        </w:rPr>
        <w:t>（</w:t>
      </w:r>
      <w:r w:rsidRPr="00977953">
        <w:rPr>
          <w:rFonts w:cs="Times New Roman"/>
          <w:kern w:val="22"/>
          <w:sz w:val="24"/>
        </w:rPr>
        <w:t>GEF/ME/C.48/Inf.02</w:t>
      </w:r>
      <w:r w:rsidRPr="00977953">
        <w:rPr>
          <w:rFonts w:cs="Times New Roman" w:hint="eastAsia"/>
          <w:kern w:val="22"/>
          <w:sz w:val="24"/>
        </w:rPr>
        <w:t>，</w:t>
      </w:r>
      <w:r w:rsidRPr="00977953">
        <w:rPr>
          <w:rFonts w:cs="Times New Roman"/>
          <w:kern w:val="22"/>
          <w:sz w:val="24"/>
        </w:rPr>
        <w:t>2015</w:t>
      </w:r>
      <w:r w:rsidRPr="00977953">
        <w:rPr>
          <w:rFonts w:cs="Times New Roman" w:hint="eastAsia"/>
          <w:kern w:val="22"/>
          <w:sz w:val="24"/>
          <w:lang w:val="zh-CN"/>
        </w:rPr>
        <w:t>年</w:t>
      </w:r>
      <w:r w:rsidRPr="00977953">
        <w:rPr>
          <w:rFonts w:cs="Times New Roman"/>
          <w:kern w:val="22"/>
          <w:sz w:val="24"/>
        </w:rPr>
        <w:t>5</w:t>
      </w:r>
      <w:r w:rsidRPr="00977953">
        <w:rPr>
          <w:rFonts w:cs="Times New Roman" w:hint="eastAsia"/>
          <w:kern w:val="22"/>
          <w:sz w:val="24"/>
          <w:lang w:val="zh-CN"/>
        </w:rPr>
        <w:t>月</w:t>
      </w:r>
      <w:r w:rsidRPr="00977953">
        <w:rPr>
          <w:rFonts w:cs="Times New Roman" w:hint="eastAsia"/>
          <w:kern w:val="22"/>
          <w:sz w:val="24"/>
        </w:rPr>
        <w:t>）；</w:t>
      </w:r>
    </w:p>
    <w:p w:rsidR="005E3082" w:rsidRPr="00977953" w:rsidRDefault="005E3082">
      <w:pPr>
        <w:numPr>
          <w:ilvl w:val="0"/>
          <w:numId w:val="24"/>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财务管理</w:t>
      </w:r>
      <w:r w:rsidRPr="00977953">
        <w:rPr>
          <w:rFonts w:cs="Times New Roman" w:hint="eastAsia"/>
          <w:kern w:val="22"/>
          <w:sz w:val="24"/>
        </w:rPr>
        <w:t>：</w:t>
      </w:r>
      <w:r w:rsidRPr="00977953">
        <w:rPr>
          <w:rFonts w:cs="Times New Roman" w:hint="eastAsia"/>
          <w:kern w:val="22"/>
          <w:sz w:val="24"/>
          <w:lang w:val="zh-CN"/>
        </w:rPr>
        <w:t>全环基金第六次全面评估报告</w:t>
      </w:r>
      <w:r w:rsidRPr="00977953">
        <w:rPr>
          <w:rFonts w:cs="Times New Roman" w:hint="eastAsia"/>
          <w:kern w:val="22"/>
          <w:sz w:val="24"/>
        </w:rPr>
        <w:t>（</w:t>
      </w:r>
      <w:r w:rsidRPr="00977953">
        <w:rPr>
          <w:rFonts w:cs="Times New Roman"/>
          <w:kern w:val="22"/>
          <w:sz w:val="24"/>
        </w:rPr>
        <w:t>GEF/R.7/Misc/OPS6-Final Report</w:t>
      </w:r>
      <w:r w:rsidRPr="00977953">
        <w:rPr>
          <w:rFonts w:cs="Times New Roman" w:hint="eastAsia"/>
          <w:kern w:val="22"/>
          <w:sz w:val="24"/>
        </w:rPr>
        <w:t>，</w:t>
      </w:r>
      <w:r w:rsidRPr="00977953">
        <w:rPr>
          <w:rFonts w:cs="Times New Roman"/>
          <w:kern w:val="22"/>
          <w:sz w:val="24"/>
        </w:rPr>
        <w:t>2017</w:t>
      </w:r>
      <w:r w:rsidRPr="00977953">
        <w:rPr>
          <w:rFonts w:cs="Times New Roman" w:hint="eastAsia"/>
          <w:kern w:val="22"/>
          <w:sz w:val="24"/>
          <w:lang w:val="zh-CN"/>
        </w:rPr>
        <w:t>年</w:t>
      </w:r>
      <w:r w:rsidRPr="00977953">
        <w:rPr>
          <w:rFonts w:cs="Times New Roman"/>
          <w:kern w:val="22"/>
          <w:sz w:val="24"/>
        </w:rPr>
        <w:t>12</w:t>
      </w:r>
      <w:r w:rsidRPr="00977953">
        <w:rPr>
          <w:rFonts w:cs="Times New Roman" w:hint="eastAsia"/>
          <w:kern w:val="22"/>
          <w:sz w:val="24"/>
          <w:lang w:val="zh-CN"/>
        </w:rPr>
        <w:t>月</w:t>
      </w:r>
      <w:r w:rsidRPr="00977953">
        <w:rPr>
          <w:rFonts w:cs="Times New Roman" w:hint="eastAsia"/>
          <w:kern w:val="22"/>
          <w:sz w:val="24"/>
        </w:rPr>
        <w:t>）</w:t>
      </w:r>
      <w:r w:rsidRPr="00977953">
        <w:rPr>
          <w:rFonts w:cs="Times New Roman" w:hint="eastAsia"/>
          <w:kern w:val="22"/>
          <w:sz w:val="24"/>
          <w:lang w:val="zh-CN"/>
        </w:rPr>
        <w:t>。</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t>独立评估办公室在编制全环基金第六次综合评估报告期间</w:t>
      </w:r>
      <w:r w:rsidRPr="00977953">
        <w:rPr>
          <w:rFonts w:cs="Times New Roman" w:hint="eastAsia"/>
          <w:sz w:val="24"/>
          <w:szCs w:val="24"/>
        </w:rPr>
        <w:t>，</w:t>
      </w:r>
      <w:r w:rsidRPr="00977953">
        <w:rPr>
          <w:rFonts w:cs="Times New Roman" w:hint="eastAsia"/>
          <w:sz w:val="24"/>
          <w:szCs w:val="24"/>
          <w:lang w:val="zh-CN"/>
        </w:rPr>
        <w:t>通过电话会议、访谈、在线调查和面对面会议的方式</w:t>
      </w:r>
      <w:r w:rsidRPr="00977953">
        <w:rPr>
          <w:rFonts w:cs="Times New Roman" w:hint="eastAsia"/>
          <w:sz w:val="24"/>
          <w:szCs w:val="24"/>
        </w:rPr>
        <w:t>，</w:t>
      </w:r>
      <w:r w:rsidRPr="00977953">
        <w:rPr>
          <w:rFonts w:cs="Times New Roman" w:hint="eastAsia"/>
          <w:sz w:val="24"/>
          <w:szCs w:val="24"/>
          <w:lang w:val="zh-CN"/>
        </w:rPr>
        <w:t>使公约秘书处工作人员以及缔约方和其他利益攸关方参与所有它的专题评估和影响评估工作。</w:t>
      </w:r>
      <w:r w:rsidRPr="00977953">
        <w:rPr>
          <w:rFonts w:cs="Times New Roman" w:hint="eastAsia"/>
          <w:kern w:val="22"/>
          <w:sz w:val="24"/>
          <w:szCs w:val="24"/>
          <w:lang w:val="zh-CN"/>
        </w:rPr>
        <w:t>全环基金第六次全面评估报告</w:t>
      </w:r>
      <w:r w:rsidRPr="00977953">
        <w:rPr>
          <w:rStyle w:val="FootnoteReference"/>
          <w:kern w:val="22"/>
          <w:sz w:val="24"/>
          <w:szCs w:val="24"/>
          <w:lang w:val="zh-CN"/>
        </w:rPr>
        <w:footnoteReference w:id="1"/>
      </w:r>
      <w:r w:rsidRPr="00977953">
        <w:rPr>
          <w:rFonts w:cs="Times New Roman" w:hint="eastAsia"/>
          <w:kern w:val="22"/>
          <w:sz w:val="24"/>
          <w:szCs w:val="24"/>
          <w:lang w:val="zh-CN"/>
        </w:rPr>
        <w:t>载有以下相关结果和结论</w:t>
      </w:r>
      <w:r w:rsidRPr="00977953">
        <w:rPr>
          <w:rFonts w:cs="Times New Roman" w:hint="eastAsia"/>
          <w:kern w:val="22"/>
          <w:sz w:val="24"/>
          <w:szCs w:val="24"/>
          <w:lang w:val="en-US"/>
        </w:rPr>
        <w:t>：</w:t>
      </w:r>
    </w:p>
    <w:p w:rsidR="005E3082" w:rsidRPr="00977953" w:rsidRDefault="005E3082">
      <w:pPr>
        <w:numPr>
          <w:ilvl w:val="0"/>
          <w:numId w:val="25"/>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全环基金在全球环境中的重要性</w:t>
      </w:r>
      <w:r w:rsidRPr="00977953">
        <w:rPr>
          <w:rFonts w:cs="Times New Roman" w:hint="eastAsia"/>
          <w:kern w:val="22"/>
          <w:sz w:val="24"/>
        </w:rPr>
        <w:t>：</w:t>
      </w:r>
      <w:r w:rsidRPr="00977953">
        <w:rPr>
          <w:rFonts w:cs="Times New Roman" w:hint="eastAsia"/>
          <w:kern w:val="22"/>
          <w:sz w:val="24"/>
          <w:lang w:val="zh-CN"/>
        </w:rPr>
        <w:t>随同它所具有的广泛重点以及作为各项环境公约的财务机制</w:t>
      </w:r>
      <w:r w:rsidRPr="00977953">
        <w:rPr>
          <w:rFonts w:cs="Times New Roman" w:hint="eastAsia"/>
          <w:kern w:val="22"/>
          <w:sz w:val="24"/>
        </w:rPr>
        <w:t>，</w:t>
      </w:r>
      <w:r w:rsidRPr="00977953">
        <w:rPr>
          <w:rFonts w:cs="Times New Roman" w:hint="eastAsia"/>
          <w:kern w:val="22"/>
          <w:sz w:val="24"/>
          <w:lang w:val="zh-CN"/>
        </w:rPr>
        <w:t>全环基金在全球环境供资架构中占有独特空间。全环基金的重点领域战略一直呼应公约的指导意见。</w:t>
      </w:r>
      <w:r w:rsidRPr="00977953">
        <w:rPr>
          <w:rFonts w:cs="Times New Roman" w:hint="eastAsia"/>
          <w:sz w:val="24"/>
          <w:lang w:val="zh-CN"/>
        </w:rPr>
        <w:t>全球环境基金有别于其他环境财务机制</w:t>
      </w:r>
      <w:r w:rsidRPr="00977953">
        <w:rPr>
          <w:rFonts w:cs="Times New Roman" w:hint="eastAsia"/>
          <w:sz w:val="24"/>
          <w:lang w:val="en-US"/>
        </w:rPr>
        <w:t>，</w:t>
      </w:r>
      <w:r w:rsidRPr="00977953">
        <w:rPr>
          <w:rFonts w:cs="Times New Roman" w:hint="eastAsia"/>
          <w:sz w:val="24"/>
          <w:lang w:val="zh-CN"/>
        </w:rPr>
        <w:t>因为它有能力通过多个机构在</w:t>
      </w:r>
      <w:r w:rsidRPr="00977953">
        <w:rPr>
          <w:rFonts w:cs="Times New Roman"/>
          <w:sz w:val="24"/>
          <w:lang w:val="en-US"/>
        </w:rPr>
        <w:t>140</w:t>
      </w:r>
      <w:r w:rsidRPr="00977953">
        <w:rPr>
          <w:rFonts w:cs="Times New Roman" w:hint="eastAsia"/>
          <w:sz w:val="24"/>
          <w:lang w:val="zh-CN"/>
        </w:rPr>
        <w:t>多个受援国开展工作。</w:t>
      </w:r>
      <w:r w:rsidRPr="00977953">
        <w:rPr>
          <w:rFonts w:cs="Times New Roman" w:hint="eastAsia"/>
          <w:kern w:val="22"/>
          <w:sz w:val="24"/>
          <w:lang w:val="zh-CN"/>
        </w:rPr>
        <w:t>全环基金已经增加对最不发达国家和小岛屿发展中国家的支持</w:t>
      </w:r>
      <w:r w:rsidRPr="00977953">
        <w:rPr>
          <w:rFonts w:cs="Times New Roman" w:hint="eastAsia"/>
          <w:kern w:val="22"/>
          <w:sz w:val="24"/>
          <w:lang w:val="en-US"/>
        </w:rPr>
        <w:t>；</w:t>
      </w:r>
      <w:r w:rsidRPr="00977953">
        <w:rPr>
          <w:rFonts w:cs="Times New Roman" w:hint="eastAsia"/>
          <w:kern w:val="22"/>
          <w:sz w:val="24"/>
          <w:lang w:val="zh-CN"/>
        </w:rPr>
        <w:t>不过</w:t>
      </w:r>
      <w:r w:rsidRPr="00977953">
        <w:rPr>
          <w:rFonts w:cs="Times New Roman" w:hint="eastAsia"/>
          <w:kern w:val="22"/>
          <w:sz w:val="24"/>
          <w:lang w:val="en-US"/>
        </w:rPr>
        <w:t>，</w:t>
      </w:r>
      <w:r w:rsidRPr="00977953">
        <w:rPr>
          <w:rFonts w:cs="Times New Roman" w:hint="eastAsia"/>
          <w:kern w:val="22"/>
          <w:sz w:val="24"/>
          <w:lang w:val="zh-CN"/>
        </w:rPr>
        <w:t>对中等收入国家的支持仍为关键</w:t>
      </w:r>
      <w:r w:rsidRPr="00977953">
        <w:rPr>
          <w:rFonts w:cs="Times New Roman" w:hint="eastAsia"/>
          <w:kern w:val="22"/>
          <w:sz w:val="24"/>
          <w:lang w:val="en-US"/>
        </w:rPr>
        <w:t>；</w:t>
      </w:r>
    </w:p>
    <w:p w:rsidR="005E3082" w:rsidRPr="00977953" w:rsidRDefault="005E3082">
      <w:pPr>
        <w:numPr>
          <w:ilvl w:val="0"/>
          <w:numId w:val="25"/>
        </w:numPr>
        <w:suppressLineNumbers/>
        <w:suppressAutoHyphens/>
        <w:adjustRightInd w:val="0"/>
        <w:snapToGrid w:val="0"/>
        <w:spacing w:after="120"/>
        <w:ind w:left="0" w:firstLine="720"/>
        <w:rPr>
          <w:rFonts w:cs="Times New Roman"/>
          <w:sz w:val="24"/>
        </w:rPr>
      </w:pPr>
      <w:r w:rsidRPr="00977953">
        <w:rPr>
          <w:rFonts w:cs="Times New Roman" w:hint="eastAsia"/>
          <w:kern w:val="22"/>
          <w:sz w:val="24"/>
          <w:lang w:val="zh-CN"/>
        </w:rPr>
        <w:t>绩效和影响</w:t>
      </w:r>
      <w:r w:rsidRPr="00977953">
        <w:rPr>
          <w:rFonts w:cs="Times New Roman" w:hint="eastAsia"/>
          <w:kern w:val="22"/>
          <w:sz w:val="24"/>
        </w:rPr>
        <w:t>：</w:t>
      </w:r>
      <w:r w:rsidRPr="00977953">
        <w:rPr>
          <w:rFonts w:cs="Times New Roman" w:hint="eastAsia"/>
          <w:sz w:val="24"/>
          <w:lang w:val="zh-CN"/>
        </w:rPr>
        <w:t>全环基金在提供总体良好的项目绩效方面有着优良的记录</w:t>
      </w:r>
      <w:r w:rsidRPr="00977953">
        <w:rPr>
          <w:rFonts w:cs="Times New Roman"/>
          <w:sz w:val="24"/>
        </w:rPr>
        <w:t xml:space="preserve">; </w:t>
      </w:r>
      <w:r w:rsidRPr="00977953">
        <w:rPr>
          <w:rFonts w:cs="Times New Roman" w:hint="eastAsia"/>
          <w:sz w:val="24"/>
          <w:lang w:val="zh-CN"/>
        </w:rPr>
        <w:t>能否达到成果的可持续性仍是最大的挑战。全环基金的干预措施有助于减轻环境压力。</w:t>
      </w:r>
      <w:r w:rsidRPr="00977953">
        <w:rPr>
          <w:rFonts w:cs="Times New Roman"/>
          <w:sz w:val="24"/>
          <w:lang w:val="en-US"/>
        </w:rPr>
        <w:t xml:space="preserve"> </w:t>
      </w:r>
      <w:r w:rsidRPr="00977953">
        <w:rPr>
          <w:rFonts w:cs="Times New Roman" w:hint="eastAsia"/>
          <w:sz w:val="24"/>
          <w:lang w:val="zh-CN"/>
        </w:rPr>
        <w:t>全环基金正按大多数指标实现全环基金第五次充资目标</w:t>
      </w:r>
      <w:r w:rsidRPr="00977953">
        <w:rPr>
          <w:rFonts w:cs="Times New Roman" w:hint="eastAsia"/>
          <w:sz w:val="24"/>
          <w:lang w:val="en-US"/>
        </w:rPr>
        <w:t>，</w:t>
      </w:r>
      <w:r w:rsidRPr="00977953">
        <w:rPr>
          <w:rFonts w:cs="Times New Roman" w:hint="eastAsia"/>
          <w:sz w:val="24"/>
          <w:lang w:val="zh-CN"/>
        </w:rPr>
        <w:t>并超过大部分全环基金第六次充资目标。全环基金起到了推动作用</w:t>
      </w:r>
      <w:r w:rsidRPr="00977953">
        <w:rPr>
          <w:rFonts w:cs="Times New Roman" w:hint="eastAsia"/>
          <w:sz w:val="24"/>
          <w:lang w:val="en-US"/>
        </w:rPr>
        <w:t>，</w:t>
      </w:r>
      <w:r w:rsidRPr="00977953">
        <w:rPr>
          <w:rFonts w:cs="Times New Roman" w:hint="eastAsia"/>
          <w:sz w:val="24"/>
          <w:lang w:val="zh-CN"/>
        </w:rPr>
        <w:t>并主要通过主流化的办法支持转型变革。随着它们强调一体化</w:t>
      </w:r>
      <w:r w:rsidRPr="00977953">
        <w:rPr>
          <w:rFonts w:cs="Times New Roman" w:hint="eastAsia"/>
          <w:sz w:val="24"/>
          <w:lang w:val="en-US"/>
        </w:rPr>
        <w:t>，</w:t>
      </w:r>
      <w:r w:rsidRPr="00977953">
        <w:rPr>
          <w:rFonts w:cs="Times New Roman" w:hint="eastAsia"/>
          <w:sz w:val="24"/>
          <w:lang w:val="zh-CN"/>
        </w:rPr>
        <w:t>方案办法和多重点区域项目在解决环境退化的驱动因素方面具有重要作用</w:t>
      </w:r>
      <w:r w:rsidRPr="00977953">
        <w:rPr>
          <w:rFonts w:cs="Times New Roman" w:hint="eastAsia"/>
          <w:sz w:val="24"/>
          <w:lang w:val="en-US"/>
        </w:rPr>
        <w:t>；</w:t>
      </w:r>
      <w:r w:rsidRPr="00977953">
        <w:rPr>
          <w:rFonts w:cs="Times New Roman" w:hint="eastAsia"/>
          <w:sz w:val="24"/>
          <w:lang w:val="zh-CN"/>
        </w:rPr>
        <w:t>然而</w:t>
      </w:r>
      <w:r w:rsidRPr="00977953">
        <w:rPr>
          <w:rFonts w:cs="Times New Roman" w:hint="eastAsia"/>
          <w:sz w:val="24"/>
          <w:lang w:val="en-US"/>
        </w:rPr>
        <w:t>，</w:t>
      </w:r>
      <w:r w:rsidRPr="00977953">
        <w:rPr>
          <w:rFonts w:cs="Times New Roman" w:hint="eastAsia"/>
          <w:sz w:val="24"/>
          <w:lang w:val="zh-CN"/>
        </w:rPr>
        <w:t>复杂的方案设计对成果、效率和管理都产生影响。综合方法试点项目对环境问题和它们服务的国家</w:t>
      </w:r>
      <w:r w:rsidRPr="00977953">
        <w:rPr>
          <w:rFonts w:cs="Times New Roman"/>
          <w:sz w:val="24"/>
          <w:lang w:val="en-US"/>
        </w:rPr>
        <w:t>/</w:t>
      </w:r>
      <w:r w:rsidRPr="00977953">
        <w:rPr>
          <w:rFonts w:cs="Times New Roman" w:hint="eastAsia"/>
          <w:sz w:val="24"/>
          <w:lang w:val="zh-CN"/>
        </w:rPr>
        <w:t>城市至为重要</w:t>
      </w:r>
      <w:r w:rsidRPr="00977953">
        <w:rPr>
          <w:rFonts w:cs="Times New Roman" w:hint="eastAsia"/>
          <w:sz w:val="24"/>
          <w:lang w:val="en-US"/>
        </w:rPr>
        <w:t>，</w:t>
      </w:r>
      <w:r w:rsidRPr="00977953">
        <w:rPr>
          <w:rFonts w:cs="Times New Roman" w:hint="eastAsia"/>
          <w:sz w:val="24"/>
          <w:lang w:val="zh-CN"/>
        </w:rPr>
        <w:t>并以实现长期可持续性为设计目标。需要显示具有额外性，并且需要注意进程问题；</w:t>
      </w:r>
    </w:p>
    <w:p w:rsidR="005E3082" w:rsidRPr="00977953" w:rsidRDefault="005E3082">
      <w:pPr>
        <w:numPr>
          <w:ilvl w:val="0"/>
          <w:numId w:val="25"/>
        </w:numPr>
        <w:suppressLineNumbers/>
        <w:suppressAutoHyphens/>
        <w:adjustRightInd w:val="0"/>
        <w:snapToGrid w:val="0"/>
        <w:spacing w:after="120"/>
        <w:ind w:left="0" w:firstLine="720"/>
        <w:rPr>
          <w:rFonts w:cs="Times New Roman"/>
          <w:sz w:val="24"/>
        </w:rPr>
      </w:pPr>
      <w:r w:rsidRPr="00977953">
        <w:rPr>
          <w:rFonts w:cs="Times New Roman" w:hint="eastAsia"/>
          <w:sz w:val="24"/>
          <w:lang w:val="zh-CN"/>
        </w:rPr>
        <w:t>筹资、治理、政策和内部系统</w:t>
      </w:r>
      <w:r w:rsidRPr="00977953">
        <w:rPr>
          <w:rFonts w:cs="Times New Roman" w:hint="eastAsia"/>
          <w:sz w:val="24"/>
        </w:rPr>
        <w:t>：</w:t>
      </w:r>
      <w:r w:rsidRPr="00977953">
        <w:rPr>
          <w:rFonts w:cs="Times New Roman" w:hint="eastAsia"/>
          <w:sz w:val="24"/>
          <w:lang w:val="zh-CN"/>
        </w:rPr>
        <w:t>对全环基金的运营限制和缺乏认识导致与私营部门的成功进行接触的可能性受到限制或无法完全实现。总的来说</w:t>
      </w:r>
      <w:r w:rsidRPr="00977953">
        <w:rPr>
          <w:rFonts w:cs="Times New Roman" w:hint="eastAsia"/>
          <w:sz w:val="24"/>
          <w:lang w:val="en-US"/>
        </w:rPr>
        <w:t>，</w:t>
      </w:r>
      <w:r w:rsidRPr="00977953">
        <w:rPr>
          <w:rFonts w:cs="Times New Roman" w:hint="eastAsia"/>
          <w:sz w:val="24"/>
          <w:lang w:val="zh-CN"/>
        </w:rPr>
        <w:t>全环基金伙伴关系得到很好管理</w:t>
      </w:r>
      <w:r w:rsidRPr="00977953">
        <w:rPr>
          <w:rFonts w:cs="Times New Roman" w:hint="eastAsia"/>
          <w:sz w:val="24"/>
          <w:lang w:val="en-US"/>
        </w:rPr>
        <w:t>；</w:t>
      </w:r>
      <w:r w:rsidRPr="00977953">
        <w:rPr>
          <w:rFonts w:cs="Times New Roman" w:hint="eastAsia"/>
          <w:sz w:val="24"/>
          <w:lang w:val="zh-CN"/>
        </w:rPr>
        <w:t>对代表性、效率、问责和透明度等问题的关切继续存在。</w:t>
      </w:r>
      <w:r w:rsidRPr="00977953">
        <w:rPr>
          <w:rFonts w:cs="Times New Roman" w:hint="eastAsia"/>
          <w:kern w:val="22"/>
          <w:sz w:val="24"/>
          <w:lang w:val="zh-CN"/>
        </w:rPr>
        <w:t>全环基金两性平等主流化政策推动了全环基金努力以更有系统的方式加强全环基金方案编制和业务活动中的两性平等主流化</w:t>
      </w:r>
      <w:r w:rsidRPr="00977953">
        <w:rPr>
          <w:rFonts w:cs="Times New Roman" w:hint="eastAsia"/>
          <w:kern w:val="22"/>
          <w:sz w:val="24"/>
          <w:lang w:val="en-US"/>
        </w:rPr>
        <w:t>；</w:t>
      </w:r>
      <w:r w:rsidRPr="00977953">
        <w:rPr>
          <w:rFonts w:cs="Times New Roman" w:hint="eastAsia"/>
          <w:kern w:val="22"/>
          <w:sz w:val="24"/>
          <w:lang w:val="zh-CN"/>
        </w:rPr>
        <w:t>在实施方面有待改进。</w:t>
      </w:r>
      <w:r w:rsidRPr="00977953">
        <w:rPr>
          <w:rFonts w:cs="Times New Roman" w:hint="eastAsia"/>
          <w:sz w:val="24"/>
          <w:lang w:val="zh-CN"/>
        </w:rPr>
        <w:t>全环基金关于保障和土着人民的政策和指导意见推动了该基金在这些领域的努力</w:t>
      </w:r>
      <w:r w:rsidRPr="00977953">
        <w:rPr>
          <w:rFonts w:cs="Times New Roman" w:hint="eastAsia"/>
          <w:sz w:val="24"/>
          <w:lang w:val="en-US"/>
        </w:rPr>
        <w:t>；</w:t>
      </w:r>
      <w:r w:rsidRPr="00977953">
        <w:rPr>
          <w:rFonts w:cs="Times New Roman" w:hint="eastAsia"/>
          <w:sz w:val="24"/>
          <w:lang w:val="zh-CN"/>
        </w:rPr>
        <w:t>在伙伴机构良好做法的政策框架方面和在执行方面仍</w:t>
      </w:r>
      <w:r w:rsidRPr="00977953">
        <w:rPr>
          <w:rFonts w:cs="Times New Roman" w:hint="eastAsia"/>
          <w:sz w:val="24"/>
          <w:lang w:val="zh-CN"/>
        </w:rPr>
        <w:lastRenderedPageBreak/>
        <w:t>存在差距。全环基金项目管理信息系统、基于结果的管理系统和知识管理都取得一些进展</w:t>
      </w:r>
      <w:r w:rsidRPr="00977953">
        <w:rPr>
          <w:rFonts w:cs="Times New Roman" w:hint="eastAsia"/>
          <w:sz w:val="24"/>
          <w:lang w:val="en-US"/>
        </w:rPr>
        <w:t>；</w:t>
      </w:r>
      <w:r w:rsidRPr="00977953">
        <w:rPr>
          <w:rFonts w:cs="Times New Roman" w:hint="eastAsia"/>
          <w:sz w:val="24"/>
          <w:lang w:val="zh-CN"/>
        </w:rPr>
        <w:t>这些系统中的信息和质量都需进一步改进。</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kern w:val="22"/>
          <w:sz w:val="24"/>
          <w:szCs w:val="24"/>
        </w:rPr>
      </w:pPr>
      <w:r w:rsidRPr="00977953">
        <w:rPr>
          <w:rFonts w:cs="Times New Roman" w:hint="eastAsia"/>
          <w:sz w:val="24"/>
          <w:szCs w:val="24"/>
          <w:lang w:val="zh-CN"/>
        </w:rPr>
        <w:t>根据编制第六次全面评估报告时进行的</w:t>
      </w:r>
      <w:r w:rsidRPr="00977953">
        <w:rPr>
          <w:rFonts w:cs="Times New Roman"/>
          <w:sz w:val="24"/>
          <w:szCs w:val="24"/>
        </w:rPr>
        <w:t>29</w:t>
      </w:r>
      <w:r w:rsidRPr="00977953">
        <w:rPr>
          <w:rFonts w:cs="Times New Roman" w:hint="eastAsia"/>
          <w:sz w:val="24"/>
          <w:szCs w:val="24"/>
          <w:lang w:val="zh-CN"/>
        </w:rPr>
        <w:t>次个别评估的建议</w:t>
      </w:r>
      <w:r w:rsidRPr="00977953">
        <w:rPr>
          <w:rFonts w:cs="Times New Roman" w:hint="eastAsia"/>
          <w:sz w:val="24"/>
          <w:szCs w:val="24"/>
        </w:rPr>
        <w:t>，</w:t>
      </w:r>
      <w:r w:rsidRPr="00977953">
        <w:rPr>
          <w:rFonts w:cs="Times New Roman" w:hint="eastAsia"/>
          <w:sz w:val="24"/>
          <w:szCs w:val="24"/>
          <w:lang w:val="zh-CN"/>
        </w:rPr>
        <w:t>独立评估办公室制定了以下旨在为全环基金拟定未来方向的战略建议</w:t>
      </w:r>
      <w:r w:rsidRPr="00977953">
        <w:rPr>
          <w:rFonts w:cs="Times New Roman" w:hint="eastAsia"/>
          <w:sz w:val="24"/>
          <w:szCs w:val="24"/>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战略定位。</w:t>
      </w:r>
      <w:r w:rsidRPr="00977953">
        <w:rPr>
          <w:rFonts w:cs="Times New Roman" w:hint="eastAsia"/>
          <w:sz w:val="24"/>
          <w:szCs w:val="24"/>
          <w:lang w:val="zh-CN"/>
        </w:rPr>
        <w:t>全环基金应加强它在生物多样性重点领域的努力</w:t>
      </w:r>
      <w:r w:rsidRPr="00977953">
        <w:rPr>
          <w:rFonts w:cs="Times New Roman" w:hint="eastAsia"/>
          <w:sz w:val="24"/>
          <w:szCs w:val="24"/>
        </w:rPr>
        <w:t>，</w:t>
      </w:r>
      <w:r w:rsidRPr="00977953">
        <w:rPr>
          <w:rFonts w:cs="Times New Roman" w:hint="eastAsia"/>
          <w:sz w:val="24"/>
          <w:szCs w:val="24"/>
          <w:lang w:val="zh-CN"/>
        </w:rPr>
        <w:t>这些领域的资金来源有限</w:t>
      </w:r>
      <w:r w:rsidRPr="00977953">
        <w:rPr>
          <w:rFonts w:cs="Times New Roman" w:hint="eastAsia"/>
          <w:sz w:val="24"/>
          <w:szCs w:val="24"/>
        </w:rPr>
        <w:t>，</w:t>
      </w:r>
      <w:r w:rsidRPr="00977953">
        <w:rPr>
          <w:rFonts w:cs="Times New Roman" w:hint="eastAsia"/>
          <w:sz w:val="24"/>
          <w:szCs w:val="24"/>
          <w:lang w:val="zh-CN"/>
        </w:rPr>
        <w:t>而且拥有全环基金的知识和经验的人员不多。全环基金应探索其成为各国在通过其他合作伙伴寻求大规模资金之前进行测试和完善其方法的孵化器的潜力</w:t>
      </w:r>
      <w:r w:rsidRPr="00977953">
        <w:rPr>
          <w:rFonts w:cs="Times New Roman"/>
          <w:sz w:val="24"/>
          <w:szCs w:val="24"/>
          <w:lang w:val="en-US"/>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促进转型变革。</w:t>
      </w:r>
      <w:r w:rsidRPr="00977953">
        <w:rPr>
          <w:rFonts w:cs="Times New Roman" w:hint="eastAsia"/>
          <w:sz w:val="24"/>
          <w:szCs w:val="24"/>
          <w:lang w:val="zh-CN"/>
        </w:rPr>
        <w:t>为推动任何重点领域的转型变革</w:t>
      </w:r>
      <w:r w:rsidRPr="00977953">
        <w:rPr>
          <w:rFonts w:cs="Times New Roman" w:hint="eastAsia"/>
          <w:sz w:val="24"/>
          <w:szCs w:val="24"/>
        </w:rPr>
        <w:t>，</w:t>
      </w:r>
      <w:r w:rsidRPr="00977953">
        <w:rPr>
          <w:rFonts w:cs="Times New Roman" w:hint="eastAsia"/>
          <w:sz w:val="24"/>
          <w:szCs w:val="24"/>
          <w:lang w:val="zh-CN"/>
        </w:rPr>
        <w:t>全环基金需要通过采用系统方法和解决环境退化的驱动因素</w:t>
      </w:r>
      <w:r w:rsidRPr="00977953">
        <w:rPr>
          <w:rFonts w:cs="Times New Roman" w:hint="eastAsia"/>
          <w:sz w:val="24"/>
          <w:szCs w:val="24"/>
        </w:rPr>
        <w:t>，</w:t>
      </w:r>
      <w:r w:rsidRPr="00977953">
        <w:rPr>
          <w:rFonts w:cs="Times New Roman" w:hint="eastAsia"/>
          <w:sz w:val="24"/>
          <w:szCs w:val="24"/>
          <w:lang w:val="zh-CN"/>
        </w:rPr>
        <w:t>在设计转型方案和在推动政策和监管改革以及建立受援国的机构能力方面作出进一步努力。这还需要与金融机构合作</w:t>
      </w:r>
      <w:r w:rsidRPr="00977953">
        <w:rPr>
          <w:rFonts w:cs="Times New Roman" w:hint="eastAsia"/>
          <w:sz w:val="24"/>
          <w:szCs w:val="24"/>
          <w:lang w:val="en-US"/>
        </w:rPr>
        <w:t>，</w:t>
      </w:r>
      <w:r w:rsidRPr="00977953">
        <w:rPr>
          <w:rFonts w:cs="Times New Roman" w:hint="eastAsia"/>
          <w:sz w:val="24"/>
          <w:szCs w:val="24"/>
          <w:lang w:val="zh-CN"/>
        </w:rPr>
        <w:t>降低投资风险</w:t>
      </w:r>
      <w:r w:rsidRPr="00977953">
        <w:rPr>
          <w:rFonts w:cs="Times New Roman" w:hint="eastAsia"/>
          <w:sz w:val="24"/>
          <w:szCs w:val="24"/>
          <w:lang w:val="en-US"/>
        </w:rPr>
        <w:t>，</w:t>
      </w:r>
      <w:r w:rsidRPr="00977953">
        <w:rPr>
          <w:rFonts w:cs="Times New Roman" w:hint="eastAsia"/>
          <w:sz w:val="24"/>
          <w:szCs w:val="24"/>
          <w:lang w:val="zh-CN"/>
        </w:rPr>
        <w:t>开展结构性融资交易</w:t>
      </w:r>
      <w:r w:rsidRPr="00977953">
        <w:rPr>
          <w:rFonts w:cs="Times New Roman" w:hint="eastAsia"/>
          <w:sz w:val="24"/>
          <w:szCs w:val="24"/>
          <w:lang w:val="en-US"/>
        </w:rPr>
        <w:t>，</w:t>
      </w:r>
      <w:r w:rsidRPr="00977953">
        <w:rPr>
          <w:rFonts w:cs="Times New Roman" w:hint="eastAsia"/>
          <w:sz w:val="24"/>
          <w:szCs w:val="24"/>
          <w:lang w:val="zh-CN"/>
        </w:rPr>
        <w:t>并展示如何参与市场。在设计阶段</w:t>
      </w:r>
      <w:r w:rsidRPr="00977953">
        <w:rPr>
          <w:rFonts w:cs="Times New Roman" w:hint="eastAsia"/>
          <w:sz w:val="24"/>
          <w:szCs w:val="24"/>
          <w:lang w:val="en-US"/>
        </w:rPr>
        <w:t>，</w:t>
      </w:r>
      <w:r w:rsidRPr="00977953">
        <w:rPr>
          <w:rFonts w:cs="Times New Roman" w:hint="eastAsia"/>
          <w:sz w:val="24"/>
          <w:szCs w:val="24"/>
          <w:lang w:val="zh-CN"/>
        </w:rPr>
        <w:t>应根据明确的标准对进行变革的可能性进行事先评估</w:t>
      </w:r>
      <w:r w:rsidRPr="00977953">
        <w:rPr>
          <w:rFonts w:cs="Times New Roman" w:hint="eastAsia"/>
          <w:sz w:val="24"/>
          <w:szCs w:val="24"/>
          <w:lang w:val="en-US"/>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继续侧重以额外性为基础的整合。</w:t>
      </w:r>
      <w:r w:rsidRPr="00977953">
        <w:rPr>
          <w:rFonts w:cs="Times New Roman" w:hint="eastAsia"/>
          <w:sz w:val="24"/>
          <w:szCs w:val="24"/>
          <w:lang w:val="zh-CN"/>
        </w:rPr>
        <w:t>全环基金应继续致力于在其方案编制中采用基于科学和技术优点的综合性原则</w:t>
      </w:r>
      <w:r w:rsidRPr="00977953">
        <w:rPr>
          <w:rFonts w:cs="Times New Roman" w:hint="eastAsia"/>
          <w:sz w:val="24"/>
          <w:szCs w:val="24"/>
        </w:rPr>
        <w:t>，</w:t>
      </w:r>
      <w:r w:rsidRPr="00977953">
        <w:rPr>
          <w:rFonts w:cs="Times New Roman" w:hint="eastAsia"/>
          <w:sz w:val="24"/>
          <w:szCs w:val="24"/>
          <w:lang w:val="zh-CN"/>
        </w:rPr>
        <w:t>包括显示具有额外性、全环基金的经验、全环基金的比较优势、创新性的贡献、环境需要和国家相关性</w:t>
      </w:r>
      <w:r w:rsidRPr="00977953">
        <w:rPr>
          <w:rFonts w:cs="Times New Roman"/>
          <w:sz w:val="24"/>
          <w:szCs w:val="24"/>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改善财务管理。全环基金应考虑扩大来自经济合作与发展组织</w:t>
      </w:r>
      <w:r w:rsidRPr="00977953">
        <w:rPr>
          <w:rFonts w:cs="Times New Roman" w:hint="eastAsia"/>
          <w:kern w:val="22"/>
          <w:sz w:val="24"/>
          <w:szCs w:val="24"/>
        </w:rPr>
        <w:t>（</w:t>
      </w:r>
      <w:r w:rsidRPr="00977953">
        <w:rPr>
          <w:rFonts w:cs="Times New Roman" w:hint="eastAsia"/>
          <w:kern w:val="22"/>
          <w:sz w:val="24"/>
          <w:szCs w:val="24"/>
          <w:lang w:val="zh-CN"/>
        </w:rPr>
        <w:t>经合组织</w:t>
      </w:r>
      <w:r w:rsidRPr="00977953">
        <w:rPr>
          <w:rFonts w:cs="Times New Roman" w:hint="eastAsia"/>
          <w:kern w:val="22"/>
          <w:sz w:val="24"/>
          <w:szCs w:val="24"/>
        </w:rPr>
        <w:t>）</w:t>
      </w:r>
      <w:r w:rsidRPr="00977953">
        <w:rPr>
          <w:rFonts w:cs="Times New Roman" w:hint="eastAsia"/>
          <w:kern w:val="22"/>
          <w:sz w:val="24"/>
          <w:szCs w:val="24"/>
          <w:lang w:val="zh-CN"/>
        </w:rPr>
        <w:t>以及中等收入国家包括国家以下的州</w:t>
      </w:r>
      <w:r w:rsidRPr="00977953">
        <w:rPr>
          <w:rFonts w:cs="Times New Roman"/>
          <w:kern w:val="22"/>
          <w:sz w:val="24"/>
          <w:szCs w:val="24"/>
        </w:rPr>
        <w:t>/</w:t>
      </w:r>
      <w:r w:rsidRPr="00977953">
        <w:rPr>
          <w:rFonts w:cs="Times New Roman" w:hint="eastAsia"/>
          <w:kern w:val="22"/>
          <w:sz w:val="24"/>
          <w:szCs w:val="24"/>
          <w:lang w:val="zh-CN"/>
        </w:rPr>
        <w:t>省在内的捐助者的数量和种类</w:t>
      </w:r>
      <w:r w:rsidRPr="00977953">
        <w:rPr>
          <w:rFonts w:cs="Times New Roman" w:hint="eastAsia"/>
          <w:kern w:val="22"/>
          <w:sz w:val="24"/>
          <w:szCs w:val="24"/>
        </w:rPr>
        <w:t>，</w:t>
      </w:r>
      <w:r w:rsidRPr="00977953">
        <w:rPr>
          <w:rFonts w:cs="Times New Roman" w:hint="eastAsia"/>
          <w:kern w:val="22"/>
          <w:sz w:val="24"/>
          <w:szCs w:val="24"/>
          <w:lang w:val="zh-CN"/>
        </w:rPr>
        <w:t>这些国家以前从未作出贡献而现在越来越有能力</w:t>
      </w:r>
      <w:r w:rsidRPr="00977953">
        <w:rPr>
          <w:rFonts w:cs="Times New Roman"/>
          <w:kern w:val="22"/>
          <w:sz w:val="24"/>
          <w:szCs w:val="24"/>
        </w:rPr>
        <w:t xml:space="preserve"> </w:t>
      </w:r>
      <w:r w:rsidRPr="00977953">
        <w:rPr>
          <w:rFonts w:cs="Times New Roman" w:hint="eastAsia"/>
          <w:kern w:val="22"/>
          <w:sz w:val="24"/>
          <w:szCs w:val="24"/>
          <w:lang w:val="zh-CN"/>
        </w:rPr>
        <w:t>这样做。</w:t>
      </w:r>
      <w:r w:rsidRPr="00977953">
        <w:rPr>
          <w:rFonts w:cs="Times New Roman" w:hint="eastAsia"/>
          <w:sz w:val="24"/>
          <w:szCs w:val="24"/>
          <w:lang w:val="zh-CN"/>
        </w:rPr>
        <w:t>全环基金应在《全球环境基金通则》允许范围内进行外汇风险管理</w:t>
      </w:r>
      <w:r w:rsidRPr="00977953">
        <w:rPr>
          <w:rFonts w:cs="Times New Roman" w:hint="eastAsia"/>
          <w:sz w:val="24"/>
          <w:szCs w:val="24"/>
          <w:lang w:val="en-US"/>
        </w:rPr>
        <w:t>，</w:t>
      </w:r>
      <w:r w:rsidRPr="00977953">
        <w:rPr>
          <w:rFonts w:cs="Times New Roman" w:hint="eastAsia"/>
          <w:sz w:val="24"/>
          <w:szCs w:val="24"/>
          <w:lang w:val="zh-CN"/>
        </w:rPr>
        <w:t>和</w:t>
      </w:r>
      <w:r w:rsidRPr="00977953">
        <w:rPr>
          <w:rFonts w:cs="Times New Roman"/>
          <w:sz w:val="24"/>
          <w:szCs w:val="24"/>
          <w:lang w:val="en-US"/>
        </w:rPr>
        <w:t>/</w:t>
      </w:r>
      <w:r w:rsidRPr="00977953">
        <w:rPr>
          <w:rFonts w:cs="Times New Roman" w:hint="eastAsia"/>
          <w:sz w:val="24"/>
          <w:szCs w:val="24"/>
          <w:lang w:val="zh-CN"/>
        </w:rPr>
        <w:t>或以法律允许的方式管理波动性</w:t>
      </w:r>
      <w:r w:rsidRPr="00977953">
        <w:rPr>
          <w:rFonts w:cs="Times New Roman" w:hint="eastAsia"/>
          <w:sz w:val="24"/>
          <w:szCs w:val="24"/>
          <w:lang w:val="en-US"/>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私有部门的参与。</w:t>
      </w:r>
      <w:r w:rsidRPr="00977953">
        <w:rPr>
          <w:rFonts w:cs="Times New Roman" w:hint="eastAsia"/>
          <w:sz w:val="24"/>
          <w:szCs w:val="24"/>
          <w:lang w:val="zh-CN"/>
        </w:rPr>
        <w:t>全环基金将需调整它的战略</w:t>
      </w:r>
      <w:r w:rsidRPr="00977953">
        <w:rPr>
          <w:rFonts w:cs="Times New Roman" w:hint="eastAsia"/>
          <w:sz w:val="24"/>
          <w:szCs w:val="24"/>
        </w:rPr>
        <w:t>，</w:t>
      </w:r>
      <w:r w:rsidRPr="00977953">
        <w:rPr>
          <w:rFonts w:cs="Times New Roman" w:hint="eastAsia"/>
          <w:sz w:val="24"/>
          <w:szCs w:val="24"/>
          <w:lang w:val="zh-CN"/>
        </w:rPr>
        <w:t>以改善它与私有部门的接触</w:t>
      </w:r>
      <w:r w:rsidRPr="00977953">
        <w:rPr>
          <w:rFonts w:cs="Times New Roman" w:hint="eastAsia"/>
          <w:sz w:val="24"/>
          <w:szCs w:val="24"/>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促进两性平等。</w:t>
      </w:r>
      <w:r w:rsidRPr="00977953">
        <w:rPr>
          <w:rFonts w:cs="Times New Roman" w:hint="eastAsia"/>
          <w:sz w:val="24"/>
          <w:szCs w:val="24"/>
          <w:lang w:val="zh-CN"/>
        </w:rPr>
        <w:t>在修订《性别平等主流化政策》时</w:t>
      </w:r>
      <w:r w:rsidRPr="00977953">
        <w:rPr>
          <w:rFonts w:cs="Times New Roman" w:hint="eastAsia"/>
          <w:sz w:val="24"/>
          <w:szCs w:val="24"/>
        </w:rPr>
        <w:t>，</w:t>
      </w:r>
      <w:r w:rsidRPr="00977953">
        <w:rPr>
          <w:rFonts w:cs="Times New Roman" w:hint="eastAsia"/>
          <w:sz w:val="24"/>
          <w:szCs w:val="24"/>
          <w:lang w:val="zh-CN"/>
        </w:rPr>
        <w:t>全环基金秘书处需要将这项政策更加紧密地配合国际性别平等主流化的良好做法标准</w:t>
      </w:r>
      <w:r w:rsidRPr="00977953">
        <w:rPr>
          <w:rFonts w:cs="Times New Roman" w:hint="eastAsia"/>
          <w:sz w:val="24"/>
          <w:szCs w:val="24"/>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审查和修订保障政策。</w:t>
      </w:r>
      <w:r w:rsidRPr="00977953">
        <w:rPr>
          <w:rFonts w:cs="Times New Roman" w:hint="eastAsia"/>
          <w:sz w:val="24"/>
          <w:szCs w:val="24"/>
          <w:lang w:val="zh-CN"/>
        </w:rPr>
        <w:t>应该审查土着人民参与的保障政策和规则</w:t>
      </w:r>
      <w:r w:rsidRPr="00977953">
        <w:rPr>
          <w:rFonts w:cs="Times New Roman" w:hint="eastAsia"/>
          <w:sz w:val="24"/>
          <w:szCs w:val="24"/>
        </w:rPr>
        <w:t>，</w:t>
      </w:r>
      <w:r w:rsidRPr="00977953">
        <w:rPr>
          <w:rFonts w:cs="Times New Roman" w:hint="eastAsia"/>
          <w:sz w:val="24"/>
          <w:szCs w:val="24"/>
          <w:lang w:val="zh-CN"/>
        </w:rPr>
        <w:t>查明导致不良做法的原因并作出相应修订</w:t>
      </w:r>
      <w:r w:rsidRPr="00977953">
        <w:rPr>
          <w:rFonts w:cs="Times New Roman" w:hint="eastAsia"/>
          <w:sz w:val="24"/>
          <w:szCs w:val="24"/>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加强业务治理。全环基金秘书处应制定并明确通告方案选取和设计的标准。解决实施机构和执行机构</w:t>
      </w:r>
      <w:r w:rsidRPr="00977953">
        <w:rPr>
          <w:rFonts w:cs="Times New Roman"/>
          <w:kern w:val="22"/>
          <w:sz w:val="24"/>
          <w:szCs w:val="24"/>
          <w:lang w:val="en-US"/>
        </w:rPr>
        <w:t xml:space="preserve"> – </w:t>
      </w:r>
      <w:r w:rsidRPr="00977953">
        <w:rPr>
          <w:rFonts w:cs="Times New Roman" w:hint="eastAsia"/>
          <w:kern w:val="22"/>
          <w:sz w:val="24"/>
          <w:szCs w:val="24"/>
          <w:lang w:val="zh-CN"/>
        </w:rPr>
        <w:t>包括国际民间社会组织伙伴机构之间作用相互重叠可能产生的利益冲突问题至为重要</w:t>
      </w:r>
      <w:r w:rsidRPr="00977953">
        <w:rPr>
          <w:rFonts w:cs="Times New Roman" w:hint="eastAsia"/>
          <w:kern w:val="22"/>
          <w:sz w:val="24"/>
          <w:szCs w:val="24"/>
          <w:lang w:val="en-US"/>
        </w:rPr>
        <w:t>；</w:t>
      </w:r>
    </w:p>
    <w:p w:rsidR="005E3082" w:rsidRPr="00977953" w:rsidRDefault="005E3082">
      <w:pPr>
        <w:pStyle w:val="Para1"/>
        <w:numPr>
          <w:ilvl w:val="0"/>
          <w:numId w:val="26"/>
        </w:numPr>
        <w:suppressLineNumbers/>
        <w:suppressAutoHyphens/>
        <w:adjustRightInd w:val="0"/>
        <w:snapToGrid w:val="0"/>
        <w:ind w:left="0" w:firstLine="720"/>
        <w:rPr>
          <w:rFonts w:cs="Times New Roman"/>
          <w:sz w:val="24"/>
          <w:szCs w:val="24"/>
        </w:rPr>
      </w:pPr>
      <w:r w:rsidRPr="00977953">
        <w:rPr>
          <w:rFonts w:cs="Times New Roman" w:hint="eastAsia"/>
          <w:kern w:val="22"/>
          <w:sz w:val="24"/>
          <w:szCs w:val="24"/>
          <w:lang w:val="zh-CN"/>
        </w:rPr>
        <w:t>改善存放数据、进行监测和提供知识的系统。全环基金用于信息、成果和知识的项目管理系统必须进一步得到加强</w:t>
      </w:r>
      <w:r w:rsidRPr="00977953">
        <w:rPr>
          <w:rFonts w:cs="Times New Roman" w:hint="eastAsia"/>
          <w:kern w:val="22"/>
          <w:sz w:val="24"/>
          <w:szCs w:val="24"/>
        </w:rPr>
        <w:t>，</w:t>
      </w:r>
      <w:r w:rsidRPr="00977953">
        <w:rPr>
          <w:rFonts w:cs="Times New Roman" w:hint="eastAsia"/>
          <w:kern w:val="22"/>
          <w:sz w:val="24"/>
          <w:szCs w:val="24"/>
          <w:lang w:val="zh-CN"/>
        </w:rPr>
        <w:t>以便全环基金能够显示取得的成果并为伙伴关系的学习需要提供服务。</w:t>
      </w:r>
    </w:p>
    <w:p w:rsidR="005E3082" w:rsidRPr="00844A98" w:rsidRDefault="005E3082">
      <w:pPr>
        <w:pStyle w:val="Heading2"/>
        <w:numPr>
          <w:ilvl w:val="0"/>
          <w:numId w:val="27"/>
        </w:numPr>
        <w:suppressLineNumbers/>
        <w:tabs>
          <w:tab w:val="clear" w:pos="720"/>
          <w:tab w:val="left" w:pos="360"/>
        </w:tabs>
        <w:suppressAutoHyphens/>
        <w:adjustRightInd w:val="0"/>
        <w:snapToGrid w:val="0"/>
        <w:ind w:left="0" w:firstLine="0"/>
        <w:rPr>
          <w:rFonts w:cs="Times New Roman"/>
          <w:bCs w:val="0"/>
          <w:iCs w:val="0"/>
          <w:kern w:val="22"/>
          <w:sz w:val="24"/>
        </w:rPr>
      </w:pPr>
      <w:bookmarkStart w:id="6" w:name="_Ref513636591"/>
      <w:r w:rsidRPr="00844A98">
        <w:rPr>
          <w:rFonts w:cs="Times New Roman" w:hint="eastAsia"/>
          <w:bCs w:val="0"/>
          <w:iCs w:val="0"/>
          <w:kern w:val="22"/>
          <w:sz w:val="24"/>
          <w:lang w:val="zh-CN"/>
        </w:rPr>
        <w:t>未来对财务机制成效的审查</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bookmarkStart w:id="7" w:name="_Ref513635853"/>
      <w:bookmarkEnd w:id="6"/>
      <w:r w:rsidRPr="00977953">
        <w:rPr>
          <w:rFonts w:cs="Times New Roman" w:hint="eastAsia"/>
          <w:kern w:val="22"/>
          <w:sz w:val="24"/>
          <w:szCs w:val="24"/>
          <w:lang w:val="zh-CN"/>
        </w:rPr>
        <w:t>第</w:t>
      </w:r>
      <w:r w:rsidRPr="00977953">
        <w:rPr>
          <w:rFonts w:cs="Times New Roman"/>
          <w:kern w:val="22"/>
          <w:sz w:val="24"/>
          <w:szCs w:val="24"/>
        </w:rPr>
        <w:t>21</w:t>
      </w:r>
      <w:r w:rsidRPr="00977953">
        <w:rPr>
          <w:rFonts w:cs="Times New Roman" w:hint="eastAsia"/>
          <w:kern w:val="22"/>
          <w:sz w:val="24"/>
          <w:szCs w:val="24"/>
          <w:lang w:val="zh-CN"/>
        </w:rPr>
        <w:t>条第</w:t>
      </w:r>
      <w:r w:rsidRPr="00977953">
        <w:rPr>
          <w:rFonts w:cs="Times New Roman"/>
          <w:kern w:val="22"/>
          <w:sz w:val="24"/>
          <w:szCs w:val="24"/>
        </w:rPr>
        <w:t>3</w:t>
      </w:r>
      <w:r w:rsidRPr="00977953">
        <w:rPr>
          <w:rFonts w:cs="Times New Roman" w:hint="eastAsia"/>
          <w:kern w:val="22"/>
          <w:sz w:val="24"/>
          <w:szCs w:val="24"/>
          <w:lang w:val="zh-CN"/>
        </w:rPr>
        <w:t>款指出</w:t>
      </w:r>
      <w:r w:rsidRPr="00977953">
        <w:rPr>
          <w:rFonts w:cs="Times New Roman" w:hint="eastAsia"/>
          <w:kern w:val="22"/>
          <w:sz w:val="24"/>
          <w:szCs w:val="24"/>
        </w:rPr>
        <w:t>，</w:t>
      </w:r>
      <w:r w:rsidRPr="00977953">
        <w:rPr>
          <w:rFonts w:cs="Times New Roman" w:hint="eastAsia"/>
          <w:kern w:val="22"/>
          <w:sz w:val="24"/>
          <w:szCs w:val="24"/>
          <w:lang w:val="zh-CN"/>
        </w:rPr>
        <w:t>缔约方大会应定期对财务机制的成效进行审查</w:t>
      </w:r>
      <w:r w:rsidRPr="00977953">
        <w:rPr>
          <w:rFonts w:cs="Times New Roman" w:hint="eastAsia"/>
          <w:kern w:val="22"/>
          <w:sz w:val="24"/>
          <w:szCs w:val="24"/>
        </w:rPr>
        <w:t>，</w:t>
      </w:r>
      <w:r w:rsidRPr="00977953">
        <w:rPr>
          <w:rFonts w:cs="Times New Roman" w:hint="eastAsia"/>
          <w:kern w:val="22"/>
          <w:sz w:val="24"/>
          <w:szCs w:val="24"/>
          <w:lang w:val="zh-CN"/>
        </w:rPr>
        <w:t>并在必要时采取适当行动加强该机制的成效。这种审查的原先任务范围最初由缔约方大会在</w:t>
      </w:r>
      <w:r w:rsidRPr="00977953">
        <w:rPr>
          <w:rFonts w:cs="Times New Roman"/>
          <w:kern w:val="22"/>
          <w:sz w:val="24"/>
          <w:szCs w:val="24"/>
          <w:lang w:val="en-US"/>
        </w:rPr>
        <w:t>1996</w:t>
      </w:r>
      <w:r w:rsidRPr="00977953">
        <w:rPr>
          <w:rFonts w:cs="Times New Roman" w:hint="eastAsia"/>
          <w:kern w:val="22"/>
          <w:sz w:val="24"/>
          <w:szCs w:val="24"/>
          <w:lang w:val="zh-CN"/>
        </w:rPr>
        <w:t>年第</w:t>
      </w:r>
      <w:r w:rsidRPr="00977953">
        <w:rPr>
          <w:rFonts w:cs="Times New Roman"/>
          <w:kern w:val="22"/>
          <w:sz w:val="24"/>
          <w:szCs w:val="24"/>
          <w:lang w:val="en-US"/>
        </w:rPr>
        <w:t>III/7</w:t>
      </w:r>
      <w:r w:rsidRPr="00977953">
        <w:rPr>
          <w:rFonts w:cs="Times New Roman" w:hint="eastAsia"/>
          <w:kern w:val="22"/>
          <w:sz w:val="24"/>
          <w:szCs w:val="24"/>
          <w:lang w:val="zh-CN"/>
        </w:rPr>
        <w:t>号决定</w:t>
      </w:r>
      <w:r w:rsidRPr="00977953">
        <w:rPr>
          <w:rFonts w:cs="Times New Roman" w:hint="eastAsia"/>
          <w:kern w:val="22"/>
          <w:sz w:val="24"/>
          <w:szCs w:val="24"/>
          <w:lang w:val="en-US"/>
        </w:rPr>
        <w:t>（</w:t>
      </w:r>
      <w:r w:rsidRPr="00977953">
        <w:rPr>
          <w:rFonts w:cs="Times New Roman" w:hint="eastAsia"/>
          <w:kern w:val="22"/>
          <w:sz w:val="24"/>
          <w:szCs w:val="24"/>
          <w:lang w:val="zh-CN"/>
        </w:rPr>
        <w:t>审查财务机制成效的指导原则</w:t>
      </w:r>
      <w:r w:rsidRPr="00977953">
        <w:rPr>
          <w:rFonts w:cs="Times New Roman" w:hint="eastAsia"/>
          <w:kern w:val="22"/>
          <w:sz w:val="24"/>
          <w:szCs w:val="24"/>
          <w:lang w:val="en-US"/>
        </w:rPr>
        <w:t>）</w:t>
      </w:r>
      <w:r w:rsidRPr="00977953">
        <w:rPr>
          <w:rFonts w:cs="Times New Roman" w:hint="eastAsia"/>
          <w:kern w:val="22"/>
          <w:sz w:val="24"/>
          <w:szCs w:val="24"/>
          <w:lang w:val="zh-CN"/>
        </w:rPr>
        <w:t>和</w:t>
      </w:r>
      <w:r w:rsidRPr="00977953">
        <w:rPr>
          <w:rFonts w:cs="Times New Roman"/>
          <w:kern w:val="22"/>
          <w:sz w:val="24"/>
          <w:szCs w:val="24"/>
          <w:lang w:val="en-US"/>
        </w:rPr>
        <w:t>2000</w:t>
      </w:r>
      <w:r w:rsidRPr="00977953">
        <w:rPr>
          <w:rFonts w:cs="Times New Roman" w:hint="eastAsia"/>
          <w:kern w:val="22"/>
          <w:sz w:val="24"/>
          <w:szCs w:val="24"/>
          <w:lang w:val="zh-CN"/>
        </w:rPr>
        <w:t>年第</w:t>
      </w:r>
      <w:r w:rsidRPr="00977953">
        <w:rPr>
          <w:rFonts w:cs="Times New Roman"/>
          <w:kern w:val="22"/>
          <w:sz w:val="24"/>
          <w:szCs w:val="24"/>
          <w:lang w:val="en-US"/>
        </w:rPr>
        <w:t>V/12</w:t>
      </w:r>
      <w:r w:rsidRPr="00977953">
        <w:rPr>
          <w:rFonts w:cs="Times New Roman" w:hint="eastAsia"/>
          <w:kern w:val="22"/>
          <w:sz w:val="24"/>
          <w:szCs w:val="24"/>
          <w:lang w:val="zh-CN"/>
        </w:rPr>
        <w:t>号决定</w:t>
      </w:r>
      <w:r w:rsidRPr="00977953">
        <w:rPr>
          <w:rFonts w:cs="Times New Roman" w:hint="eastAsia"/>
          <w:kern w:val="22"/>
          <w:sz w:val="24"/>
          <w:szCs w:val="24"/>
          <w:lang w:val="en-US"/>
        </w:rPr>
        <w:t>（</w:t>
      </w:r>
      <w:r w:rsidRPr="00977953">
        <w:rPr>
          <w:rFonts w:cs="Times New Roman" w:hint="eastAsia"/>
          <w:kern w:val="22"/>
          <w:sz w:val="24"/>
          <w:szCs w:val="24"/>
          <w:lang w:val="zh-CN"/>
        </w:rPr>
        <w:t>对财务机制的第二次审查</w:t>
      </w:r>
      <w:r w:rsidRPr="00977953">
        <w:rPr>
          <w:rFonts w:cs="Times New Roman" w:hint="eastAsia"/>
          <w:kern w:val="22"/>
          <w:sz w:val="24"/>
          <w:szCs w:val="24"/>
          <w:lang w:val="en-US"/>
        </w:rPr>
        <w:t>）</w:t>
      </w:r>
      <w:r w:rsidRPr="00977953">
        <w:rPr>
          <w:rFonts w:cs="Times New Roman" w:hint="eastAsia"/>
          <w:kern w:val="22"/>
          <w:sz w:val="24"/>
          <w:szCs w:val="24"/>
          <w:lang w:val="zh-CN"/>
        </w:rPr>
        <w:t>中获得通过。类似的任务范围都为以后逐次财务机制成效的审查获得通过，办法是征聘一名有经验的独立评估人员依照通过的目标、方法和标准进行审查。不过，落实审查财务机制成效的工作已成为有无自愿捐款的问题，而在编制成效审查报告</w:t>
      </w:r>
      <w:r w:rsidRPr="00977953">
        <w:rPr>
          <w:rFonts w:cs="Times New Roman" w:hint="eastAsia"/>
          <w:kern w:val="22"/>
          <w:sz w:val="24"/>
          <w:szCs w:val="24"/>
          <w:lang w:val="zh-CN"/>
        </w:rPr>
        <w:lastRenderedPageBreak/>
        <w:t>时，并不一定有这种自愿捐款。因此，对财务机制成效的第四次审查从缔约方大会第十一届会议延到第十二届会议（见第</w:t>
      </w:r>
      <w:r w:rsidRPr="00977953">
        <w:rPr>
          <w:rFonts w:cs="Times New Roman"/>
          <w:kern w:val="22"/>
          <w:sz w:val="24"/>
          <w:szCs w:val="24"/>
          <w:lang w:val="zh-CN"/>
        </w:rPr>
        <w:t xml:space="preserve"> XI/5</w:t>
      </w:r>
      <w:r w:rsidRPr="00977953">
        <w:rPr>
          <w:rFonts w:cs="Times New Roman" w:hint="eastAsia"/>
          <w:kern w:val="22"/>
          <w:sz w:val="24"/>
          <w:szCs w:val="24"/>
          <w:lang w:val="zh-CN"/>
        </w:rPr>
        <w:t>号决定第</w:t>
      </w:r>
      <w:r w:rsidRPr="00977953">
        <w:rPr>
          <w:rFonts w:cs="Times New Roman"/>
          <w:kern w:val="22"/>
          <w:sz w:val="24"/>
          <w:szCs w:val="24"/>
          <w:lang w:val="zh-CN"/>
        </w:rPr>
        <w:t>7</w:t>
      </w:r>
      <w:r w:rsidRPr="00977953">
        <w:rPr>
          <w:rFonts w:cs="Times New Roman" w:hint="eastAsia"/>
          <w:kern w:val="22"/>
          <w:sz w:val="24"/>
          <w:szCs w:val="24"/>
          <w:lang w:val="zh-CN"/>
        </w:rPr>
        <w:t>段）。由于缺乏资金，没有进行对财务机制成效的第五次审查。</w:t>
      </w:r>
    </w:p>
    <w:bookmarkEnd w:id="7"/>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i/>
          <w:sz w:val="24"/>
          <w:szCs w:val="24"/>
        </w:rPr>
      </w:pPr>
      <w:r w:rsidRPr="00977953">
        <w:rPr>
          <w:rFonts w:cs="Times New Roman" w:hint="eastAsia"/>
          <w:kern w:val="22"/>
          <w:sz w:val="24"/>
          <w:szCs w:val="24"/>
          <w:lang w:val="zh-CN"/>
        </w:rPr>
        <w:t>自缔约方大会</w:t>
      </w:r>
      <w:r w:rsidRPr="00977953">
        <w:rPr>
          <w:rFonts w:cs="Times New Roman"/>
          <w:kern w:val="22"/>
          <w:sz w:val="24"/>
          <w:szCs w:val="24"/>
          <w:lang w:val="en-US"/>
        </w:rPr>
        <w:t>2000</w:t>
      </w:r>
      <w:r w:rsidRPr="00977953">
        <w:rPr>
          <w:rFonts w:cs="Times New Roman" w:hint="eastAsia"/>
          <w:kern w:val="22"/>
          <w:sz w:val="24"/>
          <w:szCs w:val="24"/>
          <w:lang w:val="zh-CN"/>
        </w:rPr>
        <w:t>年</w:t>
      </w:r>
      <w:r w:rsidRPr="00977953">
        <w:rPr>
          <w:rFonts w:cs="Times New Roman"/>
          <w:kern w:val="22"/>
          <w:sz w:val="24"/>
          <w:szCs w:val="24"/>
          <w:lang w:val="en-US"/>
        </w:rPr>
        <w:t>5</w:t>
      </w:r>
      <w:r w:rsidRPr="00977953">
        <w:rPr>
          <w:rFonts w:cs="Times New Roman" w:hint="eastAsia"/>
          <w:kern w:val="22"/>
          <w:sz w:val="24"/>
          <w:szCs w:val="24"/>
          <w:lang w:val="zh-CN"/>
        </w:rPr>
        <w:t>月通过审查成效的独立进程以来</w:t>
      </w:r>
      <w:r w:rsidRPr="00977953">
        <w:rPr>
          <w:rFonts w:cs="Times New Roman" w:hint="eastAsia"/>
          <w:kern w:val="22"/>
          <w:sz w:val="24"/>
          <w:szCs w:val="24"/>
          <w:lang w:val="en-US"/>
        </w:rPr>
        <w:t>，</w:t>
      </w:r>
      <w:r w:rsidRPr="00977953">
        <w:rPr>
          <w:rFonts w:cs="Times New Roman" w:hint="eastAsia"/>
          <w:kern w:val="22"/>
          <w:sz w:val="24"/>
          <w:szCs w:val="24"/>
          <w:lang w:val="zh-CN"/>
        </w:rPr>
        <w:t>全环基金理事会在</w:t>
      </w:r>
      <w:r w:rsidRPr="00977953">
        <w:rPr>
          <w:rFonts w:cs="Times New Roman"/>
          <w:kern w:val="22"/>
          <w:sz w:val="24"/>
          <w:szCs w:val="24"/>
          <w:lang w:val="en-US"/>
        </w:rPr>
        <w:t>2003</w:t>
      </w:r>
      <w:r w:rsidRPr="00977953">
        <w:rPr>
          <w:rFonts w:cs="Times New Roman" w:hint="eastAsia"/>
          <w:kern w:val="22"/>
          <w:sz w:val="24"/>
          <w:szCs w:val="24"/>
          <w:lang w:val="zh-CN"/>
        </w:rPr>
        <w:t>年</w:t>
      </w:r>
      <w:r w:rsidRPr="00977953">
        <w:rPr>
          <w:rFonts w:cs="Times New Roman"/>
          <w:kern w:val="22"/>
          <w:sz w:val="24"/>
          <w:szCs w:val="24"/>
          <w:lang w:val="en-US"/>
        </w:rPr>
        <w:t>7</w:t>
      </w:r>
      <w:r w:rsidRPr="00977953">
        <w:rPr>
          <w:rFonts w:cs="Times New Roman" w:hint="eastAsia"/>
          <w:kern w:val="22"/>
          <w:sz w:val="24"/>
          <w:szCs w:val="24"/>
          <w:lang w:val="zh-CN"/>
        </w:rPr>
        <w:t>月决定设立独立评估办公室</w:t>
      </w:r>
      <w:r w:rsidRPr="00977953">
        <w:rPr>
          <w:rFonts w:cs="Times New Roman" w:hint="eastAsia"/>
          <w:kern w:val="22"/>
          <w:sz w:val="24"/>
          <w:szCs w:val="24"/>
          <w:lang w:val="en-US"/>
        </w:rPr>
        <w:t>，</w:t>
      </w:r>
      <w:r w:rsidRPr="00977953">
        <w:rPr>
          <w:rFonts w:cs="Times New Roman" w:hint="eastAsia"/>
          <w:kern w:val="22"/>
          <w:sz w:val="24"/>
          <w:szCs w:val="24"/>
          <w:lang w:val="zh-CN"/>
        </w:rPr>
        <w:t>为全环基金提供独立评估职能。全环基金</w:t>
      </w:r>
      <w:r w:rsidRPr="00977953">
        <w:rPr>
          <w:rFonts w:cs="Times New Roman"/>
          <w:kern w:val="22"/>
          <w:sz w:val="24"/>
          <w:szCs w:val="24"/>
          <w:lang w:val="zh-CN"/>
        </w:rPr>
        <w:t>/</w:t>
      </w:r>
      <w:r w:rsidRPr="00977953">
        <w:rPr>
          <w:rFonts w:cs="Times New Roman" w:hint="eastAsia"/>
          <w:kern w:val="22"/>
          <w:sz w:val="24"/>
          <w:szCs w:val="24"/>
          <w:lang w:val="zh-CN"/>
        </w:rPr>
        <w:t>独立评估办公室独立于全环基金的决策、交付和援助管理职能，并直接对全环基金理事会负责。在进行评估时，全环基金</w:t>
      </w:r>
      <w:r w:rsidRPr="00977953">
        <w:rPr>
          <w:rFonts w:cs="Times New Roman"/>
          <w:kern w:val="22"/>
          <w:sz w:val="24"/>
          <w:szCs w:val="24"/>
          <w:lang w:val="zh-CN"/>
        </w:rPr>
        <w:t>/</w:t>
      </w:r>
      <w:r w:rsidRPr="00977953">
        <w:rPr>
          <w:rFonts w:cs="Times New Roman" w:hint="eastAsia"/>
          <w:kern w:val="22"/>
          <w:sz w:val="24"/>
          <w:szCs w:val="24"/>
          <w:lang w:val="zh-CN"/>
        </w:rPr>
        <w:t>独立评估办公室以</w:t>
      </w:r>
      <w:r w:rsidRPr="00977953">
        <w:rPr>
          <w:rFonts w:cs="Times New Roman"/>
          <w:kern w:val="22"/>
          <w:sz w:val="24"/>
          <w:szCs w:val="24"/>
          <w:lang w:val="zh-CN"/>
        </w:rPr>
        <w:t>2010</w:t>
      </w:r>
      <w:r w:rsidRPr="00977953">
        <w:rPr>
          <w:rFonts w:cs="Times New Roman" w:hint="eastAsia"/>
          <w:kern w:val="22"/>
          <w:sz w:val="24"/>
          <w:szCs w:val="24"/>
          <w:lang w:val="zh-CN"/>
        </w:rPr>
        <w:t>年全环基金监测和评估政策（</w:t>
      </w:r>
      <w:r w:rsidRPr="00977953">
        <w:rPr>
          <w:rFonts w:cs="Times New Roman"/>
          <w:kern w:val="22"/>
          <w:sz w:val="24"/>
          <w:szCs w:val="24"/>
          <w:lang w:val="zh-CN"/>
        </w:rPr>
        <w:t>GEF/ME/C.39/6/Rev.1</w:t>
      </w:r>
      <w:r w:rsidRPr="00977953">
        <w:rPr>
          <w:rFonts w:cs="Times New Roman" w:hint="eastAsia"/>
          <w:kern w:val="22"/>
          <w:sz w:val="24"/>
          <w:szCs w:val="24"/>
          <w:lang w:val="zh-CN"/>
        </w:rPr>
        <w:t>，</w:t>
      </w:r>
      <w:smartTag w:uri="urn:schemas-microsoft-com:office:smarttags" w:element="chsdate">
        <w:smartTagPr>
          <w:attr w:name="Year" w:val="2010"/>
          <w:attr w:name="Month" w:val="11"/>
          <w:attr w:name="Day" w:val="17"/>
          <w:attr w:name="IsLunarDate" w:val="False"/>
          <w:attr w:name="IsROCDate" w:val="False"/>
        </w:smartTagPr>
        <w:r w:rsidRPr="00977953">
          <w:rPr>
            <w:rFonts w:cs="Times New Roman"/>
            <w:kern w:val="22"/>
            <w:sz w:val="24"/>
            <w:szCs w:val="24"/>
            <w:lang w:val="zh-CN"/>
          </w:rPr>
          <w:t>2010</w:t>
        </w:r>
        <w:r w:rsidRPr="00977953">
          <w:rPr>
            <w:rFonts w:cs="Times New Roman" w:hint="eastAsia"/>
            <w:kern w:val="22"/>
            <w:sz w:val="24"/>
            <w:szCs w:val="24"/>
            <w:lang w:val="zh-CN"/>
          </w:rPr>
          <w:t>年</w:t>
        </w:r>
        <w:r w:rsidRPr="00977953">
          <w:rPr>
            <w:rFonts w:cs="Times New Roman"/>
            <w:kern w:val="22"/>
            <w:sz w:val="24"/>
            <w:szCs w:val="24"/>
            <w:lang w:val="zh-CN"/>
          </w:rPr>
          <w:t>11</w:t>
        </w:r>
        <w:r w:rsidRPr="00977953">
          <w:rPr>
            <w:rFonts w:cs="Times New Roman" w:hint="eastAsia"/>
            <w:kern w:val="22"/>
            <w:sz w:val="24"/>
            <w:szCs w:val="24"/>
            <w:lang w:val="zh-CN"/>
          </w:rPr>
          <w:t>月</w:t>
        </w:r>
        <w:r w:rsidRPr="00977953">
          <w:rPr>
            <w:rFonts w:cs="Times New Roman"/>
            <w:kern w:val="22"/>
            <w:sz w:val="24"/>
            <w:szCs w:val="24"/>
            <w:lang w:val="zh-CN"/>
          </w:rPr>
          <w:t>17</w:t>
        </w:r>
        <w:r w:rsidRPr="00977953">
          <w:rPr>
            <w:rFonts w:cs="Times New Roman" w:hint="eastAsia"/>
            <w:kern w:val="22"/>
            <w:sz w:val="24"/>
            <w:szCs w:val="24"/>
            <w:lang w:val="zh-CN"/>
          </w:rPr>
          <w:t>日</w:t>
        </w:r>
      </w:smartTag>
      <w:r w:rsidRPr="00977953">
        <w:rPr>
          <w:rFonts w:cs="Times New Roman" w:hint="eastAsia"/>
          <w:kern w:val="22"/>
          <w:sz w:val="24"/>
          <w:szCs w:val="24"/>
          <w:lang w:val="zh-CN"/>
        </w:rPr>
        <w:t>）所列的各项原则为指导：独立、可信、有用、公正、透明、公开、道德、参与、负责和能力。</w:t>
      </w:r>
      <w:r w:rsidRPr="00977953">
        <w:rPr>
          <w:rFonts w:cs="Times New Roman"/>
          <w:kern w:val="22"/>
          <w:sz w:val="24"/>
          <w:szCs w:val="24"/>
          <w:lang w:val="zh-CN"/>
        </w:rPr>
        <w:t>2007</w:t>
      </w:r>
      <w:r w:rsidRPr="00977953">
        <w:rPr>
          <w:rFonts w:cs="Times New Roman" w:hint="eastAsia"/>
          <w:kern w:val="22"/>
          <w:sz w:val="24"/>
          <w:szCs w:val="24"/>
          <w:lang w:val="zh-CN"/>
        </w:rPr>
        <w:t>年全环基金评估办公室道德准则进一步要求它在进行评估工作时遵循独立、公正、透明、公开和知识分享的原则，以及指出评估工作必须全面和均衡地呈现受到评估的政策、方案、项目或组织单位的强项和弱点。在评估的所有阶段都应公正公平并适当考虑到利益攸关方的看法。</w:t>
      </w:r>
    </w:p>
    <w:p w:rsidR="005E3082" w:rsidRPr="00977953" w:rsidRDefault="005E3082">
      <w:pPr>
        <w:pStyle w:val="Heading1"/>
        <w:suppressLineNumbers/>
        <w:tabs>
          <w:tab w:val="clear" w:pos="720"/>
          <w:tab w:val="left" w:pos="360"/>
        </w:tabs>
        <w:suppressAutoHyphens/>
        <w:adjustRightInd w:val="0"/>
        <w:snapToGrid w:val="0"/>
        <w:spacing w:before="120"/>
        <w:rPr>
          <w:rFonts w:cs="Times New Roman"/>
          <w:sz w:val="24"/>
        </w:rPr>
      </w:pPr>
      <w:r w:rsidRPr="00977953">
        <w:rPr>
          <w:rFonts w:cs="Times New Roman" w:hint="eastAsia"/>
          <w:kern w:val="22"/>
          <w:sz w:val="24"/>
          <w:lang w:val="zh-CN"/>
        </w:rPr>
        <w:t>四</w:t>
      </w:r>
      <w:r w:rsidRPr="00977953">
        <w:rPr>
          <w:rFonts w:cs="Times New Roman"/>
          <w:kern w:val="22"/>
          <w:sz w:val="24"/>
          <w:lang w:val="en-US"/>
        </w:rPr>
        <w:t>.</w:t>
      </w:r>
      <w:r w:rsidRPr="00977953">
        <w:rPr>
          <w:rFonts w:cs="Times New Roman"/>
          <w:kern w:val="22"/>
          <w:sz w:val="24"/>
        </w:rPr>
        <w:tab/>
      </w:r>
      <w:r w:rsidR="00844A98">
        <w:rPr>
          <w:rFonts w:cs="Times New Roman"/>
          <w:kern w:val="22"/>
          <w:sz w:val="24"/>
        </w:rPr>
        <w:t xml:space="preserve"> </w:t>
      </w:r>
      <w:r w:rsidRPr="00977953">
        <w:rPr>
          <w:rFonts w:cs="Times New Roman" w:hint="eastAsia"/>
          <w:kern w:val="22"/>
          <w:sz w:val="24"/>
          <w:lang w:val="zh-CN"/>
        </w:rPr>
        <w:t>确定资金需求</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bookmarkStart w:id="8" w:name="_Hlt516061120"/>
      <w:bookmarkStart w:id="9" w:name="_Hlt516061121"/>
      <w:r w:rsidRPr="00977953">
        <w:rPr>
          <w:rFonts w:cs="Times New Roman" w:hint="eastAsia"/>
          <w:sz w:val="24"/>
          <w:szCs w:val="24"/>
          <w:lang w:val="zh-CN"/>
        </w:rPr>
        <w:t>在</w:t>
      </w:r>
      <w:hyperlink r:id="rId12" w:history="1">
        <w:r w:rsidRPr="00844A98">
          <w:rPr>
            <w:rStyle w:val="Hyperlink"/>
            <w:rFonts w:hint="eastAsia"/>
            <w:sz w:val="24"/>
            <w:szCs w:val="24"/>
            <w:lang w:val="zh-CN"/>
          </w:rPr>
          <w:t>第</w:t>
        </w:r>
        <w:r w:rsidRPr="00844A98">
          <w:rPr>
            <w:rStyle w:val="Hyperlink"/>
            <w:kern w:val="22"/>
            <w:sz w:val="24"/>
            <w:szCs w:val="24"/>
          </w:rPr>
          <w:t>X/26</w:t>
        </w:r>
        <w:r w:rsidRPr="00844A98">
          <w:rPr>
            <w:rStyle w:val="Hyperlink"/>
            <w:rFonts w:hint="eastAsia"/>
            <w:sz w:val="24"/>
            <w:szCs w:val="24"/>
            <w:lang w:val="zh-CN"/>
          </w:rPr>
          <w:t>号决定</w:t>
        </w:r>
      </w:hyperlink>
      <w:r w:rsidRPr="00977953">
        <w:rPr>
          <w:rFonts w:cs="Times New Roman" w:hint="eastAsia"/>
          <w:sz w:val="24"/>
          <w:szCs w:val="24"/>
          <w:lang w:val="zh-CN"/>
        </w:rPr>
        <w:t>中</w:t>
      </w:r>
      <w:r w:rsidRPr="00977953">
        <w:rPr>
          <w:rFonts w:cs="Times New Roman" w:hint="eastAsia"/>
          <w:sz w:val="24"/>
          <w:szCs w:val="24"/>
        </w:rPr>
        <w:t>，</w:t>
      </w:r>
      <w:r w:rsidRPr="00977953">
        <w:rPr>
          <w:rFonts w:cs="Times New Roman" w:hint="eastAsia"/>
          <w:sz w:val="24"/>
          <w:szCs w:val="24"/>
          <w:lang w:val="zh-CN"/>
        </w:rPr>
        <w:t>缔约方会议决定依照缔约方会议提供的指导方针开始评估协助发展中国家为在下一个全环基金充资周期履行它们根据《公约》承担的义务所需的资金。由于预计全环基金信托基金将开展第七次充资</w:t>
      </w:r>
      <w:r w:rsidRPr="00977953">
        <w:rPr>
          <w:rFonts w:cs="Times New Roman" w:hint="eastAsia"/>
          <w:sz w:val="24"/>
          <w:szCs w:val="24"/>
          <w:lang w:val="en-US"/>
        </w:rPr>
        <w:t>，</w:t>
      </w:r>
      <w:r w:rsidRPr="00977953">
        <w:rPr>
          <w:rFonts w:cs="Times New Roman" w:hint="eastAsia"/>
          <w:sz w:val="24"/>
          <w:szCs w:val="24"/>
          <w:lang w:val="zh-CN"/>
        </w:rPr>
        <w:t>一个专家小组对所需资金进行了全面评估</w:t>
      </w:r>
      <w:r w:rsidRPr="00977953">
        <w:rPr>
          <w:rFonts w:cs="Times New Roman" w:hint="eastAsia"/>
          <w:sz w:val="24"/>
          <w:szCs w:val="24"/>
          <w:lang w:val="en-US"/>
        </w:rPr>
        <w:t>，</w:t>
      </w:r>
      <w:r w:rsidRPr="00977953">
        <w:rPr>
          <w:rFonts w:cs="Times New Roman" w:hint="eastAsia"/>
          <w:sz w:val="24"/>
          <w:szCs w:val="24"/>
          <w:lang w:val="zh-CN"/>
        </w:rPr>
        <w:t>认为全环基金第七次充资期间的资金需求将在</w:t>
      </w:r>
      <w:r w:rsidRPr="00977953">
        <w:rPr>
          <w:rFonts w:cs="Times New Roman"/>
          <w:sz w:val="24"/>
          <w:szCs w:val="24"/>
          <w:lang w:val="en-US"/>
        </w:rPr>
        <w:t>20</w:t>
      </w:r>
      <w:r w:rsidRPr="00977953">
        <w:rPr>
          <w:rFonts w:cs="Times New Roman" w:hint="eastAsia"/>
          <w:sz w:val="24"/>
          <w:szCs w:val="24"/>
          <w:lang w:val="zh-CN"/>
        </w:rPr>
        <w:t>亿美元至</w:t>
      </w:r>
      <w:r w:rsidRPr="00977953">
        <w:rPr>
          <w:rFonts w:cs="Times New Roman"/>
          <w:sz w:val="24"/>
          <w:szCs w:val="24"/>
          <w:lang w:val="en-US"/>
        </w:rPr>
        <w:t>45</w:t>
      </w:r>
      <w:r w:rsidRPr="00977953">
        <w:rPr>
          <w:rFonts w:cs="Times New Roman" w:hint="eastAsia"/>
          <w:sz w:val="24"/>
          <w:szCs w:val="24"/>
          <w:lang w:val="zh-CN"/>
        </w:rPr>
        <w:t>亿美元之间</w:t>
      </w:r>
      <w:r w:rsidRPr="00977953">
        <w:rPr>
          <w:rStyle w:val="FootnoteReference"/>
          <w:rFonts w:eastAsia="Malgun Gothic"/>
          <w:kern w:val="22"/>
          <w:sz w:val="24"/>
          <w:szCs w:val="24"/>
          <w:lang w:val="zh-CN"/>
        </w:rPr>
        <w:footnoteReference w:id="2"/>
      </w:r>
      <w:r w:rsidRPr="00977953">
        <w:rPr>
          <w:rFonts w:cs="Times New Roman" w:hint="eastAsia"/>
          <w:sz w:val="24"/>
          <w:szCs w:val="24"/>
          <w:lang w:val="zh-CN"/>
        </w:rPr>
        <w:t>。缔约方大会在第</w:t>
      </w:r>
      <w:r w:rsidRPr="00977953">
        <w:rPr>
          <w:rFonts w:cs="Times New Roman"/>
          <w:sz w:val="24"/>
          <w:szCs w:val="24"/>
          <w:lang w:val="zh-CN"/>
        </w:rPr>
        <w:t>XIII/21</w:t>
      </w:r>
      <w:r w:rsidRPr="00977953">
        <w:rPr>
          <w:rFonts w:cs="Times New Roman" w:hint="eastAsia"/>
          <w:sz w:val="24"/>
          <w:szCs w:val="24"/>
          <w:lang w:val="zh-CN"/>
        </w:rPr>
        <w:t>号决定中讨论了第二次确定资金需求，并要求全球环境基金在全球环境基金信托基金第七次充资过程中，考虑到《</w:t>
      </w:r>
      <w:r w:rsidRPr="00977953">
        <w:rPr>
          <w:rFonts w:cs="Times New Roman"/>
          <w:sz w:val="24"/>
          <w:szCs w:val="24"/>
          <w:lang w:val="zh-CN"/>
        </w:rPr>
        <w:t>2011-2020</w:t>
      </w:r>
      <w:r w:rsidRPr="00977953">
        <w:rPr>
          <w:rFonts w:cs="Times New Roman" w:hint="eastAsia"/>
          <w:sz w:val="24"/>
          <w:szCs w:val="24"/>
          <w:lang w:val="zh-CN"/>
        </w:rPr>
        <w:t>年生物多样性战略计划》和爱知生物多样性指标以及专家小组对全球环境基金第七次充资期间落实《公约》及其《议定书》所需资金的全面评估，但也注意到专家组指出的各种局限性。</w:t>
      </w:r>
      <w:r w:rsidRPr="00977953">
        <w:rPr>
          <w:rFonts w:cs="Times New Roman" w:hint="eastAsia"/>
          <w:kern w:val="22"/>
          <w:sz w:val="24"/>
          <w:szCs w:val="24"/>
          <w:lang w:val="zh-CN"/>
        </w:rPr>
        <w:t>它还邀请全球环境基金在提交缔约方大会的定期报告中指出它如何在充资周期期间对这项评估采取行动。</w:t>
      </w:r>
    </w:p>
    <w:bookmarkEnd w:id="8"/>
    <w:bookmarkEnd w:id="9"/>
    <w:p w:rsidR="005E3082" w:rsidRPr="00977953" w:rsidRDefault="005E3082">
      <w:pPr>
        <w:pStyle w:val="Para1"/>
        <w:numPr>
          <w:ilvl w:val="0"/>
          <w:numId w:val="18"/>
        </w:numPr>
        <w:suppressLineNumbers/>
        <w:tabs>
          <w:tab w:val="num" w:pos="720"/>
        </w:tabs>
        <w:suppressAutoHyphens/>
        <w:ind w:left="0" w:firstLine="0"/>
        <w:rPr>
          <w:rFonts w:cs="Times New Roman"/>
          <w:sz w:val="24"/>
          <w:szCs w:val="24"/>
        </w:rPr>
      </w:pPr>
      <w:r w:rsidRPr="00977953">
        <w:rPr>
          <w:rFonts w:cs="Times New Roman" w:hint="eastAsia"/>
          <w:sz w:val="24"/>
          <w:szCs w:val="24"/>
          <w:lang w:val="zh-CN"/>
        </w:rPr>
        <w:t>全环基金在其初步报告中指出</w:t>
      </w:r>
      <w:r w:rsidRPr="00977953">
        <w:rPr>
          <w:rFonts w:cs="Times New Roman" w:hint="eastAsia"/>
          <w:sz w:val="24"/>
          <w:szCs w:val="24"/>
        </w:rPr>
        <w:t>，</w:t>
      </w:r>
      <w:r w:rsidRPr="00977953">
        <w:rPr>
          <w:rFonts w:cs="Times New Roman" w:hint="eastAsia"/>
          <w:sz w:val="24"/>
          <w:szCs w:val="24"/>
          <w:lang w:val="zh-CN"/>
        </w:rPr>
        <w:t>在全环基金第七次充资过程中</w:t>
      </w:r>
      <w:r w:rsidRPr="00977953">
        <w:rPr>
          <w:rFonts w:cs="Times New Roman" w:hint="eastAsia"/>
          <w:sz w:val="24"/>
          <w:szCs w:val="24"/>
        </w:rPr>
        <w:t>，</w:t>
      </w:r>
      <w:r w:rsidRPr="00977953">
        <w:rPr>
          <w:rFonts w:cs="Times New Roman" w:hint="eastAsia"/>
          <w:sz w:val="24"/>
          <w:szCs w:val="24"/>
          <w:lang w:val="zh-CN"/>
        </w:rPr>
        <w:t>参与充资的各方已经考虑到上述情况。全环基金第七次充资期间拟议的生物多样性战略和前述影响方案都将其目标和成果与其对实现爱知生物多样性指标作出的贡献相对照</w:t>
      </w:r>
      <w:r w:rsidRPr="00977953">
        <w:rPr>
          <w:rStyle w:val="FootnoteReference"/>
          <w:rFonts w:eastAsia="Malgun Gothic"/>
          <w:kern w:val="22"/>
          <w:sz w:val="24"/>
          <w:szCs w:val="24"/>
          <w:lang w:val="zh-CN"/>
        </w:rPr>
        <w:footnoteReference w:id="3"/>
      </w:r>
      <w:r w:rsidRPr="00977953">
        <w:rPr>
          <w:rFonts w:cs="Times New Roman" w:hint="eastAsia"/>
          <w:sz w:val="24"/>
          <w:szCs w:val="24"/>
          <w:lang w:val="zh-CN"/>
        </w:rPr>
        <w:t>。根据资源分配状况和全球环境惠益目标的全环基金第七次充资文件（</w:t>
      </w:r>
      <w:r w:rsidRPr="00977953">
        <w:rPr>
          <w:rFonts w:cs="Times New Roman"/>
          <w:sz w:val="24"/>
          <w:szCs w:val="24"/>
          <w:lang w:val="zh-CN"/>
        </w:rPr>
        <w:t>GEF/R.7/22</w:t>
      </w:r>
      <w:r w:rsidRPr="00977953">
        <w:rPr>
          <w:rFonts w:cs="Times New Roman" w:hint="eastAsia"/>
          <w:sz w:val="24"/>
          <w:szCs w:val="24"/>
          <w:lang w:val="zh-CN"/>
        </w:rPr>
        <w:t>，</w:t>
      </w:r>
      <w:r w:rsidRPr="00977953">
        <w:rPr>
          <w:rFonts w:cs="Times New Roman"/>
          <w:sz w:val="24"/>
          <w:szCs w:val="24"/>
          <w:lang w:val="zh-CN"/>
        </w:rPr>
        <w:t>2018</w:t>
      </w:r>
      <w:r w:rsidRPr="00977953">
        <w:rPr>
          <w:rFonts w:cs="Times New Roman" w:hint="eastAsia"/>
          <w:sz w:val="24"/>
          <w:szCs w:val="24"/>
          <w:lang w:val="zh-CN"/>
        </w:rPr>
        <w:t>年</w:t>
      </w:r>
      <w:r w:rsidRPr="00977953">
        <w:rPr>
          <w:rFonts w:cs="Times New Roman"/>
          <w:sz w:val="24"/>
          <w:szCs w:val="24"/>
          <w:lang w:val="zh-CN"/>
        </w:rPr>
        <w:t>4</w:t>
      </w:r>
      <w:r w:rsidRPr="00977953">
        <w:rPr>
          <w:rFonts w:cs="Times New Roman" w:hint="eastAsia"/>
          <w:sz w:val="24"/>
          <w:szCs w:val="24"/>
          <w:lang w:val="zh-CN"/>
        </w:rPr>
        <w:t>月</w:t>
      </w:r>
      <w:r w:rsidRPr="00977953">
        <w:rPr>
          <w:rFonts w:cs="Times New Roman"/>
          <w:sz w:val="24"/>
          <w:szCs w:val="24"/>
          <w:lang w:val="zh-CN"/>
        </w:rPr>
        <w:t>2</w:t>
      </w:r>
      <w:r w:rsidRPr="00977953">
        <w:rPr>
          <w:rFonts w:cs="Times New Roman" w:hint="eastAsia"/>
          <w:sz w:val="24"/>
          <w:szCs w:val="24"/>
          <w:lang w:val="zh-CN"/>
        </w:rPr>
        <w:t>日），全环基金计划将生物多样性重点领域的资金份额从全环基金第六次充资期间的</w:t>
      </w:r>
      <w:r w:rsidRPr="00977953">
        <w:rPr>
          <w:rFonts w:cs="Times New Roman"/>
          <w:sz w:val="24"/>
          <w:szCs w:val="24"/>
          <w:lang w:val="zh-CN"/>
        </w:rPr>
        <w:t>29.2</w:t>
      </w:r>
      <w:r w:rsidRPr="00977953">
        <w:rPr>
          <w:rFonts w:cs="Times New Roman" w:hint="eastAsia"/>
          <w:sz w:val="24"/>
          <w:szCs w:val="24"/>
          <w:lang w:val="zh-CN"/>
        </w:rPr>
        <w:t>％增加到全环基金第七次充资期间的</w:t>
      </w:r>
      <w:r w:rsidRPr="00977953">
        <w:rPr>
          <w:rFonts w:cs="Times New Roman"/>
          <w:sz w:val="24"/>
          <w:szCs w:val="24"/>
          <w:lang w:val="zh-CN"/>
        </w:rPr>
        <w:t>31.9</w:t>
      </w:r>
      <w:r w:rsidRPr="00977953">
        <w:rPr>
          <w:rFonts w:cs="Times New Roman" w:hint="eastAsia"/>
          <w:sz w:val="24"/>
          <w:szCs w:val="24"/>
          <w:lang w:val="zh-CN"/>
        </w:rPr>
        <w:t>％，以便通过资助缔约方大会第十三届会议商定的四年期框架确定的供资优先目标，进一步加强全环基金帮助对抗全球生物多样性急剧下降的能力。鉴于全环基金第六次充资期间的高额需求以及缔约方大会提出的指导意见，在生物多样性重点领域内，更加重视全环基金在野生动植物方面工作。其指示性资金分配的方式可概述如下：</w:t>
      </w:r>
    </w:p>
    <w:p w:rsidR="005E3082" w:rsidRPr="00977953" w:rsidRDefault="005E3082">
      <w:pPr>
        <w:pStyle w:val="Para1"/>
        <w:numPr>
          <w:ilvl w:val="0"/>
          <w:numId w:val="28"/>
        </w:numPr>
        <w:suppressLineNumbers/>
        <w:suppressAutoHyphens/>
        <w:adjustRightInd w:val="0"/>
        <w:snapToGrid w:val="0"/>
        <w:ind w:left="0" w:firstLine="720"/>
        <w:rPr>
          <w:rFonts w:cs="Times New Roman"/>
          <w:kern w:val="22"/>
          <w:sz w:val="24"/>
          <w:szCs w:val="24"/>
        </w:rPr>
      </w:pPr>
      <w:r w:rsidRPr="00977953">
        <w:rPr>
          <w:rFonts w:cs="Times New Roman" w:hint="eastAsia"/>
          <w:sz w:val="24"/>
          <w:szCs w:val="24"/>
          <w:lang w:val="zh-CN"/>
        </w:rPr>
        <w:t>五分之二</w:t>
      </w:r>
      <w:r w:rsidRPr="00977953">
        <w:rPr>
          <w:rFonts w:cs="Times New Roman" w:hint="eastAsia"/>
          <w:sz w:val="24"/>
          <w:szCs w:val="24"/>
        </w:rPr>
        <w:t>（</w:t>
      </w:r>
      <w:r w:rsidRPr="00977953">
        <w:rPr>
          <w:rFonts w:cs="Times New Roman"/>
          <w:sz w:val="24"/>
          <w:szCs w:val="24"/>
        </w:rPr>
        <w:t>40</w:t>
      </w:r>
      <w:r w:rsidRPr="00977953">
        <w:rPr>
          <w:rFonts w:cs="Times New Roman" w:hint="eastAsia"/>
          <w:sz w:val="24"/>
          <w:szCs w:val="24"/>
        </w:rPr>
        <w:t>％）</w:t>
      </w:r>
      <w:r w:rsidRPr="00977953">
        <w:rPr>
          <w:rFonts w:cs="Times New Roman" w:hint="eastAsia"/>
          <w:sz w:val="24"/>
          <w:szCs w:val="24"/>
          <w:lang w:val="zh-CN"/>
        </w:rPr>
        <w:t>的生物多样性资金将用于旨在实现转型变革的方案</w:t>
      </w:r>
      <w:r w:rsidRPr="00977953">
        <w:rPr>
          <w:rFonts w:cs="Times New Roman" w:hint="eastAsia"/>
          <w:sz w:val="24"/>
          <w:szCs w:val="24"/>
        </w:rPr>
        <w:t>，</w:t>
      </w:r>
      <w:r w:rsidRPr="00977953">
        <w:rPr>
          <w:rFonts w:cs="Times New Roman" w:hint="eastAsia"/>
          <w:sz w:val="24"/>
          <w:szCs w:val="24"/>
          <w:lang w:val="zh-CN"/>
        </w:rPr>
        <w:t>其中包括将生物多样性纳入优先部门的主流</w:t>
      </w:r>
      <w:r w:rsidRPr="00977953">
        <w:rPr>
          <w:rFonts w:cs="Times New Roman" w:hint="eastAsia"/>
          <w:sz w:val="24"/>
          <w:szCs w:val="24"/>
        </w:rPr>
        <w:t>（</w:t>
      </w:r>
      <w:r w:rsidRPr="00977953">
        <w:rPr>
          <w:rFonts w:cs="Times New Roman"/>
          <w:sz w:val="24"/>
          <w:szCs w:val="24"/>
        </w:rPr>
        <w:t>19</w:t>
      </w:r>
      <w:r w:rsidRPr="00977953">
        <w:rPr>
          <w:rFonts w:cs="Times New Roman" w:hint="eastAsia"/>
          <w:sz w:val="24"/>
          <w:szCs w:val="24"/>
        </w:rPr>
        <w:t>％）</w:t>
      </w:r>
      <w:r w:rsidRPr="00977953">
        <w:rPr>
          <w:rFonts w:cs="Times New Roman" w:hint="eastAsia"/>
          <w:sz w:val="24"/>
          <w:szCs w:val="24"/>
          <w:lang w:val="zh-CN"/>
        </w:rPr>
        <w:t>、影响方案</w:t>
      </w:r>
      <w:r w:rsidRPr="00977953">
        <w:rPr>
          <w:rFonts w:cs="Times New Roman" w:hint="eastAsia"/>
          <w:sz w:val="24"/>
          <w:szCs w:val="24"/>
        </w:rPr>
        <w:t>（</w:t>
      </w:r>
      <w:r w:rsidRPr="00977953">
        <w:rPr>
          <w:rFonts w:cs="Times New Roman"/>
          <w:sz w:val="24"/>
          <w:szCs w:val="24"/>
        </w:rPr>
        <w:t>19</w:t>
      </w:r>
      <w:r w:rsidRPr="00977953">
        <w:rPr>
          <w:rFonts w:cs="Times New Roman" w:hint="eastAsia"/>
          <w:sz w:val="24"/>
          <w:szCs w:val="24"/>
        </w:rPr>
        <w:t>％）</w:t>
      </w:r>
      <w:r w:rsidRPr="00977953">
        <w:rPr>
          <w:rFonts w:cs="Times New Roman" w:hint="eastAsia"/>
          <w:sz w:val="24"/>
          <w:szCs w:val="24"/>
          <w:lang w:val="zh-CN"/>
        </w:rPr>
        <w:t>和自然资本项目</w:t>
      </w:r>
      <w:r w:rsidRPr="00977953">
        <w:rPr>
          <w:rFonts w:cs="Times New Roman" w:hint="eastAsia"/>
          <w:sz w:val="24"/>
          <w:szCs w:val="24"/>
        </w:rPr>
        <w:t>（</w:t>
      </w:r>
      <w:r w:rsidRPr="00977953">
        <w:rPr>
          <w:rFonts w:cs="Times New Roman"/>
          <w:sz w:val="24"/>
          <w:szCs w:val="24"/>
        </w:rPr>
        <w:t xml:space="preserve"> 2</w:t>
      </w:r>
      <w:r w:rsidRPr="00977953">
        <w:rPr>
          <w:rFonts w:cs="Times New Roman" w:hint="eastAsia"/>
          <w:sz w:val="24"/>
          <w:szCs w:val="24"/>
        </w:rPr>
        <w:t>％）；</w:t>
      </w:r>
    </w:p>
    <w:p w:rsidR="005E3082" w:rsidRPr="00977953" w:rsidRDefault="005E3082">
      <w:pPr>
        <w:pStyle w:val="Para1"/>
        <w:numPr>
          <w:ilvl w:val="0"/>
          <w:numId w:val="28"/>
        </w:numPr>
        <w:suppressLineNumbers/>
        <w:suppressAutoHyphens/>
        <w:adjustRightInd w:val="0"/>
        <w:snapToGrid w:val="0"/>
        <w:ind w:left="0" w:firstLine="720"/>
        <w:rPr>
          <w:rFonts w:cs="Times New Roman"/>
          <w:kern w:val="22"/>
          <w:sz w:val="24"/>
          <w:szCs w:val="24"/>
        </w:rPr>
      </w:pPr>
      <w:r w:rsidRPr="00977953">
        <w:rPr>
          <w:rFonts w:cs="Times New Roman" w:hint="eastAsia"/>
          <w:sz w:val="24"/>
          <w:szCs w:val="24"/>
          <w:lang w:val="zh-CN"/>
        </w:rPr>
        <w:t>五分之一的生物多样性重点领域资金将用于扶持活动</w:t>
      </w:r>
      <w:r w:rsidRPr="00977953">
        <w:rPr>
          <w:rFonts w:cs="Times New Roman" w:hint="eastAsia"/>
          <w:sz w:val="24"/>
          <w:szCs w:val="24"/>
        </w:rPr>
        <w:t>（</w:t>
      </w:r>
      <w:r w:rsidRPr="00977953">
        <w:rPr>
          <w:rFonts w:cs="Times New Roman"/>
          <w:sz w:val="24"/>
          <w:szCs w:val="24"/>
        </w:rPr>
        <w:t>4</w:t>
      </w:r>
      <w:r w:rsidRPr="00977953">
        <w:rPr>
          <w:rFonts w:cs="Times New Roman" w:hint="eastAsia"/>
          <w:sz w:val="24"/>
          <w:szCs w:val="24"/>
        </w:rPr>
        <w:t>％）</w:t>
      </w:r>
      <w:r w:rsidRPr="00977953">
        <w:rPr>
          <w:rFonts w:cs="Times New Roman" w:hint="eastAsia"/>
          <w:sz w:val="24"/>
          <w:szCs w:val="24"/>
          <w:lang w:val="zh-CN"/>
        </w:rPr>
        <w:t>、综合方案编制</w:t>
      </w:r>
      <w:r w:rsidRPr="00977953">
        <w:rPr>
          <w:rFonts w:cs="Times New Roman" w:hint="eastAsia"/>
          <w:sz w:val="24"/>
          <w:szCs w:val="24"/>
        </w:rPr>
        <w:t>（</w:t>
      </w:r>
      <w:r w:rsidRPr="00977953">
        <w:rPr>
          <w:rFonts w:cs="Times New Roman"/>
          <w:sz w:val="24"/>
          <w:szCs w:val="24"/>
        </w:rPr>
        <w:t>12</w:t>
      </w:r>
      <w:r w:rsidRPr="00977953">
        <w:rPr>
          <w:rFonts w:cs="Times New Roman" w:hint="eastAsia"/>
          <w:sz w:val="24"/>
          <w:szCs w:val="24"/>
        </w:rPr>
        <w:t>％）</w:t>
      </w:r>
      <w:r w:rsidRPr="00977953">
        <w:rPr>
          <w:rFonts w:cs="Times New Roman" w:hint="eastAsia"/>
          <w:sz w:val="24"/>
          <w:szCs w:val="24"/>
          <w:lang w:val="zh-CN"/>
        </w:rPr>
        <w:t>和全球及区域方案</w:t>
      </w:r>
      <w:r w:rsidRPr="00977953">
        <w:rPr>
          <w:rFonts w:cs="Times New Roman" w:hint="eastAsia"/>
          <w:sz w:val="24"/>
          <w:szCs w:val="24"/>
        </w:rPr>
        <w:t>（</w:t>
      </w:r>
      <w:r w:rsidRPr="00977953">
        <w:rPr>
          <w:rFonts w:cs="Times New Roman"/>
          <w:sz w:val="24"/>
          <w:szCs w:val="24"/>
        </w:rPr>
        <w:t>4</w:t>
      </w:r>
      <w:r w:rsidRPr="00977953">
        <w:rPr>
          <w:rFonts w:cs="Times New Roman" w:hint="eastAsia"/>
          <w:sz w:val="24"/>
          <w:szCs w:val="24"/>
        </w:rPr>
        <w:t>％）</w:t>
      </w:r>
      <w:r w:rsidRPr="00977953">
        <w:rPr>
          <w:rFonts w:cs="Times New Roman"/>
          <w:sz w:val="24"/>
          <w:szCs w:val="24"/>
        </w:rPr>
        <w:t>;</w:t>
      </w:r>
    </w:p>
    <w:p w:rsidR="005E3082" w:rsidRPr="00977953" w:rsidRDefault="005E3082">
      <w:pPr>
        <w:pStyle w:val="Para1"/>
        <w:numPr>
          <w:ilvl w:val="0"/>
          <w:numId w:val="28"/>
        </w:numPr>
        <w:suppressLineNumbers/>
        <w:suppressAutoHyphens/>
        <w:adjustRightInd w:val="0"/>
        <w:snapToGrid w:val="0"/>
        <w:ind w:left="0" w:firstLine="720"/>
        <w:rPr>
          <w:rFonts w:cs="Times New Roman"/>
          <w:kern w:val="22"/>
          <w:sz w:val="24"/>
          <w:szCs w:val="24"/>
        </w:rPr>
      </w:pPr>
      <w:r w:rsidRPr="00977953">
        <w:rPr>
          <w:rFonts w:cs="Times New Roman"/>
          <w:kern w:val="22"/>
          <w:sz w:val="24"/>
          <w:szCs w:val="24"/>
          <w:lang w:val="zh-CN"/>
        </w:rPr>
        <w:t>17%</w:t>
      </w:r>
      <w:r w:rsidRPr="00977953">
        <w:rPr>
          <w:rFonts w:cs="Times New Roman" w:hint="eastAsia"/>
          <w:kern w:val="22"/>
          <w:sz w:val="24"/>
          <w:szCs w:val="24"/>
          <w:lang w:val="zh-CN"/>
        </w:rPr>
        <w:t>的资金将分配给保护区；</w:t>
      </w:r>
    </w:p>
    <w:p w:rsidR="005E3082" w:rsidRPr="00977953" w:rsidRDefault="005E3082">
      <w:pPr>
        <w:pStyle w:val="Para1"/>
        <w:numPr>
          <w:ilvl w:val="0"/>
          <w:numId w:val="28"/>
        </w:numPr>
        <w:suppressLineNumbers/>
        <w:suppressAutoHyphens/>
        <w:adjustRightInd w:val="0"/>
        <w:snapToGrid w:val="0"/>
        <w:ind w:left="0" w:firstLine="720"/>
        <w:rPr>
          <w:rFonts w:cs="Times New Roman"/>
          <w:kern w:val="22"/>
          <w:sz w:val="24"/>
          <w:szCs w:val="24"/>
        </w:rPr>
      </w:pPr>
      <w:r w:rsidRPr="00977953">
        <w:rPr>
          <w:rFonts w:cs="Times New Roman" w:hint="eastAsia"/>
          <w:sz w:val="24"/>
          <w:szCs w:val="24"/>
          <w:lang w:val="zh-CN"/>
        </w:rPr>
        <w:lastRenderedPageBreak/>
        <w:t>物种管理将从其生物多样性资金的</w:t>
      </w:r>
      <w:r w:rsidRPr="00977953">
        <w:rPr>
          <w:rFonts w:cs="Times New Roman"/>
          <w:sz w:val="24"/>
          <w:szCs w:val="24"/>
        </w:rPr>
        <w:t>16</w:t>
      </w:r>
      <w:r w:rsidRPr="00977953">
        <w:rPr>
          <w:rFonts w:cs="Times New Roman" w:hint="eastAsia"/>
          <w:sz w:val="24"/>
          <w:szCs w:val="24"/>
        </w:rPr>
        <w:t>％</w:t>
      </w:r>
      <w:r w:rsidRPr="00977953">
        <w:rPr>
          <w:rFonts w:cs="Times New Roman" w:hint="eastAsia"/>
          <w:sz w:val="24"/>
          <w:szCs w:val="24"/>
          <w:lang w:val="zh-CN"/>
        </w:rPr>
        <w:t>中受益</w:t>
      </w:r>
      <w:r w:rsidRPr="00977953">
        <w:rPr>
          <w:rFonts w:cs="Times New Roman" w:hint="eastAsia"/>
          <w:sz w:val="24"/>
          <w:szCs w:val="24"/>
        </w:rPr>
        <w:t>，</w:t>
      </w:r>
      <w:r w:rsidRPr="00977953">
        <w:rPr>
          <w:rFonts w:cs="Times New Roman" w:hint="eastAsia"/>
          <w:sz w:val="24"/>
          <w:szCs w:val="24"/>
          <w:lang w:val="zh-CN"/>
        </w:rPr>
        <w:t>其中包括全球野生动植物方案</w:t>
      </w:r>
      <w:r w:rsidRPr="00977953">
        <w:rPr>
          <w:rFonts w:cs="Times New Roman" w:hint="eastAsia"/>
          <w:sz w:val="24"/>
          <w:szCs w:val="24"/>
        </w:rPr>
        <w:t>（</w:t>
      </w:r>
      <w:r w:rsidRPr="00977953">
        <w:rPr>
          <w:rFonts w:cs="Times New Roman"/>
          <w:sz w:val="24"/>
          <w:szCs w:val="24"/>
        </w:rPr>
        <w:t>13</w:t>
      </w:r>
      <w:r w:rsidRPr="00977953">
        <w:rPr>
          <w:rFonts w:cs="Times New Roman" w:hint="eastAsia"/>
          <w:sz w:val="24"/>
          <w:szCs w:val="24"/>
        </w:rPr>
        <w:t>％）</w:t>
      </w:r>
      <w:r w:rsidRPr="00977953">
        <w:rPr>
          <w:rFonts w:cs="Times New Roman" w:hint="eastAsia"/>
          <w:sz w:val="24"/>
          <w:szCs w:val="24"/>
          <w:lang w:val="zh-CN"/>
        </w:rPr>
        <w:t>以及外来入侵物种的预防、控制和管理</w:t>
      </w:r>
      <w:r w:rsidRPr="00977953">
        <w:rPr>
          <w:rFonts w:cs="Times New Roman" w:hint="eastAsia"/>
          <w:sz w:val="24"/>
          <w:szCs w:val="24"/>
        </w:rPr>
        <w:t>（</w:t>
      </w:r>
      <w:r w:rsidRPr="00977953">
        <w:rPr>
          <w:rFonts w:cs="Times New Roman"/>
          <w:sz w:val="24"/>
          <w:szCs w:val="24"/>
        </w:rPr>
        <w:t>3</w:t>
      </w:r>
      <w:r w:rsidRPr="00977953">
        <w:rPr>
          <w:rFonts w:cs="Times New Roman" w:hint="eastAsia"/>
          <w:sz w:val="24"/>
          <w:szCs w:val="24"/>
        </w:rPr>
        <w:t>％）；</w:t>
      </w:r>
    </w:p>
    <w:p w:rsidR="005E3082" w:rsidRPr="00977953" w:rsidRDefault="005E3082">
      <w:pPr>
        <w:pStyle w:val="Para1"/>
        <w:numPr>
          <w:ilvl w:val="0"/>
          <w:numId w:val="28"/>
        </w:numPr>
        <w:suppressLineNumbers/>
        <w:suppressAutoHyphens/>
        <w:adjustRightInd w:val="0"/>
        <w:snapToGrid w:val="0"/>
        <w:ind w:left="0" w:firstLine="720"/>
        <w:rPr>
          <w:rFonts w:cs="Times New Roman"/>
          <w:kern w:val="22"/>
          <w:sz w:val="24"/>
          <w:szCs w:val="24"/>
        </w:rPr>
      </w:pPr>
      <w:r w:rsidRPr="00977953">
        <w:rPr>
          <w:rFonts w:cs="Times New Roman" w:hint="eastAsia"/>
          <w:sz w:val="24"/>
          <w:szCs w:val="24"/>
          <w:lang w:val="zh-CN"/>
        </w:rPr>
        <w:t>共有</w:t>
      </w:r>
      <w:r w:rsidRPr="00977953">
        <w:rPr>
          <w:rFonts w:cs="Times New Roman"/>
          <w:sz w:val="24"/>
          <w:szCs w:val="24"/>
        </w:rPr>
        <w:t>7</w:t>
      </w:r>
      <w:r w:rsidRPr="00977953">
        <w:rPr>
          <w:rFonts w:cs="Times New Roman" w:hint="eastAsia"/>
          <w:sz w:val="24"/>
          <w:szCs w:val="24"/>
        </w:rPr>
        <w:t>％</w:t>
      </w:r>
      <w:r w:rsidRPr="00977953">
        <w:rPr>
          <w:rFonts w:cs="Times New Roman" w:hint="eastAsia"/>
          <w:sz w:val="24"/>
          <w:szCs w:val="24"/>
          <w:lang w:val="zh-CN"/>
        </w:rPr>
        <w:t>的生物多样性重点领域资金将用于与遗传资源有关的项目</w:t>
      </w:r>
      <w:r w:rsidRPr="00977953">
        <w:rPr>
          <w:rFonts w:cs="Times New Roman" w:hint="eastAsia"/>
          <w:sz w:val="24"/>
          <w:szCs w:val="24"/>
        </w:rPr>
        <w:t>，</w:t>
      </w:r>
      <w:r w:rsidRPr="00977953">
        <w:rPr>
          <w:rFonts w:cs="Times New Roman" w:hint="eastAsia"/>
          <w:sz w:val="24"/>
          <w:szCs w:val="24"/>
          <w:lang w:val="zh-CN"/>
        </w:rPr>
        <w:t>包括可持续利用遗传资源的项目</w:t>
      </w:r>
      <w:r w:rsidRPr="00977953">
        <w:rPr>
          <w:rFonts w:cs="Times New Roman" w:hint="eastAsia"/>
          <w:sz w:val="24"/>
          <w:szCs w:val="24"/>
        </w:rPr>
        <w:t>（</w:t>
      </w:r>
      <w:r w:rsidRPr="00977953">
        <w:rPr>
          <w:rFonts w:cs="Times New Roman"/>
          <w:sz w:val="24"/>
          <w:szCs w:val="24"/>
        </w:rPr>
        <w:t>3</w:t>
      </w:r>
      <w:r w:rsidRPr="00977953">
        <w:rPr>
          <w:rFonts w:cs="Times New Roman" w:hint="eastAsia"/>
          <w:sz w:val="24"/>
          <w:szCs w:val="24"/>
        </w:rPr>
        <w:t>％）</w:t>
      </w:r>
      <w:r w:rsidRPr="00977953">
        <w:rPr>
          <w:rFonts w:cs="Times New Roman" w:hint="eastAsia"/>
          <w:sz w:val="24"/>
          <w:szCs w:val="24"/>
          <w:lang w:val="zh-CN"/>
        </w:rPr>
        <w:t>、执行《获取和惠益分享名古屋议定书》</w:t>
      </w:r>
      <w:r w:rsidRPr="00977953">
        <w:rPr>
          <w:rFonts w:cs="Times New Roman" w:hint="eastAsia"/>
          <w:sz w:val="24"/>
          <w:szCs w:val="24"/>
        </w:rPr>
        <w:t>（</w:t>
      </w:r>
      <w:r w:rsidRPr="00977953">
        <w:rPr>
          <w:rFonts w:cs="Times New Roman"/>
          <w:sz w:val="24"/>
          <w:szCs w:val="24"/>
        </w:rPr>
        <w:t>3</w:t>
      </w:r>
      <w:r w:rsidRPr="00977953">
        <w:rPr>
          <w:rFonts w:cs="Times New Roman" w:hint="eastAsia"/>
          <w:sz w:val="24"/>
          <w:szCs w:val="24"/>
        </w:rPr>
        <w:t>％）</w:t>
      </w:r>
      <w:r w:rsidRPr="00977953">
        <w:rPr>
          <w:rFonts w:cs="Times New Roman" w:hint="eastAsia"/>
          <w:sz w:val="24"/>
          <w:szCs w:val="24"/>
          <w:lang w:val="zh-CN"/>
        </w:rPr>
        <w:t>和执行《卡塔赫纳生物安全议定书》</w:t>
      </w:r>
      <w:r w:rsidRPr="00977953">
        <w:rPr>
          <w:rFonts w:cs="Times New Roman" w:hint="eastAsia"/>
          <w:sz w:val="24"/>
          <w:szCs w:val="24"/>
        </w:rPr>
        <w:t>（</w:t>
      </w:r>
      <w:r w:rsidRPr="00977953">
        <w:rPr>
          <w:rFonts w:cs="Times New Roman"/>
          <w:sz w:val="24"/>
          <w:szCs w:val="24"/>
        </w:rPr>
        <w:t>1</w:t>
      </w:r>
      <w:r w:rsidRPr="00977953">
        <w:rPr>
          <w:rFonts w:cs="Times New Roman" w:hint="eastAsia"/>
          <w:sz w:val="24"/>
          <w:szCs w:val="24"/>
        </w:rPr>
        <w:t>％）</w:t>
      </w:r>
      <w:r w:rsidRPr="00977953">
        <w:rPr>
          <w:rFonts w:cs="Times New Roman" w:hint="eastAsia"/>
          <w:sz w:val="24"/>
          <w:szCs w:val="24"/>
          <w:lang w:val="zh-CN"/>
        </w:rPr>
        <w:t>。</w:t>
      </w:r>
    </w:p>
    <w:p w:rsidR="005E3082" w:rsidRPr="00977953" w:rsidRDefault="005E3082">
      <w:pPr>
        <w:pStyle w:val="Heading1"/>
        <w:suppressLineNumbers/>
        <w:tabs>
          <w:tab w:val="clear" w:pos="720"/>
          <w:tab w:val="left" w:pos="360"/>
        </w:tabs>
        <w:suppressAutoHyphens/>
        <w:adjustRightInd w:val="0"/>
        <w:snapToGrid w:val="0"/>
        <w:spacing w:before="120"/>
        <w:rPr>
          <w:rFonts w:cs="Times New Roman"/>
          <w:sz w:val="24"/>
        </w:rPr>
      </w:pPr>
      <w:r w:rsidRPr="00977953">
        <w:rPr>
          <w:rFonts w:cs="Times New Roman" w:hint="eastAsia"/>
          <w:kern w:val="22"/>
          <w:sz w:val="24"/>
          <w:lang w:val="zh-CN"/>
        </w:rPr>
        <w:t>五</w:t>
      </w:r>
      <w:r w:rsidRPr="00977953">
        <w:rPr>
          <w:rFonts w:cs="Times New Roman"/>
          <w:kern w:val="22"/>
          <w:sz w:val="24"/>
          <w:lang w:val="zh-CN"/>
        </w:rPr>
        <w:t>.</w:t>
      </w:r>
      <w:r>
        <w:rPr>
          <w:rFonts w:cs="Times New Roman"/>
          <w:kern w:val="22"/>
          <w:sz w:val="24"/>
          <w:lang w:val="zh-CN"/>
        </w:rPr>
        <w:t xml:space="preserve"> </w:t>
      </w:r>
      <w:r w:rsidRPr="00977953">
        <w:rPr>
          <w:rFonts w:cs="Times New Roman"/>
          <w:kern w:val="22"/>
          <w:sz w:val="24"/>
        </w:rPr>
        <w:tab/>
      </w:r>
      <w:r w:rsidRPr="00977953">
        <w:rPr>
          <w:rFonts w:cs="Times New Roman"/>
          <w:kern w:val="22"/>
          <w:sz w:val="24"/>
          <w:lang w:val="zh-CN"/>
        </w:rPr>
        <w:t>2020</w:t>
      </w:r>
      <w:r w:rsidRPr="00977953">
        <w:rPr>
          <w:rFonts w:cs="Times New Roman" w:hint="eastAsia"/>
          <w:kern w:val="22"/>
          <w:sz w:val="24"/>
          <w:lang w:val="zh-CN"/>
        </w:rPr>
        <w:t>年后第</w:t>
      </w:r>
      <w:r w:rsidRPr="00977953">
        <w:rPr>
          <w:rFonts w:cs="Times New Roman"/>
          <w:kern w:val="22"/>
          <w:sz w:val="24"/>
          <w:lang w:val="zh-CN"/>
        </w:rPr>
        <w:t>21</w:t>
      </w:r>
      <w:r w:rsidRPr="00977953">
        <w:rPr>
          <w:rFonts w:cs="Times New Roman" w:hint="eastAsia"/>
          <w:kern w:val="22"/>
          <w:sz w:val="24"/>
          <w:lang w:val="zh-CN"/>
        </w:rPr>
        <w:t>条的执行问题</w:t>
      </w:r>
    </w:p>
    <w:p w:rsidR="005E3082" w:rsidRPr="00977953"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hint="eastAsia"/>
          <w:kern w:val="22"/>
          <w:sz w:val="24"/>
          <w:szCs w:val="24"/>
          <w:lang w:val="zh-CN"/>
        </w:rPr>
        <w:t>《公约》第</w:t>
      </w:r>
      <w:r w:rsidRPr="00977953">
        <w:rPr>
          <w:rFonts w:cs="Times New Roman"/>
          <w:kern w:val="22"/>
          <w:sz w:val="24"/>
          <w:szCs w:val="24"/>
          <w:lang w:val="en-US"/>
        </w:rPr>
        <w:t>21</w:t>
      </w:r>
      <w:r w:rsidRPr="00977953">
        <w:rPr>
          <w:rFonts w:cs="Times New Roman" w:hint="eastAsia"/>
          <w:kern w:val="22"/>
          <w:sz w:val="24"/>
          <w:szCs w:val="24"/>
          <w:lang w:val="zh-CN"/>
        </w:rPr>
        <w:t>条设定了使第</w:t>
      </w:r>
      <w:r w:rsidRPr="00977953">
        <w:rPr>
          <w:rFonts w:cs="Times New Roman"/>
          <w:kern w:val="22"/>
          <w:sz w:val="24"/>
          <w:szCs w:val="24"/>
          <w:lang w:val="en-US"/>
        </w:rPr>
        <w:t>20</w:t>
      </w:r>
      <w:r w:rsidRPr="00977953">
        <w:rPr>
          <w:rFonts w:cs="Times New Roman" w:hint="eastAsia"/>
          <w:kern w:val="22"/>
          <w:sz w:val="24"/>
          <w:szCs w:val="24"/>
          <w:lang w:val="zh-CN"/>
        </w:rPr>
        <w:t>条所述资金需求达到可预测、充足和及时的体制规定。过去二十年，缔约方大会继续按照第</w:t>
      </w:r>
      <w:r w:rsidRPr="00977953">
        <w:rPr>
          <w:rFonts w:cs="Times New Roman"/>
          <w:kern w:val="22"/>
          <w:sz w:val="24"/>
          <w:szCs w:val="24"/>
          <w:lang w:val="zh-CN"/>
        </w:rPr>
        <w:t>III/8</w:t>
      </w:r>
      <w:r w:rsidRPr="00977953">
        <w:rPr>
          <w:rFonts w:cs="Times New Roman" w:hint="eastAsia"/>
          <w:kern w:val="22"/>
          <w:sz w:val="24"/>
          <w:szCs w:val="24"/>
          <w:lang w:val="zh-CN"/>
        </w:rPr>
        <w:t>号决定通过的生物多样性公约缔约方大会与全球环境基金理事会之间的谅解备忘录的规定，利用全球环境基金作为执行《公约》的财务机制为执行《公约》提供增支费用。全环基金发生了重大变化，它的方案编制已采用更为综合的办法。</w:t>
      </w:r>
      <w:r w:rsidRPr="00977953">
        <w:rPr>
          <w:rFonts w:cs="Times New Roman" w:hint="eastAsia"/>
          <w:sz w:val="24"/>
          <w:szCs w:val="24"/>
          <w:lang w:val="zh-CN"/>
        </w:rPr>
        <w:t>国际金融体系也发生了重大变化，筹资手段和来源日益多样化。</w:t>
      </w:r>
      <w:r w:rsidRPr="00977953">
        <w:rPr>
          <w:rFonts w:cs="Times New Roman" w:hint="eastAsia"/>
          <w:kern w:val="22"/>
          <w:sz w:val="24"/>
          <w:szCs w:val="24"/>
          <w:lang w:val="zh-CN"/>
        </w:rPr>
        <w:t>开展新的体制，例如，绿色气候基金，也对《生物多样性公约》至为重要。</w:t>
      </w:r>
      <w:r w:rsidRPr="00977953">
        <w:rPr>
          <w:rFonts w:cs="Times New Roman" w:hint="eastAsia"/>
          <w:sz w:val="24"/>
          <w:szCs w:val="24"/>
          <w:lang w:val="zh-CN"/>
        </w:rPr>
        <w:t>因此，需要在适当考虑供资环境和体系结构的这些大趋势的情况下考虑</w:t>
      </w:r>
      <w:r w:rsidRPr="00977953">
        <w:rPr>
          <w:rFonts w:cs="Times New Roman"/>
          <w:sz w:val="24"/>
          <w:szCs w:val="24"/>
          <w:lang w:val="zh-CN"/>
        </w:rPr>
        <w:t>2020</w:t>
      </w:r>
      <w:r w:rsidRPr="00977953">
        <w:rPr>
          <w:rFonts w:cs="Times New Roman" w:hint="eastAsia"/>
          <w:sz w:val="24"/>
          <w:szCs w:val="24"/>
          <w:lang w:val="zh-CN"/>
        </w:rPr>
        <w:t>年后的第</w:t>
      </w:r>
      <w:r w:rsidRPr="00977953">
        <w:rPr>
          <w:rFonts w:cs="Times New Roman"/>
          <w:sz w:val="24"/>
          <w:szCs w:val="24"/>
          <w:lang w:val="zh-CN"/>
        </w:rPr>
        <w:t>21</w:t>
      </w:r>
      <w:r w:rsidRPr="00977953">
        <w:rPr>
          <w:rFonts w:cs="Times New Roman" w:hint="eastAsia"/>
          <w:sz w:val="24"/>
          <w:szCs w:val="24"/>
          <w:lang w:val="zh-CN"/>
        </w:rPr>
        <w:t>条的执行问题，这些趋势简要总结如下。</w:t>
      </w:r>
    </w:p>
    <w:p w:rsidR="005E3082" w:rsidRPr="00844A98" w:rsidRDefault="005E3082">
      <w:pPr>
        <w:pStyle w:val="Heading2"/>
        <w:suppressLineNumbers/>
        <w:tabs>
          <w:tab w:val="clear" w:pos="720"/>
          <w:tab w:val="left" w:pos="360"/>
        </w:tabs>
        <w:suppressAutoHyphens/>
        <w:adjustRightInd w:val="0"/>
        <w:snapToGrid w:val="0"/>
        <w:rPr>
          <w:rFonts w:cs="Times New Roman"/>
          <w:bCs w:val="0"/>
          <w:iCs w:val="0"/>
          <w:sz w:val="24"/>
        </w:rPr>
      </w:pPr>
      <w:r w:rsidRPr="00844A98">
        <w:rPr>
          <w:rFonts w:cs="Times New Roman"/>
          <w:bCs w:val="0"/>
          <w:iCs w:val="0"/>
          <w:noProof/>
          <w:kern w:val="22"/>
          <w:sz w:val="24"/>
        </w:rPr>
        <w:t>A.</w:t>
      </w:r>
      <w:r w:rsidRPr="00844A98">
        <w:rPr>
          <w:rFonts w:cs="Times New Roman"/>
          <w:bCs w:val="0"/>
          <w:iCs w:val="0"/>
          <w:kern w:val="22"/>
          <w:sz w:val="24"/>
        </w:rPr>
        <w:tab/>
      </w:r>
      <w:r w:rsidRPr="00844A98">
        <w:rPr>
          <w:rFonts w:cs="Times New Roman" w:hint="eastAsia"/>
          <w:bCs w:val="0"/>
          <w:iCs w:val="0"/>
          <w:kern w:val="22"/>
          <w:sz w:val="24"/>
          <w:lang w:val="zh-CN"/>
        </w:rPr>
        <w:t>资金需求和来源</w:t>
      </w:r>
    </w:p>
    <w:p w:rsidR="005E3082" w:rsidRPr="00EB211C" w:rsidRDefault="005E3082">
      <w:pPr>
        <w:pStyle w:val="Para1"/>
        <w:numPr>
          <w:ilvl w:val="0"/>
          <w:numId w:val="18"/>
        </w:numPr>
        <w:suppressLineNumbers/>
        <w:suppressAutoHyphens/>
        <w:adjustRightInd w:val="0"/>
        <w:snapToGrid w:val="0"/>
        <w:ind w:left="0" w:firstLine="0"/>
        <w:rPr>
          <w:rFonts w:cs="Times New Roman"/>
          <w:sz w:val="24"/>
          <w:szCs w:val="24"/>
        </w:rPr>
      </w:pPr>
      <w:r w:rsidRPr="00977953">
        <w:rPr>
          <w:rFonts w:cs="Times New Roman"/>
          <w:sz w:val="24"/>
          <w:szCs w:val="24"/>
        </w:rPr>
        <w:t>2020</w:t>
      </w:r>
      <w:r w:rsidRPr="00977953">
        <w:rPr>
          <w:rFonts w:cs="Times New Roman" w:hint="eastAsia"/>
          <w:sz w:val="24"/>
          <w:szCs w:val="24"/>
          <w:lang w:val="zh-CN"/>
        </w:rPr>
        <w:t>年后全球生物多样性框架将在其他相关国际进程的背景下加以制定</w:t>
      </w:r>
      <w:r w:rsidRPr="00977953">
        <w:rPr>
          <w:rFonts w:cs="Times New Roman" w:hint="eastAsia"/>
          <w:sz w:val="24"/>
          <w:szCs w:val="24"/>
        </w:rPr>
        <w:t>，</w:t>
      </w:r>
      <w:r w:rsidRPr="00977953">
        <w:rPr>
          <w:rFonts w:cs="Times New Roman" w:hint="eastAsia"/>
          <w:sz w:val="24"/>
          <w:szCs w:val="24"/>
          <w:lang w:val="zh-CN"/>
        </w:rPr>
        <w:t>特别是《</w:t>
      </w:r>
      <w:r w:rsidRPr="00977953">
        <w:rPr>
          <w:rFonts w:cs="Times New Roman"/>
          <w:sz w:val="24"/>
          <w:szCs w:val="24"/>
        </w:rPr>
        <w:t>2030</w:t>
      </w:r>
      <w:r w:rsidRPr="00977953">
        <w:rPr>
          <w:rFonts w:cs="Times New Roman" w:hint="eastAsia"/>
          <w:sz w:val="24"/>
          <w:szCs w:val="24"/>
          <w:lang w:val="zh-CN"/>
        </w:rPr>
        <w:t>年可持续发展议程》和《巴黎协定》</w:t>
      </w:r>
      <w:r w:rsidRPr="00977953">
        <w:rPr>
          <w:rStyle w:val="FootnoteReference"/>
          <w:kern w:val="22"/>
          <w:sz w:val="24"/>
          <w:szCs w:val="24"/>
          <w:lang w:val="zh-CN"/>
        </w:rPr>
        <w:footnoteReference w:id="4"/>
      </w:r>
      <w:r w:rsidRPr="00977953">
        <w:rPr>
          <w:rFonts w:cs="Times New Roman" w:hint="eastAsia"/>
          <w:sz w:val="24"/>
          <w:szCs w:val="24"/>
          <w:lang w:val="zh-CN"/>
        </w:rPr>
        <w:t>。联合国系统工作队的联合国可持续发展筹资问题工作组收集了如下所示实现</w:t>
      </w:r>
      <w:r w:rsidRPr="00977953">
        <w:rPr>
          <w:rFonts w:cs="Times New Roman"/>
          <w:sz w:val="24"/>
          <w:szCs w:val="24"/>
          <w:lang w:val="zh-CN"/>
        </w:rPr>
        <w:t>2030</w:t>
      </w:r>
      <w:r w:rsidRPr="00977953">
        <w:rPr>
          <w:rFonts w:cs="Times New Roman" w:hint="eastAsia"/>
          <w:sz w:val="24"/>
          <w:szCs w:val="24"/>
          <w:lang w:val="zh-CN"/>
        </w:rPr>
        <w:t>年议程的不同方面的费用估算数。</w:t>
      </w:r>
      <w:r w:rsidRPr="00977953">
        <w:rPr>
          <w:rFonts w:cs="Times New Roman" w:hint="eastAsia"/>
          <w:kern w:val="22"/>
          <w:sz w:val="24"/>
          <w:szCs w:val="24"/>
          <w:lang w:val="zh-CN"/>
        </w:rPr>
        <w:t>这包括执行资源调动高级小组确定的《</w:t>
      </w:r>
      <w:r w:rsidRPr="00977953">
        <w:rPr>
          <w:rFonts w:cs="Times New Roman"/>
          <w:kern w:val="22"/>
          <w:sz w:val="24"/>
          <w:szCs w:val="24"/>
          <w:lang w:val="zh-CN"/>
        </w:rPr>
        <w:t>2011-2020</w:t>
      </w:r>
      <w:r w:rsidRPr="00977953">
        <w:rPr>
          <w:rFonts w:cs="Times New Roman" w:hint="eastAsia"/>
          <w:kern w:val="22"/>
          <w:sz w:val="24"/>
          <w:szCs w:val="24"/>
          <w:lang w:val="zh-CN"/>
        </w:rPr>
        <w:t>年生物多样性战略计划》的资金需求</w:t>
      </w:r>
      <w:r w:rsidRPr="00977953">
        <w:rPr>
          <w:rStyle w:val="FootnoteReference"/>
          <w:kern w:val="22"/>
          <w:sz w:val="24"/>
          <w:szCs w:val="24"/>
          <w:lang w:val="zh-CN"/>
        </w:rPr>
        <w:footnoteReference w:id="5"/>
      </w:r>
      <w:r w:rsidRPr="00977953">
        <w:rPr>
          <w:rFonts w:cs="Times New Roman" w:hint="eastAsia"/>
          <w:kern w:val="22"/>
          <w:sz w:val="24"/>
          <w:szCs w:val="24"/>
          <w:lang w:val="zh-CN"/>
        </w:rPr>
        <w:t>。</w:t>
      </w:r>
      <w:r w:rsidRPr="00977953">
        <w:rPr>
          <w:rFonts w:cs="Times New Roman"/>
          <w:kern w:val="22"/>
          <w:sz w:val="24"/>
          <w:szCs w:val="24"/>
          <w:lang w:val="zh-CN"/>
        </w:rPr>
        <w:t xml:space="preserve"> </w:t>
      </w:r>
      <w:r w:rsidRPr="00977953">
        <w:rPr>
          <w:rFonts w:cs="Times New Roman" w:hint="eastAsia"/>
          <w:kern w:val="22"/>
          <w:sz w:val="24"/>
          <w:szCs w:val="24"/>
          <w:lang w:val="zh-CN"/>
        </w:rPr>
        <w:t>鉴于《</w:t>
      </w:r>
      <w:r w:rsidRPr="00977953">
        <w:rPr>
          <w:rFonts w:cs="Times New Roman"/>
          <w:kern w:val="22"/>
          <w:sz w:val="24"/>
          <w:szCs w:val="24"/>
          <w:lang w:val="zh-CN"/>
        </w:rPr>
        <w:t>2030</w:t>
      </w:r>
      <w:r w:rsidRPr="00977953">
        <w:rPr>
          <w:rFonts w:cs="Times New Roman" w:hint="eastAsia"/>
          <w:kern w:val="22"/>
          <w:sz w:val="24"/>
          <w:szCs w:val="24"/>
          <w:lang w:val="zh-CN"/>
        </w:rPr>
        <w:t>年议程》与实现《公约》及其《议定书》的目标之间的相互关系，估计资金需求对审议</w:t>
      </w:r>
      <w:r w:rsidRPr="00977953">
        <w:rPr>
          <w:rFonts w:cs="Times New Roman"/>
          <w:kern w:val="22"/>
          <w:sz w:val="24"/>
          <w:szCs w:val="24"/>
          <w:lang w:val="zh-CN"/>
        </w:rPr>
        <w:t>2020</w:t>
      </w:r>
      <w:r w:rsidRPr="00977953">
        <w:rPr>
          <w:rFonts w:cs="Times New Roman" w:hint="eastAsia"/>
          <w:kern w:val="22"/>
          <w:sz w:val="24"/>
          <w:szCs w:val="24"/>
          <w:lang w:val="zh-CN"/>
        </w:rPr>
        <w:t>年后第</w:t>
      </w:r>
      <w:r w:rsidRPr="00977953">
        <w:rPr>
          <w:rFonts w:cs="Times New Roman"/>
          <w:kern w:val="22"/>
          <w:sz w:val="24"/>
          <w:szCs w:val="24"/>
          <w:lang w:val="zh-CN"/>
        </w:rPr>
        <w:t>21</w:t>
      </w:r>
      <w:r w:rsidRPr="00977953">
        <w:rPr>
          <w:rFonts w:cs="Times New Roman" w:hint="eastAsia"/>
          <w:kern w:val="22"/>
          <w:sz w:val="24"/>
          <w:szCs w:val="24"/>
          <w:lang w:val="zh-CN"/>
        </w:rPr>
        <w:t>条的执行问题至为重要。</w:t>
      </w:r>
    </w:p>
    <w:p w:rsidR="005E3082" w:rsidRPr="00EB211C" w:rsidRDefault="00AA0A55" w:rsidP="00EB211C">
      <w:pPr>
        <w:pStyle w:val="Para1"/>
        <w:suppressLineNumbers/>
        <w:suppressAutoHyphens/>
        <w:adjustRightInd w:val="0"/>
        <w:snapToGrid w:val="0"/>
        <w:rPr>
          <w:rFonts w:cs="Times New Roman"/>
          <w:sz w:val="24"/>
          <w:szCs w:val="24"/>
        </w:rPr>
      </w:pPr>
      <w:r>
        <w:rPr>
          <w:noProof/>
          <w:lang w:val="en-US"/>
        </w:rPr>
        <w:pict>
          <v:shapetype id="_x0000_t202" coordsize="21600,21600" o:spt="202" path="m,l,21600r21600,l21600,xe">
            <v:stroke joinstyle="miter"/>
            <v:path gradientshapeok="t" o:connecttype="rect"/>
          </v:shapetype>
          <v:shape id="_x0000_s1026" type="#_x0000_t202" style="position:absolute;left:0;text-align:left;margin-left:145.5pt;margin-top:12.8pt;width:186.05pt;height:19.3pt;z-index:251651072" strokecolor="white">
            <v:textbox>
              <w:txbxContent>
                <w:p w:rsidR="005E3082" w:rsidRPr="00EB211C" w:rsidRDefault="005E3082" w:rsidP="003C2F9C">
                  <w:pPr>
                    <w:ind w:firstLineChars="450" w:firstLine="675"/>
                    <w:rPr>
                      <w:sz w:val="15"/>
                      <w:szCs w:val="15"/>
                      <w:lang w:bidi="th-TH"/>
                    </w:rPr>
                  </w:pPr>
                  <w:r w:rsidRPr="00EB211C">
                    <w:rPr>
                      <w:rFonts w:hint="eastAsia"/>
                      <w:sz w:val="15"/>
                      <w:szCs w:val="15"/>
                      <w:lang w:bidi="th-TH"/>
                    </w:rPr>
                    <w:t>文献中投资需求的数额级别</w:t>
                  </w:r>
                </w:p>
              </w:txbxContent>
            </v:textbox>
          </v:shape>
        </w:pict>
      </w:r>
    </w:p>
    <w:p w:rsidR="005E3082" w:rsidRPr="00977953" w:rsidRDefault="00AA0A55">
      <w:pPr>
        <w:pStyle w:val="Para1"/>
        <w:suppressLineNumbers/>
        <w:suppressAutoHyphens/>
        <w:adjustRightInd w:val="0"/>
        <w:snapToGrid w:val="0"/>
        <w:jc w:val="center"/>
        <w:rPr>
          <w:rFonts w:eastAsia="Times New Roman" w:cs="Times New Roman"/>
          <w:kern w:val="22"/>
          <w:sz w:val="24"/>
          <w:szCs w:val="24"/>
        </w:rPr>
      </w:pPr>
      <w:r>
        <w:rPr>
          <w:noProof/>
          <w:lang w:val="en-US"/>
        </w:rPr>
        <w:pict>
          <v:shape id="_x0000_s1027" type="#_x0000_t202" style="position:absolute;left:0;text-align:left;margin-left:190.3pt;margin-top:166.55pt;width:156.55pt;height:143.2pt;z-index:251653120" strokecolor="white">
            <v:textbox style="mso-fit-shape-to-text:t">
              <w:txbxContent>
                <w:p w:rsidR="005E3082" w:rsidRPr="00C247A7" w:rsidRDefault="005E3082" w:rsidP="003C2F9C">
                  <w:pPr>
                    <w:ind w:firstLineChars="300" w:firstLine="450"/>
                    <w:rPr>
                      <w:sz w:val="15"/>
                      <w:szCs w:val="15"/>
                      <w:lang w:bidi="th-TH"/>
                    </w:rPr>
                  </w:pPr>
                  <w:r w:rsidRPr="00C247A7">
                    <w:rPr>
                      <w:rFonts w:hint="eastAsia"/>
                      <w:sz w:val="15"/>
                      <w:szCs w:val="15"/>
                      <w:lang w:bidi="th-TH"/>
                    </w:rPr>
                    <w:t>年度投资需求（</w:t>
                  </w:r>
                  <w:r w:rsidRPr="00C247A7">
                    <w:rPr>
                      <w:sz w:val="15"/>
                      <w:szCs w:val="15"/>
                      <w:lang w:bidi="th-TH"/>
                    </w:rPr>
                    <w:t>10</w:t>
                  </w:r>
                  <w:r w:rsidRPr="00C247A7">
                    <w:rPr>
                      <w:rFonts w:hint="eastAsia"/>
                      <w:sz w:val="15"/>
                      <w:szCs w:val="15"/>
                      <w:lang w:bidi="th-TH"/>
                    </w:rPr>
                    <w:t>亿美元每年）</w:t>
                  </w:r>
                </w:p>
              </w:txbxContent>
            </v:textbox>
          </v:shape>
        </w:pict>
      </w:r>
      <w:r>
        <w:rPr>
          <w:noProof/>
          <w:lang w:val="en-US"/>
        </w:rPr>
        <w:pict>
          <v:shape id="_x0000_s1028" type="#_x0000_t202" style="position:absolute;left:0;text-align:left;margin-left:82pt;margin-top:11.9pt;width:82.85pt;height:148.1pt;z-index:251652096" strokecolor="white">
            <v:textbox>
              <w:txbxContent>
                <w:p w:rsidR="005E3082" w:rsidRPr="00EB211C" w:rsidRDefault="005E3082" w:rsidP="00023CBD">
                  <w:pPr>
                    <w:jc w:val="right"/>
                    <w:rPr>
                      <w:sz w:val="13"/>
                      <w:szCs w:val="13"/>
                      <w:lang w:bidi="th-TH"/>
                    </w:rPr>
                  </w:pPr>
                  <w:r w:rsidRPr="00EB211C">
                    <w:rPr>
                      <w:rFonts w:hint="eastAsia"/>
                      <w:sz w:val="13"/>
                      <w:szCs w:val="13"/>
                      <w:lang w:bidi="th-TH"/>
                    </w:rPr>
                    <w:t>海洋</w:t>
                  </w:r>
                </w:p>
                <w:p w:rsidR="005E3082" w:rsidRPr="00EB211C" w:rsidRDefault="005E3082" w:rsidP="00C06FF8">
                  <w:pPr>
                    <w:spacing w:beforeLines="31" w:before="74"/>
                    <w:jc w:val="right"/>
                    <w:rPr>
                      <w:sz w:val="13"/>
                      <w:szCs w:val="13"/>
                      <w:lang w:bidi="th-TH"/>
                    </w:rPr>
                  </w:pPr>
                  <w:r w:rsidRPr="00EB211C">
                    <w:rPr>
                      <w:rFonts w:hint="eastAsia"/>
                      <w:sz w:val="13"/>
                      <w:szCs w:val="13"/>
                      <w:lang w:bidi="th-TH"/>
                    </w:rPr>
                    <w:t>森林</w:t>
                  </w:r>
                </w:p>
                <w:p w:rsidR="005E3082" w:rsidRPr="00EB211C" w:rsidRDefault="005E3082" w:rsidP="00C06FF8">
                  <w:pPr>
                    <w:spacing w:beforeLines="31" w:before="74"/>
                    <w:jc w:val="right"/>
                    <w:rPr>
                      <w:sz w:val="13"/>
                      <w:szCs w:val="13"/>
                      <w:lang w:bidi="th-TH"/>
                    </w:rPr>
                  </w:pPr>
                  <w:r w:rsidRPr="00EB211C">
                    <w:rPr>
                      <w:rFonts w:hint="eastAsia"/>
                      <w:sz w:val="13"/>
                      <w:szCs w:val="13"/>
                      <w:lang w:bidi="th-TH"/>
                    </w:rPr>
                    <w:t>生物多样性</w:t>
                  </w:r>
                </w:p>
                <w:p w:rsidR="005E3082" w:rsidRPr="00EB211C" w:rsidRDefault="005E3082" w:rsidP="00C06FF8">
                  <w:pPr>
                    <w:spacing w:beforeLines="31" w:before="74"/>
                    <w:jc w:val="right"/>
                    <w:rPr>
                      <w:sz w:val="13"/>
                      <w:szCs w:val="13"/>
                      <w:lang w:bidi="th-TH"/>
                    </w:rPr>
                  </w:pPr>
                  <w:r w:rsidRPr="00EB211C">
                    <w:rPr>
                      <w:rFonts w:hint="eastAsia"/>
                      <w:sz w:val="13"/>
                      <w:szCs w:val="13"/>
                      <w:lang w:bidi="th-TH"/>
                    </w:rPr>
                    <w:t>缓解气候变化</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适应气候变化</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普遍获得能源</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可再生能源</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能源效率</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土地和农业</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基础设施（非能源）</w:t>
                  </w:r>
                </w:p>
                <w:p w:rsidR="005E3082" w:rsidRPr="00EB211C" w:rsidRDefault="005E3082" w:rsidP="00C06FF8">
                  <w:pPr>
                    <w:spacing w:beforeLines="35" w:before="84"/>
                    <w:jc w:val="right"/>
                    <w:rPr>
                      <w:sz w:val="13"/>
                      <w:szCs w:val="13"/>
                      <w:lang w:bidi="th-TH"/>
                    </w:rPr>
                  </w:pPr>
                  <w:r w:rsidRPr="00EB211C">
                    <w:rPr>
                      <w:rFonts w:hint="eastAsia"/>
                      <w:sz w:val="13"/>
                      <w:szCs w:val="13"/>
                      <w:lang w:bidi="th-TH"/>
                    </w:rPr>
                    <w:t>千年发展目标</w:t>
                  </w:r>
                </w:p>
              </w:txbxContent>
            </v:textbox>
          </v:shape>
        </w:pict>
      </w:r>
      <w:r>
        <w:rPr>
          <w:rFonts w:eastAsia="Times New Roman" w:cs="Times New Roman"/>
          <w:kern w:val="22"/>
          <w:sz w:val="24"/>
          <w:szCs w:val="24"/>
        </w:rPr>
        <w:pict>
          <v:shape id="_x0000_i1028" type="#_x0000_t75" style="width:237pt;height:170.25pt;visibility:visible">
            <v:imagedata r:id="rId13" o:title=""/>
          </v:shape>
        </w:pict>
      </w:r>
    </w:p>
    <w:p w:rsidR="005E3082" w:rsidRDefault="005E3082">
      <w:pPr>
        <w:pStyle w:val="Heading2"/>
        <w:keepNext w:val="0"/>
        <w:suppressLineNumbers/>
        <w:suppressAutoHyphens/>
        <w:adjustRightInd w:val="0"/>
        <w:snapToGrid w:val="0"/>
        <w:rPr>
          <w:rFonts w:cs="Times New Roman"/>
          <w:b w:val="0"/>
          <w:bCs w:val="0"/>
          <w:iCs w:val="0"/>
          <w:noProof/>
          <w:kern w:val="22"/>
          <w:sz w:val="24"/>
        </w:rPr>
      </w:pP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kern w:val="22"/>
          <w:sz w:val="24"/>
        </w:rPr>
      </w:pPr>
      <w:r w:rsidRPr="00844A98">
        <w:rPr>
          <w:rFonts w:cs="Times New Roman" w:hint="eastAsia"/>
          <w:bCs w:val="0"/>
          <w:iCs w:val="0"/>
          <w:kern w:val="22"/>
          <w:sz w:val="24"/>
          <w:lang w:val="zh-CN"/>
        </w:rPr>
        <w:t>混合供资</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lastRenderedPageBreak/>
        <w:t>商业和可持续发展委员会的混合供资工作组指出</w:t>
      </w:r>
      <w:r w:rsidRPr="00977953">
        <w:rPr>
          <w:rFonts w:cs="Times New Roman" w:hint="eastAsia"/>
          <w:sz w:val="24"/>
          <w:szCs w:val="24"/>
        </w:rPr>
        <w:t>，</w:t>
      </w:r>
      <w:r w:rsidRPr="00977953">
        <w:rPr>
          <w:rFonts w:cs="Times New Roman" w:hint="eastAsia"/>
          <w:sz w:val="24"/>
          <w:szCs w:val="24"/>
          <w:lang w:val="zh-CN"/>
        </w:rPr>
        <w:t>混合供资市场的规模在过去五年翻了一番</w:t>
      </w:r>
      <w:r w:rsidRPr="00977953">
        <w:rPr>
          <w:rFonts w:cs="Times New Roman" w:hint="eastAsia"/>
          <w:sz w:val="24"/>
          <w:szCs w:val="24"/>
        </w:rPr>
        <w:t>，</w:t>
      </w:r>
      <w:r w:rsidRPr="00977953">
        <w:rPr>
          <w:rFonts w:cs="Times New Roman" w:hint="eastAsia"/>
          <w:sz w:val="24"/>
          <w:szCs w:val="24"/>
          <w:lang w:val="zh-CN"/>
        </w:rPr>
        <w:t>在接下来的三到四年内</w:t>
      </w:r>
      <w:r w:rsidRPr="00977953">
        <w:rPr>
          <w:rFonts w:cs="Times New Roman" w:hint="eastAsia"/>
          <w:sz w:val="24"/>
          <w:szCs w:val="24"/>
        </w:rPr>
        <w:t>，</w:t>
      </w:r>
      <w:r w:rsidRPr="00977953">
        <w:rPr>
          <w:rFonts w:cs="Times New Roman" w:hint="eastAsia"/>
          <w:sz w:val="24"/>
          <w:szCs w:val="24"/>
          <w:lang w:val="zh-CN"/>
        </w:rPr>
        <w:t>混合供资市场可能再次翻一番</w:t>
      </w:r>
      <w:r w:rsidRPr="00977953">
        <w:rPr>
          <w:rFonts w:cs="Times New Roman" w:hint="eastAsia"/>
          <w:sz w:val="24"/>
          <w:szCs w:val="24"/>
        </w:rPr>
        <w:t>，</w:t>
      </w:r>
      <w:r w:rsidRPr="00977953">
        <w:rPr>
          <w:rFonts w:cs="Times New Roman" w:hint="eastAsia"/>
          <w:sz w:val="24"/>
          <w:szCs w:val="24"/>
          <w:lang w:val="zh-CN"/>
        </w:rPr>
        <w:t>因为优惠和其他形式的发展资本的提供者将把更多资金用于混合供资。目前在以气候变化为重点的主导下</w:t>
      </w:r>
      <w:r w:rsidRPr="00977953">
        <w:rPr>
          <w:rFonts w:cs="Times New Roman" w:hint="eastAsia"/>
          <w:sz w:val="24"/>
          <w:szCs w:val="24"/>
          <w:lang w:val="en-US"/>
        </w:rPr>
        <w:t>，</w:t>
      </w:r>
      <w:r w:rsidRPr="00977953">
        <w:rPr>
          <w:rFonts w:cs="Times New Roman" w:hint="eastAsia"/>
          <w:sz w:val="24"/>
          <w:szCs w:val="24"/>
          <w:lang w:val="zh-CN"/>
        </w:rPr>
        <w:t>巨大的机构投资市场可从前所未有的机会受益</w:t>
      </w:r>
      <w:r w:rsidRPr="00977953">
        <w:rPr>
          <w:rFonts w:cs="Times New Roman" w:hint="eastAsia"/>
          <w:sz w:val="24"/>
          <w:szCs w:val="24"/>
          <w:lang w:val="en-US"/>
        </w:rPr>
        <w:t>，</w:t>
      </w:r>
      <w:r w:rsidRPr="00977953">
        <w:rPr>
          <w:rFonts w:cs="Times New Roman" w:hint="eastAsia"/>
          <w:sz w:val="24"/>
          <w:szCs w:val="24"/>
          <w:lang w:val="zh-CN"/>
        </w:rPr>
        <w:t>其中生物多样性资产加入了投资组合</w:t>
      </w:r>
      <w:r w:rsidRPr="00977953">
        <w:rPr>
          <w:rFonts w:cs="Times New Roman" w:hint="eastAsia"/>
          <w:sz w:val="24"/>
          <w:szCs w:val="24"/>
          <w:lang w:val="en-US"/>
        </w:rPr>
        <w:t>，</w:t>
      </w:r>
      <w:r w:rsidRPr="00977953">
        <w:rPr>
          <w:rFonts w:cs="Times New Roman" w:hint="eastAsia"/>
          <w:sz w:val="24"/>
          <w:szCs w:val="24"/>
          <w:lang w:val="zh-CN"/>
        </w:rPr>
        <w:t>因为生物多样性的股票和债权基金往往为投资组合提供了多样化的效益、更大的长期全球收益和更低的违约率以及通过混合供资提供更好的下行保护。预计国际发展合作可能会在未来几年将其私有部门机构的调动比率从不到</w:t>
      </w:r>
      <w:r w:rsidRPr="00977953">
        <w:rPr>
          <w:rFonts w:cs="Times New Roman"/>
          <w:sz w:val="24"/>
          <w:szCs w:val="24"/>
          <w:lang w:val="en-US"/>
        </w:rPr>
        <w:t>2:1</w:t>
      </w:r>
      <w:r w:rsidRPr="00977953">
        <w:rPr>
          <w:rFonts w:cs="Times New Roman" w:hint="eastAsia"/>
          <w:sz w:val="24"/>
          <w:szCs w:val="24"/>
          <w:lang w:val="zh-CN"/>
        </w:rPr>
        <w:t>增加到接近</w:t>
      </w:r>
      <w:r w:rsidRPr="00977953">
        <w:rPr>
          <w:rFonts w:cs="Times New Roman"/>
          <w:sz w:val="24"/>
          <w:szCs w:val="24"/>
          <w:lang w:val="en-US"/>
        </w:rPr>
        <w:t>4:1</w:t>
      </w:r>
      <w:r w:rsidRPr="00977953">
        <w:rPr>
          <w:rFonts w:cs="Times New Roman" w:hint="eastAsia"/>
          <w:sz w:val="24"/>
          <w:szCs w:val="24"/>
          <w:lang w:val="en-US"/>
        </w:rPr>
        <w:t>（</w:t>
      </w:r>
      <w:r w:rsidRPr="00977953">
        <w:rPr>
          <w:rFonts w:cs="Times New Roman" w:hint="eastAsia"/>
          <w:sz w:val="24"/>
          <w:szCs w:val="24"/>
          <w:lang w:val="zh-CN"/>
        </w:rPr>
        <w:t>或更多</w:t>
      </w:r>
      <w:r w:rsidRPr="00977953">
        <w:rPr>
          <w:rFonts w:cs="Times New Roman" w:hint="eastAsia"/>
          <w:sz w:val="24"/>
          <w:szCs w:val="24"/>
          <w:lang w:val="en-US"/>
        </w:rPr>
        <w:t>）</w:t>
      </w:r>
      <w:r w:rsidRPr="00977953">
        <w:rPr>
          <w:rFonts w:cs="Times New Roman" w:hint="eastAsia"/>
          <w:sz w:val="24"/>
          <w:szCs w:val="24"/>
          <w:lang w:val="zh-CN"/>
        </w:rPr>
        <w:t>。</w:t>
      </w: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sz w:val="24"/>
        </w:rPr>
      </w:pPr>
      <w:r w:rsidRPr="00844A98">
        <w:rPr>
          <w:rFonts w:cs="Times New Roman" w:hint="eastAsia"/>
          <w:bCs w:val="0"/>
          <w:iCs w:val="0"/>
          <w:kern w:val="22"/>
          <w:sz w:val="24"/>
          <w:lang w:val="zh-CN"/>
        </w:rPr>
        <w:t>绿色债券</w:t>
      </w:r>
    </w:p>
    <w:p w:rsidR="005E3082" w:rsidRPr="00977953" w:rsidRDefault="005E3082">
      <w:pPr>
        <w:pStyle w:val="Para1"/>
        <w:numPr>
          <w:ilvl w:val="0"/>
          <w:numId w:val="18"/>
        </w:numPr>
        <w:suppressLineNumbers/>
        <w:tabs>
          <w:tab w:val="num" w:pos="720"/>
        </w:tabs>
        <w:suppressAutoHyphens/>
        <w:adjustRightInd w:val="0"/>
        <w:snapToGrid w:val="0"/>
        <w:spacing w:before="120"/>
        <w:ind w:left="0" w:firstLine="0"/>
        <w:rPr>
          <w:rFonts w:cs="Times New Roman"/>
          <w:sz w:val="24"/>
          <w:szCs w:val="24"/>
        </w:rPr>
      </w:pPr>
      <w:r w:rsidRPr="00977953">
        <w:rPr>
          <w:rFonts w:cs="Times New Roman" w:hint="eastAsia"/>
          <w:sz w:val="24"/>
          <w:szCs w:val="24"/>
          <w:lang w:val="zh-CN"/>
        </w:rPr>
        <w:t>在很大程度上受到气候变化关切的驱动</w:t>
      </w:r>
      <w:r w:rsidRPr="00977953">
        <w:rPr>
          <w:rFonts w:cs="Times New Roman" w:hint="eastAsia"/>
          <w:sz w:val="24"/>
          <w:szCs w:val="24"/>
          <w:lang w:val="en-US"/>
        </w:rPr>
        <w:t>，</w:t>
      </w:r>
      <w:r w:rsidRPr="00977953">
        <w:rPr>
          <w:rFonts w:cs="Times New Roman" w:hint="eastAsia"/>
          <w:sz w:val="24"/>
          <w:szCs w:val="24"/>
          <w:lang w:val="zh-CN"/>
        </w:rPr>
        <w:t>绿色债券市场在过去几年大幅增长</w:t>
      </w:r>
      <w:r w:rsidRPr="00977953">
        <w:rPr>
          <w:rFonts w:cs="Times New Roman" w:hint="eastAsia"/>
          <w:sz w:val="24"/>
          <w:szCs w:val="24"/>
          <w:lang w:val="en-US"/>
        </w:rPr>
        <w:t>，</w:t>
      </w:r>
      <w:r w:rsidRPr="00977953">
        <w:rPr>
          <w:rFonts w:cs="Times New Roman" w:hint="eastAsia"/>
          <w:sz w:val="24"/>
          <w:szCs w:val="24"/>
          <w:lang w:val="zh-CN"/>
        </w:rPr>
        <w:t>从</w:t>
      </w:r>
      <w:r w:rsidRPr="00977953">
        <w:rPr>
          <w:rFonts w:cs="Times New Roman"/>
          <w:sz w:val="24"/>
          <w:szCs w:val="24"/>
          <w:lang w:val="en-US"/>
        </w:rPr>
        <w:t>2008</w:t>
      </w:r>
      <w:r w:rsidRPr="00977953">
        <w:rPr>
          <w:rFonts w:cs="Times New Roman" w:hint="eastAsia"/>
          <w:sz w:val="24"/>
          <w:szCs w:val="24"/>
          <w:lang w:val="zh-CN"/>
        </w:rPr>
        <w:t>年到</w:t>
      </w:r>
      <w:r w:rsidRPr="00977953">
        <w:rPr>
          <w:rFonts w:cs="Times New Roman"/>
          <w:sz w:val="24"/>
          <w:szCs w:val="24"/>
          <w:lang w:val="en-US"/>
        </w:rPr>
        <w:t>2014</w:t>
      </w:r>
      <w:r w:rsidRPr="00977953">
        <w:rPr>
          <w:rFonts w:cs="Times New Roman" w:hint="eastAsia"/>
          <w:sz w:val="24"/>
          <w:szCs w:val="24"/>
          <w:lang w:val="zh-CN"/>
        </w:rPr>
        <w:t>年增加三番</w:t>
      </w:r>
      <w:r w:rsidRPr="00977953">
        <w:rPr>
          <w:rFonts w:cs="Times New Roman" w:hint="eastAsia"/>
          <w:sz w:val="24"/>
          <w:szCs w:val="24"/>
          <w:lang w:val="en-US"/>
        </w:rPr>
        <w:t>，</w:t>
      </w:r>
      <w:r w:rsidRPr="00977953">
        <w:rPr>
          <w:rFonts w:cs="Times New Roman" w:hint="eastAsia"/>
          <w:sz w:val="24"/>
          <w:szCs w:val="24"/>
          <w:lang w:val="zh-CN"/>
        </w:rPr>
        <w:t>达到约</w:t>
      </w:r>
      <w:r w:rsidRPr="00977953">
        <w:rPr>
          <w:rFonts w:cs="Times New Roman"/>
          <w:sz w:val="24"/>
          <w:szCs w:val="24"/>
          <w:lang w:val="en-US"/>
        </w:rPr>
        <w:t>380</w:t>
      </w:r>
      <w:r w:rsidRPr="00977953">
        <w:rPr>
          <w:rFonts w:cs="Times New Roman" w:hint="eastAsia"/>
          <w:sz w:val="24"/>
          <w:szCs w:val="24"/>
          <w:lang w:val="zh-CN"/>
        </w:rPr>
        <w:t>亿美元</w:t>
      </w:r>
      <w:r w:rsidRPr="00977953">
        <w:rPr>
          <w:rFonts w:cs="Times New Roman" w:hint="eastAsia"/>
          <w:sz w:val="24"/>
          <w:szCs w:val="24"/>
          <w:lang w:val="en-US"/>
        </w:rPr>
        <w:t>，</w:t>
      </w:r>
      <w:r w:rsidRPr="00977953">
        <w:rPr>
          <w:rFonts w:cs="Times New Roman" w:hint="eastAsia"/>
          <w:sz w:val="24"/>
          <w:szCs w:val="24"/>
          <w:lang w:val="zh-CN"/>
        </w:rPr>
        <w:t>并在</w:t>
      </w:r>
      <w:r w:rsidRPr="00977953">
        <w:rPr>
          <w:rFonts w:cs="Times New Roman"/>
          <w:sz w:val="24"/>
          <w:szCs w:val="24"/>
          <w:lang w:val="en-US"/>
        </w:rPr>
        <w:t>2017</w:t>
      </w:r>
      <w:r w:rsidRPr="00977953">
        <w:rPr>
          <w:rFonts w:cs="Times New Roman" w:hint="eastAsia"/>
          <w:sz w:val="24"/>
          <w:szCs w:val="24"/>
          <w:lang w:val="zh-CN"/>
        </w:rPr>
        <w:t>年达到约</w:t>
      </w:r>
      <w:r w:rsidRPr="00977953">
        <w:rPr>
          <w:rFonts w:cs="Times New Roman"/>
          <w:sz w:val="24"/>
          <w:szCs w:val="24"/>
          <w:lang w:val="en-US"/>
        </w:rPr>
        <w:t>1,610</w:t>
      </w:r>
      <w:r w:rsidRPr="00977953">
        <w:rPr>
          <w:rFonts w:cs="Times New Roman" w:hint="eastAsia"/>
          <w:sz w:val="24"/>
          <w:szCs w:val="24"/>
          <w:lang w:val="zh-CN"/>
        </w:rPr>
        <w:t>亿美元。</w:t>
      </w:r>
      <w:r w:rsidRPr="00977953">
        <w:rPr>
          <w:rFonts w:cs="Times New Roman"/>
          <w:sz w:val="24"/>
          <w:szCs w:val="24"/>
          <w:lang w:val="zh-CN"/>
        </w:rPr>
        <w:t>2017</w:t>
      </w:r>
      <w:r w:rsidRPr="00977953">
        <w:rPr>
          <w:rFonts w:cs="Times New Roman" w:hint="eastAsia"/>
          <w:sz w:val="24"/>
          <w:szCs w:val="24"/>
          <w:lang w:val="zh-CN"/>
        </w:rPr>
        <w:t>年被标记为绿色债券市场的</w:t>
      </w:r>
      <w:r w:rsidRPr="00977953">
        <w:rPr>
          <w:rFonts w:cs="Times New Roman"/>
          <w:sz w:val="24"/>
          <w:szCs w:val="24"/>
          <w:lang w:val="zh-CN"/>
        </w:rPr>
        <w:t>“</w:t>
      </w:r>
      <w:r w:rsidRPr="00977953">
        <w:rPr>
          <w:rFonts w:cs="Times New Roman" w:hint="eastAsia"/>
          <w:sz w:val="24"/>
          <w:szCs w:val="24"/>
          <w:lang w:val="zh-CN"/>
        </w:rPr>
        <w:t>主权年</w:t>
      </w:r>
      <w:r w:rsidRPr="00977953">
        <w:rPr>
          <w:rFonts w:cs="Times New Roman"/>
          <w:sz w:val="24"/>
          <w:szCs w:val="24"/>
          <w:lang w:val="zh-CN"/>
        </w:rPr>
        <w:t>”</w:t>
      </w:r>
      <w:r w:rsidRPr="00977953">
        <w:rPr>
          <w:rFonts w:cs="Times New Roman" w:hint="eastAsia"/>
          <w:sz w:val="24"/>
          <w:szCs w:val="24"/>
          <w:lang w:val="zh-CN"/>
        </w:rPr>
        <w:t>，而波兰和法国开创了先例，在</w:t>
      </w:r>
      <w:r w:rsidRPr="00977953">
        <w:rPr>
          <w:rFonts w:cs="Times New Roman"/>
          <w:sz w:val="24"/>
          <w:szCs w:val="24"/>
          <w:lang w:val="zh-CN"/>
        </w:rPr>
        <w:t>2016</w:t>
      </w:r>
      <w:r w:rsidRPr="00977953">
        <w:rPr>
          <w:rFonts w:cs="Times New Roman" w:hint="eastAsia"/>
          <w:sz w:val="24"/>
          <w:szCs w:val="24"/>
          <w:lang w:val="zh-CN"/>
        </w:rPr>
        <w:t>年末和</w:t>
      </w:r>
      <w:r w:rsidRPr="00977953">
        <w:rPr>
          <w:rFonts w:cs="Times New Roman"/>
          <w:sz w:val="24"/>
          <w:szCs w:val="24"/>
          <w:lang w:val="zh-CN"/>
        </w:rPr>
        <w:t>2017</w:t>
      </w:r>
      <w:r w:rsidRPr="00977953">
        <w:rPr>
          <w:rFonts w:cs="Times New Roman" w:hint="eastAsia"/>
          <w:sz w:val="24"/>
          <w:szCs w:val="24"/>
          <w:lang w:val="zh-CN"/>
        </w:rPr>
        <w:t>年初首先发行绿色债券，斐济和尼日利亚成为发展中经济体中的第一批发行者。在德国北莱茵威斯特伐利亚州，其保护自然资源预算的</w:t>
      </w:r>
      <w:r w:rsidRPr="00977953">
        <w:rPr>
          <w:rFonts w:cs="Times New Roman"/>
          <w:sz w:val="24"/>
          <w:szCs w:val="24"/>
          <w:lang w:val="zh-CN"/>
        </w:rPr>
        <w:t>93</w:t>
      </w:r>
      <w:r w:rsidRPr="00977953">
        <w:rPr>
          <w:rFonts w:cs="Times New Roman" w:hint="eastAsia"/>
          <w:sz w:val="24"/>
          <w:szCs w:val="24"/>
          <w:lang w:val="zh-CN"/>
        </w:rPr>
        <w:t>％被认为有资格发放债券融资。在全球范围内，生物多样性保护获得了债券收益的</w:t>
      </w:r>
      <w:r w:rsidRPr="00977953">
        <w:rPr>
          <w:rFonts w:cs="Times New Roman"/>
          <w:sz w:val="24"/>
          <w:szCs w:val="24"/>
          <w:lang w:val="zh-CN"/>
        </w:rPr>
        <w:t>4</w:t>
      </w:r>
      <w:r w:rsidRPr="00977953">
        <w:rPr>
          <w:rFonts w:cs="Times New Roman" w:hint="eastAsia"/>
          <w:sz w:val="24"/>
          <w:szCs w:val="24"/>
          <w:lang w:val="zh-CN"/>
        </w:rPr>
        <w:t>％，可持续土地使用受益</w:t>
      </w:r>
      <w:r w:rsidRPr="00977953">
        <w:rPr>
          <w:rFonts w:cs="Times New Roman"/>
          <w:sz w:val="24"/>
          <w:szCs w:val="24"/>
          <w:lang w:val="zh-CN"/>
        </w:rPr>
        <w:t>2</w:t>
      </w:r>
      <w:r w:rsidRPr="00977953">
        <w:rPr>
          <w:rFonts w:cs="Times New Roman" w:hint="eastAsia"/>
          <w:sz w:val="24"/>
          <w:szCs w:val="24"/>
          <w:lang w:val="zh-CN"/>
        </w:rPr>
        <w:t>％。根据气候债券倡议的预测，</w:t>
      </w:r>
      <w:r w:rsidRPr="00977953">
        <w:rPr>
          <w:rFonts w:cs="Times New Roman"/>
          <w:sz w:val="24"/>
          <w:szCs w:val="24"/>
          <w:lang w:val="zh-CN"/>
        </w:rPr>
        <w:t>2020</w:t>
      </w:r>
      <w:r w:rsidRPr="00977953">
        <w:rPr>
          <w:rFonts w:cs="Times New Roman" w:hint="eastAsia"/>
          <w:sz w:val="24"/>
          <w:szCs w:val="24"/>
          <w:lang w:val="zh-CN"/>
        </w:rPr>
        <w:t>年全球绿色债券发行量可达到</w:t>
      </w:r>
      <w:r w:rsidRPr="00977953">
        <w:rPr>
          <w:rFonts w:cs="Times New Roman"/>
          <w:sz w:val="24"/>
          <w:szCs w:val="24"/>
          <w:lang w:val="zh-CN"/>
        </w:rPr>
        <w:t>1</w:t>
      </w:r>
      <w:r w:rsidRPr="00977953">
        <w:rPr>
          <w:rFonts w:cs="Times New Roman" w:hint="eastAsia"/>
          <w:sz w:val="24"/>
          <w:szCs w:val="24"/>
          <w:lang w:val="zh-CN"/>
        </w:rPr>
        <w:t>万亿美元。</w:t>
      </w:r>
    </w:p>
    <w:p w:rsidR="005E3082" w:rsidRPr="00844A98" w:rsidRDefault="005E3082">
      <w:pPr>
        <w:pStyle w:val="Heading2"/>
        <w:suppressLineNumbers/>
        <w:tabs>
          <w:tab w:val="clear" w:pos="720"/>
          <w:tab w:val="left" w:pos="360"/>
        </w:tabs>
        <w:suppressAutoHyphens/>
        <w:adjustRightInd w:val="0"/>
        <w:snapToGrid w:val="0"/>
        <w:rPr>
          <w:rFonts w:cs="Times New Roman"/>
          <w:bCs w:val="0"/>
          <w:iCs w:val="0"/>
          <w:kern w:val="22"/>
          <w:sz w:val="24"/>
        </w:rPr>
      </w:pPr>
      <w:r w:rsidRPr="00844A98">
        <w:rPr>
          <w:rFonts w:cs="Times New Roman"/>
          <w:bCs w:val="0"/>
          <w:iCs w:val="0"/>
          <w:noProof/>
          <w:kern w:val="22"/>
          <w:sz w:val="24"/>
        </w:rPr>
        <w:t>D.</w:t>
      </w:r>
      <w:r w:rsidRPr="00844A98">
        <w:rPr>
          <w:rFonts w:cs="Times New Roman"/>
          <w:bCs w:val="0"/>
          <w:iCs w:val="0"/>
          <w:kern w:val="22"/>
          <w:sz w:val="24"/>
        </w:rPr>
        <w:tab/>
      </w:r>
      <w:r w:rsidRPr="00844A98">
        <w:rPr>
          <w:rFonts w:cs="Times New Roman" w:hint="eastAsia"/>
          <w:bCs w:val="0"/>
          <w:iCs w:val="0"/>
          <w:kern w:val="22"/>
          <w:sz w:val="24"/>
          <w:lang w:val="zh-CN"/>
        </w:rPr>
        <w:t>新的基金</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i/>
          <w:sz w:val="24"/>
          <w:szCs w:val="24"/>
        </w:rPr>
      </w:pPr>
      <w:r w:rsidRPr="00977953">
        <w:rPr>
          <w:rFonts w:cs="Times New Roman" w:hint="eastAsia"/>
          <w:sz w:val="24"/>
          <w:szCs w:val="24"/>
          <w:lang w:val="zh-CN"/>
        </w:rPr>
        <w:t>为了满足日益增长的需求</w:t>
      </w:r>
      <w:r w:rsidRPr="00977953">
        <w:rPr>
          <w:rFonts w:cs="Times New Roman" w:hint="eastAsia"/>
          <w:sz w:val="24"/>
          <w:szCs w:val="24"/>
        </w:rPr>
        <w:t>，</w:t>
      </w:r>
      <w:r w:rsidRPr="00977953">
        <w:rPr>
          <w:rFonts w:cs="Times New Roman" w:hint="eastAsia"/>
          <w:sz w:val="24"/>
          <w:szCs w:val="24"/>
          <w:lang w:val="zh-CN"/>
        </w:rPr>
        <w:t>最近在荒漠化和气候变化的背景下建立了新的基金。为了支持可持续的土地利用</w:t>
      </w:r>
      <w:r w:rsidRPr="00977953">
        <w:rPr>
          <w:rFonts w:cs="Times New Roman" w:hint="eastAsia"/>
          <w:sz w:val="24"/>
          <w:szCs w:val="24"/>
          <w:lang w:val="en-US"/>
        </w:rPr>
        <w:t>，</w:t>
      </w:r>
      <w:r w:rsidRPr="00977953">
        <w:rPr>
          <w:rFonts w:cs="Times New Roman"/>
          <w:sz w:val="24"/>
          <w:szCs w:val="24"/>
          <w:lang w:val="en-US"/>
        </w:rPr>
        <w:t>2017</w:t>
      </w:r>
      <w:r w:rsidRPr="00977953">
        <w:rPr>
          <w:rFonts w:cs="Times New Roman" w:hint="eastAsia"/>
          <w:sz w:val="24"/>
          <w:szCs w:val="24"/>
          <w:lang w:val="zh-CN"/>
        </w:rPr>
        <w:t>年在联合国防治荒漠化公约缔约方大会第十三届会议上发起了目标规模</w:t>
      </w:r>
      <w:r w:rsidRPr="00977953">
        <w:rPr>
          <w:rFonts w:cs="Times New Roman"/>
          <w:sz w:val="24"/>
          <w:szCs w:val="24"/>
          <w:lang w:val="en-US"/>
        </w:rPr>
        <w:t>3</w:t>
      </w:r>
      <w:r w:rsidRPr="00977953">
        <w:rPr>
          <w:rFonts w:cs="Times New Roman" w:hint="eastAsia"/>
          <w:sz w:val="24"/>
          <w:szCs w:val="24"/>
          <w:lang w:val="zh-CN"/>
        </w:rPr>
        <w:t>亿美元的土地退化零增长基金。在气候变化的背景下</w:t>
      </w:r>
      <w:r w:rsidRPr="00977953">
        <w:rPr>
          <w:rFonts w:cs="Times New Roman" w:hint="eastAsia"/>
          <w:sz w:val="24"/>
          <w:szCs w:val="24"/>
          <w:lang w:val="en-US"/>
        </w:rPr>
        <w:t>，</w:t>
      </w:r>
      <w:r w:rsidRPr="00977953">
        <w:rPr>
          <w:rFonts w:cs="Times New Roman" w:hint="eastAsia"/>
          <w:sz w:val="24"/>
          <w:szCs w:val="24"/>
          <w:lang w:val="zh-CN"/>
        </w:rPr>
        <w:t>由联合国气候变化框架公约缔约方大会在哥本哈根召开的第十五届会议发起并由联合国气候变化框架公约缔约方大会在墨西哥坎昆召开的第十六届会议设立的绿色气候基金已经得到超过</w:t>
      </w:r>
      <w:r w:rsidRPr="00977953">
        <w:rPr>
          <w:rFonts w:cs="Times New Roman"/>
          <w:sz w:val="24"/>
          <w:szCs w:val="24"/>
          <w:lang w:val="en-US"/>
        </w:rPr>
        <w:t>100</w:t>
      </w:r>
      <w:r w:rsidRPr="00977953">
        <w:rPr>
          <w:rFonts w:cs="Times New Roman" w:hint="eastAsia"/>
          <w:sz w:val="24"/>
          <w:szCs w:val="24"/>
          <w:lang w:val="zh-CN"/>
        </w:rPr>
        <w:t>亿美元的认捐</w:t>
      </w:r>
      <w:r w:rsidRPr="00977953">
        <w:rPr>
          <w:rFonts w:cs="Times New Roman" w:hint="eastAsia"/>
          <w:sz w:val="24"/>
          <w:szCs w:val="24"/>
          <w:lang w:val="en-US"/>
        </w:rPr>
        <w:t>，</w:t>
      </w:r>
      <w:r w:rsidRPr="00977953">
        <w:rPr>
          <w:rFonts w:cs="Times New Roman" w:hint="eastAsia"/>
          <w:sz w:val="24"/>
          <w:szCs w:val="24"/>
          <w:lang w:val="zh-CN"/>
        </w:rPr>
        <w:t>这增加了已经相当可观的多边气候基金</w:t>
      </w:r>
      <w:r w:rsidRPr="00977953">
        <w:rPr>
          <w:rStyle w:val="FootnoteReference"/>
          <w:kern w:val="22"/>
          <w:sz w:val="24"/>
          <w:szCs w:val="24"/>
          <w:lang w:val="zh-CN"/>
        </w:rPr>
        <w:footnoteReference w:id="6"/>
      </w:r>
      <w:r w:rsidRPr="00977953">
        <w:rPr>
          <w:rFonts w:cs="Times New Roman" w:hint="eastAsia"/>
          <w:sz w:val="24"/>
          <w:szCs w:val="24"/>
          <w:lang w:val="zh-CN"/>
        </w:rPr>
        <w:t>。同时，如下图所示，拨供全环基金生物多样性重点领域的资金与为生物多样性提供的官方发展援助的比例在过去二十年大幅下降，从</w:t>
      </w:r>
      <w:r w:rsidRPr="00977953">
        <w:rPr>
          <w:rFonts w:cs="Times New Roman"/>
          <w:sz w:val="24"/>
          <w:szCs w:val="24"/>
          <w:lang w:val="zh-CN"/>
        </w:rPr>
        <w:t>21</w:t>
      </w:r>
      <w:r w:rsidRPr="00977953">
        <w:rPr>
          <w:rFonts w:cs="Times New Roman" w:hint="eastAsia"/>
          <w:sz w:val="24"/>
          <w:szCs w:val="24"/>
          <w:lang w:val="zh-CN"/>
        </w:rPr>
        <w:t>世纪初期接近</w:t>
      </w:r>
      <w:r w:rsidRPr="00977953">
        <w:rPr>
          <w:rFonts w:cs="Times New Roman"/>
          <w:sz w:val="24"/>
          <w:szCs w:val="24"/>
          <w:lang w:val="zh-CN"/>
        </w:rPr>
        <w:t>10</w:t>
      </w:r>
      <w:r w:rsidRPr="00977953">
        <w:rPr>
          <w:rFonts w:cs="Times New Roman" w:hint="eastAsia"/>
          <w:sz w:val="24"/>
          <w:szCs w:val="24"/>
          <w:lang w:val="zh-CN"/>
        </w:rPr>
        <w:t>％降至近年来</w:t>
      </w:r>
      <w:r w:rsidRPr="00977953">
        <w:rPr>
          <w:rFonts w:cs="Times New Roman"/>
          <w:sz w:val="24"/>
          <w:szCs w:val="24"/>
          <w:lang w:val="zh-CN"/>
        </w:rPr>
        <w:t>4</w:t>
      </w:r>
      <w:r w:rsidRPr="00977953">
        <w:rPr>
          <w:rFonts w:cs="Times New Roman" w:hint="eastAsia"/>
          <w:sz w:val="24"/>
          <w:szCs w:val="24"/>
          <w:lang w:val="zh-CN"/>
        </w:rPr>
        <w:t>％以下</w:t>
      </w:r>
      <w:r w:rsidRPr="00977953">
        <w:rPr>
          <w:rStyle w:val="FootnoteReference"/>
          <w:kern w:val="22"/>
          <w:sz w:val="24"/>
          <w:szCs w:val="24"/>
          <w:lang w:val="zh-CN"/>
        </w:rPr>
        <w:footnoteReference w:id="7"/>
      </w:r>
      <w:r w:rsidRPr="00977953">
        <w:rPr>
          <w:rFonts w:cs="Times New Roman" w:hint="eastAsia"/>
          <w:sz w:val="24"/>
          <w:szCs w:val="24"/>
          <w:lang w:val="zh-CN"/>
        </w:rPr>
        <w:t>。</w:t>
      </w:r>
    </w:p>
    <w:p w:rsidR="005E3082" w:rsidRPr="00977953" w:rsidRDefault="00AA0A55">
      <w:pPr>
        <w:pStyle w:val="Para1"/>
        <w:suppressLineNumbers/>
        <w:suppressAutoHyphens/>
        <w:adjustRightInd w:val="0"/>
        <w:snapToGrid w:val="0"/>
        <w:jc w:val="center"/>
        <w:rPr>
          <w:rFonts w:eastAsia="Times New Roman" w:cs="Times New Roman"/>
          <w:b/>
          <w:kern w:val="22"/>
          <w:sz w:val="24"/>
          <w:szCs w:val="24"/>
        </w:rPr>
      </w:pPr>
      <w:r>
        <w:rPr>
          <w:noProof/>
          <w:lang w:val="en-US"/>
        </w:rPr>
        <w:pict>
          <v:shape id="_x0000_s1029" type="#_x0000_t202" style="position:absolute;left:0;text-align:left;margin-left:127.95pt;margin-top:110.65pt;width:215.4pt;height:34.95pt;z-index:251654144" strokecolor="white">
            <v:textbox>
              <w:txbxContent>
                <w:p w:rsidR="005E3082" w:rsidRDefault="005E3082">
                  <w:pPr>
                    <w:rPr>
                      <w:sz w:val="15"/>
                      <w:szCs w:val="15"/>
                      <w:lang w:bidi="th-TH"/>
                    </w:rPr>
                  </w:pPr>
                  <w:r>
                    <w:rPr>
                      <w:rFonts w:hint="eastAsia"/>
                      <w:sz w:val="15"/>
                      <w:szCs w:val="15"/>
                      <w:lang w:bidi="th-TH"/>
                    </w:rPr>
                    <w:t>第</w:t>
                  </w:r>
                  <w:r>
                    <w:rPr>
                      <w:sz w:val="15"/>
                      <w:szCs w:val="15"/>
                      <w:lang w:bidi="th-TH"/>
                    </w:rPr>
                    <w:t>3</w:t>
                  </w:r>
                  <w:r>
                    <w:rPr>
                      <w:rFonts w:hint="eastAsia"/>
                      <w:sz w:val="15"/>
                      <w:szCs w:val="15"/>
                      <w:lang w:bidi="th-TH"/>
                    </w:rPr>
                    <w:t>次充资</w:t>
                  </w:r>
                  <w:r>
                    <w:rPr>
                      <w:sz w:val="15"/>
                      <w:szCs w:val="15"/>
                      <w:lang w:bidi="th-TH"/>
                    </w:rPr>
                    <w:t xml:space="preserve">        </w:t>
                  </w:r>
                  <w:r>
                    <w:rPr>
                      <w:rFonts w:hint="eastAsia"/>
                      <w:sz w:val="15"/>
                      <w:szCs w:val="15"/>
                      <w:lang w:bidi="th-TH"/>
                    </w:rPr>
                    <w:t>第</w:t>
                  </w:r>
                  <w:r>
                    <w:rPr>
                      <w:sz w:val="15"/>
                      <w:szCs w:val="15"/>
                      <w:lang w:bidi="th-TH"/>
                    </w:rPr>
                    <w:t>4</w:t>
                  </w:r>
                  <w:r>
                    <w:rPr>
                      <w:rFonts w:hint="eastAsia"/>
                      <w:sz w:val="15"/>
                      <w:szCs w:val="15"/>
                      <w:lang w:bidi="th-TH"/>
                    </w:rPr>
                    <w:t>次充资</w:t>
                  </w:r>
                  <w:r>
                    <w:rPr>
                      <w:sz w:val="15"/>
                      <w:szCs w:val="15"/>
                      <w:lang w:bidi="th-TH"/>
                    </w:rPr>
                    <w:t xml:space="preserve">          </w:t>
                  </w:r>
                  <w:r>
                    <w:rPr>
                      <w:rFonts w:hint="eastAsia"/>
                      <w:sz w:val="15"/>
                      <w:szCs w:val="15"/>
                      <w:lang w:bidi="th-TH"/>
                    </w:rPr>
                    <w:t>第</w:t>
                  </w:r>
                  <w:r>
                    <w:rPr>
                      <w:sz w:val="15"/>
                      <w:szCs w:val="15"/>
                      <w:lang w:bidi="th-TH"/>
                    </w:rPr>
                    <w:t>5</w:t>
                  </w:r>
                  <w:r>
                    <w:rPr>
                      <w:rFonts w:hint="eastAsia"/>
                      <w:sz w:val="15"/>
                      <w:szCs w:val="15"/>
                      <w:lang w:bidi="th-TH"/>
                    </w:rPr>
                    <w:t>次充资</w:t>
                  </w:r>
                  <w:r>
                    <w:rPr>
                      <w:sz w:val="15"/>
                      <w:szCs w:val="15"/>
                      <w:lang w:bidi="th-TH"/>
                    </w:rPr>
                    <w:t xml:space="preserve">         </w:t>
                  </w:r>
                  <w:r>
                    <w:rPr>
                      <w:rFonts w:hint="eastAsia"/>
                      <w:sz w:val="15"/>
                      <w:szCs w:val="15"/>
                      <w:lang w:bidi="th-TH"/>
                    </w:rPr>
                    <w:t>第</w:t>
                  </w:r>
                  <w:r>
                    <w:rPr>
                      <w:sz w:val="15"/>
                      <w:szCs w:val="15"/>
                      <w:lang w:bidi="th-TH"/>
                    </w:rPr>
                    <w:t>6</w:t>
                  </w:r>
                  <w:r>
                    <w:rPr>
                      <w:rFonts w:hint="eastAsia"/>
                      <w:sz w:val="15"/>
                      <w:szCs w:val="15"/>
                      <w:lang w:bidi="th-TH"/>
                    </w:rPr>
                    <w:t>次充资</w:t>
                  </w:r>
                </w:p>
                <w:p w:rsidR="005E3082" w:rsidRPr="0001505B" w:rsidRDefault="005E3082">
                  <w:pPr>
                    <w:rPr>
                      <w:sz w:val="15"/>
                      <w:szCs w:val="15"/>
                      <w:lang w:bidi="th-TH"/>
                    </w:rPr>
                  </w:pPr>
                  <w:r>
                    <w:rPr>
                      <w:rFonts w:hint="eastAsia"/>
                      <w:sz w:val="15"/>
                      <w:szCs w:val="15"/>
                      <w:lang w:bidi="th-TH"/>
                    </w:rPr>
                    <w:t>（</w:t>
                  </w:r>
                  <w:r>
                    <w:rPr>
                      <w:sz w:val="15"/>
                      <w:szCs w:val="15"/>
                      <w:lang w:bidi="th-TH"/>
                    </w:rPr>
                    <w:t>2002-06</w:t>
                  </w:r>
                  <w:r>
                    <w:rPr>
                      <w:rFonts w:hint="eastAsia"/>
                      <w:sz w:val="15"/>
                      <w:szCs w:val="15"/>
                      <w:lang w:bidi="th-TH"/>
                    </w:rPr>
                    <w:t>）</w:t>
                  </w:r>
                  <w:r>
                    <w:rPr>
                      <w:sz w:val="15"/>
                      <w:szCs w:val="15"/>
                      <w:lang w:bidi="th-TH"/>
                    </w:rPr>
                    <w:t xml:space="preserve">       </w:t>
                  </w:r>
                  <w:r>
                    <w:rPr>
                      <w:rFonts w:hint="eastAsia"/>
                      <w:sz w:val="15"/>
                      <w:szCs w:val="15"/>
                      <w:lang w:bidi="th-TH"/>
                    </w:rPr>
                    <w:t>（</w:t>
                  </w:r>
                  <w:r>
                    <w:rPr>
                      <w:sz w:val="15"/>
                      <w:szCs w:val="15"/>
                      <w:lang w:bidi="th-TH"/>
                    </w:rPr>
                    <w:t>2006-10</w:t>
                  </w:r>
                  <w:r>
                    <w:rPr>
                      <w:rFonts w:hint="eastAsia"/>
                      <w:sz w:val="15"/>
                      <w:szCs w:val="15"/>
                      <w:lang w:bidi="th-TH"/>
                    </w:rPr>
                    <w:t>）</w:t>
                  </w:r>
                  <w:r>
                    <w:rPr>
                      <w:sz w:val="15"/>
                      <w:szCs w:val="15"/>
                      <w:lang w:bidi="th-TH"/>
                    </w:rPr>
                    <w:t xml:space="preserve">       </w:t>
                  </w:r>
                  <w:r>
                    <w:rPr>
                      <w:rFonts w:hint="eastAsia"/>
                      <w:sz w:val="15"/>
                      <w:szCs w:val="15"/>
                      <w:lang w:bidi="th-TH"/>
                    </w:rPr>
                    <w:t>（</w:t>
                  </w:r>
                  <w:r>
                    <w:rPr>
                      <w:sz w:val="15"/>
                      <w:szCs w:val="15"/>
                      <w:lang w:bidi="th-TH"/>
                    </w:rPr>
                    <w:t>2010-14</w:t>
                  </w:r>
                  <w:r>
                    <w:rPr>
                      <w:rFonts w:hint="eastAsia"/>
                      <w:sz w:val="15"/>
                      <w:szCs w:val="15"/>
                      <w:lang w:bidi="th-TH"/>
                    </w:rPr>
                    <w:t>）</w:t>
                  </w:r>
                  <w:r>
                    <w:rPr>
                      <w:sz w:val="15"/>
                      <w:szCs w:val="15"/>
                      <w:lang w:bidi="th-TH"/>
                    </w:rPr>
                    <w:t xml:space="preserve">       </w:t>
                  </w:r>
                  <w:r>
                    <w:rPr>
                      <w:rFonts w:hint="eastAsia"/>
                      <w:sz w:val="15"/>
                      <w:szCs w:val="15"/>
                      <w:lang w:bidi="th-TH"/>
                    </w:rPr>
                    <w:t>（</w:t>
                  </w:r>
                  <w:r>
                    <w:rPr>
                      <w:sz w:val="15"/>
                      <w:szCs w:val="15"/>
                      <w:lang w:bidi="th-TH"/>
                    </w:rPr>
                    <w:t>2014-18</w:t>
                  </w:r>
                  <w:r>
                    <w:rPr>
                      <w:rFonts w:hint="eastAsia"/>
                      <w:sz w:val="15"/>
                      <w:szCs w:val="15"/>
                      <w:lang w:bidi="th-TH"/>
                    </w:rPr>
                    <w:t>）</w:t>
                  </w:r>
                </w:p>
              </w:txbxContent>
            </v:textbox>
          </v:shape>
        </w:pict>
      </w:r>
      <w:r>
        <w:rPr>
          <w:rFonts w:eastAsia="Times New Roman" w:cs="Times New Roman"/>
          <w:b/>
          <w:kern w:val="22"/>
          <w:sz w:val="24"/>
          <w:szCs w:val="24"/>
        </w:rPr>
        <w:pict>
          <v:shape id="Chart 1" o:spid="_x0000_i1029" type="#_x0000_t75" style="width:234pt;height:146.25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">
            <v:imagedata r:id="rId14" o:title=""/>
            <o:lock v:ext="edit" aspectratio="f"/>
          </v:shape>
        </w:pict>
      </w: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sz w:val="24"/>
        </w:rPr>
      </w:pPr>
      <w:r w:rsidRPr="00844A98">
        <w:rPr>
          <w:rFonts w:cs="Times New Roman" w:hint="eastAsia"/>
          <w:bCs w:val="0"/>
          <w:iCs w:val="0"/>
          <w:kern w:val="22"/>
          <w:sz w:val="24"/>
          <w:lang w:val="zh-CN"/>
        </w:rPr>
        <w:t>双边和多边供资</w:t>
      </w:r>
    </w:p>
    <w:p w:rsidR="005E3082" w:rsidRPr="000F3791"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t>根据发展筹资问题机构间工作队</w:t>
      </w:r>
      <w:r w:rsidRPr="00977953">
        <w:rPr>
          <w:rFonts w:cs="Times New Roman"/>
          <w:sz w:val="24"/>
          <w:szCs w:val="24"/>
        </w:rPr>
        <w:t>2018</w:t>
      </w:r>
      <w:r w:rsidRPr="00977953">
        <w:rPr>
          <w:rFonts w:cs="Times New Roman" w:hint="eastAsia"/>
          <w:sz w:val="24"/>
          <w:szCs w:val="24"/>
          <w:lang w:val="zh-CN"/>
        </w:rPr>
        <w:t>年的报告</w:t>
      </w:r>
      <w:r w:rsidRPr="00977953">
        <w:rPr>
          <w:rFonts w:cs="Times New Roman" w:hint="eastAsia"/>
          <w:sz w:val="24"/>
          <w:szCs w:val="24"/>
        </w:rPr>
        <w:t>，</w:t>
      </w:r>
      <w:r w:rsidRPr="00977953">
        <w:rPr>
          <w:rFonts w:cs="Times New Roman" w:hint="eastAsia"/>
          <w:sz w:val="24"/>
          <w:szCs w:val="24"/>
          <w:lang w:val="zh-CN"/>
        </w:rPr>
        <w:t>经济合作与发展组织</w:t>
      </w:r>
      <w:r w:rsidRPr="00977953">
        <w:rPr>
          <w:rFonts w:cs="Times New Roman" w:hint="eastAsia"/>
          <w:sz w:val="24"/>
          <w:szCs w:val="24"/>
        </w:rPr>
        <w:t>（</w:t>
      </w:r>
      <w:r w:rsidRPr="00977953">
        <w:rPr>
          <w:rFonts w:cs="Times New Roman" w:hint="eastAsia"/>
          <w:sz w:val="24"/>
          <w:szCs w:val="24"/>
          <w:lang w:val="zh-CN"/>
        </w:rPr>
        <w:t>经合组织</w:t>
      </w:r>
      <w:r w:rsidRPr="00977953">
        <w:rPr>
          <w:rFonts w:cs="Times New Roman" w:hint="eastAsia"/>
          <w:sz w:val="24"/>
          <w:szCs w:val="24"/>
        </w:rPr>
        <w:t>）</w:t>
      </w:r>
      <w:r w:rsidRPr="00977953">
        <w:rPr>
          <w:rFonts w:cs="Times New Roman" w:hint="eastAsia"/>
          <w:sz w:val="24"/>
          <w:szCs w:val="24"/>
          <w:lang w:val="zh-CN"/>
        </w:rPr>
        <w:t>发展援助委员会</w:t>
      </w:r>
      <w:r w:rsidRPr="00977953">
        <w:rPr>
          <w:rFonts w:cs="Times New Roman" w:hint="eastAsia"/>
          <w:sz w:val="24"/>
          <w:szCs w:val="24"/>
        </w:rPr>
        <w:t>（</w:t>
      </w:r>
      <w:r w:rsidRPr="00977953">
        <w:rPr>
          <w:rFonts w:cs="Times New Roman" w:hint="eastAsia"/>
          <w:sz w:val="24"/>
          <w:szCs w:val="24"/>
          <w:lang w:val="zh-CN"/>
        </w:rPr>
        <w:t>发援会</w:t>
      </w:r>
      <w:r w:rsidRPr="00977953">
        <w:rPr>
          <w:rFonts w:cs="Times New Roman" w:hint="eastAsia"/>
          <w:sz w:val="24"/>
          <w:szCs w:val="24"/>
        </w:rPr>
        <w:t>）</w:t>
      </w:r>
      <w:r w:rsidRPr="00977953">
        <w:rPr>
          <w:rFonts w:cs="Times New Roman" w:hint="eastAsia"/>
          <w:sz w:val="24"/>
          <w:szCs w:val="24"/>
          <w:lang w:val="zh-CN"/>
        </w:rPr>
        <w:t>成员</w:t>
      </w:r>
      <w:r w:rsidRPr="00977953">
        <w:rPr>
          <w:rFonts w:cs="Times New Roman"/>
          <w:sz w:val="24"/>
          <w:szCs w:val="24"/>
        </w:rPr>
        <w:t>2016</w:t>
      </w:r>
      <w:r w:rsidRPr="00977953">
        <w:rPr>
          <w:rFonts w:cs="Times New Roman" w:hint="eastAsia"/>
          <w:sz w:val="24"/>
          <w:szCs w:val="24"/>
          <w:lang w:val="zh-CN"/>
        </w:rPr>
        <w:t>年提供的官方发展援助达到</w:t>
      </w:r>
      <w:r w:rsidRPr="00977953">
        <w:rPr>
          <w:rFonts w:cs="Times New Roman"/>
          <w:sz w:val="24"/>
          <w:szCs w:val="24"/>
        </w:rPr>
        <w:t>1,457</w:t>
      </w:r>
      <w:r w:rsidRPr="00977953">
        <w:rPr>
          <w:rFonts w:cs="Times New Roman" w:hint="eastAsia"/>
          <w:sz w:val="24"/>
          <w:szCs w:val="24"/>
          <w:lang w:val="zh-CN"/>
        </w:rPr>
        <w:t>亿美元</w:t>
      </w:r>
      <w:r w:rsidRPr="00977953">
        <w:rPr>
          <w:rFonts w:cs="Times New Roman" w:hint="eastAsia"/>
          <w:sz w:val="24"/>
          <w:szCs w:val="24"/>
        </w:rPr>
        <w:t>，</w:t>
      </w:r>
      <w:r w:rsidRPr="00977953">
        <w:rPr>
          <w:rFonts w:cs="Times New Roman" w:hint="eastAsia"/>
          <w:sz w:val="24"/>
          <w:szCs w:val="24"/>
          <w:lang w:val="zh-CN"/>
        </w:rPr>
        <w:t>七</w:t>
      </w:r>
      <w:r w:rsidRPr="00977953">
        <w:rPr>
          <w:rFonts w:cs="Times New Roman" w:hint="eastAsia"/>
          <w:sz w:val="24"/>
          <w:szCs w:val="24"/>
          <w:lang w:val="zh-CN"/>
        </w:rPr>
        <w:lastRenderedPageBreak/>
        <w:t>家多边开发银行每年发放的非赠款补贴金额达到</w:t>
      </w:r>
      <w:r w:rsidRPr="00977953">
        <w:rPr>
          <w:rFonts w:cs="Times New Roman"/>
          <w:sz w:val="24"/>
          <w:szCs w:val="24"/>
        </w:rPr>
        <w:t>658</w:t>
      </w:r>
      <w:r w:rsidRPr="00977953">
        <w:rPr>
          <w:rFonts w:cs="Times New Roman" w:hint="eastAsia"/>
          <w:sz w:val="24"/>
          <w:szCs w:val="24"/>
          <w:lang w:val="zh-CN"/>
        </w:rPr>
        <w:t>亿美元</w:t>
      </w:r>
      <w:r w:rsidRPr="00977953">
        <w:rPr>
          <w:rFonts w:cs="Times New Roman" w:hint="eastAsia"/>
          <w:sz w:val="24"/>
          <w:szCs w:val="24"/>
        </w:rPr>
        <w:t>，</w:t>
      </w:r>
      <w:r w:rsidRPr="00977953">
        <w:rPr>
          <w:rFonts w:cs="Times New Roman" w:hint="eastAsia"/>
          <w:sz w:val="24"/>
          <w:szCs w:val="24"/>
          <w:lang w:val="zh-CN"/>
        </w:rPr>
        <w:t>两家新成立的多边机构提供了额外资金。下图显示本世纪初以来双边和多边供资的增长趋势。</w:t>
      </w:r>
    </w:p>
    <w:p w:rsidR="005E3082" w:rsidRPr="00977953" w:rsidRDefault="00AA0A55" w:rsidP="000F3791">
      <w:pPr>
        <w:pStyle w:val="Para1"/>
        <w:suppressLineNumbers/>
        <w:suppressAutoHyphens/>
        <w:adjustRightInd w:val="0"/>
        <w:snapToGrid w:val="0"/>
        <w:rPr>
          <w:rFonts w:cs="Times New Roman"/>
          <w:sz w:val="24"/>
          <w:szCs w:val="24"/>
        </w:rPr>
      </w:pPr>
      <w:r>
        <w:rPr>
          <w:noProof/>
          <w:lang w:val="en-US"/>
        </w:rPr>
        <w:pict>
          <v:shape id="_x0000_s1030" type="#_x0000_t202" style="position:absolute;left:0;text-align:left;margin-left:221.45pt;margin-top:4.2pt;width:185.3pt;height:30.4pt;z-index:251656192" strokecolor="white">
            <v:textbox>
              <w:txbxContent>
                <w:p w:rsidR="005E3082" w:rsidRDefault="005E3082" w:rsidP="009A4CFC">
                  <w:pPr>
                    <w:rPr>
                      <w:sz w:val="15"/>
                      <w:szCs w:val="15"/>
                      <w:lang w:bidi="th-TH"/>
                    </w:rPr>
                  </w:pPr>
                  <w:r>
                    <w:rPr>
                      <w:rFonts w:hint="eastAsia"/>
                      <w:sz w:val="15"/>
                      <w:szCs w:val="15"/>
                      <w:lang w:bidi="th-TH"/>
                    </w:rPr>
                    <w:t>多边开发银行供资，</w:t>
                  </w:r>
                  <w:r>
                    <w:rPr>
                      <w:sz w:val="15"/>
                      <w:szCs w:val="15"/>
                      <w:lang w:bidi="th-TH"/>
                    </w:rPr>
                    <w:t xml:space="preserve"> 2000-2016</w:t>
                  </w:r>
                  <w:r>
                    <w:rPr>
                      <w:rFonts w:hint="eastAsia"/>
                      <w:sz w:val="15"/>
                      <w:szCs w:val="15"/>
                      <w:lang w:bidi="th-TH"/>
                    </w:rPr>
                    <w:t>年</w:t>
                  </w:r>
                </w:p>
                <w:p w:rsidR="005E3082" w:rsidRPr="00D01D7D" w:rsidRDefault="005E3082" w:rsidP="009A4CFC">
                  <w:pPr>
                    <w:rPr>
                      <w:sz w:val="15"/>
                      <w:szCs w:val="15"/>
                      <w:lang w:bidi="th-TH"/>
                    </w:rPr>
                  </w:pPr>
                  <w:r>
                    <w:rPr>
                      <w:rFonts w:hint="eastAsia"/>
                      <w:sz w:val="15"/>
                      <w:szCs w:val="15"/>
                      <w:lang w:bidi="th-TH"/>
                    </w:rPr>
                    <w:t>（以</w:t>
                  </w:r>
                  <w:r>
                    <w:rPr>
                      <w:sz w:val="15"/>
                      <w:szCs w:val="15"/>
                      <w:lang w:bidi="th-TH"/>
                    </w:rPr>
                    <w:t>10</w:t>
                  </w:r>
                  <w:r>
                    <w:rPr>
                      <w:rFonts w:hint="eastAsia"/>
                      <w:sz w:val="15"/>
                      <w:szCs w:val="15"/>
                      <w:lang w:bidi="th-TH"/>
                    </w:rPr>
                    <w:t>亿美元计）</w:t>
                  </w:r>
                </w:p>
              </w:txbxContent>
            </v:textbox>
          </v:shape>
        </w:pict>
      </w:r>
      <w:r>
        <w:rPr>
          <w:noProof/>
          <w:lang w:val="en-US"/>
        </w:rPr>
        <w:pict>
          <v:shape id="_x0000_s1031" type="#_x0000_t202" style="position:absolute;left:0;text-align:left;margin-left:-.7pt;margin-top:4.15pt;width:186.05pt;height:30.4pt;z-index:251655168" strokecolor="white">
            <v:textbox>
              <w:txbxContent>
                <w:p w:rsidR="005E3082" w:rsidRPr="00D01D7D" w:rsidRDefault="005E3082">
                  <w:pPr>
                    <w:rPr>
                      <w:sz w:val="15"/>
                      <w:szCs w:val="15"/>
                      <w:lang w:bidi="th-TH"/>
                    </w:rPr>
                  </w:pPr>
                  <w:r>
                    <w:rPr>
                      <w:rFonts w:hint="eastAsia"/>
                      <w:sz w:val="15"/>
                      <w:szCs w:val="15"/>
                      <w:lang w:bidi="th-TH"/>
                    </w:rPr>
                    <w:t>发援会按部门作出的净双边官方发展援助承诺，</w:t>
                  </w:r>
                  <w:r>
                    <w:rPr>
                      <w:sz w:val="15"/>
                      <w:szCs w:val="15"/>
                      <w:lang w:bidi="th-TH"/>
                    </w:rPr>
                    <w:t>2000-2016</w:t>
                  </w:r>
                  <w:r>
                    <w:rPr>
                      <w:rFonts w:hint="eastAsia"/>
                      <w:sz w:val="15"/>
                      <w:szCs w:val="15"/>
                      <w:lang w:bidi="th-TH"/>
                    </w:rPr>
                    <w:t>年（以</w:t>
                  </w:r>
                  <w:r>
                    <w:rPr>
                      <w:sz w:val="15"/>
                      <w:szCs w:val="15"/>
                      <w:lang w:bidi="th-TH"/>
                    </w:rPr>
                    <w:t>10</w:t>
                  </w:r>
                  <w:r>
                    <w:rPr>
                      <w:rFonts w:hint="eastAsia"/>
                      <w:sz w:val="15"/>
                      <w:szCs w:val="15"/>
                      <w:lang w:bidi="th-TH"/>
                    </w:rPr>
                    <w:t>亿美元计，</w:t>
                  </w:r>
                  <w:r>
                    <w:rPr>
                      <w:sz w:val="15"/>
                      <w:szCs w:val="15"/>
                      <w:lang w:bidi="th-TH"/>
                    </w:rPr>
                    <w:t>2015</w:t>
                  </w:r>
                  <w:r>
                    <w:rPr>
                      <w:rFonts w:hint="eastAsia"/>
                      <w:sz w:val="15"/>
                      <w:szCs w:val="15"/>
                      <w:lang w:bidi="th-TH"/>
                    </w:rPr>
                    <w:t>年不变价格）</w:t>
                  </w:r>
                </w:p>
              </w:txbxContent>
            </v:textbox>
          </v:shape>
        </w:pict>
      </w:r>
    </w:p>
    <w:p w:rsidR="005E3082" w:rsidRPr="00977953" w:rsidRDefault="00AA0A55">
      <w:pPr>
        <w:suppressLineNumbers/>
        <w:suppressAutoHyphens/>
        <w:adjustRightInd w:val="0"/>
        <w:snapToGrid w:val="0"/>
        <w:spacing w:after="120"/>
        <w:rPr>
          <w:rFonts w:eastAsia="Times New Roman" w:cs="Times New Roman"/>
          <w:kern w:val="22"/>
          <w:sz w:val="24"/>
        </w:rPr>
      </w:pPr>
      <w:r>
        <w:rPr>
          <w:noProof/>
          <w:lang w:val="en-US"/>
        </w:rPr>
        <w:pict>
          <v:shape id="_x0000_s1032" type="#_x0000_t202" style="position:absolute;left:0;text-align:left;margin-left:361.6pt;margin-top:136.25pt;width:68.75pt;height:142.7pt;z-index:251658240" strokecolor="white">
            <v:textbox style="mso-fit-shape-to-text:t">
              <w:txbxContent>
                <w:p w:rsidR="005E3082" w:rsidRPr="00EC51CF" w:rsidRDefault="005E3082">
                  <w:pPr>
                    <w:rPr>
                      <w:sz w:val="11"/>
                      <w:szCs w:val="11"/>
                      <w:lang w:bidi="th-TH"/>
                    </w:rPr>
                  </w:pPr>
                  <w:r>
                    <w:rPr>
                      <w:rFonts w:hint="eastAsia"/>
                      <w:sz w:val="11"/>
                      <w:szCs w:val="11"/>
                      <w:lang w:bidi="th-TH"/>
                    </w:rPr>
                    <w:t>所需数额（左边）</w:t>
                  </w:r>
                </w:p>
              </w:txbxContent>
            </v:textbox>
          </v:shape>
        </w:pict>
      </w:r>
      <w:r>
        <w:rPr>
          <w:noProof/>
          <w:lang w:val="en-US"/>
        </w:rPr>
        <w:pict>
          <v:shape id="_x0000_s1033" type="#_x0000_t202" style="position:absolute;left:0;text-align:left;margin-left:284.05pt;margin-top:135.05pt;width:68.75pt;height:142.7pt;z-index:251659264" strokecolor="white">
            <v:textbox style="mso-fit-shape-to-text:t">
              <w:txbxContent>
                <w:p w:rsidR="005E3082" w:rsidRPr="00EC51CF" w:rsidRDefault="005E3082" w:rsidP="00EC51CF">
                  <w:pPr>
                    <w:rPr>
                      <w:sz w:val="11"/>
                      <w:szCs w:val="11"/>
                      <w:lang w:bidi="th-TH"/>
                    </w:rPr>
                  </w:pPr>
                  <w:r>
                    <w:rPr>
                      <w:rFonts w:hint="eastAsia"/>
                      <w:sz w:val="11"/>
                      <w:szCs w:val="11"/>
                      <w:lang w:bidi="th-TH"/>
                    </w:rPr>
                    <w:t>拨款数额（右边）</w:t>
                  </w:r>
                </w:p>
              </w:txbxContent>
            </v:textbox>
          </v:shape>
        </w:pict>
      </w:r>
      <w:r>
        <w:rPr>
          <w:noProof/>
          <w:lang w:val="en-US"/>
        </w:rPr>
        <w:pict>
          <v:shape id="_x0000_s1034" type="#_x0000_t202" style="position:absolute;left:0;text-align:left;margin-left:172pt;margin-top:32pt;width:59.8pt;height:94.15pt;z-index:251657216" strokecolor="white">
            <v:textbox>
              <w:txbxContent>
                <w:p w:rsidR="005E3082" w:rsidRDefault="005E3082" w:rsidP="00C06FF8">
                  <w:pPr>
                    <w:spacing w:afterLines="15" w:after="36"/>
                    <w:rPr>
                      <w:sz w:val="11"/>
                      <w:szCs w:val="11"/>
                      <w:lang w:bidi="th-TH"/>
                    </w:rPr>
                  </w:pPr>
                  <w:r>
                    <w:rPr>
                      <w:rFonts w:hint="eastAsia"/>
                      <w:sz w:val="11"/>
                      <w:szCs w:val="11"/>
                      <w:lang w:bidi="th-TH"/>
                    </w:rPr>
                    <w:t>捐助国的难民</w:t>
                  </w:r>
                </w:p>
                <w:p w:rsidR="005E3082" w:rsidRDefault="005E3082" w:rsidP="00C06FF8">
                  <w:pPr>
                    <w:spacing w:afterLines="15" w:after="36"/>
                    <w:rPr>
                      <w:sz w:val="11"/>
                      <w:szCs w:val="11"/>
                      <w:lang w:bidi="th-TH"/>
                    </w:rPr>
                  </w:pPr>
                  <w:r>
                    <w:rPr>
                      <w:rFonts w:hint="eastAsia"/>
                      <w:sz w:val="11"/>
                      <w:szCs w:val="11"/>
                      <w:lang w:bidi="th-TH"/>
                    </w:rPr>
                    <w:t>人道主义援助</w:t>
                  </w:r>
                </w:p>
                <w:p w:rsidR="005E3082" w:rsidRDefault="005E3082" w:rsidP="00C06FF8">
                  <w:pPr>
                    <w:spacing w:afterLines="15" w:after="36"/>
                    <w:rPr>
                      <w:sz w:val="11"/>
                      <w:szCs w:val="11"/>
                      <w:lang w:bidi="th-TH"/>
                    </w:rPr>
                  </w:pPr>
                  <w:r>
                    <w:rPr>
                      <w:rFonts w:hint="eastAsia"/>
                      <w:sz w:val="11"/>
                      <w:szCs w:val="11"/>
                      <w:lang w:bidi="th-TH"/>
                    </w:rPr>
                    <w:t>其他</w:t>
                  </w:r>
                </w:p>
                <w:p w:rsidR="005E3082" w:rsidRDefault="005E3082" w:rsidP="00C06FF8">
                  <w:pPr>
                    <w:spacing w:afterLines="15" w:after="36"/>
                    <w:rPr>
                      <w:sz w:val="11"/>
                      <w:szCs w:val="11"/>
                      <w:lang w:bidi="th-TH"/>
                    </w:rPr>
                  </w:pPr>
                  <w:r>
                    <w:rPr>
                      <w:rFonts w:hint="eastAsia"/>
                      <w:sz w:val="11"/>
                      <w:szCs w:val="11"/>
                      <w:lang w:bidi="th-TH"/>
                    </w:rPr>
                    <w:t>生产部门</w:t>
                  </w:r>
                </w:p>
                <w:p w:rsidR="005E3082" w:rsidRDefault="005E3082" w:rsidP="00C06FF8">
                  <w:pPr>
                    <w:spacing w:afterLines="10" w:after="24"/>
                    <w:rPr>
                      <w:sz w:val="11"/>
                      <w:szCs w:val="11"/>
                      <w:lang w:bidi="th-TH"/>
                    </w:rPr>
                  </w:pPr>
                  <w:r>
                    <w:rPr>
                      <w:rFonts w:hint="eastAsia"/>
                      <w:sz w:val="11"/>
                      <w:szCs w:val="11"/>
                      <w:lang w:bidi="th-TH"/>
                    </w:rPr>
                    <w:t>经济设施和服务</w:t>
                  </w:r>
                </w:p>
                <w:p w:rsidR="005E3082" w:rsidRDefault="005E3082" w:rsidP="001D7D8A">
                  <w:pPr>
                    <w:rPr>
                      <w:sz w:val="11"/>
                      <w:szCs w:val="11"/>
                      <w:lang w:bidi="th-TH"/>
                    </w:rPr>
                  </w:pPr>
                </w:p>
                <w:p w:rsidR="005E3082" w:rsidRDefault="005E3082" w:rsidP="00C06FF8">
                  <w:pPr>
                    <w:spacing w:afterLines="20" w:after="48"/>
                    <w:rPr>
                      <w:sz w:val="11"/>
                      <w:szCs w:val="11"/>
                      <w:lang w:bidi="th-TH"/>
                    </w:rPr>
                  </w:pPr>
                  <w:r>
                    <w:rPr>
                      <w:rFonts w:hint="eastAsia"/>
                      <w:sz w:val="11"/>
                      <w:szCs w:val="11"/>
                      <w:lang w:bidi="th-TH"/>
                    </w:rPr>
                    <w:t>社会部门</w:t>
                  </w:r>
                </w:p>
                <w:p w:rsidR="005E3082" w:rsidRDefault="005E3082" w:rsidP="00C06FF8">
                  <w:pPr>
                    <w:spacing w:afterLines="20" w:after="48"/>
                    <w:rPr>
                      <w:sz w:val="11"/>
                      <w:szCs w:val="11"/>
                      <w:lang w:bidi="th-TH"/>
                    </w:rPr>
                  </w:pPr>
                  <w:r>
                    <w:rPr>
                      <w:rFonts w:hint="eastAsia"/>
                      <w:sz w:val="11"/>
                      <w:szCs w:val="11"/>
                      <w:lang w:bidi="th-TH"/>
                    </w:rPr>
                    <w:t>其中：教育</w:t>
                  </w:r>
                </w:p>
                <w:p w:rsidR="005E3082" w:rsidRPr="001D7D8A" w:rsidRDefault="005E3082" w:rsidP="00C06FF8">
                  <w:pPr>
                    <w:spacing w:afterLines="10" w:after="24"/>
                    <w:rPr>
                      <w:sz w:val="11"/>
                      <w:szCs w:val="11"/>
                      <w:lang w:bidi="th-TH"/>
                    </w:rPr>
                  </w:pPr>
                  <w:r>
                    <w:rPr>
                      <w:rFonts w:hint="eastAsia"/>
                      <w:sz w:val="11"/>
                      <w:szCs w:val="11"/>
                      <w:lang w:bidi="th-TH"/>
                    </w:rPr>
                    <w:t>其中：保健</w:t>
                  </w:r>
                </w:p>
              </w:txbxContent>
            </v:textbox>
          </v:shape>
        </w:pict>
      </w:r>
      <w:r>
        <w:rPr>
          <w:rFonts w:eastAsia="Times New Roman" w:cs="Times New Roman"/>
          <w:kern w:val="22"/>
          <w:sz w:val="24"/>
        </w:rPr>
        <w:pict>
          <v:shape id="_x0000_i1030" type="#_x0000_t75" style="width:219pt;height:140.25pt;visibility:visible">
            <v:imagedata r:id="rId15" o:title=""/>
          </v:shape>
        </w:pict>
      </w:r>
      <w:r w:rsidR="005E3082" w:rsidRPr="00977953">
        <w:rPr>
          <w:rFonts w:eastAsia="Times New Roman" w:cs="Times New Roman"/>
          <w:kern w:val="22"/>
          <w:sz w:val="24"/>
        </w:rPr>
        <w:t xml:space="preserve"> </w:t>
      </w:r>
      <w:r>
        <w:rPr>
          <w:rFonts w:eastAsia="Times New Roman" w:cs="Times New Roman"/>
          <w:kern w:val="22"/>
          <w:sz w:val="24"/>
        </w:rPr>
        <w:pict>
          <v:shape id="_x0000_i1031" type="#_x0000_t75" style="width:225.75pt;height:141pt;visibility:visible">
            <v:imagedata r:id="rId16" o:title=""/>
          </v:shape>
        </w:pict>
      </w: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kern w:val="22"/>
          <w:sz w:val="24"/>
        </w:rPr>
      </w:pPr>
      <w:r w:rsidRPr="00844A98">
        <w:rPr>
          <w:rFonts w:cs="Times New Roman" w:hint="eastAsia"/>
          <w:bCs w:val="0"/>
          <w:iCs w:val="0"/>
          <w:kern w:val="22"/>
          <w:sz w:val="24"/>
          <w:lang w:val="zh-CN"/>
        </w:rPr>
        <w:t>新的发展伙伴</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kern w:val="22"/>
          <w:sz w:val="24"/>
          <w:szCs w:val="24"/>
        </w:rPr>
      </w:pPr>
      <w:r w:rsidRPr="00977953">
        <w:rPr>
          <w:rFonts w:cs="Times New Roman" w:hint="eastAsia"/>
          <w:sz w:val="24"/>
          <w:szCs w:val="24"/>
          <w:lang w:val="zh-CN"/>
        </w:rPr>
        <w:t>联合国经济和社会事务部的估计数字表明</w:t>
      </w:r>
      <w:r w:rsidRPr="00977953">
        <w:rPr>
          <w:rFonts w:cs="Times New Roman" w:hint="eastAsia"/>
          <w:sz w:val="24"/>
          <w:szCs w:val="24"/>
          <w:lang w:val="en-US"/>
        </w:rPr>
        <w:t>，</w:t>
      </w:r>
      <w:r w:rsidRPr="00977953">
        <w:rPr>
          <w:rFonts w:cs="Times New Roman" w:hint="eastAsia"/>
          <w:sz w:val="24"/>
          <w:szCs w:val="24"/>
          <w:lang w:val="zh-CN"/>
        </w:rPr>
        <w:t>鉴于发展中国家为发展目的提供的官方优惠资源</w:t>
      </w:r>
      <w:r w:rsidRPr="00977953">
        <w:rPr>
          <w:rFonts w:cs="Times New Roman" w:hint="eastAsia"/>
          <w:sz w:val="24"/>
          <w:szCs w:val="24"/>
          <w:lang w:val="en-US"/>
        </w:rPr>
        <w:t>（</w:t>
      </w:r>
      <w:r w:rsidRPr="00977953">
        <w:rPr>
          <w:rFonts w:cs="Times New Roman" w:hint="eastAsia"/>
          <w:sz w:val="24"/>
          <w:szCs w:val="24"/>
          <w:lang w:val="zh-CN"/>
        </w:rPr>
        <w:t>优惠贷款和赠款、债务减免和技术合作</w:t>
      </w:r>
      <w:r w:rsidRPr="00977953">
        <w:rPr>
          <w:rFonts w:cs="Times New Roman" w:hint="eastAsia"/>
          <w:sz w:val="24"/>
          <w:szCs w:val="24"/>
          <w:lang w:val="en-US"/>
        </w:rPr>
        <w:t>），</w:t>
      </w:r>
      <w:r w:rsidRPr="00977953">
        <w:rPr>
          <w:rFonts w:cs="Times New Roman" w:hint="eastAsia"/>
          <w:sz w:val="24"/>
          <w:szCs w:val="24"/>
          <w:lang w:val="zh-CN"/>
        </w:rPr>
        <w:t>南南发展合作的财务部分在</w:t>
      </w:r>
      <w:r w:rsidRPr="00977953">
        <w:rPr>
          <w:rFonts w:cs="Times New Roman"/>
          <w:sz w:val="24"/>
          <w:szCs w:val="24"/>
          <w:lang w:val="en-US"/>
        </w:rPr>
        <w:t>2015</w:t>
      </w:r>
      <w:r w:rsidRPr="00977953">
        <w:rPr>
          <w:rFonts w:cs="Times New Roman" w:hint="eastAsia"/>
          <w:sz w:val="24"/>
          <w:szCs w:val="24"/>
          <w:lang w:val="zh-CN"/>
        </w:rPr>
        <w:t>年可能已经增长到</w:t>
      </w:r>
      <w:r w:rsidRPr="00977953">
        <w:rPr>
          <w:rFonts w:cs="Times New Roman"/>
          <w:sz w:val="24"/>
          <w:szCs w:val="24"/>
          <w:lang w:val="en-US"/>
        </w:rPr>
        <w:t>260</w:t>
      </w:r>
      <w:r w:rsidRPr="00977953">
        <w:rPr>
          <w:rFonts w:cs="Times New Roman" w:hint="eastAsia"/>
          <w:sz w:val="24"/>
          <w:szCs w:val="24"/>
          <w:lang w:val="zh-CN"/>
        </w:rPr>
        <w:t>亿美元。如下图所示，南方合作伙伴对联合国业务活动的非核心外部捐款比</w:t>
      </w:r>
      <w:r w:rsidRPr="00977953">
        <w:rPr>
          <w:rFonts w:cs="Times New Roman"/>
          <w:sz w:val="24"/>
          <w:szCs w:val="24"/>
          <w:lang w:val="zh-CN"/>
        </w:rPr>
        <w:t>2010-2016</w:t>
      </w:r>
      <w:r w:rsidRPr="00977953">
        <w:rPr>
          <w:rFonts w:cs="Times New Roman" w:hint="eastAsia"/>
          <w:sz w:val="24"/>
          <w:szCs w:val="24"/>
          <w:lang w:val="zh-CN"/>
        </w:rPr>
        <w:t>年远多于一倍多。</w:t>
      </w:r>
    </w:p>
    <w:p w:rsidR="005E3082" w:rsidRPr="00977953" w:rsidRDefault="00AA0A55">
      <w:pPr>
        <w:suppressLineNumbers/>
        <w:suppressAutoHyphens/>
        <w:adjustRightInd w:val="0"/>
        <w:snapToGrid w:val="0"/>
        <w:spacing w:after="120"/>
        <w:jc w:val="left"/>
        <w:rPr>
          <w:rFonts w:eastAsia="Times New Roman" w:cs="Times New Roman"/>
          <w:color w:val="000000"/>
          <w:kern w:val="22"/>
          <w:sz w:val="24"/>
        </w:rPr>
      </w:pPr>
      <w:r>
        <w:rPr>
          <w:noProof/>
          <w:lang w:val="en-US"/>
        </w:rPr>
        <w:pict>
          <v:shape id="_x0000_s1035" type="#_x0000_t202" style="position:absolute;margin-left:70.5pt;margin-top:17.9pt;width:323.65pt;height:27.7pt;z-index:251660288" strokecolor="white">
            <v:textbox>
              <w:txbxContent>
                <w:p w:rsidR="005E3082" w:rsidRDefault="005E3082">
                  <w:pPr>
                    <w:rPr>
                      <w:sz w:val="15"/>
                      <w:szCs w:val="15"/>
                      <w:lang w:bidi="th-TH"/>
                    </w:rPr>
                  </w:pPr>
                  <w:r>
                    <w:rPr>
                      <w:rFonts w:hint="eastAsia"/>
                      <w:sz w:val="15"/>
                      <w:szCs w:val="15"/>
                      <w:lang w:bidi="th-TH"/>
                    </w:rPr>
                    <w:t>南方合作伙伴以</w:t>
                  </w:r>
                  <w:r w:rsidRPr="00973545">
                    <w:rPr>
                      <w:rFonts w:hint="eastAsia"/>
                      <w:sz w:val="15"/>
                      <w:szCs w:val="15"/>
                      <w:lang w:bidi="th-TH"/>
                    </w:rPr>
                    <w:t>资金类别</w:t>
                  </w:r>
                  <w:r>
                    <w:rPr>
                      <w:rFonts w:hint="eastAsia"/>
                      <w:sz w:val="15"/>
                      <w:szCs w:val="15"/>
                      <w:lang w:bidi="th-TH"/>
                    </w:rPr>
                    <w:t>开列的对联合国发展业务活动的捐助，</w:t>
                  </w:r>
                  <w:r>
                    <w:rPr>
                      <w:sz w:val="15"/>
                      <w:szCs w:val="15"/>
                      <w:lang w:bidi="th-TH"/>
                    </w:rPr>
                    <w:t>2011-2016</w:t>
                  </w:r>
                  <w:r>
                    <w:rPr>
                      <w:rFonts w:hint="eastAsia"/>
                      <w:sz w:val="15"/>
                      <w:szCs w:val="15"/>
                      <w:lang w:bidi="th-TH"/>
                    </w:rPr>
                    <w:t>年</w:t>
                  </w:r>
                </w:p>
                <w:p w:rsidR="005E3082" w:rsidRPr="00973545" w:rsidRDefault="005E3082">
                  <w:pPr>
                    <w:rPr>
                      <w:sz w:val="15"/>
                      <w:szCs w:val="15"/>
                      <w:lang w:bidi="th-TH"/>
                    </w:rPr>
                  </w:pPr>
                  <w:r>
                    <w:rPr>
                      <w:rFonts w:hint="eastAsia"/>
                      <w:sz w:val="15"/>
                      <w:szCs w:val="15"/>
                      <w:lang w:bidi="th-TH"/>
                    </w:rPr>
                    <w:t>（以</w:t>
                  </w:r>
                  <w:r>
                    <w:rPr>
                      <w:sz w:val="15"/>
                      <w:szCs w:val="15"/>
                      <w:lang w:bidi="th-TH"/>
                    </w:rPr>
                    <w:t>10</w:t>
                  </w:r>
                  <w:r>
                    <w:rPr>
                      <w:rFonts w:hint="eastAsia"/>
                      <w:sz w:val="15"/>
                      <w:szCs w:val="15"/>
                      <w:lang w:bidi="th-TH"/>
                    </w:rPr>
                    <w:t>以美元计）</w:t>
                  </w:r>
                </w:p>
              </w:txbxContent>
            </v:textbox>
          </v:shape>
        </w:pict>
      </w:r>
    </w:p>
    <w:p w:rsidR="005E3082" w:rsidRPr="00977953" w:rsidRDefault="00AA0A55">
      <w:pPr>
        <w:suppressLineNumbers/>
        <w:suppressAutoHyphens/>
        <w:adjustRightInd w:val="0"/>
        <w:snapToGrid w:val="0"/>
        <w:spacing w:after="120"/>
        <w:jc w:val="center"/>
        <w:rPr>
          <w:rFonts w:eastAsia="Times New Roman" w:cs="Times New Roman"/>
          <w:kern w:val="22"/>
          <w:sz w:val="24"/>
        </w:rPr>
      </w:pPr>
      <w:r>
        <w:rPr>
          <w:noProof/>
          <w:lang w:val="en-US"/>
        </w:rPr>
        <w:pict>
          <v:shape id="_x0000_s1036" type="#_x0000_t202" style="position:absolute;left:0;text-align:left;margin-left:312.4pt;margin-top:180.15pt;width:16.5pt;height:8.5pt;z-index:251664384" stroked="f">
            <v:textbox inset="0,0,0,0">
              <w:txbxContent>
                <w:p w:rsidR="005E3082" w:rsidRPr="00B43B2B" w:rsidRDefault="005E3082" w:rsidP="00B43B2B">
                  <w:pPr>
                    <w:rPr>
                      <w:sz w:val="11"/>
                      <w:szCs w:val="11"/>
                      <w:lang w:bidi="th-TH"/>
                    </w:rPr>
                  </w:pPr>
                  <w:r>
                    <w:rPr>
                      <w:rFonts w:hint="eastAsia"/>
                      <w:sz w:val="11"/>
                      <w:szCs w:val="11"/>
                      <w:lang w:bidi="th-TH"/>
                    </w:rPr>
                    <w:t>共计</w:t>
                  </w:r>
                </w:p>
              </w:txbxContent>
            </v:textbox>
          </v:shape>
        </w:pict>
      </w:r>
      <w:r>
        <w:rPr>
          <w:noProof/>
          <w:lang w:val="en-US"/>
        </w:rPr>
        <w:pict>
          <v:shape id="_x0000_s1037" type="#_x0000_t202" style="position:absolute;left:0;text-align:left;margin-left:249.55pt;margin-top:180.15pt;width:46.35pt;height:12pt;z-index:251663360" stroked="f">
            <v:textbox inset="0,0,0,0">
              <w:txbxContent>
                <w:p w:rsidR="005E3082" w:rsidRPr="00B43B2B" w:rsidRDefault="005E3082" w:rsidP="00B43B2B">
                  <w:pPr>
                    <w:rPr>
                      <w:sz w:val="11"/>
                      <w:szCs w:val="11"/>
                      <w:lang w:bidi="th-TH"/>
                    </w:rPr>
                  </w:pPr>
                  <w:r>
                    <w:rPr>
                      <w:rFonts w:hint="eastAsia"/>
                      <w:sz w:val="11"/>
                      <w:szCs w:val="11"/>
                      <w:lang w:bidi="th-TH"/>
                    </w:rPr>
                    <w:t>非核心：外部</w:t>
                  </w:r>
                </w:p>
              </w:txbxContent>
            </v:textbox>
          </v:shape>
        </w:pict>
      </w:r>
      <w:r>
        <w:rPr>
          <w:noProof/>
          <w:lang w:val="en-US"/>
        </w:rPr>
        <w:pict>
          <v:shape id="_x0000_s1038" type="#_x0000_t202" style="position:absolute;left:0;text-align:left;margin-left:194.2pt;margin-top:180.15pt;width:37.6pt;height:12pt;z-index:251662336" stroked="f">
            <v:textbox inset="0,0,0,0">
              <w:txbxContent>
                <w:p w:rsidR="005E3082" w:rsidRPr="00B43B2B" w:rsidRDefault="005E3082" w:rsidP="00B43B2B">
                  <w:pPr>
                    <w:rPr>
                      <w:sz w:val="11"/>
                      <w:szCs w:val="11"/>
                      <w:lang w:bidi="th-TH"/>
                    </w:rPr>
                  </w:pPr>
                  <w:r>
                    <w:rPr>
                      <w:rFonts w:hint="eastAsia"/>
                      <w:sz w:val="11"/>
                      <w:szCs w:val="11"/>
                      <w:lang w:bidi="th-TH"/>
                    </w:rPr>
                    <w:t>非核心：本地</w:t>
                  </w:r>
                </w:p>
              </w:txbxContent>
            </v:textbox>
          </v:shape>
        </w:pict>
      </w:r>
      <w:r>
        <w:rPr>
          <w:noProof/>
          <w:lang w:val="en-US"/>
        </w:rPr>
        <w:pict>
          <v:shape id="_x0000_s1039" type="#_x0000_t202" style="position:absolute;left:0;text-align:left;margin-left:163.65pt;margin-top:180.15pt;width:16.5pt;height:8.5pt;z-index:251661312" strokecolor="white">
            <v:textbox inset="0,0,0,0">
              <w:txbxContent>
                <w:p w:rsidR="005E3082" w:rsidRPr="00B43B2B" w:rsidRDefault="005E3082">
                  <w:pPr>
                    <w:rPr>
                      <w:sz w:val="11"/>
                      <w:szCs w:val="11"/>
                      <w:lang w:bidi="th-TH"/>
                    </w:rPr>
                  </w:pPr>
                  <w:r>
                    <w:rPr>
                      <w:rFonts w:hint="eastAsia"/>
                      <w:sz w:val="11"/>
                      <w:szCs w:val="11"/>
                      <w:lang w:bidi="th-TH"/>
                    </w:rPr>
                    <w:t>核心</w:t>
                  </w:r>
                </w:p>
              </w:txbxContent>
            </v:textbox>
          </v:shape>
        </w:pict>
      </w:r>
      <w:r>
        <w:rPr>
          <w:rFonts w:eastAsia="Times New Roman" w:cs="Times New Roman"/>
          <w:kern w:val="22"/>
          <w:sz w:val="24"/>
        </w:rPr>
        <w:pict>
          <v:shape id="_x0000_i1032" type="#_x0000_t75" style="width:325.5pt;height:187.5pt;visibility:visible">
            <v:imagedata r:id="rId17" o:title=""/>
          </v:shape>
        </w:pict>
      </w:r>
    </w:p>
    <w:p w:rsidR="005E3082" w:rsidRDefault="005E3082">
      <w:pPr>
        <w:pStyle w:val="Heading2"/>
        <w:keepNext w:val="0"/>
        <w:suppressLineNumbers/>
        <w:suppressAutoHyphens/>
        <w:adjustRightInd w:val="0"/>
        <w:snapToGrid w:val="0"/>
        <w:rPr>
          <w:rFonts w:cs="Times New Roman"/>
          <w:b w:val="0"/>
          <w:bCs w:val="0"/>
          <w:iCs w:val="0"/>
          <w:noProof/>
          <w:kern w:val="22"/>
          <w:sz w:val="24"/>
        </w:rPr>
      </w:pPr>
    </w:p>
    <w:p w:rsidR="005E3082" w:rsidRDefault="005E3082">
      <w:pPr>
        <w:pStyle w:val="Heading2"/>
        <w:keepNext w:val="0"/>
        <w:suppressLineNumbers/>
        <w:suppressAutoHyphens/>
        <w:adjustRightInd w:val="0"/>
        <w:snapToGrid w:val="0"/>
        <w:rPr>
          <w:rFonts w:cs="Times New Roman"/>
          <w:b w:val="0"/>
          <w:bCs w:val="0"/>
          <w:iCs w:val="0"/>
          <w:noProof/>
          <w:kern w:val="22"/>
          <w:sz w:val="24"/>
        </w:rPr>
      </w:pPr>
    </w:p>
    <w:p w:rsidR="005E3082" w:rsidRDefault="005E3082">
      <w:pPr>
        <w:pStyle w:val="Heading2"/>
        <w:keepNext w:val="0"/>
        <w:suppressLineNumbers/>
        <w:suppressAutoHyphens/>
        <w:adjustRightInd w:val="0"/>
        <w:snapToGrid w:val="0"/>
        <w:rPr>
          <w:rFonts w:cs="Times New Roman"/>
          <w:b w:val="0"/>
          <w:bCs w:val="0"/>
          <w:iCs w:val="0"/>
          <w:noProof/>
          <w:kern w:val="22"/>
          <w:sz w:val="24"/>
        </w:rPr>
      </w:pPr>
    </w:p>
    <w:p w:rsidR="00681251" w:rsidRDefault="00681251">
      <w:pPr>
        <w:pStyle w:val="Heading2"/>
        <w:keepNext w:val="0"/>
        <w:suppressLineNumbers/>
        <w:suppressAutoHyphens/>
        <w:adjustRightInd w:val="0"/>
        <w:snapToGrid w:val="0"/>
        <w:rPr>
          <w:rFonts w:cs="Times New Roman"/>
          <w:b w:val="0"/>
          <w:bCs w:val="0"/>
          <w:iCs w:val="0"/>
          <w:noProof/>
          <w:kern w:val="22"/>
          <w:sz w:val="24"/>
        </w:rPr>
      </w:pPr>
    </w:p>
    <w:p w:rsidR="00681251" w:rsidRDefault="00681251">
      <w:pPr>
        <w:pStyle w:val="Heading2"/>
        <w:keepNext w:val="0"/>
        <w:suppressLineNumbers/>
        <w:suppressAutoHyphens/>
        <w:adjustRightInd w:val="0"/>
        <w:snapToGrid w:val="0"/>
        <w:rPr>
          <w:rFonts w:cs="Times New Roman"/>
          <w:b w:val="0"/>
          <w:bCs w:val="0"/>
          <w:iCs w:val="0"/>
          <w:noProof/>
          <w:kern w:val="22"/>
          <w:sz w:val="24"/>
        </w:rPr>
      </w:pPr>
    </w:p>
    <w:p w:rsidR="005E3082" w:rsidRDefault="005E3082">
      <w:pPr>
        <w:pStyle w:val="Heading2"/>
        <w:keepNext w:val="0"/>
        <w:suppressLineNumbers/>
        <w:suppressAutoHyphens/>
        <w:adjustRightInd w:val="0"/>
        <w:snapToGrid w:val="0"/>
        <w:rPr>
          <w:rFonts w:cs="Times New Roman"/>
          <w:b w:val="0"/>
          <w:bCs w:val="0"/>
          <w:iCs w:val="0"/>
          <w:noProof/>
          <w:kern w:val="22"/>
          <w:sz w:val="24"/>
        </w:rPr>
      </w:pP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kern w:val="22"/>
          <w:sz w:val="24"/>
        </w:rPr>
      </w:pPr>
      <w:r w:rsidRPr="00844A98">
        <w:rPr>
          <w:rFonts w:cs="Times New Roman" w:hint="eastAsia"/>
          <w:bCs w:val="0"/>
          <w:iCs w:val="0"/>
          <w:kern w:val="22"/>
          <w:sz w:val="24"/>
          <w:lang w:val="zh-CN"/>
        </w:rPr>
        <w:lastRenderedPageBreak/>
        <w:t>慈善事业</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t>随着过去</w:t>
      </w:r>
      <w:r w:rsidRPr="00977953">
        <w:rPr>
          <w:rFonts w:cs="Times New Roman"/>
          <w:sz w:val="24"/>
          <w:szCs w:val="24"/>
        </w:rPr>
        <w:t>15</w:t>
      </w:r>
      <w:r w:rsidRPr="00977953">
        <w:rPr>
          <w:rFonts w:cs="Times New Roman" w:hint="eastAsia"/>
          <w:sz w:val="24"/>
          <w:szCs w:val="24"/>
          <w:lang w:val="zh-CN"/>
        </w:rPr>
        <w:t>年财富不断增多</w:t>
      </w:r>
      <w:r w:rsidRPr="00977953">
        <w:rPr>
          <w:rFonts w:cs="Times New Roman" w:hint="eastAsia"/>
          <w:sz w:val="24"/>
          <w:szCs w:val="24"/>
        </w:rPr>
        <w:t>，</w:t>
      </w:r>
      <w:r w:rsidRPr="00977953">
        <w:rPr>
          <w:rFonts w:cs="Times New Roman" w:hint="eastAsia"/>
          <w:sz w:val="24"/>
          <w:szCs w:val="24"/>
          <w:lang w:val="zh-CN"/>
        </w:rPr>
        <w:t>世界各地的慈善捐助和推动发展的基金会数量不断增加。捐助国提供给发展中国家的慈善捐助已增至</w:t>
      </w:r>
      <w:r w:rsidRPr="00977953">
        <w:rPr>
          <w:rFonts w:cs="Times New Roman"/>
          <w:sz w:val="24"/>
          <w:szCs w:val="24"/>
          <w:lang w:val="en-US"/>
        </w:rPr>
        <w:t>640</w:t>
      </w:r>
      <w:r w:rsidRPr="00977953">
        <w:rPr>
          <w:rFonts w:cs="Times New Roman" w:hint="eastAsia"/>
          <w:sz w:val="24"/>
          <w:szCs w:val="24"/>
          <w:lang w:val="zh-CN"/>
        </w:rPr>
        <w:t>亿美元</w:t>
      </w:r>
      <w:r w:rsidRPr="00977953">
        <w:rPr>
          <w:rStyle w:val="FootnoteReference"/>
          <w:kern w:val="22"/>
          <w:sz w:val="24"/>
          <w:szCs w:val="24"/>
          <w:lang w:val="zh-CN"/>
        </w:rPr>
        <w:footnoteReference w:id="8"/>
      </w:r>
      <w:r w:rsidRPr="00977953">
        <w:rPr>
          <w:rFonts w:cs="Times New Roman" w:hint="eastAsia"/>
          <w:sz w:val="24"/>
          <w:szCs w:val="24"/>
          <w:lang w:val="zh-CN"/>
        </w:rPr>
        <w:t>。在发展中国家的慈善基金会在很大程度上都在国内运作。国内慈善资金在土耳其占</w:t>
      </w:r>
      <w:r w:rsidRPr="00977953">
        <w:rPr>
          <w:rFonts w:cs="Times New Roman"/>
          <w:sz w:val="24"/>
          <w:szCs w:val="24"/>
          <w:lang w:val="zh-CN"/>
        </w:rPr>
        <w:t>83</w:t>
      </w:r>
      <w:r w:rsidRPr="00977953">
        <w:rPr>
          <w:rFonts w:cs="Times New Roman" w:hint="eastAsia"/>
          <w:sz w:val="24"/>
          <w:szCs w:val="24"/>
          <w:lang w:val="zh-CN"/>
        </w:rPr>
        <w:t>％，墨西哥占</w:t>
      </w:r>
      <w:r w:rsidRPr="00977953">
        <w:rPr>
          <w:rFonts w:cs="Times New Roman"/>
          <w:sz w:val="24"/>
          <w:szCs w:val="24"/>
          <w:lang w:val="zh-CN"/>
        </w:rPr>
        <w:t>60</w:t>
      </w:r>
      <w:r w:rsidRPr="00977953">
        <w:rPr>
          <w:rFonts w:cs="Times New Roman" w:hint="eastAsia"/>
          <w:sz w:val="24"/>
          <w:szCs w:val="24"/>
          <w:lang w:val="zh-CN"/>
        </w:rPr>
        <w:t>％，中国占</w:t>
      </w:r>
      <w:r w:rsidRPr="00977953">
        <w:rPr>
          <w:rFonts w:cs="Times New Roman"/>
          <w:sz w:val="24"/>
          <w:szCs w:val="24"/>
          <w:lang w:val="zh-CN"/>
        </w:rPr>
        <w:t>35</w:t>
      </w:r>
      <w:r w:rsidRPr="00977953">
        <w:rPr>
          <w:rFonts w:cs="Times New Roman" w:hint="eastAsia"/>
          <w:sz w:val="24"/>
          <w:szCs w:val="24"/>
          <w:lang w:val="zh-CN"/>
        </w:rPr>
        <w:t>％。中国境内的基金会从</w:t>
      </w:r>
      <w:r w:rsidRPr="00977953">
        <w:rPr>
          <w:rFonts w:cs="Times New Roman"/>
          <w:sz w:val="24"/>
          <w:szCs w:val="24"/>
          <w:lang w:val="zh-CN"/>
        </w:rPr>
        <w:t>2012</w:t>
      </w:r>
      <w:r w:rsidRPr="00977953">
        <w:rPr>
          <w:rFonts w:cs="Times New Roman" w:hint="eastAsia"/>
          <w:sz w:val="24"/>
          <w:szCs w:val="24"/>
          <w:lang w:val="zh-CN"/>
        </w:rPr>
        <w:t>年不到</w:t>
      </w:r>
      <w:r w:rsidRPr="00977953">
        <w:rPr>
          <w:rFonts w:cs="Times New Roman"/>
          <w:sz w:val="24"/>
          <w:szCs w:val="24"/>
          <w:lang w:val="zh-CN"/>
        </w:rPr>
        <w:t>200</w:t>
      </w:r>
      <w:r w:rsidRPr="00977953">
        <w:rPr>
          <w:rFonts w:cs="Times New Roman" w:hint="eastAsia"/>
          <w:sz w:val="24"/>
          <w:szCs w:val="24"/>
          <w:lang w:val="zh-CN"/>
        </w:rPr>
        <w:t>个增加到</w:t>
      </w:r>
      <w:r w:rsidRPr="00977953">
        <w:rPr>
          <w:rFonts w:cs="Times New Roman"/>
          <w:sz w:val="24"/>
          <w:szCs w:val="24"/>
          <w:lang w:val="zh-CN"/>
        </w:rPr>
        <w:t>2016</w:t>
      </w:r>
      <w:r w:rsidRPr="00977953">
        <w:rPr>
          <w:rFonts w:cs="Times New Roman" w:hint="eastAsia"/>
          <w:sz w:val="24"/>
          <w:szCs w:val="24"/>
          <w:lang w:val="zh-CN"/>
        </w:rPr>
        <w:t>年</w:t>
      </w:r>
      <w:r w:rsidRPr="00977953">
        <w:rPr>
          <w:rFonts w:cs="Times New Roman"/>
          <w:sz w:val="24"/>
          <w:szCs w:val="24"/>
          <w:lang w:val="zh-CN"/>
        </w:rPr>
        <w:t>5,454</w:t>
      </w:r>
      <w:r w:rsidRPr="00977953">
        <w:rPr>
          <w:rFonts w:cs="Times New Roman" w:hint="eastAsia"/>
          <w:sz w:val="24"/>
          <w:szCs w:val="24"/>
          <w:lang w:val="zh-CN"/>
        </w:rPr>
        <w:t>个，而中国前</w:t>
      </w:r>
      <w:r w:rsidRPr="00977953">
        <w:rPr>
          <w:rFonts w:cs="Times New Roman"/>
          <w:sz w:val="24"/>
          <w:szCs w:val="24"/>
          <w:lang w:val="zh-CN"/>
        </w:rPr>
        <w:t>75</w:t>
      </w:r>
      <w:r w:rsidRPr="00977953">
        <w:rPr>
          <w:rFonts w:cs="Times New Roman" w:hint="eastAsia"/>
          <w:sz w:val="24"/>
          <w:szCs w:val="24"/>
          <w:lang w:val="zh-CN"/>
        </w:rPr>
        <w:t>个基金会报告的总支出达到</w:t>
      </w:r>
      <w:r w:rsidRPr="00977953">
        <w:rPr>
          <w:rFonts w:cs="Times New Roman"/>
          <w:sz w:val="24"/>
          <w:szCs w:val="24"/>
          <w:lang w:val="zh-CN"/>
        </w:rPr>
        <w:t>28</w:t>
      </w:r>
      <w:r w:rsidRPr="00977953">
        <w:rPr>
          <w:rFonts w:cs="Times New Roman" w:hint="eastAsia"/>
          <w:sz w:val="24"/>
          <w:szCs w:val="24"/>
          <w:lang w:val="zh-CN"/>
        </w:rPr>
        <w:t>亿美元。</w:t>
      </w:r>
    </w:p>
    <w:p w:rsidR="005E3082" w:rsidRPr="00844A98" w:rsidRDefault="005E3082" w:rsidP="00844A98">
      <w:pPr>
        <w:pStyle w:val="Heading2"/>
        <w:keepNext w:val="0"/>
        <w:numPr>
          <w:ilvl w:val="0"/>
          <w:numId w:val="27"/>
        </w:numPr>
        <w:suppressLineNumbers/>
        <w:suppressAutoHyphens/>
        <w:adjustRightInd w:val="0"/>
        <w:snapToGrid w:val="0"/>
        <w:rPr>
          <w:rFonts w:cs="Times New Roman"/>
          <w:bCs w:val="0"/>
          <w:iCs w:val="0"/>
          <w:kern w:val="22"/>
          <w:sz w:val="24"/>
        </w:rPr>
      </w:pPr>
      <w:r w:rsidRPr="00844A98">
        <w:rPr>
          <w:rFonts w:cs="Times New Roman" w:hint="eastAsia"/>
          <w:bCs w:val="0"/>
          <w:iCs w:val="0"/>
          <w:kern w:val="22"/>
          <w:sz w:val="24"/>
          <w:lang w:val="zh-CN"/>
        </w:rPr>
        <w:t>结论</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sz w:val="24"/>
          <w:szCs w:val="24"/>
        </w:rPr>
      </w:pPr>
      <w:r w:rsidRPr="00977953">
        <w:rPr>
          <w:rFonts w:cs="Times New Roman" w:hint="eastAsia"/>
          <w:sz w:val="24"/>
          <w:szCs w:val="24"/>
          <w:lang w:val="zh-CN"/>
        </w:rPr>
        <w:t>目前为执行第</w:t>
      </w:r>
      <w:r w:rsidRPr="00977953">
        <w:rPr>
          <w:rFonts w:cs="Times New Roman"/>
          <w:sz w:val="24"/>
          <w:szCs w:val="24"/>
        </w:rPr>
        <w:t>21</w:t>
      </w:r>
      <w:r w:rsidRPr="00977953">
        <w:rPr>
          <w:rFonts w:cs="Times New Roman" w:hint="eastAsia"/>
          <w:sz w:val="24"/>
          <w:szCs w:val="24"/>
          <w:lang w:val="zh-CN"/>
        </w:rPr>
        <w:t>条对公约财务机制作出的安排在过去</w:t>
      </w:r>
      <w:r w:rsidRPr="00977953">
        <w:rPr>
          <w:rFonts w:cs="Times New Roman"/>
          <w:sz w:val="24"/>
          <w:szCs w:val="24"/>
        </w:rPr>
        <w:t>25</w:t>
      </w:r>
      <w:r w:rsidRPr="00977953">
        <w:rPr>
          <w:rFonts w:cs="Times New Roman" w:hint="eastAsia"/>
          <w:sz w:val="24"/>
          <w:szCs w:val="24"/>
          <w:lang w:val="zh-CN"/>
        </w:rPr>
        <w:t>年一直有助于为发展中国家缔约方和经济转型缔约方执行《公约》提供增支成本。虽然全环基金采用的办法可能会继续变化</w:t>
      </w:r>
      <w:r w:rsidRPr="00977953">
        <w:rPr>
          <w:rFonts w:cs="Times New Roman" w:hint="eastAsia"/>
          <w:sz w:val="24"/>
          <w:szCs w:val="24"/>
          <w:lang w:val="en-US"/>
        </w:rPr>
        <w:t>，</w:t>
      </w:r>
      <w:r w:rsidRPr="00977953">
        <w:rPr>
          <w:rFonts w:cs="Times New Roman" w:hint="eastAsia"/>
          <w:sz w:val="24"/>
          <w:szCs w:val="24"/>
          <w:lang w:val="zh-CN"/>
        </w:rPr>
        <w:t>但</w:t>
      </w:r>
      <w:r w:rsidRPr="00977953">
        <w:rPr>
          <w:rFonts w:cs="Times New Roman"/>
          <w:sz w:val="24"/>
          <w:szCs w:val="24"/>
          <w:lang w:val="en-US"/>
        </w:rPr>
        <w:t>2020</w:t>
      </w:r>
      <w:r w:rsidRPr="00977953">
        <w:rPr>
          <w:rFonts w:cs="Times New Roman" w:hint="eastAsia"/>
          <w:sz w:val="24"/>
          <w:szCs w:val="24"/>
          <w:lang w:val="zh-CN"/>
        </w:rPr>
        <w:t>年后执行《公约》第</w:t>
      </w:r>
      <w:r w:rsidRPr="00977953">
        <w:rPr>
          <w:rFonts w:cs="Times New Roman"/>
          <w:sz w:val="24"/>
          <w:szCs w:val="24"/>
          <w:lang w:val="en-US"/>
        </w:rPr>
        <w:t>21</w:t>
      </w:r>
      <w:r w:rsidRPr="00977953">
        <w:rPr>
          <w:rFonts w:cs="Times New Roman" w:hint="eastAsia"/>
          <w:sz w:val="24"/>
          <w:szCs w:val="24"/>
          <w:lang w:val="zh-CN"/>
        </w:rPr>
        <w:t>条的做法需要考虑到这些事态发展</w:t>
      </w:r>
      <w:r w:rsidRPr="00977953">
        <w:rPr>
          <w:rFonts w:cs="Times New Roman" w:hint="eastAsia"/>
          <w:sz w:val="24"/>
          <w:szCs w:val="24"/>
          <w:lang w:val="en-US"/>
        </w:rPr>
        <w:t>，</w:t>
      </w:r>
      <w:r w:rsidRPr="00977953">
        <w:rPr>
          <w:rFonts w:cs="Times New Roman" w:hint="eastAsia"/>
          <w:sz w:val="24"/>
          <w:szCs w:val="24"/>
          <w:lang w:val="zh-CN"/>
        </w:rPr>
        <w:t>以便获得全面执行《公约》所需的资金。在此同时</w:t>
      </w:r>
      <w:r w:rsidRPr="00977953">
        <w:rPr>
          <w:rFonts w:cs="Times New Roman" w:hint="eastAsia"/>
          <w:sz w:val="24"/>
          <w:szCs w:val="24"/>
          <w:lang w:val="en-US"/>
        </w:rPr>
        <w:t>，</w:t>
      </w:r>
      <w:r w:rsidRPr="00977953">
        <w:rPr>
          <w:rFonts w:cs="Times New Roman"/>
          <w:sz w:val="24"/>
          <w:szCs w:val="24"/>
          <w:lang w:val="en-US"/>
        </w:rPr>
        <w:t>2020</w:t>
      </w:r>
      <w:r w:rsidRPr="00977953">
        <w:rPr>
          <w:rFonts w:cs="Times New Roman" w:hint="eastAsia"/>
          <w:sz w:val="24"/>
          <w:szCs w:val="24"/>
          <w:lang w:val="zh-CN"/>
        </w:rPr>
        <w:t>年后执行《公约》第</w:t>
      </w:r>
      <w:r w:rsidRPr="00977953">
        <w:rPr>
          <w:rFonts w:cs="Times New Roman"/>
          <w:sz w:val="24"/>
          <w:szCs w:val="24"/>
          <w:lang w:val="en-US"/>
        </w:rPr>
        <w:t>21</w:t>
      </w:r>
      <w:r w:rsidRPr="00977953">
        <w:rPr>
          <w:rFonts w:cs="Times New Roman" w:hint="eastAsia"/>
          <w:sz w:val="24"/>
          <w:szCs w:val="24"/>
          <w:lang w:val="zh-CN"/>
        </w:rPr>
        <w:t>条的做法需要进一步配合广大的全球社会经济和金融环境</w:t>
      </w:r>
      <w:r w:rsidRPr="00977953">
        <w:rPr>
          <w:rFonts w:cs="Times New Roman" w:hint="eastAsia"/>
          <w:sz w:val="24"/>
          <w:szCs w:val="24"/>
          <w:lang w:val="en-US"/>
        </w:rPr>
        <w:t>，</w:t>
      </w:r>
      <w:r w:rsidRPr="00977953">
        <w:rPr>
          <w:rFonts w:cs="Times New Roman" w:hint="eastAsia"/>
          <w:sz w:val="24"/>
          <w:szCs w:val="24"/>
          <w:lang w:val="zh-CN"/>
        </w:rPr>
        <w:t>并与</w:t>
      </w:r>
      <w:r w:rsidRPr="00977953">
        <w:rPr>
          <w:rFonts w:cs="Times New Roman"/>
          <w:sz w:val="24"/>
          <w:szCs w:val="24"/>
          <w:lang w:val="en-US"/>
        </w:rPr>
        <w:t>2020</w:t>
      </w:r>
      <w:r w:rsidRPr="00977953">
        <w:rPr>
          <w:rFonts w:cs="Times New Roman" w:hint="eastAsia"/>
          <w:sz w:val="24"/>
          <w:szCs w:val="24"/>
          <w:lang w:val="zh-CN"/>
        </w:rPr>
        <w:t>年后执行《公约》及其《议定书》的资金需求和供资机会保持一致。</w:t>
      </w:r>
    </w:p>
    <w:p w:rsidR="005E3082" w:rsidRPr="00844A98" w:rsidRDefault="005E3082">
      <w:pPr>
        <w:pStyle w:val="Heading1"/>
        <w:suppressLineNumbers/>
        <w:suppressAutoHyphens/>
        <w:adjustRightInd w:val="0"/>
        <w:snapToGrid w:val="0"/>
        <w:spacing w:before="120"/>
        <w:rPr>
          <w:rFonts w:cs="Times New Roman"/>
          <w:sz w:val="24"/>
        </w:rPr>
      </w:pPr>
      <w:r w:rsidRPr="00844A98">
        <w:rPr>
          <w:rFonts w:cs="Times New Roman" w:hint="eastAsia"/>
          <w:caps w:val="0"/>
          <w:kern w:val="22"/>
          <w:sz w:val="24"/>
          <w:lang w:val="zh-CN"/>
        </w:rPr>
        <w:t>六</w:t>
      </w:r>
      <w:r w:rsidRPr="00844A98">
        <w:rPr>
          <w:rFonts w:cs="Times New Roman"/>
          <w:caps w:val="0"/>
          <w:kern w:val="22"/>
          <w:sz w:val="24"/>
          <w:lang w:val="zh-CN"/>
        </w:rPr>
        <w:t>.</w:t>
      </w:r>
      <w:r w:rsidR="00844A98" w:rsidRPr="00844A98">
        <w:rPr>
          <w:rFonts w:cs="Times New Roman"/>
          <w:caps w:val="0"/>
          <w:kern w:val="22"/>
          <w:sz w:val="24"/>
        </w:rPr>
        <w:t xml:space="preserve"> </w:t>
      </w:r>
      <w:r w:rsidRPr="00844A98">
        <w:rPr>
          <w:rFonts w:cs="Times New Roman" w:hint="eastAsia"/>
          <w:caps w:val="0"/>
          <w:kern w:val="22"/>
          <w:sz w:val="24"/>
          <w:lang w:val="zh-CN"/>
        </w:rPr>
        <w:t>拟议的建议</w:t>
      </w:r>
    </w:p>
    <w:p w:rsidR="005E3082" w:rsidRPr="00977953" w:rsidRDefault="005E3082">
      <w:pPr>
        <w:pStyle w:val="Para1"/>
        <w:numPr>
          <w:ilvl w:val="0"/>
          <w:numId w:val="18"/>
        </w:numPr>
        <w:suppressLineNumbers/>
        <w:tabs>
          <w:tab w:val="num" w:pos="720"/>
        </w:tabs>
        <w:suppressAutoHyphens/>
        <w:adjustRightInd w:val="0"/>
        <w:snapToGrid w:val="0"/>
        <w:ind w:left="0" w:firstLine="0"/>
        <w:rPr>
          <w:rFonts w:cs="Times New Roman"/>
          <w:i/>
          <w:kern w:val="22"/>
          <w:sz w:val="24"/>
          <w:szCs w:val="24"/>
        </w:rPr>
      </w:pPr>
      <w:r w:rsidRPr="00977953">
        <w:rPr>
          <w:rFonts w:cs="Times New Roman" w:hint="eastAsia"/>
          <w:kern w:val="22"/>
          <w:sz w:val="24"/>
          <w:szCs w:val="24"/>
          <w:lang w:val="zh-CN"/>
        </w:rPr>
        <w:t>鉴于上述情况</w:t>
      </w:r>
      <w:r w:rsidRPr="00977953">
        <w:rPr>
          <w:rFonts w:cs="Times New Roman" w:hint="eastAsia"/>
          <w:kern w:val="22"/>
          <w:sz w:val="24"/>
          <w:szCs w:val="24"/>
        </w:rPr>
        <w:t>，</w:t>
      </w:r>
      <w:r w:rsidRPr="00977953">
        <w:rPr>
          <w:rFonts w:cs="Times New Roman" w:hint="eastAsia"/>
          <w:kern w:val="22"/>
          <w:sz w:val="24"/>
          <w:szCs w:val="24"/>
          <w:lang w:val="zh-CN"/>
        </w:rPr>
        <w:t>执行问题附属机构不妨考虑通过一项措辞大致如下的建议</w:t>
      </w:r>
      <w:r w:rsidRPr="00977953">
        <w:rPr>
          <w:rFonts w:cs="Times New Roman" w:hint="eastAsia"/>
          <w:kern w:val="22"/>
          <w:sz w:val="24"/>
          <w:szCs w:val="24"/>
        </w:rPr>
        <w:t>：</w:t>
      </w:r>
    </w:p>
    <w:p w:rsidR="005E3082" w:rsidRPr="00977953" w:rsidRDefault="005E3082">
      <w:pPr>
        <w:pStyle w:val="Para1"/>
        <w:suppressLineNumbers/>
        <w:suppressAutoHyphens/>
        <w:adjustRightInd w:val="0"/>
        <w:snapToGrid w:val="0"/>
        <w:ind w:left="720"/>
        <w:rPr>
          <w:rFonts w:cs="Times New Roman"/>
          <w:i/>
          <w:kern w:val="22"/>
          <w:sz w:val="24"/>
          <w:szCs w:val="24"/>
        </w:rPr>
      </w:pPr>
      <w:r w:rsidRPr="00844A98">
        <w:rPr>
          <w:rFonts w:ascii="KaiTi" w:eastAsia="KaiTi" w:hAnsi="KaiTi" w:cs="Times New Roman" w:hint="eastAsia"/>
          <w:kern w:val="22"/>
          <w:sz w:val="24"/>
          <w:szCs w:val="24"/>
          <w:lang w:val="zh-CN"/>
        </w:rPr>
        <w:t>执行问题附属机构</w:t>
      </w:r>
      <w:r w:rsidRPr="00977953">
        <w:rPr>
          <w:rFonts w:cs="Times New Roman" w:hint="eastAsia"/>
          <w:i/>
          <w:kern w:val="22"/>
          <w:sz w:val="24"/>
          <w:szCs w:val="24"/>
        </w:rPr>
        <w:t>，</w:t>
      </w:r>
    </w:p>
    <w:p w:rsidR="005E3082" w:rsidRPr="00977953" w:rsidRDefault="005E3082">
      <w:pPr>
        <w:pStyle w:val="Para1"/>
        <w:suppressLineNumbers/>
        <w:suppressAutoHyphens/>
        <w:adjustRightInd w:val="0"/>
        <w:snapToGrid w:val="0"/>
        <w:ind w:firstLine="720"/>
        <w:rPr>
          <w:rFonts w:cs="Times New Roman"/>
          <w:kern w:val="22"/>
          <w:sz w:val="24"/>
          <w:szCs w:val="24"/>
        </w:rPr>
      </w:pPr>
      <w:r w:rsidRPr="00844A98">
        <w:rPr>
          <w:rFonts w:ascii="KaiTi" w:eastAsia="KaiTi" w:hAnsi="KaiTi" w:cs="Times New Roman" w:hint="eastAsia"/>
          <w:kern w:val="22"/>
          <w:sz w:val="24"/>
          <w:szCs w:val="24"/>
          <w:lang w:val="zh-CN"/>
        </w:rPr>
        <w:t>赞赏地注意到</w:t>
      </w:r>
      <w:r w:rsidRPr="00977953">
        <w:rPr>
          <w:rFonts w:cs="Times New Roman" w:hint="eastAsia"/>
          <w:kern w:val="22"/>
          <w:sz w:val="24"/>
          <w:szCs w:val="24"/>
          <w:lang w:val="zh-CN"/>
        </w:rPr>
        <w:t>全球环境基金的初步报告</w:t>
      </w:r>
      <w:r w:rsidRPr="00977953">
        <w:rPr>
          <w:rStyle w:val="FootnoteReference"/>
          <w:kern w:val="22"/>
          <w:sz w:val="24"/>
          <w:szCs w:val="24"/>
          <w:lang w:val="zh-CN"/>
        </w:rPr>
        <w:footnoteReference w:id="9"/>
      </w:r>
      <w:r w:rsidRPr="00977953">
        <w:rPr>
          <w:rFonts w:cs="Times New Roman" w:hint="eastAsia"/>
          <w:kern w:val="22"/>
          <w:sz w:val="24"/>
          <w:szCs w:val="24"/>
          <w:lang w:val="zh-CN"/>
        </w:rPr>
        <w:t>和全球环境基金独立评估办公室的第五次总体绩效研究报告</w:t>
      </w:r>
      <w:r w:rsidRPr="00977953">
        <w:rPr>
          <w:rStyle w:val="FootnoteReference"/>
          <w:kern w:val="22"/>
          <w:sz w:val="24"/>
          <w:szCs w:val="24"/>
          <w:lang w:val="zh-CN"/>
        </w:rPr>
        <w:footnoteReference w:id="10"/>
      </w:r>
      <w:r w:rsidRPr="00977953">
        <w:rPr>
          <w:rFonts w:cs="Times New Roman" w:hint="eastAsia"/>
          <w:kern w:val="22"/>
          <w:sz w:val="24"/>
          <w:szCs w:val="24"/>
        </w:rPr>
        <w:t>，</w:t>
      </w:r>
    </w:p>
    <w:p w:rsidR="005E3082" w:rsidRPr="00977953" w:rsidRDefault="00844A98">
      <w:pPr>
        <w:pStyle w:val="Para1"/>
        <w:suppressLineNumbers/>
        <w:suppressAutoHyphens/>
        <w:adjustRightInd w:val="0"/>
        <w:snapToGrid w:val="0"/>
        <w:ind w:firstLine="720"/>
        <w:rPr>
          <w:rFonts w:cs="Times New Roman"/>
          <w:i/>
          <w:kern w:val="22"/>
          <w:sz w:val="24"/>
          <w:szCs w:val="24"/>
        </w:rPr>
      </w:pPr>
      <w:r>
        <w:rPr>
          <w:rFonts w:ascii="KaiTi" w:eastAsia="KaiTi" w:hAnsi="KaiTi" w:cs="Times New Roman" w:hint="eastAsia"/>
          <w:kern w:val="22"/>
          <w:sz w:val="24"/>
          <w:szCs w:val="24"/>
          <w:lang w:val="zh-CN"/>
        </w:rPr>
        <w:t>表示</w:t>
      </w:r>
      <w:r w:rsidR="005E3082" w:rsidRPr="00844A98">
        <w:rPr>
          <w:rFonts w:ascii="KaiTi" w:eastAsia="KaiTi" w:hAnsi="KaiTi" w:cs="Times New Roman" w:hint="eastAsia"/>
          <w:kern w:val="22"/>
          <w:sz w:val="24"/>
          <w:szCs w:val="24"/>
          <w:lang w:val="zh-CN"/>
        </w:rPr>
        <w:t>注意到</w:t>
      </w:r>
      <w:r w:rsidR="005E3082" w:rsidRPr="00977953">
        <w:rPr>
          <w:rFonts w:cs="Times New Roman" w:hint="eastAsia"/>
          <w:kern w:val="22"/>
          <w:sz w:val="24"/>
          <w:szCs w:val="24"/>
          <w:lang w:val="zh-CN"/>
        </w:rPr>
        <w:t>执行秘书关于财务机制的说明</w:t>
      </w:r>
      <w:r w:rsidR="005E3082" w:rsidRPr="00977953">
        <w:rPr>
          <w:rStyle w:val="FootnoteReference"/>
          <w:kern w:val="22"/>
          <w:sz w:val="24"/>
          <w:szCs w:val="24"/>
          <w:lang w:val="zh-CN"/>
        </w:rPr>
        <w:footnoteReference w:id="11"/>
      </w:r>
      <w:r w:rsidR="005E3082" w:rsidRPr="00977953">
        <w:rPr>
          <w:rFonts w:cs="Times New Roman"/>
          <w:kern w:val="22"/>
          <w:sz w:val="24"/>
          <w:szCs w:val="24"/>
        </w:rPr>
        <w:t xml:space="preserve"> </w:t>
      </w:r>
      <w:r w:rsidR="005E3082" w:rsidRPr="00977953">
        <w:rPr>
          <w:rFonts w:cs="Times New Roman" w:hint="eastAsia"/>
          <w:kern w:val="22"/>
          <w:sz w:val="24"/>
          <w:szCs w:val="24"/>
          <w:lang w:val="zh-CN"/>
        </w:rPr>
        <w:t>所载有关《公约》第</w:t>
      </w:r>
      <w:r w:rsidR="005E3082" w:rsidRPr="00977953">
        <w:rPr>
          <w:rFonts w:cs="Times New Roman"/>
          <w:kern w:val="22"/>
          <w:sz w:val="24"/>
          <w:szCs w:val="24"/>
        </w:rPr>
        <w:t>21</w:t>
      </w:r>
      <w:r w:rsidR="005E3082" w:rsidRPr="00977953">
        <w:rPr>
          <w:rFonts w:cs="Times New Roman" w:hint="eastAsia"/>
          <w:kern w:val="22"/>
          <w:sz w:val="24"/>
          <w:szCs w:val="24"/>
          <w:lang w:val="zh-CN"/>
        </w:rPr>
        <w:t>条执行情况的信息</w:t>
      </w:r>
      <w:r w:rsidR="005E3082" w:rsidRPr="00977953">
        <w:rPr>
          <w:rFonts w:cs="Times New Roman" w:hint="eastAsia"/>
          <w:kern w:val="22"/>
          <w:sz w:val="24"/>
          <w:szCs w:val="24"/>
        </w:rPr>
        <w:t>，</w:t>
      </w:r>
    </w:p>
    <w:p w:rsidR="005E3082" w:rsidRPr="00977953" w:rsidRDefault="005E3082">
      <w:pPr>
        <w:pStyle w:val="Para1"/>
        <w:suppressLineNumbers/>
        <w:suppressAutoHyphens/>
        <w:adjustRightInd w:val="0"/>
        <w:snapToGrid w:val="0"/>
        <w:ind w:firstLine="720"/>
        <w:rPr>
          <w:rFonts w:cs="Times New Roman"/>
          <w:kern w:val="22"/>
          <w:sz w:val="24"/>
          <w:szCs w:val="24"/>
        </w:rPr>
      </w:pPr>
      <w:r w:rsidRPr="00844A98">
        <w:rPr>
          <w:rFonts w:ascii="KaiTi" w:eastAsia="KaiTi" w:hAnsi="KaiTi" w:cs="Times New Roman" w:hint="eastAsia"/>
          <w:kern w:val="22"/>
          <w:sz w:val="24"/>
          <w:szCs w:val="24"/>
          <w:lang w:val="zh-CN"/>
        </w:rPr>
        <w:t>建议</w:t>
      </w:r>
      <w:r w:rsidRPr="00977953">
        <w:rPr>
          <w:rFonts w:cs="Times New Roman" w:hint="eastAsia"/>
          <w:kern w:val="22"/>
          <w:sz w:val="24"/>
          <w:szCs w:val="24"/>
          <w:lang w:val="zh-CN"/>
        </w:rPr>
        <w:t>缔约方大会第十四届会议通过一项措辞大致如下的决定</w:t>
      </w:r>
      <w:r w:rsidRPr="00977953">
        <w:rPr>
          <w:rFonts w:cs="Times New Roman" w:hint="eastAsia"/>
          <w:kern w:val="22"/>
          <w:sz w:val="24"/>
          <w:szCs w:val="24"/>
        </w:rPr>
        <w:t>：</w:t>
      </w:r>
    </w:p>
    <w:p w:rsidR="005E3082" w:rsidRPr="00844A98" w:rsidRDefault="005E3082">
      <w:pPr>
        <w:suppressLineNumbers/>
        <w:suppressAutoHyphens/>
        <w:adjustRightInd w:val="0"/>
        <w:snapToGrid w:val="0"/>
        <w:spacing w:after="120"/>
        <w:ind w:left="720" w:firstLine="720"/>
        <w:rPr>
          <w:rFonts w:ascii="KaiTi" w:eastAsia="KaiTi" w:hAnsi="KaiTi" w:cs="Times New Roman"/>
          <w:kern w:val="22"/>
          <w:sz w:val="24"/>
        </w:rPr>
      </w:pPr>
      <w:r w:rsidRPr="00844A98">
        <w:rPr>
          <w:rFonts w:ascii="KaiTi" w:eastAsia="KaiTi" w:hAnsi="KaiTi" w:cs="Times New Roman" w:hint="eastAsia"/>
          <w:kern w:val="22"/>
          <w:sz w:val="24"/>
          <w:lang w:val="zh-CN"/>
        </w:rPr>
        <w:t>缔约方大会</w:t>
      </w:r>
      <w:r w:rsidR="00844A98">
        <w:rPr>
          <w:rFonts w:ascii="KaiTi" w:eastAsia="KaiTi" w:hAnsi="KaiTi" w:cs="Times New Roman" w:hint="eastAsia"/>
          <w:kern w:val="22"/>
          <w:sz w:val="24"/>
          <w:lang w:val="zh-CN"/>
        </w:rPr>
        <w:t>，</w:t>
      </w:r>
    </w:p>
    <w:p w:rsidR="005E3082" w:rsidRPr="00977953" w:rsidRDefault="005E3082">
      <w:pPr>
        <w:pStyle w:val="Para1"/>
        <w:suppressLineNumbers/>
        <w:suppressAutoHyphens/>
        <w:adjustRightInd w:val="0"/>
        <w:snapToGrid w:val="0"/>
        <w:ind w:left="720" w:firstLine="720"/>
        <w:rPr>
          <w:rFonts w:cs="Times New Roman"/>
          <w:i/>
          <w:kern w:val="22"/>
          <w:sz w:val="24"/>
          <w:szCs w:val="24"/>
        </w:rPr>
      </w:pPr>
      <w:r w:rsidRPr="00844A98">
        <w:rPr>
          <w:rFonts w:cs="Times New Roman"/>
          <w:kern w:val="22"/>
          <w:sz w:val="24"/>
          <w:szCs w:val="24"/>
        </w:rPr>
        <w:t>1</w:t>
      </w:r>
      <w:r w:rsidRPr="00977953">
        <w:rPr>
          <w:rFonts w:cs="Times New Roman"/>
          <w:i/>
          <w:kern w:val="22"/>
          <w:sz w:val="24"/>
          <w:szCs w:val="24"/>
        </w:rPr>
        <w:t>.</w:t>
      </w:r>
      <w:r w:rsidRPr="00977953">
        <w:rPr>
          <w:rFonts w:cs="Times New Roman"/>
          <w:i/>
          <w:kern w:val="22"/>
          <w:sz w:val="24"/>
          <w:szCs w:val="24"/>
        </w:rPr>
        <w:tab/>
      </w:r>
      <w:r w:rsidRPr="00844A98">
        <w:rPr>
          <w:rFonts w:ascii="KaiTi" w:eastAsia="KaiTi" w:hAnsi="KaiTi" w:cs="Times New Roman" w:hint="eastAsia"/>
          <w:kern w:val="22"/>
          <w:sz w:val="24"/>
          <w:szCs w:val="24"/>
          <w:lang w:val="zh-CN"/>
        </w:rPr>
        <w:t>欢迎</w:t>
      </w:r>
      <w:r w:rsidRPr="00977953">
        <w:rPr>
          <w:rFonts w:cs="Times New Roman" w:hint="eastAsia"/>
          <w:kern w:val="22"/>
          <w:sz w:val="24"/>
          <w:szCs w:val="24"/>
          <w:lang w:val="zh-CN"/>
        </w:rPr>
        <w:t>全球环境基金信托基金第七次充资顺利结束</w:t>
      </w:r>
      <w:r w:rsidRPr="00977953">
        <w:rPr>
          <w:rFonts w:cs="Times New Roman" w:hint="eastAsia"/>
          <w:kern w:val="22"/>
          <w:sz w:val="24"/>
          <w:szCs w:val="24"/>
        </w:rPr>
        <w:t>，</w:t>
      </w:r>
      <w:r w:rsidRPr="00977953">
        <w:rPr>
          <w:rFonts w:cs="Times New Roman" w:hint="eastAsia"/>
          <w:kern w:val="22"/>
          <w:sz w:val="24"/>
          <w:szCs w:val="24"/>
          <w:lang w:val="zh-CN"/>
        </w:rPr>
        <w:t>并</w:t>
      </w:r>
      <w:r w:rsidRPr="00844A98">
        <w:rPr>
          <w:rFonts w:ascii="KaiTi" w:eastAsia="KaiTi" w:hAnsi="KaiTi" w:cs="Times New Roman" w:hint="eastAsia"/>
          <w:kern w:val="22"/>
          <w:sz w:val="24"/>
          <w:szCs w:val="24"/>
          <w:lang w:val="zh-CN"/>
        </w:rPr>
        <w:t>赞赏</w:t>
      </w:r>
      <w:r w:rsidRPr="00977953">
        <w:rPr>
          <w:rFonts w:cs="Times New Roman" w:hint="eastAsia"/>
          <w:kern w:val="22"/>
          <w:sz w:val="24"/>
          <w:szCs w:val="24"/>
          <w:lang w:val="zh-CN"/>
        </w:rPr>
        <w:t>缔约方和各国政府继续为进行《</w:t>
      </w:r>
      <w:r w:rsidRPr="00977953">
        <w:rPr>
          <w:rFonts w:cs="Times New Roman"/>
          <w:kern w:val="22"/>
          <w:sz w:val="24"/>
          <w:szCs w:val="24"/>
        </w:rPr>
        <w:t>2011-2020</w:t>
      </w:r>
      <w:r w:rsidRPr="00977953">
        <w:rPr>
          <w:rFonts w:cs="Times New Roman" w:hint="eastAsia"/>
          <w:kern w:val="22"/>
          <w:sz w:val="24"/>
          <w:szCs w:val="24"/>
          <w:lang w:val="zh-CN"/>
        </w:rPr>
        <w:t>年生物多样性战略计划》剩余年份的工作及支持执行</w:t>
      </w:r>
      <w:r w:rsidRPr="00977953">
        <w:rPr>
          <w:rFonts w:cs="Times New Roman"/>
          <w:kern w:val="22"/>
          <w:sz w:val="24"/>
          <w:szCs w:val="24"/>
        </w:rPr>
        <w:t>2020</w:t>
      </w:r>
      <w:r w:rsidRPr="00977953">
        <w:rPr>
          <w:rFonts w:cs="Times New Roman" w:hint="eastAsia"/>
          <w:kern w:val="22"/>
          <w:sz w:val="24"/>
          <w:szCs w:val="24"/>
          <w:lang w:val="zh-CN"/>
        </w:rPr>
        <w:t>年后全球生物多样性框架头两年的工作提供财务支助</w:t>
      </w:r>
      <w:r w:rsidRPr="00977953">
        <w:rPr>
          <w:rFonts w:cs="Times New Roman" w:hint="eastAsia"/>
          <w:kern w:val="22"/>
          <w:sz w:val="24"/>
          <w:szCs w:val="24"/>
        </w:rPr>
        <w:t>；</w:t>
      </w:r>
    </w:p>
    <w:p w:rsidR="005E3082" w:rsidRPr="00977953" w:rsidRDefault="005E3082">
      <w:pPr>
        <w:pStyle w:val="Para1"/>
        <w:suppressLineNumbers/>
        <w:suppressAutoHyphens/>
        <w:adjustRightInd w:val="0"/>
        <w:snapToGrid w:val="0"/>
        <w:ind w:left="720" w:firstLine="720"/>
        <w:rPr>
          <w:rFonts w:cs="Times New Roman"/>
          <w:i/>
          <w:kern w:val="22"/>
          <w:sz w:val="24"/>
          <w:szCs w:val="24"/>
        </w:rPr>
      </w:pPr>
      <w:r w:rsidRPr="00844A98">
        <w:rPr>
          <w:rFonts w:cs="Times New Roman"/>
          <w:kern w:val="22"/>
          <w:sz w:val="24"/>
          <w:szCs w:val="24"/>
        </w:rPr>
        <w:t>2</w:t>
      </w:r>
      <w:r w:rsidRPr="00977953">
        <w:rPr>
          <w:rFonts w:cs="Times New Roman"/>
          <w:i/>
          <w:kern w:val="22"/>
          <w:sz w:val="24"/>
          <w:szCs w:val="24"/>
        </w:rPr>
        <w:t>.</w:t>
      </w:r>
      <w:r w:rsidRPr="00977953">
        <w:rPr>
          <w:rFonts w:cs="Times New Roman"/>
          <w:i/>
          <w:kern w:val="22"/>
          <w:sz w:val="24"/>
          <w:szCs w:val="24"/>
        </w:rPr>
        <w:tab/>
      </w:r>
      <w:r w:rsidRPr="00844A98">
        <w:rPr>
          <w:rFonts w:ascii="KaiTi" w:eastAsia="KaiTi" w:hAnsi="KaiTi" w:cs="Times New Roman" w:hint="eastAsia"/>
          <w:kern w:val="22"/>
          <w:sz w:val="24"/>
          <w:szCs w:val="24"/>
          <w:lang w:val="zh-CN"/>
        </w:rPr>
        <w:t>注意到</w:t>
      </w:r>
      <w:r w:rsidRPr="00977953">
        <w:rPr>
          <w:rFonts w:cs="Times New Roman" w:hint="eastAsia"/>
          <w:kern w:val="22"/>
          <w:sz w:val="24"/>
          <w:szCs w:val="24"/>
          <w:lang w:val="zh-CN"/>
        </w:rPr>
        <w:t>信托基金第七次充资期间的生物多样性方案编制指导文件反映了缔约方大会第十三届会议通过的指导意见</w:t>
      </w:r>
      <w:r w:rsidRPr="00977953">
        <w:rPr>
          <w:rFonts w:cs="Times New Roman" w:hint="eastAsia"/>
          <w:kern w:val="22"/>
          <w:sz w:val="24"/>
          <w:szCs w:val="24"/>
        </w:rPr>
        <w:t>，</w:t>
      </w:r>
      <w:r w:rsidRPr="00977953">
        <w:rPr>
          <w:rFonts w:cs="Times New Roman" w:hint="eastAsia"/>
          <w:kern w:val="22"/>
          <w:sz w:val="24"/>
          <w:szCs w:val="24"/>
          <w:lang w:val="zh-CN"/>
        </w:rPr>
        <w:t>其中包括对财务机制的综合指导意见和四年期方案优先事项框架</w:t>
      </w:r>
      <w:r w:rsidRPr="00977953">
        <w:rPr>
          <w:rFonts w:cs="Times New Roman" w:hint="eastAsia"/>
          <w:kern w:val="22"/>
          <w:sz w:val="24"/>
          <w:szCs w:val="24"/>
        </w:rPr>
        <w:t>（</w:t>
      </w:r>
      <w:r w:rsidRPr="00977953">
        <w:rPr>
          <w:rFonts w:cs="Times New Roman"/>
          <w:kern w:val="22"/>
          <w:sz w:val="24"/>
          <w:szCs w:val="24"/>
        </w:rPr>
        <w:t>2018-2022</w:t>
      </w:r>
      <w:r w:rsidRPr="00977953">
        <w:rPr>
          <w:rFonts w:cs="Times New Roman" w:hint="eastAsia"/>
          <w:kern w:val="22"/>
          <w:sz w:val="24"/>
          <w:szCs w:val="24"/>
          <w:lang w:val="zh-CN"/>
        </w:rPr>
        <w:t>年</w:t>
      </w:r>
      <w:r w:rsidRPr="00977953">
        <w:rPr>
          <w:rFonts w:cs="Times New Roman" w:hint="eastAsia"/>
          <w:kern w:val="22"/>
          <w:sz w:val="24"/>
          <w:szCs w:val="24"/>
        </w:rPr>
        <w:t>），</w:t>
      </w:r>
      <w:r w:rsidRPr="00977953">
        <w:rPr>
          <w:rFonts w:cs="Times New Roman" w:hint="eastAsia"/>
          <w:kern w:val="22"/>
          <w:sz w:val="24"/>
          <w:szCs w:val="24"/>
          <w:lang w:val="zh-CN"/>
        </w:rPr>
        <w:t>以及进一步指导意见</w:t>
      </w:r>
      <w:r w:rsidRPr="00977953">
        <w:rPr>
          <w:rFonts w:cs="Times New Roman" w:hint="eastAsia"/>
          <w:kern w:val="22"/>
          <w:sz w:val="24"/>
          <w:szCs w:val="24"/>
        </w:rPr>
        <w:t>；</w:t>
      </w:r>
    </w:p>
    <w:p w:rsidR="005E3082" w:rsidRPr="00977953" w:rsidRDefault="005E3082">
      <w:pPr>
        <w:pStyle w:val="Para1"/>
        <w:suppressLineNumbers/>
        <w:suppressAutoHyphens/>
        <w:adjustRightInd w:val="0"/>
        <w:snapToGrid w:val="0"/>
        <w:ind w:left="720" w:firstLine="720"/>
        <w:rPr>
          <w:rFonts w:cs="Times New Roman"/>
          <w:i/>
          <w:kern w:val="22"/>
          <w:sz w:val="24"/>
          <w:szCs w:val="24"/>
        </w:rPr>
      </w:pPr>
      <w:r w:rsidRPr="00844A98">
        <w:rPr>
          <w:rFonts w:ascii="KaiTi" w:eastAsia="KaiTi" w:hAnsi="KaiTi" w:cs="Times New Roman"/>
          <w:kern w:val="22"/>
          <w:sz w:val="24"/>
          <w:szCs w:val="24"/>
          <w:lang w:val="zh-CN"/>
        </w:rPr>
        <w:t>3</w:t>
      </w:r>
      <w:r w:rsidRPr="00977953">
        <w:rPr>
          <w:rFonts w:cs="Times New Roman"/>
          <w:i/>
          <w:kern w:val="22"/>
          <w:sz w:val="24"/>
          <w:szCs w:val="24"/>
        </w:rPr>
        <w:t>.</w:t>
      </w:r>
      <w:r w:rsidRPr="00977953">
        <w:rPr>
          <w:rFonts w:cs="Times New Roman"/>
          <w:i/>
          <w:kern w:val="22"/>
          <w:sz w:val="24"/>
          <w:szCs w:val="24"/>
        </w:rPr>
        <w:tab/>
      </w:r>
      <w:r w:rsidRPr="00844A98">
        <w:rPr>
          <w:rFonts w:ascii="KaiTi" w:eastAsia="KaiTi" w:hAnsi="KaiTi" w:cs="Times New Roman" w:hint="eastAsia"/>
          <w:kern w:val="22"/>
          <w:sz w:val="24"/>
          <w:szCs w:val="24"/>
          <w:lang w:val="zh-CN"/>
        </w:rPr>
        <w:t>鼓励</w:t>
      </w:r>
      <w:r w:rsidRPr="00977953">
        <w:rPr>
          <w:rFonts w:cs="Times New Roman" w:hint="eastAsia"/>
          <w:kern w:val="22"/>
          <w:sz w:val="24"/>
          <w:szCs w:val="24"/>
          <w:lang w:val="zh-CN"/>
        </w:rPr>
        <w:t>执行秘书在过渡到</w:t>
      </w:r>
      <w:r w:rsidRPr="00977953">
        <w:rPr>
          <w:rFonts w:cs="Times New Roman"/>
          <w:kern w:val="22"/>
          <w:sz w:val="24"/>
          <w:szCs w:val="24"/>
        </w:rPr>
        <w:t>2020</w:t>
      </w:r>
      <w:r w:rsidRPr="00977953">
        <w:rPr>
          <w:rFonts w:cs="Times New Roman" w:hint="eastAsia"/>
          <w:kern w:val="22"/>
          <w:sz w:val="24"/>
          <w:szCs w:val="24"/>
          <w:lang w:val="zh-CN"/>
        </w:rPr>
        <w:t>年后全球生物多样性框架的工作中</w:t>
      </w:r>
      <w:r w:rsidRPr="00977953">
        <w:rPr>
          <w:rFonts w:cs="Times New Roman" w:hint="eastAsia"/>
          <w:kern w:val="22"/>
          <w:sz w:val="24"/>
          <w:szCs w:val="24"/>
        </w:rPr>
        <w:t>，</w:t>
      </w:r>
      <w:r w:rsidRPr="00977953">
        <w:rPr>
          <w:rFonts w:cs="Times New Roman" w:hint="eastAsia"/>
          <w:kern w:val="22"/>
          <w:sz w:val="24"/>
          <w:szCs w:val="24"/>
          <w:lang w:val="zh-CN"/>
        </w:rPr>
        <w:t>与全球环境基金伙伴关系密切合作。</w:t>
      </w:r>
    </w:p>
    <w:p w:rsidR="005E3082" w:rsidRPr="00977953" w:rsidRDefault="005E3082">
      <w:pPr>
        <w:pStyle w:val="Para1"/>
        <w:suppressLineNumbers/>
        <w:suppressAutoHyphens/>
        <w:adjustRightInd w:val="0"/>
        <w:snapToGrid w:val="0"/>
        <w:jc w:val="center"/>
        <w:rPr>
          <w:rFonts w:eastAsia="Times New Roman" w:cs="Times New Roman"/>
          <w:kern w:val="22"/>
          <w:sz w:val="24"/>
          <w:szCs w:val="24"/>
        </w:rPr>
      </w:pPr>
      <w:r w:rsidRPr="00977953">
        <w:rPr>
          <w:rFonts w:eastAsia="Times New Roman" w:cs="Times New Roman"/>
          <w:i/>
          <w:kern w:val="22"/>
          <w:sz w:val="24"/>
          <w:szCs w:val="24"/>
        </w:rPr>
        <w:t>__________</w:t>
      </w:r>
      <w:r>
        <w:rPr>
          <w:rFonts w:eastAsia="Times New Roman" w:cs="Times New Roman"/>
          <w:i/>
          <w:kern w:val="22"/>
          <w:sz w:val="24"/>
          <w:szCs w:val="24"/>
        </w:rPr>
        <w:t xml:space="preserve">  </w:t>
      </w:r>
    </w:p>
    <w:sectPr w:rsidR="005E3082" w:rsidRPr="00977953" w:rsidSect="009016D7">
      <w:headerReference w:type="even" r:id="rId18"/>
      <w:headerReference w:type="default" r:id="rId19"/>
      <w:footerReference w:type="even" r:id="rId20"/>
      <w:footerReference w:type="first" r:id="rId21"/>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9EA" w:rsidRDefault="000169EA">
      <w:pPr>
        <w:rPr>
          <w:rFonts w:eastAsia="Times New Roman" w:cs="Times New Roman"/>
        </w:rPr>
      </w:pPr>
      <w:r>
        <w:rPr>
          <w:rFonts w:eastAsia="Times New Roman" w:cs="Times New Roman"/>
        </w:rPr>
        <w:separator/>
      </w:r>
    </w:p>
  </w:endnote>
  <w:endnote w:type="continuationSeparator" w:id="0">
    <w:p w:rsidR="000169EA" w:rsidRDefault="000169EA">
      <w:pPr>
        <w:rPr>
          <w:rFonts w:eastAsia="Times New Roman" w:cs="Times New Roman"/>
        </w:rPr>
      </w:pPr>
      <w:r>
        <w:rPr>
          <w:rFonts w:eastAsia="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Microsoft YaHei">
    <w:panose1 w:val="020B0503020204020204"/>
    <w:charset w:val="86"/>
    <w:family w:val="swiss"/>
    <w:pitch w:val="variable"/>
    <w:sig w:usb0="80000287" w:usb1="280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082" w:rsidRDefault="005E3082">
    <w:pPr>
      <w:pStyle w:val="Footer"/>
      <w:tabs>
        <w:tab w:val="clear" w:pos="4320"/>
        <w:tab w:val="clear" w:pos="8640"/>
      </w:tabs>
      <w:ind w:firstLine="0"/>
      <w:rPr>
        <w:rFonts w:eastAsia="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082" w:rsidRDefault="005E3082">
    <w:pPr>
      <w:pStyle w:val="Footer"/>
      <w:tabs>
        <w:tab w:val="clear" w:pos="4320"/>
        <w:tab w:val="clear" w:pos="8640"/>
      </w:tabs>
      <w:jc w:val="center"/>
      <w:rPr>
        <w:rFonts w:eastAsia="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9EA" w:rsidRDefault="000169EA">
      <w:pPr>
        <w:rPr>
          <w:rFonts w:eastAsia="Times New Roman" w:cs="Times New Roman"/>
        </w:rPr>
      </w:pPr>
      <w:r>
        <w:rPr>
          <w:rFonts w:eastAsia="Times New Roman" w:cs="Times New Roman"/>
        </w:rPr>
        <w:separator/>
      </w:r>
    </w:p>
  </w:footnote>
  <w:footnote w:type="continuationSeparator" w:id="0">
    <w:p w:rsidR="000169EA" w:rsidRDefault="000169EA">
      <w:pPr>
        <w:rPr>
          <w:rFonts w:eastAsia="Times New Roman" w:cs="Times New Roman"/>
        </w:rPr>
      </w:pPr>
      <w:r>
        <w:rPr>
          <w:rFonts w:eastAsia="Times New Roman" w:cs="Times New Roman"/>
        </w:rPr>
        <w:continuationSeparator/>
      </w:r>
    </w:p>
  </w:footnote>
  <w:footnote w:id="1">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sidRPr="00DC02AA">
        <w:rPr>
          <w:kern w:val="18"/>
          <w:lang w:val="en-US"/>
        </w:rPr>
        <w:t>CBD/SBI/2/INF/25</w:t>
      </w:r>
      <w:r>
        <w:rPr>
          <w:rFonts w:ascii="SimSun" w:hint="eastAsia"/>
          <w:kern w:val="18"/>
          <w:lang w:val="zh-CN"/>
        </w:rPr>
        <w:t>。</w:t>
      </w:r>
    </w:p>
  </w:footnote>
  <w:footnote w:id="2">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sidRPr="00DC02AA">
        <w:rPr>
          <w:kern w:val="18"/>
          <w:lang w:val="en-US"/>
        </w:rPr>
        <w:t>UNEP/CBD/COP/13/12/Add.2</w:t>
      </w:r>
      <w:r>
        <w:rPr>
          <w:rFonts w:ascii="SimSun" w:hint="eastAsia"/>
          <w:kern w:val="18"/>
          <w:lang w:val="zh-CN"/>
        </w:rPr>
        <w:t>。</w:t>
      </w:r>
    </w:p>
  </w:footnote>
  <w:footnote w:id="3">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kern w:val="18"/>
          <w:lang w:val="zh-CN"/>
        </w:rPr>
        <w:t>CBD/SBI/2/8/Add.1</w:t>
      </w:r>
      <w:r>
        <w:rPr>
          <w:rFonts w:ascii="SimSun" w:hint="eastAsia"/>
          <w:kern w:val="18"/>
          <w:lang w:val="zh-CN"/>
        </w:rPr>
        <w:t>。</w:t>
      </w:r>
    </w:p>
  </w:footnote>
  <w:footnote w:id="4">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rFonts w:ascii="SimSun" w:hint="eastAsia"/>
          <w:kern w:val="18"/>
          <w:lang w:val="zh-CN"/>
        </w:rPr>
        <w:t>联合国，《</w:t>
      </w:r>
      <w:r w:rsidRPr="001671D3">
        <w:rPr>
          <w:rFonts w:ascii="SimSun" w:hAnsi="SimSun" w:hint="eastAsia"/>
          <w:kern w:val="18"/>
          <w:lang w:val="zh-CN"/>
        </w:rPr>
        <w:t>条约汇编</w:t>
      </w:r>
      <w:r>
        <w:rPr>
          <w:rFonts w:ascii="SimSun" w:hint="eastAsia"/>
          <w:kern w:val="18"/>
          <w:lang w:val="zh-CN"/>
        </w:rPr>
        <w:t>》，</w:t>
      </w:r>
      <w:r w:rsidR="007B4CCE">
        <w:rPr>
          <w:rFonts w:ascii="SimSun" w:hint="eastAsia"/>
          <w:kern w:val="18"/>
          <w:lang w:val="en-US"/>
        </w:rPr>
        <w:t>登记</w:t>
      </w:r>
      <w:r>
        <w:rPr>
          <w:rFonts w:ascii="SimSun" w:hint="eastAsia"/>
          <w:kern w:val="18"/>
          <w:lang w:val="zh-CN"/>
        </w:rPr>
        <w:t>号：</w:t>
      </w:r>
      <w:r>
        <w:rPr>
          <w:kern w:val="18"/>
          <w:lang w:val="zh-CN"/>
        </w:rPr>
        <w:t>I-54113</w:t>
      </w:r>
      <w:r>
        <w:rPr>
          <w:rFonts w:ascii="SimSun" w:hint="eastAsia"/>
          <w:kern w:val="18"/>
          <w:lang w:val="zh-CN"/>
        </w:rPr>
        <w:t>。</w:t>
      </w:r>
    </w:p>
  </w:footnote>
  <w:footnote w:id="5">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hyperlink r:id="rId1" w:history="1">
        <w:r w:rsidRPr="00DC02AA">
          <w:rPr>
            <w:rStyle w:val="Hyperlink"/>
            <w:kern w:val="18"/>
          </w:rPr>
          <w:t>https://www.cbd.int/doc/meetings/cop/cop-11/information/cop-11-inf-20-en.pdf</w:t>
        </w:r>
      </w:hyperlink>
      <w:r>
        <w:rPr>
          <w:rFonts w:ascii="SimSun" w:hint="eastAsia"/>
          <w:lang w:val="zh-CN"/>
        </w:rPr>
        <w:t>。</w:t>
      </w:r>
    </w:p>
  </w:footnote>
  <w:footnote w:id="6">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rFonts w:ascii="SimSun" w:hint="eastAsia"/>
          <w:lang w:val="zh-CN"/>
        </w:rPr>
        <w:t>见气候基金现况数据板</w:t>
      </w:r>
      <w:r w:rsidRPr="00DC02AA">
        <w:rPr>
          <w:rFonts w:ascii="SimSun" w:hint="eastAsia"/>
        </w:rPr>
        <w:t>（</w:t>
      </w:r>
      <w:r w:rsidRPr="00DC02AA">
        <w:rPr>
          <w:rFonts w:ascii="SimSun"/>
        </w:rPr>
        <w:t>2018</w:t>
      </w:r>
      <w:r>
        <w:rPr>
          <w:rFonts w:ascii="SimSun" w:hint="eastAsia"/>
          <w:lang w:val="zh-CN"/>
        </w:rPr>
        <w:t>年</w:t>
      </w:r>
      <w:r w:rsidRPr="00DC02AA">
        <w:rPr>
          <w:rFonts w:ascii="SimSun"/>
        </w:rPr>
        <w:t>3</w:t>
      </w:r>
      <w:r>
        <w:rPr>
          <w:rFonts w:ascii="SimSun" w:hint="eastAsia"/>
          <w:lang w:val="zh-CN"/>
        </w:rPr>
        <w:t>月</w:t>
      </w:r>
      <w:r w:rsidRPr="00DC02AA">
        <w:rPr>
          <w:rFonts w:ascii="SimSun" w:hint="eastAsia"/>
        </w:rPr>
        <w:t>），</w:t>
      </w:r>
      <w:r>
        <w:rPr>
          <w:rFonts w:ascii="SimSun" w:hint="eastAsia"/>
          <w:lang w:val="zh-CN"/>
        </w:rPr>
        <w:t>参阅</w:t>
      </w:r>
      <w:hyperlink r:id="rId2" w:history="1">
        <w:r w:rsidRPr="00DC02AA">
          <w:rPr>
            <w:rStyle w:val="Hyperlink"/>
            <w:kern w:val="18"/>
          </w:rPr>
          <w:t>https://climatefundsupdate.org/the-funds/</w:t>
        </w:r>
      </w:hyperlink>
      <w:r>
        <w:rPr>
          <w:rFonts w:ascii="SimSun" w:hint="eastAsia"/>
          <w:lang w:val="zh-CN"/>
        </w:rPr>
        <w:t>。</w:t>
      </w:r>
    </w:p>
  </w:footnote>
  <w:footnote w:id="7">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rFonts w:ascii="SimSun" w:hint="eastAsia"/>
          <w:kern w:val="18"/>
          <w:lang w:val="zh-CN"/>
        </w:rPr>
        <w:t>关于官方发展援助的数据来自</w:t>
      </w:r>
      <w:r>
        <w:rPr>
          <w:rFonts w:ascii="SimSun" w:hint="eastAsia"/>
          <w:kern w:val="18"/>
          <w:lang w:val="en-US"/>
        </w:rPr>
        <w:t>：</w:t>
      </w:r>
      <w:hyperlink r:id="rId3" w:history="1">
        <w:r>
          <w:rPr>
            <w:rStyle w:val="Hyperlink"/>
            <w:kern w:val="18"/>
            <w:lang w:val="en-US"/>
          </w:rPr>
          <w:t>http://stats.oecd.org/viewhtml.aspx?datasetcode=RIOMARKERS&amp;lang=en</w:t>
        </w:r>
      </w:hyperlink>
      <w:r>
        <w:rPr>
          <w:rStyle w:val="FootnoteReference"/>
          <w:rFonts w:ascii="SimSun" w:hint="eastAsia"/>
          <w:kern w:val="18"/>
          <w:vertAlign w:val="baseline"/>
          <w:lang w:val="en-US"/>
        </w:rPr>
        <w:t>，</w:t>
      </w:r>
      <w:r>
        <w:rPr>
          <w:rStyle w:val="FootnoteReference"/>
          <w:rFonts w:ascii="SimSun" w:hint="eastAsia"/>
          <w:kern w:val="18"/>
          <w:vertAlign w:val="baseline"/>
          <w:lang w:val="zh-CN"/>
        </w:rPr>
        <w:t>全环基金的数据来自各种充资摘要文件。</w:t>
      </w:r>
    </w:p>
  </w:footnote>
  <w:footnote w:id="8">
    <w:p w:rsidR="005E3082" w:rsidRDefault="005E3082">
      <w:pPr>
        <w:keepLines/>
        <w:kinsoku w:val="0"/>
        <w:overflowPunct w:val="0"/>
        <w:autoSpaceDE w:val="0"/>
        <w:autoSpaceDN w:val="0"/>
        <w:adjustRightInd w:val="0"/>
        <w:snapToGrid w:val="0"/>
        <w:spacing w:after="60"/>
        <w:jc w:val="left"/>
      </w:pPr>
      <w:r>
        <w:rPr>
          <w:rStyle w:val="FootnoteReference"/>
          <w:kern w:val="18"/>
        </w:rPr>
        <w:footnoteRef/>
      </w:r>
      <w:r>
        <w:rPr>
          <w:rFonts w:cs="Times New Roman"/>
          <w:kern w:val="18"/>
          <w:sz w:val="18"/>
        </w:rPr>
        <w:t xml:space="preserve"> </w:t>
      </w:r>
      <w:r w:rsidRPr="00FB040E">
        <w:rPr>
          <w:rFonts w:cs="Times New Roman"/>
          <w:kern w:val="18"/>
          <w:sz w:val="18"/>
          <w:lang w:val="en-US"/>
        </w:rPr>
        <w:t>Hudson Institute (2017</w:t>
      </w:r>
      <w:r w:rsidRPr="00FB040E">
        <w:rPr>
          <w:rFonts w:ascii="SimSun" w:cs="Times New Roman" w:hint="eastAsia"/>
          <w:kern w:val="18"/>
          <w:sz w:val="18"/>
          <w:lang w:val="zh-CN"/>
        </w:rPr>
        <w:t>年</w:t>
      </w:r>
      <w:r w:rsidRPr="00FB040E">
        <w:rPr>
          <w:rFonts w:cs="Times New Roman"/>
          <w:kern w:val="18"/>
          <w:sz w:val="18"/>
          <w:lang w:val="en-US"/>
        </w:rPr>
        <w:t xml:space="preserve">). </w:t>
      </w:r>
      <w:r w:rsidRPr="00FB040E">
        <w:rPr>
          <w:rFonts w:cs="Times New Roman"/>
          <w:i/>
          <w:kern w:val="18"/>
          <w:sz w:val="18"/>
          <w:lang w:val="en-US"/>
        </w:rPr>
        <w:t>The Index of Global Philanthropy and Remittances 2016</w:t>
      </w:r>
      <w:r w:rsidRPr="00FB040E">
        <w:rPr>
          <w:rFonts w:cs="Times New Roman"/>
          <w:kern w:val="18"/>
          <w:sz w:val="18"/>
          <w:lang w:val="en-US"/>
        </w:rPr>
        <w:t>, Center for Global Prosperity</w:t>
      </w:r>
      <w:r w:rsidRPr="00FB040E">
        <w:rPr>
          <w:rFonts w:ascii="SimSun" w:cs="Times New Roman" w:hint="eastAsia"/>
          <w:kern w:val="18"/>
          <w:sz w:val="18"/>
          <w:lang w:val="en-US"/>
        </w:rPr>
        <w:t>，</w:t>
      </w:r>
      <w:r w:rsidRPr="00FB040E">
        <w:rPr>
          <w:rFonts w:ascii="SimSun" w:cs="Times New Roman" w:hint="eastAsia"/>
          <w:kern w:val="18"/>
          <w:sz w:val="18"/>
          <w:lang w:val="zh-CN"/>
        </w:rPr>
        <w:t>参阅</w:t>
      </w:r>
      <w:r w:rsidRPr="00FB040E">
        <w:rPr>
          <w:rFonts w:ascii="SimSun" w:cs="Times New Roman" w:hint="eastAsia"/>
          <w:kern w:val="18"/>
          <w:sz w:val="18"/>
          <w:lang w:val="en-US"/>
        </w:rPr>
        <w:t>：</w:t>
      </w:r>
      <w:hyperlink r:id="rId4" w:history="1">
        <w:r w:rsidRPr="00FB040E">
          <w:rPr>
            <w:rStyle w:val="Hyperlink"/>
            <w:kern w:val="18"/>
            <w:lang w:val="en-US"/>
          </w:rPr>
          <w:t>www.hudson.org/cgp</w:t>
        </w:r>
      </w:hyperlink>
      <w:r w:rsidRPr="00FB040E">
        <w:rPr>
          <w:rFonts w:ascii="SimSun" w:cs="Times New Roman" w:hint="eastAsia"/>
          <w:lang w:val="zh-CN"/>
        </w:rPr>
        <w:t>。</w:t>
      </w:r>
    </w:p>
  </w:footnote>
  <w:footnote w:id="9">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kern w:val="18"/>
          <w:lang w:val="en-US"/>
        </w:rPr>
        <w:t>CBD/SBI/2/8/Add.1</w:t>
      </w:r>
      <w:r>
        <w:rPr>
          <w:rFonts w:ascii="SimSun" w:hint="eastAsia"/>
          <w:kern w:val="18"/>
          <w:lang w:val="zh-CN"/>
        </w:rPr>
        <w:t>。</w:t>
      </w:r>
    </w:p>
  </w:footnote>
  <w:footnote w:id="10">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sidRPr="00DC02AA">
        <w:rPr>
          <w:kern w:val="18"/>
        </w:rPr>
        <w:t>CBD/SBI/2/INF/25</w:t>
      </w:r>
      <w:r>
        <w:rPr>
          <w:rFonts w:ascii="SimSun" w:hint="eastAsia"/>
          <w:kern w:val="18"/>
          <w:lang w:val="zh-CN"/>
        </w:rPr>
        <w:t>。</w:t>
      </w:r>
    </w:p>
  </w:footnote>
  <w:footnote w:id="11">
    <w:p w:rsidR="005E3082" w:rsidRDefault="005E3082">
      <w:pPr>
        <w:pStyle w:val="FootnoteText"/>
        <w:kinsoku w:val="0"/>
        <w:overflowPunct w:val="0"/>
        <w:autoSpaceDE w:val="0"/>
        <w:autoSpaceDN w:val="0"/>
        <w:adjustRightInd w:val="0"/>
        <w:snapToGrid w:val="0"/>
        <w:ind w:firstLine="0"/>
        <w:jc w:val="left"/>
      </w:pPr>
      <w:r>
        <w:rPr>
          <w:rStyle w:val="FootnoteReference"/>
          <w:kern w:val="18"/>
        </w:rPr>
        <w:footnoteRef/>
      </w:r>
      <w:r>
        <w:rPr>
          <w:kern w:val="18"/>
        </w:rPr>
        <w:t xml:space="preserve"> </w:t>
      </w:r>
      <w:r>
        <w:rPr>
          <w:kern w:val="18"/>
          <w:lang w:val="zh-CN"/>
        </w:rPr>
        <w:t>CBD/SBI/2/8</w:t>
      </w:r>
      <w:r>
        <w:rPr>
          <w:rFonts w:ascii="SimSun" w:hint="eastAsia"/>
          <w:kern w:val="18"/>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082" w:rsidRDefault="005E3082">
    <w:pPr>
      <w:pStyle w:val="Header"/>
      <w:tabs>
        <w:tab w:val="clear" w:pos="4320"/>
        <w:tab w:val="clear" w:pos="8640"/>
      </w:tabs>
      <w:jc w:val="left"/>
      <w:rPr>
        <w:rFonts w:eastAsia="Times New Roman"/>
        <w:noProof/>
        <w:kern w:val="22"/>
        <w:lang w:val="en-US"/>
      </w:rPr>
    </w:pPr>
    <w:r>
      <w:rPr>
        <w:rFonts w:eastAsia="Times New Roman"/>
        <w:noProof/>
        <w:kern w:val="22"/>
        <w:lang w:val="en-US"/>
      </w:rPr>
      <w:t>CBD/SBI/2/8</w:t>
    </w:r>
  </w:p>
  <w:p w:rsidR="005E3082" w:rsidRDefault="005E3082">
    <w:pPr>
      <w:pStyle w:val="Header"/>
      <w:tabs>
        <w:tab w:val="clear" w:pos="4320"/>
        <w:tab w:val="clear" w:pos="8640"/>
      </w:tabs>
      <w:jc w:val="left"/>
      <w:rPr>
        <w:rFonts w:eastAsia="Times New Roman"/>
        <w:noProof/>
        <w:kern w:val="22"/>
        <w:lang w:val="en-US"/>
      </w:rPr>
    </w:pPr>
    <w:r>
      <w:rPr>
        <w:rFonts w:eastAsia="Times New Roman"/>
        <w:noProof/>
        <w:kern w:val="22"/>
        <w:lang w:val="en-US"/>
      </w:rPr>
      <w:t xml:space="preserve">Page </w:t>
    </w:r>
    <w:r w:rsidRPr="00C35578">
      <w:rPr>
        <w:rFonts w:eastAsia="Times New Roman"/>
        <w:noProof/>
        <w:kern w:val="22"/>
        <w:lang w:val="en-US"/>
      </w:rPr>
      <w:fldChar w:fldCharType="begin"/>
    </w:r>
    <w:r w:rsidRPr="00C35578">
      <w:rPr>
        <w:rFonts w:eastAsia="Times New Roman"/>
        <w:noProof/>
        <w:kern w:val="22"/>
        <w:lang w:val="en-US"/>
      </w:rPr>
      <w:instrText xml:space="preserve"> PAGE </w:instrText>
    </w:r>
    <w:r w:rsidRPr="00C35578">
      <w:rPr>
        <w:rFonts w:eastAsia="Times New Roman"/>
        <w:noProof/>
        <w:kern w:val="22"/>
        <w:lang w:val="en-US"/>
      </w:rPr>
      <w:fldChar w:fldCharType="separate"/>
    </w:r>
    <w:r w:rsidR="00AA0A55">
      <w:rPr>
        <w:rFonts w:eastAsia="Times New Roman"/>
        <w:noProof/>
        <w:kern w:val="22"/>
        <w:lang w:val="en-US"/>
      </w:rPr>
      <w:t>2</w:t>
    </w:r>
    <w:r w:rsidRPr="00C35578">
      <w:rPr>
        <w:rFonts w:eastAsia="Times New Roman"/>
        <w:noProof/>
        <w:kern w:val="22"/>
        <w:lang w:val="en-US"/>
      </w:rPr>
      <w:fldChar w:fldCharType="end"/>
    </w:r>
  </w:p>
  <w:p w:rsidR="005E3082" w:rsidRDefault="005E3082">
    <w:pPr>
      <w:pStyle w:val="Header"/>
      <w:tabs>
        <w:tab w:val="clear" w:pos="4320"/>
        <w:tab w:val="clear" w:pos="8640"/>
      </w:tabs>
      <w:jc w:val="left"/>
      <w:rPr>
        <w:rFonts w:eastAsia="Times New Roman"/>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082" w:rsidRDefault="005E3082">
    <w:pPr>
      <w:pStyle w:val="Header"/>
      <w:tabs>
        <w:tab w:val="clear" w:pos="4320"/>
        <w:tab w:val="clear" w:pos="8640"/>
      </w:tabs>
      <w:jc w:val="right"/>
      <w:rPr>
        <w:rFonts w:eastAsia="Times New Roman"/>
        <w:noProof/>
        <w:kern w:val="22"/>
        <w:lang w:val="en-US"/>
      </w:rPr>
    </w:pPr>
    <w:r>
      <w:rPr>
        <w:rFonts w:eastAsia="Times New Roman"/>
        <w:noProof/>
        <w:kern w:val="22"/>
        <w:lang w:val="en-US"/>
      </w:rPr>
      <w:t>CBD/SBI/2/8</w:t>
    </w:r>
  </w:p>
  <w:p w:rsidR="005E3082" w:rsidRDefault="005E3082">
    <w:pPr>
      <w:pStyle w:val="Header"/>
      <w:tabs>
        <w:tab w:val="clear" w:pos="4320"/>
        <w:tab w:val="clear" w:pos="8640"/>
      </w:tabs>
      <w:jc w:val="right"/>
      <w:rPr>
        <w:rFonts w:eastAsia="Times New Roman"/>
        <w:noProof/>
        <w:kern w:val="22"/>
        <w:lang w:val="en-US"/>
      </w:rPr>
    </w:pPr>
    <w:r>
      <w:rPr>
        <w:rFonts w:eastAsia="Times New Roman"/>
        <w:noProof/>
        <w:kern w:val="22"/>
        <w:lang w:val="en-US"/>
      </w:rPr>
      <w:t xml:space="preserve">Page </w:t>
    </w:r>
    <w:r w:rsidRPr="00C35578">
      <w:rPr>
        <w:rFonts w:eastAsia="Times New Roman"/>
        <w:noProof/>
        <w:kern w:val="22"/>
        <w:lang w:val="en-US"/>
      </w:rPr>
      <w:fldChar w:fldCharType="begin"/>
    </w:r>
    <w:r w:rsidRPr="00C35578">
      <w:rPr>
        <w:rFonts w:eastAsia="Times New Roman"/>
        <w:noProof/>
        <w:kern w:val="22"/>
        <w:lang w:val="en-US"/>
      </w:rPr>
      <w:instrText xml:space="preserve"> PAGE </w:instrText>
    </w:r>
    <w:r w:rsidRPr="00C35578">
      <w:rPr>
        <w:rFonts w:eastAsia="Times New Roman"/>
        <w:noProof/>
        <w:kern w:val="22"/>
        <w:lang w:val="en-US"/>
      </w:rPr>
      <w:fldChar w:fldCharType="separate"/>
    </w:r>
    <w:r w:rsidR="00AA0A55">
      <w:rPr>
        <w:rFonts w:eastAsia="Times New Roman"/>
        <w:noProof/>
        <w:kern w:val="22"/>
        <w:lang w:val="en-US"/>
      </w:rPr>
      <w:t>11</w:t>
    </w:r>
    <w:r w:rsidRPr="00C35578">
      <w:rPr>
        <w:rFonts w:eastAsia="Times New Roman"/>
        <w:noProof/>
        <w:kern w:val="22"/>
        <w:lang w:val="en-US"/>
      </w:rPr>
      <w:fldChar w:fldCharType="end"/>
    </w:r>
  </w:p>
  <w:p w:rsidR="005E3082" w:rsidRDefault="005E3082">
    <w:pPr>
      <w:pStyle w:val="Header"/>
      <w:tabs>
        <w:tab w:val="clear" w:pos="4320"/>
        <w:tab w:val="clear" w:pos="8640"/>
      </w:tabs>
      <w:jc w:val="right"/>
      <w:rPr>
        <w:rFonts w:eastAsia="Times New Roman"/>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EA0D3D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 w15:restartNumberingAfterBreak="0">
    <w:nsid w:val="0F666E41"/>
    <w:multiLevelType w:val="hybridMultilevel"/>
    <w:tmpl w:val="F7423BF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F6F2C12"/>
    <w:multiLevelType w:val="hybridMultilevel"/>
    <w:tmpl w:val="D890C452"/>
    <w:lvl w:ilvl="0" w:tplc="CAB40D4C">
      <w:start w:val="1"/>
      <w:numFmt w:val="lowerLetter"/>
      <w:lvlText w:val="(%1)"/>
      <w:lvlJc w:val="left"/>
      <w:pPr>
        <w:ind w:left="720" w:hanging="360"/>
      </w:pPr>
      <w:rPr>
        <w:rFonts w:cs="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9F5757"/>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26216FD1"/>
    <w:multiLevelType w:val="multilevel"/>
    <w:tmpl w:val="08AC1BD0"/>
    <w:styleLink w:val="Style2"/>
    <w:lvl w:ilvl="0">
      <w:start w:val="29"/>
      <w:numFmt w:val="lowerLetter"/>
      <w:pStyle w:val="StylePara1Before0pt"/>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2A483CD1"/>
    <w:multiLevelType w:val="hybridMultilevel"/>
    <w:tmpl w:val="9C223A58"/>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1A54494"/>
    <w:multiLevelType w:val="hybridMultilevel"/>
    <w:tmpl w:val="2E3ACA98"/>
    <w:lvl w:ilvl="0" w:tplc="CAB40D4C">
      <w:start w:val="1"/>
      <w:numFmt w:val="lowerLetter"/>
      <w:lvlText w:val="(%1)"/>
      <w:lvlJc w:val="left"/>
      <w:pPr>
        <w:ind w:left="720" w:hanging="360"/>
      </w:pPr>
      <w:rPr>
        <w:rFonts w:cs="Times New Roman"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2" w15:restartNumberingAfterBreak="0">
    <w:nsid w:val="3B2A0643"/>
    <w:multiLevelType w:val="hybridMultilevel"/>
    <w:tmpl w:val="2AE4F4DE"/>
    <w:lvl w:ilvl="0" w:tplc="703E8A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4" w15:restartNumberingAfterBreak="0">
    <w:nsid w:val="44CC7FBB"/>
    <w:multiLevelType w:val="hybridMultilevel"/>
    <w:tmpl w:val="80D60170"/>
    <w:lvl w:ilvl="0" w:tplc="1CECD010">
      <w:start w:val="1"/>
      <w:numFmt w:val="lowerLetter"/>
      <w:pStyle w:val="aident"/>
      <w:lvlText w:val="(%1)"/>
      <w:lvlJc w:val="left"/>
      <w:pPr>
        <w:tabs>
          <w:tab w:val="num" w:pos="1077"/>
        </w:tabs>
        <w:ind w:left="1077" w:hanging="357"/>
      </w:pPr>
      <w:rPr>
        <w:rFonts w:ascii="Times New Roman" w:hAnsi="Times New Roman" w:cs="Times New Roman" w:hint="default"/>
        <w:b w:val="0"/>
        <w:i w:val="0"/>
        <w:sz w:val="22"/>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pStyle w:val="Heading5"/>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5" w15:restartNumberingAfterBreak="0">
    <w:nsid w:val="45756E9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pStyle w:val="Style1"/>
      <w:lvlText w:val="(%2)"/>
      <w:lvlJc w:val="left"/>
      <w:pPr>
        <w:tabs>
          <w:tab w:val="num" w:pos="1800"/>
        </w:tabs>
        <w:ind w:firstLine="1440"/>
      </w:pPr>
      <w:rPr>
        <w:rFonts w:cs="Times New Roman" w:hint="default"/>
        <w:b w:val="0"/>
        <w:i w:val="0"/>
        <w:sz w:val="22"/>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0442B4"/>
    <w:multiLevelType w:val="multilevel"/>
    <w:tmpl w:val="6406B29E"/>
    <w:lvl w:ilvl="0">
      <w:start w:val="1"/>
      <w:numFmt w:val="decimal"/>
      <w:lvlText w:val="%1."/>
      <w:lvlJc w:val="left"/>
      <w:pPr>
        <w:tabs>
          <w:tab w:val="num" w:pos="360"/>
        </w:tabs>
      </w:pPr>
      <w:rPr>
        <w:rFonts w:ascii="Times New Roman" w:eastAsia="MS Mincho" w:hAnsi="Times New Roman" w:cs="Angsana New"/>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15:restartNumberingAfterBreak="0">
    <w:nsid w:val="64EE46A3"/>
    <w:multiLevelType w:val="hybridMultilevel"/>
    <w:tmpl w:val="8CEA9782"/>
    <w:lvl w:ilvl="0" w:tplc="CF940006">
      <w:start w:val="1"/>
      <w:numFmt w:val="decimal"/>
      <w:lvlText w:val="%1."/>
      <w:lvlJc w:val="left"/>
      <w:pPr>
        <w:ind w:left="1260" w:hanging="360"/>
      </w:pPr>
      <w:rPr>
        <w:rFonts w:cs="Times New Roman"/>
        <w:b w:val="0"/>
        <w:i w:val="0"/>
        <w:sz w:val="22"/>
      </w:rPr>
    </w:lvl>
    <w:lvl w:ilvl="1" w:tplc="4BFC5A32">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4" w15:restartNumberingAfterBreak="0">
    <w:nsid w:val="65E84C82"/>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AB72FA6"/>
    <w:multiLevelType w:val="hybridMultilevel"/>
    <w:tmpl w:val="778A665C"/>
    <w:lvl w:ilvl="0" w:tplc="E6527B6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5308E7"/>
    <w:multiLevelType w:val="hybridMultilevel"/>
    <w:tmpl w:val="7334FF6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lvlText w:val="1."/>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794E79A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9" w15:restartNumberingAfterBreak="0">
    <w:nsid w:val="7CBD3463"/>
    <w:multiLevelType w:val="hybridMultilevel"/>
    <w:tmpl w:val="DCD6AA54"/>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7"/>
  </w:num>
  <w:num w:numId="6">
    <w:abstractNumId w:val="17"/>
  </w:num>
  <w:num w:numId="7">
    <w:abstractNumId w:val="14"/>
    <w:lvlOverride w:ilvl="0">
      <w:startOverride w:val="1"/>
    </w:lvlOverride>
  </w:num>
  <w:num w:numId="8">
    <w:abstractNumId w:val="1"/>
  </w:num>
  <w:num w:numId="9">
    <w:abstractNumId w:val="9"/>
  </w:num>
  <w:num w:numId="10">
    <w:abstractNumId w:val="23"/>
  </w:num>
  <w:num w:numId="11">
    <w:abstractNumId w:val="20"/>
  </w:num>
  <w:num w:numId="12">
    <w:abstractNumId w:val="11"/>
  </w:num>
  <w:num w:numId="13">
    <w:abstractNumId w:val="16"/>
  </w:num>
  <w:num w:numId="14">
    <w:abstractNumId w:val="13"/>
  </w:num>
  <w:num w:numId="15">
    <w:abstractNumId w:val="21"/>
  </w:num>
  <w:num w:numId="16">
    <w:abstractNumId w:val="5"/>
  </w:num>
  <w:num w:numId="17">
    <w:abstractNumId w:val="19"/>
  </w:num>
  <w:num w:numId="18">
    <w:abstractNumId w:val="22"/>
  </w:num>
  <w:num w:numId="19">
    <w:abstractNumId w:val="8"/>
  </w:num>
  <w:num w:numId="20">
    <w:abstractNumId w:val="27"/>
  </w:num>
  <w:num w:numId="21">
    <w:abstractNumId w:val="18"/>
  </w:num>
  <w:num w:numId="22">
    <w:abstractNumId w:val="0"/>
  </w:num>
  <w:num w:numId="23">
    <w:abstractNumId w:val="12"/>
  </w:num>
  <w:num w:numId="24">
    <w:abstractNumId w:val="6"/>
  </w:num>
  <w:num w:numId="25">
    <w:abstractNumId w:val="29"/>
  </w:num>
  <w:num w:numId="26">
    <w:abstractNumId w:val="2"/>
  </w:num>
  <w:num w:numId="27">
    <w:abstractNumId w:val="26"/>
  </w:num>
  <w:num w:numId="28">
    <w:abstractNumId w:val="10"/>
  </w:num>
  <w:num w:numId="29">
    <w:abstractNumId w:val="3"/>
  </w:num>
  <w:num w:numId="30">
    <w:abstractNumId w:val="28"/>
  </w:num>
  <w:num w:numId="31">
    <w:abstractNumId w:val="4"/>
  </w:num>
  <w:num w:numId="32">
    <w:abstractNumId w:val="15"/>
  </w:num>
  <w:num w:numId="33">
    <w:abstractNumId w:val="24"/>
  </w:num>
  <w:num w:numId="34">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4E0F"/>
    <w:rsid w:val="000018D4"/>
    <w:rsid w:val="0000395C"/>
    <w:rsid w:val="00005474"/>
    <w:rsid w:val="00005724"/>
    <w:rsid w:val="00006A12"/>
    <w:rsid w:val="00006C15"/>
    <w:rsid w:val="00006E94"/>
    <w:rsid w:val="0000752C"/>
    <w:rsid w:val="0000799F"/>
    <w:rsid w:val="000106CB"/>
    <w:rsid w:val="00011546"/>
    <w:rsid w:val="00011D38"/>
    <w:rsid w:val="000125FD"/>
    <w:rsid w:val="000130EE"/>
    <w:rsid w:val="000137DC"/>
    <w:rsid w:val="0001395B"/>
    <w:rsid w:val="00013D92"/>
    <w:rsid w:val="0001505B"/>
    <w:rsid w:val="000157BF"/>
    <w:rsid w:val="00015F50"/>
    <w:rsid w:val="000169EA"/>
    <w:rsid w:val="0001785A"/>
    <w:rsid w:val="00017CA7"/>
    <w:rsid w:val="00023CBD"/>
    <w:rsid w:val="00023D05"/>
    <w:rsid w:val="00025298"/>
    <w:rsid w:val="0002569C"/>
    <w:rsid w:val="000261A5"/>
    <w:rsid w:val="00026D45"/>
    <w:rsid w:val="000270CE"/>
    <w:rsid w:val="000271F9"/>
    <w:rsid w:val="00030AFA"/>
    <w:rsid w:val="00031DFC"/>
    <w:rsid w:val="0003261C"/>
    <w:rsid w:val="000332D4"/>
    <w:rsid w:val="0003374F"/>
    <w:rsid w:val="00033DAA"/>
    <w:rsid w:val="000343CD"/>
    <w:rsid w:val="00036EC8"/>
    <w:rsid w:val="0003703A"/>
    <w:rsid w:val="000379C5"/>
    <w:rsid w:val="00037B77"/>
    <w:rsid w:val="00040CD4"/>
    <w:rsid w:val="00040D2C"/>
    <w:rsid w:val="00040DEC"/>
    <w:rsid w:val="0004131C"/>
    <w:rsid w:val="00043AD0"/>
    <w:rsid w:val="00044448"/>
    <w:rsid w:val="00045D03"/>
    <w:rsid w:val="00050FA5"/>
    <w:rsid w:val="000512DF"/>
    <w:rsid w:val="00051567"/>
    <w:rsid w:val="000521F3"/>
    <w:rsid w:val="00052283"/>
    <w:rsid w:val="00052C88"/>
    <w:rsid w:val="00053A1F"/>
    <w:rsid w:val="00056CCC"/>
    <w:rsid w:val="00057114"/>
    <w:rsid w:val="000577B0"/>
    <w:rsid w:val="00057950"/>
    <w:rsid w:val="00057D65"/>
    <w:rsid w:val="000604C1"/>
    <w:rsid w:val="000609D1"/>
    <w:rsid w:val="000615F9"/>
    <w:rsid w:val="00062983"/>
    <w:rsid w:val="00062E18"/>
    <w:rsid w:val="00063203"/>
    <w:rsid w:val="00063619"/>
    <w:rsid w:val="0006387B"/>
    <w:rsid w:val="000644E6"/>
    <w:rsid w:val="00065397"/>
    <w:rsid w:val="00065E05"/>
    <w:rsid w:val="0006714C"/>
    <w:rsid w:val="0007070D"/>
    <w:rsid w:val="00070E02"/>
    <w:rsid w:val="000719F5"/>
    <w:rsid w:val="00071E24"/>
    <w:rsid w:val="00073903"/>
    <w:rsid w:val="00074692"/>
    <w:rsid w:val="00074D8A"/>
    <w:rsid w:val="000754B6"/>
    <w:rsid w:val="000768AB"/>
    <w:rsid w:val="00076DAA"/>
    <w:rsid w:val="00077FE1"/>
    <w:rsid w:val="00081A12"/>
    <w:rsid w:val="000829BC"/>
    <w:rsid w:val="00082AF6"/>
    <w:rsid w:val="00082BF6"/>
    <w:rsid w:val="00083167"/>
    <w:rsid w:val="00083F57"/>
    <w:rsid w:val="00084DE7"/>
    <w:rsid w:val="00085304"/>
    <w:rsid w:val="000857B8"/>
    <w:rsid w:val="000857F4"/>
    <w:rsid w:val="0008586B"/>
    <w:rsid w:val="00090E40"/>
    <w:rsid w:val="00090FDD"/>
    <w:rsid w:val="000927B5"/>
    <w:rsid w:val="00093501"/>
    <w:rsid w:val="000937AA"/>
    <w:rsid w:val="000948E5"/>
    <w:rsid w:val="00094C9B"/>
    <w:rsid w:val="00095BBA"/>
    <w:rsid w:val="00095FB3"/>
    <w:rsid w:val="000962A9"/>
    <w:rsid w:val="0009645C"/>
    <w:rsid w:val="000A0D20"/>
    <w:rsid w:val="000A2EF5"/>
    <w:rsid w:val="000A37DF"/>
    <w:rsid w:val="000A3E0B"/>
    <w:rsid w:val="000A5DA9"/>
    <w:rsid w:val="000A6299"/>
    <w:rsid w:val="000A6ED7"/>
    <w:rsid w:val="000B11A5"/>
    <w:rsid w:val="000B19BA"/>
    <w:rsid w:val="000B1F25"/>
    <w:rsid w:val="000B26B9"/>
    <w:rsid w:val="000B3673"/>
    <w:rsid w:val="000B371E"/>
    <w:rsid w:val="000B4303"/>
    <w:rsid w:val="000B4660"/>
    <w:rsid w:val="000B53BC"/>
    <w:rsid w:val="000C06F8"/>
    <w:rsid w:val="000C0DAE"/>
    <w:rsid w:val="000C24A8"/>
    <w:rsid w:val="000C29BC"/>
    <w:rsid w:val="000C56C5"/>
    <w:rsid w:val="000C5BB9"/>
    <w:rsid w:val="000C6CC1"/>
    <w:rsid w:val="000C7659"/>
    <w:rsid w:val="000C7AED"/>
    <w:rsid w:val="000D0625"/>
    <w:rsid w:val="000D0D11"/>
    <w:rsid w:val="000D1057"/>
    <w:rsid w:val="000D118D"/>
    <w:rsid w:val="000D178B"/>
    <w:rsid w:val="000D2531"/>
    <w:rsid w:val="000D5303"/>
    <w:rsid w:val="000D6963"/>
    <w:rsid w:val="000D6FD2"/>
    <w:rsid w:val="000D742A"/>
    <w:rsid w:val="000D7E7A"/>
    <w:rsid w:val="000E0D1D"/>
    <w:rsid w:val="000E1262"/>
    <w:rsid w:val="000E44EB"/>
    <w:rsid w:val="000E4558"/>
    <w:rsid w:val="000E590C"/>
    <w:rsid w:val="000F20E2"/>
    <w:rsid w:val="000F3791"/>
    <w:rsid w:val="000F3EA4"/>
    <w:rsid w:val="000F50EA"/>
    <w:rsid w:val="000F599B"/>
    <w:rsid w:val="000F6343"/>
    <w:rsid w:val="000F78FD"/>
    <w:rsid w:val="00101BF1"/>
    <w:rsid w:val="00101E91"/>
    <w:rsid w:val="00102DB3"/>
    <w:rsid w:val="0010379D"/>
    <w:rsid w:val="001048B5"/>
    <w:rsid w:val="00105750"/>
    <w:rsid w:val="00105819"/>
    <w:rsid w:val="0010594D"/>
    <w:rsid w:val="00105A40"/>
    <w:rsid w:val="001062D4"/>
    <w:rsid w:val="00106A1E"/>
    <w:rsid w:val="001101D4"/>
    <w:rsid w:val="00110D4C"/>
    <w:rsid w:val="00111492"/>
    <w:rsid w:val="00111D6A"/>
    <w:rsid w:val="001122E9"/>
    <w:rsid w:val="00114F4F"/>
    <w:rsid w:val="00114FC1"/>
    <w:rsid w:val="001164AB"/>
    <w:rsid w:val="0011689E"/>
    <w:rsid w:val="00116BDB"/>
    <w:rsid w:val="001171E8"/>
    <w:rsid w:val="001178CC"/>
    <w:rsid w:val="001178F3"/>
    <w:rsid w:val="00120DAA"/>
    <w:rsid w:val="00120FCE"/>
    <w:rsid w:val="001221C3"/>
    <w:rsid w:val="00122AA3"/>
    <w:rsid w:val="00122DD5"/>
    <w:rsid w:val="00123CB5"/>
    <w:rsid w:val="00123E8C"/>
    <w:rsid w:val="00123EFB"/>
    <w:rsid w:val="00124153"/>
    <w:rsid w:val="00124821"/>
    <w:rsid w:val="00124F73"/>
    <w:rsid w:val="00125806"/>
    <w:rsid w:val="0012695E"/>
    <w:rsid w:val="00126960"/>
    <w:rsid w:val="00126993"/>
    <w:rsid w:val="00126AEA"/>
    <w:rsid w:val="001275BC"/>
    <w:rsid w:val="00127761"/>
    <w:rsid w:val="00130E9A"/>
    <w:rsid w:val="001313B4"/>
    <w:rsid w:val="00131414"/>
    <w:rsid w:val="001339C3"/>
    <w:rsid w:val="001343FE"/>
    <w:rsid w:val="00135171"/>
    <w:rsid w:val="0013524D"/>
    <w:rsid w:val="001352FA"/>
    <w:rsid w:val="001362E0"/>
    <w:rsid w:val="0013691E"/>
    <w:rsid w:val="00136C38"/>
    <w:rsid w:val="00137579"/>
    <w:rsid w:val="0013779D"/>
    <w:rsid w:val="00137A39"/>
    <w:rsid w:val="00140BB8"/>
    <w:rsid w:val="001416C5"/>
    <w:rsid w:val="001423AD"/>
    <w:rsid w:val="00143C89"/>
    <w:rsid w:val="001449B2"/>
    <w:rsid w:val="00144D88"/>
    <w:rsid w:val="00146C45"/>
    <w:rsid w:val="00146D8E"/>
    <w:rsid w:val="00147A01"/>
    <w:rsid w:val="00150AD4"/>
    <w:rsid w:val="00150BB2"/>
    <w:rsid w:val="00150D48"/>
    <w:rsid w:val="00151EC3"/>
    <w:rsid w:val="00152991"/>
    <w:rsid w:val="001539E2"/>
    <w:rsid w:val="00154D78"/>
    <w:rsid w:val="00155616"/>
    <w:rsid w:val="0015620D"/>
    <w:rsid w:val="00156FC6"/>
    <w:rsid w:val="001573C5"/>
    <w:rsid w:val="00160167"/>
    <w:rsid w:val="0016130A"/>
    <w:rsid w:val="0016273C"/>
    <w:rsid w:val="0016296B"/>
    <w:rsid w:val="0016330A"/>
    <w:rsid w:val="00164124"/>
    <w:rsid w:val="001645D2"/>
    <w:rsid w:val="001647F0"/>
    <w:rsid w:val="00164832"/>
    <w:rsid w:val="0016517D"/>
    <w:rsid w:val="0016539C"/>
    <w:rsid w:val="001671D3"/>
    <w:rsid w:val="0017060C"/>
    <w:rsid w:val="001721A7"/>
    <w:rsid w:val="00174E49"/>
    <w:rsid w:val="00176E77"/>
    <w:rsid w:val="00181849"/>
    <w:rsid w:val="001837AE"/>
    <w:rsid w:val="001841AA"/>
    <w:rsid w:val="001841C5"/>
    <w:rsid w:val="00184379"/>
    <w:rsid w:val="00186147"/>
    <w:rsid w:val="00187126"/>
    <w:rsid w:val="00191514"/>
    <w:rsid w:val="00191686"/>
    <w:rsid w:val="001934B2"/>
    <w:rsid w:val="00193806"/>
    <w:rsid w:val="001938F6"/>
    <w:rsid w:val="00194CFA"/>
    <w:rsid w:val="00194FF2"/>
    <w:rsid w:val="00196278"/>
    <w:rsid w:val="001966DB"/>
    <w:rsid w:val="001972B8"/>
    <w:rsid w:val="0019744E"/>
    <w:rsid w:val="001A0585"/>
    <w:rsid w:val="001A08ED"/>
    <w:rsid w:val="001A13F6"/>
    <w:rsid w:val="001A1A8C"/>
    <w:rsid w:val="001A1B02"/>
    <w:rsid w:val="001A26E2"/>
    <w:rsid w:val="001A432F"/>
    <w:rsid w:val="001A7D5E"/>
    <w:rsid w:val="001B08C1"/>
    <w:rsid w:val="001B2F43"/>
    <w:rsid w:val="001B412D"/>
    <w:rsid w:val="001B6A4B"/>
    <w:rsid w:val="001B73B3"/>
    <w:rsid w:val="001C19F0"/>
    <w:rsid w:val="001C1ED1"/>
    <w:rsid w:val="001C2D65"/>
    <w:rsid w:val="001C4823"/>
    <w:rsid w:val="001C600B"/>
    <w:rsid w:val="001C65AB"/>
    <w:rsid w:val="001C73C9"/>
    <w:rsid w:val="001C7D79"/>
    <w:rsid w:val="001C7EF2"/>
    <w:rsid w:val="001D188A"/>
    <w:rsid w:val="001D1B7B"/>
    <w:rsid w:val="001D1EDB"/>
    <w:rsid w:val="001D2209"/>
    <w:rsid w:val="001D2CD9"/>
    <w:rsid w:val="001D34E6"/>
    <w:rsid w:val="001D37AA"/>
    <w:rsid w:val="001D428D"/>
    <w:rsid w:val="001D4BA9"/>
    <w:rsid w:val="001D585F"/>
    <w:rsid w:val="001D7193"/>
    <w:rsid w:val="001D7D8A"/>
    <w:rsid w:val="001E03DA"/>
    <w:rsid w:val="001E17B8"/>
    <w:rsid w:val="001E199C"/>
    <w:rsid w:val="001E1F80"/>
    <w:rsid w:val="001E2445"/>
    <w:rsid w:val="001E36EA"/>
    <w:rsid w:val="001E41D1"/>
    <w:rsid w:val="001E41D6"/>
    <w:rsid w:val="001E5074"/>
    <w:rsid w:val="001E59C5"/>
    <w:rsid w:val="001E73B7"/>
    <w:rsid w:val="001E7FD2"/>
    <w:rsid w:val="001F0221"/>
    <w:rsid w:val="001F03A1"/>
    <w:rsid w:val="001F0A33"/>
    <w:rsid w:val="001F2A75"/>
    <w:rsid w:val="001F2B5D"/>
    <w:rsid w:val="001F3C18"/>
    <w:rsid w:val="001F4EAD"/>
    <w:rsid w:val="00200902"/>
    <w:rsid w:val="00201752"/>
    <w:rsid w:val="00201BCD"/>
    <w:rsid w:val="002023FB"/>
    <w:rsid w:val="002026FB"/>
    <w:rsid w:val="00202E66"/>
    <w:rsid w:val="00202E7F"/>
    <w:rsid w:val="002035EF"/>
    <w:rsid w:val="002042A2"/>
    <w:rsid w:val="002056F2"/>
    <w:rsid w:val="00205FEB"/>
    <w:rsid w:val="00206DB0"/>
    <w:rsid w:val="00207D32"/>
    <w:rsid w:val="00210FDA"/>
    <w:rsid w:val="002112D1"/>
    <w:rsid w:val="00211618"/>
    <w:rsid w:val="00211795"/>
    <w:rsid w:val="002120F6"/>
    <w:rsid w:val="00212CC5"/>
    <w:rsid w:val="00214212"/>
    <w:rsid w:val="00214311"/>
    <w:rsid w:val="002145C7"/>
    <w:rsid w:val="002169EB"/>
    <w:rsid w:val="00220593"/>
    <w:rsid w:val="0022187B"/>
    <w:rsid w:val="00221A07"/>
    <w:rsid w:val="00222837"/>
    <w:rsid w:val="00223A6E"/>
    <w:rsid w:val="00224A1E"/>
    <w:rsid w:val="00225E94"/>
    <w:rsid w:val="002268B2"/>
    <w:rsid w:val="002269E2"/>
    <w:rsid w:val="00226D95"/>
    <w:rsid w:val="00226DE9"/>
    <w:rsid w:val="002270DD"/>
    <w:rsid w:val="00227E6F"/>
    <w:rsid w:val="00230202"/>
    <w:rsid w:val="002309E1"/>
    <w:rsid w:val="00230D31"/>
    <w:rsid w:val="002311AB"/>
    <w:rsid w:val="00231453"/>
    <w:rsid w:val="0023272E"/>
    <w:rsid w:val="00233495"/>
    <w:rsid w:val="002336C0"/>
    <w:rsid w:val="0023397D"/>
    <w:rsid w:val="00233CDF"/>
    <w:rsid w:val="00237CAC"/>
    <w:rsid w:val="00240C99"/>
    <w:rsid w:val="00243F6D"/>
    <w:rsid w:val="00244094"/>
    <w:rsid w:val="002447F9"/>
    <w:rsid w:val="00244B2E"/>
    <w:rsid w:val="00244BC1"/>
    <w:rsid w:val="00244FD7"/>
    <w:rsid w:val="00246471"/>
    <w:rsid w:val="00246FC4"/>
    <w:rsid w:val="00247254"/>
    <w:rsid w:val="0024794E"/>
    <w:rsid w:val="00250BA5"/>
    <w:rsid w:val="00252472"/>
    <w:rsid w:val="00254375"/>
    <w:rsid w:val="00254469"/>
    <w:rsid w:val="0025563A"/>
    <w:rsid w:val="00256451"/>
    <w:rsid w:val="00256F5C"/>
    <w:rsid w:val="002570CC"/>
    <w:rsid w:val="00257129"/>
    <w:rsid w:val="0026001D"/>
    <w:rsid w:val="00261C0D"/>
    <w:rsid w:val="00261DED"/>
    <w:rsid w:val="00263355"/>
    <w:rsid w:val="00263EBC"/>
    <w:rsid w:val="00263FF2"/>
    <w:rsid w:val="002643CD"/>
    <w:rsid w:val="00264E4F"/>
    <w:rsid w:val="002679C0"/>
    <w:rsid w:val="00267AA3"/>
    <w:rsid w:val="00267FBD"/>
    <w:rsid w:val="00270DFD"/>
    <w:rsid w:val="00271A0E"/>
    <w:rsid w:val="0027264C"/>
    <w:rsid w:val="00272811"/>
    <w:rsid w:val="00272BBD"/>
    <w:rsid w:val="00273199"/>
    <w:rsid w:val="002732EC"/>
    <w:rsid w:val="00273401"/>
    <w:rsid w:val="00273A99"/>
    <w:rsid w:val="0027698F"/>
    <w:rsid w:val="00276F6A"/>
    <w:rsid w:val="002771D7"/>
    <w:rsid w:val="002774B7"/>
    <w:rsid w:val="00277CE2"/>
    <w:rsid w:val="0028068B"/>
    <w:rsid w:val="00280753"/>
    <w:rsid w:val="0028080E"/>
    <w:rsid w:val="00280E97"/>
    <w:rsid w:val="002814CE"/>
    <w:rsid w:val="00281B97"/>
    <w:rsid w:val="00283A57"/>
    <w:rsid w:val="00283D83"/>
    <w:rsid w:val="002843A6"/>
    <w:rsid w:val="002843E9"/>
    <w:rsid w:val="00285386"/>
    <w:rsid w:val="00285B46"/>
    <w:rsid w:val="00286DF5"/>
    <w:rsid w:val="00290627"/>
    <w:rsid w:val="002907D1"/>
    <w:rsid w:val="002908C6"/>
    <w:rsid w:val="002909E7"/>
    <w:rsid w:val="00290A0E"/>
    <w:rsid w:val="00293265"/>
    <w:rsid w:val="00294C94"/>
    <w:rsid w:val="00295434"/>
    <w:rsid w:val="00295BC4"/>
    <w:rsid w:val="00296574"/>
    <w:rsid w:val="002975AD"/>
    <w:rsid w:val="002A0055"/>
    <w:rsid w:val="002A0D72"/>
    <w:rsid w:val="002A2C89"/>
    <w:rsid w:val="002A4825"/>
    <w:rsid w:val="002A4871"/>
    <w:rsid w:val="002A4C61"/>
    <w:rsid w:val="002A5095"/>
    <w:rsid w:val="002A5455"/>
    <w:rsid w:val="002B0078"/>
    <w:rsid w:val="002B0681"/>
    <w:rsid w:val="002B1D44"/>
    <w:rsid w:val="002B25C5"/>
    <w:rsid w:val="002B4108"/>
    <w:rsid w:val="002B4A08"/>
    <w:rsid w:val="002B4B31"/>
    <w:rsid w:val="002B52FA"/>
    <w:rsid w:val="002B657E"/>
    <w:rsid w:val="002B6732"/>
    <w:rsid w:val="002B674D"/>
    <w:rsid w:val="002C0A85"/>
    <w:rsid w:val="002C1BF8"/>
    <w:rsid w:val="002C248D"/>
    <w:rsid w:val="002C2490"/>
    <w:rsid w:val="002C509F"/>
    <w:rsid w:val="002C758D"/>
    <w:rsid w:val="002D0326"/>
    <w:rsid w:val="002D2820"/>
    <w:rsid w:val="002D2A60"/>
    <w:rsid w:val="002D2C4D"/>
    <w:rsid w:val="002D3061"/>
    <w:rsid w:val="002D3270"/>
    <w:rsid w:val="002D4D05"/>
    <w:rsid w:val="002D4D7F"/>
    <w:rsid w:val="002D5AC4"/>
    <w:rsid w:val="002D6C9A"/>
    <w:rsid w:val="002E00FD"/>
    <w:rsid w:val="002E28DE"/>
    <w:rsid w:val="002E3B3A"/>
    <w:rsid w:val="002E3C03"/>
    <w:rsid w:val="002E4E67"/>
    <w:rsid w:val="002E552E"/>
    <w:rsid w:val="002F1751"/>
    <w:rsid w:val="002F21E7"/>
    <w:rsid w:val="002F2765"/>
    <w:rsid w:val="002F308E"/>
    <w:rsid w:val="002F42D8"/>
    <w:rsid w:val="002F4F51"/>
    <w:rsid w:val="002F519C"/>
    <w:rsid w:val="002F5700"/>
    <w:rsid w:val="002F7B38"/>
    <w:rsid w:val="002F7F48"/>
    <w:rsid w:val="00300669"/>
    <w:rsid w:val="00301691"/>
    <w:rsid w:val="003032CB"/>
    <w:rsid w:val="00304B50"/>
    <w:rsid w:val="00304C23"/>
    <w:rsid w:val="0030546E"/>
    <w:rsid w:val="00306095"/>
    <w:rsid w:val="003061EF"/>
    <w:rsid w:val="00306310"/>
    <w:rsid w:val="003068CD"/>
    <w:rsid w:val="00306CF6"/>
    <w:rsid w:val="003070A5"/>
    <w:rsid w:val="003077F6"/>
    <w:rsid w:val="00307F48"/>
    <w:rsid w:val="00310805"/>
    <w:rsid w:val="00311756"/>
    <w:rsid w:val="00312979"/>
    <w:rsid w:val="00313E42"/>
    <w:rsid w:val="00314994"/>
    <w:rsid w:val="00315211"/>
    <w:rsid w:val="00316C7D"/>
    <w:rsid w:val="003218FC"/>
    <w:rsid w:val="00321EAB"/>
    <w:rsid w:val="00321F5A"/>
    <w:rsid w:val="0032316C"/>
    <w:rsid w:val="00323CBF"/>
    <w:rsid w:val="00324DD2"/>
    <w:rsid w:val="0032636E"/>
    <w:rsid w:val="00330AC9"/>
    <w:rsid w:val="00331C98"/>
    <w:rsid w:val="00332CE2"/>
    <w:rsid w:val="00333D5A"/>
    <w:rsid w:val="00333D9F"/>
    <w:rsid w:val="003340AE"/>
    <w:rsid w:val="00334685"/>
    <w:rsid w:val="00336313"/>
    <w:rsid w:val="003367B6"/>
    <w:rsid w:val="00336F16"/>
    <w:rsid w:val="00337858"/>
    <w:rsid w:val="00337A08"/>
    <w:rsid w:val="00337AE6"/>
    <w:rsid w:val="003401FA"/>
    <w:rsid w:val="0034233F"/>
    <w:rsid w:val="00342BE1"/>
    <w:rsid w:val="00342C49"/>
    <w:rsid w:val="0034426C"/>
    <w:rsid w:val="00344B5A"/>
    <w:rsid w:val="0034599A"/>
    <w:rsid w:val="003476D0"/>
    <w:rsid w:val="00347AD4"/>
    <w:rsid w:val="00347E35"/>
    <w:rsid w:val="00350B80"/>
    <w:rsid w:val="00350DA8"/>
    <w:rsid w:val="0035144F"/>
    <w:rsid w:val="0035223B"/>
    <w:rsid w:val="00352D06"/>
    <w:rsid w:val="00354055"/>
    <w:rsid w:val="00361CB7"/>
    <w:rsid w:val="0036296B"/>
    <w:rsid w:val="00362CA3"/>
    <w:rsid w:val="00362FBA"/>
    <w:rsid w:val="0036336B"/>
    <w:rsid w:val="00365ABB"/>
    <w:rsid w:val="0036615B"/>
    <w:rsid w:val="00367054"/>
    <w:rsid w:val="00367421"/>
    <w:rsid w:val="00367A94"/>
    <w:rsid w:val="00373CEA"/>
    <w:rsid w:val="00373CEB"/>
    <w:rsid w:val="00374C17"/>
    <w:rsid w:val="00375350"/>
    <w:rsid w:val="00375E98"/>
    <w:rsid w:val="00375F94"/>
    <w:rsid w:val="00376218"/>
    <w:rsid w:val="003768B1"/>
    <w:rsid w:val="003768BF"/>
    <w:rsid w:val="003769A6"/>
    <w:rsid w:val="0037716D"/>
    <w:rsid w:val="00380048"/>
    <w:rsid w:val="0038157F"/>
    <w:rsid w:val="00381F45"/>
    <w:rsid w:val="0038264F"/>
    <w:rsid w:val="00383CFD"/>
    <w:rsid w:val="00383DA3"/>
    <w:rsid w:val="003841D6"/>
    <w:rsid w:val="003845E5"/>
    <w:rsid w:val="00384759"/>
    <w:rsid w:val="00384B78"/>
    <w:rsid w:val="00384F1B"/>
    <w:rsid w:val="0038587E"/>
    <w:rsid w:val="00385E6E"/>
    <w:rsid w:val="00386947"/>
    <w:rsid w:val="00386CB7"/>
    <w:rsid w:val="003909CB"/>
    <w:rsid w:val="003923B1"/>
    <w:rsid w:val="00392DED"/>
    <w:rsid w:val="00394037"/>
    <w:rsid w:val="0039556E"/>
    <w:rsid w:val="00396487"/>
    <w:rsid w:val="00396F94"/>
    <w:rsid w:val="003970FB"/>
    <w:rsid w:val="003975A6"/>
    <w:rsid w:val="00397AD0"/>
    <w:rsid w:val="00397CC7"/>
    <w:rsid w:val="003A0459"/>
    <w:rsid w:val="003A11D9"/>
    <w:rsid w:val="003A219C"/>
    <w:rsid w:val="003A23C7"/>
    <w:rsid w:val="003A6D03"/>
    <w:rsid w:val="003A720D"/>
    <w:rsid w:val="003A77B3"/>
    <w:rsid w:val="003B01B7"/>
    <w:rsid w:val="003B0FB0"/>
    <w:rsid w:val="003B1329"/>
    <w:rsid w:val="003B13D2"/>
    <w:rsid w:val="003B168F"/>
    <w:rsid w:val="003B384A"/>
    <w:rsid w:val="003B3F42"/>
    <w:rsid w:val="003B4583"/>
    <w:rsid w:val="003B4C00"/>
    <w:rsid w:val="003B4E13"/>
    <w:rsid w:val="003B5625"/>
    <w:rsid w:val="003B56DC"/>
    <w:rsid w:val="003B5BC8"/>
    <w:rsid w:val="003B67F3"/>
    <w:rsid w:val="003B6F6F"/>
    <w:rsid w:val="003B6FF5"/>
    <w:rsid w:val="003B788F"/>
    <w:rsid w:val="003C00AA"/>
    <w:rsid w:val="003C06A1"/>
    <w:rsid w:val="003C0DF2"/>
    <w:rsid w:val="003C1770"/>
    <w:rsid w:val="003C1CF6"/>
    <w:rsid w:val="003C2EEF"/>
    <w:rsid w:val="003C2F9C"/>
    <w:rsid w:val="003C3938"/>
    <w:rsid w:val="003C4714"/>
    <w:rsid w:val="003C4EFC"/>
    <w:rsid w:val="003C52EC"/>
    <w:rsid w:val="003C5BAD"/>
    <w:rsid w:val="003C6BDA"/>
    <w:rsid w:val="003C6F6E"/>
    <w:rsid w:val="003D1F6D"/>
    <w:rsid w:val="003D277B"/>
    <w:rsid w:val="003D3908"/>
    <w:rsid w:val="003D3A35"/>
    <w:rsid w:val="003D5A21"/>
    <w:rsid w:val="003D6417"/>
    <w:rsid w:val="003D713D"/>
    <w:rsid w:val="003D72E5"/>
    <w:rsid w:val="003D7EB4"/>
    <w:rsid w:val="003E22EE"/>
    <w:rsid w:val="003E28C0"/>
    <w:rsid w:val="003E2A02"/>
    <w:rsid w:val="003E317C"/>
    <w:rsid w:val="003E567A"/>
    <w:rsid w:val="003E61B8"/>
    <w:rsid w:val="003E6744"/>
    <w:rsid w:val="003E6F4E"/>
    <w:rsid w:val="003E6F57"/>
    <w:rsid w:val="003F04AB"/>
    <w:rsid w:val="003F07D0"/>
    <w:rsid w:val="003F0F0E"/>
    <w:rsid w:val="003F0FCB"/>
    <w:rsid w:val="003F2E72"/>
    <w:rsid w:val="003F406C"/>
    <w:rsid w:val="003F4150"/>
    <w:rsid w:val="003F44A4"/>
    <w:rsid w:val="003F6494"/>
    <w:rsid w:val="003F6CEC"/>
    <w:rsid w:val="003F6D36"/>
    <w:rsid w:val="003F7302"/>
    <w:rsid w:val="003F7D97"/>
    <w:rsid w:val="00400144"/>
    <w:rsid w:val="00401FA0"/>
    <w:rsid w:val="00402146"/>
    <w:rsid w:val="004024BF"/>
    <w:rsid w:val="004028B6"/>
    <w:rsid w:val="00402E07"/>
    <w:rsid w:val="00403156"/>
    <w:rsid w:val="00403428"/>
    <w:rsid w:val="00406438"/>
    <w:rsid w:val="004066B8"/>
    <w:rsid w:val="00407C67"/>
    <w:rsid w:val="004101EA"/>
    <w:rsid w:val="004104C5"/>
    <w:rsid w:val="0041161B"/>
    <w:rsid w:val="00411F73"/>
    <w:rsid w:val="00412D1B"/>
    <w:rsid w:val="0041441C"/>
    <w:rsid w:val="00414977"/>
    <w:rsid w:val="00414A37"/>
    <w:rsid w:val="00414E30"/>
    <w:rsid w:val="00414F48"/>
    <w:rsid w:val="004155EC"/>
    <w:rsid w:val="00415A48"/>
    <w:rsid w:val="00415C0F"/>
    <w:rsid w:val="004168FE"/>
    <w:rsid w:val="00416CCF"/>
    <w:rsid w:val="0042090E"/>
    <w:rsid w:val="00420D90"/>
    <w:rsid w:val="00422087"/>
    <w:rsid w:val="00422DD0"/>
    <w:rsid w:val="004238BD"/>
    <w:rsid w:val="00423A16"/>
    <w:rsid w:val="00423AA3"/>
    <w:rsid w:val="004247F4"/>
    <w:rsid w:val="00424E0F"/>
    <w:rsid w:val="004267F6"/>
    <w:rsid w:val="00426E2C"/>
    <w:rsid w:val="00427031"/>
    <w:rsid w:val="004305AF"/>
    <w:rsid w:val="004329C9"/>
    <w:rsid w:val="00433B20"/>
    <w:rsid w:val="0043466F"/>
    <w:rsid w:val="004347F9"/>
    <w:rsid w:val="00435DB4"/>
    <w:rsid w:val="00436194"/>
    <w:rsid w:val="004367B7"/>
    <w:rsid w:val="00436C05"/>
    <w:rsid w:val="00437A9A"/>
    <w:rsid w:val="0044107D"/>
    <w:rsid w:val="0044183E"/>
    <w:rsid w:val="0044340B"/>
    <w:rsid w:val="00443BEC"/>
    <w:rsid w:val="00443C2E"/>
    <w:rsid w:val="0044424B"/>
    <w:rsid w:val="00444B04"/>
    <w:rsid w:val="004453AF"/>
    <w:rsid w:val="00445558"/>
    <w:rsid w:val="00446A90"/>
    <w:rsid w:val="0045087F"/>
    <w:rsid w:val="00451B77"/>
    <w:rsid w:val="00451E1C"/>
    <w:rsid w:val="004521B2"/>
    <w:rsid w:val="00454923"/>
    <w:rsid w:val="00455AB8"/>
    <w:rsid w:val="0045666A"/>
    <w:rsid w:val="004577B0"/>
    <w:rsid w:val="00460186"/>
    <w:rsid w:val="0046037E"/>
    <w:rsid w:val="00460DEA"/>
    <w:rsid w:val="004616E3"/>
    <w:rsid w:val="00461A69"/>
    <w:rsid w:val="00463F0E"/>
    <w:rsid w:val="0046424B"/>
    <w:rsid w:val="004651BB"/>
    <w:rsid w:val="0046530B"/>
    <w:rsid w:val="004659AD"/>
    <w:rsid w:val="00465C9A"/>
    <w:rsid w:val="00466BE6"/>
    <w:rsid w:val="004670B8"/>
    <w:rsid w:val="00470DBE"/>
    <w:rsid w:val="004716A2"/>
    <w:rsid w:val="00473D34"/>
    <w:rsid w:val="00474126"/>
    <w:rsid w:val="004741F0"/>
    <w:rsid w:val="004749BB"/>
    <w:rsid w:val="0047695A"/>
    <w:rsid w:val="00477F62"/>
    <w:rsid w:val="004804CD"/>
    <w:rsid w:val="004804E5"/>
    <w:rsid w:val="00480748"/>
    <w:rsid w:val="0048166C"/>
    <w:rsid w:val="00483CE6"/>
    <w:rsid w:val="00484FE8"/>
    <w:rsid w:val="00485352"/>
    <w:rsid w:val="0048598B"/>
    <w:rsid w:val="004877A6"/>
    <w:rsid w:val="00490622"/>
    <w:rsid w:val="00491628"/>
    <w:rsid w:val="00491825"/>
    <w:rsid w:val="00492099"/>
    <w:rsid w:val="00493B00"/>
    <w:rsid w:val="00494431"/>
    <w:rsid w:val="00497262"/>
    <w:rsid w:val="0049767B"/>
    <w:rsid w:val="004A05DC"/>
    <w:rsid w:val="004A0738"/>
    <w:rsid w:val="004A1C76"/>
    <w:rsid w:val="004A1D41"/>
    <w:rsid w:val="004A1EA5"/>
    <w:rsid w:val="004A36C3"/>
    <w:rsid w:val="004A3A78"/>
    <w:rsid w:val="004A3D7A"/>
    <w:rsid w:val="004A60C0"/>
    <w:rsid w:val="004A69CA"/>
    <w:rsid w:val="004A6BBF"/>
    <w:rsid w:val="004A78D9"/>
    <w:rsid w:val="004B0511"/>
    <w:rsid w:val="004B42A0"/>
    <w:rsid w:val="004B42C4"/>
    <w:rsid w:val="004B440F"/>
    <w:rsid w:val="004B4799"/>
    <w:rsid w:val="004B5D26"/>
    <w:rsid w:val="004B65B0"/>
    <w:rsid w:val="004B6735"/>
    <w:rsid w:val="004B67FF"/>
    <w:rsid w:val="004C0098"/>
    <w:rsid w:val="004C16FB"/>
    <w:rsid w:val="004C1D73"/>
    <w:rsid w:val="004C41C9"/>
    <w:rsid w:val="004C54B3"/>
    <w:rsid w:val="004D13E7"/>
    <w:rsid w:val="004D198C"/>
    <w:rsid w:val="004D21CF"/>
    <w:rsid w:val="004D3181"/>
    <w:rsid w:val="004D34DF"/>
    <w:rsid w:val="004D391D"/>
    <w:rsid w:val="004D3FDF"/>
    <w:rsid w:val="004D426E"/>
    <w:rsid w:val="004D4385"/>
    <w:rsid w:val="004D43EB"/>
    <w:rsid w:val="004D4C00"/>
    <w:rsid w:val="004D4DB7"/>
    <w:rsid w:val="004D581D"/>
    <w:rsid w:val="004E0918"/>
    <w:rsid w:val="004E0DFB"/>
    <w:rsid w:val="004E0E43"/>
    <w:rsid w:val="004E1FE3"/>
    <w:rsid w:val="004E3DBC"/>
    <w:rsid w:val="004E5720"/>
    <w:rsid w:val="004E5D67"/>
    <w:rsid w:val="004E6F42"/>
    <w:rsid w:val="004F1286"/>
    <w:rsid w:val="004F12DE"/>
    <w:rsid w:val="004F1A61"/>
    <w:rsid w:val="004F2918"/>
    <w:rsid w:val="004F63FF"/>
    <w:rsid w:val="004F6536"/>
    <w:rsid w:val="004F6BA1"/>
    <w:rsid w:val="004F74AC"/>
    <w:rsid w:val="004F7BB3"/>
    <w:rsid w:val="0050213C"/>
    <w:rsid w:val="00504339"/>
    <w:rsid w:val="00506086"/>
    <w:rsid w:val="00506615"/>
    <w:rsid w:val="005069F8"/>
    <w:rsid w:val="005074CE"/>
    <w:rsid w:val="00507DA0"/>
    <w:rsid w:val="00510463"/>
    <w:rsid w:val="00510B3B"/>
    <w:rsid w:val="00511B0D"/>
    <w:rsid w:val="00512F67"/>
    <w:rsid w:val="0051338E"/>
    <w:rsid w:val="00514A57"/>
    <w:rsid w:val="00514EC9"/>
    <w:rsid w:val="0051593D"/>
    <w:rsid w:val="00516037"/>
    <w:rsid w:val="0051612C"/>
    <w:rsid w:val="00516301"/>
    <w:rsid w:val="00517CC8"/>
    <w:rsid w:val="00520FD9"/>
    <w:rsid w:val="00521A3B"/>
    <w:rsid w:val="0052265A"/>
    <w:rsid w:val="00523198"/>
    <w:rsid w:val="00523328"/>
    <w:rsid w:val="005236C8"/>
    <w:rsid w:val="005236ED"/>
    <w:rsid w:val="00523EB6"/>
    <w:rsid w:val="00524D8A"/>
    <w:rsid w:val="005262AD"/>
    <w:rsid w:val="00526968"/>
    <w:rsid w:val="00527411"/>
    <w:rsid w:val="00527E13"/>
    <w:rsid w:val="00531063"/>
    <w:rsid w:val="005310CA"/>
    <w:rsid w:val="00531F95"/>
    <w:rsid w:val="00532185"/>
    <w:rsid w:val="00533529"/>
    <w:rsid w:val="00535943"/>
    <w:rsid w:val="00535CFD"/>
    <w:rsid w:val="00535D4C"/>
    <w:rsid w:val="00535F7C"/>
    <w:rsid w:val="00537803"/>
    <w:rsid w:val="00540027"/>
    <w:rsid w:val="00540D69"/>
    <w:rsid w:val="00543E6D"/>
    <w:rsid w:val="0054465F"/>
    <w:rsid w:val="005447D2"/>
    <w:rsid w:val="00545E01"/>
    <w:rsid w:val="00545FC1"/>
    <w:rsid w:val="00546911"/>
    <w:rsid w:val="005500AD"/>
    <w:rsid w:val="0055151A"/>
    <w:rsid w:val="00551A1E"/>
    <w:rsid w:val="005523FA"/>
    <w:rsid w:val="0055331E"/>
    <w:rsid w:val="00553CC6"/>
    <w:rsid w:val="0055459A"/>
    <w:rsid w:val="005552F3"/>
    <w:rsid w:val="00557A51"/>
    <w:rsid w:val="00560118"/>
    <w:rsid w:val="0056020A"/>
    <w:rsid w:val="00561738"/>
    <w:rsid w:val="00562255"/>
    <w:rsid w:val="00562CE2"/>
    <w:rsid w:val="00563080"/>
    <w:rsid w:val="00563469"/>
    <w:rsid w:val="00563B5C"/>
    <w:rsid w:val="00564E94"/>
    <w:rsid w:val="00564EEA"/>
    <w:rsid w:val="00565197"/>
    <w:rsid w:val="0056558E"/>
    <w:rsid w:val="00570015"/>
    <w:rsid w:val="00571158"/>
    <w:rsid w:val="0057128D"/>
    <w:rsid w:val="0057254C"/>
    <w:rsid w:val="00573E33"/>
    <w:rsid w:val="0057431B"/>
    <w:rsid w:val="00575792"/>
    <w:rsid w:val="00576779"/>
    <w:rsid w:val="00576E4E"/>
    <w:rsid w:val="0058027C"/>
    <w:rsid w:val="0058034C"/>
    <w:rsid w:val="00581057"/>
    <w:rsid w:val="005811B2"/>
    <w:rsid w:val="005817A6"/>
    <w:rsid w:val="00581BBD"/>
    <w:rsid w:val="0058250A"/>
    <w:rsid w:val="00582542"/>
    <w:rsid w:val="00582865"/>
    <w:rsid w:val="0058374F"/>
    <w:rsid w:val="005844A6"/>
    <w:rsid w:val="0058476D"/>
    <w:rsid w:val="005864AE"/>
    <w:rsid w:val="00587BD9"/>
    <w:rsid w:val="00591FEE"/>
    <w:rsid w:val="00592101"/>
    <w:rsid w:val="00592322"/>
    <w:rsid w:val="00593EC9"/>
    <w:rsid w:val="00594176"/>
    <w:rsid w:val="005943E7"/>
    <w:rsid w:val="00594994"/>
    <w:rsid w:val="00595431"/>
    <w:rsid w:val="0059644A"/>
    <w:rsid w:val="00596E7F"/>
    <w:rsid w:val="00597E2E"/>
    <w:rsid w:val="005A1FBE"/>
    <w:rsid w:val="005A201E"/>
    <w:rsid w:val="005A2149"/>
    <w:rsid w:val="005A3577"/>
    <w:rsid w:val="005A41A8"/>
    <w:rsid w:val="005A442E"/>
    <w:rsid w:val="005A44EB"/>
    <w:rsid w:val="005A466F"/>
    <w:rsid w:val="005A7800"/>
    <w:rsid w:val="005B0B25"/>
    <w:rsid w:val="005B260B"/>
    <w:rsid w:val="005B2632"/>
    <w:rsid w:val="005B31F0"/>
    <w:rsid w:val="005B4A4A"/>
    <w:rsid w:val="005B4A7C"/>
    <w:rsid w:val="005B5B7A"/>
    <w:rsid w:val="005B5CCF"/>
    <w:rsid w:val="005B7701"/>
    <w:rsid w:val="005B7A40"/>
    <w:rsid w:val="005C23C2"/>
    <w:rsid w:val="005C4651"/>
    <w:rsid w:val="005C48CC"/>
    <w:rsid w:val="005C4AA2"/>
    <w:rsid w:val="005C4DE4"/>
    <w:rsid w:val="005C5251"/>
    <w:rsid w:val="005C5B4A"/>
    <w:rsid w:val="005C63FB"/>
    <w:rsid w:val="005C6490"/>
    <w:rsid w:val="005C64BF"/>
    <w:rsid w:val="005C69B0"/>
    <w:rsid w:val="005C6A5B"/>
    <w:rsid w:val="005C6C31"/>
    <w:rsid w:val="005C78F7"/>
    <w:rsid w:val="005D10C4"/>
    <w:rsid w:val="005D2AB0"/>
    <w:rsid w:val="005D3370"/>
    <w:rsid w:val="005D3FD5"/>
    <w:rsid w:val="005D453E"/>
    <w:rsid w:val="005D46C0"/>
    <w:rsid w:val="005D6AC0"/>
    <w:rsid w:val="005E0090"/>
    <w:rsid w:val="005E13A7"/>
    <w:rsid w:val="005E15B0"/>
    <w:rsid w:val="005E15D4"/>
    <w:rsid w:val="005E2220"/>
    <w:rsid w:val="005E2CCF"/>
    <w:rsid w:val="005E2DAC"/>
    <w:rsid w:val="005E2E4D"/>
    <w:rsid w:val="005E3082"/>
    <w:rsid w:val="005E5B5C"/>
    <w:rsid w:val="005E6D8A"/>
    <w:rsid w:val="005E76EB"/>
    <w:rsid w:val="005E7E66"/>
    <w:rsid w:val="005F09C1"/>
    <w:rsid w:val="005F14F4"/>
    <w:rsid w:val="005F1A25"/>
    <w:rsid w:val="005F3185"/>
    <w:rsid w:val="005F3291"/>
    <w:rsid w:val="005F32ED"/>
    <w:rsid w:val="005F44DD"/>
    <w:rsid w:val="005F49C6"/>
    <w:rsid w:val="005F4B5E"/>
    <w:rsid w:val="005F667B"/>
    <w:rsid w:val="005F6E06"/>
    <w:rsid w:val="00600525"/>
    <w:rsid w:val="00600668"/>
    <w:rsid w:val="00600F77"/>
    <w:rsid w:val="0060176C"/>
    <w:rsid w:val="00601F60"/>
    <w:rsid w:val="006029E2"/>
    <w:rsid w:val="0060581C"/>
    <w:rsid w:val="006059C7"/>
    <w:rsid w:val="00606ACC"/>
    <w:rsid w:val="006102B1"/>
    <w:rsid w:val="00612E4B"/>
    <w:rsid w:val="00614212"/>
    <w:rsid w:val="00614BA5"/>
    <w:rsid w:val="00615783"/>
    <w:rsid w:val="00615954"/>
    <w:rsid w:val="00616614"/>
    <w:rsid w:val="00616CA9"/>
    <w:rsid w:val="0062170B"/>
    <w:rsid w:val="00622700"/>
    <w:rsid w:val="00622C91"/>
    <w:rsid w:val="00623240"/>
    <w:rsid w:val="0062384C"/>
    <w:rsid w:val="00623866"/>
    <w:rsid w:val="006271FC"/>
    <w:rsid w:val="00627B19"/>
    <w:rsid w:val="00631A79"/>
    <w:rsid w:val="00633007"/>
    <w:rsid w:val="00633E57"/>
    <w:rsid w:val="00634854"/>
    <w:rsid w:val="00634C2E"/>
    <w:rsid w:val="0063517C"/>
    <w:rsid w:val="00635C4C"/>
    <w:rsid w:val="00637080"/>
    <w:rsid w:val="006406D1"/>
    <w:rsid w:val="00641050"/>
    <w:rsid w:val="00641217"/>
    <w:rsid w:val="00642506"/>
    <w:rsid w:val="0064330C"/>
    <w:rsid w:val="006433C5"/>
    <w:rsid w:val="00643A73"/>
    <w:rsid w:val="00643E0D"/>
    <w:rsid w:val="0064413D"/>
    <w:rsid w:val="00644438"/>
    <w:rsid w:val="00646F61"/>
    <w:rsid w:val="00647852"/>
    <w:rsid w:val="0065108A"/>
    <w:rsid w:val="00651524"/>
    <w:rsid w:val="00652596"/>
    <w:rsid w:val="00652930"/>
    <w:rsid w:val="00652FFB"/>
    <w:rsid w:val="006530D0"/>
    <w:rsid w:val="006562FD"/>
    <w:rsid w:val="00656B1A"/>
    <w:rsid w:val="0065715F"/>
    <w:rsid w:val="00657358"/>
    <w:rsid w:val="0065784D"/>
    <w:rsid w:val="00657C43"/>
    <w:rsid w:val="00660521"/>
    <w:rsid w:val="006606AF"/>
    <w:rsid w:val="00660A26"/>
    <w:rsid w:val="006611FA"/>
    <w:rsid w:val="00661216"/>
    <w:rsid w:val="00664479"/>
    <w:rsid w:val="00664A03"/>
    <w:rsid w:val="00664BBF"/>
    <w:rsid w:val="006700D2"/>
    <w:rsid w:val="006708A8"/>
    <w:rsid w:val="00674C19"/>
    <w:rsid w:val="006765B8"/>
    <w:rsid w:val="006765FC"/>
    <w:rsid w:val="00677347"/>
    <w:rsid w:val="0067767F"/>
    <w:rsid w:val="00680218"/>
    <w:rsid w:val="0068032F"/>
    <w:rsid w:val="00680BF7"/>
    <w:rsid w:val="00680D94"/>
    <w:rsid w:val="00681251"/>
    <w:rsid w:val="00681B8D"/>
    <w:rsid w:val="0068278C"/>
    <w:rsid w:val="00683EFA"/>
    <w:rsid w:val="006851AD"/>
    <w:rsid w:val="00685A77"/>
    <w:rsid w:val="00685C14"/>
    <w:rsid w:val="00685D20"/>
    <w:rsid w:val="00686137"/>
    <w:rsid w:val="006866F8"/>
    <w:rsid w:val="006871B9"/>
    <w:rsid w:val="006872FB"/>
    <w:rsid w:val="00690E28"/>
    <w:rsid w:val="00691315"/>
    <w:rsid w:val="00691969"/>
    <w:rsid w:val="00693172"/>
    <w:rsid w:val="00693E9D"/>
    <w:rsid w:val="00694382"/>
    <w:rsid w:val="00694B67"/>
    <w:rsid w:val="006968AD"/>
    <w:rsid w:val="00696DAE"/>
    <w:rsid w:val="006A01B1"/>
    <w:rsid w:val="006A09F2"/>
    <w:rsid w:val="006A1A94"/>
    <w:rsid w:val="006A218D"/>
    <w:rsid w:val="006A3516"/>
    <w:rsid w:val="006A3927"/>
    <w:rsid w:val="006A3AF8"/>
    <w:rsid w:val="006A74D4"/>
    <w:rsid w:val="006A7FB8"/>
    <w:rsid w:val="006B2C9B"/>
    <w:rsid w:val="006B3B4B"/>
    <w:rsid w:val="006B3DFE"/>
    <w:rsid w:val="006B4165"/>
    <w:rsid w:val="006B4406"/>
    <w:rsid w:val="006B5870"/>
    <w:rsid w:val="006B5F7D"/>
    <w:rsid w:val="006B6C79"/>
    <w:rsid w:val="006B6F3D"/>
    <w:rsid w:val="006B7196"/>
    <w:rsid w:val="006B76E4"/>
    <w:rsid w:val="006C0393"/>
    <w:rsid w:val="006C07F7"/>
    <w:rsid w:val="006C15D9"/>
    <w:rsid w:val="006C2076"/>
    <w:rsid w:val="006C22DF"/>
    <w:rsid w:val="006C25AE"/>
    <w:rsid w:val="006C2CC5"/>
    <w:rsid w:val="006C4C23"/>
    <w:rsid w:val="006C5AA3"/>
    <w:rsid w:val="006C5F25"/>
    <w:rsid w:val="006C68F4"/>
    <w:rsid w:val="006C7122"/>
    <w:rsid w:val="006D0293"/>
    <w:rsid w:val="006D1531"/>
    <w:rsid w:val="006D20F7"/>
    <w:rsid w:val="006D7697"/>
    <w:rsid w:val="006D77DF"/>
    <w:rsid w:val="006E04A6"/>
    <w:rsid w:val="006E126F"/>
    <w:rsid w:val="006E1516"/>
    <w:rsid w:val="006E247D"/>
    <w:rsid w:val="006E2E54"/>
    <w:rsid w:val="006E43AD"/>
    <w:rsid w:val="006E4C50"/>
    <w:rsid w:val="006E4FC3"/>
    <w:rsid w:val="006E51A7"/>
    <w:rsid w:val="006E5E7A"/>
    <w:rsid w:val="006F2809"/>
    <w:rsid w:val="006F2CCB"/>
    <w:rsid w:val="006F3D0E"/>
    <w:rsid w:val="006F4060"/>
    <w:rsid w:val="006F4234"/>
    <w:rsid w:val="006F6940"/>
    <w:rsid w:val="006F721D"/>
    <w:rsid w:val="006F72DE"/>
    <w:rsid w:val="006F7BD2"/>
    <w:rsid w:val="006F7CAC"/>
    <w:rsid w:val="00701407"/>
    <w:rsid w:val="00701B01"/>
    <w:rsid w:val="007029F8"/>
    <w:rsid w:val="007054F3"/>
    <w:rsid w:val="007064A8"/>
    <w:rsid w:val="007065B0"/>
    <w:rsid w:val="00707300"/>
    <w:rsid w:val="00710375"/>
    <w:rsid w:val="0071255E"/>
    <w:rsid w:val="00712646"/>
    <w:rsid w:val="007128BA"/>
    <w:rsid w:val="00712AE2"/>
    <w:rsid w:val="00712BBB"/>
    <w:rsid w:val="00712FA1"/>
    <w:rsid w:val="0071318C"/>
    <w:rsid w:val="007153D8"/>
    <w:rsid w:val="00715C16"/>
    <w:rsid w:val="00716E00"/>
    <w:rsid w:val="00717723"/>
    <w:rsid w:val="0072040D"/>
    <w:rsid w:val="00720FEE"/>
    <w:rsid w:val="007232C8"/>
    <w:rsid w:val="0072379D"/>
    <w:rsid w:val="00723D0C"/>
    <w:rsid w:val="00724468"/>
    <w:rsid w:val="0072591D"/>
    <w:rsid w:val="00725C33"/>
    <w:rsid w:val="007270E8"/>
    <w:rsid w:val="007272BC"/>
    <w:rsid w:val="00727C4C"/>
    <w:rsid w:val="0073018C"/>
    <w:rsid w:val="00731045"/>
    <w:rsid w:val="007317D5"/>
    <w:rsid w:val="00733207"/>
    <w:rsid w:val="00733847"/>
    <w:rsid w:val="00733DC5"/>
    <w:rsid w:val="00734731"/>
    <w:rsid w:val="0073567B"/>
    <w:rsid w:val="007358A4"/>
    <w:rsid w:val="00735D50"/>
    <w:rsid w:val="00735F22"/>
    <w:rsid w:val="007369BB"/>
    <w:rsid w:val="00736C8F"/>
    <w:rsid w:val="00736F4C"/>
    <w:rsid w:val="00737EC0"/>
    <w:rsid w:val="0074351F"/>
    <w:rsid w:val="00744168"/>
    <w:rsid w:val="007446CD"/>
    <w:rsid w:val="0074498D"/>
    <w:rsid w:val="00744D7B"/>
    <w:rsid w:val="00745211"/>
    <w:rsid w:val="00745CC8"/>
    <w:rsid w:val="00745F45"/>
    <w:rsid w:val="007462D4"/>
    <w:rsid w:val="0074634A"/>
    <w:rsid w:val="00746AB2"/>
    <w:rsid w:val="0074727A"/>
    <w:rsid w:val="007475A3"/>
    <w:rsid w:val="0075093A"/>
    <w:rsid w:val="00752623"/>
    <w:rsid w:val="00753622"/>
    <w:rsid w:val="0075392E"/>
    <w:rsid w:val="00753DBA"/>
    <w:rsid w:val="0075579C"/>
    <w:rsid w:val="00756B59"/>
    <w:rsid w:val="00757A0A"/>
    <w:rsid w:val="0076065A"/>
    <w:rsid w:val="00762098"/>
    <w:rsid w:val="0076209E"/>
    <w:rsid w:val="00763504"/>
    <w:rsid w:val="00764ABB"/>
    <w:rsid w:val="00764C56"/>
    <w:rsid w:val="00766B0C"/>
    <w:rsid w:val="00766F69"/>
    <w:rsid w:val="00770903"/>
    <w:rsid w:val="00774BF8"/>
    <w:rsid w:val="0077532B"/>
    <w:rsid w:val="0077622A"/>
    <w:rsid w:val="007762AF"/>
    <w:rsid w:val="007766D6"/>
    <w:rsid w:val="0077697B"/>
    <w:rsid w:val="00776BC9"/>
    <w:rsid w:val="00777BE9"/>
    <w:rsid w:val="00777ECA"/>
    <w:rsid w:val="00781CC3"/>
    <w:rsid w:val="00782BEC"/>
    <w:rsid w:val="00783852"/>
    <w:rsid w:val="0078513B"/>
    <w:rsid w:val="007854EB"/>
    <w:rsid w:val="00785646"/>
    <w:rsid w:val="00786D26"/>
    <w:rsid w:val="0078783B"/>
    <w:rsid w:val="00787BA9"/>
    <w:rsid w:val="007904EE"/>
    <w:rsid w:val="00790BD7"/>
    <w:rsid w:val="00790F82"/>
    <w:rsid w:val="007921D8"/>
    <w:rsid w:val="00793E7F"/>
    <w:rsid w:val="00794500"/>
    <w:rsid w:val="0079470A"/>
    <w:rsid w:val="00794ABC"/>
    <w:rsid w:val="007950D5"/>
    <w:rsid w:val="00795821"/>
    <w:rsid w:val="00795830"/>
    <w:rsid w:val="00797DE5"/>
    <w:rsid w:val="007A0207"/>
    <w:rsid w:val="007A033C"/>
    <w:rsid w:val="007A2503"/>
    <w:rsid w:val="007A26C3"/>
    <w:rsid w:val="007A273C"/>
    <w:rsid w:val="007A2783"/>
    <w:rsid w:val="007A29EF"/>
    <w:rsid w:val="007A31F6"/>
    <w:rsid w:val="007A3449"/>
    <w:rsid w:val="007A36CB"/>
    <w:rsid w:val="007A3E93"/>
    <w:rsid w:val="007A4922"/>
    <w:rsid w:val="007A5541"/>
    <w:rsid w:val="007A618F"/>
    <w:rsid w:val="007A6791"/>
    <w:rsid w:val="007A7DCE"/>
    <w:rsid w:val="007B07D9"/>
    <w:rsid w:val="007B0A9B"/>
    <w:rsid w:val="007B2944"/>
    <w:rsid w:val="007B2F69"/>
    <w:rsid w:val="007B344F"/>
    <w:rsid w:val="007B3D06"/>
    <w:rsid w:val="007B41CC"/>
    <w:rsid w:val="007B4CCE"/>
    <w:rsid w:val="007B4D68"/>
    <w:rsid w:val="007B5030"/>
    <w:rsid w:val="007B5627"/>
    <w:rsid w:val="007B5CD9"/>
    <w:rsid w:val="007B683A"/>
    <w:rsid w:val="007B6CFF"/>
    <w:rsid w:val="007C07E1"/>
    <w:rsid w:val="007C0AD3"/>
    <w:rsid w:val="007C1D61"/>
    <w:rsid w:val="007C24CD"/>
    <w:rsid w:val="007C2BC5"/>
    <w:rsid w:val="007C3A72"/>
    <w:rsid w:val="007C4CAD"/>
    <w:rsid w:val="007C4FC1"/>
    <w:rsid w:val="007C51CD"/>
    <w:rsid w:val="007C5626"/>
    <w:rsid w:val="007C58D1"/>
    <w:rsid w:val="007C5958"/>
    <w:rsid w:val="007C5AA2"/>
    <w:rsid w:val="007C62BF"/>
    <w:rsid w:val="007C6812"/>
    <w:rsid w:val="007C6DDB"/>
    <w:rsid w:val="007D07CB"/>
    <w:rsid w:val="007D118B"/>
    <w:rsid w:val="007D194A"/>
    <w:rsid w:val="007D3209"/>
    <w:rsid w:val="007D4D6E"/>
    <w:rsid w:val="007D52DA"/>
    <w:rsid w:val="007D546F"/>
    <w:rsid w:val="007D5DB0"/>
    <w:rsid w:val="007D5FE5"/>
    <w:rsid w:val="007D68AA"/>
    <w:rsid w:val="007D702D"/>
    <w:rsid w:val="007D79DA"/>
    <w:rsid w:val="007E0582"/>
    <w:rsid w:val="007E0EFA"/>
    <w:rsid w:val="007E16CA"/>
    <w:rsid w:val="007E1B05"/>
    <w:rsid w:val="007E318B"/>
    <w:rsid w:val="007E354A"/>
    <w:rsid w:val="007E3B27"/>
    <w:rsid w:val="007E3D1F"/>
    <w:rsid w:val="007E4A58"/>
    <w:rsid w:val="007E4BAF"/>
    <w:rsid w:val="007E4FFD"/>
    <w:rsid w:val="007E50AC"/>
    <w:rsid w:val="007E5B4D"/>
    <w:rsid w:val="007E6EF3"/>
    <w:rsid w:val="007F09E9"/>
    <w:rsid w:val="007F0CD6"/>
    <w:rsid w:val="007F1595"/>
    <w:rsid w:val="007F56A8"/>
    <w:rsid w:val="007F7178"/>
    <w:rsid w:val="007F7CB8"/>
    <w:rsid w:val="00800262"/>
    <w:rsid w:val="00800480"/>
    <w:rsid w:val="00800D60"/>
    <w:rsid w:val="008016CE"/>
    <w:rsid w:val="008021F8"/>
    <w:rsid w:val="00802B7D"/>
    <w:rsid w:val="008073F1"/>
    <w:rsid w:val="0080752B"/>
    <w:rsid w:val="008118DC"/>
    <w:rsid w:val="0081221F"/>
    <w:rsid w:val="008129F5"/>
    <w:rsid w:val="008138C3"/>
    <w:rsid w:val="00813E7B"/>
    <w:rsid w:val="00813F77"/>
    <w:rsid w:val="00814158"/>
    <w:rsid w:val="00814B64"/>
    <w:rsid w:val="00815A1A"/>
    <w:rsid w:val="00815FBB"/>
    <w:rsid w:val="00815FD7"/>
    <w:rsid w:val="0081660B"/>
    <w:rsid w:val="00817C96"/>
    <w:rsid w:val="00820B32"/>
    <w:rsid w:val="00821D90"/>
    <w:rsid w:val="00823CDA"/>
    <w:rsid w:val="00823EAA"/>
    <w:rsid w:val="00826454"/>
    <w:rsid w:val="00826BDC"/>
    <w:rsid w:val="00826CA7"/>
    <w:rsid w:val="00826D2D"/>
    <w:rsid w:val="00827DAE"/>
    <w:rsid w:val="00830DD4"/>
    <w:rsid w:val="008315DF"/>
    <w:rsid w:val="00831AD5"/>
    <w:rsid w:val="00831E09"/>
    <w:rsid w:val="00831E80"/>
    <w:rsid w:val="00832C0E"/>
    <w:rsid w:val="00833124"/>
    <w:rsid w:val="00833341"/>
    <w:rsid w:val="00833FCA"/>
    <w:rsid w:val="0083425D"/>
    <w:rsid w:val="00836501"/>
    <w:rsid w:val="00836E77"/>
    <w:rsid w:val="00841A13"/>
    <w:rsid w:val="00842B9E"/>
    <w:rsid w:val="008434B9"/>
    <w:rsid w:val="00843823"/>
    <w:rsid w:val="008445BB"/>
    <w:rsid w:val="00844613"/>
    <w:rsid w:val="008447AD"/>
    <w:rsid w:val="00844A58"/>
    <w:rsid w:val="00844A98"/>
    <w:rsid w:val="00846867"/>
    <w:rsid w:val="00847D3A"/>
    <w:rsid w:val="0085035E"/>
    <w:rsid w:val="00852786"/>
    <w:rsid w:val="00852BEC"/>
    <w:rsid w:val="0085431F"/>
    <w:rsid w:val="00854439"/>
    <w:rsid w:val="00854D24"/>
    <w:rsid w:val="0085701F"/>
    <w:rsid w:val="008621D4"/>
    <w:rsid w:val="0086259E"/>
    <w:rsid w:val="00862BD6"/>
    <w:rsid w:val="00862C7B"/>
    <w:rsid w:val="00863029"/>
    <w:rsid w:val="0086341D"/>
    <w:rsid w:val="0086345D"/>
    <w:rsid w:val="00863650"/>
    <w:rsid w:val="00863E4F"/>
    <w:rsid w:val="00864C63"/>
    <w:rsid w:val="00864D08"/>
    <w:rsid w:val="00866029"/>
    <w:rsid w:val="008702DA"/>
    <w:rsid w:val="00871B3C"/>
    <w:rsid w:val="00873B66"/>
    <w:rsid w:val="008743D4"/>
    <w:rsid w:val="00874404"/>
    <w:rsid w:val="00875C72"/>
    <w:rsid w:val="008764E8"/>
    <w:rsid w:val="008767C8"/>
    <w:rsid w:val="008802E6"/>
    <w:rsid w:val="008816BF"/>
    <w:rsid w:val="00883715"/>
    <w:rsid w:val="00883C30"/>
    <w:rsid w:val="00883C8C"/>
    <w:rsid w:val="00883F1C"/>
    <w:rsid w:val="00884037"/>
    <w:rsid w:val="00886145"/>
    <w:rsid w:val="00886B71"/>
    <w:rsid w:val="00887368"/>
    <w:rsid w:val="008879DB"/>
    <w:rsid w:val="008925C3"/>
    <w:rsid w:val="00892786"/>
    <w:rsid w:val="00892AB6"/>
    <w:rsid w:val="008933AA"/>
    <w:rsid w:val="008937AD"/>
    <w:rsid w:val="00895092"/>
    <w:rsid w:val="00895DC5"/>
    <w:rsid w:val="00896550"/>
    <w:rsid w:val="00897085"/>
    <w:rsid w:val="00897A7E"/>
    <w:rsid w:val="008A0E57"/>
    <w:rsid w:val="008A0F03"/>
    <w:rsid w:val="008A144D"/>
    <w:rsid w:val="008A2FFC"/>
    <w:rsid w:val="008A3DB0"/>
    <w:rsid w:val="008A4186"/>
    <w:rsid w:val="008A4E32"/>
    <w:rsid w:val="008A5215"/>
    <w:rsid w:val="008A59DC"/>
    <w:rsid w:val="008A5E2A"/>
    <w:rsid w:val="008A7128"/>
    <w:rsid w:val="008B0393"/>
    <w:rsid w:val="008B0610"/>
    <w:rsid w:val="008B112D"/>
    <w:rsid w:val="008B15FE"/>
    <w:rsid w:val="008B19E9"/>
    <w:rsid w:val="008B1FED"/>
    <w:rsid w:val="008B2A2B"/>
    <w:rsid w:val="008B3673"/>
    <w:rsid w:val="008B42B6"/>
    <w:rsid w:val="008B70A8"/>
    <w:rsid w:val="008B7B1B"/>
    <w:rsid w:val="008C0AF9"/>
    <w:rsid w:val="008C12C3"/>
    <w:rsid w:val="008C2E31"/>
    <w:rsid w:val="008C3BBC"/>
    <w:rsid w:val="008C3F57"/>
    <w:rsid w:val="008C5288"/>
    <w:rsid w:val="008C5F9D"/>
    <w:rsid w:val="008C6D13"/>
    <w:rsid w:val="008D0054"/>
    <w:rsid w:val="008D0BB2"/>
    <w:rsid w:val="008D0FDB"/>
    <w:rsid w:val="008D14C3"/>
    <w:rsid w:val="008D1BA2"/>
    <w:rsid w:val="008D1EA6"/>
    <w:rsid w:val="008D1FB5"/>
    <w:rsid w:val="008D23F0"/>
    <w:rsid w:val="008D2A73"/>
    <w:rsid w:val="008D3318"/>
    <w:rsid w:val="008D3396"/>
    <w:rsid w:val="008D3E5A"/>
    <w:rsid w:val="008D46D4"/>
    <w:rsid w:val="008D58E0"/>
    <w:rsid w:val="008D5E67"/>
    <w:rsid w:val="008D6493"/>
    <w:rsid w:val="008D6A20"/>
    <w:rsid w:val="008D6E75"/>
    <w:rsid w:val="008D7998"/>
    <w:rsid w:val="008E147D"/>
    <w:rsid w:val="008E26B5"/>
    <w:rsid w:val="008E3111"/>
    <w:rsid w:val="008E3FDD"/>
    <w:rsid w:val="008E66B7"/>
    <w:rsid w:val="008F2E3F"/>
    <w:rsid w:val="008F31E2"/>
    <w:rsid w:val="008F32AE"/>
    <w:rsid w:val="008F42E7"/>
    <w:rsid w:val="008F4C69"/>
    <w:rsid w:val="008F4FAA"/>
    <w:rsid w:val="008F65D7"/>
    <w:rsid w:val="008F78DC"/>
    <w:rsid w:val="008F7DD5"/>
    <w:rsid w:val="00900E5C"/>
    <w:rsid w:val="00900EE6"/>
    <w:rsid w:val="00901110"/>
    <w:rsid w:val="009016D7"/>
    <w:rsid w:val="00901E93"/>
    <w:rsid w:val="00902726"/>
    <w:rsid w:val="00903163"/>
    <w:rsid w:val="00903660"/>
    <w:rsid w:val="009039C7"/>
    <w:rsid w:val="00903CB2"/>
    <w:rsid w:val="00904EEE"/>
    <w:rsid w:val="00905689"/>
    <w:rsid w:val="00906EE8"/>
    <w:rsid w:val="0090723A"/>
    <w:rsid w:val="00907949"/>
    <w:rsid w:val="0091075B"/>
    <w:rsid w:val="0091091B"/>
    <w:rsid w:val="00911740"/>
    <w:rsid w:val="0091281E"/>
    <w:rsid w:val="0091352A"/>
    <w:rsid w:val="00914CF7"/>
    <w:rsid w:val="00914E1A"/>
    <w:rsid w:val="0091511A"/>
    <w:rsid w:val="00916568"/>
    <w:rsid w:val="009166C2"/>
    <w:rsid w:val="009168A5"/>
    <w:rsid w:val="0091733E"/>
    <w:rsid w:val="00922175"/>
    <w:rsid w:val="009223B8"/>
    <w:rsid w:val="00922D13"/>
    <w:rsid w:val="00923C02"/>
    <w:rsid w:val="00923C1D"/>
    <w:rsid w:val="009252DF"/>
    <w:rsid w:val="0092636F"/>
    <w:rsid w:val="009264E6"/>
    <w:rsid w:val="0092734E"/>
    <w:rsid w:val="009308BB"/>
    <w:rsid w:val="009310C2"/>
    <w:rsid w:val="00931AD9"/>
    <w:rsid w:val="00931CC2"/>
    <w:rsid w:val="0093225B"/>
    <w:rsid w:val="00933095"/>
    <w:rsid w:val="0093311C"/>
    <w:rsid w:val="00933138"/>
    <w:rsid w:val="00933415"/>
    <w:rsid w:val="00934AD2"/>
    <w:rsid w:val="00934D9E"/>
    <w:rsid w:val="009359AF"/>
    <w:rsid w:val="00935BC4"/>
    <w:rsid w:val="00936680"/>
    <w:rsid w:val="009369BA"/>
    <w:rsid w:val="009373E0"/>
    <w:rsid w:val="00937BF2"/>
    <w:rsid w:val="00937D2B"/>
    <w:rsid w:val="00940A7A"/>
    <w:rsid w:val="009416BA"/>
    <w:rsid w:val="00941840"/>
    <w:rsid w:val="0094199B"/>
    <w:rsid w:val="00942882"/>
    <w:rsid w:val="009443D0"/>
    <w:rsid w:val="00944983"/>
    <w:rsid w:val="0094539D"/>
    <w:rsid w:val="00945611"/>
    <w:rsid w:val="009462AE"/>
    <w:rsid w:val="00950BAA"/>
    <w:rsid w:val="00953C2E"/>
    <w:rsid w:val="009559B3"/>
    <w:rsid w:val="009564AF"/>
    <w:rsid w:val="00956A1F"/>
    <w:rsid w:val="00957826"/>
    <w:rsid w:val="009602C5"/>
    <w:rsid w:val="00960511"/>
    <w:rsid w:val="009605C1"/>
    <w:rsid w:val="00960971"/>
    <w:rsid w:val="00960A52"/>
    <w:rsid w:val="00961438"/>
    <w:rsid w:val="009622AD"/>
    <w:rsid w:val="00962A63"/>
    <w:rsid w:val="00962D60"/>
    <w:rsid w:val="00963AD2"/>
    <w:rsid w:val="00963BEB"/>
    <w:rsid w:val="0096452D"/>
    <w:rsid w:val="00965BFE"/>
    <w:rsid w:val="0097036C"/>
    <w:rsid w:val="00970B6E"/>
    <w:rsid w:val="00970CDA"/>
    <w:rsid w:val="00971584"/>
    <w:rsid w:val="009719DF"/>
    <w:rsid w:val="00972337"/>
    <w:rsid w:val="00973545"/>
    <w:rsid w:val="0097385A"/>
    <w:rsid w:val="00973FE0"/>
    <w:rsid w:val="009741A7"/>
    <w:rsid w:val="00975AEA"/>
    <w:rsid w:val="00975C21"/>
    <w:rsid w:val="009762BD"/>
    <w:rsid w:val="00976464"/>
    <w:rsid w:val="00976675"/>
    <w:rsid w:val="00976C6D"/>
    <w:rsid w:val="009775E1"/>
    <w:rsid w:val="00977953"/>
    <w:rsid w:val="009802EC"/>
    <w:rsid w:val="009803BE"/>
    <w:rsid w:val="009808C2"/>
    <w:rsid w:val="0098127B"/>
    <w:rsid w:val="0098158A"/>
    <w:rsid w:val="009822C4"/>
    <w:rsid w:val="00982FD6"/>
    <w:rsid w:val="009830D3"/>
    <w:rsid w:val="00983467"/>
    <w:rsid w:val="0098413A"/>
    <w:rsid w:val="00984A99"/>
    <w:rsid w:val="009867A2"/>
    <w:rsid w:val="00987548"/>
    <w:rsid w:val="00987EFC"/>
    <w:rsid w:val="0099004B"/>
    <w:rsid w:val="0099030D"/>
    <w:rsid w:val="009905C4"/>
    <w:rsid w:val="00990795"/>
    <w:rsid w:val="00990D65"/>
    <w:rsid w:val="00990DC0"/>
    <w:rsid w:val="00991000"/>
    <w:rsid w:val="00991434"/>
    <w:rsid w:val="00992791"/>
    <w:rsid w:val="00992EAE"/>
    <w:rsid w:val="009958A7"/>
    <w:rsid w:val="009975EB"/>
    <w:rsid w:val="009A0E64"/>
    <w:rsid w:val="009A1AED"/>
    <w:rsid w:val="009A1DC0"/>
    <w:rsid w:val="009A28BD"/>
    <w:rsid w:val="009A2ABE"/>
    <w:rsid w:val="009A36E1"/>
    <w:rsid w:val="009A3805"/>
    <w:rsid w:val="009A471F"/>
    <w:rsid w:val="009A4CFC"/>
    <w:rsid w:val="009A5C66"/>
    <w:rsid w:val="009A6CCA"/>
    <w:rsid w:val="009A6D02"/>
    <w:rsid w:val="009A7CCC"/>
    <w:rsid w:val="009A7FFC"/>
    <w:rsid w:val="009B0A05"/>
    <w:rsid w:val="009B1A9E"/>
    <w:rsid w:val="009B2066"/>
    <w:rsid w:val="009B27D1"/>
    <w:rsid w:val="009B2C93"/>
    <w:rsid w:val="009B5CFE"/>
    <w:rsid w:val="009B5FC5"/>
    <w:rsid w:val="009B6C32"/>
    <w:rsid w:val="009B72E7"/>
    <w:rsid w:val="009B7642"/>
    <w:rsid w:val="009C0E1B"/>
    <w:rsid w:val="009C21A9"/>
    <w:rsid w:val="009C3ED4"/>
    <w:rsid w:val="009D0129"/>
    <w:rsid w:val="009D0B63"/>
    <w:rsid w:val="009D0FEB"/>
    <w:rsid w:val="009D17D7"/>
    <w:rsid w:val="009D1889"/>
    <w:rsid w:val="009D18D4"/>
    <w:rsid w:val="009D3A6E"/>
    <w:rsid w:val="009D4A19"/>
    <w:rsid w:val="009E05C2"/>
    <w:rsid w:val="009E0F13"/>
    <w:rsid w:val="009E0FCF"/>
    <w:rsid w:val="009E1C4B"/>
    <w:rsid w:val="009E23F7"/>
    <w:rsid w:val="009E250C"/>
    <w:rsid w:val="009E32F4"/>
    <w:rsid w:val="009E361C"/>
    <w:rsid w:val="009E4386"/>
    <w:rsid w:val="009E5C9F"/>
    <w:rsid w:val="009E5CDF"/>
    <w:rsid w:val="009E6803"/>
    <w:rsid w:val="009E7CAE"/>
    <w:rsid w:val="009F0853"/>
    <w:rsid w:val="009F0D00"/>
    <w:rsid w:val="009F11A4"/>
    <w:rsid w:val="009F18D6"/>
    <w:rsid w:val="009F4407"/>
    <w:rsid w:val="009F5373"/>
    <w:rsid w:val="009F614F"/>
    <w:rsid w:val="009F690B"/>
    <w:rsid w:val="009F6B78"/>
    <w:rsid w:val="00A0222A"/>
    <w:rsid w:val="00A030AA"/>
    <w:rsid w:val="00A0328D"/>
    <w:rsid w:val="00A04917"/>
    <w:rsid w:val="00A05347"/>
    <w:rsid w:val="00A06C66"/>
    <w:rsid w:val="00A07D10"/>
    <w:rsid w:val="00A07EA0"/>
    <w:rsid w:val="00A112AF"/>
    <w:rsid w:val="00A12C4D"/>
    <w:rsid w:val="00A166EC"/>
    <w:rsid w:val="00A17820"/>
    <w:rsid w:val="00A218C9"/>
    <w:rsid w:val="00A21EDC"/>
    <w:rsid w:val="00A2507C"/>
    <w:rsid w:val="00A25187"/>
    <w:rsid w:val="00A26D07"/>
    <w:rsid w:val="00A26E7B"/>
    <w:rsid w:val="00A27375"/>
    <w:rsid w:val="00A311A0"/>
    <w:rsid w:val="00A31253"/>
    <w:rsid w:val="00A343FE"/>
    <w:rsid w:val="00A36429"/>
    <w:rsid w:val="00A36A2E"/>
    <w:rsid w:val="00A36DE7"/>
    <w:rsid w:val="00A372D4"/>
    <w:rsid w:val="00A430A8"/>
    <w:rsid w:val="00A459E0"/>
    <w:rsid w:val="00A46F37"/>
    <w:rsid w:val="00A47D8E"/>
    <w:rsid w:val="00A505AC"/>
    <w:rsid w:val="00A50A4E"/>
    <w:rsid w:val="00A52C2A"/>
    <w:rsid w:val="00A531A5"/>
    <w:rsid w:val="00A53784"/>
    <w:rsid w:val="00A55B8E"/>
    <w:rsid w:val="00A57787"/>
    <w:rsid w:val="00A57873"/>
    <w:rsid w:val="00A578FC"/>
    <w:rsid w:val="00A60583"/>
    <w:rsid w:val="00A61660"/>
    <w:rsid w:val="00A618D6"/>
    <w:rsid w:val="00A61B46"/>
    <w:rsid w:val="00A622AA"/>
    <w:rsid w:val="00A6285D"/>
    <w:rsid w:val="00A62B2E"/>
    <w:rsid w:val="00A632DF"/>
    <w:rsid w:val="00A642F9"/>
    <w:rsid w:val="00A65453"/>
    <w:rsid w:val="00A6689D"/>
    <w:rsid w:val="00A701C8"/>
    <w:rsid w:val="00A705B0"/>
    <w:rsid w:val="00A70714"/>
    <w:rsid w:val="00A711F9"/>
    <w:rsid w:val="00A717C3"/>
    <w:rsid w:val="00A727EE"/>
    <w:rsid w:val="00A730F0"/>
    <w:rsid w:val="00A737FF"/>
    <w:rsid w:val="00A75404"/>
    <w:rsid w:val="00A75D93"/>
    <w:rsid w:val="00A7704A"/>
    <w:rsid w:val="00A80179"/>
    <w:rsid w:val="00A8023F"/>
    <w:rsid w:val="00A818BB"/>
    <w:rsid w:val="00A81BDC"/>
    <w:rsid w:val="00A821D5"/>
    <w:rsid w:val="00A828F2"/>
    <w:rsid w:val="00A83E6D"/>
    <w:rsid w:val="00A83E6F"/>
    <w:rsid w:val="00A8604A"/>
    <w:rsid w:val="00A8779D"/>
    <w:rsid w:val="00A902E7"/>
    <w:rsid w:val="00A90F20"/>
    <w:rsid w:val="00A91332"/>
    <w:rsid w:val="00A92E93"/>
    <w:rsid w:val="00A9388F"/>
    <w:rsid w:val="00A947C1"/>
    <w:rsid w:val="00A950CD"/>
    <w:rsid w:val="00A95596"/>
    <w:rsid w:val="00A963D8"/>
    <w:rsid w:val="00A97ADC"/>
    <w:rsid w:val="00AA0A55"/>
    <w:rsid w:val="00AA0D1E"/>
    <w:rsid w:val="00AA2D50"/>
    <w:rsid w:val="00AA300B"/>
    <w:rsid w:val="00AA4443"/>
    <w:rsid w:val="00AA459C"/>
    <w:rsid w:val="00AA4682"/>
    <w:rsid w:val="00AA50D2"/>
    <w:rsid w:val="00AA5EBD"/>
    <w:rsid w:val="00AA61A3"/>
    <w:rsid w:val="00AA639A"/>
    <w:rsid w:val="00AA6757"/>
    <w:rsid w:val="00AA68AE"/>
    <w:rsid w:val="00AA6BCE"/>
    <w:rsid w:val="00AA6BEB"/>
    <w:rsid w:val="00AA7171"/>
    <w:rsid w:val="00AA7751"/>
    <w:rsid w:val="00AB1259"/>
    <w:rsid w:val="00AB1C60"/>
    <w:rsid w:val="00AB2497"/>
    <w:rsid w:val="00AB2C71"/>
    <w:rsid w:val="00AB3B78"/>
    <w:rsid w:val="00AB419E"/>
    <w:rsid w:val="00AB6B37"/>
    <w:rsid w:val="00AB729E"/>
    <w:rsid w:val="00AC0154"/>
    <w:rsid w:val="00AC2CC0"/>
    <w:rsid w:val="00AC3461"/>
    <w:rsid w:val="00AC34AB"/>
    <w:rsid w:val="00AC3E31"/>
    <w:rsid w:val="00AC415A"/>
    <w:rsid w:val="00AC4562"/>
    <w:rsid w:val="00AC5040"/>
    <w:rsid w:val="00AC7981"/>
    <w:rsid w:val="00AD09FA"/>
    <w:rsid w:val="00AD0A06"/>
    <w:rsid w:val="00AD145F"/>
    <w:rsid w:val="00AD1731"/>
    <w:rsid w:val="00AD19FF"/>
    <w:rsid w:val="00AD20DE"/>
    <w:rsid w:val="00AD4463"/>
    <w:rsid w:val="00AD5BCD"/>
    <w:rsid w:val="00AD6D65"/>
    <w:rsid w:val="00AD7C9A"/>
    <w:rsid w:val="00AD7F36"/>
    <w:rsid w:val="00AE0A8B"/>
    <w:rsid w:val="00AE0C3B"/>
    <w:rsid w:val="00AE1D67"/>
    <w:rsid w:val="00AE3526"/>
    <w:rsid w:val="00AE475D"/>
    <w:rsid w:val="00AE4A02"/>
    <w:rsid w:val="00AE60A8"/>
    <w:rsid w:val="00AE622F"/>
    <w:rsid w:val="00AE6B26"/>
    <w:rsid w:val="00AE6E6A"/>
    <w:rsid w:val="00AE7A38"/>
    <w:rsid w:val="00AF0ADF"/>
    <w:rsid w:val="00AF1916"/>
    <w:rsid w:val="00AF24F8"/>
    <w:rsid w:val="00AF26A8"/>
    <w:rsid w:val="00AF28A1"/>
    <w:rsid w:val="00AF2CC9"/>
    <w:rsid w:val="00AF2E75"/>
    <w:rsid w:val="00AF3B10"/>
    <w:rsid w:val="00AF3BFB"/>
    <w:rsid w:val="00AF3C74"/>
    <w:rsid w:val="00AF4686"/>
    <w:rsid w:val="00AF53CC"/>
    <w:rsid w:val="00AF7475"/>
    <w:rsid w:val="00AF7C12"/>
    <w:rsid w:val="00B01312"/>
    <w:rsid w:val="00B01D25"/>
    <w:rsid w:val="00B04CCC"/>
    <w:rsid w:val="00B07A0D"/>
    <w:rsid w:val="00B1008C"/>
    <w:rsid w:val="00B10C1C"/>
    <w:rsid w:val="00B10FDF"/>
    <w:rsid w:val="00B116E2"/>
    <w:rsid w:val="00B12679"/>
    <w:rsid w:val="00B12FDC"/>
    <w:rsid w:val="00B14072"/>
    <w:rsid w:val="00B144E7"/>
    <w:rsid w:val="00B14DDB"/>
    <w:rsid w:val="00B14E21"/>
    <w:rsid w:val="00B14E4D"/>
    <w:rsid w:val="00B153EE"/>
    <w:rsid w:val="00B16A35"/>
    <w:rsid w:val="00B1732A"/>
    <w:rsid w:val="00B2122E"/>
    <w:rsid w:val="00B22506"/>
    <w:rsid w:val="00B22797"/>
    <w:rsid w:val="00B22C9D"/>
    <w:rsid w:val="00B25945"/>
    <w:rsid w:val="00B25C5B"/>
    <w:rsid w:val="00B25F02"/>
    <w:rsid w:val="00B2697E"/>
    <w:rsid w:val="00B3154F"/>
    <w:rsid w:val="00B31750"/>
    <w:rsid w:val="00B31B41"/>
    <w:rsid w:val="00B326C2"/>
    <w:rsid w:val="00B3320E"/>
    <w:rsid w:val="00B332E3"/>
    <w:rsid w:val="00B33900"/>
    <w:rsid w:val="00B35BED"/>
    <w:rsid w:val="00B361A1"/>
    <w:rsid w:val="00B37005"/>
    <w:rsid w:val="00B37718"/>
    <w:rsid w:val="00B378D7"/>
    <w:rsid w:val="00B37957"/>
    <w:rsid w:val="00B40F4D"/>
    <w:rsid w:val="00B41C3D"/>
    <w:rsid w:val="00B433D3"/>
    <w:rsid w:val="00B43B2B"/>
    <w:rsid w:val="00B44AB3"/>
    <w:rsid w:val="00B465F0"/>
    <w:rsid w:val="00B53461"/>
    <w:rsid w:val="00B54072"/>
    <w:rsid w:val="00B5522A"/>
    <w:rsid w:val="00B55C3C"/>
    <w:rsid w:val="00B5607F"/>
    <w:rsid w:val="00B569FF"/>
    <w:rsid w:val="00B56E46"/>
    <w:rsid w:val="00B57EB9"/>
    <w:rsid w:val="00B60A47"/>
    <w:rsid w:val="00B610B6"/>
    <w:rsid w:val="00B61F90"/>
    <w:rsid w:val="00B635BD"/>
    <w:rsid w:val="00B655CC"/>
    <w:rsid w:val="00B66F31"/>
    <w:rsid w:val="00B67116"/>
    <w:rsid w:val="00B67B5C"/>
    <w:rsid w:val="00B747CF"/>
    <w:rsid w:val="00B7621F"/>
    <w:rsid w:val="00B76481"/>
    <w:rsid w:val="00B76917"/>
    <w:rsid w:val="00B76F25"/>
    <w:rsid w:val="00B77E06"/>
    <w:rsid w:val="00B80E46"/>
    <w:rsid w:val="00B81265"/>
    <w:rsid w:val="00B82916"/>
    <w:rsid w:val="00B84E97"/>
    <w:rsid w:val="00B8576E"/>
    <w:rsid w:val="00B86142"/>
    <w:rsid w:val="00B906C2"/>
    <w:rsid w:val="00B912B1"/>
    <w:rsid w:val="00B962D9"/>
    <w:rsid w:val="00B9693C"/>
    <w:rsid w:val="00B96E84"/>
    <w:rsid w:val="00B97F50"/>
    <w:rsid w:val="00BA1347"/>
    <w:rsid w:val="00BA25A8"/>
    <w:rsid w:val="00BA3383"/>
    <w:rsid w:val="00BA4E69"/>
    <w:rsid w:val="00BA5211"/>
    <w:rsid w:val="00BA680D"/>
    <w:rsid w:val="00BA691B"/>
    <w:rsid w:val="00BB1A27"/>
    <w:rsid w:val="00BB39DF"/>
    <w:rsid w:val="00BB4A36"/>
    <w:rsid w:val="00BB512E"/>
    <w:rsid w:val="00BB5FB3"/>
    <w:rsid w:val="00BC0483"/>
    <w:rsid w:val="00BC06C5"/>
    <w:rsid w:val="00BC0CB4"/>
    <w:rsid w:val="00BC1B79"/>
    <w:rsid w:val="00BC3FD4"/>
    <w:rsid w:val="00BC53CC"/>
    <w:rsid w:val="00BC62B0"/>
    <w:rsid w:val="00BC6B23"/>
    <w:rsid w:val="00BC7DE5"/>
    <w:rsid w:val="00BD1437"/>
    <w:rsid w:val="00BD18CD"/>
    <w:rsid w:val="00BD199F"/>
    <w:rsid w:val="00BD2609"/>
    <w:rsid w:val="00BD28E2"/>
    <w:rsid w:val="00BD3372"/>
    <w:rsid w:val="00BD44E2"/>
    <w:rsid w:val="00BD49BA"/>
    <w:rsid w:val="00BD5B33"/>
    <w:rsid w:val="00BD5EAE"/>
    <w:rsid w:val="00BE0329"/>
    <w:rsid w:val="00BE0749"/>
    <w:rsid w:val="00BE0B66"/>
    <w:rsid w:val="00BE11B6"/>
    <w:rsid w:val="00BE30D1"/>
    <w:rsid w:val="00BE4DEE"/>
    <w:rsid w:val="00BE4F4A"/>
    <w:rsid w:val="00BE517F"/>
    <w:rsid w:val="00BE5728"/>
    <w:rsid w:val="00BE57A8"/>
    <w:rsid w:val="00BE5B0B"/>
    <w:rsid w:val="00BE6193"/>
    <w:rsid w:val="00BE7ED0"/>
    <w:rsid w:val="00BF0356"/>
    <w:rsid w:val="00BF041F"/>
    <w:rsid w:val="00BF1056"/>
    <w:rsid w:val="00BF3196"/>
    <w:rsid w:val="00BF3DC1"/>
    <w:rsid w:val="00BF484E"/>
    <w:rsid w:val="00BF48EA"/>
    <w:rsid w:val="00BF53F1"/>
    <w:rsid w:val="00BF6717"/>
    <w:rsid w:val="00BF6A55"/>
    <w:rsid w:val="00BF7E4D"/>
    <w:rsid w:val="00C01AB2"/>
    <w:rsid w:val="00C01D4E"/>
    <w:rsid w:val="00C025AF"/>
    <w:rsid w:val="00C05DDF"/>
    <w:rsid w:val="00C05ECF"/>
    <w:rsid w:val="00C06FF8"/>
    <w:rsid w:val="00C1112E"/>
    <w:rsid w:val="00C12B06"/>
    <w:rsid w:val="00C14968"/>
    <w:rsid w:val="00C14CEF"/>
    <w:rsid w:val="00C1569D"/>
    <w:rsid w:val="00C16188"/>
    <w:rsid w:val="00C166C3"/>
    <w:rsid w:val="00C17CE2"/>
    <w:rsid w:val="00C20799"/>
    <w:rsid w:val="00C22B55"/>
    <w:rsid w:val="00C247A7"/>
    <w:rsid w:val="00C24902"/>
    <w:rsid w:val="00C251EE"/>
    <w:rsid w:val="00C257B0"/>
    <w:rsid w:val="00C2620F"/>
    <w:rsid w:val="00C27152"/>
    <w:rsid w:val="00C2764F"/>
    <w:rsid w:val="00C27C83"/>
    <w:rsid w:val="00C31677"/>
    <w:rsid w:val="00C32284"/>
    <w:rsid w:val="00C3286A"/>
    <w:rsid w:val="00C3295E"/>
    <w:rsid w:val="00C335C4"/>
    <w:rsid w:val="00C34607"/>
    <w:rsid w:val="00C349C1"/>
    <w:rsid w:val="00C34C77"/>
    <w:rsid w:val="00C34F8A"/>
    <w:rsid w:val="00C35211"/>
    <w:rsid w:val="00C35578"/>
    <w:rsid w:val="00C36330"/>
    <w:rsid w:val="00C363A6"/>
    <w:rsid w:val="00C371C1"/>
    <w:rsid w:val="00C375C5"/>
    <w:rsid w:val="00C37656"/>
    <w:rsid w:val="00C44437"/>
    <w:rsid w:val="00C44B0B"/>
    <w:rsid w:val="00C4659E"/>
    <w:rsid w:val="00C46C0F"/>
    <w:rsid w:val="00C4738A"/>
    <w:rsid w:val="00C50CF7"/>
    <w:rsid w:val="00C517EC"/>
    <w:rsid w:val="00C51F19"/>
    <w:rsid w:val="00C51F56"/>
    <w:rsid w:val="00C56DD3"/>
    <w:rsid w:val="00C57A87"/>
    <w:rsid w:val="00C60226"/>
    <w:rsid w:val="00C60824"/>
    <w:rsid w:val="00C60AB3"/>
    <w:rsid w:val="00C60C5B"/>
    <w:rsid w:val="00C62778"/>
    <w:rsid w:val="00C627B2"/>
    <w:rsid w:val="00C62EFD"/>
    <w:rsid w:val="00C63D86"/>
    <w:rsid w:val="00C64C4C"/>
    <w:rsid w:val="00C64D69"/>
    <w:rsid w:val="00C64F3F"/>
    <w:rsid w:val="00C67549"/>
    <w:rsid w:val="00C70069"/>
    <w:rsid w:val="00C70828"/>
    <w:rsid w:val="00C708A7"/>
    <w:rsid w:val="00C7118C"/>
    <w:rsid w:val="00C7121F"/>
    <w:rsid w:val="00C722FE"/>
    <w:rsid w:val="00C72A87"/>
    <w:rsid w:val="00C745BB"/>
    <w:rsid w:val="00C747D8"/>
    <w:rsid w:val="00C74BEB"/>
    <w:rsid w:val="00C76C54"/>
    <w:rsid w:val="00C80C33"/>
    <w:rsid w:val="00C81A74"/>
    <w:rsid w:val="00C82ED6"/>
    <w:rsid w:val="00C84188"/>
    <w:rsid w:val="00C9127F"/>
    <w:rsid w:val="00C91A79"/>
    <w:rsid w:val="00C92250"/>
    <w:rsid w:val="00C928F0"/>
    <w:rsid w:val="00C93177"/>
    <w:rsid w:val="00C93388"/>
    <w:rsid w:val="00C95BF2"/>
    <w:rsid w:val="00C96282"/>
    <w:rsid w:val="00C96343"/>
    <w:rsid w:val="00CA3FAE"/>
    <w:rsid w:val="00CA5177"/>
    <w:rsid w:val="00CA5307"/>
    <w:rsid w:val="00CA6A1A"/>
    <w:rsid w:val="00CA6A51"/>
    <w:rsid w:val="00CA6C20"/>
    <w:rsid w:val="00CA705E"/>
    <w:rsid w:val="00CA7383"/>
    <w:rsid w:val="00CB077A"/>
    <w:rsid w:val="00CB0F93"/>
    <w:rsid w:val="00CB5ACF"/>
    <w:rsid w:val="00CB645B"/>
    <w:rsid w:val="00CB65DD"/>
    <w:rsid w:val="00CB7ADB"/>
    <w:rsid w:val="00CC137C"/>
    <w:rsid w:val="00CC13E2"/>
    <w:rsid w:val="00CC19DC"/>
    <w:rsid w:val="00CC319E"/>
    <w:rsid w:val="00CC3638"/>
    <w:rsid w:val="00CC399C"/>
    <w:rsid w:val="00CC5907"/>
    <w:rsid w:val="00CC6056"/>
    <w:rsid w:val="00CC6405"/>
    <w:rsid w:val="00CC64E3"/>
    <w:rsid w:val="00CC6AF4"/>
    <w:rsid w:val="00CC7811"/>
    <w:rsid w:val="00CD1DC2"/>
    <w:rsid w:val="00CD2D05"/>
    <w:rsid w:val="00CD3C39"/>
    <w:rsid w:val="00CD46A4"/>
    <w:rsid w:val="00CD5A98"/>
    <w:rsid w:val="00CD5E1D"/>
    <w:rsid w:val="00CE0DE9"/>
    <w:rsid w:val="00CE295B"/>
    <w:rsid w:val="00CE34BF"/>
    <w:rsid w:val="00CE3A54"/>
    <w:rsid w:val="00CE44E0"/>
    <w:rsid w:val="00CE527D"/>
    <w:rsid w:val="00CE633E"/>
    <w:rsid w:val="00CE6B03"/>
    <w:rsid w:val="00CE7ADF"/>
    <w:rsid w:val="00CF08E1"/>
    <w:rsid w:val="00CF2297"/>
    <w:rsid w:val="00CF3461"/>
    <w:rsid w:val="00CF356D"/>
    <w:rsid w:val="00CF3969"/>
    <w:rsid w:val="00CF415F"/>
    <w:rsid w:val="00CF4426"/>
    <w:rsid w:val="00CF4D55"/>
    <w:rsid w:val="00CF5ABA"/>
    <w:rsid w:val="00CF5CFC"/>
    <w:rsid w:val="00CF5F12"/>
    <w:rsid w:val="00CF6C5F"/>
    <w:rsid w:val="00CF704E"/>
    <w:rsid w:val="00CF7247"/>
    <w:rsid w:val="00CF7A07"/>
    <w:rsid w:val="00CF7DD9"/>
    <w:rsid w:val="00D00793"/>
    <w:rsid w:val="00D009D7"/>
    <w:rsid w:val="00D00A89"/>
    <w:rsid w:val="00D00E34"/>
    <w:rsid w:val="00D01164"/>
    <w:rsid w:val="00D01D7D"/>
    <w:rsid w:val="00D02445"/>
    <w:rsid w:val="00D025DE"/>
    <w:rsid w:val="00D02CB0"/>
    <w:rsid w:val="00D031D0"/>
    <w:rsid w:val="00D04225"/>
    <w:rsid w:val="00D05168"/>
    <w:rsid w:val="00D05829"/>
    <w:rsid w:val="00D06429"/>
    <w:rsid w:val="00D072F0"/>
    <w:rsid w:val="00D07567"/>
    <w:rsid w:val="00D1082B"/>
    <w:rsid w:val="00D1099E"/>
    <w:rsid w:val="00D11024"/>
    <w:rsid w:val="00D1197D"/>
    <w:rsid w:val="00D1265C"/>
    <w:rsid w:val="00D1267F"/>
    <w:rsid w:val="00D1349A"/>
    <w:rsid w:val="00D1447F"/>
    <w:rsid w:val="00D153CD"/>
    <w:rsid w:val="00D1545D"/>
    <w:rsid w:val="00D15BE6"/>
    <w:rsid w:val="00D16003"/>
    <w:rsid w:val="00D16054"/>
    <w:rsid w:val="00D16F0A"/>
    <w:rsid w:val="00D17DB6"/>
    <w:rsid w:val="00D200AA"/>
    <w:rsid w:val="00D2059D"/>
    <w:rsid w:val="00D21D22"/>
    <w:rsid w:val="00D235C3"/>
    <w:rsid w:val="00D2529D"/>
    <w:rsid w:val="00D25FBF"/>
    <w:rsid w:val="00D260A1"/>
    <w:rsid w:val="00D268FD"/>
    <w:rsid w:val="00D272B0"/>
    <w:rsid w:val="00D2789C"/>
    <w:rsid w:val="00D27E70"/>
    <w:rsid w:val="00D27FAF"/>
    <w:rsid w:val="00D31533"/>
    <w:rsid w:val="00D33298"/>
    <w:rsid w:val="00D351B2"/>
    <w:rsid w:val="00D36E3F"/>
    <w:rsid w:val="00D37D98"/>
    <w:rsid w:val="00D37E13"/>
    <w:rsid w:val="00D407EF"/>
    <w:rsid w:val="00D424CE"/>
    <w:rsid w:val="00D430DA"/>
    <w:rsid w:val="00D43765"/>
    <w:rsid w:val="00D44112"/>
    <w:rsid w:val="00D445E3"/>
    <w:rsid w:val="00D44683"/>
    <w:rsid w:val="00D4495B"/>
    <w:rsid w:val="00D44CC5"/>
    <w:rsid w:val="00D45B88"/>
    <w:rsid w:val="00D46F22"/>
    <w:rsid w:val="00D52505"/>
    <w:rsid w:val="00D54549"/>
    <w:rsid w:val="00D55028"/>
    <w:rsid w:val="00D556FC"/>
    <w:rsid w:val="00D56E8B"/>
    <w:rsid w:val="00D573DF"/>
    <w:rsid w:val="00D57B7E"/>
    <w:rsid w:val="00D607CE"/>
    <w:rsid w:val="00D609BD"/>
    <w:rsid w:val="00D60DC1"/>
    <w:rsid w:val="00D611D0"/>
    <w:rsid w:val="00D612B8"/>
    <w:rsid w:val="00D61890"/>
    <w:rsid w:val="00D61D0D"/>
    <w:rsid w:val="00D62039"/>
    <w:rsid w:val="00D644F1"/>
    <w:rsid w:val="00D64605"/>
    <w:rsid w:val="00D6538C"/>
    <w:rsid w:val="00D66600"/>
    <w:rsid w:val="00D666AC"/>
    <w:rsid w:val="00D6702A"/>
    <w:rsid w:val="00D67A9A"/>
    <w:rsid w:val="00D67B8B"/>
    <w:rsid w:val="00D71930"/>
    <w:rsid w:val="00D724DE"/>
    <w:rsid w:val="00D733A1"/>
    <w:rsid w:val="00D73E92"/>
    <w:rsid w:val="00D767AF"/>
    <w:rsid w:val="00D774B8"/>
    <w:rsid w:val="00D77E2C"/>
    <w:rsid w:val="00D8064C"/>
    <w:rsid w:val="00D84484"/>
    <w:rsid w:val="00D84D2B"/>
    <w:rsid w:val="00D85911"/>
    <w:rsid w:val="00D862B2"/>
    <w:rsid w:val="00D8761A"/>
    <w:rsid w:val="00D87FDD"/>
    <w:rsid w:val="00D913E2"/>
    <w:rsid w:val="00D928CC"/>
    <w:rsid w:val="00D92F4F"/>
    <w:rsid w:val="00D961D9"/>
    <w:rsid w:val="00D96702"/>
    <w:rsid w:val="00D96F22"/>
    <w:rsid w:val="00DA0ADC"/>
    <w:rsid w:val="00DA0C71"/>
    <w:rsid w:val="00DA0C9C"/>
    <w:rsid w:val="00DA2415"/>
    <w:rsid w:val="00DA26F1"/>
    <w:rsid w:val="00DA2FC0"/>
    <w:rsid w:val="00DA3E01"/>
    <w:rsid w:val="00DA512A"/>
    <w:rsid w:val="00DA59F8"/>
    <w:rsid w:val="00DA5D41"/>
    <w:rsid w:val="00DB0338"/>
    <w:rsid w:val="00DB1E00"/>
    <w:rsid w:val="00DB1FCA"/>
    <w:rsid w:val="00DB2040"/>
    <w:rsid w:val="00DB29BB"/>
    <w:rsid w:val="00DB332D"/>
    <w:rsid w:val="00DB62A2"/>
    <w:rsid w:val="00DC02AA"/>
    <w:rsid w:val="00DC10BC"/>
    <w:rsid w:val="00DC1D71"/>
    <w:rsid w:val="00DC3A2B"/>
    <w:rsid w:val="00DC41EA"/>
    <w:rsid w:val="00DC5424"/>
    <w:rsid w:val="00DC592C"/>
    <w:rsid w:val="00DD02C3"/>
    <w:rsid w:val="00DD0E52"/>
    <w:rsid w:val="00DD255F"/>
    <w:rsid w:val="00DD31F8"/>
    <w:rsid w:val="00DD5DB8"/>
    <w:rsid w:val="00DD6465"/>
    <w:rsid w:val="00DD674F"/>
    <w:rsid w:val="00DD6FC4"/>
    <w:rsid w:val="00DD7752"/>
    <w:rsid w:val="00DE0F80"/>
    <w:rsid w:val="00DE2996"/>
    <w:rsid w:val="00DE51AF"/>
    <w:rsid w:val="00DE7001"/>
    <w:rsid w:val="00DF0EB7"/>
    <w:rsid w:val="00DF187B"/>
    <w:rsid w:val="00DF1FAB"/>
    <w:rsid w:val="00DF24EE"/>
    <w:rsid w:val="00DF2B09"/>
    <w:rsid w:val="00DF6500"/>
    <w:rsid w:val="00DF7939"/>
    <w:rsid w:val="00E0027D"/>
    <w:rsid w:val="00E0055B"/>
    <w:rsid w:val="00E0133B"/>
    <w:rsid w:val="00E01363"/>
    <w:rsid w:val="00E017B6"/>
    <w:rsid w:val="00E0237A"/>
    <w:rsid w:val="00E039F4"/>
    <w:rsid w:val="00E053FE"/>
    <w:rsid w:val="00E057BF"/>
    <w:rsid w:val="00E0594C"/>
    <w:rsid w:val="00E05CF9"/>
    <w:rsid w:val="00E061F9"/>
    <w:rsid w:val="00E079F4"/>
    <w:rsid w:val="00E10932"/>
    <w:rsid w:val="00E117FA"/>
    <w:rsid w:val="00E11868"/>
    <w:rsid w:val="00E1187D"/>
    <w:rsid w:val="00E1209C"/>
    <w:rsid w:val="00E12615"/>
    <w:rsid w:val="00E12B9E"/>
    <w:rsid w:val="00E13438"/>
    <w:rsid w:val="00E1381A"/>
    <w:rsid w:val="00E154C2"/>
    <w:rsid w:val="00E1698A"/>
    <w:rsid w:val="00E1745C"/>
    <w:rsid w:val="00E176EC"/>
    <w:rsid w:val="00E17966"/>
    <w:rsid w:val="00E17D44"/>
    <w:rsid w:val="00E17EFC"/>
    <w:rsid w:val="00E20DA1"/>
    <w:rsid w:val="00E21EA0"/>
    <w:rsid w:val="00E22D51"/>
    <w:rsid w:val="00E25AC4"/>
    <w:rsid w:val="00E26FDC"/>
    <w:rsid w:val="00E2725B"/>
    <w:rsid w:val="00E277CE"/>
    <w:rsid w:val="00E27BCA"/>
    <w:rsid w:val="00E27F03"/>
    <w:rsid w:val="00E30736"/>
    <w:rsid w:val="00E30975"/>
    <w:rsid w:val="00E31DB0"/>
    <w:rsid w:val="00E3298C"/>
    <w:rsid w:val="00E32B1F"/>
    <w:rsid w:val="00E3306E"/>
    <w:rsid w:val="00E3326E"/>
    <w:rsid w:val="00E33EDC"/>
    <w:rsid w:val="00E345AC"/>
    <w:rsid w:val="00E35DD5"/>
    <w:rsid w:val="00E35FCA"/>
    <w:rsid w:val="00E3605D"/>
    <w:rsid w:val="00E37477"/>
    <w:rsid w:val="00E3753E"/>
    <w:rsid w:val="00E377F2"/>
    <w:rsid w:val="00E37F8D"/>
    <w:rsid w:val="00E407A1"/>
    <w:rsid w:val="00E40F82"/>
    <w:rsid w:val="00E415D3"/>
    <w:rsid w:val="00E42C05"/>
    <w:rsid w:val="00E42D48"/>
    <w:rsid w:val="00E43990"/>
    <w:rsid w:val="00E45B42"/>
    <w:rsid w:val="00E45CD1"/>
    <w:rsid w:val="00E464C3"/>
    <w:rsid w:val="00E46BD2"/>
    <w:rsid w:val="00E51564"/>
    <w:rsid w:val="00E528F2"/>
    <w:rsid w:val="00E52A6C"/>
    <w:rsid w:val="00E5366C"/>
    <w:rsid w:val="00E54186"/>
    <w:rsid w:val="00E54701"/>
    <w:rsid w:val="00E54F89"/>
    <w:rsid w:val="00E55406"/>
    <w:rsid w:val="00E564FF"/>
    <w:rsid w:val="00E60A4D"/>
    <w:rsid w:val="00E62189"/>
    <w:rsid w:val="00E63347"/>
    <w:rsid w:val="00E6502F"/>
    <w:rsid w:val="00E657EF"/>
    <w:rsid w:val="00E65C2C"/>
    <w:rsid w:val="00E66607"/>
    <w:rsid w:val="00E6777A"/>
    <w:rsid w:val="00E708B8"/>
    <w:rsid w:val="00E70B33"/>
    <w:rsid w:val="00E71BDB"/>
    <w:rsid w:val="00E73179"/>
    <w:rsid w:val="00E733CD"/>
    <w:rsid w:val="00E74130"/>
    <w:rsid w:val="00E74837"/>
    <w:rsid w:val="00E75481"/>
    <w:rsid w:val="00E7738D"/>
    <w:rsid w:val="00E7769E"/>
    <w:rsid w:val="00E77BB6"/>
    <w:rsid w:val="00E8104F"/>
    <w:rsid w:val="00E8336F"/>
    <w:rsid w:val="00E844CE"/>
    <w:rsid w:val="00E873D5"/>
    <w:rsid w:val="00E874C0"/>
    <w:rsid w:val="00E90ACA"/>
    <w:rsid w:val="00E91F17"/>
    <w:rsid w:val="00E92DA5"/>
    <w:rsid w:val="00E93448"/>
    <w:rsid w:val="00E94713"/>
    <w:rsid w:val="00E95123"/>
    <w:rsid w:val="00E95929"/>
    <w:rsid w:val="00E95CD4"/>
    <w:rsid w:val="00E962F1"/>
    <w:rsid w:val="00EA0553"/>
    <w:rsid w:val="00EA214C"/>
    <w:rsid w:val="00EA2E55"/>
    <w:rsid w:val="00EA340C"/>
    <w:rsid w:val="00EA528C"/>
    <w:rsid w:val="00EA66D9"/>
    <w:rsid w:val="00EA6D5E"/>
    <w:rsid w:val="00EB0331"/>
    <w:rsid w:val="00EB1000"/>
    <w:rsid w:val="00EB211C"/>
    <w:rsid w:val="00EB3F93"/>
    <w:rsid w:val="00EB4B12"/>
    <w:rsid w:val="00EB6408"/>
    <w:rsid w:val="00EB660C"/>
    <w:rsid w:val="00EB7815"/>
    <w:rsid w:val="00EB7F55"/>
    <w:rsid w:val="00EC02C2"/>
    <w:rsid w:val="00EC0AFC"/>
    <w:rsid w:val="00EC17BD"/>
    <w:rsid w:val="00EC316E"/>
    <w:rsid w:val="00EC4C0B"/>
    <w:rsid w:val="00EC51CF"/>
    <w:rsid w:val="00EC5B43"/>
    <w:rsid w:val="00EC6BB0"/>
    <w:rsid w:val="00EC6C3B"/>
    <w:rsid w:val="00EC6FBB"/>
    <w:rsid w:val="00EC766B"/>
    <w:rsid w:val="00EC767B"/>
    <w:rsid w:val="00ED17DA"/>
    <w:rsid w:val="00ED1AAE"/>
    <w:rsid w:val="00ED1D50"/>
    <w:rsid w:val="00ED26E6"/>
    <w:rsid w:val="00ED372A"/>
    <w:rsid w:val="00ED406F"/>
    <w:rsid w:val="00ED4AE3"/>
    <w:rsid w:val="00ED5008"/>
    <w:rsid w:val="00ED6460"/>
    <w:rsid w:val="00ED7773"/>
    <w:rsid w:val="00ED7FF0"/>
    <w:rsid w:val="00EE0545"/>
    <w:rsid w:val="00EE0A26"/>
    <w:rsid w:val="00EE0D9B"/>
    <w:rsid w:val="00EE1EFC"/>
    <w:rsid w:val="00EE2C64"/>
    <w:rsid w:val="00EE3054"/>
    <w:rsid w:val="00EE41DB"/>
    <w:rsid w:val="00EE4716"/>
    <w:rsid w:val="00EE4FC5"/>
    <w:rsid w:val="00EE525C"/>
    <w:rsid w:val="00EE5494"/>
    <w:rsid w:val="00EE61A4"/>
    <w:rsid w:val="00EE7B03"/>
    <w:rsid w:val="00EF076A"/>
    <w:rsid w:val="00EF1014"/>
    <w:rsid w:val="00EF22E8"/>
    <w:rsid w:val="00EF2340"/>
    <w:rsid w:val="00EF3FF7"/>
    <w:rsid w:val="00EF509C"/>
    <w:rsid w:val="00EF51FA"/>
    <w:rsid w:val="00EF6C70"/>
    <w:rsid w:val="00F0004B"/>
    <w:rsid w:val="00F00316"/>
    <w:rsid w:val="00F01019"/>
    <w:rsid w:val="00F01320"/>
    <w:rsid w:val="00F01540"/>
    <w:rsid w:val="00F01BD6"/>
    <w:rsid w:val="00F02ADE"/>
    <w:rsid w:val="00F03BFD"/>
    <w:rsid w:val="00F049D3"/>
    <w:rsid w:val="00F05B36"/>
    <w:rsid w:val="00F0674A"/>
    <w:rsid w:val="00F07DCD"/>
    <w:rsid w:val="00F131D7"/>
    <w:rsid w:val="00F14B9B"/>
    <w:rsid w:val="00F176BE"/>
    <w:rsid w:val="00F17D71"/>
    <w:rsid w:val="00F200D7"/>
    <w:rsid w:val="00F21111"/>
    <w:rsid w:val="00F21307"/>
    <w:rsid w:val="00F221BA"/>
    <w:rsid w:val="00F2276E"/>
    <w:rsid w:val="00F23A9F"/>
    <w:rsid w:val="00F23B2E"/>
    <w:rsid w:val="00F23E43"/>
    <w:rsid w:val="00F23F73"/>
    <w:rsid w:val="00F2642D"/>
    <w:rsid w:val="00F27B51"/>
    <w:rsid w:val="00F30535"/>
    <w:rsid w:val="00F309A7"/>
    <w:rsid w:val="00F32597"/>
    <w:rsid w:val="00F33B40"/>
    <w:rsid w:val="00F33E85"/>
    <w:rsid w:val="00F36321"/>
    <w:rsid w:val="00F37351"/>
    <w:rsid w:val="00F40291"/>
    <w:rsid w:val="00F40377"/>
    <w:rsid w:val="00F410CD"/>
    <w:rsid w:val="00F444FA"/>
    <w:rsid w:val="00F44893"/>
    <w:rsid w:val="00F454D7"/>
    <w:rsid w:val="00F45563"/>
    <w:rsid w:val="00F45EC8"/>
    <w:rsid w:val="00F475E1"/>
    <w:rsid w:val="00F47F1B"/>
    <w:rsid w:val="00F50696"/>
    <w:rsid w:val="00F50708"/>
    <w:rsid w:val="00F51831"/>
    <w:rsid w:val="00F51BEF"/>
    <w:rsid w:val="00F53860"/>
    <w:rsid w:val="00F539B2"/>
    <w:rsid w:val="00F55F27"/>
    <w:rsid w:val="00F5652F"/>
    <w:rsid w:val="00F5682A"/>
    <w:rsid w:val="00F56D52"/>
    <w:rsid w:val="00F572F0"/>
    <w:rsid w:val="00F575BF"/>
    <w:rsid w:val="00F57731"/>
    <w:rsid w:val="00F616BF"/>
    <w:rsid w:val="00F62235"/>
    <w:rsid w:val="00F6253B"/>
    <w:rsid w:val="00F62773"/>
    <w:rsid w:val="00F64692"/>
    <w:rsid w:val="00F65E73"/>
    <w:rsid w:val="00F67948"/>
    <w:rsid w:val="00F7071F"/>
    <w:rsid w:val="00F71338"/>
    <w:rsid w:val="00F71C70"/>
    <w:rsid w:val="00F7247C"/>
    <w:rsid w:val="00F73958"/>
    <w:rsid w:val="00F73A9F"/>
    <w:rsid w:val="00F73EF3"/>
    <w:rsid w:val="00F74A64"/>
    <w:rsid w:val="00F75DE6"/>
    <w:rsid w:val="00F75DF2"/>
    <w:rsid w:val="00F77665"/>
    <w:rsid w:val="00F777BD"/>
    <w:rsid w:val="00F808EB"/>
    <w:rsid w:val="00F80A23"/>
    <w:rsid w:val="00F81D14"/>
    <w:rsid w:val="00F86645"/>
    <w:rsid w:val="00F86B0E"/>
    <w:rsid w:val="00F911F8"/>
    <w:rsid w:val="00F913E3"/>
    <w:rsid w:val="00F92B31"/>
    <w:rsid w:val="00F93866"/>
    <w:rsid w:val="00F93B0A"/>
    <w:rsid w:val="00F94113"/>
    <w:rsid w:val="00F94661"/>
    <w:rsid w:val="00F94EAF"/>
    <w:rsid w:val="00F96AD5"/>
    <w:rsid w:val="00F96BBC"/>
    <w:rsid w:val="00FA05D9"/>
    <w:rsid w:val="00FA096D"/>
    <w:rsid w:val="00FA162A"/>
    <w:rsid w:val="00FA34DA"/>
    <w:rsid w:val="00FA5924"/>
    <w:rsid w:val="00FA6311"/>
    <w:rsid w:val="00FA74C8"/>
    <w:rsid w:val="00FA7F67"/>
    <w:rsid w:val="00FB040E"/>
    <w:rsid w:val="00FB208B"/>
    <w:rsid w:val="00FB4FD0"/>
    <w:rsid w:val="00FB5950"/>
    <w:rsid w:val="00FB6482"/>
    <w:rsid w:val="00FB6595"/>
    <w:rsid w:val="00FB69D6"/>
    <w:rsid w:val="00FB7580"/>
    <w:rsid w:val="00FB7826"/>
    <w:rsid w:val="00FC00FD"/>
    <w:rsid w:val="00FC0E29"/>
    <w:rsid w:val="00FC15C0"/>
    <w:rsid w:val="00FC1715"/>
    <w:rsid w:val="00FC17AA"/>
    <w:rsid w:val="00FC1EFB"/>
    <w:rsid w:val="00FC3D0C"/>
    <w:rsid w:val="00FC4E85"/>
    <w:rsid w:val="00FC4EB6"/>
    <w:rsid w:val="00FC614E"/>
    <w:rsid w:val="00FC642C"/>
    <w:rsid w:val="00FC6457"/>
    <w:rsid w:val="00FC6E94"/>
    <w:rsid w:val="00FD0466"/>
    <w:rsid w:val="00FD06C4"/>
    <w:rsid w:val="00FD1030"/>
    <w:rsid w:val="00FD1774"/>
    <w:rsid w:val="00FD2C25"/>
    <w:rsid w:val="00FD31F7"/>
    <w:rsid w:val="00FD3322"/>
    <w:rsid w:val="00FD43BE"/>
    <w:rsid w:val="00FD5D8A"/>
    <w:rsid w:val="00FD61DA"/>
    <w:rsid w:val="00FD7DF5"/>
    <w:rsid w:val="00FE12D2"/>
    <w:rsid w:val="00FE14DE"/>
    <w:rsid w:val="00FE1ECE"/>
    <w:rsid w:val="00FE2CE8"/>
    <w:rsid w:val="00FE59F3"/>
    <w:rsid w:val="00FE665E"/>
    <w:rsid w:val="00FE67B4"/>
    <w:rsid w:val="00FF048B"/>
    <w:rsid w:val="00FF0521"/>
    <w:rsid w:val="00FF063F"/>
    <w:rsid w:val="00FF10BE"/>
    <w:rsid w:val="00FF3797"/>
    <w:rsid w:val="00FF444A"/>
    <w:rsid w:val="00FF5492"/>
    <w:rsid w:val="00FF6DCE"/>
    <w:rsid w:val="00FF6E42"/>
    <w:rsid w:val="00FF75BD"/>
    <w:rsid w:val="00FF797B"/>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49"/>
    <o:shapelayout v:ext="edit">
      <o:idmap v:ext="edit" data="1"/>
    </o:shapelayout>
  </w:shapeDefaults>
  <w:decimalSymbol w:val="."/>
  <w:listSeparator w:val=","/>
  <w15:docId w15:val="{E12BB095-1D49-46E7-8194-427AF5E59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locked="1" w:semiHidden="1" w:uiPriority="0"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7BD"/>
    <w:pPr>
      <w:jc w:val="both"/>
    </w:pPr>
    <w:rPr>
      <w:rFonts w:cs="Angsana New"/>
      <w:sz w:val="22"/>
      <w:szCs w:val="24"/>
      <w:lang w:val="en-GB"/>
    </w:rPr>
  </w:style>
  <w:style w:type="paragraph" w:styleId="Heading1">
    <w:name w:val="heading 1"/>
    <w:basedOn w:val="Normal"/>
    <w:next w:val="Heading2"/>
    <w:link w:val="Heading1Char"/>
    <w:uiPriority w:val="99"/>
    <w:qFormat/>
    <w:rsid w:val="00EC17BD"/>
    <w:pPr>
      <w:keepNext/>
      <w:tabs>
        <w:tab w:val="left" w:pos="720"/>
      </w:tabs>
      <w:spacing w:before="240" w:after="120"/>
      <w:jc w:val="center"/>
      <w:outlineLvl w:val="0"/>
    </w:pPr>
    <w:rPr>
      <w:b/>
      <w:caps/>
    </w:rPr>
  </w:style>
  <w:style w:type="paragraph" w:styleId="Heading2">
    <w:name w:val="heading 2"/>
    <w:basedOn w:val="Normal"/>
    <w:link w:val="Heading2Char"/>
    <w:uiPriority w:val="99"/>
    <w:qFormat/>
    <w:rsid w:val="00EC17BD"/>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EC17BD"/>
    <w:pPr>
      <w:keepNext/>
      <w:tabs>
        <w:tab w:val="left" w:pos="567"/>
      </w:tabs>
      <w:spacing w:before="120" w:after="120"/>
      <w:jc w:val="center"/>
      <w:outlineLvl w:val="2"/>
    </w:pPr>
    <w:rPr>
      <w:i/>
      <w:iCs/>
    </w:rPr>
  </w:style>
  <w:style w:type="paragraph" w:styleId="Heading40">
    <w:name w:val="heading 4"/>
    <w:basedOn w:val="Normal"/>
    <w:link w:val="Heading4Char"/>
    <w:uiPriority w:val="99"/>
    <w:qFormat/>
    <w:rsid w:val="00EC17BD"/>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EC17BD"/>
    <w:pPr>
      <w:keepNext/>
      <w:numPr>
        <w:ilvl w:val="4"/>
        <w:numId w:val="7"/>
      </w:numPr>
      <w:tabs>
        <w:tab w:val="clear" w:pos="4320"/>
        <w:tab w:val="num" w:pos="720"/>
        <w:tab w:val="num" w:pos="2520"/>
      </w:tabs>
      <w:spacing w:before="120" w:after="120"/>
      <w:ind w:left="2520"/>
      <w:jc w:val="left"/>
      <w:outlineLvl w:val="4"/>
    </w:pPr>
    <w:rPr>
      <w:bCs/>
      <w:i/>
      <w:szCs w:val="26"/>
      <w:lang w:val="en-CA"/>
    </w:rPr>
  </w:style>
  <w:style w:type="paragraph" w:styleId="Heading6">
    <w:name w:val="heading 6"/>
    <w:basedOn w:val="Normal"/>
    <w:next w:val="Normal"/>
    <w:uiPriority w:val="99"/>
    <w:qFormat/>
    <w:rsid w:val="00EC17BD"/>
    <w:pPr>
      <w:keepNext/>
      <w:spacing w:after="240" w:line="240" w:lineRule="exact"/>
      <w:ind w:left="720"/>
      <w:outlineLvl w:val="5"/>
    </w:pPr>
    <w:rPr>
      <w:rFonts w:cs="Times New Roman"/>
      <w:u w:val="single"/>
    </w:rPr>
  </w:style>
  <w:style w:type="paragraph" w:styleId="Heading7">
    <w:name w:val="heading 7"/>
    <w:basedOn w:val="Normal"/>
    <w:next w:val="Normal"/>
    <w:link w:val="Heading7Char"/>
    <w:uiPriority w:val="99"/>
    <w:qFormat/>
    <w:rsid w:val="00EC17BD"/>
    <w:pPr>
      <w:keepNext/>
      <w:jc w:val="right"/>
      <w:outlineLvl w:val="6"/>
    </w:pPr>
    <w:rPr>
      <w:rFonts w:ascii="Univers" w:hAnsi="Univers"/>
      <w:b/>
      <w:sz w:val="28"/>
    </w:rPr>
  </w:style>
  <w:style w:type="paragraph" w:styleId="Heading8">
    <w:name w:val="heading 8"/>
    <w:basedOn w:val="Normal"/>
    <w:next w:val="Normal"/>
    <w:link w:val="Heading8Char"/>
    <w:uiPriority w:val="99"/>
    <w:qFormat/>
    <w:rsid w:val="00EC17BD"/>
    <w:pPr>
      <w:keepNext/>
      <w:jc w:val="right"/>
      <w:outlineLvl w:val="7"/>
    </w:pPr>
    <w:rPr>
      <w:rFonts w:ascii="Univers" w:hAnsi="Univers"/>
      <w:b/>
      <w:sz w:val="32"/>
    </w:rPr>
  </w:style>
  <w:style w:type="paragraph" w:styleId="Heading9">
    <w:name w:val="heading 9"/>
    <w:basedOn w:val="Normal"/>
    <w:next w:val="Normal"/>
    <w:link w:val="Heading9Char"/>
    <w:uiPriority w:val="99"/>
    <w:qFormat/>
    <w:rsid w:val="00EC17BD"/>
    <w:pPr>
      <w:keepNext/>
      <w:spacing w:before="100" w:beforeAutospacing="1" w:after="120"/>
      <w:outlineLvl w:val="8"/>
    </w:pPr>
    <w:rPr>
      <w:rFonts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C17BD"/>
    <w:rPr>
      <w:rFonts w:cs="Times New Roman"/>
      <w:b/>
      <w:caps/>
      <w:sz w:val="24"/>
      <w:lang w:val="en-GB"/>
    </w:rPr>
  </w:style>
  <w:style w:type="character" w:customStyle="1" w:styleId="Heading2Char">
    <w:name w:val="Heading 2 Char"/>
    <w:link w:val="Heading2"/>
    <w:uiPriority w:val="99"/>
    <w:locked/>
    <w:rsid w:val="00EC17BD"/>
    <w:rPr>
      <w:rFonts w:cs="Times New Roman"/>
      <w:b/>
      <w:i/>
      <w:sz w:val="24"/>
      <w:lang w:val="en-GB"/>
    </w:rPr>
  </w:style>
  <w:style w:type="character" w:customStyle="1" w:styleId="Heading3Char">
    <w:name w:val="Heading 3 Char"/>
    <w:link w:val="Heading3"/>
    <w:uiPriority w:val="99"/>
    <w:semiHidden/>
    <w:locked/>
    <w:rPr>
      <w:rFonts w:ascii="Cambria" w:eastAsia="SimSun" w:hAnsi="Cambria" w:cs="Times New Roman"/>
      <w:b/>
      <w:bCs/>
      <w:sz w:val="26"/>
      <w:szCs w:val="26"/>
      <w:lang w:val="en-GB"/>
    </w:rPr>
  </w:style>
  <w:style w:type="character" w:customStyle="1" w:styleId="Heading4Char">
    <w:name w:val="Heading 4 Char"/>
    <w:link w:val="Heading40"/>
    <w:uiPriority w:val="99"/>
    <w:semiHidden/>
    <w:locked/>
    <w:rPr>
      <w:rFonts w:ascii="Calibri" w:eastAsia="SimSun" w:hAnsi="Calibri" w:cs="Times New Roman"/>
      <w:b/>
      <w:bCs/>
      <w:sz w:val="28"/>
      <w:szCs w:val="28"/>
      <w:lang w:val="en-GB"/>
    </w:rPr>
  </w:style>
  <w:style w:type="character" w:customStyle="1" w:styleId="Heading5Char">
    <w:name w:val="Heading 5 Char"/>
    <w:aliases w:val="Heading 5 - GTI Char"/>
    <w:link w:val="Heading5"/>
    <w:uiPriority w:val="99"/>
    <w:locked/>
    <w:rPr>
      <w:rFonts w:cs="Angsana New"/>
      <w:bCs/>
      <w:i/>
      <w:szCs w:val="26"/>
      <w:lang w:val="en-CA"/>
    </w:rPr>
  </w:style>
  <w:style w:type="character" w:customStyle="1" w:styleId="Heading6Char">
    <w:name w:val="Heading 6 Char"/>
    <w:uiPriority w:val="99"/>
    <w:locked/>
    <w:rsid w:val="00EC17BD"/>
    <w:rPr>
      <w:rFonts w:cs="Times New Roman"/>
      <w:sz w:val="24"/>
      <w:u w:val="single"/>
      <w:lang w:val="en-GB"/>
    </w:rPr>
  </w:style>
  <w:style w:type="character" w:customStyle="1" w:styleId="Heading7Char">
    <w:name w:val="Heading 7 Char"/>
    <w:link w:val="Heading7"/>
    <w:uiPriority w:val="99"/>
    <w:semiHidden/>
    <w:locked/>
    <w:rPr>
      <w:rFonts w:ascii="Calibri" w:eastAsia="SimSun" w:hAnsi="Calibri" w:cs="Times New Roman"/>
      <w:sz w:val="24"/>
      <w:szCs w:val="24"/>
      <w:lang w:val="en-GB"/>
    </w:rPr>
  </w:style>
  <w:style w:type="character" w:customStyle="1" w:styleId="Heading8Char">
    <w:name w:val="Heading 8 Char"/>
    <w:link w:val="Heading8"/>
    <w:uiPriority w:val="99"/>
    <w:semiHidden/>
    <w:locked/>
    <w:rPr>
      <w:rFonts w:ascii="Calibri" w:eastAsia="SimSun" w:hAnsi="Calibri" w:cs="Times New Roman"/>
      <w:i/>
      <w:iCs/>
      <w:sz w:val="24"/>
      <w:szCs w:val="24"/>
      <w:lang w:val="en-GB"/>
    </w:rPr>
  </w:style>
  <w:style w:type="character" w:customStyle="1" w:styleId="Heading9Char">
    <w:name w:val="Heading 9 Char"/>
    <w:link w:val="Heading9"/>
    <w:uiPriority w:val="99"/>
    <w:locked/>
    <w:rsid w:val="00EC17BD"/>
    <w:rPr>
      <w:rFonts w:cs="Times New Roman"/>
      <w:i/>
      <w:sz w:val="24"/>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rsid w:val="00EC17BD"/>
    <w:rPr>
      <w:rFonts w:cs="Times New Roman"/>
      <w:sz w:val="18"/>
      <w:u w:val="none"/>
      <w:vertAlign w:val="superscript"/>
    </w:rPr>
  </w:style>
  <w:style w:type="character" w:styleId="PageNumber">
    <w:name w:val="page number"/>
    <w:uiPriority w:val="99"/>
    <w:rsid w:val="00EC17BD"/>
    <w:rPr>
      <w:rFonts w:ascii="Times New Roman" w:hAnsi="Times New Roman" w:cs="Times New Roman"/>
      <w:sz w:val="22"/>
    </w:rPr>
  </w:style>
  <w:style w:type="paragraph" w:styleId="BodyText">
    <w:name w:val="Body Text"/>
    <w:basedOn w:val="Normal"/>
    <w:link w:val="BodyTextChar"/>
    <w:uiPriority w:val="99"/>
    <w:rsid w:val="00EC17BD"/>
    <w:pPr>
      <w:spacing w:before="120" w:after="120"/>
      <w:ind w:firstLine="720"/>
    </w:pPr>
    <w:rPr>
      <w:iCs/>
    </w:rPr>
  </w:style>
  <w:style w:type="character" w:customStyle="1" w:styleId="BodyTextChar">
    <w:name w:val="Body Text Char"/>
    <w:link w:val="BodyText"/>
    <w:uiPriority w:val="99"/>
    <w:locked/>
    <w:rsid w:val="00EC17BD"/>
    <w:rPr>
      <w:rFonts w:cs="Times New Roman"/>
      <w:sz w:val="24"/>
      <w:lang w:val="en-GB"/>
    </w:rPr>
  </w:style>
  <w:style w:type="paragraph" w:styleId="Caption">
    <w:name w:val="caption"/>
    <w:basedOn w:val="Normal"/>
    <w:next w:val="Normal"/>
    <w:uiPriority w:val="99"/>
    <w:qFormat/>
    <w:rsid w:val="00EC17BD"/>
    <w:pPr>
      <w:widowControl w:val="0"/>
    </w:pPr>
    <w:rPr>
      <w:rFonts w:ascii="Courier New" w:hAnsi="Courier New"/>
    </w:rPr>
  </w:style>
  <w:style w:type="paragraph" w:styleId="Header">
    <w:name w:val="header"/>
    <w:basedOn w:val="Normal"/>
    <w:link w:val="HeaderChar1"/>
    <w:uiPriority w:val="99"/>
    <w:rsid w:val="00EC17BD"/>
    <w:pPr>
      <w:tabs>
        <w:tab w:val="center" w:pos="4320"/>
        <w:tab w:val="right" w:pos="8640"/>
      </w:tabs>
    </w:pPr>
    <w:rPr>
      <w:rFonts w:cs="Times New Roman"/>
    </w:rPr>
  </w:style>
  <w:style w:type="character" w:customStyle="1" w:styleId="HeaderChar">
    <w:name w:val="Header Char"/>
    <w:uiPriority w:val="99"/>
    <w:semiHidden/>
    <w:rsid w:val="00AE6255"/>
    <w:rPr>
      <w:rFonts w:cs="Angsana New"/>
      <w:szCs w:val="24"/>
      <w:lang w:val="en-GB"/>
    </w:rPr>
  </w:style>
  <w:style w:type="character" w:customStyle="1" w:styleId="HeaderChar1">
    <w:name w:val="Header Char1"/>
    <w:link w:val="Header"/>
    <w:uiPriority w:val="99"/>
    <w:locked/>
    <w:rsid w:val="00EC17BD"/>
    <w:rPr>
      <w:rFonts w:cs="Times New Roman"/>
      <w:sz w:val="24"/>
      <w:lang w:val="en-GB"/>
    </w:rPr>
  </w:style>
  <w:style w:type="paragraph" w:styleId="Footer">
    <w:name w:val="footer"/>
    <w:basedOn w:val="Normal"/>
    <w:link w:val="FooterChar"/>
    <w:uiPriority w:val="99"/>
    <w:rsid w:val="00EC17BD"/>
    <w:pPr>
      <w:tabs>
        <w:tab w:val="center" w:pos="4320"/>
        <w:tab w:val="right" w:pos="8640"/>
      </w:tabs>
      <w:ind w:firstLine="720"/>
      <w:jc w:val="right"/>
    </w:pPr>
    <w:rPr>
      <w:rFonts w:cs="Times New Roman"/>
      <w:lang w:val="en-US"/>
    </w:rPr>
  </w:style>
  <w:style w:type="character" w:customStyle="1" w:styleId="FooterChar">
    <w:name w:val="Footer Char"/>
    <w:link w:val="Footer"/>
    <w:uiPriority w:val="99"/>
    <w:locked/>
    <w:rsid w:val="00EC17BD"/>
    <w:rPr>
      <w:rFonts w:cs="Times New Roman"/>
      <w:sz w:val="24"/>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rsid w:val="00EC17BD"/>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semiHidden/>
    <w:locked/>
    <w:rPr>
      <w:rFonts w:cs="Angsana New"/>
      <w:sz w:val="20"/>
      <w:szCs w:val="20"/>
      <w:lang w:val="en-GB" w:bidi="th-TH"/>
    </w:rPr>
  </w:style>
  <w:style w:type="paragraph" w:styleId="BodyText2">
    <w:name w:val="Body Text 2"/>
    <w:basedOn w:val="Normal"/>
    <w:link w:val="BodyText2Char"/>
    <w:uiPriority w:val="99"/>
    <w:rsid w:val="00EC17BD"/>
    <w:rPr>
      <w:i/>
      <w:iCs/>
    </w:rPr>
  </w:style>
  <w:style w:type="character" w:customStyle="1" w:styleId="BodyText2Char">
    <w:name w:val="Body Text 2 Char"/>
    <w:link w:val="BodyText2"/>
    <w:uiPriority w:val="99"/>
    <w:locked/>
    <w:rsid w:val="00EC17BD"/>
    <w:rPr>
      <w:rFonts w:cs="Times New Roman"/>
      <w:sz w:val="22"/>
      <w:lang w:val="en-US"/>
    </w:rPr>
  </w:style>
  <w:style w:type="paragraph" w:styleId="BodyText3">
    <w:name w:val="Body Text 3"/>
    <w:basedOn w:val="Normal"/>
    <w:link w:val="BodyText3Char"/>
    <w:uiPriority w:val="99"/>
    <w:rsid w:val="00EC17BD"/>
    <w:pPr>
      <w:jc w:val="center"/>
    </w:pPr>
    <w:rPr>
      <w:sz w:val="28"/>
    </w:rPr>
  </w:style>
  <w:style w:type="character" w:customStyle="1" w:styleId="BodyText3Char">
    <w:name w:val="Body Text 3 Char"/>
    <w:link w:val="BodyText3"/>
    <w:uiPriority w:val="99"/>
    <w:semiHidden/>
    <w:locked/>
    <w:rPr>
      <w:rFonts w:cs="Angsana New"/>
      <w:sz w:val="16"/>
      <w:szCs w:val="16"/>
      <w:lang w:val="en-GB" w:bidi="th-TH"/>
    </w:rPr>
  </w:style>
  <w:style w:type="paragraph" w:styleId="BodyTextIndent2">
    <w:name w:val="Body Text Indent 2"/>
    <w:basedOn w:val="Normal"/>
    <w:link w:val="BodyTextIndent2Char"/>
    <w:uiPriority w:val="99"/>
    <w:rsid w:val="00EC17BD"/>
    <w:pPr>
      <w:ind w:firstLine="720"/>
    </w:pPr>
  </w:style>
  <w:style w:type="character" w:customStyle="1" w:styleId="BodyTextIndent2Char">
    <w:name w:val="Body Text Indent 2 Char"/>
    <w:link w:val="BodyTextIndent2"/>
    <w:uiPriority w:val="99"/>
    <w:semiHidden/>
    <w:locked/>
    <w:rPr>
      <w:rFonts w:cs="Angsana New"/>
      <w:sz w:val="24"/>
      <w:szCs w:val="24"/>
      <w:lang w:val="en-GB" w:bidi="th-TH"/>
    </w:rPr>
  </w:style>
  <w:style w:type="paragraph" w:styleId="BodyTextIndent3">
    <w:name w:val="Body Text Indent 3"/>
    <w:basedOn w:val="Normal"/>
    <w:link w:val="BodyTextIndent3Char"/>
    <w:uiPriority w:val="99"/>
    <w:rsid w:val="00EC17BD"/>
    <w:pPr>
      <w:ind w:left="1080" w:hanging="360"/>
    </w:pPr>
    <w:rPr>
      <w:sz w:val="20"/>
    </w:rPr>
  </w:style>
  <w:style w:type="character" w:customStyle="1" w:styleId="BodyTextIndent3Char">
    <w:name w:val="Body Text Indent 3 Char"/>
    <w:link w:val="BodyTextIndent3"/>
    <w:uiPriority w:val="99"/>
    <w:semiHidden/>
    <w:locked/>
    <w:rPr>
      <w:rFonts w:cs="Angsana New"/>
      <w:sz w:val="16"/>
      <w:szCs w:val="16"/>
      <w:lang w:val="en-GB" w:bidi="th-TH"/>
    </w:rPr>
  </w:style>
  <w:style w:type="paragraph" w:customStyle="1" w:styleId="BodyText21">
    <w:name w:val="Body Text 21"/>
    <w:basedOn w:val="Normal"/>
    <w:uiPriority w:val="99"/>
    <w:rsid w:val="00EC17BD"/>
  </w:style>
  <w:style w:type="paragraph" w:styleId="BlockText">
    <w:name w:val="Block Text"/>
    <w:basedOn w:val="Normal"/>
    <w:uiPriority w:val="99"/>
    <w:rsid w:val="00EC17BD"/>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uiPriority w:val="99"/>
    <w:rsid w:val="00EC17BD"/>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uiPriority w:val="99"/>
    <w:rsid w:val="00EC17BD"/>
    <w:pPr>
      <w:spacing w:before="120" w:after="120"/>
      <w:ind w:left="1440" w:hanging="720"/>
      <w:jc w:val="left"/>
    </w:pPr>
  </w:style>
  <w:style w:type="character" w:customStyle="1" w:styleId="BodyTextIndentChar">
    <w:name w:val="Body Text Indent Char"/>
    <w:link w:val="BodyTextIndent"/>
    <w:uiPriority w:val="99"/>
    <w:semiHidden/>
    <w:locked/>
    <w:rPr>
      <w:rFonts w:cs="Angsana New"/>
      <w:sz w:val="24"/>
      <w:szCs w:val="24"/>
      <w:lang w:val="en-GB" w:bidi="th-TH"/>
    </w:rPr>
  </w:style>
  <w:style w:type="character" w:styleId="EndnoteReference">
    <w:name w:val="endnote reference"/>
    <w:uiPriority w:val="99"/>
    <w:semiHidden/>
    <w:rsid w:val="00EC17BD"/>
    <w:rPr>
      <w:rFonts w:cs="Times New Roman"/>
      <w:vertAlign w:val="superscript"/>
    </w:rPr>
  </w:style>
  <w:style w:type="paragraph" w:styleId="Title">
    <w:name w:val="Title"/>
    <w:basedOn w:val="Normal"/>
    <w:link w:val="TitleChar"/>
    <w:uiPriority w:val="99"/>
    <w:qFormat/>
    <w:rsid w:val="00EC17BD"/>
    <w:pPr>
      <w:jc w:val="center"/>
    </w:pPr>
    <w:rPr>
      <w:i/>
      <w:iCs/>
    </w:rPr>
  </w:style>
  <w:style w:type="character" w:customStyle="1" w:styleId="TitleChar">
    <w:name w:val="Title Char"/>
    <w:link w:val="Title"/>
    <w:uiPriority w:val="99"/>
    <w:locked/>
    <w:rPr>
      <w:rFonts w:ascii="Cambria" w:eastAsia="SimSun" w:hAnsi="Cambria" w:cs="Times New Roman"/>
      <w:b/>
      <w:bCs/>
      <w:kern w:val="28"/>
      <w:sz w:val="32"/>
      <w:szCs w:val="32"/>
      <w:lang w:val="en-GB"/>
    </w:rPr>
  </w:style>
  <w:style w:type="character" w:styleId="Hyperlink">
    <w:name w:val="Hyperlink"/>
    <w:uiPriority w:val="99"/>
    <w:rsid w:val="00EC17BD"/>
    <w:rPr>
      <w:rFonts w:cs="Times New Roman"/>
      <w:color w:val="0000FF"/>
      <w:u w:val="single"/>
    </w:rPr>
  </w:style>
  <w:style w:type="paragraph" w:styleId="DocumentMap">
    <w:name w:val="Document Map"/>
    <w:basedOn w:val="Normal"/>
    <w:link w:val="DocumentMapChar"/>
    <w:uiPriority w:val="99"/>
    <w:semiHidden/>
    <w:rsid w:val="00EC17BD"/>
    <w:pPr>
      <w:shd w:val="clear" w:color="auto" w:fill="000080"/>
    </w:pPr>
  </w:style>
  <w:style w:type="character" w:customStyle="1" w:styleId="DocumentMapChar">
    <w:name w:val="Document Map Char"/>
    <w:link w:val="DocumentMap"/>
    <w:uiPriority w:val="99"/>
    <w:semiHidden/>
    <w:locked/>
    <w:rPr>
      <w:rFonts w:cs="Angsana New"/>
      <w:sz w:val="2"/>
      <w:lang w:val="en-GB" w:bidi="th-TH"/>
    </w:rPr>
  </w:style>
  <w:style w:type="paragraph" w:customStyle="1" w:styleId="HEADING">
    <w:name w:val="HEADING"/>
    <w:basedOn w:val="Normal"/>
    <w:uiPriority w:val="99"/>
    <w:rsid w:val="00EC17BD"/>
    <w:pPr>
      <w:keepNext/>
      <w:tabs>
        <w:tab w:val="left" w:pos="426"/>
      </w:tabs>
      <w:spacing w:before="120" w:after="120"/>
      <w:jc w:val="center"/>
    </w:pPr>
    <w:rPr>
      <w:rFonts w:cs="Times New Roman"/>
      <w:b/>
      <w:bCs/>
      <w:caps/>
    </w:rPr>
  </w:style>
  <w:style w:type="paragraph" w:customStyle="1" w:styleId="Cornernotation">
    <w:name w:val="Corner notation"/>
    <w:basedOn w:val="Normal"/>
    <w:uiPriority w:val="99"/>
    <w:rsid w:val="00EC17BD"/>
    <w:pPr>
      <w:ind w:left="284" w:right="4398" w:hanging="284"/>
      <w:jc w:val="left"/>
    </w:pPr>
  </w:style>
  <w:style w:type="paragraph" w:customStyle="1" w:styleId="Para1">
    <w:name w:val="Para1"/>
    <w:basedOn w:val="Normal"/>
    <w:uiPriority w:val="99"/>
    <w:rsid w:val="00EC17BD"/>
    <w:pPr>
      <w:spacing w:after="120"/>
    </w:pPr>
    <w:rPr>
      <w:szCs w:val="18"/>
    </w:rPr>
  </w:style>
  <w:style w:type="paragraph" w:customStyle="1" w:styleId="para2">
    <w:name w:val="para2"/>
    <w:basedOn w:val="Normal"/>
    <w:uiPriority w:val="99"/>
    <w:rsid w:val="00EC17BD"/>
    <w:pPr>
      <w:numPr>
        <w:numId w:val="12"/>
      </w:numPr>
      <w:spacing w:before="120" w:after="120"/>
    </w:pPr>
    <w:rPr>
      <w:szCs w:val="20"/>
    </w:rPr>
  </w:style>
  <w:style w:type="paragraph" w:customStyle="1" w:styleId="Para3">
    <w:name w:val="Para3"/>
    <w:basedOn w:val="Normal"/>
    <w:uiPriority w:val="99"/>
    <w:rsid w:val="00EC17BD"/>
    <w:pPr>
      <w:numPr>
        <w:ilvl w:val="2"/>
        <w:numId w:val="17"/>
      </w:numPr>
      <w:tabs>
        <w:tab w:val="left" w:pos="1980"/>
      </w:tabs>
      <w:spacing w:before="80" w:after="80"/>
    </w:pPr>
    <w:rPr>
      <w:szCs w:val="20"/>
    </w:rPr>
  </w:style>
  <w:style w:type="paragraph" w:customStyle="1" w:styleId="para4">
    <w:name w:val="para4"/>
    <w:basedOn w:val="Normal"/>
    <w:uiPriority w:val="99"/>
    <w:rsid w:val="00EC17BD"/>
    <w:pPr>
      <w:numPr>
        <w:ilvl w:val="3"/>
        <w:numId w:val="13"/>
      </w:numPr>
      <w:overflowPunct w:val="0"/>
      <w:autoSpaceDE w:val="0"/>
      <w:autoSpaceDN w:val="0"/>
      <w:adjustRightInd w:val="0"/>
      <w:spacing w:after="120" w:line="240" w:lineRule="atLeast"/>
      <w:textAlignment w:val="baseline"/>
    </w:pPr>
    <w:rPr>
      <w:color w:val="000000"/>
      <w:sz w:val="20"/>
      <w:szCs w:val="20"/>
    </w:rPr>
  </w:style>
  <w:style w:type="paragraph" w:customStyle="1" w:styleId="Heading2-center">
    <w:name w:val="Heading 2-center"/>
    <w:basedOn w:val="Heading2"/>
    <w:uiPriority w:val="99"/>
    <w:rsid w:val="00EC17BD"/>
  </w:style>
  <w:style w:type="paragraph" w:customStyle="1" w:styleId="Heading4indent">
    <w:name w:val="Heading 4 indent"/>
    <w:basedOn w:val="Heading40"/>
    <w:uiPriority w:val="99"/>
    <w:rsid w:val="00EC17BD"/>
    <w:pPr>
      <w:ind w:left="720"/>
    </w:pPr>
  </w:style>
  <w:style w:type="paragraph" w:styleId="PlainText">
    <w:name w:val="Plain Text"/>
    <w:basedOn w:val="Normal"/>
    <w:link w:val="PlainTextChar"/>
    <w:uiPriority w:val="99"/>
    <w:rsid w:val="00EC17BD"/>
    <w:rPr>
      <w:rFonts w:ascii="Courier New" w:hAnsi="Courier New" w:cs="Times New Roman"/>
      <w:sz w:val="20"/>
      <w:lang w:val="en-US"/>
    </w:rPr>
  </w:style>
  <w:style w:type="character" w:customStyle="1" w:styleId="PlainTextChar">
    <w:name w:val="Plain Text Char"/>
    <w:link w:val="PlainText"/>
    <w:uiPriority w:val="99"/>
    <w:locked/>
    <w:rsid w:val="00EC17BD"/>
    <w:rPr>
      <w:rFonts w:ascii="Courier New" w:hAnsi="Courier New" w:cs="Times New Roman"/>
      <w:sz w:val="24"/>
    </w:rPr>
  </w:style>
  <w:style w:type="paragraph" w:customStyle="1" w:styleId="xl24">
    <w:name w:val="xl24"/>
    <w:basedOn w:val="Normal"/>
    <w:uiPriority w:val="99"/>
    <w:rsid w:val="00EC17BD"/>
    <w:pPr>
      <w:spacing w:before="100" w:beforeAutospacing="1" w:after="100" w:afterAutospacing="1"/>
    </w:pPr>
    <w:rPr>
      <w:b/>
      <w:bCs/>
      <w:szCs w:val="22"/>
    </w:rPr>
  </w:style>
  <w:style w:type="paragraph" w:customStyle="1" w:styleId="xl25">
    <w:name w:val="xl25"/>
    <w:basedOn w:val="Normal"/>
    <w:uiPriority w:val="99"/>
    <w:rsid w:val="00EC17BD"/>
    <w:pPr>
      <w:spacing w:before="100" w:beforeAutospacing="1" w:after="100" w:afterAutospacing="1"/>
    </w:pPr>
    <w:rPr>
      <w:b/>
      <w:bCs/>
      <w:szCs w:val="22"/>
    </w:rPr>
  </w:style>
  <w:style w:type="paragraph" w:customStyle="1" w:styleId="xl26">
    <w:name w:val="xl26"/>
    <w:basedOn w:val="Normal"/>
    <w:uiPriority w:val="99"/>
    <w:rsid w:val="00EC17BD"/>
    <w:pPr>
      <w:spacing w:before="100" w:beforeAutospacing="1" w:after="100" w:afterAutospacing="1"/>
      <w:jc w:val="center"/>
    </w:pPr>
    <w:rPr>
      <w:b/>
      <w:bCs/>
      <w:szCs w:val="22"/>
    </w:rPr>
  </w:style>
  <w:style w:type="paragraph" w:customStyle="1" w:styleId="xl27">
    <w:name w:val="xl27"/>
    <w:basedOn w:val="Normal"/>
    <w:uiPriority w:val="99"/>
    <w:rsid w:val="00EC17BD"/>
    <w:pPr>
      <w:pBdr>
        <w:left w:val="single" w:sz="8" w:space="0" w:color="auto"/>
      </w:pBdr>
      <w:spacing w:before="100" w:beforeAutospacing="1" w:after="100" w:afterAutospacing="1"/>
    </w:pPr>
    <w:rPr>
      <w:b/>
      <w:bCs/>
      <w:szCs w:val="22"/>
    </w:rPr>
  </w:style>
  <w:style w:type="paragraph" w:customStyle="1" w:styleId="xl28">
    <w:name w:val="xl28"/>
    <w:basedOn w:val="Normal"/>
    <w:uiPriority w:val="99"/>
    <w:rsid w:val="00EC17BD"/>
    <w:pPr>
      <w:pBdr>
        <w:left w:val="single" w:sz="8" w:space="0" w:color="auto"/>
        <w:right w:val="single" w:sz="8" w:space="0" w:color="auto"/>
      </w:pBdr>
      <w:spacing w:before="100" w:beforeAutospacing="1" w:after="100" w:afterAutospacing="1"/>
      <w:jc w:val="center"/>
    </w:pPr>
    <w:rPr>
      <w:b/>
      <w:bCs/>
      <w:szCs w:val="22"/>
    </w:rPr>
  </w:style>
  <w:style w:type="paragraph" w:customStyle="1" w:styleId="xl29">
    <w:name w:val="xl29"/>
    <w:basedOn w:val="Normal"/>
    <w:uiPriority w:val="99"/>
    <w:rsid w:val="00EC17BD"/>
    <w:pPr>
      <w:pBdr>
        <w:left w:val="single" w:sz="8" w:space="0" w:color="auto"/>
      </w:pBdr>
      <w:spacing w:before="100" w:beforeAutospacing="1" w:after="100" w:afterAutospacing="1"/>
    </w:pPr>
    <w:rPr>
      <w:szCs w:val="22"/>
    </w:rPr>
  </w:style>
  <w:style w:type="paragraph" w:customStyle="1" w:styleId="xl30">
    <w:name w:val="xl30"/>
    <w:basedOn w:val="Normal"/>
    <w:uiPriority w:val="99"/>
    <w:rsid w:val="00EC17BD"/>
    <w:pPr>
      <w:pBdr>
        <w:left w:val="single" w:sz="4" w:space="0" w:color="auto"/>
        <w:right w:val="single" w:sz="4" w:space="0" w:color="auto"/>
      </w:pBdr>
      <w:spacing w:before="100" w:beforeAutospacing="1" w:after="100" w:afterAutospacing="1"/>
      <w:jc w:val="center"/>
    </w:pPr>
    <w:rPr>
      <w:szCs w:val="22"/>
    </w:rPr>
  </w:style>
  <w:style w:type="paragraph" w:customStyle="1" w:styleId="xl31">
    <w:name w:val="xl31"/>
    <w:basedOn w:val="Normal"/>
    <w:uiPriority w:val="99"/>
    <w:rsid w:val="00EC17BD"/>
    <w:pPr>
      <w:pBdr>
        <w:left w:val="single" w:sz="4" w:space="0" w:color="auto"/>
        <w:right w:val="single" w:sz="8" w:space="0" w:color="auto"/>
      </w:pBdr>
      <w:spacing w:before="100" w:beforeAutospacing="1" w:after="100" w:afterAutospacing="1"/>
    </w:pPr>
    <w:rPr>
      <w:szCs w:val="22"/>
    </w:rPr>
  </w:style>
  <w:style w:type="paragraph" w:customStyle="1" w:styleId="xl32">
    <w:name w:val="xl32"/>
    <w:basedOn w:val="Normal"/>
    <w:uiPriority w:val="99"/>
    <w:rsid w:val="00EC17BD"/>
    <w:pPr>
      <w:pBdr>
        <w:left w:val="single" w:sz="4" w:space="0" w:color="auto"/>
        <w:right w:val="single" w:sz="8" w:space="0" w:color="auto"/>
      </w:pBdr>
      <w:spacing w:before="100" w:beforeAutospacing="1" w:after="100" w:afterAutospacing="1"/>
    </w:pPr>
    <w:rPr>
      <w:szCs w:val="22"/>
    </w:rPr>
  </w:style>
  <w:style w:type="paragraph" w:customStyle="1" w:styleId="xl33">
    <w:name w:val="xl33"/>
    <w:basedOn w:val="Normal"/>
    <w:uiPriority w:val="99"/>
    <w:rsid w:val="00EC17BD"/>
    <w:pPr>
      <w:pBdr>
        <w:right w:val="single" w:sz="8" w:space="0" w:color="auto"/>
      </w:pBdr>
      <w:spacing w:before="100" w:beforeAutospacing="1" w:after="100" w:afterAutospacing="1"/>
    </w:pPr>
    <w:rPr>
      <w:szCs w:val="22"/>
    </w:rPr>
  </w:style>
  <w:style w:type="paragraph" w:customStyle="1" w:styleId="xl34">
    <w:name w:val="xl34"/>
    <w:basedOn w:val="Normal"/>
    <w:uiPriority w:val="99"/>
    <w:rsid w:val="00EC17BD"/>
    <w:pPr>
      <w:pBdr>
        <w:left w:val="single" w:sz="8" w:space="0" w:color="auto"/>
      </w:pBdr>
      <w:spacing w:before="100" w:beforeAutospacing="1" w:after="100" w:afterAutospacing="1"/>
      <w:textAlignment w:val="top"/>
    </w:pPr>
    <w:rPr>
      <w:szCs w:val="22"/>
    </w:rPr>
  </w:style>
  <w:style w:type="paragraph" w:customStyle="1" w:styleId="xl35">
    <w:name w:val="xl35"/>
    <w:basedOn w:val="Normal"/>
    <w:uiPriority w:val="99"/>
    <w:rsid w:val="00EC17BD"/>
    <w:pPr>
      <w:pBdr>
        <w:left w:val="single" w:sz="4" w:space="0" w:color="auto"/>
        <w:right w:val="single" w:sz="4" w:space="0" w:color="auto"/>
      </w:pBdr>
      <w:spacing w:before="100" w:beforeAutospacing="1" w:after="100" w:afterAutospacing="1"/>
      <w:jc w:val="center"/>
      <w:textAlignment w:val="top"/>
    </w:pPr>
    <w:rPr>
      <w:szCs w:val="22"/>
    </w:rPr>
  </w:style>
  <w:style w:type="paragraph" w:customStyle="1" w:styleId="xl36">
    <w:name w:val="xl36"/>
    <w:basedOn w:val="Normal"/>
    <w:uiPriority w:val="99"/>
    <w:rsid w:val="00EC17BD"/>
    <w:pPr>
      <w:pBdr>
        <w:left w:val="single" w:sz="4" w:space="0" w:color="auto"/>
        <w:right w:val="single" w:sz="8" w:space="0" w:color="auto"/>
      </w:pBdr>
      <w:spacing w:before="100" w:beforeAutospacing="1" w:after="100" w:afterAutospacing="1"/>
      <w:textAlignment w:val="top"/>
    </w:pPr>
    <w:rPr>
      <w:szCs w:val="22"/>
    </w:rPr>
  </w:style>
  <w:style w:type="paragraph" w:customStyle="1" w:styleId="xl37">
    <w:name w:val="xl37"/>
    <w:basedOn w:val="Normal"/>
    <w:uiPriority w:val="99"/>
    <w:rsid w:val="00EC17BD"/>
    <w:pPr>
      <w:pBdr>
        <w:left w:val="single" w:sz="8" w:space="0" w:color="auto"/>
        <w:bottom w:val="single" w:sz="4" w:space="0" w:color="auto"/>
      </w:pBdr>
      <w:spacing w:before="100" w:beforeAutospacing="1" w:after="100" w:afterAutospacing="1"/>
      <w:textAlignment w:val="top"/>
    </w:pPr>
    <w:rPr>
      <w:szCs w:val="22"/>
    </w:rPr>
  </w:style>
  <w:style w:type="paragraph" w:customStyle="1" w:styleId="xl38">
    <w:name w:val="xl38"/>
    <w:basedOn w:val="Normal"/>
    <w:uiPriority w:val="99"/>
    <w:rsid w:val="00EC17BD"/>
    <w:pPr>
      <w:pBdr>
        <w:left w:val="single" w:sz="4" w:space="0" w:color="auto"/>
        <w:bottom w:val="single" w:sz="4" w:space="0" w:color="auto"/>
        <w:right w:val="single" w:sz="4" w:space="0" w:color="auto"/>
      </w:pBdr>
      <w:spacing w:before="100" w:beforeAutospacing="1" w:after="100" w:afterAutospacing="1"/>
      <w:jc w:val="center"/>
      <w:textAlignment w:val="top"/>
    </w:pPr>
    <w:rPr>
      <w:szCs w:val="22"/>
    </w:rPr>
  </w:style>
  <w:style w:type="paragraph" w:customStyle="1" w:styleId="xl39">
    <w:name w:val="xl39"/>
    <w:basedOn w:val="Normal"/>
    <w:uiPriority w:val="99"/>
    <w:rsid w:val="00EC17BD"/>
    <w:pPr>
      <w:pBdr>
        <w:left w:val="single" w:sz="4" w:space="0" w:color="auto"/>
        <w:bottom w:val="single" w:sz="4" w:space="0" w:color="auto"/>
        <w:right w:val="single" w:sz="8" w:space="0" w:color="auto"/>
      </w:pBdr>
      <w:spacing w:before="100" w:beforeAutospacing="1" w:after="100" w:afterAutospacing="1"/>
      <w:textAlignment w:val="top"/>
    </w:pPr>
    <w:rPr>
      <w:szCs w:val="22"/>
    </w:rPr>
  </w:style>
  <w:style w:type="paragraph" w:customStyle="1" w:styleId="xl40">
    <w:name w:val="xl40"/>
    <w:basedOn w:val="Normal"/>
    <w:uiPriority w:val="99"/>
    <w:rsid w:val="00EC17BD"/>
    <w:pPr>
      <w:spacing w:before="100" w:beforeAutospacing="1" w:after="100" w:afterAutospacing="1"/>
      <w:jc w:val="center"/>
      <w:textAlignment w:val="top"/>
    </w:pPr>
    <w:rPr>
      <w:szCs w:val="22"/>
    </w:rPr>
  </w:style>
  <w:style w:type="paragraph" w:customStyle="1" w:styleId="xl41">
    <w:name w:val="xl41"/>
    <w:basedOn w:val="Normal"/>
    <w:uiPriority w:val="99"/>
    <w:rsid w:val="00EC17BD"/>
    <w:pPr>
      <w:spacing w:before="100" w:beforeAutospacing="1" w:after="100" w:afterAutospacing="1"/>
      <w:textAlignment w:val="top"/>
    </w:pPr>
    <w:rPr>
      <w:szCs w:val="22"/>
    </w:rPr>
  </w:style>
  <w:style w:type="paragraph" w:customStyle="1" w:styleId="xl42">
    <w:name w:val="xl42"/>
    <w:basedOn w:val="Normal"/>
    <w:uiPriority w:val="99"/>
    <w:rsid w:val="00EC17BD"/>
    <w:pPr>
      <w:spacing w:before="100" w:beforeAutospacing="1" w:after="100" w:afterAutospacing="1"/>
      <w:jc w:val="center"/>
    </w:pPr>
    <w:rPr>
      <w:szCs w:val="22"/>
    </w:rPr>
  </w:style>
  <w:style w:type="paragraph" w:customStyle="1" w:styleId="xl43">
    <w:name w:val="xl43"/>
    <w:basedOn w:val="Normal"/>
    <w:uiPriority w:val="99"/>
    <w:rsid w:val="00EC17BD"/>
    <w:pPr>
      <w:pBdr>
        <w:top w:val="single" w:sz="8" w:space="0" w:color="auto"/>
        <w:left w:val="single" w:sz="8" w:space="0" w:color="auto"/>
        <w:bottom w:val="single" w:sz="8" w:space="0" w:color="auto"/>
      </w:pBdr>
      <w:spacing w:before="100" w:beforeAutospacing="1" w:after="100" w:afterAutospacing="1"/>
    </w:pPr>
    <w:rPr>
      <w:b/>
      <w:bCs/>
      <w:szCs w:val="22"/>
    </w:rPr>
  </w:style>
  <w:style w:type="paragraph" w:customStyle="1" w:styleId="xl44">
    <w:name w:val="xl44"/>
    <w:basedOn w:val="Normal"/>
    <w:uiPriority w:val="99"/>
    <w:rsid w:val="00EC17BD"/>
    <w:pPr>
      <w:pBdr>
        <w:top w:val="single" w:sz="8" w:space="0" w:color="auto"/>
        <w:bottom w:val="single" w:sz="8" w:space="0" w:color="auto"/>
      </w:pBdr>
      <w:spacing w:before="100" w:beforeAutospacing="1" w:after="100" w:afterAutospacing="1"/>
      <w:jc w:val="center"/>
    </w:pPr>
    <w:rPr>
      <w:b/>
      <w:bCs/>
      <w:szCs w:val="22"/>
    </w:rPr>
  </w:style>
  <w:style w:type="paragraph" w:customStyle="1" w:styleId="xl45">
    <w:name w:val="xl45"/>
    <w:basedOn w:val="Normal"/>
    <w:uiPriority w:val="99"/>
    <w:rsid w:val="00EC17BD"/>
    <w:pPr>
      <w:pBdr>
        <w:top w:val="single" w:sz="8" w:space="0" w:color="auto"/>
        <w:left w:val="single" w:sz="4" w:space="0" w:color="auto"/>
        <w:bottom w:val="single" w:sz="8" w:space="0" w:color="auto"/>
        <w:right w:val="single" w:sz="8" w:space="0" w:color="auto"/>
      </w:pBdr>
      <w:spacing w:before="100" w:beforeAutospacing="1" w:after="100" w:afterAutospacing="1"/>
    </w:pPr>
    <w:rPr>
      <w:b/>
      <w:bCs/>
      <w:szCs w:val="22"/>
    </w:rPr>
  </w:style>
  <w:style w:type="paragraph" w:customStyle="1" w:styleId="xl46">
    <w:name w:val="xl46"/>
    <w:basedOn w:val="Normal"/>
    <w:uiPriority w:val="99"/>
    <w:rsid w:val="00EC17BD"/>
    <w:pPr>
      <w:pBdr>
        <w:left w:val="single" w:sz="4" w:space="0" w:color="auto"/>
      </w:pBdr>
      <w:spacing w:before="100" w:beforeAutospacing="1" w:after="100" w:afterAutospacing="1"/>
    </w:pPr>
    <w:rPr>
      <w:szCs w:val="22"/>
    </w:rPr>
  </w:style>
  <w:style w:type="paragraph" w:customStyle="1" w:styleId="xl47">
    <w:name w:val="xl47"/>
    <w:basedOn w:val="Normal"/>
    <w:uiPriority w:val="99"/>
    <w:rsid w:val="00EC17BD"/>
    <w:pPr>
      <w:pBdr>
        <w:left w:val="single" w:sz="8" w:space="0" w:color="auto"/>
        <w:bottom w:val="single" w:sz="8" w:space="0" w:color="auto"/>
      </w:pBdr>
      <w:spacing w:before="100" w:beforeAutospacing="1" w:after="100" w:afterAutospacing="1"/>
    </w:pPr>
    <w:rPr>
      <w:szCs w:val="22"/>
    </w:rPr>
  </w:style>
  <w:style w:type="paragraph" w:customStyle="1" w:styleId="xl48">
    <w:name w:val="xl48"/>
    <w:basedOn w:val="Normal"/>
    <w:uiPriority w:val="99"/>
    <w:rsid w:val="00EC17BD"/>
    <w:pPr>
      <w:pBdr>
        <w:bottom w:val="single" w:sz="8" w:space="0" w:color="auto"/>
      </w:pBdr>
      <w:spacing w:before="100" w:beforeAutospacing="1" w:after="100" w:afterAutospacing="1"/>
      <w:jc w:val="center"/>
    </w:pPr>
    <w:rPr>
      <w:szCs w:val="22"/>
    </w:rPr>
  </w:style>
  <w:style w:type="paragraph" w:customStyle="1" w:styleId="xl49">
    <w:name w:val="xl49"/>
    <w:basedOn w:val="Normal"/>
    <w:uiPriority w:val="99"/>
    <w:rsid w:val="00EC17BD"/>
    <w:pPr>
      <w:pBdr>
        <w:left w:val="single" w:sz="4" w:space="0" w:color="auto"/>
        <w:bottom w:val="single" w:sz="8" w:space="0" w:color="auto"/>
        <w:right w:val="single" w:sz="8" w:space="0" w:color="auto"/>
      </w:pBdr>
      <w:spacing w:before="100" w:beforeAutospacing="1" w:after="100" w:afterAutospacing="1"/>
    </w:pPr>
    <w:rPr>
      <w:szCs w:val="22"/>
    </w:rPr>
  </w:style>
  <w:style w:type="paragraph" w:customStyle="1" w:styleId="xl50">
    <w:name w:val="xl50"/>
    <w:basedOn w:val="Normal"/>
    <w:uiPriority w:val="99"/>
    <w:rsid w:val="00EC17BD"/>
    <w:pPr>
      <w:pBdr>
        <w:left w:val="single" w:sz="8" w:space="0" w:color="auto"/>
        <w:right w:val="single" w:sz="8" w:space="0" w:color="auto"/>
      </w:pBdr>
      <w:spacing w:before="100" w:beforeAutospacing="1" w:after="100" w:afterAutospacing="1"/>
    </w:pPr>
    <w:rPr>
      <w:b/>
      <w:bCs/>
      <w:szCs w:val="22"/>
    </w:rPr>
  </w:style>
  <w:style w:type="paragraph" w:customStyle="1" w:styleId="xl51">
    <w:name w:val="xl51"/>
    <w:basedOn w:val="Normal"/>
    <w:uiPriority w:val="99"/>
    <w:rsid w:val="00EC17BD"/>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2">
    <w:name w:val="xl52"/>
    <w:basedOn w:val="Normal"/>
    <w:uiPriority w:val="99"/>
    <w:rsid w:val="00EC17BD"/>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3">
    <w:name w:val="xl53"/>
    <w:basedOn w:val="Normal"/>
    <w:uiPriority w:val="99"/>
    <w:rsid w:val="00EC17BD"/>
    <w:pPr>
      <w:pBdr>
        <w:left w:val="single" w:sz="8" w:space="0" w:color="auto"/>
        <w:right w:val="single" w:sz="8" w:space="0" w:color="auto"/>
      </w:pBdr>
      <w:spacing w:before="100" w:beforeAutospacing="1" w:after="100" w:afterAutospacing="1"/>
    </w:pPr>
    <w:rPr>
      <w:szCs w:val="22"/>
    </w:rPr>
  </w:style>
  <w:style w:type="paragraph" w:customStyle="1" w:styleId="xl54">
    <w:name w:val="xl54"/>
    <w:basedOn w:val="Normal"/>
    <w:uiPriority w:val="99"/>
    <w:rsid w:val="00EC17BD"/>
    <w:pPr>
      <w:pBdr>
        <w:top w:val="single" w:sz="4" w:space="0" w:color="auto"/>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55">
    <w:name w:val="xl55"/>
    <w:basedOn w:val="Normal"/>
    <w:uiPriority w:val="99"/>
    <w:rsid w:val="00EC17BD"/>
    <w:pPr>
      <w:pBdr>
        <w:top w:val="single" w:sz="8" w:space="0" w:color="auto"/>
      </w:pBdr>
      <w:spacing w:before="100" w:beforeAutospacing="1" w:after="100" w:afterAutospacing="1"/>
    </w:pPr>
    <w:rPr>
      <w:szCs w:val="22"/>
    </w:rPr>
  </w:style>
  <w:style w:type="paragraph" w:customStyle="1" w:styleId="xl56">
    <w:name w:val="xl56"/>
    <w:basedOn w:val="Normal"/>
    <w:uiPriority w:val="99"/>
    <w:rsid w:val="00EC17BD"/>
    <w:pPr>
      <w:spacing w:before="100" w:beforeAutospacing="1" w:after="100" w:afterAutospacing="1"/>
    </w:pPr>
    <w:rPr>
      <w:szCs w:val="22"/>
    </w:rPr>
  </w:style>
  <w:style w:type="paragraph" w:customStyle="1" w:styleId="xl57">
    <w:name w:val="xl57"/>
    <w:basedOn w:val="Normal"/>
    <w:uiPriority w:val="99"/>
    <w:rsid w:val="00EC17BD"/>
    <w:pPr>
      <w:pBdr>
        <w:bottom w:val="single" w:sz="8" w:space="0" w:color="auto"/>
      </w:pBdr>
      <w:spacing w:before="100" w:beforeAutospacing="1" w:after="100" w:afterAutospacing="1"/>
    </w:pPr>
    <w:rPr>
      <w:szCs w:val="22"/>
    </w:rPr>
  </w:style>
  <w:style w:type="paragraph" w:customStyle="1" w:styleId="xl58">
    <w:name w:val="xl58"/>
    <w:basedOn w:val="Normal"/>
    <w:uiPriority w:val="99"/>
    <w:rsid w:val="00EC17BD"/>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2"/>
    </w:rPr>
  </w:style>
  <w:style w:type="paragraph" w:customStyle="1" w:styleId="xl59">
    <w:name w:val="xl59"/>
    <w:basedOn w:val="Normal"/>
    <w:uiPriority w:val="99"/>
    <w:rsid w:val="00EC17BD"/>
    <w:pPr>
      <w:pBdr>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60">
    <w:name w:val="xl60"/>
    <w:basedOn w:val="Normal"/>
    <w:uiPriority w:val="99"/>
    <w:rsid w:val="00EC17BD"/>
    <w:pPr>
      <w:pBdr>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61">
    <w:name w:val="xl61"/>
    <w:basedOn w:val="Normal"/>
    <w:uiPriority w:val="99"/>
    <w:rsid w:val="00EC17BD"/>
    <w:pPr>
      <w:pBdr>
        <w:left w:val="single" w:sz="8" w:space="0" w:color="auto"/>
        <w:bottom w:val="single" w:sz="4" w:space="0" w:color="auto"/>
      </w:pBdr>
      <w:spacing w:before="100" w:beforeAutospacing="1" w:after="100" w:afterAutospacing="1"/>
    </w:pPr>
    <w:rPr>
      <w:szCs w:val="22"/>
    </w:rPr>
  </w:style>
  <w:style w:type="paragraph" w:customStyle="1" w:styleId="xl62">
    <w:name w:val="xl62"/>
    <w:basedOn w:val="Normal"/>
    <w:uiPriority w:val="99"/>
    <w:rsid w:val="00EC17BD"/>
    <w:pPr>
      <w:pBdr>
        <w:left w:val="single" w:sz="4" w:space="0" w:color="auto"/>
        <w:bottom w:val="single" w:sz="4" w:space="0" w:color="auto"/>
        <w:right w:val="single" w:sz="4" w:space="0" w:color="auto"/>
      </w:pBdr>
      <w:spacing w:before="100" w:beforeAutospacing="1" w:after="100" w:afterAutospacing="1"/>
      <w:jc w:val="center"/>
    </w:pPr>
    <w:rPr>
      <w:szCs w:val="22"/>
    </w:rPr>
  </w:style>
  <w:style w:type="paragraph" w:customStyle="1" w:styleId="xl63">
    <w:name w:val="xl63"/>
    <w:basedOn w:val="Normal"/>
    <w:uiPriority w:val="99"/>
    <w:rsid w:val="00EC17BD"/>
    <w:pPr>
      <w:pBdr>
        <w:left w:val="single" w:sz="4" w:space="0" w:color="auto"/>
        <w:bottom w:val="single" w:sz="4" w:space="0" w:color="auto"/>
        <w:right w:val="single" w:sz="8" w:space="0" w:color="auto"/>
      </w:pBdr>
      <w:spacing w:before="100" w:beforeAutospacing="1" w:after="100" w:afterAutospacing="1"/>
    </w:pPr>
    <w:rPr>
      <w:szCs w:val="22"/>
    </w:rPr>
  </w:style>
  <w:style w:type="paragraph" w:customStyle="1" w:styleId="xl64">
    <w:name w:val="xl64"/>
    <w:basedOn w:val="Normal"/>
    <w:uiPriority w:val="99"/>
    <w:rsid w:val="00EC17BD"/>
    <w:pPr>
      <w:pBdr>
        <w:left w:val="single" w:sz="4" w:space="0" w:color="auto"/>
      </w:pBdr>
      <w:spacing w:before="100" w:beforeAutospacing="1" w:after="100" w:afterAutospacing="1"/>
    </w:pPr>
    <w:rPr>
      <w:szCs w:val="22"/>
    </w:rPr>
  </w:style>
  <w:style w:type="paragraph" w:customStyle="1" w:styleId="xl65">
    <w:name w:val="xl65"/>
    <w:basedOn w:val="Normal"/>
    <w:uiPriority w:val="99"/>
    <w:rsid w:val="00EC17BD"/>
    <w:pPr>
      <w:pBdr>
        <w:top w:val="single" w:sz="4" w:space="0" w:color="auto"/>
        <w:left w:val="single" w:sz="8" w:space="0" w:color="auto"/>
        <w:right w:val="single" w:sz="8" w:space="0" w:color="auto"/>
      </w:pBdr>
      <w:spacing w:before="100" w:beforeAutospacing="1" w:after="100" w:afterAutospacing="1"/>
    </w:pPr>
    <w:rPr>
      <w:szCs w:val="22"/>
    </w:rPr>
  </w:style>
  <w:style w:type="paragraph" w:customStyle="1" w:styleId="xl66">
    <w:name w:val="xl66"/>
    <w:basedOn w:val="Normal"/>
    <w:uiPriority w:val="99"/>
    <w:rsid w:val="00EC17BD"/>
    <w:pPr>
      <w:pBdr>
        <w:left w:val="single" w:sz="4" w:space="0" w:color="auto"/>
        <w:bottom w:val="single" w:sz="8" w:space="0" w:color="auto"/>
        <w:right w:val="single" w:sz="4" w:space="0" w:color="auto"/>
      </w:pBdr>
      <w:spacing w:before="100" w:beforeAutospacing="1" w:after="100" w:afterAutospacing="1"/>
      <w:jc w:val="center"/>
    </w:pPr>
    <w:rPr>
      <w:szCs w:val="22"/>
    </w:rPr>
  </w:style>
  <w:style w:type="paragraph" w:customStyle="1" w:styleId="xl67">
    <w:name w:val="xl67"/>
    <w:basedOn w:val="Normal"/>
    <w:uiPriority w:val="99"/>
    <w:rsid w:val="00EC17BD"/>
    <w:pPr>
      <w:pBdr>
        <w:left w:val="single" w:sz="4" w:space="0" w:color="auto"/>
        <w:bottom w:val="single" w:sz="8" w:space="0" w:color="auto"/>
      </w:pBdr>
      <w:spacing w:before="100" w:beforeAutospacing="1" w:after="100" w:afterAutospacing="1"/>
    </w:pPr>
    <w:rPr>
      <w:szCs w:val="22"/>
    </w:rPr>
  </w:style>
  <w:style w:type="paragraph" w:customStyle="1" w:styleId="xl68">
    <w:name w:val="xl68"/>
    <w:basedOn w:val="Normal"/>
    <w:uiPriority w:val="99"/>
    <w:rsid w:val="00EC17B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szCs w:val="22"/>
    </w:rPr>
  </w:style>
  <w:style w:type="paragraph" w:customStyle="1" w:styleId="Texte">
    <w:name w:val="Texte"/>
    <w:basedOn w:val="Normal"/>
    <w:uiPriority w:val="99"/>
    <w:rsid w:val="00EC17BD"/>
    <w:pPr>
      <w:widowControl w:val="0"/>
      <w:tabs>
        <w:tab w:val="left" w:pos="720"/>
      </w:tabs>
      <w:spacing w:before="120" w:after="120"/>
    </w:pPr>
  </w:style>
  <w:style w:type="paragraph" w:styleId="NormalWeb">
    <w:name w:val="Normal (Web)"/>
    <w:basedOn w:val="Normal"/>
    <w:uiPriority w:val="99"/>
    <w:rsid w:val="00EC17BD"/>
    <w:pPr>
      <w:spacing w:before="100" w:beforeAutospacing="1" w:after="100" w:afterAutospacing="1"/>
      <w:jc w:val="left"/>
    </w:pPr>
    <w:rPr>
      <w:color w:val="000000"/>
      <w:sz w:val="18"/>
      <w:szCs w:val="18"/>
      <w:lang w:val="en-US"/>
    </w:rPr>
  </w:style>
  <w:style w:type="paragraph" w:customStyle="1" w:styleId="Para-decision">
    <w:name w:val="Para-decision"/>
    <w:basedOn w:val="Normal"/>
    <w:uiPriority w:val="99"/>
    <w:rsid w:val="00EC17BD"/>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color w:val="000000"/>
      <w:sz w:val="20"/>
    </w:rPr>
  </w:style>
  <w:style w:type="character" w:styleId="FollowedHyperlink">
    <w:name w:val="FollowedHyperlink"/>
    <w:uiPriority w:val="99"/>
    <w:rsid w:val="00EC17BD"/>
    <w:rPr>
      <w:rFonts w:cs="Times New Roman"/>
      <w:color w:val="800080"/>
      <w:u w:val="single"/>
    </w:rPr>
  </w:style>
  <w:style w:type="paragraph" w:customStyle="1" w:styleId="xl22">
    <w:name w:val="xl22"/>
    <w:basedOn w:val="Normal"/>
    <w:uiPriority w:val="99"/>
    <w:rsid w:val="00EC17B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EC17B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EC17BD"/>
    <w:pPr>
      <w:spacing w:before="100" w:beforeAutospacing="1" w:after="100" w:afterAutospacing="1" w:line="260" w:lineRule="atLeast"/>
    </w:pPr>
    <w:rPr>
      <w:rFonts w:cs="Times New Roman"/>
      <w:sz w:val="18"/>
      <w:szCs w:val="18"/>
    </w:rPr>
  </w:style>
  <w:style w:type="paragraph" w:customStyle="1" w:styleId="Para20">
    <w:name w:val="Para2"/>
    <w:basedOn w:val="Para1"/>
    <w:uiPriority w:val="99"/>
    <w:rsid w:val="00EC17BD"/>
    <w:pPr>
      <w:autoSpaceDE w:val="0"/>
      <w:autoSpaceDN w:val="0"/>
    </w:pPr>
  </w:style>
  <w:style w:type="paragraph" w:customStyle="1" w:styleId="HEADINGNOTFORTOC">
    <w:name w:val="HEADING (NOT FOR TOC)"/>
    <w:basedOn w:val="Heading1"/>
    <w:next w:val="Heading2"/>
    <w:uiPriority w:val="99"/>
    <w:rsid w:val="00EC17BD"/>
  </w:style>
  <w:style w:type="paragraph" w:styleId="Subtitle">
    <w:name w:val="Subtitle"/>
    <w:basedOn w:val="Normal"/>
    <w:link w:val="SubtitleChar"/>
    <w:uiPriority w:val="99"/>
    <w:qFormat/>
    <w:rsid w:val="00EC17BD"/>
    <w:rPr>
      <w:b/>
      <w:bCs/>
    </w:rPr>
  </w:style>
  <w:style w:type="character" w:customStyle="1" w:styleId="SubtitleChar">
    <w:name w:val="Subtitle Char"/>
    <w:link w:val="Subtitle"/>
    <w:uiPriority w:val="99"/>
    <w:locked/>
    <w:rPr>
      <w:rFonts w:ascii="Cambria" w:eastAsia="SimSun" w:hAnsi="Cambria" w:cs="Times New Roman"/>
      <w:sz w:val="24"/>
      <w:szCs w:val="24"/>
      <w:lang w:val="en-GB"/>
    </w:rPr>
  </w:style>
  <w:style w:type="character" w:styleId="Strong">
    <w:name w:val="Strong"/>
    <w:uiPriority w:val="99"/>
    <w:qFormat/>
    <w:rsid w:val="00EC17BD"/>
    <w:rPr>
      <w:rFonts w:cs="Times New Roman"/>
      <w:b/>
    </w:rPr>
  </w:style>
  <w:style w:type="paragraph" w:customStyle="1" w:styleId="Para10">
    <w:name w:val="Para 1"/>
    <w:basedOn w:val="BodyText"/>
    <w:uiPriority w:val="99"/>
    <w:rsid w:val="00EC17BD"/>
    <w:pPr>
      <w:ind w:firstLine="0"/>
    </w:pPr>
    <w:rPr>
      <w:bCs/>
      <w:iCs w:val="0"/>
      <w:szCs w:val="22"/>
    </w:rPr>
  </w:style>
  <w:style w:type="paragraph" w:customStyle="1" w:styleId="Style1">
    <w:name w:val="Style1"/>
    <w:basedOn w:val="Para10"/>
    <w:uiPriority w:val="99"/>
    <w:rsid w:val="00EC17BD"/>
    <w:pPr>
      <w:numPr>
        <w:ilvl w:val="1"/>
        <w:numId w:val="6"/>
      </w:numPr>
      <w:tabs>
        <w:tab w:val="clear" w:pos="1800"/>
        <w:tab w:val="num" w:pos="360"/>
      </w:tabs>
    </w:pPr>
  </w:style>
  <w:style w:type="paragraph" w:customStyle="1" w:styleId="aident">
    <w:name w:val="(a) ident"/>
    <w:basedOn w:val="Normal"/>
    <w:uiPriority w:val="99"/>
    <w:rsid w:val="00EC17BD"/>
    <w:pPr>
      <w:numPr>
        <w:numId w:val="7"/>
      </w:numPr>
      <w:autoSpaceDE w:val="0"/>
      <w:autoSpaceDN w:val="0"/>
      <w:spacing w:before="120" w:after="120"/>
    </w:pPr>
    <w:rPr>
      <w:szCs w:val="18"/>
    </w:rPr>
  </w:style>
  <w:style w:type="paragraph" w:styleId="BalloonText">
    <w:name w:val="Balloon Text"/>
    <w:basedOn w:val="Normal"/>
    <w:link w:val="BalloonTextChar"/>
    <w:uiPriority w:val="99"/>
    <w:semiHidden/>
    <w:rsid w:val="00EC17BD"/>
    <w:rPr>
      <w:rFonts w:cs="Times New Roman"/>
      <w:sz w:val="16"/>
      <w:szCs w:val="16"/>
    </w:rPr>
  </w:style>
  <w:style w:type="character" w:customStyle="1" w:styleId="BalloonTextChar">
    <w:name w:val="Balloon Text Char"/>
    <w:link w:val="BalloonText"/>
    <w:uiPriority w:val="99"/>
    <w:semiHidden/>
    <w:locked/>
    <w:rsid w:val="00EC17BD"/>
    <w:rPr>
      <w:rFonts w:ascii="Times New Roman" w:hAnsi="Times New Roman" w:cs="Times New Roman"/>
      <w:sz w:val="18"/>
    </w:rPr>
  </w:style>
  <w:style w:type="paragraph" w:customStyle="1" w:styleId="Paranum">
    <w:name w:val="Paranum"/>
    <w:basedOn w:val="Para1"/>
    <w:uiPriority w:val="99"/>
    <w:rsid w:val="00EC17BD"/>
    <w:pPr>
      <w:numPr>
        <w:numId w:val="14"/>
      </w:numPr>
      <w:spacing w:line="240" w:lineRule="exact"/>
    </w:pPr>
    <w:rPr>
      <w:szCs w:val="20"/>
      <w:lang w:val="en-US"/>
    </w:rPr>
  </w:style>
  <w:style w:type="paragraph" w:customStyle="1" w:styleId="Document1">
    <w:name w:val="Document 1"/>
    <w:basedOn w:val="Normal"/>
    <w:next w:val="Normal"/>
    <w:uiPriority w:val="99"/>
    <w:rsid w:val="00EC17BD"/>
    <w:pPr>
      <w:suppressAutoHyphens/>
      <w:overflowPunct w:val="0"/>
      <w:autoSpaceDE w:val="0"/>
      <w:autoSpaceDN w:val="0"/>
      <w:adjustRightInd w:val="0"/>
      <w:spacing w:after="120" w:line="240" w:lineRule="exact"/>
      <w:textAlignment w:val="baseline"/>
    </w:pPr>
    <w:rPr>
      <w:sz w:val="20"/>
    </w:rPr>
  </w:style>
  <w:style w:type="paragraph" w:customStyle="1" w:styleId="Head2">
    <w:name w:val="Head2"/>
    <w:basedOn w:val="Normal"/>
    <w:uiPriority w:val="99"/>
    <w:rsid w:val="00EC17BD"/>
    <w:pPr>
      <w:keepNext/>
      <w:overflowPunct w:val="0"/>
      <w:autoSpaceDE w:val="0"/>
      <w:autoSpaceDN w:val="0"/>
      <w:adjustRightInd w:val="0"/>
      <w:spacing w:line="240" w:lineRule="exact"/>
      <w:jc w:val="center"/>
      <w:textAlignment w:val="baseline"/>
    </w:pPr>
    <w:rPr>
      <w:sz w:val="20"/>
    </w:rPr>
  </w:style>
  <w:style w:type="paragraph" w:customStyle="1" w:styleId="Masthead">
    <w:name w:val="Masthead"/>
    <w:basedOn w:val="Normal"/>
    <w:next w:val="Normal"/>
    <w:uiPriority w:val="99"/>
    <w:rsid w:val="00EC17BD"/>
    <w:pPr>
      <w:overflowPunct w:val="0"/>
      <w:autoSpaceDE w:val="0"/>
      <w:autoSpaceDN w:val="0"/>
      <w:adjustRightInd w:val="0"/>
      <w:textAlignment w:val="baseline"/>
    </w:pPr>
    <w:rPr>
      <w:sz w:val="20"/>
    </w:rPr>
  </w:style>
  <w:style w:type="paragraph" w:customStyle="1" w:styleId="para1indent">
    <w:name w:val="para1indent"/>
    <w:basedOn w:val="Para1"/>
    <w:uiPriority w:val="99"/>
    <w:rsid w:val="00EC17BD"/>
    <w:pPr>
      <w:tabs>
        <w:tab w:val="left" w:pos="360"/>
      </w:tabs>
      <w:overflowPunct w:val="0"/>
      <w:autoSpaceDE w:val="0"/>
      <w:autoSpaceDN w:val="0"/>
      <w:adjustRightInd w:val="0"/>
      <w:textAlignment w:val="baseline"/>
    </w:pPr>
    <w:rPr>
      <w:sz w:val="20"/>
      <w:szCs w:val="20"/>
      <w:lang w:val="en-US"/>
    </w:rPr>
  </w:style>
  <w:style w:type="paragraph" w:customStyle="1" w:styleId="Paranumbered">
    <w:name w:val="Paranumbered"/>
    <w:basedOn w:val="Normal"/>
    <w:uiPriority w:val="99"/>
    <w:rsid w:val="00EC17BD"/>
    <w:pPr>
      <w:tabs>
        <w:tab w:val="left" w:pos="720"/>
      </w:tabs>
      <w:overflowPunct w:val="0"/>
      <w:autoSpaceDE w:val="0"/>
      <w:autoSpaceDN w:val="0"/>
      <w:adjustRightInd w:val="0"/>
      <w:spacing w:before="120" w:after="120" w:line="240" w:lineRule="exact"/>
      <w:textAlignment w:val="baseline"/>
    </w:pPr>
    <w:rPr>
      <w:sz w:val="20"/>
    </w:rPr>
  </w:style>
  <w:style w:type="paragraph" w:customStyle="1" w:styleId="p3">
    <w:name w:val="p3"/>
    <w:basedOn w:val="Normal"/>
    <w:uiPriority w:val="99"/>
    <w:rsid w:val="00EC17BD"/>
    <w:pPr>
      <w:widowControl w:val="0"/>
      <w:tabs>
        <w:tab w:val="left" w:pos="204"/>
      </w:tabs>
      <w:autoSpaceDE w:val="0"/>
      <w:autoSpaceDN w:val="0"/>
      <w:adjustRightInd w:val="0"/>
      <w:spacing w:line="260" w:lineRule="atLeast"/>
    </w:pPr>
    <w:rPr>
      <w:sz w:val="20"/>
    </w:rPr>
  </w:style>
  <w:style w:type="paragraph" w:styleId="HTMLPreformatted">
    <w:name w:val="HTML Preformatted"/>
    <w:basedOn w:val="Normal"/>
    <w:link w:val="HTMLPreformattedChar"/>
    <w:uiPriority w:val="99"/>
    <w:rsid w:val="00EC17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uiPriority w:val="99"/>
    <w:semiHidden/>
    <w:locked/>
    <w:rPr>
      <w:rFonts w:ascii="Courier New" w:hAnsi="Courier New" w:cs="Courier New"/>
      <w:sz w:val="20"/>
      <w:szCs w:val="20"/>
      <w:lang w:val="en-GB"/>
    </w:rPr>
  </w:style>
  <w:style w:type="paragraph" w:customStyle="1" w:styleId="Para1alternative">
    <w:name w:val="Para1 (alternative)"/>
    <w:basedOn w:val="Normal"/>
    <w:uiPriority w:val="99"/>
    <w:rsid w:val="00EC17BD"/>
    <w:pPr>
      <w:numPr>
        <w:numId w:val="8"/>
      </w:numPr>
      <w:spacing w:before="120" w:after="120"/>
    </w:pPr>
    <w:rPr>
      <w:szCs w:val="18"/>
    </w:rPr>
  </w:style>
  <w:style w:type="paragraph" w:customStyle="1" w:styleId="MainParanoChapter">
    <w:name w:val="Main Para no Chapter #"/>
    <w:basedOn w:val="Normal"/>
    <w:uiPriority w:val="99"/>
    <w:rsid w:val="00EC17BD"/>
    <w:pPr>
      <w:tabs>
        <w:tab w:val="left" w:pos="810"/>
      </w:tabs>
      <w:overflowPunct w:val="0"/>
      <w:autoSpaceDE w:val="0"/>
      <w:autoSpaceDN w:val="0"/>
      <w:adjustRightInd w:val="0"/>
      <w:spacing w:after="240"/>
      <w:textAlignment w:val="baseline"/>
    </w:pPr>
  </w:style>
  <w:style w:type="character" w:customStyle="1" w:styleId="content1">
    <w:name w:val="content1"/>
    <w:uiPriority w:val="99"/>
    <w:rsid w:val="00EC17BD"/>
    <w:rPr>
      <w:rFonts w:ascii="Arial" w:hAnsi="Arial"/>
      <w:color w:val="000000"/>
      <w:sz w:val="24"/>
    </w:rPr>
  </w:style>
  <w:style w:type="character" w:styleId="CommentReference">
    <w:name w:val="annotation reference"/>
    <w:uiPriority w:val="99"/>
    <w:semiHidden/>
    <w:rsid w:val="00EC17BD"/>
    <w:rPr>
      <w:rFonts w:cs="Times New Roman"/>
      <w:sz w:val="16"/>
    </w:rPr>
  </w:style>
  <w:style w:type="paragraph" w:styleId="CommentText">
    <w:name w:val="annotation text"/>
    <w:basedOn w:val="Normal"/>
    <w:link w:val="CommentTextChar"/>
    <w:uiPriority w:val="99"/>
    <w:semiHidden/>
    <w:rsid w:val="00EC17BD"/>
    <w:rPr>
      <w:rFonts w:cs="Times New Roman"/>
      <w:sz w:val="20"/>
    </w:rPr>
  </w:style>
  <w:style w:type="character" w:customStyle="1" w:styleId="CommentTextChar">
    <w:name w:val="Comment Text Char"/>
    <w:link w:val="CommentText"/>
    <w:uiPriority w:val="99"/>
    <w:semiHidden/>
    <w:locked/>
    <w:rsid w:val="00EC17BD"/>
    <w:rPr>
      <w:rFonts w:cs="Times New Roman"/>
      <w:sz w:val="24"/>
      <w:lang w:val="en-GB"/>
    </w:rPr>
  </w:style>
  <w:style w:type="character" w:customStyle="1" w:styleId="BodyText2CharCharChar">
    <w:name w:val="Body Text 2 Char Char Char"/>
    <w:uiPriority w:val="99"/>
    <w:rsid w:val="00EC17BD"/>
    <w:rPr>
      <w:sz w:val="22"/>
      <w:lang w:val="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EC17BD"/>
    <w:rPr>
      <w:sz w:val="22"/>
      <w:lang w:val="en-US"/>
    </w:rPr>
  </w:style>
  <w:style w:type="paragraph" w:customStyle="1" w:styleId="StylePara1Firstline127cm">
    <w:name w:val="Style Para1 + First line:  1.27 cm"/>
    <w:basedOn w:val="Para1"/>
    <w:uiPriority w:val="99"/>
    <w:rsid w:val="00EC17BD"/>
    <w:pPr>
      <w:tabs>
        <w:tab w:val="num" w:pos="360"/>
      </w:tabs>
    </w:pPr>
    <w:rPr>
      <w:szCs w:val="20"/>
    </w:rPr>
  </w:style>
  <w:style w:type="paragraph" w:customStyle="1" w:styleId="subhead">
    <w:name w:val="subhead"/>
    <w:basedOn w:val="Normal"/>
    <w:next w:val="Para1"/>
    <w:uiPriority w:val="99"/>
    <w:rsid w:val="00EC17BD"/>
    <w:pPr>
      <w:spacing w:before="120" w:after="120"/>
      <w:jc w:val="center"/>
    </w:pPr>
    <w:rPr>
      <w:i/>
    </w:rPr>
  </w:style>
  <w:style w:type="character" w:styleId="Emphasis">
    <w:name w:val="Emphasis"/>
    <w:uiPriority w:val="99"/>
    <w:qFormat/>
    <w:rsid w:val="00EC17BD"/>
    <w:rPr>
      <w:rFonts w:cs="Times New Roman"/>
      <w:i/>
    </w:rPr>
  </w:style>
  <w:style w:type="character" w:customStyle="1" w:styleId="BlockTextChar">
    <w:name w:val="Block Text Char"/>
    <w:uiPriority w:val="99"/>
    <w:rsid w:val="00EC17BD"/>
    <w:rPr>
      <w:sz w:val="24"/>
      <w:lang w:val="en-US"/>
    </w:rPr>
  </w:style>
  <w:style w:type="paragraph" w:customStyle="1" w:styleId="bodytext210">
    <w:name w:val="bodytext21"/>
    <w:basedOn w:val="Normal"/>
    <w:uiPriority w:val="99"/>
    <w:rsid w:val="00EC17BD"/>
    <w:pPr>
      <w:spacing w:before="100" w:beforeAutospacing="1" w:after="100" w:afterAutospacing="1"/>
    </w:pPr>
    <w:rPr>
      <w:rFonts w:cs="Times New Roman"/>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EC17BD"/>
    <w:rPr>
      <w:sz w:val="22"/>
      <w:lang w:val="en-US"/>
    </w:rPr>
  </w:style>
  <w:style w:type="paragraph" w:styleId="TOC1">
    <w:name w:val="toc 1"/>
    <w:basedOn w:val="Normal"/>
    <w:next w:val="Normal"/>
    <w:autoRedefine/>
    <w:uiPriority w:val="99"/>
    <w:semiHidden/>
    <w:rsid w:val="00EC17BD"/>
    <w:pPr>
      <w:tabs>
        <w:tab w:val="left" w:pos="1440"/>
        <w:tab w:val="right" w:leader="dot" w:pos="9360"/>
      </w:tabs>
      <w:spacing w:after="120"/>
      <w:ind w:left="1440" w:right="540" w:hanging="1440"/>
      <w:jc w:val="left"/>
    </w:pPr>
    <w:rPr>
      <w:noProof/>
      <w:szCs w:val="22"/>
      <w:lang w:val="en-US"/>
    </w:rPr>
  </w:style>
  <w:style w:type="paragraph" w:styleId="CommentSubject">
    <w:name w:val="annotation subject"/>
    <w:basedOn w:val="CommentText"/>
    <w:next w:val="CommentText"/>
    <w:link w:val="CommentSubjectChar"/>
    <w:uiPriority w:val="99"/>
    <w:semiHidden/>
    <w:rsid w:val="00EC17BD"/>
    <w:rPr>
      <w:b/>
      <w:bCs/>
    </w:rPr>
  </w:style>
  <w:style w:type="character" w:customStyle="1" w:styleId="CommentSubjectChar">
    <w:name w:val="Comment Subject Char"/>
    <w:link w:val="CommentSubject"/>
    <w:uiPriority w:val="99"/>
    <w:semiHidden/>
    <w:locked/>
    <w:rPr>
      <w:rFonts w:cs="Angsana New"/>
      <w:b/>
      <w:bCs/>
      <w:sz w:val="20"/>
      <w:szCs w:val="20"/>
      <w:lang w:val="en-GB" w:bidi="th-TH"/>
    </w:rPr>
  </w:style>
  <w:style w:type="character" w:customStyle="1" w:styleId="MathieuRgnier">
    <w:name w:val="Mathieu Régnier"/>
    <w:uiPriority w:val="99"/>
    <w:semiHidden/>
    <w:rsid w:val="00EC17BD"/>
    <w:rPr>
      <w:rFonts w:ascii="Arial" w:hAnsi="Arial"/>
      <w:color w:val="auto"/>
      <w:sz w:val="20"/>
    </w:rPr>
  </w:style>
  <w:style w:type="paragraph" w:customStyle="1" w:styleId="bodytextnoindent">
    <w:name w:val="body text (no indent)"/>
    <w:basedOn w:val="Normal"/>
    <w:uiPriority w:val="99"/>
    <w:rsid w:val="00EC17BD"/>
    <w:pPr>
      <w:widowControl w:val="0"/>
      <w:overflowPunct w:val="0"/>
      <w:autoSpaceDE w:val="0"/>
      <w:autoSpaceDN w:val="0"/>
      <w:adjustRightInd w:val="0"/>
      <w:spacing w:before="120" w:after="120"/>
      <w:textAlignment w:val="baseline"/>
    </w:pPr>
    <w:rPr>
      <w:szCs w:val="20"/>
    </w:rPr>
  </w:style>
  <w:style w:type="paragraph" w:customStyle="1" w:styleId="Bodytextitalic">
    <w:name w:val="Body text italic"/>
    <w:basedOn w:val="BodyText"/>
    <w:uiPriority w:val="99"/>
    <w:rsid w:val="00EC17BD"/>
    <w:rPr>
      <w:i/>
      <w:iCs w:val="0"/>
    </w:rPr>
  </w:style>
  <w:style w:type="paragraph" w:customStyle="1" w:styleId="boxbody">
    <w:name w:val="boxbody"/>
    <w:basedOn w:val="Normal"/>
    <w:uiPriority w:val="99"/>
    <w:rsid w:val="00EC17BD"/>
    <w:pPr>
      <w:spacing w:before="100" w:beforeAutospacing="1" w:after="100" w:afterAutospacing="1"/>
      <w:ind w:left="612" w:right="612"/>
    </w:pPr>
    <w:rPr>
      <w:rFonts w:cs="Times New Roman"/>
      <w:sz w:val="18"/>
      <w:szCs w:val="18"/>
    </w:rPr>
  </w:style>
  <w:style w:type="paragraph" w:styleId="EndnoteText">
    <w:name w:val="endnote text"/>
    <w:basedOn w:val="Normal"/>
    <w:link w:val="EndnoteTextChar"/>
    <w:uiPriority w:val="99"/>
    <w:semiHidden/>
    <w:rsid w:val="00EC17BD"/>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cs="Angsana New"/>
      <w:sz w:val="20"/>
      <w:szCs w:val="20"/>
      <w:lang w:val="en-GB" w:bidi="th-TH"/>
    </w:rPr>
  </w:style>
  <w:style w:type="paragraph" w:customStyle="1" w:styleId="Heading-plain">
    <w:name w:val="Heading - plain"/>
    <w:basedOn w:val="Heading2"/>
    <w:next w:val="BodyText"/>
    <w:uiPriority w:val="99"/>
    <w:rsid w:val="00EC17BD"/>
    <w:pPr>
      <w:tabs>
        <w:tab w:val="clear" w:pos="720"/>
        <w:tab w:val="left" w:pos="900"/>
      </w:tabs>
    </w:pPr>
    <w:rPr>
      <w:rFonts w:cs="Times New Roman"/>
      <w:b w:val="0"/>
      <w:bCs w:val="0"/>
      <w:szCs w:val="20"/>
    </w:rPr>
  </w:style>
  <w:style w:type="paragraph" w:customStyle="1" w:styleId="Heading1longmultiline">
    <w:name w:val="Heading 1 (long multiline)"/>
    <w:basedOn w:val="Heading1"/>
    <w:uiPriority w:val="99"/>
    <w:rsid w:val="00EC17BD"/>
    <w:pPr>
      <w:ind w:left="1843" w:hanging="1134"/>
      <w:jc w:val="left"/>
    </w:pPr>
  </w:style>
  <w:style w:type="paragraph" w:customStyle="1" w:styleId="Heading1multiline">
    <w:name w:val="Heading 1 (multiline)"/>
    <w:basedOn w:val="Heading1"/>
    <w:uiPriority w:val="99"/>
    <w:rsid w:val="00EC17BD"/>
    <w:pPr>
      <w:ind w:left="1843" w:right="996" w:hanging="567"/>
      <w:jc w:val="left"/>
    </w:pPr>
  </w:style>
  <w:style w:type="paragraph" w:customStyle="1" w:styleId="Heading2multiline">
    <w:name w:val="Heading 2 (multiline)"/>
    <w:basedOn w:val="Heading1"/>
    <w:next w:val="Normal"/>
    <w:uiPriority w:val="99"/>
    <w:rsid w:val="00EC17BD"/>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EC17BD"/>
    <w:pPr>
      <w:ind w:left="2127" w:hanging="1276"/>
    </w:pPr>
  </w:style>
  <w:style w:type="paragraph" w:customStyle="1" w:styleId="Heading2noletter">
    <w:name w:val="Heading 2 (no letter)"/>
    <w:basedOn w:val="Heading2"/>
    <w:uiPriority w:val="99"/>
    <w:rsid w:val="00EC17BD"/>
    <w:pPr>
      <w:tabs>
        <w:tab w:val="clear" w:pos="720"/>
      </w:tabs>
    </w:pPr>
    <w:rPr>
      <w:rFonts w:cs="Times New Roman"/>
    </w:rPr>
  </w:style>
  <w:style w:type="character" w:customStyle="1" w:styleId="Heading2CharChar">
    <w:name w:val="Heading 2 Char Char"/>
    <w:uiPriority w:val="99"/>
    <w:rsid w:val="00EC17BD"/>
    <w:rPr>
      <w:rFonts w:ascii="Arial" w:hAnsi="Arial"/>
      <w:b/>
      <w:i/>
      <w:sz w:val="28"/>
      <w:lang w:val="en-US"/>
    </w:rPr>
  </w:style>
  <w:style w:type="paragraph" w:customStyle="1" w:styleId="Heading3multiline">
    <w:name w:val="Heading 3 (multiline)"/>
    <w:basedOn w:val="Heading3"/>
    <w:next w:val="Normal"/>
    <w:uiPriority w:val="99"/>
    <w:rsid w:val="00EC17BD"/>
    <w:pPr>
      <w:ind w:left="1418" w:hanging="425"/>
      <w:jc w:val="left"/>
    </w:pPr>
  </w:style>
  <w:style w:type="paragraph" w:customStyle="1" w:styleId="Heading-plain0">
    <w:name w:val="Heading-plain"/>
    <w:basedOn w:val="Normal"/>
    <w:uiPriority w:val="99"/>
    <w:rsid w:val="00EC17BD"/>
    <w:pPr>
      <w:spacing w:before="120" w:after="120"/>
      <w:jc w:val="center"/>
      <w:outlineLvl w:val="0"/>
    </w:pPr>
    <w:rPr>
      <w:i/>
      <w:szCs w:val="20"/>
    </w:rPr>
  </w:style>
  <w:style w:type="paragraph" w:customStyle="1" w:styleId="Heading-plainbold">
    <w:name w:val="Heading-plain bold"/>
    <w:basedOn w:val="BodyText"/>
    <w:uiPriority w:val="99"/>
    <w:rsid w:val="00EC17BD"/>
    <w:pPr>
      <w:ind w:firstLine="0"/>
      <w:jc w:val="center"/>
    </w:pPr>
    <w:rPr>
      <w:b/>
      <w:bCs/>
      <w:i/>
      <w:iCs w:val="0"/>
    </w:rPr>
  </w:style>
  <w:style w:type="paragraph" w:customStyle="1" w:styleId="Heading-plainitalic">
    <w:name w:val="Heading-plain italic"/>
    <w:basedOn w:val="Heading-plainbold"/>
    <w:uiPriority w:val="99"/>
    <w:rsid w:val="00EC17BD"/>
    <w:rPr>
      <w:b w:val="0"/>
      <w:bCs w:val="0"/>
    </w:rPr>
  </w:style>
  <w:style w:type="character" w:customStyle="1" w:styleId="Para1Char">
    <w:name w:val="Para 1 Char"/>
    <w:uiPriority w:val="99"/>
    <w:rsid w:val="00EC17BD"/>
    <w:rPr>
      <w:rFonts w:eastAsia="MS Mincho"/>
      <w:sz w:val="22"/>
      <w:lang w:val="en-GB"/>
    </w:rPr>
  </w:style>
  <w:style w:type="paragraph" w:customStyle="1" w:styleId="Para2rev">
    <w:name w:val="Para 2 (rev)"/>
    <w:basedOn w:val="Normal"/>
    <w:uiPriority w:val="99"/>
    <w:rsid w:val="00EC17BD"/>
    <w:pPr>
      <w:tabs>
        <w:tab w:val="num" w:pos="720"/>
      </w:tabs>
      <w:spacing w:after="120"/>
      <w:ind w:left="720" w:hanging="360"/>
    </w:pPr>
  </w:style>
  <w:style w:type="paragraph" w:customStyle="1" w:styleId="Paraofficial">
    <w:name w:val="Para official"/>
    <w:basedOn w:val="Normal"/>
    <w:uiPriority w:val="99"/>
    <w:rsid w:val="00EC17BD"/>
    <w:pPr>
      <w:framePr w:hSpace="187" w:vSpace="187" w:wrap="notBeside" w:vAnchor="text" w:hAnchor="text" w:y="1"/>
      <w:numPr>
        <w:numId w:val="10"/>
      </w:numPr>
      <w:spacing w:before="240" w:after="240"/>
      <w:jc w:val="left"/>
    </w:pPr>
    <w:rPr>
      <w:szCs w:val="20"/>
    </w:rPr>
  </w:style>
  <w:style w:type="paragraph" w:customStyle="1" w:styleId="Para1Char0">
    <w:name w:val="Para1 Char"/>
    <w:basedOn w:val="Normal"/>
    <w:uiPriority w:val="99"/>
    <w:rsid w:val="00EC17BD"/>
    <w:pPr>
      <w:tabs>
        <w:tab w:val="num" w:pos="720"/>
      </w:tabs>
      <w:spacing w:before="120" w:after="120"/>
      <w:ind w:left="360"/>
    </w:pPr>
    <w:rPr>
      <w:szCs w:val="18"/>
    </w:rPr>
  </w:style>
  <w:style w:type="paragraph" w:customStyle="1" w:styleId="Para1-Annex">
    <w:name w:val="Para1-Annex"/>
    <w:basedOn w:val="Normal"/>
    <w:uiPriority w:val="99"/>
    <w:rsid w:val="00EC17BD"/>
    <w:pPr>
      <w:numPr>
        <w:numId w:val="11"/>
      </w:numPr>
      <w:spacing w:after="120"/>
    </w:pPr>
    <w:rPr>
      <w:rFonts w:cs="Times New Roman"/>
      <w:szCs w:val="22"/>
      <w:lang w:val="en-US"/>
    </w:rPr>
  </w:style>
  <w:style w:type="paragraph" w:customStyle="1" w:styleId="Para40">
    <w:name w:val="Para4"/>
    <w:basedOn w:val="Para3"/>
    <w:uiPriority w:val="99"/>
    <w:rsid w:val="00EC17BD"/>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uiPriority w:val="99"/>
    <w:rsid w:val="00EC17BD"/>
    <w:rPr>
      <w:iCs w:val="0"/>
      <w:color w:val="000000"/>
      <w:szCs w:val="22"/>
      <w:lang w:val="en-US"/>
    </w:rPr>
  </w:style>
  <w:style w:type="character" w:customStyle="1" w:styleId="StyleBodyTextTimesNewRoman11ptCharCharChar">
    <w:name w:val="Style Body Text + Times New Roman 11 pt Char Char Char"/>
    <w:uiPriority w:val="99"/>
    <w:rsid w:val="00EC17BD"/>
    <w:rPr>
      <w:snapToGrid w:val="0"/>
      <w:color w:val="000000"/>
      <w:sz w:val="22"/>
      <w:lang w:val="en-US"/>
    </w:rPr>
  </w:style>
  <w:style w:type="paragraph" w:styleId="TOC2">
    <w:name w:val="toc 2"/>
    <w:basedOn w:val="Normal"/>
    <w:next w:val="Normal"/>
    <w:autoRedefine/>
    <w:uiPriority w:val="99"/>
    <w:semiHidden/>
    <w:rsid w:val="00EC17BD"/>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EC17BD"/>
    <w:pPr>
      <w:ind w:left="2160" w:hanging="720"/>
    </w:pPr>
  </w:style>
  <w:style w:type="paragraph" w:styleId="TOC5">
    <w:name w:val="toc 5"/>
    <w:basedOn w:val="Normal"/>
    <w:next w:val="Normal"/>
    <w:autoRedefine/>
    <w:uiPriority w:val="99"/>
    <w:semiHidden/>
    <w:rsid w:val="00EC17BD"/>
    <w:pPr>
      <w:ind w:left="880"/>
    </w:pPr>
  </w:style>
  <w:style w:type="character" w:customStyle="1" w:styleId="Heading1longmultilineChar">
    <w:name w:val="Heading 1 (long multiline) Char"/>
    <w:uiPriority w:val="99"/>
    <w:locked/>
    <w:rsid w:val="00EC17BD"/>
    <w:rPr>
      <w:rFonts w:cs="Angsana New"/>
      <w:b/>
      <w:caps/>
      <w:sz w:val="24"/>
      <w:szCs w:val="24"/>
      <w:lang w:val="en-GB" w:bidi="ar-SA"/>
    </w:rPr>
  </w:style>
  <w:style w:type="paragraph" w:customStyle="1" w:styleId="ColorfulList-Accent11">
    <w:name w:val="Colorful List - Accent 11"/>
    <w:basedOn w:val="Normal"/>
    <w:uiPriority w:val="99"/>
    <w:rsid w:val="00EC17BD"/>
    <w:pPr>
      <w:ind w:left="720"/>
    </w:pPr>
  </w:style>
  <w:style w:type="paragraph" w:customStyle="1" w:styleId="Default">
    <w:name w:val="Default"/>
    <w:basedOn w:val="Normal"/>
    <w:uiPriority w:val="99"/>
    <w:rsid w:val="00EC17BD"/>
    <w:pPr>
      <w:autoSpaceDE w:val="0"/>
      <w:autoSpaceDN w:val="0"/>
      <w:jc w:val="left"/>
    </w:pPr>
    <w:rPr>
      <w:rFonts w:cs="Times New Roman"/>
      <w:color w:val="000000"/>
      <w:sz w:val="24"/>
      <w:lang w:val="en-US"/>
    </w:rPr>
  </w:style>
  <w:style w:type="character" w:customStyle="1" w:styleId="apple-style-span">
    <w:name w:val="apple-style-span"/>
    <w:uiPriority w:val="99"/>
    <w:rsid w:val="00EC17BD"/>
  </w:style>
  <w:style w:type="paragraph" w:customStyle="1" w:styleId="SubtleEmphasis1">
    <w:name w:val="Subtle Emphasis1"/>
    <w:basedOn w:val="Normal"/>
    <w:uiPriority w:val="99"/>
    <w:rsid w:val="00EC17BD"/>
    <w:pPr>
      <w:ind w:left="720"/>
    </w:pPr>
  </w:style>
  <w:style w:type="paragraph" w:customStyle="1" w:styleId="StyleHeading3TimesNewRomanBoldBoldNotItalicAllcaps">
    <w:name w:val="Style Heading 3 + Times New Roman Bold Bold Not Italic All caps"/>
    <w:basedOn w:val="Heading3"/>
    <w:next w:val="Heading2"/>
    <w:uiPriority w:val="99"/>
    <w:rsid w:val="00EC17BD"/>
    <w:rPr>
      <w:b/>
      <w:bCs/>
      <w:i w:val="0"/>
      <w:iCs w:val="0"/>
      <w:caps/>
    </w:rPr>
  </w:style>
  <w:style w:type="paragraph" w:customStyle="1" w:styleId="DarkList-Accent61">
    <w:name w:val="Dark List - Accent 61"/>
    <w:uiPriority w:val="99"/>
    <w:rsid w:val="00EC17BD"/>
    <w:rPr>
      <w:rFonts w:eastAsia="MS Mincho"/>
      <w:sz w:val="22"/>
      <w:szCs w:val="22"/>
    </w:rPr>
  </w:style>
  <w:style w:type="paragraph" w:customStyle="1" w:styleId="Paraa">
    <w:name w:val="Para (a)"/>
    <w:basedOn w:val="Normal"/>
    <w:uiPriority w:val="99"/>
    <w:rsid w:val="00EC17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cs="Times New Roman"/>
      <w:szCs w:val="20"/>
    </w:rPr>
  </w:style>
  <w:style w:type="character" w:customStyle="1" w:styleId="FootnoteTextChar2">
    <w:name w:val="Footnote Text Char2"/>
    <w:aliases w:val="fn Char1,Geneva 9 Char1,Font: Geneva 9 Char1,Boston 10 Char1,f Char1,ft Char11,Fotnotstext Char Char1,ft Char Char1,single space Char1,footnote text Char,FOOTNOTES Char1,ADB Char1,single space1 Char1,footnote text1 Char1,fn1 Char1"/>
    <w:uiPriority w:val="99"/>
    <w:locked/>
    <w:rsid w:val="00EC17BD"/>
    <w:rPr>
      <w:sz w:val="24"/>
      <w:lang w:val="en-GB"/>
    </w:rPr>
  </w:style>
  <w:style w:type="character" w:customStyle="1" w:styleId="StyleFootnoteReferenceNounderlineSuperscriptKernat10pt">
    <w:name w:val="Style Footnote Reference + No underline Superscript Kern at 10 pt"/>
    <w:uiPriority w:val="99"/>
    <w:rsid w:val="00EC17BD"/>
    <w:rPr>
      <w:kern w:val="20"/>
      <w:sz w:val="22"/>
      <w:u w:val="none"/>
      <w:vertAlign w:val="superscript"/>
    </w:rPr>
  </w:style>
  <w:style w:type="character" w:customStyle="1" w:styleId="s13">
    <w:name w:val="s13"/>
    <w:uiPriority w:val="99"/>
    <w:rsid w:val="00EC17BD"/>
  </w:style>
  <w:style w:type="paragraph" w:customStyle="1" w:styleId="ColorfulGrid-Accent61">
    <w:name w:val="Colorful Grid - Accent 61"/>
    <w:hidden/>
    <w:uiPriority w:val="99"/>
    <w:semiHidden/>
    <w:rsid w:val="00EC17BD"/>
    <w:rPr>
      <w:rFonts w:eastAsia="MS Mincho" w:cs="Angsana New"/>
      <w:sz w:val="22"/>
      <w:szCs w:val="24"/>
      <w:lang w:val="en-GB"/>
    </w:rPr>
  </w:style>
  <w:style w:type="paragraph" w:customStyle="1" w:styleId="ColorfulGrid-Accent62">
    <w:name w:val="Colorful Grid - Accent 62"/>
    <w:hidden/>
    <w:uiPriority w:val="99"/>
    <w:semiHidden/>
    <w:rsid w:val="00EC17BD"/>
    <w:rPr>
      <w:rFonts w:eastAsia="MS Mincho" w:cs="Angsana New"/>
      <w:sz w:val="22"/>
      <w:szCs w:val="24"/>
      <w:lang w:val="en-GB"/>
    </w:rPr>
  </w:style>
  <w:style w:type="paragraph" w:customStyle="1" w:styleId="SubtleEmphasis2">
    <w:name w:val="Subtle Emphasis2"/>
    <w:basedOn w:val="Normal"/>
    <w:uiPriority w:val="99"/>
    <w:rsid w:val="00EC17BD"/>
    <w:pPr>
      <w:ind w:left="720"/>
    </w:pPr>
  </w:style>
  <w:style w:type="paragraph" w:customStyle="1" w:styleId="LightGrid-Accent31">
    <w:name w:val="Light Grid - Accent 31"/>
    <w:basedOn w:val="Normal"/>
    <w:uiPriority w:val="99"/>
    <w:rsid w:val="00EC17BD"/>
    <w:pPr>
      <w:ind w:left="720"/>
    </w:pPr>
  </w:style>
  <w:style w:type="paragraph" w:styleId="Revision">
    <w:name w:val="Revision"/>
    <w:hidden/>
    <w:uiPriority w:val="99"/>
    <w:rsid w:val="00EC17BD"/>
    <w:rPr>
      <w:rFonts w:eastAsia="MS Mincho" w:cs="Angsana New"/>
      <w:sz w:val="22"/>
      <w:szCs w:val="24"/>
      <w:lang w:val="en-GB"/>
    </w:rPr>
  </w:style>
  <w:style w:type="paragraph" w:customStyle="1" w:styleId="meetingname">
    <w:name w:val="meeting name"/>
    <w:basedOn w:val="Normal"/>
    <w:uiPriority w:val="99"/>
    <w:rsid w:val="00EC17BD"/>
    <w:pPr>
      <w:ind w:left="170" w:right="3119" w:hanging="170"/>
      <w:jc w:val="left"/>
    </w:pPr>
    <w:rPr>
      <w:rFonts w:eastAsia="Malgun Gothic" w:cs="Times New Roman"/>
      <w:caps/>
    </w:rPr>
  </w:style>
  <w:style w:type="paragraph" w:styleId="TOC9">
    <w:name w:val="toc 9"/>
    <w:basedOn w:val="Normal"/>
    <w:next w:val="Normal"/>
    <w:autoRedefine/>
    <w:uiPriority w:val="99"/>
    <w:rsid w:val="00EC17BD"/>
    <w:pPr>
      <w:tabs>
        <w:tab w:val="num" w:pos="1440"/>
      </w:tabs>
      <w:spacing w:before="120" w:after="120"/>
      <w:ind w:left="1440" w:hanging="360"/>
      <w:jc w:val="left"/>
    </w:pPr>
    <w:rPr>
      <w:rFonts w:cs="Times New Roman"/>
    </w:rPr>
  </w:style>
  <w:style w:type="paragraph" w:styleId="ListParagraph">
    <w:name w:val="List Paragraph"/>
    <w:basedOn w:val="Normal"/>
    <w:uiPriority w:val="99"/>
    <w:qFormat/>
    <w:rsid w:val="00EC17BD"/>
    <w:pPr>
      <w:ind w:left="720"/>
    </w:pPr>
  </w:style>
  <w:style w:type="character" w:customStyle="1" w:styleId="BalloonTextChar1">
    <w:name w:val="Balloon Text Char1"/>
    <w:uiPriority w:val="99"/>
    <w:semiHidden/>
    <w:locked/>
    <w:rsid w:val="00EC17BD"/>
    <w:rPr>
      <w:rFonts w:ascii="Times New Roman" w:hAnsi="Times New Roman"/>
      <w:sz w:val="16"/>
      <w:lang w:val="en-GB"/>
    </w:rPr>
  </w:style>
  <w:style w:type="paragraph" w:customStyle="1" w:styleId="Paragraph">
    <w:name w:val="Paragraph"/>
    <w:basedOn w:val="Normal"/>
    <w:uiPriority w:val="99"/>
    <w:rsid w:val="00EC17BD"/>
    <w:pPr>
      <w:spacing w:before="120" w:after="120"/>
    </w:pPr>
    <w:rPr>
      <w:rFonts w:eastAsia="Malgun Gothic" w:cs="Times New Roman"/>
    </w:rPr>
  </w:style>
  <w:style w:type="paragraph" w:customStyle="1" w:styleId="Heading4">
    <w:name w:val="Heading4"/>
    <w:basedOn w:val="Normal"/>
    <w:uiPriority w:val="99"/>
    <w:rsid w:val="00EC17BD"/>
    <w:pPr>
      <w:numPr>
        <w:numId w:val="19"/>
      </w:numPr>
    </w:pPr>
    <w:rPr>
      <w:rFonts w:eastAsia="Malgun Gothic" w:cs="Times New Roman"/>
      <w:b/>
      <w:i/>
      <w:iCs/>
      <w:szCs w:val="20"/>
    </w:rPr>
  </w:style>
  <w:style w:type="paragraph" w:customStyle="1" w:styleId="Activity">
    <w:name w:val="Activity"/>
    <w:basedOn w:val="Normal"/>
    <w:uiPriority w:val="99"/>
    <w:rsid w:val="00EC17BD"/>
    <w:pPr>
      <w:numPr>
        <w:ilvl w:val="1"/>
        <w:numId w:val="20"/>
      </w:numPr>
      <w:spacing w:before="120" w:after="120"/>
    </w:pPr>
    <w:rPr>
      <w:rFonts w:eastAsia="Malgun Gothic" w:cs="Times New Roman"/>
    </w:rPr>
  </w:style>
  <w:style w:type="paragraph" w:customStyle="1" w:styleId="heading-plainbold0">
    <w:name w:val="heading-plain bold"/>
    <w:basedOn w:val="Heading1"/>
    <w:uiPriority w:val="99"/>
    <w:rsid w:val="00EC17BD"/>
    <w:pPr>
      <w:tabs>
        <w:tab w:val="clear" w:pos="720"/>
        <w:tab w:val="left" w:pos="770"/>
      </w:tabs>
      <w:spacing w:before="120"/>
    </w:pPr>
    <w:rPr>
      <w:rFonts w:eastAsia="Malgun Gothic" w:cs="Times New Roman"/>
      <w:i/>
      <w:iCs/>
      <w:caps w:val="0"/>
      <w:sz w:val="24"/>
      <w:szCs w:val="20"/>
    </w:rPr>
  </w:style>
  <w:style w:type="paragraph" w:customStyle="1" w:styleId="para11">
    <w:name w:val="para1"/>
    <w:basedOn w:val="Normal"/>
    <w:uiPriority w:val="99"/>
    <w:rsid w:val="00EC17BD"/>
    <w:pPr>
      <w:spacing w:before="100" w:beforeAutospacing="1" w:after="100" w:afterAutospacing="1"/>
      <w:jc w:val="left"/>
    </w:pPr>
    <w:rPr>
      <w:rFonts w:cs="Times New Roman"/>
      <w:sz w:val="24"/>
      <w:lang w:val="en-US"/>
    </w:rPr>
  </w:style>
  <w:style w:type="paragraph" w:customStyle="1" w:styleId="FOOTNOTETEX">
    <w:name w:val="FOOTNOTE TEX"/>
    <w:uiPriority w:val="99"/>
    <w:rsid w:val="00EC17BD"/>
    <w:pPr>
      <w:widowControl w:val="0"/>
      <w:tabs>
        <w:tab w:val="left" w:pos="-720"/>
      </w:tabs>
      <w:suppressAutoHyphens/>
    </w:pPr>
    <w:rPr>
      <w:rFonts w:eastAsia="Malgun Gothic"/>
    </w:rPr>
  </w:style>
  <w:style w:type="paragraph" w:customStyle="1" w:styleId="Numbering">
    <w:name w:val="Numbering"/>
    <w:basedOn w:val="Normal"/>
    <w:uiPriority w:val="99"/>
    <w:rsid w:val="00EC17BD"/>
    <w:pPr>
      <w:numPr>
        <w:numId w:val="21"/>
      </w:numPr>
    </w:pPr>
    <w:rPr>
      <w:rFonts w:eastAsia="Malgun Gothic" w:cs="Times New Roman"/>
      <w:lang w:val="en-US"/>
    </w:rPr>
  </w:style>
  <w:style w:type="character" w:customStyle="1" w:styleId="CharChar2">
    <w:name w:val="Char Char2"/>
    <w:uiPriority w:val="99"/>
    <w:semiHidden/>
    <w:rsid w:val="00EC17BD"/>
    <w:rPr>
      <w:lang w:val="en-GB"/>
    </w:rPr>
  </w:style>
  <w:style w:type="paragraph" w:styleId="ListBullet">
    <w:name w:val="List Bullet"/>
    <w:basedOn w:val="Normal"/>
    <w:autoRedefine/>
    <w:uiPriority w:val="99"/>
    <w:rsid w:val="00EC17BD"/>
    <w:pPr>
      <w:tabs>
        <w:tab w:val="num" w:pos="360"/>
      </w:tabs>
      <w:ind w:left="360" w:hanging="360"/>
      <w:jc w:val="left"/>
    </w:pPr>
    <w:rPr>
      <w:rFonts w:eastAsia="Malgun Gothic" w:cs="Times New Roman"/>
      <w:sz w:val="24"/>
      <w:lang w:val="en-US"/>
    </w:rPr>
  </w:style>
  <w:style w:type="character" w:customStyle="1" w:styleId="CharChar3">
    <w:name w:val="Char Char3"/>
    <w:uiPriority w:val="99"/>
    <w:rsid w:val="00EC17BD"/>
    <w:rPr>
      <w:rFonts w:ascii="Times New Roman" w:hAnsi="Times New Roman"/>
      <w:b/>
      <w:caps/>
      <w:sz w:val="24"/>
      <w:lang w:val="en-GB"/>
    </w:rPr>
  </w:style>
  <w:style w:type="paragraph" w:customStyle="1" w:styleId="ColorfulShading-Accent11">
    <w:name w:val="Colorful Shading - Accent 11"/>
    <w:hidden/>
    <w:uiPriority w:val="99"/>
    <w:semiHidden/>
    <w:rsid w:val="00EC17BD"/>
    <w:rPr>
      <w:rFonts w:eastAsia="Malgun Gothic"/>
      <w:sz w:val="22"/>
      <w:szCs w:val="24"/>
      <w:lang w:val="en-GB"/>
    </w:rPr>
  </w:style>
  <w:style w:type="paragraph" w:customStyle="1" w:styleId="ColorfulList-Accent12">
    <w:name w:val="Colorful List - Accent 12"/>
    <w:basedOn w:val="Normal"/>
    <w:uiPriority w:val="99"/>
    <w:rsid w:val="00EC17BD"/>
    <w:pPr>
      <w:ind w:left="720"/>
    </w:pPr>
    <w:rPr>
      <w:rFonts w:eastAsia="Malgun Gothic" w:cs="Times New Roman"/>
    </w:rPr>
  </w:style>
  <w:style w:type="character" w:customStyle="1" w:styleId="hps">
    <w:name w:val="hps"/>
    <w:uiPriority w:val="99"/>
    <w:rsid w:val="00EC17BD"/>
  </w:style>
  <w:style w:type="table" w:styleId="TableGrid">
    <w:name w:val="Table Grid"/>
    <w:basedOn w:val="TableNormal"/>
    <w:uiPriority w:val="99"/>
    <w:rsid w:val="00EC17B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uiPriority w:val="99"/>
    <w:rsid w:val="00EC17BD"/>
    <w:pPr>
      <w:numPr>
        <w:numId w:val="16"/>
      </w:numPr>
      <w:spacing w:before="120"/>
    </w:pPr>
    <w:rPr>
      <w:rFonts w:eastAsia="Malgun Gothic" w:cs="Times New Roman"/>
      <w:szCs w:val="20"/>
    </w:rPr>
  </w:style>
  <w:style w:type="paragraph" w:customStyle="1" w:styleId="Quotationtextindented">
    <w:name w:val="Quotation text (indented)"/>
    <w:basedOn w:val="Normal"/>
    <w:uiPriority w:val="99"/>
    <w:rsid w:val="00EC17BD"/>
    <w:pPr>
      <w:spacing w:before="120" w:after="120"/>
      <w:ind w:left="720" w:right="720"/>
    </w:pPr>
    <w:rPr>
      <w:rFonts w:cs="Times New Roman"/>
      <w:bCs/>
    </w:rPr>
  </w:style>
  <w:style w:type="character" w:styleId="HTMLVariable">
    <w:name w:val="HTML Variable"/>
    <w:uiPriority w:val="99"/>
    <w:rsid w:val="00EC17BD"/>
    <w:rPr>
      <w:rFonts w:cs="Times New Roman"/>
      <w:i/>
    </w:rPr>
  </w:style>
  <w:style w:type="paragraph" w:customStyle="1" w:styleId="Corpo">
    <w:name w:val="Corpo"/>
    <w:uiPriority w:val="99"/>
    <w:rsid w:val="00EC17BD"/>
    <w:pPr>
      <w:pBdr>
        <w:top w:val="none" w:sz="96" w:space="31" w:color="FFFFFF" w:frame="1"/>
        <w:left w:val="none" w:sz="96" w:space="31" w:color="FFFFFF" w:frame="1"/>
        <w:bottom w:val="none" w:sz="96" w:space="31" w:color="FFFFFF" w:frame="1"/>
        <w:right w:val="none" w:sz="96" w:space="31" w:color="FFFFFF" w:frame="1"/>
        <w:bar w:val="none" w:sz="0" w:color="000000"/>
      </w:pBdr>
    </w:pPr>
    <w:rPr>
      <w:color w:val="000000"/>
      <w:sz w:val="24"/>
      <w:szCs w:val="24"/>
      <w:u w:color="000000"/>
    </w:rPr>
  </w:style>
  <w:style w:type="paragraph" w:customStyle="1" w:styleId="recommendationheader">
    <w:name w:val="recommendation header"/>
    <w:basedOn w:val="Heading2"/>
    <w:uiPriority w:val="99"/>
    <w:rsid w:val="00EC17BD"/>
    <w:rPr>
      <w:rFonts w:cs="Times New Roman"/>
      <w:i/>
    </w:rPr>
  </w:style>
  <w:style w:type="character" w:customStyle="1" w:styleId="views-field">
    <w:name w:val="views-field"/>
    <w:uiPriority w:val="99"/>
    <w:rsid w:val="00EC17BD"/>
  </w:style>
  <w:style w:type="character" w:customStyle="1" w:styleId="field-content">
    <w:name w:val="field-content"/>
    <w:uiPriority w:val="99"/>
    <w:rsid w:val="00EC17BD"/>
  </w:style>
  <w:style w:type="character" w:customStyle="1" w:styleId="FootnoteTextChar1">
    <w:name w:val="Footnote Text Char1"/>
    <w:aliases w:val="Footnote Text Char Char,Footnote Text Char Char Char Char Char Char Char,Footnote Text Char Char Char Char1 Char,Footnote Text Char Char Char Char Char1 Char,Footnote Text Char Char Char Char Char Char1"/>
    <w:uiPriority w:val="99"/>
    <w:rsid w:val="00EC17BD"/>
    <w:rPr>
      <w:lang w:val="en-US"/>
    </w:rPr>
  </w:style>
  <w:style w:type="character" w:styleId="PlaceholderText">
    <w:name w:val="Placeholder Text"/>
    <w:uiPriority w:val="99"/>
    <w:semiHidden/>
    <w:rsid w:val="00EC17BD"/>
    <w:rPr>
      <w:rFonts w:cs="Times New Roman"/>
      <w:color w:val="808080"/>
    </w:rPr>
  </w:style>
  <w:style w:type="character" w:customStyle="1" w:styleId="UnresolvedMention1">
    <w:name w:val="Unresolved Mention1"/>
    <w:uiPriority w:val="99"/>
    <w:semiHidden/>
    <w:rsid w:val="00EC17BD"/>
    <w:rPr>
      <w:rFonts w:cs="Times New Roman"/>
      <w:color w:val="808080"/>
      <w:shd w:val="clear" w:color="auto" w:fill="E6E6E6"/>
    </w:rPr>
  </w:style>
  <w:style w:type="character" w:customStyle="1" w:styleId="tw4winMark">
    <w:name w:val="tw4winMark"/>
    <w:uiPriority w:val="99"/>
    <w:rsid w:val="00EC17BD"/>
    <w:rPr>
      <w:rFonts w:ascii="Courier New" w:hAnsi="Courier New"/>
      <w:vanish/>
      <w:color w:val="800080"/>
      <w:sz w:val="24"/>
      <w:vertAlign w:val="subscript"/>
    </w:rPr>
  </w:style>
  <w:style w:type="character" w:customStyle="1" w:styleId="tw4winError">
    <w:name w:val="tw4winError"/>
    <w:uiPriority w:val="99"/>
    <w:rsid w:val="00EC17BD"/>
    <w:rPr>
      <w:rFonts w:ascii="Courier New" w:hAnsi="Courier New"/>
      <w:color w:val="00FF00"/>
      <w:sz w:val="40"/>
    </w:rPr>
  </w:style>
  <w:style w:type="character" w:customStyle="1" w:styleId="tw4winTerm">
    <w:name w:val="tw4winTerm"/>
    <w:uiPriority w:val="99"/>
    <w:rsid w:val="00EC17BD"/>
    <w:rPr>
      <w:color w:val="0000FF"/>
    </w:rPr>
  </w:style>
  <w:style w:type="character" w:customStyle="1" w:styleId="tw4winPopup">
    <w:name w:val="tw4winPopup"/>
    <w:uiPriority w:val="99"/>
    <w:rsid w:val="00EC17BD"/>
    <w:rPr>
      <w:rFonts w:ascii="Courier New" w:hAnsi="Courier New"/>
      <w:noProof/>
      <w:color w:val="008000"/>
    </w:rPr>
  </w:style>
  <w:style w:type="character" w:customStyle="1" w:styleId="tw4winJump">
    <w:name w:val="tw4winJump"/>
    <w:uiPriority w:val="99"/>
    <w:rsid w:val="00EC17BD"/>
    <w:rPr>
      <w:rFonts w:ascii="Courier New" w:hAnsi="Courier New"/>
      <w:noProof/>
      <w:color w:val="008080"/>
    </w:rPr>
  </w:style>
  <w:style w:type="character" w:customStyle="1" w:styleId="tw4winExternal">
    <w:name w:val="tw4winExternal"/>
    <w:uiPriority w:val="99"/>
    <w:rsid w:val="00EC17BD"/>
    <w:rPr>
      <w:rFonts w:ascii="Courier New" w:hAnsi="Courier New"/>
      <w:noProof/>
      <w:color w:val="808080"/>
    </w:rPr>
  </w:style>
  <w:style w:type="character" w:customStyle="1" w:styleId="tw4winInternal">
    <w:name w:val="tw4winInternal"/>
    <w:uiPriority w:val="99"/>
    <w:rsid w:val="00EC17BD"/>
    <w:rPr>
      <w:rFonts w:ascii="Courier New" w:hAnsi="Courier New"/>
      <w:noProof/>
      <w:color w:val="FF0000"/>
    </w:rPr>
  </w:style>
  <w:style w:type="character" w:customStyle="1" w:styleId="DONOTTRANSLATE">
    <w:name w:val="DO_NOT_TRANSLATE"/>
    <w:uiPriority w:val="99"/>
    <w:rsid w:val="00EC17BD"/>
    <w:rPr>
      <w:rFonts w:ascii="Courier New" w:hAnsi="Courier New"/>
      <w:noProof/>
      <w:color w:val="800000"/>
    </w:rPr>
  </w:style>
  <w:style w:type="numbering" w:customStyle="1" w:styleId="Style2">
    <w:name w:val="Style2"/>
    <w:rsid w:val="00AE6255"/>
    <w:pPr>
      <w:numPr>
        <w:numId w:val="16"/>
      </w:numPr>
    </w:pPr>
  </w:style>
  <w:style w:type="numbering" w:styleId="111111">
    <w:name w:val="Outline List 2"/>
    <w:basedOn w:val="NoList"/>
    <w:uiPriority w:val="99"/>
    <w:semiHidden/>
    <w:unhideWhenUsed/>
    <w:rsid w:val="00AE6255"/>
    <w:pPr>
      <w:numPr>
        <w:numId w:val="15"/>
      </w:numPr>
    </w:pPr>
  </w:style>
  <w:style w:type="character" w:styleId="UnresolvedMention">
    <w:name w:val="Unresolved Mention"/>
    <w:uiPriority w:val="99"/>
    <w:semiHidden/>
    <w:unhideWhenUsed/>
    <w:rsid w:val="00844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9148317">
      <w:marLeft w:val="0"/>
      <w:marRight w:val="0"/>
      <w:marTop w:val="0"/>
      <w:marBottom w:val="0"/>
      <w:divBdr>
        <w:top w:val="none" w:sz="0" w:space="0" w:color="auto"/>
        <w:left w:val="none" w:sz="0" w:space="0" w:color="auto"/>
        <w:bottom w:val="none" w:sz="0" w:space="0" w:color="auto"/>
        <w:right w:val="none" w:sz="0" w:space="0" w:color="auto"/>
      </w:divBdr>
    </w:div>
    <w:div w:id="1229148318">
      <w:marLeft w:val="0"/>
      <w:marRight w:val="0"/>
      <w:marTop w:val="0"/>
      <w:marBottom w:val="0"/>
      <w:divBdr>
        <w:top w:val="none" w:sz="0" w:space="0" w:color="auto"/>
        <w:left w:val="none" w:sz="0" w:space="0" w:color="auto"/>
        <w:bottom w:val="none" w:sz="0" w:space="0" w:color="auto"/>
        <w:right w:val="none" w:sz="0" w:space="0" w:color="auto"/>
      </w:divBdr>
    </w:div>
    <w:div w:id="1229148319">
      <w:marLeft w:val="0"/>
      <w:marRight w:val="0"/>
      <w:marTop w:val="0"/>
      <w:marBottom w:val="0"/>
      <w:divBdr>
        <w:top w:val="none" w:sz="0" w:space="0" w:color="auto"/>
        <w:left w:val="none" w:sz="0" w:space="0" w:color="auto"/>
        <w:bottom w:val="none" w:sz="0" w:space="0" w:color="auto"/>
        <w:right w:val="none" w:sz="0" w:space="0" w:color="auto"/>
      </w:divBdr>
    </w:div>
    <w:div w:id="1229148323">
      <w:marLeft w:val="0"/>
      <w:marRight w:val="0"/>
      <w:marTop w:val="0"/>
      <w:marBottom w:val="0"/>
      <w:divBdr>
        <w:top w:val="none" w:sz="0" w:space="0" w:color="auto"/>
        <w:left w:val="none" w:sz="0" w:space="0" w:color="auto"/>
        <w:bottom w:val="none" w:sz="0" w:space="0" w:color="auto"/>
        <w:right w:val="none" w:sz="0" w:space="0" w:color="auto"/>
      </w:divBdr>
    </w:div>
    <w:div w:id="1229148326">
      <w:marLeft w:val="0"/>
      <w:marRight w:val="0"/>
      <w:marTop w:val="0"/>
      <w:marBottom w:val="0"/>
      <w:divBdr>
        <w:top w:val="none" w:sz="0" w:space="0" w:color="auto"/>
        <w:left w:val="none" w:sz="0" w:space="0" w:color="auto"/>
        <w:bottom w:val="none" w:sz="0" w:space="0" w:color="auto"/>
        <w:right w:val="none" w:sz="0" w:space="0" w:color="auto"/>
      </w:divBdr>
    </w:div>
    <w:div w:id="1229148327">
      <w:marLeft w:val="0"/>
      <w:marRight w:val="0"/>
      <w:marTop w:val="0"/>
      <w:marBottom w:val="0"/>
      <w:divBdr>
        <w:top w:val="none" w:sz="0" w:space="0" w:color="auto"/>
        <w:left w:val="none" w:sz="0" w:space="0" w:color="auto"/>
        <w:bottom w:val="none" w:sz="0" w:space="0" w:color="auto"/>
        <w:right w:val="none" w:sz="0" w:space="0" w:color="auto"/>
      </w:divBdr>
      <w:divsChild>
        <w:div w:id="1229148389">
          <w:marLeft w:val="0"/>
          <w:marRight w:val="0"/>
          <w:marTop w:val="0"/>
          <w:marBottom w:val="0"/>
          <w:divBdr>
            <w:top w:val="none" w:sz="0" w:space="0" w:color="auto"/>
            <w:left w:val="none" w:sz="0" w:space="0" w:color="auto"/>
            <w:bottom w:val="none" w:sz="0" w:space="0" w:color="auto"/>
            <w:right w:val="none" w:sz="0" w:space="0" w:color="auto"/>
          </w:divBdr>
          <w:divsChild>
            <w:div w:id="1229148361">
              <w:marLeft w:val="0"/>
              <w:marRight w:val="0"/>
              <w:marTop w:val="0"/>
              <w:marBottom w:val="0"/>
              <w:divBdr>
                <w:top w:val="none" w:sz="0" w:space="0" w:color="auto"/>
                <w:left w:val="none" w:sz="0" w:space="0" w:color="auto"/>
                <w:bottom w:val="none" w:sz="0" w:space="0" w:color="auto"/>
                <w:right w:val="none" w:sz="0" w:space="0" w:color="auto"/>
              </w:divBdr>
              <w:divsChild>
                <w:div w:id="122914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331">
      <w:marLeft w:val="0"/>
      <w:marRight w:val="0"/>
      <w:marTop w:val="0"/>
      <w:marBottom w:val="0"/>
      <w:divBdr>
        <w:top w:val="none" w:sz="0" w:space="0" w:color="auto"/>
        <w:left w:val="none" w:sz="0" w:space="0" w:color="auto"/>
        <w:bottom w:val="none" w:sz="0" w:space="0" w:color="auto"/>
        <w:right w:val="none" w:sz="0" w:space="0" w:color="auto"/>
      </w:divBdr>
    </w:div>
    <w:div w:id="1229148349">
      <w:marLeft w:val="0"/>
      <w:marRight w:val="0"/>
      <w:marTop w:val="0"/>
      <w:marBottom w:val="0"/>
      <w:divBdr>
        <w:top w:val="none" w:sz="0" w:space="0" w:color="auto"/>
        <w:left w:val="none" w:sz="0" w:space="0" w:color="auto"/>
        <w:bottom w:val="none" w:sz="0" w:space="0" w:color="auto"/>
        <w:right w:val="none" w:sz="0" w:space="0" w:color="auto"/>
      </w:divBdr>
    </w:div>
    <w:div w:id="1229148355">
      <w:marLeft w:val="0"/>
      <w:marRight w:val="0"/>
      <w:marTop w:val="0"/>
      <w:marBottom w:val="0"/>
      <w:divBdr>
        <w:top w:val="none" w:sz="0" w:space="0" w:color="auto"/>
        <w:left w:val="none" w:sz="0" w:space="0" w:color="auto"/>
        <w:bottom w:val="none" w:sz="0" w:space="0" w:color="auto"/>
        <w:right w:val="none" w:sz="0" w:space="0" w:color="auto"/>
      </w:divBdr>
      <w:divsChild>
        <w:div w:id="1229148339">
          <w:marLeft w:val="0"/>
          <w:marRight w:val="0"/>
          <w:marTop w:val="0"/>
          <w:marBottom w:val="0"/>
          <w:divBdr>
            <w:top w:val="none" w:sz="0" w:space="0" w:color="auto"/>
            <w:left w:val="none" w:sz="0" w:space="0" w:color="auto"/>
            <w:bottom w:val="none" w:sz="0" w:space="0" w:color="auto"/>
            <w:right w:val="none" w:sz="0" w:space="0" w:color="auto"/>
          </w:divBdr>
          <w:divsChild>
            <w:div w:id="1229148336">
              <w:marLeft w:val="0"/>
              <w:marRight w:val="0"/>
              <w:marTop w:val="0"/>
              <w:marBottom w:val="0"/>
              <w:divBdr>
                <w:top w:val="none" w:sz="0" w:space="0" w:color="auto"/>
                <w:left w:val="none" w:sz="0" w:space="0" w:color="auto"/>
                <w:bottom w:val="none" w:sz="0" w:space="0" w:color="auto"/>
                <w:right w:val="none" w:sz="0" w:space="0" w:color="auto"/>
              </w:divBdr>
              <w:divsChild>
                <w:div w:id="1229148352">
                  <w:marLeft w:val="0"/>
                  <w:marRight w:val="0"/>
                  <w:marTop w:val="0"/>
                  <w:marBottom w:val="0"/>
                  <w:divBdr>
                    <w:top w:val="none" w:sz="0" w:space="0" w:color="auto"/>
                    <w:left w:val="none" w:sz="0" w:space="0" w:color="auto"/>
                    <w:bottom w:val="none" w:sz="0" w:space="0" w:color="auto"/>
                    <w:right w:val="none" w:sz="0" w:space="0" w:color="auto"/>
                  </w:divBdr>
                  <w:divsChild>
                    <w:div w:id="1229148335">
                      <w:marLeft w:val="0"/>
                      <w:marRight w:val="0"/>
                      <w:marTop w:val="0"/>
                      <w:marBottom w:val="0"/>
                      <w:divBdr>
                        <w:top w:val="none" w:sz="0" w:space="0" w:color="auto"/>
                        <w:left w:val="none" w:sz="0" w:space="0" w:color="auto"/>
                        <w:bottom w:val="none" w:sz="0" w:space="0" w:color="auto"/>
                        <w:right w:val="none" w:sz="0" w:space="0" w:color="auto"/>
                      </w:divBdr>
                    </w:div>
                  </w:divsChild>
                </w:div>
                <w:div w:id="1229148425">
                  <w:marLeft w:val="0"/>
                  <w:marRight w:val="0"/>
                  <w:marTop w:val="0"/>
                  <w:marBottom w:val="0"/>
                  <w:divBdr>
                    <w:top w:val="none" w:sz="0" w:space="0" w:color="auto"/>
                    <w:left w:val="none" w:sz="0" w:space="0" w:color="auto"/>
                    <w:bottom w:val="none" w:sz="0" w:space="0" w:color="auto"/>
                    <w:right w:val="none" w:sz="0" w:space="0" w:color="auto"/>
                  </w:divBdr>
                  <w:divsChild>
                    <w:div w:id="1229148430">
                      <w:marLeft w:val="0"/>
                      <w:marRight w:val="0"/>
                      <w:marTop w:val="0"/>
                      <w:marBottom w:val="0"/>
                      <w:divBdr>
                        <w:top w:val="none" w:sz="0" w:space="0" w:color="auto"/>
                        <w:left w:val="none" w:sz="0" w:space="0" w:color="auto"/>
                        <w:bottom w:val="none" w:sz="0" w:space="0" w:color="auto"/>
                        <w:right w:val="none" w:sz="0" w:space="0" w:color="auto"/>
                      </w:divBdr>
                      <w:divsChild>
                        <w:div w:id="1229148330">
                          <w:marLeft w:val="0"/>
                          <w:marRight w:val="0"/>
                          <w:marTop w:val="0"/>
                          <w:marBottom w:val="0"/>
                          <w:divBdr>
                            <w:top w:val="none" w:sz="0" w:space="0" w:color="auto"/>
                            <w:left w:val="none" w:sz="0" w:space="0" w:color="auto"/>
                            <w:bottom w:val="none" w:sz="0" w:space="0" w:color="auto"/>
                            <w:right w:val="none" w:sz="0" w:space="0" w:color="auto"/>
                          </w:divBdr>
                        </w:div>
                        <w:div w:id="1229148366">
                          <w:marLeft w:val="0"/>
                          <w:marRight w:val="0"/>
                          <w:marTop w:val="0"/>
                          <w:marBottom w:val="0"/>
                          <w:divBdr>
                            <w:top w:val="none" w:sz="0" w:space="0" w:color="auto"/>
                            <w:left w:val="none" w:sz="0" w:space="0" w:color="auto"/>
                            <w:bottom w:val="none" w:sz="0" w:space="0" w:color="auto"/>
                            <w:right w:val="none" w:sz="0" w:space="0" w:color="auto"/>
                          </w:divBdr>
                        </w:div>
                        <w:div w:id="1229148372">
                          <w:marLeft w:val="0"/>
                          <w:marRight w:val="0"/>
                          <w:marTop w:val="0"/>
                          <w:marBottom w:val="0"/>
                          <w:divBdr>
                            <w:top w:val="none" w:sz="0" w:space="0" w:color="auto"/>
                            <w:left w:val="none" w:sz="0" w:space="0" w:color="auto"/>
                            <w:bottom w:val="none" w:sz="0" w:space="0" w:color="auto"/>
                            <w:right w:val="none" w:sz="0" w:space="0" w:color="auto"/>
                          </w:divBdr>
                        </w:div>
                        <w:div w:id="1229148383">
                          <w:marLeft w:val="0"/>
                          <w:marRight w:val="0"/>
                          <w:marTop w:val="0"/>
                          <w:marBottom w:val="0"/>
                          <w:divBdr>
                            <w:top w:val="none" w:sz="0" w:space="0" w:color="auto"/>
                            <w:left w:val="none" w:sz="0" w:space="0" w:color="auto"/>
                            <w:bottom w:val="none" w:sz="0" w:space="0" w:color="auto"/>
                            <w:right w:val="none" w:sz="0" w:space="0" w:color="auto"/>
                          </w:divBdr>
                        </w:div>
                        <w:div w:id="1229148413">
                          <w:marLeft w:val="0"/>
                          <w:marRight w:val="0"/>
                          <w:marTop w:val="0"/>
                          <w:marBottom w:val="0"/>
                          <w:divBdr>
                            <w:top w:val="none" w:sz="0" w:space="0" w:color="auto"/>
                            <w:left w:val="none" w:sz="0" w:space="0" w:color="auto"/>
                            <w:bottom w:val="none" w:sz="0" w:space="0" w:color="auto"/>
                            <w:right w:val="none" w:sz="0" w:space="0" w:color="auto"/>
                          </w:divBdr>
                        </w:div>
                        <w:div w:id="12291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48345">
          <w:marLeft w:val="0"/>
          <w:marRight w:val="0"/>
          <w:marTop w:val="0"/>
          <w:marBottom w:val="0"/>
          <w:divBdr>
            <w:top w:val="none" w:sz="0" w:space="0" w:color="auto"/>
            <w:left w:val="none" w:sz="0" w:space="0" w:color="auto"/>
            <w:bottom w:val="none" w:sz="0" w:space="0" w:color="auto"/>
            <w:right w:val="none" w:sz="0" w:space="0" w:color="auto"/>
          </w:divBdr>
          <w:divsChild>
            <w:div w:id="1229148424">
              <w:marLeft w:val="0"/>
              <w:marRight w:val="0"/>
              <w:marTop w:val="0"/>
              <w:marBottom w:val="0"/>
              <w:divBdr>
                <w:top w:val="none" w:sz="0" w:space="0" w:color="auto"/>
                <w:left w:val="none" w:sz="0" w:space="0" w:color="auto"/>
                <w:bottom w:val="none" w:sz="0" w:space="0" w:color="auto"/>
                <w:right w:val="none" w:sz="0" w:space="0" w:color="auto"/>
              </w:divBdr>
              <w:divsChild>
                <w:div w:id="1229148437">
                  <w:marLeft w:val="0"/>
                  <w:marRight w:val="0"/>
                  <w:marTop w:val="0"/>
                  <w:marBottom w:val="0"/>
                  <w:divBdr>
                    <w:top w:val="none" w:sz="0" w:space="0" w:color="auto"/>
                    <w:left w:val="none" w:sz="0" w:space="0" w:color="auto"/>
                    <w:bottom w:val="none" w:sz="0" w:space="0" w:color="auto"/>
                    <w:right w:val="none" w:sz="0" w:space="0" w:color="auto"/>
                  </w:divBdr>
                  <w:divsChild>
                    <w:div w:id="1229148332">
                      <w:marLeft w:val="0"/>
                      <w:marRight w:val="0"/>
                      <w:marTop w:val="0"/>
                      <w:marBottom w:val="0"/>
                      <w:divBdr>
                        <w:top w:val="none" w:sz="0" w:space="0" w:color="auto"/>
                        <w:left w:val="none" w:sz="0" w:space="0" w:color="auto"/>
                        <w:bottom w:val="none" w:sz="0" w:space="0" w:color="auto"/>
                        <w:right w:val="none" w:sz="0" w:space="0" w:color="auto"/>
                      </w:divBdr>
                      <w:divsChild>
                        <w:div w:id="1229148313">
                          <w:marLeft w:val="0"/>
                          <w:marRight w:val="0"/>
                          <w:marTop w:val="0"/>
                          <w:marBottom w:val="0"/>
                          <w:divBdr>
                            <w:top w:val="none" w:sz="0" w:space="0" w:color="auto"/>
                            <w:left w:val="none" w:sz="0" w:space="0" w:color="auto"/>
                            <w:bottom w:val="none" w:sz="0" w:space="0" w:color="auto"/>
                            <w:right w:val="none" w:sz="0" w:space="0" w:color="auto"/>
                          </w:divBdr>
                        </w:div>
                        <w:div w:id="1229148342">
                          <w:marLeft w:val="0"/>
                          <w:marRight w:val="0"/>
                          <w:marTop w:val="0"/>
                          <w:marBottom w:val="0"/>
                          <w:divBdr>
                            <w:top w:val="none" w:sz="0" w:space="0" w:color="auto"/>
                            <w:left w:val="none" w:sz="0" w:space="0" w:color="auto"/>
                            <w:bottom w:val="none" w:sz="0" w:space="0" w:color="auto"/>
                            <w:right w:val="none" w:sz="0" w:space="0" w:color="auto"/>
                          </w:divBdr>
                        </w:div>
                        <w:div w:id="1229148343">
                          <w:marLeft w:val="0"/>
                          <w:marRight w:val="0"/>
                          <w:marTop w:val="0"/>
                          <w:marBottom w:val="0"/>
                          <w:divBdr>
                            <w:top w:val="none" w:sz="0" w:space="0" w:color="auto"/>
                            <w:left w:val="none" w:sz="0" w:space="0" w:color="auto"/>
                            <w:bottom w:val="none" w:sz="0" w:space="0" w:color="auto"/>
                            <w:right w:val="none" w:sz="0" w:space="0" w:color="auto"/>
                          </w:divBdr>
                        </w:div>
                        <w:div w:id="1229148353">
                          <w:marLeft w:val="0"/>
                          <w:marRight w:val="0"/>
                          <w:marTop w:val="0"/>
                          <w:marBottom w:val="0"/>
                          <w:divBdr>
                            <w:top w:val="none" w:sz="0" w:space="0" w:color="auto"/>
                            <w:left w:val="none" w:sz="0" w:space="0" w:color="auto"/>
                            <w:bottom w:val="none" w:sz="0" w:space="0" w:color="auto"/>
                            <w:right w:val="none" w:sz="0" w:space="0" w:color="auto"/>
                          </w:divBdr>
                        </w:div>
                        <w:div w:id="1229148363">
                          <w:marLeft w:val="0"/>
                          <w:marRight w:val="0"/>
                          <w:marTop w:val="0"/>
                          <w:marBottom w:val="0"/>
                          <w:divBdr>
                            <w:top w:val="none" w:sz="0" w:space="0" w:color="auto"/>
                            <w:left w:val="none" w:sz="0" w:space="0" w:color="auto"/>
                            <w:bottom w:val="none" w:sz="0" w:space="0" w:color="auto"/>
                            <w:right w:val="none" w:sz="0" w:space="0" w:color="auto"/>
                          </w:divBdr>
                        </w:div>
                        <w:div w:id="1229148377">
                          <w:marLeft w:val="0"/>
                          <w:marRight w:val="0"/>
                          <w:marTop w:val="0"/>
                          <w:marBottom w:val="0"/>
                          <w:divBdr>
                            <w:top w:val="none" w:sz="0" w:space="0" w:color="auto"/>
                            <w:left w:val="none" w:sz="0" w:space="0" w:color="auto"/>
                            <w:bottom w:val="none" w:sz="0" w:space="0" w:color="auto"/>
                            <w:right w:val="none" w:sz="0" w:space="0" w:color="auto"/>
                          </w:divBdr>
                        </w:div>
                        <w:div w:id="1229148388">
                          <w:marLeft w:val="0"/>
                          <w:marRight w:val="0"/>
                          <w:marTop w:val="0"/>
                          <w:marBottom w:val="0"/>
                          <w:divBdr>
                            <w:top w:val="none" w:sz="0" w:space="0" w:color="auto"/>
                            <w:left w:val="none" w:sz="0" w:space="0" w:color="auto"/>
                            <w:bottom w:val="none" w:sz="0" w:space="0" w:color="auto"/>
                            <w:right w:val="none" w:sz="0" w:space="0" w:color="auto"/>
                          </w:divBdr>
                        </w:div>
                        <w:div w:id="1229148395">
                          <w:marLeft w:val="0"/>
                          <w:marRight w:val="0"/>
                          <w:marTop w:val="0"/>
                          <w:marBottom w:val="0"/>
                          <w:divBdr>
                            <w:top w:val="none" w:sz="0" w:space="0" w:color="auto"/>
                            <w:left w:val="none" w:sz="0" w:space="0" w:color="auto"/>
                            <w:bottom w:val="none" w:sz="0" w:space="0" w:color="auto"/>
                            <w:right w:val="none" w:sz="0" w:space="0" w:color="auto"/>
                          </w:divBdr>
                        </w:div>
                        <w:div w:id="1229148399">
                          <w:marLeft w:val="0"/>
                          <w:marRight w:val="0"/>
                          <w:marTop w:val="0"/>
                          <w:marBottom w:val="0"/>
                          <w:divBdr>
                            <w:top w:val="none" w:sz="0" w:space="0" w:color="auto"/>
                            <w:left w:val="none" w:sz="0" w:space="0" w:color="auto"/>
                            <w:bottom w:val="none" w:sz="0" w:space="0" w:color="auto"/>
                            <w:right w:val="none" w:sz="0" w:space="0" w:color="auto"/>
                          </w:divBdr>
                        </w:div>
                        <w:div w:id="1229148419">
                          <w:marLeft w:val="0"/>
                          <w:marRight w:val="0"/>
                          <w:marTop w:val="0"/>
                          <w:marBottom w:val="0"/>
                          <w:divBdr>
                            <w:top w:val="none" w:sz="0" w:space="0" w:color="auto"/>
                            <w:left w:val="none" w:sz="0" w:space="0" w:color="auto"/>
                            <w:bottom w:val="none" w:sz="0" w:space="0" w:color="auto"/>
                            <w:right w:val="none" w:sz="0" w:space="0" w:color="auto"/>
                          </w:divBdr>
                        </w:div>
                        <w:div w:id="1229148426">
                          <w:marLeft w:val="0"/>
                          <w:marRight w:val="0"/>
                          <w:marTop w:val="0"/>
                          <w:marBottom w:val="0"/>
                          <w:divBdr>
                            <w:top w:val="none" w:sz="0" w:space="0" w:color="auto"/>
                            <w:left w:val="none" w:sz="0" w:space="0" w:color="auto"/>
                            <w:bottom w:val="none" w:sz="0" w:space="0" w:color="auto"/>
                            <w:right w:val="none" w:sz="0" w:space="0" w:color="auto"/>
                          </w:divBdr>
                        </w:div>
                        <w:div w:id="122914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48346">
          <w:marLeft w:val="0"/>
          <w:marRight w:val="0"/>
          <w:marTop w:val="0"/>
          <w:marBottom w:val="0"/>
          <w:divBdr>
            <w:top w:val="none" w:sz="0" w:space="0" w:color="auto"/>
            <w:left w:val="none" w:sz="0" w:space="0" w:color="auto"/>
            <w:bottom w:val="none" w:sz="0" w:space="0" w:color="auto"/>
            <w:right w:val="none" w:sz="0" w:space="0" w:color="auto"/>
          </w:divBdr>
          <w:divsChild>
            <w:div w:id="1229148386">
              <w:marLeft w:val="0"/>
              <w:marRight w:val="0"/>
              <w:marTop w:val="0"/>
              <w:marBottom w:val="0"/>
              <w:divBdr>
                <w:top w:val="none" w:sz="0" w:space="0" w:color="auto"/>
                <w:left w:val="none" w:sz="0" w:space="0" w:color="auto"/>
                <w:bottom w:val="none" w:sz="0" w:space="0" w:color="auto"/>
                <w:right w:val="none" w:sz="0" w:space="0" w:color="auto"/>
              </w:divBdr>
              <w:divsChild>
                <w:div w:id="1229148351">
                  <w:marLeft w:val="0"/>
                  <w:marRight w:val="0"/>
                  <w:marTop w:val="0"/>
                  <w:marBottom w:val="0"/>
                  <w:divBdr>
                    <w:top w:val="none" w:sz="0" w:space="0" w:color="auto"/>
                    <w:left w:val="none" w:sz="0" w:space="0" w:color="auto"/>
                    <w:bottom w:val="none" w:sz="0" w:space="0" w:color="auto"/>
                    <w:right w:val="none" w:sz="0" w:space="0" w:color="auto"/>
                  </w:divBdr>
                  <w:divsChild>
                    <w:div w:id="1229148347">
                      <w:marLeft w:val="0"/>
                      <w:marRight w:val="0"/>
                      <w:marTop w:val="0"/>
                      <w:marBottom w:val="0"/>
                      <w:divBdr>
                        <w:top w:val="none" w:sz="0" w:space="0" w:color="auto"/>
                        <w:left w:val="none" w:sz="0" w:space="0" w:color="auto"/>
                        <w:bottom w:val="none" w:sz="0" w:space="0" w:color="auto"/>
                        <w:right w:val="none" w:sz="0" w:space="0" w:color="auto"/>
                      </w:divBdr>
                      <w:divsChild>
                        <w:div w:id="1229148316">
                          <w:marLeft w:val="0"/>
                          <w:marRight w:val="0"/>
                          <w:marTop w:val="0"/>
                          <w:marBottom w:val="0"/>
                          <w:divBdr>
                            <w:top w:val="none" w:sz="0" w:space="0" w:color="auto"/>
                            <w:left w:val="none" w:sz="0" w:space="0" w:color="auto"/>
                            <w:bottom w:val="none" w:sz="0" w:space="0" w:color="auto"/>
                            <w:right w:val="none" w:sz="0" w:space="0" w:color="auto"/>
                          </w:divBdr>
                        </w:div>
                        <w:div w:id="1229148333">
                          <w:marLeft w:val="0"/>
                          <w:marRight w:val="0"/>
                          <w:marTop w:val="0"/>
                          <w:marBottom w:val="0"/>
                          <w:divBdr>
                            <w:top w:val="none" w:sz="0" w:space="0" w:color="auto"/>
                            <w:left w:val="none" w:sz="0" w:space="0" w:color="auto"/>
                            <w:bottom w:val="none" w:sz="0" w:space="0" w:color="auto"/>
                            <w:right w:val="none" w:sz="0" w:space="0" w:color="auto"/>
                          </w:divBdr>
                        </w:div>
                        <w:div w:id="1229148334">
                          <w:marLeft w:val="0"/>
                          <w:marRight w:val="0"/>
                          <w:marTop w:val="0"/>
                          <w:marBottom w:val="0"/>
                          <w:divBdr>
                            <w:top w:val="none" w:sz="0" w:space="0" w:color="auto"/>
                            <w:left w:val="none" w:sz="0" w:space="0" w:color="auto"/>
                            <w:bottom w:val="none" w:sz="0" w:space="0" w:color="auto"/>
                            <w:right w:val="none" w:sz="0" w:space="0" w:color="auto"/>
                          </w:divBdr>
                        </w:div>
                        <w:div w:id="1229148348">
                          <w:marLeft w:val="0"/>
                          <w:marRight w:val="0"/>
                          <w:marTop w:val="0"/>
                          <w:marBottom w:val="0"/>
                          <w:divBdr>
                            <w:top w:val="none" w:sz="0" w:space="0" w:color="auto"/>
                            <w:left w:val="none" w:sz="0" w:space="0" w:color="auto"/>
                            <w:bottom w:val="none" w:sz="0" w:space="0" w:color="auto"/>
                            <w:right w:val="none" w:sz="0" w:space="0" w:color="auto"/>
                          </w:divBdr>
                        </w:div>
                        <w:div w:id="1229148374">
                          <w:marLeft w:val="0"/>
                          <w:marRight w:val="0"/>
                          <w:marTop w:val="0"/>
                          <w:marBottom w:val="0"/>
                          <w:divBdr>
                            <w:top w:val="none" w:sz="0" w:space="0" w:color="auto"/>
                            <w:left w:val="none" w:sz="0" w:space="0" w:color="auto"/>
                            <w:bottom w:val="none" w:sz="0" w:space="0" w:color="auto"/>
                            <w:right w:val="none" w:sz="0" w:space="0" w:color="auto"/>
                          </w:divBdr>
                        </w:div>
                        <w:div w:id="1229148382">
                          <w:marLeft w:val="0"/>
                          <w:marRight w:val="0"/>
                          <w:marTop w:val="0"/>
                          <w:marBottom w:val="0"/>
                          <w:divBdr>
                            <w:top w:val="none" w:sz="0" w:space="0" w:color="auto"/>
                            <w:left w:val="none" w:sz="0" w:space="0" w:color="auto"/>
                            <w:bottom w:val="none" w:sz="0" w:space="0" w:color="auto"/>
                            <w:right w:val="none" w:sz="0" w:space="0" w:color="auto"/>
                          </w:divBdr>
                        </w:div>
                        <w:div w:id="1229148391">
                          <w:marLeft w:val="0"/>
                          <w:marRight w:val="0"/>
                          <w:marTop w:val="0"/>
                          <w:marBottom w:val="0"/>
                          <w:divBdr>
                            <w:top w:val="none" w:sz="0" w:space="0" w:color="auto"/>
                            <w:left w:val="none" w:sz="0" w:space="0" w:color="auto"/>
                            <w:bottom w:val="none" w:sz="0" w:space="0" w:color="auto"/>
                            <w:right w:val="none" w:sz="0" w:space="0" w:color="auto"/>
                          </w:divBdr>
                        </w:div>
                        <w:div w:id="1229148394">
                          <w:marLeft w:val="0"/>
                          <w:marRight w:val="0"/>
                          <w:marTop w:val="0"/>
                          <w:marBottom w:val="0"/>
                          <w:divBdr>
                            <w:top w:val="none" w:sz="0" w:space="0" w:color="auto"/>
                            <w:left w:val="none" w:sz="0" w:space="0" w:color="auto"/>
                            <w:bottom w:val="none" w:sz="0" w:space="0" w:color="auto"/>
                            <w:right w:val="none" w:sz="0" w:space="0" w:color="auto"/>
                          </w:divBdr>
                        </w:div>
                        <w:div w:id="1229148397">
                          <w:marLeft w:val="0"/>
                          <w:marRight w:val="0"/>
                          <w:marTop w:val="0"/>
                          <w:marBottom w:val="0"/>
                          <w:divBdr>
                            <w:top w:val="none" w:sz="0" w:space="0" w:color="auto"/>
                            <w:left w:val="none" w:sz="0" w:space="0" w:color="auto"/>
                            <w:bottom w:val="none" w:sz="0" w:space="0" w:color="auto"/>
                            <w:right w:val="none" w:sz="0" w:space="0" w:color="auto"/>
                          </w:divBdr>
                        </w:div>
                        <w:div w:id="1229148418">
                          <w:marLeft w:val="0"/>
                          <w:marRight w:val="0"/>
                          <w:marTop w:val="0"/>
                          <w:marBottom w:val="0"/>
                          <w:divBdr>
                            <w:top w:val="none" w:sz="0" w:space="0" w:color="auto"/>
                            <w:left w:val="none" w:sz="0" w:space="0" w:color="auto"/>
                            <w:bottom w:val="none" w:sz="0" w:space="0" w:color="auto"/>
                            <w:right w:val="none" w:sz="0" w:space="0" w:color="auto"/>
                          </w:divBdr>
                        </w:div>
                        <w:div w:id="1229148440">
                          <w:marLeft w:val="0"/>
                          <w:marRight w:val="0"/>
                          <w:marTop w:val="0"/>
                          <w:marBottom w:val="0"/>
                          <w:divBdr>
                            <w:top w:val="none" w:sz="0" w:space="0" w:color="auto"/>
                            <w:left w:val="none" w:sz="0" w:space="0" w:color="auto"/>
                            <w:bottom w:val="none" w:sz="0" w:space="0" w:color="auto"/>
                            <w:right w:val="none" w:sz="0" w:space="0" w:color="auto"/>
                          </w:divBdr>
                        </w:div>
                        <w:div w:id="122914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8375">
                  <w:marLeft w:val="0"/>
                  <w:marRight w:val="0"/>
                  <w:marTop w:val="0"/>
                  <w:marBottom w:val="0"/>
                  <w:divBdr>
                    <w:top w:val="none" w:sz="0" w:space="0" w:color="auto"/>
                    <w:left w:val="none" w:sz="0" w:space="0" w:color="auto"/>
                    <w:bottom w:val="none" w:sz="0" w:space="0" w:color="auto"/>
                    <w:right w:val="none" w:sz="0" w:space="0" w:color="auto"/>
                  </w:divBdr>
                  <w:divsChild>
                    <w:div w:id="1229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362">
          <w:marLeft w:val="0"/>
          <w:marRight w:val="0"/>
          <w:marTop w:val="0"/>
          <w:marBottom w:val="0"/>
          <w:divBdr>
            <w:top w:val="none" w:sz="0" w:space="0" w:color="auto"/>
            <w:left w:val="none" w:sz="0" w:space="0" w:color="auto"/>
            <w:bottom w:val="none" w:sz="0" w:space="0" w:color="auto"/>
            <w:right w:val="none" w:sz="0" w:space="0" w:color="auto"/>
          </w:divBdr>
          <w:divsChild>
            <w:div w:id="1229148378">
              <w:marLeft w:val="0"/>
              <w:marRight w:val="0"/>
              <w:marTop w:val="0"/>
              <w:marBottom w:val="0"/>
              <w:divBdr>
                <w:top w:val="none" w:sz="0" w:space="0" w:color="auto"/>
                <w:left w:val="none" w:sz="0" w:space="0" w:color="auto"/>
                <w:bottom w:val="none" w:sz="0" w:space="0" w:color="auto"/>
                <w:right w:val="none" w:sz="0" w:space="0" w:color="auto"/>
              </w:divBdr>
              <w:divsChild>
                <w:div w:id="1229148324">
                  <w:marLeft w:val="0"/>
                  <w:marRight w:val="0"/>
                  <w:marTop w:val="0"/>
                  <w:marBottom w:val="0"/>
                  <w:divBdr>
                    <w:top w:val="none" w:sz="0" w:space="0" w:color="auto"/>
                    <w:left w:val="none" w:sz="0" w:space="0" w:color="auto"/>
                    <w:bottom w:val="none" w:sz="0" w:space="0" w:color="auto"/>
                    <w:right w:val="none" w:sz="0" w:space="0" w:color="auto"/>
                  </w:divBdr>
                  <w:divsChild>
                    <w:div w:id="1229148314">
                      <w:marLeft w:val="0"/>
                      <w:marRight w:val="0"/>
                      <w:marTop w:val="0"/>
                      <w:marBottom w:val="0"/>
                      <w:divBdr>
                        <w:top w:val="none" w:sz="0" w:space="0" w:color="auto"/>
                        <w:left w:val="none" w:sz="0" w:space="0" w:color="auto"/>
                        <w:bottom w:val="none" w:sz="0" w:space="0" w:color="auto"/>
                        <w:right w:val="none" w:sz="0" w:space="0" w:color="auto"/>
                      </w:divBdr>
                      <w:divsChild>
                        <w:div w:id="1229148321">
                          <w:marLeft w:val="0"/>
                          <w:marRight w:val="0"/>
                          <w:marTop w:val="0"/>
                          <w:marBottom w:val="0"/>
                          <w:divBdr>
                            <w:top w:val="none" w:sz="0" w:space="0" w:color="auto"/>
                            <w:left w:val="none" w:sz="0" w:space="0" w:color="auto"/>
                            <w:bottom w:val="none" w:sz="0" w:space="0" w:color="auto"/>
                            <w:right w:val="none" w:sz="0" w:space="0" w:color="auto"/>
                          </w:divBdr>
                        </w:div>
                        <w:div w:id="1229148322">
                          <w:marLeft w:val="0"/>
                          <w:marRight w:val="0"/>
                          <w:marTop w:val="0"/>
                          <w:marBottom w:val="0"/>
                          <w:divBdr>
                            <w:top w:val="none" w:sz="0" w:space="0" w:color="auto"/>
                            <w:left w:val="none" w:sz="0" w:space="0" w:color="auto"/>
                            <w:bottom w:val="none" w:sz="0" w:space="0" w:color="auto"/>
                            <w:right w:val="none" w:sz="0" w:space="0" w:color="auto"/>
                          </w:divBdr>
                        </w:div>
                        <w:div w:id="1229148350">
                          <w:marLeft w:val="0"/>
                          <w:marRight w:val="0"/>
                          <w:marTop w:val="0"/>
                          <w:marBottom w:val="0"/>
                          <w:divBdr>
                            <w:top w:val="none" w:sz="0" w:space="0" w:color="auto"/>
                            <w:left w:val="none" w:sz="0" w:space="0" w:color="auto"/>
                            <w:bottom w:val="none" w:sz="0" w:space="0" w:color="auto"/>
                            <w:right w:val="none" w:sz="0" w:space="0" w:color="auto"/>
                          </w:divBdr>
                        </w:div>
                        <w:div w:id="1229148356">
                          <w:marLeft w:val="0"/>
                          <w:marRight w:val="0"/>
                          <w:marTop w:val="0"/>
                          <w:marBottom w:val="0"/>
                          <w:divBdr>
                            <w:top w:val="none" w:sz="0" w:space="0" w:color="auto"/>
                            <w:left w:val="none" w:sz="0" w:space="0" w:color="auto"/>
                            <w:bottom w:val="none" w:sz="0" w:space="0" w:color="auto"/>
                            <w:right w:val="none" w:sz="0" w:space="0" w:color="auto"/>
                          </w:divBdr>
                        </w:div>
                        <w:div w:id="1229148376">
                          <w:marLeft w:val="0"/>
                          <w:marRight w:val="0"/>
                          <w:marTop w:val="0"/>
                          <w:marBottom w:val="0"/>
                          <w:divBdr>
                            <w:top w:val="none" w:sz="0" w:space="0" w:color="auto"/>
                            <w:left w:val="none" w:sz="0" w:space="0" w:color="auto"/>
                            <w:bottom w:val="none" w:sz="0" w:space="0" w:color="auto"/>
                            <w:right w:val="none" w:sz="0" w:space="0" w:color="auto"/>
                          </w:divBdr>
                        </w:div>
                        <w:div w:id="1229148398">
                          <w:marLeft w:val="0"/>
                          <w:marRight w:val="0"/>
                          <w:marTop w:val="0"/>
                          <w:marBottom w:val="0"/>
                          <w:divBdr>
                            <w:top w:val="none" w:sz="0" w:space="0" w:color="auto"/>
                            <w:left w:val="none" w:sz="0" w:space="0" w:color="auto"/>
                            <w:bottom w:val="none" w:sz="0" w:space="0" w:color="auto"/>
                            <w:right w:val="none" w:sz="0" w:space="0" w:color="auto"/>
                          </w:divBdr>
                        </w:div>
                        <w:div w:id="1229148403">
                          <w:marLeft w:val="0"/>
                          <w:marRight w:val="0"/>
                          <w:marTop w:val="0"/>
                          <w:marBottom w:val="0"/>
                          <w:divBdr>
                            <w:top w:val="none" w:sz="0" w:space="0" w:color="auto"/>
                            <w:left w:val="none" w:sz="0" w:space="0" w:color="auto"/>
                            <w:bottom w:val="none" w:sz="0" w:space="0" w:color="auto"/>
                            <w:right w:val="none" w:sz="0" w:space="0" w:color="auto"/>
                          </w:divBdr>
                        </w:div>
                        <w:div w:id="1229148404">
                          <w:marLeft w:val="0"/>
                          <w:marRight w:val="0"/>
                          <w:marTop w:val="0"/>
                          <w:marBottom w:val="0"/>
                          <w:divBdr>
                            <w:top w:val="none" w:sz="0" w:space="0" w:color="auto"/>
                            <w:left w:val="none" w:sz="0" w:space="0" w:color="auto"/>
                            <w:bottom w:val="none" w:sz="0" w:space="0" w:color="auto"/>
                            <w:right w:val="none" w:sz="0" w:space="0" w:color="auto"/>
                          </w:divBdr>
                        </w:div>
                        <w:div w:id="1229148421">
                          <w:marLeft w:val="0"/>
                          <w:marRight w:val="0"/>
                          <w:marTop w:val="0"/>
                          <w:marBottom w:val="0"/>
                          <w:divBdr>
                            <w:top w:val="none" w:sz="0" w:space="0" w:color="auto"/>
                            <w:left w:val="none" w:sz="0" w:space="0" w:color="auto"/>
                            <w:bottom w:val="none" w:sz="0" w:space="0" w:color="auto"/>
                            <w:right w:val="none" w:sz="0" w:space="0" w:color="auto"/>
                          </w:divBdr>
                        </w:div>
                        <w:div w:id="1229148428">
                          <w:marLeft w:val="0"/>
                          <w:marRight w:val="0"/>
                          <w:marTop w:val="0"/>
                          <w:marBottom w:val="0"/>
                          <w:divBdr>
                            <w:top w:val="none" w:sz="0" w:space="0" w:color="auto"/>
                            <w:left w:val="none" w:sz="0" w:space="0" w:color="auto"/>
                            <w:bottom w:val="none" w:sz="0" w:space="0" w:color="auto"/>
                            <w:right w:val="none" w:sz="0" w:space="0" w:color="auto"/>
                          </w:divBdr>
                        </w:div>
                        <w:div w:id="1229148434">
                          <w:marLeft w:val="0"/>
                          <w:marRight w:val="0"/>
                          <w:marTop w:val="0"/>
                          <w:marBottom w:val="0"/>
                          <w:divBdr>
                            <w:top w:val="none" w:sz="0" w:space="0" w:color="auto"/>
                            <w:left w:val="none" w:sz="0" w:space="0" w:color="auto"/>
                            <w:bottom w:val="none" w:sz="0" w:space="0" w:color="auto"/>
                            <w:right w:val="none" w:sz="0" w:space="0" w:color="auto"/>
                          </w:divBdr>
                        </w:div>
                        <w:div w:id="1229148435">
                          <w:marLeft w:val="0"/>
                          <w:marRight w:val="0"/>
                          <w:marTop w:val="0"/>
                          <w:marBottom w:val="0"/>
                          <w:divBdr>
                            <w:top w:val="none" w:sz="0" w:space="0" w:color="auto"/>
                            <w:left w:val="none" w:sz="0" w:space="0" w:color="auto"/>
                            <w:bottom w:val="none" w:sz="0" w:space="0" w:color="auto"/>
                            <w:right w:val="none" w:sz="0" w:space="0" w:color="auto"/>
                          </w:divBdr>
                        </w:div>
                        <w:div w:id="122914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148420">
                  <w:marLeft w:val="0"/>
                  <w:marRight w:val="0"/>
                  <w:marTop w:val="0"/>
                  <w:marBottom w:val="0"/>
                  <w:divBdr>
                    <w:top w:val="none" w:sz="0" w:space="0" w:color="auto"/>
                    <w:left w:val="none" w:sz="0" w:space="0" w:color="auto"/>
                    <w:bottom w:val="none" w:sz="0" w:space="0" w:color="auto"/>
                    <w:right w:val="none" w:sz="0" w:space="0" w:color="auto"/>
                  </w:divBdr>
                  <w:divsChild>
                    <w:div w:id="122914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365">
          <w:marLeft w:val="0"/>
          <w:marRight w:val="0"/>
          <w:marTop w:val="0"/>
          <w:marBottom w:val="0"/>
          <w:divBdr>
            <w:top w:val="none" w:sz="0" w:space="0" w:color="auto"/>
            <w:left w:val="none" w:sz="0" w:space="0" w:color="auto"/>
            <w:bottom w:val="none" w:sz="0" w:space="0" w:color="auto"/>
            <w:right w:val="none" w:sz="0" w:space="0" w:color="auto"/>
          </w:divBdr>
          <w:divsChild>
            <w:div w:id="1229148442">
              <w:marLeft w:val="0"/>
              <w:marRight w:val="0"/>
              <w:marTop w:val="0"/>
              <w:marBottom w:val="0"/>
              <w:divBdr>
                <w:top w:val="none" w:sz="0" w:space="0" w:color="auto"/>
                <w:left w:val="none" w:sz="0" w:space="0" w:color="auto"/>
                <w:bottom w:val="none" w:sz="0" w:space="0" w:color="auto"/>
                <w:right w:val="none" w:sz="0" w:space="0" w:color="auto"/>
              </w:divBdr>
              <w:divsChild>
                <w:div w:id="1229148401">
                  <w:marLeft w:val="0"/>
                  <w:marRight w:val="0"/>
                  <w:marTop w:val="0"/>
                  <w:marBottom w:val="0"/>
                  <w:divBdr>
                    <w:top w:val="none" w:sz="0" w:space="0" w:color="auto"/>
                    <w:left w:val="none" w:sz="0" w:space="0" w:color="auto"/>
                    <w:bottom w:val="none" w:sz="0" w:space="0" w:color="auto"/>
                    <w:right w:val="none" w:sz="0" w:space="0" w:color="auto"/>
                  </w:divBdr>
                  <w:divsChild>
                    <w:div w:id="1229148416">
                      <w:marLeft w:val="0"/>
                      <w:marRight w:val="0"/>
                      <w:marTop w:val="0"/>
                      <w:marBottom w:val="0"/>
                      <w:divBdr>
                        <w:top w:val="none" w:sz="0" w:space="0" w:color="auto"/>
                        <w:left w:val="none" w:sz="0" w:space="0" w:color="auto"/>
                        <w:bottom w:val="none" w:sz="0" w:space="0" w:color="auto"/>
                        <w:right w:val="none" w:sz="0" w:space="0" w:color="auto"/>
                      </w:divBdr>
                    </w:div>
                  </w:divsChild>
                </w:div>
                <w:div w:id="1229148407">
                  <w:marLeft w:val="0"/>
                  <w:marRight w:val="0"/>
                  <w:marTop w:val="0"/>
                  <w:marBottom w:val="0"/>
                  <w:divBdr>
                    <w:top w:val="none" w:sz="0" w:space="0" w:color="auto"/>
                    <w:left w:val="none" w:sz="0" w:space="0" w:color="auto"/>
                    <w:bottom w:val="none" w:sz="0" w:space="0" w:color="auto"/>
                    <w:right w:val="none" w:sz="0" w:space="0" w:color="auto"/>
                  </w:divBdr>
                  <w:divsChild>
                    <w:div w:id="1229148364">
                      <w:marLeft w:val="0"/>
                      <w:marRight w:val="0"/>
                      <w:marTop w:val="0"/>
                      <w:marBottom w:val="0"/>
                      <w:divBdr>
                        <w:top w:val="none" w:sz="0" w:space="0" w:color="auto"/>
                        <w:left w:val="none" w:sz="0" w:space="0" w:color="auto"/>
                        <w:bottom w:val="none" w:sz="0" w:space="0" w:color="auto"/>
                        <w:right w:val="none" w:sz="0" w:space="0" w:color="auto"/>
                      </w:divBdr>
                      <w:divsChild>
                        <w:div w:id="1229148360">
                          <w:marLeft w:val="0"/>
                          <w:marRight w:val="0"/>
                          <w:marTop w:val="0"/>
                          <w:marBottom w:val="0"/>
                          <w:divBdr>
                            <w:top w:val="none" w:sz="0" w:space="0" w:color="auto"/>
                            <w:left w:val="none" w:sz="0" w:space="0" w:color="auto"/>
                            <w:bottom w:val="none" w:sz="0" w:space="0" w:color="auto"/>
                            <w:right w:val="none" w:sz="0" w:space="0" w:color="auto"/>
                          </w:divBdr>
                        </w:div>
                        <w:div w:id="1229148371">
                          <w:marLeft w:val="0"/>
                          <w:marRight w:val="0"/>
                          <w:marTop w:val="0"/>
                          <w:marBottom w:val="0"/>
                          <w:divBdr>
                            <w:top w:val="none" w:sz="0" w:space="0" w:color="auto"/>
                            <w:left w:val="none" w:sz="0" w:space="0" w:color="auto"/>
                            <w:bottom w:val="none" w:sz="0" w:space="0" w:color="auto"/>
                            <w:right w:val="none" w:sz="0" w:space="0" w:color="auto"/>
                          </w:divBdr>
                        </w:div>
                        <w:div w:id="1229148384">
                          <w:marLeft w:val="0"/>
                          <w:marRight w:val="0"/>
                          <w:marTop w:val="0"/>
                          <w:marBottom w:val="0"/>
                          <w:divBdr>
                            <w:top w:val="none" w:sz="0" w:space="0" w:color="auto"/>
                            <w:left w:val="none" w:sz="0" w:space="0" w:color="auto"/>
                            <w:bottom w:val="none" w:sz="0" w:space="0" w:color="auto"/>
                            <w:right w:val="none" w:sz="0" w:space="0" w:color="auto"/>
                          </w:divBdr>
                        </w:div>
                        <w:div w:id="1229148387">
                          <w:marLeft w:val="0"/>
                          <w:marRight w:val="0"/>
                          <w:marTop w:val="0"/>
                          <w:marBottom w:val="0"/>
                          <w:divBdr>
                            <w:top w:val="none" w:sz="0" w:space="0" w:color="auto"/>
                            <w:left w:val="none" w:sz="0" w:space="0" w:color="auto"/>
                            <w:bottom w:val="none" w:sz="0" w:space="0" w:color="auto"/>
                            <w:right w:val="none" w:sz="0" w:space="0" w:color="auto"/>
                          </w:divBdr>
                        </w:div>
                        <w:div w:id="12291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148400">
          <w:marLeft w:val="0"/>
          <w:marRight w:val="0"/>
          <w:marTop w:val="0"/>
          <w:marBottom w:val="0"/>
          <w:divBdr>
            <w:top w:val="none" w:sz="0" w:space="0" w:color="auto"/>
            <w:left w:val="none" w:sz="0" w:space="0" w:color="auto"/>
            <w:bottom w:val="none" w:sz="0" w:space="0" w:color="auto"/>
            <w:right w:val="none" w:sz="0" w:space="0" w:color="auto"/>
          </w:divBdr>
          <w:divsChild>
            <w:div w:id="1229148370">
              <w:marLeft w:val="0"/>
              <w:marRight w:val="0"/>
              <w:marTop w:val="0"/>
              <w:marBottom w:val="0"/>
              <w:divBdr>
                <w:top w:val="none" w:sz="0" w:space="0" w:color="auto"/>
                <w:left w:val="none" w:sz="0" w:space="0" w:color="auto"/>
                <w:bottom w:val="none" w:sz="0" w:space="0" w:color="auto"/>
                <w:right w:val="none" w:sz="0" w:space="0" w:color="auto"/>
              </w:divBdr>
              <w:divsChild>
                <w:div w:id="1229148338">
                  <w:marLeft w:val="0"/>
                  <w:marRight w:val="0"/>
                  <w:marTop w:val="0"/>
                  <w:marBottom w:val="0"/>
                  <w:divBdr>
                    <w:top w:val="none" w:sz="0" w:space="0" w:color="auto"/>
                    <w:left w:val="none" w:sz="0" w:space="0" w:color="auto"/>
                    <w:bottom w:val="none" w:sz="0" w:space="0" w:color="auto"/>
                    <w:right w:val="none" w:sz="0" w:space="0" w:color="auto"/>
                  </w:divBdr>
                  <w:divsChild>
                    <w:div w:id="1229148423">
                      <w:marLeft w:val="0"/>
                      <w:marRight w:val="0"/>
                      <w:marTop w:val="0"/>
                      <w:marBottom w:val="0"/>
                      <w:divBdr>
                        <w:top w:val="none" w:sz="0" w:space="0" w:color="auto"/>
                        <w:left w:val="none" w:sz="0" w:space="0" w:color="auto"/>
                        <w:bottom w:val="none" w:sz="0" w:space="0" w:color="auto"/>
                        <w:right w:val="none" w:sz="0" w:space="0" w:color="auto"/>
                      </w:divBdr>
                    </w:div>
                  </w:divsChild>
                </w:div>
                <w:div w:id="1229148427">
                  <w:marLeft w:val="0"/>
                  <w:marRight w:val="0"/>
                  <w:marTop w:val="0"/>
                  <w:marBottom w:val="0"/>
                  <w:divBdr>
                    <w:top w:val="none" w:sz="0" w:space="0" w:color="auto"/>
                    <w:left w:val="none" w:sz="0" w:space="0" w:color="auto"/>
                    <w:bottom w:val="none" w:sz="0" w:space="0" w:color="auto"/>
                    <w:right w:val="none" w:sz="0" w:space="0" w:color="auto"/>
                  </w:divBdr>
                  <w:divsChild>
                    <w:div w:id="1229148344">
                      <w:marLeft w:val="0"/>
                      <w:marRight w:val="0"/>
                      <w:marTop w:val="0"/>
                      <w:marBottom w:val="0"/>
                      <w:divBdr>
                        <w:top w:val="none" w:sz="0" w:space="0" w:color="auto"/>
                        <w:left w:val="none" w:sz="0" w:space="0" w:color="auto"/>
                        <w:bottom w:val="none" w:sz="0" w:space="0" w:color="auto"/>
                        <w:right w:val="none" w:sz="0" w:space="0" w:color="auto"/>
                      </w:divBdr>
                      <w:divsChild>
                        <w:div w:id="1229148354">
                          <w:marLeft w:val="0"/>
                          <w:marRight w:val="0"/>
                          <w:marTop w:val="0"/>
                          <w:marBottom w:val="0"/>
                          <w:divBdr>
                            <w:top w:val="none" w:sz="0" w:space="0" w:color="auto"/>
                            <w:left w:val="none" w:sz="0" w:space="0" w:color="auto"/>
                            <w:bottom w:val="none" w:sz="0" w:space="0" w:color="auto"/>
                            <w:right w:val="none" w:sz="0" w:space="0" w:color="auto"/>
                          </w:divBdr>
                        </w:div>
                        <w:div w:id="1229148396">
                          <w:marLeft w:val="0"/>
                          <w:marRight w:val="0"/>
                          <w:marTop w:val="0"/>
                          <w:marBottom w:val="0"/>
                          <w:divBdr>
                            <w:top w:val="none" w:sz="0" w:space="0" w:color="auto"/>
                            <w:left w:val="none" w:sz="0" w:space="0" w:color="auto"/>
                            <w:bottom w:val="none" w:sz="0" w:space="0" w:color="auto"/>
                            <w:right w:val="none" w:sz="0" w:space="0" w:color="auto"/>
                          </w:divBdr>
                        </w:div>
                        <w:div w:id="1229148432">
                          <w:marLeft w:val="0"/>
                          <w:marRight w:val="0"/>
                          <w:marTop w:val="0"/>
                          <w:marBottom w:val="0"/>
                          <w:divBdr>
                            <w:top w:val="none" w:sz="0" w:space="0" w:color="auto"/>
                            <w:left w:val="none" w:sz="0" w:space="0" w:color="auto"/>
                            <w:bottom w:val="none" w:sz="0" w:space="0" w:color="auto"/>
                            <w:right w:val="none" w:sz="0" w:space="0" w:color="auto"/>
                          </w:divBdr>
                        </w:div>
                        <w:div w:id="1229148433">
                          <w:marLeft w:val="0"/>
                          <w:marRight w:val="0"/>
                          <w:marTop w:val="0"/>
                          <w:marBottom w:val="0"/>
                          <w:divBdr>
                            <w:top w:val="none" w:sz="0" w:space="0" w:color="auto"/>
                            <w:left w:val="none" w:sz="0" w:space="0" w:color="auto"/>
                            <w:bottom w:val="none" w:sz="0" w:space="0" w:color="auto"/>
                            <w:right w:val="none" w:sz="0" w:space="0" w:color="auto"/>
                          </w:divBdr>
                        </w:div>
                        <w:div w:id="12291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148358">
      <w:marLeft w:val="0"/>
      <w:marRight w:val="0"/>
      <w:marTop w:val="0"/>
      <w:marBottom w:val="0"/>
      <w:divBdr>
        <w:top w:val="none" w:sz="0" w:space="0" w:color="auto"/>
        <w:left w:val="none" w:sz="0" w:space="0" w:color="auto"/>
        <w:bottom w:val="none" w:sz="0" w:space="0" w:color="auto"/>
        <w:right w:val="none" w:sz="0" w:space="0" w:color="auto"/>
      </w:divBdr>
    </w:div>
    <w:div w:id="1229148359">
      <w:marLeft w:val="0"/>
      <w:marRight w:val="0"/>
      <w:marTop w:val="0"/>
      <w:marBottom w:val="0"/>
      <w:divBdr>
        <w:top w:val="none" w:sz="0" w:space="0" w:color="auto"/>
        <w:left w:val="none" w:sz="0" w:space="0" w:color="auto"/>
        <w:bottom w:val="none" w:sz="0" w:space="0" w:color="auto"/>
        <w:right w:val="none" w:sz="0" w:space="0" w:color="auto"/>
      </w:divBdr>
    </w:div>
    <w:div w:id="1229148367">
      <w:marLeft w:val="0"/>
      <w:marRight w:val="0"/>
      <w:marTop w:val="0"/>
      <w:marBottom w:val="0"/>
      <w:divBdr>
        <w:top w:val="none" w:sz="0" w:space="0" w:color="auto"/>
        <w:left w:val="none" w:sz="0" w:space="0" w:color="auto"/>
        <w:bottom w:val="none" w:sz="0" w:space="0" w:color="auto"/>
        <w:right w:val="none" w:sz="0" w:space="0" w:color="auto"/>
      </w:divBdr>
      <w:divsChild>
        <w:div w:id="1229148329">
          <w:marLeft w:val="0"/>
          <w:marRight w:val="0"/>
          <w:marTop w:val="105"/>
          <w:marBottom w:val="105"/>
          <w:divBdr>
            <w:top w:val="none" w:sz="0" w:space="0" w:color="auto"/>
            <w:left w:val="none" w:sz="0" w:space="0" w:color="auto"/>
            <w:bottom w:val="none" w:sz="0" w:space="0" w:color="auto"/>
            <w:right w:val="none" w:sz="0" w:space="0" w:color="auto"/>
          </w:divBdr>
        </w:div>
        <w:div w:id="1229148340">
          <w:marLeft w:val="0"/>
          <w:marRight w:val="0"/>
          <w:marTop w:val="105"/>
          <w:marBottom w:val="105"/>
          <w:divBdr>
            <w:top w:val="none" w:sz="0" w:space="0" w:color="auto"/>
            <w:left w:val="none" w:sz="0" w:space="0" w:color="auto"/>
            <w:bottom w:val="none" w:sz="0" w:space="0" w:color="auto"/>
            <w:right w:val="none" w:sz="0" w:space="0" w:color="auto"/>
          </w:divBdr>
        </w:div>
        <w:div w:id="1229148357">
          <w:marLeft w:val="0"/>
          <w:marRight w:val="0"/>
          <w:marTop w:val="105"/>
          <w:marBottom w:val="105"/>
          <w:divBdr>
            <w:top w:val="none" w:sz="0" w:space="0" w:color="auto"/>
            <w:left w:val="none" w:sz="0" w:space="0" w:color="auto"/>
            <w:bottom w:val="none" w:sz="0" w:space="0" w:color="auto"/>
            <w:right w:val="none" w:sz="0" w:space="0" w:color="auto"/>
          </w:divBdr>
        </w:div>
        <w:div w:id="1229148379">
          <w:marLeft w:val="0"/>
          <w:marRight w:val="0"/>
          <w:marTop w:val="105"/>
          <w:marBottom w:val="105"/>
          <w:divBdr>
            <w:top w:val="none" w:sz="0" w:space="0" w:color="auto"/>
            <w:left w:val="none" w:sz="0" w:space="0" w:color="auto"/>
            <w:bottom w:val="none" w:sz="0" w:space="0" w:color="auto"/>
            <w:right w:val="none" w:sz="0" w:space="0" w:color="auto"/>
          </w:divBdr>
        </w:div>
      </w:divsChild>
    </w:div>
    <w:div w:id="1229148369">
      <w:marLeft w:val="0"/>
      <w:marRight w:val="0"/>
      <w:marTop w:val="0"/>
      <w:marBottom w:val="0"/>
      <w:divBdr>
        <w:top w:val="none" w:sz="0" w:space="0" w:color="auto"/>
        <w:left w:val="none" w:sz="0" w:space="0" w:color="auto"/>
        <w:bottom w:val="none" w:sz="0" w:space="0" w:color="auto"/>
        <w:right w:val="none" w:sz="0" w:space="0" w:color="auto"/>
      </w:divBdr>
    </w:div>
    <w:div w:id="1229148373">
      <w:marLeft w:val="0"/>
      <w:marRight w:val="0"/>
      <w:marTop w:val="0"/>
      <w:marBottom w:val="0"/>
      <w:divBdr>
        <w:top w:val="none" w:sz="0" w:space="0" w:color="auto"/>
        <w:left w:val="none" w:sz="0" w:space="0" w:color="auto"/>
        <w:bottom w:val="none" w:sz="0" w:space="0" w:color="auto"/>
        <w:right w:val="none" w:sz="0" w:space="0" w:color="auto"/>
      </w:divBdr>
    </w:div>
    <w:div w:id="1229148380">
      <w:marLeft w:val="0"/>
      <w:marRight w:val="0"/>
      <w:marTop w:val="0"/>
      <w:marBottom w:val="0"/>
      <w:divBdr>
        <w:top w:val="none" w:sz="0" w:space="0" w:color="auto"/>
        <w:left w:val="none" w:sz="0" w:space="0" w:color="auto"/>
        <w:bottom w:val="none" w:sz="0" w:space="0" w:color="auto"/>
        <w:right w:val="none" w:sz="0" w:space="0" w:color="auto"/>
      </w:divBdr>
    </w:div>
    <w:div w:id="1229148381">
      <w:marLeft w:val="0"/>
      <w:marRight w:val="0"/>
      <w:marTop w:val="0"/>
      <w:marBottom w:val="0"/>
      <w:divBdr>
        <w:top w:val="none" w:sz="0" w:space="0" w:color="auto"/>
        <w:left w:val="none" w:sz="0" w:space="0" w:color="auto"/>
        <w:bottom w:val="none" w:sz="0" w:space="0" w:color="auto"/>
        <w:right w:val="none" w:sz="0" w:space="0" w:color="auto"/>
      </w:divBdr>
      <w:divsChild>
        <w:div w:id="1229148320">
          <w:marLeft w:val="0"/>
          <w:marRight w:val="0"/>
          <w:marTop w:val="0"/>
          <w:marBottom w:val="0"/>
          <w:divBdr>
            <w:top w:val="none" w:sz="0" w:space="0" w:color="auto"/>
            <w:left w:val="none" w:sz="0" w:space="0" w:color="auto"/>
            <w:bottom w:val="none" w:sz="0" w:space="0" w:color="auto"/>
            <w:right w:val="none" w:sz="0" w:space="0" w:color="auto"/>
          </w:divBdr>
          <w:divsChild>
            <w:div w:id="1229148325">
              <w:marLeft w:val="0"/>
              <w:marRight w:val="0"/>
              <w:marTop w:val="0"/>
              <w:marBottom w:val="0"/>
              <w:divBdr>
                <w:top w:val="none" w:sz="0" w:space="0" w:color="auto"/>
                <w:left w:val="none" w:sz="0" w:space="0" w:color="auto"/>
                <w:bottom w:val="none" w:sz="0" w:space="0" w:color="auto"/>
                <w:right w:val="none" w:sz="0" w:space="0" w:color="auto"/>
              </w:divBdr>
              <w:divsChild>
                <w:div w:id="12291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385">
      <w:marLeft w:val="0"/>
      <w:marRight w:val="0"/>
      <w:marTop w:val="0"/>
      <w:marBottom w:val="0"/>
      <w:divBdr>
        <w:top w:val="none" w:sz="0" w:space="0" w:color="auto"/>
        <w:left w:val="none" w:sz="0" w:space="0" w:color="auto"/>
        <w:bottom w:val="none" w:sz="0" w:space="0" w:color="auto"/>
        <w:right w:val="none" w:sz="0" w:space="0" w:color="auto"/>
      </w:divBdr>
    </w:div>
    <w:div w:id="1229148390">
      <w:marLeft w:val="0"/>
      <w:marRight w:val="0"/>
      <w:marTop w:val="0"/>
      <w:marBottom w:val="0"/>
      <w:divBdr>
        <w:top w:val="none" w:sz="0" w:space="0" w:color="auto"/>
        <w:left w:val="none" w:sz="0" w:space="0" w:color="auto"/>
        <w:bottom w:val="none" w:sz="0" w:space="0" w:color="auto"/>
        <w:right w:val="none" w:sz="0" w:space="0" w:color="auto"/>
      </w:divBdr>
    </w:div>
    <w:div w:id="1229148392">
      <w:marLeft w:val="0"/>
      <w:marRight w:val="0"/>
      <w:marTop w:val="0"/>
      <w:marBottom w:val="0"/>
      <w:divBdr>
        <w:top w:val="none" w:sz="0" w:space="0" w:color="auto"/>
        <w:left w:val="none" w:sz="0" w:space="0" w:color="auto"/>
        <w:bottom w:val="none" w:sz="0" w:space="0" w:color="auto"/>
        <w:right w:val="none" w:sz="0" w:space="0" w:color="auto"/>
      </w:divBdr>
    </w:div>
    <w:div w:id="1229148393">
      <w:marLeft w:val="0"/>
      <w:marRight w:val="0"/>
      <w:marTop w:val="0"/>
      <w:marBottom w:val="0"/>
      <w:divBdr>
        <w:top w:val="none" w:sz="0" w:space="0" w:color="auto"/>
        <w:left w:val="none" w:sz="0" w:space="0" w:color="auto"/>
        <w:bottom w:val="none" w:sz="0" w:space="0" w:color="auto"/>
        <w:right w:val="none" w:sz="0" w:space="0" w:color="auto"/>
      </w:divBdr>
    </w:div>
    <w:div w:id="1229148402">
      <w:marLeft w:val="0"/>
      <w:marRight w:val="0"/>
      <w:marTop w:val="0"/>
      <w:marBottom w:val="0"/>
      <w:divBdr>
        <w:top w:val="none" w:sz="0" w:space="0" w:color="auto"/>
        <w:left w:val="none" w:sz="0" w:space="0" w:color="auto"/>
        <w:bottom w:val="none" w:sz="0" w:space="0" w:color="auto"/>
        <w:right w:val="none" w:sz="0" w:space="0" w:color="auto"/>
      </w:divBdr>
    </w:div>
    <w:div w:id="1229148406">
      <w:marLeft w:val="0"/>
      <w:marRight w:val="0"/>
      <w:marTop w:val="0"/>
      <w:marBottom w:val="0"/>
      <w:divBdr>
        <w:top w:val="none" w:sz="0" w:space="0" w:color="auto"/>
        <w:left w:val="none" w:sz="0" w:space="0" w:color="auto"/>
        <w:bottom w:val="none" w:sz="0" w:space="0" w:color="auto"/>
        <w:right w:val="none" w:sz="0" w:space="0" w:color="auto"/>
      </w:divBdr>
    </w:div>
    <w:div w:id="1229148409">
      <w:marLeft w:val="0"/>
      <w:marRight w:val="0"/>
      <w:marTop w:val="0"/>
      <w:marBottom w:val="0"/>
      <w:divBdr>
        <w:top w:val="none" w:sz="0" w:space="0" w:color="auto"/>
        <w:left w:val="none" w:sz="0" w:space="0" w:color="auto"/>
        <w:bottom w:val="none" w:sz="0" w:space="0" w:color="auto"/>
        <w:right w:val="none" w:sz="0" w:space="0" w:color="auto"/>
      </w:divBdr>
    </w:div>
    <w:div w:id="1229148410">
      <w:marLeft w:val="0"/>
      <w:marRight w:val="0"/>
      <w:marTop w:val="0"/>
      <w:marBottom w:val="0"/>
      <w:divBdr>
        <w:top w:val="none" w:sz="0" w:space="0" w:color="auto"/>
        <w:left w:val="none" w:sz="0" w:space="0" w:color="auto"/>
        <w:bottom w:val="none" w:sz="0" w:space="0" w:color="auto"/>
        <w:right w:val="none" w:sz="0" w:space="0" w:color="auto"/>
      </w:divBdr>
    </w:div>
    <w:div w:id="1229148411">
      <w:marLeft w:val="0"/>
      <w:marRight w:val="0"/>
      <w:marTop w:val="0"/>
      <w:marBottom w:val="0"/>
      <w:divBdr>
        <w:top w:val="none" w:sz="0" w:space="0" w:color="auto"/>
        <w:left w:val="none" w:sz="0" w:space="0" w:color="auto"/>
        <w:bottom w:val="none" w:sz="0" w:space="0" w:color="auto"/>
        <w:right w:val="none" w:sz="0" w:space="0" w:color="auto"/>
      </w:divBdr>
    </w:div>
    <w:div w:id="1229148412">
      <w:marLeft w:val="0"/>
      <w:marRight w:val="0"/>
      <w:marTop w:val="0"/>
      <w:marBottom w:val="0"/>
      <w:divBdr>
        <w:top w:val="none" w:sz="0" w:space="0" w:color="auto"/>
        <w:left w:val="none" w:sz="0" w:space="0" w:color="auto"/>
        <w:bottom w:val="none" w:sz="0" w:space="0" w:color="auto"/>
        <w:right w:val="none" w:sz="0" w:space="0" w:color="auto"/>
      </w:divBdr>
    </w:div>
    <w:div w:id="1229148415">
      <w:marLeft w:val="0"/>
      <w:marRight w:val="0"/>
      <w:marTop w:val="0"/>
      <w:marBottom w:val="0"/>
      <w:divBdr>
        <w:top w:val="none" w:sz="0" w:space="0" w:color="auto"/>
        <w:left w:val="none" w:sz="0" w:space="0" w:color="auto"/>
        <w:bottom w:val="none" w:sz="0" w:space="0" w:color="auto"/>
        <w:right w:val="none" w:sz="0" w:space="0" w:color="auto"/>
      </w:divBdr>
    </w:div>
    <w:div w:id="1229148417">
      <w:marLeft w:val="0"/>
      <w:marRight w:val="0"/>
      <w:marTop w:val="0"/>
      <w:marBottom w:val="0"/>
      <w:divBdr>
        <w:top w:val="none" w:sz="0" w:space="0" w:color="auto"/>
        <w:left w:val="none" w:sz="0" w:space="0" w:color="auto"/>
        <w:bottom w:val="none" w:sz="0" w:space="0" w:color="auto"/>
        <w:right w:val="none" w:sz="0" w:space="0" w:color="auto"/>
      </w:divBdr>
      <w:divsChild>
        <w:div w:id="1229148408">
          <w:marLeft w:val="0"/>
          <w:marRight w:val="0"/>
          <w:marTop w:val="0"/>
          <w:marBottom w:val="0"/>
          <w:divBdr>
            <w:top w:val="none" w:sz="0" w:space="0" w:color="auto"/>
            <w:left w:val="none" w:sz="0" w:space="0" w:color="auto"/>
            <w:bottom w:val="none" w:sz="0" w:space="0" w:color="auto"/>
            <w:right w:val="none" w:sz="0" w:space="0" w:color="auto"/>
          </w:divBdr>
          <w:divsChild>
            <w:div w:id="1229148422">
              <w:marLeft w:val="0"/>
              <w:marRight w:val="0"/>
              <w:marTop w:val="0"/>
              <w:marBottom w:val="0"/>
              <w:divBdr>
                <w:top w:val="none" w:sz="0" w:space="0" w:color="auto"/>
                <w:left w:val="none" w:sz="0" w:space="0" w:color="auto"/>
                <w:bottom w:val="none" w:sz="0" w:space="0" w:color="auto"/>
                <w:right w:val="none" w:sz="0" w:space="0" w:color="auto"/>
              </w:divBdr>
              <w:divsChild>
                <w:div w:id="122914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48429">
      <w:marLeft w:val="0"/>
      <w:marRight w:val="0"/>
      <w:marTop w:val="0"/>
      <w:marBottom w:val="0"/>
      <w:divBdr>
        <w:top w:val="none" w:sz="0" w:space="0" w:color="auto"/>
        <w:left w:val="none" w:sz="0" w:space="0" w:color="auto"/>
        <w:bottom w:val="none" w:sz="0" w:space="0" w:color="auto"/>
        <w:right w:val="none" w:sz="0" w:space="0" w:color="auto"/>
      </w:divBdr>
    </w:div>
    <w:div w:id="1229148431">
      <w:marLeft w:val="0"/>
      <w:marRight w:val="0"/>
      <w:marTop w:val="0"/>
      <w:marBottom w:val="0"/>
      <w:divBdr>
        <w:top w:val="none" w:sz="0" w:space="0" w:color="auto"/>
        <w:left w:val="none" w:sz="0" w:space="0" w:color="auto"/>
        <w:bottom w:val="none" w:sz="0" w:space="0" w:color="auto"/>
        <w:right w:val="none" w:sz="0" w:space="0" w:color="auto"/>
      </w:divBdr>
    </w:div>
    <w:div w:id="1229148439">
      <w:marLeft w:val="0"/>
      <w:marRight w:val="0"/>
      <w:marTop w:val="0"/>
      <w:marBottom w:val="0"/>
      <w:divBdr>
        <w:top w:val="none" w:sz="0" w:space="0" w:color="auto"/>
        <w:left w:val="none" w:sz="0" w:space="0" w:color="auto"/>
        <w:bottom w:val="none" w:sz="0" w:space="0" w:color="auto"/>
        <w:right w:val="none" w:sz="0" w:space="0" w:color="auto"/>
      </w:divBdr>
    </w:div>
    <w:div w:id="12291484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www.cbd.int/doc/decisions/cop-10/cop-10-dec-26-zh.pdf" TargetMode="Externa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1-zh.pdf"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www.cbd.int/doc/decisions/cop-13/cop-13-dec-21-zh.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ats.oecd.org/viewhtml.aspx?datasetcode=RIOMARKERS&amp;lang=en" TargetMode="External"/><Relationship Id="rId2" Type="http://schemas.openxmlformats.org/officeDocument/2006/relationships/hyperlink" Target="https://climatefundsupdate.org/the-funds/" TargetMode="External"/><Relationship Id="rId1" Type="http://schemas.openxmlformats.org/officeDocument/2006/relationships/hyperlink" Target="https://www.cbd.int/doc/meetings/cop/cop-11/information/cop-11-inf-20-en.pdf" TargetMode="External"/><Relationship Id="rId4" Type="http://schemas.openxmlformats.org/officeDocument/2006/relationships/hyperlink" Target="http://www.hudson.org/cg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11</Pages>
  <Words>1772</Words>
  <Characters>10103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The financial mechanism (Article 21)</vt:lpstr>
    </vt:vector>
  </TitlesOfParts>
  <Company>SCBD</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financial mechanism (Article 21)</dc:title>
  <dc:subject>CBD/SBI/2/8</dc:subject>
  <dc:creator>SCBD</dc:creator>
  <cp:keywords/>
  <dc:description/>
  <cp:lastModifiedBy>Teresa Mazza</cp:lastModifiedBy>
  <cp:revision>21</cp:revision>
  <cp:lastPrinted>2018-04-17T16:02:00Z</cp:lastPrinted>
  <dcterms:created xsi:type="dcterms:W3CDTF">2018-06-07T16:30:00Z</dcterms:created>
  <dcterms:modified xsi:type="dcterms:W3CDTF">2018-06-08T15:16:00Z</dcterms:modified>
</cp:coreProperties>
</file>